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516EAEAE" w:rsidR="009125CE" w:rsidRPr="00F65DF5" w:rsidRDefault="006D0D86" w:rsidP="00C0639D">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E484C">
        <w:rPr>
          <w:rFonts w:ascii="Simplified Arabic" w:hAnsi="Simplified Arabic" w:cs="Simplified Arabic" w:hint="cs"/>
          <w:b/>
          <w:bCs/>
          <w:rtl/>
          <w:lang w:bidi="ar-EG"/>
        </w:rPr>
        <w:t xml:space="preserve"> </w:t>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62D56360" w:rsidR="00F546CE" w:rsidRPr="00F65DF5" w:rsidRDefault="009125CE" w:rsidP="00C0639D">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003E484C">
        <w:rPr>
          <w:rFonts w:ascii="Simplified Arabic" w:hAnsi="Simplified Arabic" w:cs="Simplified Arabic" w:hint="cs"/>
          <w:b/>
          <w:bCs/>
          <w:rtl/>
          <w:lang w:bidi="ar-EG"/>
        </w:rPr>
        <w:t xml:space="preserve">  </w:t>
      </w:r>
      <w:r w:rsidRPr="00F65DF5">
        <w:rPr>
          <w:rFonts w:ascii="Simplified Arabic" w:hAnsi="Simplified Arabic" w:cs="Simplified Arabic" w:hint="cs"/>
          <w:b/>
          <w:bCs/>
          <w:rtl/>
          <w:lang w:bidi="ar-EG"/>
        </w:rPr>
        <w:t xml:space="preserve">كلية الإدارة </w:t>
      </w:r>
    </w:p>
    <w:p w14:paraId="0217C513" w14:textId="755AACFA" w:rsidR="009125CE" w:rsidRDefault="003E484C" w:rsidP="00C0639D">
      <w:pPr>
        <w:bidi/>
        <w:rPr>
          <w:rFonts w:ascii="Simplified Arabic" w:hAnsi="Simplified Arabic" w:cs="Simplified Arabic"/>
          <w:b/>
          <w:bCs/>
          <w:rtl/>
          <w:lang w:bidi="ar-EG"/>
        </w:rPr>
      </w:pPr>
      <w:r>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قسم / </w:t>
      </w:r>
      <w:r w:rsidR="006676ED" w:rsidRPr="00F65DF5">
        <w:rPr>
          <w:rFonts w:ascii="Simplified Arabic" w:hAnsi="Simplified Arabic" w:cs="Simplified Arabic" w:hint="cs"/>
          <w:b/>
          <w:bCs/>
          <w:rtl/>
          <w:lang w:bidi="ar-EG"/>
        </w:rPr>
        <w:t>إدارة اعمال</w:t>
      </w:r>
    </w:p>
    <w:p w14:paraId="2B059601" w14:textId="1656B89E" w:rsidR="003E484C" w:rsidRPr="003E484C" w:rsidRDefault="003E484C" w:rsidP="00C0639D">
      <w:pPr>
        <w:bidi/>
        <w:rPr>
          <w:rFonts w:ascii="Simplified Arabic" w:hAnsi="Simplified Arabic" w:cs="Simplified Arabic"/>
          <w:b/>
          <w:bCs/>
          <w:rtl/>
          <w:lang w:bidi="ar-EG"/>
        </w:rPr>
      </w:pPr>
      <w:r w:rsidRPr="003E484C">
        <w:rPr>
          <w:rFonts w:ascii="Simplified Arabic" w:hAnsi="Simplified Arabic" w:cs="Simplified Arabic"/>
          <w:b/>
          <w:bCs/>
          <w:rtl/>
          <w:lang w:bidi="ar-EG"/>
        </w:rPr>
        <w:t>ماجيستير إدارة أعمال</w:t>
      </w:r>
    </w:p>
    <w:p w14:paraId="11A91486" w14:textId="77777777" w:rsidR="009125CE" w:rsidRPr="005B48F9" w:rsidRDefault="009125CE" w:rsidP="00C0639D">
      <w:pPr>
        <w:bidi/>
        <w:rPr>
          <w:rFonts w:ascii="Simplified Arabic" w:hAnsi="Simplified Arabic" w:cs="Simplified Arabic"/>
          <w:sz w:val="28"/>
          <w:szCs w:val="28"/>
          <w:rtl/>
          <w:lang w:bidi="ar-EG"/>
        </w:rPr>
      </w:pPr>
    </w:p>
    <w:p w14:paraId="5F6542BF" w14:textId="09ED37BF" w:rsidR="009125CE" w:rsidRDefault="009125CE" w:rsidP="00C0639D">
      <w:pPr>
        <w:bidi/>
        <w:rPr>
          <w:rFonts w:ascii="Simplified Arabic" w:hAnsi="Simplified Arabic" w:cs="Simplified Arabic"/>
          <w:sz w:val="28"/>
          <w:szCs w:val="28"/>
          <w:rtl/>
          <w:lang w:bidi="ar-EG"/>
        </w:rPr>
      </w:pPr>
    </w:p>
    <w:p w14:paraId="6C8041F2" w14:textId="77777777" w:rsidR="00946860" w:rsidRPr="005B48F9" w:rsidRDefault="00946860" w:rsidP="00C0639D">
      <w:pPr>
        <w:bidi/>
        <w:rPr>
          <w:rFonts w:ascii="Simplified Arabic" w:hAnsi="Simplified Arabic" w:cs="Simplified Arabic"/>
          <w:sz w:val="28"/>
          <w:szCs w:val="28"/>
          <w:rtl/>
          <w:lang w:bidi="ar-EG"/>
        </w:rPr>
      </w:pPr>
    </w:p>
    <w:p w14:paraId="26E6327A" w14:textId="77777777" w:rsidR="00946860" w:rsidRPr="005B48F9" w:rsidRDefault="00946860" w:rsidP="00C0639D">
      <w:pPr>
        <w:bidi/>
        <w:rPr>
          <w:rFonts w:ascii="Simplified Arabic" w:hAnsi="Simplified Arabic" w:cs="Simplified Arabic"/>
          <w:b/>
          <w:bCs/>
          <w:sz w:val="28"/>
          <w:szCs w:val="28"/>
          <w:rtl/>
          <w:lang w:bidi="ar-EG"/>
        </w:rPr>
      </w:pPr>
    </w:p>
    <w:p w14:paraId="76C5E4EB" w14:textId="18966E65" w:rsidR="003E484C" w:rsidRPr="003E484C" w:rsidRDefault="003E484C" w:rsidP="00C0639D">
      <w:pPr>
        <w:bidi/>
        <w:jc w:val="center"/>
        <w:rPr>
          <w:rFonts w:ascii="Simplified Arabic" w:hAnsi="Simplified Arabic" w:cs="Simplified Arabic"/>
          <w:b/>
          <w:bCs/>
          <w:sz w:val="40"/>
          <w:szCs w:val="40"/>
          <w:rtl/>
          <w:lang w:bidi="ar-EG"/>
        </w:rPr>
      </w:pPr>
      <w:r w:rsidRPr="003E484C">
        <w:rPr>
          <w:rFonts w:ascii="Simplified Arabic" w:hAnsi="Simplified Arabic" w:cs="Simplified Arabic"/>
          <w:b/>
          <w:bCs/>
          <w:sz w:val="40"/>
          <w:szCs w:val="40"/>
          <w:rtl/>
          <w:lang w:bidi="ar-EG"/>
        </w:rPr>
        <w:t>تأثير رؤية 2030 على الشركات الناشئة في المملكة العربية السعودية في الفترة من 2016م وحتى 2022م</w:t>
      </w:r>
    </w:p>
    <w:p w14:paraId="0D971D93" w14:textId="40F7715A" w:rsidR="003E484C" w:rsidRDefault="003E484C" w:rsidP="00C0639D">
      <w:pPr>
        <w:bidi/>
        <w:jc w:val="center"/>
        <w:rPr>
          <w:rFonts w:ascii="Simplified Arabic" w:hAnsi="Simplified Arabic" w:cs="Simplified Arabic"/>
          <w:b/>
          <w:bCs/>
          <w:sz w:val="40"/>
          <w:szCs w:val="40"/>
          <w:rtl/>
          <w:lang w:bidi="ar-EG"/>
        </w:rPr>
      </w:pPr>
      <w:r w:rsidRPr="003E484C">
        <w:rPr>
          <w:rFonts w:ascii="Simplified Arabic" w:hAnsi="Simplified Arabic" w:cs="Simplified Arabic"/>
          <w:b/>
          <w:bCs/>
          <w:sz w:val="40"/>
          <w:szCs w:val="40"/>
          <w:rtl/>
          <w:lang w:bidi="ar-EG"/>
        </w:rPr>
        <w:t>(دراسة تحليلية نظرية)</w:t>
      </w:r>
    </w:p>
    <w:p w14:paraId="15C28831" w14:textId="77777777" w:rsidR="009125CE" w:rsidRPr="005B48F9" w:rsidRDefault="009125CE" w:rsidP="00C0639D">
      <w:pPr>
        <w:bidi/>
        <w:jc w:val="center"/>
        <w:rPr>
          <w:rFonts w:ascii="Simplified Arabic" w:hAnsi="Simplified Arabic" w:cs="Simplified Arabic"/>
          <w:sz w:val="28"/>
          <w:szCs w:val="28"/>
          <w:rtl/>
          <w:lang w:bidi="ar-EG"/>
        </w:rPr>
      </w:pPr>
    </w:p>
    <w:p w14:paraId="1AA4343F" w14:textId="77777777" w:rsidR="009125CE" w:rsidRPr="005B48F9" w:rsidRDefault="009125CE" w:rsidP="00C0639D">
      <w:pPr>
        <w:bidi/>
        <w:jc w:val="center"/>
        <w:rPr>
          <w:rFonts w:ascii="Simplified Arabic" w:hAnsi="Simplified Arabic" w:cs="Simplified Arabic"/>
          <w:sz w:val="28"/>
          <w:szCs w:val="28"/>
          <w:rtl/>
          <w:lang w:bidi="ar-EG"/>
        </w:rPr>
      </w:pPr>
    </w:p>
    <w:p w14:paraId="0EB57E30" w14:textId="77777777" w:rsidR="009125CE" w:rsidRPr="005B48F9" w:rsidRDefault="009125CE" w:rsidP="00C0639D">
      <w:pPr>
        <w:bidi/>
        <w:rPr>
          <w:rFonts w:ascii="Simplified Arabic" w:hAnsi="Simplified Arabic" w:cs="Simplified Arabic"/>
          <w:b/>
          <w:bCs/>
          <w:sz w:val="28"/>
          <w:szCs w:val="28"/>
          <w:rtl/>
          <w:lang w:bidi="ar-EG"/>
        </w:rPr>
      </w:pPr>
    </w:p>
    <w:p w14:paraId="6AFD4045" w14:textId="75C0F3D4" w:rsidR="003E484C" w:rsidRDefault="006676ED" w:rsidP="00C0639D">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 xml:space="preserve">إعداد الطالب/ </w:t>
      </w:r>
      <w:r w:rsidR="003E484C" w:rsidRPr="003E484C">
        <w:rPr>
          <w:rFonts w:ascii="Simplified Arabic" w:hAnsi="Simplified Arabic" w:cs="Simplified Arabic"/>
          <w:b/>
          <w:bCs/>
          <w:sz w:val="32"/>
          <w:szCs w:val="32"/>
          <w:rtl/>
          <w:lang w:bidi="ar-EG"/>
        </w:rPr>
        <w:t>خالد صالح محمد  دماج</w:t>
      </w:r>
    </w:p>
    <w:p w14:paraId="3D3CBDF8" w14:textId="07E3B8B2" w:rsidR="009125CE" w:rsidRPr="005B48F9" w:rsidRDefault="003E484C" w:rsidP="00C0639D">
      <w:pPr>
        <w:bidi/>
        <w:jc w:val="center"/>
        <w:rPr>
          <w:rFonts w:ascii="Simplified Arabic" w:hAnsi="Simplified Arabic" w:cs="Simplified Arabic"/>
          <w:b/>
          <w:bCs/>
          <w:sz w:val="28"/>
          <w:szCs w:val="28"/>
          <w:rtl/>
          <w:lang w:bidi="ar-EG"/>
        </w:rPr>
      </w:pPr>
      <w:r w:rsidRPr="003E484C">
        <w:rPr>
          <w:rFonts w:ascii="Simplified Arabic" w:hAnsi="Simplified Arabic" w:cs="Simplified Arabic"/>
          <w:b/>
          <w:bCs/>
          <w:sz w:val="32"/>
          <w:szCs w:val="32"/>
          <w:rtl/>
          <w:lang w:bidi="ar-EG"/>
        </w:rPr>
        <w:t>الرقم الأكاديمي: 243000657</w:t>
      </w:r>
    </w:p>
    <w:p w14:paraId="58D6152F" w14:textId="77777777" w:rsidR="009125CE" w:rsidRPr="005B48F9" w:rsidRDefault="009125CE" w:rsidP="00C0639D">
      <w:pPr>
        <w:bidi/>
        <w:jc w:val="center"/>
        <w:rPr>
          <w:rFonts w:ascii="Simplified Arabic" w:hAnsi="Simplified Arabic" w:cs="Simplified Arabic"/>
          <w:b/>
          <w:bCs/>
          <w:sz w:val="28"/>
          <w:szCs w:val="28"/>
          <w:rtl/>
          <w:lang w:bidi="ar-EG"/>
        </w:rPr>
      </w:pPr>
    </w:p>
    <w:p w14:paraId="5F4EE2DE" w14:textId="1A92484F" w:rsidR="009125CE" w:rsidRPr="00F65DF5" w:rsidRDefault="009125CE" w:rsidP="00C0639D">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16CF2D6A" w14:textId="1B7FD47D" w:rsidR="009125CE" w:rsidRPr="005B48F9" w:rsidRDefault="003E484C" w:rsidP="00C0639D">
      <w:pPr>
        <w:bidi/>
        <w:rPr>
          <w:rFonts w:ascii="Simplified Arabic" w:hAnsi="Simplified Arabic" w:cs="Simplified Arabic"/>
          <w:b/>
          <w:bCs/>
          <w:sz w:val="28"/>
          <w:szCs w:val="28"/>
          <w:rtl/>
          <w:lang w:bidi="ar-EG"/>
        </w:rPr>
      </w:pPr>
      <w:r w:rsidRPr="003E484C">
        <w:rPr>
          <w:rFonts w:ascii="Simplified Arabic" w:hAnsi="Simplified Arabic" w:cs="Simplified Arabic"/>
          <w:b/>
          <w:bCs/>
          <w:sz w:val="32"/>
          <w:szCs w:val="32"/>
          <w:rtl/>
          <w:lang w:bidi="ar-EG"/>
        </w:rPr>
        <w:t xml:space="preserve">الدكتور/ الفيصل عبد الحميد              </w:t>
      </w:r>
      <w:r w:rsidR="006B22B5">
        <w:rPr>
          <w:rFonts w:ascii="Simplified Arabic" w:hAnsi="Simplified Arabic" w:cs="Simplified Arabic"/>
          <w:b/>
          <w:bCs/>
          <w:sz w:val="32"/>
          <w:szCs w:val="32"/>
          <w:rtl/>
          <w:lang w:bidi="ar-EG"/>
        </w:rPr>
        <w:tab/>
      </w:r>
      <w:r w:rsidR="006B22B5">
        <w:rPr>
          <w:rFonts w:ascii="Simplified Arabic" w:hAnsi="Simplified Arabic" w:cs="Simplified Arabic"/>
          <w:b/>
          <w:bCs/>
          <w:sz w:val="32"/>
          <w:szCs w:val="32"/>
          <w:rtl/>
          <w:lang w:bidi="ar-EG"/>
        </w:rPr>
        <w:tab/>
      </w:r>
      <w:r w:rsidRPr="003E484C">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 xml:space="preserve">   </w:t>
      </w:r>
      <w:r w:rsidRPr="003E484C">
        <w:rPr>
          <w:rFonts w:ascii="Simplified Arabic" w:hAnsi="Simplified Arabic" w:cs="Simplified Arabic"/>
          <w:b/>
          <w:bCs/>
          <w:sz w:val="32"/>
          <w:szCs w:val="32"/>
          <w:rtl/>
          <w:lang w:bidi="ar-EG"/>
        </w:rPr>
        <w:t xml:space="preserve">    الدكتور/ فايز علي جراد</w:t>
      </w:r>
    </w:p>
    <w:p w14:paraId="22738CC6" w14:textId="77777777" w:rsidR="009125CE" w:rsidRPr="005B48F9" w:rsidRDefault="009125CE" w:rsidP="00C0639D">
      <w:pPr>
        <w:bidi/>
        <w:jc w:val="center"/>
        <w:rPr>
          <w:rFonts w:ascii="Simplified Arabic" w:hAnsi="Simplified Arabic" w:cs="Simplified Arabic"/>
          <w:b/>
          <w:bCs/>
          <w:sz w:val="28"/>
          <w:szCs w:val="28"/>
          <w:rtl/>
          <w:lang w:bidi="ar-EG"/>
        </w:rPr>
      </w:pPr>
    </w:p>
    <w:p w14:paraId="14480418" w14:textId="327C860C" w:rsidR="009125CE" w:rsidRPr="005B48F9" w:rsidRDefault="009125CE" w:rsidP="00C0639D">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r w:rsidR="003E484C">
        <w:rPr>
          <w:rFonts w:ascii="Simplified Arabic" w:hAnsi="Simplified Arabic" w:cs="Simplified Arabic" w:hint="cs"/>
          <w:b/>
          <w:bCs/>
          <w:sz w:val="28"/>
          <w:szCs w:val="28"/>
          <w:rtl/>
          <w:lang w:bidi="ar-EG"/>
        </w:rPr>
        <w:t xml:space="preserve"> الثاني</w:t>
      </w:r>
      <w:r w:rsidRPr="005B48F9">
        <w:rPr>
          <w:rFonts w:ascii="Simplified Arabic" w:hAnsi="Simplified Arabic" w:cs="Simplified Arabic" w:hint="cs"/>
          <w:b/>
          <w:bCs/>
          <w:sz w:val="28"/>
          <w:szCs w:val="28"/>
          <w:rtl/>
          <w:lang w:bidi="ar-EG"/>
        </w:rPr>
        <w:t>:</w:t>
      </w:r>
    </w:p>
    <w:p w14:paraId="0ECF42F7" w14:textId="67F3645B" w:rsidR="009125CE" w:rsidRPr="005B48F9" w:rsidRDefault="006676ED" w:rsidP="00C0639D">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r w:rsidR="003E484C">
        <w:rPr>
          <w:rFonts w:ascii="Simplified Arabic" w:hAnsi="Simplified Arabic" w:cs="Simplified Arabic" w:hint="cs"/>
          <w:b/>
          <w:bCs/>
          <w:sz w:val="28"/>
          <w:szCs w:val="28"/>
          <w:rtl/>
          <w:lang w:bidi="ar-EG"/>
        </w:rPr>
        <w:t>م / ١٤٤٧هـ</w:t>
      </w:r>
    </w:p>
    <w:p w14:paraId="5DBA947E" w14:textId="77777777" w:rsidR="009125CE" w:rsidRPr="001902DB" w:rsidRDefault="009125CE" w:rsidP="00C0639D">
      <w:pPr>
        <w:bidi/>
        <w:jc w:val="center"/>
        <w:rPr>
          <w:rFonts w:ascii="Sakkal Majalla" w:hAnsi="Sakkal Majalla" w:cs="Sakkal Majalla"/>
          <w:b/>
          <w:bCs/>
          <w:sz w:val="28"/>
          <w:szCs w:val="28"/>
          <w:rtl/>
          <w:lang w:bidi="ar-EG"/>
        </w:rPr>
      </w:pPr>
    </w:p>
    <w:p w14:paraId="481EDDBB" w14:textId="66D5CAAE" w:rsidR="003E484C" w:rsidRDefault="003E484C" w:rsidP="00C0639D">
      <w:pPr>
        <w:bidi/>
        <w:rPr>
          <w:rtl/>
        </w:rPr>
        <w:sectPr w:rsidR="003E484C"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C0639D">
      <w:pPr>
        <w:bidi/>
        <w:rPr>
          <w:rFonts w:ascii="Sakkal Majalla" w:hAnsi="Sakkal Majalla" w:cs="Sakkal Majalla"/>
          <w:sz w:val="28"/>
          <w:szCs w:val="28"/>
          <w:u w:val="single"/>
        </w:rPr>
      </w:pPr>
    </w:p>
    <w:p w14:paraId="6F674B47" w14:textId="77777777" w:rsidR="009125CE" w:rsidRDefault="009125CE" w:rsidP="00C0639D">
      <w:pPr>
        <w:bidi/>
        <w:rPr>
          <w:rFonts w:ascii="Sakkal Majalla" w:hAnsi="Sakkal Majalla" w:cs="Sakkal Majalla"/>
          <w:sz w:val="28"/>
          <w:szCs w:val="28"/>
          <w:u w:val="single"/>
        </w:rPr>
      </w:pPr>
    </w:p>
    <w:p w14:paraId="20667126" w14:textId="77777777" w:rsidR="009125CE" w:rsidRDefault="009125CE" w:rsidP="00C0639D">
      <w:pPr>
        <w:bidi/>
        <w:rPr>
          <w:rFonts w:ascii="Sakkal Majalla" w:hAnsi="Sakkal Majalla" w:cs="Sakkal Majalla"/>
          <w:sz w:val="28"/>
          <w:szCs w:val="28"/>
          <w:u w:val="single"/>
        </w:rPr>
      </w:pPr>
    </w:p>
    <w:p w14:paraId="0D609D2B" w14:textId="77777777" w:rsidR="009125CE" w:rsidRDefault="009125CE" w:rsidP="00C0639D">
      <w:pPr>
        <w:bidi/>
        <w:rPr>
          <w:rFonts w:ascii="Sakkal Majalla" w:hAnsi="Sakkal Majalla" w:cs="Sakkal Majalla"/>
          <w:sz w:val="28"/>
          <w:szCs w:val="28"/>
          <w:u w:val="single"/>
        </w:rPr>
      </w:pPr>
    </w:p>
    <w:p w14:paraId="3F13B498" w14:textId="77777777" w:rsidR="009125CE" w:rsidRDefault="009125CE" w:rsidP="00C0639D">
      <w:pPr>
        <w:bidi/>
        <w:rPr>
          <w:rFonts w:ascii="Sakkal Majalla" w:hAnsi="Sakkal Majalla" w:cs="Sakkal Majalla"/>
          <w:sz w:val="28"/>
          <w:szCs w:val="28"/>
          <w:u w:val="single"/>
        </w:rPr>
      </w:pPr>
    </w:p>
    <w:p w14:paraId="5D7C7DC3" w14:textId="0BF17F47" w:rsidR="00946860" w:rsidRDefault="00946860" w:rsidP="00C0639D">
      <w:pPr>
        <w:bidi/>
        <w:rPr>
          <w:rFonts w:ascii="Sakkal Majalla" w:hAnsi="Sakkal Majalla" w:cs="Sakkal Majalla"/>
          <w:b/>
          <w:bCs/>
          <w:sz w:val="48"/>
          <w:szCs w:val="48"/>
          <w:u w:val="single"/>
          <w:rtl/>
        </w:rPr>
      </w:pPr>
    </w:p>
    <w:p w14:paraId="4AAC8DAD" w14:textId="77777777" w:rsidR="00946860" w:rsidRDefault="00946860" w:rsidP="00C0639D">
      <w:pPr>
        <w:bidi/>
        <w:rPr>
          <w:rFonts w:ascii="Sakkal Majalla" w:hAnsi="Sakkal Majalla" w:cs="Sakkal Majalla"/>
          <w:b/>
          <w:bCs/>
          <w:sz w:val="48"/>
          <w:szCs w:val="48"/>
          <w:u w:val="single"/>
          <w:rtl/>
        </w:rPr>
      </w:pPr>
    </w:p>
    <w:p w14:paraId="5661B1A5" w14:textId="77777777" w:rsidR="006D0D86" w:rsidRDefault="006D0D86" w:rsidP="00C0639D">
      <w:pPr>
        <w:bidi/>
        <w:jc w:val="center"/>
        <w:rPr>
          <w:rFonts w:ascii="Sakkal Majalla" w:hAnsi="Sakkal Majalla" w:cs="Sakkal Majalla"/>
          <w:b/>
          <w:bCs/>
          <w:sz w:val="48"/>
          <w:szCs w:val="48"/>
          <w:u w:val="single"/>
          <w:rtl/>
        </w:rPr>
      </w:pPr>
    </w:p>
    <w:p w14:paraId="700D5866" w14:textId="272B91E9" w:rsidR="009125CE" w:rsidRPr="006D0D86" w:rsidRDefault="009125CE" w:rsidP="00C0639D">
      <w:pPr>
        <w:pStyle w:val="Heading1"/>
        <w:bidi/>
        <w:rPr>
          <w:rtl/>
        </w:rPr>
      </w:pPr>
      <w:bookmarkStart w:id="0" w:name="_Toc203236983"/>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C0639D">
      <w:pPr>
        <w:bidi/>
        <w:rPr>
          <w:rFonts w:ascii="Sakkal Majalla" w:hAnsi="Sakkal Majalla" w:cs="Sakkal Majalla"/>
          <w:sz w:val="28"/>
          <w:szCs w:val="28"/>
          <w:u w:val="single"/>
          <w:rtl/>
        </w:rPr>
      </w:pPr>
    </w:p>
    <w:p w14:paraId="2EA6585C" w14:textId="77777777" w:rsidR="009125CE" w:rsidRDefault="009125CE" w:rsidP="00C0639D">
      <w:pPr>
        <w:bidi/>
        <w:rPr>
          <w:rFonts w:ascii="Sakkal Majalla" w:hAnsi="Sakkal Majalla" w:cs="Sakkal Majalla"/>
          <w:sz w:val="28"/>
          <w:szCs w:val="28"/>
          <w:u w:val="single"/>
          <w:rtl/>
        </w:rPr>
      </w:pPr>
    </w:p>
    <w:p w14:paraId="7F3B8E80" w14:textId="77777777" w:rsidR="009125CE" w:rsidRDefault="009125CE" w:rsidP="00C0639D">
      <w:pPr>
        <w:bidi/>
        <w:rPr>
          <w:rFonts w:ascii="Sakkal Majalla" w:hAnsi="Sakkal Majalla" w:cs="Sakkal Majalla"/>
          <w:sz w:val="28"/>
          <w:szCs w:val="28"/>
          <w:u w:val="single"/>
          <w:rtl/>
        </w:rPr>
      </w:pPr>
    </w:p>
    <w:p w14:paraId="0BA12696" w14:textId="77777777" w:rsidR="009125CE" w:rsidRDefault="009125CE" w:rsidP="00C0639D">
      <w:pPr>
        <w:bidi/>
        <w:rPr>
          <w:rFonts w:ascii="Sakkal Majalla" w:hAnsi="Sakkal Majalla" w:cs="Sakkal Majalla"/>
          <w:sz w:val="28"/>
          <w:szCs w:val="28"/>
          <w:u w:val="single"/>
          <w:rtl/>
        </w:rPr>
      </w:pPr>
    </w:p>
    <w:p w14:paraId="26F6AB57" w14:textId="77777777" w:rsidR="009125CE" w:rsidRDefault="009125CE" w:rsidP="00C0639D">
      <w:pPr>
        <w:bidi/>
        <w:rPr>
          <w:rFonts w:ascii="Sakkal Majalla" w:hAnsi="Sakkal Majalla" w:cs="Sakkal Majalla"/>
          <w:sz w:val="28"/>
          <w:szCs w:val="28"/>
          <w:u w:val="single"/>
          <w:rtl/>
        </w:rPr>
      </w:pPr>
    </w:p>
    <w:p w14:paraId="137908B8" w14:textId="77777777" w:rsidR="009125CE" w:rsidRDefault="009125CE" w:rsidP="00C0639D">
      <w:pPr>
        <w:bidi/>
        <w:rPr>
          <w:rFonts w:ascii="Sakkal Majalla" w:hAnsi="Sakkal Majalla" w:cs="Sakkal Majalla"/>
          <w:sz w:val="28"/>
          <w:szCs w:val="28"/>
          <w:u w:val="single"/>
          <w:rtl/>
        </w:rPr>
      </w:pPr>
    </w:p>
    <w:p w14:paraId="11EDDBDE" w14:textId="77777777" w:rsidR="009125CE" w:rsidRDefault="009125CE" w:rsidP="00C0639D">
      <w:pPr>
        <w:bidi/>
        <w:rPr>
          <w:rFonts w:ascii="Sakkal Majalla" w:hAnsi="Sakkal Majalla" w:cs="Sakkal Majalla"/>
          <w:sz w:val="28"/>
          <w:szCs w:val="28"/>
          <w:u w:val="single"/>
          <w:rtl/>
        </w:rPr>
      </w:pPr>
    </w:p>
    <w:p w14:paraId="614C8510" w14:textId="77777777" w:rsidR="009125CE" w:rsidRDefault="009125CE" w:rsidP="00C0639D">
      <w:pPr>
        <w:bidi/>
        <w:rPr>
          <w:rFonts w:ascii="Sakkal Majalla" w:hAnsi="Sakkal Majalla" w:cs="Sakkal Majalla"/>
          <w:sz w:val="28"/>
          <w:szCs w:val="28"/>
          <w:u w:val="single"/>
          <w:rtl/>
        </w:rPr>
      </w:pPr>
    </w:p>
    <w:p w14:paraId="530F942A" w14:textId="77777777" w:rsidR="009125CE" w:rsidRDefault="009125CE" w:rsidP="00C0639D">
      <w:pPr>
        <w:bidi/>
        <w:rPr>
          <w:rFonts w:ascii="Sakkal Majalla" w:hAnsi="Sakkal Majalla" w:cs="Sakkal Majalla"/>
          <w:sz w:val="28"/>
          <w:szCs w:val="28"/>
          <w:u w:val="single"/>
          <w:rtl/>
        </w:rPr>
      </w:pPr>
    </w:p>
    <w:p w14:paraId="6D55667E" w14:textId="77777777" w:rsidR="009125CE" w:rsidRDefault="009125CE" w:rsidP="00C0639D">
      <w:pPr>
        <w:bidi/>
        <w:rPr>
          <w:rFonts w:ascii="Sakkal Majalla" w:hAnsi="Sakkal Majalla" w:cs="Sakkal Majalla"/>
          <w:sz w:val="28"/>
          <w:szCs w:val="28"/>
          <w:u w:val="single"/>
          <w:rtl/>
        </w:rPr>
      </w:pPr>
    </w:p>
    <w:p w14:paraId="2B944917" w14:textId="77777777" w:rsidR="009125CE" w:rsidRDefault="009125CE" w:rsidP="00C0639D">
      <w:pPr>
        <w:bidi/>
        <w:rPr>
          <w:rFonts w:ascii="Sakkal Majalla" w:hAnsi="Sakkal Majalla" w:cs="Sakkal Majalla"/>
          <w:sz w:val="28"/>
          <w:szCs w:val="28"/>
          <w:u w:val="single"/>
          <w:rtl/>
        </w:rPr>
      </w:pPr>
    </w:p>
    <w:p w14:paraId="03806C64" w14:textId="77777777" w:rsidR="009125CE" w:rsidRDefault="009125CE" w:rsidP="00C0639D">
      <w:pPr>
        <w:bidi/>
        <w:rPr>
          <w:rFonts w:ascii="Sakkal Majalla" w:hAnsi="Sakkal Majalla" w:cs="Sakkal Majalla"/>
          <w:sz w:val="28"/>
          <w:szCs w:val="28"/>
          <w:u w:val="single"/>
          <w:rtl/>
        </w:rPr>
      </w:pPr>
    </w:p>
    <w:p w14:paraId="32CDDAA2" w14:textId="77777777" w:rsidR="009125CE" w:rsidRDefault="009125CE" w:rsidP="00C0639D">
      <w:pPr>
        <w:bidi/>
        <w:rPr>
          <w:rFonts w:ascii="Sakkal Majalla" w:hAnsi="Sakkal Majalla" w:cs="Sakkal Majalla"/>
          <w:sz w:val="28"/>
          <w:szCs w:val="28"/>
          <w:u w:val="single"/>
          <w:rtl/>
        </w:rPr>
      </w:pPr>
    </w:p>
    <w:p w14:paraId="7983D52F" w14:textId="77777777" w:rsidR="009125CE" w:rsidRDefault="009125CE" w:rsidP="00C0639D">
      <w:pPr>
        <w:bidi/>
        <w:rPr>
          <w:rFonts w:ascii="Sakkal Majalla" w:hAnsi="Sakkal Majalla" w:cs="Sakkal Majalla"/>
          <w:sz w:val="28"/>
          <w:szCs w:val="28"/>
          <w:u w:val="single"/>
          <w:rtl/>
        </w:rPr>
      </w:pPr>
    </w:p>
    <w:p w14:paraId="23B82BBD" w14:textId="39BBE516" w:rsidR="005B48F9" w:rsidRDefault="005B48F9" w:rsidP="00C0639D">
      <w:pPr>
        <w:bidi/>
        <w:rPr>
          <w:rFonts w:ascii="Simplified Arabic" w:hAnsi="Simplified Arabic" w:cs="Simplified Arabic"/>
          <w:b/>
          <w:bCs/>
          <w:sz w:val="36"/>
          <w:szCs w:val="36"/>
          <w:rtl/>
        </w:rPr>
      </w:pPr>
    </w:p>
    <w:p w14:paraId="713D9FBB" w14:textId="77777777" w:rsidR="00946860" w:rsidRDefault="00946860" w:rsidP="00C0639D">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C0639D">
      <w:pPr>
        <w:pStyle w:val="Heading2"/>
        <w:bidi/>
        <w:rPr>
          <w:rtl/>
        </w:rPr>
      </w:pPr>
      <w:bookmarkStart w:id="1" w:name="_Toc203236984"/>
      <w:r w:rsidRPr="006D0D86">
        <w:rPr>
          <w:rFonts w:hint="cs"/>
          <w:rtl/>
        </w:rPr>
        <w:t>المقدمة:</w:t>
      </w:r>
      <w:bookmarkEnd w:id="1"/>
    </w:p>
    <w:p w14:paraId="4F8F1063" w14:textId="13098FBA" w:rsidR="006B22B5" w:rsidRPr="006B22B5" w:rsidRDefault="006B22B5" w:rsidP="00C0639D">
      <w:pPr>
        <w:pStyle w:val="NoSpacing"/>
        <w:bidi/>
        <w:rPr>
          <w:rtl/>
        </w:rPr>
      </w:pPr>
      <w:r>
        <w:rPr>
          <w:rtl/>
        </w:rPr>
        <w:t>ف</w:t>
      </w:r>
      <w:r w:rsidRPr="006B22B5">
        <w:rPr>
          <w:rtl/>
        </w:rPr>
        <w:t>ي ظل التحولات الاقتصادية والاجتماعية المتسارعة التي يشهدها العالم اليوم، أصبحت الإدارة الحديثة للأعمال حجر الأساس في بناء المنظمات القادرة على البقاء والمنافسة في بيئة تتسم بالديناميكية والتعقيد فالإدارة لم تعد تقتصر على العمليات التشغيلية التقليدية، بل تطورت لتشمل رؤى استراتيجية تتعامل مع الابتكار، والتحول الرقمي، والاستدامة، وتكامل الموارد البشرية والمادية والمعرفية في سبيل تحقيق أهداف المؤسسة ولم تعد النجاحات المؤسسية تُقاس فقط بالأرباح، بل بقدرة المنظمة على التكيف، وصناعة الفارق، وخلق ميزة تنافسية مستدامة وتلعب المعرفة، في هذا السياق، دورًا جوهريًا يتجاوز مجرد امتلاك المعلومة إلى كيفية توليدها، وتنظيمها، وتطبيقها لصالح العمل المؤسسي</w:t>
      </w:r>
      <w:r w:rsidRPr="006B22B5">
        <w:t>.</w:t>
      </w:r>
      <w:r w:rsidR="00A85B29">
        <w:rPr>
          <w:rFonts w:hint="cs"/>
          <w:rtl/>
        </w:rPr>
        <w:t xml:space="preserve"> </w:t>
      </w:r>
      <w:r w:rsidR="00A85B29" w:rsidRPr="00A85B29">
        <w:rPr>
          <w:rtl/>
        </w:rPr>
        <w:t>(سلامة، 2020)</w:t>
      </w:r>
    </w:p>
    <w:p w14:paraId="1515E1FF" w14:textId="421B3C78" w:rsidR="006B22B5" w:rsidRPr="006B22B5" w:rsidRDefault="006B22B5" w:rsidP="00C0639D">
      <w:pPr>
        <w:pStyle w:val="NoSpacing"/>
        <w:bidi/>
        <w:rPr>
          <w:rtl/>
        </w:rPr>
      </w:pPr>
      <w:r w:rsidRPr="006B22B5">
        <w:rPr>
          <w:rtl/>
        </w:rPr>
        <w:t>لقد دخلت المملكة العربية السعودية مرحلة جديدة من التنمية الوطنية الطموحة مع إعلان رؤية 2030، والتي تُعد خارطة طريق استراتيجية لإعادة تشكيل الاقتصاد والمجتمع نحو التنوع والابتكار والاستدامة ومن هذا المنطلق، أخذت الدولة على عاتقها تحفيز بيئة ريادة الأعمال وتشجيع تأسيس الشركات الناشئة باعتبارها من أهم الأدوات لبناء اقتصاد معرفي يواكب التغيرات العالمية وفي هذا الإطار، تم تقديم العديد من المبادرات لدعم الابتكار، وتوفير البنية التحتية الرقمية، وتسهيل الإجراءات التنظيمية، وتحفيز الشباب نحو إنشاء مشاريعهم الخاصة ومن المهم هنا أن ندرس كيف أثرت هذه الرؤية في واقع الشركات الناشئة، وما إذا كانت قد ساهمت فعلًا في تعزيز فرصها في السوق المحلي والعالمي</w:t>
      </w:r>
      <w:r w:rsidRPr="006B22B5">
        <w:t>.</w:t>
      </w:r>
      <w:r w:rsidR="00A85B29" w:rsidRPr="00A85B29">
        <w:rPr>
          <w:rtl/>
        </w:rPr>
        <w:t xml:space="preserve"> (الجبهان، 2024)</w:t>
      </w:r>
    </w:p>
    <w:p w14:paraId="1FB393EB" w14:textId="0B3054AF" w:rsidR="006B22B5" w:rsidRPr="006B22B5" w:rsidRDefault="006B22B5" w:rsidP="00C0639D">
      <w:pPr>
        <w:pStyle w:val="NoSpacing"/>
        <w:bidi/>
        <w:rPr>
          <w:rtl/>
        </w:rPr>
      </w:pPr>
      <w:r w:rsidRPr="006B22B5">
        <w:rPr>
          <w:rtl/>
        </w:rPr>
        <w:t>تُعد الشركات الناشئة من المحركات الحيوية للاقتصاد الوطني، إذ تعتمد في جوهرها على الأفكار الريادية، والنماذج التجارية غير التقليدية، والتقنيات الحديثة في تقديم المنتجات والخدمات وهي تمثل ميدانًا خصبًا لتوليد فرص العمل، وتحقيق الابتكار، وتفعيل دور الشباب في عملية التنمية المستدامة ومع ظهور رؤية 2030، بات من الضروري دراسة كيف انعكس هذا المشروع الوطني الكبير على نمو هذا النوع من الشركات، سواء من حيث عددها، أو نجاحاتها، أو التحديات التي تواجهها كما أن دعم الحكومة لهذه الكيانات لا يقتصر على التمويل فقط، بل يشمل التمكين المعرفي، وإعادة تصميم السياسات التنظيمية، وتحفيز بيئة الأعمال بأكملها</w:t>
      </w:r>
      <w:r w:rsidRPr="006B22B5">
        <w:t>.</w:t>
      </w:r>
      <w:r w:rsidR="00A85B29">
        <w:rPr>
          <w:rFonts w:hint="cs"/>
          <w:rtl/>
        </w:rPr>
        <w:t xml:space="preserve"> </w:t>
      </w:r>
      <w:r w:rsidR="00A85B29" w:rsidRPr="00A85B29">
        <w:rPr>
          <w:rtl/>
        </w:rPr>
        <w:t>(الأكلبي، 2019)</w:t>
      </w:r>
    </w:p>
    <w:p w14:paraId="3C584932" w14:textId="3A4475D2" w:rsidR="006B22B5" w:rsidRDefault="006B22B5" w:rsidP="00C0639D">
      <w:pPr>
        <w:pStyle w:val="NoSpacing"/>
        <w:bidi/>
        <w:rPr>
          <w:rtl/>
        </w:rPr>
      </w:pPr>
      <w:r w:rsidRPr="006B22B5">
        <w:rPr>
          <w:rtl/>
        </w:rPr>
        <w:t>يتطلب فهم تأثير رؤية 2030 على الشركات الناشئة تحليلًا دقيقًا لمجموعة من المتغيرات التي تتداخل في بناء بيئة ريادة الأعمال، ومن أبرزها: توفر مصادر التمويل، والبنية التحتية التقنية، والمرونة التشريعية، وسهولة الإجراءات، ومدى جاهزية الأفراد للمخاطرة والابتكار كما أن أثر هذه الرؤية لا يمكن قياسه فقط من خلال المؤشرات الكمية، بل أيضًا من خلال رصد الاتجاهات الفكرية والتنظيمية التي تبنتها هذه الشركات خلال فترة التحول ومن هنا، تأتي أهمية التحول من النظرة التنظيرية إلى التحليل التطبيقي الذي يعتمد على بيانات واقعية، وآراء مباشرة من رواد الأعمال أنفسهم، وهو ما يُشكّل الإضافة الحقيقية لهذه الدراسة</w:t>
      </w:r>
      <w:r w:rsidRPr="006B22B5">
        <w:t>.</w:t>
      </w:r>
      <w:r w:rsidR="00A85B29">
        <w:rPr>
          <w:rFonts w:hint="cs"/>
          <w:rtl/>
        </w:rPr>
        <w:t xml:space="preserve"> </w:t>
      </w:r>
      <w:r w:rsidR="00A85B29" w:rsidRPr="00A85B29">
        <w:rPr>
          <w:rtl/>
        </w:rPr>
        <w:t>(غويدي، 2019)</w:t>
      </w:r>
    </w:p>
    <w:p w14:paraId="43B64D30" w14:textId="7D05527C" w:rsidR="006B22B5" w:rsidRDefault="006B22B5" w:rsidP="00C0639D">
      <w:pPr>
        <w:pStyle w:val="NoSpacing"/>
        <w:bidi/>
        <w:rPr>
          <w:rtl/>
        </w:rPr>
      </w:pPr>
      <w:r>
        <w:rPr>
          <w:rtl/>
        </w:rPr>
        <w:t>من اللافت أن البيئة الاستثمارية في المملكة العربية السعودية شهدت تغيّرًا نوعيًا منذ انطلاق رؤية 2030، حيث تم اعتماد سياسات إصلاحية جذرية لتشجيع القطاع الخاص، وتسهيل ممارسة الأعمال، وتطوير الأنظمة المرتبطة بالتراخيص، والملكية، والتمويل، وسلاسة الإجراءات الحكومية هذا التحول لم يكن مجرد تعديل في اللوائح، بل جاء مدعومًا بإرادة سياسية واقتصادية جعلت من تمكين رواد الأعمال أحد المرتكزات الأساسية للتنمية فقد تأسست كيانات حكومية داعمة مثل "منشآت"، وأطلقت برامج تمويلية متعددة، وتم فتح الأسواق المحلية أمام منتجات الشركات الناشئة، بل وتوجيه بعض المشتريات الحكومية لدعم تلك الشركات لذلك، أصبح من المهم أن نتتبع كيف انعكست هذه المحفزات على نمو الشركات الناشئة وتحقيقها لميزة تنافسية واضحة في السوق السعودي</w:t>
      </w:r>
      <w:r>
        <w:t>.</w:t>
      </w:r>
      <w:r w:rsidR="00A85B29">
        <w:rPr>
          <w:rFonts w:hint="cs"/>
          <w:rtl/>
        </w:rPr>
        <w:t xml:space="preserve"> </w:t>
      </w:r>
      <w:r w:rsidR="00A85B29" w:rsidRPr="00A85B29">
        <w:rPr>
          <w:rtl/>
        </w:rPr>
        <w:t>(الحاجي، 2022)</w:t>
      </w:r>
    </w:p>
    <w:p w14:paraId="1D9599A2" w14:textId="28D3BDF5" w:rsidR="006B22B5" w:rsidRDefault="006B22B5" w:rsidP="00C0639D">
      <w:pPr>
        <w:pStyle w:val="NoSpacing"/>
        <w:bidi/>
        <w:rPr>
          <w:rtl/>
        </w:rPr>
      </w:pPr>
      <w:r>
        <w:rPr>
          <w:rtl/>
        </w:rPr>
        <w:t>في هذا السياق، تبرز إدارة المعرفة كواحدة من أهم الآليات التي يمكن أن توظفها الشركات الناشئة لتعزيز قدراتها التنافسية فهذه الشركات، بطبيعتها، لا تملك الموارد التي تمتلكها الكيانات الكبرى، لكنها تعتمد على المعرفة كمورد استراتيجي لتعويض نقص الموارد المادية والبشرية إدارة المعرفة لا تعني فقط امتلاك المعلومات، بل القدرة على توليدها من خلال الخبرة والممارسة، ثم تنظيمها وتخزينها، ومشاركتها، وأخيرًا تطبيقها بشكل فعّال في تطوير المنتجات، وتحسين الأداء، والاستجابة السريعة للتغيرات وبالتالي، فإن دراسة مدى قدرة الشركات الناشئة على استخدام إدارة المعرفة في ظل بيئة رؤية 2030، يمثل بُعدًا حيويًا لفهم علاقتها بالتنافسية</w:t>
      </w:r>
      <w:r>
        <w:t>.</w:t>
      </w:r>
      <w:r w:rsidR="00A85B29">
        <w:rPr>
          <w:rFonts w:hint="cs"/>
          <w:rtl/>
        </w:rPr>
        <w:t xml:space="preserve"> </w:t>
      </w:r>
      <w:r w:rsidR="00A85B29" w:rsidRPr="00A85B29">
        <w:rPr>
          <w:rtl/>
        </w:rPr>
        <w:t>(الجيوشي، 2021)</w:t>
      </w:r>
    </w:p>
    <w:p w14:paraId="4A729FA4" w14:textId="73725F75" w:rsidR="006B22B5" w:rsidRDefault="006B22B5" w:rsidP="00C0639D">
      <w:pPr>
        <w:pStyle w:val="NoSpacing"/>
        <w:bidi/>
        <w:rPr>
          <w:rtl/>
        </w:rPr>
      </w:pPr>
      <w:r>
        <w:rPr>
          <w:rtl/>
        </w:rPr>
        <w:t>لقد أصبح واضحًا أن الشركات الناشئة التي تدمج مبادئ إدارة المعرفة في بنيتها الداخلية تحقق نتائج أفضل من نظيراتها التي تعتمد على التقليدية والقرارات العشوائية فالتنافسية اليوم لا تُبنى فقط على السعر أو الجودة، بل على سرعة الوصول إلى المعلومة الصحيحة، واتخاذ القرار السليم، وتحويل المعرفة الفردية إلى معرفة تنظيمية قابلة للاستثمار ومن هنا تنشأ علاقة تفاعلية بين إدارة المعرفة والتنافسية، حيث تُعد المعرفة أداة للابتكار والتطوير، فيما توفر التنافسية الدافع المستمر لتحسين إدارة هذه المعرفة وفي بيئة كالتي تخلقها رؤية 2030، يُتوقع أن تتضاعف أهمية هذه العلاقة، خاصة مع تسارع وتيرة التحول الرقمي وتوسع الاقتصاد القائم على المعرفة</w:t>
      </w:r>
      <w:r>
        <w:t>.</w:t>
      </w:r>
      <w:r w:rsidR="00A85B29">
        <w:rPr>
          <w:rFonts w:hint="cs"/>
          <w:rtl/>
        </w:rPr>
        <w:t xml:space="preserve"> </w:t>
      </w:r>
      <w:r w:rsidR="00A85B29" w:rsidRPr="00A85B29">
        <w:rPr>
          <w:rtl/>
        </w:rPr>
        <w:t>(الغبيري، 2019)</w:t>
      </w:r>
    </w:p>
    <w:p w14:paraId="7CAB8467" w14:textId="42A67E09" w:rsidR="006B22B5" w:rsidRDefault="006B22B5" w:rsidP="00C0639D">
      <w:pPr>
        <w:pStyle w:val="NoSpacing"/>
        <w:bidi/>
        <w:rPr>
          <w:rtl/>
        </w:rPr>
      </w:pPr>
      <w:r>
        <w:rPr>
          <w:rtl/>
        </w:rPr>
        <w:t>وتكتسب هذه الدراسة أهميتها من أنها لا تكتفي باستعراض التحولات التي أحدثتها رؤية 2030 على المستوى الكلي، بل تتوجه إلى دراسة التجربة الواقعية للشركات الناشئة في مدينة جدة، باعتبارها إحدى المدن الاقتصادية الكبرى في المملكة، والتي شهدت نموًا ملحوظًا في قطاع ريادة الأعمال ومن خلال استبيان ميداني يتم توجيهه لروّاد الأعمال وأصحاب الشركات الناشئة، تهدف الدراسة إلى استقصاء آرائهم حول ما إذا كانت رؤية 2030 قد دعمت أعمالهم فعليًا، وكيف استخدموا المعرفة لإدارة شركاتهم، وما أبرز التحديات التي واجهتهم إن هذه المقاربة الميدانية تمثل محاولة لفهم العلاقة بين السياسات العامة والأداء المؤسسي من منظور تطبيقي، يعكس الواقع بعيدًا عن التنظير المجرد.</w:t>
      </w:r>
      <w:r w:rsidR="00A85B29">
        <w:rPr>
          <w:rFonts w:hint="cs"/>
          <w:rtl/>
        </w:rPr>
        <w:t xml:space="preserve"> </w:t>
      </w:r>
      <w:r w:rsidR="00A85B29" w:rsidRPr="00A85B29">
        <w:rPr>
          <w:rtl/>
        </w:rPr>
        <w:t>(الغبيري، 2019)</w:t>
      </w:r>
    </w:p>
    <w:p w14:paraId="7945D333" w14:textId="3570810B" w:rsidR="001063F7" w:rsidRDefault="001063F7" w:rsidP="00C0639D">
      <w:pPr>
        <w:pStyle w:val="NoSpacing"/>
        <w:bidi/>
        <w:rPr>
          <w:rtl/>
        </w:rPr>
      </w:pPr>
      <w:r>
        <w:rPr>
          <w:rtl/>
        </w:rPr>
        <w:t>تشير المؤشرات المحلية والدولية إلى أن المملكة العربية السعودية باتت بيئة واعدة لاحتضان المشاريع الريادية، حيث ارتفع عدد الشركات الناشئة بنسبة كبيرة خلال السنوات الأخيرة، وتم تسجيل نمو لافت في حجم الاستثمارات الجريئة، وعدد حاضنات الأعمال، ومساحات العمل المشتركة، والمسرعات الحكومية والخاصة غير أن هذا النمو الكمي لا يكفي وحده لقياس النجاح، بل من الضروري التوقف عند البعد النوعي: هل أصبحت هذه الشركات قادرة على الاستمرار؟ هل تنافس بفعالية في السوق؟ وهل تستند إلى إدارة معرفية ممنهجة؟ هذه الأسئلة تشكّل قلب الدراسة الحالية، التي تنظر إلى تجربة الشركات الناشئة من منظور شمولي، يربط بين السياق الاقتصادي العام، وأداء المنظمات الصغيرة، وأدوات الإدارة الحديثة، وعلى رأسها إدارة المعرفة كأداة تنافسية</w:t>
      </w:r>
      <w:r>
        <w:t>.</w:t>
      </w:r>
      <w:r w:rsidR="00A85B29">
        <w:rPr>
          <w:rFonts w:hint="cs"/>
          <w:rtl/>
        </w:rPr>
        <w:t xml:space="preserve"> </w:t>
      </w:r>
      <w:r w:rsidR="00A85B29" w:rsidRPr="00A85B29">
        <w:rPr>
          <w:rtl/>
        </w:rPr>
        <w:t>(الرقيب، 2020)</w:t>
      </w:r>
    </w:p>
    <w:p w14:paraId="4EEDCF35" w14:textId="77777777" w:rsidR="001063F7" w:rsidRDefault="001063F7" w:rsidP="00C0639D">
      <w:pPr>
        <w:pStyle w:val="NoSpacing"/>
        <w:bidi/>
        <w:rPr>
          <w:rtl/>
        </w:rPr>
      </w:pPr>
      <w:r>
        <w:rPr>
          <w:rtl/>
        </w:rPr>
        <w:t>رؤية السعودية 2030 هي مبادرة طموحة تهدف إلى تحويل الاقتصاد السعودي من الاعتماد على النفط إلى اقتصاد متنوع ومستدام</w:t>
      </w:r>
      <w:r>
        <w:t xml:space="preserve">. </w:t>
      </w:r>
    </w:p>
    <w:p w14:paraId="143313D3" w14:textId="77777777" w:rsidR="001063F7" w:rsidRDefault="001063F7" w:rsidP="00C0639D">
      <w:pPr>
        <w:pStyle w:val="NoSpacing"/>
        <w:bidi/>
        <w:rPr>
          <w:rtl/>
        </w:rPr>
      </w:pPr>
      <w:r>
        <w:rPr>
          <w:rtl/>
        </w:rPr>
        <w:t>تؤثر هذه الرؤية تأثيراً كبير على الشركات الناشئة في المملكة، حيث توفر العديد من الفرص والدعم لهذه الشركات للنمو والازدهار</w:t>
      </w:r>
      <w:r>
        <w:t>.</w:t>
      </w:r>
    </w:p>
    <w:p w14:paraId="068C4AE4" w14:textId="77777777" w:rsidR="001063F7" w:rsidRDefault="001063F7" w:rsidP="00C0639D">
      <w:pPr>
        <w:pStyle w:val="NoSpacing"/>
        <w:bidi/>
        <w:ind w:firstLine="0"/>
        <w:rPr>
          <w:rtl/>
        </w:rPr>
      </w:pPr>
      <w:r>
        <w:rPr>
          <w:rtl/>
        </w:rPr>
        <w:t>تأثير رؤية 2030 على الشركات الناشئة في المملكة العربية السعودية</w:t>
      </w:r>
      <w:r>
        <w:t>:</w:t>
      </w:r>
    </w:p>
    <w:p w14:paraId="4F21BA02" w14:textId="77777777" w:rsidR="001063F7" w:rsidRDefault="001063F7" w:rsidP="00C0639D">
      <w:pPr>
        <w:pStyle w:val="NoSpacing"/>
        <w:bidi/>
        <w:rPr>
          <w:rtl/>
        </w:rPr>
      </w:pPr>
      <w:r>
        <w:rPr>
          <w:rtl/>
        </w:rPr>
        <w:t>1</w:t>
      </w:r>
      <w:r>
        <w:t xml:space="preserve">- </w:t>
      </w:r>
      <w:r>
        <w:rPr>
          <w:rtl/>
        </w:rPr>
        <w:t>تحسين البيئة الاستثمارية:  تسعى رؤية 2030 إلى تحسين البيئة الاستثمارية في المملكة من خلال تبسيط الإجراءات القانونية وتقديم حوافز ضريبية، مما يجعل السعودية وجهة جذابة لرواد الأعمال والمستثمرين</w:t>
      </w:r>
      <w:r>
        <w:t>.</w:t>
      </w:r>
    </w:p>
    <w:p w14:paraId="5BE9CCDF" w14:textId="0C11EEAB" w:rsidR="001063F7" w:rsidRDefault="001063F7" w:rsidP="00C0639D">
      <w:pPr>
        <w:pStyle w:val="NoSpacing"/>
        <w:bidi/>
        <w:rPr>
          <w:rtl/>
        </w:rPr>
      </w:pPr>
      <w:r>
        <w:rPr>
          <w:rtl/>
        </w:rPr>
        <w:t>2</w:t>
      </w:r>
      <w:r>
        <w:t xml:space="preserve">- </w:t>
      </w:r>
      <w:r>
        <w:rPr>
          <w:rtl/>
        </w:rPr>
        <w:t>الدعم المالي والتقني:  توفر الحكومة السعودية الدعم المالي والتقني للشركات الناشئة من خلال إنشاء صناديق استثمارية مخصصة، مثل صندوق الاستثمارات العامة وصندوق "رؤية سوفت بنك"، مما يساعد الشركات الناشئة على الحصول على التمويل اللازم للنمو والتوسع</w:t>
      </w:r>
      <w:r>
        <w:t>.</w:t>
      </w:r>
      <w:r w:rsidR="00A85B29">
        <w:rPr>
          <w:rFonts w:hint="cs"/>
          <w:rtl/>
        </w:rPr>
        <w:t xml:space="preserve"> </w:t>
      </w:r>
      <w:r w:rsidR="00A85B29" w:rsidRPr="00A85B29">
        <w:rPr>
          <w:rtl/>
        </w:rPr>
        <w:t>(الرقيب، 2020)</w:t>
      </w:r>
    </w:p>
    <w:p w14:paraId="3365614D" w14:textId="77777777" w:rsidR="001063F7" w:rsidRDefault="001063F7" w:rsidP="00C0639D">
      <w:pPr>
        <w:pStyle w:val="NoSpacing"/>
        <w:bidi/>
        <w:rPr>
          <w:rtl/>
        </w:rPr>
      </w:pPr>
      <w:r>
        <w:rPr>
          <w:rtl/>
        </w:rPr>
        <w:t>3</w:t>
      </w:r>
      <w:r>
        <w:t xml:space="preserve">- </w:t>
      </w:r>
      <w:r>
        <w:rPr>
          <w:rtl/>
        </w:rPr>
        <w:t>تطوير البنية التحتية الرقمية:  تعمل رؤية 2030 على تطوير البنية التحتية الرقمية في المملكة، مما يتيح للشركات الناشئة فرصًا للنمو والتوسع في السوق المحلي والدولي</w:t>
      </w:r>
      <w:r>
        <w:t>.</w:t>
      </w:r>
    </w:p>
    <w:p w14:paraId="001522E5" w14:textId="5E17E534" w:rsidR="001063F7" w:rsidRDefault="001063F7" w:rsidP="00C0639D">
      <w:pPr>
        <w:pStyle w:val="NoSpacing"/>
        <w:bidi/>
        <w:rPr>
          <w:rtl/>
        </w:rPr>
      </w:pPr>
      <w:r>
        <w:rPr>
          <w:rtl/>
        </w:rPr>
        <w:t>4</w:t>
      </w:r>
      <w:r>
        <w:t xml:space="preserve">- </w:t>
      </w:r>
      <w:r>
        <w:rPr>
          <w:rtl/>
        </w:rPr>
        <w:t>تمكين الشباب والمرأة:  تركز رؤية 2030 على تمكين الشباب والمرأة، مما يعزز من تنوع الأفكار والمشاريع الريادية في المملكة</w:t>
      </w:r>
      <w:r>
        <w:t>.</w:t>
      </w:r>
      <w:r w:rsidR="00A85B29">
        <w:rPr>
          <w:rFonts w:hint="cs"/>
          <w:rtl/>
        </w:rPr>
        <w:t xml:space="preserve"> </w:t>
      </w:r>
      <w:r w:rsidR="00A85B29" w:rsidRPr="00A85B29">
        <w:rPr>
          <w:rtl/>
        </w:rPr>
        <w:t>(الرقيب، 2020)</w:t>
      </w:r>
    </w:p>
    <w:p w14:paraId="45E84843" w14:textId="77777777" w:rsidR="001063F7" w:rsidRDefault="001063F7" w:rsidP="00C0639D">
      <w:pPr>
        <w:pStyle w:val="NoSpacing"/>
        <w:bidi/>
        <w:rPr>
          <w:rtl/>
        </w:rPr>
      </w:pPr>
      <w:r>
        <w:t xml:space="preserve">- </w:t>
      </w:r>
      <w:r>
        <w:rPr>
          <w:rtl/>
        </w:rPr>
        <w:t>أمثلة على الشركات الناشئة الناجحة في السعودية</w:t>
      </w:r>
      <w:r>
        <w:t>:</w:t>
      </w:r>
    </w:p>
    <w:p w14:paraId="7B291E76" w14:textId="77777777" w:rsidR="001063F7" w:rsidRDefault="001063F7" w:rsidP="00C0639D">
      <w:pPr>
        <w:pStyle w:val="NoSpacing"/>
        <w:bidi/>
        <w:rPr>
          <w:rtl/>
        </w:rPr>
      </w:pPr>
      <w:r>
        <w:rPr>
          <w:rtl/>
        </w:rPr>
        <w:t>نستعرض أسماء بعض الشركات الناشئة التي تأسست بعض وضع رؤية 2030 على سبيل المثال لا الحصر</w:t>
      </w:r>
      <w:r>
        <w:t>:</w:t>
      </w:r>
    </w:p>
    <w:p w14:paraId="73828076" w14:textId="77777777" w:rsidR="001063F7" w:rsidRDefault="001063F7" w:rsidP="00C0639D">
      <w:pPr>
        <w:pStyle w:val="NoSpacing"/>
        <w:bidi/>
        <w:rPr>
          <w:rtl/>
        </w:rPr>
      </w:pPr>
      <w:r>
        <w:rPr>
          <w:rtl/>
        </w:rPr>
        <w:t>1</w:t>
      </w:r>
      <w:r>
        <w:t xml:space="preserve">- Fordea   : </w:t>
      </w:r>
      <w:r>
        <w:rPr>
          <w:rtl/>
        </w:rPr>
        <w:t>تأسست عام 2017</w:t>
      </w:r>
      <w:r>
        <w:t>.</w:t>
      </w:r>
    </w:p>
    <w:p w14:paraId="708728C6" w14:textId="77777777" w:rsidR="001063F7" w:rsidRDefault="001063F7" w:rsidP="00C0639D">
      <w:pPr>
        <w:pStyle w:val="NoSpacing"/>
        <w:bidi/>
        <w:rPr>
          <w:rtl/>
        </w:rPr>
      </w:pPr>
      <w:r>
        <w:rPr>
          <w:rtl/>
        </w:rPr>
        <w:t>2</w:t>
      </w:r>
      <w:r>
        <w:t xml:space="preserve">-  Lendo : </w:t>
      </w:r>
      <w:r>
        <w:rPr>
          <w:rtl/>
        </w:rPr>
        <w:t>شركة ناشئة للخدمات المالية، تأسست عام 2019</w:t>
      </w:r>
      <w:r>
        <w:t>.</w:t>
      </w:r>
    </w:p>
    <w:p w14:paraId="0C342227" w14:textId="77777777" w:rsidR="001063F7" w:rsidRDefault="001063F7" w:rsidP="00C0639D">
      <w:pPr>
        <w:pStyle w:val="NoSpacing"/>
        <w:bidi/>
        <w:rPr>
          <w:rtl/>
        </w:rPr>
      </w:pPr>
      <w:r>
        <w:rPr>
          <w:rtl/>
        </w:rPr>
        <w:t>3</w:t>
      </w:r>
      <w:r>
        <w:t xml:space="preserve">- </w:t>
      </w:r>
      <w:r>
        <w:rPr>
          <w:rtl/>
        </w:rPr>
        <w:t>جاهز:  منصة توصيل طعام تأسست عام 2016</w:t>
      </w:r>
      <w:r>
        <w:t>.</w:t>
      </w:r>
    </w:p>
    <w:p w14:paraId="470EED23" w14:textId="77777777" w:rsidR="001063F7" w:rsidRDefault="001063F7" w:rsidP="00C0639D">
      <w:pPr>
        <w:pStyle w:val="NoSpacing"/>
        <w:bidi/>
        <w:rPr>
          <w:rtl/>
        </w:rPr>
      </w:pPr>
      <w:r>
        <w:rPr>
          <w:rtl/>
        </w:rPr>
        <w:t>4</w:t>
      </w:r>
      <w:r>
        <w:t xml:space="preserve">- </w:t>
      </w:r>
      <w:r>
        <w:rPr>
          <w:rtl/>
        </w:rPr>
        <w:t>نانا:  شركة ناشئة للتجارة الإلكترونية توفر خدمة توصيل البقالة عبر الإنترنت، تأسست عام 2016</w:t>
      </w:r>
      <w:r>
        <w:t>.</w:t>
      </w:r>
    </w:p>
    <w:p w14:paraId="22AC2FAF" w14:textId="77777777" w:rsidR="001063F7" w:rsidRDefault="001063F7" w:rsidP="00C0639D">
      <w:pPr>
        <w:pStyle w:val="NoSpacing"/>
        <w:bidi/>
        <w:rPr>
          <w:rtl/>
        </w:rPr>
      </w:pPr>
      <w:r>
        <w:rPr>
          <w:rtl/>
        </w:rPr>
        <w:t>5</w:t>
      </w:r>
      <w:r>
        <w:t xml:space="preserve">- </w:t>
      </w:r>
      <w:r>
        <w:rPr>
          <w:rtl/>
        </w:rPr>
        <w:t>مزارع البحر الأحمر: شركة ناشئة في مجال التكنولوجيا الزراعية تركز على استخدام المياه المالحة في تعزيز إنتاج المحاصيل التجارية، تأسست عام 2018</w:t>
      </w:r>
      <w:r>
        <w:t>.</w:t>
      </w:r>
    </w:p>
    <w:p w14:paraId="42AE097E" w14:textId="77777777" w:rsidR="001063F7" w:rsidRDefault="001063F7" w:rsidP="00C0639D">
      <w:pPr>
        <w:pStyle w:val="NoSpacing"/>
        <w:bidi/>
        <w:rPr>
          <w:rtl/>
        </w:rPr>
      </w:pPr>
      <w:r>
        <w:t xml:space="preserve">- </w:t>
      </w:r>
      <w:r>
        <w:rPr>
          <w:rtl/>
        </w:rPr>
        <w:t>أحدثت رؤية 2030 تحولًا جذريًا في مشهد تمويل الشركات الناشئة في السعودية، مما يساهم في تحقيق التنمية المستدامة وتعزيز الاقتصاد الوطني</w:t>
      </w:r>
      <w:r>
        <w:t xml:space="preserve">. </w:t>
      </w:r>
    </w:p>
    <w:p w14:paraId="29AEF41A" w14:textId="77777777" w:rsidR="001063F7" w:rsidRDefault="001063F7" w:rsidP="00C0639D">
      <w:pPr>
        <w:pStyle w:val="NoSpacing"/>
        <w:bidi/>
        <w:rPr>
          <w:rtl/>
        </w:rPr>
      </w:pPr>
      <w:r>
        <w:t xml:space="preserve">- </w:t>
      </w:r>
      <w:r>
        <w:rPr>
          <w:rtl/>
        </w:rPr>
        <w:t>ما هي الأبعاد الاقتصادية لرؤية 2030؟</w:t>
      </w:r>
    </w:p>
    <w:p w14:paraId="37D74E4E" w14:textId="77777777" w:rsidR="001063F7" w:rsidRDefault="001063F7" w:rsidP="00C0639D">
      <w:pPr>
        <w:pStyle w:val="NoSpacing"/>
        <w:bidi/>
        <w:rPr>
          <w:rtl/>
        </w:rPr>
      </w:pPr>
      <w:r>
        <w:rPr>
          <w:rtl/>
        </w:rPr>
        <w:t>تهدف رؤية السعودية 2030 إلى تحقيق تحول اقتصادي شامل ومستدام في المملكة؛ إليك بعض الأبعاد الاقتصادية الرئيسية لهذه الرؤية</w:t>
      </w:r>
      <w:r>
        <w:t>:</w:t>
      </w:r>
    </w:p>
    <w:p w14:paraId="59E3DD67" w14:textId="77777777" w:rsidR="001063F7" w:rsidRDefault="001063F7" w:rsidP="00C0639D">
      <w:pPr>
        <w:pStyle w:val="NoSpacing"/>
        <w:bidi/>
        <w:rPr>
          <w:rtl/>
        </w:rPr>
      </w:pPr>
      <w:r>
        <w:rPr>
          <w:rtl/>
        </w:rPr>
        <w:t>1</w:t>
      </w:r>
      <w:r>
        <w:t xml:space="preserve">-  </w:t>
      </w:r>
      <w:r>
        <w:rPr>
          <w:rtl/>
        </w:rPr>
        <w:t>تنويع الاقتصاد</w:t>
      </w:r>
      <w:r>
        <w:t>:</w:t>
      </w:r>
    </w:p>
    <w:p w14:paraId="15B194CF" w14:textId="61D8106E" w:rsidR="001063F7" w:rsidRDefault="001063F7" w:rsidP="00C0639D">
      <w:pPr>
        <w:pStyle w:val="NoSpacing"/>
        <w:bidi/>
        <w:rPr>
          <w:rtl/>
        </w:rPr>
      </w:pPr>
      <w:r>
        <w:rPr>
          <w:rtl/>
        </w:rPr>
        <w:t>تهدف رؤية 2030 إلى تقليل الاعتماد على النفط كمصدر رئيسي للدخل، من خلال تنويع مصادر الدخل وتطوير قطاعات اقتصادية جديدة مثل السياحة، والترفيه، والتكنولوجيا، والصناعة</w:t>
      </w:r>
      <w:r>
        <w:t>.</w:t>
      </w:r>
      <w:r w:rsidR="00A85B29">
        <w:rPr>
          <w:rFonts w:hint="cs"/>
          <w:rtl/>
        </w:rPr>
        <w:t xml:space="preserve"> </w:t>
      </w:r>
      <w:r w:rsidR="00A85B29" w:rsidRPr="00A85B29">
        <w:rPr>
          <w:rtl/>
        </w:rPr>
        <w:t>(الشهري، 2024)</w:t>
      </w:r>
    </w:p>
    <w:p w14:paraId="38FB3B15" w14:textId="77777777" w:rsidR="00A85B29" w:rsidRDefault="00A85B29" w:rsidP="00A85B29">
      <w:pPr>
        <w:pStyle w:val="NoSpacing"/>
        <w:bidi/>
        <w:rPr>
          <w:rtl/>
        </w:rPr>
      </w:pPr>
    </w:p>
    <w:p w14:paraId="58A67B40" w14:textId="77777777" w:rsidR="001063F7" w:rsidRDefault="001063F7" w:rsidP="00C0639D">
      <w:pPr>
        <w:pStyle w:val="NoSpacing"/>
        <w:bidi/>
        <w:rPr>
          <w:rtl/>
        </w:rPr>
      </w:pPr>
      <w:r>
        <w:rPr>
          <w:rtl/>
        </w:rPr>
        <w:t>2</w:t>
      </w:r>
      <w:r>
        <w:t xml:space="preserve">- </w:t>
      </w:r>
      <w:r>
        <w:rPr>
          <w:rtl/>
        </w:rPr>
        <w:t>تعزيز القطاع الخاص</w:t>
      </w:r>
      <w:r>
        <w:t>:</w:t>
      </w:r>
    </w:p>
    <w:p w14:paraId="05D32CFB" w14:textId="77777777" w:rsidR="001063F7" w:rsidRDefault="001063F7" w:rsidP="00C0639D">
      <w:pPr>
        <w:pStyle w:val="NoSpacing"/>
        <w:bidi/>
        <w:rPr>
          <w:rtl/>
        </w:rPr>
      </w:pPr>
      <w:r>
        <w:rPr>
          <w:rtl/>
        </w:rPr>
        <w:t>تسعى الرؤية إلى زيادة مساهمة القطاع الخاص في الناتج المحلي الإجمالي من خلال توفير بيئة استثمارية جاذبة، وتبسيط الإجراءات القانونية، وتقديم حوافز ضريبية، مما يعزز دور الشركات الصغيرة والمتوسطة في الاقتصاد</w:t>
      </w:r>
      <w:r>
        <w:t>.</w:t>
      </w:r>
    </w:p>
    <w:p w14:paraId="11714DC9" w14:textId="77777777" w:rsidR="001063F7" w:rsidRDefault="001063F7" w:rsidP="00C0639D">
      <w:pPr>
        <w:pStyle w:val="NoSpacing"/>
        <w:bidi/>
        <w:rPr>
          <w:rtl/>
        </w:rPr>
      </w:pPr>
      <w:r>
        <w:rPr>
          <w:rtl/>
        </w:rPr>
        <w:t>3</w:t>
      </w:r>
      <w:r>
        <w:t xml:space="preserve">- </w:t>
      </w:r>
      <w:r>
        <w:rPr>
          <w:rtl/>
        </w:rPr>
        <w:t>تطوير البنية التحتية</w:t>
      </w:r>
      <w:r>
        <w:t>:</w:t>
      </w:r>
    </w:p>
    <w:p w14:paraId="42C1DF20" w14:textId="77777777" w:rsidR="001063F7" w:rsidRDefault="001063F7" w:rsidP="00C0639D">
      <w:pPr>
        <w:pStyle w:val="NoSpacing"/>
        <w:bidi/>
        <w:rPr>
          <w:rtl/>
        </w:rPr>
      </w:pPr>
      <w:r>
        <w:rPr>
          <w:rtl/>
        </w:rPr>
        <w:t>تعمل رؤية 2030 على تحسين البنية التحتية في المملكة، بما في ذلك النقل، والاتصالات، والطاقة، مما يسهم في جذب الاستثمارات وتحفيز النمو الاقتصادي</w:t>
      </w:r>
      <w:r>
        <w:t>.</w:t>
      </w:r>
    </w:p>
    <w:p w14:paraId="2299B6ED" w14:textId="77777777" w:rsidR="001063F7" w:rsidRDefault="001063F7" w:rsidP="00C0639D">
      <w:pPr>
        <w:pStyle w:val="NoSpacing"/>
        <w:bidi/>
        <w:rPr>
          <w:rtl/>
        </w:rPr>
      </w:pPr>
      <w:r>
        <w:rPr>
          <w:rtl/>
        </w:rPr>
        <w:t>4</w:t>
      </w:r>
      <w:r>
        <w:t xml:space="preserve">- </w:t>
      </w:r>
      <w:r>
        <w:rPr>
          <w:rtl/>
        </w:rPr>
        <w:t>تمكين الشباب والمرأة</w:t>
      </w:r>
      <w:r>
        <w:t>:</w:t>
      </w:r>
    </w:p>
    <w:p w14:paraId="7E0B75F0" w14:textId="77777777" w:rsidR="001063F7" w:rsidRDefault="001063F7" w:rsidP="00C0639D">
      <w:pPr>
        <w:pStyle w:val="NoSpacing"/>
        <w:bidi/>
        <w:rPr>
          <w:rtl/>
        </w:rPr>
      </w:pPr>
      <w:r>
        <w:rPr>
          <w:rtl/>
        </w:rPr>
        <w:t>تركز الرؤية على تمكين الشباب والمرأة من خلال توفير فرص التعليم والتدريب، وتعزيز مشاركتهم في سوق العمل، مما يسهم في تحقيق التنمية المستدامة وزيادة الإنتاجية</w:t>
      </w:r>
      <w:r>
        <w:t>.</w:t>
      </w:r>
    </w:p>
    <w:p w14:paraId="18B88235" w14:textId="77777777" w:rsidR="001063F7" w:rsidRDefault="001063F7" w:rsidP="00C0639D">
      <w:pPr>
        <w:pStyle w:val="NoSpacing"/>
        <w:bidi/>
        <w:rPr>
          <w:rtl/>
        </w:rPr>
      </w:pPr>
      <w:r>
        <w:rPr>
          <w:rtl/>
        </w:rPr>
        <w:t>5</w:t>
      </w:r>
      <w:r>
        <w:t xml:space="preserve">- </w:t>
      </w:r>
      <w:r>
        <w:rPr>
          <w:rtl/>
        </w:rPr>
        <w:t>جذب الاستثمارات الأجنبية</w:t>
      </w:r>
      <w:r>
        <w:t>:</w:t>
      </w:r>
    </w:p>
    <w:p w14:paraId="7967F534" w14:textId="77777777" w:rsidR="001063F7" w:rsidRDefault="001063F7" w:rsidP="00C0639D">
      <w:pPr>
        <w:pStyle w:val="NoSpacing"/>
        <w:bidi/>
        <w:rPr>
          <w:rtl/>
        </w:rPr>
      </w:pPr>
      <w:r>
        <w:rPr>
          <w:rtl/>
        </w:rPr>
        <w:t>تسعى رؤية 2030 إلى جذب الاستثمارات الأجنبية من خلال تحسين البيئة الاستثمارية وتقديم حوافز للمستثمرين الأجانب، مما يسهم في تعزيز الاقتصاد الوطني وزيادة فرص العمل</w:t>
      </w:r>
      <w:r>
        <w:t>.</w:t>
      </w:r>
    </w:p>
    <w:p w14:paraId="2436D6CF" w14:textId="77777777" w:rsidR="001063F7" w:rsidRDefault="001063F7" w:rsidP="00C0639D">
      <w:pPr>
        <w:pStyle w:val="NoSpacing"/>
        <w:bidi/>
        <w:rPr>
          <w:rtl/>
        </w:rPr>
      </w:pPr>
      <w:r>
        <w:rPr>
          <w:rtl/>
        </w:rPr>
        <w:t>6</w:t>
      </w:r>
      <w:r>
        <w:t xml:space="preserve">- </w:t>
      </w:r>
      <w:r>
        <w:rPr>
          <w:rtl/>
        </w:rPr>
        <w:t>تطوير القطاعات الجديدة</w:t>
      </w:r>
      <w:r>
        <w:t>:</w:t>
      </w:r>
    </w:p>
    <w:p w14:paraId="66A798D8" w14:textId="0D817F06" w:rsidR="001063F7" w:rsidRDefault="001063F7" w:rsidP="00C0639D">
      <w:pPr>
        <w:pStyle w:val="NoSpacing"/>
        <w:bidi/>
        <w:rPr>
          <w:rtl/>
        </w:rPr>
      </w:pPr>
      <w:r>
        <w:rPr>
          <w:rtl/>
        </w:rPr>
        <w:t>تعمل الرؤية على تطوير قطاعات جديدة واعدة مثل الطاقة المتجددة، والتكنولوجيا، والسياحة، مما يسهم في تحقيق نمو اقتصادي مستدام وتنويع مصادر الدخل</w:t>
      </w:r>
      <w:r>
        <w:t>.</w:t>
      </w:r>
    </w:p>
    <w:p w14:paraId="469F8477" w14:textId="77777777" w:rsidR="001063F7" w:rsidRDefault="001063F7" w:rsidP="00C0639D">
      <w:pPr>
        <w:pStyle w:val="NoSpacing"/>
        <w:bidi/>
        <w:rPr>
          <w:rtl/>
        </w:rPr>
      </w:pPr>
      <w:r>
        <w:rPr>
          <w:rtl/>
        </w:rPr>
        <w:t>7</w:t>
      </w:r>
      <w:r>
        <w:t xml:space="preserve">- </w:t>
      </w:r>
      <w:r>
        <w:rPr>
          <w:rtl/>
        </w:rPr>
        <w:t>تعزيز الابتكار وريادة الأعمال</w:t>
      </w:r>
      <w:r>
        <w:t>:</w:t>
      </w:r>
    </w:p>
    <w:p w14:paraId="70A99594" w14:textId="0AEAB144" w:rsidR="001063F7" w:rsidRDefault="001063F7" w:rsidP="00C0639D">
      <w:pPr>
        <w:pStyle w:val="NoSpacing"/>
        <w:bidi/>
        <w:rPr>
          <w:rtl/>
        </w:rPr>
      </w:pPr>
      <w:r>
        <w:rPr>
          <w:rtl/>
        </w:rPr>
        <w:t>تدعم رؤية 2030 ثقافة الابتكار وريادة الأعمال من خلال توفير الدعم المالي والتقني للشركات الناشئة، وتشجيع البحث والتطوير، مما يسهم في تحقيق تقدم اقتصادي مستدام</w:t>
      </w:r>
      <w:r>
        <w:t>.</w:t>
      </w:r>
      <w:r w:rsidR="00A85B29">
        <w:rPr>
          <w:rFonts w:hint="cs"/>
          <w:rtl/>
        </w:rPr>
        <w:t xml:space="preserve"> </w:t>
      </w:r>
      <w:r w:rsidR="00A85B29" w:rsidRPr="00A85B29">
        <w:rPr>
          <w:rtl/>
        </w:rPr>
        <w:t>(الشهري، 2024)</w:t>
      </w:r>
    </w:p>
    <w:p w14:paraId="3069CFFE" w14:textId="34DC527E" w:rsidR="001063F7" w:rsidRDefault="001063F7" w:rsidP="00C0639D">
      <w:pPr>
        <w:pStyle w:val="NoSpacing"/>
        <w:bidi/>
        <w:rPr>
          <w:rtl/>
        </w:rPr>
      </w:pPr>
      <w:r>
        <w:rPr>
          <w:rtl/>
        </w:rPr>
        <w:t>هذه الأبعاد الاقتصادية لرؤية 2030 تسهم في تحقيق تحول شامل ومستدام في الاقتصاد السعودي، مما يعزز من مكانة المملكة على الساحة العالمية.</w:t>
      </w:r>
    </w:p>
    <w:p w14:paraId="18797B7C" w14:textId="67384E97" w:rsidR="00683BB0" w:rsidRDefault="001063F7" w:rsidP="00C0639D">
      <w:pPr>
        <w:pStyle w:val="NoSpacing"/>
        <w:bidi/>
        <w:rPr>
          <w:rtl/>
        </w:rPr>
      </w:pPr>
      <w:r>
        <w:rPr>
          <w:rtl/>
        </w:rPr>
        <w:t>في ضوء ما سبق، فإن هذه الدراسة لا تقتصر على كونها محاولة أكاديمية لاستيفاء متطلبات بحثية، بل تأتي في سياق وطني واسع يتناغم مع التوجهات الاستراتيجية للمملكة، وتسعى إلى تقديم نموذج تطبيقي يُظهر كيف يمكن للرؤية الطموحة أن تتحول إلى أثر ملموس على أرض الواقع، من خلال تمكين الشركات الناشئة وتزويدها بالأدوات المعرفية التي تعزز من تنافسيتها وهي بذلك تمثل إضافة علمية وعملية في آنٍ واحد، تتقاطع فيها تطلعات السياسات الوطنية مع تطورات علم الإدارة الحديث، في سبيل بناء اقتصاد سعودي قائم على الإبداع والمعرفة والاستدامة.</w:t>
      </w:r>
      <w:r w:rsidR="00A85B29">
        <w:rPr>
          <w:rFonts w:hint="cs"/>
          <w:rtl/>
        </w:rPr>
        <w:t xml:space="preserve"> </w:t>
      </w:r>
      <w:r w:rsidR="00A85B29" w:rsidRPr="00A85B29">
        <w:rPr>
          <w:rtl/>
        </w:rPr>
        <w:t>(الذيابي، 2022)</w:t>
      </w:r>
    </w:p>
    <w:p w14:paraId="59041654" w14:textId="15270E9B" w:rsidR="00D22171" w:rsidRPr="00D22171" w:rsidRDefault="00D22171" w:rsidP="00C0639D">
      <w:pPr>
        <w:pStyle w:val="Heading2"/>
        <w:bidi/>
        <w:rPr>
          <w:rtl/>
        </w:rPr>
      </w:pPr>
      <w:bookmarkStart w:id="2" w:name="_Toc203236985"/>
      <w:r w:rsidRPr="00D22171">
        <w:rPr>
          <w:rtl/>
        </w:rPr>
        <w:t>مشكلة الدراسة</w:t>
      </w:r>
      <w:r w:rsidR="006D0D86">
        <w:rPr>
          <w:rFonts w:hint="cs"/>
          <w:rtl/>
        </w:rPr>
        <w:t>:</w:t>
      </w:r>
      <w:bookmarkEnd w:id="2"/>
    </w:p>
    <w:p w14:paraId="042654F7" w14:textId="075B2AA4" w:rsidR="001063F7" w:rsidRDefault="001063F7" w:rsidP="00C0639D">
      <w:pPr>
        <w:pStyle w:val="NoSpacing"/>
        <w:bidi/>
        <w:rPr>
          <w:rtl/>
        </w:rPr>
      </w:pPr>
      <w:r>
        <w:rPr>
          <w:rtl/>
        </w:rPr>
        <w:t>في ظل التحولات الكبرى التي تشهدها المملكة العربية السعودية في إطار رؤية 2030، باتت الشركات الناشئة تمثّل أحد الركائز الأساسية للنمو الاقتصادي والتنمية المستدامة، حيث حظيت هذه الفئة من الشركات باهتمام كبير من قبل الجهات الحكومية والخاصة، عبر توفير الحوافز، وتسهيل الإجراءات، وإطلاق البرامج الداعمة للريادة والابتكار ومع هذا الزخم في المبادرات والدعم، تبرز تساؤلات جوهرية تتعلق بمدى انعكاس هذه الرؤية الطموحة على واقع الشركات الناشئة، لا سيما في جوانبها الاقتصادية والتمكينية، مثل: تحسين بيئة الاستثمار، والدعم المالي والتقني، وتطوير البنية التحتية الرقمية، وتعزيز الابتكار وريادة الأعمال فبينما تشير بعض التقارير إلى ازدهار عدد من الشركات الناشئة في السنوات الأخيرة، ما زالت هناك تحديات تعترض الكثير من المشاريع الجديدة، وتتفاوت مستويات الاستفادة من الممكنات التي توفرها الرؤية من منطقة إلى أخرى ومن قطاع إلى آخر، الأمر الذي يستدعي دراسة علمية معمقة لفهم طبيعة هذا الأثر، ومستوى ارتباطه الفعلي بنجاح هذه الشركات أو تعثرها</w:t>
      </w:r>
      <w:r>
        <w:t>.</w:t>
      </w:r>
    </w:p>
    <w:p w14:paraId="163F3F61" w14:textId="4F7F8BC0" w:rsidR="001063F7" w:rsidRDefault="001063F7" w:rsidP="00C0639D">
      <w:pPr>
        <w:pStyle w:val="NoSpacing"/>
        <w:bidi/>
        <w:rPr>
          <w:rtl/>
        </w:rPr>
      </w:pPr>
      <w:r>
        <w:rPr>
          <w:rtl/>
        </w:rPr>
        <w:t>وتزداد أهمية هذه الإشكالية في مدينة جدة تحديدًا، كونها إحدى المدن السعودية الكبرى التي تشهد نشاطًا اقتصاديًا متنوعًا، وتحتضن عددًا من المشاريع الريادية المرتبطة بالرؤية، ما يجعلها نموذجًا مناسبًا لدراسة العلاقة بين مبادرات رؤية 2030 وتطور قطاع الشركات الناشئة وتكمن المشكلة في وجود فجوة بحثية واضحة تتعلق بمدى تأثير هذه الرؤية على تعزيز البيئة التشغيلية والتنافسية للشركات الناشئة، ومدى تمكّن هذه الشركات من الاستفادة الفعلية من أدوات الرؤية، وليس مجرد التفاعل الشكلي معها. ومن هنا تنطلق الدراسة الحالية في محاولة للإجابة عن السؤال المحوري التالي</w:t>
      </w:r>
      <w:r>
        <w:t>:</w:t>
      </w:r>
    </w:p>
    <w:p w14:paraId="3763AE2B" w14:textId="136F25DC" w:rsidR="00E57E20" w:rsidRPr="001063F7" w:rsidRDefault="001063F7" w:rsidP="00C0639D">
      <w:pPr>
        <w:pStyle w:val="NoSpacing"/>
        <w:bidi/>
        <w:rPr>
          <w:b/>
          <w:bCs/>
          <w:rtl/>
        </w:rPr>
      </w:pPr>
      <w:r w:rsidRPr="001063F7">
        <w:rPr>
          <w:b/>
          <w:bCs/>
          <w:rtl/>
        </w:rPr>
        <w:t>ما مدى تأثير رؤية 2030 على الشركات الناشئة في المملكة العربية السعودية خلال الفترة من 2016م وحتى 2022م؟</w:t>
      </w:r>
    </w:p>
    <w:p w14:paraId="76B7654B" w14:textId="77777777" w:rsidR="00037BB4" w:rsidRDefault="00037BB4" w:rsidP="00C0639D">
      <w:pPr>
        <w:pStyle w:val="Heading2"/>
        <w:bidi/>
        <w:rPr>
          <w:rtl/>
        </w:rPr>
      </w:pPr>
    </w:p>
    <w:p w14:paraId="72268449" w14:textId="77777777" w:rsidR="00037BB4" w:rsidRDefault="00037BB4" w:rsidP="00037BB4">
      <w:pPr>
        <w:pStyle w:val="Heading2"/>
        <w:bidi/>
        <w:rPr>
          <w:rtl/>
        </w:rPr>
      </w:pPr>
    </w:p>
    <w:p w14:paraId="6F6DE287" w14:textId="77777777" w:rsidR="00037BB4" w:rsidRDefault="00037BB4" w:rsidP="00037BB4">
      <w:pPr>
        <w:pStyle w:val="Heading2"/>
        <w:bidi/>
        <w:rPr>
          <w:rtl/>
        </w:rPr>
      </w:pPr>
    </w:p>
    <w:p w14:paraId="0CD972EE" w14:textId="0D582E35" w:rsidR="00D22171" w:rsidRPr="006D0D86" w:rsidRDefault="00D22171" w:rsidP="00037BB4">
      <w:pPr>
        <w:pStyle w:val="Heading2"/>
        <w:bidi/>
        <w:rPr>
          <w:rtl/>
        </w:rPr>
      </w:pPr>
      <w:bookmarkStart w:id="3" w:name="_Toc203236986"/>
      <w:r w:rsidRPr="006D0D86">
        <w:rPr>
          <w:rtl/>
        </w:rPr>
        <w:t>أهمية الدراسة</w:t>
      </w:r>
      <w:bookmarkEnd w:id="3"/>
    </w:p>
    <w:p w14:paraId="49CF5093" w14:textId="6D2B90F0" w:rsidR="00F925D0" w:rsidRPr="001C0BD9" w:rsidRDefault="00E57E20" w:rsidP="00C0639D">
      <w:pPr>
        <w:pStyle w:val="Heading3"/>
        <w:rPr>
          <w:rtl/>
        </w:rPr>
      </w:pPr>
      <w:bookmarkStart w:id="4" w:name="_Toc203236987"/>
      <w:r>
        <w:rPr>
          <w:rFonts w:hint="cs"/>
          <w:rtl/>
        </w:rPr>
        <w:t xml:space="preserve">١. </w:t>
      </w:r>
      <w:r w:rsidR="001C0BD9" w:rsidRPr="001C0BD9">
        <w:rPr>
          <w:rFonts w:hint="cs"/>
          <w:rtl/>
        </w:rPr>
        <w:t xml:space="preserve"> الأهمية العلمية</w:t>
      </w:r>
      <w:bookmarkEnd w:id="4"/>
    </w:p>
    <w:p w14:paraId="6D21FF42" w14:textId="1C032040" w:rsidR="001063F7" w:rsidRDefault="001063F7" w:rsidP="00C0639D">
      <w:pPr>
        <w:pStyle w:val="NoSpacing"/>
        <w:bidi/>
        <w:rPr>
          <w:rtl/>
        </w:rPr>
      </w:pPr>
      <w:r>
        <w:rPr>
          <w:rtl/>
        </w:rPr>
        <w:t>تُعد هذه الدراسة ذات أهمية علمية متقدمة كونها تندرج ضمن المساعي البحثية الحديثة التي تهدف إلى فهم ديناميكيات التحول الاقتصادي في المملكة العربية السعودية من خلال عدسة الشركات الناشئة فهي تسهم في توسيع نطاق المعرفة العلمية حول العلاقة بين الاستراتيجيات الوطنية الكبرى – مثل رؤية 2030 – والأداء الفعلي للقطاعات الريادية فالبحوث السابقة التي تناولت الشركات الناشئة غالبًا ما ركزت على التحديات العامة أو التمويل أو بيئة الأعمال دون الربط العميق بين هذه العوامل والتغيرات البنيوية التي أحدثتها رؤية 2030 ومن هنا، تقدم هذه الدراسة إضافة نظرية من خلال تحليل أبعاد الرؤية وتأثيراتها الملموسة على واقع الشركات الناشئة، باستخدام إطار تحليلي يتضمن أبعادًا اقتصادية ومعرفية واجتماعية مترابطة</w:t>
      </w:r>
      <w:r>
        <w:t>.</w:t>
      </w:r>
    </w:p>
    <w:p w14:paraId="5F3143E9" w14:textId="7142D15B" w:rsidR="001063F7" w:rsidRDefault="001063F7" w:rsidP="00C0639D">
      <w:pPr>
        <w:pStyle w:val="NoSpacing"/>
        <w:bidi/>
        <w:rPr>
          <w:rtl/>
        </w:rPr>
      </w:pPr>
      <w:r>
        <w:rPr>
          <w:rtl/>
        </w:rPr>
        <w:t>كما تستمد هذه الدراسة أهميتها من كونها توظف منهجًا وصفيًا تحليليًا مدعومًا باستبيان ميداني يتيح رصد الواقع من داخل بيئة ريادة الأعمال، وليس فقط من خلال التحليل النظري فهي بذلك تمثل جسرًا بين الدراسات الكمية والكيفيّة، وتعزز من مصداقية النتائج المستخلصة، ما يفتح المجال لباحثين آخرين للاستفادة من النموذج المستخدم، وتكرار الدراسة في سياقات مكانية أو قطاعية مختلفة كما تمثل مساهمة منهجية في تحليل أثر الرؤية من خلال أبعاد محددة وقابلة للقياس مثل: تحسين البيئة الاستثمارية، وتوفير الدعم المالي والتقني، وتطوير البنية التحتية الرقمية، وتمكين الفئات المستهدفة، مما يساعد في بناء قاعدة معرفية يمكن الاستناد إليها في الأبحاث القادمة</w:t>
      </w:r>
      <w:r>
        <w:t>.</w:t>
      </w:r>
    </w:p>
    <w:p w14:paraId="76C977DF" w14:textId="2B668A45" w:rsidR="00E57E20" w:rsidRDefault="001063F7" w:rsidP="00C0639D">
      <w:pPr>
        <w:pStyle w:val="NoSpacing"/>
        <w:bidi/>
        <w:rPr>
          <w:rtl/>
        </w:rPr>
      </w:pPr>
      <w:r>
        <w:rPr>
          <w:rtl/>
        </w:rPr>
        <w:t>علاوة على ذلك، فإن الدراسة تقدم للباحثين إطارًا مفاهيميًا قابلًا للتطوير، حيث يُمكن اعتماد الأبعاد الاقتصادية والمعرفية التي ركزت عليها الدراسة كنموذج تحليلي في أبحاث أخرى تتناول موضوعات مختلفة مثل الابتكار المؤسسي، أو إدارة النمو في المؤسسات الصغيرة والمتوسطة، أو فاعلية البرامج الحكومية في تطوير الأعمال وهذا ما يعزز من القيمة العلمية طويلة المدى للدراسة، ويجعلها أساسًا يمكن البناء عليه في مختلف الحقول المرتبطة بالإدارة والاقتصاد والسياسات العامة وريادة الأعمال.</w:t>
      </w:r>
    </w:p>
    <w:p w14:paraId="27A08FA0" w14:textId="4AE3823A" w:rsidR="001C0BD9" w:rsidRDefault="00E57E20" w:rsidP="00C0639D">
      <w:pPr>
        <w:pStyle w:val="Heading3"/>
        <w:rPr>
          <w:rtl/>
        </w:rPr>
      </w:pPr>
      <w:bookmarkStart w:id="5" w:name="_Toc203236988"/>
      <w:r>
        <w:rPr>
          <w:rFonts w:hint="cs"/>
          <w:rtl/>
        </w:rPr>
        <w:t>٢.</w:t>
      </w:r>
      <w:r w:rsidR="001C0BD9">
        <w:rPr>
          <w:rFonts w:hint="cs"/>
          <w:rtl/>
        </w:rPr>
        <w:t xml:space="preserve"> الأهمية العملية</w:t>
      </w:r>
      <w:bookmarkEnd w:id="5"/>
    </w:p>
    <w:p w14:paraId="648DC271" w14:textId="1CDC1119" w:rsidR="001063F7" w:rsidRDefault="001063F7" w:rsidP="00C0639D">
      <w:pPr>
        <w:pStyle w:val="NoSpacing"/>
        <w:bidi/>
        <w:rPr>
          <w:rtl/>
        </w:rPr>
      </w:pPr>
      <w:r>
        <w:rPr>
          <w:rtl/>
        </w:rPr>
        <w:t>من الناحية العملية، تكتسب الدراسة أهمية خاصة في ضوء الحاجة الملحّة لتقييم الأثر الفعلي لرؤية 2030 على المشروعات الناشئة، والتي تمثل اليوم إحدى القنوات الرئيسة لتحقيق التنويع الاقتصادي المنشود إذ تتيح نتائج هذه الدراسة للمسؤولين وصانعي القرار فهمًا أدق حول مدى استفادة رواد الأعمال من التسهيلات الحكومية، وما إذا كانت المبادرات والبرامج المعلنة قد تحوّلت إلى واقع ملموس أم ما تزال تواجه تحديات في التنفيذ والتطبيق وهذا بدوره يمكن أن يسهم في تحسين السياسات الداعمة للشركات الناشئة، من خلال إعادة تصميم البرامج بما يتماشى مع الحاجات الحقيقية التي ترصدها الدراسة ميدانيًا</w:t>
      </w:r>
      <w:r>
        <w:t>.</w:t>
      </w:r>
    </w:p>
    <w:p w14:paraId="3D2ED45C" w14:textId="36040D15" w:rsidR="001063F7" w:rsidRDefault="001063F7" w:rsidP="00C0639D">
      <w:pPr>
        <w:pStyle w:val="NoSpacing"/>
        <w:bidi/>
        <w:rPr>
          <w:rtl/>
        </w:rPr>
      </w:pPr>
      <w:r>
        <w:rPr>
          <w:rtl/>
        </w:rPr>
        <w:t>كما أن نتائج الدراسة ستكون ذات قيمة كبيرة للمستثمرين والممولين، حيث تساعدهم على تكوين رؤية واضحة عن بيئة الشركات الناشئة في السعودية، وتحديد نقاط القوة والضعف في التجربة الراهنة، وبالتالي اتخاذ قرارات استثمارية أكثر وعيًا ودقة فالوقوف على مدى تأثير عناصر مثل البنية الرقمية أو التمويل الحكومي على فرص النجاح أو الفشل، يتيح تطوير أدوات تقييم للمشاريع الناشئة تساعد على ترشيد الموارد وتوجيه الاستثمارات نحو المشاريع ذات الجدوى الأعلى وبذلك، تسهم الدراسة في خلق بيئة أعمال أكثر نضجًا وفاعلية على مستوى التمويل والتخطيط</w:t>
      </w:r>
      <w:r>
        <w:t>.</w:t>
      </w:r>
    </w:p>
    <w:p w14:paraId="65D5159B" w14:textId="5476A5E3" w:rsidR="00432CB7" w:rsidRDefault="001063F7" w:rsidP="00C0639D">
      <w:pPr>
        <w:pStyle w:val="NoSpacing"/>
        <w:bidi/>
        <w:rPr>
          <w:rtl/>
        </w:rPr>
      </w:pPr>
      <w:r>
        <w:rPr>
          <w:rtl/>
        </w:rPr>
        <w:t>وأخيرًا، فإن هذه الدراسة تُعد أداة توعوية وتوجيهية لرواد الأعمال أنفسهم، إذ تمنحهم صورة شاملة عن التوجهات العامة التي خلقتها الرؤية، وتوضح لهم ما هي العناصر التي يمكن الاستفادة منها لتقوية مشروعهم، وما هي التحديات التي لا تزال قائمة وتتطلب منهم تطوير استراتيجيات استباقية لمواجهتها وبذلك، لا تقتصر أهمية الدراسة على الأوساط الأكاديمية أو الحكومية فحسب، بل تمتد لتشمل كافة المعنيين بمجال ريادة الأعمال في المملكة، ما يجعلها مساهمة عملية فعالة في دعم استدامة الشركات الناشئة وتنمية الاقتصاد الوطني.</w:t>
      </w:r>
    </w:p>
    <w:p w14:paraId="0D1AC2D8" w14:textId="3E23287D" w:rsidR="00D22171" w:rsidRDefault="00D22171" w:rsidP="00C0639D">
      <w:pPr>
        <w:pStyle w:val="Heading2"/>
        <w:bidi/>
        <w:rPr>
          <w:rtl/>
        </w:rPr>
      </w:pPr>
      <w:bookmarkStart w:id="6" w:name="_Toc203236989"/>
      <w:r w:rsidRPr="00D22171">
        <w:rPr>
          <w:rtl/>
        </w:rPr>
        <w:t>أهداف الدراسة</w:t>
      </w:r>
      <w:r w:rsidR="001C0BD9">
        <w:rPr>
          <w:rFonts w:hint="cs"/>
          <w:rtl/>
        </w:rPr>
        <w:t>:</w:t>
      </w:r>
      <w:bookmarkEnd w:id="6"/>
    </w:p>
    <w:p w14:paraId="2A767B92" w14:textId="77777777" w:rsidR="001063F7" w:rsidRDefault="001063F7" w:rsidP="00C0639D">
      <w:pPr>
        <w:pStyle w:val="NoSpacing"/>
        <w:bidi/>
        <w:ind w:firstLine="0"/>
        <w:rPr>
          <w:rtl/>
        </w:rPr>
      </w:pPr>
      <w:r>
        <w:rPr>
          <w:rtl/>
        </w:rPr>
        <w:t>إن الهدف الرئيس والمحوري لهذا البحث يتمثل في</w:t>
      </w:r>
      <w:r>
        <w:t>:</w:t>
      </w:r>
    </w:p>
    <w:p w14:paraId="2FD0F5DB" w14:textId="79C7F0DD" w:rsidR="001063F7" w:rsidRDefault="001063F7" w:rsidP="00C0639D">
      <w:pPr>
        <w:pStyle w:val="NoSpacing"/>
        <w:bidi/>
        <w:rPr>
          <w:rtl/>
        </w:rPr>
      </w:pPr>
      <w:r>
        <w:rPr>
          <w:rtl/>
        </w:rPr>
        <w:t>تحليل أثر رؤية المملكة العربية السعودية 2030 في دعم وتمكين الشركات الناشئة، وتحديد مدى مساهمتها في تعزيز النمو الاقتصادي والتحول نحو اقتصاد معرفي متنوع ومستدام خلال الفترة من 2016م وحتى 2022م</w:t>
      </w:r>
      <w:r>
        <w:t>.</w:t>
      </w:r>
    </w:p>
    <w:p w14:paraId="7E74A2E1" w14:textId="77777777" w:rsidR="001063F7" w:rsidRDefault="001063F7" w:rsidP="00C0639D">
      <w:pPr>
        <w:pStyle w:val="NoSpacing"/>
        <w:bidi/>
        <w:ind w:firstLine="0"/>
        <w:rPr>
          <w:rtl/>
        </w:rPr>
      </w:pPr>
      <w:r>
        <w:rPr>
          <w:rtl/>
        </w:rPr>
        <w:t>ويتفرع من هذا الهدف الرئيس الأهداف التالية</w:t>
      </w:r>
      <w:r>
        <w:t>:</w:t>
      </w:r>
    </w:p>
    <w:p w14:paraId="2BE2AEEC" w14:textId="77777777" w:rsidR="001063F7" w:rsidRDefault="001063F7" w:rsidP="00C0639D">
      <w:pPr>
        <w:pStyle w:val="NoSpacing"/>
        <w:numPr>
          <w:ilvl w:val="0"/>
          <w:numId w:val="20"/>
        </w:numPr>
        <w:bidi/>
        <w:ind w:left="431"/>
        <w:rPr>
          <w:rtl/>
        </w:rPr>
      </w:pPr>
      <w:r>
        <w:rPr>
          <w:rtl/>
        </w:rPr>
        <w:t>التعرف على أثر تحسين البيئة الاستثمارية التي جاءت بها رؤية 2030 على نمو واستمرارية الشركات الناشئة في المملكة</w:t>
      </w:r>
      <w:r>
        <w:t>.</w:t>
      </w:r>
    </w:p>
    <w:p w14:paraId="432DAA00" w14:textId="77777777" w:rsidR="001063F7" w:rsidRDefault="001063F7" w:rsidP="00C0639D">
      <w:pPr>
        <w:pStyle w:val="NoSpacing"/>
        <w:numPr>
          <w:ilvl w:val="0"/>
          <w:numId w:val="20"/>
        </w:numPr>
        <w:bidi/>
        <w:ind w:left="431"/>
        <w:rPr>
          <w:rtl/>
        </w:rPr>
      </w:pPr>
      <w:r>
        <w:rPr>
          <w:rtl/>
        </w:rPr>
        <w:t>دراسة مدى فاعلية الدعم المالي والتقني الذي توفره برامج الرؤية للشركات الناشئة وتأثيره على توسعها</w:t>
      </w:r>
      <w:r>
        <w:t>.</w:t>
      </w:r>
    </w:p>
    <w:p w14:paraId="219E41F6" w14:textId="77777777" w:rsidR="001063F7" w:rsidRDefault="001063F7" w:rsidP="00C0639D">
      <w:pPr>
        <w:pStyle w:val="NoSpacing"/>
        <w:numPr>
          <w:ilvl w:val="0"/>
          <w:numId w:val="20"/>
        </w:numPr>
        <w:bidi/>
        <w:ind w:left="431"/>
        <w:rPr>
          <w:rtl/>
        </w:rPr>
      </w:pPr>
      <w:r>
        <w:rPr>
          <w:rtl/>
        </w:rPr>
        <w:t>تحليل دور تطوير البنية التحتية الرقمية في تسهيل أعمال الشركات الناشئة ودخولها للأسواق</w:t>
      </w:r>
      <w:r>
        <w:t>.</w:t>
      </w:r>
    </w:p>
    <w:p w14:paraId="15560068" w14:textId="77777777" w:rsidR="001063F7" w:rsidRDefault="001063F7" w:rsidP="00C0639D">
      <w:pPr>
        <w:pStyle w:val="NoSpacing"/>
        <w:numPr>
          <w:ilvl w:val="0"/>
          <w:numId w:val="20"/>
        </w:numPr>
        <w:bidi/>
        <w:ind w:left="431"/>
        <w:rPr>
          <w:rtl/>
        </w:rPr>
      </w:pPr>
      <w:r>
        <w:rPr>
          <w:rtl/>
        </w:rPr>
        <w:t>الوقوف على مدى مساهمة تمكين الشباب والمرأة في تعزيز التنوع والابتكار داخل قطاع ريادة الأعمال</w:t>
      </w:r>
      <w:r>
        <w:t>.</w:t>
      </w:r>
    </w:p>
    <w:p w14:paraId="2643B612" w14:textId="3939A547" w:rsidR="00E57E20" w:rsidRPr="001C0BD9" w:rsidRDefault="001063F7" w:rsidP="00C0639D">
      <w:pPr>
        <w:pStyle w:val="NoSpacing"/>
        <w:numPr>
          <w:ilvl w:val="0"/>
          <w:numId w:val="20"/>
        </w:numPr>
        <w:bidi/>
        <w:ind w:left="431"/>
        <w:rPr>
          <w:rtl/>
        </w:rPr>
      </w:pPr>
      <w:r>
        <w:rPr>
          <w:rtl/>
        </w:rPr>
        <w:t>تقييم دور ثقافة الابتكار وريادة الأعمال، التي ركزت عليها رؤية 2030، في تحسين القدرة التنافسية للشركات الناشئة</w:t>
      </w:r>
      <w:r>
        <w:t>.</w:t>
      </w:r>
    </w:p>
    <w:p w14:paraId="56B19CA7" w14:textId="65ACA990" w:rsidR="00D22171" w:rsidRDefault="00D22171" w:rsidP="00C0639D">
      <w:pPr>
        <w:pStyle w:val="Heading2"/>
        <w:bidi/>
        <w:rPr>
          <w:rtl/>
        </w:rPr>
      </w:pPr>
      <w:bookmarkStart w:id="7" w:name="_Toc203236990"/>
      <w:r w:rsidRPr="00D22171">
        <w:rPr>
          <w:rtl/>
        </w:rPr>
        <w:t>تساؤلات الدراسة</w:t>
      </w:r>
      <w:r w:rsidR="001C0BD9">
        <w:rPr>
          <w:rFonts w:hint="cs"/>
          <w:rtl/>
        </w:rPr>
        <w:t>:</w:t>
      </w:r>
      <w:bookmarkEnd w:id="7"/>
    </w:p>
    <w:p w14:paraId="7236A5B9" w14:textId="77777777" w:rsidR="001063F7" w:rsidRDefault="001063F7" w:rsidP="00C0639D">
      <w:pPr>
        <w:pStyle w:val="NoSpacing"/>
        <w:bidi/>
        <w:rPr>
          <w:rtl/>
        </w:rPr>
      </w:pPr>
      <w:r>
        <w:rPr>
          <w:rtl/>
        </w:rPr>
        <w:t>ينطلق هذا البحث من السؤال الرئيس الآتي</w:t>
      </w:r>
      <w:r>
        <w:t>:</w:t>
      </w:r>
    </w:p>
    <w:p w14:paraId="358092E2" w14:textId="77777777" w:rsidR="001063F7" w:rsidRDefault="001063F7" w:rsidP="00C0639D">
      <w:pPr>
        <w:pStyle w:val="NoSpacing"/>
        <w:bidi/>
        <w:rPr>
          <w:rtl/>
        </w:rPr>
      </w:pPr>
      <w:r>
        <w:rPr>
          <w:rtl/>
        </w:rPr>
        <w:t>ما مدى تأثير رؤية المملكة العربية السعودية 2030 على الشركات الناشئة خلال الفترة من 2016م وحتى 2022م من حيث النمو والاستدامة والقدرة التنافسية؟</w:t>
      </w:r>
    </w:p>
    <w:p w14:paraId="2A09A1E0" w14:textId="2012515C" w:rsidR="001063F7" w:rsidRDefault="001063F7" w:rsidP="00C0639D">
      <w:pPr>
        <w:pStyle w:val="NoSpacing"/>
        <w:bidi/>
        <w:ind w:firstLine="0"/>
        <w:rPr>
          <w:rtl/>
        </w:rPr>
      </w:pPr>
      <w:r>
        <w:rPr>
          <w:rtl/>
        </w:rPr>
        <w:t>ويتفرع من هذا السؤال الرئيس الأسئلة التالية</w:t>
      </w:r>
      <w:r>
        <w:t>:</w:t>
      </w:r>
    </w:p>
    <w:p w14:paraId="4E93D3C2" w14:textId="77777777" w:rsidR="001063F7" w:rsidRDefault="001063F7" w:rsidP="00C0639D">
      <w:pPr>
        <w:pStyle w:val="NoSpacing"/>
        <w:numPr>
          <w:ilvl w:val="0"/>
          <w:numId w:val="20"/>
        </w:numPr>
        <w:bidi/>
        <w:ind w:left="431"/>
        <w:rPr>
          <w:rtl/>
        </w:rPr>
      </w:pPr>
      <w:r>
        <w:rPr>
          <w:rtl/>
        </w:rPr>
        <w:t>إلى أي مدى ساهم تحسين البيئة الاستثمارية في تعزيز نمو واستمرارية الشركات الناشئة؟</w:t>
      </w:r>
    </w:p>
    <w:p w14:paraId="75588EE7" w14:textId="77777777" w:rsidR="001063F7" w:rsidRDefault="001063F7" w:rsidP="00C0639D">
      <w:pPr>
        <w:pStyle w:val="NoSpacing"/>
        <w:numPr>
          <w:ilvl w:val="0"/>
          <w:numId w:val="20"/>
        </w:numPr>
        <w:bidi/>
        <w:ind w:left="431"/>
        <w:rPr>
          <w:rtl/>
        </w:rPr>
      </w:pPr>
      <w:r>
        <w:rPr>
          <w:rtl/>
        </w:rPr>
        <w:t>ما حجم تأثير الدعم المالي والتقني الحكومي على قدرة الشركات الناشئة على التوسع والتطور؟</w:t>
      </w:r>
    </w:p>
    <w:p w14:paraId="025D58F2" w14:textId="77777777" w:rsidR="001063F7" w:rsidRDefault="001063F7" w:rsidP="00C0639D">
      <w:pPr>
        <w:pStyle w:val="NoSpacing"/>
        <w:numPr>
          <w:ilvl w:val="0"/>
          <w:numId w:val="20"/>
        </w:numPr>
        <w:bidi/>
        <w:ind w:left="431"/>
        <w:rPr>
          <w:rtl/>
        </w:rPr>
      </w:pPr>
      <w:r>
        <w:rPr>
          <w:rtl/>
        </w:rPr>
        <w:t>كيف أثّر تطوير البنية التحتية الرقمية على أداء الشركات الناشئة محليًا ودوليًا؟</w:t>
      </w:r>
    </w:p>
    <w:p w14:paraId="2AA9E558" w14:textId="77777777" w:rsidR="001063F7" w:rsidRDefault="001063F7" w:rsidP="00C0639D">
      <w:pPr>
        <w:pStyle w:val="NoSpacing"/>
        <w:numPr>
          <w:ilvl w:val="0"/>
          <w:numId w:val="20"/>
        </w:numPr>
        <w:bidi/>
        <w:ind w:left="431"/>
        <w:rPr>
          <w:rtl/>
        </w:rPr>
      </w:pPr>
      <w:r>
        <w:rPr>
          <w:rtl/>
        </w:rPr>
        <w:t>ما أثر تمكين الشباب والمرأة في دعم المشروعات الريادية في ضوء أهداف الرؤية؟</w:t>
      </w:r>
    </w:p>
    <w:p w14:paraId="0D8A8586" w14:textId="181F77E0" w:rsidR="00E57E20" w:rsidRDefault="001063F7" w:rsidP="00C0639D">
      <w:pPr>
        <w:pStyle w:val="NoSpacing"/>
        <w:numPr>
          <w:ilvl w:val="0"/>
          <w:numId w:val="20"/>
        </w:numPr>
        <w:bidi/>
        <w:ind w:left="431"/>
        <w:rPr>
          <w:rtl/>
        </w:rPr>
      </w:pPr>
      <w:r>
        <w:rPr>
          <w:rtl/>
        </w:rPr>
        <w:t>إلى أي مدى أسهم تعزيز ثقافة الابتكار وريادة الأعمال في تحسين تنافسية الشركات الناشئة في المملكة؟</w:t>
      </w:r>
    </w:p>
    <w:p w14:paraId="7ABDDD95" w14:textId="285271CE" w:rsidR="00D52480" w:rsidRPr="00D22171" w:rsidRDefault="00D52480" w:rsidP="00C0639D">
      <w:pPr>
        <w:pStyle w:val="Heading2"/>
        <w:bidi/>
        <w:rPr>
          <w:rtl/>
        </w:rPr>
      </w:pPr>
      <w:bookmarkStart w:id="8" w:name="_Toc203236991"/>
      <w:r>
        <w:rPr>
          <w:rFonts w:hint="cs"/>
          <w:rtl/>
        </w:rPr>
        <w:t>فروض الدراسة</w:t>
      </w:r>
      <w:bookmarkEnd w:id="8"/>
    </w:p>
    <w:p w14:paraId="6B3B342F" w14:textId="77777777" w:rsidR="001063F7" w:rsidRDefault="001063F7" w:rsidP="00C0639D">
      <w:pPr>
        <w:pStyle w:val="NoSpacing"/>
        <w:bidi/>
        <w:rPr>
          <w:rtl/>
        </w:rPr>
      </w:pPr>
      <w:r>
        <w:rPr>
          <w:rtl/>
        </w:rPr>
        <w:t>توجد علاقة ذات دلالة إحصائية بين رؤية المملكة العربية السعودية 2030 وتعزيز نمو وتنافسية الشركات الناشئة خلال الفترة من 2016م وحتى 2022م</w:t>
      </w:r>
      <w:r>
        <w:t>.</w:t>
      </w:r>
    </w:p>
    <w:p w14:paraId="1A54F169" w14:textId="77777777" w:rsidR="001063F7" w:rsidRDefault="001063F7" w:rsidP="00C0639D">
      <w:pPr>
        <w:pStyle w:val="NoSpacing"/>
        <w:bidi/>
        <w:ind w:firstLine="0"/>
        <w:rPr>
          <w:rtl/>
        </w:rPr>
      </w:pPr>
      <w:r>
        <w:rPr>
          <w:rtl/>
        </w:rPr>
        <w:t>ويتفرع من هذه الفرضية الرئيسة الفرضيات الفرعية التالية</w:t>
      </w:r>
      <w:r>
        <w:t>:</w:t>
      </w:r>
    </w:p>
    <w:p w14:paraId="5F3AC9CD" w14:textId="77777777" w:rsidR="001063F7" w:rsidRDefault="001063F7" w:rsidP="00C0639D">
      <w:pPr>
        <w:pStyle w:val="NoSpacing"/>
        <w:numPr>
          <w:ilvl w:val="0"/>
          <w:numId w:val="20"/>
        </w:numPr>
        <w:bidi/>
        <w:ind w:left="431"/>
        <w:rPr>
          <w:rtl/>
        </w:rPr>
      </w:pPr>
      <w:r>
        <w:rPr>
          <w:rtl/>
        </w:rPr>
        <w:t>توجد علاقة ذات دلالة إحصائية بين تحسين البيئة الاستثمارية في إطار رؤية 2030 ونمو واستمرارية الشركات الناشئة في المملكة</w:t>
      </w:r>
      <w:r>
        <w:t>.</w:t>
      </w:r>
    </w:p>
    <w:p w14:paraId="49AA2D8C" w14:textId="20A231E6" w:rsidR="001063F7" w:rsidRPr="001063F7" w:rsidRDefault="001063F7" w:rsidP="00C0639D">
      <w:pPr>
        <w:pStyle w:val="NoSpacing"/>
        <w:numPr>
          <w:ilvl w:val="0"/>
          <w:numId w:val="20"/>
        </w:numPr>
        <w:bidi/>
        <w:ind w:left="431"/>
        <w:rPr>
          <w:rtl/>
        </w:rPr>
      </w:pPr>
      <w:r>
        <w:rPr>
          <w:rtl/>
        </w:rPr>
        <w:t>توجد علاقة ذات دلالة إحصائية بين الدعم المالي والتقني الحكومي وبين قدرة الشركات الناشئة على التوسع والتطور</w:t>
      </w:r>
      <w:r>
        <w:t>.</w:t>
      </w:r>
    </w:p>
    <w:p w14:paraId="1069E38F" w14:textId="77777777" w:rsidR="001063F7" w:rsidRDefault="001063F7" w:rsidP="00C0639D">
      <w:pPr>
        <w:pStyle w:val="NoSpacing"/>
        <w:numPr>
          <w:ilvl w:val="0"/>
          <w:numId w:val="20"/>
        </w:numPr>
        <w:bidi/>
        <w:ind w:left="431"/>
        <w:rPr>
          <w:rtl/>
        </w:rPr>
      </w:pPr>
      <w:r>
        <w:rPr>
          <w:rtl/>
        </w:rPr>
        <w:t>توجد علاقة ذات دلالة إحصائية بين تطوير البنية التحتية الرقمية وبين تمكين الشركات الناشئة من الوصول إلى أسواق جديدة</w:t>
      </w:r>
      <w:r>
        <w:t>.</w:t>
      </w:r>
    </w:p>
    <w:p w14:paraId="73E9E1DA" w14:textId="77777777" w:rsidR="001063F7" w:rsidRDefault="001063F7" w:rsidP="00C0639D">
      <w:pPr>
        <w:pStyle w:val="NoSpacing"/>
        <w:numPr>
          <w:ilvl w:val="0"/>
          <w:numId w:val="20"/>
        </w:numPr>
        <w:bidi/>
        <w:ind w:left="431"/>
        <w:rPr>
          <w:rtl/>
        </w:rPr>
      </w:pPr>
      <w:r>
        <w:rPr>
          <w:rtl/>
        </w:rPr>
        <w:t>توجد علاقة ذات دلالة إحصائية بين تمكين الشباب والمرأة وبين زيادة تنوع المشاريع الريادية في المملكة</w:t>
      </w:r>
      <w:r>
        <w:t>.</w:t>
      </w:r>
    </w:p>
    <w:p w14:paraId="4F9D19BF" w14:textId="77777777" w:rsidR="001063F7" w:rsidRDefault="001063F7" w:rsidP="00C0639D">
      <w:pPr>
        <w:pStyle w:val="NoSpacing"/>
        <w:numPr>
          <w:ilvl w:val="0"/>
          <w:numId w:val="20"/>
        </w:numPr>
        <w:bidi/>
        <w:ind w:left="431"/>
        <w:rPr>
          <w:rtl/>
        </w:rPr>
      </w:pPr>
      <w:r>
        <w:rPr>
          <w:rtl/>
        </w:rPr>
        <w:t>توجد علاقة ذات دلالة إحصائية بين تعزيز ثقافة الابتكار وريادة الأعمال وبين تحسين القدرة التنافسية للشركات الناشئة في ضوء رؤية 2030</w:t>
      </w:r>
      <w:r>
        <w:t>.</w:t>
      </w:r>
    </w:p>
    <w:p w14:paraId="693808E8" w14:textId="40C97649" w:rsidR="00F925D0" w:rsidRDefault="00F925D0" w:rsidP="00C0639D">
      <w:pPr>
        <w:pStyle w:val="Heading2"/>
        <w:bidi/>
        <w:rPr>
          <w:rtl/>
        </w:rPr>
      </w:pPr>
      <w:bookmarkStart w:id="9" w:name="_Toc203236992"/>
      <w:r>
        <w:rPr>
          <w:rFonts w:hint="cs"/>
          <w:rtl/>
        </w:rPr>
        <w:t xml:space="preserve">النظرية العلمية </w:t>
      </w:r>
      <w:r w:rsidR="008328F7">
        <w:rPr>
          <w:rFonts w:hint="cs"/>
          <w:rtl/>
        </w:rPr>
        <w:t>المتبعة لإعداد</w:t>
      </w:r>
      <w:r>
        <w:rPr>
          <w:rFonts w:hint="cs"/>
          <w:rtl/>
        </w:rPr>
        <w:t xml:space="preserve"> البحث</w:t>
      </w:r>
      <w:bookmarkEnd w:id="9"/>
    </w:p>
    <w:p w14:paraId="28C15EC0" w14:textId="77777777" w:rsidR="00BE3828" w:rsidRPr="00567EC3" w:rsidRDefault="00BE3828" w:rsidP="00C0639D">
      <w:pPr>
        <w:pStyle w:val="NoSpacing"/>
        <w:bidi/>
        <w:ind w:firstLine="0"/>
        <w:rPr>
          <w:b/>
          <w:bCs/>
          <w:rtl/>
        </w:rPr>
      </w:pPr>
      <w:r w:rsidRPr="00567EC3">
        <w:rPr>
          <w:b/>
          <w:bCs/>
          <w:rtl/>
        </w:rPr>
        <w:t>أولًا: نظرية ريادة الأعمال</w:t>
      </w:r>
    </w:p>
    <w:p w14:paraId="1D5CB81B" w14:textId="728D6635" w:rsidR="00BE3828" w:rsidRDefault="00BE3828" w:rsidP="00C0639D">
      <w:pPr>
        <w:pStyle w:val="NoSpacing"/>
        <w:bidi/>
        <w:rPr>
          <w:rtl/>
        </w:rPr>
      </w:pPr>
      <w:r>
        <w:rPr>
          <w:rtl/>
        </w:rPr>
        <w:t>تُعد نظرية ريادة الأعمال من أهم الأطر النظرية التي يمكن من خلالها تفسير نشوء وتطور الشركات الناشئة في ظل المتغيرات الاقتصادية والاجتماعية التي تشهدها المملكة العربية السعودية في ضوء رؤية 2030 تنطلق هذه النظرية من أن رواد الأعمال هم عناصر فاعلة في النظام الاقتصادي، يمتلكون مهارات استثنائية في استغلال الفرص وتحويل الأفكار إلى مشاريع منتجة تساهم في خلق قيمة اقتصادية ومجتمعية وقد تطورت النظرية لتأخذ بعين الاعتبار دور البيئة الداعمة والسياسات العامة في تسهيل تأسيس المشروعات، وهي جوانب محورية تعكسها الرؤية السعودية الطموحة</w:t>
      </w:r>
      <w:r>
        <w:t>.</w:t>
      </w:r>
    </w:p>
    <w:p w14:paraId="36B2B71D" w14:textId="30F17CA8" w:rsidR="00BE3828" w:rsidRDefault="00BE3828" w:rsidP="00C0639D">
      <w:pPr>
        <w:pStyle w:val="NoSpacing"/>
        <w:bidi/>
        <w:rPr>
          <w:rtl/>
        </w:rPr>
      </w:pPr>
      <w:r>
        <w:rPr>
          <w:rtl/>
        </w:rPr>
        <w:t>تُركز هذه النظرية على عدد من العناصر الجوهرية، من أبرزها: القدرة على الابتكار، وتحمل المخاطر، والبحث عن فرص السوق، والاستجابة السريعة للمتغيرات ووفقًا لهذه الرؤية، فإن رواد الأعمال لا ينتظرون الفرص بل يصنعونها من خلال استكشاف حاجات المجتمع وتقديم حلول إبداعية تسد فجوات السوق وهذا ما يتضح بجلاء في تأسيس عدد من الشركات الناشئة السعودية التي انطلقت في بيئة أعمال مدعومة حكوميًا واستفادت من تحولات الرؤية نحو التحول الرقمي وتمكين الكفاءات الوطنية</w:t>
      </w:r>
      <w:r>
        <w:t>.</w:t>
      </w:r>
      <w:r w:rsidR="004618DA">
        <w:rPr>
          <w:rFonts w:hint="cs"/>
          <w:rtl/>
        </w:rPr>
        <w:t xml:space="preserve"> </w:t>
      </w:r>
      <w:r w:rsidR="004618DA" w:rsidRPr="004618DA">
        <w:rPr>
          <w:rtl/>
        </w:rPr>
        <w:t>(الذيابي، 2022)</w:t>
      </w:r>
    </w:p>
    <w:p w14:paraId="6914BAA3" w14:textId="753C0B4C" w:rsidR="00BE3828" w:rsidRDefault="00BE3828" w:rsidP="00C0639D">
      <w:pPr>
        <w:pStyle w:val="NoSpacing"/>
        <w:bidi/>
        <w:rPr>
          <w:rtl/>
        </w:rPr>
      </w:pPr>
      <w:r>
        <w:rPr>
          <w:rtl/>
        </w:rPr>
        <w:t>في سياق تطبيق هذه النظرية على الواقع السعودي، يظهر أن الحكومة تعمل على تهيئة بيئة خصبة لريادة الأعمال من خلال تطوير التشريعات، وإنشاء حاضنات الأعمال، وتوفير الدعم المالي والفني والتدريبي، وهو ما يتوافق مع المفاهيم الأساسية لنظرية ريادة الأعمال فالمبادرات مثل "منشآت" و"كفالة" و"صندوق الصناديق" تؤكد التزام الدولة بإيجاد نظام يدعم الرياديين ويقلل من العقبات التي تعترض طريقهم</w:t>
      </w:r>
      <w:r>
        <w:t>.</w:t>
      </w:r>
    </w:p>
    <w:p w14:paraId="5B48F3A7" w14:textId="1B8A65D0" w:rsidR="00BE3828" w:rsidRDefault="00BE3828" w:rsidP="00C0639D">
      <w:pPr>
        <w:pStyle w:val="NoSpacing"/>
        <w:bidi/>
        <w:rPr>
          <w:rtl/>
        </w:rPr>
      </w:pPr>
      <w:r>
        <w:rPr>
          <w:rtl/>
        </w:rPr>
        <w:t>كما تشير النظرية إلى أهمية الدور التعليمي والتثقيفي في تعزيز ثقافة ريادة الأعمال، وهو ما تضمنته رؤية 2030 من خلال دمج مفاهيم الابتكار والريادة في المناهج التعليمية، وتحفيز الجامعات على تبني مشاريع الأعمال الريادية ويمثل ذلك خطوة استراتيجية في خلق جيل مؤهل لإطلاق مشاريع ريادية تنمو في ظل بيئة محفزة ومرنة</w:t>
      </w:r>
      <w:r>
        <w:t>.</w:t>
      </w:r>
    </w:p>
    <w:p w14:paraId="02C5E36A" w14:textId="42D637E9" w:rsidR="00E57E20" w:rsidRDefault="00BE3828" w:rsidP="00C0639D">
      <w:pPr>
        <w:pStyle w:val="NoSpacing"/>
        <w:bidi/>
        <w:rPr>
          <w:rtl/>
        </w:rPr>
      </w:pPr>
      <w:r>
        <w:rPr>
          <w:rtl/>
        </w:rPr>
        <w:t>وبالتالي، فإن اعتماد الدراسة على نظرية ريادة الأعمال يُعد أمرًا مبررًا وضروريًا لفهم كيف استطاعت رؤية 2030 أن تُحدث تحوّلًا في المنظومة الريادية في المملكة فهي نظرية تتكامل مع متطلبات المرحلة الحالية، وتتيح تفسير النمو المطرد في أعداد الشركات الناشئة السعودية، وتساعد على ربط المؤشرات الاقتصادية بالممارسات الريادية الفعلية في السوق المحلي.</w:t>
      </w:r>
      <w:r w:rsidR="004618DA">
        <w:rPr>
          <w:rFonts w:hint="cs"/>
          <w:rtl/>
        </w:rPr>
        <w:t xml:space="preserve"> </w:t>
      </w:r>
      <w:r w:rsidR="004618DA" w:rsidRPr="004618DA">
        <w:rPr>
          <w:rtl/>
        </w:rPr>
        <w:t>(الذيابي، 2022)</w:t>
      </w:r>
    </w:p>
    <w:p w14:paraId="0C170ABD" w14:textId="072F763F" w:rsidR="00567EC3" w:rsidRPr="00567EC3" w:rsidRDefault="00567EC3" w:rsidP="00C0639D">
      <w:pPr>
        <w:pStyle w:val="NoSpacing"/>
        <w:bidi/>
        <w:ind w:firstLine="0"/>
        <w:rPr>
          <w:b/>
          <w:bCs/>
          <w:rtl/>
        </w:rPr>
      </w:pPr>
      <w:r>
        <w:rPr>
          <w:rFonts w:hint="cs"/>
          <w:b/>
          <w:bCs/>
          <w:rtl/>
        </w:rPr>
        <w:t xml:space="preserve">ثانيا: </w:t>
      </w:r>
      <w:r w:rsidRPr="00567EC3">
        <w:rPr>
          <w:b/>
          <w:bCs/>
          <w:rtl/>
        </w:rPr>
        <w:t>نظرية الابتكار</w:t>
      </w:r>
    </w:p>
    <w:p w14:paraId="708DDE2D" w14:textId="20B69BAB" w:rsidR="00BE3828" w:rsidRDefault="00BE3828" w:rsidP="00C0639D">
      <w:pPr>
        <w:pStyle w:val="NoSpacing"/>
        <w:bidi/>
        <w:rPr>
          <w:rtl/>
        </w:rPr>
      </w:pPr>
      <w:r>
        <w:rPr>
          <w:rtl/>
        </w:rPr>
        <w:t>تُعد نظرية الابتكار من الركائز النظرية الأساسية في دراسة الشركات الناشئة، حيث تُسلط الضوء على كيفية خلق القيمة من خلال تقديم أفكار جديدة، وتطبيقها بطرق تساهم في حل المشكلات أو تحسين الخدمات والمنتجات ترتبط هذه النظرية بشكل جوهري برؤية المملكة العربية السعودية 2030، التي تُعلي من شأن الابتكار باعتباره محفزًا رئيسًا للتحول الاقتصادي والتنمية المستدامة وتفترض هذه النظرية أن الابتكار لا يحدث في فراغ، بل هو نتاج لتفاعل بين المعرفة والبيئة والموارد البشرية، وهو ما تسعى الرؤية الوطنية إلى تعزيزه من خلال دعم البحث العلمي وتمكين الشباب</w:t>
      </w:r>
      <w:r>
        <w:t>.</w:t>
      </w:r>
    </w:p>
    <w:p w14:paraId="1EAB7CE2" w14:textId="70536CC7" w:rsidR="00BE3828" w:rsidRDefault="00BE3828" w:rsidP="00C0639D">
      <w:pPr>
        <w:pStyle w:val="NoSpacing"/>
        <w:bidi/>
        <w:rPr>
          <w:rtl/>
        </w:rPr>
      </w:pPr>
      <w:r>
        <w:rPr>
          <w:rtl/>
        </w:rPr>
        <w:t>في السياق السعودي، أصبحت الابتكارات التقنية والخدماتية حجر الأساس الذي تُبنى عليه الشركات الناشئة، خصوصًا في القطاعات الرقمية، والزراعية، والطبية، والتعليمية إذ تمثل رؤية 2030 حافزًا مباشرًا لتمكين هذه الشركات من خلال منحها التمويل والدعم والفرص للمشاركة في المشاريع الوطنية الكبرى ونظرًا لأن الابتكار يتطلب بيئة تجريبية مرنة ومنفتحة على المخاطرة، فإن مبادرات مثل "نيوم" و"برنامج تنمية القدرات البشرية" و"مسك الابتكار" تجسد تطبيقات عملية لمبادئ نظرية الابتكار من حيث رعاية الفكرة من بدايتها وحتى تحولها إلى منتج أو خدمة ذات قيمة سوقية</w:t>
      </w:r>
      <w:r>
        <w:t>.</w:t>
      </w:r>
      <w:r w:rsidR="004618DA">
        <w:rPr>
          <w:rFonts w:hint="cs"/>
          <w:rtl/>
        </w:rPr>
        <w:t xml:space="preserve"> </w:t>
      </w:r>
      <w:r w:rsidR="004618DA" w:rsidRPr="004618DA">
        <w:rPr>
          <w:rtl/>
        </w:rPr>
        <w:t>(سروجي، 2023)</w:t>
      </w:r>
    </w:p>
    <w:p w14:paraId="1C503410" w14:textId="3E503D8C" w:rsidR="00BE3828" w:rsidRDefault="00BE3828" w:rsidP="00C0639D">
      <w:pPr>
        <w:pStyle w:val="NoSpacing"/>
        <w:bidi/>
        <w:rPr>
          <w:rtl/>
        </w:rPr>
      </w:pPr>
      <w:r>
        <w:rPr>
          <w:rtl/>
        </w:rPr>
        <w:t>تشير نظرية الابتكار أيضًا إلى أهمية الثقافة المؤسسية التي تشجع على الإبداع وتحتضن الفشل كجزء من عملية التعلم والتطور وهذا ما بدأت تدركه الكثير من الجهات الحكومية والقطاع الخاص في السعودية، حيث انتقلت من النماذج التقليدية في الإدارة إلى دعم الهياكل المرنة التي تتبنى عقلية ريادة الأعمال والابتكار كما أصبح الابتكار شرطًا رئيسًا في تقييم المشاريع، بل وأساسًا في التعاقدات الحكومية مع القطاع الخاص</w:t>
      </w:r>
      <w:r>
        <w:t>.</w:t>
      </w:r>
    </w:p>
    <w:p w14:paraId="6D6CD19C" w14:textId="2755FE13" w:rsidR="00BE3828" w:rsidRDefault="00BE3828" w:rsidP="00C0639D">
      <w:pPr>
        <w:pStyle w:val="NoSpacing"/>
        <w:bidi/>
        <w:rPr>
          <w:rtl/>
        </w:rPr>
      </w:pPr>
      <w:r>
        <w:rPr>
          <w:rtl/>
        </w:rPr>
        <w:t>ومن زاوية أخرى، توضح النظرية أن الابتكار لا يقتصر على التكنولوجيا فحسب، بل يشمل أيضًا الابتكار التنظيمي والتسويقي والخدمي، وهو ما يظهر بوضوح في الشركات الناشئة التي تقدم نماذج أعمال جديدة تعتمد على التوصيل الذكي، التجارة الإلكترونية، الزراعة العمودية، أو الخدمات المالية الرقمية وتقوم هذه الشركات في الغالب على استغلال الفجوات السوقية وتقديم حلول جديدة، ما يعزز قدرتها على المنافسة والبقاء في سوق سريع التغير</w:t>
      </w:r>
      <w:r>
        <w:t>.</w:t>
      </w:r>
    </w:p>
    <w:p w14:paraId="1534E1D3" w14:textId="00AF7DBF" w:rsidR="00BE3828" w:rsidRDefault="00BE3828" w:rsidP="00C0639D">
      <w:pPr>
        <w:pStyle w:val="NoSpacing"/>
        <w:bidi/>
        <w:rPr>
          <w:rtl/>
        </w:rPr>
      </w:pPr>
      <w:r>
        <w:rPr>
          <w:rtl/>
        </w:rPr>
        <w:t>بناءً عليه، تُعد نظرية الابتكار إطارًا تحليليًا فعالًا لفهم كيف أسهمت رؤية 2030 في إطلاق موجة من التجديد الاقتصادي في المملكة من خلال تمكين الشركات الناشئة ودفعها نحو تبني الابتكار كنهج عمل فهي ليست مجرد نظرية تفسيرية، بل تُعد دليلًا عمليًا لصناع السياسات في كيفية تهيئة بيئة ابتكارية شاملة تدعم النمو الاقتصادي وتعزز من تنافسية السعودية عالميًا.</w:t>
      </w:r>
      <w:r w:rsidR="004618DA">
        <w:rPr>
          <w:rFonts w:hint="cs"/>
          <w:rtl/>
        </w:rPr>
        <w:t xml:space="preserve"> </w:t>
      </w:r>
      <w:r w:rsidR="004618DA" w:rsidRPr="004618DA">
        <w:rPr>
          <w:rtl/>
        </w:rPr>
        <w:t>(سروجي، 2023)</w:t>
      </w:r>
    </w:p>
    <w:p w14:paraId="079362EF" w14:textId="77777777" w:rsidR="00BE3828" w:rsidRPr="00567EC3" w:rsidRDefault="00BE3828" w:rsidP="00C0639D">
      <w:pPr>
        <w:pStyle w:val="NoSpacing"/>
        <w:bidi/>
        <w:ind w:firstLine="0"/>
        <w:rPr>
          <w:b/>
          <w:bCs/>
        </w:rPr>
      </w:pPr>
      <w:r w:rsidRPr="00567EC3">
        <w:rPr>
          <w:b/>
          <w:bCs/>
          <w:rtl/>
        </w:rPr>
        <w:t>ثالثًا: نظرية التنمية الاقتصادية</w:t>
      </w:r>
    </w:p>
    <w:p w14:paraId="3C470F8A" w14:textId="5815991C" w:rsidR="00BE3828" w:rsidRPr="00BE3828" w:rsidRDefault="00BE3828" w:rsidP="00C0639D">
      <w:pPr>
        <w:pStyle w:val="NoSpacing"/>
        <w:bidi/>
      </w:pPr>
      <w:r w:rsidRPr="00BE3828">
        <w:rPr>
          <w:rtl/>
        </w:rPr>
        <w:t>تُعتبر نظرية التنمية الاقتصادية من أهم النظريات التي يمكن من خلالها فهم التحولات الكبرى في الاقتصادات الوطنية، وتحديدًا تلك التي تمر بمرحلة الانتقال من الاعتماد على مورد طبيعي محدد – كالنفط – إلى اقتصاد متنوع ومستدام وتنطلق هذه النظرية من فكرة أن التنمية لا تتحقق فقط عبر النمو الكمي في الناتج المحلي، بل أيضًا عبر تحسين نوعية الحياة، تنويع مصادر الدخل، وتقوية البنية الاقتصادية للمجتمع ووفقًا لهذه النظرية، فإن دعم رواد الأعمال وتوسيع قاعدة الشركات الناشئة يُعد أحد المؤشرات القوية على نضوج البيئة الاقتصادية واتجاهها نحو التوازن والاستدامة</w:t>
      </w:r>
      <w:r w:rsidRPr="00BE3828">
        <w:t>.</w:t>
      </w:r>
    </w:p>
    <w:p w14:paraId="0D2BFB20" w14:textId="04F582A9" w:rsidR="00BE3828" w:rsidRPr="00BE3828" w:rsidRDefault="00BE3828" w:rsidP="00C0639D">
      <w:pPr>
        <w:pStyle w:val="NoSpacing"/>
        <w:bidi/>
      </w:pPr>
      <w:r w:rsidRPr="00BE3828">
        <w:rPr>
          <w:rtl/>
        </w:rPr>
        <w:t>في ضوء رؤية السعودية 2030، يظهر تطبيق نظرية التنمية الاقتصادية بشكل مباشر، إذ تسعى المملكة إلى تنويع مصادر الدخل من خلال دعم قطاعات غير نفطية مثل التكنولوجيا والسياحة والصناعة والخدمات اللوجستية ويُنظر إلى الشركات الناشئة باعتبارها وسيلة فعالة لتحقيق هذا الهدف، كونها أكثر قدرة على التكيف، والاستجابة السريعة للتغيرات، وخلق فرص العمل الجديدة ومن خلال المبادرات الحكومية التي توفر بيئة قانونية وتمويلية ملائمة، يتم تمكين هذه الشركات للنمو، مما يعزز من هيكل الاقتصاد ويقلل من الاعتماد على القطاعات التقليدية</w:t>
      </w:r>
      <w:r w:rsidRPr="00BE3828">
        <w:t>.</w:t>
      </w:r>
      <w:r w:rsidR="004618DA">
        <w:rPr>
          <w:rFonts w:hint="cs"/>
          <w:rtl/>
        </w:rPr>
        <w:t xml:space="preserve"> </w:t>
      </w:r>
      <w:r w:rsidR="004618DA" w:rsidRPr="004618DA">
        <w:rPr>
          <w:rtl/>
        </w:rPr>
        <w:t>(سروجي، 2023)</w:t>
      </w:r>
    </w:p>
    <w:p w14:paraId="6B4DB3DE" w14:textId="19169AB5" w:rsidR="00BE3828" w:rsidRPr="00BE3828" w:rsidRDefault="00BE3828" w:rsidP="00C0639D">
      <w:pPr>
        <w:pStyle w:val="NoSpacing"/>
        <w:bidi/>
      </w:pPr>
      <w:r w:rsidRPr="00BE3828">
        <w:rPr>
          <w:rtl/>
        </w:rPr>
        <w:t>وتؤكد النظرية على دور الدولة في توفير البنية التحتية الملائمة للتنمية، وهو ما يظهر بوضوح في مشاريع التحول الرقمي، والتوسع في شبكات الاتصالات، وتطوير المدن الاقتصادية، وتسهيل إجراءات التراخيص التجارية كما تشدد على أهمية التعليم والتدريب وبناء رأس المال البشري، باعتبار الإنسان محور التنمية لذلك، جاءت برامج مثل "تنمية القدرات البشرية" و"الابتعاث النوعي" كترجمة عملية لهذه الفرضيات النظرية، لتطوير جيل من الكفاءات القادرة على قيادة القطاعات الجديدة وابتكار حلول اقتصادية وريادية</w:t>
      </w:r>
      <w:r w:rsidRPr="00BE3828">
        <w:t>.</w:t>
      </w:r>
    </w:p>
    <w:p w14:paraId="1EFA4329" w14:textId="1339D6FE" w:rsidR="00BE3828" w:rsidRPr="00BE3828" w:rsidRDefault="00BE3828" w:rsidP="00C0639D">
      <w:pPr>
        <w:pStyle w:val="NoSpacing"/>
        <w:bidi/>
      </w:pPr>
      <w:r w:rsidRPr="00BE3828">
        <w:rPr>
          <w:rtl/>
        </w:rPr>
        <w:t>وترتبط التنمية الاقتصادية أيضًا بتوزيع الثروة والفرص بشكل عادل بين الأقاليم والمناطق، وهذا ما تجلّى في دعم الشركات الناشئة في مناطق مثل نيوم، العلا، عسير، والقصيم، وليس فقط في المدن الكبرى فبدلًا من تمركز التنمية في العاصمة أو المراكز الحضرية الكبرى، تسعى رؤية 2030 إلى توزيع النشاط الاقتصادي من خلال تطوير البنى الريفية وربطها باقتصاد المعرفة، وهو ما ينعكس في نمو عدد حاضنات الأعمال ومساحات العمل المشتركة في المناطق الطرفية</w:t>
      </w:r>
      <w:r w:rsidRPr="00BE3828">
        <w:t>.</w:t>
      </w:r>
    </w:p>
    <w:p w14:paraId="01EF4AF3" w14:textId="3D1B8F45" w:rsidR="00BE3828" w:rsidRDefault="00BE3828" w:rsidP="00C0639D">
      <w:pPr>
        <w:pStyle w:val="NoSpacing"/>
        <w:bidi/>
        <w:rPr>
          <w:rtl/>
        </w:rPr>
      </w:pPr>
      <w:r w:rsidRPr="00BE3828">
        <w:rPr>
          <w:rtl/>
        </w:rPr>
        <w:t>إن نظرية التنمية الاقتصادية، إذًا، توفر إطارًا تفسيريًا شاملاً لبحث تأثير رؤية 2030 على واقع الشركات الناشئة، من حيث البيئة، والتمويل، والموارد البشرية، والبنية التحتية، والفرص السوقية وهي تؤكد أن نجاح هذه الشركات لا ينعكس فقط على مستوى الأفراد أو المستثمرين، بل يتجاوز ذلك ليشكل ركيزة أساسية في البناء الاقتصادي الكلي للدولة</w:t>
      </w:r>
      <w:r w:rsidRPr="00BE3828">
        <w:t>.</w:t>
      </w:r>
      <w:r w:rsidR="004618DA">
        <w:rPr>
          <w:rFonts w:hint="cs"/>
          <w:rtl/>
        </w:rPr>
        <w:t xml:space="preserve"> </w:t>
      </w:r>
      <w:r w:rsidR="004618DA" w:rsidRPr="004618DA">
        <w:rPr>
          <w:rtl/>
        </w:rPr>
        <w:t>(سروجي، 2023)</w:t>
      </w:r>
    </w:p>
    <w:p w14:paraId="0AD64188" w14:textId="77777777" w:rsidR="00CD6FD5" w:rsidRPr="00567EC3" w:rsidRDefault="00CD6FD5" w:rsidP="00C0639D">
      <w:pPr>
        <w:pStyle w:val="NoSpacing"/>
        <w:bidi/>
        <w:ind w:firstLine="0"/>
        <w:rPr>
          <w:b/>
          <w:bCs/>
        </w:rPr>
      </w:pPr>
      <w:r w:rsidRPr="00567EC3">
        <w:rPr>
          <w:b/>
          <w:bCs/>
          <w:rtl/>
        </w:rPr>
        <w:t>رابعًا: نظرية الدعم الحكومي</w:t>
      </w:r>
    </w:p>
    <w:p w14:paraId="589CA84A" w14:textId="7A01FF48" w:rsidR="00CD6FD5" w:rsidRPr="00CD6FD5" w:rsidRDefault="00CD6FD5" w:rsidP="00C0639D">
      <w:pPr>
        <w:pStyle w:val="NoSpacing"/>
        <w:bidi/>
      </w:pPr>
      <w:r w:rsidRPr="00CD6FD5">
        <w:rPr>
          <w:rtl/>
        </w:rPr>
        <w:t>تُعد نظرية الدعم الحكومي من النظريات المركزية التي تُفسر كيفية تدخل الدولة في دعم وتحفيز قطاعات معينة من الاقتصاد، لا سيما في الفترات الانتقالية أو في ظل رؤى تنموية كبرى مثل رؤية المملكة 2030 تقوم هذه النظرية على فرضية أن الأسواق وحدها ليست دائمًا كافية لتوفير البيئة المثلى لنمو بعض الفئات الاقتصادية، خصوصًا الشركات الناشئة والصغيرة، ولذلك فإن الدولة تلعب دورًا فاعلًا في تقديم الدعم المالي، والإداري، والتقني، والتشريعي لهذه الكيانات لتتمكن من النمو وتحقيق أهدافها، وبالتالي تفعيل مساهمتها في الاقتصاد الوطني</w:t>
      </w:r>
      <w:r w:rsidRPr="00CD6FD5">
        <w:t>.</w:t>
      </w:r>
    </w:p>
    <w:p w14:paraId="0CF10D55" w14:textId="549A6CB0" w:rsidR="00CD6FD5" w:rsidRPr="00CD6FD5" w:rsidRDefault="00CD6FD5" w:rsidP="00C0639D">
      <w:pPr>
        <w:pStyle w:val="NoSpacing"/>
        <w:bidi/>
      </w:pPr>
      <w:r w:rsidRPr="00CD6FD5">
        <w:rPr>
          <w:rtl/>
        </w:rPr>
        <w:t>في السياق السعودي، وبالارتباط مع أهداف رؤية 2030، يتجلى تطبيق هذه النظرية في أشكال متعددة من الدعم الحكومي الموجه للشركات الناشئة فقد أنشأت المملكة صناديق تمويلية متخصصة مثل صندوق "منشآت"، وصندوق "واعد"، وصندوق "رؤية سوفت بنك"، كما قدمت الدولة حوافز ضريبية، وإعفاءات من الرسوم، وبرامج تدريبية، وإرشادًا تقنيًا ورياديًا وكل هذه الجهود تُعد تطبيقًا عمليًا مباشرًا لمبادئ نظرية الدعم الحكومي، حيث يتم توجيه أدوات الدولة لتقليل المخاطر عن رواد الأعمال وتمكينهم من تجاوز التحديات الأولية التي تواجههم</w:t>
      </w:r>
      <w:r w:rsidRPr="00CD6FD5">
        <w:t>.</w:t>
      </w:r>
      <w:r w:rsidR="004618DA">
        <w:rPr>
          <w:rFonts w:hint="cs"/>
          <w:rtl/>
        </w:rPr>
        <w:t xml:space="preserve"> </w:t>
      </w:r>
      <w:r w:rsidR="004618DA" w:rsidRPr="004618DA">
        <w:rPr>
          <w:rtl/>
        </w:rPr>
        <w:t>(سروجي، 2023)</w:t>
      </w:r>
    </w:p>
    <w:p w14:paraId="16991F51" w14:textId="58DA8981" w:rsidR="00CD6FD5" w:rsidRPr="00CD6FD5" w:rsidRDefault="00CD6FD5" w:rsidP="00C0639D">
      <w:pPr>
        <w:pStyle w:val="NoSpacing"/>
        <w:bidi/>
      </w:pPr>
      <w:r w:rsidRPr="00CD6FD5">
        <w:rPr>
          <w:rtl/>
        </w:rPr>
        <w:t>ترى هذه النظرية أيضًا أن دعم الحكومة لا يجب أن يكون محصورًا في الجوانب المالية فقط، بل يجب أن يشمل أيضًا البيئة القانونية والتنظيمية وقد انعكس هذا بوضوح في الجهود السعودية لتبسيط إجراءات تأسيس الشركات، وتقليص الزمن اللازم للحصول على التراخيص، وإتاحة الخدمات الحكومية عبر المنصات الرقمية مثل "مراس"، و"بلدي"، و"أبشر أعمال" كما اهتمت الحكومة بتوفير مسرعات أعمال، ومساحات عمل مشتركة، وبرامج لربط الشركات الناشئة بالمستثمرين وصناديق رأس المال الجريء، وهو ما يعكس فهمًا دقيقًا لمتطلبات تطبيق هذه النظرية في البيئة الواقعية</w:t>
      </w:r>
      <w:r w:rsidRPr="00CD6FD5">
        <w:t>.</w:t>
      </w:r>
    </w:p>
    <w:p w14:paraId="0B532B10" w14:textId="08D37F66" w:rsidR="00CD6FD5" w:rsidRPr="00CD6FD5" w:rsidRDefault="00CD6FD5" w:rsidP="00C0639D">
      <w:pPr>
        <w:pStyle w:val="NoSpacing"/>
        <w:bidi/>
      </w:pPr>
      <w:r w:rsidRPr="00CD6FD5">
        <w:rPr>
          <w:rtl/>
        </w:rPr>
        <w:t>علاوة على ذلك، تتعامل نظرية الدعم الحكومي مع مفاهيم الإنصاف والتحفيز التكاملي، حيث لا يقتصر الدعم على المناطق الحضرية الكبرى، بل يمتد ليشمل المناطق الطرفية والريفية، وهو ما تم تحقيقه في السعودية من خلال برامج التنمية الإقليمية، مثل دعم الشركات في مشاريع العلا، والطائف الجديدة، ونيوم، ومبادرات أطلقها الصندوق الصناعي وصندوق تنمية الموارد البشرية في مختلف المناطق وتُعزز هذه المبادرات من حضور الشركات الناشئة كجزء من النسيج التنموي المتوازن على مستوى المملكة</w:t>
      </w:r>
      <w:r w:rsidRPr="00CD6FD5">
        <w:t>.</w:t>
      </w:r>
      <w:r w:rsidR="004618DA">
        <w:rPr>
          <w:rFonts w:hint="cs"/>
          <w:rtl/>
        </w:rPr>
        <w:t xml:space="preserve"> </w:t>
      </w:r>
      <w:r w:rsidR="004618DA" w:rsidRPr="004618DA">
        <w:rPr>
          <w:rtl/>
        </w:rPr>
        <w:t>(شلبي، 2019)</w:t>
      </w:r>
    </w:p>
    <w:p w14:paraId="10A7C6FA" w14:textId="7AA1CC92" w:rsidR="00CD6FD5" w:rsidRDefault="00CD6FD5" w:rsidP="00C0639D">
      <w:pPr>
        <w:pStyle w:val="NoSpacing"/>
        <w:bidi/>
        <w:rPr>
          <w:rtl/>
        </w:rPr>
      </w:pPr>
      <w:r w:rsidRPr="00CD6FD5">
        <w:rPr>
          <w:rtl/>
        </w:rPr>
        <w:t>وباختصار، فإن نظرية الدعم الحكومي تُشكل مرتكزًا مهمًا لفهم البيئة الحاضنة التي أوجدتها رؤية 2030 للشركات الناشئة، وتُفسر كيف أن تدخل الدولة الإيجابي، إذا ما أُدير بكفاءة وشفافية، يمكن أن يكون محفزًا أساسيًا للتنمية الاقتصادية وريادة الأعمال لذا فإن هذه النظرية لا تُعد فقط أداة تحليلية لفهم الواقع الحالي، بل تقدم أيضًا إطارًا للتنبؤ بمستقبل الشركات الناشئة ومدى قدرتها على الاستمرار والتوسع في ظل السياسات الحكومية المستدامة</w:t>
      </w:r>
      <w:r w:rsidRPr="00CD6FD5">
        <w:t>.</w:t>
      </w:r>
      <w:r w:rsidR="004618DA">
        <w:rPr>
          <w:rFonts w:hint="cs"/>
          <w:rtl/>
        </w:rPr>
        <w:t xml:space="preserve"> </w:t>
      </w:r>
      <w:r w:rsidR="004618DA" w:rsidRPr="004618DA">
        <w:rPr>
          <w:rtl/>
        </w:rPr>
        <w:t>(الخنيزان، 2019)</w:t>
      </w:r>
    </w:p>
    <w:p w14:paraId="4958D2FA" w14:textId="77777777" w:rsidR="00567EC3" w:rsidRPr="00567EC3" w:rsidRDefault="00567EC3" w:rsidP="00C0639D">
      <w:pPr>
        <w:pStyle w:val="NoSpacing"/>
        <w:bidi/>
        <w:ind w:firstLine="0"/>
        <w:rPr>
          <w:b/>
          <w:bCs/>
        </w:rPr>
      </w:pPr>
      <w:r w:rsidRPr="00567EC3">
        <w:rPr>
          <w:b/>
          <w:bCs/>
          <w:rtl/>
        </w:rPr>
        <w:t>خامسًا: نظرية النظام الإيكولوجي للأعمال</w:t>
      </w:r>
    </w:p>
    <w:p w14:paraId="6FA28CB8" w14:textId="265139D4" w:rsidR="00567EC3" w:rsidRPr="00567EC3" w:rsidRDefault="00567EC3" w:rsidP="00C0639D">
      <w:pPr>
        <w:pStyle w:val="NoSpacing"/>
        <w:bidi/>
      </w:pPr>
      <w:r w:rsidRPr="00567EC3">
        <w:rPr>
          <w:rtl/>
        </w:rPr>
        <w:t>تقوم نظرية النظام الإيكولوجي للأعمال</w:t>
      </w:r>
      <w:r w:rsidRPr="00567EC3">
        <w:t xml:space="preserve"> (Business Ecosystem Theory) </w:t>
      </w:r>
      <w:r w:rsidRPr="00567EC3">
        <w:rPr>
          <w:rtl/>
        </w:rPr>
        <w:t>على تشبيه بيئة الأعمال بالنظام البيئي الطبيعي، حيث تتفاعل مجموعة من الكيانات المتنوعة والمترابطة بشكل تكاملي ومستمر، لتشكل بيئة ديناميكية تدعم الابتكار والنمو والاستدامة وتشمل هذه الكيانات: الشركات الكبرى، الشركات الناشئة، الجهات الحكومية، الجامعات، مؤسسات التمويل، حاضنات ومسرّعات الأعمال، والمستهلكين فكما أن الكائنات في البيئة الطبيعية تحتاج إلى توازن وتغذية وتعاون للبقاء، فإن عناصر بيئة الأعمال تحتاج إلى التكامل والدعم المتبادل من أجل تحقيق القيمة لكل الأطراف</w:t>
      </w:r>
      <w:r w:rsidRPr="00567EC3">
        <w:t>.</w:t>
      </w:r>
    </w:p>
    <w:p w14:paraId="49FD6F1F" w14:textId="2939C935" w:rsidR="00567EC3" w:rsidRPr="00567EC3" w:rsidRDefault="00567EC3" w:rsidP="00C0639D">
      <w:pPr>
        <w:pStyle w:val="NoSpacing"/>
        <w:bidi/>
      </w:pPr>
      <w:r w:rsidRPr="00567EC3">
        <w:rPr>
          <w:rtl/>
        </w:rPr>
        <w:t>تنظر هذه النظرية إلى الشركات الناشئة بوصفها "عناصر نشطة" داخل النظام البيئي، تستفيد من العلاقات مع الكيانات الأكبر، وتستمد من البيئة المحيطة بها موارد وخبرات ومعارف وفرصًا سوقية وفي السياق السعودي، تُعد رؤية 2030 حافزًا ضخمًا لتفعيل هذا النظام الإيكولوجي، من خلال ربط الجامعات بحاضنات الابتكار، وتوجيه التمويل من صناديق الدولة نحو المشاريع الواعدة، وتعزيز التعاون بين القطاعين العام والخاص لاحتضان رواد الأعمال بهذا الشكل، لا تُترك الشركات الناشئة لتواجه السوق وحدها، بل تُمنح "شبكة دعم" متكاملة تتيح لها التوسع والنمو ضمن منظومة اقتصادية متماسكة</w:t>
      </w:r>
      <w:r w:rsidRPr="00567EC3">
        <w:t>.</w:t>
      </w:r>
    </w:p>
    <w:p w14:paraId="1A9CD0E8" w14:textId="06D5B46D" w:rsidR="00567EC3" w:rsidRPr="00567EC3" w:rsidRDefault="00567EC3" w:rsidP="00C0639D">
      <w:pPr>
        <w:pStyle w:val="NoSpacing"/>
        <w:bidi/>
      </w:pPr>
      <w:r w:rsidRPr="00567EC3">
        <w:rPr>
          <w:rtl/>
        </w:rPr>
        <w:t xml:space="preserve">تُشير النظرية أيضًا إلى أهمية </w:t>
      </w:r>
      <w:r w:rsidRPr="00567EC3">
        <w:rPr>
          <w:rStyle w:val="Strong"/>
          <w:b w:val="0"/>
          <w:bCs w:val="0"/>
        </w:rPr>
        <w:t>"</w:t>
      </w:r>
      <w:r w:rsidRPr="00567EC3">
        <w:rPr>
          <w:rStyle w:val="Strong"/>
          <w:b w:val="0"/>
          <w:bCs w:val="0"/>
          <w:rtl/>
        </w:rPr>
        <w:t>المنصات</w:t>
      </w:r>
      <w:r w:rsidRPr="00567EC3">
        <w:rPr>
          <w:rStyle w:val="Strong"/>
          <w:b w:val="0"/>
          <w:bCs w:val="0"/>
        </w:rPr>
        <w:t>"</w:t>
      </w:r>
      <w:r w:rsidRPr="00567EC3">
        <w:t xml:space="preserve"> </w:t>
      </w:r>
      <w:r w:rsidRPr="00567EC3">
        <w:rPr>
          <w:rtl/>
        </w:rPr>
        <w:t>داخل النظام البيئي، وهي البنى الأساسية التي تُيسّر التفاعل بين الأطراف، مثل المنصات التقنية (كمنصة "منشآت" و"سوق التطبيقات الحكومية")، أو الملتقيات الريادية، أو المعارض الاستثمارية وتعتبر هذه المنصات ضرورية لتسريع تبادل المعرفة والتمويل والفرص التجارية من خلال هذا المنظور، يتضح أن رؤية 2030 لم تركز فقط على إصلاح قطاع معين، بل سعت إلى إنشاء نظام مترابط تدعمه البنية التحتية الرقمية، واللوائح القانونية الحديثة، وشبكات التواصل بين الفاعلين الاقتصاديين</w:t>
      </w:r>
      <w:r w:rsidRPr="00567EC3">
        <w:t>.</w:t>
      </w:r>
      <w:r w:rsidR="004618DA">
        <w:rPr>
          <w:rFonts w:hint="cs"/>
          <w:rtl/>
        </w:rPr>
        <w:t xml:space="preserve"> </w:t>
      </w:r>
      <w:r w:rsidR="004618DA" w:rsidRPr="004618DA">
        <w:rPr>
          <w:rtl/>
        </w:rPr>
        <w:t>(الخنيزان، 2019)</w:t>
      </w:r>
    </w:p>
    <w:p w14:paraId="0D070331" w14:textId="21E18922" w:rsidR="00567EC3" w:rsidRPr="00567EC3" w:rsidRDefault="00567EC3" w:rsidP="00C0639D">
      <w:pPr>
        <w:pStyle w:val="NoSpacing"/>
        <w:bidi/>
      </w:pPr>
      <w:r w:rsidRPr="00567EC3">
        <w:rPr>
          <w:rtl/>
        </w:rPr>
        <w:t>كذلك، فإن من ركائز هذه النظرية وجود بيئة مرنة تتسم بالقدرة على التكيف والابتكار، وهي ميزة تسعى المملكة لتعزيزها من خلال تحفيز ثقافة ريادة الأعمال، وتدريب الشباب، وتطوير برامج تعليمية تتماشى مع متطلبات السوق فكلما زادت قدرة النظام البيئي على إنتاج المعرفة وتوزيعها وتوظيفها، زادت احتمالية نمو الشركات الناشئة وازدهارها وهنا نجد أن البرامج السعودية مثل "كود"، و"جامعة الملك عبد الله للعلوم والتقنية</w:t>
      </w:r>
      <w:r w:rsidRPr="00567EC3">
        <w:t xml:space="preserve"> KAUST"</w:t>
      </w:r>
      <w:r w:rsidRPr="00567EC3">
        <w:rPr>
          <w:rtl/>
        </w:rPr>
        <w:t>، تمثل مراكز تفاعلية داخل هذا النظام تدعم الابتكار وتُعزّز فرص التعاون بين القطاعات</w:t>
      </w:r>
      <w:r w:rsidRPr="00567EC3">
        <w:t>.</w:t>
      </w:r>
    </w:p>
    <w:p w14:paraId="61121709" w14:textId="1ECB7BC9" w:rsidR="00567EC3" w:rsidRDefault="00567EC3" w:rsidP="00C0639D">
      <w:pPr>
        <w:pStyle w:val="NoSpacing"/>
        <w:bidi/>
        <w:rPr>
          <w:rtl/>
        </w:rPr>
      </w:pPr>
      <w:r w:rsidRPr="00567EC3">
        <w:rPr>
          <w:rtl/>
        </w:rPr>
        <w:t xml:space="preserve">وفي النهاية، تؤكد نظرية النظام الإيكولوجي للأعمال أن نجاح الشركات الناشئة لا يكون فقط من خلال جهود فردية معزولة، بل عبر العمل ضمن شبكة مترابطة من الشراكات والعلاقات والمصالح المتبادلة وتُعد هذه النظرية مناسبة جدًا لفهم تطورات بيئة الأعمال السعودية في ظل رؤية 2030، حيث تسعى الدولة إلى بناء بيئة متكاملة تدعم النمو الريادي، وتخلق روابط فعالة بين مختلف الأطراف الاقتصادية، مما يسهم في دفع عجلة </w:t>
      </w:r>
      <w:r w:rsidRPr="00156BA4">
        <w:rPr>
          <w:rtl/>
        </w:rPr>
        <w:t>التحول الوطني وتحقيق أهداف التنمية المستدامة</w:t>
      </w:r>
      <w:r w:rsidRPr="00156BA4">
        <w:t>.</w:t>
      </w:r>
      <w:r w:rsidR="004618DA">
        <w:rPr>
          <w:rFonts w:hint="cs"/>
          <w:rtl/>
        </w:rPr>
        <w:t xml:space="preserve"> </w:t>
      </w:r>
      <w:r w:rsidR="004618DA" w:rsidRPr="004618DA">
        <w:rPr>
          <w:rtl/>
        </w:rPr>
        <w:t>(حسين، 2018)</w:t>
      </w:r>
    </w:p>
    <w:p w14:paraId="7F58859D" w14:textId="77777777" w:rsidR="004618DA" w:rsidRPr="00156BA4" w:rsidRDefault="004618DA" w:rsidP="004618DA">
      <w:pPr>
        <w:pStyle w:val="NoSpacing"/>
        <w:bidi/>
        <w:rPr>
          <w:rtl/>
        </w:rPr>
      </w:pPr>
    </w:p>
    <w:p w14:paraId="41E4E31C" w14:textId="77777777" w:rsidR="00156BA4" w:rsidRPr="00156BA4" w:rsidRDefault="007E255D" w:rsidP="00C0639D">
      <w:pPr>
        <w:pStyle w:val="NoSpacing"/>
        <w:bidi/>
        <w:rPr>
          <w:b/>
          <w:bCs/>
          <w:rtl/>
        </w:rPr>
      </w:pPr>
      <w:r w:rsidRPr="00156BA4">
        <w:rPr>
          <w:rFonts w:hint="cs"/>
          <w:b/>
          <w:bCs/>
          <w:rtl/>
        </w:rPr>
        <w:t>سادسا:</w:t>
      </w:r>
      <w:r w:rsidR="00156BA4" w:rsidRPr="00156BA4">
        <w:rPr>
          <w:rFonts w:hint="cs"/>
          <w:b/>
          <w:bCs/>
          <w:rtl/>
        </w:rPr>
        <w:t xml:space="preserve"> </w:t>
      </w:r>
      <w:r w:rsidR="00156BA4" w:rsidRPr="00156BA4">
        <w:rPr>
          <w:b/>
          <w:bCs/>
          <w:rtl/>
        </w:rPr>
        <w:t>نظرية الانتقال المؤسسي</w:t>
      </w:r>
    </w:p>
    <w:p w14:paraId="5981B7AF" w14:textId="594C69A3" w:rsidR="00156BA4" w:rsidRPr="00156BA4" w:rsidRDefault="00156BA4" w:rsidP="00C0639D">
      <w:pPr>
        <w:pStyle w:val="NoSpacing"/>
        <w:bidi/>
        <w:rPr>
          <w:rtl/>
        </w:rPr>
      </w:pPr>
      <w:r w:rsidRPr="00156BA4">
        <w:rPr>
          <w:rtl/>
        </w:rPr>
        <w:t>تركز هذه النظرية على كيفية استجابة المنظمات للتغيرات التي تفرضها البيئة المؤسسية المحيطة بها، مثل السياسات الحكومية، التشريعات، القيم الثقافية، والمعايير الاجتماعية وتفترض النظرية أن المؤسسات – ومنها الشركات الناشئة – تتغير وتتكيف ليس فقط بدافع الكفاءة الاقتصادية، بل أيضًا بفعل الضغوط المؤسسية التي تدفعها نحو الامتثال والتوافق في السياق السعودي، تمثل رؤية 2030 أحد أقوى الأمثلة على هذا النوع من الضغوط المؤسسية الإيجابية، حيث أوجدت حزمة من السياسات والتشريعات التي غيرت بشكل جذري طبيعة العمل المؤسسي، وأجبرت مختلف القطاعات على التكيف مع نموذج جديد قائم على الابتكار والشفافية والتنويع</w:t>
      </w:r>
      <w:r w:rsidRPr="00156BA4">
        <w:t>.</w:t>
      </w:r>
      <w:r w:rsidR="004618DA">
        <w:rPr>
          <w:rFonts w:hint="cs"/>
          <w:rtl/>
        </w:rPr>
        <w:t xml:space="preserve"> </w:t>
      </w:r>
      <w:r w:rsidR="004618DA" w:rsidRPr="004618DA">
        <w:rPr>
          <w:rtl/>
        </w:rPr>
        <w:t>(حسين، 2018)</w:t>
      </w:r>
    </w:p>
    <w:p w14:paraId="0AD2D89B" w14:textId="77777777" w:rsidR="00156BA4" w:rsidRPr="00156BA4" w:rsidRDefault="007E255D" w:rsidP="00037BB4">
      <w:pPr>
        <w:pStyle w:val="NoSpacing"/>
        <w:bidi/>
        <w:ind w:firstLine="0"/>
        <w:rPr>
          <w:b/>
          <w:bCs/>
          <w:rtl/>
        </w:rPr>
      </w:pPr>
      <w:r w:rsidRPr="00156BA4">
        <w:rPr>
          <w:rFonts w:hint="cs"/>
          <w:b/>
          <w:bCs/>
          <w:rtl/>
        </w:rPr>
        <w:t xml:space="preserve">سابعا: </w:t>
      </w:r>
      <w:r w:rsidR="00156BA4" w:rsidRPr="00156BA4">
        <w:rPr>
          <w:rFonts w:hint="cs"/>
          <w:b/>
          <w:bCs/>
          <w:rtl/>
        </w:rPr>
        <w:t xml:space="preserve"> </w:t>
      </w:r>
      <w:r w:rsidR="00156BA4" w:rsidRPr="00156BA4">
        <w:rPr>
          <w:b/>
          <w:bCs/>
          <w:rtl/>
        </w:rPr>
        <w:t>نظرية النمو المراحل</w:t>
      </w:r>
    </w:p>
    <w:p w14:paraId="412D6F06" w14:textId="7024657A" w:rsidR="007E255D" w:rsidRPr="00156BA4" w:rsidRDefault="00156BA4" w:rsidP="00C0639D">
      <w:pPr>
        <w:pStyle w:val="NoSpacing"/>
        <w:bidi/>
        <w:rPr>
          <w:rFonts w:cs="Times New Roman"/>
          <w:rtl/>
        </w:rPr>
      </w:pPr>
      <w:r w:rsidRPr="00156BA4">
        <w:rPr>
          <w:rtl/>
        </w:rPr>
        <w:t>تُستخدم هذه النظرية في تفسير تطور ونمو المنظمات – وخاصة الشركات الناشئة – من مرحلة الفكرة إلى التوسع والاستدامة تنص على أن كل شركة تمر بسلسلة من المراحل مثل: التأسيس، النمو، النضج، ثم التوسع أو التراجع كل مرحلة لها خصائص وتحديات مختلفة تتطلب نماذج دعم وتمويل وإدارة خاصة وهذه النظرية ذات صلة مباشرة بدراستك، حيث يمكن توظيفها في تحليل كيف أن برامج الدعم ضمن رؤية 2030 (مثل منشآت، وبنك التنمية الاجتماعية، وصندوق الاستثمارات العامة) تتدخل في كل مرحلة من هذه المراحل لتضمن بقاء ونمو الشركات الناشئة السعودية، وتنتقل بها من مرحلة البقاء إلى مرحلة المنافسة الإقليمية والعالمية</w:t>
      </w:r>
      <w:r>
        <w:rPr>
          <w:rFonts w:hint="cs"/>
          <w:rtl/>
        </w:rPr>
        <w:t>.</w:t>
      </w:r>
      <w:r w:rsidR="004618DA">
        <w:rPr>
          <w:rFonts w:hint="cs"/>
          <w:rtl/>
        </w:rPr>
        <w:t xml:space="preserve"> </w:t>
      </w:r>
      <w:r w:rsidR="004618DA" w:rsidRPr="004618DA">
        <w:rPr>
          <w:rtl/>
        </w:rPr>
        <w:t>(منصور، 2021)</w:t>
      </w:r>
    </w:p>
    <w:p w14:paraId="535F5244" w14:textId="77777777" w:rsidR="00156BA4" w:rsidRDefault="00156BA4" w:rsidP="00C0639D">
      <w:pPr>
        <w:pStyle w:val="NoSpacing"/>
        <w:bidi/>
        <w:ind w:firstLine="0"/>
        <w:rPr>
          <w:b/>
          <w:bCs/>
          <w:rtl/>
        </w:rPr>
      </w:pPr>
      <w:r w:rsidRPr="00156BA4">
        <w:rPr>
          <w:rFonts w:hint="cs"/>
          <w:b/>
          <w:bCs/>
          <w:rtl/>
        </w:rPr>
        <w:t xml:space="preserve">ثامنا: </w:t>
      </w:r>
      <w:r w:rsidRPr="00156BA4">
        <w:rPr>
          <w:b/>
          <w:bCs/>
          <w:rtl/>
        </w:rPr>
        <w:t>نظرية الانتشار والانتقال التكنولوجي</w:t>
      </w:r>
    </w:p>
    <w:p w14:paraId="095E237B" w14:textId="12834A36" w:rsidR="00156BA4" w:rsidRDefault="00156BA4" w:rsidP="00C0639D">
      <w:pPr>
        <w:pStyle w:val="NoSpacing"/>
        <w:bidi/>
        <w:rPr>
          <w:rtl/>
        </w:rPr>
      </w:pPr>
      <w:r>
        <w:rPr>
          <w:rtl/>
        </w:rPr>
        <w:t>تُعنى هذه النظرية بكيفية تبنّي الأفراد والمؤسسات للتقنيات الجديدة، والعوامل التي تؤثر في سرعة وفعالية هذا التبني وقد طور هذه النظرية "إيفريت روجرز" ضمن ما يُعرف بـ"نظرية انتشار الابتكارات"، وتفترض أن الابتكارات تنتقل تدريجيًا عبر المجتمع أو القطاع عبر مراحل تبدأ من المعرفة وتنتهي بالاعتماد الكامل للتقنية</w:t>
      </w:r>
      <w:r>
        <w:t>.</w:t>
      </w:r>
      <w:r w:rsidR="004618DA">
        <w:rPr>
          <w:rFonts w:hint="cs"/>
          <w:rtl/>
        </w:rPr>
        <w:t xml:space="preserve"> </w:t>
      </w:r>
      <w:r w:rsidR="004618DA" w:rsidRPr="004618DA">
        <w:rPr>
          <w:rtl/>
        </w:rPr>
        <w:t>(الفيفي، 2021)</w:t>
      </w:r>
    </w:p>
    <w:p w14:paraId="0E59929C" w14:textId="33FA47B9" w:rsidR="00156BA4" w:rsidRDefault="00156BA4" w:rsidP="00C0639D">
      <w:pPr>
        <w:pStyle w:val="NoSpacing"/>
        <w:bidi/>
        <w:rPr>
          <w:rtl/>
        </w:rPr>
      </w:pPr>
      <w:r>
        <w:rPr>
          <w:rtl/>
        </w:rPr>
        <w:t>في سياق الشركات الناشئة في المملكة العربية السعودية، يمكن استخدام هذه النظرية لتحليل الكيفية التي تدفع بها رؤية 2030 نحو تبني الرقمنة، والتقنيات الذكية، والحلول الابتكارية في القطاعات المختلفة كما تبرز النظرية أهمية القنوات الحكومية، مثل برامج "منشآت" و"سدايا"، في تسريع عملية انتقال التكنولوجيا من البيئة البحثية أو التجريبية إلى السوق التجارية الفعلية، وتوضّح التحديات التي قد تواجه بعض الشركات في مراحل معينة، كالتمويل أو القبول المجتمعي أو ضعف البنية التحتية الرقمية</w:t>
      </w:r>
      <w:r>
        <w:t>.</w:t>
      </w:r>
    </w:p>
    <w:p w14:paraId="4863CA35" w14:textId="77777777" w:rsidR="00CD6FD5" w:rsidRPr="00567EC3" w:rsidRDefault="00CD6FD5" w:rsidP="00C0639D">
      <w:pPr>
        <w:pStyle w:val="NoSpacing"/>
        <w:bidi/>
      </w:pPr>
    </w:p>
    <w:p w14:paraId="4DFF5563" w14:textId="77777777" w:rsidR="00BE3828" w:rsidRPr="00CD6FD5" w:rsidRDefault="00BE3828" w:rsidP="00C0639D">
      <w:pPr>
        <w:pStyle w:val="NoSpacing"/>
        <w:bidi/>
      </w:pPr>
    </w:p>
    <w:p w14:paraId="38D900B9" w14:textId="77777777" w:rsidR="00BE3828" w:rsidRPr="00BE3828" w:rsidRDefault="00BE3828" w:rsidP="00C0639D">
      <w:pPr>
        <w:pStyle w:val="NoSpacing"/>
        <w:bidi/>
        <w:rPr>
          <w:rtl/>
        </w:rPr>
      </w:pPr>
    </w:p>
    <w:p w14:paraId="18125FDB" w14:textId="55CC639C" w:rsidR="007D1378" w:rsidRDefault="007D1378" w:rsidP="00C0639D">
      <w:pPr>
        <w:pStyle w:val="NoSpacing"/>
        <w:bidi/>
        <w:ind w:firstLine="0"/>
        <w:rPr>
          <w:rtl/>
        </w:rPr>
      </w:pPr>
    </w:p>
    <w:p w14:paraId="4623EDBE" w14:textId="6B645D06" w:rsidR="00F925D0" w:rsidRDefault="00F925D0" w:rsidP="00C0639D">
      <w:pPr>
        <w:bidi/>
        <w:jc w:val="center"/>
        <w:rPr>
          <w:rFonts w:ascii="Sakkal Majalla" w:hAnsi="Sakkal Majalla" w:cs="Sakkal Majalla"/>
          <w:b/>
          <w:bCs/>
          <w:sz w:val="48"/>
          <w:szCs w:val="48"/>
          <w:u w:val="single"/>
          <w:rtl/>
        </w:rPr>
      </w:pPr>
    </w:p>
    <w:p w14:paraId="0861AC6A" w14:textId="77777777" w:rsidR="00F925D0" w:rsidRDefault="00F925D0" w:rsidP="00037BB4">
      <w:pPr>
        <w:bidi/>
        <w:rPr>
          <w:rFonts w:ascii="Sakkal Majalla" w:hAnsi="Sakkal Majalla" w:cs="Sakkal Majalla"/>
          <w:b/>
          <w:bCs/>
          <w:sz w:val="48"/>
          <w:szCs w:val="48"/>
          <w:u w:val="single"/>
          <w:rtl/>
        </w:rPr>
      </w:pPr>
    </w:p>
    <w:p w14:paraId="34FD5DA3" w14:textId="77777777" w:rsidR="00F925D0" w:rsidRDefault="00F925D0" w:rsidP="00C0639D">
      <w:pPr>
        <w:bidi/>
        <w:jc w:val="center"/>
        <w:rPr>
          <w:rFonts w:ascii="Sakkal Majalla" w:hAnsi="Sakkal Majalla" w:cs="Sakkal Majalla"/>
          <w:b/>
          <w:bCs/>
          <w:sz w:val="48"/>
          <w:szCs w:val="48"/>
          <w:u w:val="single"/>
          <w:rtl/>
        </w:rPr>
      </w:pPr>
    </w:p>
    <w:p w14:paraId="6AAFE107" w14:textId="5DE1E252" w:rsidR="00F925D0" w:rsidRPr="009125CE" w:rsidRDefault="00F925D0" w:rsidP="00C0639D">
      <w:pPr>
        <w:pStyle w:val="Heading1"/>
        <w:bidi/>
        <w:rPr>
          <w:rtl/>
        </w:rPr>
      </w:pPr>
      <w:bookmarkStart w:id="10" w:name="_Toc203236993"/>
      <w:r w:rsidRPr="009125CE">
        <w:rPr>
          <w:rFonts w:hint="cs"/>
          <w:rtl/>
        </w:rPr>
        <w:t xml:space="preserve">الفصل </w:t>
      </w:r>
      <w:r>
        <w:rPr>
          <w:rFonts w:hint="cs"/>
          <w:rtl/>
        </w:rPr>
        <w:t>الثاني</w:t>
      </w:r>
      <w:r w:rsidR="008328F7">
        <w:rPr>
          <w:rFonts w:hint="cs"/>
          <w:rtl/>
        </w:rPr>
        <w:t xml:space="preserve">: </w:t>
      </w:r>
      <w:r>
        <w:rPr>
          <w:rFonts w:hint="cs"/>
          <w:rtl/>
        </w:rPr>
        <w:t>الدراسات السابقة</w:t>
      </w:r>
      <w:bookmarkEnd w:id="10"/>
    </w:p>
    <w:p w14:paraId="34548D0B" w14:textId="77777777" w:rsidR="00F925D0" w:rsidRDefault="00F925D0" w:rsidP="00C0639D">
      <w:pPr>
        <w:bidi/>
        <w:rPr>
          <w:rFonts w:ascii="Sakkal Majalla" w:hAnsi="Sakkal Majalla" w:cs="Sakkal Majalla"/>
          <w:sz w:val="28"/>
          <w:szCs w:val="28"/>
          <w:u w:val="single"/>
          <w:rtl/>
        </w:rPr>
      </w:pPr>
    </w:p>
    <w:p w14:paraId="036D7235" w14:textId="77777777" w:rsidR="00F925D0" w:rsidRDefault="00F925D0" w:rsidP="00C0639D">
      <w:pPr>
        <w:bidi/>
        <w:rPr>
          <w:rFonts w:ascii="Sakkal Majalla" w:hAnsi="Sakkal Majalla" w:cs="Sakkal Majalla"/>
          <w:sz w:val="28"/>
          <w:szCs w:val="28"/>
          <w:u w:val="single"/>
          <w:rtl/>
        </w:rPr>
      </w:pPr>
    </w:p>
    <w:p w14:paraId="10C7EEB3" w14:textId="77777777" w:rsidR="00F925D0" w:rsidRDefault="00F925D0" w:rsidP="00C0639D">
      <w:pPr>
        <w:bidi/>
        <w:rPr>
          <w:rFonts w:ascii="Sakkal Majalla" w:hAnsi="Sakkal Majalla" w:cs="Sakkal Majalla"/>
          <w:sz w:val="28"/>
          <w:szCs w:val="28"/>
          <w:u w:val="single"/>
          <w:rtl/>
        </w:rPr>
      </w:pPr>
    </w:p>
    <w:p w14:paraId="31DE7DB7" w14:textId="77777777" w:rsidR="00F925D0" w:rsidRDefault="00F925D0" w:rsidP="00C0639D">
      <w:pPr>
        <w:bidi/>
        <w:rPr>
          <w:rFonts w:ascii="Sakkal Majalla" w:hAnsi="Sakkal Majalla" w:cs="Sakkal Majalla"/>
          <w:sz w:val="28"/>
          <w:szCs w:val="28"/>
          <w:u w:val="single"/>
          <w:rtl/>
        </w:rPr>
      </w:pPr>
    </w:p>
    <w:p w14:paraId="1E5462C4" w14:textId="77777777" w:rsidR="00F925D0" w:rsidRDefault="00F925D0" w:rsidP="00C0639D">
      <w:pPr>
        <w:bidi/>
        <w:rPr>
          <w:rFonts w:ascii="Sakkal Majalla" w:hAnsi="Sakkal Majalla" w:cs="Sakkal Majalla"/>
          <w:sz w:val="28"/>
          <w:szCs w:val="28"/>
          <w:u w:val="single"/>
          <w:rtl/>
        </w:rPr>
      </w:pPr>
    </w:p>
    <w:p w14:paraId="779E885D" w14:textId="77777777" w:rsidR="00F925D0" w:rsidRDefault="00F925D0" w:rsidP="00C0639D">
      <w:pPr>
        <w:bidi/>
        <w:rPr>
          <w:rFonts w:ascii="Sakkal Majalla" w:hAnsi="Sakkal Majalla" w:cs="Sakkal Majalla"/>
          <w:sz w:val="28"/>
          <w:szCs w:val="28"/>
          <w:u w:val="single"/>
          <w:rtl/>
        </w:rPr>
      </w:pPr>
    </w:p>
    <w:p w14:paraId="619873C1" w14:textId="77777777" w:rsidR="00F925D0" w:rsidRDefault="00F925D0" w:rsidP="00C0639D">
      <w:pPr>
        <w:bidi/>
        <w:rPr>
          <w:rFonts w:ascii="Sakkal Majalla" w:hAnsi="Sakkal Majalla" w:cs="Sakkal Majalla"/>
          <w:sz w:val="28"/>
          <w:szCs w:val="28"/>
          <w:u w:val="single"/>
          <w:rtl/>
        </w:rPr>
      </w:pPr>
    </w:p>
    <w:p w14:paraId="3FF9ADBE" w14:textId="77777777" w:rsidR="00F925D0" w:rsidRDefault="00F925D0" w:rsidP="00C0639D">
      <w:pPr>
        <w:bidi/>
        <w:rPr>
          <w:rFonts w:ascii="Sakkal Majalla" w:hAnsi="Sakkal Majalla" w:cs="Sakkal Majalla"/>
          <w:sz w:val="28"/>
          <w:szCs w:val="28"/>
          <w:u w:val="single"/>
          <w:rtl/>
        </w:rPr>
      </w:pPr>
    </w:p>
    <w:p w14:paraId="2112A7FC" w14:textId="77777777" w:rsidR="00F925D0" w:rsidRDefault="00F925D0" w:rsidP="00C0639D">
      <w:pPr>
        <w:bidi/>
        <w:rPr>
          <w:rFonts w:ascii="Sakkal Majalla" w:hAnsi="Sakkal Majalla" w:cs="Sakkal Majalla"/>
          <w:sz w:val="28"/>
          <w:szCs w:val="28"/>
          <w:u w:val="single"/>
          <w:rtl/>
        </w:rPr>
      </w:pPr>
    </w:p>
    <w:p w14:paraId="3C752219" w14:textId="77777777" w:rsidR="00F925D0" w:rsidRDefault="00F925D0" w:rsidP="00C0639D">
      <w:pPr>
        <w:bidi/>
        <w:rPr>
          <w:rFonts w:ascii="Sakkal Majalla" w:hAnsi="Sakkal Majalla" w:cs="Sakkal Majalla"/>
          <w:sz w:val="28"/>
          <w:szCs w:val="28"/>
          <w:u w:val="single"/>
          <w:rtl/>
        </w:rPr>
      </w:pPr>
    </w:p>
    <w:p w14:paraId="1D2CBF4B" w14:textId="77777777" w:rsidR="008328F7" w:rsidRDefault="008328F7" w:rsidP="00C0639D">
      <w:pPr>
        <w:bidi/>
        <w:rPr>
          <w:rFonts w:ascii="Sakkal Majalla" w:hAnsi="Sakkal Majalla" w:cs="Sakkal Majalla"/>
          <w:sz w:val="28"/>
          <w:szCs w:val="28"/>
          <w:u w:val="single"/>
          <w:rtl/>
        </w:rPr>
      </w:pPr>
    </w:p>
    <w:p w14:paraId="7252155E" w14:textId="77777777" w:rsidR="008328F7" w:rsidRDefault="008328F7" w:rsidP="00C0639D">
      <w:pPr>
        <w:bidi/>
        <w:rPr>
          <w:rFonts w:ascii="Sakkal Majalla" w:hAnsi="Sakkal Majalla" w:cs="Sakkal Majalla"/>
          <w:sz w:val="28"/>
          <w:szCs w:val="28"/>
          <w:u w:val="single"/>
          <w:rtl/>
        </w:rPr>
      </w:pPr>
    </w:p>
    <w:p w14:paraId="7F84F0E3" w14:textId="77777777" w:rsidR="008328F7" w:rsidRPr="00E67422" w:rsidRDefault="008328F7" w:rsidP="00C0639D">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C0639D">
      <w:pPr>
        <w:pStyle w:val="Heading2"/>
        <w:bidi/>
        <w:rPr>
          <w:rtl/>
        </w:rPr>
      </w:pPr>
      <w:bookmarkStart w:id="11" w:name="_Toc203236994"/>
      <w:r>
        <w:rPr>
          <w:rFonts w:hint="cs"/>
          <w:rtl/>
        </w:rPr>
        <w:t>ال</w:t>
      </w:r>
      <w:r w:rsidR="00F925D0">
        <w:rPr>
          <w:rFonts w:hint="cs"/>
          <w:rtl/>
        </w:rPr>
        <w:t>مقدمة</w:t>
      </w:r>
      <w:r>
        <w:rPr>
          <w:rFonts w:hint="cs"/>
          <w:rtl/>
        </w:rPr>
        <w:t>:</w:t>
      </w:r>
      <w:bookmarkEnd w:id="11"/>
    </w:p>
    <w:p w14:paraId="77CE3C05" w14:textId="79F7C919" w:rsidR="00F925D0" w:rsidRPr="00003D6C" w:rsidRDefault="00003D6C" w:rsidP="00003D6C">
      <w:pPr>
        <w:pStyle w:val="NoSpacing"/>
        <w:bidi/>
        <w:rPr>
          <w:rtl/>
        </w:rPr>
      </w:pPr>
      <w:r w:rsidRPr="00003D6C">
        <w:rPr>
          <w:rtl/>
        </w:rPr>
        <w:t>شهدت السنوات الأخيرة تزايدًا ملحوظًا في الاهتمام البحثي بتحليل أثر رؤية المملكة العربية السعودية 2030 على القطاعات الحيوية، خاصة في مجالات التعليم، الصحة، الاقتصاد، والتنمية المجتمعية حيث ركّزت معظم الدراسات الحديثة على استكشاف مدى فاعلية السياسات الوطنية في إحداث التحول المؤسسي، وتعزيز التنافسية، ودعم الابتكار المؤسسي، بالإضافة إلى تقييم جودة الأداء وتحقيق التنمية المستدامة وقد جاءت هذه الأبحاث مدعومة بأطر نظرية متنوعة ومنهجيات بحثية متعددة، استهدفت تشخيص الواقع وتقديم توصيات عملية لتجويد العمل المؤسسي ورفع كفاءته بما يتوافق مع متطلبات الرؤية الطموحة وتبرز أهمية هذه الدراسات في كونها تؤسس لقاعدة معرفية تساهم في فهم التحديات وتحديد الأولويات، وتساعد صناع القرار في رسم السياسات التطويرية كما أن المقارنات بين السياقات المحلية والعالمية تعطي صورة أعمق عن موقع المملكة في خريطة التنمية العالمية، وتوضح مدى الاستفادة من التجارب الدولية عليه، فإن الدراسات السابقة تمثل مرجعًا مهمًا لأي بحث يستهدف رصد التغيرات المؤسسية والاجتماعية في ظل رؤية 2030، وتتيح فرصة للمقارنة والتحليل والتقويم المستمر.</w:t>
      </w:r>
    </w:p>
    <w:p w14:paraId="6F8A6CA3" w14:textId="66573A0F" w:rsidR="00F925D0" w:rsidRDefault="00F925D0" w:rsidP="00C0639D">
      <w:pPr>
        <w:pStyle w:val="Heading2"/>
        <w:bidi/>
        <w:rPr>
          <w:rtl/>
        </w:rPr>
      </w:pPr>
      <w:bookmarkStart w:id="12" w:name="_Toc203236995"/>
      <w:r>
        <w:rPr>
          <w:rFonts w:hint="cs"/>
          <w:rtl/>
        </w:rPr>
        <w:t>الدراسات السابقة</w:t>
      </w:r>
      <w:r w:rsidR="00786BD8">
        <w:rPr>
          <w:rFonts w:hint="cs"/>
          <w:rtl/>
        </w:rPr>
        <w:t>:</w:t>
      </w:r>
      <w:bookmarkEnd w:id="12"/>
    </w:p>
    <w:p w14:paraId="09BF084D" w14:textId="645A7F5B" w:rsidR="00BE3828" w:rsidRDefault="00BE3828" w:rsidP="00C0639D">
      <w:pPr>
        <w:pStyle w:val="Heading3"/>
        <w:rPr>
          <w:rtl/>
        </w:rPr>
      </w:pPr>
      <w:bookmarkStart w:id="13" w:name="_Toc203236996"/>
      <w:r>
        <w:rPr>
          <w:rFonts w:hint="cs"/>
          <w:rtl/>
        </w:rPr>
        <w:t xml:space="preserve">١. </w:t>
      </w:r>
      <w:r w:rsidR="00786BD8">
        <w:rPr>
          <w:rFonts w:hint="cs"/>
          <w:rtl/>
        </w:rPr>
        <w:t>الدراسات العربية</w:t>
      </w:r>
      <w:r w:rsidR="00190BBB">
        <w:rPr>
          <w:rFonts w:hint="cs"/>
          <w:rtl/>
        </w:rPr>
        <w:t>:</w:t>
      </w:r>
      <w:bookmarkEnd w:id="13"/>
    </w:p>
    <w:p w14:paraId="748E695A" w14:textId="5C30787A" w:rsidR="00B34026" w:rsidRPr="00B34026" w:rsidRDefault="00B34026" w:rsidP="00B34026">
      <w:pPr>
        <w:pStyle w:val="NoSpacing"/>
        <w:bidi/>
        <w:ind w:firstLine="0"/>
        <w:rPr>
          <w:rtl/>
        </w:rPr>
      </w:pPr>
      <w:r w:rsidRPr="00B34026">
        <w:rPr>
          <w:rStyle w:val="Strong"/>
          <w:rtl/>
        </w:rPr>
        <w:t>حمد بن عبد</w:t>
      </w:r>
      <w:r w:rsidRPr="00B34026">
        <w:rPr>
          <w:rStyle w:val="Strong"/>
          <w:rFonts w:ascii="Times New Roman" w:hAnsi="Times New Roman" w:cs="Times New Roman" w:hint="cs"/>
          <w:rtl/>
        </w:rPr>
        <w:t> </w:t>
      </w:r>
      <w:r w:rsidRPr="00B34026">
        <w:rPr>
          <w:rStyle w:val="Strong"/>
          <w:rtl/>
        </w:rPr>
        <w:t>الله بن محمد القميزي (2021</w:t>
      </w:r>
      <w:r w:rsidRPr="00B34026">
        <w:rPr>
          <w:rStyle w:val="Strong"/>
          <w:rFonts w:hint="cs"/>
          <w:rtl/>
        </w:rPr>
        <w:t>)</w:t>
      </w:r>
    </w:p>
    <w:p w14:paraId="2D517115" w14:textId="31EAC556" w:rsidR="00B34026" w:rsidRPr="00B34026" w:rsidRDefault="00B34026" w:rsidP="00B34026">
      <w:pPr>
        <w:pStyle w:val="NoSpacing"/>
        <w:bidi/>
      </w:pPr>
      <w:r w:rsidRPr="00B34026">
        <w:rPr>
          <w:rtl/>
        </w:rPr>
        <w:t>تأتي دراسة القميزي تحت عنوان "دراسة تقويمية تطويرية لمشروع المراكز العلمية بالمملكة العربية السعودية في ضوء رؤية المملكة 2030"، وقد هدفت إلى تقييم مشروع المراكز العلمية باعتبارها إحدى المبادرات التعليمية المعرفية الهامة في المملكة، في ضوء التوجهات المستقبلية لرؤية 2030 وقد سعى الباحث من خلال هذا التقييم إلى إبراز نقاط القوة والضعف في المشروع، وتقديم تصور تطويري يساعد على تعزيز أدائه بما يتماشى مع متطلبات التنمية المستدامة والتحول الوطني</w:t>
      </w:r>
      <w:r w:rsidRPr="00B34026">
        <w:t>.</w:t>
      </w:r>
    </w:p>
    <w:p w14:paraId="286BFA30" w14:textId="41663988" w:rsidR="00B34026" w:rsidRPr="00B34026" w:rsidRDefault="00B34026" w:rsidP="00B34026">
      <w:pPr>
        <w:pStyle w:val="NoSpacing"/>
        <w:bidi/>
      </w:pPr>
      <w:r w:rsidRPr="00B34026">
        <w:rPr>
          <w:rtl/>
        </w:rPr>
        <w:t>استخدم الباحث المنهج الوصفي التحليلي كمنهج رئيسي، لكونه الأنسب في تحليل واقع المشروع وتحديد أوجه القصور أو التميز فيه وتركزت أدوات جمع البيانات على استبانة موجهة للعاملين في تلك المراكز وكذلك لبعض المستفيدين من خدماتها وقد اختار الباحث مجتمع الدراسة من إدارات المراكز العلمية المختلفة في أنحاء المملكة، مع عينة مركزة من الخبراء التربويين ومطوري المناهج والمهتمين بالتعليم غير النظامي</w:t>
      </w:r>
      <w:r w:rsidRPr="00B34026">
        <w:t>.</w:t>
      </w:r>
    </w:p>
    <w:p w14:paraId="5169C8D2" w14:textId="3BB004AA" w:rsidR="00B34026" w:rsidRPr="00B34026" w:rsidRDefault="00B34026" w:rsidP="00B34026">
      <w:pPr>
        <w:pStyle w:val="NoSpacing"/>
        <w:bidi/>
      </w:pPr>
      <w:r w:rsidRPr="00B34026">
        <w:rPr>
          <w:rtl/>
        </w:rPr>
        <w:t>أظهرت النتائج أن المراكز العلمية تلعب دورًا واعدًا في دعم مسارات التعليم الموازي، إلا أن هناك فجوات في تمويل الأنشطة، وضعف في التكامل المؤسسي مع وزارات أخرى، إضافة إلى الحاجة إلى تدريب متخصص للعاملين وبينت الدراسة أن كثيرًا من المراكز لا تستثمر الإمكانات التقنية بشكل يتوافق مع تطلعات الرؤية كما تم تسجيل حاجة إلى مراجعة محتوى الأنشطة التعليمية بما ينسجم مع متطلبات المهارات المستقبلية</w:t>
      </w:r>
      <w:r w:rsidRPr="00B34026">
        <w:t>.</w:t>
      </w:r>
    </w:p>
    <w:p w14:paraId="4C32C878" w14:textId="710D5FC7" w:rsidR="00B34026" w:rsidRPr="00B34026" w:rsidRDefault="00B34026" w:rsidP="00B34026">
      <w:pPr>
        <w:pStyle w:val="NoSpacing"/>
        <w:bidi/>
      </w:pPr>
      <w:r w:rsidRPr="00B34026">
        <w:rPr>
          <w:rtl/>
        </w:rPr>
        <w:t>أوصت الدراسة بضرورة تبني خطة تطويرية واضحة للمراكز العلمية تقوم على التكامل بين وزارتي التعليم والثقافة، مع زيادة التمويل الحكومي وتفعيل الشراكات مع القطاع الخاص، وتطوير المناهج المقدمة لتواكب مفاهيم الثورة الصناعية الرابعة، وربط برامج المراكز بمؤشرات أداء واضحة تساهم في تحقيق الأهداف الاستراتيجية لرؤية المملكة 2030</w:t>
      </w:r>
      <w:r w:rsidRPr="00B34026">
        <w:t>.</w:t>
      </w:r>
    </w:p>
    <w:p w14:paraId="22CA2E9B" w14:textId="37221944" w:rsidR="00B34026" w:rsidRPr="00B34026" w:rsidRDefault="00B34026" w:rsidP="00003D6C">
      <w:pPr>
        <w:pStyle w:val="NoSpacing"/>
        <w:bidi/>
        <w:ind w:firstLine="0"/>
        <w:rPr>
          <w:rStyle w:val="Strong"/>
          <w:rtl/>
        </w:rPr>
      </w:pPr>
      <w:r w:rsidRPr="00B34026">
        <w:rPr>
          <w:rStyle w:val="Strong"/>
          <w:rtl/>
        </w:rPr>
        <w:t>عبد</w:t>
      </w:r>
      <w:r w:rsidRPr="00B34026">
        <w:rPr>
          <w:rStyle w:val="Strong"/>
          <w:rFonts w:ascii="Times New Roman" w:hAnsi="Times New Roman" w:cs="Times New Roman" w:hint="cs"/>
          <w:rtl/>
        </w:rPr>
        <w:t> </w:t>
      </w:r>
      <w:r w:rsidRPr="00B34026">
        <w:rPr>
          <w:rStyle w:val="Strong"/>
          <w:rtl/>
        </w:rPr>
        <w:t>القادر بن عبيد الله بن عبد</w:t>
      </w:r>
      <w:r w:rsidRPr="00B34026">
        <w:rPr>
          <w:rStyle w:val="Strong"/>
          <w:rFonts w:ascii="Times New Roman" w:hAnsi="Times New Roman" w:cs="Times New Roman" w:hint="cs"/>
          <w:rtl/>
        </w:rPr>
        <w:t> </w:t>
      </w:r>
      <w:r w:rsidRPr="00B34026">
        <w:rPr>
          <w:rStyle w:val="Strong"/>
          <w:rtl/>
        </w:rPr>
        <w:t>الله الحميري (2021</w:t>
      </w:r>
      <w:r w:rsidRPr="00B34026">
        <w:rPr>
          <w:rStyle w:val="Strong"/>
          <w:rFonts w:hint="cs"/>
          <w:rtl/>
        </w:rPr>
        <w:t>)</w:t>
      </w:r>
    </w:p>
    <w:p w14:paraId="53417EA1" w14:textId="6AAFC8A5" w:rsidR="00B34026" w:rsidRPr="00B34026" w:rsidRDefault="00B34026" w:rsidP="00B34026">
      <w:pPr>
        <w:pStyle w:val="NoSpacing"/>
        <w:bidi/>
      </w:pPr>
      <w:r w:rsidRPr="00B34026">
        <w:rPr>
          <w:rtl/>
        </w:rPr>
        <w:t>جاءت دراسة الحميري بعنوان "تصور مقترح لتفعيل استراتيجيات التدريس الحديثة بجامعة تبوك لتحقيق رؤية المملكة 2030"، وسعت إلى بناء نموذج تطبيقي يعزز فعالية التعليم الجامعي من خلال دمج استراتيجيات تدريس حديثة تتماشى مع متطلبات الرؤية، لا سيما في ظل التوجه نحو اقتصاد المعرفة وتطوير رأس المال البشري وقد ركّز الباحث على ضرورة الانتقال من أساليب التعليم التقليدية إلى نماذج تعليمية تفاعلية وتشاركية</w:t>
      </w:r>
      <w:r w:rsidRPr="00B34026">
        <w:t>.</w:t>
      </w:r>
    </w:p>
    <w:p w14:paraId="12A3DAEE" w14:textId="74B14871" w:rsidR="00B34026" w:rsidRPr="00B34026" w:rsidRDefault="00B34026" w:rsidP="00B34026">
      <w:pPr>
        <w:pStyle w:val="NoSpacing"/>
        <w:bidi/>
      </w:pPr>
      <w:r w:rsidRPr="00B34026">
        <w:rPr>
          <w:rtl/>
        </w:rPr>
        <w:t>اعتمدت الدراسة على المنهج الوصفي التحليلي، وجمعت البيانات باستخدام استبانة وُجّهت إلى أعضاء هيئة التدريس بجامعة تبوك، حيث تم اختيار عينة من مختلف الكليات الأكاديمية ذات التخصصات المتنوعة وهدفت الأداة إلى قياس مدى توافر ممارسات التدريس الحديثة، والمعوقات التي تواجه استخدامها، ومدى وعي أعضاء الهيئة التدريسية بالرؤية الوطنية ومتطلباتها</w:t>
      </w:r>
      <w:r w:rsidRPr="00B34026">
        <w:t>.</w:t>
      </w:r>
    </w:p>
    <w:p w14:paraId="33129A47" w14:textId="50350379" w:rsidR="00B34026" w:rsidRPr="00B34026" w:rsidRDefault="00B34026" w:rsidP="00B34026">
      <w:pPr>
        <w:pStyle w:val="NoSpacing"/>
        <w:bidi/>
      </w:pPr>
      <w:r w:rsidRPr="00B34026">
        <w:rPr>
          <w:rtl/>
        </w:rPr>
        <w:t>أظهرت النتائج وجود فجوة واضحة بين التوجهات الاستراتيجية لرؤية 2030 والتطبيق الفعلي لأساليب التدريس الحديثة، حيث أشار عدد كبير من أعضاء هيئة التدريس إلى أن المقررات ما زالت تعتمد على الإلقاء المباشر، وأن هناك نقصًا في التدريب المهني المستمر، وضعفًا في توفير البنية التحتية المناسبة للتعليم التفاعلي كما بيّنت النتائج أن هناك استعدادًا نفسيًا لدى عدد كبير من الأكاديميين للتطوير، لكن ينقصهم الدعم المؤسسي والخطط الواضحة</w:t>
      </w:r>
      <w:r w:rsidRPr="00B34026">
        <w:t>.</w:t>
      </w:r>
    </w:p>
    <w:p w14:paraId="6BB56A03" w14:textId="77777777" w:rsidR="00B34026" w:rsidRPr="00B34026" w:rsidRDefault="00B34026" w:rsidP="00B34026">
      <w:pPr>
        <w:pStyle w:val="NoSpacing"/>
        <w:bidi/>
      </w:pPr>
      <w:r w:rsidRPr="00B34026">
        <w:rPr>
          <w:rtl/>
        </w:rPr>
        <w:t>وأوصت الدراسة بضرورة إعادة تصميم المناهج الجامعية بما يتماشى مع منهجية التعلم النشط، وتكثيف الورش التدريبية حول استراتيجيات التدريس الحديثة، وتوفير بيئات تعليمية محفّزة تعتمد على التكنولوجيا، كما أوصى الباحث بتفعيل وحدات ضمان الجودة في الكليات لمتابعة تنفيذ البرامج التطويرية وربطها بمؤشرات أداء مرتبطة بالرؤية الوطنية 2030</w:t>
      </w:r>
      <w:r w:rsidRPr="00B34026">
        <w:t>.</w:t>
      </w:r>
    </w:p>
    <w:p w14:paraId="5F31F9B2" w14:textId="1C554FB5" w:rsidR="00BF241C" w:rsidRPr="00BF241C" w:rsidRDefault="00BF241C" w:rsidP="00BF241C">
      <w:pPr>
        <w:pStyle w:val="NoSpacing"/>
        <w:bidi/>
        <w:ind w:firstLine="0"/>
        <w:rPr>
          <w:b/>
          <w:bCs/>
          <w:rtl/>
        </w:rPr>
      </w:pPr>
      <w:r w:rsidRPr="00BF241C">
        <w:rPr>
          <w:b/>
          <w:bCs/>
          <w:rtl/>
        </w:rPr>
        <w:t>رغد صالح محمد الروضان (2021</w:t>
      </w:r>
      <w:r w:rsidRPr="00BF241C">
        <w:rPr>
          <w:rFonts w:hint="cs"/>
          <w:b/>
          <w:bCs/>
          <w:rtl/>
        </w:rPr>
        <w:t>)</w:t>
      </w:r>
    </w:p>
    <w:p w14:paraId="1B44F9EF" w14:textId="1CD30C81" w:rsidR="00BF241C" w:rsidRDefault="00BF241C" w:rsidP="00BF241C">
      <w:pPr>
        <w:pStyle w:val="NoSpacing"/>
        <w:bidi/>
        <w:rPr>
          <w:rtl/>
        </w:rPr>
      </w:pPr>
      <w:r>
        <w:rPr>
          <w:rtl/>
        </w:rPr>
        <w:t>تناولت دراسة الروضان المعنونة "واقع حوكمة كلية التربية بجامعة القصيم في ضوء رؤية المملكة 2030" مسألة حوكمة المؤسسات التعليمية، وبالأخص الكليات الجامعية، باعتبارها أحد المرتكزات الأساسية لتحقيق رؤية المملكة هدفت الدراسة إلى التعرف على مدى تطبيق مبادئ الحوكمة في كلية التربية، مثل الشفافية، المساءلة، المشاركة، والكفاءة، ومدى توافق هذه الممارسات مع تطلعات الرؤية المستقبلية التي تركز على التميز المؤسسي والجودة في الأداء</w:t>
      </w:r>
      <w:r>
        <w:t>.</w:t>
      </w:r>
    </w:p>
    <w:p w14:paraId="4B249274" w14:textId="679378A4" w:rsidR="00BF241C" w:rsidRDefault="00BF241C" w:rsidP="00BF241C">
      <w:pPr>
        <w:pStyle w:val="NoSpacing"/>
        <w:bidi/>
        <w:rPr>
          <w:rtl/>
        </w:rPr>
      </w:pPr>
      <w:r>
        <w:rPr>
          <w:rtl/>
        </w:rPr>
        <w:t>اتبعت الباحثة المنهج الوصفي التحليلي، وجمعت البيانات من خلال استبانة موجهة إلى أعضاء هيئة التدريس والإداريين في الكلية، حيث بلغ عدد أفراد العينة 102 مشاركًا، تم اختيارهم بطريقة عشوائية طبقية تضمنت الأداة عدة محاور تمثل أبعاد الحوكمة كما حددتها الأدبيات الحديثة، مع ربطها بمتطلبات التطوير المؤسسي المنصوص عليها في خطط رؤية 2030</w:t>
      </w:r>
      <w:r>
        <w:t>.</w:t>
      </w:r>
    </w:p>
    <w:p w14:paraId="6244DF43" w14:textId="1F882C3B" w:rsidR="00BF241C" w:rsidRDefault="00BF241C" w:rsidP="00BF241C">
      <w:pPr>
        <w:pStyle w:val="NoSpacing"/>
        <w:bidi/>
        <w:rPr>
          <w:rtl/>
        </w:rPr>
      </w:pPr>
      <w:r>
        <w:rPr>
          <w:rtl/>
        </w:rPr>
        <w:t>أظهرت نتائج الدراسة أن هناك مستوى متوسط من تطبيق مبادئ الحوكمة في كلية التربية، حيث جاءت أعلى الدرجات في محور الشفافية، تليها المشاركة، في حين أن المساءلة وتقييم الأداء المؤسسي سجلت مستويات ضعيفة كما اتضح أن معظم الإجراءات تفتقر إلى آليات موثقة ومعلنة، وأن صنع القرار ما زال مركزيًا في كثير من الجوانب، وهو ما يحدّ من فعالية تطبيق الحوكمة بشكل كامل</w:t>
      </w:r>
      <w:r>
        <w:t>.</w:t>
      </w:r>
    </w:p>
    <w:p w14:paraId="3F39A49A" w14:textId="4615A88D" w:rsidR="00BF241C" w:rsidRDefault="00BF241C" w:rsidP="00BF241C">
      <w:pPr>
        <w:pStyle w:val="NoSpacing"/>
        <w:bidi/>
        <w:rPr>
          <w:rtl/>
        </w:rPr>
      </w:pPr>
      <w:r>
        <w:rPr>
          <w:rtl/>
        </w:rPr>
        <w:t>أوصت الدراسة بضرورة وضع إطار تنظيمي للحوكمة يتضمن لائحة تنفيذية ومعايير واضحة للتقييم، وتفعيل المجالس الأكاديمية واللجان الداخلية، وربط الحوكمة بمؤشرات الأداء المؤسسي والجودة كما دعت إلى تعزيز ثقافة الحوكمة بين منسوبي الكلية عبر برامج تدريبية، وتوسيع دائرة اتخاذ القرار ليشمل ممثلين عن الطلاب والمجتمع المحلي، انسجامًا مع متطلبات رؤية 2030 في بناء جامعات ذات استقلالية وكفاءة</w:t>
      </w:r>
      <w:r>
        <w:t>.</w:t>
      </w:r>
    </w:p>
    <w:p w14:paraId="57DBEECC" w14:textId="774E4645" w:rsidR="00BF241C" w:rsidRPr="00BF241C" w:rsidRDefault="00BF241C" w:rsidP="00BF241C">
      <w:pPr>
        <w:pStyle w:val="NoSpacing"/>
        <w:bidi/>
        <w:ind w:firstLine="0"/>
        <w:rPr>
          <w:b/>
          <w:bCs/>
          <w:rtl/>
        </w:rPr>
      </w:pPr>
      <w:r w:rsidRPr="00BF241C">
        <w:rPr>
          <w:b/>
          <w:bCs/>
          <w:rtl/>
        </w:rPr>
        <w:t>أمجاد منصور عيضة العتيبي (2021</w:t>
      </w:r>
      <w:r w:rsidRPr="00BF241C">
        <w:rPr>
          <w:rFonts w:hint="cs"/>
          <w:b/>
          <w:bCs/>
          <w:rtl/>
        </w:rPr>
        <w:t>)</w:t>
      </w:r>
    </w:p>
    <w:p w14:paraId="2B64F4AF" w14:textId="77777777" w:rsidR="00BF241C" w:rsidRDefault="00BF241C" w:rsidP="00BF241C">
      <w:pPr>
        <w:pStyle w:val="NoSpacing"/>
        <w:bidi/>
        <w:rPr>
          <w:rtl/>
        </w:rPr>
      </w:pPr>
      <w:r>
        <w:rPr>
          <w:rtl/>
        </w:rPr>
        <w:t>هدفت دراسة أمجاد العتيبي، التي جاءت بعنوان "دور التدريب في رفع أداء العاملين والمساهمة في تحقيق رؤية المملكة 2030"، إلى تحليل العلاقة بين البرامج التدريبية التي تقدمها المؤسسات الحكومية والخاصة لموظفيها، وبين مستوى الأداء الوظيفي، في سياق تنفيذ رؤية 2030 التي تؤكد على تنمية رأس المال البشري ورفع إنتاجية الموظف السعودي</w:t>
      </w:r>
      <w:r>
        <w:t>.</w:t>
      </w:r>
    </w:p>
    <w:p w14:paraId="66EAC455" w14:textId="47F01040" w:rsidR="00BF241C" w:rsidRDefault="00BF241C" w:rsidP="00BF241C">
      <w:pPr>
        <w:pStyle w:val="NoSpacing"/>
        <w:bidi/>
        <w:rPr>
          <w:rtl/>
        </w:rPr>
      </w:pPr>
      <w:r>
        <w:rPr>
          <w:rtl/>
        </w:rPr>
        <w:t>اتبعت الباحثة المنهج الوصفي التحليلي، وتم توزيع استبانة على عينة مكونة من 120 موظفًا وموظفة في جهات حكومية مختلفة داخل مدينة الرياض، شملت موظفين من وزارات وهيئات حكومية تشارك بشكل فعّال في برامج التحول الوطني وتضمنت الأداة محاور تقيس مدى توافر برامج تدريبية، جودتها، مدى ملاءمتها لاحتياجات الموظفين، وتأثيرها على الأداء الوظيفي</w:t>
      </w:r>
      <w:r>
        <w:t>.</w:t>
      </w:r>
    </w:p>
    <w:p w14:paraId="1D8BDD56" w14:textId="5FAC37B9" w:rsidR="00BF241C" w:rsidRDefault="00BF241C" w:rsidP="00BF241C">
      <w:pPr>
        <w:pStyle w:val="NoSpacing"/>
        <w:bidi/>
        <w:rPr>
          <w:rtl/>
        </w:rPr>
      </w:pPr>
      <w:r>
        <w:rPr>
          <w:rtl/>
        </w:rPr>
        <w:t>أشارت نتائج الدراسة إلى وجود علاقة طردية قوية بين توافر التدريب المستمر وبين رفع كفاءة الموظف، وزيادة ولائه التنظيمي، وتقليل أخطاء العمل، بالإضافة إلى تعزيز روح الابتكار والتطوير وأظهرت الدراسة أن الموظفين الذين شاركوا في برامج متقدمة في التحليل الإحصائي، والإدارة الحديثة، وحل المشكلات، أظهروا تحسنًا ملحوظًا في أدائهم، بينما كانت هناك فجوة في التقييم والمتابعة لما بعد التدريب في بعض الجهات</w:t>
      </w:r>
      <w:r>
        <w:t>.</w:t>
      </w:r>
    </w:p>
    <w:p w14:paraId="34807735" w14:textId="6CE29131" w:rsidR="00BE3828" w:rsidRDefault="00BF241C" w:rsidP="00BF241C">
      <w:pPr>
        <w:pStyle w:val="NoSpacing"/>
        <w:bidi/>
        <w:rPr>
          <w:rtl/>
        </w:rPr>
      </w:pPr>
      <w:r>
        <w:rPr>
          <w:rtl/>
        </w:rPr>
        <w:t>أوصت الدراسة بضرورة جعل التدريب عنصرًا محوريًا في الخطط الاستراتيجية للموارد البشرية، وتبني منهجية التدريب المبني على الكفايات، مع توفير آليات لقياس الأثر الحقيقي للتدريب على الأداء كما دعت إلى زيادة التنسيق بين إدارات التدريب والجهات المنفذة لرؤية 2030 لضمان توافق البرامج التدريبية مع أهداف التحول الوطني، واقترحت إطلاق منصات موحدة للتدريب الحكومي على غرار المبادرات الرقمية في التعليم.</w:t>
      </w:r>
    </w:p>
    <w:p w14:paraId="2B852833" w14:textId="39E85F48" w:rsidR="00BF241C" w:rsidRPr="00BF241C" w:rsidRDefault="00BF241C" w:rsidP="00BF241C">
      <w:pPr>
        <w:pStyle w:val="NoSpacing"/>
        <w:bidi/>
        <w:ind w:firstLine="0"/>
        <w:rPr>
          <w:b/>
          <w:bCs/>
          <w:rtl/>
        </w:rPr>
      </w:pPr>
      <w:r w:rsidRPr="00BF241C">
        <w:rPr>
          <w:b/>
          <w:bCs/>
          <w:rtl/>
        </w:rPr>
        <w:t>ندى فلاح بابطين (2021</w:t>
      </w:r>
      <w:r w:rsidRPr="00BF241C">
        <w:rPr>
          <w:rFonts w:hint="cs"/>
          <w:b/>
          <w:bCs/>
          <w:rtl/>
        </w:rPr>
        <w:t>)</w:t>
      </w:r>
    </w:p>
    <w:p w14:paraId="2E63E519" w14:textId="4AE8EE99" w:rsidR="00BF241C" w:rsidRDefault="00BF241C" w:rsidP="00BF241C">
      <w:pPr>
        <w:pStyle w:val="NoSpacing"/>
        <w:bidi/>
        <w:rPr>
          <w:rtl/>
        </w:rPr>
      </w:pPr>
      <w:r>
        <w:rPr>
          <w:rtl/>
        </w:rPr>
        <w:t>هدفت دراسة ندى بابطين المعنونة "منهج مقترح لمرحلة رياض الأطفال لتنمية جوانب النمو المختلفة لدى الطفل في ضوء رؤية المملكة 2030" إلى وضع تصور منهجي متكامل لتعليم رياض الأطفال يتماشى مع مستهدفات رؤية 2030، خاصة فيما يتعلق بتنمية القدرات المعرفية، الاجتماعية، النفسية، والحركية لدى الأطفال وتأتي أهمية هذه الدراسة من كون مرحلة الطفولة المبكرة حجر الأساس في بناء الشخصية السعودية المتكاملة والمنتجة، وهو ما نصّت عليه وثيقة الرؤية في محور التعليم</w:t>
      </w:r>
      <w:r>
        <w:t>.</w:t>
      </w:r>
    </w:p>
    <w:p w14:paraId="6F134B39" w14:textId="23FC8A5A" w:rsidR="00BF241C" w:rsidRDefault="00BF241C" w:rsidP="00BF241C">
      <w:pPr>
        <w:pStyle w:val="NoSpacing"/>
        <w:bidi/>
        <w:rPr>
          <w:rtl/>
        </w:rPr>
      </w:pPr>
      <w:r>
        <w:rPr>
          <w:rtl/>
        </w:rPr>
        <w:t>استخدمت الباحثة المنهج الوصفي التحليلي في مرحلته الأولى لوصف واقع المناهج الحالية، ثم المنهج شبه التجريبي لبناء المنهج المقترح واعتمدت على تحليل محتوى وثائق تعليم رياض الأطفال في السعودية، إضافة إلى مقابلات مع معلمات ومشرفات تربويات، بهدف تحديد الجوانب التي تحتاج إلى تعزيز كما اختبرت النموذج المقترح على عينة محدودة من الأطفال في إحدى الروضات النموذجية التابعة لوزارة التعليم</w:t>
      </w:r>
      <w:r>
        <w:t>.</w:t>
      </w:r>
    </w:p>
    <w:p w14:paraId="0A57CB9C" w14:textId="2A546FFF" w:rsidR="00BF241C" w:rsidRDefault="00BF241C" w:rsidP="00BF241C">
      <w:pPr>
        <w:pStyle w:val="NoSpacing"/>
        <w:bidi/>
        <w:rPr>
          <w:rtl/>
        </w:rPr>
      </w:pPr>
      <w:r>
        <w:rPr>
          <w:rtl/>
        </w:rPr>
        <w:t>أشارت النتائج إلى وجود قصور في المناهج الحالية في تحقيق التكامل بين جوانب النمو، وأن أغلب الأنشطة التعليمية تميل إلى الجانب المعرفي فقط دون دمج للجانب الوجداني أو المهاري كما أظهرت النتائج أن المنهج المقترح، الذي تضمن وحدات تعليمية قائمة على الاستكشاف واللعب الموجه، ساعد في رفع تفاعل الأطفال وزيادة مشاركتهم وتطور أدائهم في المهارات الحياتية الأساسية</w:t>
      </w:r>
      <w:r>
        <w:t>.</w:t>
      </w:r>
    </w:p>
    <w:p w14:paraId="379CC2D9" w14:textId="04594030" w:rsidR="00BF241C" w:rsidRDefault="00BF241C" w:rsidP="00BF241C">
      <w:pPr>
        <w:pStyle w:val="NoSpacing"/>
        <w:bidi/>
        <w:rPr>
          <w:rtl/>
        </w:rPr>
      </w:pPr>
      <w:r>
        <w:rPr>
          <w:rtl/>
        </w:rPr>
        <w:t>أوصت الدراسة بتبني المنهج المقترح في رياض الأطفال بشكل تدريجي على مستوى المملكة، مع ضرورة تأهيل المعلمات على استراتيجيات التدريس الحديثة التي تركز على الطفل كمحور للعملية التعليمية كما طالبت بتطوير البيئة الصفية بما ينسجم مع طبيعة الأنشطة الجديدة، وزيادة الاهتمام بالمتابعة والتقويم الشامل لقدرات الطفل، بما يعكس فلسفة رؤية 2030 في بناء الإنسان وتنمية مهاراته منذ الطفولة</w:t>
      </w:r>
      <w:r>
        <w:t>.</w:t>
      </w:r>
    </w:p>
    <w:p w14:paraId="57E1874E" w14:textId="69A5F35A" w:rsidR="00BF241C" w:rsidRPr="00BF241C" w:rsidRDefault="00BF241C" w:rsidP="00BF241C">
      <w:pPr>
        <w:pStyle w:val="NoSpacing"/>
        <w:bidi/>
        <w:ind w:firstLine="0"/>
        <w:rPr>
          <w:b/>
          <w:bCs/>
          <w:rtl/>
        </w:rPr>
      </w:pPr>
      <w:r w:rsidRPr="00BF241C">
        <w:rPr>
          <w:b/>
          <w:bCs/>
          <w:rtl/>
        </w:rPr>
        <w:t>آمال سعد الدين حسين حلبي (2021</w:t>
      </w:r>
      <w:r w:rsidRPr="00BF241C">
        <w:rPr>
          <w:rFonts w:hint="cs"/>
          <w:b/>
          <w:bCs/>
          <w:rtl/>
        </w:rPr>
        <w:t>)</w:t>
      </w:r>
    </w:p>
    <w:p w14:paraId="5276C2AA" w14:textId="6F002DE7" w:rsidR="00BF241C" w:rsidRDefault="00BF241C" w:rsidP="00BF241C">
      <w:pPr>
        <w:pStyle w:val="NoSpacing"/>
        <w:bidi/>
        <w:rPr>
          <w:rtl/>
        </w:rPr>
      </w:pPr>
      <w:r>
        <w:rPr>
          <w:rtl/>
        </w:rPr>
        <w:t>جاءت دراسة آمال حلبي تحت عنوان "دور الإعلام الرقمي في نشر رؤية المملكة 2030 وعلاقته بتمكين المرأة السعودية"، وهدفت إلى استكشاف كيفية استخدام الإعلام الرقمي كوسيلة استراتيجية لنقل أهداف ومضامين الرؤية إلى المجتمع، مع التركيز على قضايا تمكين المرأة السعودية كأحد أبرز محاور التحول الاجتماعي والاقتصادي في الرؤية وقد ركزت الدراسة على تحليل مضمون الرسائل الإعلامية الرقمية الرسمية ومدى تأثيرها على وعي النساء السعوديات</w:t>
      </w:r>
      <w:r>
        <w:t>.</w:t>
      </w:r>
    </w:p>
    <w:p w14:paraId="53392AFD" w14:textId="74EDE728" w:rsidR="00BF241C" w:rsidRDefault="00BF241C" w:rsidP="00BF241C">
      <w:pPr>
        <w:pStyle w:val="NoSpacing"/>
        <w:bidi/>
        <w:rPr>
          <w:rtl/>
        </w:rPr>
      </w:pPr>
      <w:r>
        <w:rPr>
          <w:rtl/>
        </w:rPr>
        <w:t>اتبعت الباحثة المنهج الوصفي التحليلي، واعتمدت على أداة تحليل المحتوى لمجموعة من المنصات الرقمية مثل مواقع الوزارات الرسمية، حسابات الجهات الحكومية على تويتر ويوتيوب، إضافة إلى توزيع استبانة إلكترونية على عينة مكونة من 200 امرأة سعودية من مختلف مناطق المملكة هدفت هذه الأدوات إلى قياس درجة التفاعل مع المحتوى الرقمي المتعلق بتمكين المرأة، ومدى إدراك العينة لدور الإعلام الرقمي في التوعية والتغيير</w:t>
      </w:r>
      <w:r>
        <w:t>.</w:t>
      </w:r>
    </w:p>
    <w:p w14:paraId="68A11AB6" w14:textId="65C9EDA1" w:rsidR="00BF241C" w:rsidRDefault="00BF241C" w:rsidP="00BF241C">
      <w:pPr>
        <w:pStyle w:val="NoSpacing"/>
        <w:bidi/>
        <w:rPr>
          <w:rtl/>
        </w:rPr>
      </w:pPr>
      <w:r>
        <w:rPr>
          <w:rtl/>
        </w:rPr>
        <w:t>أظهرت النتائج أن الإعلام الرقمي الرسمي ساهم بشكل كبير في رفع الوعي بأهداف رؤية 2030، وأن أغلب المشاركات في الاستبانة أكدن أنهن تعرفن على برامج تمكين المرأة، مثل القيادة، التدريب، التوظيف، والمشاريع الصغيرة، عبر المنصات الرقمية أكثر من وسائل الإعلام التقليدية كما بيّنت النتائج أن لغة الخطاب الرقمي كانت إيجابية ومحفزة، لكن التفاعل التفاعلي بين الجهات الرسمية والجمهور النسائي ما زال بحاجة إلى تطوير</w:t>
      </w:r>
      <w:r>
        <w:t>.</w:t>
      </w:r>
    </w:p>
    <w:p w14:paraId="19FD9579" w14:textId="6E949BE9" w:rsidR="00BF241C" w:rsidRDefault="00BF241C" w:rsidP="00BF241C">
      <w:pPr>
        <w:pStyle w:val="NoSpacing"/>
        <w:bidi/>
        <w:rPr>
          <w:rtl/>
        </w:rPr>
      </w:pPr>
      <w:r>
        <w:rPr>
          <w:rtl/>
        </w:rPr>
        <w:t>أوصت الباحثة بضرورة تطوير المحتوى الرقمي ليكون أكثر شمولية وتنوعًا في استهداف فئات النساء المختلفات، وتدريب القائمين على الإعلام الحكومي على استراتيجيات التواصل التفاعلي، بالإضافة إلى توسيع الحملات الرقمية الموجهة نحو المناطق الريفية والنائية، لضمان وصول الرسائل التحفيزية لكل شرائح المجتمع النسائي في المملكة، بما يعزز من دور الإعلام في تحقيق مستهدفات التمكين ضمن رؤية 2030.</w:t>
      </w:r>
    </w:p>
    <w:p w14:paraId="76430878" w14:textId="2FE08D86" w:rsidR="00882E28" w:rsidRPr="00882E28" w:rsidRDefault="00882E28" w:rsidP="00882E28">
      <w:pPr>
        <w:pStyle w:val="NoSpacing"/>
        <w:bidi/>
        <w:ind w:firstLine="0"/>
        <w:rPr>
          <w:b/>
          <w:bCs/>
          <w:rtl/>
        </w:rPr>
      </w:pPr>
      <w:r w:rsidRPr="00882E28">
        <w:rPr>
          <w:b/>
          <w:bCs/>
          <w:rtl/>
        </w:rPr>
        <w:t>فضة سالم عبيد العنزي (2021</w:t>
      </w:r>
      <w:r w:rsidRPr="00882E28">
        <w:rPr>
          <w:rFonts w:hint="cs"/>
          <w:b/>
          <w:bCs/>
          <w:rtl/>
        </w:rPr>
        <w:t>)</w:t>
      </w:r>
    </w:p>
    <w:p w14:paraId="04A8E00E" w14:textId="0EAE1C52" w:rsidR="00882E28" w:rsidRDefault="00882E28" w:rsidP="00882E28">
      <w:pPr>
        <w:pStyle w:val="NoSpacing"/>
        <w:bidi/>
        <w:rPr>
          <w:rtl/>
        </w:rPr>
      </w:pPr>
      <w:r>
        <w:rPr>
          <w:rtl/>
        </w:rPr>
        <w:t>أجرت فضة العنزي دراسة بعنوان "استشراف كلية التربية بجامعة الملك سعود لمستقبل مخرجات قسم الدراسات الإسلامية في ضوء رؤية المملكة 2030"، وهدفت إلى تحليل مدى توافق مخرجات قسم الدراسات الإسلامية مع المتطلبات المستقبلية التي تفرضها الرؤية، خاصة في ظل التحولات المجتمعية والمعرفية التي تشهدها المملكة وقد سعت الباحثة إلى تقديم تصوّر استشرافي يمكن من خلاله تطوير البرامج والمقررات الجامعية بما يتماشى مع سوق العمل والقيم المعاصرة، مع الحفاظ على الأصالة الدينية</w:t>
      </w:r>
      <w:r>
        <w:t>.</w:t>
      </w:r>
    </w:p>
    <w:p w14:paraId="16133563" w14:textId="48813FAB" w:rsidR="00882E28" w:rsidRDefault="00882E28" w:rsidP="00882E28">
      <w:pPr>
        <w:pStyle w:val="NoSpacing"/>
        <w:bidi/>
        <w:rPr>
          <w:rtl/>
        </w:rPr>
      </w:pPr>
      <w:r>
        <w:rPr>
          <w:rtl/>
        </w:rPr>
        <w:t>اعتمدت الدراسة على المنهج الوصفي التحليلي والمنهج الاستشرافي في آن معًا، حيث قامت بتحليل وثائق المقررات الدراسية الحالية، وأجرت مقابلات معمّقة مع أعضاء هيئة التدريس والطلبة، كما استخدمت الاستبانة لقياس آراء عينة مكونة من 120 فردًا من داخل الكلية وتوزعت الأسئلة حول الجوانب المهارية، والمعرفية، والاتجاهات الفكرية لمخرجات القسم، ومدى ملاءمتها لتحديات المستقبل وفق رؤية 2030</w:t>
      </w:r>
      <w:r>
        <w:t>.</w:t>
      </w:r>
    </w:p>
    <w:p w14:paraId="193F9C00" w14:textId="08AED494" w:rsidR="00882E28" w:rsidRDefault="00882E28" w:rsidP="00882E28">
      <w:pPr>
        <w:pStyle w:val="NoSpacing"/>
        <w:bidi/>
        <w:rPr>
          <w:rtl/>
        </w:rPr>
      </w:pPr>
      <w:r>
        <w:rPr>
          <w:rtl/>
        </w:rPr>
        <w:t>أظهرت النتائج وجود فجوة بين مخرجات القسم واحتياجات سوق العمل، حيث تركز المقررات الحالية على الجوانب النظرية والتقليدية، مع ضعف في تنمية المهارات البحثية، والتقنية، والتفكير النقدي كما بيّنت النتائج أن غالبية المستجيبين يرون ضرورة إعادة هيكلة المقررات وربطها بقضايا العصر، مثل الوسطية، التسامح، الحوار، ومهارات التواصل، دون الإخلال بالثوابت الدينية كما شددت الدراسة على ضعف برامج التدريب العملي وغياب الرؤية الواضحة في التوجيه المهني للطلبة</w:t>
      </w:r>
      <w:r>
        <w:t>.</w:t>
      </w:r>
    </w:p>
    <w:p w14:paraId="00C18219" w14:textId="361DD68E" w:rsidR="00882E28" w:rsidRDefault="00882E28" w:rsidP="00882E28">
      <w:pPr>
        <w:pStyle w:val="NoSpacing"/>
        <w:bidi/>
        <w:rPr>
          <w:rtl/>
        </w:rPr>
      </w:pPr>
      <w:r>
        <w:rPr>
          <w:rtl/>
        </w:rPr>
        <w:t>أوصت الباحثة بضرورة تطوير الخطط الدراسية لتتضمن مساقات حديثة تدمج بين الأصالة والمعاصرة، وتبني مسار تطبيقي ضمن برامج إعداد المعلمين، بالإضافة إلى تعزيز الشراكة بين الكلية وسوق العمل، وإشراك الطلبة في تصميم وتقييم البرامج التعليمية كما دعت إلى استخدام التعليم الرقمي في تقديم المقررات بما يعزز من الجاذبية والفعالية، ويساهم في تحقيق مستهدفات رؤية 2030 المتعلقة بجودة التعليم ومواءمته لمتطلبات التنمية</w:t>
      </w:r>
      <w:r>
        <w:t>.</w:t>
      </w:r>
    </w:p>
    <w:p w14:paraId="51E59329" w14:textId="684D77DF" w:rsidR="00882E28" w:rsidRPr="00882E28" w:rsidRDefault="00882E28" w:rsidP="00882E28">
      <w:pPr>
        <w:pStyle w:val="NoSpacing"/>
        <w:bidi/>
        <w:ind w:firstLine="0"/>
        <w:rPr>
          <w:b/>
          <w:bCs/>
          <w:rtl/>
        </w:rPr>
      </w:pPr>
      <w:r w:rsidRPr="00882E28">
        <w:rPr>
          <w:b/>
          <w:bCs/>
          <w:rtl/>
        </w:rPr>
        <w:t>رحمة يحيى أحمد الربعي (2021</w:t>
      </w:r>
      <w:r w:rsidRPr="00882E28">
        <w:rPr>
          <w:rFonts w:hint="cs"/>
          <w:b/>
          <w:bCs/>
          <w:rtl/>
        </w:rPr>
        <w:t>)</w:t>
      </w:r>
    </w:p>
    <w:p w14:paraId="6F4B5F8D" w14:textId="36E53DFC" w:rsidR="00882E28" w:rsidRDefault="00882E28" w:rsidP="00882E28">
      <w:pPr>
        <w:pStyle w:val="NoSpacing"/>
        <w:bidi/>
        <w:rPr>
          <w:rtl/>
        </w:rPr>
      </w:pPr>
      <w:r>
        <w:rPr>
          <w:rtl/>
        </w:rPr>
        <w:t>تناولت رحمة الربعي في دراستها المعنونة "تقييم الواقع السياحي في أبها الحضارية لتعزيز جاذبيتها السياحية ومواكبة رؤية المملكة 2030 من وجهة نظر المجتمع المضيف" واقع السياحة الداخلية في مدينة أبها كأحد المحاور الأساسية التي تراهن عليها رؤية 2030 ضمن خطة تنويع مصادر الدخل الوطني وسعت الدراسة إلى رصد تحديات ومعوقات تطور السياحة في أبها، وتحليل انطباعات السكان المحليين حول أثر السياحة على البيئة والمجتمع، وكذلك مقترحاتهم لرفع مستوى الجاذبية السياحية للمدينة</w:t>
      </w:r>
    </w:p>
    <w:p w14:paraId="6BB78996" w14:textId="599383FE" w:rsidR="00882E28" w:rsidRDefault="00882E28" w:rsidP="00882E28">
      <w:pPr>
        <w:pStyle w:val="NoSpacing"/>
        <w:bidi/>
        <w:rPr>
          <w:rtl/>
        </w:rPr>
      </w:pPr>
      <w:r>
        <w:rPr>
          <w:rtl/>
        </w:rPr>
        <w:t>اعتمدت الباحثة على المنهج الوصفي المسحي باستخدام استبانة وزّعت على عينة مكونة من 200 مشارك من أبناء المجتمع المحلي في مدينة أبها وتنوعت محاور الاستبانة بين تقييم الخدمات السياحية، والبنية التحتية، وأثر الزوار على الثقافة المحلية، ومدى مشاركة السكان في الأنشطة السياحية كما شملت الدراسة مراجعة لوثائق رؤية 2030 ذات العلاقة بالسياحة، وتحليل لتقارير الهيئة العامة للسياحة والتراث الوطني</w:t>
      </w:r>
      <w:r>
        <w:t>.</w:t>
      </w:r>
    </w:p>
    <w:p w14:paraId="03AE9547" w14:textId="0453AD08" w:rsidR="00882E28" w:rsidRDefault="00882E28" w:rsidP="00882E28">
      <w:pPr>
        <w:pStyle w:val="NoSpacing"/>
        <w:bidi/>
        <w:rPr>
          <w:rtl/>
        </w:rPr>
      </w:pPr>
      <w:r>
        <w:rPr>
          <w:rtl/>
        </w:rPr>
        <w:t>كشفت النتائج أن غالبية المشاركين يرون أن أبها تمتلك مقومات سياحية طبيعية وجمالية، لكن هناك قصورًا في الخدمات المساندة مثل الفنادق والنقل والفعاليات المستدامة كما عبّر الكثير من أفراد العينة عن مخاوفهم من التأثير السلبي المحتمل للسياحة على الهوية الثقافية، مؤكدين في الوقت نفسه على أهمية إدماج المجتمع المحلي في صنع القرار السياحي وأوضحت النتائج أيضًا أن الحملات التسويقية السياحية ما زالت غير فعالة بما فيه الكفاية لجذب الزوار من الخارج أو حتى من داخل المملكة</w:t>
      </w:r>
      <w:r>
        <w:t>.</w:t>
      </w:r>
    </w:p>
    <w:p w14:paraId="562E2E4F" w14:textId="1921B891" w:rsidR="00BF241C" w:rsidRDefault="00882E28" w:rsidP="00D1026B">
      <w:pPr>
        <w:pStyle w:val="NoSpacing"/>
        <w:bidi/>
        <w:rPr>
          <w:rtl/>
        </w:rPr>
      </w:pPr>
      <w:r>
        <w:rPr>
          <w:rtl/>
        </w:rPr>
        <w:t>أوصت الدراسة بتطوير البنية التحتية السياحية في أبها، وزيادة عدد الفعاليات الثقافية والبيئية التي تبرز الهوية المحلية، وفتح المجال أمام استثمارات خاصة لتشغيل المواقع السياحية بطريقة احترافية كما دعت إلى تعزيز وعي المجتمع المضيف بالدور الإيجابي للسياحة من خلال برامج تدريب وتثقيف، وربط استراتيجيات تطوير السياحة بالمجتمع المحلي بما يضمن الاستدامة وتحقيق أهداف رؤية 2030 في تنشيط السياحة الداخلية.</w:t>
      </w:r>
    </w:p>
    <w:p w14:paraId="314F1073" w14:textId="77777777" w:rsidR="00003D6C" w:rsidRDefault="00003D6C" w:rsidP="00D1026B">
      <w:pPr>
        <w:pStyle w:val="NoSpacing"/>
        <w:bidi/>
        <w:ind w:firstLine="0"/>
        <w:rPr>
          <w:b/>
          <w:bCs/>
          <w:rtl/>
        </w:rPr>
      </w:pPr>
    </w:p>
    <w:p w14:paraId="20F8D7AF" w14:textId="25EA8723" w:rsidR="00EA7C9F" w:rsidRPr="00D1026B" w:rsidRDefault="00EA7C9F" w:rsidP="00003D6C">
      <w:pPr>
        <w:pStyle w:val="NoSpacing"/>
        <w:bidi/>
        <w:ind w:firstLine="0"/>
        <w:rPr>
          <w:b/>
          <w:bCs/>
          <w:rtl/>
        </w:rPr>
      </w:pPr>
      <w:r w:rsidRPr="00D1026B">
        <w:rPr>
          <w:b/>
          <w:bCs/>
          <w:rtl/>
        </w:rPr>
        <w:t>عبد الحميد بن عيسى محمد هاشمي (2021</w:t>
      </w:r>
      <w:r w:rsidR="00D1026B" w:rsidRPr="00D1026B">
        <w:rPr>
          <w:rFonts w:hint="cs"/>
          <w:b/>
          <w:bCs/>
          <w:rtl/>
        </w:rPr>
        <w:t>)</w:t>
      </w:r>
    </w:p>
    <w:p w14:paraId="05772307" w14:textId="3DB2500B" w:rsidR="00EA7C9F" w:rsidRDefault="00EA7C9F" w:rsidP="00D1026B">
      <w:pPr>
        <w:pStyle w:val="NoSpacing"/>
        <w:bidi/>
        <w:rPr>
          <w:rtl/>
        </w:rPr>
      </w:pPr>
      <w:r>
        <w:rPr>
          <w:rtl/>
        </w:rPr>
        <w:t>أجرى عبد الحميد هاشمي دراسة ميدانية بعنوان "واقع دور المدرسة الثانوية في تعزيز القيم الإيجابية لدى طلابها تحقيقًا لمتطلبات رؤية المملكة 2030"، حيث ركزت الدراسة على أهمية تعزيز القيم الوطنية والاجتماعية داخل المدارس السعودية باعتبارها مؤسسات تنشئة رئيسية، وكونها شريكًا محوريًا في تحقيق رؤية 2030 التي تهدف لبناء جيل واعٍ، منتج، ومتمسك بالقيم هدف الباحث إلى التعرف على مدى فاعلية البرامج والممارسات التعليمية في المدارس الثانوية في ترسيخ القيم الإيجابية مثل الانتماء الوطني، التعاون، المسؤولية، والاحترام</w:t>
      </w:r>
      <w:r>
        <w:t>.</w:t>
      </w:r>
    </w:p>
    <w:p w14:paraId="56F360B8" w14:textId="5B000610" w:rsidR="00EA7C9F" w:rsidRDefault="00EA7C9F" w:rsidP="00D1026B">
      <w:pPr>
        <w:pStyle w:val="NoSpacing"/>
        <w:bidi/>
        <w:rPr>
          <w:rtl/>
        </w:rPr>
      </w:pPr>
      <w:r>
        <w:rPr>
          <w:rtl/>
        </w:rPr>
        <w:t>استخدمت الدراسة المنهج الوصفي التحليلي، وتم تطبيق استبانة على عينة عشوائية مكونة من 200 طالب وطالبة من عدد من المدارس الثانوية في منطقة القصيم تضمنت الأداة عددًا من المحاور مثل: محتوى المناهج، دور المعلم، الأنشطة اللاصفية، ومشاركة الأسرة والمجتمع في غرس القيم كما أجرى الباحث مقابلات مع عدد من المشرفين التربويين والقادة المدرسيين لفهم المعوقات والتجارب العملية في هذا المجال</w:t>
      </w:r>
      <w:r>
        <w:t>.</w:t>
      </w:r>
    </w:p>
    <w:p w14:paraId="0D0DF927" w14:textId="246B321E" w:rsidR="00EA7C9F" w:rsidRDefault="00EA7C9F" w:rsidP="00D1026B">
      <w:pPr>
        <w:pStyle w:val="NoSpacing"/>
        <w:bidi/>
        <w:rPr>
          <w:rtl/>
        </w:rPr>
      </w:pPr>
      <w:r>
        <w:rPr>
          <w:rtl/>
        </w:rPr>
        <w:t>أظهرت النتائج أن هناك وعيًا متزايدًا بين العاملين في الميدان التربوي بأهمية القيم في ضوء الرؤية، إلا أن البرامج المخصصة لتعزيزها تعاني من العشوائية والافتقار إلى التخطيط الاستراتيجي كما بينت النتائج أن كثيرًا من المقررات الدراسية تتناول القيم بشكل غير مباشر، ولا تقدم نماذج تطبيقية كافية كذلك، أكدت الدراسة على ضعف التنسيق بين المدرسة والأسرة في هذا الجانب، إلى جانب ضعف استثمار الأنشطة الطلابية في تعزيز هذه القيم بصورة منهجية</w:t>
      </w:r>
      <w:r>
        <w:t>.</w:t>
      </w:r>
    </w:p>
    <w:p w14:paraId="0AEC9920" w14:textId="3F6E74A7" w:rsidR="00EA7C9F" w:rsidRDefault="00EA7C9F" w:rsidP="00D1026B">
      <w:pPr>
        <w:pStyle w:val="NoSpacing"/>
        <w:bidi/>
        <w:rPr>
          <w:rtl/>
        </w:rPr>
      </w:pPr>
      <w:r>
        <w:rPr>
          <w:rtl/>
        </w:rPr>
        <w:t>أوصى الباحث بضرورة تضمين القيم الوطنية والاجتماعية ضمن الأهداف العامة للمناهج الدراسية بشكل صريح، وتدريب المعلمين على طرائق تدريس القيم وربطها بالمواقف الصفية والحياتية كما طالب بوضع إطار وطني للبرامج التربوية الموجهة لتعزيز القيم لدى الشباب، وإشراك مؤسسات المجتمع المدني والإعلام في دعم المدرسة في هذا الدور الحيوي، بما يعكس تطلعات رؤية 2030 نحو جيل متوازن وقيمي</w:t>
      </w:r>
      <w:r>
        <w:t>.</w:t>
      </w:r>
    </w:p>
    <w:p w14:paraId="6EDCD3B0" w14:textId="11F8C185" w:rsidR="00EA7C9F" w:rsidRPr="00D1026B" w:rsidRDefault="00EA7C9F" w:rsidP="00D1026B">
      <w:pPr>
        <w:pStyle w:val="NoSpacing"/>
        <w:bidi/>
        <w:ind w:firstLine="0"/>
        <w:rPr>
          <w:b/>
          <w:bCs/>
          <w:rtl/>
        </w:rPr>
      </w:pPr>
      <w:r w:rsidRPr="00D1026B">
        <w:rPr>
          <w:b/>
          <w:bCs/>
          <w:rtl/>
        </w:rPr>
        <w:t>حميدة بنت عبيد الصبحي (2021</w:t>
      </w:r>
      <w:r w:rsidR="00D1026B" w:rsidRPr="00D1026B">
        <w:rPr>
          <w:rFonts w:hint="cs"/>
          <w:b/>
          <w:bCs/>
          <w:rtl/>
        </w:rPr>
        <w:t>)</w:t>
      </w:r>
    </w:p>
    <w:p w14:paraId="28B1F010" w14:textId="0B7DF6A6" w:rsidR="00EA7C9F" w:rsidRDefault="00EA7C9F" w:rsidP="00D1026B">
      <w:pPr>
        <w:pStyle w:val="NoSpacing"/>
        <w:bidi/>
        <w:rPr>
          <w:rtl/>
        </w:rPr>
      </w:pPr>
      <w:r>
        <w:rPr>
          <w:rtl/>
        </w:rPr>
        <w:t>أجرت حميدة الصبحي دراسة بعنوان "توجهات العمل التطوعي في الجامعات السعودية بما يواكب رؤية المملكة 2030: دراسة حالة على جامعة أم القرى"، وسعت من خلالها إلى رصد واقع العمل التطوعي داخل البيئة الجامعية ومدى اتساقه مع مستهدفات الرؤية الوطنية التي تسعى إلى رفع عدد المتطوعين من 11 ألفًا إلى مليون متطوع بحلول 2030 تناولت الدراسة العمل التطوعي بوصفه أداة وطنية للتنمية وتعزيز المشاركة المجتمعية بين فئة الشباب الجامعي، واستكشاف مدى وجود بيئة محفزة وتوجهات إيجابية لدى الطلاب تجاه التطوع</w:t>
      </w:r>
      <w:r>
        <w:t>.</w:t>
      </w:r>
    </w:p>
    <w:p w14:paraId="140935B0" w14:textId="7A6BF8D2" w:rsidR="00EA7C9F" w:rsidRDefault="00EA7C9F" w:rsidP="00D1026B">
      <w:pPr>
        <w:pStyle w:val="NoSpacing"/>
        <w:bidi/>
        <w:rPr>
          <w:rtl/>
        </w:rPr>
      </w:pPr>
      <w:r>
        <w:rPr>
          <w:rtl/>
        </w:rPr>
        <w:t>استخدمت الباحثة المنهج الوصفي التحليلي، واعتمدت في جمع البيانات على استبانة إلكترونية تم توزيعها على عينة مكونة من 250 طالبًا وطالبة في جامعة أم القرى، موزعين على تخصصات ومراحل دراسية مختلفة وقد شملت الاستبانة محاور متعددة، مثل: دافع المشاركة، المعرفة بأنشطة التطوع، الفرص التطوعية المتاحة داخل الجامعة، دعم الإدارة الجامعية، والتحديات التي تواجه الطلاب في هذا السياق</w:t>
      </w:r>
      <w:r>
        <w:t>.</w:t>
      </w:r>
    </w:p>
    <w:p w14:paraId="5AD4D1A4" w14:textId="1B358B2D" w:rsidR="00EA7C9F" w:rsidRDefault="00EA7C9F" w:rsidP="00D1026B">
      <w:pPr>
        <w:pStyle w:val="NoSpacing"/>
        <w:bidi/>
        <w:rPr>
          <w:rtl/>
        </w:rPr>
      </w:pPr>
      <w:r>
        <w:rPr>
          <w:rtl/>
        </w:rPr>
        <w:t>أظهرت نتائج الدراسة أن نسبة كبيرة من الطلاب أبدوا استعدادهم للمشاركة في الأنشطة التطوعية، إلا أن التحديات الأساسية تمثلت في ضعف التنظيم، وقلة الإعلانات الرسمية عن الفرص التطوعية داخل الجامعة، إلى جانب عدم وجود حوافز واضحة، سواء كانت أكاديمية أو معنوية كما أشارت النتائج إلى أن الطلبة يفضلون المبادرات ذات الأثر الاجتماعي المباشر، ويشعرون بالحاجة إلى تدريب مسبق يؤهلهم لممارسة التطوع بشكل احترافي</w:t>
      </w:r>
      <w:r>
        <w:t>.</w:t>
      </w:r>
    </w:p>
    <w:p w14:paraId="38EF724A" w14:textId="7028ECA0" w:rsidR="00882E28" w:rsidRDefault="00EA7C9F" w:rsidP="00D1026B">
      <w:pPr>
        <w:pStyle w:val="NoSpacing"/>
        <w:bidi/>
        <w:rPr>
          <w:rtl/>
        </w:rPr>
      </w:pPr>
      <w:r>
        <w:rPr>
          <w:rtl/>
        </w:rPr>
        <w:t>أوصت الدراسة بضرورة إنشاء وحدة خاصة بإدارة العمل التطوعي في الجامعات السعودية، وتضمين العمل التطوعي في المقررات الأكاديمية كجزء من متطلبات التخرج كما دعت إلى تعزيز شراكة الجامعة مع القطاع غير الربحي لإتاحة فرص تطوعية خارج الحرم الجامعي، وتنفيذ حملات إعلامية لتعزيز الوعي بأهمية العمل التطوعي بوصفه ممارسة مواطنية مسؤولة تتسق مع أهداف رؤية المملكة في تعزيز روح العطاء والانتماء الوطني.</w:t>
      </w:r>
    </w:p>
    <w:p w14:paraId="6D92460F" w14:textId="10A3F8D1" w:rsidR="00BA6B85" w:rsidRPr="00D1026B" w:rsidRDefault="00BA6B85" w:rsidP="00D1026B">
      <w:pPr>
        <w:pStyle w:val="NoSpacing"/>
        <w:bidi/>
        <w:ind w:firstLine="0"/>
        <w:rPr>
          <w:b/>
          <w:bCs/>
          <w:rtl/>
        </w:rPr>
      </w:pPr>
      <w:r w:rsidRPr="00D1026B">
        <w:rPr>
          <w:b/>
          <w:bCs/>
          <w:rtl/>
        </w:rPr>
        <w:t>مي مصطفى سليمان إبراهيم (2018</w:t>
      </w:r>
      <w:r w:rsidR="00D1026B" w:rsidRPr="00D1026B">
        <w:rPr>
          <w:rFonts w:hint="cs"/>
          <w:b/>
          <w:bCs/>
          <w:rtl/>
        </w:rPr>
        <w:t>)</w:t>
      </w:r>
    </w:p>
    <w:p w14:paraId="1F96A0D7" w14:textId="6D0AA790" w:rsidR="00BA6B85" w:rsidRDefault="00BA6B85" w:rsidP="00D1026B">
      <w:pPr>
        <w:pStyle w:val="NoSpacing"/>
        <w:bidi/>
        <w:rPr>
          <w:rtl/>
        </w:rPr>
      </w:pPr>
      <w:r>
        <w:rPr>
          <w:rtl/>
        </w:rPr>
        <w:t>تناولت الباحثة مي مصطفى سليمان إبراهيم في دراستها المعنونة "أثر الاستراتيجيات الترويجية في تنمية المبيعات: بالتطبيق على شركة النيل الكبرى لعمليات البترول" موضوعًا مهمًا في مجال التسويق، ساعية إلى تحليل مدى تأثير أدوات الترويج الحديثة على أداء المبيعات في واحدة من أهم الشركات العاملة في قطاع النفط بالسودان وقد ركزت الدراسة على فهم طبيعة العلاقة بين الحملات الإعلانية، ووسائل الترويج المباشر، والعروض التجارية، والعلاقات العامة من جهة، وبين مؤشرات الأداء البيعي من جهة أخرى، وذلك في ظل بيئة اقتصادية شديدة التنافس</w:t>
      </w:r>
      <w:r>
        <w:t>.</w:t>
      </w:r>
    </w:p>
    <w:p w14:paraId="0AE774B2" w14:textId="2C5BFC2F" w:rsidR="00BA6B85" w:rsidRDefault="00BA6B85" w:rsidP="00D1026B">
      <w:pPr>
        <w:pStyle w:val="NoSpacing"/>
        <w:bidi/>
        <w:rPr>
          <w:rtl/>
        </w:rPr>
      </w:pPr>
      <w:r>
        <w:rPr>
          <w:rtl/>
        </w:rPr>
        <w:t>هدفت الدراسة إلى التعرف على فاعلية الاستراتيجيات الترويجية المستخدمة من قبل شركة النيل الكبرى، ومدى إسهامها في رفع معدلات البيع وتوسيع الحصة السوقية كما هدفت إلى تقييم مدى وعي الشركة بأهمية دمج قنوات التسويق الحديثة ضمن ممارساتها، ومدى استجابتها لاحتياجات السوق وقد استخدمت الباحثة المنهج الوصفي التحليلي، نظرًا لطبيعته الملائمة لدراسة العلاقات بين المتغيرات، مع الاعتماد على جمع البيانات من خلال استبانة موجهة إلى الموظفين في أقسام التسويق والمبيعات بالشركة</w:t>
      </w:r>
      <w:r>
        <w:t>.</w:t>
      </w:r>
    </w:p>
    <w:p w14:paraId="4D2C28AE" w14:textId="250843E2" w:rsidR="00BA6B85" w:rsidRDefault="00BA6B85" w:rsidP="00D1026B">
      <w:pPr>
        <w:pStyle w:val="NoSpacing"/>
        <w:bidi/>
        <w:rPr>
          <w:rtl/>
        </w:rPr>
      </w:pPr>
      <w:r>
        <w:rPr>
          <w:rtl/>
        </w:rPr>
        <w:t>تكوّن مجتمع الدراسة من العاملين في شركة النيل الكبرى لعمليات البترول، وتم اختيار عينة عشوائية بلغ عددها (100) موظف من مختلف الإدارات ذات العلاقة بالتسويق والمبيعات وقد تضمنت أداة الدراسة عددًا من المحاور المرتبطة بالاستراتيجيات الترويجية مثل: الإعلان، والترويج البيعي، والاتصالات التسويقية، بالإضافة إلى محور خاص بقياس الأداء البيعي من حيث عدد العملاء، وحجم المبيعات، ومعدل الاحتفاظ بالعملاء واعتمد التحليل الإحصائي على برنامج</w:t>
      </w:r>
      <w:r>
        <w:t xml:space="preserve"> SPSS </w:t>
      </w:r>
      <w:r>
        <w:rPr>
          <w:rtl/>
        </w:rPr>
        <w:t>لاستخراج المتوسطات والانحرافات واختبار الارتباط والدلالة الإحصائية</w:t>
      </w:r>
      <w:r>
        <w:t>.</w:t>
      </w:r>
    </w:p>
    <w:p w14:paraId="1A2CF6DF" w14:textId="101C9535" w:rsidR="00BA6B85" w:rsidRPr="00B34026" w:rsidRDefault="00BA6B85" w:rsidP="00D1026B">
      <w:pPr>
        <w:pStyle w:val="NoSpacing"/>
        <w:bidi/>
        <w:rPr>
          <w:rtl/>
        </w:rPr>
      </w:pPr>
      <w:r>
        <w:rPr>
          <w:rtl/>
        </w:rPr>
        <w:t>أظهرت النتائج وجود علاقة طردية قوية بين تبني الاستراتيجيات الترويجية وارتفاع معدلات البيع، كما تبين أن الإعلان التجاري كان هو الأداة الأكثر تأثيرًا على قرارات الشراء لدى العملاء كذلك أكدت الدراسة أن استخدام العروض الترويجية أسهم في جذب عملاء جدد، فيما ساعدت العلاقات العامة في تحسين صورة الشركة وزيادة ثقة العملاء بها وأوصت الباحثة بضرورة تطوير خطة ترويجية متكاملة تستخدم الأدوات الرقمية إلى جانب التقليدية، وزيادة الميزانية المخصصة للترويج، وتدريب الموظفين على استراتيجيات التسويق الحديثة، مع توجيه الاهتمام نحو دراسة سلوك المستهلك واحتياجات السوق بشكل دوري.</w:t>
      </w:r>
    </w:p>
    <w:p w14:paraId="29AC906E" w14:textId="7E75A517" w:rsidR="00786BD8" w:rsidRDefault="00BE3828" w:rsidP="00C0639D">
      <w:pPr>
        <w:pStyle w:val="Heading3"/>
        <w:rPr>
          <w:rtl/>
        </w:rPr>
      </w:pPr>
      <w:bookmarkStart w:id="14" w:name="_Toc203236997"/>
      <w:r>
        <w:rPr>
          <w:rFonts w:hint="cs"/>
          <w:rtl/>
        </w:rPr>
        <w:t xml:space="preserve">٢. </w:t>
      </w:r>
      <w:r w:rsidR="00786BD8">
        <w:rPr>
          <w:rFonts w:hint="cs"/>
          <w:rtl/>
        </w:rPr>
        <w:t>الدراسات الأجنبية</w:t>
      </w:r>
      <w:r w:rsidR="00190BBB">
        <w:rPr>
          <w:rFonts w:hint="cs"/>
          <w:rtl/>
        </w:rPr>
        <w:t>:</w:t>
      </w:r>
      <w:bookmarkEnd w:id="14"/>
    </w:p>
    <w:p w14:paraId="272156C8" w14:textId="77777777" w:rsidR="006F3A8B" w:rsidRDefault="00C12523" w:rsidP="006F3A8B">
      <w:pPr>
        <w:pStyle w:val="NoSpacing"/>
        <w:bidi/>
        <w:ind w:firstLine="0"/>
        <w:rPr>
          <w:rtl/>
        </w:rPr>
      </w:pPr>
      <w:r w:rsidRPr="00C12523">
        <w:rPr>
          <w:b/>
          <w:bCs/>
          <w:rtl/>
        </w:rPr>
        <w:t>ما</w:t>
      </w:r>
      <w:r w:rsidRPr="00C12523">
        <w:rPr>
          <w:rFonts w:hint="cs"/>
          <w:b/>
          <w:bCs/>
          <w:rtl/>
        </w:rPr>
        <w:t>ح</w:t>
      </w:r>
      <w:r w:rsidRPr="00C12523">
        <w:rPr>
          <w:b/>
          <w:bCs/>
          <w:rtl/>
        </w:rPr>
        <w:t>د السلم (2023)</w:t>
      </w:r>
      <w:r>
        <w:rPr>
          <w:rtl/>
        </w:rPr>
        <w:t xml:space="preserve"> </w:t>
      </w:r>
    </w:p>
    <w:p w14:paraId="728632E9" w14:textId="25CF9203" w:rsidR="00C12523" w:rsidRDefault="00C12523" w:rsidP="006F3A8B">
      <w:pPr>
        <w:pStyle w:val="NoSpacing"/>
        <w:bidi/>
        <w:rPr>
          <w:rtl/>
        </w:rPr>
      </w:pPr>
      <w:r>
        <w:rPr>
          <w:rtl/>
        </w:rPr>
        <w:t>أعد دراسة بعنوان "الشركات الناشئة في السعودية: التحديات والفرص"، نُشرت في المجلة الدولية للبحوث في الأعمال والعلوم الاجتماعية هدفت الدراسة إلى استكشاف واقع الشركات الناشئة في المملكة العربية السعودية، وتحديد أبرز التحديات التي تواجهها هذه المشاريع الريادية، إضافة إلى الفرص المتاحة أمامها في ضوء التحولات الاقتصادية والتشريعية التي أطلقتها رؤية السعودية 2030 وقد سعى الباحث من خلال هذه الدراسة إلى تقديم صورة شاملة عن بيئة ريادة الأعمال، مع التركيز على متطلبات النجاح والعقبات التنظيمية والتمويلية والتقنية</w:t>
      </w:r>
      <w:r>
        <w:t>.</w:t>
      </w:r>
    </w:p>
    <w:p w14:paraId="65A3EE79" w14:textId="448ACFD4" w:rsidR="00C12523" w:rsidRDefault="00C12523" w:rsidP="00C12523">
      <w:pPr>
        <w:pStyle w:val="NoSpacing"/>
        <w:bidi/>
        <w:rPr>
          <w:rtl/>
        </w:rPr>
      </w:pPr>
      <w:r>
        <w:rPr>
          <w:rtl/>
        </w:rPr>
        <w:t>استخدم الباحث المنهج الوصفي التحليلي من أجل تحليل الظواهر المرتبطة بالشركات الناشئة، وذلك اعتمادًا على البيانات الكمية والنوعية المستمدة من الميدان والمراجع الثانوية كما اعتمد الباحث على تحليل الأدبيات الحديثة والتقارير الصادرة عن الهيئات السعودية المتخصصة لدعم النتائج التي توصل إليها تنوعت مصادر البيانات ما بين مقابلات مع رواد أعمال واستبيانات تم تحليلها إحصائيًا، مما ساعد على توفير نتائج دقيقة حول التحديات المتعددة مثل التمويل، والبيروقراطية، وصعوبة التوسع في السوق المحلي والعالمي</w:t>
      </w:r>
      <w:r>
        <w:t>.</w:t>
      </w:r>
    </w:p>
    <w:p w14:paraId="7AD74EB1" w14:textId="1C53D48E" w:rsidR="00C12523" w:rsidRDefault="00C12523" w:rsidP="00C12523">
      <w:pPr>
        <w:pStyle w:val="NoSpacing"/>
        <w:bidi/>
        <w:rPr>
          <w:rtl/>
        </w:rPr>
      </w:pPr>
      <w:r>
        <w:rPr>
          <w:rtl/>
        </w:rPr>
        <w:t>تكون مجتمع الدراسة من أصحاب ومديري الشركات الناشئة في السعودية، وقد اعتمد الباحث على عينة تمثيلية من رواد الأعمال الذين أطلقوا مشاريعهم بعد عام 2016، أي مع انطلاقة رؤية 2030 أما أداة الدراسة الرئيسية فكانت الاستبانة التي صممت لقياس مستوى وعي الرواد بالتحديات، ومدى استفادتهم من البرامج والمبادرات الحكومية، ورؤيتهم للفرص المتاحة حاليًا</w:t>
      </w:r>
      <w:r>
        <w:t>.</w:t>
      </w:r>
    </w:p>
    <w:p w14:paraId="708EEC32" w14:textId="570E0B93" w:rsidR="00C12523" w:rsidRDefault="00C12523" w:rsidP="00C12523">
      <w:pPr>
        <w:pStyle w:val="NoSpacing"/>
        <w:bidi/>
        <w:rPr>
          <w:rtl/>
        </w:rPr>
      </w:pPr>
      <w:r>
        <w:rPr>
          <w:rtl/>
        </w:rPr>
        <w:t>كشفت النتائج عن وجود فرص واعدة للشركات الناشئة في السعودية خصوصًا في قطاعات التقنية والخدمات اللوجستية، إلا أن هذه الفرص تعترضها تحديات تنظيمية ومالية وبشرية وأوصى الباحث بضرورة تطوير بيئة التشريعات المتعلقة بالشركات الناشئة، وزيادة الاستثمار في البنية التحتية الرقمية، وتفعيل الحاضنات والمسرّعات، فضلًا عن تقديم دعم مستدام للرواد من خلال التمويل والإرشاد المهني، وربط الابتكار بريادة الأعمال لتعزيز القدرة التنافسية للشركات السعودية الناشئة</w:t>
      </w:r>
      <w:r>
        <w:t>.</w:t>
      </w:r>
    </w:p>
    <w:p w14:paraId="5134AFF5" w14:textId="77777777" w:rsidR="006F3A8B" w:rsidRDefault="00C12523" w:rsidP="006F3A8B">
      <w:pPr>
        <w:pStyle w:val="NoSpacing"/>
        <w:bidi/>
        <w:ind w:firstLine="0"/>
        <w:rPr>
          <w:rtl/>
        </w:rPr>
      </w:pPr>
      <w:r w:rsidRPr="00C12523">
        <w:rPr>
          <w:rFonts w:hint="cs"/>
          <w:b/>
          <w:bCs/>
          <w:rtl/>
        </w:rPr>
        <w:t>ا</w:t>
      </w:r>
      <w:r w:rsidRPr="00C12523">
        <w:rPr>
          <w:b/>
          <w:bCs/>
          <w:rtl/>
        </w:rPr>
        <w:t>هود الطالحي (2026)</w:t>
      </w:r>
      <w:r>
        <w:rPr>
          <w:rtl/>
        </w:rPr>
        <w:t xml:space="preserve"> </w:t>
      </w:r>
    </w:p>
    <w:p w14:paraId="731EAC34" w14:textId="450AFA64" w:rsidR="00C12523" w:rsidRDefault="00C12523" w:rsidP="006F3A8B">
      <w:pPr>
        <w:pStyle w:val="NoSpacing"/>
        <w:bidi/>
        <w:rPr>
          <w:rtl/>
        </w:rPr>
      </w:pPr>
      <w:r>
        <w:rPr>
          <w:rtl/>
        </w:rPr>
        <w:t>نشرت دراسة بعنوان "دور ريادة الأعمال في تحقيق أهداف التنمية المستدامة في المملكة العربية السعودية" في المجلة العربية للإدارة تناولت الدراسة العلاقة بين ريادة الأعمال والتنمية المستدامة، وركّزت على مفهوم "الريادة المستدامة" أو ما يعرف بـ"سستنوبنورشب"، باعتبارها وسيلة لتعظيم مكاسب التنمية في المجتمع السعودي، من خلال استخدام الموارد الاقتصادية غير المستغلة وخلق فرص العمل وتنشيط الإنتاج المحلي</w:t>
      </w:r>
      <w:r>
        <w:t>.</w:t>
      </w:r>
    </w:p>
    <w:p w14:paraId="60EE76C7" w14:textId="19B008C7" w:rsidR="00C12523" w:rsidRDefault="00C12523" w:rsidP="00C12523">
      <w:pPr>
        <w:pStyle w:val="NoSpacing"/>
        <w:bidi/>
        <w:rPr>
          <w:rtl/>
        </w:rPr>
      </w:pPr>
      <w:r>
        <w:rPr>
          <w:rtl/>
        </w:rPr>
        <w:t>هدفت الدراسة إلى تحديد مدى مساهمة رواد الأعمال السعوديين في تحقيق الأبعاد الثلاثة للتنمية المستدامة: الاقتصادية، البيئية، والاجتماعية، في إطار رؤية 2030 واستخدمت الباحثة المنهج الإحصائي التحليلي، مع الاعتماد على البيانات الأولية المجمعة من خلال استبانة تم تصميمها وتوزيعها على عينة من رواد الأعمال السعوديين ممن أطلقوا مشروعاتهم خلال السنوات الأخيرة كما دعمت الباحثة دراستها بنظرية "النتائج الثلاثية" التي تربط بين الربح، والبيئة، والمجتمع</w:t>
      </w:r>
      <w:r>
        <w:t>.</w:t>
      </w:r>
    </w:p>
    <w:p w14:paraId="01398E9D" w14:textId="64367C31" w:rsidR="00C12523" w:rsidRDefault="00C12523" w:rsidP="00C12523">
      <w:pPr>
        <w:pStyle w:val="NoSpacing"/>
        <w:bidi/>
        <w:rPr>
          <w:rtl/>
        </w:rPr>
      </w:pPr>
      <w:r>
        <w:rPr>
          <w:rtl/>
        </w:rPr>
        <w:t>تكون مجتمع الدراسة من رواد أعمال سعوديين حديثي التأسيس، أما العينة فقد تم اختيارها عشوائيًا لتمثيل أكبر قدر ممكن من القطاعات الريادية وركّزت أداة الدراسة على قياس مدى إدراك الرواد لدورهم في تحقيق الاستدامة، ومدى استخدامهم لممارسات إنتاج مستدام، وإعادة التدوير، وتحقيق الكفاءة الاقتصادية في التشغيل والتسويق وقد تضمنت الاستبانة أسئلة نوعية وأخرى كمية لتحليل التوجهات السائدة بين الرياديين</w:t>
      </w:r>
      <w:r>
        <w:t>.</w:t>
      </w:r>
    </w:p>
    <w:p w14:paraId="2A012C7A" w14:textId="5F05D7E0" w:rsidR="00E57E20" w:rsidRDefault="00C12523" w:rsidP="00C12523">
      <w:pPr>
        <w:pStyle w:val="NoSpacing"/>
        <w:bidi/>
        <w:rPr>
          <w:rtl/>
        </w:rPr>
      </w:pPr>
      <w:r>
        <w:rPr>
          <w:rtl/>
        </w:rPr>
        <w:t>أظهرت النتائج أن ريادة الأعمال تلعب دورًا بارزًا في تحقيق التنمية المستدامة في السعودية، خاصة فيما يتعلق بتوفير الوظائف، وتحسين جودة الحياة، وتحقيق النمو الاقتصادي القائم على الابتكار كما أشارت الدراسة إلى أن كثيرًا من الرواد لا يزالون بحاجة إلى وعي أكبر بالاستدامة البيئية، مما يستدعي جهودًا توعوية وأوصت الباحثة بدعم أكبر للريادة الخضراء، وتحسين جودة التعليم والتدريب الريادي، وزيادة دور الحاضنات والمسرّعات في دمج مفاهيم الاستدامة ضمن نماذج الأعمال الناشئة.</w:t>
      </w:r>
    </w:p>
    <w:p w14:paraId="14045A44" w14:textId="77777777" w:rsidR="006F3A8B" w:rsidRDefault="00C12523" w:rsidP="006F3A8B">
      <w:pPr>
        <w:pStyle w:val="NoSpacing"/>
        <w:bidi/>
        <w:ind w:firstLine="0"/>
        <w:rPr>
          <w:rtl/>
        </w:rPr>
      </w:pPr>
      <w:r w:rsidRPr="00C12523">
        <w:rPr>
          <w:b/>
          <w:bCs/>
          <w:rtl/>
        </w:rPr>
        <w:t>م</w:t>
      </w:r>
      <w:r>
        <w:rPr>
          <w:rFonts w:hint="cs"/>
          <w:b/>
          <w:bCs/>
          <w:rtl/>
        </w:rPr>
        <w:t>ه</w:t>
      </w:r>
      <w:r w:rsidRPr="00C12523">
        <w:rPr>
          <w:b/>
          <w:bCs/>
          <w:rtl/>
        </w:rPr>
        <w:t>مد أشرف وأشرف</w:t>
      </w:r>
      <w:r>
        <w:rPr>
          <w:rFonts w:hint="cs"/>
          <w:b/>
          <w:bCs/>
          <w:rtl/>
        </w:rPr>
        <w:t>ي</w:t>
      </w:r>
      <w:r w:rsidRPr="00C12523">
        <w:rPr>
          <w:b/>
          <w:bCs/>
          <w:rtl/>
        </w:rPr>
        <w:t xml:space="preserve"> الفخراني (2024</w:t>
      </w:r>
      <w:r>
        <w:rPr>
          <w:rtl/>
        </w:rPr>
        <w:t xml:space="preserve">) </w:t>
      </w:r>
    </w:p>
    <w:p w14:paraId="3E9A928B" w14:textId="6D4F3DD7" w:rsidR="00C12523" w:rsidRDefault="00C12523" w:rsidP="006F3A8B">
      <w:pPr>
        <w:pStyle w:val="NoSpacing"/>
        <w:bidi/>
        <w:rPr>
          <w:rtl/>
        </w:rPr>
      </w:pPr>
      <w:r>
        <w:rPr>
          <w:rtl/>
        </w:rPr>
        <w:t>نشرا دراسة بعنوان "الأثر التشريعي لرؤية 2030 على الشركات متعددة الجنسيات في المملكة العربية السعودية" في مجلة أمن الإنسان تناولت الدراسة الجوانب القانونية والتشريعية التي أفرزتها رؤية المملكة 2030، ومدى تأثيرها على أداء واستراتيجيات الشركات العالمية العاملة في السعودية، خصوصًا من ناحية الامتثال التنظيمي، وحوافز الاستثمار، وحماية الحقوق التجارية هدفت الدراسة إلى تحليل كيف انعكست التغيرات في البيئة القانونية السعودية على القرارات الاستثمارية للشركات متعددة الجنسيات، وعلى قدرتها على العمل ضمن إطار تنظيمي متطور يتماشى مع المعايير الدولية</w:t>
      </w:r>
      <w:r>
        <w:t>.</w:t>
      </w:r>
    </w:p>
    <w:p w14:paraId="27200622" w14:textId="575D91DF" w:rsidR="00C12523" w:rsidRDefault="00C12523" w:rsidP="00C12523">
      <w:pPr>
        <w:pStyle w:val="NoSpacing"/>
        <w:bidi/>
        <w:rPr>
          <w:rtl/>
        </w:rPr>
      </w:pPr>
      <w:r>
        <w:rPr>
          <w:rtl/>
        </w:rPr>
        <w:t>استخدم الباحثان المنهج التحليلي المقارن، حيث قاما بتحليل النصوص القانونية الجديدة، مثل قوانين الشركات والاستثمار، وربطها بواقع الشركات متعددة الجنسيات في السوق السعودي كما تم تحليل عدد من دراسات الحالة لشركات كبرى تعمل في مجالات الصناعة والطاقة والخدمات المالية وجرى التركيز على التعديلات في الأنظمة المتعلقة بالملكية الأجنبية، حماية المستثمر، القضاء التجاري، وسرعة الفصل في النزاعات وتم الاستناد إلى تقارير صادرة عن وزارة الاستثمار وهيئة السوق المالية، بالإضافة إلى مقابلات مع مسؤولين قانونيين في تلك الشركات</w:t>
      </w:r>
      <w:r>
        <w:t>.</w:t>
      </w:r>
    </w:p>
    <w:p w14:paraId="70B8EDBD" w14:textId="37470AF6" w:rsidR="00C12523" w:rsidRDefault="00C12523" w:rsidP="00C12523">
      <w:pPr>
        <w:pStyle w:val="NoSpacing"/>
        <w:bidi/>
        <w:rPr>
          <w:rtl/>
        </w:rPr>
      </w:pPr>
      <w:r>
        <w:rPr>
          <w:rtl/>
        </w:rPr>
        <w:t>تكون مجتمع الدراسة من شركات أجنبية ذات وجود فعلي في المملكة، وعينة الدراسة شملت عددًا من الشركات التي غيّرت نماذج أعمالها أو توسعت في السوق السعودي بعد إعلان رؤية 2030 لم تستخدم الدراسة أداة قياس كمية، بل اعتمدت على تحليل نوعي مدعوم ببيانات رسمية وملاحظات ميدانية وشملت العينة قطاعات مختلفة مثل النفط، الخدمات اللوجستية، البنوك، وتكنولوجيا المعلومات، مما أضفى على الدراسة طابعًا تطبيقيًا واقعيًا</w:t>
      </w:r>
      <w:r>
        <w:t>.</w:t>
      </w:r>
    </w:p>
    <w:p w14:paraId="73D8CDDD" w14:textId="28862552" w:rsidR="00C12523" w:rsidRDefault="00C12523" w:rsidP="00C12523">
      <w:pPr>
        <w:pStyle w:val="NoSpacing"/>
        <w:bidi/>
        <w:rPr>
          <w:rtl/>
        </w:rPr>
      </w:pPr>
      <w:r>
        <w:rPr>
          <w:rtl/>
        </w:rPr>
        <w:t>أظهرت النتائج أن التحديثات التشريعية في السعودية مكّنت الشركات العالمية من العمل في بيئة أكثر استقرارًا وشفافية كما عززت تلك القوانين من ثقة المستثمرين الأجانب، وساعدت على تقليل المخاطر القانونية والتشغيلية وأوصى الباحثان بمواصلة تطوير الأطر القانونية بما يراعي التطورات العالمية في أنظمة الشركات، وتحسين آليات التحكيم التجاري، وتوفير أدوات قانونية ذكية تدعم التحول الرقمي في القطاع القضائي، ما يعزز من موقع المملكة كبيئة جاذبة للاستثمار الأجنبي</w:t>
      </w:r>
      <w:r>
        <w:t>.</w:t>
      </w:r>
    </w:p>
    <w:p w14:paraId="7035450C" w14:textId="77777777" w:rsidR="006F3A8B" w:rsidRDefault="00C12523" w:rsidP="006F3A8B">
      <w:pPr>
        <w:pStyle w:val="NoSpacing"/>
        <w:bidi/>
        <w:ind w:firstLine="0"/>
        <w:rPr>
          <w:rtl/>
        </w:rPr>
      </w:pPr>
      <w:r w:rsidRPr="00C12523">
        <w:rPr>
          <w:b/>
          <w:bCs/>
          <w:rtl/>
        </w:rPr>
        <w:t>ماديسون ديرندينجر وبراين فرانك (2023)</w:t>
      </w:r>
      <w:r>
        <w:rPr>
          <w:rtl/>
        </w:rPr>
        <w:t xml:space="preserve"> </w:t>
      </w:r>
    </w:p>
    <w:p w14:paraId="48F529FE" w14:textId="0607B19B" w:rsidR="00C12523" w:rsidRDefault="00C12523" w:rsidP="006F3A8B">
      <w:pPr>
        <w:pStyle w:val="NoSpacing"/>
        <w:bidi/>
        <w:rPr>
          <w:rtl/>
        </w:rPr>
      </w:pPr>
      <w:r>
        <w:rPr>
          <w:rtl/>
        </w:rPr>
        <w:t>قدّما ورقة عمل بحثية بعنوان "رؤى التنوع: رؤية المملكة العربية السعودية 2030 وجهودها لبناء اقتصاد متنوع" ضمن سلسلة أوراق عمل معهد ميدلبري للدراسات الدولية هدفت الورقة إلى تقديم مراجعة شاملة للقطاعات الاقتصادية المستهدفة ضمن رؤية 2030، وتحليل مدى نجاح المملكة في التحول من اقتصاد نفطي تقليدي إلى اقتصاد متنوع ومستدام وتناولت الدراسة ثمانية قطاعات رئيسية: البتروكيماويات، السياحة، التعدين، الصحة، التصنيع، التجزئة، الإنشاءات، والخدمات المالية، باعتبارها قطاعات ذات أولوية وطنية ضمن استراتيجية التحول</w:t>
      </w:r>
      <w:r>
        <w:t>.</w:t>
      </w:r>
    </w:p>
    <w:p w14:paraId="6D30591F" w14:textId="5B562B73" w:rsidR="00C12523" w:rsidRDefault="00C12523" w:rsidP="00C12523">
      <w:pPr>
        <w:pStyle w:val="NoSpacing"/>
        <w:bidi/>
        <w:rPr>
          <w:rtl/>
        </w:rPr>
      </w:pPr>
      <w:r>
        <w:rPr>
          <w:rtl/>
        </w:rPr>
        <w:t>اعتمد الباحثان على المنهج التحليلي الوصفي المدعوم بالبيانات الرسمية والتقارير الاقتصادية الصادرة من الوزارات السعودية والهيئات العالمية مثل البنك الدولي ومنظمة التعاون الاقتصادي والتنمية وقد تم تحليل مؤشرات الأداء في كل قطاع منذ عام 2016 وحتى عام 2022، إضافة إلى تحليل التحديات والمخاطر التي قد تعيق تحقيق الأهداف المرجوة، مثل تباطؤ الاستثمار الأجنبي، أو تحديات البيروقراطية، أو نقص الكفاءات البشرية في بعض المجالات الحيوية</w:t>
      </w:r>
      <w:r>
        <w:t>.</w:t>
      </w:r>
    </w:p>
    <w:p w14:paraId="62CA661F" w14:textId="13CDBAEA" w:rsidR="00C12523" w:rsidRDefault="00C12523" w:rsidP="00C12523">
      <w:pPr>
        <w:pStyle w:val="NoSpacing"/>
        <w:bidi/>
        <w:rPr>
          <w:rtl/>
        </w:rPr>
      </w:pPr>
      <w:r>
        <w:rPr>
          <w:rtl/>
        </w:rPr>
        <w:t>شمل مجتمع الدراسة البيانات الحكومية المنشورة، إلى جانب مقابلات نوعية مع خبراء اقتصاديين في الشأن السعودي، مما منح الدراسة بعدًا تحليليًا واسعًا ومتكاملًا لم تعتمد الورقة على أدوات كمية تقليدية، لكنها قدّمت تحليلات مرجعية ومقارنات بين السعودية ودول أخرى سعت لتحقيق تنويع اقتصادي مشابه مثل الإمارات وماليزيا</w:t>
      </w:r>
      <w:r>
        <w:t>.</w:t>
      </w:r>
    </w:p>
    <w:p w14:paraId="3CCFC95E" w14:textId="56885835" w:rsidR="00C12523" w:rsidRPr="00C12523" w:rsidRDefault="00C12523" w:rsidP="00C12523">
      <w:pPr>
        <w:pStyle w:val="NoSpacing"/>
        <w:bidi/>
        <w:rPr>
          <w:rtl/>
        </w:rPr>
      </w:pPr>
      <w:r>
        <w:rPr>
          <w:rtl/>
        </w:rPr>
        <w:t>أبرزت النتائج أن المملكة حققت تقدمًا ملحوظًا في بعض القطاعات كالسياحة والخدمات المالية، بينما لا تزال بعض القطاعات مثل التصنيع والتعدين تحتاج إلى ضخ استثمارات وتحديث تشريعي أكبر وقد أوصى الباحثان بأهمية تعزيز البيئة التنظيمية، وتوسيع برامج التدريب المهني، ودعم الابتكار في الصناعات الجديدة، إضافة إلى تخفيف الاعتماد على النفط تدريجيًا من خلال سياسات مالية واقتصادية أكثر مرونة وانفتاحًا على الاستثمارات العالمية.</w:t>
      </w:r>
    </w:p>
    <w:p w14:paraId="08ABC4CA" w14:textId="77777777" w:rsidR="006F3A8B" w:rsidRDefault="00C12523" w:rsidP="006F3A8B">
      <w:pPr>
        <w:pStyle w:val="NoSpacing"/>
        <w:bidi/>
        <w:ind w:firstLine="0"/>
        <w:rPr>
          <w:rtl/>
        </w:rPr>
      </w:pPr>
      <w:r w:rsidRPr="00C12523">
        <w:rPr>
          <w:b/>
          <w:bCs/>
          <w:rtl/>
        </w:rPr>
        <w:t>زياد عبد الله ماني وكرزيستوف جونييفيتش (2024)</w:t>
      </w:r>
      <w:r>
        <w:rPr>
          <w:rtl/>
        </w:rPr>
        <w:t xml:space="preserve"> </w:t>
      </w:r>
    </w:p>
    <w:p w14:paraId="239B31C7" w14:textId="46A6D0F9" w:rsidR="00C12523" w:rsidRDefault="00C12523" w:rsidP="006F3A8B">
      <w:pPr>
        <w:pStyle w:val="NoSpacing"/>
        <w:bidi/>
        <w:rPr>
          <w:rtl/>
        </w:rPr>
      </w:pPr>
      <w:r>
        <w:rPr>
          <w:rtl/>
        </w:rPr>
        <w:t>قدّما دراسة بعنوان "تحول الرعاية الصحية في المملكة العربية السعودية: تقييم شامل لأثر رؤية 2030"، والتي نُشرت في مجلة</w:t>
      </w:r>
      <w:r>
        <w:t xml:space="preserve"> Sustainability </w:t>
      </w:r>
      <w:r>
        <w:rPr>
          <w:rtl/>
        </w:rPr>
        <w:t>هدفت الدراسة إلى تحليل مدى تأثير رؤية 2030 على النظام الصحي في المملكة، من خلال تتبع التغيرات في السياسات والبنية التحتية الصحية، ومدى التحسن في جودة وكفاءة تقديم الخدمات الطبية بعد إطلاق الرؤية وقد ركز الباحثان على العلاقة بين الإصلاحات الإدارية والمالية في القطاع الصحي، ومدى قدرتها على تحقيق أهداف الرؤية المتعلقة بالوصول إلى رعاية صحية شاملة ومستدامة</w:t>
      </w:r>
      <w:r>
        <w:t>.</w:t>
      </w:r>
    </w:p>
    <w:p w14:paraId="61F0AF43" w14:textId="6662276B" w:rsidR="00C12523" w:rsidRDefault="00C12523" w:rsidP="00C12523">
      <w:pPr>
        <w:pStyle w:val="NoSpacing"/>
        <w:bidi/>
        <w:rPr>
          <w:rtl/>
        </w:rPr>
      </w:pPr>
      <w:r>
        <w:rPr>
          <w:rtl/>
        </w:rPr>
        <w:t>استخدمت الدراسة المنهج التحليلي الكمي والنوعي، حيث اعتمد الباحثان على مؤشرات الأداء الصحي مثل معدل وفيات الأطفال، نسبة الإنفاق على الصحة من الناتج المحلي، وأعداد الكوادر الصحية مقارنة بعدد السكان كما تم تحليل استبيانات وزارية وتقارير رسمية صادرة عن وزارة الصحة السعودية ومنظمة الصحة العالمية وتم الجمع بين هذه البيانات وتحليلها إحصائيًا باستخدام أدوات قياس الاتجاهات الزمنية والمؤشرات المركبة</w:t>
      </w:r>
      <w:r>
        <w:t>.</w:t>
      </w:r>
    </w:p>
    <w:p w14:paraId="00BC4DA3" w14:textId="5E8F18CC" w:rsidR="00C12523" w:rsidRDefault="00C12523" w:rsidP="00C12523">
      <w:pPr>
        <w:pStyle w:val="NoSpacing"/>
        <w:bidi/>
        <w:rPr>
          <w:rtl/>
        </w:rPr>
      </w:pPr>
      <w:r>
        <w:rPr>
          <w:rtl/>
        </w:rPr>
        <w:t>تكوّن مجتمع الدراسة من المؤسسات الصحية الحكومية والخاصة في السعودية، وشملت العينة مستشفيات ومراكز صحية في مناطق مختلفة مثل الرياض، جدة، والدمام استخدم الباحثان أدوات تحليل كمية مثل الجداول الزمنية والمؤشرات المقارنة، إلى جانب تحليل مقابلات مع مسؤولين في قطاع الصحة وأطباء يعملون ضمن برامج التحول الصحي، مما أضفى على الدراسة ثقلًا تطبيقيًا مهمًا</w:t>
      </w:r>
      <w:r>
        <w:t>.</w:t>
      </w:r>
    </w:p>
    <w:p w14:paraId="099129BF" w14:textId="3AC4E697" w:rsidR="00C12523" w:rsidRDefault="00C12523" w:rsidP="00C12523">
      <w:pPr>
        <w:pStyle w:val="NoSpacing"/>
        <w:bidi/>
        <w:rPr>
          <w:rtl/>
        </w:rPr>
      </w:pPr>
      <w:r>
        <w:rPr>
          <w:rtl/>
        </w:rPr>
        <w:t>أظهرت النتائج أن رؤية 2030 ساهمت في تحسين البنية التحتية الصحية وتوسيع التغطية التأمينية وزيادة الاستثمارات في الخدمات الذكية عن بُعد كما لوحظ تحسن في كفاءة تشغيل المستشفيات وتقليص أوقات الانتظار في العديد من المدن الكبرى وأوصت الدراسة بضرورة تعزيز التحول الرقمي الكامل للخدمات الصحية، ورفع مستوى التأهيل المستمر للكوادر الطبية، وتوسيع الشراكة بين القطاعين العام والخاص لضمان استدامة التمويل، إضافة إلى توجيه السياسات نحو الوقاية وليس العلاج فقط، بما يتماشى مع أهداف التنمية المستدامة.</w:t>
      </w:r>
    </w:p>
    <w:p w14:paraId="6F05D33F" w14:textId="77777777" w:rsidR="00003D6C" w:rsidRDefault="00003D6C">
      <w:pPr>
        <w:spacing w:after="160" w:line="259" w:lineRule="auto"/>
        <w:rPr>
          <w:rFonts w:ascii="Simplified Arabic" w:hAnsi="Simplified Arabic" w:cs="Simplified Arabic"/>
          <w:b/>
          <w:bCs/>
          <w:sz w:val="32"/>
          <w:szCs w:val="32"/>
          <w:rtl/>
        </w:rPr>
      </w:pPr>
      <w:r>
        <w:rPr>
          <w:rtl/>
        </w:rPr>
        <w:br w:type="page"/>
      </w:r>
    </w:p>
    <w:p w14:paraId="64EAB3BE" w14:textId="4136D13C" w:rsidR="00786BD8" w:rsidRPr="00C12523" w:rsidRDefault="00786BD8" w:rsidP="00C12523">
      <w:pPr>
        <w:pStyle w:val="Heading3"/>
        <w:rPr>
          <w:rtl/>
        </w:rPr>
      </w:pPr>
      <w:bookmarkStart w:id="15" w:name="_Toc203236998"/>
      <w:r w:rsidRPr="00C12523">
        <w:rPr>
          <w:rFonts w:hint="cs"/>
          <w:rtl/>
        </w:rPr>
        <w:t>التعقيب على الدراسات السابقة</w:t>
      </w:r>
      <w:r w:rsidR="00190BBB" w:rsidRPr="00C12523">
        <w:rPr>
          <w:rFonts w:hint="cs"/>
          <w:rtl/>
        </w:rPr>
        <w:t>:</w:t>
      </w:r>
      <w:bookmarkEnd w:id="15"/>
    </w:p>
    <w:p w14:paraId="15C11D45" w14:textId="727C55E0" w:rsidR="00003D6C" w:rsidRPr="00003D6C" w:rsidRDefault="00003D6C" w:rsidP="00003D6C">
      <w:pPr>
        <w:pStyle w:val="NoSpacing"/>
        <w:bidi/>
        <w:rPr>
          <w:rtl/>
        </w:rPr>
      </w:pPr>
      <w:r w:rsidRPr="00003D6C">
        <w:rPr>
          <w:rtl/>
        </w:rPr>
        <w:t>عند مراجعة الدراسات السابقة، يتضح أن الباحثين العرب والأجانب ركزوا بشكل كبير على تقييم الأثر الفعلي للمشروعات والسياسات المرتبطة برؤية المملكة 2030، سواء في التعليم كما في دراسة القميزي (2021) التي حللت واقع المراكز العلمية، أو في الصحة كما في دراسة زياد ماني وجونييفيتش (2024) التي استعرضت التحول الصحي كما لاحظنا تنوعًا في المناهج البحثية بين الوصفي التحليلي، والمنهجي الكمي، وحتى الاستشرافي، ما يعكس محاولات جادة لفهم التغيرات المتسارعة في بيئة العمل السعودي وأظهرت بعض الدراسات كدراسة ماحد السلم (2023) وأهود الطالحي (2026) اهتمامًا بريادة الأعمال والتنمية المستدامة، بينما ركزت أخرى على قضايا الحوكمة، والتمكين، وتطوير رأس المال البشري كما في بحوث الروضان (2021)، وحلبي (2021)، والعتيبي (2021) ويلاحظ أيضًا أن معظم الدراسات العربية اعتمدت على أدوات كمية مثل الاستبانة، بينما مالت الدراسات الأجنبية إلى التحليل النوعي والمقارن، كما في دراسة ديرندينجر وفرانك (2023) ويُسجل للدراسات السعودية الحديثة اهتمامها بتطبيق نتائج البحث على أرض الواقع من خلال تقديم توصيات تنفيذية مرتبطة بخطط وبرامج الرؤية، مع التركيز على التحديات البنيوية، والفرص المستقبلية، والآليات المؤسسية اللازمة لتحقيق التحول الشامل.</w:t>
      </w:r>
    </w:p>
    <w:p w14:paraId="47E825C9" w14:textId="4D85F9AB" w:rsidR="00BF6213" w:rsidRPr="00BF6213" w:rsidRDefault="00BF6213" w:rsidP="00003D6C">
      <w:pPr>
        <w:pStyle w:val="NoSpacing"/>
        <w:bidi/>
        <w:ind w:firstLine="0"/>
        <w:rPr>
          <w:b/>
          <w:bCs/>
          <w:rtl/>
        </w:rPr>
      </w:pPr>
      <w:r w:rsidRPr="00BF6213">
        <w:rPr>
          <w:b/>
          <w:bCs/>
          <w:rtl/>
        </w:rPr>
        <w:t>التشابه</w:t>
      </w:r>
      <w:r w:rsidR="00E57E20">
        <w:rPr>
          <w:rFonts w:hint="cs"/>
          <w:b/>
          <w:bCs/>
          <w:rtl/>
        </w:rPr>
        <w:t xml:space="preserve"> بين الدراسات</w:t>
      </w:r>
      <w:r w:rsidRPr="00BF6213">
        <w:rPr>
          <w:b/>
          <w:bCs/>
          <w:rtl/>
        </w:rPr>
        <w:t>:</w:t>
      </w:r>
    </w:p>
    <w:p w14:paraId="7CFD8461" w14:textId="1C9A0F0F" w:rsidR="00003D6C" w:rsidRDefault="00003D6C" w:rsidP="00003D6C">
      <w:pPr>
        <w:pStyle w:val="NoSpacing"/>
        <w:bidi/>
        <w:rPr>
          <w:rtl/>
        </w:rPr>
      </w:pPr>
      <w:r>
        <w:rPr>
          <w:rtl/>
        </w:rPr>
        <w:t>التركيز على رؤية 2030 كإطار مرجعي</w:t>
      </w:r>
      <w:r>
        <w:rPr>
          <w:rFonts w:hint="cs"/>
          <w:rtl/>
        </w:rPr>
        <w:t xml:space="preserve"> حيث</w:t>
      </w:r>
      <w:r>
        <w:rPr>
          <w:rtl/>
        </w:rPr>
        <w:t xml:space="preserve"> جميع الدراسات تناولت أثر رؤية المملكة 2030 بشكل مباشر أو غير مباشر، معتبرة إياها نقطة انطلاق لتقييم التغيرات المؤسسية والتنموية (القميزي، 2021؛ ماني وجونييفيتش، 2024</w:t>
      </w:r>
      <w:r>
        <w:rPr>
          <w:rFonts w:hint="cs"/>
          <w:rtl/>
        </w:rPr>
        <w:t>).</w:t>
      </w:r>
    </w:p>
    <w:p w14:paraId="5300D4DD" w14:textId="13DA588B" w:rsidR="00003D6C" w:rsidRDefault="00003D6C" w:rsidP="00003D6C">
      <w:pPr>
        <w:pStyle w:val="NoSpacing"/>
        <w:bidi/>
        <w:rPr>
          <w:rtl/>
        </w:rPr>
      </w:pPr>
      <w:r>
        <w:rPr>
          <w:rtl/>
        </w:rPr>
        <w:t>اعتماد المنهج الوصفي التحليلي</w:t>
      </w:r>
      <w:r>
        <w:rPr>
          <w:rFonts w:hint="cs"/>
          <w:rtl/>
        </w:rPr>
        <w:t xml:space="preserve"> حيث</w:t>
      </w:r>
      <w:r>
        <w:rPr>
          <w:rtl/>
        </w:rPr>
        <w:t xml:space="preserve"> استخدم معظم الباحثين المنهج الوصفي التحليلي في دراسة الظواهر محل البحث، سواء في التعليم، الصحة، أو الاقتصاد (الحميري، 2021؛ ديرندينجر وفرانك، 2023</w:t>
      </w:r>
      <w:r>
        <w:rPr>
          <w:rFonts w:hint="cs"/>
          <w:rtl/>
        </w:rPr>
        <w:t>).</w:t>
      </w:r>
    </w:p>
    <w:p w14:paraId="4485295A" w14:textId="56775BAF" w:rsidR="00003D6C" w:rsidRDefault="00003D6C" w:rsidP="00003D6C">
      <w:pPr>
        <w:pStyle w:val="NoSpacing"/>
        <w:bidi/>
        <w:rPr>
          <w:rtl/>
        </w:rPr>
      </w:pPr>
      <w:r>
        <w:rPr>
          <w:rtl/>
        </w:rPr>
        <w:t>الاهتمام بتعزيز التنافسية</w:t>
      </w:r>
      <w:r>
        <w:rPr>
          <w:rFonts w:hint="cs"/>
          <w:rtl/>
        </w:rPr>
        <w:t xml:space="preserve"> حيث</w:t>
      </w:r>
      <w:r>
        <w:rPr>
          <w:rtl/>
        </w:rPr>
        <w:t xml:space="preserve"> ركزت البحوث على تعزيز القدرة التنافسية للمنظمات والمؤسسات السعودية في مختلف القطاعات (ماحد السلم، 2023؛ الطالحي، 2026</w:t>
      </w:r>
      <w:r>
        <w:rPr>
          <w:rFonts w:hint="cs"/>
          <w:rtl/>
        </w:rPr>
        <w:t>).</w:t>
      </w:r>
    </w:p>
    <w:p w14:paraId="11E68A50" w14:textId="6ACDF13C" w:rsidR="00003D6C" w:rsidRDefault="00003D6C" w:rsidP="00003D6C">
      <w:pPr>
        <w:pStyle w:val="NoSpacing"/>
        <w:bidi/>
        <w:rPr>
          <w:rtl/>
        </w:rPr>
      </w:pPr>
      <w:r>
        <w:rPr>
          <w:rtl/>
        </w:rPr>
        <w:t>تقييم دور الموارد البشرية</w:t>
      </w:r>
      <w:r>
        <w:rPr>
          <w:rFonts w:hint="cs"/>
          <w:rtl/>
        </w:rPr>
        <w:t xml:space="preserve"> حيث</w:t>
      </w:r>
      <w:r>
        <w:rPr>
          <w:rtl/>
        </w:rPr>
        <w:t xml:space="preserve"> أجمعت الدراسات على أهمية تطوير رأس المال البشري من خلال التدريب والتمكين الإداري لتحقيق مستهدفات الرؤية (العتيبي، 2021؛ حلبي، 2021</w:t>
      </w:r>
      <w:r>
        <w:rPr>
          <w:rFonts w:hint="cs"/>
          <w:rtl/>
        </w:rPr>
        <w:t>).</w:t>
      </w:r>
    </w:p>
    <w:p w14:paraId="54E16C85" w14:textId="0E599AD9" w:rsidR="00003D6C" w:rsidRDefault="00003D6C" w:rsidP="00003D6C">
      <w:pPr>
        <w:pStyle w:val="NoSpacing"/>
        <w:bidi/>
        <w:rPr>
          <w:rtl/>
        </w:rPr>
      </w:pPr>
      <w:r>
        <w:rPr>
          <w:rtl/>
        </w:rPr>
        <w:t>اتفقت الدراسات على وجود تحديات بنيوية وإدارية تحول دون تحقيق الأهداف المنشودة، مثل ضعف البنية التحتية أو غياب الحوافز (الروضان، 2021؛ العنزي، 2021</w:t>
      </w:r>
      <w:r>
        <w:rPr>
          <w:rFonts w:hint="cs"/>
          <w:rtl/>
        </w:rPr>
        <w:t>).</w:t>
      </w:r>
    </w:p>
    <w:p w14:paraId="7ACC9409" w14:textId="75C0B295" w:rsidR="00003D6C" w:rsidRDefault="00003D6C" w:rsidP="00003D6C">
      <w:pPr>
        <w:pStyle w:val="NoSpacing"/>
        <w:bidi/>
        <w:rPr>
          <w:rtl/>
        </w:rPr>
      </w:pPr>
      <w:r>
        <w:rPr>
          <w:rtl/>
        </w:rPr>
        <w:t>حرصت جميع الدراسات على تقديم توصيات عملية وقابلة للتطبيق لتحسين جودة الخدمات أو رفع مستوى الأداء المؤسسي (بابطين، 2021؛ الصبحي، 2021</w:t>
      </w:r>
      <w:r>
        <w:rPr>
          <w:rFonts w:hint="cs"/>
          <w:rtl/>
        </w:rPr>
        <w:t>).</w:t>
      </w:r>
    </w:p>
    <w:p w14:paraId="6DE8B9E0" w14:textId="1F2E6EDF" w:rsidR="00003D6C" w:rsidRDefault="00003D6C" w:rsidP="00003D6C">
      <w:pPr>
        <w:pStyle w:val="NoSpacing"/>
        <w:bidi/>
        <w:rPr>
          <w:rtl/>
        </w:rPr>
      </w:pPr>
      <w:r>
        <w:rPr>
          <w:rtl/>
        </w:rPr>
        <w:t>دمجت بعض الدراسات البعد المجتمعي في التحليل، سواء من خلال إشراك المجتمع المحلي أو التركيز على القيم والهوية الوطنية (الربعي، 2021؛ هاشمي، 2021</w:t>
      </w:r>
      <w:r>
        <w:rPr>
          <w:rFonts w:hint="cs"/>
          <w:rtl/>
        </w:rPr>
        <w:t>).</w:t>
      </w:r>
    </w:p>
    <w:p w14:paraId="0521AD47" w14:textId="6BC82060" w:rsidR="00003D6C" w:rsidRDefault="00003D6C" w:rsidP="00003D6C">
      <w:pPr>
        <w:pStyle w:val="NoSpacing"/>
        <w:bidi/>
        <w:rPr>
          <w:rtl/>
        </w:rPr>
      </w:pPr>
      <w:r>
        <w:rPr>
          <w:rtl/>
        </w:rPr>
        <w:t>اعتمدت الدراسات الأجنبية والمحلية على تحليل الأدبيات المعاصرة والتقارير الرسمية لدعم نتائجها وتفسيرها (أشرف والفخراني، 2024؛ ماني وجونييفيتش، 2024</w:t>
      </w:r>
      <w:r>
        <w:rPr>
          <w:rFonts w:hint="cs"/>
          <w:rtl/>
        </w:rPr>
        <w:t>).</w:t>
      </w:r>
    </w:p>
    <w:p w14:paraId="7D4CA1FB" w14:textId="6DBB9268" w:rsidR="00BF6213" w:rsidRPr="00BF6213" w:rsidRDefault="00BF6213" w:rsidP="00C0639D">
      <w:pPr>
        <w:pStyle w:val="NoSpacing"/>
        <w:bidi/>
        <w:ind w:firstLine="0"/>
        <w:rPr>
          <w:b/>
          <w:bCs/>
          <w:rtl/>
        </w:rPr>
      </w:pPr>
      <w:r w:rsidRPr="00BF6213">
        <w:rPr>
          <w:b/>
          <w:bCs/>
          <w:rtl/>
        </w:rPr>
        <w:t>الاختلاف</w:t>
      </w:r>
      <w:r w:rsidR="00E57E20" w:rsidRPr="00E57E20">
        <w:rPr>
          <w:rFonts w:hint="cs"/>
          <w:b/>
          <w:bCs/>
          <w:rtl/>
        </w:rPr>
        <w:t xml:space="preserve"> </w:t>
      </w:r>
      <w:r w:rsidR="00E57E20">
        <w:rPr>
          <w:rFonts w:hint="cs"/>
          <w:b/>
          <w:bCs/>
          <w:rtl/>
        </w:rPr>
        <w:t>بين الدراسات</w:t>
      </w:r>
      <w:r w:rsidR="00E57E20" w:rsidRPr="00BF6213">
        <w:rPr>
          <w:b/>
          <w:bCs/>
          <w:rtl/>
        </w:rPr>
        <w:t>:</w:t>
      </w:r>
    </w:p>
    <w:p w14:paraId="7AD5FD39" w14:textId="0EBD91AA" w:rsidR="00CC4543" w:rsidRDefault="00CC4543" w:rsidP="00CC4543">
      <w:pPr>
        <w:pStyle w:val="NoSpacing"/>
        <w:bidi/>
        <w:rPr>
          <w:rtl/>
        </w:rPr>
      </w:pPr>
      <w:r>
        <w:rPr>
          <w:rtl/>
        </w:rPr>
        <w:t>تباين القطاعات محل الدراسة</w:t>
      </w:r>
      <w:r>
        <w:rPr>
          <w:rFonts w:hint="cs"/>
          <w:rtl/>
        </w:rPr>
        <w:t xml:space="preserve"> حيث</w:t>
      </w:r>
      <w:r>
        <w:rPr>
          <w:rtl/>
        </w:rPr>
        <w:t xml:space="preserve"> ركزت بعض الدراسات على التعليم (القميزي، 2021؛ الروضان، 2021)، بينما توجهت أخرى نحو الصحة (ماني وجونييفيتش، 2024)، أو ريادة الأعمال (ماحد السلم، 2023؛ الطالحي، 2026)، مما يعكس اختلاف السياقات البحثية</w:t>
      </w:r>
      <w:r>
        <w:t>.</w:t>
      </w:r>
    </w:p>
    <w:p w14:paraId="7E606D76" w14:textId="033B9423" w:rsidR="00CC4543" w:rsidRDefault="00CC4543" w:rsidP="00CC4543">
      <w:pPr>
        <w:pStyle w:val="NoSpacing"/>
        <w:bidi/>
        <w:rPr>
          <w:rtl/>
        </w:rPr>
      </w:pPr>
      <w:r>
        <w:rPr>
          <w:rtl/>
        </w:rPr>
        <w:t>اختلاف الأدوات البحثية</w:t>
      </w:r>
      <w:r w:rsidRPr="00CC4543">
        <w:rPr>
          <w:rFonts w:hint="cs"/>
          <w:rtl/>
        </w:rPr>
        <w:t xml:space="preserve"> </w:t>
      </w:r>
      <w:r>
        <w:rPr>
          <w:rFonts w:hint="cs"/>
          <w:rtl/>
        </w:rPr>
        <w:t>حيث</w:t>
      </w:r>
      <w:r>
        <w:rPr>
          <w:rtl/>
        </w:rPr>
        <w:t xml:space="preserve"> استخدمت الدراسات العربية أدوات كمية مثل الاستبانة والمقابلات (الحميري، 2021؛ العتيبي، 2021)، بينما فضّلت بعض الدراسات الأجنبية التحليل المقارن والنوعي (ديرندينجر وفرانك، 2023؛ أشرف والفخراني، 2024</w:t>
      </w:r>
      <w:r>
        <w:rPr>
          <w:rFonts w:hint="cs"/>
          <w:rtl/>
        </w:rPr>
        <w:t>).</w:t>
      </w:r>
    </w:p>
    <w:p w14:paraId="4154E12A" w14:textId="0700E666" w:rsidR="00CC4543" w:rsidRDefault="00CC4543" w:rsidP="00CC4543">
      <w:pPr>
        <w:pStyle w:val="NoSpacing"/>
        <w:bidi/>
        <w:rPr>
          <w:rtl/>
        </w:rPr>
      </w:pPr>
      <w:r>
        <w:rPr>
          <w:rtl/>
        </w:rPr>
        <w:t>تنوع المنهجيات</w:t>
      </w:r>
      <w:r>
        <w:rPr>
          <w:rFonts w:hint="cs"/>
          <w:rtl/>
        </w:rPr>
        <w:t xml:space="preserve"> حيث</w:t>
      </w:r>
      <w:r>
        <w:rPr>
          <w:rtl/>
        </w:rPr>
        <w:t xml:space="preserve"> اعتمدت بعض الدراسات على المنهج الاستشرافي أو شبه التجريبي (العنزي، 2021؛ بابطين، 2021)، في حين ركزت أخرى على التحليل الكمي أو التحليل المقارن (ماني وجونييفيتش، 2024</w:t>
      </w:r>
      <w:r>
        <w:rPr>
          <w:rFonts w:hint="cs"/>
          <w:rtl/>
        </w:rPr>
        <w:t>).</w:t>
      </w:r>
    </w:p>
    <w:p w14:paraId="1CE00F48" w14:textId="5C7FF3C5" w:rsidR="00CC4543" w:rsidRDefault="00CC4543" w:rsidP="00CC4543">
      <w:pPr>
        <w:pStyle w:val="NoSpacing"/>
        <w:bidi/>
        <w:rPr>
          <w:rtl/>
        </w:rPr>
      </w:pPr>
      <w:r>
        <w:rPr>
          <w:rtl/>
        </w:rPr>
        <w:t>اختلاف عينات الدراسة</w:t>
      </w:r>
      <w:r w:rsidRPr="00CC4543">
        <w:rPr>
          <w:rFonts w:hint="cs"/>
          <w:rtl/>
        </w:rPr>
        <w:t xml:space="preserve"> </w:t>
      </w:r>
      <w:r>
        <w:rPr>
          <w:rFonts w:hint="cs"/>
          <w:rtl/>
        </w:rPr>
        <w:t>حيث</w:t>
      </w:r>
      <w:r>
        <w:rPr>
          <w:rtl/>
        </w:rPr>
        <w:t xml:space="preserve"> تباينت المجتمعات البحثية بين موظفين حكوميين، طلاب، خبراء تربويين، رواد أعمال، ومسؤولين في شركات أجنبية، مما أضفى تنوعًا على النتائج (القميزي، 2021؛ السلم، 2023؛ أشرف والفخراني، 2024</w:t>
      </w:r>
      <w:r>
        <w:rPr>
          <w:rFonts w:hint="cs"/>
          <w:rtl/>
        </w:rPr>
        <w:t>).</w:t>
      </w:r>
    </w:p>
    <w:p w14:paraId="3B8A16DD" w14:textId="3149CEDD" w:rsidR="00CC4543" w:rsidRDefault="00CC4543" w:rsidP="00CC4543">
      <w:pPr>
        <w:pStyle w:val="NoSpacing"/>
        <w:bidi/>
        <w:rPr>
          <w:rtl/>
        </w:rPr>
      </w:pPr>
      <w:r>
        <w:rPr>
          <w:rtl/>
        </w:rPr>
        <w:t>تفاوت في النتائج الرئيسة</w:t>
      </w:r>
      <w:r w:rsidRPr="00CC4543">
        <w:rPr>
          <w:rFonts w:hint="cs"/>
          <w:rtl/>
        </w:rPr>
        <w:t xml:space="preserve"> </w:t>
      </w:r>
      <w:r>
        <w:rPr>
          <w:rFonts w:hint="cs"/>
          <w:rtl/>
        </w:rPr>
        <w:t>حيث</w:t>
      </w:r>
      <w:r>
        <w:rPr>
          <w:rtl/>
        </w:rPr>
        <w:t xml:space="preserve"> أظهرت بعض الدراسات تحسنًا واضحًا في الأداء المؤسسي بعد تطبيق سياسات الرؤية (ماني وجونييفيتش، 2024)، بينما أشارت أخرى إلى استمرار وجود فجوات وتحديات تستدعي مزيدًا من العمل (الروضان، 2021؛ العنزي، 2021</w:t>
      </w:r>
      <w:r>
        <w:rPr>
          <w:rFonts w:hint="cs"/>
          <w:rtl/>
        </w:rPr>
        <w:t>).</w:t>
      </w:r>
    </w:p>
    <w:p w14:paraId="67BCCCA0" w14:textId="573FBE48" w:rsidR="00CC4543" w:rsidRDefault="00CC4543" w:rsidP="00CC4543">
      <w:pPr>
        <w:pStyle w:val="NoSpacing"/>
        <w:bidi/>
        <w:rPr>
          <w:rtl/>
        </w:rPr>
      </w:pPr>
      <w:r>
        <w:rPr>
          <w:rtl/>
        </w:rPr>
        <w:t>مستوى التوصيات</w:t>
      </w:r>
      <w:r w:rsidRPr="00CC4543">
        <w:rPr>
          <w:rFonts w:hint="cs"/>
          <w:rtl/>
        </w:rPr>
        <w:t xml:space="preserve"> </w:t>
      </w:r>
      <w:r>
        <w:rPr>
          <w:rFonts w:hint="cs"/>
          <w:rtl/>
        </w:rPr>
        <w:t>حيث</w:t>
      </w:r>
      <w:r>
        <w:rPr>
          <w:rtl/>
        </w:rPr>
        <w:t xml:space="preserve"> قدمت بعض الدراسات توصيات ذات بعد استراتيجي واسع (القميزي، 2021؛ الطالحي، 2026)، بينما ركزت دراسات أخرى على مقترحات تنفيذية محددة مرتبطة ببرامج أو أقسام معينة (بابطين، 2021؛ الصبحي، 2021</w:t>
      </w:r>
      <w:r>
        <w:rPr>
          <w:rFonts w:hint="cs"/>
          <w:rtl/>
        </w:rPr>
        <w:t>).</w:t>
      </w:r>
    </w:p>
    <w:p w14:paraId="7AF00F0D" w14:textId="163D5681" w:rsidR="00CC4543" w:rsidRDefault="00CC4543" w:rsidP="00CC4543">
      <w:pPr>
        <w:pStyle w:val="NoSpacing"/>
        <w:bidi/>
        <w:rPr>
          <w:rtl/>
        </w:rPr>
      </w:pPr>
      <w:r>
        <w:rPr>
          <w:rtl/>
        </w:rPr>
        <w:t>درجة الربط بسوق العمل</w:t>
      </w:r>
      <w:r w:rsidRPr="00CC4543">
        <w:rPr>
          <w:rFonts w:hint="cs"/>
          <w:rtl/>
        </w:rPr>
        <w:t xml:space="preserve"> </w:t>
      </w:r>
      <w:r>
        <w:rPr>
          <w:rFonts w:hint="cs"/>
          <w:rtl/>
        </w:rPr>
        <w:t>حيث</w:t>
      </w:r>
      <w:r>
        <w:rPr>
          <w:rtl/>
        </w:rPr>
        <w:t xml:space="preserve"> ركزت بعض الدراسات على مواءمة مخرجات التعليم مع احتياجات سوق العمل (العنزي، 2021)، بينما لم يكن هذا المحور حاضرًا بقوة في دراسات أخرى ركزت على الحوكمة أو القيم (الروضان، 2021؛ هاشمي، 2021</w:t>
      </w:r>
      <w:r>
        <w:rPr>
          <w:rFonts w:hint="cs"/>
          <w:rtl/>
        </w:rPr>
        <w:t>).</w:t>
      </w:r>
    </w:p>
    <w:p w14:paraId="19B74B3F" w14:textId="1AD8B6AC" w:rsidR="00CC4543" w:rsidRDefault="00CC4543" w:rsidP="00CC4543">
      <w:pPr>
        <w:pStyle w:val="NoSpacing"/>
        <w:bidi/>
        <w:rPr>
          <w:rtl/>
        </w:rPr>
      </w:pPr>
      <w:r>
        <w:rPr>
          <w:rtl/>
        </w:rPr>
        <w:t>اختلاف السياق المحلي والدولي</w:t>
      </w:r>
      <w:r w:rsidRPr="00CC4543">
        <w:rPr>
          <w:rFonts w:hint="cs"/>
          <w:rtl/>
        </w:rPr>
        <w:t xml:space="preserve"> </w:t>
      </w:r>
      <w:r>
        <w:rPr>
          <w:rFonts w:hint="cs"/>
          <w:rtl/>
        </w:rPr>
        <w:t>حيث</w:t>
      </w:r>
      <w:r>
        <w:rPr>
          <w:rtl/>
        </w:rPr>
        <w:t xml:space="preserve"> ركزت الدراسات الأجنبية على المقارنات بين السعودية ودول أخرى، مع تحليل أثر البيئة التشريعية والاستثمارية الجديدة على الشركات متعددة الجنسيات (أشرف والفخراني، 2024؛ ديرندينجر وفرانك، 2023)، في حين ركزت الدراسات المحلية على التحديات الداخلية والسياسات الوطنية</w:t>
      </w:r>
      <w:r>
        <w:t>.</w:t>
      </w:r>
    </w:p>
    <w:p w14:paraId="582F7CC3" w14:textId="2C4279BC" w:rsidR="00BF6213" w:rsidRPr="00BF6213" w:rsidRDefault="00BF6213" w:rsidP="00C0639D">
      <w:pPr>
        <w:pStyle w:val="NoSpacing"/>
        <w:bidi/>
        <w:ind w:firstLine="0"/>
        <w:rPr>
          <w:b/>
          <w:bCs/>
          <w:rtl/>
        </w:rPr>
      </w:pPr>
      <w:r w:rsidRPr="00BF6213">
        <w:rPr>
          <w:rFonts w:hint="cs"/>
          <w:b/>
          <w:bCs/>
          <w:rtl/>
        </w:rPr>
        <w:t>الفجوة البحثية التي تميز البحث الحالي عن الدراسات السابقة:</w:t>
      </w:r>
    </w:p>
    <w:p w14:paraId="5860D653" w14:textId="7D8ECDF6" w:rsidR="00CC4543" w:rsidRDefault="00CC4543" w:rsidP="00CC4543">
      <w:pPr>
        <w:pStyle w:val="NoSpacing"/>
        <w:bidi/>
        <w:rPr>
          <w:rtl/>
        </w:rPr>
      </w:pPr>
      <w:r>
        <w:rPr>
          <w:rtl/>
        </w:rPr>
        <w:t>تتميز دراستي بكونها من الدراسات التطبيقية الحديثة التي تسعى إلى سد فجوة قائمة في الأدبيات المتعلقة بتأثير رؤية المملكة 2030 على واقع الشركات الناشئة، من خلال التركيز على الفترة الممتدة من 2016م حتى 2022م، وهي الفترة التي شهدت انطلاق وتفعيل أهم برامج ومبادرات الرؤية بخلاف عدد من الدراسات السابقة التي تناولت الجوانب النظرية للرؤية أو ركّزت على قطاعات محددة كالتعليم أو الصحة أو الإعلام، فإن دراستي تنفرد بتناول بيئة ريادة الأعمال في المملكة من منظور شامل، حيث رصدت خمسة محاور رئيسة تمثل ركائز أساسية في دعم واستمرارية الشركات الناشئة، وهي: البيئة الاستثمارية، الدعم المالي والتقني، البنية التحتية الرقمية، تمكين الشباب والمرأة، وثقافة الابتكار وريادة الأعمال كما اعتمدت على عينة ميدانية من رواد الأعمال العاملين فعليًا في السوق السعودي، مما يمنح نتائج الدراسة واقعية وعُمقًا تطبيقيًا يعكس التجربة الفعلية للرياديين</w:t>
      </w:r>
      <w:r>
        <w:t>.</w:t>
      </w:r>
    </w:p>
    <w:p w14:paraId="2C46BE7C" w14:textId="6A804CE7" w:rsidR="007D1378" w:rsidRPr="00CC4543" w:rsidRDefault="00CC4543" w:rsidP="00CC4543">
      <w:pPr>
        <w:pStyle w:val="NoSpacing"/>
        <w:bidi/>
        <w:rPr>
          <w:rtl/>
        </w:rPr>
      </w:pPr>
      <w:r>
        <w:rPr>
          <w:rtl/>
        </w:rPr>
        <w:t xml:space="preserve">وتُعد مساهمة هذه الدراسة إضافة نوعية إلى مجال البحوث الاقتصادية والإدارية، إذ تقدم تحليلًا كميًا دقيقًا مدعومًا بأساليب إحصائية موثوقة مثل معامل بيرسون والمتوسطات الحسابية والانحرافات المعيارية، مما يجعلها مصدرًا علميًا يمكن الاستفادة منه في تطوير السياسات الاقتصادية والمبادرات الحكومية المستقبلية كما تفتح الدراسة آفاقًا بحثية جديدة للباحثين المهتمين بريادة الأعمال، من خلال إبراز أهمية التمكين المؤسسي، والتحول الرقمي، وتحسين بيئة الأعمال كعوامل محورية لنمو هذا القطاع الواعد. </w:t>
      </w:r>
    </w:p>
    <w:p w14:paraId="2FCE9D5A" w14:textId="517FBB71" w:rsidR="00190BBB" w:rsidRDefault="00F925D0" w:rsidP="00C0639D">
      <w:pPr>
        <w:pStyle w:val="Heading2"/>
        <w:bidi/>
        <w:rPr>
          <w:rtl/>
        </w:rPr>
      </w:pPr>
      <w:bookmarkStart w:id="16" w:name="_Toc203236999"/>
      <w:r>
        <w:rPr>
          <w:rFonts w:hint="cs"/>
          <w:rtl/>
        </w:rPr>
        <w:t>الإطار النظري</w:t>
      </w:r>
      <w:r w:rsidR="00190BBB">
        <w:rPr>
          <w:rFonts w:hint="cs"/>
          <w:rtl/>
        </w:rPr>
        <w:t>:</w:t>
      </w:r>
      <w:bookmarkEnd w:id="16"/>
    </w:p>
    <w:p w14:paraId="3696CE97" w14:textId="29E348DC" w:rsidR="00156BA4" w:rsidRDefault="00156BA4" w:rsidP="00C0639D">
      <w:pPr>
        <w:pStyle w:val="Heading3"/>
        <w:rPr>
          <w:rtl/>
        </w:rPr>
      </w:pPr>
      <w:bookmarkStart w:id="17" w:name="_Toc203237000"/>
      <w:r>
        <w:rPr>
          <w:rtl/>
        </w:rPr>
        <w:t>المفاهيم الأساسية للدراسة</w:t>
      </w:r>
      <w:r>
        <w:rPr>
          <w:rFonts w:hint="cs"/>
          <w:rtl/>
        </w:rPr>
        <w:t>:</w:t>
      </w:r>
      <w:bookmarkEnd w:id="17"/>
    </w:p>
    <w:p w14:paraId="0D8218B4" w14:textId="77777777" w:rsidR="004D775B" w:rsidRDefault="004D775B" w:rsidP="00C0639D">
      <w:pPr>
        <w:pStyle w:val="NoSpacing"/>
        <w:bidi/>
        <w:ind w:firstLine="0"/>
        <w:rPr>
          <w:rtl/>
        </w:rPr>
      </w:pPr>
      <w:r>
        <w:rPr>
          <w:rtl/>
        </w:rPr>
        <w:t>رؤية السعودية 2030</w:t>
      </w:r>
    </w:p>
    <w:p w14:paraId="52FA6CCF" w14:textId="5713218B" w:rsidR="004D775B" w:rsidRDefault="004D775B" w:rsidP="00C0639D">
      <w:pPr>
        <w:pStyle w:val="NoSpacing"/>
        <w:bidi/>
        <w:rPr>
          <w:rtl/>
        </w:rPr>
      </w:pPr>
      <w:r>
        <w:rPr>
          <w:rtl/>
        </w:rPr>
        <w:t>رؤية السعودية 2030 هي خطة وطنية استراتيجية أُطلقت عام 2016 بهدف إحداث تحوّل شامل في الاقتصاد والمجتمع السعودي، من خلال تنويع مصادر الدخل وتقليل الاعتماد على النفط تتضمن الرؤية مجموعة من البرامج الطموحة التي تهدف إلى تطوير القطاعات غير النفطية، مثل السياحة، الترفيه، الصناعة، والتعليم، وتمكين القطاع الخاص ليكون شريكًا في التنمية المستدامة</w:t>
      </w:r>
      <w:r>
        <w:t>.</w:t>
      </w:r>
    </w:p>
    <w:p w14:paraId="19AF7D97" w14:textId="31BDAD13" w:rsidR="004D775B" w:rsidRDefault="004D775B" w:rsidP="00C0639D">
      <w:pPr>
        <w:pStyle w:val="NoSpacing"/>
        <w:bidi/>
        <w:rPr>
          <w:rtl/>
        </w:rPr>
      </w:pPr>
      <w:r>
        <w:rPr>
          <w:rtl/>
        </w:rPr>
        <w:t>كما تركّز الرؤية على تحسين البيئة الاستثمارية، وتمكين المرأة، واحتضان الابتكار وريادة الأعمال، مما يخلق فرصًا جديدة للشركات الناشئة للنمو والمساهمة في الاقتصاد الوطني وتُعد هذه الرؤية إطارًا مرجعيًا جوهريًا لفهم التغيرات التي تشهدها المملكة في مجال دعم المشاريع الريادية والتحول الرقمي</w:t>
      </w:r>
      <w:r>
        <w:t>.</w:t>
      </w:r>
      <w:r w:rsidR="006F3A8B">
        <w:rPr>
          <w:rFonts w:hint="cs"/>
          <w:rtl/>
        </w:rPr>
        <w:t xml:space="preserve"> </w:t>
      </w:r>
      <w:r w:rsidR="006F3A8B" w:rsidRPr="006F3A8B">
        <w:rPr>
          <w:rtl/>
        </w:rPr>
        <w:t>(الفيفي، 2021)</w:t>
      </w:r>
    </w:p>
    <w:p w14:paraId="36B206ED" w14:textId="77777777" w:rsidR="004D775B" w:rsidRDefault="004D775B" w:rsidP="00C0639D">
      <w:pPr>
        <w:pStyle w:val="NoSpacing"/>
        <w:bidi/>
        <w:ind w:firstLine="0"/>
        <w:rPr>
          <w:rtl/>
        </w:rPr>
      </w:pPr>
      <w:r>
        <w:rPr>
          <w:rtl/>
        </w:rPr>
        <w:t>الشركات الناشئة</w:t>
      </w:r>
    </w:p>
    <w:p w14:paraId="66C07CA6" w14:textId="13BF6614" w:rsidR="004D775B" w:rsidRDefault="004D775B" w:rsidP="00C0639D">
      <w:pPr>
        <w:pStyle w:val="NoSpacing"/>
        <w:bidi/>
        <w:rPr>
          <w:rtl/>
        </w:rPr>
      </w:pPr>
      <w:r>
        <w:rPr>
          <w:rtl/>
        </w:rPr>
        <w:t>الشركات الناشئة هي مشاريع ريادية في مراحلها الأولى، تتميز بكونها صغيرة الحجم، مبتكرة، وذات قابلية للنمو السريع في ظل ظروف غير مؤكدة غالبًا ما تعتمد هذه الشركات على الأفكار الإبداعية والتكنولوجيا الحديثة لحل مشكلات قائمة أو تقديم خدمات وسلع جديدة للأسواق المحلية أو العالمية</w:t>
      </w:r>
      <w:r>
        <w:t>.</w:t>
      </w:r>
    </w:p>
    <w:p w14:paraId="62463A9D" w14:textId="6F3E8674" w:rsidR="004D775B" w:rsidRDefault="004D775B" w:rsidP="00C0639D">
      <w:pPr>
        <w:pStyle w:val="NoSpacing"/>
        <w:bidi/>
        <w:rPr>
          <w:rtl/>
        </w:rPr>
      </w:pPr>
      <w:r>
        <w:rPr>
          <w:rtl/>
        </w:rPr>
        <w:t>في سياق رؤية 2030، تحظى الشركات الناشئة في المملكة بدعم متزايد من الجهات الحكومية والخاصة، عبر برامج تمويل، وحاضنات أعمال، ومساحات عمل مشتركة، مما يعزز من فرصها في التطور وتحقيق الاستدامة الاقتصادية على المدى الطويل</w:t>
      </w:r>
      <w:r>
        <w:t>.</w:t>
      </w:r>
      <w:r w:rsidR="006F3A8B">
        <w:rPr>
          <w:rFonts w:hint="cs"/>
          <w:rtl/>
        </w:rPr>
        <w:t xml:space="preserve"> </w:t>
      </w:r>
      <w:r w:rsidR="006F3A8B" w:rsidRPr="006F3A8B">
        <w:rPr>
          <w:rtl/>
        </w:rPr>
        <w:t>(الفيفي، 2021)</w:t>
      </w:r>
    </w:p>
    <w:p w14:paraId="29A889D3" w14:textId="77777777" w:rsidR="004D775B" w:rsidRDefault="004D775B" w:rsidP="00C0639D">
      <w:pPr>
        <w:pStyle w:val="NoSpacing"/>
        <w:bidi/>
        <w:ind w:firstLine="0"/>
        <w:rPr>
          <w:rtl/>
        </w:rPr>
      </w:pPr>
      <w:r>
        <w:rPr>
          <w:rtl/>
        </w:rPr>
        <w:t>ريادة الأعمال</w:t>
      </w:r>
    </w:p>
    <w:p w14:paraId="6D8FDC71" w14:textId="30BBD3B3" w:rsidR="004D775B" w:rsidRDefault="004D775B" w:rsidP="00C0639D">
      <w:pPr>
        <w:pStyle w:val="NoSpacing"/>
        <w:bidi/>
        <w:rPr>
          <w:rtl/>
        </w:rPr>
      </w:pPr>
      <w:r>
        <w:rPr>
          <w:rtl/>
        </w:rPr>
        <w:t>ريادة الأعمال تشير إلى القدرة على تحويل الأفكار المبتكرة إلى مشروعات اقتصادية ناجحة، عبر استغلال الفرص وتحمّل المخاطر وتحقيق القيمة يضطلع رائد الأعمال بدور أساسي في قيادة المشروع، واتخاذ قرارات استراتيجية، وتطوير المنتج أو الخدمة</w:t>
      </w:r>
      <w:r>
        <w:t>.</w:t>
      </w:r>
    </w:p>
    <w:p w14:paraId="4308DACE" w14:textId="4CB44F71" w:rsidR="004D775B" w:rsidRDefault="004D775B" w:rsidP="00C0639D">
      <w:pPr>
        <w:pStyle w:val="NoSpacing"/>
        <w:bidi/>
        <w:rPr>
          <w:rtl/>
        </w:rPr>
      </w:pPr>
      <w:r>
        <w:rPr>
          <w:rtl/>
        </w:rPr>
        <w:t>وتعزز رؤية السعودية 2030 من ثقافة ريادة الأعمال باعتبارها أداة للتنمية الاقتصادية وتمكين الشباب، من خلال تطوير البيئة التنظيمية، وتوفير التدريب والدعم، وتحفيز روح المبادرة لدى الأفراد لإنشاء مشاريع ريادية قادرة على المساهمة في تحقيق أهداف التنمية المستدامة</w:t>
      </w:r>
      <w:r>
        <w:t>.</w:t>
      </w:r>
      <w:r w:rsidR="006F3A8B">
        <w:rPr>
          <w:rFonts w:hint="cs"/>
          <w:rtl/>
        </w:rPr>
        <w:t xml:space="preserve"> </w:t>
      </w:r>
      <w:r w:rsidR="006F3A8B" w:rsidRPr="006F3A8B">
        <w:rPr>
          <w:rtl/>
        </w:rPr>
        <w:t>(الشمري، 2018)</w:t>
      </w:r>
    </w:p>
    <w:p w14:paraId="46831470" w14:textId="77777777" w:rsidR="004D775B" w:rsidRDefault="004D775B" w:rsidP="00C0639D">
      <w:pPr>
        <w:pStyle w:val="NoSpacing"/>
        <w:bidi/>
        <w:ind w:firstLine="0"/>
        <w:rPr>
          <w:rtl/>
        </w:rPr>
      </w:pPr>
      <w:r>
        <w:rPr>
          <w:rtl/>
        </w:rPr>
        <w:t>التنافسية</w:t>
      </w:r>
    </w:p>
    <w:p w14:paraId="2DB3D48C" w14:textId="30B549FA" w:rsidR="004D775B" w:rsidRDefault="004D775B" w:rsidP="00C0639D">
      <w:pPr>
        <w:pStyle w:val="NoSpacing"/>
        <w:bidi/>
        <w:rPr>
          <w:rtl/>
        </w:rPr>
      </w:pPr>
      <w:r>
        <w:rPr>
          <w:rtl/>
        </w:rPr>
        <w:t>التنافسية تعني قدرة المنظمة أو الدولة على تقديم منتجات وخدمات تتفوق من حيث الجودة والسعر والقيمة على المنافسين في السوق، بما يعزز من حصتها السوقية وموقعها في الاقتصاد العالمي وتعتمد التنافسية على عوامل متعددة منها: الابتكار، الكفاءة التشغيلية، وجودة الموارد البشرية، والقدرة على التكيّف مع التغيرات</w:t>
      </w:r>
      <w:r>
        <w:t>.</w:t>
      </w:r>
    </w:p>
    <w:p w14:paraId="48FBF21C" w14:textId="238276E4" w:rsidR="004D775B" w:rsidRDefault="004D775B" w:rsidP="00C0639D">
      <w:pPr>
        <w:pStyle w:val="NoSpacing"/>
        <w:bidi/>
        <w:spacing w:after="240"/>
        <w:rPr>
          <w:rtl/>
        </w:rPr>
      </w:pPr>
      <w:r>
        <w:rPr>
          <w:rtl/>
        </w:rPr>
        <w:t>في إطار رؤية 2030، تهدف المملكة إلى تعزيز التنافسية من خلال دعم القطاعات الواعدة، وتحسين بيئة الأعمال، وتمكين الشركات الناشئة من تطوير قدراتها، وهو ما يسهم في رفع مستوى الإنتاجية وتحقيق الريادة الاقتصادية</w:t>
      </w:r>
      <w:r>
        <w:t>.</w:t>
      </w:r>
      <w:r w:rsidR="006F3A8B">
        <w:rPr>
          <w:rFonts w:hint="cs"/>
          <w:rtl/>
        </w:rPr>
        <w:t xml:space="preserve"> </w:t>
      </w:r>
      <w:r w:rsidR="006F3A8B" w:rsidRPr="006F3A8B">
        <w:rPr>
          <w:rtl/>
        </w:rPr>
        <w:t>(الشمري، 2018)</w:t>
      </w:r>
    </w:p>
    <w:p w14:paraId="5789EB5A" w14:textId="77777777" w:rsidR="004D775B" w:rsidRDefault="004D775B" w:rsidP="00C0639D">
      <w:pPr>
        <w:pStyle w:val="NoSpacing"/>
        <w:bidi/>
        <w:ind w:firstLine="0"/>
        <w:rPr>
          <w:rtl/>
        </w:rPr>
      </w:pPr>
      <w:r>
        <w:rPr>
          <w:rtl/>
        </w:rPr>
        <w:t>الابتكار</w:t>
      </w:r>
    </w:p>
    <w:p w14:paraId="6116CA70" w14:textId="35E3CE64" w:rsidR="004D775B" w:rsidRDefault="004D775B" w:rsidP="00C0639D">
      <w:pPr>
        <w:pStyle w:val="NoSpacing"/>
        <w:bidi/>
        <w:rPr>
          <w:rtl/>
        </w:rPr>
      </w:pPr>
      <w:r>
        <w:rPr>
          <w:rtl/>
        </w:rPr>
        <w:t>الابتكار هو عملية تطوير أفكار جديدة أو تحسين منتجات وخدمات أو عمليات قائمة بهدف تحقيق قيمة مضافة للمجتمع أو السوق يمثل الابتكار عاملًا حاسمًا في بقاء الشركات ونجاحها، خاصة في بيئة عمل تتسم بالتغير السريع والتنافس الحاد</w:t>
      </w:r>
      <w:r>
        <w:t>.</w:t>
      </w:r>
    </w:p>
    <w:p w14:paraId="21A3A1F0" w14:textId="382C56A3" w:rsidR="004D775B" w:rsidRDefault="004D775B" w:rsidP="00C0639D">
      <w:pPr>
        <w:pStyle w:val="NoSpacing"/>
        <w:bidi/>
        <w:rPr>
          <w:rtl/>
        </w:rPr>
      </w:pPr>
      <w:r>
        <w:rPr>
          <w:rtl/>
        </w:rPr>
        <w:t>ترى رؤية السعودية 2030 أن الابتكار ضرورة للتقدم، لذا تدعم الجهات الحكومية في المملكة البحث العلمي، وتأسيس المراكز التكنولوجية، وتوفير التمويل للأفكار الإبداعية، مما يمكّن الشركات الناشئة من تبنّي حلول جديدة تسهم في تحقيق ميزة تنافسية مستدامة</w:t>
      </w:r>
      <w:r>
        <w:t>.</w:t>
      </w:r>
      <w:r w:rsidR="006F3A8B">
        <w:rPr>
          <w:rFonts w:hint="cs"/>
          <w:rtl/>
        </w:rPr>
        <w:t xml:space="preserve"> </w:t>
      </w:r>
      <w:r w:rsidR="006F3A8B" w:rsidRPr="006F3A8B">
        <w:rPr>
          <w:rtl/>
        </w:rPr>
        <w:t>(الشمري، 2018)</w:t>
      </w:r>
    </w:p>
    <w:p w14:paraId="0DD35A80" w14:textId="77777777" w:rsidR="004D775B" w:rsidRDefault="004D775B" w:rsidP="00C0639D">
      <w:pPr>
        <w:pStyle w:val="NoSpacing"/>
        <w:bidi/>
        <w:ind w:firstLine="0"/>
        <w:rPr>
          <w:rtl/>
        </w:rPr>
      </w:pPr>
      <w:r>
        <w:rPr>
          <w:rtl/>
        </w:rPr>
        <w:t>التحول الرقمي</w:t>
      </w:r>
    </w:p>
    <w:p w14:paraId="00438BBD" w14:textId="7F71B29C" w:rsidR="004D775B" w:rsidRDefault="004D775B" w:rsidP="00C0639D">
      <w:pPr>
        <w:pStyle w:val="NoSpacing"/>
        <w:bidi/>
        <w:rPr>
          <w:rtl/>
        </w:rPr>
      </w:pPr>
      <w:r>
        <w:rPr>
          <w:rtl/>
        </w:rPr>
        <w:t>التحول الرقمي يشير إلى دمج التكنولوجيا الرقمية في جميع جوانب العمل المؤسسي لتحسين الكفاءة التشغيلية، وتعزيز تجربة العملاء، وتطوير نماذج عمل جديدة ويشمل ذلك استخدام الحوسبة السحابية، الذكاء الاصطناعي، البيانات الضخمة، والتجارة الإلكترونية</w:t>
      </w:r>
      <w:r>
        <w:t>.</w:t>
      </w:r>
    </w:p>
    <w:p w14:paraId="00CB4AA5" w14:textId="5AFAF10A" w:rsidR="004D775B" w:rsidRPr="004D775B" w:rsidRDefault="004D775B" w:rsidP="00C0639D">
      <w:pPr>
        <w:pStyle w:val="NoSpacing"/>
        <w:bidi/>
        <w:rPr>
          <w:rtl/>
        </w:rPr>
      </w:pPr>
      <w:r w:rsidRPr="004D775B">
        <w:rPr>
          <w:rtl/>
        </w:rPr>
        <w:t>ضمن رؤية 2030، يُعد التحول الرقمي ركيزة محورية لرفع كفاءة القطاعين العام والخاص، وتهيئة بيئة مناسبة للشركات الناشئة لتقديم خدمات ذكية وابتكارية كما يسهم هذا التحول في تسهيل تأسيس الشركات، والوصول للأسواق، وزيادة القدرة على التوسع عالميًا.</w:t>
      </w:r>
      <w:r w:rsidR="006F3A8B">
        <w:rPr>
          <w:rFonts w:hint="cs"/>
          <w:rtl/>
        </w:rPr>
        <w:t xml:space="preserve"> </w:t>
      </w:r>
      <w:r w:rsidR="006F3A8B" w:rsidRPr="006F3A8B">
        <w:rPr>
          <w:rtl/>
        </w:rPr>
        <w:t>(الشمري، 2018)</w:t>
      </w:r>
    </w:p>
    <w:p w14:paraId="760C95A5" w14:textId="77777777" w:rsidR="004D775B" w:rsidRDefault="004D775B" w:rsidP="00C0639D">
      <w:pPr>
        <w:pStyle w:val="Heading3"/>
        <w:rPr>
          <w:rtl/>
        </w:rPr>
      </w:pPr>
    </w:p>
    <w:p w14:paraId="36D4A5B9" w14:textId="77777777" w:rsidR="004D775B" w:rsidRDefault="004D775B" w:rsidP="00C0639D">
      <w:pPr>
        <w:pStyle w:val="Heading3"/>
        <w:rPr>
          <w:rtl/>
        </w:rPr>
      </w:pPr>
    </w:p>
    <w:p w14:paraId="39594437" w14:textId="5BD5DEE4" w:rsidR="004D775B" w:rsidRDefault="004D775B" w:rsidP="00C0639D">
      <w:pPr>
        <w:pStyle w:val="Heading3"/>
        <w:rPr>
          <w:rtl/>
        </w:rPr>
      </w:pPr>
      <w:bookmarkStart w:id="18" w:name="_Toc203237001"/>
      <w:r>
        <w:rPr>
          <w:rFonts w:hint="cs"/>
          <w:rtl/>
        </w:rPr>
        <w:t xml:space="preserve">نبذة عن </w:t>
      </w:r>
      <w:r>
        <w:rPr>
          <w:rtl/>
        </w:rPr>
        <w:t>رؤية السعودية 2030</w:t>
      </w:r>
      <w:r>
        <w:rPr>
          <w:rFonts w:hint="cs"/>
          <w:rtl/>
        </w:rPr>
        <w:t>:</w:t>
      </w:r>
      <w:bookmarkEnd w:id="18"/>
    </w:p>
    <w:p w14:paraId="6E3AD008" w14:textId="3DBCC270" w:rsidR="004D775B" w:rsidRDefault="004D775B" w:rsidP="00C0639D">
      <w:pPr>
        <w:pStyle w:val="NoSpacing"/>
        <w:bidi/>
        <w:rPr>
          <w:rtl/>
        </w:rPr>
      </w:pPr>
      <w:r>
        <w:rPr>
          <w:rtl/>
        </w:rPr>
        <w:t>رؤية السعودية 2030 هي خطة استراتيجية شاملة تم الإعلان عنها رسميًا في 25 أبريل 2016، برعاية ولي العهد صاحب السمو الملكي الأمير محمد بن سلمان آل سعود، الذي يُعد المهندس الأساسي لها والمشرف على تنفيذها أطلقت هذه الرؤية بوصفها مسارًا مستقبليًا طموحًا لتقليل اعتماد المملكة على النفط كمصدر رئيسي للإيرادات، وتنويع الاقتصاد الوطني، وخلق فرص استثمارية وتنموية جديدة، وتحديث قطاعات الدولة لتكون أكثر كفاءة وشفافية وفاعلية</w:t>
      </w:r>
      <w:r>
        <w:t>.</w:t>
      </w:r>
      <w:r w:rsidR="006F3A8B">
        <w:rPr>
          <w:rFonts w:hint="cs"/>
          <w:rtl/>
        </w:rPr>
        <w:t xml:space="preserve"> </w:t>
      </w:r>
      <w:r w:rsidR="006F3A8B" w:rsidRPr="006F3A8B">
        <w:rPr>
          <w:rtl/>
        </w:rPr>
        <w:t>(القميزي، 2021)</w:t>
      </w:r>
    </w:p>
    <w:p w14:paraId="2F47406D" w14:textId="28FB21E1" w:rsidR="004D775B" w:rsidRDefault="004D775B" w:rsidP="00C0639D">
      <w:pPr>
        <w:pStyle w:val="NoSpacing"/>
        <w:bidi/>
        <w:rPr>
          <w:rtl/>
        </w:rPr>
      </w:pPr>
      <w:r>
        <w:rPr>
          <w:rtl/>
        </w:rPr>
        <w:t>وقد وُضعت الرؤية من خلال مجلس الشؤون الاقتصادية والتنمية، بقيادة ولي العهد، وشملت وثيقتها الرسمية عددًا من البرامج التنفيذية المترابطة، منها برنامج التحول الوطني، وبرنامج جودة الحياة، وبرنامج تطوير الصناعة الوطنية والخدمات اللوجستية، وغيرها انطلقت برامج هذه الرؤية في موجات متتابعة تهدف إلى تحفيز النمو في قطاعات مثل الصحة، والتعليم، والثقافة، والسياحة، والتقنية، والذكاء الاصطناعي، وتمكين المرأة والشباب، ورفع كفاءة العمل الحكومي</w:t>
      </w:r>
      <w:r>
        <w:t>.</w:t>
      </w:r>
    </w:p>
    <w:p w14:paraId="3EFD7A3C" w14:textId="454F8489" w:rsidR="004D775B" w:rsidRDefault="004D775B" w:rsidP="00C0639D">
      <w:pPr>
        <w:pStyle w:val="NoSpacing"/>
        <w:bidi/>
        <w:rPr>
          <w:rtl/>
        </w:rPr>
      </w:pPr>
      <w:r>
        <w:rPr>
          <w:rtl/>
        </w:rPr>
        <w:t>منذ انطلاقها، قطعت المملكة خطوات بارزة نحو تحقيق أهداف الرؤية، أبرزها الخصخصة الجزئية لشركة أرامكو، وإنشاء صندوق الاستثمارات العامة كقوة مالية عالمية، وتدشين مشاريع عملاقة مثل مشروع "نيوم"، و"القدية"، و"البحر الأحمر"، وغيرها من المبادرات التي تجسد الانتقال نحو اقتصاد ما بعد النفط كما شملت الرؤية إعادة هيكلة العديد من الوزارات والهيئات، وتطوير لوائح الاستثمار والعمل</w:t>
      </w:r>
      <w:r>
        <w:t>.</w:t>
      </w:r>
    </w:p>
    <w:p w14:paraId="38D94003" w14:textId="3D215A97" w:rsidR="004D775B" w:rsidRDefault="004D775B" w:rsidP="00C0639D">
      <w:pPr>
        <w:pStyle w:val="NoSpacing"/>
        <w:bidi/>
        <w:rPr>
          <w:rtl/>
        </w:rPr>
      </w:pPr>
      <w:r>
        <w:rPr>
          <w:rtl/>
        </w:rPr>
        <w:t>تطورت الرؤية من كونها خطة اقتصادية إلى مشروع وطني شامل يتداخل فيه الاقتصادي مع الاجتماعي والثقافي والتكنولوجي وتحوّلت إلى إطار تنموي يحرك المجتمع السعودي بمؤسساته وأفراده نحو أهداف مستقبلية واضحة المعالم وقد ساهمت التحديثات الدورية على برامجها ومراجعات الأداء في تسريع الإنجاز ورفع جودة التنفيذ، ما يعكس التزام القيادة السعودية بتحقيق هذه الرؤية بحلول عام 2030 وفقًا لمؤشرات أداء محددة وواضحة.</w:t>
      </w:r>
      <w:r w:rsidR="006F3A8B">
        <w:rPr>
          <w:rFonts w:hint="cs"/>
          <w:rtl/>
        </w:rPr>
        <w:t xml:space="preserve"> </w:t>
      </w:r>
      <w:r w:rsidR="006F3A8B" w:rsidRPr="006F3A8B">
        <w:rPr>
          <w:rtl/>
        </w:rPr>
        <w:t>(الشمري، 2018)</w:t>
      </w:r>
    </w:p>
    <w:p w14:paraId="085ADCF0" w14:textId="539FC92E" w:rsidR="004D775B" w:rsidRDefault="004D775B" w:rsidP="00C0639D">
      <w:pPr>
        <w:pStyle w:val="Heading3"/>
        <w:rPr>
          <w:rtl/>
        </w:rPr>
      </w:pPr>
      <w:bookmarkStart w:id="19" w:name="_Toc203237002"/>
      <w:r>
        <w:rPr>
          <w:rFonts w:hint="cs"/>
          <w:rtl/>
        </w:rPr>
        <w:t xml:space="preserve">أهمية </w:t>
      </w:r>
      <w:r>
        <w:rPr>
          <w:rtl/>
        </w:rPr>
        <w:t>رؤية السعودية 2030</w:t>
      </w:r>
      <w:r>
        <w:rPr>
          <w:rFonts w:hint="cs"/>
          <w:rtl/>
        </w:rPr>
        <w:t>:</w:t>
      </w:r>
      <w:bookmarkEnd w:id="19"/>
    </w:p>
    <w:p w14:paraId="1C4A2350" w14:textId="0D86FCA9" w:rsidR="004D775B" w:rsidRPr="004D775B" w:rsidRDefault="004D775B" w:rsidP="00C0639D">
      <w:pPr>
        <w:pStyle w:val="NoSpacing"/>
        <w:bidi/>
      </w:pPr>
      <w:r w:rsidRPr="004D775B">
        <w:rPr>
          <w:rtl/>
        </w:rPr>
        <w:t>تُعد رؤية السعودية 2030 نقطة تحول جوهرية في تاريخ المملكة، حيث تؤسس لاقتصاد متنوع ومستدام يخفف من التبعية التاريخية للنفط، ويعزز من القوة الاقتصادية للمملكة إقليميًا ودوليًا إن هذه الرؤية ليست مجرد خطة اقتصادية، بل هي إعادة صياغة شاملة لمستقبل الدولة من خلال الاستثمار في الإنسان والبنية التحتية والتقنية والمشاريع الاستراتيجية الكبرى، بما يعكس طموحات القيادة والشعب السعودي</w:t>
      </w:r>
      <w:r w:rsidRPr="004D775B">
        <w:t>.</w:t>
      </w:r>
      <w:r w:rsidR="00F84CD5">
        <w:rPr>
          <w:rFonts w:hint="cs"/>
          <w:rtl/>
        </w:rPr>
        <w:t xml:space="preserve"> </w:t>
      </w:r>
      <w:r w:rsidR="00F84CD5" w:rsidRPr="00F84CD5">
        <w:rPr>
          <w:rtl/>
        </w:rPr>
        <w:t>(الحميري، 2021)</w:t>
      </w:r>
    </w:p>
    <w:p w14:paraId="63397ACB" w14:textId="3CF48615" w:rsidR="004D775B" w:rsidRPr="004D775B" w:rsidRDefault="004D775B" w:rsidP="00C0639D">
      <w:pPr>
        <w:pStyle w:val="NoSpacing"/>
        <w:bidi/>
      </w:pPr>
      <w:r w:rsidRPr="004D775B">
        <w:rPr>
          <w:rtl/>
        </w:rPr>
        <w:t>ومن أبرز أوجه أهمية الرؤية أنها وفرت بيئة جاذبة للاستثمار المحلي والأجنبي، وساهمت في تحسين التصنيف الائتماني والشفافية الحكومية، وخلقت آلاف الفرص الوظيفية في قطاعات جديدة وغير تقليدية كما أسهمت في تعزيز تمكين المرأة، من خلال دمجها في سوق العمل وفتح مجالات جديدة أمامها في القطاعين العام والخاص، مما ينعكس إيجابيًا على التنمية البشرية في المملكة</w:t>
      </w:r>
      <w:r w:rsidRPr="004D775B">
        <w:t>.</w:t>
      </w:r>
    </w:p>
    <w:p w14:paraId="119DF7AE" w14:textId="369EF4CA" w:rsidR="004D775B" w:rsidRPr="004D775B" w:rsidRDefault="004D775B" w:rsidP="00C0639D">
      <w:pPr>
        <w:pStyle w:val="NoSpacing"/>
        <w:bidi/>
        <w:rPr>
          <w:rtl/>
        </w:rPr>
      </w:pPr>
      <w:r w:rsidRPr="004D775B">
        <w:rPr>
          <w:rtl/>
        </w:rPr>
        <w:t>كذلك، فإن الرؤية عززت من دور المملكة على الساحة الدولية من خلال انخراطها في مشروعات استراتيجية عابرة للحدود، واستضافتها لفعاليات عالمية ضخمة، مما يدعم دورها كمركز لوجستي وثقافي وسياحي عالمي وقد أضحت الرؤية اليوم نموذجًا يُحتذى به في التحول الوطني، حيث تنظر إليها الدول النامية والناشئة كقصة نجاح في إعادة صياغة المستقبل وفق رؤية واضحة وخطة مدروسة</w:t>
      </w:r>
      <w:r w:rsidRPr="004D775B">
        <w:t>.</w:t>
      </w:r>
      <w:r w:rsidR="00F84CD5">
        <w:rPr>
          <w:rFonts w:hint="cs"/>
          <w:rtl/>
        </w:rPr>
        <w:t xml:space="preserve"> </w:t>
      </w:r>
      <w:r w:rsidR="00F84CD5" w:rsidRPr="00F84CD5">
        <w:rPr>
          <w:rtl/>
        </w:rPr>
        <w:t>(القميزي، 2021)</w:t>
      </w:r>
    </w:p>
    <w:p w14:paraId="790ACAFC" w14:textId="63942B98" w:rsidR="004D775B" w:rsidRDefault="004D775B" w:rsidP="00C0639D">
      <w:pPr>
        <w:pStyle w:val="Heading3"/>
        <w:rPr>
          <w:rtl/>
        </w:rPr>
      </w:pPr>
      <w:bookmarkStart w:id="20" w:name="_Toc203237003"/>
      <w:r>
        <w:rPr>
          <w:rFonts w:hint="cs"/>
          <w:rtl/>
        </w:rPr>
        <w:t xml:space="preserve">أهداف </w:t>
      </w:r>
      <w:r>
        <w:rPr>
          <w:rtl/>
        </w:rPr>
        <w:t>رؤية السعودية 2030</w:t>
      </w:r>
      <w:r>
        <w:rPr>
          <w:rFonts w:hint="cs"/>
          <w:rtl/>
        </w:rPr>
        <w:t>:</w:t>
      </w:r>
      <w:bookmarkEnd w:id="20"/>
    </w:p>
    <w:p w14:paraId="5750B11A" w14:textId="2A77A001" w:rsidR="004D775B" w:rsidRDefault="004D775B" w:rsidP="00C0639D">
      <w:pPr>
        <w:pStyle w:val="NoSpacing"/>
        <w:bidi/>
        <w:rPr>
          <w:sz w:val="24"/>
          <w:szCs w:val="24"/>
        </w:rPr>
      </w:pPr>
      <w:r>
        <w:rPr>
          <w:rtl/>
        </w:rPr>
        <w:t>تسعى رؤية السعودية 2030 إلى تحقيق مجموعة من الأهداف الجوهرية التي تمثل الركائز الأساسية لمستقبل المملكة، ومن أبرزها: تنويع مصادر الدخل، وتحقيق اقتصاد لا يعتمد على النفط، وتعزيز مساهمة القطاع غير النفطي في الناتج المحلي، من خلال دعم قطاعات مثل السياحة، والصناعة، والتقنية، والترفيه، والتعليم كما تهدف إلى رفع مستوى المعيشة وجودة الحياة للمواطن والمقيم عبر تقديم خدمات صحية وتعليمية عالية الجودة</w:t>
      </w:r>
      <w:r>
        <w:t>.</w:t>
      </w:r>
    </w:p>
    <w:p w14:paraId="4DA71ABF" w14:textId="58DCB957" w:rsidR="004D775B" w:rsidRDefault="004D775B" w:rsidP="00C0639D">
      <w:pPr>
        <w:pStyle w:val="NoSpacing"/>
        <w:bidi/>
      </w:pPr>
      <w:r>
        <w:rPr>
          <w:rtl/>
        </w:rPr>
        <w:t>تهدف الرؤية أيضًا إلى تطوير البنية التحتية التكنولوجية والرقمية، وتحويل المملكة إلى مركز عالمي في مجالات الابتكار والذكاء الاصطناعي، من خلال دعم ريادة الأعمال وتأسيس شركات ناشئة مبتكرة، وتشجيع البحث والتطوير وتُولي الرؤية اهتمامًا كبيرًا بتحقيق الاستدامة البيئية، عبر برامج الطاقة المتجددة، وتقليل الانبعاثات، وزيادة المساحات الخضراء، بما يواكب التزامات المملكة في إطار التنمية المستدامة</w:t>
      </w:r>
      <w:r>
        <w:t>.</w:t>
      </w:r>
      <w:r w:rsidR="00F84CD5">
        <w:rPr>
          <w:rFonts w:hint="cs"/>
          <w:rtl/>
        </w:rPr>
        <w:t xml:space="preserve"> </w:t>
      </w:r>
      <w:r w:rsidR="00F84CD5" w:rsidRPr="00F84CD5">
        <w:rPr>
          <w:rtl/>
        </w:rPr>
        <w:t>(الحميري، 2021)</w:t>
      </w:r>
    </w:p>
    <w:p w14:paraId="7722AD2F" w14:textId="0A2174B6" w:rsidR="004D775B" w:rsidRPr="004D775B" w:rsidRDefault="004D775B" w:rsidP="00C0639D">
      <w:pPr>
        <w:pStyle w:val="NoSpacing"/>
        <w:bidi/>
        <w:rPr>
          <w:rtl/>
        </w:rPr>
      </w:pPr>
      <w:r>
        <w:rPr>
          <w:rtl/>
        </w:rPr>
        <w:t>أما على الصعيد المجتمعي، فتركز الأهداف على تعزيز قيم الوسطية والانتماء الوطني، ودعم الهوية الثقافية السعودية، ورفع مساهمة المرأة في سوق العمل، وتفعيل دور القطاع غير الربحي وتسعى إلى تحسين مؤشرات الحوكمة والشفافية، وتمكين الجهات الحكومية من تقديم خدمات رقمية فعّالة، بما يعزز الثقة بين المواطن والحكومة كل هذه الأهداف تتكامل ضمن خطة زمنية وتنفيذية دقيقة لتحقيق المملكة الطموحة التي يراها قادتها بحلول عام 2030</w:t>
      </w:r>
      <w:r>
        <w:t>.</w:t>
      </w:r>
      <w:r w:rsidR="00F84CD5">
        <w:rPr>
          <w:rFonts w:hint="cs"/>
          <w:rtl/>
        </w:rPr>
        <w:t xml:space="preserve"> </w:t>
      </w:r>
      <w:r w:rsidR="00F84CD5" w:rsidRPr="00F84CD5">
        <w:rPr>
          <w:rtl/>
        </w:rPr>
        <w:t>(الحميري، 2021)</w:t>
      </w:r>
    </w:p>
    <w:p w14:paraId="2C72982A" w14:textId="74338282" w:rsidR="00156BA4" w:rsidRDefault="00156BA4" w:rsidP="00C0639D">
      <w:pPr>
        <w:pStyle w:val="Heading3"/>
        <w:rPr>
          <w:rtl/>
        </w:rPr>
      </w:pPr>
      <w:bookmarkStart w:id="21" w:name="_Toc203237004"/>
      <w:r>
        <w:rPr>
          <w:rtl/>
        </w:rPr>
        <w:t>الأبعاد الاقتصادية والاجتماعية لرؤية السعودية 2030</w:t>
      </w:r>
      <w:r>
        <w:rPr>
          <w:rFonts w:hint="cs"/>
          <w:rtl/>
        </w:rPr>
        <w:t>:</w:t>
      </w:r>
      <w:bookmarkEnd w:id="21"/>
    </w:p>
    <w:p w14:paraId="43443D67" w14:textId="23331ECC" w:rsidR="00156BA4" w:rsidRDefault="00156BA4" w:rsidP="00C0639D">
      <w:pPr>
        <w:pStyle w:val="NoSpacing"/>
        <w:bidi/>
        <w:ind w:firstLine="0"/>
        <w:rPr>
          <w:rtl/>
        </w:rPr>
      </w:pPr>
      <w:r>
        <w:rPr>
          <w:rtl/>
        </w:rPr>
        <w:t>تنويع مصادر الدخل</w:t>
      </w:r>
    </w:p>
    <w:p w14:paraId="1A8B2967" w14:textId="71941A3A" w:rsidR="004D775B" w:rsidRPr="004D775B" w:rsidRDefault="004D775B" w:rsidP="00C0639D">
      <w:pPr>
        <w:pStyle w:val="NoSpacing"/>
        <w:bidi/>
      </w:pPr>
      <w:r w:rsidRPr="004D775B">
        <w:rPr>
          <w:rtl/>
        </w:rPr>
        <w:t>يُعد تنويع مصادر الدخل أحد الركائز الأساسية لرؤية السعودية 2030، إذ تهدف المملكة من خلاله إلى تقليل الاعتماد التاريخي على العائدات النفطية كمصدر شبه وحيد للتمويل الحكومي كانت التحديات التي واجهها الاقتصاد السعودي بفعل تقلبات أسعار النفط حافزًا قويًا لإطلاق مشروع التحول الوطني الذي يؤمن بضرورة استغلال الموارد الأخرى غير النفطية وقد بدأت الدولة فعليًا في تفعيل برامج تدعم الاستثمار في القطاعات الواعدة مثل التعدين، والصناعات التحويلية، والسياحة، والخدمات المالية، والفنون والثقافة</w:t>
      </w:r>
      <w:r w:rsidRPr="004D775B">
        <w:t>.</w:t>
      </w:r>
    </w:p>
    <w:p w14:paraId="67C00438" w14:textId="11D6477E" w:rsidR="004D775B" w:rsidRPr="004D775B" w:rsidRDefault="004D775B" w:rsidP="00C0639D">
      <w:pPr>
        <w:pStyle w:val="NoSpacing"/>
        <w:bidi/>
      </w:pPr>
      <w:r w:rsidRPr="004D775B">
        <w:rPr>
          <w:rtl/>
        </w:rPr>
        <w:t>وقد انعكست هذه الرؤية في رفع مساهمة القطاعات غير النفطية تدريجيًا في الناتج المحلي الإجمالي فمثلًا، قطاع السياحة شهد نموًا ملحوظًا من خلال إطلاق مشاريع ضخمة مثل "مشروع البحر الأحمر" و"نيوم" ومواسم السعودية المختلفة، مما ساهم في جذب السياح من الداخل والخارج وخلق آلاف الوظائف كما تم دعم قطاع الترفيه عبر تأسيس "هيئة الترفيه" وتوسيع الحراك الثقافي والفني، وهي مجالات لم تكن تُعد سابقًا من ركائز الاقتصاد الوطني</w:t>
      </w:r>
      <w:r w:rsidRPr="004D775B">
        <w:t>.</w:t>
      </w:r>
    </w:p>
    <w:p w14:paraId="3596CBC0" w14:textId="74145BC5" w:rsidR="00156BA4" w:rsidRPr="004D775B" w:rsidRDefault="004D775B" w:rsidP="00C0639D">
      <w:pPr>
        <w:pStyle w:val="NoSpacing"/>
        <w:bidi/>
        <w:rPr>
          <w:rtl/>
        </w:rPr>
      </w:pPr>
      <w:r w:rsidRPr="004D775B">
        <w:rPr>
          <w:rtl/>
        </w:rPr>
        <w:t>علاوة على ذلك، تم تعزيز دور الاستثمار الأجنبي المباشر من خلال تحسين بيئة الأعمال وتقديم حوافز استثمارية متعددة، ما أدى إلى تدفق رؤوس الأموال الأجنبية إلى السوق السعودية، خصوصًا بعد إدراج السوق في مؤشرات عالمية مثل</w:t>
      </w:r>
      <w:r w:rsidRPr="004D775B">
        <w:t xml:space="preserve"> MSCI </w:t>
      </w:r>
      <w:r w:rsidRPr="004D775B">
        <w:rPr>
          <w:rtl/>
        </w:rPr>
        <w:t>وبالتالي، فإن تنويع مصادر الدخل في إطار رؤية 2030 لا يمثل خيارًا اقتصاديًا فقط، بل هو توجه استراتيجي شامل لتحقيق التنمية المستدامة، واستقرار المالية العامة، وزيادة مرونة الاقتصاد في مواجهة الأزمات المستقبلية</w:t>
      </w:r>
      <w:r w:rsidRPr="004D775B">
        <w:t>.</w:t>
      </w:r>
      <w:r w:rsidR="00F84CD5">
        <w:rPr>
          <w:rFonts w:hint="cs"/>
          <w:rtl/>
        </w:rPr>
        <w:t xml:space="preserve"> </w:t>
      </w:r>
      <w:r w:rsidR="00F84CD5" w:rsidRPr="00F84CD5">
        <w:rPr>
          <w:rtl/>
        </w:rPr>
        <w:t>(الروضان، 2021)</w:t>
      </w:r>
    </w:p>
    <w:p w14:paraId="2BF47076" w14:textId="2A6D13A1" w:rsidR="00156BA4" w:rsidRDefault="00156BA4" w:rsidP="00C0639D">
      <w:pPr>
        <w:pStyle w:val="NoSpacing"/>
        <w:bidi/>
        <w:ind w:firstLine="0"/>
        <w:rPr>
          <w:rtl/>
        </w:rPr>
      </w:pPr>
      <w:r>
        <w:rPr>
          <w:rtl/>
        </w:rPr>
        <w:t>تعزيز دور القطاع الخاص</w:t>
      </w:r>
    </w:p>
    <w:p w14:paraId="450FC79E" w14:textId="7A934E21" w:rsidR="004D775B" w:rsidRPr="004D775B" w:rsidRDefault="004D775B" w:rsidP="00C0639D">
      <w:pPr>
        <w:pStyle w:val="NoSpacing"/>
        <w:bidi/>
      </w:pPr>
      <w:r w:rsidRPr="004D775B">
        <w:rPr>
          <w:rtl/>
        </w:rPr>
        <w:t>يمثل القطاع الخاص شريكًا أساسيًا في تحقيق رؤية السعودية 2030، حيث تسعى الدولة إلى زيادة مساهمته في الناتج المحلي من نحو 40% إلى 65% بحلول عام 2030 ولتحقيق هذا الهدف، تم إطلاق العديد من المبادرات لتحفيز المستثمرين ورواد الأعمال على المشاركة في التنمية الاقتصادية، ومن أبرزها برنامج "شريك" الذي يهدف إلى دعم الشركات الوطنية الكبرى في توسيع أعمالها وتنفيذ مشاريع استراتيجية</w:t>
      </w:r>
      <w:r w:rsidRPr="004D775B">
        <w:t>.</w:t>
      </w:r>
      <w:r w:rsidR="00F84CD5">
        <w:rPr>
          <w:rFonts w:hint="cs"/>
          <w:rtl/>
        </w:rPr>
        <w:t xml:space="preserve"> </w:t>
      </w:r>
      <w:r w:rsidR="00F84CD5" w:rsidRPr="00F84CD5">
        <w:rPr>
          <w:rtl/>
        </w:rPr>
        <w:t>(العتيبي، 2021)</w:t>
      </w:r>
    </w:p>
    <w:p w14:paraId="0969D52A" w14:textId="6F638897" w:rsidR="004D775B" w:rsidRPr="004D775B" w:rsidRDefault="004D775B" w:rsidP="00C0639D">
      <w:pPr>
        <w:pStyle w:val="NoSpacing"/>
        <w:bidi/>
      </w:pPr>
      <w:r w:rsidRPr="004D775B">
        <w:rPr>
          <w:rtl/>
        </w:rPr>
        <w:t>عملت الدولة كذلك على إعادة هيكلة الأنظمة والإجراءات الإدارية لتبسيط تراخيص الأعمال وتقليل البيروقراطية، وهو ما ظهر جليًا في التحسن الكبير الذي شهدته المملكة في مؤشرات سهولة ممارسة الأعمال الصادرة عن البنك الدولي وتم تقديم تسهيلات مثل الإعفاءات الضريبية، وخفض رسوم العمالة، وتوفير مناطق اقتصادية خاصة، بما يعزز جاذبية الاستثمار المحلي والأجنبي إضافة إلى ذلك، قامت الدولة بخصخصة عدد من القطاعات مثل الصحة، والتعليم، والنقل، والكهرباء، لإتاحة الفرصة للقطاع الخاص في إدارتها وتشغيلها</w:t>
      </w:r>
      <w:r w:rsidRPr="004D775B">
        <w:t>.</w:t>
      </w:r>
    </w:p>
    <w:p w14:paraId="348B07EC" w14:textId="00B561B0" w:rsidR="00156BA4" w:rsidRPr="004D775B" w:rsidRDefault="004D775B" w:rsidP="00C0639D">
      <w:pPr>
        <w:pStyle w:val="NoSpacing"/>
        <w:bidi/>
        <w:rPr>
          <w:rtl/>
        </w:rPr>
      </w:pPr>
      <w:r w:rsidRPr="004D775B">
        <w:rPr>
          <w:rtl/>
        </w:rPr>
        <w:t>تعزيز دور القطاع الخاص لم يقتصر على الأبعاد الاقتصادية فقط، بل امتد إلى الجوانب الاجتماعية كذلك، من خلال مساهمته في خلق فرص العمل، وتحسين جودة الخدمات، وتعزيز الابتكار والمنافسة في السوق ومع هذا الدعم المتزايد، يُنتظر من القطاع الخاص أن يقود عملية التحول الاقتصادي والتنمية المستدامة، ويكون المحرك الرئيسي للنمو والتقدم في مختلف مناطق المملكة، خصوصًا مع توجه الدولة لتنمية المناطق الريفية وتحقيق التوازن التنموي</w:t>
      </w:r>
      <w:r w:rsidRPr="004D775B">
        <w:t>.</w:t>
      </w:r>
      <w:r w:rsidR="00F84CD5">
        <w:rPr>
          <w:rFonts w:hint="cs"/>
          <w:rtl/>
        </w:rPr>
        <w:t xml:space="preserve"> </w:t>
      </w:r>
      <w:r w:rsidR="00F84CD5" w:rsidRPr="00F84CD5">
        <w:rPr>
          <w:rtl/>
        </w:rPr>
        <w:t>(الروضان، 2021)</w:t>
      </w:r>
    </w:p>
    <w:p w14:paraId="5B8B22C0" w14:textId="001B5B52" w:rsidR="00156BA4" w:rsidRDefault="00156BA4" w:rsidP="00C0639D">
      <w:pPr>
        <w:pStyle w:val="NoSpacing"/>
        <w:bidi/>
        <w:ind w:firstLine="0"/>
        <w:rPr>
          <w:rtl/>
        </w:rPr>
      </w:pPr>
      <w:r>
        <w:rPr>
          <w:rtl/>
        </w:rPr>
        <w:t>تمكين الشباب والمرأة</w:t>
      </w:r>
    </w:p>
    <w:p w14:paraId="0E11CDDC" w14:textId="26ED935F" w:rsidR="004D775B" w:rsidRDefault="004D775B" w:rsidP="00C0639D">
      <w:pPr>
        <w:pStyle w:val="NoSpacing"/>
        <w:bidi/>
        <w:rPr>
          <w:rtl/>
        </w:rPr>
      </w:pPr>
      <w:r>
        <w:rPr>
          <w:rtl/>
        </w:rPr>
        <w:t>أدركت رؤية السعودية 2030 أن تمكين الشباب والمرأة يمثل حجر الزاوية في التنمية الوطنية المستدامة، وذلك بالنظر إلى أن أكثر من 65% من سكان المملكة هم من الفئة الشابة ولهذا وضعت الرؤية تمكين هاتين الفئتين في صميم برامجها، من خلال توفير بيئة تعليمية وتدريبية متطورة، وخلق فرص وظيفية متنوعة، وتشجيعهم على الانخراط في سوق العمل والريادة المجتمعية</w:t>
      </w:r>
      <w:r>
        <w:t>.</w:t>
      </w:r>
    </w:p>
    <w:p w14:paraId="65962CA8" w14:textId="07EFDA1C" w:rsidR="004D775B" w:rsidRDefault="004D775B" w:rsidP="00C0639D">
      <w:pPr>
        <w:pStyle w:val="NoSpacing"/>
        <w:bidi/>
        <w:rPr>
          <w:rtl/>
        </w:rPr>
      </w:pPr>
      <w:r>
        <w:rPr>
          <w:rtl/>
        </w:rPr>
        <w:t>بالنسبة للمرأة، فقد شهدت المملكة نقلة نوعية تمثلت في تمكينها من دخول قطاعات جديدة كانت حكرًا على الرجال، مثل المحاماة، والهندسة، والطيران، والأمن كما تم تعديل القوانين التي كانت تعيق مشاركتها، ومنحت القيادة المرأة حق القيادة والتنقل والسفر دون قيود ونتيجة لذلك، ارتفعت نسبة مشاركة المرأة في سوق العمل إلى نحو 33% خلال السنوات الأخيرة، وهو ما يفوق النسبة المستهدفة في الرؤية نفسها</w:t>
      </w:r>
      <w:r>
        <w:t>.</w:t>
      </w:r>
      <w:r w:rsidR="00F84CD5">
        <w:rPr>
          <w:rFonts w:hint="cs"/>
          <w:rtl/>
        </w:rPr>
        <w:t xml:space="preserve"> </w:t>
      </w:r>
      <w:r w:rsidR="00F84CD5" w:rsidRPr="00F84CD5">
        <w:rPr>
          <w:rtl/>
        </w:rPr>
        <w:t>(العتيبي، 2021)</w:t>
      </w:r>
    </w:p>
    <w:p w14:paraId="0D635457" w14:textId="2C9C5DD5" w:rsidR="00156BA4" w:rsidRPr="004D775B" w:rsidRDefault="004D775B" w:rsidP="00C0639D">
      <w:pPr>
        <w:pStyle w:val="NoSpacing"/>
        <w:bidi/>
        <w:rPr>
          <w:rtl/>
        </w:rPr>
      </w:pPr>
      <w:r>
        <w:rPr>
          <w:rtl/>
        </w:rPr>
        <w:t>أما الشباب، فقد أُطلقت برامج وطنية ضخمة لتأهيلهم مثل "برنامج تنمية القدرات البشرية"، و"برنامج التدريب التقني والمهني"، ومبادرات ريادة الأعمال، ودعم الابتكار في الجامعات كما تم إنشاء الهيئات والمؤسسات التي تهتم بصقل مهاراتهم وربطهم باحتياجات سوق العمل، مثل هيئة تنمية المهارات، وهيئة الترفيه، وهيئة الثقافة إن تمكين الشباب والمرأة لا يسهم فقط في تحقيق العدالة الاجتماعية، بل أيضًا في إطلاق طاقات بشرية هائلة يمكنها أن تُحدث تغييرًا حقيقيًا في بنية الاقتصاد والمجتمع.</w:t>
      </w:r>
      <w:r w:rsidR="00F84CD5">
        <w:rPr>
          <w:rFonts w:hint="cs"/>
          <w:rtl/>
        </w:rPr>
        <w:t xml:space="preserve"> </w:t>
      </w:r>
      <w:r w:rsidR="00F84CD5" w:rsidRPr="00F84CD5">
        <w:rPr>
          <w:rtl/>
        </w:rPr>
        <w:t>(العتيبي، 2021)</w:t>
      </w:r>
    </w:p>
    <w:p w14:paraId="03C10F52" w14:textId="3DD772FE" w:rsidR="00156BA4" w:rsidRPr="004D775B" w:rsidRDefault="00156BA4" w:rsidP="00C0639D">
      <w:pPr>
        <w:pStyle w:val="NoSpacing"/>
        <w:bidi/>
        <w:ind w:firstLine="0"/>
        <w:rPr>
          <w:rtl/>
        </w:rPr>
      </w:pPr>
      <w:r w:rsidRPr="004D775B">
        <w:rPr>
          <w:rtl/>
        </w:rPr>
        <w:t>تطوير البنية التحتية الرقمية</w:t>
      </w:r>
    </w:p>
    <w:p w14:paraId="27F7FFDE" w14:textId="3706A4EB" w:rsidR="004D775B" w:rsidRDefault="004D775B" w:rsidP="00C0639D">
      <w:pPr>
        <w:pStyle w:val="NoSpacing"/>
        <w:bidi/>
        <w:rPr>
          <w:rtl/>
        </w:rPr>
      </w:pPr>
      <w:r>
        <w:rPr>
          <w:rtl/>
        </w:rPr>
        <w:t>يُعد تطوير البنية التحتية الرقمية من المحاور الجوهرية في رؤية السعودية 2030، حيث تهدف المملكة إلى التحول إلى اقتصاد رقمي متكامل، يعتمد على البيانات والتقنيات الحديثة، بما في ذلك الذكاء الاصطناعي، وإنترنت الأشياء، والحوسبة السحابية هذا التوجه انعكس في إطلاق عدة مبادرات وطنية مثل "الاستراتيجية الوطنية للبيانات والذكاء الاصطناعي"، ومنصة "سدايا"، إضافة إلى استثمارات ضخمة في الكابلات البحرية، وشبكات الجيل الخامس، وتوسيع تغطية الألياف البصرية، ما جعل السعودية تتقدم عالميًا في مؤشرات الجاهزية الرقمية</w:t>
      </w:r>
      <w:r>
        <w:t>.</w:t>
      </w:r>
      <w:r w:rsidR="00F84CD5">
        <w:rPr>
          <w:rFonts w:hint="cs"/>
          <w:rtl/>
        </w:rPr>
        <w:t xml:space="preserve"> </w:t>
      </w:r>
      <w:r w:rsidR="00F84CD5" w:rsidRPr="00F84CD5">
        <w:rPr>
          <w:rtl/>
        </w:rPr>
        <w:t>(بابطين، 2021)</w:t>
      </w:r>
    </w:p>
    <w:p w14:paraId="09101AF9" w14:textId="53E5AE71" w:rsidR="004D775B" w:rsidRDefault="004D775B" w:rsidP="00C0639D">
      <w:pPr>
        <w:pStyle w:val="NoSpacing"/>
        <w:bidi/>
        <w:rPr>
          <w:rtl/>
        </w:rPr>
      </w:pPr>
      <w:r>
        <w:rPr>
          <w:rtl/>
        </w:rPr>
        <w:t>وقد انعكس هذا التطوير الرقمي إيجابيًا على أداء مختلف القطاعات، فمثلاً في قطاع التعليم، تم إطلاق منصة "مدرستي" التي مكّنت الطلاب من استكمال دراستهم أثناء جائحة كورونا أما في قطاع الصحة، فقد تم توسيع خدمات "صحتي" و"أبشر" التي وفرت رعاية صحية واستفسارات إلكترونية للمواطنين والمقيمين بكفاءة عالية كما تم توسيع الخدمات الحكومية الإلكترونية لتشمل معظم المعاملات، وهو ما ساهم في تقليل التكاليف، وتسهيل الإجراءات، ورفع مستوى رضا المستفيدين</w:t>
      </w:r>
      <w:r>
        <w:t>.</w:t>
      </w:r>
    </w:p>
    <w:p w14:paraId="6CA078C6" w14:textId="712F4233" w:rsidR="00156BA4" w:rsidRPr="004D775B" w:rsidRDefault="004D775B" w:rsidP="00C0639D">
      <w:pPr>
        <w:pStyle w:val="NoSpacing"/>
        <w:bidi/>
        <w:rPr>
          <w:rtl/>
        </w:rPr>
      </w:pPr>
      <w:r>
        <w:rPr>
          <w:rtl/>
        </w:rPr>
        <w:t>تطوير البنية التحتية الرقمية لا يخدم فقط القطاعات الحكومية، بل يمتد أيضًا إلى دعم الشركات الناشئة، حيث بات بإمكان رواد الأعمال إطلاق مشاريعهم من خلال منصات إلكترونية بسيطة ومنخفضة التكاليف كما أسهمت هذه البنية الرقمية في تسهيل الوصول إلى الأسواق، وتحليل بيانات العملاء، وتطوير المنتجات بطرق ذكية، مما زاد من فرص نجاح ونمو المشاريع الصغيرة والمتوسطة وبهذا أصبحت الرقمنة أداة استراتيجية لتحفيز الاقتصاد الوطني، وجعل السعودية بيئة خصبة للابتكار والاستثمار الرقمي.</w:t>
      </w:r>
      <w:r w:rsidR="00F84CD5">
        <w:rPr>
          <w:rFonts w:hint="cs"/>
          <w:rtl/>
        </w:rPr>
        <w:t xml:space="preserve"> </w:t>
      </w:r>
      <w:r w:rsidR="00F84CD5" w:rsidRPr="00F84CD5">
        <w:rPr>
          <w:rtl/>
        </w:rPr>
        <w:t>(العتيبي، 2021)</w:t>
      </w:r>
    </w:p>
    <w:p w14:paraId="20758206" w14:textId="4B613E51" w:rsidR="00156BA4" w:rsidRPr="004D775B" w:rsidRDefault="00156BA4" w:rsidP="00C0639D">
      <w:pPr>
        <w:pStyle w:val="NoSpacing"/>
        <w:bidi/>
        <w:ind w:firstLine="0"/>
        <w:rPr>
          <w:rtl/>
        </w:rPr>
      </w:pPr>
      <w:r w:rsidRPr="004D775B">
        <w:rPr>
          <w:rtl/>
        </w:rPr>
        <w:t>دعم ريادة الأعمال والابتكار</w:t>
      </w:r>
    </w:p>
    <w:p w14:paraId="4B17AF7D" w14:textId="019DD21B" w:rsidR="004D775B" w:rsidRDefault="004D775B" w:rsidP="00C0639D">
      <w:pPr>
        <w:pStyle w:val="NoSpacing"/>
        <w:bidi/>
        <w:rPr>
          <w:sz w:val="24"/>
          <w:szCs w:val="24"/>
        </w:rPr>
      </w:pPr>
      <w:r>
        <w:rPr>
          <w:rtl/>
        </w:rPr>
        <w:t>تولي رؤية 2030 اهتمامًا بالغًا بريادة الأعمال باعتبارها أحد المحركات الرئيسة للنمو الاقتصادي، ووسيلة فعالة لتنويع مصادر الدخل وخلق الوظائف لهذا، فقد أطلقت الدولة مبادرات وحاضنات ومسرعات أعمال لدعم رواد الأعمال، مثل "منشآت"، و"واعد"، و"باب رزق جميل"، وغيرها كما خصصت صناديق تمويلية موجهة للشركات الناشئة مثل "صندوق الصناديق" و"رؤية سوفت بنك"، مما مكن الكثير من الأفكار الريادية من التحول إلى مشروعات قائمة ومربحة</w:t>
      </w:r>
      <w:r>
        <w:t>.</w:t>
      </w:r>
      <w:r w:rsidR="00F84CD5">
        <w:rPr>
          <w:rFonts w:hint="cs"/>
          <w:rtl/>
        </w:rPr>
        <w:t xml:space="preserve"> </w:t>
      </w:r>
      <w:r w:rsidR="00F84CD5" w:rsidRPr="00F84CD5">
        <w:rPr>
          <w:rtl/>
        </w:rPr>
        <w:t>(بابطين، 2021)</w:t>
      </w:r>
    </w:p>
    <w:p w14:paraId="66B43596" w14:textId="057B8091" w:rsidR="004D775B" w:rsidRDefault="004D775B" w:rsidP="00C0639D">
      <w:pPr>
        <w:pStyle w:val="NoSpacing"/>
        <w:bidi/>
      </w:pPr>
      <w:r>
        <w:rPr>
          <w:rtl/>
        </w:rPr>
        <w:t>وقد أظهرت المؤشرات العالمية تقدمًا ملحوظًا للمملكة في مجال الابتكار وريادة الأعمال، إذ باتت من بين الدول الأكثر دعمًا للشركات الناشئة في الشرق الأوسط، واحتلت مراكز متقدمة في تقارير البنك الدولي والمنتدى الاقتصادي العالمي كما عملت على دمج ثقافة الابتكار في التعليم، فأنشأت برامج جامعية متخصصة في ريادة الأعمال، ومراكز للابتكار، ومسابقات تحفز الطلاب على تقديم حلول إبداعية للمشكلات الاجتماعية والاقتصادية</w:t>
      </w:r>
      <w:r>
        <w:t>.</w:t>
      </w:r>
    </w:p>
    <w:p w14:paraId="2A7899E7" w14:textId="0B6E50CF" w:rsidR="004D775B" w:rsidRDefault="004D775B" w:rsidP="00C0639D">
      <w:pPr>
        <w:pStyle w:val="NoSpacing"/>
        <w:bidi/>
      </w:pPr>
      <w:r>
        <w:rPr>
          <w:rtl/>
        </w:rPr>
        <w:t>أثر هذا الدعم انعكس بشكل مباشر على نمو الشركات الناشئة وتوسعها، حيث أصبحت هناك شركات سعودية تنافس على المستوى الإقليمي والعالمي، مثل "جاهز"، و"لِـيندو"، و"مزارع البحر الأحمر"، وغيرها هذه التجارب الناجحة تُبرهن على أن المملكة تسير بثبات نحو بناء اقتصاد معرفي وابتكاري، يعزز مكانتها بين الاقتصادات المتقدمة، ويخلق فرصًا نوعية للأجيال القادمة إن دعم الابتكار وريادة الأعمال لم يعد مجرد خيار تنموي، بل ضرورة إستراتيجية لتحقيق التحول الوطني المنشود</w:t>
      </w:r>
      <w:r>
        <w:t>.</w:t>
      </w:r>
      <w:r w:rsidR="00F84CD5">
        <w:rPr>
          <w:rFonts w:hint="cs"/>
          <w:rtl/>
        </w:rPr>
        <w:t xml:space="preserve"> </w:t>
      </w:r>
      <w:r w:rsidR="00F84CD5" w:rsidRPr="00F84CD5">
        <w:rPr>
          <w:rtl/>
        </w:rPr>
        <w:t>(بابطين، 2021)</w:t>
      </w:r>
    </w:p>
    <w:p w14:paraId="33D7EE5A" w14:textId="68935633" w:rsidR="00156BA4" w:rsidRDefault="00156BA4" w:rsidP="00C0639D">
      <w:pPr>
        <w:pStyle w:val="Heading3"/>
        <w:rPr>
          <w:rtl/>
        </w:rPr>
      </w:pPr>
      <w:bookmarkStart w:id="22" w:name="_Toc203237005"/>
      <w:r>
        <w:rPr>
          <w:rtl/>
        </w:rPr>
        <w:t>تأثير رؤية 2030 على الشركات الناشئة</w:t>
      </w:r>
      <w:r>
        <w:rPr>
          <w:rFonts w:hint="cs"/>
          <w:rtl/>
        </w:rPr>
        <w:t>:</w:t>
      </w:r>
      <w:bookmarkEnd w:id="22"/>
    </w:p>
    <w:p w14:paraId="3AE54C99" w14:textId="77777777" w:rsidR="004D775B" w:rsidRDefault="004D775B" w:rsidP="00C0639D">
      <w:pPr>
        <w:pStyle w:val="NoSpacing"/>
        <w:bidi/>
        <w:ind w:firstLine="0"/>
        <w:rPr>
          <w:rtl/>
        </w:rPr>
      </w:pPr>
      <w:r>
        <w:rPr>
          <w:rtl/>
        </w:rPr>
        <w:t>أولًا: الدعم المالي والتقني</w:t>
      </w:r>
    </w:p>
    <w:p w14:paraId="09B84BF9" w14:textId="35703060" w:rsidR="004D775B" w:rsidRDefault="004D775B" w:rsidP="00C0639D">
      <w:pPr>
        <w:pStyle w:val="NoSpacing"/>
        <w:bidi/>
        <w:rPr>
          <w:rtl/>
        </w:rPr>
      </w:pPr>
      <w:r>
        <w:rPr>
          <w:rtl/>
        </w:rPr>
        <w:t>أحد أبرز ملامح رؤية 2030 يتمثل في تقديم دعم مالي وتقني غير مسبوق للشركات الناشئة، وهو ما لم يكن متاحًا بنفس القوة قبل انطلاق هذه الرؤية فقد أسست الدولة صناديق استثمارية ضخمة موجهة للشركات الصغيرة والمتوسطة، مثل صندوق الاستثمارات العامة الذي أطلق برامج استثمارية تستهدف القطاعات الواعدة كما أنشئ "صندوق الصناديق" لدعم صناديق رأس المال الجريء، مما وفّر للمؤسسين مصادر تمويل مرنة وسريعة مقارنة بالمصارف التقليدية التي كانت تفرض اشتراطات معقدة هذا التوسع في التمويل مكّن كثيرًا من الأفكار الريادية من التحول إلى مشاريع حقيقية لها أثر اقتصادي ملموس</w:t>
      </w:r>
      <w:r>
        <w:t>.</w:t>
      </w:r>
    </w:p>
    <w:p w14:paraId="0E7DE0E6" w14:textId="1192A55B" w:rsidR="004D775B" w:rsidRDefault="004D775B" w:rsidP="00C0639D">
      <w:pPr>
        <w:pStyle w:val="NoSpacing"/>
        <w:bidi/>
        <w:rPr>
          <w:rtl/>
        </w:rPr>
      </w:pPr>
      <w:r>
        <w:rPr>
          <w:rtl/>
        </w:rPr>
        <w:t>على الصعيد التقني، وفّرت الحكومة بنية تحتية رقمية متكاملة ساعدت الشركات الناشئة على بناء نماذج أعمال مبتكرة على سبيل المثال، تم إطلاق مبادرات مثل "سدايا" و"نيوم تيك" التي مكنت رواد الأعمال من الوصول إلى بيانات ضخمة، وخدمات الذكاء الاصطناعي، والحوسبة السحابية بأسعار مدعومة، بل ومجانية أحيانًا هذا الدعم التقني شجع الشركات على الابتكار في مجالات التجارة الإلكترونية، الصحة الرقمية، التعليم عن بعد، والخدمات المالية التقنية</w:t>
      </w:r>
      <w:r>
        <w:t xml:space="preserve"> (FinTech).</w:t>
      </w:r>
      <w:r w:rsidR="00995C99">
        <w:rPr>
          <w:rFonts w:hint="cs"/>
          <w:rtl/>
        </w:rPr>
        <w:t xml:space="preserve"> </w:t>
      </w:r>
      <w:r w:rsidR="00995C99" w:rsidRPr="00995C99">
        <w:rPr>
          <w:rtl/>
        </w:rPr>
        <w:t>(حلبي، 2021)</w:t>
      </w:r>
    </w:p>
    <w:p w14:paraId="68B69B5F" w14:textId="506C8BE4" w:rsidR="004D775B" w:rsidRDefault="004D775B" w:rsidP="00C0639D">
      <w:pPr>
        <w:pStyle w:val="NoSpacing"/>
        <w:bidi/>
        <w:rPr>
          <w:rtl/>
        </w:rPr>
      </w:pPr>
      <w:r>
        <w:rPr>
          <w:rtl/>
        </w:rPr>
        <w:t>الأثر التراكمي لهذا الدعم المالي والتقني انعكس في نمو عدد الشركات الناشئة، وتنوع مجالاتها، وارتفاع معدلات البقاء في السوق بعد التأسيس كما ارتفعت معدلات توظيف السعوديين داخل هذه الشركات، مما ساهم في تحقيق أهداف الرؤية المتعلقة بتوطين الوظائف كما سهل الدعم وصول الشركات إلى الأسواق الإقليمية والعالمية، وساهم في رفع مستوى التنافسية لدى المشاريع السعودية مقارنة بدول الجوار بالتالي، أصبح الدعم المالي والتقني حجر الأساس في نهضة بيئة ريادة الأعمال السعودية</w:t>
      </w:r>
      <w:r>
        <w:t>.</w:t>
      </w:r>
    </w:p>
    <w:p w14:paraId="2A598D73" w14:textId="77777777" w:rsidR="004D775B" w:rsidRDefault="004D775B" w:rsidP="00C0639D">
      <w:pPr>
        <w:pStyle w:val="NoSpacing"/>
        <w:bidi/>
        <w:ind w:firstLine="0"/>
        <w:rPr>
          <w:rtl/>
        </w:rPr>
      </w:pPr>
      <w:r>
        <w:rPr>
          <w:rtl/>
        </w:rPr>
        <w:t>ثانيًا: بيئة تنظيمية محفزة</w:t>
      </w:r>
    </w:p>
    <w:p w14:paraId="48943C55" w14:textId="04A35C7F" w:rsidR="004D775B" w:rsidRDefault="004D775B" w:rsidP="00C0639D">
      <w:pPr>
        <w:pStyle w:val="NoSpacing"/>
        <w:bidi/>
        <w:rPr>
          <w:rtl/>
        </w:rPr>
      </w:pPr>
      <w:r>
        <w:rPr>
          <w:rtl/>
        </w:rPr>
        <w:t>من المحاور الأساسية لرؤية 2030 تحسين البيئة التنظيمية لجعلها أكثر مرونة وجاذبية لرواد الأعمال المحليين والدوليين لذلك شهدت المملكة تعديلًا واسعًا في القوانين التجارية والإجرائية، إذ أُنشئت الهيئة العامة للمنشآت الصغيرة والمتوسطة "منشآت" لتكون مظلة تنظيمية تُعنى بتسهيل الإجراءات، وتوفير الخدمات الإلكترونية، وخفض تكلفة التأسيس والتشغيل ومن أبرز الإصلاحات: إلغاء الحد الأدنى لرأس المال، وتخفيض مدة استخراج السجل التجاري، وإتاحة التراخيص الموحدة عبر منصة "بلدي" و"مراس</w:t>
      </w:r>
      <w:r>
        <w:t>".</w:t>
      </w:r>
      <w:r w:rsidR="00995C99">
        <w:rPr>
          <w:rFonts w:hint="cs"/>
          <w:rtl/>
        </w:rPr>
        <w:t xml:space="preserve"> </w:t>
      </w:r>
      <w:r w:rsidR="00995C99" w:rsidRPr="00995C99">
        <w:rPr>
          <w:rtl/>
        </w:rPr>
        <w:t>(حلبي، 2021)</w:t>
      </w:r>
    </w:p>
    <w:p w14:paraId="7315FF9B" w14:textId="39859DB8" w:rsidR="004D775B" w:rsidRDefault="004D775B" w:rsidP="00C0639D">
      <w:pPr>
        <w:pStyle w:val="NoSpacing"/>
        <w:bidi/>
        <w:rPr>
          <w:rtl/>
        </w:rPr>
      </w:pPr>
      <w:r>
        <w:rPr>
          <w:rtl/>
        </w:rPr>
        <w:t>كما تم اعتماد قانون جديد للإفلاس يضمن الحماية القانونية للمستثمرين ورواد الأعمال عند التعثر، وهو ما شكّل نقطة تحول في بيئة الأعمال كذلك وفّرت الحكومة إطارًا قانونيًا مرنًا لعقود رأس المال الجريء، والاستثمار في الأسهم الخاصة، وهو ما جعل السوق السعودي أكثر شفافية وجاذبية لرؤوس الأموال المحلية والأجنبية كما تم إطلاق منصات قانونية توعوية تساعد أصحاب المشاريع على فهم الحقوق والواجبات، مثل منصة "تصفية" و"اعتماد</w:t>
      </w:r>
      <w:r>
        <w:t>".</w:t>
      </w:r>
    </w:p>
    <w:p w14:paraId="2E7FA99A" w14:textId="6FCD9C22" w:rsidR="004D775B" w:rsidRDefault="004D775B" w:rsidP="00C0639D">
      <w:pPr>
        <w:pStyle w:val="NoSpacing"/>
        <w:bidi/>
        <w:rPr>
          <w:rtl/>
        </w:rPr>
      </w:pPr>
      <w:r>
        <w:rPr>
          <w:rtl/>
        </w:rPr>
        <w:t>هذه البيئة التنظيمية الجديدة أفرزت نتائج ملموسة، تمثلت في زيادة تسجيل الشركات الناشئة بنسبة كبيرة بعد 2016، وارتفاع ثقة المستثمرين في السوق السعودي كما شجعت الكثير من السعوديين والسعوديات على خوض تجربة ريادة الأعمال، بفضل القوانين التي تكفل لهم الدعم والحماية ويمكن القول إن الإطار التنظيمي لرؤية 2030 قد نقل المملكة من بيئة بيروقراطية إلى بيئة تشريعية ذكية تدعم النمو والمرونة والابتكار</w:t>
      </w:r>
      <w:r>
        <w:t>.</w:t>
      </w:r>
      <w:r w:rsidR="00995C99">
        <w:rPr>
          <w:rFonts w:hint="cs"/>
          <w:rtl/>
        </w:rPr>
        <w:t xml:space="preserve"> </w:t>
      </w:r>
      <w:r w:rsidR="00995C99" w:rsidRPr="00995C99">
        <w:rPr>
          <w:rtl/>
        </w:rPr>
        <w:t>(العنزي، 2021)</w:t>
      </w:r>
    </w:p>
    <w:p w14:paraId="2410AA15" w14:textId="77777777" w:rsidR="004D775B" w:rsidRDefault="004D775B" w:rsidP="00C0639D">
      <w:pPr>
        <w:pStyle w:val="NoSpacing"/>
        <w:bidi/>
        <w:ind w:firstLine="0"/>
        <w:rPr>
          <w:rtl/>
        </w:rPr>
      </w:pPr>
      <w:r>
        <w:rPr>
          <w:rtl/>
        </w:rPr>
        <w:t>ثالثًا: المبادرات الحكومية</w:t>
      </w:r>
    </w:p>
    <w:p w14:paraId="2E59B8C7" w14:textId="171215DA" w:rsidR="004D775B" w:rsidRDefault="004D775B" w:rsidP="00C0639D">
      <w:pPr>
        <w:pStyle w:val="NoSpacing"/>
        <w:bidi/>
        <w:rPr>
          <w:rtl/>
        </w:rPr>
      </w:pPr>
      <w:r>
        <w:rPr>
          <w:rtl/>
        </w:rPr>
        <w:t>أطلقت الحكومة السعودية في إطار رؤية 2030 عددًا كبيرًا من المبادرات الحكومية التي تستهدف بشكل مباشر تعزيز بيئة ريادة الأعمال من أبرز هذه المبادرات "رائد"، وهي منصة تعليمية تهدف إلى تنمية المهارات الريادية لدى الشباب من خلال برامج رقمية ومسارات تدريبية معتمدة كما أُطلقت "مسرعات الأعمال" في مختلف مناطق المملكة لدعم الأفكار الريادية عبر برامج احتضان وتوجيه وتدريب، وغالبًا ما تكون هذه المبادرات بدعم مالي من الدولة أو بالشراكة مع القطاع الخاص</w:t>
      </w:r>
      <w:r>
        <w:t>.</w:t>
      </w:r>
      <w:r w:rsidR="00995C99">
        <w:rPr>
          <w:rFonts w:hint="cs"/>
          <w:rtl/>
        </w:rPr>
        <w:t xml:space="preserve"> </w:t>
      </w:r>
      <w:r w:rsidR="00995C99" w:rsidRPr="00995C99">
        <w:rPr>
          <w:rtl/>
        </w:rPr>
        <w:t>(العنزي، 2021)</w:t>
      </w:r>
    </w:p>
    <w:p w14:paraId="36C310C7" w14:textId="6C14B462" w:rsidR="004D775B" w:rsidRDefault="004D775B" w:rsidP="00C0639D">
      <w:pPr>
        <w:pStyle w:val="NoSpacing"/>
        <w:bidi/>
        <w:rPr>
          <w:rtl/>
        </w:rPr>
      </w:pPr>
      <w:r>
        <w:rPr>
          <w:rtl/>
        </w:rPr>
        <w:t>كذلك أسهم برنامج "كفالة" في دعم الشركات الناشئة عبر تقديم ضمانات ائتمانية للبنوك نيابة عن رواد الأعمال، مما مكنهم من الحصول على قروض دون الحاجة إلى ضمانات تقليدية ومن ضمن المبادرات النوعية أيضًا: "مبادرة التحول الرقمي للمنشآت الصغيرة"، والتي وفرت باقات رقمية مدعومة للشركات لتعزيز تواجدها الإلكتروني وتعتبر هذه المبادرات ترجمة عملية لأهداف الرؤية، حيث تمكّن رواد الأعمال من تجاوز العوائق التقليدية والانطلاق نحو التوسع والاستدامة</w:t>
      </w:r>
      <w:r>
        <w:t>.</w:t>
      </w:r>
    </w:p>
    <w:p w14:paraId="0F3CF342" w14:textId="0BBE1302" w:rsidR="00156BA4" w:rsidRPr="004D775B" w:rsidRDefault="004D775B" w:rsidP="00C0639D">
      <w:pPr>
        <w:pStyle w:val="NoSpacing"/>
        <w:bidi/>
        <w:rPr>
          <w:rtl/>
        </w:rPr>
      </w:pPr>
      <w:r w:rsidRPr="004D775B">
        <w:rPr>
          <w:rtl/>
        </w:rPr>
        <w:t>أثمرت هذه المبادرات عن زيادة عدد الشركات الناشئة بمعدلات متسارعة منذ عام 2016، كما أدت إلى تحسن ترتيب السعودية في مؤشرات ريادة الأعمال والتنافسية العالمية بالإضافة إلى ذلك، أصبحت هذه المبادرات نموذجًا للتكامل بين القطاعات الحكومية والخاصة، حيث يساهم الجميع في بناء بيئة أعمال متطورة ومرنة ويمكن القول إن المبادرات الحكومية شكلت العمود الفقري للدعم المؤسسي الذي مهد الطريق لنشوء جيل جديد من رواد الأعمال السعوديين.</w:t>
      </w:r>
      <w:r w:rsidR="00995C99">
        <w:rPr>
          <w:rFonts w:hint="cs"/>
          <w:rtl/>
        </w:rPr>
        <w:t xml:space="preserve"> </w:t>
      </w:r>
      <w:r w:rsidR="00995C99" w:rsidRPr="00995C99">
        <w:rPr>
          <w:rtl/>
        </w:rPr>
        <w:t>(الربعي، 2021)</w:t>
      </w:r>
    </w:p>
    <w:p w14:paraId="6268FE24" w14:textId="04000142" w:rsidR="00156BA4" w:rsidRPr="004D775B" w:rsidRDefault="00156BA4" w:rsidP="00C0639D">
      <w:pPr>
        <w:pStyle w:val="NoSpacing"/>
        <w:bidi/>
        <w:ind w:firstLine="0"/>
        <w:rPr>
          <w:b/>
          <w:bCs/>
          <w:rtl/>
        </w:rPr>
      </w:pPr>
      <w:r w:rsidRPr="004D775B">
        <w:rPr>
          <w:b/>
          <w:bCs/>
          <w:rtl/>
        </w:rPr>
        <w:t>أمثلة على شركات سعودية ناجحة بعد 2016</w:t>
      </w:r>
    </w:p>
    <w:p w14:paraId="54008D6B" w14:textId="77777777" w:rsidR="004D775B" w:rsidRPr="004D775B" w:rsidRDefault="004D775B" w:rsidP="00C0639D">
      <w:pPr>
        <w:pStyle w:val="NoSpacing"/>
        <w:bidi/>
        <w:ind w:firstLine="0"/>
        <w:rPr>
          <w:b/>
          <w:bCs/>
          <w:rtl/>
        </w:rPr>
      </w:pPr>
      <w:r w:rsidRPr="004D775B">
        <w:rPr>
          <w:b/>
          <w:bCs/>
          <w:rtl/>
        </w:rPr>
        <w:t>جاهز</w:t>
      </w:r>
      <w:r w:rsidRPr="004D775B">
        <w:rPr>
          <w:b/>
          <w:bCs/>
        </w:rPr>
        <w:t xml:space="preserve"> (Jahez)</w:t>
      </w:r>
    </w:p>
    <w:p w14:paraId="343E2839" w14:textId="7224F5E2" w:rsidR="004D775B" w:rsidRDefault="004D775B" w:rsidP="00C0639D">
      <w:pPr>
        <w:pStyle w:val="NoSpacing"/>
        <w:bidi/>
        <w:rPr>
          <w:rtl/>
        </w:rPr>
      </w:pPr>
      <w:r>
        <w:rPr>
          <w:rtl/>
        </w:rPr>
        <w:t>تُعد منصة "جاهز" من أبرز الشركات الناشئة السعودية التي تأسست في عام 2016 بالتزامن مع انطلاق رؤية 2030 بدأت الشركة كمشروع ريادي بسيط يهدف إلى تسهيل طلب وتوصيل الطعام عبر تطبيق ذكي، وسرعان ما تحولت إلى شركة رائدة في قطاع التكنولوجيا الغذائية داخل المملكة استفادت "جاهز" من البيئة الرقمية المتطورة والدعم الحكومي الذي وفرته الرؤية، مما مكنها من توسيع نطاق عملياتها بسرعة لتشمل مختلف مناطق المملكة وفي عام 2021، سجلت "جاهز" إنجازًا غير مسبوق بكونها أول شركة تقنية سعودية ناشئة تدرج في السوق المالية السعودية "نمو"، ما يعكس نجاحها في جذب الاستثمارات وتعزيز ثقة المستثمرين وتُعد قصة "جاهز" نموذجًا حيًا لكيفية تحويل الدعم المؤسسي إلى قصة نجاح وطنية</w:t>
      </w:r>
      <w:r>
        <w:t>.</w:t>
      </w:r>
      <w:r w:rsidR="00995C99">
        <w:rPr>
          <w:rFonts w:hint="cs"/>
          <w:rtl/>
        </w:rPr>
        <w:t xml:space="preserve"> </w:t>
      </w:r>
      <w:r w:rsidR="00995C99" w:rsidRPr="00995C99">
        <w:rPr>
          <w:rtl/>
        </w:rPr>
        <w:t>(هاشمي، 2021)</w:t>
      </w:r>
    </w:p>
    <w:p w14:paraId="0EF9C5C2" w14:textId="1F245143" w:rsidR="00995C99" w:rsidRDefault="00995C99" w:rsidP="00995C99">
      <w:pPr>
        <w:pStyle w:val="NoSpacing"/>
        <w:bidi/>
        <w:rPr>
          <w:rtl/>
        </w:rPr>
      </w:pPr>
    </w:p>
    <w:p w14:paraId="4F4E2A24" w14:textId="77777777" w:rsidR="00995C99" w:rsidRDefault="00995C99" w:rsidP="00995C99">
      <w:pPr>
        <w:pStyle w:val="NoSpacing"/>
        <w:bidi/>
        <w:rPr>
          <w:rtl/>
        </w:rPr>
      </w:pPr>
    </w:p>
    <w:p w14:paraId="5FC6C083" w14:textId="77777777" w:rsidR="004D775B" w:rsidRPr="004D775B" w:rsidRDefault="004D775B" w:rsidP="00C0639D">
      <w:pPr>
        <w:pStyle w:val="NoSpacing"/>
        <w:bidi/>
        <w:ind w:firstLine="0"/>
        <w:rPr>
          <w:b/>
          <w:bCs/>
          <w:rtl/>
        </w:rPr>
      </w:pPr>
      <w:r w:rsidRPr="004D775B">
        <w:rPr>
          <w:b/>
          <w:bCs/>
          <w:rtl/>
        </w:rPr>
        <w:t>نانا</w:t>
      </w:r>
      <w:r w:rsidRPr="004D775B">
        <w:rPr>
          <w:b/>
          <w:bCs/>
        </w:rPr>
        <w:t xml:space="preserve"> (Nana)</w:t>
      </w:r>
    </w:p>
    <w:p w14:paraId="795BCE28" w14:textId="652E0765" w:rsidR="00203A9F" w:rsidRDefault="004D775B" w:rsidP="00C0639D">
      <w:pPr>
        <w:pStyle w:val="NoSpacing"/>
        <w:bidi/>
        <w:rPr>
          <w:rtl/>
        </w:rPr>
      </w:pPr>
      <w:r>
        <w:rPr>
          <w:rtl/>
        </w:rPr>
        <w:t>تأسست شركة "نانا" عام 2016، وهي منصة للتجارة الإلكترونية تقدم خدمات توصيل البقالة عبر الإنترنت، وحققت انتشارًا واسعًا داخل المدن الكبرى في المملكة مثل الرياض وجدة والدمام جاءت "نانا" في توقيت مهم جدًا، حيث تزامن صعودها مع تطلع رؤية 2030 إلى تعزيز البنية التحتية الرقمية ودعم مشاريع التحول الرقمي في القطاعات الحيوية مثل التجزئة والخدمات وقد حصلت "نانا" على تمويلات من مستثمرين سعوديين وإقليميين تجاوزت عشرات الملايين من الريالات، مما ساعدها على توسيع شبكتها اللوجستية وتحسين تقنيات الذكاء الاصطناعي المستخدمة في التوصيل والتنبؤ بالطلب وبفضل دعم الدولة للمنشآت الصغيرة والمتوسطة، أصبحت "نانا" مثالًا يحتذى به في تسخير التكنولوجيا لحل التحديات اليومية وتحقيق رضا العملاء في السوق المحلي.</w:t>
      </w:r>
      <w:r w:rsidR="00995C99">
        <w:rPr>
          <w:rFonts w:hint="cs"/>
          <w:rtl/>
        </w:rPr>
        <w:t xml:space="preserve"> </w:t>
      </w:r>
      <w:r w:rsidR="00995C99" w:rsidRPr="00995C99">
        <w:rPr>
          <w:rtl/>
        </w:rPr>
        <w:t>(هاشمي، 2021)</w:t>
      </w:r>
    </w:p>
    <w:p w14:paraId="4607F3B8" w14:textId="77777777" w:rsidR="004D775B" w:rsidRPr="004D775B" w:rsidRDefault="004D775B" w:rsidP="00C0639D">
      <w:pPr>
        <w:pStyle w:val="NoSpacing"/>
        <w:bidi/>
        <w:ind w:firstLine="0"/>
        <w:rPr>
          <w:b/>
          <w:bCs/>
          <w:rtl/>
        </w:rPr>
      </w:pPr>
      <w:r w:rsidRPr="004D775B">
        <w:rPr>
          <w:b/>
          <w:bCs/>
          <w:rtl/>
        </w:rPr>
        <w:t>شركة</w:t>
      </w:r>
      <w:r w:rsidRPr="004D775B">
        <w:rPr>
          <w:b/>
          <w:bCs/>
        </w:rPr>
        <w:t xml:space="preserve"> "Fordea" </w:t>
      </w:r>
    </w:p>
    <w:p w14:paraId="6A676969" w14:textId="6320692A" w:rsidR="004D775B" w:rsidRDefault="004D775B" w:rsidP="00C0639D">
      <w:pPr>
        <w:pStyle w:val="NoSpacing"/>
        <w:bidi/>
        <w:rPr>
          <w:rtl/>
        </w:rPr>
      </w:pPr>
      <w:r>
        <w:rPr>
          <w:rtl/>
        </w:rPr>
        <w:t>تأسست شركة</w:t>
      </w:r>
      <w:r>
        <w:t xml:space="preserve"> "Fordea" </w:t>
      </w:r>
      <w:r>
        <w:rPr>
          <w:rtl/>
        </w:rPr>
        <w:t>عام 2017، وهي شركة ناشئة سعودية تقدم حلولاً مبتكرة في مجال التجارة الإلكترونية، مع تركيز خاص على تجربة المستخدم وسرعة التوصيل والتعامل مع متطلبات السوق المحلية تمكنت الشركة من الاستفادة من المبادرات الحكومية التي أطلقتها رؤية 2030، مثل تحسين البيئة التشريعية، وتطوير الخدمات اللوجستية، ودعم الابتكار في قطاع الأعمال عملت</w:t>
      </w:r>
      <w:r>
        <w:t xml:space="preserve"> Fordea </w:t>
      </w:r>
      <w:r>
        <w:rPr>
          <w:rtl/>
        </w:rPr>
        <w:t>على بناء نموذج أعمال مرن وذكي قائم على التحليلات الرقمية وفهم سلوك المستهلك، مما منحها ميزة تنافسية في سوق يعج بالمنافسة وساهمت البرامج الحكومية، مثل "منشآت" و"برنامج شريك"، في دعم الشركة ماديًا ولوجستيًا، ما مكنها من التوسع الإقليمي والتخطيط لتوسعات مستقبلية في أسواق الخليج</w:t>
      </w:r>
      <w:r>
        <w:t>.</w:t>
      </w:r>
      <w:r w:rsidR="00995C99" w:rsidRPr="00995C99">
        <w:rPr>
          <w:rtl/>
        </w:rPr>
        <w:t xml:space="preserve"> (هاشمي، 2021)</w:t>
      </w:r>
    </w:p>
    <w:p w14:paraId="49D6D827" w14:textId="77777777" w:rsidR="004D775B" w:rsidRPr="004D775B" w:rsidRDefault="004D775B" w:rsidP="00C0639D">
      <w:pPr>
        <w:pStyle w:val="NoSpacing"/>
        <w:bidi/>
        <w:ind w:firstLine="0"/>
        <w:rPr>
          <w:b/>
          <w:bCs/>
          <w:rtl/>
        </w:rPr>
      </w:pPr>
      <w:r w:rsidRPr="004D775B">
        <w:rPr>
          <w:b/>
          <w:bCs/>
          <w:rtl/>
        </w:rPr>
        <w:t>شركة</w:t>
      </w:r>
      <w:r w:rsidRPr="004D775B">
        <w:rPr>
          <w:b/>
          <w:bCs/>
        </w:rPr>
        <w:t xml:space="preserve"> "Lendo" </w:t>
      </w:r>
    </w:p>
    <w:p w14:paraId="019ADE3A" w14:textId="2686FAE2" w:rsidR="004D775B" w:rsidRDefault="004D775B" w:rsidP="00C0639D">
      <w:pPr>
        <w:pStyle w:val="NoSpacing"/>
        <w:bidi/>
        <w:rPr>
          <w:rtl/>
        </w:rPr>
      </w:pPr>
      <w:r>
        <w:rPr>
          <w:rtl/>
        </w:rPr>
        <w:t>شركة</w:t>
      </w:r>
      <w:r>
        <w:t xml:space="preserve"> "Lendo" </w:t>
      </w:r>
      <w:r>
        <w:rPr>
          <w:rtl/>
        </w:rPr>
        <w:t>التي تأسست في عام 2019، تعمل في مجال التقنية المالية</w:t>
      </w:r>
      <w:r>
        <w:t xml:space="preserve"> (FinTech) </w:t>
      </w:r>
      <w:r>
        <w:rPr>
          <w:rtl/>
        </w:rPr>
        <w:t>وتحديدًا في الإقراض الجماعي بين الشركات</w:t>
      </w:r>
      <w:r>
        <w:t xml:space="preserve"> (P2P Lending) </w:t>
      </w:r>
      <w:r>
        <w:rPr>
          <w:rtl/>
        </w:rPr>
        <w:t>ظهرت</w:t>
      </w:r>
      <w:r>
        <w:t xml:space="preserve"> Lendo </w:t>
      </w:r>
      <w:r>
        <w:rPr>
          <w:rtl/>
        </w:rPr>
        <w:t>استجابة للحاجة المتزايدة لدى الشركات الصغيرة والمتوسطة للحصول على تمويل سريع وآمن دون تعقيدات البنوك التقليدية وقد جاءت في الوقت المناسب الذي كانت فيه رؤية 2030 تدفع نحو فتح المجال أمام نماذج التمويل البديلة وتحديث القطاع المالي استفادت الشركة من البيئة التنظيمية المحفزة، والدعم المقدم من مؤسسة النقد (ساما) ضمن مبادرات التقنية المالية، مما ساعدها على النمو بسرعة وتكوين شبكة من المقترضين والممولين وتُعد</w:t>
      </w:r>
      <w:r>
        <w:t xml:space="preserve"> Lendo </w:t>
      </w:r>
      <w:r>
        <w:rPr>
          <w:rtl/>
        </w:rPr>
        <w:t>مثالًا واضحًا على نجاح ريادة الأعمال في قطاع حيوي ضمن الاقتصاد السعودي الجديد</w:t>
      </w:r>
      <w:r>
        <w:t>.</w:t>
      </w:r>
      <w:r w:rsidR="00995C99">
        <w:rPr>
          <w:rFonts w:hint="cs"/>
          <w:rtl/>
        </w:rPr>
        <w:t xml:space="preserve"> </w:t>
      </w:r>
      <w:r w:rsidR="00995C99" w:rsidRPr="00995C99">
        <w:rPr>
          <w:rtl/>
        </w:rPr>
        <w:t>(الصبحي، 2021)</w:t>
      </w:r>
    </w:p>
    <w:p w14:paraId="5A3A6327" w14:textId="77777777" w:rsidR="004D775B" w:rsidRPr="004D775B" w:rsidRDefault="004D775B" w:rsidP="00C0639D">
      <w:pPr>
        <w:pStyle w:val="NoSpacing"/>
        <w:bidi/>
        <w:ind w:firstLine="0"/>
        <w:rPr>
          <w:b/>
          <w:bCs/>
          <w:rtl/>
        </w:rPr>
      </w:pPr>
      <w:r w:rsidRPr="004D775B">
        <w:rPr>
          <w:b/>
          <w:bCs/>
          <w:rtl/>
        </w:rPr>
        <w:t>مزارع البحر الأحمر</w:t>
      </w:r>
    </w:p>
    <w:p w14:paraId="085573E1" w14:textId="5B10EFA4" w:rsidR="00203A9F" w:rsidRDefault="004D775B" w:rsidP="00C0639D">
      <w:pPr>
        <w:pStyle w:val="NoSpacing"/>
        <w:bidi/>
        <w:rPr>
          <w:rtl/>
        </w:rPr>
      </w:pPr>
      <w:r>
        <w:rPr>
          <w:rtl/>
        </w:rPr>
        <w:t>تأسست "مزارع البحر الأحمر" في عام 2018 كأحد المشاريع الواعدة في مجال التكنولوجيا الزراعية، وهي شركة ناشئة سعودية تستخدم تقنية الزراعة بالمياه المالحة لإنتاج المحاصيل في البيئات الصحراوية القاسية تعمل الشركة في بيئة تتماشى مع أهداف رؤية 2030 في دعم الابتكار والتقنيات المستدامة، وتهدف إلى تعزيز الأمن الغذائي في المملكة وتقليل الاعتماد على الاستيراد وقد حصلت على دعم مباشر من جامعة الملك عبدالله للعلوم والتقنية (</w:t>
      </w:r>
      <w:r>
        <w:t>KAUST</w:t>
      </w:r>
      <w:r>
        <w:rPr>
          <w:rtl/>
        </w:rPr>
        <w:t>) إلى جانب دعم حكومي واستثماري، مما مكّنها من تطوير تقنيات زراعية مبتكرة قابلة للتوسع التجاري نجاح مزارع البحر الأحمر لا يعكس فقط القدرة على حل مشكلة بيئية وزراعية، بل يُظهر أيضًا كيف يمكن للشركات الناشئة أن تساهم في تحقيق أهداف الاستدامة والابتكار التي تتبناها رؤية السعودية 2030.</w:t>
      </w:r>
      <w:r w:rsidR="00995C99">
        <w:rPr>
          <w:rFonts w:hint="cs"/>
          <w:rtl/>
        </w:rPr>
        <w:t xml:space="preserve"> </w:t>
      </w:r>
      <w:r w:rsidR="00995C99" w:rsidRPr="00995C99">
        <w:rPr>
          <w:rtl/>
        </w:rPr>
        <w:t>(الصبحي، 2021)</w:t>
      </w:r>
    </w:p>
    <w:p w14:paraId="1A3EF7AE" w14:textId="514B39DB" w:rsidR="00190BBB" w:rsidRDefault="00190BBB" w:rsidP="00C0639D">
      <w:pPr>
        <w:bidi/>
        <w:rPr>
          <w:rFonts w:cs="Arial"/>
          <w:rtl/>
        </w:rPr>
      </w:pPr>
    </w:p>
    <w:p w14:paraId="4DF76C76" w14:textId="77777777" w:rsidR="00203A9F" w:rsidRDefault="00203A9F" w:rsidP="00C0639D">
      <w:pPr>
        <w:bidi/>
        <w:rPr>
          <w:rFonts w:cs="Arial"/>
          <w:rtl/>
        </w:rPr>
      </w:pPr>
    </w:p>
    <w:p w14:paraId="6BA00F62" w14:textId="1A3E7295" w:rsidR="00133A33" w:rsidRDefault="00133A33" w:rsidP="00C0639D">
      <w:pPr>
        <w:bidi/>
        <w:jc w:val="center"/>
        <w:rPr>
          <w:rFonts w:ascii="Sakkal Majalla" w:hAnsi="Sakkal Majalla" w:cs="Sakkal Majalla"/>
          <w:b/>
          <w:bCs/>
          <w:sz w:val="48"/>
          <w:szCs w:val="48"/>
          <w:u w:val="single"/>
          <w:rtl/>
        </w:rPr>
      </w:pPr>
    </w:p>
    <w:p w14:paraId="568D0308" w14:textId="7ABA2D7C" w:rsidR="004D775B" w:rsidRDefault="004D775B" w:rsidP="00C0639D">
      <w:pPr>
        <w:pStyle w:val="NoSpacing"/>
        <w:bidi/>
        <w:ind w:firstLine="0"/>
        <w:rPr>
          <w:rtl/>
        </w:rPr>
      </w:pPr>
    </w:p>
    <w:sectPr w:rsidR="004D775B"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245E6D"/>
    <w:multiLevelType w:val="hybridMultilevel"/>
    <w:tmpl w:val="A462B9A4"/>
    <w:lvl w:ilvl="0" w:tplc="A5AAF432">
      <w:start w:val="1"/>
      <w:numFmt w:val="decimal"/>
      <w:lvlText w:val="%1."/>
      <w:lvlJc w:val="left"/>
      <w:pPr>
        <w:ind w:left="791" w:hanging="360"/>
      </w:pPr>
      <w:rPr>
        <w:rFonts w:hint="default"/>
      </w:r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abstractNum w:abstractNumId="11"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2" w15:restartNumberingAfterBreak="0">
    <w:nsid w:val="31B07A11"/>
    <w:multiLevelType w:val="multilevel"/>
    <w:tmpl w:val="9BC2C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9D6677"/>
    <w:multiLevelType w:val="hybridMultilevel"/>
    <w:tmpl w:val="79E2592E"/>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14"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15"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6"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7" w15:restartNumberingAfterBreak="0">
    <w:nsid w:val="4E902AC0"/>
    <w:multiLevelType w:val="multilevel"/>
    <w:tmpl w:val="9BC2C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527977"/>
    <w:multiLevelType w:val="hybridMultilevel"/>
    <w:tmpl w:val="303CED1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9" w15:restartNumberingAfterBreak="0">
    <w:nsid w:val="617B6988"/>
    <w:multiLevelType w:val="hybridMultilevel"/>
    <w:tmpl w:val="A60CADC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0" w15:restartNumberingAfterBreak="0">
    <w:nsid w:val="62941496"/>
    <w:multiLevelType w:val="hybridMultilevel"/>
    <w:tmpl w:val="58E6DC14"/>
    <w:lvl w:ilvl="0" w:tplc="81B6C58C">
      <w:start w:val="1"/>
      <w:numFmt w:val="decimal"/>
      <w:lvlText w:val="%1."/>
      <w:lvlJc w:val="left"/>
      <w:pPr>
        <w:ind w:left="791" w:hanging="360"/>
      </w:pPr>
      <w:rPr>
        <w:rFonts w:hint="default"/>
        <w:sz w:val="28"/>
        <w:szCs w:val="28"/>
      </w:r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abstractNum w:abstractNumId="21"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3"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14"/>
  </w:num>
  <w:num w:numId="2" w16cid:durableId="1626502044">
    <w:abstractNumId w:val="11"/>
  </w:num>
  <w:num w:numId="3" w16cid:durableId="799879030">
    <w:abstractNumId w:val="24"/>
  </w:num>
  <w:num w:numId="4" w16cid:durableId="604701427">
    <w:abstractNumId w:val="16"/>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21"/>
  </w:num>
  <w:num w:numId="16" w16cid:durableId="2085175426">
    <w:abstractNumId w:val="23"/>
  </w:num>
  <w:num w:numId="17" w16cid:durableId="1952978523">
    <w:abstractNumId w:val="15"/>
  </w:num>
  <w:num w:numId="18" w16cid:durableId="235628002">
    <w:abstractNumId w:val="22"/>
  </w:num>
  <w:num w:numId="19" w16cid:durableId="1935936417">
    <w:abstractNumId w:val="18"/>
  </w:num>
  <w:num w:numId="20" w16cid:durableId="153648735">
    <w:abstractNumId w:val="19"/>
  </w:num>
  <w:num w:numId="21" w16cid:durableId="387803816">
    <w:abstractNumId w:val="17"/>
  </w:num>
  <w:num w:numId="22" w16cid:durableId="1921060912">
    <w:abstractNumId w:val="12"/>
  </w:num>
  <w:num w:numId="23" w16cid:durableId="1852643351">
    <w:abstractNumId w:val="10"/>
  </w:num>
  <w:num w:numId="24" w16cid:durableId="1197541894">
    <w:abstractNumId w:val="13"/>
  </w:num>
  <w:num w:numId="25" w16cid:durableId="13785032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D6C"/>
    <w:rsid w:val="000047AB"/>
    <w:rsid w:val="00012B3C"/>
    <w:rsid w:val="00037BB4"/>
    <w:rsid w:val="00040787"/>
    <w:rsid w:val="00040BF6"/>
    <w:rsid w:val="00043E2B"/>
    <w:rsid w:val="0007717C"/>
    <w:rsid w:val="00090F21"/>
    <w:rsid w:val="00091223"/>
    <w:rsid w:val="000B7D8F"/>
    <w:rsid w:val="000F12AE"/>
    <w:rsid w:val="000F44B4"/>
    <w:rsid w:val="001063F7"/>
    <w:rsid w:val="00132D65"/>
    <w:rsid w:val="00133A33"/>
    <w:rsid w:val="00133B42"/>
    <w:rsid w:val="00156BA4"/>
    <w:rsid w:val="001612B0"/>
    <w:rsid w:val="00176514"/>
    <w:rsid w:val="00177CBA"/>
    <w:rsid w:val="001902DB"/>
    <w:rsid w:val="00190BBB"/>
    <w:rsid w:val="001A7AAA"/>
    <w:rsid w:val="001C0BD9"/>
    <w:rsid w:val="001C2162"/>
    <w:rsid w:val="001E77AD"/>
    <w:rsid w:val="00203A9F"/>
    <w:rsid w:val="00213D6E"/>
    <w:rsid w:val="0023657A"/>
    <w:rsid w:val="0024399E"/>
    <w:rsid w:val="00291561"/>
    <w:rsid w:val="002A31C5"/>
    <w:rsid w:val="002C6B63"/>
    <w:rsid w:val="002E76C4"/>
    <w:rsid w:val="00303777"/>
    <w:rsid w:val="00347006"/>
    <w:rsid w:val="003569A6"/>
    <w:rsid w:val="00360CDD"/>
    <w:rsid w:val="00374947"/>
    <w:rsid w:val="003841C1"/>
    <w:rsid w:val="003848C1"/>
    <w:rsid w:val="00385A25"/>
    <w:rsid w:val="003E23F6"/>
    <w:rsid w:val="003E484C"/>
    <w:rsid w:val="004055DC"/>
    <w:rsid w:val="004163C7"/>
    <w:rsid w:val="0042706B"/>
    <w:rsid w:val="004317A2"/>
    <w:rsid w:val="00432CB7"/>
    <w:rsid w:val="004444E5"/>
    <w:rsid w:val="00454222"/>
    <w:rsid w:val="00456FB2"/>
    <w:rsid w:val="004618DA"/>
    <w:rsid w:val="00490FC8"/>
    <w:rsid w:val="004A649A"/>
    <w:rsid w:val="004C3670"/>
    <w:rsid w:val="004D775B"/>
    <w:rsid w:val="004F0CCB"/>
    <w:rsid w:val="004F441B"/>
    <w:rsid w:val="00520B25"/>
    <w:rsid w:val="00521B2F"/>
    <w:rsid w:val="00532BB8"/>
    <w:rsid w:val="005537EE"/>
    <w:rsid w:val="00567EC3"/>
    <w:rsid w:val="00586F27"/>
    <w:rsid w:val="0058700C"/>
    <w:rsid w:val="005A26B8"/>
    <w:rsid w:val="005B0DBB"/>
    <w:rsid w:val="005B48F9"/>
    <w:rsid w:val="00614094"/>
    <w:rsid w:val="006344F9"/>
    <w:rsid w:val="0064193A"/>
    <w:rsid w:val="006572CF"/>
    <w:rsid w:val="0066000D"/>
    <w:rsid w:val="006676ED"/>
    <w:rsid w:val="00671442"/>
    <w:rsid w:val="006834DA"/>
    <w:rsid w:val="00683BB0"/>
    <w:rsid w:val="006878B6"/>
    <w:rsid w:val="006948DE"/>
    <w:rsid w:val="00695E0C"/>
    <w:rsid w:val="006B0C56"/>
    <w:rsid w:val="006B22B5"/>
    <w:rsid w:val="006D0D86"/>
    <w:rsid w:val="006F3A8B"/>
    <w:rsid w:val="00740377"/>
    <w:rsid w:val="00757849"/>
    <w:rsid w:val="007819DE"/>
    <w:rsid w:val="00786BD8"/>
    <w:rsid w:val="00787476"/>
    <w:rsid w:val="007A63D6"/>
    <w:rsid w:val="007B0E54"/>
    <w:rsid w:val="007B2270"/>
    <w:rsid w:val="007C2445"/>
    <w:rsid w:val="007C7F70"/>
    <w:rsid w:val="007D1378"/>
    <w:rsid w:val="007E0D7A"/>
    <w:rsid w:val="007E255D"/>
    <w:rsid w:val="007E3A20"/>
    <w:rsid w:val="007E4DC8"/>
    <w:rsid w:val="00812E2F"/>
    <w:rsid w:val="008328F7"/>
    <w:rsid w:val="00844339"/>
    <w:rsid w:val="008454B3"/>
    <w:rsid w:val="00875625"/>
    <w:rsid w:val="00877AAC"/>
    <w:rsid w:val="00881311"/>
    <w:rsid w:val="00882E28"/>
    <w:rsid w:val="00896FE4"/>
    <w:rsid w:val="008B355E"/>
    <w:rsid w:val="008E0FBC"/>
    <w:rsid w:val="008F1EAE"/>
    <w:rsid w:val="00902498"/>
    <w:rsid w:val="00911285"/>
    <w:rsid w:val="009125CE"/>
    <w:rsid w:val="00946860"/>
    <w:rsid w:val="00946F5F"/>
    <w:rsid w:val="009706E7"/>
    <w:rsid w:val="00985377"/>
    <w:rsid w:val="009916F7"/>
    <w:rsid w:val="00995C99"/>
    <w:rsid w:val="009B6888"/>
    <w:rsid w:val="009B6AA6"/>
    <w:rsid w:val="009C0161"/>
    <w:rsid w:val="009D108D"/>
    <w:rsid w:val="009D4571"/>
    <w:rsid w:val="009E1436"/>
    <w:rsid w:val="009E5668"/>
    <w:rsid w:val="009F400F"/>
    <w:rsid w:val="00A00464"/>
    <w:rsid w:val="00A13BB7"/>
    <w:rsid w:val="00A22795"/>
    <w:rsid w:val="00A64202"/>
    <w:rsid w:val="00A70091"/>
    <w:rsid w:val="00A85B29"/>
    <w:rsid w:val="00A86346"/>
    <w:rsid w:val="00AA79E9"/>
    <w:rsid w:val="00AB0A70"/>
    <w:rsid w:val="00AB149A"/>
    <w:rsid w:val="00AB5AF1"/>
    <w:rsid w:val="00AB6328"/>
    <w:rsid w:val="00AD5F22"/>
    <w:rsid w:val="00AF509F"/>
    <w:rsid w:val="00B2224F"/>
    <w:rsid w:val="00B34026"/>
    <w:rsid w:val="00B351C0"/>
    <w:rsid w:val="00B40A04"/>
    <w:rsid w:val="00B63B0F"/>
    <w:rsid w:val="00B647D2"/>
    <w:rsid w:val="00B7214B"/>
    <w:rsid w:val="00B7678A"/>
    <w:rsid w:val="00BA6B85"/>
    <w:rsid w:val="00BC094B"/>
    <w:rsid w:val="00BE1F53"/>
    <w:rsid w:val="00BE3828"/>
    <w:rsid w:val="00BE636C"/>
    <w:rsid w:val="00BF241C"/>
    <w:rsid w:val="00BF6213"/>
    <w:rsid w:val="00C00C8A"/>
    <w:rsid w:val="00C00E19"/>
    <w:rsid w:val="00C0639D"/>
    <w:rsid w:val="00C12523"/>
    <w:rsid w:val="00C26300"/>
    <w:rsid w:val="00C34329"/>
    <w:rsid w:val="00C36DDD"/>
    <w:rsid w:val="00C51FA5"/>
    <w:rsid w:val="00C5582C"/>
    <w:rsid w:val="00C6536E"/>
    <w:rsid w:val="00C72744"/>
    <w:rsid w:val="00CA0BBB"/>
    <w:rsid w:val="00CA4AF6"/>
    <w:rsid w:val="00CA5DF6"/>
    <w:rsid w:val="00CA6B0A"/>
    <w:rsid w:val="00CB2A44"/>
    <w:rsid w:val="00CB5CA0"/>
    <w:rsid w:val="00CC4173"/>
    <w:rsid w:val="00CC4543"/>
    <w:rsid w:val="00CD6FD5"/>
    <w:rsid w:val="00D04860"/>
    <w:rsid w:val="00D04F62"/>
    <w:rsid w:val="00D073E3"/>
    <w:rsid w:val="00D1026B"/>
    <w:rsid w:val="00D22171"/>
    <w:rsid w:val="00D24977"/>
    <w:rsid w:val="00D327CE"/>
    <w:rsid w:val="00D5221A"/>
    <w:rsid w:val="00D52480"/>
    <w:rsid w:val="00D82B6B"/>
    <w:rsid w:val="00D87492"/>
    <w:rsid w:val="00D91233"/>
    <w:rsid w:val="00D95E50"/>
    <w:rsid w:val="00DB18A5"/>
    <w:rsid w:val="00DB1C36"/>
    <w:rsid w:val="00DD092A"/>
    <w:rsid w:val="00DD45EB"/>
    <w:rsid w:val="00DE3881"/>
    <w:rsid w:val="00E3444B"/>
    <w:rsid w:val="00E34872"/>
    <w:rsid w:val="00E57E20"/>
    <w:rsid w:val="00E67422"/>
    <w:rsid w:val="00E7097A"/>
    <w:rsid w:val="00E77843"/>
    <w:rsid w:val="00E80FD9"/>
    <w:rsid w:val="00E90A6F"/>
    <w:rsid w:val="00EA7C9F"/>
    <w:rsid w:val="00EC43C1"/>
    <w:rsid w:val="00EE0D5E"/>
    <w:rsid w:val="00F173F4"/>
    <w:rsid w:val="00F30B68"/>
    <w:rsid w:val="00F46D12"/>
    <w:rsid w:val="00F546CE"/>
    <w:rsid w:val="00F65DF5"/>
    <w:rsid w:val="00F84CD5"/>
    <w:rsid w:val="00F925D0"/>
    <w:rsid w:val="00FA1D85"/>
    <w:rsid w:val="00FC119F"/>
    <w:rsid w:val="00FC54CB"/>
    <w:rsid w:val="00FF15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026"/>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6D0D86"/>
    <w:pPr>
      <w:jc w:val="center"/>
      <w:outlineLvl w:val="0"/>
    </w:pPr>
    <w:rPr>
      <w:rFonts w:ascii="Simplified Arabic" w:hAnsi="Simplified Arabic" w:cs="Simplified Arabic"/>
      <w:b/>
      <w:bCs/>
      <w:sz w:val="40"/>
      <w:szCs w:val="40"/>
      <w:u w:val="single"/>
    </w:rPr>
  </w:style>
  <w:style w:type="paragraph" w:styleId="Heading2">
    <w:name w:val="heading 2"/>
    <w:basedOn w:val="Heading1"/>
    <w:next w:val="Normal"/>
    <w:link w:val="Heading2Char"/>
    <w:uiPriority w:val="9"/>
    <w:unhideWhenUsed/>
    <w:qFormat/>
    <w:rsid w:val="006D0D86"/>
    <w:pPr>
      <w:jc w:val="left"/>
      <w:outlineLvl w:val="1"/>
    </w:pPr>
    <w:rPr>
      <w:sz w:val="36"/>
      <w:szCs w:val="36"/>
      <w:u w:val="none"/>
    </w:rPr>
  </w:style>
  <w:style w:type="paragraph" w:styleId="Heading3">
    <w:name w:val="heading 3"/>
    <w:basedOn w:val="Heading2"/>
    <w:next w:val="Normal"/>
    <w:link w:val="Heading3Char"/>
    <w:uiPriority w:val="9"/>
    <w:unhideWhenUsed/>
    <w:qFormat/>
    <w:rsid w:val="00695E0C"/>
    <w:pPr>
      <w:bidi/>
      <w:spacing w:line="276" w:lineRule="auto"/>
      <w:outlineLvl w:val="2"/>
    </w:pPr>
    <w:rPr>
      <w:sz w:val="32"/>
      <w:szCs w:val="32"/>
    </w:rPr>
  </w:style>
  <w:style w:type="paragraph" w:styleId="Heading4">
    <w:name w:val="heading 4"/>
    <w:basedOn w:val="Heading3"/>
    <w:next w:val="Normal"/>
    <w:link w:val="Heading4Char"/>
    <w:uiPriority w:val="9"/>
    <w:unhideWhenUsed/>
    <w:qFormat/>
    <w:rsid w:val="00FC54CB"/>
    <w:pPr>
      <w:outlineLvl w:val="3"/>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D0D86"/>
    <w:rPr>
      <w:rFonts w:ascii="Simplified Arabic" w:hAnsi="Simplified Arabic" w:cs="Simplified Arabic"/>
      <w:b/>
      <w:bCs/>
      <w:sz w:val="40"/>
      <w:szCs w:val="40"/>
      <w:u w:val="single"/>
    </w:rPr>
  </w:style>
  <w:style w:type="character" w:customStyle="1" w:styleId="Heading2Char">
    <w:name w:val="Heading 2 Char"/>
    <w:basedOn w:val="DefaultParagraphFont"/>
    <w:link w:val="Heading2"/>
    <w:uiPriority w:val="9"/>
    <w:rsid w:val="006D0D86"/>
    <w:rPr>
      <w:rFonts w:ascii="Simplified Arabic" w:hAnsi="Simplified Arabic" w:cs="Simplified Arabic"/>
      <w:b/>
      <w:bCs/>
      <w:sz w:val="36"/>
      <w:szCs w:val="36"/>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695E0C"/>
    <w:rPr>
      <w:rFonts w:ascii="Simplified Arabic" w:eastAsia="Times New Roman" w:hAnsi="Simplified Arabic" w:cs="Simplified Arabic"/>
      <w:b/>
      <w:bCs/>
      <w:kern w:val="0"/>
      <w:sz w:val="32"/>
      <w:szCs w:val="32"/>
      <w:lang w:val="en-EG"/>
      <w14:ligatures w14:val="none"/>
    </w:rPr>
  </w:style>
  <w:style w:type="character" w:customStyle="1" w:styleId="Heading4Char">
    <w:name w:val="Heading 4 Char"/>
    <w:basedOn w:val="DefaultParagraphFont"/>
    <w:link w:val="Heading4"/>
    <w:uiPriority w:val="9"/>
    <w:rsid w:val="00FC54CB"/>
    <w:rPr>
      <w:rFonts w:ascii="Simplified Arabic" w:hAnsi="Simplified Arabic" w:cs="Simplified Arabic"/>
      <w:b/>
      <w:bCs/>
      <w:sz w:val="28"/>
      <w:szCs w:val="28"/>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u w:val="none"/>
    </w:rPr>
  </w:style>
  <w:style w:type="paragraph" w:styleId="TOC1">
    <w:name w:val="toc 1"/>
    <w:basedOn w:val="Normal"/>
    <w:next w:val="Normal"/>
    <w:autoRedefine/>
    <w:uiPriority w:val="39"/>
    <w:unhideWhenUsed/>
    <w:rsid w:val="00902498"/>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454222"/>
    <w:rPr>
      <w:sz w:val="28"/>
      <w:szCs w:val="28"/>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semiHidden/>
    <w:unhideWhenUsed/>
    <w:rsid w:val="001A7AAA"/>
    <w:pPr>
      <w:ind w:left="880"/>
    </w:pPr>
    <w:rPr>
      <w:rFonts w:cstheme="minorHAnsi"/>
      <w:sz w:val="20"/>
    </w:rPr>
  </w:style>
  <w:style w:type="paragraph" w:styleId="TOC6">
    <w:name w:val="toc 6"/>
    <w:basedOn w:val="Normal"/>
    <w:next w:val="Normal"/>
    <w:autoRedefine/>
    <w:uiPriority w:val="39"/>
    <w:semiHidden/>
    <w:unhideWhenUsed/>
    <w:rsid w:val="001A7AAA"/>
    <w:pPr>
      <w:ind w:left="1100"/>
    </w:pPr>
    <w:rPr>
      <w:rFonts w:cstheme="minorHAnsi"/>
      <w:sz w:val="20"/>
    </w:rPr>
  </w:style>
  <w:style w:type="paragraph" w:styleId="TOC7">
    <w:name w:val="toc 7"/>
    <w:basedOn w:val="Normal"/>
    <w:next w:val="Normal"/>
    <w:autoRedefine/>
    <w:uiPriority w:val="39"/>
    <w:semiHidden/>
    <w:unhideWhenUsed/>
    <w:rsid w:val="001A7AAA"/>
    <w:pPr>
      <w:ind w:left="1320"/>
    </w:pPr>
    <w:rPr>
      <w:rFonts w:cstheme="minorHAnsi"/>
      <w:sz w:val="20"/>
    </w:rPr>
  </w:style>
  <w:style w:type="paragraph" w:styleId="TOC8">
    <w:name w:val="toc 8"/>
    <w:basedOn w:val="Normal"/>
    <w:next w:val="Normal"/>
    <w:autoRedefine/>
    <w:uiPriority w:val="39"/>
    <w:semiHidden/>
    <w:unhideWhenUsed/>
    <w:rsid w:val="001A7AAA"/>
    <w:pPr>
      <w:ind w:left="1540"/>
    </w:pPr>
    <w:rPr>
      <w:rFonts w:cstheme="minorHAnsi"/>
      <w:sz w:val="20"/>
    </w:rPr>
  </w:style>
  <w:style w:type="paragraph" w:styleId="TOC9">
    <w:name w:val="toc 9"/>
    <w:basedOn w:val="Normal"/>
    <w:next w:val="Normal"/>
    <w:autoRedefine/>
    <w:uiPriority w:val="39"/>
    <w:semiHidden/>
    <w:unhideWhenUsed/>
    <w:rsid w:val="001A7AAA"/>
    <w:pPr>
      <w:ind w:left="1760"/>
    </w:pPr>
    <w:rPr>
      <w:rFonts w:cstheme="minorHAnsi"/>
      <w:sz w:val="20"/>
    </w:rPr>
  </w:style>
  <w:style w:type="paragraph" w:styleId="NormalWeb">
    <w:name w:val="Normal (Web)"/>
    <w:basedOn w:val="Normal"/>
    <w:uiPriority w:val="99"/>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165944372">
      <w:bodyDiv w:val="1"/>
      <w:marLeft w:val="0"/>
      <w:marRight w:val="0"/>
      <w:marTop w:val="0"/>
      <w:marBottom w:val="0"/>
      <w:divBdr>
        <w:top w:val="none" w:sz="0" w:space="0" w:color="auto"/>
        <w:left w:val="none" w:sz="0" w:space="0" w:color="auto"/>
        <w:bottom w:val="none" w:sz="0" w:space="0" w:color="auto"/>
        <w:right w:val="none" w:sz="0" w:space="0" w:color="auto"/>
      </w:divBdr>
    </w:div>
    <w:div w:id="300623370">
      <w:bodyDiv w:val="1"/>
      <w:marLeft w:val="0"/>
      <w:marRight w:val="0"/>
      <w:marTop w:val="0"/>
      <w:marBottom w:val="0"/>
      <w:divBdr>
        <w:top w:val="none" w:sz="0" w:space="0" w:color="auto"/>
        <w:left w:val="none" w:sz="0" w:space="0" w:color="auto"/>
        <w:bottom w:val="none" w:sz="0" w:space="0" w:color="auto"/>
        <w:right w:val="none" w:sz="0" w:space="0" w:color="auto"/>
      </w:divBdr>
    </w:div>
    <w:div w:id="364598655">
      <w:bodyDiv w:val="1"/>
      <w:marLeft w:val="0"/>
      <w:marRight w:val="0"/>
      <w:marTop w:val="0"/>
      <w:marBottom w:val="0"/>
      <w:divBdr>
        <w:top w:val="none" w:sz="0" w:space="0" w:color="auto"/>
        <w:left w:val="none" w:sz="0" w:space="0" w:color="auto"/>
        <w:bottom w:val="none" w:sz="0" w:space="0" w:color="auto"/>
        <w:right w:val="none" w:sz="0" w:space="0" w:color="auto"/>
      </w:divBdr>
    </w:div>
    <w:div w:id="371923986">
      <w:bodyDiv w:val="1"/>
      <w:marLeft w:val="0"/>
      <w:marRight w:val="0"/>
      <w:marTop w:val="0"/>
      <w:marBottom w:val="0"/>
      <w:divBdr>
        <w:top w:val="none" w:sz="0" w:space="0" w:color="auto"/>
        <w:left w:val="none" w:sz="0" w:space="0" w:color="auto"/>
        <w:bottom w:val="none" w:sz="0" w:space="0" w:color="auto"/>
        <w:right w:val="none" w:sz="0" w:space="0" w:color="auto"/>
      </w:divBdr>
    </w:div>
    <w:div w:id="453670370">
      <w:bodyDiv w:val="1"/>
      <w:marLeft w:val="0"/>
      <w:marRight w:val="0"/>
      <w:marTop w:val="0"/>
      <w:marBottom w:val="0"/>
      <w:divBdr>
        <w:top w:val="none" w:sz="0" w:space="0" w:color="auto"/>
        <w:left w:val="none" w:sz="0" w:space="0" w:color="auto"/>
        <w:bottom w:val="none" w:sz="0" w:space="0" w:color="auto"/>
        <w:right w:val="none" w:sz="0" w:space="0" w:color="auto"/>
      </w:divBdr>
      <w:divsChild>
        <w:div w:id="1145780727">
          <w:marLeft w:val="0"/>
          <w:marRight w:val="0"/>
          <w:marTop w:val="0"/>
          <w:marBottom w:val="0"/>
          <w:divBdr>
            <w:top w:val="none" w:sz="0" w:space="0" w:color="auto"/>
            <w:left w:val="none" w:sz="0" w:space="0" w:color="auto"/>
            <w:bottom w:val="none" w:sz="0" w:space="0" w:color="auto"/>
            <w:right w:val="none" w:sz="0" w:space="0" w:color="auto"/>
          </w:divBdr>
          <w:divsChild>
            <w:div w:id="2126536315">
              <w:marLeft w:val="0"/>
              <w:marRight w:val="0"/>
              <w:marTop w:val="0"/>
              <w:marBottom w:val="0"/>
              <w:divBdr>
                <w:top w:val="none" w:sz="0" w:space="0" w:color="auto"/>
                <w:left w:val="none" w:sz="0" w:space="0" w:color="auto"/>
                <w:bottom w:val="none" w:sz="0" w:space="0" w:color="auto"/>
                <w:right w:val="none" w:sz="0" w:space="0" w:color="auto"/>
              </w:divBdr>
            </w:div>
          </w:divsChild>
        </w:div>
        <w:div w:id="1177040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7068797">
      <w:bodyDiv w:val="1"/>
      <w:marLeft w:val="0"/>
      <w:marRight w:val="0"/>
      <w:marTop w:val="0"/>
      <w:marBottom w:val="0"/>
      <w:divBdr>
        <w:top w:val="none" w:sz="0" w:space="0" w:color="auto"/>
        <w:left w:val="none" w:sz="0" w:space="0" w:color="auto"/>
        <w:bottom w:val="none" w:sz="0" w:space="0" w:color="auto"/>
        <w:right w:val="none" w:sz="0" w:space="0" w:color="auto"/>
      </w:divBdr>
    </w:div>
    <w:div w:id="606349575">
      <w:bodyDiv w:val="1"/>
      <w:marLeft w:val="0"/>
      <w:marRight w:val="0"/>
      <w:marTop w:val="0"/>
      <w:marBottom w:val="0"/>
      <w:divBdr>
        <w:top w:val="none" w:sz="0" w:space="0" w:color="auto"/>
        <w:left w:val="none" w:sz="0" w:space="0" w:color="auto"/>
        <w:bottom w:val="none" w:sz="0" w:space="0" w:color="auto"/>
        <w:right w:val="none" w:sz="0" w:space="0" w:color="auto"/>
      </w:divBdr>
    </w:div>
    <w:div w:id="709762283">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371765">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13151">
      <w:bodyDiv w:val="1"/>
      <w:marLeft w:val="0"/>
      <w:marRight w:val="0"/>
      <w:marTop w:val="0"/>
      <w:marBottom w:val="0"/>
      <w:divBdr>
        <w:top w:val="none" w:sz="0" w:space="0" w:color="auto"/>
        <w:left w:val="none" w:sz="0" w:space="0" w:color="auto"/>
        <w:bottom w:val="none" w:sz="0" w:space="0" w:color="auto"/>
        <w:right w:val="none" w:sz="0" w:space="0" w:color="auto"/>
      </w:divBdr>
    </w:div>
    <w:div w:id="1263534407">
      <w:bodyDiv w:val="1"/>
      <w:marLeft w:val="0"/>
      <w:marRight w:val="0"/>
      <w:marTop w:val="0"/>
      <w:marBottom w:val="0"/>
      <w:divBdr>
        <w:top w:val="none" w:sz="0" w:space="0" w:color="auto"/>
        <w:left w:val="none" w:sz="0" w:space="0" w:color="auto"/>
        <w:bottom w:val="none" w:sz="0" w:space="0" w:color="auto"/>
        <w:right w:val="none" w:sz="0" w:space="0" w:color="auto"/>
      </w:divBdr>
    </w:div>
    <w:div w:id="1300841902">
      <w:bodyDiv w:val="1"/>
      <w:marLeft w:val="0"/>
      <w:marRight w:val="0"/>
      <w:marTop w:val="0"/>
      <w:marBottom w:val="0"/>
      <w:divBdr>
        <w:top w:val="none" w:sz="0" w:space="0" w:color="auto"/>
        <w:left w:val="none" w:sz="0" w:space="0" w:color="auto"/>
        <w:bottom w:val="none" w:sz="0" w:space="0" w:color="auto"/>
        <w:right w:val="none" w:sz="0" w:space="0" w:color="auto"/>
      </w:divBdr>
    </w:div>
    <w:div w:id="1300915540">
      <w:bodyDiv w:val="1"/>
      <w:marLeft w:val="0"/>
      <w:marRight w:val="0"/>
      <w:marTop w:val="0"/>
      <w:marBottom w:val="0"/>
      <w:divBdr>
        <w:top w:val="none" w:sz="0" w:space="0" w:color="auto"/>
        <w:left w:val="none" w:sz="0" w:space="0" w:color="auto"/>
        <w:bottom w:val="none" w:sz="0" w:space="0" w:color="auto"/>
        <w:right w:val="none" w:sz="0" w:space="0" w:color="auto"/>
      </w:divBdr>
    </w:div>
    <w:div w:id="1335109393">
      <w:bodyDiv w:val="1"/>
      <w:marLeft w:val="0"/>
      <w:marRight w:val="0"/>
      <w:marTop w:val="0"/>
      <w:marBottom w:val="0"/>
      <w:divBdr>
        <w:top w:val="none" w:sz="0" w:space="0" w:color="auto"/>
        <w:left w:val="none" w:sz="0" w:space="0" w:color="auto"/>
        <w:bottom w:val="none" w:sz="0" w:space="0" w:color="auto"/>
        <w:right w:val="none" w:sz="0" w:space="0" w:color="auto"/>
      </w:divBdr>
    </w:div>
    <w:div w:id="1366247323">
      <w:bodyDiv w:val="1"/>
      <w:marLeft w:val="0"/>
      <w:marRight w:val="0"/>
      <w:marTop w:val="0"/>
      <w:marBottom w:val="0"/>
      <w:divBdr>
        <w:top w:val="none" w:sz="0" w:space="0" w:color="auto"/>
        <w:left w:val="none" w:sz="0" w:space="0" w:color="auto"/>
        <w:bottom w:val="none" w:sz="0" w:space="0" w:color="auto"/>
        <w:right w:val="none" w:sz="0" w:space="0" w:color="auto"/>
      </w:divBdr>
    </w:div>
    <w:div w:id="1433941265">
      <w:bodyDiv w:val="1"/>
      <w:marLeft w:val="0"/>
      <w:marRight w:val="0"/>
      <w:marTop w:val="0"/>
      <w:marBottom w:val="0"/>
      <w:divBdr>
        <w:top w:val="none" w:sz="0" w:space="0" w:color="auto"/>
        <w:left w:val="none" w:sz="0" w:space="0" w:color="auto"/>
        <w:bottom w:val="none" w:sz="0" w:space="0" w:color="auto"/>
        <w:right w:val="none" w:sz="0" w:space="0" w:color="auto"/>
      </w:divBdr>
    </w:div>
    <w:div w:id="1464930355">
      <w:bodyDiv w:val="1"/>
      <w:marLeft w:val="0"/>
      <w:marRight w:val="0"/>
      <w:marTop w:val="0"/>
      <w:marBottom w:val="0"/>
      <w:divBdr>
        <w:top w:val="none" w:sz="0" w:space="0" w:color="auto"/>
        <w:left w:val="none" w:sz="0" w:space="0" w:color="auto"/>
        <w:bottom w:val="none" w:sz="0" w:space="0" w:color="auto"/>
        <w:right w:val="none" w:sz="0" w:space="0" w:color="auto"/>
      </w:divBdr>
    </w:div>
    <w:div w:id="1501197012">
      <w:bodyDiv w:val="1"/>
      <w:marLeft w:val="0"/>
      <w:marRight w:val="0"/>
      <w:marTop w:val="0"/>
      <w:marBottom w:val="0"/>
      <w:divBdr>
        <w:top w:val="none" w:sz="0" w:space="0" w:color="auto"/>
        <w:left w:val="none" w:sz="0" w:space="0" w:color="auto"/>
        <w:bottom w:val="none" w:sz="0" w:space="0" w:color="auto"/>
        <w:right w:val="none" w:sz="0" w:space="0" w:color="auto"/>
      </w:divBdr>
    </w:div>
    <w:div w:id="1552425503">
      <w:bodyDiv w:val="1"/>
      <w:marLeft w:val="0"/>
      <w:marRight w:val="0"/>
      <w:marTop w:val="0"/>
      <w:marBottom w:val="0"/>
      <w:divBdr>
        <w:top w:val="none" w:sz="0" w:space="0" w:color="auto"/>
        <w:left w:val="none" w:sz="0" w:space="0" w:color="auto"/>
        <w:bottom w:val="none" w:sz="0" w:space="0" w:color="auto"/>
        <w:right w:val="none" w:sz="0" w:space="0" w:color="auto"/>
      </w:divBdr>
    </w:div>
    <w:div w:id="1659728391">
      <w:bodyDiv w:val="1"/>
      <w:marLeft w:val="0"/>
      <w:marRight w:val="0"/>
      <w:marTop w:val="0"/>
      <w:marBottom w:val="0"/>
      <w:divBdr>
        <w:top w:val="none" w:sz="0" w:space="0" w:color="auto"/>
        <w:left w:val="none" w:sz="0" w:space="0" w:color="auto"/>
        <w:bottom w:val="none" w:sz="0" w:space="0" w:color="auto"/>
        <w:right w:val="none" w:sz="0" w:space="0" w:color="auto"/>
      </w:divBdr>
    </w:div>
    <w:div w:id="1669286816">
      <w:bodyDiv w:val="1"/>
      <w:marLeft w:val="0"/>
      <w:marRight w:val="0"/>
      <w:marTop w:val="0"/>
      <w:marBottom w:val="0"/>
      <w:divBdr>
        <w:top w:val="none" w:sz="0" w:space="0" w:color="auto"/>
        <w:left w:val="none" w:sz="0" w:space="0" w:color="auto"/>
        <w:bottom w:val="none" w:sz="0" w:space="0" w:color="auto"/>
        <w:right w:val="none" w:sz="0" w:space="0" w:color="auto"/>
      </w:divBdr>
      <w:divsChild>
        <w:div w:id="1304189234">
          <w:marLeft w:val="0"/>
          <w:marRight w:val="0"/>
          <w:marTop w:val="0"/>
          <w:marBottom w:val="0"/>
          <w:divBdr>
            <w:top w:val="none" w:sz="0" w:space="0" w:color="auto"/>
            <w:left w:val="none" w:sz="0" w:space="0" w:color="auto"/>
            <w:bottom w:val="none" w:sz="0" w:space="0" w:color="auto"/>
            <w:right w:val="none" w:sz="0" w:space="0" w:color="auto"/>
          </w:divBdr>
          <w:divsChild>
            <w:div w:id="1327516085">
              <w:marLeft w:val="0"/>
              <w:marRight w:val="0"/>
              <w:marTop w:val="0"/>
              <w:marBottom w:val="0"/>
              <w:divBdr>
                <w:top w:val="none" w:sz="0" w:space="0" w:color="auto"/>
                <w:left w:val="none" w:sz="0" w:space="0" w:color="auto"/>
                <w:bottom w:val="none" w:sz="0" w:space="0" w:color="auto"/>
                <w:right w:val="none" w:sz="0" w:space="0" w:color="auto"/>
              </w:divBdr>
              <w:divsChild>
                <w:div w:id="1837920319">
                  <w:marLeft w:val="0"/>
                  <w:marRight w:val="0"/>
                  <w:marTop w:val="0"/>
                  <w:marBottom w:val="0"/>
                  <w:divBdr>
                    <w:top w:val="none" w:sz="0" w:space="0" w:color="auto"/>
                    <w:left w:val="none" w:sz="0" w:space="0" w:color="auto"/>
                    <w:bottom w:val="none" w:sz="0" w:space="0" w:color="auto"/>
                    <w:right w:val="none" w:sz="0" w:space="0" w:color="auto"/>
                  </w:divBdr>
                  <w:divsChild>
                    <w:div w:id="595361076">
                      <w:marLeft w:val="0"/>
                      <w:marRight w:val="0"/>
                      <w:marTop w:val="0"/>
                      <w:marBottom w:val="0"/>
                      <w:divBdr>
                        <w:top w:val="none" w:sz="0" w:space="0" w:color="auto"/>
                        <w:left w:val="none" w:sz="0" w:space="0" w:color="auto"/>
                        <w:bottom w:val="none" w:sz="0" w:space="0" w:color="auto"/>
                        <w:right w:val="none" w:sz="0" w:space="0" w:color="auto"/>
                      </w:divBdr>
                      <w:divsChild>
                        <w:div w:id="192742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6540144">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345089">
      <w:bodyDiv w:val="1"/>
      <w:marLeft w:val="0"/>
      <w:marRight w:val="0"/>
      <w:marTop w:val="0"/>
      <w:marBottom w:val="0"/>
      <w:divBdr>
        <w:top w:val="none" w:sz="0" w:space="0" w:color="auto"/>
        <w:left w:val="none" w:sz="0" w:space="0" w:color="auto"/>
        <w:bottom w:val="none" w:sz="0" w:space="0" w:color="auto"/>
        <w:right w:val="none" w:sz="0" w:space="0" w:color="auto"/>
      </w:divBdr>
    </w:div>
    <w:div w:id="1807165287">
      <w:bodyDiv w:val="1"/>
      <w:marLeft w:val="0"/>
      <w:marRight w:val="0"/>
      <w:marTop w:val="0"/>
      <w:marBottom w:val="0"/>
      <w:divBdr>
        <w:top w:val="none" w:sz="0" w:space="0" w:color="auto"/>
        <w:left w:val="none" w:sz="0" w:space="0" w:color="auto"/>
        <w:bottom w:val="none" w:sz="0" w:space="0" w:color="auto"/>
        <w:right w:val="none" w:sz="0" w:space="0" w:color="auto"/>
      </w:divBdr>
    </w:div>
    <w:div w:id="1845241720">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868789444">
      <w:bodyDiv w:val="1"/>
      <w:marLeft w:val="0"/>
      <w:marRight w:val="0"/>
      <w:marTop w:val="0"/>
      <w:marBottom w:val="0"/>
      <w:divBdr>
        <w:top w:val="none" w:sz="0" w:space="0" w:color="auto"/>
        <w:left w:val="none" w:sz="0" w:space="0" w:color="auto"/>
        <w:bottom w:val="none" w:sz="0" w:space="0" w:color="auto"/>
        <w:right w:val="none" w:sz="0" w:space="0" w:color="auto"/>
      </w:divBdr>
      <w:divsChild>
        <w:div w:id="1334065644">
          <w:marLeft w:val="0"/>
          <w:marRight w:val="0"/>
          <w:marTop w:val="0"/>
          <w:marBottom w:val="0"/>
          <w:divBdr>
            <w:top w:val="none" w:sz="0" w:space="0" w:color="auto"/>
            <w:left w:val="none" w:sz="0" w:space="0" w:color="auto"/>
            <w:bottom w:val="none" w:sz="0" w:space="0" w:color="auto"/>
            <w:right w:val="none" w:sz="0" w:space="0" w:color="auto"/>
          </w:divBdr>
          <w:divsChild>
            <w:div w:id="1876505305">
              <w:marLeft w:val="0"/>
              <w:marRight w:val="0"/>
              <w:marTop w:val="0"/>
              <w:marBottom w:val="0"/>
              <w:divBdr>
                <w:top w:val="none" w:sz="0" w:space="0" w:color="auto"/>
                <w:left w:val="none" w:sz="0" w:space="0" w:color="auto"/>
                <w:bottom w:val="none" w:sz="0" w:space="0" w:color="auto"/>
                <w:right w:val="none" w:sz="0" w:space="0" w:color="auto"/>
              </w:divBdr>
            </w:div>
          </w:divsChild>
        </w:div>
        <w:div w:id="1039359736">
          <w:marLeft w:val="0"/>
          <w:marRight w:val="0"/>
          <w:marTop w:val="0"/>
          <w:marBottom w:val="0"/>
          <w:divBdr>
            <w:top w:val="none" w:sz="0" w:space="0" w:color="auto"/>
            <w:left w:val="none" w:sz="0" w:space="0" w:color="auto"/>
            <w:bottom w:val="none" w:sz="0" w:space="0" w:color="auto"/>
            <w:right w:val="none" w:sz="0" w:space="0" w:color="auto"/>
          </w:divBdr>
          <w:divsChild>
            <w:div w:id="1984043695">
              <w:marLeft w:val="0"/>
              <w:marRight w:val="0"/>
              <w:marTop w:val="0"/>
              <w:marBottom w:val="0"/>
              <w:divBdr>
                <w:top w:val="none" w:sz="0" w:space="0" w:color="auto"/>
                <w:left w:val="none" w:sz="0" w:space="0" w:color="auto"/>
                <w:bottom w:val="none" w:sz="0" w:space="0" w:color="auto"/>
                <w:right w:val="none" w:sz="0" w:space="0" w:color="auto"/>
              </w:divBdr>
            </w:div>
          </w:divsChild>
        </w:div>
        <w:div w:id="618755828">
          <w:marLeft w:val="0"/>
          <w:marRight w:val="0"/>
          <w:marTop w:val="0"/>
          <w:marBottom w:val="0"/>
          <w:divBdr>
            <w:top w:val="none" w:sz="0" w:space="0" w:color="auto"/>
            <w:left w:val="none" w:sz="0" w:space="0" w:color="auto"/>
            <w:bottom w:val="none" w:sz="0" w:space="0" w:color="auto"/>
            <w:right w:val="none" w:sz="0" w:space="0" w:color="auto"/>
          </w:divBdr>
          <w:divsChild>
            <w:div w:id="1009261147">
              <w:marLeft w:val="0"/>
              <w:marRight w:val="0"/>
              <w:marTop w:val="0"/>
              <w:marBottom w:val="0"/>
              <w:divBdr>
                <w:top w:val="none" w:sz="0" w:space="0" w:color="auto"/>
                <w:left w:val="none" w:sz="0" w:space="0" w:color="auto"/>
                <w:bottom w:val="none" w:sz="0" w:space="0" w:color="auto"/>
                <w:right w:val="none" w:sz="0" w:space="0" w:color="auto"/>
              </w:divBdr>
            </w:div>
          </w:divsChild>
        </w:div>
        <w:div w:id="34895544">
          <w:marLeft w:val="0"/>
          <w:marRight w:val="0"/>
          <w:marTop w:val="0"/>
          <w:marBottom w:val="0"/>
          <w:divBdr>
            <w:top w:val="none" w:sz="0" w:space="0" w:color="auto"/>
            <w:left w:val="none" w:sz="0" w:space="0" w:color="auto"/>
            <w:bottom w:val="none" w:sz="0" w:space="0" w:color="auto"/>
            <w:right w:val="none" w:sz="0" w:space="0" w:color="auto"/>
          </w:divBdr>
          <w:divsChild>
            <w:div w:id="1622952518">
              <w:marLeft w:val="0"/>
              <w:marRight w:val="0"/>
              <w:marTop w:val="0"/>
              <w:marBottom w:val="0"/>
              <w:divBdr>
                <w:top w:val="none" w:sz="0" w:space="0" w:color="auto"/>
                <w:left w:val="none" w:sz="0" w:space="0" w:color="auto"/>
                <w:bottom w:val="none" w:sz="0" w:space="0" w:color="auto"/>
                <w:right w:val="none" w:sz="0" w:space="0" w:color="auto"/>
              </w:divBdr>
            </w:div>
          </w:divsChild>
        </w:div>
        <w:div w:id="324630432">
          <w:marLeft w:val="0"/>
          <w:marRight w:val="0"/>
          <w:marTop w:val="0"/>
          <w:marBottom w:val="0"/>
          <w:divBdr>
            <w:top w:val="none" w:sz="0" w:space="0" w:color="auto"/>
            <w:left w:val="none" w:sz="0" w:space="0" w:color="auto"/>
            <w:bottom w:val="none" w:sz="0" w:space="0" w:color="auto"/>
            <w:right w:val="none" w:sz="0" w:space="0" w:color="auto"/>
          </w:divBdr>
          <w:divsChild>
            <w:div w:id="201629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215970">
      <w:bodyDiv w:val="1"/>
      <w:marLeft w:val="0"/>
      <w:marRight w:val="0"/>
      <w:marTop w:val="0"/>
      <w:marBottom w:val="0"/>
      <w:divBdr>
        <w:top w:val="none" w:sz="0" w:space="0" w:color="auto"/>
        <w:left w:val="none" w:sz="0" w:space="0" w:color="auto"/>
        <w:bottom w:val="none" w:sz="0" w:space="0" w:color="auto"/>
        <w:right w:val="none" w:sz="0" w:space="0" w:color="auto"/>
      </w:divBdr>
    </w:div>
    <w:div w:id="1927614927">
      <w:bodyDiv w:val="1"/>
      <w:marLeft w:val="0"/>
      <w:marRight w:val="0"/>
      <w:marTop w:val="0"/>
      <w:marBottom w:val="0"/>
      <w:divBdr>
        <w:top w:val="none" w:sz="0" w:space="0" w:color="auto"/>
        <w:left w:val="none" w:sz="0" w:space="0" w:color="auto"/>
        <w:bottom w:val="none" w:sz="0" w:space="0" w:color="auto"/>
        <w:right w:val="none" w:sz="0" w:space="0" w:color="auto"/>
      </w:divBdr>
    </w:div>
    <w:div w:id="1951662964">
      <w:bodyDiv w:val="1"/>
      <w:marLeft w:val="0"/>
      <w:marRight w:val="0"/>
      <w:marTop w:val="0"/>
      <w:marBottom w:val="0"/>
      <w:divBdr>
        <w:top w:val="none" w:sz="0" w:space="0" w:color="auto"/>
        <w:left w:val="none" w:sz="0" w:space="0" w:color="auto"/>
        <w:bottom w:val="none" w:sz="0" w:space="0" w:color="auto"/>
        <w:right w:val="none" w:sz="0" w:space="0" w:color="auto"/>
      </w:divBdr>
    </w:div>
    <w:div w:id="20529995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13510</Words>
  <Characters>73230</Characters>
  <Application>Microsoft Office Word</Application>
  <DocSecurity>0</DocSecurity>
  <Lines>1703</Lines>
  <Paragraphs>672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86068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4</cp:revision>
  <cp:lastPrinted>2025-07-12T15:23:00Z</cp:lastPrinted>
  <dcterms:created xsi:type="dcterms:W3CDTF">2025-07-12T15:23:00Z</dcterms:created>
  <dcterms:modified xsi:type="dcterms:W3CDTF">2025-07-12T15:24:00Z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