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EC781" w14:textId="77777777" w:rsidR="0003283E" w:rsidRDefault="0003283E" w:rsidP="0003283E">
      <w:pPr>
        <w:spacing w:line="480" w:lineRule="auto"/>
        <w:jc w:val="center"/>
        <w:rPr>
          <w:rFonts w:ascii="Times New Roman" w:hAnsi="Times New Roman" w:cs="Times New Roman"/>
          <w:b/>
          <w:bCs/>
          <w:sz w:val="24"/>
          <w:szCs w:val="24"/>
          <w:lang w:val="en-US"/>
        </w:rPr>
      </w:pPr>
    </w:p>
    <w:p w14:paraId="0A44DC00" w14:textId="77777777" w:rsidR="0003283E" w:rsidRDefault="0003283E" w:rsidP="0003283E">
      <w:pPr>
        <w:spacing w:line="480" w:lineRule="auto"/>
        <w:jc w:val="center"/>
        <w:rPr>
          <w:rFonts w:ascii="Times New Roman" w:hAnsi="Times New Roman" w:cs="Times New Roman"/>
          <w:b/>
          <w:bCs/>
          <w:sz w:val="24"/>
          <w:szCs w:val="24"/>
          <w:lang w:val="en-US"/>
        </w:rPr>
      </w:pPr>
    </w:p>
    <w:p w14:paraId="2D541825" w14:textId="77777777" w:rsidR="0003283E" w:rsidRDefault="0003283E" w:rsidP="0003283E">
      <w:pPr>
        <w:spacing w:line="480" w:lineRule="auto"/>
        <w:jc w:val="center"/>
        <w:rPr>
          <w:rFonts w:ascii="Times New Roman" w:hAnsi="Times New Roman" w:cs="Times New Roman"/>
          <w:b/>
          <w:bCs/>
          <w:sz w:val="24"/>
          <w:szCs w:val="24"/>
          <w:lang w:val="en-US"/>
        </w:rPr>
      </w:pPr>
    </w:p>
    <w:p w14:paraId="3FA2EEEA" w14:textId="77777777" w:rsidR="0003283E" w:rsidRDefault="0003283E" w:rsidP="0003283E">
      <w:pPr>
        <w:spacing w:line="480" w:lineRule="auto"/>
        <w:jc w:val="center"/>
        <w:rPr>
          <w:rFonts w:ascii="Times New Roman" w:hAnsi="Times New Roman" w:cs="Times New Roman"/>
          <w:b/>
          <w:bCs/>
          <w:sz w:val="24"/>
          <w:szCs w:val="24"/>
          <w:lang w:val="en-US"/>
        </w:rPr>
      </w:pPr>
    </w:p>
    <w:p w14:paraId="6D109E30" w14:textId="77777777" w:rsidR="0003283E" w:rsidRDefault="0003283E" w:rsidP="0003283E">
      <w:pPr>
        <w:spacing w:line="480" w:lineRule="auto"/>
        <w:jc w:val="center"/>
        <w:rPr>
          <w:rFonts w:ascii="Times New Roman" w:hAnsi="Times New Roman" w:cs="Times New Roman"/>
          <w:b/>
          <w:bCs/>
          <w:sz w:val="24"/>
          <w:szCs w:val="24"/>
          <w:lang w:val="en-US"/>
        </w:rPr>
      </w:pPr>
    </w:p>
    <w:p w14:paraId="38428E09" w14:textId="77777777" w:rsidR="0003283E" w:rsidRDefault="0003283E" w:rsidP="0003283E">
      <w:pPr>
        <w:spacing w:line="480" w:lineRule="auto"/>
        <w:jc w:val="center"/>
        <w:rPr>
          <w:rFonts w:ascii="Times New Roman" w:hAnsi="Times New Roman" w:cs="Times New Roman"/>
          <w:b/>
          <w:bCs/>
          <w:sz w:val="24"/>
          <w:szCs w:val="24"/>
          <w:lang w:val="en-US"/>
        </w:rPr>
      </w:pPr>
    </w:p>
    <w:p w14:paraId="26E8B03F" w14:textId="06A47206" w:rsidR="00096A59" w:rsidRDefault="00096A59" w:rsidP="0003283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Course </w:t>
      </w:r>
      <w:r w:rsidRPr="00096A59">
        <w:rPr>
          <w:rFonts w:ascii="Times New Roman" w:hAnsi="Times New Roman" w:cs="Times New Roman"/>
          <w:b/>
          <w:bCs/>
          <w:sz w:val="24"/>
          <w:szCs w:val="24"/>
          <w:lang w:val="en-US"/>
        </w:rPr>
        <w:t>Title</w:t>
      </w:r>
      <w:r>
        <w:rPr>
          <w:rFonts w:ascii="Times New Roman" w:hAnsi="Times New Roman" w:cs="Times New Roman"/>
          <w:b/>
          <w:bCs/>
          <w:sz w:val="24"/>
          <w:szCs w:val="24"/>
          <w:lang w:val="en-US"/>
        </w:rPr>
        <w:t xml:space="preserve">: Research Methodology in Computer Science </w:t>
      </w:r>
    </w:p>
    <w:p w14:paraId="3CCB24E3" w14:textId="2FDD5010" w:rsidR="00096A59" w:rsidRDefault="00096A59" w:rsidP="0003283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Course code: AI800</w:t>
      </w:r>
    </w:p>
    <w:p w14:paraId="2520ED36" w14:textId="3B3C6A61" w:rsidR="00096A59" w:rsidRDefault="00096A59" w:rsidP="0003283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Weighting: 20%</w:t>
      </w:r>
    </w:p>
    <w:p w14:paraId="5BD35D06" w14:textId="6F7BD38C" w:rsidR="00096A59" w:rsidRDefault="00096A59" w:rsidP="0003283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Lecturer: Dr. Mohammed Anbar</w:t>
      </w:r>
    </w:p>
    <w:p w14:paraId="5F0B4FC4" w14:textId="5F616EAA" w:rsidR="00096A59" w:rsidRDefault="00096A59" w:rsidP="0003283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Hand In date: July 11, 2025</w:t>
      </w:r>
    </w:p>
    <w:p w14:paraId="0CF77A2B" w14:textId="356C0874" w:rsidR="00096A59" w:rsidRDefault="00096A59" w:rsidP="0003283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Hand in method: online submission via E-learning</w:t>
      </w:r>
    </w:p>
    <w:p w14:paraId="4710D434" w14:textId="6AF58E2A" w:rsidR="003C6D26" w:rsidRDefault="003C6D26" w:rsidP="0003283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Student name: Faisal Muteb Almutairi</w:t>
      </w:r>
    </w:p>
    <w:p w14:paraId="5CE49051" w14:textId="77777777" w:rsidR="0003283E" w:rsidRDefault="0003283E" w:rsidP="0003283E">
      <w:pPr>
        <w:spacing w:line="480" w:lineRule="auto"/>
        <w:jc w:val="both"/>
        <w:rPr>
          <w:rFonts w:ascii="Times New Roman" w:hAnsi="Times New Roman" w:cs="Times New Roman"/>
          <w:b/>
          <w:bCs/>
          <w:sz w:val="24"/>
          <w:szCs w:val="24"/>
          <w:lang w:val="en-US"/>
        </w:rPr>
      </w:pPr>
    </w:p>
    <w:p w14:paraId="49245CDB" w14:textId="77777777" w:rsidR="0003283E" w:rsidRDefault="0003283E" w:rsidP="0003283E">
      <w:pPr>
        <w:spacing w:line="480" w:lineRule="auto"/>
        <w:jc w:val="both"/>
        <w:rPr>
          <w:rFonts w:ascii="Times New Roman" w:hAnsi="Times New Roman" w:cs="Times New Roman"/>
          <w:b/>
          <w:bCs/>
          <w:sz w:val="24"/>
          <w:szCs w:val="24"/>
          <w:lang w:val="en-US"/>
        </w:rPr>
      </w:pPr>
    </w:p>
    <w:p w14:paraId="2976CDC8" w14:textId="77777777" w:rsidR="0003283E" w:rsidRDefault="0003283E" w:rsidP="0003283E">
      <w:pPr>
        <w:spacing w:line="480" w:lineRule="auto"/>
        <w:jc w:val="both"/>
        <w:rPr>
          <w:rFonts w:ascii="Times New Roman" w:hAnsi="Times New Roman" w:cs="Times New Roman"/>
          <w:b/>
          <w:bCs/>
          <w:sz w:val="24"/>
          <w:szCs w:val="24"/>
          <w:lang w:val="en-US"/>
        </w:rPr>
      </w:pPr>
    </w:p>
    <w:p w14:paraId="56D6E9D6" w14:textId="77777777" w:rsidR="0003283E" w:rsidRDefault="0003283E" w:rsidP="0003283E">
      <w:pPr>
        <w:spacing w:line="480" w:lineRule="auto"/>
        <w:jc w:val="both"/>
        <w:rPr>
          <w:rFonts w:ascii="Times New Roman" w:hAnsi="Times New Roman" w:cs="Times New Roman"/>
          <w:b/>
          <w:bCs/>
          <w:sz w:val="24"/>
          <w:szCs w:val="24"/>
          <w:lang w:val="en-US"/>
        </w:rPr>
      </w:pPr>
    </w:p>
    <w:p w14:paraId="55AE0614" w14:textId="77777777" w:rsidR="0003283E" w:rsidRDefault="0003283E" w:rsidP="0003283E">
      <w:pPr>
        <w:spacing w:line="480" w:lineRule="auto"/>
        <w:jc w:val="both"/>
        <w:rPr>
          <w:rFonts w:ascii="Times New Roman" w:hAnsi="Times New Roman" w:cs="Times New Roman"/>
          <w:b/>
          <w:bCs/>
          <w:sz w:val="24"/>
          <w:szCs w:val="24"/>
          <w:lang w:val="en-US"/>
        </w:rPr>
      </w:pPr>
    </w:p>
    <w:p w14:paraId="13BED24A" w14:textId="77777777" w:rsidR="0003283E" w:rsidRDefault="0003283E" w:rsidP="0003283E">
      <w:pPr>
        <w:spacing w:line="480" w:lineRule="auto"/>
        <w:jc w:val="both"/>
        <w:rPr>
          <w:rFonts w:ascii="Times New Roman" w:hAnsi="Times New Roman" w:cs="Times New Roman"/>
          <w:b/>
          <w:bCs/>
          <w:sz w:val="24"/>
          <w:szCs w:val="24"/>
          <w:lang w:val="en-US"/>
        </w:rPr>
      </w:pPr>
    </w:p>
    <w:p w14:paraId="0D9FFC2E" w14:textId="77777777" w:rsidR="0003283E" w:rsidRDefault="0003283E" w:rsidP="0003283E">
      <w:pPr>
        <w:spacing w:line="480" w:lineRule="auto"/>
        <w:jc w:val="both"/>
        <w:rPr>
          <w:rFonts w:ascii="Times New Roman" w:hAnsi="Times New Roman" w:cs="Times New Roman"/>
          <w:b/>
          <w:bCs/>
          <w:sz w:val="24"/>
          <w:szCs w:val="24"/>
          <w:lang w:val="en-US"/>
        </w:rPr>
      </w:pPr>
    </w:p>
    <w:p w14:paraId="21FE5B2A" w14:textId="785310FE" w:rsidR="00096A59" w:rsidRDefault="00096A59" w:rsidP="0003283E">
      <w:pPr>
        <w:spacing w:line="48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Table of Content: </w:t>
      </w:r>
    </w:p>
    <w:p w14:paraId="4E722A4A" w14:textId="27E631C5" w:rsidR="00096A59" w:rsidRDefault="00096A59" w:rsidP="00096A59">
      <w:pPr>
        <w:pStyle w:val="ListParagraph"/>
        <w:numPr>
          <w:ilvl w:val="0"/>
          <w:numId w:val="1"/>
        </w:numPr>
        <w:spacing w:line="48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Topic</w:t>
      </w:r>
    </w:p>
    <w:p w14:paraId="3CE22878" w14:textId="37817B2E" w:rsidR="00096A59" w:rsidRPr="00096A59" w:rsidRDefault="00096A59" w:rsidP="00096A59">
      <w:pPr>
        <w:pStyle w:val="ListParagraph"/>
        <w:numPr>
          <w:ilvl w:val="0"/>
          <w:numId w:val="1"/>
        </w:numPr>
        <w:spacing w:line="480" w:lineRule="auto"/>
        <w:jc w:val="both"/>
        <w:rPr>
          <w:rFonts w:ascii="Times New Roman" w:hAnsi="Times New Roman" w:cs="Times New Roman"/>
          <w:b/>
          <w:bCs/>
          <w:sz w:val="24"/>
          <w:szCs w:val="24"/>
        </w:rPr>
      </w:pPr>
      <w:r w:rsidRPr="00096A59">
        <w:rPr>
          <w:rFonts w:ascii="Times New Roman" w:hAnsi="Times New Roman" w:cs="Times New Roman"/>
          <w:b/>
          <w:bCs/>
          <w:sz w:val="24"/>
          <w:szCs w:val="24"/>
        </w:rPr>
        <w:t>Literature Review of Selected Papers</w:t>
      </w:r>
    </w:p>
    <w:p w14:paraId="227BFFD6" w14:textId="77777777" w:rsidR="00096A59" w:rsidRPr="00096A59" w:rsidRDefault="00096A59" w:rsidP="00096A59">
      <w:pPr>
        <w:pStyle w:val="ListParagraph"/>
        <w:numPr>
          <w:ilvl w:val="0"/>
          <w:numId w:val="1"/>
        </w:numPr>
        <w:spacing w:line="480" w:lineRule="auto"/>
        <w:jc w:val="both"/>
        <w:rPr>
          <w:rFonts w:ascii="Times New Roman" w:hAnsi="Times New Roman" w:cs="Times New Roman"/>
          <w:b/>
          <w:bCs/>
          <w:sz w:val="24"/>
          <w:szCs w:val="24"/>
        </w:rPr>
      </w:pPr>
      <w:r w:rsidRPr="00096A59">
        <w:rPr>
          <w:rFonts w:ascii="Times New Roman" w:hAnsi="Times New Roman" w:cs="Times New Roman"/>
          <w:b/>
          <w:bCs/>
          <w:sz w:val="24"/>
          <w:szCs w:val="24"/>
        </w:rPr>
        <w:t>Synthesis and Discussion</w:t>
      </w:r>
    </w:p>
    <w:p w14:paraId="5919E156" w14:textId="77777777" w:rsidR="00096A59" w:rsidRPr="00096A59" w:rsidRDefault="00096A59" w:rsidP="00096A59">
      <w:pPr>
        <w:pStyle w:val="ListParagraph"/>
        <w:numPr>
          <w:ilvl w:val="0"/>
          <w:numId w:val="1"/>
        </w:numPr>
        <w:spacing w:line="480" w:lineRule="auto"/>
        <w:jc w:val="both"/>
        <w:rPr>
          <w:rFonts w:ascii="Times New Roman" w:hAnsi="Times New Roman" w:cs="Times New Roman"/>
          <w:b/>
          <w:bCs/>
          <w:sz w:val="24"/>
          <w:szCs w:val="24"/>
        </w:rPr>
      </w:pPr>
      <w:r w:rsidRPr="00096A59">
        <w:rPr>
          <w:rFonts w:ascii="Times New Roman" w:hAnsi="Times New Roman" w:cs="Times New Roman"/>
          <w:b/>
          <w:bCs/>
          <w:sz w:val="24"/>
          <w:szCs w:val="24"/>
          <w:lang w:val="en-US"/>
        </w:rPr>
        <w:t xml:space="preserve">Summary table of the reviewed paper </w:t>
      </w:r>
    </w:p>
    <w:p w14:paraId="5DC7A893" w14:textId="77777777" w:rsidR="00096A59" w:rsidRPr="00096A59" w:rsidRDefault="00096A59" w:rsidP="00096A59">
      <w:pPr>
        <w:pStyle w:val="ListParagraph"/>
        <w:numPr>
          <w:ilvl w:val="0"/>
          <w:numId w:val="1"/>
        </w:numPr>
        <w:spacing w:line="480" w:lineRule="auto"/>
        <w:jc w:val="both"/>
        <w:rPr>
          <w:rFonts w:ascii="Times New Roman" w:hAnsi="Times New Roman" w:cs="Times New Roman"/>
          <w:b/>
          <w:bCs/>
          <w:sz w:val="24"/>
          <w:szCs w:val="24"/>
        </w:rPr>
      </w:pPr>
      <w:r w:rsidRPr="00096A59">
        <w:rPr>
          <w:rFonts w:ascii="Times New Roman" w:hAnsi="Times New Roman" w:cs="Times New Roman"/>
          <w:b/>
          <w:bCs/>
          <w:sz w:val="24"/>
          <w:szCs w:val="24"/>
        </w:rPr>
        <w:t>Conclusion</w:t>
      </w:r>
    </w:p>
    <w:p w14:paraId="19A4AC36" w14:textId="77777777" w:rsidR="00096A59" w:rsidRPr="00096A59" w:rsidRDefault="00096A59" w:rsidP="00096A59">
      <w:pPr>
        <w:pStyle w:val="ListParagraph"/>
        <w:numPr>
          <w:ilvl w:val="0"/>
          <w:numId w:val="1"/>
        </w:numPr>
        <w:spacing w:line="480" w:lineRule="auto"/>
        <w:jc w:val="both"/>
        <w:rPr>
          <w:rFonts w:ascii="Times New Roman" w:hAnsi="Times New Roman" w:cs="Times New Roman"/>
          <w:b/>
          <w:bCs/>
          <w:sz w:val="24"/>
          <w:szCs w:val="24"/>
          <w:lang w:val="en-US"/>
        </w:rPr>
      </w:pPr>
      <w:r w:rsidRPr="00096A59">
        <w:rPr>
          <w:rFonts w:ascii="Times New Roman" w:hAnsi="Times New Roman" w:cs="Times New Roman"/>
          <w:b/>
          <w:bCs/>
          <w:sz w:val="24"/>
          <w:szCs w:val="24"/>
          <w:lang w:val="en-US"/>
        </w:rPr>
        <w:t>References</w:t>
      </w:r>
    </w:p>
    <w:p w14:paraId="5C64FC5E" w14:textId="55357722" w:rsidR="00096A59" w:rsidRDefault="00096A59" w:rsidP="00096A59">
      <w:pPr>
        <w:pStyle w:val="ListParagraph"/>
        <w:spacing w:line="480" w:lineRule="auto"/>
        <w:jc w:val="both"/>
        <w:rPr>
          <w:rFonts w:ascii="Times New Roman" w:hAnsi="Times New Roman" w:cs="Times New Roman"/>
          <w:b/>
          <w:bCs/>
          <w:sz w:val="24"/>
          <w:szCs w:val="24"/>
          <w:lang w:val="en-US"/>
        </w:rPr>
      </w:pPr>
    </w:p>
    <w:p w14:paraId="45CD2648"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0FA3B1C3"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6620C0F8"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0B0742AA"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67989D3D"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5F90AD98"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31506869"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5B1E91F3"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16E26029"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766A1D21"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0B30FBBA"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389E1E4C"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1C0C9E0F" w14:textId="77777777" w:rsidR="00096A59" w:rsidRDefault="00096A59" w:rsidP="00096A59">
      <w:pPr>
        <w:pStyle w:val="ListParagraph"/>
        <w:spacing w:line="480" w:lineRule="auto"/>
        <w:jc w:val="both"/>
        <w:rPr>
          <w:rFonts w:ascii="Times New Roman" w:hAnsi="Times New Roman" w:cs="Times New Roman"/>
          <w:b/>
          <w:bCs/>
          <w:sz w:val="24"/>
          <w:szCs w:val="24"/>
          <w:lang w:val="en-US"/>
        </w:rPr>
      </w:pPr>
    </w:p>
    <w:p w14:paraId="6193BCB2" w14:textId="77777777" w:rsidR="00096A59" w:rsidRPr="00096A59" w:rsidRDefault="00096A59" w:rsidP="00096A59">
      <w:pPr>
        <w:pStyle w:val="ListParagraph"/>
        <w:spacing w:line="480" w:lineRule="auto"/>
        <w:jc w:val="both"/>
        <w:rPr>
          <w:rFonts w:ascii="Times New Roman" w:hAnsi="Times New Roman" w:cs="Times New Roman"/>
          <w:b/>
          <w:bCs/>
          <w:sz w:val="24"/>
          <w:szCs w:val="24"/>
          <w:lang w:val="en-US"/>
        </w:rPr>
      </w:pPr>
    </w:p>
    <w:p w14:paraId="4ABFE726" w14:textId="77777777" w:rsidR="00096A59" w:rsidRDefault="00096A59" w:rsidP="0003283E">
      <w:pPr>
        <w:spacing w:line="480" w:lineRule="auto"/>
        <w:jc w:val="both"/>
        <w:rPr>
          <w:rFonts w:ascii="Times New Roman" w:hAnsi="Times New Roman" w:cs="Times New Roman"/>
          <w:b/>
          <w:bCs/>
          <w:sz w:val="24"/>
          <w:szCs w:val="24"/>
          <w:lang w:val="en-US"/>
        </w:rPr>
      </w:pPr>
    </w:p>
    <w:p w14:paraId="3C36395B" w14:textId="6DB709C2" w:rsidR="0003283E" w:rsidRPr="0003283E" w:rsidRDefault="001133F8" w:rsidP="00096A59">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lang w:val="en-US"/>
        </w:rPr>
        <w:lastRenderedPageBreak/>
        <w:t>Topic:</w:t>
      </w:r>
      <w:r w:rsidRPr="0003283E">
        <w:rPr>
          <w:rFonts w:ascii="Times New Roman" w:hAnsi="Times New Roman" w:cs="Times New Roman"/>
          <w:sz w:val="24"/>
          <w:szCs w:val="24"/>
        </w:rPr>
        <w:t xml:space="preserve"> </w:t>
      </w:r>
      <w:r w:rsidRPr="0003283E">
        <w:rPr>
          <w:rFonts w:ascii="Times New Roman" w:hAnsi="Times New Roman" w:cs="Times New Roman"/>
          <w:b/>
          <w:bCs/>
          <w:sz w:val="24"/>
          <w:szCs w:val="24"/>
        </w:rPr>
        <w:t>How Health Information Systems Promote Equitable Access to Appointments for Both New and Existing Patients.</w:t>
      </w:r>
    </w:p>
    <w:p w14:paraId="3EF438EC" w14:textId="26984FB2" w:rsidR="0003283E" w:rsidRPr="0003283E" w:rsidRDefault="001133F8" w:rsidP="0003283E">
      <w:pPr>
        <w:spacing w:line="480" w:lineRule="auto"/>
        <w:jc w:val="both"/>
        <w:rPr>
          <w:rFonts w:ascii="Times New Roman" w:hAnsi="Times New Roman" w:cs="Times New Roman"/>
          <w:b/>
          <w:bCs/>
          <w:sz w:val="24"/>
          <w:szCs w:val="24"/>
          <w:lang w:val="en-US"/>
        </w:rPr>
      </w:pPr>
      <w:r w:rsidRPr="0003283E">
        <w:rPr>
          <w:rFonts w:ascii="Times New Roman" w:hAnsi="Times New Roman" w:cs="Times New Roman"/>
          <w:b/>
          <w:bCs/>
          <w:sz w:val="24"/>
          <w:szCs w:val="24"/>
          <w:lang w:val="en-US"/>
        </w:rPr>
        <w:t xml:space="preserve">Introduction </w:t>
      </w:r>
    </w:p>
    <w:p w14:paraId="6946DDF1" w14:textId="65BF4C34" w:rsidR="00AF1C89"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Revolutionary changes in the health sector have come with some advanced digital tools under HIS to promote improved management of patient data, appointment scheduling, communication, and follow-up care</w:t>
      </w:r>
      <w:r w:rsidR="001D225F" w:rsidRPr="001D225F">
        <w:t xml:space="preserve"> </w:t>
      </w:r>
      <w:r w:rsidR="001D225F" w:rsidRPr="001D225F">
        <w:rPr>
          <w:rFonts w:ascii="Times New Roman" w:hAnsi="Times New Roman" w:cs="Times New Roman"/>
          <w:sz w:val="24"/>
          <w:szCs w:val="24"/>
        </w:rPr>
        <w:t>(Socha-Dietrich, 2021)</w:t>
      </w:r>
      <w:r w:rsidRPr="0003283E">
        <w:rPr>
          <w:rFonts w:ascii="Times New Roman" w:hAnsi="Times New Roman" w:cs="Times New Roman"/>
          <w:sz w:val="24"/>
          <w:szCs w:val="24"/>
        </w:rPr>
        <w:t xml:space="preserve">. Such systems include Electronic Health Records (EHRs), AI-aided appointment scheduling systems, telehealth platforms, and other interoperable systems that permit data exchange among providers. The </w:t>
      </w:r>
      <w:r w:rsidR="001D225F" w:rsidRPr="0003283E">
        <w:rPr>
          <w:rFonts w:ascii="Times New Roman" w:hAnsi="Times New Roman" w:cs="Times New Roman"/>
          <w:sz w:val="24"/>
          <w:szCs w:val="24"/>
        </w:rPr>
        <w:t>implication</w:t>
      </w:r>
      <w:r w:rsidRPr="0003283E">
        <w:rPr>
          <w:rFonts w:ascii="Times New Roman" w:hAnsi="Times New Roman" w:cs="Times New Roman"/>
          <w:sz w:val="24"/>
          <w:szCs w:val="24"/>
        </w:rPr>
        <w:t xml:space="preserve"> of such systems remains the achievement of healthcare accessibility, quality, and efficiency</w:t>
      </w:r>
      <w:r w:rsidR="001D225F" w:rsidRPr="001D225F">
        <w:t xml:space="preserve"> </w:t>
      </w:r>
      <w:r w:rsidR="001D225F" w:rsidRPr="001D225F">
        <w:rPr>
          <w:rFonts w:ascii="Times New Roman" w:hAnsi="Times New Roman" w:cs="Times New Roman"/>
          <w:sz w:val="24"/>
          <w:szCs w:val="24"/>
        </w:rPr>
        <w:t>(Berwick et al., 2025)</w:t>
      </w:r>
      <w:r w:rsidRPr="0003283E">
        <w:rPr>
          <w:rFonts w:ascii="Times New Roman" w:hAnsi="Times New Roman" w:cs="Times New Roman"/>
          <w:sz w:val="24"/>
          <w:szCs w:val="24"/>
        </w:rPr>
        <w:t xml:space="preserve">. Intractable now is the challenge of guaranteeing equal opportunities for appointment slots for all new or existing patients. Benefits </w:t>
      </w:r>
      <w:r w:rsidR="001D225F" w:rsidRPr="0003283E">
        <w:rPr>
          <w:rFonts w:ascii="Times New Roman" w:hAnsi="Times New Roman" w:cs="Times New Roman"/>
          <w:sz w:val="24"/>
          <w:szCs w:val="24"/>
        </w:rPr>
        <w:t>aside</w:t>
      </w:r>
      <w:r w:rsidRPr="0003283E">
        <w:rPr>
          <w:rFonts w:ascii="Times New Roman" w:hAnsi="Times New Roman" w:cs="Times New Roman"/>
          <w:sz w:val="24"/>
          <w:szCs w:val="24"/>
        </w:rPr>
        <w:t>, HIS has not been devoid of its challenges, particularly for the preceding group and the digitally disadvantaged. This paper focuses on how he could help diminish access inequity, based on an analysis of six selected scholarly studies that discuss HIS and appointment access from differing perspectives.</w:t>
      </w:r>
    </w:p>
    <w:p w14:paraId="4DD07AFE" w14:textId="77777777" w:rsidR="00096A59" w:rsidRDefault="00096A59" w:rsidP="0003283E">
      <w:pPr>
        <w:spacing w:line="480" w:lineRule="auto"/>
        <w:jc w:val="both"/>
        <w:rPr>
          <w:rFonts w:ascii="Times New Roman" w:hAnsi="Times New Roman" w:cs="Times New Roman"/>
          <w:b/>
          <w:bCs/>
          <w:sz w:val="24"/>
          <w:szCs w:val="24"/>
        </w:rPr>
      </w:pPr>
    </w:p>
    <w:p w14:paraId="1704D411" w14:textId="77777777" w:rsidR="00096A59" w:rsidRDefault="00096A59" w:rsidP="0003283E">
      <w:pPr>
        <w:spacing w:line="480" w:lineRule="auto"/>
        <w:jc w:val="both"/>
        <w:rPr>
          <w:rFonts w:ascii="Times New Roman" w:hAnsi="Times New Roman" w:cs="Times New Roman"/>
          <w:b/>
          <w:bCs/>
          <w:sz w:val="24"/>
          <w:szCs w:val="24"/>
        </w:rPr>
      </w:pPr>
    </w:p>
    <w:p w14:paraId="05F5C5B3" w14:textId="77777777" w:rsidR="00096A59" w:rsidRDefault="00096A59" w:rsidP="0003283E">
      <w:pPr>
        <w:spacing w:line="480" w:lineRule="auto"/>
        <w:jc w:val="both"/>
        <w:rPr>
          <w:rFonts w:ascii="Times New Roman" w:hAnsi="Times New Roman" w:cs="Times New Roman"/>
          <w:b/>
          <w:bCs/>
          <w:sz w:val="24"/>
          <w:szCs w:val="24"/>
        </w:rPr>
      </w:pPr>
    </w:p>
    <w:p w14:paraId="7412E726" w14:textId="77777777" w:rsidR="00096A59" w:rsidRDefault="00096A59" w:rsidP="0003283E">
      <w:pPr>
        <w:spacing w:line="480" w:lineRule="auto"/>
        <w:jc w:val="both"/>
        <w:rPr>
          <w:rFonts w:ascii="Times New Roman" w:hAnsi="Times New Roman" w:cs="Times New Roman"/>
          <w:b/>
          <w:bCs/>
          <w:sz w:val="24"/>
          <w:szCs w:val="24"/>
        </w:rPr>
      </w:pPr>
    </w:p>
    <w:p w14:paraId="28136290" w14:textId="77777777" w:rsidR="00096A59" w:rsidRDefault="00096A59" w:rsidP="0003283E">
      <w:pPr>
        <w:spacing w:line="480" w:lineRule="auto"/>
        <w:jc w:val="both"/>
        <w:rPr>
          <w:rFonts w:ascii="Times New Roman" w:hAnsi="Times New Roman" w:cs="Times New Roman"/>
          <w:b/>
          <w:bCs/>
          <w:sz w:val="24"/>
          <w:szCs w:val="24"/>
        </w:rPr>
      </w:pPr>
    </w:p>
    <w:p w14:paraId="723C2E3B" w14:textId="77777777" w:rsidR="00096A59" w:rsidRDefault="00096A59" w:rsidP="0003283E">
      <w:pPr>
        <w:spacing w:line="480" w:lineRule="auto"/>
        <w:jc w:val="both"/>
        <w:rPr>
          <w:rFonts w:ascii="Times New Roman" w:hAnsi="Times New Roman" w:cs="Times New Roman"/>
          <w:b/>
          <w:bCs/>
          <w:sz w:val="24"/>
          <w:szCs w:val="24"/>
        </w:rPr>
      </w:pPr>
    </w:p>
    <w:p w14:paraId="22178DD2" w14:textId="77777777" w:rsidR="00096A59" w:rsidRDefault="00096A59" w:rsidP="0003283E">
      <w:pPr>
        <w:spacing w:line="480" w:lineRule="auto"/>
        <w:jc w:val="both"/>
        <w:rPr>
          <w:rFonts w:ascii="Times New Roman" w:hAnsi="Times New Roman" w:cs="Times New Roman"/>
          <w:b/>
          <w:bCs/>
          <w:sz w:val="24"/>
          <w:szCs w:val="24"/>
        </w:rPr>
      </w:pPr>
    </w:p>
    <w:p w14:paraId="6827EB95" w14:textId="77777777" w:rsidR="00096A59" w:rsidRDefault="00096A59" w:rsidP="0003283E">
      <w:pPr>
        <w:spacing w:line="480" w:lineRule="auto"/>
        <w:jc w:val="both"/>
        <w:rPr>
          <w:rFonts w:ascii="Times New Roman" w:hAnsi="Times New Roman" w:cs="Times New Roman"/>
          <w:b/>
          <w:bCs/>
          <w:sz w:val="24"/>
          <w:szCs w:val="24"/>
        </w:rPr>
      </w:pPr>
    </w:p>
    <w:p w14:paraId="7DD2D992" w14:textId="7CBB4636" w:rsidR="00A45E70" w:rsidRPr="0003283E" w:rsidRDefault="001133F8" w:rsidP="0003283E">
      <w:pPr>
        <w:spacing w:line="480" w:lineRule="auto"/>
        <w:jc w:val="both"/>
        <w:rPr>
          <w:rFonts w:ascii="Times New Roman" w:hAnsi="Times New Roman" w:cs="Times New Roman"/>
          <w:b/>
          <w:bCs/>
          <w:sz w:val="24"/>
          <w:szCs w:val="24"/>
        </w:rPr>
      </w:pPr>
      <w:r w:rsidRPr="0003283E">
        <w:rPr>
          <w:rFonts w:ascii="Times New Roman" w:hAnsi="Times New Roman" w:cs="Times New Roman"/>
          <w:b/>
          <w:bCs/>
          <w:sz w:val="24"/>
          <w:szCs w:val="24"/>
        </w:rPr>
        <w:lastRenderedPageBreak/>
        <w:t xml:space="preserve">Literature Review </w:t>
      </w:r>
      <w:r w:rsidR="00096A59">
        <w:rPr>
          <w:rFonts w:ascii="Times New Roman" w:hAnsi="Times New Roman" w:cs="Times New Roman"/>
          <w:b/>
          <w:bCs/>
          <w:sz w:val="24"/>
          <w:szCs w:val="24"/>
        </w:rPr>
        <w:t xml:space="preserve">of </w:t>
      </w:r>
      <w:r w:rsidRPr="0003283E">
        <w:rPr>
          <w:rFonts w:ascii="Times New Roman" w:hAnsi="Times New Roman" w:cs="Times New Roman"/>
          <w:b/>
          <w:bCs/>
          <w:sz w:val="24"/>
          <w:szCs w:val="24"/>
        </w:rPr>
        <w:t>Selected Papers</w:t>
      </w:r>
    </w:p>
    <w:p w14:paraId="1CF1B498" w14:textId="77777777" w:rsidR="00A45E70" w:rsidRPr="0003283E" w:rsidRDefault="001133F8" w:rsidP="0003283E">
      <w:pPr>
        <w:spacing w:line="480" w:lineRule="auto"/>
        <w:jc w:val="both"/>
        <w:rPr>
          <w:rFonts w:ascii="Times New Roman" w:hAnsi="Times New Roman" w:cs="Times New Roman"/>
          <w:b/>
          <w:bCs/>
          <w:sz w:val="24"/>
          <w:szCs w:val="24"/>
        </w:rPr>
      </w:pPr>
      <w:r w:rsidRPr="0003283E">
        <w:rPr>
          <w:rFonts w:ascii="Times New Roman" w:hAnsi="Times New Roman" w:cs="Times New Roman"/>
          <w:b/>
          <w:bCs/>
          <w:sz w:val="24"/>
          <w:szCs w:val="24"/>
        </w:rPr>
        <w:t>1. Health IT impact on scheduling and patient access efficiency</w:t>
      </w:r>
    </w:p>
    <w:p w14:paraId="2A36D767" w14:textId="43A2B5D1"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b/>
          <w:bCs/>
          <w:sz w:val="24"/>
          <w:szCs w:val="24"/>
        </w:rPr>
        <w:t>Summary</w:t>
      </w:r>
      <w:r w:rsidRPr="0003283E">
        <w:rPr>
          <w:rFonts w:ascii="Times New Roman" w:hAnsi="Times New Roman" w:cs="Times New Roman"/>
          <w:sz w:val="24"/>
          <w:szCs w:val="24"/>
        </w:rPr>
        <w:t>: The systematic review investigates the role of health IT: well-known forms such as online portals and self-scheduling tools- in appointment access and patient satisfaction. The resultant indication, which is valid across the board, is that such features significantly reduce waiting times with proven continuity of care for established patients. Also, automated reminders and seamless follow-ups enable a more streamlined patient flow and improved time utilization by healthcare providers</w:t>
      </w:r>
      <w:r w:rsidR="001D225F" w:rsidRPr="001D225F">
        <w:t xml:space="preserve"> </w:t>
      </w:r>
      <w:r w:rsidR="001D225F" w:rsidRPr="001D225F">
        <w:rPr>
          <w:rFonts w:ascii="Times New Roman" w:hAnsi="Times New Roman" w:cs="Times New Roman"/>
          <w:sz w:val="24"/>
          <w:szCs w:val="24"/>
        </w:rPr>
        <w:t>(Goldzweig et al., 2013)</w:t>
      </w:r>
      <w:r w:rsidRPr="0003283E">
        <w:rPr>
          <w:rFonts w:ascii="Times New Roman" w:hAnsi="Times New Roman" w:cs="Times New Roman"/>
          <w:sz w:val="24"/>
          <w:szCs w:val="24"/>
        </w:rPr>
        <w:t>.</w:t>
      </w:r>
    </w:p>
    <w:p w14:paraId="36C89392" w14:textId="290E2AFD"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b/>
          <w:bCs/>
          <w:sz w:val="24"/>
          <w:szCs w:val="24"/>
        </w:rPr>
        <w:t xml:space="preserve">Critical </w:t>
      </w:r>
      <w:r w:rsidRPr="0003283E">
        <w:rPr>
          <w:rFonts w:ascii="Times New Roman" w:hAnsi="Times New Roman" w:cs="Times New Roman"/>
          <w:b/>
          <w:bCs/>
          <w:sz w:val="24"/>
          <w:szCs w:val="24"/>
          <w:lang w:val="en-US"/>
        </w:rPr>
        <w:t>Analysis</w:t>
      </w:r>
      <w:r w:rsidRPr="0003283E">
        <w:rPr>
          <w:rFonts w:ascii="Times New Roman" w:hAnsi="Times New Roman" w:cs="Times New Roman"/>
          <w:sz w:val="24"/>
          <w:szCs w:val="24"/>
        </w:rPr>
        <w:t>: This meticulous review is the most encompassing as it derives data from a number of healthcare systems. It has a limitation, however, of being too US-centric to be exported elsewhere. Also while proven for efficiency gains, it is scantily concerned with the effects on underserved populations or addressing equity issues.</w:t>
      </w:r>
    </w:p>
    <w:p w14:paraId="496DBD97" w14:textId="77777777" w:rsidR="002E556A" w:rsidRDefault="001133F8" w:rsidP="0003283E">
      <w:pPr>
        <w:spacing w:line="480" w:lineRule="auto"/>
        <w:jc w:val="both"/>
        <w:rPr>
          <w:rFonts w:ascii="Times New Roman" w:hAnsi="Times New Roman" w:cs="Times New Roman"/>
          <w:b/>
          <w:bCs/>
          <w:sz w:val="24"/>
          <w:szCs w:val="24"/>
        </w:rPr>
      </w:pPr>
      <w:r w:rsidRPr="0003283E">
        <w:rPr>
          <w:rFonts w:ascii="Times New Roman" w:hAnsi="Times New Roman" w:cs="Times New Roman"/>
          <w:b/>
          <w:bCs/>
          <w:sz w:val="24"/>
          <w:szCs w:val="24"/>
        </w:rPr>
        <w:t>2. Electronic Health Records and Appointment Management in Primary Care</w:t>
      </w:r>
    </w:p>
    <w:p w14:paraId="2CE7A2EC" w14:textId="7D5F6D66" w:rsidR="00A45E70" w:rsidRPr="0003283E" w:rsidRDefault="001133F8" w:rsidP="00096A59">
      <w:pPr>
        <w:spacing w:line="480" w:lineRule="auto"/>
        <w:jc w:val="both"/>
        <w:rPr>
          <w:rFonts w:ascii="Times New Roman" w:hAnsi="Times New Roman" w:cs="Times New Roman"/>
          <w:sz w:val="24"/>
          <w:szCs w:val="24"/>
        </w:rPr>
      </w:pPr>
      <w:r w:rsidRPr="0003283E">
        <w:rPr>
          <w:rFonts w:ascii="Times New Roman" w:hAnsi="Times New Roman" w:cs="Times New Roman"/>
          <w:b/>
          <w:bCs/>
          <w:sz w:val="24"/>
          <w:szCs w:val="24"/>
        </w:rPr>
        <w:t xml:space="preserve"> </w:t>
      </w:r>
      <w:r w:rsidRPr="002E556A">
        <w:rPr>
          <w:rFonts w:ascii="Times New Roman" w:hAnsi="Times New Roman" w:cs="Times New Roman"/>
          <w:b/>
          <w:bCs/>
          <w:sz w:val="24"/>
          <w:szCs w:val="24"/>
        </w:rPr>
        <w:t>Summary:</w:t>
      </w:r>
      <w:r w:rsidRPr="0003283E">
        <w:rPr>
          <w:rFonts w:ascii="Times New Roman" w:hAnsi="Times New Roman" w:cs="Times New Roman"/>
          <w:sz w:val="24"/>
          <w:szCs w:val="24"/>
        </w:rPr>
        <w:t xml:space="preserve"> This research looks into EHR-integrated appointment systems used in Australian primary care clinics. The findings suggest digital scheduling tools improved throughput and reduced errors in managing patient appointments. Nevertheless, some patients with low digital literacy were challenged in their use of these systems. In particular, the elderly and some in low socio-economic backgrounds had great difficulty in using these systems.</w:t>
      </w:r>
    </w:p>
    <w:p w14:paraId="2ED9AD26" w14:textId="393D6D6A"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b/>
          <w:bCs/>
          <w:sz w:val="24"/>
          <w:szCs w:val="24"/>
        </w:rPr>
        <w:t>Critical Analysis</w:t>
      </w:r>
      <w:r w:rsidRPr="0003283E">
        <w:rPr>
          <w:rFonts w:ascii="Times New Roman" w:hAnsi="Times New Roman" w:cs="Times New Roman"/>
          <w:sz w:val="24"/>
          <w:szCs w:val="24"/>
        </w:rPr>
        <w:t>: The mixed-methods design enriches the research by blending qualitative and quantitative data. The research poignantly illustrates the digital divide as a fundamental barrier to equitable access. However, the narrow confines of the study</w:t>
      </w:r>
      <w:r w:rsidRPr="0003283E">
        <w:rPr>
          <w:rFonts w:ascii="Times New Roman" w:hAnsi="Times New Roman" w:cs="Times New Roman"/>
          <w:sz w:val="24"/>
          <w:szCs w:val="24"/>
          <w:lang w:val="en-US"/>
        </w:rPr>
        <w:t xml:space="preserve"> </w:t>
      </w:r>
      <w:r w:rsidRPr="0003283E">
        <w:rPr>
          <w:rFonts w:ascii="Times New Roman" w:hAnsi="Times New Roman" w:cs="Times New Roman"/>
          <w:sz w:val="24"/>
          <w:szCs w:val="24"/>
        </w:rPr>
        <w:t>limited to a few clinics in Australia</w:t>
      </w:r>
      <w:r w:rsidRPr="0003283E">
        <w:rPr>
          <w:rFonts w:ascii="Times New Roman" w:hAnsi="Times New Roman" w:cs="Times New Roman"/>
          <w:sz w:val="24"/>
          <w:szCs w:val="24"/>
          <w:lang w:val="en-US"/>
        </w:rPr>
        <w:t xml:space="preserve"> </w:t>
      </w:r>
      <w:r w:rsidRPr="0003283E">
        <w:rPr>
          <w:rFonts w:ascii="Times New Roman" w:hAnsi="Times New Roman" w:cs="Times New Roman"/>
          <w:sz w:val="24"/>
          <w:szCs w:val="24"/>
        </w:rPr>
        <w:t>might render its findings inapplicable to more pluralistic or global healthcare environments. Yet, it foregrounds an essential point: equitable design must account for users' technological fluency.</w:t>
      </w:r>
    </w:p>
    <w:p w14:paraId="497482CB" w14:textId="77777777" w:rsidR="00A45E70" w:rsidRPr="0003283E" w:rsidRDefault="001133F8" w:rsidP="0003283E">
      <w:pPr>
        <w:spacing w:line="480" w:lineRule="auto"/>
        <w:jc w:val="both"/>
        <w:rPr>
          <w:rFonts w:ascii="Times New Roman" w:hAnsi="Times New Roman" w:cs="Times New Roman"/>
          <w:b/>
          <w:bCs/>
          <w:sz w:val="24"/>
          <w:szCs w:val="24"/>
        </w:rPr>
      </w:pPr>
      <w:r w:rsidRPr="0003283E">
        <w:rPr>
          <w:rFonts w:ascii="Times New Roman" w:hAnsi="Times New Roman" w:cs="Times New Roman"/>
          <w:b/>
          <w:bCs/>
          <w:sz w:val="24"/>
          <w:szCs w:val="24"/>
        </w:rPr>
        <w:lastRenderedPageBreak/>
        <w:t>3. Digital Divide in Accessing Telehealth Appointments: An Emerging Concern</w:t>
      </w:r>
    </w:p>
    <w:p w14:paraId="21A3B9B3" w14:textId="7C14C9E3"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 xml:space="preserve">Summary: This study reviews the degree of success that telehealth platforms have demonstrated in fighting for access to care during the period of COVID-19. Although telehealth has widened appointment opportunities for many, for older adults, rural groups, and others who simply have no internet or device, it has created obstacles. </w:t>
      </w:r>
    </w:p>
    <w:p w14:paraId="049B5966" w14:textId="26C6126F"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b/>
          <w:bCs/>
          <w:sz w:val="24"/>
          <w:szCs w:val="24"/>
        </w:rPr>
        <w:t>Critical Analysis:</w:t>
      </w:r>
      <w:r w:rsidRPr="0003283E">
        <w:rPr>
          <w:rFonts w:ascii="Times New Roman" w:hAnsi="Times New Roman" w:cs="Times New Roman"/>
          <w:sz w:val="24"/>
          <w:szCs w:val="24"/>
        </w:rPr>
        <w:t xml:space="preserve"> This paper gets a plus in the evidence stakes with strong correlational grounds. It demonstrates that, while telehealth applications can potentially increase access to care, they may also serve to worsen the disparity if they are not implemented from an equity perspective. A limitation of the study is its main focus on telehealth, ignoring the potential solutions of integrated HIS platforms to the very equity dilemma.</w:t>
      </w:r>
    </w:p>
    <w:p w14:paraId="6F0A9C0E" w14:textId="77777777"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b/>
          <w:bCs/>
          <w:sz w:val="24"/>
          <w:szCs w:val="24"/>
        </w:rPr>
        <w:t>4. Patient Portals and Appointment Self-Scheduling</w:t>
      </w:r>
      <w:r w:rsidRPr="0003283E">
        <w:rPr>
          <w:rFonts w:ascii="Times New Roman" w:hAnsi="Times New Roman" w:cs="Times New Roman"/>
          <w:sz w:val="24"/>
          <w:szCs w:val="24"/>
        </w:rPr>
        <w:t xml:space="preserve">: Usability and Demographics </w:t>
      </w:r>
    </w:p>
    <w:p w14:paraId="767E531A" w14:textId="2A49EB6B"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Summary: Insights into how patient demographics affect appointment self-scheduling tool use via the patient portal are provided in this study. Results conclude that younger and more tech-savvy patients are more likely to use such tools; whereas older and less-educated persons seemingly protect their appointment-booking traditions that delay action and limit access.</w:t>
      </w:r>
    </w:p>
    <w:p w14:paraId="17BDEF8A" w14:textId="6DCF63D9"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Critical Evaluation: The worth of this research lies in its isolating various demographic factors influencing the use of HIS tools. The findings are insightful; however, the study does not seek any remedial measures to fill the digital literacy gap. It upholds the argument that technology, without on-target training or support, may serve to exclude the very people who need easy access to the healthcare services provided.</w:t>
      </w:r>
    </w:p>
    <w:p w14:paraId="5A48D5CC" w14:textId="77777777" w:rsidR="00096A59" w:rsidRDefault="00096A59" w:rsidP="0003283E">
      <w:pPr>
        <w:spacing w:line="480" w:lineRule="auto"/>
        <w:jc w:val="both"/>
        <w:rPr>
          <w:rFonts w:ascii="Times New Roman" w:hAnsi="Times New Roman" w:cs="Times New Roman"/>
          <w:b/>
          <w:bCs/>
          <w:sz w:val="24"/>
          <w:szCs w:val="24"/>
        </w:rPr>
      </w:pPr>
    </w:p>
    <w:p w14:paraId="032ECB14" w14:textId="77777777" w:rsidR="00096A59" w:rsidRDefault="00096A59" w:rsidP="0003283E">
      <w:pPr>
        <w:spacing w:line="480" w:lineRule="auto"/>
        <w:jc w:val="both"/>
        <w:rPr>
          <w:rFonts w:ascii="Times New Roman" w:hAnsi="Times New Roman" w:cs="Times New Roman"/>
          <w:b/>
          <w:bCs/>
          <w:sz w:val="24"/>
          <w:szCs w:val="24"/>
        </w:rPr>
      </w:pPr>
    </w:p>
    <w:p w14:paraId="433ECAB5" w14:textId="77777777" w:rsidR="00096A59" w:rsidRDefault="00096A59" w:rsidP="0003283E">
      <w:pPr>
        <w:spacing w:line="480" w:lineRule="auto"/>
        <w:jc w:val="both"/>
        <w:rPr>
          <w:rFonts w:ascii="Times New Roman" w:hAnsi="Times New Roman" w:cs="Times New Roman"/>
          <w:b/>
          <w:bCs/>
          <w:sz w:val="24"/>
          <w:szCs w:val="24"/>
        </w:rPr>
      </w:pPr>
    </w:p>
    <w:p w14:paraId="53E0A359" w14:textId="353166BA" w:rsidR="00A45E70" w:rsidRPr="0003283E" w:rsidRDefault="001133F8" w:rsidP="0003283E">
      <w:pPr>
        <w:spacing w:line="480" w:lineRule="auto"/>
        <w:jc w:val="both"/>
        <w:rPr>
          <w:rFonts w:ascii="Times New Roman" w:hAnsi="Times New Roman" w:cs="Times New Roman"/>
          <w:b/>
          <w:bCs/>
          <w:sz w:val="24"/>
          <w:szCs w:val="24"/>
        </w:rPr>
      </w:pPr>
      <w:r w:rsidRPr="0003283E">
        <w:rPr>
          <w:rFonts w:ascii="Times New Roman" w:hAnsi="Times New Roman" w:cs="Times New Roman"/>
          <w:b/>
          <w:bCs/>
          <w:sz w:val="24"/>
          <w:szCs w:val="24"/>
        </w:rPr>
        <w:lastRenderedPageBreak/>
        <w:t>5. AI-Powered Scheduling Systems in Outpatient Clinics</w:t>
      </w:r>
    </w:p>
    <w:p w14:paraId="32957D6F" w14:textId="70D92DC7" w:rsidR="00A45E70" w:rsidRPr="0003283E" w:rsidRDefault="001133F8" w:rsidP="0003283E">
      <w:pPr>
        <w:spacing w:line="480" w:lineRule="auto"/>
        <w:jc w:val="both"/>
        <w:rPr>
          <w:rFonts w:ascii="Times New Roman" w:hAnsi="Times New Roman" w:cs="Times New Roman"/>
          <w:sz w:val="24"/>
          <w:szCs w:val="24"/>
        </w:rPr>
      </w:pPr>
      <w:r w:rsidRPr="002E556A">
        <w:rPr>
          <w:rFonts w:ascii="Times New Roman" w:hAnsi="Times New Roman" w:cs="Times New Roman"/>
          <w:b/>
          <w:bCs/>
          <w:sz w:val="24"/>
          <w:szCs w:val="24"/>
        </w:rPr>
        <w:t>Summary:</w:t>
      </w:r>
      <w:r w:rsidRPr="0003283E">
        <w:rPr>
          <w:rFonts w:ascii="Times New Roman" w:hAnsi="Times New Roman" w:cs="Times New Roman"/>
          <w:sz w:val="24"/>
          <w:szCs w:val="24"/>
        </w:rPr>
        <w:t xml:space="preserve"> This paper analyzes the implementation of AI-based scheduling systems designed to optimize appointment allocation by predicting no-shows and dynamically adjusting schedules. The outcome was a 20% improvement in clinic utilization and less waiting time for patients in all categories.</w:t>
      </w:r>
    </w:p>
    <w:p w14:paraId="48366123" w14:textId="56BE1730" w:rsidR="00A45E70" w:rsidRPr="0003283E" w:rsidRDefault="001133F8" w:rsidP="0003283E">
      <w:pPr>
        <w:spacing w:line="480" w:lineRule="auto"/>
        <w:jc w:val="both"/>
        <w:rPr>
          <w:rFonts w:ascii="Times New Roman" w:hAnsi="Times New Roman" w:cs="Times New Roman"/>
          <w:sz w:val="24"/>
          <w:szCs w:val="24"/>
        </w:rPr>
      </w:pPr>
      <w:r w:rsidRPr="002E556A">
        <w:rPr>
          <w:rFonts w:ascii="Times New Roman" w:hAnsi="Times New Roman" w:cs="Times New Roman"/>
          <w:b/>
          <w:bCs/>
          <w:sz w:val="24"/>
          <w:szCs w:val="24"/>
        </w:rPr>
        <w:t>Critical Assessment:</w:t>
      </w:r>
      <w:r w:rsidRPr="0003283E">
        <w:rPr>
          <w:rFonts w:ascii="Times New Roman" w:hAnsi="Times New Roman" w:cs="Times New Roman"/>
          <w:sz w:val="24"/>
          <w:szCs w:val="24"/>
        </w:rPr>
        <w:t xml:space="preserve"> AI appears to be a boon in any case of improving access and reducing time delays. Its use could have gone a long way toward optimizing system performance, yet the study is primarily silent on the effects these technologies have on different patient populations. Justice was not given prominence in the implementation, thereby eliciting doubts as to whether marginalized groups receive equal benefits from the gains in productivity.</w:t>
      </w:r>
    </w:p>
    <w:p w14:paraId="00326741" w14:textId="029E7C16"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b/>
          <w:bCs/>
          <w:sz w:val="24"/>
          <w:szCs w:val="24"/>
          <w:lang w:val="en-US"/>
        </w:rPr>
        <w:t>6.</w:t>
      </w:r>
      <w:r w:rsidRPr="0003283E">
        <w:rPr>
          <w:rFonts w:ascii="Times New Roman" w:hAnsi="Times New Roman" w:cs="Times New Roman"/>
          <w:b/>
          <w:bCs/>
          <w:sz w:val="24"/>
          <w:szCs w:val="24"/>
        </w:rPr>
        <w:t xml:space="preserve"> Health Information Systems in Low-Income Communities:</w:t>
      </w:r>
      <w:r w:rsidRPr="0003283E">
        <w:rPr>
          <w:rFonts w:ascii="Times New Roman" w:hAnsi="Times New Roman" w:cs="Times New Roman"/>
          <w:sz w:val="24"/>
          <w:szCs w:val="24"/>
        </w:rPr>
        <w:t xml:space="preserve"> A Case for Equity</w:t>
      </w:r>
    </w:p>
    <w:p w14:paraId="3FE9B298" w14:textId="150B0327" w:rsidR="00A45E70" w:rsidRPr="0003283E" w:rsidRDefault="001133F8" w:rsidP="0003283E">
      <w:pPr>
        <w:spacing w:line="480" w:lineRule="auto"/>
        <w:jc w:val="both"/>
        <w:rPr>
          <w:rFonts w:ascii="Times New Roman" w:hAnsi="Times New Roman" w:cs="Times New Roman"/>
          <w:sz w:val="24"/>
          <w:szCs w:val="24"/>
        </w:rPr>
      </w:pPr>
      <w:r w:rsidRPr="00096A59">
        <w:rPr>
          <w:rFonts w:ascii="Times New Roman" w:hAnsi="Times New Roman" w:cs="Times New Roman"/>
          <w:b/>
          <w:bCs/>
          <w:sz w:val="24"/>
          <w:szCs w:val="24"/>
        </w:rPr>
        <w:t>Summary:</w:t>
      </w:r>
      <w:r w:rsidRPr="0003283E">
        <w:rPr>
          <w:rFonts w:ascii="Times New Roman" w:hAnsi="Times New Roman" w:cs="Times New Roman"/>
          <w:sz w:val="24"/>
          <w:szCs w:val="24"/>
        </w:rPr>
        <w:t xml:space="preserve"> This analysis delves into HIS deployment at community health centers for low-income populations. With findings such as the creation of multilingual portals and staff-assisted scheduling, the HIS solutions were able to address disparities in access and therefore attract many new patients that were not previously brought into the system.</w:t>
      </w:r>
    </w:p>
    <w:p w14:paraId="558C7BDB" w14:textId="6284BA9F" w:rsidR="00A45E70" w:rsidRPr="0003283E" w:rsidRDefault="001133F8" w:rsidP="0003283E">
      <w:pPr>
        <w:spacing w:line="480" w:lineRule="auto"/>
        <w:jc w:val="both"/>
        <w:rPr>
          <w:rFonts w:ascii="Times New Roman" w:hAnsi="Times New Roman" w:cs="Times New Roman"/>
          <w:sz w:val="24"/>
          <w:szCs w:val="24"/>
        </w:rPr>
      </w:pPr>
      <w:r w:rsidRPr="003C6D26">
        <w:rPr>
          <w:rFonts w:ascii="Times New Roman" w:hAnsi="Times New Roman" w:cs="Times New Roman"/>
          <w:b/>
          <w:bCs/>
          <w:sz w:val="24"/>
          <w:szCs w:val="24"/>
        </w:rPr>
        <w:t>Critical Analysis:</w:t>
      </w:r>
      <w:r w:rsidRPr="0003283E">
        <w:rPr>
          <w:rFonts w:ascii="Times New Roman" w:hAnsi="Times New Roman" w:cs="Times New Roman"/>
          <w:sz w:val="24"/>
          <w:szCs w:val="24"/>
        </w:rPr>
        <w:t xml:space="preserve"> This paper attends to equity issues directly and offers practical lessons regarding HIS design for inclusiveness. Systems are able to close gaps for especially vulnerable populations when being tailored to their specific needs. Continued scaling of such solutions is a challenge, however, because many healthcare settings do not resource such tailored solutions.</w:t>
      </w:r>
    </w:p>
    <w:p w14:paraId="6D2BCCAC" w14:textId="77777777" w:rsidR="003C6D26" w:rsidRDefault="003C6D26" w:rsidP="0003283E">
      <w:pPr>
        <w:spacing w:line="480" w:lineRule="auto"/>
        <w:jc w:val="both"/>
        <w:rPr>
          <w:rFonts w:ascii="Times New Roman" w:hAnsi="Times New Roman" w:cs="Times New Roman"/>
          <w:b/>
          <w:bCs/>
          <w:sz w:val="24"/>
          <w:szCs w:val="24"/>
        </w:rPr>
      </w:pPr>
    </w:p>
    <w:p w14:paraId="79727956" w14:textId="77777777" w:rsidR="003C6D26" w:rsidRDefault="003C6D26" w:rsidP="0003283E">
      <w:pPr>
        <w:spacing w:line="480" w:lineRule="auto"/>
        <w:jc w:val="both"/>
        <w:rPr>
          <w:rFonts w:ascii="Times New Roman" w:hAnsi="Times New Roman" w:cs="Times New Roman"/>
          <w:b/>
          <w:bCs/>
          <w:sz w:val="24"/>
          <w:szCs w:val="24"/>
        </w:rPr>
      </w:pPr>
    </w:p>
    <w:p w14:paraId="6E4E17AD" w14:textId="77777777" w:rsidR="003C6D26" w:rsidRDefault="003C6D26" w:rsidP="0003283E">
      <w:pPr>
        <w:spacing w:line="480" w:lineRule="auto"/>
        <w:jc w:val="both"/>
        <w:rPr>
          <w:rFonts w:ascii="Times New Roman" w:hAnsi="Times New Roman" w:cs="Times New Roman"/>
          <w:b/>
          <w:bCs/>
          <w:sz w:val="24"/>
          <w:szCs w:val="24"/>
        </w:rPr>
      </w:pPr>
    </w:p>
    <w:p w14:paraId="28AF2370" w14:textId="77777777" w:rsidR="003C6D26" w:rsidRDefault="003C6D26" w:rsidP="0003283E">
      <w:pPr>
        <w:spacing w:line="480" w:lineRule="auto"/>
        <w:jc w:val="both"/>
        <w:rPr>
          <w:rFonts w:ascii="Times New Roman" w:hAnsi="Times New Roman" w:cs="Times New Roman"/>
          <w:b/>
          <w:bCs/>
          <w:sz w:val="24"/>
          <w:szCs w:val="24"/>
        </w:rPr>
      </w:pPr>
    </w:p>
    <w:p w14:paraId="0A8FACA1" w14:textId="44EF3ACA" w:rsidR="00A45E70" w:rsidRPr="0003283E" w:rsidRDefault="001133F8" w:rsidP="0003283E">
      <w:pPr>
        <w:spacing w:line="480" w:lineRule="auto"/>
        <w:jc w:val="both"/>
        <w:rPr>
          <w:rFonts w:ascii="Times New Roman" w:hAnsi="Times New Roman" w:cs="Times New Roman"/>
          <w:b/>
          <w:bCs/>
          <w:sz w:val="24"/>
          <w:szCs w:val="24"/>
        </w:rPr>
      </w:pPr>
      <w:r w:rsidRPr="0003283E">
        <w:rPr>
          <w:rFonts w:ascii="Times New Roman" w:hAnsi="Times New Roman" w:cs="Times New Roman"/>
          <w:b/>
          <w:bCs/>
          <w:sz w:val="24"/>
          <w:szCs w:val="24"/>
        </w:rPr>
        <w:lastRenderedPageBreak/>
        <w:t>Synthesis and Discussion</w:t>
      </w:r>
    </w:p>
    <w:p w14:paraId="2229CBD3" w14:textId="71E23DD2"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Together, these six papers give a fairly balanced view of how he affects appointment access in healthcare. The recurring theme is that scheduling has become easier and has lessened the strain on operational workflows. Goldzweig et al. (2019) and Mehta &amp; Tan (2023) are the ones who highlight automation- and AI-based scheduling systems taking some burden off administrative work and better time management.</w:t>
      </w:r>
    </w:p>
    <w:p w14:paraId="3274003D" w14:textId="26BE6981"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 xml:space="preserve">Equity is a different story altogether. From Kruse et al. (2021) and Nguyen &amp; Bellucci (2020), the critics point out the ever-present digital divide: Not all patient populations are benefiting. An individual's socioeconomic status, geographic location, and technical literacy are the primary determinants of a person's ability to interface with HIS tools. </w:t>
      </w:r>
    </w:p>
    <w:p w14:paraId="18F8533C" w14:textId="0F6A97D4" w:rsidR="00A45E70"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On the other hand, Lockett et al. (2022) and Arcury et al. (2018) suggest ways to close some gaps by showing that interoperability and patient-centered scheduling may help work against some of these barriers. These features support improved coordination between referrals and customized management of appointments for vulnerable populations, such as rural patients or those with chronic care conditions.</w:t>
      </w:r>
    </w:p>
    <w:p w14:paraId="06BCE868" w14:textId="77777777" w:rsid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The findings here indicate two things: first, that technology does enhance access, but more importantly, equity is thoughtful implementation. HIS tools must be adapted to the needs of all users, not just those with limited digital skills. Training programs, backup booking methods (such as phone or in-person), and community outreach can complement technology to make systems even more inclusive.</w:t>
      </w:r>
    </w:p>
    <w:p w14:paraId="008865C2" w14:textId="77777777" w:rsidR="0003283E" w:rsidRDefault="0003283E" w:rsidP="0003283E">
      <w:pPr>
        <w:spacing w:line="480" w:lineRule="auto"/>
        <w:jc w:val="both"/>
        <w:rPr>
          <w:rFonts w:ascii="Times New Roman" w:hAnsi="Times New Roman" w:cs="Times New Roman"/>
          <w:sz w:val="24"/>
          <w:szCs w:val="24"/>
        </w:rPr>
      </w:pPr>
    </w:p>
    <w:p w14:paraId="22C61D07" w14:textId="77777777" w:rsidR="0003283E" w:rsidRDefault="0003283E" w:rsidP="0003283E">
      <w:pPr>
        <w:spacing w:line="480" w:lineRule="auto"/>
        <w:jc w:val="both"/>
        <w:rPr>
          <w:rFonts w:ascii="Times New Roman" w:hAnsi="Times New Roman" w:cs="Times New Roman"/>
          <w:sz w:val="24"/>
          <w:szCs w:val="24"/>
        </w:rPr>
      </w:pPr>
    </w:p>
    <w:p w14:paraId="5A998CE7" w14:textId="77777777" w:rsidR="00096A59" w:rsidRDefault="00096A59" w:rsidP="0003283E">
      <w:pPr>
        <w:spacing w:line="480" w:lineRule="auto"/>
        <w:jc w:val="both"/>
        <w:rPr>
          <w:rFonts w:ascii="Times New Roman" w:hAnsi="Times New Roman" w:cs="Times New Roman"/>
          <w:sz w:val="24"/>
          <w:szCs w:val="24"/>
        </w:rPr>
      </w:pPr>
    </w:p>
    <w:p w14:paraId="5EFE7C36" w14:textId="30CB01DE" w:rsidR="0003283E" w:rsidRPr="00763846" w:rsidRDefault="001133F8" w:rsidP="0003283E">
      <w:pPr>
        <w:spacing w:line="480" w:lineRule="auto"/>
        <w:jc w:val="both"/>
        <w:rPr>
          <w:rFonts w:ascii="Times New Roman" w:hAnsi="Times New Roman" w:cs="Times New Roman"/>
          <w:b/>
          <w:bCs/>
          <w:sz w:val="24"/>
          <w:szCs w:val="24"/>
        </w:rPr>
      </w:pPr>
      <w:r w:rsidRPr="00763846">
        <w:rPr>
          <w:rFonts w:ascii="Times New Roman" w:hAnsi="Times New Roman" w:cs="Times New Roman"/>
          <w:b/>
          <w:bCs/>
          <w:sz w:val="24"/>
          <w:szCs w:val="24"/>
          <w:lang w:val="en-US"/>
        </w:rPr>
        <w:lastRenderedPageBreak/>
        <w:t xml:space="preserve">Summary table of the reviewed paper </w:t>
      </w:r>
    </w:p>
    <w:tbl>
      <w:tblPr>
        <w:tblStyle w:val="GridTable4-Accent5"/>
        <w:tblW w:w="9360" w:type="dxa"/>
        <w:tblLook w:val="04A0" w:firstRow="1" w:lastRow="0" w:firstColumn="1" w:lastColumn="0" w:noHBand="0" w:noVBand="1"/>
      </w:tblPr>
      <w:tblGrid>
        <w:gridCol w:w="724"/>
        <w:gridCol w:w="1396"/>
        <w:gridCol w:w="1802"/>
        <w:gridCol w:w="3059"/>
        <w:gridCol w:w="2379"/>
      </w:tblGrid>
      <w:tr w:rsidR="006A4E8C" w:rsidRPr="006A4E8C" w14:paraId="7285EA78" w14:textId="77777777" w:rsidTr="006A4E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AF9C4E" w14:textId="77777777" w:rsidR="006A4E8C" w:rsidRPr="006A4E8C" w:rsidRDefault="006A4E8C" w:rsidP="006A4E8C">
            <w:pPr>
              <w:jc w:val="center"/>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Year</w:t>
            </w:r>
          </w:p>
        </w:tc>
        <w:tc>
          <w:tcPr>
            <w:tcW w:w="0" w:type="auto"/>
            <w:hideMark/>
          </w:tcPr>
          <w:p w14:paraId="290C4876" w14:textId="77777777" w:rsidR="006A4E8C" w:rsidRPr="006A4E8C" w:rsidRDefault="006A4E8C" w:rsidP="006A4E8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Authors</w:t>
            </w:r>
          </w:p>
        </w:tc>
        <w:tc>
          <w:tcPr>
            <w:tcW w:w="0" w:type="auto"/>
            <w:hideMark/>
          </w:tcPr>
          <w:p w14:paraId="57448E76" w14:textId="77777777" w:rsidR="006A4E8C" w:rsidRPr="006A4E8C" w:rsidRDefault="006A4E8C" w:rsidP="006A4E8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Methodology</w:t>
            </w:r>
          </w:p>
        </w:tc>
        <w:tc>
          <w:tcPr>
            <w:tcW w:w="0" w:type="auto"/>
            <w:hideMark/>
          </w:tcPr>
          <w:p w14:paraId="7C1A3C86" w14:textId="77777777" w:rsidR="006A4E8C" w:rsidRPr="006A4E8C" w:rsidRDefault="006A4E8C" w:rsidP="006A4E8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Key Findings</w:t>
            </w:r>
          </w:p>
        </w:tc>
        <w:tc>
          <w:tcPr>
            <w:tcW w:w="0" w:type="auto"/>
            <w:hideMark/>
          </w:tcPr>
          <w:p w14:paraId="1590E3F5" w14:textId="77777777" w:rsidR="006A4E8C" w:rsidRPr="006A4E8C" w:rsidRDefault="006A4E8C" w:rsidP="006A4E8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Limitations</w:t>
            </w:r>
          </w:p>
        </w:tc>
      </w:tr>
      <w:tr w:rsidR="006A4E8C" w:rsidRPr="006A4E8C" w14:paraId="6689924F" w14:textId="77777777" w:rsidTr="006A4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80EDD7" w14:textId="77777777" w:rsidR="006A4E8C" w:rsidRPr="006A4E8C" w:rsidRDefault="006A4E8C" w:rsidP="006A4E8C">
            <w:pPr>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2013</w:t>
            </w:r>
          </w:p>
        </w:tc>
        <w:tc>
          <w:tcPr>
            <w:tcW w:w="0" w:type="auto"/>
            <w:hideMark/>
          </w:tcPr>
          <w:p w14:paraId="6B31087A"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Goldzweig et al.</w:t>
            </w:r>
          </w:p>
        </w:tc>
        <w:tc>
          <w:tcPr>
            <w:tcW w:w="0" w:type="auto"/>
            <w:hideMark/>
          </w:tcPr>
          <w:p w14:paraId="531F1313"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Systematic Review</w:t>
            </w:r>
          </w:p>
        </w:tc>
        <w:tc>
          <w:tcPr>
            <w:tcW w:w="0" w:type="auto"/>
            <w:hideMark/>
          </w:tcPr>
          <w:p w14:paraId="6A2BA953"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Health IT tools such as self-scheduling and portals improve efficiency and reduce wait times for established patients.</w:t>
            </w:r>
          </w:p>
        </w:tc>
        <w:tc>
          <w:tcPr>
            <w:tcW w:w="0" w:type="auto"/>
            <w:hideMark/>
          </w:tcPr>
          <w:p w14:paraId="280BC4CC"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U.S.-centric; lacks focus on equity for underserved populations.</w:t>
            </w:r>
          </w:p>
        </w:tc>
      </w:tr>
      <w:tr w:rsidR="006A4E8C" w:rsidRPr="006A4E8C" w14:paraId="3DB77ADE" w14:textId="77777777" w:rsidTr="006A4E8C">
        <w:tc>
          <w:tcPr>
            <w:cnfStyle w:val="001000000000" w:firstRow="0" w:lastRow="0" w:firstColumn="1" w:lastColumn="0" w:oddVBand="0" w:evenVBand="0" w:oddHBand="0" w:evenHBand="0" w:firstRowFirstColumn="0" w:firstRowLastColumn="0" w:lastRowFirstColumn="0" w:lastRowLastColumn="0"/>
            <w:tcW w:w="0" w:type="auto"/>
            <w:hideMark/>
          </w:tcPr>
          <w:p w14:paraId="46BED67D" w14:textId="77777777" w:rsidR="006A4E8C" w:rsidRPr="006A4E8C" w:rsidRDefault="006A4E8C" w:rsidP="006A4E8C">
            <w:pPr>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2020</w:t>
            </w:r>
          </w:p>
        </w:tc>
        <w:tc>
          <w:tcPr>
            <w:tcW w:w="0" w:type="auto"/>
            <w:hideMark/>
          </w:tcPr>
          <w:p w14:paraId="22374191"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Nguyen &amp; Bellucci</w:t>
            </w:r>
          </w:p>
        </w:tc>
        <w:tc>
          <w:tcPr>
            <w:tcW w:w="0" w:type="auto"/>
            <w:hideMark/>
          </w:tcPr>
          <w:p w14:paraId="3CDB2E71"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Mixed Methods</w:t>
            </w:r>
          </w:p>
        </w:tc>
        <w:tc>
          <w:tcPr>
            <w:tcW w:w="0" w:type="auto"/>
            <w:hideMark/>
          </w:tcPr>
          <w:p w14:paraId="3F918BED"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EHR-integrated scheduling improves accuracy and throughput but excludes digitally illiterate patients.</w:t>
            </w:r>
          </w:p>
        </w:tc>
        <w:tc>
          <w:tcPr>
            <w:tcW w:w="0" w:type="auto"/>
            <w:hideMark/>
          </w:tcPr>
          <w:p w14:paraId="4DB1EBFF"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Small sample size; limited to Australian context.</w:t>
            </w:r>
          </w:p>
        </w:tc>
      </w:tr>
      <w:tr w:rsidR="006A4E8C" w:rsidRPr="006A4E8C" w14:paraId="740422A2" w14:textId="77777777" w:rsidTr="006A4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F15956" w14:textId="77777777" w:rsidR="006A4E8C" w:rsidRPr="006A4E8C" w:rsidRDefault="006A4E8C" w:rsidP="006A4E8C">
            <w:pPr>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2021</w:t>
            </w:r>
          </w:p>
        </w:tc>
        <w:tc>
          <w:tcPr>
            <w:tcW w:w="0" w:type="auto"/>
            <w:hideMark/>
          </w:tcPr>
          <w:p w14:paraId="3FFD050B"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Kruse et al.</w:t>
            </w:r>
          </w:p>
        </w:tc>
        <w:tc>
          <w:tcPr>
            <w:tcW w:w="0" w:type="auto"/>
            <w:hideMark/>
          </w:tcPr>
          <w:p w14:paraId="68B757CD"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Quantitative (Cross-sectional)</w:t>
            </w:r>
          </w:p>
        </w:tc>
        <w:tc>
          <w:tcPr>
            <w:tcW w:w="0" w:type="auto"/>
            <w:hideMark/>
          </w:tcPr>
          <w:p w14:paraId="5CB04763"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Telehealth expands access but worsens disparities for the elderly, rural, and digitally excluded groups.</w:t>
            </w:r>
          </w:p>
        </w:tc>
        <w:tc>
          <w:tcPr>
            <w:tcW w:w="0" w:type="auto"/>
            <w:hideMark/>
          </w:tcPr>
          <w:p w14:paraId="71AF7ABA"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Focus limited to telehealth; broader HIS solutions not explored.</w:t>
            </w:r>
          </w:p>
        </w:tc>
      </w:tr>
      <w:tr w:rsidR="006A4E8C" w:rsidRPr="006A4E8C" w14:paraId="40A45BF1" w14:textId="77777777" w:rsidTr="006A4E8C">
        <w:tc>
          <w:tcPr>
            <w:cnfStyle w:val="001000000000" w:firstRow="0" w:lastRow="0" w:firstColumn="1" w:lastColumn="0" w:oddVBand="0" w:evenVBand="0" w:oddHBand="0" w:evenHBand="0" w:firstRowFirstColumn="0" w:firstRowLastColumn="0" w:lastRowFirstColumn="0" w:lastRowLastColumn="0"/>
            <w:tcW w:w="0" w:type="auto"/>
            <w:hideMark/>
          </w:tcPr>
          <w:p w14:paraId="5DB1A4CC" w14:textId="77777777" w:rsidR="006A4E8C" w:rsidRPr="006A4E8C" w:rsidRDefault="006A4E8C" w:rsidP="006A4E8C">
            <w:pPr>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2018</w:t>
            </w:r>
          </w:p>
        </w:tc>
        <w:tc>
          <w:tcPr>
            <w:tcW w:w="0" w:type="auto"/>
            <w:hideMark/>
          </w:tcPr>
          <w:p w14:paraId="030C215F"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Reed et al.</w:t>
            </w:r>
          </w:p>
        </w:tc>
        <w:tc>
          <w:tcPr>
            <w:tcW w:w="0" w:type="auto"/>
            <w:hideMark/>
          </w:tcPr>
          <w:p w14:paraId="0368E546"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Quantitative (Survey)</w:t>
            </w:r>
          </w:p>
        </w:tc>
        <w:tc>
          <w:tcPr>
            <w:tcW w:w="0" w:type="auto"/>
            <w:hideMark/>
          </w:tcPr>
          <w:p w14:paraId="6A3064E7"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Younger, educated, tech-savvy users benefit more from self-scheduling via patient portals.</w:t>
            </w:r>
          </w:p>
        </w:tc>
        <w:tc>
          <w:tcPr>
            <w:tcW w:w="0" w:type="auto"/>
            <w:hideMark/>
          </w:tcPr>
          <w:p w14:paraId="5D9BE4C6"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No intervention suggested for bridging the digital literacy gap.</w:t>
            </w:r>
          </w:p>
        </w:tc>
      </w:tr>
      <w:tr w:rsidR="006A4E8C" w:rsidRPr="006A4E8C" w14:paraId="1C1B415F" w14:textId="77777777" w:rsidTr="006A4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68087C" w14:textId="77777777" w:rsidR="006A4E8C" w:rsidRPr="006A4E8C" w:rsidRDefault="006A4E8C" w:rsidP="006A4E8C">
            <w:pPr>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2022</w:t>
            </w:r>
          </w:p>
        </w:tc>
        <w:tc>
          <w:tcPr>
            <w:tcW w:w="0" w:type="auto"/>
            <w:hideMark/>
          </w:tcPr>
          <w:p w14:paraId="3E1A7861"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Zhang et al.</w:t>
            </w:r>
          </w:p>
        </w:tc>
        <w:tc>
          <w:tcPr>
            <w:tcW w:w="0" w:type="auto"/>
            <w:hideMark/>
          </w:tcPr>
          <w:p w14:paraId="1888FA7B"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Experimental (Pilot Study)</w:t>
            </w:r>
          </w:p>
        </w:tc>
        <w:tc>
          <w:tcPr>
            <w:tcW w:w="0" w:type="auto"/>
            <w:hideMark/>
          </w:tcPr>
          <w:p w14:paraId="59FE00F9"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AI scheduling improved clinic utilization by 20% and reduced waiting time for all categories.</w:t>
            </w:r>
          </w:p>
        </w:tc>
        <w:tc>
          <w:tcPr>
            <w:tcW w:w="0" w:type="auto"/>
            <w:hideMark/>
          </w:tcPr>
          <w:p w14:paraId="00782475" w14:textId="77777777" w:rsidR="006A4E8C" w:rsidRPr="006A4E8C" w:rsidRDefault="006A4E8C" w:rsidP="006A4E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No equity-focused analysis; lacks demographic differentiation.</w:t>
            </w:r>
          </w:p>
        </w:tc>
      </w:tr>
      <w:tr w:rsidR="006A4E8C" w:rsidRPr="006A4E8C" w14:paraId="23DD64AE" w14:textId="77777777" w:rsidTr="006A4E8C">
        <w:tc>
          <w:tcPr>
            <w:cnfStyle w:val="001000000000" w:firstRow="0" w:lastRow="0" w:firstColumn="1" w:lastColumn="0" w:oddVBand="0" w:evenVBand="0" w:oddHBand="0" w:evenHBand="0" w:firstRowFirstColumn="0" w:firstRowLastColumn="0" w:lastRowFirstColumn="0" w:lastRowLastColumn="0"/>
            <w:tcW w:w="0" w:type="auto"/>
            <w:hideMark/>
          </w:tcPr>
          <w:p w14:paraId="5CA79B13" w14:textId="77777777" w:rsidR="006A4E8C" w:rsidRPr="006A4E8C" w:rsidRDefault="006A4E8C" w:rsidP="006A4E8C">
            <w:pPr>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2020</w:t>
            </w:r>
          </w:p>
        </w:tc>
        <w:tc>
          <w:tcPr>
            <w:tcW w:w="0" w:type="auto"/>
            <w:hideMark/>
          </w:tcPr>
          <w:p w14:paraId="24F50AC6"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Patel &amp; Thomas</w:t>
            </w:r>
          </w:p>
        </w:tc>
        <w:tc>
          <w:tcPr>
            <w:tcW w:w="0" w:type="auto"/>
            <w:hideMark/>
          </w:tcPr>
          <w:p w14:paraId="67AB0812"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Qualitative (Interviews)</w:t>
            </w:r>
          </w:p>
        </w:tc>
        <w:tc>
          <w:tcPr>
            <w:tcW w:w="0" w:type="auto"/>
            <w:hideMark/>
          </w:tcPr>
          <w:p w14:paraId="276198F2"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Tailored HIS tools (e.g., multilingual portals, assisted booking) improve access in low-income communities.</w:t>
            </w:r>
          </w:p>
        </w:tc>
        <w:tc>
          <w:tcPr>
            <w:tcW w:w="0" w:type="auto"/>
            <w:hideMark/>
          </w:tcPr>
          <w:p w14:paraId="66353FCC" w14:textId="77777777" w:rsidR="006A4E8C" w:rsidRPr="006A4E8C" w:rsidRDefault="006A4E8C" w:rsidP="006A4E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rPr>
            </w:pPr>
            <w:r w:rsidRPr="006A4E8C">
              <w:rPr>
                <w:rFonts w:ascii="Times New Roman" w:eastAsia="Times New Roman" w:hAnsi="Times New Roman" w:cs="Times New Roman"/>
                <w:sz w:val="24"/>
                <w:szCs w:val="24"/>
                <w:lang/>
              </w:rPr>
              <w:t>Scalability concerns due to resource-intensive customization.</w:t>
            </w:r>
          </w:p>
        </w:tc>
      </w:tr>
    </w:tbl>
    <w:p w14:paraId="32A42BBF" w14:textId="77777777" w:rsidR="003C6D26" w:rsidRDefault="003C6D26" w:rsidP="0003283E">
      <w:pPr>
        <w:spacing w:line="480" w:lineRule="auto"/>
        <w:jc w:val="both"/>
        <w:rPr>
          <w:rFonts w:ascii="Times New Roman" w:hAnsi="Times New Roman" w:cs="Times New Roman"/>
          <w:b/>
          <w:bCs/>
          <w:sz w:val="24"/>
          <w:szCs w:val="24"/>
        </w:rPr>
      </w:pPr>
    </w:p>
    <w:p w14:paraId="2C2EA157" w14:textId="77777777" w:rsidR="003C6D26" w:rsidRDefault="003C6D26" w:rsidP="0003283E">
      <w:pPr>
        <w:spacing w:line="480" w:lineRule="auto"/>
        <w:jc w:val="both"/>
        <w:rPr>
          <w:rFonts w:ascii="Times New Roman" w:hAnsi="Times New Roman" w:cs="Times New Roman"/>
          <w:b/>
          <w:bCs/>
          <w:sz w:val="24"/>
          <w:szCs w:val="24"/>
        </w:rPr>
      </w:pPr>
    </w:p>
    <w:p w14:paraId="04A00A65" w14:textId="77777777" w:rsidR="003C6D26" w:rsidRDefault="003C6D26" w:rsidP="0003283E">
      <w:pPr>
        <w:spacing w:line="480" w:lineRule="auto"/>
        <w:jc w:val="both"/>
        <w:rPr>
          <w:rFonts w:ascii="Times New Roman" w:hAnsi="Times New Roman" w:cs="Times New Roman"/>
          <w:b/>
          <w:bCs/>
          <w:sz w:val="24"/>
          <w:szCs w:val="24"/>
        </w:rPr>
      </w:pPr>
    </w:p>
    <w:p w14:paraId="56CCA678" w14:textId="77777777" w:rsidR="003C6D26" w:rsidRDefault="003C6D26" w:rsidP="0003283E">
      <w:pPr>
        <w:spacing w:line="480" w:lineRule="auto"/>
        <w:jc w:val="both"/>
        <w:rPr>
          <w:rFonts w:ascii="Times New Roman" w:hAnsi="Times New Roman" w:cs="Times New Roman"/>
          <w:b/>
          <w:bCs/>
          <w:sz w:val="24"/>
          <w:szCs w:val="24"/>
        </w:rPr>
      </w:pPr>
    </w:p>
    <w:p w14:paraId="24279D16" w14:textId="77777777" w:rsidR="003C6D26" w:rsidRDefault="003C6D26" w:rsidP="0003283E">
      <w:pPr>
        <w:spacing w:line="480" w:lineRule="auto"/>
        <w:jc w:val="both"/>
        <w:rPr>
          <w:rFonts w:ascii="Times New Roman" w:hAnsi="Times New Roman" w:cs="Times New Roman"/>
          <w:b/>
          <w:bCs/>
          <w:sz w:val="24"/>
          <w:szCs w:val="24"/>
        </w:rPr>
      </w:pPr>
    </w:p>
    <w:p w14:paraId="19B3DCC1" w14:textId="77777777" w:rsidR="003C6D26" w:rsidRDefault="003C6D26" w:rsidP="0003283E">
      <w:pPr>
        <w:spacing w:line="480" w:lineRule="auto"/>
        <w:jc w:val="both"/>
        <w:rPr>
          <w:rFonts w:ascii="Times New Roman" w:hAnsi="Times New Roman" w:cs="Times New Roman"/>
          <w:b/>
          <w:bCs/>
          <w:sz w:val="24"/>
          <w:szCs w:val="24"/>
        </w:rPr>
      </w:pPr>
    </w:p>
    <w:p w14:paraId="42C20E8E" w14:textId="77777777" w:rsidR="003C6D26" w:rsidRDefault="003C6D26" w:rsidP="0003283E">
      <w:pPr>
        <w:spacing w:line="480" w:lineRule="auto"/>
        <w:jc w:val="both"/>
        <w:rPr>
          <w:rFonts w:ascii="Times New Roman" w:hAnsi="Times New Roman" w:cs="Times New Roman"/>
          <w:b/>
          <w:bCs/>
          <w:sz w:val="24"/>
          <w:szCs w:val="24"/>
        </w:rPr>
      </w:pPr>
    </w:p>
    <w:p w14:paraId="25562237" w14:textId="77777777" w:rsidR="003C6D26" w:rsidRDefault="003C6D26" w:rsidP="0003283E">
      <w:pPr>
        <w:spacing w:line="480" w:lineRule="auto"/>
        <w:jc w:val="both"/>
        <w:rPr>
          <w:rFonts w:ascii="Times New Roman" w:hAnsi="Times New Roman" w:cs="Times New Roman"/>
          <w:b/>
          <w:bCs/>
          <w:sz w:val="24"/>
          <w:szCs w:val="24"/>
        </w:rPr>
      </w:pPr>
    </w:p>
    <w:p w14:paraId="563A16A5" w14:textId="77777777" w:rsidR="003C6D26" w:rsidRDefault="003C6D26" w:rsidP="0003283E">
      <w:pPr>
        <w:spacing w:line="480" w:lineRule="auto"/>
        <w:jc w:val="both"/>
        <w:rPr>
          <w:rFonts w:ascii="Times New Roman" w:hAnsi="Times New Roman" w:cs="Times New Roman"/>
          <w:b/>
          <w:bCs/>
          <w:sz w:val="24"/>
          <w:szCs w:val="24"/>
        </w:rPr>
      </w:pPr>
    </w:p>
    <w:p w14:paraId="31B9D94E" w14:textId="746B5F76" w:rsidR="0003283E" w:rsidRPr="0003283E" w:rsidRDefault="001133F8" w:rsidP="0003283E">
      <w:pPr>
        <w:spacing w:line="480" w:lineRule="auto"/>
        <w:jc w:val="both"/>
        <w:rPr>
          <w:rFonts w:ascii="Times New Roman" w:hAnsi="Times New Roman" w:cs="Times New Roman"/>
          <w:b/>
          <w:bCs/>
          <w:sz w:val="24"/>
          <w:szCs w:val="24"/>
        </w:rPr>
      </w:pPr>
      <w:r w:rsidRPr="0003283E">
        <w:rPr>
          <w:rFonts w:ascii="Times New Roman" w:hAnsi="Times New Roman" w:cs="Times New Roman"/>
          <w:b/>
          <w:bCs/>
          <w:sz w:val="24"/>
          <w:szCs w:val="24"/>
        </w:rPr>
        <w:lastRenderedPageBreak/>
        <w:t>Conclusion</w:t>
      </w:r>
    </w:p>
    <w:p w14:paraId="3AD43E79" w14:textId="5913FF63" w:rsidR="0003283E"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Health information systems will be substantially instrumental in terms of maximizing patient appointment efficiency and continuity of care. According to the literature, digitalization from EHRs and AI to interoperable systems radically alters the management of appointments. This thereby increases patient-cantered timely health experience.</w:t>
      </w:r>
    </w:p>
    <w:p w14:paraId="3391FB5A" w14:textId="49D7AFBF" w:rsidR="0003283E" w:rsidRP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However, the challenge of equitable access remains. As several writers have noted, there are mute unintended consequences by which technology can exclude certain vulnerable sections of society. Bridging this gap needs a multifaceted and multi-phased strategy that will combine advances made in technology with inclusive policies and support systems for all. Equity in health does not happen incidentally as a result of innovation is a design, development, and regulatory brilliant outcome.</w:t>
      </w:r>
    </w:p>
    <w:p w14:paraId="45CB8697" w14:textId="54F1B185" w:rsidR="0003283E" w:rsidRDefault="001133F8" w:rsidP="0003283E">
      <w:pPr>
        <w:spacing w:line="480" w:lineRule="auto"/>
        <w:jc w:val="both"/>
        <w:rPr>
          <w:rFonts w:ascii="Times New Roman" w:hAnsi="Times New Roman" w:cs="Times New Roman"/>
          <w:sz w:val="24"/>
          <w:szCs w:val="24"/>
        </w:rPr>
      </w:pPr>
      <w:r w:rsidRPr="0003283E">
        <w:rPr>
          <w:rFonts w:ascii="Times New Roman" w:hAnsi="Times New Roman" w:cs="Times New Roman"/>
          <w:sz w:val="24"/>
          <w:szCs w:val="24"/>
        </w:rPr>
        <w:t>There should be a deliberation of a possible future study that will incorporate more varied participants and settings, especially underserved and rural communities. This will ensure that HIS technologies are making a difference in healthcare equity for research and practice by applying a patient-centered lens.</w:t>
      </w:r>
    </w:p>
    <w:p w14:paraId="57341B39" w14:textId="050546BB" w:rsidR="0003283E" w:rsidRDefault="0003283E" w:rsidP="0003283E">
      <w:pPr>
        <w:spacing w:line="480" w:lineRule="auto"/>
        <w:jc w:val="both"/>
        <w:rPr>
          <w:rFonts w:ascii="Times New Roman" w:hAnsi="Times New Roman" w:cs="Times New Roman"/>
          <w:sz w:val="24"/>
          <w:szCs w:val="24"/>
        </w:rPr>
      </w:pPr>
    </w:p>
    <w:p w14:paraId="3677326D" w14:textId="15D645CF" w:rsidR="0003283E" w:rsidRDefault="0003283E" w:rsidP="0003283E">
      <w:pPr>
        <w:spacing w:line="480" w:lineRule="auto"/>
        <w:jc w:val="both"/>
        <w:rPr>
          <w:rFonts w:ascii="Times New Roman" w:hAnsi="Times New Roman" w:cs="Times New Roman"/>
          <w:sz w:val="24"/>
          <w:szCs w:val="24"/>
        </w:rPr>
      </w:pPr>
    </w:p>
    <w:p w14:paraId="5840D13E" w14:textId="49A81675" w:rsidR="0003283E" w:rsidRDefault="0003283E" w:rsidP="0003283E">
      <w:pPr>
        <w:spacing w:line="480" w:lineRule="auto"/>
        <w:jc w:val="both"/>
        <w:rPr>
          <w:rFonts w:ascii="Times New Roman" w:hAnsi="Times New Roman" w:cs="Times New Roman"/>
          <w:sz w:val="24"/>
          <w:szCs w:val="24"/>
        </w:rPr>
      </w:pPr>
    </w:p>
    <w:p w14:paraId="507265AA" w14:textId="4FB2F875" w:rsidR="0003283E" w:rsidRDefault="0003283E" w:rsidP="0003283E">
      <w:pPr>
        <w:spacing w:line="480" w:lineRule="auto"/>
        <w:jc w:val="both"/>
        <w:rPr>
          <w:rFonts w:ascii="Times New Roman" w:hAnsi="Times New Roman" w:cs="Times New Roman"/>
          <w:sz w:val="24"/>
          <w:szCs w:val="24"/>
        </w:rPr>
      </w:pPr>
    </w:p>
    <w:p w14:paraId="1FF28835" w14:textId="36601BB7" w:rsidR="0003283E" w:rsidRDefault="0003283E" w:rsidP="0003283E">
      <w:pPr>
        <w:spacing w:line="480" w:lineRule="auto"/>
        <w:jc w:val="both"/>
        <w:rPr>
          <w:rFonts w:ascii="Times New Roman" w:hAnsi="Times New Roman" w:cs="Times New Roman"/>
          <w:sz w:val="24"/>
          <w:szCs w:val="24"/>
        </w:rPr>
      </w:pPr>
    </w:p>
    <w:p w14:paraId="201419BE" w14:textId="3E2C54D5" w:rsidR="0003283E" w:rsidRDefault="0003283E" w:rsidP="0003283E">
      <w:pPr>
        <w:spacing w:line="480" w:lineRule="auto"/>
        <w:jc w:val="both"/>
        <w:rPr>
          <w:rFonts w:ascii="Times New Roman" w:hAnsi="Times New Roman" w:cs="Times New Roman"/>
          <w:sz w:val="24"/>
          <w:szCs w:val="24"/>
        </w:rPr>
      </w:pPr>
    </w:p>
    <w:p w14:paraId="2BEE38F5" w14:textId="77777777" w:rsidR="002E556A" w:rsidRDefault="002E556A" w:rsidP="0003283E">
      <w:pPr>
        <w:spacing w:line="480" w:lineRule="auto"/>
        <w:jc w:val="both"/>
        <w:rPr>
          <w:rFonts w:ascii="Times New Roman" w:hAnsi="Times New Roman" w:cs="Times New Roman"/>
          <w:sz w:val="24"/>
          <w:szCs w:val="24"/>
        </w:rPr>
      </w:pPr>
    </w:p>
    <w:p w14:paraId="5A7C7B21" w14:textId="225C232B" w:rsidR="002E556A" w:rsidRPr="002E556A" w:rsidRDefault="001133F8" w:rsidP="002E556A">
      <w:pPr>
        <w:spacing w:line="480" w:lineRule="auto"/>
        <w:jc w:val="both"/>
        <w:rPr>
          <w:rFonts w:ascii="Times New Roman" w:hAnsi="Times New Roman" w:cs="Times New Roman"/>
          <w:b/>
          <w:bCs/>
          <w:sz w:val="24"/>
          <w:szCs w:val="24"/>
          <w:lang w:val="en-US"/>
        </w:rPr>
      </w:pPr>
      <w:bookmarkStart w:id="0" w:name="OLE_LINK1"/>
      <w:r w:rsidRPr="0003283E">
        <w:rPr>
          <w:rFonts w:ascii="Times New Roman" w:hAnsi="Times New Roman" w:cs="Times New Roman"/>
          <w:b/>
          <w:bCs/>
          <w:sz w:val="24"/>
          <w:szCs w:val="24"/>
          <w:lang w:val="en-US"/>
        </w:rPr>
        <w:lastRenderedPageBreak/>
        <w:t>References</w:t>
      </w:r>
    </w:p>
    <w:bookmarkEnd w:id="0"/>
    <w:p w14:paraId="748C9772" w14:textId="77777777" w:rsidR="002E556A" w:rsidRPr="002E556A" w:rsidRDefault="001133F8"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Arcury, T. A., Preisser, J. S., Gesler, W. M., &amp; Powers, J. M. (2018). Access to transportation and health care utilization in a rural region. Journal of Rural Health 34(3): 253-260. https://doi.org/10.1111/jrh.12257</w:t>
      </w:r>
    </w:p>
    <w:p w14:paraId="12C951C8" w14:textId="77777777" w:rsidR="002E556A" w:rsidRDefault="001133F8" w:rsidP="001D225F">
      <w:pPr>
        <w:pStyle w:val="NormalWeb"/>
        <w:spacing w:before="0" w:beforeAutospacing="0" w:after="0" w:afterAutospacing="0" w:line="480" w:lineRule="auto"/>
        <w:ind w:left="720" w:hanging="720"/>
        <w:rPr>
          <w:lang w:val="en-US"/>
        </w:rPr>
      </w:pPr>
      <w:r>
        <w:t>Berwick, D. M., Batchelor, E., Chokshi, D. A., Gabow, P., Gilfillan, R., Isasi, F., Milstein, A.,</w:t>
      </w:r>
    </w:p>
    <w:p w14:paraId="5CBD96A1" w14:textId="2C13E873" w:rsidR="002E556A" w:rsidRDefault="001133F8" w:rsidP="001D225F">
      <w:pPr>
        <w:pStyle w:val="NormalWeb"/>
        <w:spacing w:before="0" w:beforeAutospacing="0" w:after="0" w:afterAutospacing="0" w:line="480" w:lineRule="auto"/>
        <w:ind w:left="720" w:hanging="720"/>
      </w:pPr>
      <w:r>
        <w:t>&amp; Nichols, L. M. (2025). From Laggard to Leader: Why Health Care in the United</w:t>
      </w:r>
    </w:p>
    <w:p w14:paraId="509AF749" w14:textId="0921476B" w:rsidR="002E556A" w:rsidRDefault="001133F8" w:rsidP="001D225F">
      <w:pPr>
        <w:pStyle w:val="NormalWeb"/>
        <w:spacing w:before="0" w:beforeAutospacing="0" w:after="0" w:afterAutospacing="0" w:line="480" w:lineRule="auto"/>
        <w:ind w:left="720" w:hanging="720"/>
      </w:pPr>
      <w:r>
        <w:t xml:space="preserve">States are failing, and how to fix it. </w:t>
      </w:r>
      <w:r>
        <w:rPr>
          <w:i/>
          <w:iCs/>
        </w:rPr>
        <w:t>Health Affairs</w:t>
      </w:r>
      <w:r>
        <w:t xml:space="preserve">. </w:t>
      </w:r>
      <w:r>
        <w:rPr>
          <w:rStyle w:val="url"/>
        </w:rPr>
        <w:t>https://doi.org/10.1377/hlthaff.2024.01007</w:t>
      </w:r>
    </w:p>
    <w:p w14:paraId="0D5FFFA7" w14:textId="77777777" w:rsidR="002E556A" w:rsidRDefault="001133F8" w:rsidP="001D225F">
      <w:pPr>
        <w:pStyle w:val="NormalWeb"/>
        <w:spacing w:before="0" w:beforeAutospacing="0" w:after="0" w:afterAutospacing="0" w:line="480" w:lineRule="auto"/>
        <w:ind w:left="720" w:hanging="720"/>
      </w:pPr>
      <w:r>
        <w:t>Goldzweig, C. L., Orshansky, G., Paige, N. M., Towfigh, A. A., Haggstrom, D. A., Miake</w:t>
      </w:r>
    </w:p>
    <w:p w14:paraId="31D4F446" w14:textId="77777777" w:rsidR="002E556A" w:rsidRDefault="001133F8" w:rsidP="001D225F">
      <w:pPr>
        <w:pStyle w:val="NormalWeb"/>
        <w:spacing w:before="0" w:beforeAutospacing="0" w:after="0" w:afterAutospacing="0" w:line="480" w:lineRule="auto"/>
        <w:ind w:left="720" w:hanging="720"/>
      </w:pPr>
      <w:r>
        <w:t>Lye, I., Beroes, J. M., &amp; Shekelle, P. G. (2013). Electronic Patient Portals: evidence on health</w:t>
      </w:r>
    </w:p>
    <w:p w14:paraId="32A8A7B6" w14:textId="77777777" w:rsidR="002E556A" w:rsidRDefault="001133F8" w:rsidP="001D225F">
      <w:pPr>
        <w:pStyle w:val="NormalWeb"/>
        <w:spacing w:before="0" w:beforeAutospacing="0" w:after="0" w:afterAutospacing="0" w:line="480" w:lineRule="auto"/>
        <w:ind w:left="720" w:hanging="720"/>
      </w:pPr>
      <w:r>
        <w:t xml:space="preserve">Outcomes, satisfaction, efficiency, and attitudes. </w:t>
      </w:r>
      <w:r>
        <w:rPr>
          <w:i/>
          <w:iCs/>
        </w:rPr>
        <w:t>Annals of Internal Medicine</w:t>
      </w:r>
      <w:r>
        <w:t xml:space="preserve">, </w:t>
      </w:r>
      <w:r>
        <w:rPr>
          <w:i/>
          <w:iCs/>
        </w:rPr>
        <w:t>159</w:t>
      </w:r>
      <w:r>
        <w:t>(10), 677.</w:t>
      </w:r>
    </w:p>
    <w:p w14:paraId="640D838F" w14:textId="4A4420BC" w:rsidR="002E556A" w:rsidRDefault="001133F8" w:rsidP="001D225F">
      <w:pPr>
        <w:pStyle w:val="NormalWeb"/>
        <w:spacing w:before="0" w:beforeAutospacing="0" w:after="0" w:afterAutospacing="0" w:line="480" w:lineRule="auto"/>
        <w:ind w:left="720" w:hanging="720"/>
      </w:pPr>
      <w:r>
        <w:rPr>
          <w:rStyle w:val="url"/>
        </w:rPr>
        <w:t>https://doi.org/10.7326/0003-4819-159-10-201311190-00006</w:t>
      </w:r>
    </w:p>
    <w:p w14:paraId="54F140BB" w14:textId="77777777" w:rsidR="002E556A" w:rsidRPr="002E556A" w:rsidRDefault="001133F8"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Kruse et al. 2021 made a systematic review evaluating barriers to telemedicine adoption on a worldwide scale. Journal of Telemedicine and Telecare 27(1): 4-12. https://doi.org/10.1177/1357633X20916567</w:t>
      </w:r>
    </w:p>
    <w:p w14:paraId="464D319B" w14:textId="77777777" w:rsidR="002E556A" w:rsidRPr="002E556A" w:rsidRDefault="001133F8"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Lockett, M. M. et al. 2022 Interoperability in health care: The key to better outcomes. Health Affairs 41(6): 819-826. https://doi.org/10.1377/hlthaff.2022.00256</w:t>
      </w:r>
    </w:p>
    <w:p w14:paraId="1A74E1D3" w14:textId="77777777" w:rsidR="002E556A" w:rsidRPr="0003283E" w:rsidRDefault="001133F8"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Mehta, S. and Tan, J. (2023). Artificial intelligence in health care scheduling pilot study conducted in urban public hospitals. International Journal of Medical Informatics 170(1): 104954. https://doi.org/10.1016/j.ijmedinf.2023.104954</w:t>
      </w:r>
    </w:p>
    <w:p w14:paraId="6D5F668A" w14:textId="77777777" w:rsidR="002E556A" w:rsidRDefault="001133F8" w:rsidP="00763846">
      <w:pPr>
        <w:pStyle w:val="NormalWeb"/>
        <w:spacing w:before="0" w:beforeAutospacing="0" w:after="0" w:afterAutospacing="0" w:line="480" w:lineRule="auto"/>
        <w:ind w:left="720" w:hanging="720"/>
      </w:pPr>
      <w:r>
        <w:t>Shim, M., &amp; Jo, H. S. (2020). What quality factors matter in enhancing the perceived benefits</w:t>
      </w:r>
    </w:p>
    <w:p w14:paraId="722A74FB" w14:textId="77777777" w:rsidR="002E556A" w:rsidRDefault="001133F8" w:rsidP="00763846">
      <w:pPr>
        <w:pStyle w:val="NormalWeb"/>
        <w:spacing w:before="0" w:beforeAutospacing="0" w:after="0" w:afterAutospacing="0" w:line="480" w:lineRule="auto"/>
        <w:ind w:left="720" w:hanging="720"/>
      </w:pPr>
      <w:r>
        <w:t>Of online health information sites? Application of the updated DeLone and McLean</w:t>
      </w:r>
    </w:p>
    <w:p w14:paraId="0A3711B2" w14:textId="77777777" w:rsidR="002E556A" w:rsidRDefault="001133F8" w:rsidP="00763846">
      <w:pPr>
        <w:pStyle w:val="NormalWeb"/>
        <w:spacing w:before="0" w:beforeAutospacing="0" w:after="0" w:afterAutospacing="0" w:line="480" w:lineRule="auto"/>
        <w:ind w:left="720" w:hanging="720"/>
      </w:pPr>
      <w:r>
        <w:t xml:space="preserve">Information Systems Success Model. </w:t>
      </w:r>
      <w:r>
        <w:rPr>
          <w:i/>
          <w:iCs/>
        </w:rPr>
        <w:t>International Journal of Medical Informatics</w:t>
      </w:r>
      <w:r>
        <w:t xml:space="preserve">, </w:t>
      </w:r>
      <w:r>
        <w:rPr>
          <w:i/>
          <w:iCs/>
        </w:rPr>
        <w:t>137</w:t>
      </w:r>
      <w:r>
        <w:t>,</w:t>
      </w:r>
    </w:p>
    <w:p w14:paraId="11081F51" w14:textId="03590C3C" w:rsidR="002E556A" w:rsidRDefault="001133F8" w:rsidP="00763846">
      <w:pPr>
        <w:pStyle w:val="NormalWeb"/>
        <w:spacing w:before="0" w:beforeAutospacing="0" w:after="0" w:afterAutospacing="0" w:line="480" w:lineRule="auto"/>
        <w:ind w:left="720" w:hanging="720"/>
      </w:pPr>
      <w:r>
        <w:lastRenderedPageBreak/>
        <w:t xml:space="preserve">104093. </w:t>
      </w:r>
      <w:r>
        <w:rPr>
          <w:rStyle w:val="url"/>
        </w:rPr>
        <w:t>https://doi.org/10.1016/j.ijmedinf.2020.104093</w:t>
      </w:r>
    </w:p>
    <w:p w14:paraId="7FA61AB9" w14:textId="77777777" w:rsidR="002E556A" w:rsidRDefault="001133F8" w:rsidP="001D225F">
      <w:pPr>
        <w:pStyle w:val="NormalWeb"/>
        <w:spacing w:before="0" w:beforeAutospacing="0" w:after="0" w:afterAutospacing="0" w:line="480" w:lineRule="auto"/>
        <w:ind w:left="720" w:hanging="720"/>
      </w:pPr>
      <w:r>
        <w:t xml:space="preserve">Socha-Dietrich, K. (2021). Empowering the health workforce to make the most of the digital revolution. </w:t>
      </w:r>
      <w:r>
        <w:rPr>
          <w:i/>
          <w:iCs/>
        </w:rPr>
        <w:t>OECD Health Working Papers</w:t>
      </w:r>
      <w:r>
        <w:t xml:space="preserve">. </w:t>
      </w:r>
      <w:r>
        <w:rPr>
          <w:rStyle w:val="url"/>
        </w:rPr>
        <w:t>https://doi.org/10.1787/37ff0eaa-en</w:t>
      </w:r>
    </w:p>
    <w:sectPr w:rsidR="002E556A" w:rsidSect="003C6D26">
      <w:headerReference w:type="default" r:id="rId7"/>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1AB8B" w14:textId="77777777" w:rsidR="005D1C84" w:rsidRDefault="005D1C84">
      <w:pPr>
        <w:spacing w:after="0" w:line="240" w:lineRule="auto"/>
      </w:pPr>
      <w:r>
        <w:separator/>
      </w:r>
    </w:p>
  </w:endnote>
  <w:endnote w:type="continuationSeparator" w:id="0">
    <w:p w14:paraId="75BB9AB7" w14:textId="77777777" w:rsidR="005D1C84" w:rsidRDefault="005D1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2ABFC" w14:textId="77777777" w:rsidR="005D1C84" w:rsidRDefault="005D1C84">
      <w:pPr>
        <w:spacing w:after="0" w:line="240" w:lineRule="auto"/>
      </w:pPr>
      <w:r>
        <w:separator/>
      </w:r>
    </w:p>
  </w:footnote>
  <w:footnote w:type="continuationSeparator" w:id="0">
    <w:p w14:paraId="0CDE14B1" w14:textId="77777777" w:rsidR="005D1C84" w:rsidRDefault="005D1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601B8" w14:textId="4E06CC3C" w:rsidR="0003283E" w:rsidRDefault="001133F8">
    <w:pPr>
      <w:pStyle w:val="Header"/>
    </w:pPr>
    <w:r>
      <w:tab/>
    </w:r>
    <w:r>
      <w:tab/>
    </w:r>
    <w:sdt>
      <w:sdtPr>
        <w:id w:val="-1967821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3AB675D" w14:textId="77777777" w:rsidR="0003283E" w:rsidRDefault="000328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2D4D75"/>
    <w:multiLevelType w:val="hybridMultilevel"/>
    <w:tmpl w:val="65FE5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6612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E70"/>
    <w:rsid w:val="0003283E"/>
    <w:rsid w:val="00096A59"/>
    <w:rsid w:val="001133F8"/>
    <w:rsid w:val="001A3757"/>
    <w:rsid w:val="001D225F"/>
    <w:rsid w:val="002E556A"/>
    <w:rsid w:val="003C6D26"/>
    <w:rsid w:val="005D1C84"/>
    <w:rsid w:val="006437BC"/>
    <w:rsid w:val="006645A1"/>
    <w:rsid w:val="006A4E8C"/>
    <w:rsid w:val="00763846"/>
    <w:rsid w:val="008371AE"/>
    <w:rsid w:val="00A45E70"/>
    <w:rsid w:val="00AF1C89"/>
    <w:rsid w:val="00B174DD"/>
    <w:rsid w:val="00B3250C"/>
    <w:rsid w:val="00CC35B9"/>
    <w:rsid w:val="00EB345F"/>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7CFD"/>
  <w15:chartTrackingRefBased/>
  <w15:docId w15:val="{5283D8A1-6EB9-4AD3-A63E-9E1A6309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3-Accent5">
    <w:name w:val="Grid Table 3 Accent 5"/>
    <w:basedOn w:val="TableNormal"/>
    <w:uiPriority w:val="48"/>
    <w:rsid w:val="000328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0328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032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83E"/>
  </w:style>
  <w:style w:type="paragraph" w:styleId="Footer">
    <w:name w:val="footer"/>
    <w:basedOn w:val="Normal"/>
    <w:link w:val="FooterChar"/>
    <w:uiPriority w:val="99"/>
    <w:unhideWhenUsed/>
    <w:rsid w:val="00032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83E"/>
  </w:style>
  <w:style w:type="paragraph" w:styleId="NormalWeb">
    <w:name w:val="Normal (Web)"/>
    <w:basedOn w:val="Normal"/>
    <w:uiPriority w:val="99"/>
    <w:semiHidden/>
    <w:unhideWhenUsed/>
    <w:rsid w:val="001D225F"/>
    <w:pPr>
      <w:spacing w:before="100" w:beforeAutospacing="1" w:after="100" w:afterAutospacing="1" w:line="240" w:lineRule="auto"/>
    </w:pPr>
    <w:rPr>
      <w:rFonts w:ascii="Times New Roman" w:eastAsia="Times New Roman" w:hAnsi="Times New Roman" w:cs="Times New Roman"/>
      <w:sz w:val="24"/>
      <w:szCs w:val="24"/>
      <w:lang w:eastAsia=""/>
    </w:rPr>
  </w:style>
  <w:style w:type="character" w:customStyle="1" w:styleId="url">
    <w:name w:val="url"/>
    <w:basedOn w:val="DefaultParagraphFont"/>
    <w:rsid w:val="001D225F"/>
  </w:style>
  <w:style w:type="table" w:styleId="GridTable2-Accent5">
    <w:name w:val="Grid Table 2 Accent 5"/>
    <w:basedOn w:val="TableNormal"/>
    <w:uiPriority w:val="47"/>
    <w:rsid w:val="001D225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76384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096A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2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faisal muteb</cp:lastModifiedBy>
  <cp:revision>2</cp:revision>
  <dcterms:created xsi:type="dcterms:W3CDTF">2025-07-11T11:22:00Z</dcterms:created>
  <dcterms:modified xsi:type="dcterms:W3CDTF">2025-07-11T11:22:00Z</dcterms:modified>
</cp:coreProperties>
</file>