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4E8" w:rsidRDefault="00C234E8">
      <w:pPr>
        <w:pStyle w:val="Heading1"/>
        <w:jc w:val="center"/>
        <w:rPr>
          <w:rFonts w:ascii="Sakkal Majalla" w:hAnsi="Sakkal Majalla" w:cs="Sakkal Majalla"/>
          <w:color w:val="auto"/>
          <w:sz w:val="28"/>
          <w:szCs w:val="28"/>
          <w:rtl/>
        </w:rPr>
      </w:pPr>
      <w:r>
        <w:rPr>
          <w:rFonts w:ascii="Sakkal Majalla" w:hAnsi="Sakkal Majalla" w:cs="Sakkal Majalla" w:hint="cs"/>
          <w:color w:val="auto"/>
          <w:sz w:val="28"/>
          <w:szCs w:val="28"/>
          <w:rtl/>
        </w:rPr>
        <w:t>استمارة تحكيم أداة الدراسة (الاستبانة)</w:t>
      </w:r>
    </w:p>
    <w:p w:rsidR="00C234E8" w:rsidRDefault="00C234E8">
      <w:pPr>
        <w:bidi/>
        <w:spacing w:line="360" w:lineRule="auto"/>
        <w:ind w:left="534" w:hanging="340"/>
        <w:jc w:val="center"/>
        <w:rPr>
          <w:rFonts w:ascii="Arial" w:hAnsi="Arial" w:cs="Arial"/>
          <w:noProof/>
          <w:sz w:val="16"/>
          <w:szCs w:val="16"/>
        </w:rPr>
      </w:pPr>
      <w:r>
        <w:rPr>
          <w:rStyle w:val="Strong"/>
          <w:rFonts w:ascii="Sakkal Majalla" w:hAnsi="Sakkal Majalla" w:cs="Sakkal Majalla" w:hint="cs"/>
          <w:sz w:val="28"/>
          <w:szCs w:val="28"/>
          <w:rtl/>
        </w:rPr>
        <w:t>عنوان الرسالة</w:t>
      </w:r>
      <w:r>
        <w:rPr>
          <w:rFonts w:ascii="Arial" w:eastAsia="Times New Roman" w:hAnsi="Arial" w:cs="Arial"/>
          <w:b/>
          <w:bCs/>
          <w:sz w:val="28"/>
          <w:szCs w:val="32"/>
          <w:rtl/>
        </w:rPr>
        <w:t xml:space="preserve"> </w:t>
      </w:r>
      <w:r>
        <w:rPr>
          <w:rFonts w:ascii="Arial" w:eastAsia="Times New Roman" w:hAnsi="Arial" w:cs="Arial"/>
          <w:b/>
          <w:bCs/>
          <w:szCs w:val="24"/>
          <w:rtl/>
        </w:rPr>
        <w:t>أثر الذكاء التنظيمي على الكشف عن الاحتيال بمطالبات التأمين: دراسة ميدانيه على شركات التأمين في المملكة العربية السعودية</w:t>
      </w:r>
    </w:p>
    <w:p w:rsidR="00C234E8" w:rsidRDefault="00C234E8">
      <w:pPr>
        <w:bidi/>
        <w:spacing w:line="360" w:lineRule="auto"/>
        <w:ind w:left="534" w:hanging="340"/>
        <w:jc w:val="right"/>
        <w:rPr>
          <w:rFonts w:ascii="Arial" w:hAnsi="Arial" w:cs="Arial"/>
          <w:noProof/>
          <w:sz w:val="16"/>
          <w:szCs w:val="16"/>
          <w:lang w:bidi="ar-EG"/>
        </w:rPr>
      </w:pPr>
    </w:p>
    <w:p w:rsidR="00C234E8" w:rsidRDefault="00C234E8">
      <w:pPr>
        <w:pStyle w:val="NormalWeb"/>
        <w:bidi/>
        <w:spacing w:before="0" w:beforeAutospacing="0" w:after="0" w:afterAutospacing="0" w:line="480" w:lineRule="auto"/>
        <w:ind w:right="-270"/>
        <w:jc w:val="center"/>
        <w:rPr>
          <w:rFonts w:ascii="Sakkal Majalla" w:hAnsi="Sakkal Majalla" w:cs="Sakkal Majalla"/>
          <w:b/>
          <w:bCs/>
          <w:sz w:val="36"/>
          <w:szCs w:val="36"/>
          <w:rtl/>
          <w:lang w:bidi="ar-EG"/>
        </w:rPr>
      </w:pPr>
      <w:r>
        <w:rPr>
          <w:rFonts w:ascii="Arial" w:hAnsi="Arial" w:cs="Arial"/>
          <w:b/>
          <w:bCs/>
          <w:sz w:val="22"/>
        </w:rPr>
        <w:t>The Impact of Organizational Intelligence on Fraud Detection in Insurance Claims: A Field Study of Insurance Companies in the Kingdom of Saudi Arabia</w:t>
      </w:r>
    </w:p>
    <w:p w:rsidR="00C234E8" w:rsidRDefault="00C234E8">
      <w:pPr>
        <w:pStyle w:val="isselectedend"/>
        <w:pBdr>
          <w:bottom w:val="single" w:sz="4" w:space="1" w:color="auto"/>
        </w:pBdr>
        <w:bidi/>
        <w:rPr>
          <w:rFonts w:ascii="Sakkal Majalla" w:hAnsi="Sakkal Majalla" w:cs="Sakkal Majalla"/>
          <w:sz w:val="28"/>
          <w:szCs w:val="28"/>
          <w:rtl/>
          <w:lang w:bidi="ar-EG"/>
        </w:rPr>
      </w:pPr>
    </w:p>
    <w:p w:rsidR="00C234E8" w:rsidRDefault="00C234E8">
      <w:pPr>
        <w:pStyle w:val="isselectedend"/>
        <w:bidi/>
        <w:rPr>
          <w:rFonts w:ascii="Sakkal Majalla" w:hAnsi="Sakkal Majalla" w:cs="Sakkal Majalla"/>
          <w:sz w:val="28"/>
          <w:szCs w:val="28"/>
          <w:rtl/>
        </w:rPr>
      </w:pPr>
    </w:p>
    <w:p w:rsidR="00C234E8" w:rsidRDefault="00C234E8">
      <w:pPr>
        <w:pStyle w:val="isselectedend"/>
        <w:bidi/>
        <w:rPr>
          <w:rFonts w:ascii="Sakkal Majalla" w:hAnsi="Sakkal Majalla" w:cs="Sakkal Majalla"/>
          <w:sz w:val="28"/>
          <w:szCs w:val="28"/>
          <w:rtl/>
        </w:rPr>
      </w:pPr>
      <w:r>
        <w:rPr>
          <w:rFonts w:ascii="Sakkal Majalla" w:hAnsi="Sakkal Majalla" w:cs="Sakkal Majalla" w:hint="cs"/>
          <w:sz w:val="28"/>
          <w:szCs w:val="28"/>
          <w:rtl/>
        </w:rPr>
        <w:t>السادة موظفي شركات التامين بالمملكة العربية السعودية</w:t>
      </w:r>
    </w:p>
    <w:p w:rsidR="00C234E8" w:rsidRDefault="00C234E8">
      <w:pPr>
        <w:pStyle w:val="isselectedend"/>
        <w:bidi/>
        <w:rPr>
          <w:rFonts w:ascii="Sakkal Majalla" w:hAnsi="Sakkal Majalla" w:cs="Sakkal Majalla"/>
          <w:sz w:val="28"/>
          <w:szCs w:val="28"/>
        </w:rPr>
      </w:pPr>
      <w:r>
        <w:rPr>
          <w:rFonts w:ascii="Sakkal Majalla" w:hAnsi="Sakkal Majalla" w:cs="Sakkal Majalla" w:hint="cs"/>
          <w:sz w:val="28"/>
          <w:szCs w:val="28"/>
          <w:rtl/>
        </w:rPr>
        <w:t>تحية طيبة وبعد،</w:t>
      </w:r>
    </w:p>
    <w:p w:rsidR="00C234E8" w:rsidRDefault="00C234E8">
      <w:pPr>
        <w:pStyle w:val="isselectedend"/>
        <w:bidi/>
        <w:jc w:val="both"/>
        <w:rPr>
          <w:rFonts w:ascii="Sakkal Majalla" w:hAnsi="Sakkal Majalla" w:cs="Sakkal Majalla"/>
          <w:sz w:val="28"/>
          <w:szCs w:val="28"/>
        </w:rPr>
      </w:pPr>
      <w:r>
        <w:rPr>
          <w:rFonts w:ascii="Sakkal Majalla" w:hAnsi="Sakkal Majalla" w:cs="Sakkal Majalla" w:hint="cs"/>
          <w:sz w:val="28"/>
          <w:szCs w:val="28"/>
          <w:rtl/>
        </w:rPr>
        <w:t>في إطار إعداد هذه الدراسة واستكمالًا لمتطلبات الحصول على درجة الدكتوراه، قام الباحثة ( امل الدوسري)                  بإعداد أداة الدراسة (الاستبانة)، والتي تهدف إلى قياس متغيرات الدراسة وتحقيق أهدافها</w:t>
      </w:r>
      <w:r>
        <w:rPr>
          <w:rFonts w:ascii="Sakkal Majalla" w:hAnsi="Sakkal Majalla" w:cs="Sakkal Majalla" w:hint="cs"/>
          <w:sz w:val="28"/>
          <w:szCs w:val="28"/>
        </w:rPr>
        <w:t>.</w:t>
      </w:r>
      <w:r>
        <w:rPr>
          <w:rFonts w:ascii="Sakkal Majalla" w:hAnsi="Sakkal Majalla" w:cs="Sakkal Majalla" w:hint="cs"/>
          <w:sz w:val="28"/>
          <w:szCs w:val="28"/>
          <w:rtl/>
        </w:rPr>
        <w:t xml:space="preserve"> والتي تضمن سرية المعلومات المشاركين وكذلك معلومات التواصل  وتضمن طواعية المشارية ونظرًا لما تتمتعون به من خبرة علمية وأكاديمية، يرجى التكرم بالمراجعة وإبداء آرائكم وملاحظاتكم حولها من حيث</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rPr>
          <w:rFonts w:ascii="Sakkal Majalla" w:hAnsi="Sakkal Majalla" w:cs="Sakkal Majalla"/>
          <w:sz w:val="28"/>
          <w:szCs w:val="28"/>
        </w:rPr>
      </w:pPr>
      <w:r>
        <w:rPr>
          <w:rFonts w:ascii="Sakkal Majalla" w:hAnsi="Sakkal Majalla" w:cs="Sakkal Majalla" w:hint="cs"/>
          <w:sz w:val="28"/>
          <w:szCs w:val="28"/>
          <w:rtl/>
        </w:rPr>
        <w:t>مدى ملاءمة الفقرات لأبعاد المتغيرات</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rPr>
          <w:rFonts w:ascii="Sakkal Majalla" w:hAnsi="Sakkal Majalla" w:cs="Sakkal Majalla"/>
          <w:sz w:val="28"/>
          <w:szCs w:val="28"/>
        </w:rPr>
      </w:pPr>
      <w:r>
        <w:rPr>
          <w:rFonts w:ascii="Sakkal Majalla" w:hAnsi="Sakkal Majalla" w:cs="Sakkal Majalla" w:hint="cs"/>
          <w:sz w:val="28"/>
          <w:szCs w:val="28"/>
          <w:rtl/>
        </w:rPr>
        <w:t>سلامة الصياغة اللغوية</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rPr>
          <w:rFonts w:ascii="Sakkal Majalla" w:hAnsi="Sakkal Majalla" w:cs="Sakkal Majalla"/>
          <w:sz w:val="28"/>
          <w:szCs w:val="28"/>
        </w:rPr>
      </w:pPr>
      <w:r>
        <w:rPr>
          <w:rFonts w:ascii="Sakkal Majalla" w:hAnsi="Sakkal Majalla" w:cs="Sakkal Majalla" w:hint="cs"/>
          <w:sz w:val="28"/>
          <w:szCs w:val="28"/>
          <w:rtl/>
        </w:rPr>
        <w:t>وضوح العبارات ودقتها</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rPr>
          <w:rFonts w:ascii="Sakkal Majalla" w:hAnsi="Sakkal Majalla" w:cs="Sakkal Majalla"/>
          <w:sz w:val="28"/>
          <w:szCs w:val="28"/>
        </w:rPr>
      </w:pPr>
      <w:r>
        <w:rPr>
          <w:rFonts w:ascii="Sakkal Majalla" w:hAnsi="Sakkal Majalla" w:cs="Sakkal Majalla" w:hint="cs"/>
          <w:sz w:val="28"/>
          <w:szCs w:val="28"/>
          <w:rtl/>
        </w:rPr>
        <w:t>مدى انتماء الفقرات للمحاور المخصصة لها</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rPr>
          <w:rFonts w:ascii="Sakkal Majalla" w:hAnsi="Sakkal Majalla" w:cs="Sakkal Majalla"/>
          <w:sz w:val="28"/>
          <w:szCs w:val="28"/>
        </w:rPr>
      </w:pPr>
      <w:r>
        <w:rPr>
          <w:rFonts w:ascii="Sakkal Majalla" w:hAnsi="Sakkal Majalla" w:cs="Sakkal Majalla" w:hint="cs"/>
          <w:sz w:val="28"/>
          <w:szCs w:val="28"/>
          <w:rtl/>
        </w:rPr>
        <w:t>أي تعديلات أو إضافات ترونها مناسبة</w:t>
      </w:r>
      <w:r>
        <w:rPr>
          <w:rFonts w:ascii="Sakkal Majalla" w:hAnsi="Sakkal Majalla" w:cs="Sakkal Majalla" w:hint="cs"/>
          <w:sz w:val="28"/>
          <w:szCs w:val="28"/>
        </w:rPr>
        <w:t>.</w:t>
      </w:r>
    </w:p>
    <w:p w:rsidR="00C234E8" w:rsidRDefault="00C234E8">
      <w:pPr>
        <w:pStyle w:val="isselectedend"/>
        <w:bidi/>
        <w:rPr>
          <w:rFonts w:ascii="Sakkal Majalla" w:hAnsi="Sakkal Majalla" w:cs="Sakkal Majalla"/>
          <w:sz w:val="28"/>
          <w:szCs w:val="28"/>
        </w:rPr>
      </w:pPr>
      <w:r>
        <w:rPr>
          <w:rFonts w:ascii="Sakkal Majalla" w:hAnsi="Sakkal Majalla" w:cs="Sakkal Majalla" w:hint="cs"/>
          <w:sz w:val="28"/>
          <w:szCs w:val="28"/>
          <w:rtl/>
        </w:rPr>
        <w:t>وسيكون لملاحظاتكم القيمة الأثر الكبير في تطوير الأداة وتحسينها بما يسهم في تحقيق أهداف الدراسة</w:t>
      </w:r>
      <w:r>
        <w:rPr>
          <w:rFonts w:ascii="Sakkal Majalla" w:hAnsi="Sakkal Majalla" w:cs="Sakkal Majalla" w:hint="cs"/>
          <w:sz w:val="28"/>
          <w:szCs w:val="28"/>
        </w:rPr>
        <w:t>.</w:t>
      </w:r>
    </w:p>
    <w:p w:rsidR="00C234E8" w:rsidRDefault="00C234E8">
      <w:pPr>
        <w:pStyle w:val="isselectedend"/>
        <w:bidi/>
        <w:jc w:val="center"/>
        <w:rPr>
          <w:rFonts w:ascii="Sakkal Majalla" w:hAnsi="Sakkal Majalla" w:cs="Sakkal Majalla"/>
          <w:sz w:val="28"/>
          <w:szCs w:val="28"/>
        </w:rPr>
      </w:pPr>
      <w:r>
        <w:rPr>
          <w:rFonts w:ascii="Sakkal Majalla" w:hAnsi="Sakkal Majalla" w:cs="Sakkal Majalla" w:hint="cs"/>
          <w:sz w:val="28"/>
          <w:szCs w:val="28"/>
          <w:rtl/>
        </w:rPr>
        <w:t>وتفضلوا بقبول فائق الاحترام والتقدير</w:t>
      </w:r>
    </w:p>
    <w:p w:rsidR="00C234E8" w:rsidRDefault="00C234E8">
      <w:pPr>
        <w:pStyle w:val="NormalWeb"/>
        <w:bidi/>
        <w:rPr>
          <w:rFonts w:ascii="Sakkal Majalla" w:hAnsi="Sakkal Majalla" w:cs="Sakkal Majalla"/>
          <w:sz w:val="28"/>
          <w:szCs w:val="28"/>
        </w:rPr>
      </w:pPr>
      <w:r>
        <w:rPr>
          <w:rFonts w:ascii="Sakkal Majalla" w:hAnsi="Sakkal Majalla" w:cs="Sakkal Majalla" w:hint="cs"/>
          <w:sz w:val="28"/>
          <w:szCs w:val="28"/>
          <w:rtl/>
        </w:rPr>
        <w:t>الباحث</w:t>
      </w:r>
      <w:r w:rsidR="00974E00">
        <w:rPr>
          <w:rFonts w:ascii="Sakkal Majalla" w:hAnsi="Sakkal Majalla" w:cs="Sakkal Majalla" w:hint="cs"/>
          <w:sz w:val="28"/>
          <w:szCs w:val="28"/>
          <w:rtl/>
        </w:rPr>
        <w:t xml:space="preserve">ه </w:t>
      </w:r>
      <w:r>
        <w:rPr>
          <w:rFonts w:ascii="Sakkal Majalla" w:hAnsi="Sakkal Majalla" w:cs="Sakkal Majalla" w:hint="cs"/>
          <w:sz w:val="28"/>
          <w:szCs w:val="28"/>
          <w:rtl/>
        </w:rPr>
        <w:t>:</w:t>
      </w:r>
      <w:r>
        <w:rPr>
          <w:rFonts w:ascii="Sakkal Majalla" w:hAnsi="Sakkal Majalla" w:cs="Sakkal Majalla" w:hint="cs"/>
          <w:sz w:val="28"/>
          <w:szCs w:val="28"/>
        </w:rPr>
        <w:t xml:space="preserve">  </w:t>
      </w:r>
      <w:r>
        <w:rPr>
          <w:rFonts w:ascii="Sakkal Majalla" w:hAnsi="Sakkal Majalla" w:cs="Sakkal Majalla" w:hint="cs"/>
          <w:sz w:val="28"/>
          <w:szCs w:val="28"/>
          <w:rtl/>
          <w:lang w:bidi="ar-EG"/>
        </w:rPr>
        <w:t>امل الدوسري</w:t>
      </w:r>
      <w:r>
        <w:rPr>
          <w:rFonts w:ascii="Sakkal Majalla" w:hAnsi="Sakkal Majalla" w:cs="Sakkal Majalla" w:hint="cs"/>
          <w:sz w:val="28"/>
          <w:szCs w:val="28"/>
        </w:rPr>
        <w:t xml:space="preserve"> </w:t>
      </w:r>
      <w:r>
        <w:rPr>
          <w:rFonts w:ascii="Sakkal Majalla" w:hAnsi="Sakkal Majalla" w:cs="Sakkal Majalla" w:hint="cs"/>
          <w:sz w:val="28"/>
          <w:szCs w:val="28"/>
        </w:rPr>
        <w:br/>
      </w:r>
      <w:r>
        <w:rPr>
          <w:rFonts w:ascii="Sakkal Majalla" w:hAnsi="Sakkal Majalla" w:cs="Sakkal Majalla" w:hint="cs"/>
          <w:sz w:val="28"/>
          <w:szCs w:val="28"/>
          <w:rtl/>
        </w:rPr>
        <w:t>التاريخ:</w:t>
      </w:r>
    </w:p>
    <w:p w:rsidR="00C234E8" w:rsidRPr="00974E00" w:rsidRDefault="00C234E8" w:rsidP="00974E00">
      <w:pPr>
        <w:tabs>
          <w:tab w:val="left" w:pos="1975"/>
        </w:tabs>
        <w:bidi/>
        <w:spacing w:line="240" w:lineRule="auto"/>
        <w:jc w:val="center"/>
        <w:rPr>
          <w:rFonts w:ascii="Sakkal Majalla" w:eastAsia="Simplified Arabic" w:hAnsi="Sakkal Majalla" w:cs="Sakkal Majalla"/>
          <w:bCs/>
          <w:sz w:val="24"/>
          <w:szCs w:val="24"/>
          <w:u w:val="single"/>
          <w:rtl/>
          <w:lang w:bidi="ar-EG"/>
        </w:rPr>
      </w:pPr>
      <w:r>
        <w:rPr>
          <w:rFonts w:ascii="Sakkal Majalla" w:eastAsia="Simplified Arabic" w:hAnsi="Sakkal Majalla" w:cs="Sakkal Majalla" w:hint="cs"/>
          <w:bCs/>
          <w:sz w:val="24"/>
          <w:szCs w:val="24"/>
          <w:u w:val="single"/>
          <w:rtl/>
        </w:rPr>
        <w:lastRenderedPageBreak/>
        <w:t xml:space="preserve">فقرات الاستبانة من الدراسات السابقة والتعديل عليها ليتوافق مع </w:t>
      </w:r>
      <w:r>
        <w:rPr>
          <w:rFonts w:ascii="Sakkal Majalla" w:eastAsia="Simplified Arabic" w:hAnsi="Sakkal Majalla" w:cs="Sakkal Majalla" w:hint="cs"/>
          <w:bCs/>
          <w:sz w:val="24"/>
          <w:szCs w:val="24"/>
          <w:u w:val="single"/>
          <w:rtl/>
          <w:lang w:bidi="ar-SY"/>
        </w:rPr>
        <w:t>ا</w:t>
      </w:r>
      <w:r>
        <w:rPr>
          <w:rFonts w:ascii="Sakkal Majalla" w:eastAsia="Simplified Arabic" w:hAnsi="Sakkal Majalla" w:cs="Sakkal Majalla" w:hint="cs"/>
          <w:bCs/>
          <w:sz w:val="24"/>
          <w:szCs w:val="24"/>
          <w:u w:val="single"/>
          <w:rtl/>
        </w:rPr>
        <w:t>لدراسة الحالية:</w:t>
      </w:r>
    </w:p>
    <w:p w:rsidR="00C234E8" w:rsidRDefault="00C234E8" w:rsidP="00974E00">
      <w:pPr>
        <w:bidi/>
        <w:spacing w:line="240" w:lineRule="auto"/>
        <w:rPr>
          <w:rFonts w:asciiTheme="majorBidi" w:hAnsiTheme="majorBidi" w:cstheme="majorBidi"/>
          <w:sz w:val="24"/>
          <w:szCs w:val="24"/>
          <w:rtl/>
          <w:lang w:bidi="ar-EG"/>
        </w:rPr>
      </w:pPr>
      <w:r>
        <w:rPr>
          <w:rFonts w:asciiTheme="majorBidi" w:hAnsiTheme="majorBidi" w:cstheme="majorBidi"/>
          <w:b/>
          <w:bCs/>
          <w:sz w:val="24"/>
          <w:szCs w:val="24"/>
          <w:rtl/>
          <w:lang w:bidi="ar-EG"/>
        </w:rPr>
        <w:t>المتغير المستقل: الذكاء التنظيمي</w:t>
      </w:r>
      <w:r>
        <w:rPr>
          <w:rFonts w:asciiTheme="majorBidi" w:hAnsiTheme="majorBidi" w:cstheme="majorBidi"/>
          <w:sz w:val="24"/>
          <w:szCs w:val="24"/>
          <w:rtl/>
          <w:lang w:bidi="ar-EG"/>
        </w:rPr>
        <w:t xml:space="preserve"> (عدد الفقرات 20)</w:t>
      </w:r>
    </w:p>
    <w:tbl>
      <w:tblPr>
        <w:tblStyle w:val="TableGrid"/>
        <w:bidiVisual/>
        <w:tblW w:w="8919" w:type="dxa"/>
        <w:tblInd w:w="711" w:type="dxa"/>
        <w:tblBorders>
          <w:top w:val="thinThickSmallGap" w:sz="18" w:space="0" w:color="auto"/>
          <w:left w:val="thinThickSmallGap" w:sz="18" w:space="0" w:color="auto"/>
          <w:bottom w:val="thickThinSmallGap" w:sz="18" w:space="0" w:color="auto"/>
          <w:right w:val="thickThinSmallGap" w:sz="18" w:space="0" w:color="auto"/>
        </w:tblBorders>
        <w:tblLook w:val="04A0" w:firstRow="1" w:lastRow="0" w:firstColumn="1" w:lastColumn="0" w:noHBand="0" w:noVBand="1"/>
      </w:tblPr>
      <w:tblGrid>
        <w:gridCol w:w="1564"/>
        <w:gridCol w:w="719"/>
        <w:gridCol w:w="3072"/>
        <w:gridCol w:w="1836"/>
        <w:gridCol w:w="1728"/>
      </w:tblGrid>
      <w:tr w:rsidR="00C234E8">
        <w:trPr>
          <w:trHeight w:val="20"/>
        </w:trPr>
        <w:tc>
          <w:tcPr>
            <w:tcW w:w="1564" w:type="dxa"/>
            <w:tcBorders>
              <w:top w:val="thinThickSmallGap" w:sz="18" w:space="0" w:color="auto"/>
              <w:left w:val="thickThinSmallGap" w:sz="18"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rtl/>
                <w:lang w:bidi="ar-EG"/>
              </w:rPr>
            </w:pPr>
            <w:r>
              <w:rPr>
                <w:rFonts w:asciiTheme="majorBidi" w:hAnsiTheme="majorBidi" w:cstheme="majorBidi"/>
                <w:b/>
                <w:bCs/>
                <w:sz w:val="24"/>
                <w:szCs w:val="24"/>
                <w:rtl/>
              </w:rPr>
              <w:t>البعد</w:t>
            </w:r>
          </w:p>
        </w:tc>
        <w:tc>
          <w:tcPr>
            <w:tcW w:w="719"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رقم الفقرة</w:t>
            </w:r>
          </w:p>
        </w:tc>
        <w:tc>
          <w:tcPr>
            <w:tcW w:w="3072"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الفقرة</w:t>
            </w:r>
          </w:p>
        </w:tc>
        <w:tc>
          <w:tcPr>
            <w:tcW w:w="183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المصدر</w:t>
            </w:r>
          </w:p>
        </w:tc>
        <w:tc>
          <w:tcPr>
            <w:tcW w:w="1728" w:type="dxa"/>
            <w:tcBorders>
              <w:top w:val="thinThickSmallGap" w:sz="18" w:space="0" w:color="auto"/>
              <w:left w:val="single" w:sz="4" w:space="0" w:color="auto"/>
              <w:bottom w:val="thinThickSmallGap" w:sz="18" w:space="0" w:color="auto"/>
              <w:right w:val="thinThickSmallGap" w:sz="18"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التعديل</w:t>
            </w:r>
          </w:p>
        </w:tc>
      </w:tr>
      <w:tr w:rsidR="00C234E8">
        <w:trPr>
          <w:trHeight w:val="20"/>
        </w:trPr>
        <w:tc>
          <w:tcPr>
            <w:tcW w:w="1564" w:type="dxa"/>
            <w:tcBorders>
              <w:top w:val="thinThickSmallGap" w:sz="18"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w:t>
            </w:r>
          </w:p>
        </w:tc>
        <w:tc>
          <w:tcPr>
            <w:tcW w:w="3072"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تمتلك الشركة القدرة على وضع تصور واضح لمستقبلها في بيئة أعمال متقلبة</w:t>
            </w:r>
          </w:p>
        </w:tc>
        <w:tc>
          <w:tcPr>
            <w:tcW w:w="1836"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thinThickSmallGap" w:sz="18"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الاستراتيجي في زيادة رضا العاملين والعملاء</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Ruhul, 2025</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تسعى الشكة الي تحليل النظم الادارية الحديثة لقراءة المؤشرات المبكرة للفرص والتهديدات في بيئة العمل المحيطة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Ruhul, 2025</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4</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الاستراتيجي في تحسين إنتاجية العاملين وتحقيق اهدافها</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الاستراتيجي في توقع التغيرات والأزمات المستقبلية قبل وقوعه</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العاطفي في تحسين الصورة الذهنية للشركة لجميع أطراف العملية التأمينية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العاطفي في كسب ولاء العاملين والعملاء</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8</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تشارك إدارة الشركة العاملين بالمشكلات التي تواجهها خصوصا فهم تأثير الأفعال على الآخرين</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9</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يساعد الذكاء العاطفي المحققين على اكتشاف التناقضات والتوتر ومعرفة المشاعر الشخصية بدقة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lastRenderedPageBreak/>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10</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تجمع الشركات بين البيانات العاطفية التي يتم رصدها وبيانات المطالبات السابقة لحساب درجة الخاطرة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11</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تشارك إدارة الشركة العاملين بآرائهم حول النتائج التي حققتها في توجيه جهود العاملين نحو هدف واحد واضح.</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12</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يشارك العاملون في الشركة إدارة الشركة في بناء ثقافة عمل قائمة على الثقة والتعاون</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13</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يشعر العاملون في الشركة بالانتماء إلى شركتهم مما يقلل من الصراعات</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14</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تربط العاملين في الشركة روابط إنسانية قوية تجعل مصالحهم مشتركة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15</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تضمن الشركة الارتباط الوثيق على أساس المصلحة المشتركة بين مختلف الأطراف</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16</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تحفز الشركة الرغبة لدي العاملين للعمل الجماعي لتوحيد رؤية قطاع المبيعات مع إدارة المخاطر</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17</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يؤمن العاملون بالشركة ان الإدارة تضع مصالح العاملين محور اهتمامها</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18</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تقوم الشركة بتفويض المسؤوليات والصلاحيات للمستويات الإدارية الدنيا</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19</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يتم تنسيق جهود العاملين بما يمنع ازدواجية العمل ويمنع عمليات التصادم بينهم</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trHeight w:val="20"/>
        </w:trPr>
        <w:tc>
          <w:tcPr>
            <w:tcW w:w="1564" w:type="dxa"/>
            <w:tcBorders>
              <w:top w:val="single" w:sz="4" w:space="0" w:color="auto"/>
              <w:left w:val="thickThinSmallGap" w:sz="18"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20</w:t>
            </w:r>
          </w:p>
        </w:tc>
        <w:tc>
          <w:tcPr>
            <w:tcW w:w="3072"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تسهم نظم المعلومات في تمكين الموظفين بالقيام بأعمالهم بفاعلية</w:t>
            </w:r>
          </w:p>
        </w:tc>
        <w:tc>
          <w:tcPr>
            <w:tcW w:w="1836"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thickThinSmallGap" w:sz="18"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bl>
    <w:p w:rsidR="00C234E8" w:rsidRDefault="00C234E8">
      <w:pPr>
        <w:spacing w:line="240" w:lineRule="auto"/>
        <w:rPr>
          <w:rFonts w:asciiTheme="majorBidi" w:hAnsiTheme="majorBidi" w:cstheme="majorBidi"/>
          <w:sz w:val="24"/>
          <w:szCs w:val="24"/>
          <w:lang w:bidi="ar-EG"/>
        </w:rPr>
      </w:pPr>
    </w:p>
    <w:p w:rsidR="00C234E8" w:rsidRDefault="00C234E8">
      <w:pPr>
        <w:bidi/>
        <w:spacing w:line="240" w:lineRule="auto"/>
        <w:rPr>
          <w:rFonts w:asciiTheme="majorBidi" w:hAnsiTheme="majorBidi" w:cstheme="majorBidi"/>
          <w:b/>
          <w:bCs/>
          <w:sz w:val="24"/>
          <w:szCs w:val="24"/>
        </w:rPr>
      </w:pPr>
      <w:r>
        <w:rPr>
          <w:rFonts w:asciiTheme="majorBidi" w:hAnsiTheme="majorBidi" w:cstheme="majorBidi"/>
          <w:b/>
          <w:bCs/>
          <w:sz w:val="24"/>
          <w:szCs w:val="24"/>
          <w:rtl/>
        </w:rPr>
        <w:lastRenderedPageBreak/>
        <w:t>المتغير التابع: الكشف عن الاحتيال بمطالبات التأمين (عددالفقرات 15)</w:t>
      </w:r>
    </w:p>
    <w:p w:rsidR="00C234E8" w:rsidRDefault="00C234E8">
      <w:pPr>
        <w:spacing w:line="240" w:lineRule="auto"/>
        <w:rPr>
          <w:rFonts w:asciiTheme="majorBidi" w:hAnsiTheme="majorBidi" w:cstheme="majorBidi"/>
          <w:sz w:val="24"/>
          <w:szCs w:val="24"/>
          <w:rtl/>
          <w:lang w:bidi="ar-EG"/>
        </w:rPr>
      </w:pPr>
    </w:p>
    <w:tbl>
      <w:tblPr>
        <w:tblStyle w:val="TableGrid"/>
        <w:bidiVisual/>
        <w:tblW w:w="8494" w:type="dxa"/>
        <w:tblInd w:w="964" w:type="dxa"/>
        <w:tblBorders>
          <w:top w:val="thinThickSmallGap" w:sz="18" w:space="0" w:color="auto"/>
          <w:left w:val="thinThickSmallGap" w:sz="18" w:space="0" w:color="auto"/>
          <w:bottom w:val="thickThinSmallGap" w:sz="18" w:space="0" w:color="auto"/>
          <w:right w:val="thickThinSmallGap" w:sz="18" w:space="0" w:color="auto"/>
        </w:tblBorders>
        <w:tblLook w:val="04A0" w:firstRow="1" w:lastRow="0" w:firstColumn="1" w:lastColumn="0" w:noHBand="0" w:noVBand="1"/>
      </w:tblPr>
      <w:tblGrid>
        <w:gridCol w:w="1275"/>
        <w:gridCol w:w="719"/>
        <w:gridCol w:w="3249"/>
        <w:gridCol w:w="2376"/>
        <w:gridCol w:w="875"/>
      </w:tblGrid>
      <w:tr w:rsidR="00C234E8">
        <w:tc>
          <w:tcPr>
            <w:tcW w:w="1275" w:type="dxa"/>
            <w:tcBorders>
              <w:top w:val="thinThickSmallGap" w:sz="18" w:space="0" w:color="auto"/>
              <w:left w:val="thickThinSmallGap" w:sz="18"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البعد</w:t>
            </w:r>
          </w:p>
        </w:tc>
        <w:tc>
          <w:tcPr>
            <w:tcW w:w="719"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رقم الفقرة</w:t>
            </w:r>
          </w:p>
        </w:tc>
        <w:tc>
          <w:tcPr>
            <w:tcW w:w="3249"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الفقرة</w:t>
            </w:r>
          </w:p>
        </w:tc>
        <w:tc>
          <w:tcPr>
            <w:tcW w:w="237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المصدر</w:t>
            </w:r>
          </w:p>
        </w:tc>
        <w:tc>
          <w:tcPr>
            <w:tcW w:w="0" w:type="auto"/>
            <w:tcBorders>
              <w:top w:val="thinThickSmallGap" w:sz="18" w:space="0" w:color="auto"/>
              <w:left w:val="single" w:sz="4" w:space="0" w:color="auto"/>
              <w:bottom w:val="thinThickSmallGap" w:sz="18" w:space="0" w:color="auto"/>
              <w:right w:val="thinThickSmallGap" w:sz="18"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التعديل</w:t>
            </w:r>
          </w:p>
        </w:tc>
      </w:tr>
      <w:tr w:rsidR="00C234E8">
        <w:tc>
          <w:tcPr>
            <w:tcW w:w="1275" w:type="dxa"/>
            <w:tcBorders>
              <w:top w:val="thinThickSmallGap" w:sz="18"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lang w:bidi="ar-EG"/>
              </w:rPr>
              <w:t>21</w:t>
            </w:r>
          </w:p>
        </w:tc>
        <w:tc>
          <w:tcPr>
            <w:tcW w:w="3249"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تُصنف الخوارزميات المطالبات فور تقديمها إلى: آمنة تُصرف تلقائياً، أو مشبوهة تتطلب تدخلاً بشرياً.</w:t>
            </w:r>
          </w:p>
        </w:tc>
        <w:tc>
          <w:tcPr>
            <w:tcW w:w="2376"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thinThickSmallGap" w:sz="18"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تعلم النماذج المقدمة من الطرف الأول ديناميكياً من كل معاملة جديدة.</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Van, et al., 2024</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23</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تقوم الشركة بضبط معايير الأمان باستمرار لمواكبة طرق الاحتيال المتطورة من الطرف الاول</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Van, et al., 2024</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4</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Van, et al., 2024</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توفر الشركة برمجيات وأنظمة متقدمة لدعم قراراتها وتقليل التكاليف التشغيلية في الكشف عن الاحتيال</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استخدام الشركات لنظم المعلومات الحديثة يسهم في زيادة فاعلية الكشف عن الاحتيال .</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قدرة الشركة على كشف الاحتيال من خلال تحديد الروابط الخفية بين الأفراد من داخل الشركة وخارجها</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28</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تحليل الأنماط السلوكية للطرف الثاني، تقييم سجل المطالبات، واستخدام التحليلات التنبؤية لرصد التجاوزات.</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9</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توفر الشركة اجراءات لحماية حقوقها  إذا ثبت تورط الطرف الثاني في احتيال متعمد أو تواطؤ</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lastRenderedPageBreak/>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30</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 xml:space="preserve">يساهم تبادل المعلومات بصورة استباقية بين شركات التامين في الكشف المبكر عن الاحتيال </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31</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قدرة الشركة في الكشف عن الاحتيال بمطالبات التأمين من الطرف الثالث</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يتم تحويل البيانات الضخمة إلى قرارات استباقية دقيقة، مما يقلل الخسائر المالية ويسرع تسوية المطالبات المشروعة</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33</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عزل المطالبات المشبوهة يتيح تمرير التعويضات الصحيحة بسرعة، مما يرفع رضا العملاء</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34</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c>
          <w:tcPr>
            <w:tcW w:w="1275" w:type="dxa"/>
            <w:tcBorders>
              <w:top w:val="single" w:sz="4" w:space="0" w:color="auto"/>
              <w:left w:val="thickThinSmallGap" w:sz="18"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35</w:t>
            </w:r>
          </w:p>
        </w:tc>
        <w:tc>
          <w:tcPr>
            <w:tcW w:w="3249"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استخدام برامج الذكاء الاصطناعي ونماذج تعلم الآلة لمقارنة المطالبات، وكشف التناقضات أو الروايات غير المتسقة.</w:t>
            </w:r>
          </w:p>
        </w:tc>
        <w:tc>
          <w:tcPr>
            <w:tcW w:w="2376"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thickThinSmallGap" w:sz="18"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bl>
    <w:p w:rsidR="00C234E8" w:rsidRDefault="00C234E8">
      <w:pPr>
        <w:spacing w:line="240" w:lineRule="auto"/>
        <w:rPr>
          <w:rFonts w:asciiTheme="majorBidi" w:hAnsiTheme="majorBidi" w:cstheme="majorBidi"/>
          <w:sz w:val="24"/>
          <w:szCs w:val="24"/>
          <w:lang w:bidi="ar-EG"/>
        </w:rPr>
      </w:pPr>
    </w:p>
    <w:p w:rsidR="00C234E8" w:rsidRDefault="00C234E8">
      <w:pPr>
        <w:bidi/>
        <w:spacing w:after="0"/>
        <w:jc w:val="both"/>
        <w:rPr>
          <w:rFonts w:ascii="Sakkal Majalla" w:hAnsi="Sakkal Majalla" w:cs="Sakkal Majalla"/>
          <w:b/>
          <w:bCs/>
          <w:sz w:val="24"/>
          <w:szCs w:val="24"/>
        </w:rPr>
      </w:pPr>
    </w:p>
    <w:p w:rsidR="00C234E8" w:rsidRDefault="00C234E8">
      <w:pPr>
        <w:bidi/>
        <w:spacing w:after="0"/>
        <w:jc w:val="both"/>
        <w:rPr>
          <w:rFonts w:ascii="Sakkal Majalla" w:hAnsi="Sakkal Majalla" w:cs="Sakkal Majalla"/>
          <w:b/>
          <w:bCs/>
          <w:sz w:val="24"/>
          <w:szCs w:val="24"/>
          <w:rtl/>
        </w:rPr>
      </w:pPr>
    </w:p>
    <w:p w:rsidR="00C234E8" w:rsidRDefault="00C234E8">
      <w:pPr>
        <w:bidi/>
        <w:spacing w:after="0"/>
        <w:jc w:val="both"/>
        <w:rPr>
          <w:rFonts w:ascii="Sakkal Majalla" w:hAnsi="Sakkal Majalla" w:cs="Sakkal Majalla"/>
          <w:b/>
          <w:bCs/>
          <w:sz w:val="24"/>
          <w:szCs w:val="24"/>
          <w:rtl/>
        </w:rPr>
      </w:pPr>
    </w:p>
    <w:p w:rsidR="00C234E8" w:rsidRDefault="00C234E8">
      <w:pPr>
        <w:bidi/>
        <w:spacing w:after="0"/>
        <w:jc w:val="both"/>
        <w:rPr>
          <w:rFonts w:ascii="Sakkal Majalla" w:hAnsi="Sakkal Majalla" w:cs="Sakkal Majalla"/>
          <w:b/>
          <w:bCs/>
          <w:sz w:val="24"/>
          <w:szCs w:val="24"/>
          <w:rtl/>
        </w:rPr>
      </w:pPr>
    </w:p>
    <w:p w:rsidR="00C234E8" w:rsidRDefault="00C234E8">
      <w:pPr>
        <w:bidi/>
        <w:spacing w:after="0"/>
        <w:jc w:val="both"/>
        <w:rPr>
          <w:rFonts w:ascii="Sakkal Majalla" w:hAnsi="Sakkal Majalla" w:cs="Sakkal Majalla"/>
          <w:b/>
          <w:bCs/>
          <w:sz w:val="24"/>
          <w:szCs w:val="24"/>
          <w:rtl/>
        </w:rPr>
      </w:pPr>
    </w:p>
    <w:p w:rsidR="00C234E8" w:rsidRDefault="00C234E8">
      <w:pPr>
        <w:bidi/>
        <w:spacing w:after="0"/>
        <w:jc w:val="both"/>
        <w:rPr>
          <w:rFonts w:ascii="Sakkal Majalla" w:hAnsi="Sakkal Majalla" w:cs="Sakkal Majalla"/>
          <w:b/>
          <w:bCs/>
          <w:sz w:val="24"/>
          <w:szCs w:val="24"/>
          <w:rtl/>
        </w:rPr>
      </w:pPr>
    </w:p>
    <w:p w:rsidR="00BF67BA" w:rsidRDefault="00BF67BA" w:rsidP="00BF67BA">
      <w:pPr>
        <w:bidi/>
        <w:spacing w:after="0"/>
        <w:jc w:val="both"/>
        <w:rPr>
          <w:rFonts w:ascii="Sakkal Majalla" w:hAnsi="Sakkal Majalla" w:cs="Sakkal Majalla"/>
          <w:b/>
          <w:bCs/>
          <w:sz w:val="24"/>
          <w:szCs w:val="24"/>
          <w:rtl/>
        </w:rPr>
      </w:pPr>
    </w:p>
    <w:p w:rsidR="00BF67BA" w:rsidRDefault="00BF67BA" w:rsidP="00BF67BA">
      <w:pPr>
        <w:bidi/>
        <w:spacing w:after="0"/>
        <w:jc w:val="both"/>
        <w:rPr>
          <w:rFonts w:ascii="Sakkal Majalla" w:hAnsi="Sakkal Majalla" w:cs="Sakkal Majalla"/>
          <w:b/>
          <w:bCs/>
          <w:sz w:val="24"/>
          <w:szCs w:val="24"/>
          <w:rtl/>
        </w:rPr>
      </w:pPr>
    </w:p>
    <w:p w:rsidR="00C234E8" w:rsidRDefault="00C234E8">
      <w:pPr>
        <w:bidi/>
        <w:spacing w:after="0"/>
        <w:jc w:val="both"/>
        <w:rPr>
          <w:rFonts w:ascii="Sakkal Majalla" w:hAnsi="Sakkal Majalla" w:cs="Sakkal Majalla"/>
          <w:b/>
          <w:bCs/>
          <w:sz w:val="24"/>
          <w:szCs w:val="24"/>
          <w:rtl/>
        </w:rPr>
      </w:pPr>
    </w:p>
    <w:p w:rsidR="00C234E8" w:rsidRDefault="00C234E8">
      <w:pPr>
        <w:bidi/>
        <w:spacing w:after="0"/>
        <w:jc w:val="both"/>
        <w:rPr>
          <w:rFonts w:ascii="Sakkal Majalla" w:hAnsi="Sakkal Majalla" w:cs="Sakkal Majalla"/>
          <w:b/>
          <w:bCs/>
          <w:sz w:val="24"/>
          <w:szCs w:val="24"/>
          <w:rtl/>
        </w:rPr>
      </w:pPr>
    </w:p>
    <w:p w:rsidR="00C234E8" w:rsidRDefault="00C234E8">
      <w:pPr>
        <w:bidi/>
        <w:spacing w:after="0"/>
        <w:jc w:val="center"/>
        <w:rPr>
          <w:rFonts w:ascii="Sakkal Majalla" w:hAnsi="Sakkal Majalla" w:cs="Sakkal Majalla"/>
          <w:b/>
          <w:bCs/>
          <w:sz w:val="24"/>
          <w:szCs w:val="24"/>
          <w:u w:val="single"/>
          <w:rtl/>
        </w:rPr>
      </w:pPr>
      <w:r>
        <w:rPr>
          <w:rFonts w:ascii="Sakkal Majalla" w:hAnsi="Sakkal Majalla" w:cs="Sakkal Majalla" w:hint="cs"/>
          <w:b/>
          <w:bCs/>
          <w:sz w:val="24"/>
          <w:szCs w:val="24"/>
          <w:u w:val="single"/>
          <w:rtl/>
        </w:rPr>
        <w:lastRenderedPageBreak/>
        <w:t>استبانة التحكيم</w:t>
      </w:r>
    </w:p>
    <w:p w:rsidR="00C234E8" w:rsidRDefault="00C234E8">
      <w:pPr>
        <w:bidi/>
        <w:spacing w:after="0" w:line="360" w:lineRule="auto"/>
        <w:rPr>
          <w:rFonts w:ascii="Sakkal Majalla" w:hAnsi="Sakkal Majalla" w:cs="Sakkal Majalla"/>
          <w:b/>
          <w:sz w:val="28"/>
          <w:szCs w:val="28"/>
          <w:rtl/>
        </w:rPr>
      </w:pPr>
      <w:r>
        <w:rPr>
          <w:rFonts w:ascii="Sakkal Majalla" w:hAnsi="Sakkal Majalla" w:cs="Sakkal Majalla" w:hint="cs"/>
          <w:sz w:val="28"/>
          <w:szCs w:val="28"/>
          <w:rtl/>
        </w:rPr>
        <w:t>يُرجى وضع إشارة (</w:t>
      </w:r>
      <w:r>
        <w:rPr>
          <w:rFonts w:ascii="Segoe UI Symbol" w:eastAsia="MS Gothic" w:hAnsi="Segoe UI Symbol" w:cs="Segoe UI Symbol" w:hint="cs"/>
          <w:sz w:val="28"/>
          <w:szCs w:val="28"/>
          <w:rtl/>
        </w:rPr>
        <w:t>✓</w:t>
      </w:r>
      <w:r>
        <w:rPr>
          <w:rFonts w:ascii="Sakkal Majalla" w:hAnsi="Sakkal Majalla" w:cs="Sakkal Majalla" w:hint="cs"/>
          <w:sz w:val="28"/>
          <w:szCs w:val="28"/>
          <w:rtl/>
        </w:rPr>
        <w:t>) في الخانة التي ترونها مناسبة</w:t>
      </w:r>
      <w:r>
        <w:rPr>
          <w:rFonts w:ascii="Sakkal Majalla" w:hAnsi="Sakkal Majalla" w:cs="Sakkal Majalla" w:hint="cs"/>
          <w:sz w:val="28"/>
          <w:szCs w:val="28"/>
        </w:rPr>
        <w:t>.</w:t>
      </w:r>
    </w:p>
    <w:p w:rsidR="00C234E8" w:rsidRDefault="00C234E8">
      <w:pPr>
        <w:bidi/>
        <w:spacing w:line="240" w:lineRule="auto"/>
        <w:rPr>
          <w:rFonts w:asciiTheme="majorBidi" w:hAnsiTheme="majorBidi" w:cstheme="majorBidi"/>
          <w:rtl/>
        </w:rPr>
      </w:pPr>
    </w:p>
    <w:p w:rsidR="00C234E8" w:rsidRDefault="00C234E8">
      <w:pPr>
        <w:bidi/>
        <w:spacing w:line="240" w:lineRule="auto"/>
        <w:rPr>
          <w:rFonts w:asciiTheme="majorBidi" w:hAnsiTheme="majorBidi" w:cstheme="majorBidi"/>
          <w:rtl/>
          <w:lang w:bidi="ar-EG"/>
        </w:rPr>
      </w:pPr>
      <w:r>
        <w:rPr>
          <w:rFonts w:asciiTheme="majorBidi" w:hAnsiTheme="majorBidi" w:cstheme="majorBidi"/>
          <w:b/>
          <w:bCs/>
          <w:rtl/>
          <w:lang w:bidi="ar-EG"/>
        </w:rPr>
        <w:t>المتغير المستقل: الذكاء التنظيمي</w:t>
      </w:r>
    </w:p>
    <w:p w:rsidR="00C234E8" w:rsidRDefault="00C234E8">
      <w:pPr>
        <w:bidi/>
        <w:spacing w:line="240" w:lineRule="auto"/>
        <w:rPr>
          <w:rFonts w:asciiTheme="majorBidi" w:hAnsiTheme="majorBidi" w:cstheme="majorBidi"/>
          <w:rtl/>
        </w:rPr>
      </w:pPr>
    </w:p>
    <w:tbl>
      <w:tblPr>
        <w:tblStyle w:val="TableGrid"/>
        <w:bidiVisual/>
        <w:tblW w:w="8186" w:type="dxa"/>
        <w:tblInd w:w="0" w:type="dxa"/>
        <w:tblBorders>
          <w:top w:val="thinThickSmallGap" w:sz="18" w:space="0" w:color="auto"/>
          <w:left w:val="thinThickSmallGap" w:sz="18" w:space="0" w:color="auto"/>
          <w:bottom w:val="thickThinSmallGap" w:sz="18" w:space="0" w:color="auto"/>
          <w:right w:val="thickThinSmallGap" w:sz="18" w:space="0" w:color="auto"/>
        </w:tblBorders>
        <w:tblLook w:val="04A0" w:firstRow="1" w:lastRow="0" w:firstColumn="1" w:lastColumn="0" w:noHBand="0" w:noVBand="1"/>
      </w:tblPr>
      <w:tblGrid>
        <w:gridCol w:w="719"/>
        <w:gridCol w:w="1925"/>
        <w:gridCol w:w="766"/>
        <w:gridCol w:w="766"/>
        <w:gridCol w:w="1021"/>
        <w:gridCol w:w="1836"/>
        <w:gridCol w:w="1153"/>
      </w:tblGrid>
      <w:tr w:rsidR="00C234E8">
        <w:trPr>
          <w:trHeight w:val="20"/>
        </w:trPr>
        <w:tc>
          <w:tcPr>
            <w:tcW w:w="719" w:type="dxa"/>
            <w:tcBorders>
              <w:top w:val="thinThickSmallGap" w:sz="18" w:space="0" w:color="auto"/>
              <w:left w:val="thickThinSmallGap" w:sz="18"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rtl/>
                <w:lang w:bidi="ar-EG"/>
              </w:rPr>
            </w:pPr>
            <w:r>
              <w:rPr>
                <w:rFonts w:asciiTheme="majorBidi" w:hAnsiTheme="majorBidi" w:cstheme="majorBidi"/>
                <w:b/>
                <w:bCs/>
                <w:rtl/>
              </w:rPr>
              <w:t>رقم العبارة</w:t>
            </w:r>
          </w:p>
        </w:tc>
        <w:tc>
          <w:tcPr>
            <w:tcW w:w="1925"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lang w:bidi="ar-EG"/>
              </w:rPr>
            </w:pPr>
            <w:r>
              <w:rPr>
                <w:rFonts w:asciiTheme="majorBidi" w:hAnsiTheme="majorBidi" w:cstheme="majorBidi"/>
                <w:b/>
                <w:bCs/>
                <w:rtl/>
              </w:rPr>
              <w:t>الفقرة</w:t>
            </w:r>
          </w:p>
        </w:tc>
        <w:tc>
          <w:tcPr>
            <w:tcW w:w="76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Pr>
            </w:pPr>
            <w:r>
              <w:rPr>
                <w:rFonts w:asciiTheme="majorBidi" w:hAnsiTheme="majorBidi" w:cstheme="majorBidi"/>
                <w:b/>
                <w:bCs/>
                <w:rtl/>
              </w:rPr>
              <w:t>تنتمي للمحور</w:t>
            </w:r>
          </w:p>
        </w:tc>
        <w:tc>
          <w:tcPr>
            <w:tcW w:w="76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tl/>
              </w:rPr>
            </w:pPr>
            <w:r>
              <w:rPr>
                <w:rFonts w:asciiTheme="majorBidi" w:hAnsiTheme="majorBidi" w:cstheme="majorBidi"/>
                <w:b/>
                <w:bCs/>
                <w:rtl/>
              </w:rPr>
              <w:t>لا تنتمي للمحور</w:t>
            </w:r>
          </w:p>
        </w:tc>
        <w:tc>
          <w:tcPr>
            <w:tcW w:w="1021"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tl/>
              </w:rPr>
            </w:pPr>
            <w:r>
              <w:rPr>
                <w:rFonts w:asciiTheme="majorBidi" w:hAnsiTheme="majorBidi" w:cstheme="majorBidi"/>
                <w:b/>
                <w:bCs/>
                <w:rtl/>
              </w:rPr>
              <w:t>مناسبة لغويا</w:t>
            </w:r>
          </w:p>
        </w:tc>
        <w:tc>
          <w:tcPr>
            <w:tcW w:w="183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rtl/>
                <w:lang w:bidi="ar-EG"/>
              </w:rPr>
            </w:pPr>
            <w:r>
              <w:rPr>
                <w:rFonts w:asciiTheme="majorBidi" w:hAnsiTheme="majorBidi" w:cstheme="majorBidi"/>
                <w:b/>
                <w:bCs/>
                <w:rtl/>
              </w:rPr>
              <w:t>غير مناسبة لغويا</w:t>
            </w:r>
          </w:p>
        </w:tc>
        <w:tc>
          <w:tcPr>
            <w:tcW w:w="1153" w:type="dxa"/>
            <w:tcBorders>
              <w:top w:val="thinThickSmallGap" w:sz="18" w:space="0" w:color="auto"/>
              <w:left w:val="single" w:sz="4" w:space="0" w:color="auto"/>
              <w:bottom w:val="thinThickSmallGap" w:sz="18" w:space="0" w:color="auto"/>
              <w:right w:val="thinThickSmallGap" w:sz="18"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lang w:bidi="ar-EG"/>
              </w:rPr>
            </w:pPr>
            <w:r>
              <w:rPr>
                <w:rFonts w:asciiTheme="majorBidi" w:hAnsiTheme="majorBidi" w:cstheme="majorBidi"/>
                <w:b/>
                <w:bCs/>
                <w:rtl/>
              </w:rPr>
              <w:t>التعديل المقترح</w:t>
            </w:r>
          </w:p>
        </w:tc>
      </w:tr>
      <w:tr w:rsidR="00C234E8">
        <w:trPr>
          <w:trHeight w:val="20"/>
        </w:trPr>
        <w:tc>
          <w:tcPr>
            <w:tcW w:w="8186" w:type="dxa"/>
            <w:gridSpan w:val="7"/>
            <w:tcBorders>
              <w:top w:val="thinThickSmallGap" w:sz="18"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الأول: الذكاء الاستراتيجية</w:t>
            </w:r>
            <w:r>
              <w:rPr>
                <w:rFonts w:asciiTheme="majorBidi" w:hAnsiTheme="majorBidi" w:cstheme="majorBidi"/>
                <w:rtl/>
              </w:rPr>
              <w:t xml:space="preserve"> (</w:t>
            </w:r>
            <w:r>
              <w:rPr>
                <w:rFonts w:asciiTheme="majorBidi" w:hAnsiTheme="majorBidi" w:cs="Times New Roman"/>
                <w:rtl/>
              </w:rPr>
              <w:t>هو القدرة على رؤية المستقبل، والتنبؤ بالتهديدات والفرص، واستخدام المعلومات المتاحة لوضع وتنفيذ خطط فعالة لتحقيق الأهداف طويلة الأجل.</w:t>
            </w:r>
            <w:r>
              <w:rPr>
                <w:rFonts w:asciiTheme="majorBidi" w:hAnsiTheme="majorBidi" w:cstheme="majorBidi"/>
                <w:rtl/>
              </w:rPr>
              <w:t>)</w:t>
            </w:r>
          </w:p>
        </w:tc>
      </w:tr>
      <w:tr w:rsidR="00C234E8">
        <w:trPr>
          <w:trHeight w:val="20"/>
        </w:trPr>
        <w:tc>
          <w:tcPr>
            <w:tcW w:w="719" w:type="dxa"/>
            <w:tcBorders>
              <w:top w:val="thinThickSmallGap" w:sz="18"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lang w:bidi="ar-EG"/>
              </w:rPr>
              <w:t>1</w:t>
            </w:r>
          </w:p>
        </w:tc>
        <w:tc>
          <w:tcPr>
            <w:tcW w:w="1925" w:type="dxa"/>
            <w:tcBorders>
              <w:top w:val="thinThickSmallGap" w:sz="18"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تمتلك الشركة القدرة على وضع تصور واضح لمستقبلها في بيئة أعمال متقلبة</w:t>
            </w:r>
          </w:p>
        </w:tc>
        <w:tc>
          <w:tcPr>
            <w:tcW w:w="76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lang w:bidi="ar-EG"/>
              </w:rPr>
            </w:pPr>
          </w:p>
        </w:tc>
        <w:tc>
          <w:tcPr>
            <w:tcW w:w="1021"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thinThickSmallGap" w:sz="18"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2</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يسهم الذكاء الاستراتيجي في زيادة رضا العاملين والعملاء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تسعى الشكة الي تحليل النظم الادارية الحديثة لقراءة المؤشرات المبكرة للفرص والتهديدات في بيئة العمل المحيطة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4</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يسهم الذكاء الاستراتيجي في تحسين إنتاجية العاملين وتحقيق اهدافها</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5</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يسهم الذكاء الاستراتيجي في توقع التغيرات والأزمات المستقبلية قبل وقوعه</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الثاني: الذكاء العاطفي</w:t>
            </w:r>
            <w:r>
              <w:rPr>
                <w:rFonts w:asciiTheme="majorBidi" w:hAnsiTheme="majorBidi" w:cstheme="majorBidi"/>
                <w:rtl/>
              </w:rPr>
              <w:t xml:space="preserve"> (</w:t>
            </w:r>
            <w:r>
              <w:rPr>
                <w:rFonts w:asciiTheme="majorBidi" w:hAnsiTheme="majorBidi" w:cs="Times New Roman"/>
                <w:rtl/>
              </w:rPr>
              <w:t>هو القدرة على فهم وإدارة مشاعرك الشخصية، وكذلك فهم مشاعر الآخرين والاستجابة لها بفعالية. يتضمن ذلك القدرة على التعرف على العواطف، وتوظيفها للتفكير وحل المشكلات، وتعديلها أو التحكم بها، وبناء علاقات إيجابية مع الآخرين</w:t>
            </w:r>
            <w:r>
              <w:rPr>
                <w:rFonts w:asciiTheme="majorBidi" w:hAnsiTheme="majorBidi" w:cstheme="majorBidi"/>
                <w:rtl/>
              </w:rPr>
              <w:t>)</w:t>
            </w: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lang w:bidi="ar-EG"/>
              </w:rPr>
              <w:t>6</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يسهم الذكاء العاطفي في تحسين الصورة الذهنية للشركة لجميع أطراف العملية التأمينية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7</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يسهم الذكاء العاطفي في كسب ولاء العاملين والعملاء</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8</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تشارك إدارة الشركة العاملين بالمشكلات التي تواجهها خصوصا فهم تأثير الأفعال على الآخرين</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lastRenderedPageBreak/>
              <w:t>9</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يساعد الذكاء العاطفي المحققين على اكتشاف التناقضات والتوتر ومعرفة المشاعر الشخصية بدقة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10</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تجمع الشركات بين البيانات العاطفية التي يتم رصدها وبيانات المطالبات السابقة لحساب درجة الخاطرة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الثالث: المصير المشترك</w:t>
            </w:r>
            <w:r>
              <w:rPr>
                <w:rFonts w:asciiTheme="majorBidi" w:hAnsiTheme="majorBidi" w:cstheme="majorBidi"/>
                <w:rtl/>
              </w:rPr>
              <w:t xml:space="preserve"> (</w:t>
            </w:r>
            <w:r>
              <w:rPr>
                <w:rFonts w:asciiTheme="majorBidi" w:hAnsiTheme="majorBidi" w:cs="Times New Roman"/>
                <w:rtl/>
              </w:rPr>
              <w:t>مجتمع المصير المشترك للبشرية، وترجمته الرسمية هي مجتمع المستقبل المشترك للبشرية أو المجتمع البشري ذو المستقبل المشترك</w:t>
            </w:r>
            <w:r>
              <w:rPr>
                <w:rFonts w:asciiTheme="majorBidi" w:hAnsiTheme="majorBidi" w:cstheme="majorBidi"/>
                <w:rtl/>
              </w:rPr>
              <w:t>)</w:t>
            </w: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11</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تشارك إدارة الشركة العاملين بآرائهم حول النتائج التي حققتها في توجيه جهود العاملين نحو هدف واحد واضح.</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12</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يشارك العاملون في الشركة إدارة الشركة في بناء ثقافة عمل قائمة على الثقة والتعاون</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13</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يشعر العاملون في الشركة بالانتماء إلى شركتهم مما يقلل من الصراعات</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14</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تربط العاملين في الشركة روابط إنسانية قوية تجعل مصالحهم مشتركة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15</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تضمن الشركة الارتباط الوثيق على أساس المصلحة المشتركة بين مختلف الأطراف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imes New Roman"/>
                <w:b/>
                <w:bCs/>
                <w:rtl/>
              </w:rPr>
              <w:t xml:space="preserve">البعد الرابع: الموائمة والتطبيق </w:t>
            </w:r>
            <w:r>
              <w:rPr>
                <w:rFonts w:asciiTheme="majorBidi" w:hAnsiTheme="majorBidi" w:cstheme="majorBidi"/>
                <w:rtl/>
              </w:rPr>
              <w:t>(</w:t>
            </w:r>
            <w:r>
              <w:rPr>
                <w:rFonts w:asciiTheme="majorBidi" w:hAnsiTheme="majorBidi" w:cs="Times New Roman"/>
                <w:rtl/>
              </w:rPr>
              <w:t>هما: قدرة المؤسسة الإجرائية على توفيق أهدافها ومواردها وأنظمتها الداخلية مع متغيرات البيئة الخارجية، وتحويل المعلومات والتحليلات الرقمية أو المعرفية بفاعليّة إلى ممارسات عملية وقرارات استراتيجية تُنفذ بدقة لتحقيق الأداء المتميز.)</w:t>
            </w: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lang w:bidi="ar-EG"/>
              </w:rPr>
              <w:t>16</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تحفز الشركة الرغبة لدي العاملين للعمل الجماعي لتوحيد رؤية قطاع المبيعات مع إدارة المخاطر</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17</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يؤمن العاملون بالشركة ان الإدارة تضع مصالح العاملين محور اهتمامها</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18</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تقوم الشركة بتفويض المسؤوليات والصلاحيات للمستويات الإدارية الدنيا</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19</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يتم تنسيق جهود العاملين بما يمنع ازدواجية العمل </w:t>
            </w:r>
            <w:r>
              <w:rPr>
                <w:rFonts w:asciiTheme="majorBidi" w:eastAsia="Times New Roman" w:hAnsiTheme="majorBidi" w:cstheme="majorBidi"/>
                <w:rtl/>
              </w:rPr>
              <w:lastRenderedPageBreak/>
              <w:t>ويمنع عمليات التصادم بينهم</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20</w:t>
            </w:r>
          </w:p>
        </w:tc>
        <w:tc>
          <w:tcPr>
            <w:tcW w:w="1925" w:type="dxa"/>
            <w:tcBorders>
              <w:top w:val="single" w:sz="4" w:space="0" w:color="auto"/>
              <w:left w:val="single" w:sz="4" w:space="0" w:color="auto"/>
              <w:bottom w:val="thickThinSmallGap" w:sz="18"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تسهم نظم المعلومات في تمكين الموظفين بالقيام بأعمالهم بفاعلية </w:t>
            </w:r>
          </w:p>
        </w:tc>
        <w:tc>
          <w:tcPr>
            <w:tcW w:w="76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thickThinSmallGap" w:sz="18"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bl>
    <w:p w:rsidR="00C234E8" w:rsidRDefault="00C234E8">
      <w:pPr>
        <w:bidi/>
        <w:spacing w:line="240" w:lineRule="auto"/>
        <w:rPr>
          <w:rFonts w:asciiTheme="majorBidi" w:hAnsiTheme="majorBidi" w:cstheme="majorBidi"/>
          <w:lang w:bidi="ar-EG"/>
        </w:rPr>
      </w:pPr>
    </w:p>
    <w:p w:rsidR="00C234E8" w:rsidRDefault="00C234E8">
      <w:pPr>
        <w:bidi/>
        <w:spacing w:line="240" w:lineRule="auto"/>
        <w:rPr>
          <w:rFonts w:asciiTheme="majorBidi" w:hAnsiTheme="majorBidi" w:cstheme="majorBidi"/>
          <w:b/>
          <w:bCs/>
        </w:rPr>
      </w:pPr>
      <w:r>
        <w:rPr>
          <w:rFonts w:asciiTheme="majorBidi" w:hAnsiTheme="majorBidi" w:cstheme="majorBidi"/>
          <w:b/>
          <w:bCs/>
          <w:rtl/>
        </w:rPr>
        <w:t>المتغير التابع: الكشف عن الاحتيال بمطالبات التأمين</w:t>
      </w:r>
    </w:p>
    <w:tbl>
      <w:tblPr>
        <w:tblStyle w:val="TableGrid"/>
        <w:bidiVisual/>
        <w:tblW w:w="8186" w:type="dxa"/>
        <w:tblInd w:w="0" w:type="dxa"/>
        <w:tblBorders>
          <w:top w:val="thinThickSmallGap" w:sz="18" w:space="0" w:color="auto"/>
          <w:left w:val="thinThickSmallGap" w:sz="18" w:space="0" w:color="auto"/>
          <w:bottom w:val="thickThinSmallGap" w:sz="18" w:space="0" w:color="auto"/>
          <w:right w:val="thickThinSmallGap" w:sz="18" w:space="0" w:color="auto"/>
        </w:tblBorders>
        <w:tblLook w:val="04A0" w:firstRow="1" w:lastRow="0" w:firstColumn="1" w:lastColumn="0" w:noHBand="0" w:noVBand="1"/>
      </w:tblPr>
      <w:tblGrid>
        <w:gridCol w:w="719"/>
        <w:gridCol w:w="1925"/>
        <w:gridCol w:w="766"/>
        <w:gridCol w:w="766"/>
        <w:gridCol w:w="1021"/>
        <w:gridCol w:w="1836"/>
        <w:gridCol w:w="1153"/>
      </w:tblGrid>
      <w:tr w:rsidR="00C234E8">
        <w:trPr>
          <w:trHeight w:val="20"/>
        </w:trPr>
        <w:tc>
          <w:tcPr>
            <w:tcW w:w="719" w:type="dxa"/>
            <w:tcBorders>
              <w:top w:val="thinThickSmallGap" w:sz="18" w:space="0" w:color="auto"/>
              <w:left w:val="thickThinSmallGap" w:sz="18"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rtl/>
                <w:lang w:bidi="ar-EG"/>
              </w:rPr>
            </w:pPr>
            <w:r>
              <w:rPr>
                <w:rFonts w:asciiTheme="majorBidi" w:hAnsiTheme="majorBidi" w:cstheme="majorBidi"/>
                <w:b/>
                <w:bCs/>
                <w:rtl/>
              </w:rPr>
              <w:t>رقم العبارة</w:t>
            </w:r>
          </w:p>
        </w:tc>
        <w:tc>
          <w:tcPr>
            <w:tcW w:w="1925"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lang w:bidi="ar-EG"/>
              </w:rPr>
            </w:pPr>
            <w:r>
              <w:rPr>
                <w:rFonts w:asciiTheme="majorBidi" w:hAnsiTheme="majorBidi" w:cstheme="majorBidi"/>
                <w:b/>
                <w:bCs/>
                <w:rtl/>
              </w:rPr>
              <w:t>الفقرة</w:t>
            </w:r>
          </w:p>
        </w:tc>
        <w:tc>
          <w:tcPr>
            <w:tcW w:w="76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Pr>
            </w:pPr>
            <w:r>
              <w:rPr>
                <w:rFonts w:asciiTheme="majorBidi" w:hAnsiTheme="majorBidi" w:cstheme="majorBidi"/>
                <w:b/>
                <w:bCs/>
                <w:rtl/>
              </w:rPr>
              <w:t>تنتمي للمحور</w:t>
            </w:r>
          </w:p>
        </w:tc>
        <w:tc>
          <w:tcPr>
            <w:tcW w:w="76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tl/>
              </w:rPr>
            </w:pPr>
            <w:r>
              <w:rPr>
                <w:rFonts w:asciiTheme="majorBidi" w:hAnsiTheme="majorBidi" w:cstheme="majorBidi"/>
                <w:b/>
                <w:bCs/>
                <w:rtl/>
              </w:rPr>
              <w:t>لا تنتمي للمحور</w:t>
            </w:r>
          </w:p>
        </w:tc>
        <w:tc>
          <w:tcPr>
            <w:tcW w:w="1021"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tl/>
              </w:rPr>
            </w:pPr>
            <w:r>
              <w:rPr>
                <w:rFonts w:asciiTheme="majorBidi" w:hAnsiTheme="majorBidi" w:cstheme="majorBidi"/>
                <w:b/>
                <w:bCs/>
                <w:rtl/>
              </w:rPr>
              <w:t>مناسبة لغويا</w:t>
            </w:r>
          </w:p>
        </w:tc>
        <w:tc>
          <w:tcPr>
            <w:tcW w:w="183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rtl/>
                <w:lang w:bidi="ar-EG"/>
              </w:rPr>
            </w:pPr>
            <w:r>
              <w:rPr>
                <w:rFonts w:asciiTheme="majorBidi" w:hAnsiTheme="majorBidi" w:cstheme="majorBidi"/>
                <w:b/>
                <w:bCs/>
                <w:rtl/>
              </w:rPr>
              <w:t>غير مناسبة لغويا</w:t>
            </w:r>
          </w:p>
        </w:tc>
        <w:tc>
          <w:tcPr>
            <w:tcW w:w="1153" w:type="dxa"/>
            <w:tcBorders>
              <w:top w:val="thinThickSmallGap" w:sz="18" w:space="0" w:color="auto"/>
              <w:left w:val="single" w:sz="4" w:space="0" w:color="auto"/>
              <w:bottom w:val="thinThickSmallGap" w:sz="18" w:space="0" w:color="auto"/>
              <w:right w:val="thinThickSmallGap" w:sz="18"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lang w:bidi="ar-EG"/>
              </w:rPr>
            </w:pPr>
            <w:r>
              <w:rPr>
                <w:rFonts w:asciiTheme="majorBidi" w:hAnsiTheme="majorBidi" w:cstheme="majorBidi"/>
                <w:b/>
                <w:bCs/>
                <w:rtl/>
              </w:rPr>
              <w:t>التعديل المقترح</w:t>
            </w:r>
          </w:p>
        </w:tc>
      </w:tr>
      <w:tr w:rsidR="00C234E8">
        <w:trPr>
          <w:trHeight w:val="20"/>
        </w:trPr>
        <w:tc>
          <w:tcPr>
            <w:tcW w:w="8186" w:type="dxa"/>
            <w:gridSpan w:val="7"/>
            <w:tcBorders>
              <w:top w:val="thinThickSmallGap" w:sz="18"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الأول: الاحتيال من الطرف الاول</w:t>
            </w:r>
            <w:r>
              <w:rPr>
                <w:rFonts w:asciiTheme="majorBidi" w:hAnsiTheme="majorBidi" w:cstheme="majorBidi"/>
                <w:rtl/>
              </w:rPr>
              <w:t xml:space="preserve"> (</w:t>
            </w:r>
            <w:r>
              <w:rPr>
                <w:rFonts w:asciiTheme="majorBidi" w:hAnsiTheme="majorBidi" w:cs="Times New Roman"/>
                <w:rtl/>
              </w:rPr>
              <w:t>هو أي فعل متعمد يقوم به "حامل الوثيقة" (المُؤمَّن له) لخداع شركة التأمين، عبر تقديم بيانات كاذبة أو تزييف أدلة بغية تحقيق منفعة مالية غير مستحقة، مثل تضخيم قيمة المطالبة أو اختلاق حوادث وهمية</w:t>
            </w:r>
            <w:r>
              <w:rPr>
                <w:rFonts w:asciiTheme="majorBidi" w:hAnsiTheme="majorBidi" w:cstheme="majorBidi"/>
                <w:rtl/>
              </w:rPr>
              <w:t>)</w:t>
            </w:r>
          </w:p>
        </w:tc>
      </w:tr>
      <w:tr w:rsidR="00C234E8">
        <w:trPr>
          <w:trHeight w:val="20"/>
        </w:trPr>
        <w:tc>
          <w:tcPr>
            <w:tcW w:w="719" w:type="dxa"/>
            <w:tcBorders>
              <w:top w:val="thinThickSmallGap" w:sz="18"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sz w:val="24"/>
                <w:szCs w:val="24"/>
                <w:rtl/>
                <w:lang w:bidi="ar-EG"/>
              </w:rPr>
              <w:t>21</w:t>
            </w:r>
          </w:p>
        </w:tc>
        <w:tc>
          <w:tcPr>
            <w:tcW w:w="1925"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تُصنف الخوارزميات المطالبات فور تقديمها إلى: آمنة تُصرف تلقائياً، أو مشبوهة تتطلب تدخلاً بشرياً.</w:t>
            </w:r>
          </w:p>
        </w:tc>
        <w:tc>
          <w:tcPr>
            <w:tcW w:w="76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lang w:bidi="ar-EG"/>
              </w:rPr>
            </w:pPr>
          </w:p>
        </w:tc>
        <w:tc>
          <w:tcPr>
            <w:tcW w:w="1021"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thinThickSmallGap" w:sz="18"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sz w:val="24"/>
                <w:szCs w:val="24"/>
                <w:lang w:bidi="ar-EG"/>
              </w:rPr>
              <w:t>22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تعلم النماذج المقدمة من الطرف الأول ديناميكياً من كل معاملة جديدة.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sz w:val="24"/>
                <w:szCs w:val="24"/>
                <w:lang w:bidi="ar-EG"/>
              </w:rPr>
              <w:t>23</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تقوم الشركة بضبط معايير الأمان باستمرار لمواكبة طرق الاحتيال المتطورة من الطرف الاول</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sz w:val="24"/>
                <w:szCs w:val="24"/>
                <w:lang w:bidi="ar-EG"/>
              </w:rPr>
              <w:t>4</w:t>
            </w:r>
            <w:r>
              <w:rPr>
                <w:rFonts w:asciiTheme="majorBidi" w:hAnsiTheme="majorBidi" w:cstheme="majorBidi"/>
                <w:sz w:val="24"/>
                <w:szCs w:val="24"/>
                <w:rtl/>
                <w:lang w:bidi="ar-EG"/>
              </w:rPr>
              <w:t>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يتم توجيه المطالبات ذات درجات الاشتباه العالية إلى فرق التحقيق الخاصة مع تقديم تقرير مفصل بنقاط التناقض</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sz w:val="24"/>
                <w:szCs w:val="24"/>
                <w:lang w:bidi="ar-EG"/>
              </w:rPr>
              <w:t>5</w:t>
            </w:r>
            <w:r>
              <w:rPr>
                <w:rFonts w:asciiTheme="majorBidi" w:hAnsiTheme="majorBidi" w:cstheme="majorBidi"/>
                <w:sz w:val="24"/>
                <w:szCs w:val="24"/>
                <w:rtl/>
                <w:lang w:bidi="ar-EG"/>
              </w:rPr>
              <w:t>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توفر الشركة برمجيات وأنظمة متقدمة لدعم قراراتها وتقليل التكاليف التشغيلية في الكشف عن الاحتيال</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الثاني: الاحتيال من الطرف الثاني</w:t>
            </w:r>
            <w:r>
              <w:rPr>
                <w:rFonts w:asciiTheme="majorBidi" w:hAnsiTheme="majorBidi" w:cstheme="majorBidi"/>
                <w:rtl/>
              </w:rPr>
              <w:t xml:space="preserve"> (</w:t>
            </w:r>
            <w:r>
              <w:rPr>
                <w:rFonts w:asciiTheme="majorBidi" w:hAnsiTheme="majorBidi" w:cs="Times New Roman"/>
                <w:rtl/>
              </w:rPr>
              <w:t>هو قيام الفرد—سواء كان المُؤمَّن له أو مستفيداً آخر—عن عمد بتقديم معلوماته الشخصية أو بيانات هويته إلى شخص آخر (المحتال)، والسماح له باستخدامها لارتكاب عمليات احتيالية</w:t>
            </w:r>
            <w:r>
              <w:rPr>
                <w:rFonts w:asciiTheme="majorBidi" w:hAnsiTheme="majorBidi" w:cstheme="majorBidi"/>
                <w:rtl/>
              </w:rPr>
              <w:t>)</w:t>
            </w: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lang w:bidi="ar-EG"/>
              </w:rPr>
              <w:t>26</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استخدام الشركات لنظم المعلومات الحديثة يسهم في زيادة فاعلية الكشف عن الاحتيال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7</w:t>
            </w:r>
            <w:r>
              <w:rPr>
                <w:rFonts w:asciiTheme="majorBidi" w:hAnsiTheme="majorBidi" w:cstheme="majorBidi"/>
                <w:rtl/>
                <w:lang w:bidi="ar-EG"/>
              </w:rPr>
              <w:t>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tl/>
              </w:rPr>
            </w:pPr>
            <w:r>
              <w:rPr>
                <w:rFonts w:asciiTheme="majorBidi" w:eastAsia="Times New Roman" w:hAnsiTheme="majorBidi" w:cstheme="majorBidi"/>
                <w:rtl/>
              </w:rPr>
              <w:t xml:space="preserve">قدرة الشركة على كشف الاحتيال من خلال تحديد الروابط الخفية بين </w:t>
            </w:r>
            <w:r>
              <w:rPr>
                <w:rFonts w:asciiTheme="majorBidi" w:eastAsia="Times New Roman" w:hAnsiTheme="majorBidi" w:cstheme="majorBidi"/>
                <w:rtl/>
              </w:rPr>
              <w:lastRenderedPageBreak/>
              <w:t>الأفراد من داخل الشركة وخارجها</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8</w:t>
            </w:r>
            <w:r>
              <w:rPr>
                <w:rFonts w:asciiTheme="majorBidi" w:hAnsiTheme="majorBidi" w:cstheme="majorBidi"/>
                <w:rtl/>
                <w:lang w:bidi="ar-EG"/>
              </w:rPr>
              <w:t>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تحليل الأنماط السلوكية للطرف الثاني، تقييم سجل المطالبات، واستخدام التحليلات التنبؤية لرصد التجاوزات.</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29</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توفر الشركة اجراءات لحماية حقوقها  إذا ثبت تورط الطرف الثاني في احتيال متعمد أو تواطؤ</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30</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 xml:space="preserve">يساهم تبادل المعلومات بصورة استباقية بين شركات التامين في الكشف المبكر عن الاحتيال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الثالث: الاحتيال من الطرف الثالث</w:t>
            </w:r>
            <w:r>
              <w:rPr>
                <w:rFonts w:asciiTheme="majorBidi" w:hAnsiTheme="majorBidi" w:cstheme="majorBidi"/>
                <w:rtl/>
              </w:rPr>
              <w:t xml:space="preserve"> (</w:t>
            </w:r>
            <w:r>
              <w:rPr>
                <w:rFonts w:asciiTheme="majorBidi" w:hAnsiTheme="majorBidi" w:cs="Times New Roman"/>
                <w:rtl/>
              </w:rPr>
              <w:t>هو أي فعل متعمد يقوم به شخص أو كيان (ليس طرفاً في عقد التأمين) لخداع شركة التأمين بهدف الحصول على تعويضات مالية أو مزايا غير مستحقة</w:t>
            </w:r>
            <w:r>
              <w:rPr>
                <w:rFonts w:asciiTheme="majorBidi" w:hAnsiTheme="majorBidi" w:cstheme="majorBidi"/>
                <w:rtl/>
              </w:rPr>
              <w:t>)</w:t>
            </w: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31</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tl/>
              </w:rPr>
            </w:pPr>
            <w:r>
              <w:rPr>
                <w:rFonts w:asciiTheme="majorBidi" w:eastAsia="Times New Roman" w:hAnsiTheme="majorBidi" w:cstheme="majorBidi"/>
                <w:rtl/>
              </w:rPr>
              <w:t>قدرة الشركة في الكشف عن الاحتيال بمطالبات التأمين من الطرف الثالث</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يتم تحويل البيانات الضخمة إلى قرارات استباقية دقيقة، مما يقلل الخسائر المالية ويسرع تسوية المطالبات المشروعة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33</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عزل المطالبات المشبوهة يتيح تمرير التعويضات الصحيحة بسرعة، مما يرفع رضا العملاء</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34</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trHeight w:val="20"/>
        </w:trPr>
        <w:tc>
          <w:tcPr>
            <w:tcW w:w="719" w:type="dxa"/>
            <w:tcBorders>
              <w:top w:val="single" w:sz="4" w:space="0" w:color="auto"/>
              <w:left w:val="thickThinSmallGap" w:sz="18"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35</w:t>
            </w:r>
          </w:p>
        </w:tc>
        <w:tc>
          <w:tcPr>
            <w:tcW w:w="1925"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استخدام برامج الذكاء الاصطناعي ونماذج تعلم الآلة لمقارنة المطالبات، وكشف التناقضات أو الروايات غير المتسقة.</w:t>
            </w:r>
          </w:p>
        </w:tc>
        <w:tc>
          <w:tcPr>
            <w:tcW w:w="76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thickThinSmallGap" w:sz="18"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bl>
    <w:p w:rsidR="00C234E8" w:rsidRDefault="00C234E8">
      <w:pPr>
        <w:bidi/>
        <w:spacing w:line="240" w:lineRule="auto"/>
        <w:rPr>
          <w:rFonts w:asciiTheme="majorBidi" w:hAnsiTheme="majorBidi" w:cstheme="majorBidi"/>
          <w:b/>
          <w:bCs/>
          <w:sz w:val="24"/>
          <w:szCs w:val="24"/>
          <w:rtl/>
          <w:lang w:bidi="ar-EG"/>
        </w:rPr>
      </w:pPr>
    </w:p>
    <w:p w:rsidR="00C234E8" w:rsidRDefault="00C234E8">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lastRenderedPageBreak/>
        <w:t>الجزء الثالث: البيانات الشخصية والوظيفية</w:t>
      </w:r>
    </w:p>
    <w:p w:rsidR="00C234E8" w:rsidRDefault="00C234E8" w:rsidP="00974E00">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يرجى وضع إشارة (</w:t>
      </w:r>
      <w:r>
        <w:rPr>
          <w:rFonts w:ascii="Times New Roman" w:eastAsia="Noto Sans Symbols" w:hAnsi="Times New Roman" w:cs="Times New Roman"/>
          <w:sz w:val="28"/>
          <w:szCs w:val="28"/>
        </w:rPr>
        <w:t>√</w:t>
      </w:r>
      <w:r>
        <w:rPr>
          <w:rFonts w:ascii="Sakkal Majalla" w:eastAsia="Simplified Arabic" w:hAnsi="Sakkal Majalla" w:cs="Sakkal Majalla" w:hint="cs"/>
          <w:sz w:val="28"/>
          <w:szCs w:val="28"/>
          <w:rtl/>
        </w:rPr>
        <w:t xml:space="preserve">) داخل مربع الإجابة الذي يتوافق مع معلوماتك: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النوع:</w:t>
      </w:r>
    </w:p>
    <w:p w:rsidR="00C234E8" w:rsidRDefault="00C234E8">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ذكر (       )</w:t>
      </w:r>
    </w:p>
    <w:p w:rsidR="00C234E8" w:rsidRDefault="00C234E8">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انثى (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العمر:</w:t>
      </w:r>
    </w:p>
    <w:p w:rsidR="00C234E8" w:rsidRDefault="00C234E8">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18-25 (       )</w:t>
      </w:r>
    </w:p>
    <w:p w:rsidR="00C234E8" w:rsidRDefault="00C234E8">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26-35 (       )</w:t>
      </w:r>
    </w:p>
    <w:p w:rsidR="00C234E8" w:rsidRDefault="00C234E8">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36-45 (       )</w:t>
      </w:r>
    </w:p>
    <w:p w:rsidR="00C234E8" w:rsidRDefault="00C234E8">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46 فأكثر  (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المؤهل العلمي:</w:t>
      </w:r>
    </w:p>
    <w:p w:rsidR="00C234E8" w:rsidRDefault="00C234E8">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دبلوم (       )</w:t>
      </w:r>
    </w:p>
    <w:p w:rsidR="00C234E8" w:rsidRDefault="00C234E8">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بكالوريوس (       )</w:t>
      </w:r>
    </w:p>
    <w:p w:rsidR="00C234E8" w:rsidRDefault="00C234E8">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ماجستير (       )</w:t>
      </w:r>
    </w:p>
    <w:p w:rsidR="00C234E8" w:rsidRDefault="00C234E8">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دكتوراه (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القسم الوظيفي:</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المطالبات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التدقيق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المخاطر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الامتثال (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المسمى الوظيفي:</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lastRenderedPageBreak/>
        <w:t>مدير إدارة مخاطر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مراقب التزام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مسئول مكافحة غسيل اموال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خبير اكتوري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محقق مطالبات (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عدد سنوات الخبرة:</w:t>
      </w:r>
    </w:p>
    <w:p w:rsidR="00C234E8" w:rsidRDefault="00C234E8">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أقل من سنة (       )</w:t>
      </w:r>
    </w:p>
    <w:p w:rsidR="00C234E8" w:rsidRDefault="00C234E8">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١-٥ سنوات (       )</w:t>
      </w:r>
    </w:p>
    <w:p w:rsidR="00C234E8" w:rsidRDefault="00C234E8">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٦-١٠ سنوات (       )</w:t>
      </w:r>
    </w:p>
    <w:p w:rsidR="00C234E8" w:rsidRDefault="00C234E8">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أكثر من ١٠ سنوات (       )</w:t>
      </w:r>
    </w:p>
    <w:p w:rsidR="00C234E8" w:rsidRDefault="00C234E8">
      <w:pPr>
        <w:bidi/>
        <w:spacing w:after="0"/>
        <w:ind w:left="142"/>
        <w:rPr>
          <w:rFonts w:ascii="Sakkal Majalla" w:eastAsia="Simplified Arabic" w:hAnsi="Sakkal Majalla" w:cs="Sakkal Majalla"/>
          <w:sz w:val="28"/>
          <w:szCs w:val="28"/>
          <w:rtl/>
        </w:rPr>
      </w:pPr>
    </w:p>
    <w:p w:rsidR="00C234E8" w:rsidRDefault="00C234E8">
      <w:pPr>
        <w:bidi/>
        <w:spacing w:after="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المستوى الإداري: </w:t>
      </w:r>
    </w:p>
    <w:p w:rsidR="00C234E8" w:rsidRDefault="00C234E8">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وضع المستويات الملائمة مع مجتمع وعينة الدراسة.        </w:t>
      </w:r>
    </w:p>
    <w:p w:rsidR="00C234E8" w:rsidRDefault="00C234E8">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إضافة البيانات الأخرى ذات العلاقة بموضوع الرسالة.              </w:t>
      </w:r>
    </w:p>
    <w:p w:rsidR="00C234E8" w:rsidRDefault="00C234E8">
      <w:pPr>
        <w:bidi/>
        <w:spacing w:after="0"/>
        <w:jc w:val="both"/>
        <w:rPr>
          <w:rFonts w:ascii="Sakkal Majalla" w:eastAsia="Simplified Arabic" w:hAnsi="Sakkal Majalla" w:cs="Sakkal Majalla"/>
          <w:sz w:val="28"/>
          <w:szCs w:val="28"/>
          <w:rtl/>
        </w:rPr>
      </w:pPr>
      <w:r>
        <w:rPr>
          <w:rFonts w:ascii="Sakkal Majalla" w:hAnsi="Sakkal Majalla" w:cs="Sakkal Majalla" w:hint="cs"/>
          <w:sz w:val="28"/>
          <w:szCs w:val="28"/>
          <w:rtl/>
        </w:rPr>
        <w:t>أي ملاحظات أو مقترحات ترونها مناسبة لتطوير الأداة</w:t>
      </w:r>
      <w:r>
        <w:rPr>
          <w:rFonts w:ascii="Sakkal Majalla" w:eastAsia="Simplified Arabic" w:hAnsi="Sakkal Majalla" w:cs="Sakkal Majalla" w:hint="cs"/>
          <w:sz w:val="28"/>
          <w:szCs w:val="28"/>
          <w:rtl/>
        </w:rPr>
        <w:t>:</w:t>
      </w:r>
      <w:r>
        <w:rPr>
          <w:rFonts w:ascii="Sakkal Majalla" w:hAnsi="Sakkal Majalla" w:cs="Sakkal Majalla" w:hint="cs"/>
          <w:sz w:val="28"/>
          <w:szCs w:val="28"/>
          <w:rtl/>
        </w:rPr>
        <w:t xml:space="preserve"> </w:t>
      </w:r>
    </w:p>
    <w:p w:rsidR="00C234E8" w:rsidRDefault="00C234E8">
      <w:pPr>
        <w:bidi/>
        <w:jc w:val="both"/>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w:t>
      </w:r>
    </w:p>
    <w:p w:rsidR="00C234E8" w:rsidRDefault="00C234E8">
      <w:pPr>
        <w:bidi/>
        <w:jc w:val="right"/>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سيتم نشر هذه الاستبانة باستخدام (</w:t>
      </w:r>
      <w:r>
        <w:rPr>
          <w:rFonts w:ascii="Sakkal Majalla" w:eastAsia="Simplified Arabic" w:hAnsi="Sakkal Majalla" w:cs="Sakkal Majalla" w:hint="cs"/>
          <w:sz w:val="28"/>
          <w:szCs w:val="28"/>
        </w:rPr>
        <w:t>Google Forms)</w:t>
      </w:r>
    </w:p>
    <w:p w:rsidR="00C234E8" w:rsidRDefault="00C234E8">
      <w:pPr>
        <w:bidi/>
        <w:jc w:val="right"/>
        <w:rPr>
          <w:rFonts w:ascii="Sakkal Majalla" w:eastAsia="Simplified Arabic" w:hAnsi="Sakkal Majalla" w:cs="Sakkal Majalla"/>
          <w:sz w:val="28"/>
          <w:szCs w:val="28"/>
          <w:rtl/>
          <w:lang w:bidi="ar-EG"/>
        </w:rPr>
      </w:pPr>
      <w:r>
        <w:rPr>
          <w:rFonts w:ascii="Sakkal Majalla" w:eastAsia="Simplified Arabic" w:hAnsi="Sakkal Majalla" w:cs="Sakkal Majalla" w:hint="cs"/>
          <w:sz w:val="28"/>
          <w:szCs w:val="28"/>
          <w:rtl/>
        </w:rPr>
        <w:t xml:space="preserve"> ويمكن الوصول لها من خلال الرابط الإلكتروني: </w:t>
      </w:r>
      <w:r w:rsidR="00D57864">
        <w:rPr>
          <w:rFonts w:ascii="Sakkal Majalla" w:eastAsia="Simplified Arabic" w:hAnsi="Sakkal Majalla" w:cs="Sakkal Majalla" w:hint="cs"/>
          <w:sz w:val="28"/>
          <w:szCs w:val="28"/>
          <w:rtl/>
          <w:lang w:bidi="ar-EG"/>
        </w:rPr>
        <w:t>...............................</w:t>
      </w:r>
    </w:p>
    <w:p w:rsidR="00974E00" w:rsidRDefault="00974E00" w:rsidP="00974E00">
      <w:pPr>
        <w:bidi/>
        <w:jc w:val="right"/>
        <w:rPr>
          <w:rFonts w:ascii="Sakkal Majalla" w:eastAsia="Simplified Arabic" w:hAnsi="Sakkal Majalla" w:cs="Sakkal Majalla"/>
          <w:color w:val="EE0000"/>
          <w:sz w:val="28"/>
          <w:szCs w:val="28"/>
          <w:rtl/>
          <w:lang w:bidi="ar-EG"/>
        </w:rPr>
      </w:pPr>
    </w:p>
    <w:p w:rsidR="00974E00" w:rsidRDefault="00974E00" w:rsidP="00974E00">
      <w:pPr>
        <w:bidi/>
        <w:jc w:val="right"/>
        <w:rPr>
          <w:rFonts w:ascii="Sakkal Majalla" w:eastAsia="Simplified Arabic" w:hAnsi="Sakkal Majalla" w:cs="Sakkal Majalla"/>
          <w:color w:val="EE0000"/>
          <w:sz w:val="28"/>
          <w:szCs w:val="28"/>
          <w:rtl/>
          <w:lang w:bidi="ar-EG"/>
        </w:rPr>
      </w:pPr>
    </w:p>
    <w:p w:rsidR="00BF67BA" w:rsidRPr="00974E00" w:rsidRDefault="00BF67BA" w:rsidP="00BF67BA">
      <w:pPr>
        <w:bidi/>
        <w:jc w:val="right"/>
        <w:rPr>
          <w:rFonts w:ascii="Sakkal Majalla" w:eastAsia="Simplified Arabic" w:hAnsi="Sakkal Majalla" w:cs="Sakkal Majalla"/>
          <w:color w:val="EE0000"/>
          <w:sz w:val="28"/>
          <w:szCs w:val="28"/>
          <w:rtl/>
          <w:lang w:bidi="ar-EG"/>
        </w:rPr>
      </w:pPr>
      <w:bookmarkStart w:id="0" w:name="_GoBack"/>
      <w:bookmarkEnd w:id="0"/>
    </w:p>
    <w:p w:rsidR="00C234E8" w:rsidRDefault="00C234E8">
      <w:pPr>
        <w:bidi/>
        <w:jc w:val="center"/>
        <w:rPr>
          <w:rFonts w:ascii="Sakkal Majalla" w:hAnsi="Sakkal Majalla" w:cs="Sakkal Majalla"/>
          <w:b/>
          <w:bCs/>
          <w:sz w:val="24"/>
          <w:szCs w:val="24"/>
          <w:lang w:bidi="ar-EG"/>
        </w:rPr>
      </w:pPr>
      <w:r>
        <w:rPr>
          <w:rFonts w:ascii="Sakkal Majalla" w:eastAsia="Simplified Arabic" w:hAnsi="Sakkal Majalla" w:cs="Sakkal Majalla" w:hint="cs"/>
          <w:bCs/>
          <w:sz w:val="32"/>
          <w:szCs w:val="32"/>
          <w:rtl/>
        </w:rPr>
        <w:lastRenderedPageBreak/>
        <w:t>الاستبانة (الخاصة بالمستجوب)</w:t>
      </w:r>
    </w:p>
    <w:p w:rsidR="00C234E8" w:rsidRDefault="00C234E8">
      <w:pPr>
        <w:bidi/>
        <w:rPr>
          <w:rFonts w:ascii="Sakkal Majalla" w:hAnsi="Sakkal Majalla" w:cs="Sakkal Majalla"/>
          <w:sz w:val="28"/>
          <w:szCs w:val="28"/>
        </w:rPr>
      </w:pPr>
      <w:r>
        <w:rPr>
          <w:rFonts w:ascii="Sakkal Majalla" w:hAnsi="Sakkal Majalla" w:cs="Sakkal Majalla" w:hint="cs"/>
          <w:sz w:val="28"/>
          <w:szCs w:val="28"/>
          <w:rtl/>
        </w:rPr>
        <w:t>أخي المستجيب المحترم،</w:t>
      </w:r>
    </w:p>
    <w:p w:rsidR="00C234E8" w:rsidRDefault="00C234E8">
      <w:pPr>
        <w:bidi/>
        <w:rPr>
          <w:rFonts w:ascii="Sakkal Majalla" w:hAnsi="Sakkal Majalla" w:cs="Sakkal Majalla"/>
          <w:sz w:val="28"/>
          <w:szCs w:val="28"/>
          <w:rtl/>
        </w:rPr>
      </w:pPr>
      <w:r>
        <w:rPr>
          <w:rFonts w:ascii="Sakkal Majalla" w:hAnsi="Sakkal Majalla" w:cs="Sakkal Majalla" w:hint="cs"/>
          <w:sz w:val="28"/>
          <w:szCs w:val="28"/>
          <w:rtl/>
        </w:rPr>
        <w:t>أختي المستجيبة المحترمة،</w:t>
      </w:r>
    </w:p>
    <w:p w:rsidR="00C234E8" w:rsidRDefault="00C234E8">
      <w:pPr>
        <w:bidi/>
        <w:rPr>
          <w:rFonts w:ascii="Sakkal Majalla" w:hAnsi="Sakkal Majalla" w:cs="Sakkal Majalla"/>
          <w:sz w:val="28"/>
          <w:szCs w:val="28"/>
          <w:rtl/>
        </w:rPr>
      </w:pPr>
      <w:r>
        <w:rPr>
          <w:rFonts w:ascii="Sakkal Majalla" w:hAnsi="Sakkal Majalla" w:cs="Sakkal Majalla" w:hint="cs"/>
          <w:sz w:val="28"/>
          <w:szCs w:val="28"/>
          <w:rtl/>
        </w:rPr>
        <w:t>بعد التحية،</w:t>
      </w:r>
    </w:p>
    <w:p w:rsidR="00C234E8" w:rsidRDefault="00974E00">
      <w:pPr>
        <w:bidi/>
        <w:rPr>
          <w:rFonts w:ascii="Sakkal Majalla" w:hAnsi="Sakkal Majalla" w:cs="Sakkal Majalla"/>
          <w:sz w:val="28"/>
          <w:szCs w:val="28"/>
          <w:rtl/>
        </w:rPr>
      </w:pPr>
      <w:r>
        <w:rPr>
          <w:rFonts w:ascii="Sakkal Majalla" w:hAnsi="Sakkal Majalla" w:cs="Sakkal Majalla" w:hint="cs"/>
          <w:sz w:val="28"/>
          <w:szCs w:val="28"/>
          <w:rtl/>
        </w:rPr>
        <w:t>ت</w:t>
      </w:r>
      <w:r w:rsidR="00C234E8">
        <w:rPr>
          <w:rFonts w:ascii="Sakkal Majalla" w:hAnsi="Sakkal Majalla" w:cs="Sakkal Majalla" w:hint="cs"/>
          <w:sz w:val="28"/>
          <w:szCs w:val="28"/>
          <w:rtl/>
        </w:rPr>
        <w:t>قوم الباحث</w:t>
      </w:r>
      <w:r>
        <w:rPr>
          <w:rFonts w:ascii="Sakkal Majalla" w:hAnsi="Sakkal Majalla" w:cs="Sakkal Majalla" w:hint="cs"/>
          <w:sz w:val="28"/>
          <w:szCs w:val="28"/>
          <w:rtl/>
        </w:rPr>
        <w:t>ه</w:t>
      </w:r>
      <w:r w:rsidR="00C234E8">
        <w:rPr>
          <w:rFonts w:ascii="Sakkal Majalla" w:hAnsi="Sakkal Majalla" w:cs="Sakkal Majalla" w:hint="cs"/>
          <w:sz w:val="28"/>
          <w:szCs w:val="28"/>
          <w:rtl/>
        </w:rPr>
        <w:t xml:space="preserve"> بإجراء دراسة بعنوان:</w:t>
      </w:r>
    </w:p>
    <w:p w:rsidR="00C234E8" w:rsidRDefault="00C234E8" w:rsidP="00974E00">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أثر الذكاء التنظيمي على الكشف عن الاحتيال بمطالبات التأمين: دراسة ميدانيه على شركات التأمين في المملكة العربية السعودية"</w:t>
      </w:r>
    </w:p>
    <w:p w:rsidR="00C234E8" w:rsidRDefault="00C234E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وذلك استكمالًا لمتطلبات الحصول على درجة الدكتوراه في إدارة الاعمال</w:t>
      </w:r>
    </w:p>
    <w:p w:rsidR="00C234E8" w:rsidRDefault="00C234E8">
      <w:pPr>
        <w:bidi/>
        <w:spacing w:before="100" w:beforeAutospacing="1" w:after="100" w:afterAutospacing="1" w:line="240" w:lineRule="auto"/>
        <w:ind w:left="120"/>
        <w:jc w:val="both"/>
        <w:rPr>
          <w:rFonts w:ascii="Sakkal Majalla" w:hAnsi="Sakkal Majalla" w:cs="Sakkal Majalla"/>
          <w:sz w:val="28"/>
          <w:szCs w:val="28"/>
          <w:rtl/>
        </w:rPr>
      </w:pPr>
      <w:r>
        <w:rPr>
          <w:rFonts w:ascii="Sakkal Majalla" w:eastAsia="Times New Roman" w:hAnsi="Sakkal Majalla" w:cs="Sakkal Majalla" w:hint="cs"/>
          <w:i/>
          <w:iCs/>
          <w:sz w:val="28"/>
          <w:szCs w:val="28"/>
          <w:rtl/>
        </w:rPr>
        <w:t xml:space="preserve">لذا نرجو التكرم بالإجابة عن فقرات الاستبانة المرفقة بكل دقة وموضوعية، لما تتمتعون به من خبرة ومعرفة علمية، </w:t>
      </w:r>
      <w:r>
        <w:rPr>
          <w:rFonts w:ascii="Sakkal Majalla" w:hAnsi="Sakkal Majalla" w:cs="Sakkal Majalla" w:hint="cs"/>
          <w:sz w:val="28"/>
          <w:szCs w:val="28"/>
          <w:rtl/>
        </w:rPr>
        <w:t>وذلك بوضع إشارة (</w:t>
      </w:r>
      <w:r>
        <w:rPr>
          <w:rFonts w:ascii="Sakkal Majalla" w:hAnsi="Sakkal Majalla" w:cs="Sakkal Majalla"/>
          <w:sz w:val="28"/>
          <w:szCs w:val="28"/>
        </w:rPr>
        <w:sym w:font="Marlett" w:char="F062"/>
      </w:r>
      <w:r>
        <w:rPr>
          <w:rFonts w:ascii="Sakkal Majalla" w:hAnsi="Sakkal Majalla" w:cs="Sakkal Majalla" w:hint="cs"/>
          <w:sz w:val="28"/>
          <w:szCs w:val="28"/>
          <w:rtl/>
        </w:rPr>
        <w:t>) حول الإجابة التي تنطبق عليكم، مع التأكيد على أن جميع البيانات والمعلومات ستُعامل بسرية تامة، ولن تُستخدم إلا لأغراض البحث العلمي</w:t>
      </w:r>
      <w:r>
        <w:rPr>
          <w:rFonts w:ascii="Sakkal Majalla" w:hAnsi="Sakkal Majalla" w:cs="Sakkal Majalla" w:hint="cs"/>
          <w:sz w:val="28"/>
          <w:szCs w:val="28"/>
        </w:rPr>
        <w:t>.</w:t>
      </w:r>
    </w:p>
    <w:p w:rsidR="00C234E8" w:rsidRDefault="00C234E8">
      <w:pPr>
        <w:bidi/>
        <w:jc w:val="both"/>
        <w:rPr>
          <w:rFonts w:ascii="Sakkal Majalla" w:hAnsi="Sakkal Majalla" w:cs="Sakkal Majalla"/>
          <w:sz w:val="28"/>
          <w:szCs w:val="28"/>
          <w:rtl/>
        </w:rPr>
      </w:pPr>
      <w:r>
        <w:rPr>
          <w:rFonts w:ascii="Sakkal Majalla" w:hAnsi="Sakkal Majalla" w:cs="Sakkal Majalla" w:hint="cs"/>
          <w:sz w:val="28"/>
          <w:szCs w:val="28"/>
          <w:rtl/>
        </w:rPr>
        <w:t>نشكر لكم تعاونكم الكريم ومساهمتكم القيمة في إنجاح هذا العمل الأكاديمي</w:t>
      </w:r>
      <w:r>
        <w:rPr>
          <w:rFonts w:ascii="Sakkal Majalla" w:hAnsi="Sakkal Majalla" w:cs="Sakkal Majalla" w:hint="cs"/>
          <w:sz w:val="28"/>
          <w:szCs w:val="28"/>
        </w:rPr>
        <w:t>.</w:t>
      </w:r>
    </w:p>
    <w:p w:rsidR="00C234E8" w:rsidRDefault="00C234E8">
      <w:pPr>
        <w:bidi/>
        <w:jc w:val="both"/>
        <w:rPr>
          <w:rFonts w:ascii="Sakkal Majalla" w:hAnsi="Sakkal Majalla" w:cs="Sakkal Majalla"/>
          <w:sz w:val="28"/>
          <w:szCs w:val="28"/>
          <w:rtl/>
        </w:rPr>
      </w:pPr>
      <w:r>
        <w:rPr>
          <w:rFonts w:ascii="Sakkal Majalla" w:hAnsi="Sakkal Majalla" w:cs="Sakkal Majalla" w:hint="cs"/>
          <w:sz w:val="28"/>
          <w:szCs w:val="28"/>
          <w:rtl/>
        </w:rPr>
        <w:t>وتفضلوا بقبول فائق الاحترام.</w:t>
      </w:r>
    </w:p>
    <w:p w:rsidR="00C234E8" w:rsidRDefault="00C234E8">
      <w:pPr>
        <w:bidi/>
        <w:rPr>
          <w:rFonts w:ascii="Sakkal Majalla" w:eastAsia="Simplified Arabic" w:hAnsi="Sakkal Majalla" w:cs="Sakkal Majalla"/>
          <w:b/>
          <w:sz w:val="26"/>
          <w:szCs w:val="26"/>
          <w:rtl/>
        </w:rPr>
      </w:pPr>
      <w:r>
        <w:rPr>
          <w:rFonts w:ascii="Sakkal Majalla" w:eastAsia="Simplified Arabic" w:hAnsi="Sakkal Majalla" w:cs="Sakkal Majalla" w:hint="cs"/>
          <w:bCs/>
          <w:sz w:val="30"/>
          <w:szCs w:val="30"/>
          <w:rtl/>
        </w:rPr>
        <w:t>الجزء الاول:</w:t>
      </w:r>
      <w:r>
        <w:rPr>
          <w:rFonts w:ascii="Sakkal Majalla" w:eastAsia="Simplified Arabic" w:hAnsi="Sakkal Majalla" w:cs="Sakkal Majalla" w:hint="cs"/>
          <w:b/>
          <w:sz w:val="30"/>
          <w:szCs w:val="30"/>
          <w:rtl/>
        </w:rPr>
        <w:t xml:space="preserve"> </w:t>
      </w:r>
      <w:r>
        <w:rPr>
          <w:rFonts w:ascii="Sakkal Majalla" w:eastAsia="Simplified Arabic" w:hAnsi="Sakkal Majalla" w:cs="Sakkal Majalla" w:hint="cs"/>
          <w:b/>
          <w:sz w:val="26"/>
          <w:szCs w:val="26"/>
          <w:rtl/>
        </w:rPr>
        <w:t>يُرجى وضع إشارة (</w:t>
      </w:r>
      <w:r>
        <w:rPr>
          <w:rFonts w:ascii="Times New Roman" w:eastAsia="Symbol" w:hAnsi="Times New Roman" w:cs="Times New Roman"/>
          <w:b/>
          <w:sz w:val="24"/>
          <w:szCs w:val="24"/>
        </w:rPr>
        <w:sym w:font="Wingdings 2" w:char="F050"/>
      </w:r>
      <w:r>
        <w:rPr>
          <w:rFonts w:ascii="Sakkal Majalla" w:eastAsia="Simplified Arabic" w:hAnsi="Sakkal Majalla" w:cs="Sakkal Majalla" w:hint="cs"/>
          <w:b/>
          <w:sz w:val="26"/>
          <w:szCs w:val="26"/>
          <w:rtl/>
        </w:rPr>
        <w:t>) أمام كل عبارة لبيان مدى انطباقها لرأيك وفقًا لمقاييس الاختيار بجانب كل فقرة.</w:t>
      </w:r>
    </w:p>
    <w:p w:rsidR="00C234E8" w:rsidRDefault="00C234E8">
      <w:pPr>
        <w:bidi/>
        <w:spacing w:line="240" w:lineRule="auto"/>
        <w:jc w:val="both"/>
        <w:rPr>
          <w:rFonts w:ascii="Sakkal Majalla" w:hAnsi="Sakkal Majalla" w:cs="Sakkal Majalla"/>
          <w:b/>
          <w:bCs/>
          <w:u w:val="single"/>
          <w:rtl/>
          <w:lang w:bidi="ar-EG"/>
        </w:rPr>
      </w:pPr>
    </w:p>
    <w:tbl>
      <w:tblPr>
        <w:tblStyle w:val="GridTable4-Accent3"/>
        <w:bidiVisual/>
        <w:tblW w:w="898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3757"/>
        <w:gridCol w:w="782"/>
        <w:gridCol w:w="782"/>
        <w:gridCol w:w="779"/>
        <w:gridCol w:w="920"/>
        <w:gridCol w:w="1337"/>
      </w:tblGrid>
      <w:tr w:rsidR="00C234E8">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hideMark/>
          </w:tcPr>
          <w:p w:rsidR="00C234E8" w:rsidRDefault="00C234E8">
            <w:pPr>
              <w:bidi/>
              <w:spacing w:line="240" w:lineRule="auto"/>
              <w:jc w:val="both"/>
              <w:rPr>
                <w:rFonts w:ascii="Sakkal Majalla" w:eastAsia="Times New Roman" w:hAnsi="Sakkal Majalla" w:cs="Sakkal Majalla"/>
                <w:b w:val="0"/>
                <w:bCs w:val="0"/>
                <w:rtl/>
              </w:rPr>
            </w:pPr>
            <w:r>
              <w:rPr>
                <w:rFonts w:ascii="Sakkal Majalla" w:eastAsia="Times New Roman" w:hAnsi="Sakkal Majalla" w:cs="Sakkal Majalla" w:hint="cs"/>
                <w:rtl/>
              </w:rPr>
              <w:t>م</w:t>
            </w:r>
          </w:p>
        </w:tc>
        <w:tc>
          <w:tcPr>
            <w:tcW w:w="3757"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tcPr>
          <w:p w:rsidR="00C234E8" w:rsidRDefault="00C234E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4600"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noWrap/>
            <w:hideMark/>
          </w:tcPr>
          <w:p w:rsidR="00C234E8" w:rsidRDefault="00C234E8">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hAnsi="Sakkal Majalla" w:cs="Sakkal Majalla" w:hint="cs"/>
                <w:rtl/>
              </w:rPr>
              <w:t>مستوي الموافقة</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Sakkal Majalla" w:eastAsia="Times New Roman" w:hAnsi="Sakkal Majalla" w:cs="Sakkal Majalla"/>
                <w:rtl/>
              </w:rPr>
            </w:pPr>
            <w:r>
              <w:rPr>
                <w:rFonts w:ascii="Sakkal Majalla" w:eastAsia="Times New Roman" w:hAnsi="Sakkal Majalla" w:cs="Sakkal Majalla" w:hint="cs"/>
              </w:rPr>
              <w:t> </w:t>
            </w:r>
          </w:p>
        </w:tc>
        <w:tc>
          <w:tcPr>
            <w:tcW w:w="375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6"/>
                <w:szCs w:val="26"/>
                <w:rtl/>
                <w:lang w:bidi="ar-EG"/>
              </w:rPr>
            </w:pPr>
            <w:r>
              <w:rPr>
                <w:rFonts w:ascii="Sakkal Majalla" w:hAnsi="Sakkal Majalla" w:cs="Sakkal Majalla" w:hint="cs"/>
                <w:b/>
                <w:bCs/>
                <w:sz w:val="26"/>
                <w:szCs w:val="26"/>
                <w:rtl/>
                <w:lang w:bidi="ar-EG"/>
              </w:rPr>
              <w:t>المتغير المستقل:</w:t>
            </w:r>
          </w:p>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rtl/>
                <w:lang w:bidi="ar-EG"/>
              </w:rPr>
            </w:pPr>
            <w:r>
              <w:rPr>
                <w:rFonts w:ascii="Sakkal Majalla" w:hAnsi="Sakkal Majalla" w:cs="Sakkal Majalla" w:hint="cs"/>
                <w:b/>
                <w:bCs/>
                <w:sz w:val="26"/>
                <w:szCs w:val="26"/>
                <w:rtl/>
                <w:lang w:bidi="ar-EG"/>
              </w:rPr>
              <w:t>الذكاء التنظيمي</w:t>
            </w:r>
          </w:p>
        </w:tc>
        <w:tc>
          <w:tcPr>
            <w:tcW w:w="782"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موافق بشدة</w:t>
            </w:r>
          </w:p>
        </w:tc>
        <w:tc>
          <w:tcPr>
            <w:tcW w:w="782"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موافق</w:t>
            </w:r>
          </w:p>
        </w:tc>
        <w:tc>
          <w:tcPr>
            <w:tcW w:w="779"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rPr>
              <w:t>محايد</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غير موافق</w:t>
            </w:r>
          </w:p>
        </w:tc>
        <w:tc>
          <w:tcPr>
            <w:tcW w:w="133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غير موافق بشدة</w:t>
            </w:r>
          </w:p>
        </w:tc>
      </w:tr>
      <w:tr w:rsidR="00C234E8">
        <w:trPr>
          <w:trHeight w:val="51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rtl/>
              </w:rPr>
            </w:pPr>
          </w:p>
        </w:tc>
        <w:tc>
          <w:tcPr>
            <w:tcW w:w="8357" w:type="dxa"/>
            <w:gridSpan w:val="6"/>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rtl/>
                <w:lang w:bidi="ar-EG"/>
              </w:rPr>
            </w:pPr>
            <w:r>
              <w:rPr>
                <w:rFonts w:ascii="Sakkal Majalla" w:eastAsia="Times New Roman" w:hAnsi="Sakkal Majalla" w:cs="Sakkal Majalla" w:hint="cs"/>
                <w:b/>
                <w:bCs/>
                <w:sz w:val="26"/>
                <w:szCs w:val="26"/>
                <w:rtl/>
                <w:lang w:bidi="ar-EG"/>
              </w:rPr>
              <w:t>البعد الأول: ذكاء استراتيجي</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b w:val="0"/>
                <w:bCs w:val="0"/>
                <w:sz w:val="24"/>
                <w:szCs w:val="24"/>
                <w:lang w:bidi="ar-EG"/>
              </w:rPr>
            </w:pPr>
            <w:r>
              <w:rPr>
                <w:rFonts w:asciiTheme="majorBidi" w:hAnsiTheme="majorBidi" w:cstheme="majorBidi"/>
                <w:sz w:val="24"/>
                <w:szCs w:val="24"/>
                <w:rtl/>
                <w:lang w:bidi="ar-EG"/>
              </w:rPr>
              <w:t>1</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تمتلك الشركة القدرة على وضع تصور واضح لمستقبلها في بيئة أعمال متقلبة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2</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 xml:space="preserve">يسهم الذكاء الاستراتيجي في زيادة رضا العاملين والعملاء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lastRenderedPageBreak/>
              <w:t>3</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rtl/>
              </w:rPr>
              <w:t>تسعى الشكة الي تحليل النظم الادارية الحديثة لقراءة المؤشرات المبكرة للفرص والتهديدات في بيئة العمل المحيطة</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4</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rtl/>
              </w:rPr>
              <w:t>يسهم الذكاء الاستراتيجي في تحسين إنتاجية العاملين</w:t>
            </w:r>
            <w:r>
              <w:rPr>
                <w:rFonts w:ascii="Sakkal Majalla" w:eastAsia="Times New Roman" w:hAnsi="Sakkal Majalla" w:cs="Sakkal Majalla" w:hint="cs"/>
                <w:rtl/>
                <w:lang w:bidi="ar-EG"/>
              </w:rPr>
              <w:t xml:space="preserve"> وتحقيق اهدافها</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5</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rtl/>
                <w:lang w:bidi="ar-EG"/>
              </w:rPr>
              <w:t>يسهم الذكاء الاستراتيجي في توقع التغيرات والأزمات المستقبلية قبل وقوعه</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rPr>
            </w:pPr>
          </w:p>
        </w:tc>
        <w:tc>
          <w:tcPr>
            <w:tcW w:w="8357" w:type="dxa"/>
            <w:gridSpan w:val="6"/>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rtl/>
                <w:lang w:bidi="ar-EG"/>
              </w:rPr>
            </w:pPr>
            <w:r>
              <w:rPr>
                <w:rFonts w:ascii="Sakkal Majalla" w:eastAsia="Times New Roman" w:hAnsi="Sakkal Majalla" w:cs="Sakkal Majalla" w:hint="cs"/>
                <w:b/>
                <w:bCs/>
                <w:rtl/>
                <w:lang w:bidi="ar-EG"/>
              </w:rPr>
              <w:t xml:space="preserve">البعد الثاني: ذكاء عاطفي </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b w:val="0"/>
                <w:bCs w:val="0"/>
                <w:sz w:val="24"/>
                <w:szCs w:val="24"/>
                <w:lang w:bidi="ar-EG"/>
              </w:rPr>
            </w:pPr>
            <w:r>
              <w:rPr>
                <w:rFonts w:asciiTheme="majorBidi" w:hAnsiTheme="majorBidi" w:cstheme="majorBidi"/>
                <w:sz w:val="24"/>
                <w:szCs w:val="24"/>
                <w:rtl/>
                <w:lang w:bidi="ar-EG"/>
              </w:rPr>
              <w:t>6</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يسهم الذكاء العاطفي في تحسين الصورة الذهنية للشركة لجميع أطراف العملية التأمينية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7</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يسهم الذكاء العاطفي في كسب ولاء العاملين والعملاء</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8</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تشارك إدارة الشركة العاملين بالمشكلات التي تواجهها خصوصا فهم تأثير الأفعال على الآخرين</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9</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يساعد الذكاء العاطفي المحققين على اكتشاف التناقضات والتوتر ومعرفة المشاعر الشخصية بدقة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10</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 xml:space="preserve">تجمع الشركات بين البيانات العاطفية التي يتم رصدها وبيانات المطالبات السابقة لحساب درجة الخاطرة </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rPr>
            </w:pPr>
          </w:p>
        </w:tc>
        <w:tc>
          <w:tcPr>
            <w:tcW w:w="8357" w:type="dxa"/>
            <w:gridSpan w:val="6"/>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b/>
                <w:bCs/>
                <w:rtl/>
                <w:lang w:bidi="ar-EG"/>
              </w:rPr>
              <w:t>البعد الثالث: المصير المشترك</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11</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تشارك إدارة الشركة العاملين بآرائهم حول النتائج التي حققتها في توجيه جهود العاملين نحو هدف واحد واضح.</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12</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يشارك العاملون في الشركة إدارة الشركة في بناء ثقافة عمل قائمة على الثقة والتعاون</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13</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يشعر العاملون في الشركة بالانتماء إلى شركتهم مما يقلل من الصراعات</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14</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تربط العاملين في الشركة روابط إنسانية قوية تجعل مصالحهم مشتركة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15</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 xml:space="preserve">تضمن الشركة الارتباط الوثيق على أساس المصلحة المشتركة بين مختلف الأطراف </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sz w:val="26"/>
                <w:szCs w:val="26"/>
              </w:rPr>
            </w:pP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6"/>
                <w:szCs w:val="26"/>
                <w:rtl/>
              </w:rPr>
            </w:pPr>
            <w:r>
              <w:rPr>
                <w:rFonts w:ascii="Sakkal Majalla" w:eastAsia="Times New Roman" w:hAnsi="Sakkal Majalla" w:cs="Sakkal Majalla" w:hint="cs"/>
                <w:sz w:val="26"/>
                <w:szCs w:val="26"/>
                <w:rtl/>
              </w:rPr>
              <w:t>البعد الرابع: الموائمة والتطبيق</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16</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تحفز الشركة الرغبة لدي العاملين للعمل الجماعي لتوحيد رؤية قطاع المبيعات مع إدارة المخاطر</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17</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يؤمن العاملون بالشركة ان الإدارة تضع مصالح العاملين محور اهتمامها</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lastRenderedPageBreak/>
              <w:t>18</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تقوم الشركة بتفويض المسؤوليات والصلاحيات للمستويات الإدارية الدنيا</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19</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يتم تنسيق جهود العاملين بما يمنع ازدواجية العمل ويمنع عمليات التصادم بينهم</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sz w:val="24"/>
                <w:szCs w:val="24"/>
                <w:lang w:bidi="ar-EG"/>
              </w:rPr>
            </w:pPr>
            <w:r>
              <w:rPr>
                <w:rFonts w:asciiTheme="majorBidi" w:hAnsiTheme="majorBidi" w:cstheme="majorBidi"/>
                <w:sz w:val="24"/>
                <w:szCs w:val="24"/>
                <w:rtl/>
                <w:lang w:bidi="ar-EG"/>
              </w:rPr>
              <w:t>20</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 xml:space="preserve">تسهم نظم المعلومات في تمكين الموظفين بالقيام بأعمالهم بفاعلية </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bl>
    <w:p w:rsidR="00C234E8" w:rsidRDefault="00C234E8">
      <w:pPr>
        <w:bidi/>
        <w:spacing w:line="240" w:lineRule="auto"/>
        <w:jc w:val="both"/>
        <w:rPr>
          <w:rFonts w:ascii="Sakkal Majalla" w:hAnsi="Sakkal Majalla" w:cs="Sakkal Majalla"/>
          <w:lang w:bidi="ar-EG"/>
        </w:rPr>
      </w:pPr>
    </w:p>
    <w:tbl>
      <w:tblPr>
        <w:tblStyle w:val="GridTable4-Accent3"/>
        <w:bidiVisual/>
        <w:tblW w:w="9352" w:type="dxa"/>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185"/>
        <w:gridCol w:w="782"/>
        <w:gridCol w:w="782"/>
        <w:gridCol w:w="779"/>
        <w:gridCol w:w="920"/>
        <w:gridCol w:w="1337"/>
      </w:tblGrid>
      <w:tr w:rsidR="00C234E8">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shd w:val="clear" w:color="auto" w:fill="EDEDED" w:themeFill="accent3" w:themeFillTint="33"/>
            <w:noWrap/>
            <w:hideMark/>
          </w:tcPr>
          <w:p w:rsidR="00C234E8" w:rsidRDefault="00C234E8">
            <w:pPr>
              <w:bidi/>
              <w:spacing w:line="240" w:lineRule="auto"/>
              <w:jc w:val="both"/>
              <w:rPr>
                <w:rFonts w:ascii="Sakkal Majalla" w:eastAsia="Times New Roman" w:hAnsi="Sakkal Majalla" w:cs="Sakkal Majalla"/>
                <w:rtl/>
              </w:rPr>
            </w:pPr>
            <w:r>
              <w:rPr>
                <w:rFonts w:ascii="Sakkal Majalla" w:eastAsia="Times New Roman" w:hAnsi="Sakkal Majalla" w:cs="Sakkal Majalla" w:hint="cs"/>
                <w:rtl/>
              </w:rPr>
              <w:t>م</w:t>
            </w:r>
          </w:p>
        </w:tc>
        <w:tc>
          <w:tcPr>
            <w:tcW w:w="4185" w:type="dxa"/>
            <w:shd w:val="clear" w:color="auto" w:fill="EDEDED" w:themeFill="accent3" w:themeFillTint="33"/>
            <w:noWrap/>
          </w:tcPr>
          <w:p w:rsidR="00C234E8" w:rsidRDefault="00C234E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4600" w:type="dxa"/>
            <w:gridSpan w:val="5"/>
            <w:shd w:val="clear" w:color="auto" w:fill="EDEDED" w:themeFill="accent3" w:themeFillTint="33"/>
            <w:noWrap/>
            <w:hideMark/>
          </w:tcPr>
          <w:p w:rsidR="00C234E8" w:rsidRDefault="00C234E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hAnsi="Sakkal Majalla" w:cs="Sakkal Majalla" w:hint="cs"/>
                <w:rtl/>
              </w:rPr>
              <w:t>مستوي الموافقة</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Sakkal Majalla" w:eastAsia="Times New Roman" w:hAnsi="Sakkal Majalla" w:cs="Sakkal Majalla"/>
                <w:rtl/>
              </w:rPr>
            </w:pPr>
            <w:r>
              <w:rPr>
                <w:rFonts w:ascii="Sakkal Majalla" w:eastAsia="Times New Roman" w:hAnsi="Sakkal Majalla" w:cs="Sakkal Majalla" w:hint="cs"/>
              </w:rPr>
              <w:t> </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6"/>
                <w:szCs w:val="26"/>
                <w:rtl/>
                <w:lang w:bidi="ar-EG"/>
              </w:rPr>
            </w:pPr>
            <w:r>
              <w:rPr>
                <w:rFonts w:ascii="Sakkal Majalla" w:hAnsi="Sakkal Majalla" w:cs="Sakkal Majalla" w:hint="cs"/>
                <w:b/>
                <w:bCs/>
                <w:sz w:val="26"/>
                <w:szCs w:val="26"/>
                <w:rtl/>
                <w:lang w:bidi="ar-EG"/>
              </w:rPr>
              <w:t>المتغير التابع:</w:t>
            </w:r>
          </w:p>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rtl/>
                <w:lang w:bidi="ar-EG"/>
              </w:rPr>
            </w:pPr>
            <w:r>
              <w:rPr>
                <w:rFonts w:ascii="Sakkal Majalla" w:hAnsi="Sakkal Majalla" w:cs="Sakkal Majalla" w:hint="cs"/>
                <w:b/>
                <w:bCs/>
                <w:sz w:val="26"/>
                <w:szCs w:val="26"/>
                <w:rtl/>
                <w:lang w:bidi="ar-EG"/>
              </w:rPr>
              <w:t>الكشف عن الاحتيال بمطالبات التأمين</w:t>
            </w:r>
          </w:p>
        </w:tc>
        <w:tc>
          <w:tcPr>
            <w:tcW w:w="782"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موافق بشدة</w:t>
            </w:r>
          </w:p>
        </w:tc>
        <w:tc>
          <w:tcPr>
            <w:tcW w:w="782"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موافق</w:t>
            </w:r>
          </w:p>
        </w:tc>
        <w:tc>
          <w:tcPr>
            <w:tcW w:w="779"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rPr>
              <w:t>محايد</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غير موافق</w:t>
            </w:r>
          </w:p>
        </w:tc>
        <w:tc>
          <w:tcPr>
            <w:tcW w:w="133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غير موافق بشدة</w:t>
            </w: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rtl/>
              </w:rPr>
            </w:pPr>
          </w:p>
        </w:tc>
        <w:tc>
          <w:tcPr>
            <w:tcW w:w="8785" w:type="dxa"/>
            <w:gridSpan w:val="6"/>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rtl/>
                <w:lang w:bidi="ar-EG"/>
              </w:rPr>
            </w:pPr>
            <w:r>
              <w:rPr>
                <w:rFonts w:ascii="Sakkal Majalla" w:eastAsia="Times New Roman" w:hAnsi="Sakkal Majalla" w:cs="Sakkal Majalla" w:hint="cs"/>
                <w:b/>
                <w:bCs/>
                <w:rtl/>
                <w:lang w:bidi="ar-EG"/>
              </w:rPr>
              <w:t>البعد الأول: الاحتيال من الطرف الاول</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b w:val="0"/>
                <w:bCs w:val="0"/>
              </w:rPr>
            </w:pPr>
            <w:r>
              <w:rPr>
                <w:rFonts w:asciiTheme="majorBidi" w:hAnsiTheme="majorBidi" w:cstheme="majorBidi"/>
                <w:sz w:val="24"/>
                <w:szCs w:val="24"/>
                <w:rtl/>
                <w:lang w:bidi="ar-EG"/>
              </w:rPr>
              <w:t>21</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تُصنف الخوارزميات المطالبات فور تقديمها إلى: آمنة تُصرف تلقائياً، أو مشبوهة تتطلب تدخلاً بشرياً.</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22</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 xml:space="preserve">تعلم النماذج </w:t>
            </w:r>
            <w:r>
              <w:rPr>
                <w:rFonts w:ascii="Sakkal Majalla" w:eastAsia="Times New Roman" w:hAnsi="Sakkal Majalla" w:cs="Sakkal Majalla" w:hint="cs"/>
                <w:rtl/>
                <w:lang w:bidi="ar-EG"/>
              </w:rPr>
              <w:t xml:space="preserve">المقدمة من الطرف الأول </w:t>
            </w:r>
            <w:r>
              <w:rPr>
                <w:rFonts w:ascii="Sakkal Majalla" w:eastAsia="Times New Roman" w:hAnsi="Sakkal Majalla" w:cs="Sakkal Majalla" w:hint="cs"/>
                <w:rtl/>
              </w:rPr>
              <w:t>ديناميكياً من كل معاملة جديدة.</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23</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تقوم الشركة بضبط معايير الأمان باستمرار لمواكبة طرق الاحتيال المتطورة من الطرف الاول</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4</w:t>
            </w:r>
            <w:r>
              <w:rPr>
                <w:rFonts w:asciiTheme="majorBidi" w:hAnsiTheme="majorBidi" w:cstheme="majorBidi"/>
                <w:sz w:val="24"/>
                <w:szCs w:val="24"/>
                <w:rtl/>
                <w:lang w:bidi="ar-EG"/>
              </w:rPr>
              <w:t>2</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يتم توجيه المطالبات ذات درجات الاشتباه العالية إلى فرق التحقيق الخاصة مع تقديم تقرير مفصل بنقاط التناقض</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tl/>
              </w:rPr>
            </w:pPr>
            <w:r>
              <w:rPr>
                <w:rFonts w:asciiTheme="majorBidi" w:hAnsiTheme="majorBidi" w:cstheme="majorBidi"/>
                <w:sz w:val="24"/>
                <w:szCs w:val="24"/>
                <w:lang w:bidi="ar-EG"/>
              </w:rPr>
              <w:t>5</w:t>
            </w:r>
            <w:r>
              <w:rPr>
                <w:rFonts w:asciiTheme="majorBidi" w:hAnsiTheme="majorBidi" w:cstheme="majorBidi"/>
                <w:sz w:val="24"/>
                <w:szCs w:val="24"/>
                <w:rtl/>
                <w:lang w:bidi="ar-EG"/>
              </w:rPr>
              <w:t>2</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rtl/>
                <w:lang w:bidi="ar-EG"/>
              </w:rPr>
              <w:t>توفر الشركة برمجيات وأنظمة متقدمة لدعم قراراتها وتقليل التكاليف التشغيلية في الكشف عن الاحتيال</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Pr>
              <w:t> </w:t>
            </w: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rPr>
            </w:pPr>
          </w:p>
        </w:tc>
        <w:tc>
          <w:tcPr>
            <w:tcW w:w="8785" w:type="dxa"/>
            <w:gridSpan w:val="6"/>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rtl/>
                <w:lang w:bidi="ar-EG"/>
              </w:rPr>
            </w:pPr>
            <w:r>
              <w:rPr>
                <w:rFonts w:ascii="Sakkal Majalla" w:eastAsia="Times New Roman" w:hAnsi="Sakkal Majalla" w:cs="Sakkal Majalla" w:hint="cs"/>
                <w:b/>
                <w:bCs/>
                <w:rtl/>
                <w:lang w:bidi="ar-EG"/>
              </w:rPr>
              <w:t>البعد الثاني: الاحتيال من الطرف الثاني</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b w:val="0"/>
                <w:bCs w:val="0"/>
                <w:lang w:bidi="ar-EG"/>
              </w:rPr>
            </w:pPr>
            <w:r>
              <w:rPr>
                <w:rFonts w:asciiTheme="majorBidi" w:hAnsiTheme="majorBidi" w:cstheme="majorBidi"/>
                <w:sz w:val="24"/>
                <w:szCs w:val="24"/>
                <w:rtl/>
                <w:lang w:bidi="ar-EG"/>
              </w:rPr>
              <w:t>26</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استخدام الشركات لنظم المعلومات الحديثة يسهم في زيادة فاعلية الكشف عن الاحتيال.</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27</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قدرة الشركة على كشف الاحتيال من خلال تحديد الروابط الخفية بين الأفراد من داخل الشركة وخارجها</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rtl/>
                <w:lang w:bidi="ar-EG"/>
              </w:rPr>
              <w:t>28</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تحليل الأنماط السلوكية للطرف الثاني، تقييم سجل المطالبات، واستخدام التحليلات التنبؤية لرصد التجاوزات.</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29</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توفر الشركة اجراءات لحماية حقوقها إذا ثبت تورط الطرف الثاني في احتيال متعمد أو تواطؤ</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30</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 xml:space="preserve">يساهم تبادل المعلومات بصورة استباقية بين شركات التامين في الكشف المبكر عن الاحتيال </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rPr>
            </w:pPr>
          </w:p>
        </w:tc>
        <w:tc>
          <w:tcPr>
            <w:tcW w:w="8785" w:type="dxa"/>
            <w:gridSpan w:val="6"/>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b/>
                <w:bCs/>
                <w:rtl/>
                <w:lang w:bidi="ar-EG"/>
              </w:rPr>
              <w:t>البعد الثالث: الاحتيال من الطرف الثالث</w:t>
            </w: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31</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قدرة الشركة في الكشف عن الاحتيال بمطالبات التأمين من الطرف الثالث</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32</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يتم تحويل البيانات الضخمة إلى قرارات استباقية دقيقة، مما يقلل الخسائر المالية ويسرع تسوية المطالبات المشروعة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33</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عزل المطالبات المشبوهة يتيح تمرير التعويضات الصحيحة بسرعة، مما يرفع رضا العملاء</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C234E8">
        <w:trPr>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34</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C234E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rPr>
            </w:pPr>
            <w:r>
              <w:rPr>
                <w:rFonts w:asciiTheme="majorBidi" w:hAnsiTheme="majorBidi" w:cstheme="majorBidi"/>
                <w:sz w:val="24"/>
                <w:szCs w:val="24"/>
                <w:lang w:bidi="ar-EG"/>
              </w:rPr>
              <w:t>35</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استخدام برامج الذكاء الاصطناعي ونماذج تعلم الآلة لمقارنة المطالبات، وكشف التناقضات أو الروايات غير المتسقة.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bl>
    <w:p w:rsidR="00C234E8" w:rsidRDefault="00C234E8">
      <w:pPr>
        <w:bidi/>
        <w:rPr>
          <w:rFonts w:ascii="Sakkal Majalla" w:eastAsia="Simplified Arabic" w:hAnsi="Sakkal Majalla" w:cs="Sakkal Majalla"/>
          <w:b/>
          <w:sz w:val="28"/>
          <w:szCs w:val="28"/>
          <w:rtl/>
        </w:rPr>
      </w:pPr>
    </w:p>
    <w:p w:rsidR="00C234E8" w:rsidRDefault="00C234E8">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الجزء الثالث: البيانات الشخصية والوظيفية</w:t>
      </w:r>
    </w:p>
    <w:p w:rsidR="00C234E8" w:rsidRDefault="00C234E8">
      <w:p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يُرجى وضع إشارة (</w:t>
      </w:r>
      <w:r>
        <w:rPr>
          <w:rFonts w:ascii="Times New Roman" w:eastAsia="Noto Sans Symbols" w:hAnsi="Times New Roman" w:cs="Times New Roman"/>
          <w:sz w:val="28"/>
          <w:szCs w:val="28"/>
        </w:rPr>
        <w:sym w:font="Wingdings 2" w:char="F050"/>
      </w:r>
      <w:r>
        <w:rPr>
          <w:rFonts w:ascii="Sakkal Majalla" w:eastAsia="Simplified Arabic" w:hAnsi="Sakkal Majalla" w:cs="Sakkal Majalla" w:hint="cs"/>
          <w:sz w:val="28"/>
          <w:szCs w:val="28"/>
          <w:rtl/>
        </w:rPr>
        <w:t>) داخل مربع الإجابة الذي يتوافق معك</w:t>
      </w:r>
    </w:p>
    <w:p w:rsidR="00C234E8" w:rsidRDefault="00C234E8" w:rsidP="00974E00">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إضافة البيانات الشخصية والوظيفية</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النوع:</w:t>
      </w:r>
    </w:p>
    <w:p w:rsidR="00C234E8" w:rsidRDefault="00C234E8">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ذكر (       )</w:t>
      </w:r>
    </w:p>
    <w:p w:rsidR="00C234E8" w:rsidRDefault="00C234E8">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انثى (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العمر:</w:t>
      </w:r>
    </w:p>
    <w:p w:rsidR="00C234E8" w:rsidRDefault="00C234E8">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18-25 (       )</w:t>
      </w:r>
    </w:p>
    <w:p w:rsidR="00C234E8" w:rsidRDefault="00C234E8">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26-35 (       )</w:t>
      </w:r>
    </w:p>
    <w:p w:rsidR="00C234E8" w:rsidRDefault="00C234E8">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36-45 (       )</w:t>
      </w:r>
    </w:p>
    <w:p w:rsidR="00C234E8" w:rsidRDefault="00C234E8">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46 فأكثر  (       )</w:t>
      </w:r>
    </w:p>
    <w:p w:rsidR="00974E00" w:rsidRDefault="00974E00" w:rsidP="00974E00">
      <w:pPr>
        <w:bidi/>
        <w:spacing w:before="100" w:beforeAutospacing="1" w:after="100" w:afterAutospacing="1" w:line="276" w:lineRule="auto"/>
        <w:ind w:left="1440"/>
        <w:rPr>
          <w:rFonts w:ascii="Sakkal Majalla" w:eastAsia="Simplified Arabic" w:hAnsi="Sakkal Majalla" w:cs="Sakkal Majalla"/>
          <w:sz w:val="28"/>
          <w:szCs w:val="28"/>
          <w:rtl/>
        </w:rPr>
      </w:pPr>
    </w:p>
    <w:p w:rsidR="00974E00" w:rsidRDefault="00974E00" w:rsidP="00974E00">
      <w:pPr>
        <w:bidi/>
        <w:spacing w:before="100" w:beforeAutospacing="1" w:after="100" w:afterAutospacing="1" w:line="276" w:lineRule="auto"/>
        <w:ind w:left="1440"/>
        <w:rPr>
          <w:rFonts w:ascii="Sakkal Majalla" w:eastAsia="Simplified Arabic" w:hAnsi="Sakkal Majalla" w:cs="Sakkal Majalla"/>
          <w:sz w:val="28"/>
          <w:szCs w:val="28"/>
          <w:rtl/>
        </w:rPr>
      </w:pP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lastRenderedPageBreak/>
        <w:t>المؤهل العلمي:</w:t>
      </w:r>
    </w:p>
    <w:p w:rsidR="00C234E8" w:rsidRDefault="00C234E8">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دبلوم (       )</w:t>
      </w:r>
    </w:p>
    <w:p w:rsidR="00C234E8" w:rsidRDefault="00C234E8">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بكالوريوس (       )</w:t>
      </w:r>
    </w:p>
    <w:p w:rsidR="00C234E8" w:rsidRDefault="00C234E8">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ماجستير (       )</w:t>
      </w:r>
    </w:p>
    <w:p w:rsidR="00C234E8" w:rsidRDefault="00C234E8">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دكتوراه (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المستوى الوظيفي:</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مستوى مبتدئ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مستوى متوسط (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مستوى عالٍ(       )</w:t>
      </w:r>
    </w:p>
    <w:p w:rsidR="00C234E8" w:rsidRDefault="00C234E8">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مستوى تنفيذي (       )</w:t>
      </w:r>
    </w:p>
    <w:p w:rsidR="00C234E8" w:rsidRDefault="00C234E8">
      <w:pPr>
        <w:numPr>
          <w:ilvl w:val="0"/>
          <w:numId w:val="2"/>
        </w:numPr>
        <w:bidi/>
        <w:spacing w:before="100" w:beforeAutospacing="1" w:after="100" w:afterAutospacing="1" w:line="276" w:lineRule="auto"/>
        <w:ind w:left="144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عدد سنوات الخبرة:</w:t>
      </w:r>
    </w:p>
    <w:p w:rsidR="00C234E8" w:rsidRDefault="00C234E8">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أقل من سنة (       )</w:t>
      </w:r>
    </w:p>
    <w:p w:rsidR="00C234E8" w:rsidRDefault="00C234E8">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١-٥ سنوات (       )</w:t>
      </w:r>
    </w:p>
    <w:p w:rsidR="00C234E8" w:rsidRDefault="00C234E8">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٦-١٠ سنوات (       )</w:t>
      </w:r>
    </w:p>
    <w:p w:rsidR="00C234E8" w:rsidRDefault="00C234E8">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أكثر من ١٠ سنوات(   )</w:t>
      </w:r>
    </w:p>
    <w:p w:rsidR="00C234E8" w:rsidRDefault="00C234E8">
      <w:pPr>
        <w:bidi/>
        <w:spacing w:after="0"/>
        <w:rPr>
          <w:rFonts w:ascii="Sakkal Majalla" w:eastAsia="Simplified Arabic" w:hAnsi="Sakkal Majalla" w:cs="Sakkal Majalla"/>
          <w:sz w:val="28"/>
          <w:szCs w:val="28"/>
          <w:rtl/>
        </w:rPr>
      </w:pPr>
    </w:p>
    <w:p w:rsidR="00C234E8" w:rsidRDefault="00C234E8">
      <w:pPr>
        <w:bidi/>
        <w:spacing w:after="0"/>
        <w:rPr>
          <w:rFonts w:ascii="Sakkal Majalla" w:eastAsia="Simplified Arabic" w:hAnsi="Sakkal Majalla" w:cs="Sakkal Majalla"/>
          <w:color w:val="EE0000"/>
          <w:sz w:val="28"/>
          <w:szCs w:val="28"/>
          <w:rtl/>
        </w:rPr>
      </w:pPr>
    </w:p>
    <w:p w:rsidR="00C234E8" w:rsidRDefault="00C234E8">
      <w:pPr>
        <w:bidi/>
        <w:jc w:val="right"/>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سيتم نشر هذه الاستبانة باستخدام (</w:t>
      </w:r>
      <w:r>
        <w:rPr>
          <w:rFonts w:ascii="Sakkal Majalla" w:eastAsia="Simplified Arabic" w:hAnsi="Sakkal Majalla" w:cs="Sakkal Majalla" w:hint="cs"/>
          <w:sz w:val="28"/>
          <w:szCs w:val="28"/>
        </w:rPr>
        <w:t>Google Forms)</w:t>
      </w:r>
    </w:p>
    <w:p w:rsidR="00C234E8" w:rsidRDefault="00C234E8">
      <w:pPr>
        <w:bidi/>
        <w:jc w:val="right"/>
        <w:rPr>
          <w:rFonts w:ascii="Sakkal Majalla" w:eastAsia="Simplified Arabic" w:hAnsi="Sakkal Majalla" w:cs="Sakkal Majalla"/>
          <w:color w:val="EE0000"/>
          <w:sz w:val="28"/>
          <w:szCs w:val="28"/>
          <w:rtl/>
        </w:rPr>
      </w:pPr>
      <w:r>
        <w:rPr>
          <w:rFonts w:ascii="Sakkal Majalla" w:eastAsia="Simplified Arabic" w:hAnsi="Sakkal Majalla" w:cs="Sakkal Majalla" w:hint="cs"/>
          <w:sz w:val="28"/>
          <w:szCs w:val="28"/>
          <w:rtl/>
        </w:rPr>
        <w:t xml:space="preserve"> ويمكن الوصول لها من خلال الرابط الإلكتروني: .......................................</w:t>
      </w:r>
    </w:p>
    <w:p w:rsidR="00C234E8" w:rsidRDefault="00C234E8">
      <w:pPr>
        <w:bidi/>
        <w:rPr>
          <w:rFonts w:ascii="Sakkal Majalla" w:hAnsi="Sakkal Majalla" w:cs="Sakkal Majalla"/>
          <w:rtl/>
        </w:rPr>
      </w:pPr>
    </w:p>
    <w:p w:rsidR="00C234E8" w:rsidRDefault="00C234E8">
      <w:pPr>
        <w:bidi/>
        <w:rPr>
          <w:rFonts w:ascii="Sakkal Majalla" w:hAnsi="Sakkal Majalla" w:cs="Sakkal Majalla"/>
        </w:rPr>
      </w:pPr>
    </w:p>
    <w:p w:rsidR="00C234E8" w:rsidRDefault="00C234E8">
      <w:pPr>
        <w:bidi/>
        <w:rPr>
          <w:rFonts w:ascii="Sakkal Majalla" w:hAnsi="Sakkal Majalla" w:cs="Sakkal Majalla"/>
          <w:rtl/>
        </w:rPr>
      </w:pPr>
    </w:p>
    <w:p w:rsidR="00C234E8" w:rsidRPr="00974E00" w:rsidRDefault="00C234E8" w:rsidP="00974E00">
      <w:pPr>
        <w:tabs>
          <w:tab w:val="left" w:pos="1128"/>
        </w:tabs>
        <w:bidi/>
        <w:rPr>
          <w:rFonts w:ascii="Sakkal Majalla" w:hAnsi="Sakkal Majalla" w:cs="Sakkal Majalla"/>
        </w:rPr>
      </w:pPr>
      <w:r>
        <w:rPr>
          <w:rFonts w:ascii="Sakkal Majalla" w:hAnsi="Sakkal Majalla" w:cs="Sakkal Majalla" w:hint="cs"/>
        </w:rPr>
        <w:tab/>
      </w:r>
    </w:p>
    <w:sectPr w:rsidR="00C234E8" w:rsidRPr="00974E00">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3846" w:rsidRDefault="00D53846">
      <w:pPr>
        <w:spacing w:after="0" w:line="240" w:lineRule="auto"/>
      </w:pPr>
      <w:r>
        <w:separator/>
      </w:r>
    </w:p>
  </w:endnote>
  <w:endnote w:type="continuationSeparator" w:id="0">
    <w:p w:rsidR="00D53846" w:rsidRDefault="00D53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A00020FF" w:usb1="C000207B" w:usb2="00000008" w:usb3="00000000" w:csb0="000001D3"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34234D" w:rsidRDefault="0034234D">
        <w:pPr>
          <w:pStyle w:val="NormalWeb"/>
          <w:jc w:val="center"/>
        </w:pPr>
        <w:r>
          <w:fldChar w:fldCharType="begin"/>
        </w:r>
        <w:r>
          <w:instrText xml:space="preserve"> PAGE   \* MERGEFORMAT </w:instrText>
        </w:r>
        <w:r>
          <w:fldChar w:fldCharType="separate"/>
        </w:r>
        <w:r>
          <w:rPr>
            <w:noProof/>
          </w:rPr>
          <w:t>5</w:t>
        </w:r>
        <w:r>
          <w:rPr>
            <w:noProof/>
          </w:rPr>
          <w:fldChar w:fldCharType="end"/>
        </w:r>
      </w:p>
    </w:sdtContent>
  </w:sdt>
  <w:p w:rsidR="0034234D" w:rsidRDefault="0034234D">
    <w:pPr>
      <w:pStyle w:val="NormalWe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3846" w:rsidRDefault="00D53846">
      <w:pPr>
        <w:spacing w:after="0" w:line="240" w:lineRule="auto"/>
      </w:pPr>
      <w:r>
        <w:separator/>
      </w:r>
    </w:p>
  </w:footnote>
  <w:footnote w:type="continuationSeparator" w:id="0">
    <w:p w:rsidR="00D53846" w:rsidRDefault="00D538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D53846">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D53846">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rsidR="0034234D" w:rsidRDefault="00D53846">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15:restartNumberingAfterBreak="0">
    <w:nsid w:val="0D4711D7"/>
    <w:multiLevelType w:val="hybridMultilevel"/>
    <w:tmpl w:val="27BA7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4"/>
  </w:num>
  <w:num w:numId="4">
    <w:abstractNumId w:val="7"/>
  </w:num>
  <w:num w:numId="5">
    <w:abstractNumId w:val="3"/>
  </w:num>
  <w:num w:numId="6">
    <w:abstractNumId w:val="5"/>
  </w:num>
  <w:num w:numId="7">
    <w:abstractNumId w:val="0"/>
  </w:num>
  <w:num w:numId="8">
    <w:abstractNumId w:val="2"/>
  </w:num>
  <w:num w:numId="9">
    <w:abstractNumId w:val="0"/>
  </w:num>
  <w:num w:numId="10">
    <w:abstractNumId w:val="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5341E"/>
    <w:rsid w:val="00066435"/>
    <w:rsid w:val="000673A9"/>
    <w:rsid w:val="00070528"/>
    <w:rsid w:val="000815E5"/>
    <w:rsid w:val="0009545F"/>
    <w:rsid w:val="000B3546"/>
    <w:rsid w:val="000D626C"/>
    <w:rsid w:val="000E2F83"/>
    <w:rsid w:val="000E6FC3"/>
    <w:rsid w:val="0014799A"/>
    <w:rsid w:val="00164478"/>
    <w:rsid w:val="001B59BE"/>
    <w:rsid w:val="001C5F09"/>
    <w:rsid w:val="001F3A0A"/>
    <w:rsid w:val="00201153"/>
    <w:rsid w:val="0021112C"/>
    <w:rsid w:val="002239DA"/>
    <w:rsid w:val="002432B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3423B"/>
    <w:rsid w:val="00657D29"/>
    <w:rsid w:val="00683F9E"/>
    <w:rsid w:val="006B2400"/>
    <w:rsid w:val="006B3370"/>
    <w:rsid w:val="006D348C"/>
    <w:rsid w:val="006D7CB0"/>
    <w:rsid w:val="00705CA9"/>
    <w:rsid w:val="00711B82"/>
    <w:rsid w:val="0073000A"/>
    <w:rsid w:val="007E0CF2"/>
    <w:rsid w:val="007E5B79"/>
    <w:rsid w:val="008072C4"/>
    <w:rsid w:val="008646BD"/>
    <w:rsid w:val="0086571E"/>
    <w:rsid w:val="008B7243"/>
    <w:rsid w:val="008C7817"/>
    <w:rsid w:val="008E043A"/>
    <w:rsid w:val="008E211F"/>
    <w:rsid w:val="009113C7"/>
    <w:rsid w:val="009614B2"/>
    <w:rsid w:val="00974E00"/>
    <w:rsid w:val="00983754"/>
    <w:rsid w:val="00993179"/>
    <w:rsid w:val="009B4346"/>
    <w:rsid w:val="009D736D"/>
    <w:rsid w:val="00A06662"/>
    <w:rsid w:val="00A622D5"/>
    <w:rsid w:val="00A7370F"/>
    <w:rsid w:val="00AA2DC1"/>
    <w:rsid w:val="00AA704C"/>
    <w:rsid w:val="00AC1F53"/>
    <w:rsid w:val="00B458A8"/>
    <w:rsid w:val="00B56094"/>
    <w:rsid w:val="00B84438"/>
    <w:rsid w:val="00BB1191"/>
    <w:rsid w:val="00BC578B"/>
    <w:rsid w:val="00BF4E05"/>
    <w:rsid w:val="00BF67BA"/>
    <w:rsid w:val="00C06124"/>
    <w:rsid w:val="00C20B4B"/>
    <w:rsid w:val="00C234E8"/>
    <w:rsid w:val="00C3132C"/>
    <w:rsid w:val="00C36992"/>
    <w:rsid w:val="00CF3CFE"/>
    <w:rsid w:val="00D24750"/>
    <w:rsid w:val="00D53846"/>
    <w:rsid w:val="00D57864"/>
    <w:rsid w:val="00D662CD"/>
    <w:rsid w:val="00D919FC"/>
    <w:rsid w:val="00D96FEF"/>
    <w:rsid w:val="00DD3C9D"/>
    <w:rsid w:val="00E15EFD"/>
    <w:rsid w:val="00E20DDB"/>
    <w:rsid w:val="00E37E79"/>
    <w:rsid w:val="00E67AB4"/>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C429187"/>
  <w15:chartTrackingRefBased/>
  <w15:docId w15:val="{0762D298-BC78-4CC8-8AF5-88FC499D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1479"/>
    <w:pPr>
      <w:spacing w:line="256" w:lineRule="auto"/>
    </w:pPr>
  </w:style>
  <w:style w:type="paragraph" w:styleId="Heading1">
    <w:name w:val="heading 1"/>
    <w:basedOn w:val="Normal"/>
    <w:next w:val="Normal"/>
    <w:link w:val="Heading1Char"/>
    <w:uiPriority w:val="9"/>
    <w:qFormat/>
    <w:rsid w:val="002D1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14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14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D14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4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D14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D14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D147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qFormat/>
    <w:rsid w:val="002D1479"/>
    <w:rPr>
      <w:color w:val="0563C1" w:themeColor="hyperlink"/>
      <w:u w:val="single"/>
    </w:rPr>
  </w:style>
  <w:style w:type="character" w:styleId="FollowedHyperlink">
    <w:name w:val="FollowedHyperlink"/>
    <w:basedOn w:val="DefaultParagraphFont"/>
    <w:uiPriority w:val="99"/>
    <w:semiHidden/>
    <w:unhideWhenUsed/>
    <w:rsid w:val="002D1479"/>
    <w:rPr>
      <w:color w:val="954F72" w:themeColor="followedHyperlink"/>
      <w:u w:val="single"/>
    </w:rPr>
  </w:style>
  <w:style w:type="paragraph" w:customStyle="1" w:styleId="msonormal0">
    <w:name w:val="msonormal"/>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qFormat/>
    <w:rsid w:val="002D1479"/>
    <w:pPr>
      <w:tabs>
        <w:tab w:val="center" w:pos="4153"/>
        <w:tab w:val="right" w:pos="8306"/>
      </w:tabs>
      <w:spacing w:after="0" w:line="240" w:lineRule="auto"/>
    </w:pPr>
  </w:style>
  <w:style w:type="character" w:customStyle="1" w:styleId="HeaderChar">
    <w:name w:val="Header Char"/>
    <w:basedOn w:val="DefaultParagraphFont"/>
    <w:link w:val="Header"/>
    <w:uiPriority w:val="99"/>
    <w:semiHidden/>
    <w:qFormat/>
    <w:rsid w:val="002D1479"/>
  </w:style>
  <w:style w:type="paragraph" w:styleId="Footer">
    <w:name w:val="footer"/>
    <w:basedOn w:val="Normal"/>
    <w:link w:val="FooterChar"/>
    <w:uiPriority w:val="99"/>
    <w:semiHidden/>
    <w:unhideWhenUsed/>
    <w:qFormat/>
    <w:rsid w:val="002D1479"/>
    <w:pPr>
      <w:tabs>
        <w:tab w:val="center" w:pos="4153"/>
        <w:tab w:val="right" w:pos="8306"/>
      </w:tabs>
      <w:spacing w:after="0" w:line="240" w:lineRule="auto"/>
    </w:pPr>
  </w:style>
  <w:style w:type="character" w:customStyle="1" w:styleId="FooterChar">
    <w:name w:val="Footer Char"/>
    <w:basedOn w:val="DefaultParagraphFont"/>
    <w:link w:val="Footer"/>
    <w:uiPriority w:val="99"/>
    <w:semiHidden/>
    <w:qFormat/>
    <w:rsid w:val="002D1479"/>
  </w:style>
  <w:style w:type="paragraph" w:styleId="Subtitle">
    <w:name w:val="Subtitle"/>
    <w:basedOn w:val="Normal"/>
    <w:link w:val="SubtitleChar"/>
    <w:uiPriority w:val="99"/>
    <w:qFormat/>
    <w:rsid w:val="002D1479"/>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99"/>
    <w:rsid w:val="002D1479"/>
    <w:rPr>
      <w:rFonts w:ascii="Times New Roman" w:eastAsia="Times New Roman" w:hAnsi="Times New Roman" w:cs="Times New Roman"/>
      <w:i/>
      <w:iCs/>
      <w:sz w:val="28"/>
      <w:szCs w:val="28"/>
      <w:lang w:eastAsia="ar-SA"/>
    </w:rPr>
  </w:style>
  <w:style w:type="paragraph" w:styleId="BalloonText">
    <w:name w:val="Balloon Text"/>
    <w:basedOn w:val="Normal"/>
    <w:link w:val="BalloonTextChar"/>
    <w:uiPriority w:val="99"/>
    <w:semiHidden/>
    <w:unhideWhenUsed/>
    <w:rsid w:val="002D14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479"/>
    <w:rPr>
      <w:rFonts w:ascii="Tahoma" w:hAnsi="Tahoma" w:cs="Tahoma"/>
      <w:sz w:val="16"/>
      <w:szCs w:val="16"/>
    </w:rPr>
  </w:style>
  <w:style w:type="character" w:customStyle="1" w:styleId="ListParagraphChar">
    <w:name w:val="List Paragraph Char"/>
    <w:aliases w:val="عنوان رئيسي Char,سرد الفقراتCxSpLast Char,List Paragraph1 Char,NumberedList Char,BPList Char,سرد الفقرات1 Char,سرد الفقرات11 Char,Use Case List Paragraph Char Char,Use Case List Paragraph Char1,Bulletted Char,lp1 Char,lp11 Char"/>
    <w:link w:val="ListParagraph"/>
    <w:uiPriority w:val="34"/>
    <w:qFormat/>
    <w:locked/>
    <w:rsid w:val="002D1479"/>
  </w:style>
  <w:style w:type="paragraph" w:styleId="ListParagraph">
    <w:name w:val="List Paragraph"/>
    <w:aliases w:val="عنوان رئيسي,سرد الفقراتCxSpLast,List Paragraph1,NumberedList,BPList,سرد الفقرات1,سرد الفقرات11,Use Case List Paragraph Char,Use Case List Paragraph,Bulletted,lp1,lp11,lp1CxSpLast,YC Bulet,Primus H 3,Bullet Lis, سرد الفقرات1, سرد الفقرات11"/>
    <w:basedOn w:val="Normal"/>
    <w:link w:val="ListParagraphChar"/>
    <w:uiPriority w:val="34"/>
    <w:qFormat/>
    <w:rsid w:val="002D1479"/>
    <w:pPr>
      <w:ind w:left="720"/>
      <w:contextualSpacing/>
    </w:pPr>
  </w:style>
  <w:style w:type="paragraph" w:customStyle="1" w:styleId="Default">
    <w:name w:val="Default"/>
    <w:uiPriority w:val="99"/>
    <w:qFormat/>
    <w:rsid w:val="002D1479"/>
    <w:pPr>
      <w:autoSpaceDE w:val="0"/>
      <w:autoSpaceDN w:val="0"/>
      <w:adjustRightInd w:val="0"/>
      <w:spacing w:after="0" w:line="240" w:lineRule="auto"/>
    </w:pPr>
    <w:rPr>
      <w:rFonts w:ascii="Alexandria" w:hAnsi="Alexandria" w:cs="Alexandria"/>
      <w:color w:val="000000"/>
      <w:sz w:val="24"/>
      <w:szCs w:val="24"/>
      <w14:ligatures w14:val="standardContextual"/>
    </w:rPr>
  </w:style>
  <w:style w:type="paragraph" w:customStyle="1" w:styleId="isselectedend">
    <w:name w:val="isselectedend"/>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e">
    <w:name w:val="note"/>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pic-highlight">
    <w:name w:val="topic-highlight"/>
    <w:basedOn w:val="DefaultParagraphFont"/>
    <w:rsid w:val="002D1479"/>
  </w:style>
  <w:style w:type="character" w:customStyle="1" w:styleId="UnresolvedMention1">
    <w:name w:val="Unresolved Mention1"/>
    <w:basedOn w:val="DefaultParagraphFont"/>
    <w:uiPriority w:val="99"/>
    <w:semiHidden/>
    <w:qFormat/>
    <w:rsid w:val="002D1479"/>
    <w:rPr>
      <w:color w:val="605E5C"/>
      <w:shd w:val="clear" w:color="auto" w:fill="E1DFDD"/>
    </w:rPr>
  </w:style>
  <w:style w:type="character" w:customStyle="1" w:styleId="title-text">
    <w:name w:val="title-text"/>
    <w:basedOn w:val="DefaultParagraphFont"/>
    <w:rsid w:val="002D1479"/>
  </w:style>
  <w:style w:type="character" w:customStyle="1" w:styleId="anchor-text">
    <w:name w:val="anchor-text"/>
    <w:basedOn w:val="DefaultParagraphFont"/>
    <w:rsid w:val="002D1479"/>
  </w:style>
  <w:style w:type="character" w:customStyle="1" w:styleId="react-xocs-alternative-link">
    <w:name w:val="react-xocs-alternative-link"/>
    <w:basedOn w:val="DefaultParagraphFont"/>
    <w:rsid w:val="002D1479"/>
  </w:style>
  <w:style w:type="character" w:customStyle="1" w:styleId="given-name">
    <w:name w:val="given-name"/>
    <w:basedOn w:val="DefaultParagraphFont"/>
    <w:rsid w:val="002D1479"/>
  </w:style>
  <w:style w:type="character" w:customStyle="1" w:styleId="text">
    <w:name w:val="text"/>
    <w:basedOn w:val="DefaultParagraphFont"/>
    <w:rsid w:val="002D1479"/>
  </w:style>
  <w:style w:type="character" w:customStyle="1" w:styleId="author-ref">
    <w:name w:val="author-ref"/>
    <w:basedOn w:val="DefaultParagraphFont"/>
    <w:rsid w:val="002D1479"/>
  </w:style>
  <w:style w:type="table" w:styleId="TableGrid">
    <w:name w:val="Table Grid"/>
    <w:basedOn w:val="TableNormal"/>
    <w:uiPriority w:val="39"/>
    <w:rsid w:val="002D14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D1479"/>
    <w:pPr>
      <w:spacing w:after="0" w:line="240" w:lineRule="auto"/>
    </w:pPr>
    <w:rPr>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2D1479"/>
    <w:pPr>
      <w:spacing w:after="0" w:line="240" w:lineRule="auto"/>
    </w:p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2">
    <w:name w:val="Grid Table 2 Accent 2"/>
    <w:basedOn w:val="TableNormal"/>
    <w:uiPriority w:val="47"/>
    <w:rsid w:val="002D1479"/>
    <w:pPr>
      <w:spacing w:after="0" w:line="240" w:lineRule="auto"/>
    </w:p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2D1479"/>
    <w:pPr>
      <w:spacing w:after="0" w:line="240" w:lineRule="auto"/>
    </w:pPr>
    <w:rPr>
      <w:kern w:val="2"/>
      <w:lang w:val="en-GB"/>
      <w14:ligatures w14:val="standardContextual"/>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2D1479"/>
    <w:pPr>
      <w:widowControl w:val="0"/>
      <w:autoSpaceDE w:val="0"/>
      <w:autoSpaceDN w:val="0"/>
      <w:spacing w:after="0" w:line="240" w:lineRule="auto"/>
    </w:p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2D1479"/>
    <w:pPr>
      <w:spacing w:after="0" w:line="240" w:lineRule="auto"/>
    </w:pPr>
    <w:tblPr>
      <w:tblStyleRowBandSize w:val="1"/>
      <w:tblStyleColBandSize w:val="1"/>
      <w:tblInd w:w="0" w:type="nil"/>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5">
    <w:name w:val="Grid Table 5 Dark Accent 5"/>
    <w:basedOn w:val="TableNormal"/>
    <w:uiPriority w:val="50"/>
    <w:rsid w:val="002D147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Strong">
    <w:name w:val="Strong"/>
    <w:basedOn w:val="DefaultParagraphFont"/>
    <w:uiPriority w:val="22"/>
    <w:qFormat/>
    <w:rsid w:val="002D1479"/>
    <w:rPr>
      <w:b/>
      <w:bCs/>
    </w:rPr>
  </w:style>
  <w:style w:type="character" w:styleId="UnresolvedMention">
    <w:name w:val="Unresolved Mention"/>
    <w:basedOn w:val="DefaultParagraphFont"/>
    <w:uiPriority w:val="99"/>
    <w:semiHidden/>
    <w:unhideWhenUsed/>
    <w:rsid w:val="00974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E920A-8075-4576-B371-0045AD98D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2722</Words>
  <Characters>15519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2</cp:revision>
  <dcterms:created xsi:type="dcterms:W3CDTF">2026-08-21T07:38:00Z</dcterms:created>
  <dcterms:modified xsi:type="dcterms:W3CDTF">2026-08-21T07:38:00Z</dcterms:modified>
</cp:coreProperties>
</file>