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1318C" w14:textId="77777777" w:rsidR="00FE6BEC" w:rsidRPr="00970456" w:rsidRDefault="00FE6BEC" w:rsidP="00FE6BEC">
      <w:pPr>
        <w:contextualSpacing/>
        <w:rPr>
          <w:rFonts w:ascii="Times New Roman" w:eastAsia="Times New Roman" w:hAnsi="Times New Roman" w:cs="Times New Roman"/>
          <w:b/>
          <w:bCs/>
          <w:color w:val="000000" w:themeColor="text1"/>
          <w:kern w:val="0"/>
          <w:sz w:val="24"/>
          <w:szCs w:val="24"/>
          <w14:ligatures w14:val="none"/>
        </w:rPr>
      </w:pPr>
    </w:p>
    <w:p w14:paraId="08569856" w14:textId="77777777" w:rsidR="00FE6BEC" w:rsidRPr="001902DB" w:rsidRDefault="00FE6BEC" w:rsidP="00FE6BEC">
      <w:pPr>
        <w:jc w:val="right"/>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7D1ED1DD" w14:textId="77777777" w:rsidR="00FE6BEC" w:rsidRPr="001902DB" w:rsidRDefault="00FE6BEC" w:rsidP="00FE6BEC">
      <w:pPr>
        <w:jc w:val="right"/>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7744A59D" wp14:editId="1F9279AA">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2265F516" w14:textId="77777777" w:rsidR="00FE6BEC" w:rsidRDefault="00FE6BEC" w:rsidP="00FE6BEC">
      <w:pPr>
        <w:jc w:val="right"/>
        <w:rPr>
          <w:rFonts w:ascii="Sakkal Majalla" w:hAnsi="Sakkal Majalla" w:cs="Sakkal Majalla"/>
          <w:b/>
          <w:bCs/>
          <w:sz w:val="28"/>
          <w:szCs w:val="28"/>
          <w:rtl/>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مخاطر</w:t>
      </w:r>
    </w:p>
    <w:p w14:paraId="3C7812C0" w14:textId="77777777" w:rsidR="00FE6BEC" w:rsidRPr="00910251" w:rsidRDefault="00FE6BEC" w:rsidP="00FE6BEC">
      <w:pPr>
        <w:jc w:val="right"/>
        <w:rPr>
          <w:rFonts w:ascii="Sakkal Majalla" w:hAnsi="Sakkal Majalla" w:cs="Sakkal Majalla"/>
          <w:b/>
          <w:bCs/>
          <w:sz w:val="28"/>
          <w:szCs w:val="28"/>
          <w:rtl/>
        </w:rPr>
      </w:pPr>
    </w:p>
    <w:p w14:paraId="65742DB5" w14:textId="77777777" w:rsidR="00FE6BEC" w:rsidRPr="00910251" w:rsidRDefault="00FE6BEC" w:rsidP="00FE6BEC">
      <w:pPr>
        <w:jc w:val="center"/>
        <w:rPr>
          <w:rFonts w:ascii="Sakkal Majalla" w:hAnsi="Sakkal Majalla" w:cs="Sakkal Majalla"/>
          <w:b/>
          <w:bCs/>
          <w:sz w:val="28"/>
          <w:szCs w:val="28"/>
          <w:rtl/>
          <w:lang w:bidi="ar-EG"/>
        </w:rPr>
      </w:pPr>
      <w:r w:rsidRPr="00910251">
        <w:rPr>
          <w:rFonts w:ascii="Sakkal Majalla" w:hAnsi="Sakkal Majalla" w:cs="Sakkal Majalla"/>
          <w:b/>
          <w:bCs/>
          <w:sz w:val="28"/>
          <w:szCs w:val="28"/>
          <w:rtl/>
          <w:lang w:bidi="ar-EG"/>
        </w:rPr>
        <w:t>العلاقة بين حوكمة الشركات وإدارة المخاطر وأثرها على القطاعات الصناعية في المملكة العربية السعودية</w:t>
      </w:r>
    </w:p>
    <w:p w14:paraId="350A706A" w14:textId="77777777" w:rsidR="00FE6BEC" w:rsidRPr="00970456" w:rsidRDefault="00FE6BEC" w:rsidP="00FE6BEC">
      <w:pPr>
        <w:contextualSpacing/>
        <w:jc w:val="center"/>
        <w:rPr>
          <w:rFonts w:ascii="Times New Roman" w:eastAsia="Times New Roman" w:hAnsi="Times New Roman" w:cs="Times New Roman"/>
          <w:b/>
          <w:bCs/>
          <w:color w:val="000000" w:themeColor="text1"/>
          <w:kern w:val="0"/>
          <w:sz w:val="24"/>
          <w:szCs w:val="24"/>
          <w14:ligatures w14:val="none"/>
        </w:rPr>
      </w:pPr>
      <w:r w:rsidRPr="00970456">
        <w:rPr>
          <w:rFonts w:ascii="Times New Roman" w:eastAsia="Times New Roman" w:hAnsi="Times New Roman" w:cs="Times New Roman"/>
          <w:b/>
          <w:bCs/>
          <w:color w:val="000000" w:themeColor="text1"/>
          <w:kern w:val="0"/>
          <w:sz w:val="24"/>
          <w:szCs w:val="24"/>
          <w14:ligatures w14:val="none"/>
        </w:rPr>
        <w:t>The Relationship Between Corporate Governance and Risk Management and their Effect in the Industrial Sectors in the Kingdom of Saudi Arabia</w:t>
      </w:r>
    </w:p>
    <w:p w14:paraId="6C876F6B" w14:textId="77777777" w:rsidR="00FE6BEC" w:rsidRDefault="00FE6BEC" w:rsidP="00FE6BEC">
      <w:pPr>
        <w:jc w:val="center"/>
        <w:rPr>
          <w:rFonts w:ascii="Sakkal Majalla" w:hAnsi="Sakkal Majalla" w:cs="Sakkal Majalla"/>
          <w:b/>
          <w:bCs/>
          <w:sz w:val="28"/>
          <w:szCs w:val="28"/>
          <w:rtl/>
          <w:lang w:bidi="ar-EG"/>
        </w:rPr>
      </w:pPr>
    </w:p>
    <w:p w14:paraId="22CA3EB4" w14:textId="77777777" w:rsidR="00FE6BEC" w:rsidRPr="001902DB" w:rsidRDefault="00FE6BEC" w:rsidP="00FE6BEC">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p>
    <w:p w14:paraId="43D44958" w14:textId="77777777" w:rsidR="00FE6BEC" w:rsidRPr="001902DB" w:rsidRDefault="00FE6BEC" w:rsidP="00FE6BE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حمود بن فايز العنزي</w:t>
      </w:r>
    </w:p>
    <w:p w14:paraId="420E9986" w14:textId="77777777" w:rsidR="00FE6BEC" w:rsidRPr="001902DB" w:rsidRDefault="00FE6BEC" w:rsidP="00FE6BEC">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45247A61" w14:textId="77777777" w:rsidR="00FE6BEC" w:rsidRPr="001902DB" w:rsidRDefault="00FE6BEC" w:rsidP="00FE6BEC">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2377A6C5" w14:textId="77777777" w:rsidR="00FE6BEC" w:rsidRPr="001902DB" w:rsidRDefault="00FE6BEC" w:rsidP="00FE6BEC">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40458AA4" w14:textId="77777777" w:rsidR="00FE6BEC" w:rsidRPr="001902DB" w:rsidRDefault="00FE6BEC" w:rsidP="00FE6BEC">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14:paraId="46E47C76" w14:textId="77777777" w:rsidR="00FE6BEC" w:rsidRDefault="00FE6BEC" w:rsidP="00FE6BEC">
      <w:pPr>
        <w:spacing w:line="240" w:lineRule="auto"/>
        <w:rPr>
          <w:rFonts w:ascii="Sakkal Majalla" w:hAnsi="Sakkal Majalla" w:cs="Sakkal Majalla"/>
          <w:b/>
          <w:bCs/>
          <w:sz w:val="56"/>
          <w:szCs w:val="56"/>
          <w:rtl/>
          <w:lang w:bidi="ar-EG"/>
        </w:rPr>
      </w:pPr>
      <w:r w:rsidRPr="000161FE">
        <w:rPr>
          <w:rFonts w:ascii="Sakkal Majalla" w:hAnsi="Sakkal Majalla" w:cs="Sakkal Majalla"/>
          <w:b/>
          <w:bCs/>
          <w:sz w:val="56"/>
          <w:szCs w:val="56"/>
          <w:lang w:bidi="ar-EG"/>
        </w:rPr>
        <w:br w:type="page"/>
      </w:r>
    </w:p>
    <w:p w14:paraId="75D025BE" w14:textId="30FF43F7" w:rsidR="00FE6BEC" w:rsidRDefault="00FE6BEC" w:rsidP="002F1D10">
      <w:pPr>
        <w:pStyle w:val="Heading1"/>
        <w:spacing w:before="0" w:after="0"/>
        <w:contextualSpacing/>
        <w:jc w:val="both"/>
        <w:rPr>
          <w:rFonts w:ascii="Times New Roman" w:eastAsia="Times New Roman" w:hAnsi="Times New Roman" w:cs="Times New Roman"/>
          <w:b/>
          <w:bCs/>
          <w:color w:val="000000" w:themeColor="text1"/>
          <w:sz w:val="24"/>
          <w:szCs w:val="24"/>
        </w:rPr>
      </w:pPr>
      <w:bookmarkStart w:id="0" w:name="_Toc192863206"/>
      <w:r w:rsidRPr="00EB4B39">
        <w:rPr>
          <w:rFonts w:ascii="Times New Roman" w:eastAsia="Times New Roman" w:hAnsi="Times New Roman" w:cs="Times New Roman"/>
          <w:b/>
          <w:bCs/>
          <w:color w:val="000000" w:themeColor="text1"/>
          <w:sz w:val="24"/>
          <w:szCs w:val="24"/>
        </w:rPr>
        <w:lastRenderedPageBreak/>
        <w:t xml:space="preserve">Chapter 1: </w:t>
      </w:r>
      <w:bookmarkEnd w:id="0"/>
      <w:r w:rsidR="002F1D10" w:rsidRPr="002F1D10">
        <w:rPr>
          <w:rFonts w:ascii="Times New Roman" w:eastAsia="Times New Roman" w:hAnsi="Times New Roman" w:cs="Times New Roman"/>
          <w:b/>
          <w:bCs/>
          <w:color w:val="000000" w:themeColor="text1"/>
          <w:sz w:val="24"/>
          <w:szCs w:val="24"/>
        </w:rPr>
        <w:t>Introduction and Theoretical Framework</w:t>
      </w:r>
    </w:p>
    <w:p w14:paraId="46CBBB47" w14:textId="413FA41D" w:rsidR="002F1D10" w:rsidRPr="002F1D10" w:rsidRDefault="002F1D10" w:rsidP="002F1D10">
      <w:pPr>
        <w:pStyle w:val="Heading2"/>
        <w:spacing w:before="0" w:after="0"/>
        <w:contextualSpacing/>
        <w:jc w:val="both"/>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1.1 </w:t>
      </w:r>
      <w:r w:rsidRPr="002F1D10">
        <w:rPr>
          <w:rFonts w:ascii="Times New Roman" w:eastAsia="Times New Roman" w:hAnsi="Times New Roman" w:cs="Times New Roman"/>
          <w:b/>
          <w:bCs/>
          <w:color w:val="000000" w:themeColor="text1"/>
          <w:sz w:val="24"/>
          <w:szCs w:val="24"/>
        </w:rPr>
        <w:t>Introduction</w:t>
      </w:r>
    </w:p>
    <w:p w14:paraId="46E10D0B" w14:textId="77777777" w:rsidR="002F1D10" w:rsidRDefault="00FE6BEC" w:rsidP="002F1D10">
      <w:pPr>
        <w:contextualSpacing/>
        <w:jc w:val="both"/>
        <w:rPr>
          <w:rFonts w:ascii="Times New Roman" w:eastAsia="Times New Roman" w:hAnsi="Times New Roman" w:cs="Times New Roman"/>
          <w:color w:val="000000" w:themeColor="text1"/>
          <w:kern w:val="0"/>
          <w:sz w:val="24"/>
          <w:szCs w:val="24"/>
          <w14:ligatures w14:val="none"/>
        </w:rPr>
      </w:pPr>
      <w:r w:rsidRPr="00EB4B39">
        <w:rPr>
          <w:rFonts w:ascii="Times New Roman" w:eastAsia="Times New Roman" w:hAnsi="Times New Roman" w:cs="Times New Roman"/>
          <w:color w:val="000000" w:themeColor="text1"/>
          <w:kern w:val="0"/>
          <w:sz w:val="24"/>
          <w:szCs w:val="24"/>
          <w14:ligatures w14:val="none"/>
        </w:rPr>
        <w:tab/>
        <w:t>Historically, corporate governance has been deemed the backbone of organizational performance. Sound governance dictates the performance of industries, which is not limited to risk management but also includes other aspects such as finance and operational efficiency. However, the suitability of corporate governance varies, primarily based on the common principles of integrity, professionalism, and ethics. These values help prevent the prevalence of risks such as fraud, corruption, and poor reporting. Research has examined the relationship between corporate governance, risk management, operational efficiency, and firm reputations. Importantly, all the studies have implicated a positive correlation between excellent governance and measuring other variables. The scope of this study is limited to the Kingdom of Saudi Arabia, an important business hub globally. Despite numerous reforms, the issue of corporate governance and risk management remains a puzzle. This study will bridge the gap through a critical analysis of 25 sources.</w:t>
      </w:r>
      <w:bookmarkStart w:id="1" w:name="_Toc192863207"/>
    </w:p>
    <w:p w14:paraId="2327B46D" w14:textId="5BA43DBB" w:rsidR="002F1D10" w:rsidRPr="002F1D10" w:rsidRDefault="002F1D10" w:rsidP="002F1D10">
      <w:pPr>
        <w:pStyle w:val="Heading2"/>
        <w:spacing w:before="0" w:after="0"/>
        <w:contextualSpacing/>
        <w:jc w:val="both"/>
        <w:rPr>
          <w:rFonts w:ascii="Times New Roman" w:eastAsia="Times New Roman" w:hAnsi="Times New Roman" w:cs="Times New Roman"/>
          <w:b/>
          <w:bCs/>
          <w:color w:val="000000" w:themeColor="text1"/>
          <w:sz w:val="24"/>
          <w:szCs w:val="24"/>
        </w:rPr>
      </w:pPr>
      <w:r w:rsidRPr="002F1D10">
        <w:rPr>
          <w:rFonts w:ascii="Times New Roman" w:eastAsia="Times New Roman" w:hAnsi="Times New Roman" w:cs="Times New Roman"/>
          <w:b/>
          <w:bCs/>
          <w:color w:val="000000" w:themeColor="text1"/>
          <w:sz w:val="24"/>
          <w:szCs w:val="24"/>
        </w:rPr>
        <w:t>1.2 Theoretical Framework</w:t>
      </w:r>
    </w:p>
    <w:p w14:paraId="7E88AF74" w14:textId="31C53429"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r w:rsidRPr="002F1D10">
        <w:rPr>
          <w:rFonts w:ascii="Times New Roman" w:eastAsia="Times New Roman" w:hAnsi="Times New Roman" w:cs="Times New Roman"/>
          <w:color w:val="000000" w:themeColor="text1"/>
          <w:kern w:val="0"/>
          <w:sz w:val="24"/>
          <w:szCs w:val="24"/>
          <w14:ligatures w14:val="none"/>
        </w:rPr>
        <w:t>This section provides a theoretical background to the study, offering definitions and explanations of the core concepts, namely corporate governance and risk management. These concepts will be examined from both theoretical and practical perspectives to better understand how they influence one another in Saudi Arabia’s industrial sector.</w:t>
      </w:r>
    </w:p>
    <w:p w14:paraId="5CBFE9BA" w14:textId="77777777" w:rsidR="002F1D10" w:rsidRPr="002F1D10" w:rsidRDefault="002F1D10" w:rsidP="002F1D10">
      <w:pPr>
        <w:pStyle w:val="Heading2"/>
        <w:contextualSpacing/>
        <w:rPr>
          <w:rFonts w:ascii="Times New Roman" w:eastAsia="Times New Roman" w:hAnsi="Times New Roman" w:cs="Times New Roman"/>
          <w:b/>
          <w:bCs/>
          <w:color w:val="000000" w:themeColor="text1"/>
          <w:sz w:val="24"/>
          <w:szCs w:val="24"/>
        </w:rPr>
      </w:pPr>
      <w:r w:rsidRPr="002F1D10">
        <w:rPr>
          <w:rFonts w:ascii="Times New Roman" w:eastAsia="Times New Roman" w:hAnsi="Times New Roman" w:cs="Times New Roman"/>
          <w:b/>
          <w:bCs/>
          <w:color w:val="000000" w:themeColor="text1"/>
          <w:sz w:val="24"/>
          <w:szCs w:val="24"/>
        </w:rPr>
        <w:t>1.2.1 Definition of Risk</w:t>
      </w:r>
    </w:p>
    <w:p w14:paraId="497676B0"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r w:rsidRPr="002F1D10">
        <w:rPr>
          <w:rFonts w:ascii="Times New Roman" w:eastAsia="Times New Roman" w:hAnsi="Times New Roman" w:cs="Times New Roman"/>
          <w:color w:val="000000" w:themeColor="text1"/>
          <w:kern w:val="0"/>
          <w:sz w:val="24"/>
          <w:szCs w:val="24"/>
          <w14:ligatures w14:val="none"/>
        </w:rPr>
        <w:t xml:space="preserve">Risk refers to the possibility of a negative outcome, typically associated with uncertainty in decision-making (Aven, 2015). In the context of corporate governance, risk is often considered in terms of the potential for financial loss, operational inefficiency, regulatory non-compliance, or reputational damage. According to the International Organization for Standardization (ISO), risk </w:t>
      </w:r>
      <w:r w:rsidRPr="002F1D10">
        <w:rPr>
          <w:rFonts w:ascii="Times New Roman" w:eastAsia="Times New Roman" w:hAnsi="Times New Roman" w:cs="Times New Roman"/>
          <w:color w:val="000000" w:themeColor="text1"/>
          <w:kern w:val="0"/>
          <w:sz w:val="24"/>
          <w:szCs w:val="24"/>
          <w14:ligatures w14:val="none"/>
        </w:rPr>
        <w:lastRenderedPageBreak/>
        <w:t>is “the effect of uncertainty on objectives,” which can either be positive or negative (ISO 31000, 2018).</w:t>
      </w:r>
    </w:p>
    <w:p w14:paraId="60B409EA" w14:textId="77777777" w:rsidR="002F1D10" w:rsidRPr="002F1D10" w:rsidRDefault="002F1D10" w:rsidP="002F1D10">
      <w:pPr>
        <w:pStyle w:val="Heading2"/>
        <w:contextualSpacing/>
        <w:rPr>
          <w:rFonts w:ascii="Times New Roman" w:eastAsia="Times New Roman" w:hAnsi="Times New Roman" w:cs="Times New Roman"/>
          <w:b/>
          <w:bCs/>
          <w:color w:val="000000" w:themeColor="text1"/>
          <w:sz w:val="24"/>
          <w:szCs w:val="24"/>
        </w:rPr>
      </w:pPr>
    </w:p>
    <w:p w14:paraId="75ED36E3"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r w:rsidRPr="002F1D10">
        <w:rPr>
          <w:rFonts w:ascii="Times New Roman" w:eastAsia="Times New Roman" w:hAnsi="Times New Roman" w:cs="Times New Roman"/>
          <w:color w:val="000000" w:themeColor="text1"/>
          <w:kern w:val="0"/>
          <w:sz w:val="24"/>
          <w:szCs w:val="24"/>
          <w14:ligatures w14:val="none"/>
        </w:rPr>
        <w:t>In this study, risk is primarily defined as the potential for loss or damage in an organization, specifically concerning financial, operational, and compliance aspects. The effective identification, assessment, and mitigation of these risks are essential for maintaining the stability and success of industrial firms in Saudi Arabia.</w:t>
      </w:r>
    </w:p>
    <w:p w14:paraId="285F9D59" w14:textId="77777777" w:rsidR="002F1D10" w:rsidRPr="002F1D10" w:rsidRDefault="002F1D10" w:rsidP="002F1D10">
      <w:pPr>
        <w:pStyle w:val="Heading2"/>
        <w:contextualSpacing/>
        <w:rPr>
          <w:rFonts w:ascii="Times New Roman" w:eastAsia="Times New Roman" w:hAnsi="Times New Roman" w:cs="Times New Roman"/>
          <w:b/>
          <w:bCs/>
          <w:color w:val="000000" w:themeColor="text1"/>
          <w:sz w:val="24"/>
          <w:szCs w:val="24"/>
        </w:rPr>
      </w:pPr>
    </w:p>
    <w:p w14:paraId="772434F9" w14:textId="77777777" w:rsidR="002F1D10" w:rsidRPr="002F1D10" w:rsidRDefault="002F1D10" w:rsidP="002F1D10">
      <w:pPr>
        <w:pStyle w:val="Heading2"/>
        <w:contextualSpacing/>
        <w:rPr>
          <w:rFonts w:ascii="Times New Roman" w:eastAsia="Times New Roman" w:hAnsi="Times New Roman" w:cs="Times New Roman"/>
          <w:b/>
          <w:bCs/>
          <w:color w:val="000000" w:themeColor="text1"/>
          <w:sz w:val="24"/>
          <w:szCs w:val="24"/>
        </w:rPr>
      </w:pPr>
      <w:r w:rsidRPr="002F1D10">
        <w:rPr>
          <w:rFonts w:ascii="Times New Roman" w:eastAsia="Times New Roman" w:hAnsi="Times New Roman" w:cs="Times New Roman"/>
          <w:b/>
          <w:bCs/>
          <w:color w:val="000000" w:themeColor="text1"/>
          <w:sz w:val="24"/>
          <w:szCs w:val="24"/>
        </w:rPr>
        <w:t>1.2.2 Types of Risks</w:t>
      </w:r>
    </w:p>
    <w:p w14:paraId="431125E6"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r w:rsidRPr="002F1D10">
        <w:rPr>
          <w:rFonts w:ascii="Times New Roman" w:eastAsia="Times New Roman" w:hAnsi="Times New Roman" w:cs="Times New Roman"/>
          <w:color w:val="000000" w:themeColor="text1"/>
          <w:kern w:val="0"/>
          <w:sz w:val="24"/>
          <w:szCs w:val="24"/>
          <w14:ligatures w14:val="none"/>
        </w:rPr>
        <w:t>Corporate governance plays a crucial role in managing various types of risks within organizations. The most relevant types of risks in the context of Saudi Arabia’s industrial sector include:</w:t>
      </w:r>
    </w:p>
    <w:p w14:paraId="03E7C2B3" w14:textId="77777777" w:rsidR="002F1D10" w:rsidRPr="002F1D10" w:rsidRDefault="002F1D10" w:rsidP="002F1D10">
      <w:pPr>
        <w:pStyle w:val="Heading2"/>
        <w:contextualSpacing/>
        <w:rPr>
          <w:rFonts w:ascii="Times New Roman" w:eastAsia="Times New Roman" w:hAnsi="Times New Roman" w:cs="Times New Roman"/>
          <w:b/>
          <w:bCs/>
          <w:color w:val="000000" w:themeColor="text1"/>
          <w:sz w:val="24"/>
          <w:szCs w:val="24"/>
        </w:rPr>
      </w:pPr>
    </w:p>
    <w:p w14:paraId="6D24EDD8"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r w:rsidRPr="002F1D10">
        <w:rPr>
          <w:rFonts w:ascii="Times New Roman" w:eastAsia="Times New Roman" w:hAnsi="Times New Roman" w:cs="Times New Roman"/>
          <w:color w:val="000000" w:themeColor="text1"/>
          <w:kern w:val="0"/>
          <w:sz w:val="24"/>
          <w:szCs w:val="24"/>
          <w14:ligatures w14:val="none"/>
        </w:rPr>
        <w:t xml:space="preserve">Financial Risk: The risk of loss due to financial instability, mismanagement, or failure to comply with financial regulations. This can include credit risk, liquidity risk, and market risk (Shleifer &amp; </w:t>
      </w:r>
      <w:proofErr w:type="spellStart"/>
      <w:r w:rsidRPr="002F1D10">
        <w:rPr>
          <w:rFonts w:ascii="Times New Roman" w:eastAsia="Times New Roman" w:hAnsi="Times New Roman" w:cs="Times New Roman"/>
          <w:color w:val="000000" w:themeColor="text1"/>
          <w:kern w:val="0"/>
          <w:sz w:val="24"/>
          <w:szCs w:val="24"/>
          <w14:ligatures w14:val="none"/>
        </w:rPr>
        <w:t>Vishny</w:t>
      </w:r>
      <w:proofErr w:type="spellEnd"/>
      <w:r w:rsidRPr="002F1D10">
        <w:rPr>
          <w:rFonts w:ascii="Times New Roman" w:eastAsia="Times New Roman" w:hAnsi="Times New Roman" w:cs="Times New Roman"/>
          <w:color w:val="000000" w:themeColor="text1"/>
          <w:kern w:val="0"/>
          <w:sz w:val="24"/>
          <w:szCs w:val="24"/>
          <w14:ligatures w14:val="none"/>
        </w:rPr>
        <w:t>, 1997).</w:t>
      </w:r>
    </w:p>
    <w:p w14:paraId="3CC566BD"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p>
    <w:p w14:paraId="7C033075"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r w:rsidRPr="002F1D10">
        <w:rPr>
          <w:rFonts w:ascii="Times New Roman" w:eastAsia="Times New Roman" w:hAnsi="Times New Roman" w:cs="Times New Roman"/>
          <w:color w:val="000000" w:themeColor="text1"/>
          <w:kern w:val="0"/>
          <w:sz w:val="24"/>
          <w:szCs w:val="24"/>
          <w14:ligatures w14:val="none"/>
        </w:rPr>
        <w:t>Operational Risk: Risks related to internal processes, people, and systems, which could lead to inefficiency or failure in business operations. Examples include supply chain disruptions, technological failures, and human error (Bromiley et al., 2015).</w:t>
      </w:r>
    </w:p>
    <w:p w14:paraId="2166E381"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p>
    <w:p w14:paraId="03328E07"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r w:rsidRPr="002F1D10">
        <w:rPr>
          <w:rFonts w:ascii="Times New Roman" w:eastAsia="Times New Roman" w:hAnsi="Times New Roman" w:cs="Times New Roman"/>
          <w:color w:val="000000" w:themeColor="text1"/>
          <w:kern w:val="0"/>
          <w:sz w:val="24"/>
          <w:szCs w:val="24"/>
          <w14:ligatures w14:val="none"/>
        </w:rPr>
        <w:t>Reputational Risk: Risks arising from damage to the company’s public image, often caused by poor governance practices, scandals, or failure to meet stakeholder expectations (</w:t>
      </w:r>
      <w:proofErr w:type="spellStart"/>
      <w:r w:rsidRPr="002F1D10">
        <w:rPr>
          <w:rFonts w:ascii="Times New Roman" w:eastAsia="Times New Roman" w:hAnsi="Times New Roman" w:cs="Times New Roman"/>
          <w:color w:val="000000" w:themeColor="text1"/>
          <w:kern w:val="0"/>
          <w:sz w:val="24"/>
          <w:szCs w:val="24"/>
          <w14:ligatures w14:val="none"/>
        </w:rPr>
        <w:t>Fombrun</w:t>
      </w:r>
      <w:proofErr w:type="spellEnd"/>
      <w:r w:rsidRPr="002F1D10">
        <w:rPr>
          <w:rFonts w:ascii="Times New Roman" w:eastAsia="Times New Roman" w:hAnsi="Times New Roman" w:cs="Times New Roman"/>
          <w:color w:val="000000" w:themeColor="text1"/>
          <w:kern w:val="0"/>
          <w:sz w:val="24"/>
          <w:szCs w:val="24"/>
          <w14:ligatures w14:val="none"/>
        </w:rPr>
        <w:t>, 1996).</w:t>
      </w:r>
    </w:p>
    <w:p w14:paraId="457F64EE"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p>
    <w:p w14:paraId="434FD5C1" w14:textId="77777777" w:rsidR="002F1D10" w:rsidRPr="002F1D10" w:rsidRDefault="002F1D10" w:rsidP="002F1D10">
      <w:pPr>
        <w:contextualSpacing/>
        <w:jc w:val="both"/>
        <w:rPr>
          <w:rFonts w:ascii="Times New Roman" w:eastAsia="Times New Roman" w:hAnsi="Times New Roman" w:cs="Times New Roman"/>
          <w:b/>
          <w:bCs/>
          <w:color w:val="000000" w:themeColor="text1"/>
          <w:sz w:val="24"/>
          <w:szCs w:val="24"/>
        </w:rPr>
      </w:pPr>
      <w:r w:rsidRPr="002F1D10">
        <w:rPr>
          <w:rFonts w:ascii="Times New Roman" w:eastAsia="Times New Roman" w:hAnsi="Times New Roman" w:cs="Times New Roman"/>
          <w:color w:val="000000" w:themeColor="text1"/>
          <w:kern w:val="0"/>
          <w:sz w:val="24"/>
          <w:szCs w:val="24"/>
          <w14:ligatures w14:val="none"/>
        </w:rPr>
        <w:t>Compliance Risk: The risk of legal penalties or loss of reputation due to failure to adhere to regulations, standards, and laws. This is particularly relevant in Saudi Arabia, given the emphasis on regulatory reforms as part of Vision 2030 (</w:t>
      </w:r>
      <w:proofErr w:type="spellStart"/>
      <w:r w:rsidRPr="002F1D10">
        <w:rPr>
          <w:rFonts w:ascii="Times New Roman" w:eastAsia="Times New Roman" w:hAnsi="Times New Roman" w:cs="Times New Roman"/>
          <w:color w:val="000000" w:themeColor="text1"/>
          <w:kern w:val="0"/>
          <w:sz w:val="24"/>
          <w:szCs w:val="24"/>
          <w14:ligatures w14:val="none"/>
        </w:rPr>
        <w:t>Murayr</w:t>
      </w:r>
      <w:proofErr w:type="spellEnd"/>
      <w:r w:rsidRPr="002F1D10">
        <w:rPr>
          <w:rFonts w:ascii="Times New Roman" w:eastAsia="Times New Roman" w:hAnsi="Times New Roman" w:cs="Times New Roman"/>
          <w:color w:val="000000" w:themeColor="text1"/>
          <w:kern w:val="0"/>
          <w:sz w:val="24"/>
          <w:szCs w:val="24"/>
          <w14:ligatures w14:val="none"/>
        </w:rPr>
        <w:t>, 2023</w:t>
      </w:r>
      <w:r w:rsidRPr="002F1D10">
        <w:rPr>
          <w:rFonts w:ascii="Times New Roman" w:eastAsia="Times New Roman" w:hAnsi="Times New Roman" w:cs="Times New Roman"/>
          <w:b/>
          <w:bCs/>
          <w:color w:val="000000" w:themeColor="text1"/>
          <w:sz w:val="24"/>
          <w:szCs w:val="24"/>
        </w:rPr>
        <w:t>).</w:t>
      </w:r>
    </w:p>
    <w:p w14:paraId="68C82F0B" w14:textId="77777777" w:rsidR="002F1D10" w:rsidRPr="002F1D10" w:rsidRDefault="002F1D10" w:rsidP="002F1D10">
      <w:pPr>
        <w:pStyle w:val="Heading2"/>
        <w:contextualSpacing/>
        <w:rPr>
          <w:rFonts w:ascii="Times New Roman" w:eastAsia="Times New Roman" w:hAnsi="Times New Roman" w:cs="Times New Roman"/>
          <w:b/>
          <w:bCs/>
          <w:color w:val="000000" w:themeColor="text1"/>
          <w:sz w:val="24"/>
          <w:szCs w:val="24"/>
        </w:rPr>
      </w:pPr>
    </w:p>
    <w:p w14:paraId="62C1A258" w14:textId="77777777" w:rsidR="002F1D10" w:rsidRPr="002F1D10" w:rsidRDefault="002F1D10" w:rsidP="002F1D10">
      <w:pPr>
        <w:pStyle w:val="Heading2"/>
        <w:contextualSpacing/>
        <w:rPr>
          <w:rFonts w:ascii="Times New Roman" w:eastAsia="Times New Roman" w:hAnsi="Times New Roman" w:cs="Times New Roman"/>
          <w:b/>
          <w:bCs/>
          <w:color w:val="000000" w:themeColor="text1"/>
          <w:sz w:val="24"/>
          <w:szCs w:val="24"/>
        </w:rPr>
      </w:pPr>
      <w:r w:rsidRPr="002F1D10">
        <w:rPr>
          <w:rFonts w:ascii="Times New Roman" w:eastAsia="Times New Roman" w:hAnsi="Times New Roman" w:cs="Times New Roman"/>
          <w:b/>
          <w:bCs/>
          <w:color w:val="000000" w:themeColor="text1"/>
          <w:sz w:val="24"/>
          <w:szCs w:val="24"/>
        </w:rPr>
        <w:t>1.2.3 Classification of Risks by Organization Type</w:t>
      </w:r>
    </w:p>
    <w:p w14:paraId="397DF2A5"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r w:rsidRPr="002F1D10">
        <w:rPr>
          <w:rFonts w:ascii="Times New Roman" w:eastAsia="Times New Roman" w:hAnsi="Times New Roman" w:cs="Times New Roman"/>
          <w:color w:val="000000" w:themeColor="text1"/>
          <w:kern w:val="0"/>
          <w:sz w:val="24"/>
          <w:szCs w:val="24"/>
          <w14:ligatures w14:val="none"/>
        </w:rPr>
        <w:t>Different types of organizations face varying risks based on their structure and market environment. In Saudi Arabia, the following classifications are relevant:</w:t>
      </w:r>
    </w:p>
    <w:p w14:paraId="2FD27444"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p>
    <w:p w14:paraId="37C323C1"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r w:rsidRPr="002F1D10">
        <w:rPr>
          <w:rFonts w:ascii="Times New Roman" w:eastAsia="Times New Roman" w:hAnsi="Times New Roman" w:cs="Times New Roman"/>
          <w:color w:val="000000" w:themeColor="text1"/>
          <w:kern w:val="0"/>
          <w:sz w:val="24"/>
          <w:szCs w:val="24"/>
          <w14:ligatures w14:val="none"/>
        </w:rPr>
        <w:t xml:space="preserve">Publicly Traded Companies: These companies are more likely to face financial and reputational risks due to the scrutiny of shareholders, regulators, and the media. Strong governance mechanisms are critical to </w:t>
      </w:r>
      <w:proofErr w:type="gramStart"/>
      <w:r w:rsidRPr="002F1D10">
        <w:rPr>
          <w:rFonts w:ascii="Times New Roman" w:eastAsia="Times New Roman" w:hAnsi="Times New Roman" w:cs="Times New Roman"/>
          <w:color w:val="000000" w:themeColor="text1"/>
          <w:kern w:val="0"/>
          <w:sz w:val="24"/>
          <w:szCs w:val="24"/>
          <w14:ligatures w14:val="none"/>
        </w:rPr>
        <w:t>mitigate</w:t>
      </w:r>
      <w:proofErr w:type="gramEnd"/>
      <w:r w:rsidRPr="002F1D10">
        <w:rPr>
          <w:rFonts w:ascii="Times New Roman" w:eastAsia="Times New Roman" w:hAnsi="Times New Roman" w:cs="Times New Roman"/>
          <w:color w:val="000000" w:themeColor="text1"/>
          <w:kern w:val="0"/>
          <w:sz w:val="24"/>
          <w:szCs w:val="24"/>
          <w14:ligatures w14:val="none"/>
        </w:rPr>
        <w:t xml:space="preserve"> these risks.</w:t>
      </w:r>
    </w:p>
    <w:p w14:paraId="543F6ECA"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p>
    <w:p w14:paraId="208A26C2"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r w:rsidRPr="002F1D10">
        <w:rPr>
          <w:rFonts w:ascii="Times New Roman" w:eastAsia="Times New Roman" w:hAnsi="Times New Roman" w:cs="Times New Roman"/>
          <w:color w:val="000000" w:themeColor="text1"/>
          <w:kern w:val="0"/>
          <w:sz w:val="24"/>
          <w:szCs w:val="24"/>
          <w14:ligatures w14:val="none"/>
        </w:rPr>
        <w:t>Family-Owned Businesses: Family businesses may prioritize internal control over external transparency, which can exacerbate risks related to governance practices and the sharing of critical financial information (Habtoor et al., 2019).</w:t>
      </w:r>
    </w:p>
    <w:p w14:paraId="6EFD9F1D"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p>
    <w:p w14:paraId="12CE160C"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r w:rsidRPr="002F1D10">
        <w:rPr>
          <w:rFonts w:ascii="Times New Roman" w:eastAsia="Times New Roman" w:hAnsi="Times New Roman" w:cs="Times New Roman"/>
          <w:color w:val="000000" w:themeColor="text1"/>
          <w:kern w:val="0"/>
          <w:sz w:val="24"/>
          <w:szCs w:val="24"/>
          <w14:ligatures w14:val="none"/>
        </w:rPr>
        <w:t>State-Owned Enterprises (SOEs): SOEs are subject to both internal and external political pressures, which can influence governance decisions and the ability to manage operational and financial risks effectively.</w:t>
      </w:r>
    </w:p>
    <w:p w14:paraId="07307D3D"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p>
    <w:p w14:paraId="6A414D72" w14:textId="77777777" w:rsidR="002F1D10" w:rsidRPr="002F1D10" w:rsidRDefault="002F1D10" w:rsidP="002F1D10">
      <w:pPr>
        <w:pStyle w:val="Heading2"/>
        <w:contextualSpacing/>
        <w:rPr>
          <w:rFonts w:ascii="Times New Roman" w:eastAsia="Times New Roman" w:hAnsi="Times New Roman" w:cs="Times New Roman"/>
          <w:b/>
          <w:bCs/>
          <w:color w:val="000000" w:themeColor="text1"/>
          <w:sz w:val="24"/>
          <w:szCs w:val="24"/>
        </w:rPr>
      </w:pPr>
      <w:r w:rsidRPr="002F1D10">
        <w:rPr>
          <w:rFonts w:ascii="Times New Roman" w:eastAsia="Times New Roman" w:hAnsi="Times New Roman" w:cs="Times New Roman"/>
          <w:b/>
          <w:bCs/>
          <w:color w:val="000000" w:themeColor="text1"/>
          <w:sz w:val="24"/>
          <w:szCs w:val="24"/>
        </w:rPr>
        <w:t>1.2.4 Sources of Risk</w:t>
      </w:r>
    </w:p>
    <w:p w14:paraId="664508C5"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r w:rsidRPr="002F1D10">
        <w:rPr>
          <w:rFonts w:ascii="Times New Roman" w:eastAsia="Times New Roman" w:hAnsi="Times New Roman" w:cs="Times New Roman"/>
          <w:color w:val="000000" w:themeColor="text1"/>
          <w:kern w:val="0"/>
          <w:sz w:val="24"/>
          <w:szCs w:val="24"/>
          <w14:ligatures w14:val="none"/>
        </w:rPr>
        <w:t>Risks can originate from both internal and external factors within an organization:</w:t>
      </w:r>
    </w:p>
    <w:p w14:paraId="016E5F29"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p>
    <w:p w14:paraId="02456976"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r w:rsidRPr="002F1D10">
        <w:rPr>
          <w:rFonts w:ascii="Times New Roman" w:eastAsia="Times New Roman" w:hAnsi="Times New Roman" w:cs="Times New Roman"/>
          <w:color w:val="000000" w:themeColor="text1"/>
          <w:kern w:val="0"/>
          <w:sz w:val="24"/>
          <w:szCs w:val="24"/>
          <w14:ligatures w14:val="none"/>
        </w:rPr>
        <w:t>Internal Sources of Risk: These include management decisions, internal control weaknesses, lack of transparency, inefficient processes, and inadequate communication (</w:t>
      </w:r>
      <w:proofErr w:type="spellStart"/>
      <w:r w:rsidRPr="002F1D10">
        <w:rPr>
          <w:rFonts w:ascii="Times New Roman" w:eastAsia="Times New Roman" w:hAnsi="Times New Roman" w:cs="Times New Roman"/>
          <w:color w:val="000000" w:themeColor="text1"/>
          <w:kern w:val="0"/>
          <w:sz w:val="24"/>
          <w:szCs w:val="24"/>
          <w14:ligatures w14:val="none"/>
        </w:rPr>
        <w:t>Farhangdoust</w:t>
      </w:r>
      <w:proofErr w:type="spellEnd"/>
      <w:r w:rsidRPr="002F1D10">
        <w:rPr>
          <w:rFonts w:ascii="Times New Roman" w:eastAsia="Times New Roman" w:hAnsi="Times New Roman" w:cs="Times New Roman"/>
          <w:color w:val="000000" w:themeColor="text1"/>
          <w:kern w:val="0"/>
          <w:sz w:val="24"/>
          <w:szCs w:val="24"/>
          <w14:ligatures w14:val="none"/>
        </w:rPr>
        <w:t xml:space="preserve"> et al., 2020). Poorly structured boards, weak audit committees, and ineffective risk management systems contribute to increased internal risk exposure.</w:t>
      </w:r>
    </w:p>
    <w:p w14:paraId="3BEB84DF"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p>
    <w:p w14:paraId="55553C68"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r w:rsidRPr="002F1D10">
        <w:rPr>
          <w:rFonts w:ascii="Times New Roman" w:eastAsia="Times New Roman" w:hAnsi="Times New Roman" w:cs="Times New Roman"/>
          <w:color w:val="000000" w:themeColor="text1"/>
          <w:kern w:val="0"/>
          <w:sz w:val="24"/>
          <w:szCs w:val="24"/>
          <w14:ligatures w14:val="none"/>
        </w:rPr>
        <w:t>External Sources of Risk: These arise from market fluctuations, regulatory changes, and macroeconomic factors. For instance, the volatility of oil prices significantly impacts the financial stability of many industrial firms in Saudi Arabia. Moreover, changes in regulatory frameworks or emerging global standards can create new risks (</w:t>
      </w:r>
      <w:proofErr w:type="spellStart"/>
      <w:r w:rsidRPr="002F1D10">
        <w:rPr>
          <w:rFonts w:ascii="Times New Roman" w:eastAsia="Times New Roman" w:hAnsi="Times New Roman" w:cs="Times New Roman"/>
          <w:color w:val="000000" w:themeColor="text1"/>
          <w:kern w:val="0"/>
          <w:sz w:val="24"/>
          <w:szCs w:val="24"/>
          <w14:ligatures w14:val="none"/>
        </w:rPr>
        <w:t>Murayr</w:t>
      </w:r>
      <w:proofErr w:type="spellEnd"/>
      <w:r w:rsidRPr="002F1D10">
        <w:rPr>
          <w:rFonts w:ascii="Times New Roman" w:eastAsia="Times New Roman" w:hAnsi="Times New Roman" w:cs="Times New Roman"/>
          <w:color w:val="000000" w:themeColor="text1"/>
          <w:kern w:val="0"/>
          <w:sz w:val="24"/>
          <w:szCs w:val="24"/>
          <w14:ligatures w14:val="none"/>
        </w:rPr>
        <w:t>, 2023).</w:t>
      </w:r>
    </w:p>
    <w:p w14:paraId="41FB47C2" w14:textId="77777777" w:rsidR="002F1D10" w:rsidRPr="002F1D10" w:rsidRDefault="002F1D10" w:rsidP="002F1D10">
      <w:pPr>
        <w:pStyle w:val="Heading2"/>
        <w:contextualSpacing/>
        <w:rPr>
          <w:rFonts w:ascii="Times New Roman" w:eastAsia="Times New Roman" w:hAnsi="Times New Roman" w:cs="Times New Roman"/>
          <w:b/>
          <w:bCs/>
          <w:color w:val="000000" w:themeColor="text1"/>
          <w:sz w:val="24"/>
          <w:szCs w:val="24"/>
        </w:rPr>
      </w:pPr>
    </w:p>
    <w:p w14:paraId="5FFCBF7B" w14:textId="77777777" w:rsidR="002F1D10" w:rsidRPr="002F1D10" w:rsidRDefault="002F1D10" w:rsidP="002F1D10">
      <w:pPr>
        <w:pStyle w:val="Heading2"/>
        <w:contextualSpacing/>
        <w:rPr>
          <w:rFonts w:ascii="Times New Roman" w:eastAsia="Times New Roman" w:hAnsi="Times New Roman" w:cs="Times New Roman"/>
          <w:b/>
          <w:bCs/>
          <w:color w:val="000000" w:themeColor="text1"/>
          <w:sz w:val="24"/>
          <w:szCs w:val="24"/>
        </w:rPr>
      </w:pPr>
      <w:r w:rsidRPr="002F1D10">
        <w:rPr>
          <w:rFonts w:ascii="Times New Roman" w:eastAsia="Times New Roman" w:hAnsi="Times New Roman" w:cs="Times New Roman"/>
          <w:b/>
          <w:bCs/>
          <w:color w:val="000000" w:themeColor="text1"/>
          <w:sz w:val="24"/>
          <w:szCs w:val="24"/>
        </w:rPr>
        <w:t>1.2.5 Risk Management Steps</w:t>
      </w:r>
    </w:p>
    <w:p w14:paraId="7E4AC1FF"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r w:rsidRPr="002F1D10">
        <w:rPr>
          <w:rFonts w:ascii="Times New Roman" w:eastAsia="Times New Roman" w:hAnsi="Times New Roman" w:cs="Times New Roman"/>
          <w:color w:val="000000" w:themeColor="text1"/>
          <w:kern w:val="0"/>
          <w:sz w:val="24"/>
          <w:szCs w:val="24"/>
          <w14:ligatures w14:val="none"/>
        </w:rPr>
        <w:t>Risk management involves a structured approach to identifying, assessing, and mitigating risks. The main steps in risk management include:</w:t>
      </w:r>
    </w:p>
    <w:p w14:paraId="15015E8F"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p>
    <w:p w14:paraId="70953E6E"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r w:rsidRPr="002F1D10">
        <w:rPr>
          <w:rFonts w:ascii="Times New Roman" w:eastAsia="Times New Roman" w:hAnsi="Times New Roman" w:cs="Times New Roman"/>
          <w:color w:val="000000" w:themeColor="text1"/>
          <w:kern w:val="0"/>
          <w:sz w:val="24"/>
          <w:szCs w:val="24"/>
          <w14:ligatures w14:val="none"/>
        </w:rPr>
        <w:t>Risk Identification: The first step involves identifying the potential risks that could affect the organization. This can include financial, operational, and reputational risks.</w:t>
      </w:r>
    </w:p>
    <w:p w14:paraId="288901CA"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p>
    <w:p w14:paraId="2B1677BA"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r w:rsidRPr="002F1D10">
        <w:rPr>
          <w:rFonts w:ascii="Times New Roman" w:eastAsia="Times New Roman" w:hAnsi="Times New Roman" w:cs="Times New Roman"/>
          <w:color w:val="000000" w:themeColor="text1"/>
          <w:kern w:val="0"/>
          <w:sz w:val="24"/>
          <w:szCs w:val="24"/>
          <w14:ligatures w14:val="none"/>
        </w:rPr>
        <w:t>Risk Assessment: After identifying risks, companies need to assess their likelihood and potential impact. This process helps prioritize risks and allocate resources accordingly.</w:t>
      </w:r>
    </w:p>
    <w:p w14:paraId="17FBF024"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p>
    <w:p w14:paraId="37385930"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r w:rsidRPr="002F1D10">
        <w:rPr>
          <w:rFonts w:ascii="Times New Roman" w:eastAsia="Times New Roman" w:hAnsi="Times New Roman" w:cs="Times New Roman"/>
          <w:color w:val="000000" w:themeColor="text1"/>
          <w:kern w:val="0"/>
          <w:sz w:val="24"/>
          <w:szCs w:val="24"/>
          <w14:ligatures w14:val="none"/>
        </w:rPr>
        <w:t>Risk Control: Developing strategies to manage or mitigate risks. This includes implementing internal controls, creating contingency plans, and taking corrective actions.</w:t>
      </w:r>
    </w:p>
    <w:p w14:paraId="07C2648D"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p>
    <w:p w14:paraId="47982E18"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r w:rsidRPr="002F1D10">
        <w:rPr>
          <w:rFonts w:ascii="Times New Roman" w:eastAsia="Times New Roman" w:hAnsi="Times New Roman" w:cs="Times New Roman"/>
          <w:color w:val="000000" w:themeColor="text1"/>
          <w:kern w:val="0"/>
          <w:sz w:val="24"/>
          <w:szCs w:val="24"/>
          <w14:ligatures w14:val="none"/>
        </w:rPr>
        <w:t>Risk Monitoring: Continuous monitoring of risks and the effectiveness of mitigation strategies is crucial for ensuring ongoing risk management success (ISO 31000, 2018).</w:t>
      </w:r>
    </w:p>
    <w:p w14:paraId="342D2364" w14:textId="77777777" w:rsidR="002F1D10" w:rsidRPr="002F1D10" w:rsidRDefault="002F1D10" w:rsidP="002F1D10">
      <w:pPr>
        <w:pStyle w:val="Heading2"/>
        <w:contextualSpacing/>
        <w:rPr>
          <w:rFonts w:ascii="Times New Roman" w:eastAsia="Times New Roman" w:hAnsi="Times New Roman" w:cs="Times New Roman"/>
          <w:b/>
          <w:bCs/>
          <w:color w:val="000000" w:themeColor="text1"/>
          <w:sz w:val="24"/>
          <w:szCs w:val="24"/>
        </w:rPr>
      </w:pPr>
    </w:p>
    <w:p w14:paraId="42B3708B" w14:textId="77777777" w:rsidR="002F1D10" w:rsidRPr="002F1D10" w:rsidRDefault="002F1D10" w:rsidP="002F1D10">
      <w:pPr>
        <w:pStyle w:val="Heading2"/>
        <w:contextualSpacing/>
        <w:rPr>
          <w:rFonts w:ascii="Times New Roman" w:eastAsia="Times New Roman" w:hAnsi="Times New Roman" w:cs="Times New Roman"/>
          <w:b/>
          <w:bCs/>
          <w:color w:val="000000" w:themeColor="text1"/>
          <w:sz w:val="24"/>
          <w:szCs w:val="24"/>
        </w:rPr>
      </w:pPr>
      <w:r w:rsidRPr="002F1D10">
        <w:rPr>
          <w:rFonts w:ascii="Times New Roman" w:eastAsia="Times New Roman" w:hAnsi="Times New Roman" w:cs="Times New Roman"/>
          <w:b/>
          <w:bCs/>
          <w:color w:val="000000" w:themeColor="text1"/>
          <w:sz w:val="24"/>
          <w:szCs w:val="24"/>
        </w:rPr>
        <w:t>1.2.6 Relationship Between Corporate Governance and Risk Management</w:t>
      </w:r>
    </w:p>
    <w:p w14:paraId="78F16DB1"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r w:rsidRPr="002F1D10">
        <w:rPr>
          <w:rFonts w:ascii="Times New Roman" w:eastAsia="Times New Roman" w:hAnsi="Times New Roman" w:cs="Times New Roman"/>
          <w:color w:val="000000" w:themeColor="text1"/>
          <w:kern w:val="0"/>
          <w:sz w:val="24"/>
          <w:szCs w:val="24"/>
          <w14:ligatures w14:val="none"/>
        </w:rPr>
        <w:t xml:space="preserve">Corporate governance structures play a key role in managing organizational risks. Effective governance can reduce the likelihood and impact of risks by ensuring proper oversight, accountability, and transparency. Governance mechanisms such as independent boards, audit committees, and executive compensation structures help mitigate risks related to financial mismanagement, compliance, and operational inefficiencies (Shleifer &amp; </w:t>
      </w:r>
      <w:proofErr w:type="spellStart"/>
      <w:r w:rsidRPr="002F1D10">
        <w:rPr>
          <w:rFonts w:ascii="Times New Roman" w:eastAsia="Times New Roman" w:hAnsi="Times New Roman" w:cs="Times New Roman"/>
          <w:color w:val="000000" w:themeColor="text1"/>
          <w:kern w:val="0"/>
          <w:sz w:val="24"/>
          <w:szCs w:val="24"/>
          <w14:ligatures w14:val="none"/>
        </w:rPr>
        <w:t>Vishny</w:t>
      </w:r>
      <w:proofErr w:type="spellEnd"/>
      <w:r w:rsidRPr="002F1D10">
        <w:rPr>
          <w:rFonts w:ascii="Times New Roman" w:eastAsia="Times New Roman" w:hAnsi="Times New Roman" w:cs="Times New Roman"/>
          <w:color w:val="000000" w:themeColor="text1"/>
          <w:kern w:val="0"/>
          <w:sz w:val="24"/>
          <w:szCs w:val="24"/>
          <w14:ligatures w14:val="none"/>
        </w:rPr>
        <w:t>, 1997).</w:t>
      </w:r>
    </w:p>
    <w:p w14:paraId="610A2067"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p>
    <w:p w14:paraId="5C89E80F"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r w:rsidRPr="002F1D10">
        <w:rPr>
          <w:rFonts w:ascii="Times New Roman" w:eastAsia="Times New Roman" w:hAnsi="Times New Roman" w:cs="Times New Roman"/>
          <w:color w:val="000000" w:themeColor="text1"/>
          <w:kern w:val="0"/>
          <w:sz w:val="24"/>
          <w:szCs w:val="24"/>
          <w14:ligatures w14:val="none"/>
        </w:rPr>
        <w:t>In Saudi Arabia, corporate governance reforms under Vision 2030 are aimed at strengthening financial reporting, compliance, and overall transparency, with the goal of improving risk management practices (</w:t>
      </w:r>
      <w:proofErr w:type="spellStart"/>
      <w:r w:rsidRPr="002F1D10">
        <w:rPr>
          <w:rFonts w:ascii="Times New Roman" w:eastAsia="Times New Roman" w:hAnsi="Times New Roman" w:cs="Times New Roman"/>
          <w:color w:val="000000" w:themeColor="text1"/>
          <w:kern w:val="0"/>
          <w:sz w:val="24"/>
          <w:szCs w:val="24"/>
          <w14:ligatures w14:val="none"/>
        </w:rPr>
        <w:t>Murayr</w:t>
      </w:r>
      <w:proofErr w:type="spellEnd"/>
      <w:r w:rsidRPr="002F1D10">
        <w:rPr>
          <w:rFonts w:ascii="Times New Roman" w:eastAsia="Times New Roman" w:hAnsi="Times New Roman" w:cs="Times New Roman"/>
          <w:color w:val="000000" w:themeColor="text1"/>
          <w:kern w:val="0"/>
          <w:sz w:val="24"/>
          <w:szCs w:val="24"/>
          <w14:ligatures w14:val="none"/>
        </w:rPr>
        <w:t>, 2023). However, challenges remain in ensuring the effective implementation of these reforms.</w:t>
      </w:r>
    </w:p>
    <w:p w14:paraId="31985CB8" w14:textId="77777777" w:rsidR="002F1D10" w:rsidRPr="002F1D10" w:rsidRDefault="002F1D10" w:rsidP="002F1D10">
      <w:pPr>
        <w:pStyle w:val="Heading2"/>
        <w:contextualSpacing/>
        <w:rPr>
          <w:rFonts w:ascii="Times New Roman" w:eastAsia="Times New Roman" w:hAnsi="Times New Roman" w:cs="Times New Roman"/>
          <w:b/>
          <w:bCs/>
          <w:color w:val="000000" w:themeColor="text1"/>
          <w:sz w:val="24"/>
          <w:szCs w:val="24"/>
        </w:rPr>
      </w:pPr>
    </w:p>
    <w:p w14:paraId="3D29CD72" w14:textId="77777777" w:rsidR="002F1D10" w:rsidRPr="002F1D10" w:rsidRDefault="002F1D10" w:rsidP="002F1D10">
      <w:pPr>
        <w:pStyle w:val="Heading2"/>
        <w:contextualSpacing/>
        <w:rPr>
          <w:rFonts w:ascii="Times New Roman" w:eastAsia="Times New Roman" w:hAnsi="Times New Roman" w:cs="Times New Roman"/>
          <w:b/>
          <w:bCs/>
          <w:color w:val="000000" w:themeColor="text1"/>
          <w:sz w:val="24"/>
          <w:szCs w:val="24"/>
        </w:rPr>
      </w:pPr>
      <w:r w:rsidRPr="002F1D10">
        <w:rPr>
          <w:rFonts w:ascii="Times New Roman" w:eastAsia="Times New Roman" w:hAnsi="Times New Roman" w:cs="Times New Roman"/>
          <w:b/>
          <w:bCs/>
          <w:color w:val="000000" w:themeColor="text1"/>
          <w:sz w:val="24"/>
          <w:szCs w:val="24"/>
        </w:rPr>
        <w:t>1.2.7 Theories Supporting the Study</w:t>
      </w:r>
    </w:p>
    <w:p w14:paraId="07BB56A6"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r w:rsidRPr="002F1D10">
        <w:rPr>
          <w:rFonts w:ascii="Times New Roman" w:eastAsia="Times New Roman" w:hAnsi="Times New Roman" w:cs="Times New Roman"/>
          <w:color w:val="000000" w:themeColor="text1"/>
          <w:kern w:val="0"/>
          <w:sz w:val="24"/>
          <w:szCs w:val="24"/>
          <w14:ligatures w14:val="none"/>
        </w:rPr>
        <w:t>This study adopts two key theoretical frameworks to understand the relationship between corporate governance and risk management:</w:t>
      </w:r>
    </w:p>
    <w:p w14:paraId="38F7D5AD"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p>
    <w:p w14:paraId="16CD309B"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r w:rsidRPr="002F1D10">
        <w:rPr>
          <w:rFonts w:ascii="Times New Roman" w:eastAsia="Times New Roman" w:hAnsi="Times New Roman" w:cs="Times New Roman"/>
          <w:color w:val="000000" w:themeColor="text1"/>
          <w:kern w:val="0"/>
          <w:sz w:val="24"/>
          <w:szCs w:val="24"/>
          <w14:ligatures w14:val="none"/>
        </w:rPr>
        <w:t xml:space="preserve">Agency Theory: Agency Theory explores the conflicts of interest that arise between managers (agents) and shareholders (principals), where managers may act in their own interest at the expense of shareholders. Poor governance structures, such as weak boards and ineffective audit </w:t>
      </w:r>
      <w:r w:rsidRPr="002F1D10">
        <w:rPr>
          <w:rFonts w:ascii="Times New Roman" w:eastAsia="Times New Roman" w:hAnsi="Times New Roman" w:cs="Times New Roman"/>
          <w:color w:val="000000" w:themeColor="text1"/>
          <w:kern w:val="0"/>
          <w:sz w:val="24"/>
          <w:szCs w:val="24"/>
          <w14:ligatures w14:val="none"/>
        </w:rPr>
        <w:lastRenderedPageBreak/>
        <w:t>committees, can exacerbate this conflict, leading to higher risk exposure (Jensen &amp; Meckling, 1976).</w:t>
      </w:r>
    </w:p>
    <w:p w14:paraId="58CE6D38"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p>
    <w:p w14:paraId="0240DF0E"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r w:rsidRPr="002F1D10">
        <w:rPr>
          <w:rFonts w:ascii="Times New Roman" w:eastAsia="Times New Roman" w:hAnsi="Times New Roman" w:cs="Times New Roman"/>
          <w:color w:val="000000" w:themeColor="text1"/>
          <w:kern w:val="0"/>
          <w:sz w:val="24"/>
          <w:szCs w:val="24"/>
          <w14:ligatures w14:val="none"/>
        </w:rPr>
        <w:t>Institutional Theory: Institutional Theory suggests that external regulatory pressures shape organizational behavior. In the context of Saudi Arabia, the regulatory framework introduced by Vision 2030 aims to improve governance practices, financial reporting, and risk management. However, challenges remain in enforcing these regulations consistently across industries (</w:t>
      </w:r>
      <w:proofErr w:type="spellStart"/>
      <w:r w:rsidRPr="002F1D10">
        <w:rPr>
          <w:rFonts w:ascii="Times New Roman" w:eastAsia="Times New Roman" w:hAnsi="Times New Roman" w:cs="Times New Roman"/>
          <w:color w:val="000000" w:themeColor="text1"/>
          <w:kern w:val="0"/>
          <w:sz w:val="24"/>
          <w:szCs w:val="24"/>
          <w14:ligatures w14:val="none"/>
        </w:rPr>
        <w:t>Murayr</w:t>
      </w:r>
      <w:proofErr w:type="spellEnd"/>
      <w:r w:rsidRPr="002F1D10">
        <w:rPr>
          <w:rFonts w:ascii="Times New Roman" w:eastAsia="Times New Roman" w:hAnsi="Times New Roman" w:cs="Times New Roman"/>
          <w:color w:val="000000" w:themeColor="text1"/>
          <w:kern w:val="0"/>
          <w:sz w:val="24"/>
          <w:szCs w:val="24"/>
          <w14:ligatures w14:val="none"/>
        </w:rPr>
        <w:t>, 2023).</w:t>
      </w:r>
    </w:p>
    <w:p w14:paraId="0DB9CA2C" w14:textId="77777777" w:rsidR="002F1D10" w:rsidRPr="002F1D10" w:rsidRDefault="002F1D10" w:rsidP="002F1D10">
      <w:pPr>
        <w:pStyle w:val="Heading2"/>
        <w:contextualSpacing/>
        <w:rPr>
          <w:rFonts w:ascii="Times New Roman" w:eastAsia="Times New Roman" w:hAnsi="Times New Roman" w:cs="Times New Roman"/>
          <w:b/>
          <w:bCs/>
          <w:color w:val="000000" w:themeColor="text1"/>
          <w:sz w:val="24"/>
          <w:szCs w:val="24"/>
        </w:rPr>
      </w:pPr>
    </w:p>
    <w:p w14:paraId="2B8DA24D" w14:textId="77777777" w:rsidR="002F1D10" w:rsidRPr="002F1D10" w:rsidRDefault="002F1D10" w:rsidP="002F1D10">
      <w:pPr>
        <w:pStyle w:val="Heading2"/>
        <w:contextualSpacing/>
        <w:rPr>
          <w:rFonts w:ascii="Times New Roman" w:eastAsia="Times New Roman" w:hAnsi="Times New Roman" w:cs="Times New Roman"/>
          <w:b/>
          <w:bCs/>
          <w:color w:val="000000" w:themeColor="text1"/>
          <w:sz w:val="24"/>
          <w:szCs w:val="24"/>
        </w:rPr>
      </w:pPr>
      <w:r w:rsidRPr="002F1D10">
        <w:rPr>
          <w:rFonts w:ascii="Times New Roman" w:eastAsia="Times New Roman" w:hAnsi="Times New Roman" w:cs="Times New Roman"/>
          <w:b/>
          <w:bCs/>
          <w:color w:val="000000" w:themeColor="text1"/>
          <w:sz w:val="24"/>
          <w:szCs w:val="24"/>
        </w:rPr>
        <w:t>1.3 Conclusion</w:t>
      </w:r>
    </w:p>
    <w:p w14:paraId="739823CF" w14:textId="77777777" w:rsidR="002F1D10" w:rsidRPr="002F1D10" w:rsidRDefault="002F1D10" w:rsidP="002F1D10">
      <w:pPr>
        <w:contextualSpacing/>
        <w:jc w:val="both"/>
        <w:rPr>
          <w:rFonts w:ascii="Times New Roman" w:eastAsia="Times New Roman" w:hAnsi="Times New Roman" w:cs="Times New Roman"/>
          <w:color w:val="000000" w:themeColor="text1"/>
          <w:kern w:val="0"/>
          <w:sz w:val="24"/>
          <w:szCs w:val="24"/>
          <w14:ligatures w14:val="none"/>
        </w:rPr>
      </w:pPr>
      <w:r w:rsidRPr="002F1D10">
        <w:rPr>
          <w:rFonts w:ascii="Times New Roman" w:eastAsia="Times New Roman" w:hAnsi="Times New Roman" w:cs="Times New Roman"/>
          <w:color w:val="000000" w:themeColor="text1"/>
          <w:kern w:val="0"/>
          <w:sz w:val="24"/>
          <w:szCs w:val="24"/>
          <w14:ligatures w14:val="none"/>
        </w:rPr>
        <w:t>This chapter has provided a comprehensive theoretical framework, explaining key concepts related to corporate governance and risk management. It has outlined the types and sources of risks, as well as the risk management steps involved. The relationship between governance structures and effective risk management has been highlighted, along with theoretical perspectives from Agency Theory and Institutional Theory. This framework will guide the analysis of governance mechanisms and their role in risk management within Saudi Arabia’s industrial sector.</w:t>
      </w:r>
    </w:p>
    <w:p w14:paraId="62530DA1" w14:textId="77777777" w:rsidR="002F1D10" w:rsidRDefault="002F1D10" w:rsidP="00FE6BEC">
      <w:pPr>
        <w:pStyle w:val="Heading2"/>
        <w:spacing w:before="0" w:after="0"/>
        <w:contextualSpacing/>
        <w:jc w:val="both"/>
        <w:rPr>
          <w:rFonts w:ascii="Times New Roman" w:eastAsia="Times New Roman" w:hAnsi="Times New Roman" w:cs="Times New Roman"/>
          <w:b/>
          <w:bCs/>
          <w:color w:val="000000" w:themeColor="text1"/>
          <w:sz w:val="24"/>
          <w:szCs w:val="24"/>
        </w:rPr>
      </w:pPr>
    </w:p>
    <w:p w14:paraId="677029AD" w14:textId="12870EE4" w:rsidR="00FE6BEC" w:rsidRPr="00EB4B39" w:rsidRDefault="00FE6BEC" w:rsidP="00FE6BEC">
      <w:pPr>
        <w:pStyle w:val="Heading2"/>
        <w:spacing w:before="0" w:after="0"/>
        <w:contextualSpacing/>
        <w:jc w:val="both"/>
        <w:rPr>
          <w:rFonts w:ascii="Times New Roman" w:eastAsia="Times New Roman" w:hAnsi="Times New Roman" w:cs="Times New Roman"/>
          <w:b/>
          <w:bCs/>
          <w:color w:val="000000" w:themeColor="text1"/>
          <w:sz w:val="24"/>
          <w:szCs w:val="24"/>
        </w:rPr>
      </w:pPr>
      <w:r w:rsidRPr="00EB4B39">
        <w:rPr>
          <w:rFonts w:ascii="Times New Roman" w:eastAsia="Times New Roman" w:hAnsi="Times New Roman" w:cs="Times New Roman"/>
          <w:b/>
          <w:bCs/>
          <w:color w:val="000000" w:themeColor="text1"/>
          <w:sz w:val="24"/>
          <w:szCs w:val="24"/>
        </w:rPr>
        <w:t>Problem Statement</w:t>
      </w:r>
      <w:bookmarkEnd w:id="1"/>
    </w:p>
    <w:p w14:paraId="54FBB833" w14:textId="77777777" w:rsidR="00FE6BEC" w:rsidRPr="00EB4B39" w:rsidRDefault="00FE6BEC" w:rsidP="00FE6BEC">
      <w:pPr>
        <w:ind w:firstLine="720"/>
        <w:contextualSpacing/>
        <w:jc w:val="both"/>
        <w:rPr>
          <w:rFonts w:ascii="Times New Roman" w:eastAsia="Times New Roman" w:hAnsi="Times New Roman" w:cs="Times New Roman"/>
          <w:color w:val="000000" w:themeColor="text1"/>
          <w:kern w:val="0"/>
          <w:sz w:val="24"/>
          <w:szCs w:val="24"/>
          <w14:ligatures w14:val="none"/>
        </w:rPr>
      </w:pPr>
      <w:r w:rsidRPr="00EB4B39">
        <w:rPr>
          <w:rFonts w:ascii="Times New Roman" w:eastAsia="Times New Roman" w:hAnsi="Times New Roman" w:cs="Times New Roman"/>
          <w:color w:val="000000" w:themeColor="text1"/>
          <w:kern w:val="0"/>
          <w:sz w:val="24"/>
          <w:szCs w:val="24"/>
          <w14:ligatures w14:val="none"/>
        </w:rPr>
        <w:t xml:space="preserve">Saudi Arabia's industrial sector may underestimate the contribution of corporate governance to performance and risk management. However, lousy governance may cause industrial organizations to be unable to keep things private, pay costs, and lose their reputation due to unmanageable risks and varying compliance standards (Almutairi et al., 2021). Regrettably, various aspects constrain risk monitoring in most organizations; to start with, there is hardly an </w:t>
      </w:r>
      <w:r w:rsidRPr="00EB4B39">
        <w:rPr>
          <w:rFonts w:ascii="Times New Roman" w:eastAsia="Times New Roman" w:hAnsi="Times New Roman" w:cs="Times New Roman"/>
          <w:color w:val="000000" w:themeColor="text1"/>
          <w:kern w:val="0"/>
          <w:sz w:val="24"/>
          <w:szCs w:val="24"/>
          <w14:ligatures w14:val="none"/>
        </w:rPr>
        <w:lastRenderedPageBreak/>
        <w:t>independent board, and thereafter, the committees are relatively ineffective. Also, there is a lack of compliance with emerging regulatory standards, hampering the effectiveness of financial reporting. Low-risk disclosure negatively impacts investor confidence (</w:t>
      </w:r>
      <w:proofErr w:type="spellStart"/>
      <w:r w:rsidRPr="00EB4B39">
        <w:rPr>
          <w:rFonts w:ascii="Times New Roman" w:eastAsia="Times New Roman" w:hAnsi="Times New Roman" w:cs="Times New Roman"/>
          <w:color w:val="000000" w:themeColor="text1"/>
          <w:kern w:val="0"/>
          <w:sz w:val="24"/>
          <w:szCs w:val="24"/>
          <w14:ligatures w14:val="none"/>
        </w:rPr>
        <w:t>Alsulami</w:t>
      </w:r>
      <w:proofErr w:type="spellEnd"/>
      <w:r w:rsidRPr="00EB4B39">
        <w:rPr>
          <w:rFonts w:ascii="Times New Roman" w:eastAsia="Times New Roman" w:hAnsi="Times New Roman" w:cs="Times New Roman"/>
          <w:color w:val="000000" w:themeColor="text1"/>
          <w:kern w:val="0"/>
          <w:sz w:val="24"/>
          <w:szCs w:val="24"/>
          <w14:ligatures w14:val="none"/>
        </w:rPr>
        <w:t xml:space="preserve"> &amp; </w:t>
      </w:r>
      <w:proofErr w:type="spellStart"/>
      <w:r w:rsidRPr="00EB4B39">
        <w:rPr>
          <w:rFonts w:ascii="Times New Roman" w:eastAsia="Times New Roman" w:hAnsi="Times New Roman" w:cs="Times New Roman"/>
          <w:color w:val="000000" w:themeColor="text1"/>
          <w:kern w:val="0"/>
          <w:sz w:val="24"/>
          <w:szCs w:val="24"/>
          <w14:ligatures w14:val="none"/>
        </w:rPr>
        <w:t>Chafai</w:t>
      </w:r>
      <w:proofErr w:type="spellEnd"/>
      <w:r w:rsidRPr="00EB4B39">
        <w:rPr>
          <w:rFonts w:ascii="Times New Roman" w:eastAsia="Times New Roman" w:hAnsi="Times New Roman" w:cs="Times New Roman"/>
          <w:color w:val="000000" w:themeColor="text1"/>
          <w:kern w:val="0"/>
          <w:sz w:val="24"/>
          <w:szCs w:val="24"/>
          <w14:ligatures w14:val="none"/>
        </w:rPr>
        <w:t xml:space="preserve">, 2024), while family businesses prioritize internal control to control information disclosure and undermine governance (Habtoor et al., 2019). Most of the existing studies are mainly concentrated on developed countries, and there is a significant research gap concerning Saudi Arabia and how its various governance mechanisms address risk management within its industrial end. This study meets that need by examining how well governance handles risks and suggesting ways to ensure rules are followed more closely, </w:t>
      </w:r>
      <w:proofErr w:type="gramStart"/>
      <w:r w:rsidRPr="00EB4B39">
        <w:rPr>
          <w:rFonts w:ascii="Times New Roman" w:eastAsia="Times New Roman" w:hAnsi="Times New Roman" w:cs="Times New Roman"/>
          <w:color w:val="000000" w:themeColor="text1"/>
          <w:kern w:val="0"/>
          <w:sz w:val="24"/>
          <w:szCs w:val="24"/>
          <w14:ligatures w14:val="none"/>
        </w:rPr>
        <w:t>build</w:t>
      </w:r>
      <w:proofErr w:type="gramEnd"/>
      <w:r w:rsidRPr="00EB4B39">
        <w:rPr>
          <w:rFonts w:ascii="Times New Roman" w:eastAsia="Times New Roman" w:hAnsi="Times New Roman" w:cs="Times New Roman"/>
          <w:color w:val="000000" w:themeColor="text1"/>
          <w:kern w:val="0"/>
          <w:sz w:val="24"/>
          <w:szCs w:val="24"/>
          <w14:ligatures w14:val="none"/>
        </w:rPr>
        <w:t xml:space="preserve"> up capital and other safety nets, and </w:t>
      </w:r>
      <w:proofErr w:type="gramStart"/>
      <w:r w:rsidRPr="00EB4B39">
        <w:rPr>
          <w:rFonts w:ascii="Times New Roman" w:eastAsia="Times New Roman" w:hAnsi="Times New Roman" w:cs="Times New Roman"/>
          <w:color w:val="000000" w:themeColor="text1"/>
          <w:kern w:val="0"/>
          <w:sz w:val="24"/>
          <w:szCs w:val="24"/>
          <w14:ligatures w14:val="none"/>
        </w:rPr>
        <w:t>make</w:t>
      </w:r>
      <w:proofErr w:type="gramEnd"/>
      <w:r w:rsidRPr="00EB4B39">
        <w:rPr>
          <w:rFonts w:ascii="Times New Roman" w:eastAsia="Times New Roman" w:hAnsi="Times New Roman" w:cs="Times New Roman"/>
          <w:color w:val="000000" w:themeColor="text1"/>
          <w:kern w:val="0"/>
          <w:sz w:val="24"/>
          <w:szCs w:val="24"/>
          <w14:ligatures w14:val="none"/>
        </w:rPr>
        <w:t xml:space="preserve"> governance more open.</w:t>
      </w:r>
    </w:p>
    <w:p w14:paraId="57D65B03" w14:textId="77777777" w:rsidR="00FE6BEC" w:rsidRPr="00EB4B39" w:rsidRDefault="00FE6BEC" w:rsidP="00FE6BEC">
      <w:pPr>
        <w:pStyle w:val="Heading2"/>
        <w:spacing w:before="0" w:after="0"/>
        <w:contextualSpacing/>
        <w:jc w:val="both"/>
        <w:rPr>
          <w:rFonts w:ascii="Times New Roman" w:eastAsia="Times New Roman" w:hAnsi="Times New Roman" w:cs="Times New Roman"/>
          <w:b/>
          <w:bCs/>
          <w:color w:val="000000" w:themeColor="text1"/>
          <w:sz w:val="24"/>
          <w:szCs w:val="24"/>
        </w:rPr>
      </w:pPr>
      <w:bookmarkStart w:id="2" w:name="_Toc192863208"/>
      <w:r w:rsidRPr="00EB4B39">
        <w:rPr>
          <w:rFonts w:ascii="Times New Roman" w:eastAsia="Times New Roman" w:hAnsi="Times New Roman" w:cs="Times New Roman"/>
          <w:b/>
          <w:bCs/>
          <w:color w:val="000000" w:themeColor="text1"/>
          <w:sz w:val="24"/>
          <w:szCs w:val="24"/>
        </w:rPr>
        <w:t>Study Purposes</w:t>
      </w:r>
      <w:bookmarkEnd w:id="2"/>
    </w:p>
    <w:p w14:paraId="556E5DCD" w14:textId="77777777" w:rsidR="00FE6BEC" w:rsidRPr="00EB4B39" w:rsidRDefault="00FE6BEC" w:rsidP="00FE6BEC">
      <w:pPr>
        <w:ind w:firstLine="720"/>
        <w:contextualSpacing/>
        <w:jc w:val="both"/>
        <w:rPr>
          <w:rFonts w:ascii="Times New Roman" w:eastAsia="Times New Roman" w:hAnsi="Times New Roman" w:cs="Times New Roman"/>
          <w:color w:val="000000" w:themeColor="text1"/>
          <w:kern w:val="0"/>
          <w:sz w:val="24"/>
          <w:szCs w:val="24"/>
          <w14:ligatures w14:val="none"/>
        </w:rPr>
      </w:pPr>
      <w:r w:rsidRPr="00EB4B39">
        <w:rPr>
          <w:rFonts w:ascii="Times New Roman" w:eastAsia="Times New Roman" w:hAnsi="Times New Roman" w:cs="Times New Roman"/>
          <w:color w:val="000000" w:themeColor="text1"/>
          <w:kern w:val="0"/>
          <w:sz w:val="24"/>
          <w:szCs w:val="24"/>
          <w14:ligatures w14:val="none"/>
        </w:rPr>
        <w:t>The purpose of this research is to explore how corporate governance and risk management are related to each other in the industrial sector of Saudi Arabia. It examines how the existence and structure of boards of directors, audit committees, and executive compensation can help manage these risks. It also discusses how governance transparency and risk disclosure affect investor confidence and financial stability. It also evaluates the extent to which corporate governance regulations enhance financial risk management and discusses challenges in corporate governance among Saudi industrial firms. Therefore, the study recommends compliance enhancement, risk management approaches, and governance clarity.</w:t>
      </w:r>
    </w:p>
    <w:p w14:paraId="061167E7" w14:textId="77777777" w:rsidR="00FE6BEC" w:rsidRPr="00EB4B39" w:rsidRDefault="00FE6BEC" w:rsidP="00FE6BEC">
      <w:pPr>
        <w:pStyle w:val="Heading2"/>
        <w:spacing w:before="0" w:after="0"/>
        <w:contextualSpacing/>
        <w:jc w:val="both"/>
        <w:rPr>
          <w:rFonts w:ascii="Times New Roman" w:eastAsia="Times New Roman" w:hAnsi="Times New Roman" w:cs="Times New Roman"/>
          <w:b/>
          <w:bCs/>
          <w:color w:val="000000" w:themeColor="text1"/>
          <w:sz w:val="24"/>
          <w:szCs w:val="24"/>
        </w:rPr>
      </w:pPr>
      <w:bookmarkStart w:id="3" w:name="_Toc192863209"/>
      <w:r w:rsidRPr="00EB4B39">
        <w:rPr>
          <w:rFonts w:ascii="Times New Roman" w:eastAsia="Times New Roman" w:hAnsi="Times New Roman" w:cs="Times New Roman"/>
          <w:b/>
          <w:bCs/>
          <w:color w:val="000000" w:themeColor="text1"/>
          <w:sz w:val="24"/>
          <w:szCs w:val="24"/>
        </w:rPr>
        <w:t>Study Importance</w:t>
      </w:r>
      <w:bookmarkEnd w:id="3"/>
    </w:p>
    <w:p w14:paraId="64CBC801" w14:textId="77777777" w:rsidR="00FE6BEC" w:rsidRPr="00EB4B39" w:rsidRDefault="00FE6BEC" w:rsidP="00FE6BEC">
      <w:pPr>
        <w:ind w:firstLine="720"/>
        <w:contextualSpacing/>
        <w:jc w:val="both"/>
        <w:rPr>
          <w:rFonts w:ascii="Times New Roman" w:eastAsia="Times New Roman" w:hAnsi="Times New Roman" w:cs="Times New Roman"/>
          <w:color w:val="000000" w:themeColor="text1"/>
          <w:kern w:val="0"/>
          <w:sz w:val="24"/>
          <w:szCs w:val="24"/>
          <w14:ligatures w14:val="none"/>
        </w:rPr>
      </w:pPr>
      <w:r w:rsidRPr="00EB4B39">
        <w:rPr>
          <w:rFonts w:ascii="Times New Roman" w:eastAsia="Times New Roman" w:hAnsi="Times New Roman" w:cs="Times New Roman"/>
          <w:color w:val="000000" w:themeColor="text1"/>
          <w:kern w:val="0"/>
          <w:sz w:val="24"/>
          <w:szCs w:val="24"/>
          <w14:ligatures w14:val="none"/>
        </w:rPr>
        <w:t xml:space="preserve">This research is of both scientific and practical importance in corporate governance and risk management. It adds knowledge about corporate governance in the academic world, especially in developing markets like Saudi Arabia. The research refers to different theoretical frameworks, </w:t>
      </w:r>
      <w:r w:rsidRPr="00EB4B39">
        <w:rPr>
          <w:rFonts w:ascii="Times New Roman" w:eastAsia="Times New Roman" w:hAnsi="Times New Roman" w:cs="Times New Roman"/>
          <w:color w:val="000000" w:themeColor="text1"/>
          <w:kern w:val="0"/>
          <w:sz w:val="24"/>
          <w:szCs w:val="24"/>
          <w14:ligatures w14:val="none"/>
        </w:rPr>
        <w:lastRenderedPageBreak/>
        <w:t>such as agency theory and institutional theory, to find new ways to guide governance regarding risk management. Further, it builds upon the literature by providing quantitative data from company documents, legal statutes, and case studies. In practical terms, the study offers the following policy implications for the Saudi CMA and other regulators seeking to strengthen governance systems:</w:t>
      </w:r>
    </w:p>
    <w:p w14:paraId="78C4CC51" w14:textId="77777777" w:rsidR="00FE6BEC" w:rsidRPr="00EB4B39" w:rsidRDefault="00FE6BEC" w:rsidP="00FE6BEC">
      <w:pPr>
        <w:pStyle w:val="Heading2"/>
        <w:spacing w:before="0" w:after="0"/>
        <w:contextualSpacing/>
        <w:jc w:val="both"/>
        <w:rPr>
          <w:rFonts w:ascii="Times New Roman" w:eastAsia="Times New Roman" w:hAnsi="Times New Roman" w:cs="Times New Roman"/>
          <w:b/>
          <w:bCs/>
          <w:color w:val="000000" w:themeColor="text1"/>
          <w:sz w:val="24"/>
          <w:szCs w:val="24"/>
        </w:rPr>
      </w:pPr>
      <w:bookmarkStart w:id="4" w:name="_Toc192863210"/>
      <w:r w:rsidRPr="00EB4B39">
        <w:rPr>
          <w:rFonts w:ascii="Times New Roman" w:eastAsia="Times New Roman" w:hAnsi="Times New Roman" w:cs="Times New Roman"/>
          <w:b/>
          <w:bCs/>
          <w:color w:val="000000" w:themeColor="text1"/>
          <w:sz w:val="24"/>
          <w:szCs w:val="24"/>
        </w:rPr>
        <w:t>Study Questions</w:t>
      </w:r>
      <w:bookmarkEnd w:id="4"/>
    </w:p>
    <w:p w14:paraId="30DF263B" w14:textId="77777777" w:rsidR="00FE6BEC" w:rsidRPr="00EB4B39" w:rsidRDefault="00FE6BEC" w:rsidP="00FE6BEC">
      <w:pPr>
        <w:pStyle w:val="ListParagraph"/>
        <w:numPr>
          <w:ilvl w:val="0"/>
          <w:numId w:val="1"/>
        </w:numPr>
        <w:jc w:val="both"/>
        <w:rPr>
          <w:rFonts w:ascii="Times New Roman" w:eastAsia="Times New Roman" w:hAnsi="Times New Roman" w:cs="Times New Roman"/>
          <w:color w:val="000000" w:themeColor="text1"/>
          <w:kern w:val="0"/>
          <w:sz w:val="24"/>
          <w:szCs w:val="24"/>
          <w14:ligatures w14:val="none"/>
        </w:rPr>
      </w:pPr>
      <w:r w:rsidRPr="00EB4B39">
        <w:rPr>
          <w:rFonts w:ascii="Times New Roman" w:eastAsia="Times New Roman" w:hAnsi="Times New Roman" w:cs="Times New Roman"/>
          <w:color w:val="000000" w:themeColor="text1"/>
          <w:kern w:val="0"/>
          <w:sz w:val="24"/>
          <w:szCs w:val="24"/>
          <w14:ligatures w14:val="none"/>
        </w:rPr>
        <w:t>How do corporate governance mechanisms influence risk management effectiveness in Saudi Arabia’s industrial sector?</w:t>
      </w:r>
    </w:p>
    <w:p w14:paraId="7BCA6100" w14:textId="77777777" w:rsidR="00FE6BEC" w:rsidRPr="00EB4B39" w:rsidRDefault="00FE6BEC" w:rsidP="00FE6BEC">
      <w:pPr>
        <w:pStyle w:val="ListParagraph"/>
        <w:numPr>
          <w:ilvl w:val="0"/>
          <w:numId w:val="1"/>
        </w:numPr>
        <w:jc w:val="both"/>
        <w:rPr>
          <w:rFonts w:ascii="Times New Roman" w:eastAsia="Times New Roman" w:hAnsi="Times New Roman" w:cs="Times New Roman"/>
          <w:color w:val="000000" w:themeColor="text1"/>
          <w:kern w:val="0"/>
          <w:sz w:val="24"/>
          <w:szCs w:val="24"/>
          <w14:ligatures w14:val="none"/>
        </w:rPr>
      </w:pPr>
      <w:r w:rsidRPr="00EB4B39">
        <w:rPr>
          <w:rFonts w:ascii="Times New Roman" w:eastAsia="Times New Roman" w:hAnsi="Times New Roman" w:cs="Times New Roman"/>
          <w:color w:val="000000" w:themeColor="text1"/>
          <w:kern w:val="0"/>
          <w:sz w:val="24"/>
          <w:szCs w:val="24"/>
          <w14:ligatures w14:val="none"/>
        </w:rPr>
        <w:t>What role do board composition, audit committees, and executive compensation play in mitigating financial risks?</w:t>
      </w:r>
    </w:p>
    <w:p w14:paraId="1DF8265A" w14:textId="77777777" w:rsidR="00FE6BEC" w:rsidRPr="00EB4B39" w:rsidRDefault="00FE6BEC" w:rsidP="00FE6BEC">
      <w:pPr>
        <w:pStyle w:val="ListParagraph"/>
        <w:numPr>
          <w:ilvl w:val="0"/>
          <w:numId w:val="1"/>
        </w:numPr>
        <w:jc w:val="both"/>
        <w:rPr>
          <w:rFonts w:ascii="Times New Roman" w:eastAsia="Times New Roman" w:hAnsi="Times New Roman" w:cs="Times New Roman"/>
          <w:color w:val="000000" w:themeColor="text1"/>
          <w:kern w:val="0"/>
          <w:sz w:val="24"/>
          <w:szCs w:val="24"/>
          <w14:ligatures w14:val="none"/>
        </w:rPr>
      </w:pPr>
      <w:r w:rsidRPr="00EB4B39">
        <w:rPr>
          <w:rFonts w:ascii="Times New Roman" w:eastAsia="Times New Roman" w:hAnsi="Times New Roman" w:cs="Times New Roman"/>
          <w:color w:val="000000" w:themeColor="text1"/>
          <w:kern w:val="0"/>
          <w:sz w:val="24"/>
          <w:szCs w:val="24"/>
          <w14:ligatures w14:val="none"/>
        </w:rPr>
        <w:t>How do governance transparency and risk disclosure impact investor confidence and financial stability?</w:t>
      </w:r>
    </w:p>
    <w:p w14:paraId="53E40D28" w14:textId="77777777" w:rsidR="00FE6BEC" w:rsidRPr="00EB4B39" w:rsidRDefault="00FE6BEC" w:rsidP="00FE6BEC">
      <w:pPr>
        <w:pStyle w:val="ListParagraph"/>
        <w:numPr>
          <w:ilvl w:val="0"/>
          <w:numId w:val="1"/>
        </w:numPr>
        <w:jc w:val="both"/>
        <w:rPr>
          <w:rFonts w:ascii="Times New Roman" w:eastAsia="Times New Roman" w:hAnsi="Times New Roman" w:cs="Times New Roman"/>
          <w:color w:val="000000" w:themeColor="text1"/>
          <w:kern w:val="0"/>
          <w:sz w:val="24"/>
          <w:szCs w:val="24"/>
          <w14:ligatures w14:val="none"/>
        </w:rPr>
      </w:pPr>
      <w:r w:rsidRPr="00EB4B39">
        <w:rPr>
          <w:rFonts w:ascii="Times New Roman" w:eastAsia="Times New Roman" w:hAnsi="Times New Roman" w:cs="Times New Roman"/>
          <w:color w:val="000000" w:themeColor="text1"/>
          <w:kern w:val="0"/>
          <w:sz w:val="24"/>
          <w:szCs w:val="24"/>
          <w14:ligatures w14:val="none"/>
        </w:rPr>
        <w:t>What are Saudi industrial firms' key challenges in complying with corporate governance regulations?</w:t>
      </w:r>
    </w:p>
    <w:p w14:paraId="6ED995CA" w14:textId="77777777" w:rsidR="00FE6BEC" w:rsidRPr="00EB4B39" w:rsidRDefault="00FE6BEC" w:rsidP="00FE6BEC">
      <w:pPr>
        <w:pStyle w:val="Heading2"/>
        <w:spacing w:before="0" w:after="0"/>
        <w:contextualSpacing/>
        <w:jc w:val="both"/>
        <w:rPr>
          <w:rFonts w:ascii="Times New Roman" w:eastAsia="Times New Roman" w:hAnsi="Times New Roman" w:cs="Times New Roman"/>
          <w:b/>
          <w:bCs/>
          <w:color w:val="000000" w:themeColor="text1"/>
          <w:sz w:val="24"/>
          <w:szCs w:val="24"/>
        </w:rPr>
      </w:pPr>
      <w:bookmarkStart w:id="5" w:name="_Toc192863211"/>
      <w:r w:rsidRPr="00EB4B39">
        <w:rPr>
          <w:rFonts w:ascii="Times New Roman" w:eastAsia="Times New Roman" w:hAnsi="Times New Roman" w:cs="Times New Roman"/>
          <w:b/>
          <w:bCs/>
          <w:color w:val="000000" w:themeColor="text1"/>
          <w:sz w:val="24"/>
          <w:szCs w:val="24"/>
        </w:rPr>
        <w:t>Research Hypotheses</w:t>
      </w:r>
      <w:bookmarkEnd w:id="5"/>
    </w:p>
    <w:p w14:paraId="2C54538E" w14:textId="77777777" w:rsidR="00FE6BEC" w:rsidRPr="00EB4B39" w:rsidRDefault="00FE6BEC" w:rsidP="00FE6BEC">
      <w:pPr>
        <w:contextualSpacing/>
        <w:jc w:val="both"/>
        <w:rPr>
          <w:rFonts w:ascii="Times New Roman" w:eastAsia="Times New Roman" w:hAnsi="Times New Roman" w:cs="Times New Roman"/>
          <w:color w:val="000000" w:themeColor="text1"/>
          <w:kern w:val="0"/>
          <w:sz w:val="24"/>
          <w:szCs w:val="24"/>
          <w14:ligatures w14:val="none"/>
        </w:rPr>
      </w:pPr>
      <w:r w:rsidRPr="00EB4B39">
        <w:rPr>
          <w:rFonts w:ascii="Times New Roman" w:eastAsia="Times New Roman" w:hAnsi="Times New Roman" w:cs="Times New Roman"/>
          <w:color w:val="000000" w:themeColor="text1"/>
          <w:kern w:val="0"/>
          <w:sz w:val="24"/>
          <w:szCs w:val="24"/>
          <w14:ligatures w14:val="none"/>
        </w:rPr>
        <w:t>H1: Corporate governance mechanisms positively influence risk management effectiveness in Saudi Arabia’s industrial sector.</w:t>
      </w:r>
    </w:p>
    <w:p w14:paraId="3A163B17" w14:textId="77777777" w:rsidR="00FE6BEC" w:rsidRPr="00EB4B39" w:rsidRDefault="00FE6BEC" w:rsidP="00FE6BEC">
      <w:pPr>
        <w:contextualSpacing/>
        <w:jc w:val="both"/>
        <w:rPr>
          <w:rFonts w:ascii="Times New Roman" w:eastAsia="Times New Roman" w:hAnsi="Times New Roman" w:cs="Times New Roman"/>
          <w:color w:val="000000" w:themeColor="text1"/>
          <w:kern w:val="0"/>
          <w:sz w:val="24"/>
          <w:szCs w:val="24"/>
          <w14:ligatures w14:val="none"/>
        </w:rPr>
      </w:pPr>
      <w:r w:rsidRPr="00EB4B39">
        <w:rPr>
          <w:rFonts w:ascii="Times New Roman" w:eastAsia="Times New Roman" w:hAnsi="Times New Roman" w:cs="Times New Roman"/>
          <w:color w:val="000000" w:themeColor="text1"/>
          <w:kern w:val="0"/>
          <w:sz w:val="24"/>
          <w:szCs w:val="24"/>
          <w14:ligatures w14:val="none"/>
        </w:rPr>
        <w:t>H2: Independent boards and structured audit committees significantly improve corporate risk mitigation strategies.</w:t>
      </w:r>
    </w:p>
    <w:p w14:paraId="01E5A64B" w14:textId="77777777" w:rsidR="00FE6BEC" w:rsidRPr="00EB4B39" w:rsidRDefault="00FE6BEC" w:rsidP="00FE6BEC">
      <w:pPr>
        <w:contextualSpacing/>
        <w:jc w:val="both"/>
        <w:rPr>
          <w:rFonts w:ascii="Times New Roman" w:eastAsia="Times New Roman" w:hAnsi="Times New Roman" w:cs="Times New Roman"/>
          <w:color w:val="000000" w:themeColor="text1"/>
          <w:kern w:val="0"/>
          <w:sz w:val="24"/>
          <w:szCs w:val="24"/>
          <w14:ligatures w14:val="none"/>
        </w:rPr>
      </w:pPr>
      <w:r w:rsidRPr="00EB4B39">
        <w:rPr>
          <w:rFonts w:ascii="Times New Roman" w:eastAsia="Times New Roman" w:hAnsi="Times New Roman" w:cs="Times New Roman"/>
          <w:color w:val="000000" w:themeColor="text1"/>
          <w:kern w:val="0"/>
          <w:sz w:val="24"/>
          <w:szCs w:val="24"/>
          <w14:ligatures w14:val="none"/>
        </w:rPr>
        <w:t>H3: Firms with greater transparency and risk disclosure practices exhibit better financial performance and investor confidence.</w:t>
      </w:r>
    </w:p>
    <w:p w14:paraId="622942EB" w14:textId="77777777" w:rsidR="00FE6BEC" w:rsidRPr="00EB4B39" w:rsidRDefault="00FE6BEC" w:rsidP="00FE6BEC">
      <w:pPr>
        <w:contextualSpacing/>
        <w:jc w:val="both"/>
        <w:rPr>
          <w:rFonts w:ascii="Times New Roman" w:eastAsia="Times New Roman" w:hAnsi="Times New Roman" w:cs="Times New Roman"/>
          <w:color w:val="000000" w:themeColor="text1"/>
          <w:kern w:val="0"/>
          <w:sz w:val="24"/>
          <w:szCs w:val="24"/>
          <w14:ligatures w14:val="none"/>
        </w:rPr>
      </w:pPr>
      <w:r w:rsidRPr="00EB4B39">
        <w:rPr>
          <w:rFonts w:ascii="Times New Roman" w:eastAsia="Times New Roman" w:hAnsi="Times New Roman" w:cs="Times New Roman"/>
          <w:color w:val="000000" w:themeColor="text1"/>
          <w:kern w:val="0"/>
          <w:sz w:val="24"/>
          <w:szCs w:val="24"/>
          <w14:ligatures w14:val="none"/>
        </w:rPr>
        <w:t>H4: Stronger regulatory enforcement improves governance compliance and financial risk management.</w:t>
      </w:r>
    </w:p>
    <w:p w14:paraId="63F909A3" w14:textId="77777777" w:rsidR="00FE6BEC" w:rsidRPr="00EB4B39" w:rsidRDefault="00FE6BEC" w:rsidP="00FE6BEC">
      <w:pPr>
        <w:pStyle w:val="Heading2"/>
        <w:spacing w:before="0" w:after="0"/>
        <w:contextualSpacing/>
        <w:jc w:val="both"/>
        <w:rPr>
          <w:rFonts w:ascii="Times New Roman" w:eastAsia="Times New Roman" w:hAnsi="Times New Roman" w:cs="Times New Roman"/>
          <w:b/>
          <w:bCs/>
          <w:color w:val="000000" w:themeColor="text1"/>
          <w:sz w:val="24"/>
          <w:szCs w:val="24"/>
        </w:rPr>
      </w:pPr>
      <w:bookmarkStart w:id="6" w:name="_Toc192863212"/>
      <w:r w:rsidRPr="00EB4B39">
        <w:rPr>
          <w:rFonts w:ascii="Times New Roman" w:eastAsia="Times New Roman" w:hAnsi="Times New Roman" w:cs="Times New Roman"/>
          <w:b/>
          <w:bCs/>
          <w:color w:val="000000" w:themeColor="text1"/>
          <w:sz w:val="24"/>
          <w:szCs w:val="24"/>
        </w:rPr>
        <w:lastRenderedPageBreak/>
        <w:t>Theoretical Model</w:t>
      </w:r>
      <w:bookmarkEnd w:id="6"/>
    </w:p>
    <w:p w14:paraId="63F3A202" w14:textId="77777777" w:rsidR="00FE6BEC" w:rsidRPr="00EB4B39" w:rsidRDefault="00FE6BEC" w:rsidP="00FE6BEC">
      <w:pPr>
        <w:ind w:firstLine="720"/>
        <w:contextualSpacing/>
        <w:jc w:val="both"/>
        <w:rPr>
          <w:rFonts w:ascii="Times New Roman" w:eastAsia="Times New Roman" w:hAnsi="Times New Roman" w:cs="Times New Roman"/>
          <w:color w:val="000000" w:themeColor="text1"/>
          <w:kern w:val="0"/>
          <w:sz w:val="24"/>
          <w:szCs w:val="24"/>
          <w14:ligatures w14:val="none"/>
        </w:rPr>
      </w:pPr>
      <w:r w:rsidRPr="00EB4B39">
        <w:rPr>
          <w:rFonts w:ascii="Times New Roman" w:eastAsia="Times New Roman" w:hAnsi="Times New Roman" w:cs="Times New Roman"/>
          <w:color w:val="000000" w:themeColor="text1"/>
          <w:kern w:val="0"/>
          <w:sz w:val="24"/>
          <w:szCs w:val="24"/>
          <w14:ligatures w14:val="none"/>
        </w:rPr>
        <w:t>The research adopts agency and institutional theories to investigate corporate governance and risk management. Agency Theory draws a sharp contrast between management and shareholders, suggesting that managers may have their selfish interests in mind by seeking more wealth instead of stability. Weak corporate governance, boards that are not independent, and audit committees that do not work well together lead to bad financial management and higher risk profiles (</w:t>
      </w:r>
      <w:proofErr w:type="spellStart"/>
      <w:r w:rsidRPr="00EB4B39">
        <w:rPr>
          <w:rFonts w:ascii="Times New Roman" w:eastAsia="Times New Roman" w:hAnsi="Times New Roman" w:cs="Times New Roman"/>
          <w:color w:val="000000" w:themeColor="text1"/>
          <w:kern w:val="0"/>
          <w:sz w:val="24"/>
          <w:szCs w:val="24"/>
          <w14:ligatures w14:val="none"/>
        </w:rPr>
        <w:t>Farhangdoust</w:t>
      </w:r>
      <w:proofErr w:type="spellEnd"/>
      <w:r w:rsidRPr="00EB4B39">
        <w:rPr>
          <w:rFonts w:ascii="Times New Roman" w:eastAsia="Times New Roman" w:hAnsi="Times New Roman" w:cs="Times New Roman"/>
          <w:color w:val="000000" w:themeColor="text1"/>
          <w:kern w:val="0"/>
          <w:sz w:val="24"/>
          <w:szCs w:val="24"/>
          <w14:ligatures w14:val="none"/>
        </w:rPr>
        <w:t xml:space="preserve"> et al., 2020). Improvements to board independence and audit oversight ensure excellent corporate governance, long-term success, and strong internal controls that stop managers from acting in ways that hurt shareholders.</w:t>
      </w:r>
    </w:p>
    <w:p w14:paraId="149B00DE" w14:textId="77777777" w:rsidR="00FE6BEC" w:rsidRPr="00EB4B39" w:rsidRDefault="00FE6BEC" w:rsidP="00FE6BEC">
      <w:pPr>
        <w:ind w:firstLine="720"/>
        <w:contextualSpacing/>
        <w:jc w:val="both"/>
        <w:rPr>
          <w:rFonts w:ascii="Times New Roman" w:eastAsia="Times New Roman" w:hAnsi="Times New Roman" w:cs="Times New Roman"/>
          <w:color w:val="000000" w:themeColor="text1"/>
          <w:kern w:val="0"/>
          <w:sz w:val="24"/>
          <w:szCs w:val="24"/>
          <w14:ligatures w14:val="none"/>
        </w:rPr>
      </w:pPr>
      <w:r w:rsidRPr="00EB4B39">
        <w:rPr>
          <w:rFonts w:ascii="Times New Roman" w:eastAsia="Times New Roman" w:hAnsi="Times New Roman" w:cs="Times New Roman"/>
          <w:color w:val="000000" w:themeColor="text1"/>
          <w:kern w:val="0"/>
          <w:sz w:val="24"/>
          <w:szCs w:val="24"/>
          <w14:ligatures w14:val="none"/>
        </w:rPr>
        <w:t>The concept of institutional theory looks at the forces of regulation and governance policies and their impact on managerial decisions. KSA’s Vision 2030 has enhanced corporate governance, financial reporting, and disclosure regulation, but enforcement is still problematic (</w:t>
      </w:r>
      <w:proofErr w:type="spellStart"/>
      <w:r w:rsidRPr="00EB4B39">
        <w:rPr>
          <w:rFonts w:ascii="Times New Roman" w:eastAsia="Times New Roman" w:hAnsi="Times New Roman" w:cs="Times New Roman"/>
          <w:color w:val="000000" w:themeColor="text1"/>
          <w:kern w:val="0"/>
          <w:sz w:val="24"/>
          <w:szCs w:val="24"/>
          <w14:ligatures w14:val="none"/>
        </w:rPr>
        <w:t>Murayr</w:t>
      </w:r>
      <w:proofErr w:type="spellEnd"/>
      <w:r w:rsidRPr="00EB4B39">
        <w:rPr>
          <w:rFonts w:ascii="Times New Roman" w:eastAsia="Times New Roman" w:hAnsi="Times New Roman" w:cs="Times New Roman"/>
          <w:color w:val="000000" w:themeColor="text1"/>
          <w:kern w:val="0"/>
          <w:sz w:val="24"/>
          <w:szCs w:val="24"/>
          <w14:ligatures w14:val="none"/>
        </w:rPr>
        <w:t>, 2023). Adherence to governance regulations and practices by firms increases financial solidity, investors’ confidence, and risk management capacities. However, adoption embraces several hitches that make industrial firms poorly governed and inadequately disclose risks and economic instability.</w:t>
      </w:r>
    </w:p>
    <w:p w14:paraId="197D0BD5" w14:textId="77777777" w:rsidR="00FE6BEC" w:rsidRPr="00EB4B39" w:rsidRDefault="00FE6BEC" w:rsidP="00FE6BEC">
      <w:pPr>
        <w:pStyle w:val="Heading1"/>
        <w:spacing w:before="0" w:after="0"/>
        <w:contextualSpacing/>
        <w:jc w:val="both"/>
        <w:rPr>
          <w:rFonts w:ascii="Times New Roman" w:eastAsia="Times New Roman" w:hAnsi="Times New Roman" w:cs="Times New Roman"/>
          <w:b/>
          <w:bCs/>
          <w:color w:val="000000" w:themeColor="text1"/>
          <w:sz w:val="24"/>
          <w:szCs w:val="24"/>
        </w:rPr>
      </w:pPr>
      <w:bookmarkStart w:id="7" w:name="_Toc192863213"/>
      <w:r w:rsidRPr="00EB4B39">
        <w:rPr>
          <w:rFonts w:ascii="Times New Roman" w:eastAsia="Times New Roman" w:hAnsi="Times New Roman" w:cs="Times New Roman"/>
          <w:b/>
          <w:bCs/>
          <w:color w:val="000000" w:themeColor="text1"/>
          <w:sz w:val="24"/>
          <w:szCs w:val="24"/>
        </w:rPr>
        <w:t>Chapter 2: Literature Review</w:t>
      </w:r>
      <w:bookmarkEnd w:id="7"/>
    </w:p>
    <w:p w14:paraId="6D3BB348" w14:textId="77777777" w:rsidR="00FE6BEC" w:rsidRPr="00EB4B39" w:rsidRDefault="00FE6BEC" w:rsidP="00FE6BEC">
      <w:pPr>
        <w:pStyle w:val="Heading2"/>
        <w:spacing w:before="0" w:after="0"/>
        <w:contextualSpacing/>
        <w:jc w:val="both"/>
        <w:rPr>
          <w:rFonts w:ascii="Times New Roman" w:eastAsia="Times New Roman" w:hAnsi="Times New Roman" w:cs="Times New Roman"/>
          <w:b/>
          <w:bCs/>
          <w:color w:val="000000" w:themeColor="text1"/>
          <w:sz w:val="24"/>
          <w:szCs w:val="24"/>
        </w:rPr>
      </w:pPr>
      <w:bookmarkStart w:id="8" w:name="_Toc192863214"/>
      <w:r w:rsidRPr="00EB4B39">
        <w:rPr>
          <w:rFonts w:ascii="Times New Roman" w:eastAsia="Times New Roman" w:hAnsi="Times New Roman" w:cs="Times New Roman"/>
          <w:b/>
          <w:bCs/>
          <w:color w:val="000000" w:themeColor="text1"/>
          <w:sz w:val="24"/>
          <w:szCs w:val="24"/>
        </w:rPr>
        <w:t>Introduction</w:t>
      </w:r>
      <w:bookmarkEnd w:id="8"/>
    </w:p>
    <w:p w14:paraId="2659C73F" w14:textId="77777777" w:rsidR="00FE6BEC" w:rsidRPr="00EB4B39" w:rsidRDefault="00FE6BEC" w:rsidP="00FE6BEC">
      <w:pPr>
        <w:ind w:firstLine="720"/>
        <w:contextualSpacing/>
        <w:jc w:val="both"/>
        <w:rPr>
          <w:rFonts w:ascii="Times New Roman" w:eastAsia="Times New Roman" w:hAnsi="Times New Roman" w:cs="Times New Roman"/>
          <w:color w:val="000000" w:themeColor="text1"/>
          <w:kern w:val="0"/>
          <w:sz w:val="24"/>
          <w:szCs w:val="24"/>
          <w14:ligatures w14:val="none"/>
        </w:rPr>
      </w:pPr>
      <w:r w:rsidRPr="00EB4B39">
        <w:rPr>
          <w:rFonts w:ascii="Times New Roman" w:eastAsia="Times New Roman" w:hAnsi="Times New Roman" w:cs="Times New Roman"/>
          <w:color w:val="000000" w:themeColor="text1"/>
          <w:kern w:val="0"/>
          <w:sz w:val="24"/>
          <w:szCs w:val="24"/>
          <w14:ligatures w14:val="none"/>
        </w:rPr>
        <w:t>This literature review aims to find and discuss the links, essential parts, and problems of corporate governance and risk management in Saudi Arabia's business world. It will also examine the role of governance tools, laws, and rules in managing corporate risk. The review is grounded on corporate governance and risk management and their impact on KSA’s industrial sector. The review offers a theoretical model to inform future research in this area. This study will use agency and institutional theories to understand how governance systems affect risk management.</w:t>
      </w:r>
    </w:p>
    <w:p w14:paraId="5D3D798D" w14:textId="77777777" w:rsidR="00FE6BEC" w:rsidRPr="00EB4B39" w:rsidRDefault="00FE6BEC" w:rsidP="00FE6BEC">
      <w:pPr>
        <w:pStyle w:val="Heading2"/>
        <w:spacing w:before="0" w:after="0"/>
        <w:contextualSpacing/>
        <w:jc w:val="both"/>
        <w:rPr>
          <w:rFonts w:ascii="Times New Roman" w:eastAsia="Times New Roman" w:hAnsi="Times New Roman" w:cs="Times New Roman"/>
          <w:b/>
          <w:bCs/>
          <w:color w:val="000000" w:themeColor="text1"/>
          <w:sz w:val="24"/>
          <w:szCs w:val="24"/>
        </w:rPr>
      </w:pPr>
      <w:bookmarkStart w:id="9" w:name="_Toc192863215"/>
      <w:r w:rsidRPr="00EB4B39">
        <w:rPr>
          <w:rFonts w:ascii="Times New Roman" w:eastAsia="Times New Roman" w:hAnsi="Times New Roman" w:cs="Times New Roman"/>
          <w:b/>
          <w:bCs/>
          <w:color w:val="000000" w:themeColor="text1"/>
          <w:sz w:val="24"/>
          <w:szCs w:val="24"/>
        </w:rPr>
        <w:lastRenderedPageBreak/>
        <w:t>Corporate Risk Management Effectiveness</w:t>
      </w:r>
      <w:bookmarkEnd w:id="9"/>
    </w:p>
    <w:p w14:paraId="1A6D02DF" w14:textId="77777777" w:rsidR="00FE6BEC" w:rsidRPr="00EB4B39" w:rsidRDefault="00FE6BEC" w:rsidP="00FE6BEC">
      <w:pPr>
        <w:ind w:firstLine="720"/>
        <w:contextualSpacing/>
        <w:jc w:val="both"/>
        <w:rPr>
          <w:rFonts w:ascii="Times New Roman" w:eastAsia="Times New Roman" w:hAnsi="Times New Roman" w:cs="Times New Roman"/>
          <w:color w:val="000000" w:themeColor="text1"/>
          <w:kern w:val="0"/>
          <w:sz w:val="24"/>
          <w:szCs w:val="24"/>
          <w14:ligatures w14:val="none"/>
        </w:rPr>
      </w:pPr>
      <w:r w:rsidRPr="00EB4B39">
        <w:rPr>
          <w:rFonts w:ascii="Times New Roman" w:eastAsia="Times New Roman" w:hAnsi="Times New Roman" w:cs="Times New Roman"/>
          <w:color w:val="000000" w:themeColor="text1"/>
          <w:kern w:val="0"/>
          <w:sz w:val="24"/>
          <w:szCs w:val="24"/>
          <w14:ligatures w14:val="none"/>
        </w:rPr>
        <w:t>Corporate risk management, as an aspect of governance, evaluates how well a firm can identify, monitor, and address potential threats impacting its financial, operational, and strategic elements. Risk management remains central in a firm’s governance, regulatory requirements, and corporate culture, designed to withstand future financial contractions, regulatory deficiencies, and market volatility. On the other hand, firms that have poor governance structures have been observed to exhibit poor risk management, thereby experiencing fluctuations in their financial performance and reputation. Risk management success can be measured based on source, economic stability, and organizational performance. Firms with structured risk management frameworks earn higher average profits, ROA, and ROE (Abiad et al., 2025). Nevertheless, companies with weak governance structures, no executive liability, poor monitoring, and unstable stock markets had trouble making money (Al-Matari, 2021). Investor confidence is highly dependent on risk disclosure and transparency. When financial, operational, and compliance risks are reported transparently, investor interest is enhanced, and regulatory confidence is earned. Conversely, weak risk disclosure practices increase capital costs and decrease investor confidence (</w:t>
      </w:r>
      <w:proofErr w:type="spellStart"/>
      <w:r w:rsidRPr="00EB4B39">
        <w:rPr>
          <w:rFonts w:ascii="Times New Roman" w:eastAsia="Times New Roman" w:hAnsi="Times New Roman" w:cs="Times New Roman"/>
          <w:color w:val="000000" w:themeColor="text1"/>
          <w:kern w:val="0"/>
          <w:sz w:val="24"/>
          <w:szCs w:val="24"/>
          <w14:ligatures w14:val="none"/>
        </w:rPr>
        <w:t>Alresheedi</w:t>
      </w:r>
      <w:proofErr w:type="spellEnd"/>
      <w:r w:rsidRPr="00EB4B39">
        <w:rPr>
          <w:rFonts w:ascii="Times New Roman" w:eastAsia="Times New Roman" w:hAnsi="Times New Roman" w:cs="Times New Roman"/>
          <w:color w:val="000000" w:themeColor="text1"/>
          <w:kern w:val="0"/>
          <w:sz w:val="24"/>
          <w:szCs w:val="24"/>
          <w14:ligatures w14:val="none"/>
        </w:rPr>
        <w:t>, 2021).</w:t>
      </w:r>
    </w:p>
    <w:p w14:paraId="6313E706" w14:textId="77777777" w:rsidR="00FE6BEC" w:rsidRPr="00EB4B39" w:rsidRDefault="00FE6BEC" w:rsidP="00FE6BEC">
      <w:pPr>
        <w:contextualSpacing/>
        <w:jc w:val="both"/>
        <w:rPr>
          <w:rFonts w:ascii="Times New Roman" w:eastAsia="Times New Roman" w:hAnsi="Times New Roman" w:cs="Times New Roman"/>
          <w:color w:val="000000" w:themeColor="text1"/>
          <w:kern w:val="0"/>
          <w:sz w:val="24"/>
          <w:szCs w:val="24"/>
          <w14:ligatures w14:val="none"/>
        </w:rPr>
      </w:pPr>
      <w:r w:rsidRPr="00EB4B39">
        <w:rPr>
          <w:rFonts w:ascii="Times New Roman" w:eastAsia="Times New Roman" w:hAnsi="Times New Roman" w:cs="Times New Roman"/>
          <w:color w:val="000000" w:themeColor="text1"/>
          <w:kern w:val="0"/>
          <w:sz w:val="24"/>
          <w:szCs w:val="24"/>
          <w14:ligatures w14:val="none"/>
        </w:rPr>
        <w:tab/>
        <w:t xml:space="preserve">Compliance with regulations enhances the institution's governance and reduces fines. Companies that align with the regulatory policies of CMA show significantly low-risk exposure, while noncompliance leads to penalties and a tarnished reputation (Almutairi et al., 2025; Bazhair, 2021). Finally, operational resilience strengthens business durability in the face of economic fluctuations. Some say that proactive risk management policies help companies become stable and adaptable, while weak governance structures make businesses more vulnerable to economic </w:t>
      </w:r>
      <w:r w:rsidRPr="00EB4B39">
        <w:rPr>
          <w:rFonts w:ascii="Times New Roman" w:eastAsia="Times New Roman" w:hAnsi="Times New Roman" w:cs="Times New Roman"/>
          <w:color w:val="000000" w:themeColor="text1"/>
          <w:kern w:val="0"/>
          <w:sz w:val="24"/>
          <w:szCs w:val="24"/>
          <w14:ligatures w14:val="none"/>
        </w:rPr>
        <w:lastRenderedPageBreak/>
        <w:t>changes and the credit crunch (Kwon et al., 2022). Ensuring corporations have strong risk management programs is key to building long-term financial resilience and shareholder trust.</w:t>
      </w:r>
    </w:p>
    <w:p w14:paraId="0D92ABFF" w14:textId="77777777" w:rsidR="00FE6BEC" w:rsidRPr="00EB4B39" w:rsidRDefault="00FE6BEC" w:rsidP="00FE6BEC">
      <w:pPr>
        <w:pStyle w:val="Heading2"/>
        <w:spacing w:before="0" w:after="0"/>
        <w:contextualSpacing/>
        <w:jc w:val="both"/>
        <w:rPr>
          <w:rFonts w:ascii="Times New Roman" w:eastAsia="Times New Roman" w:hAnsi="Times New Roman" w:cs="Times New Roman"/>
          <w:b/>
          <w:bCs/>
          <w:color w:val="000000" w:themeColor="text1"/>
          <w:sz w:val="24"/>
          <w:szCs w:val="24"/>
        </w:rPr>
      </w:pPr>
      <w:bookmarkStart w:id="10" w:name="_Toc192863216"/>
      <w:r w:rsidRPr="00EB4B39">
        <w:rPr>
          <w:rFonts w:ascii="Times New Roman" w:eastAsia="Times New Roman" w:hAnsi="Times New Roman" w:cs="Times New Roman"/>
          <w:b/>
          <w:bCs/>
          <w:color w:val="000000" w:themeColor="text1"/>
          <w:sz w:val="24"/>
          <w:szCs w:val="24"/>
        </w:rPr>
        <w:t>Governance mechanisms impact risk management.</w:t>
      </w:r>
      <w:bookmarkEnd w:id="10"/>
    </w:p>
    <w:p w14:paraId="4EDD0ECE" w14:textId="77777777" w:rsidR="00FE6BEC" w:rsidRPr="00EB4B39" w:rsidRDefault="00FE6BEC" w:rsidP="00FE6BEC">
      <w:pPr>
        <w:contextualSpacing/>
        <w:jc w:val="both"/>
        <w:rPr>
          <w:rFonts w:ascii="Times New Roman" w:eastAsia="Times New Roman" w:hAnsi="Times New Roman" w:cs="Times New Roman"/>
          <w:color w:val="000000" w:themeColor="text1"/>
          <w:kern w:val="0"/>
          <w:sz w:val="24"/>
          <w:szCs w:val="24"/>
          <w14:ligatures w14:val="none"/>
        </w:rPr>
      </w:pPr>
      <w:r w:rsidRPr="00EB4B39">
        <w:rPr>
          <w:rFonts w:ascii="Times New Roman" w:eastAsia="Times New Roman" w:hAnsi="Times New Roman" w:cs="Times New Roman"/>
          <w:color w:val="000000" w:themeColor="text1"/>
          <w:kern w:val="0"/>
          <w:sz w:val="24"/>
          <w:szCs w:val="24"/>
          <w14:ligatures w14:val="none"/>
        </w:rPr>
        <w:tab/>
        <w:t>Risk management frameworks are one of the areas where corporate governance mechanisms are essential in determining a company’s risk management capability. These beneficial practices in governance structures support increased public accountability, minimize fiscal abuse, and address operational risks. Managing risk is the composition and independence of the company’s board of directors. Companies may obtain independent directors’ diverse experience, impartial decision-making processes, and better compliance with legal standards on governance policies to support financial stability and risk management plans. Some companies may do risky things that make the company's finances more unstable and draw the attention of regulators (</w:t>
      </w:r>
      <w:proofErr w:type="spellStart"/>
      <w:r w:rsidRPr="00EB4B39">
        <w:rPr>
          <w:rFonts w:ascii="Times New Roman" w:eastAsia="Times New Roman" w:hAnsi="Times New Roman" w:cs="Times New Roman"/>
          <w:color w:val="000000" w:themeColor="text1"/>
          <w:kern w:val="0"/>
          <w:sz w:val="24"/>
          <w:szCs w:val="24"/>
          <w14:ligatures w14:val="none"/>
        </w:rPr>
        <w:t>Aldriweesh</w:t>
      </w:r>
      <w:proofErr w:type="spellEnd"/>
      <w:r w:rsidRPr="00EB4B39">
        <w:rPr>
          <w:rFonts w:ascii="Times New Roman" w:eastAsia="Times New Roman" w:hAnsi="Times New Roman" w:cs="Times New Roman"/>
          <w:color w:val="000000" w:themeColor="text1"/>
          <w:kern w:val="0"/>
          <w:sz w:val="24"/>
          <w:szCs w:val="24"/>
          <w14:ligatures w14:val="none"/>
        </w:rPr>
        <w:t xml:space="preserve"> et al., 2022) if the board gives short-term financial incentives to the executives. However, gender-diverse companies are even more successful than male-dominated boards, providing better risk oversight, adaptive capacity, and more impressive governance reporting.</w:t>
      </w:r>
    </w:p>
    <w:p w14:paraId="118DE562" w14:textId="77777777" w:rsidR="00FE6BEC" w:rsidRPr="00EB4B39" w:rsidRDefault="00FE6BEC" w:rsidP="00FE6BEC">
      <w:pPr>
        <w:contextualSpacing/>
        <w:jc w:val="both"/>
        <w:rPr>
          <w:rFonts w:ascii="Times New Roman" w:eastAsia="Times New Roman" w:hAnsi="Times New Roman" w:cs="Times New Roman"/>
          <w:color w:val="000000" w:themeColor="text1"/>
          <w:kern w:val="0"/>
          <w:sz w:val="24"/>
          <w:szCs w:val="24"/>
          <w14:ligatures w14:val="none"/>
        </w:rPr>
      </w:pPr>
      <w:r w:rsidRPr="00EB4B39">
        <w:rPr>
          <w:rFonts w:ascii="Times New Roman" w:eastAsia="Times New Roman" w:hAnsi="Times New Roman" w:cs="Times New Roman"/>
          <w:color w:val="000000" w:themeColor="text1"/>
          <w:kern w:val="0"/>
          <w:sz w:val="24"/>
          <w:szCs w:val="24"/>
          <w14:ligatures w14:val="none"/>
        </w:rPr>
        <w:tab/>
        <w:t xml:space="preserve">Firms with more effective audit committees report less earnings manipulation and higher transparency in their performance, thus increasing investor confidence. On the other hand, weak audit committees are linked to fraud, bad reporting, and regulatory breaches, leading to legal problems, diminished brand value, and weak financial health. It is especially significant for financial institutions, as increased audit oversight is associated with reduced risk-taking and improved credit risk management (Magnus et al., 2024). Corporate governance policies relating to executive compensation schemes significantly affect risk-taking activities. Performance-based compensation can benefit long-term sustainability, preventing executives from taking insane risks </w:t>
      </w:r>
      <w:r w:rsidRPr="00EB4B39">
        <w:rPr>
          <w:rFonts w:ascii="Times New Roman" w:eastAsia="Times New Roman" w:hAnsi="Times New Roman" w:cs="Times New Roman"/>
          <w:color w:val="000000" w:themeColor="text1"/>
          <w:kern w:val="0"/>
          <w:sz w:val="24"/>
          <w:szCs w:val="24"/>
          <w14:ligatures w14:val="none"/>
        </w:rPr>
        <w:lastRenderedPageBreak/>
        <w:t xml:space="preserve">(Kastiel &amp; Nili, 2021). However, executives who get paid a lot but are </w:t>
      </w:r>
      <w:proofErr w:type="gramStart"/>
      <w:r w:rsidRPr="00EB4B39">
        <w:rPr>
          <w:rFonts w:ascii="Times New Roman" w:eastAsia="Times New Roman" w:hAnsi="Times New Roman" w:cs="Times New Roman"/>
          <w:color w:val="000000" w:themeColor="text1"/>
          <w:kern w:val="0"/>
          <w:sz w:val="24"/>
          <w:szCs w:val="24"/>
          <w14:ligatures w14:val="none"/>
        </w:rPr>
        <w:t>not held</w:t>
      </w:r>
      <w:proofErr w:type="gramEnd"/>
      <w:r w:rsidRPr="00EB4B39">
        <w:rPr>
          <w:rFonts w:ascii="Times New Roman" w:eastAsia="Times New Roman" w:hAnsi="Times New Roman" w:cs="Times New Roman"/>
          <w:color w:val="000000" w:themeColor="text1"/>
          <w:kern w:val="0"/>
          <w:sz w:val="24"/>
          <w:szCs w:val="24"/>
          <w14:ligatures w14:val="none"/>
        </w:rPr>
        <w:t xml:space="preserve"> accountable for it can make risky investments, change reports, or have problems with governance, all of which raise the company's financial risks (Salehi et al., 2020). Moreover, ownership structures affect aspects of governance, such as transparency. While dispersed ownership firms in Saudi Arabia show greater risk disclosure and better regulatory compliance than other firms, family-owned companies demonstrate weaker governance controls and low openness (Habtoor et al., 2019).</w:t>
      </w:r>
    </w:p>
    <w:p w14:paraId="0BA58D56" w14:textId="77777777" w:rsidR="00FE6BEC" w:rsidRPr="00EB4B39" w:rsidRDefault="00FE6BEC" w:rsidP="00FE6BEC">
      <w:pPr>
        <w:pStyle w:val="Heading2"/>
        <w:spacing w:before="0" w:after="0"/>
        <w:contextualSpacing/>
        <w:jc w:val="both"/>
        <w:rPr>
          <w:rFonts w:ascii="Times New Roman" w:eastAsia="Times New Roman" w:hAnsi="Times New Roman" w:cs="Times New Roman"/>
          <w:b/>
          <w:bCs/>
          <w:color w:val="000000" w:themeColor="text1"/>
          <w:sz w:val="24"/>
          <w:szCs w:val="24"/>
        </w:rPr>
      </w:pPr>
      <w:bookmarkStart w:id="11" w:name="_Toc192863217"/>
      <w:r w:rsidRPr="00EB4B39">
        <w:rPr>
          <w:rFonts w:ascii="Times New Roman" w:eastAsia="Times New Roman" w:hAnsi="Times New Roman" w:cs="Times New Roman"/>
          <w:b/>
          <w:bCs/>
          <w:color w:val="000000" w:themeColor="text1"/>
          <w:sz w:val="24"/>
          <w:szCs w:val="24"/>
        </w:rPr>
        <w:t>Summary of Past Studies</w:t>
      </w:r>
      <w:bookmarkEnd w:id="11"/>
    </w:p>
    <w:p w14:paraId="692BE093" w14:textId="77777777" w:rsidR="00FE6BEC" w:rsidRPr="00EB4B39" w:rsidRDefault="00FE6BEC" w:rsidP="00FE6BEC">
      <w:pPr>
        <w:contextualSpacing/>
        <w:jc w:val="both"/>
        <w:rPr>
          <w:rFonts w:ascii="Times New Roman" w:eastAsia="Times New Roman" w:hAnsi="Times New Roman" w:cs="Times New Roman"/>
          <w:color w:val="000000" w:themeColor="text1"/>
          <w:kern w:val="0"/>
          <w:sz w:val="24"/>
          <w:szCs w:val="24"/>
          <w14:ligatures w14:val="none"/>
        </w:rPr>
      </w:pPr>
      <w:r w:rsidRPr="00EB4B39">
        <w:rPr>
          <w:rFonts w:ascii="Times New Roman" w:eastAsia="Times New Roman" w:hAnsi="Times New Roman" w:cs="Times New Roman"/>
          <w:color w:val="000000" w:themeColor="text1"/>
          <w:kern w:val="0"/>
          <w:sz w:val="24"/>
          <w:szCs w:val="24"/>
          <w14:ligatures w14:val="none"/>
        </w:rPr>
        <w:tab/>
        <w:t xml:space="preserve">Corporate governance is critical to how an organization approaches risk management. Proper corporate governance leads to optimal accountability, transparency, and lawfulness, which helps decrease financial and operational risks. Abu (2024) establishes that firms with robust governance mechanisms are thus better placed to manage risks, improving corporate resiliency. Business risk management is typically supported by governance structures that include independent boards, audit committees, and executive oversight. In addition, corporate governance mechanisms that promote transparency and stakeholder participation foster a risk management culture that minimizes financial negligence and fraud. Bazhair (2021) states that firms with transparent governance policies receive foreign investment due to compliance with international guidelines. Public stockholders will only engage their money with businesses with efficient corporate governance mechanisms because of their credibility and assured compliance with risk control features. Similarly, Al-Matari (2025) identified that management mechanisms are crucial in managing funds and operational sustainability. Organizations incorporating risk management in their governance structure are usually financially sound and less exposed to volatile markets. To support this assertion, Magnus et al. (2024) also found that firms in the banking sector benefit from better corporate governance regulation and expose themselves to lower financial risk. These </w:t>
      </w:r>
      <w:r w:rsidRPr="00EB4B39">
        <w:rPr>
          <w:rFonts w:ascii="Times New Roman" w:eastAsia="Times New Roman" w:hAnsi="Times New Roman" w:cs="Times New Roman"/>
          <w:color w:val="000000" w:themeColor="text1"/>
          <w:kern w:val="0"/>
          <w:sz w:val="24"/>
          <w:szCs w:val="24"/>
          <w14:ligatures w14:val="none"/>
        </w:rPr>
        <w:lastRenderedPageBreak/>
        <w:t>committees are essential for overseeing financial functions, detecting and preventing fraud, and improving long-term safeguards.</w:t>
      </w:r>
    </w:p>
    <w:p w14:paraId="53535A6B" w14:textId="77777777" w:rsidR="00FE6BEC" w:rsidRPr="00EB4B39" w:rsidRDefault="00FE6BEC" w:rsidP="00FE6BEC">
      <w:pPr>
        <w:contextualSpacing/>
        <w:jc w:val="both"/>
        <w:rPr>
          <w:rFonts w:ascii="Times New Roman" w:eastAsia="Times New Roman" w:hAnsi="Times New Roman" w:cs="Times New Roman"/>
          <w:color w:val="000000" w:themeColor="text1"/>
          <w:kern w:val="0"/>
          <w:sz w:val="24"/>
          <w:szCs w:val="24"/>
          <w14:ligatures w14:val="none"/>
        </w:rPr>
      </w:pPr>
      <w:r w:rsidRPr="00EB4B39">
        <w:rPr>
          <w:rFonts w:ascii="Times New Roman" w:eastAsia="Times New Roman" w:hAnsi="Times New Roman" w:cs="Times New Roman"/>
          <w:color w:val="000000" w:themeColor="text1"/>
          <w:kern w:val="0"/>
          <w:sz w:val="24"/>
          <w:szCs w:val="24"/>
          <w14:ligatures w14:val="none"/>
        </w:rPr>
        <w:tab/>
        <w:t xml:space="preserve">However, readers need to understand that many firms encounter challenges in implementing comprehensive CMA governance in Saudi Arabia despite the commendable progress in the country’s corporate governance reforms. Compliance is another key consideration of risk management as it establishes and implements the legal and moral regulatory framework. According to Almutairi et al. (2025), this study also found that many Saudi firms fail to adhere to the governance rules and experience issues regarding their reporting methods, risk disclosures, and managerial responsibility. Implementing risk disclosure standards remains one of the most significant challenges of governance compliance. As </w:t>
      </w:r>
      <w:proofErr w:type="spellStart"/>
      <w:r w:rsidRPr="00EB4B39">
        <w:rPr>
          <w:rFonts w:ascii="Times New Roman" w:eastAsia="Times New Roman" w:hAnsi="Times New Roman" w:cs="Times New Roman"/>
          <w:color w:val="000000" w:themeColor="text1"/>
          <w:kern w:val="0"/>
          <w:sz w:val="24"/>
          <w:szCs w:val="24"/>
          <w14:ligatures w14:val="none"/>
        </w:rPr>
        <w:t>Alsulami</w:t>
      </w:r>
      <w:proofErr w:type="spellEnd"/>
      <w:r w:rsidRPr="00EB4B39">
        <w:rPr>
          <w:rFonts w:ascii="Times New Roman" w:eastAsia="Times New Roman" w:hAnsi="Times New Roman" w:cs="Times New Roman"/>
          <w:color w:val="000000" w:themeColor="text1"/>
          <w:kern w:val="0"/>
          <w:sz w:val="24"/>
          <w:szCs w:val="24"/>
          <w14:ligatures w14:val="none"/>
        </w:rPr>
        <w:t xml:space="preserve"> and </w:t>
      </w:r>
      <w:proofErr w:type="spellStart"/>
      <w:r w:rsidRPr="00EB4B39">
        <w:rPr>
          <w:rFonts w:ascii="Times New Roman" w:eastAsia="Times New Roman" w:hAnsi="Times New Roman" w:cs="Times New Roman"/>
          <w:color w:val="000000" w:themeColor="text1"/>
          <w:kern w:val="0"/>
          <w:sz w:val="24"/>
          <w:szCs w:val="24"/>
          <w14:ligatures w14:val="none"/>
        </w:rPr>
        <w:t>Chafai</w:t>
      </w:r>
      <w:proofErr w:type="spellEnd"/>
      <w:r w:rsidRPr="00EB4B39">
        <w:rPr>
          <w:rFonts w:ascii="Times New Roman" w:eastAsia="Times New Roman" w:hAnsi="Times New Roman" w:cs="Times New Roman"/>
          <w:color w:val="000000" w:themeColor="text1"/>
          <w:kern w:val="0"/>
          <w:sz w:val="24"/>
          <w:szCs w:val="24"/>
          <w14:ligatures w14:val="none"/>
        </w:rPr>
        <w:t xml:space="preserve"> (2024) have noted, risk reporting is still desired among most firms in terms of comprehensiveness and readability for investors and regulators. While the Kingdom of Saudi Arabia has formulated corporate governance codes, implementation scores are low, and regional disparities exist. Firms failing to communicate risk effectively undermines their financial stability (Habtoor et al., 2019). There are also some differences when comparing how these companies adhere to corporate governance standards, especially where the firms are family businesses, as opposed to other firms listed on the stock exchange. </w:t>
      </w:r>
    </w:p>
    <w:p w14:paraId="3FC08DBE" w14:textId="77777777" w:rsidR="00FE6BEC" w:rsidRPr="00EB4B39" w:rsidRDefault="00FE6BEC" w:rsidP="00FE6BEC">
      <w:pPr>
        <w:contextualSpacing/>
        <w:jc w:val="both"/>
        <w:rPr>
          <w:rFonts w:ascii="Times New Roman" w:eastAsia="Times New Roman" w:hAnsi="Times New Roman" w:cs="Times New Roman"/>
          <w:color w:val="000000" w:themeColor="text1"/>
          <w:kern w:val="0"/>
          <w:sz w:val="24"/>
          <w:szCs w:val="24"/>
          <w14:ligatures w14:val="none"/>
        </w:rPr>
      </w:pPr>
      <w:r w:rsidRPr="00EB4B39">
        <w:rPr>
          <w:rFonts w:ascii="Times New Roman" w:eastAsia="Times New Roman" w:hAnsi="Times New Roman" w:cs="Times New Roman"/>
          <w:color w:val="000000" w:themeColor="text1"/>
          <w:kern w:val="0"/>
          <w:sz w:val="24"/>
          <w:szCs w:val="24"/>
          <w14:ligatures w14:val="none"/>
        </w:rPr>
        <w:tab/>
      </w:r>
      <w:proofErr w:type="spellStart"/>
      <w:r w:rsidRPr="00EB4B39">
        <w:rPr>
          <w:rFonts w:ascii="Times New Roman" w:eastAsia="Times New Roman" w:hAnsi="Times New Roman" w:cs="Times New Roman"/>
          <w:color w:val="000000" w:themeColor="text1"/>
          <w:kern w:val="0"/>
          <w:sz w:val="24"/>
          <w:szCs w:val="24"/>
          <w14:ligatures w14:val="none"/>
        </w:rPr>
        <w:t>Murayr</w:t>
      </w:r>
      <w:proofErr w:type="spellEnd"/>
      <w:r w:rsidRPr="00EB4B39">
        <w:rPr>
          <w:rFonts w:ascii="Times New Roman" w:eastAsia="Times New Roman" w:hAnsi="Times New Roman" w:cs="Times New Roman"/>
          <w:color w:val="000000" w:themeColor="text1"/>
          <w:kern w:val="0"/>
          <w:sz w:val="24"/>
          <w:szCs w:val="24"/>
          <w14:ligatures w14:val="none"/>
        </w:rPr>
        <w:t xml:space="preserve"> and </w:t>
      </w:r>
      <w:proofErr w:type="spellStart"/>
      <w:r w:rsidRPr="00EB4B39">
        <w:rPr>
          <w:rFonts w:ascii="Times New Roman" w:eastAsia="Times New Roman" w:hAnsi="Times New Roman" w:cs="Times New Roman"/>
          <w:color w:val="000000" w:themeColor="text1"/>
          <w:kern w:val="0"/>
          <w:sz w:val="24"/>
          <w:szCs w:val="24"/>
          <w14:ligatures w14:val="none"/>
        </w:rPr>
        <w:t>Murayr</w:t>
      </w:r>
      <w:proofErr w:type="spellEnd"/>
      <w:r w:rsidRPr="00EB4B39">
        <w:rPr>
          <w:rFonts w:ascii="Times New Roman" w:eastAsia="Times New Roman" w:hAnsi="Times New Roman" w:cs="Times New Roman"/>
          <w:color w:val="000000" w:themeColor="text1"/>
          <w:kern w:val="0"/>
          <w:sz w:val="24"/>
          <w:szCs w:val="24"/>
          <w14:ligatures w14:val="none"/>
        </w:rPr>
        <w:t xml:space="preserve"> (2023) undertook a comparative analysis and found that Saudi Arabian family firms are relatively less regulatory compliant than publicly floated firms. These firms have poor corporate governance because of their closely held status, inadequate internal controls, and insufficient risk management systems. On the other hand, post-use public limited companies are bound to much tighter governance rules, and they have more investor pressure, which compels them to follow the regulation (</w:t>
      </w:r>
      <w:proofErr w:type="spellStart"/>
      <w:r w:rsidRPr="00EB4B39">
        <w:rPr>
          <w:rFonts w:ascii="Times New Roman" w:eastAsia="Times New Roman" w:hAnsi="Times New Roman" w:cs="Times New Roman"/>
          <w:color w:val="000000" w:themeColor="text1"/>
          <w:kern w:val="0"/>
          <w:sz w:val="24"/>
          <w:szCs w:val="24"/>
          <w14:ligatures w14:val="none"/>
        </w:rPr>
        <w:t>Oudat</w:t>
      </w:r>
      <w:proofErr w:type="spellEnd"/>
      <w:r w:rsidRPr="00EB4B39">
        <w:rPr>
          <w:rFonts w:ascii="Times New Roman" w:eastAsia="Times New Roman" w:hAnsi="Times New Roman" w:cs="Times New Roman"/>
          <w:color w:val="000000" w:themeColor="text1"/>
          <w:kern w:val="0"/>
          <w:sz w:val="24"/>
          <w:szCs w:val="24"/>
          <w14:ligatures w14:val="none"/>
        </w:rPr>
        <w:t xml:space="preserve"> et al., 2024). There is a more profound question: adapting to </w:t>
      </w:r>
      <w:r w:rsidRPr="00EB4B39">
        <w:rPr>
          <w:rFonts w:ascii="Times New Roman" w:eastAsia="Times New Roman" w:hAnsi="Times New Roman" w:cs="Times New Roman"/>
          <w:color w:val="000000" w:themeColor="text1"/>
          <w:kern w:val="0"/>
          <w:sz w:val="24"/>
          <w:szCs w:val="24"/>
          <w14:ligatures w14:val="none"/>
        </w:rPr>
        <w:lastRenderedPageBreak/>
        <w:t xml:space="preserve">the changing governance regulation. According to </w:t>
      </w:r>
      <w:proofErr w:type="spellStart"/>
      <w:r w:rsidRPr="00EB4B39">
        <w:rPr>
          <w:rFonts w:ascii="Times New Roman" w:eastAsia="Times New Roman" w:hAnsi="Times New Roman" w:cs="Times New Roman"/>
          <w:color w:val="000000" w:themeColor="text1"/>
          <w:kern w:val="0"/>
          <w:sz w:val="24"/>
          <w:szCs w:val="24"/>
          <w14:ligatures w14:val="none"/>
        </w:rPr>
        <w:t>Alresheedi</w:t>
      </w:r>
      <w:proofErr w:type="spellEnd"/>
      <w:r w:rsidRPr="00EB4B39">
        <w:rPr>
          <w:rFonts w:ascii="Times New Roman" w:eastAsia="Times New Roman" w:hAnsi="Times New Roman" w:cs="Times New Roman"/>
          <w:color w:val="000000" w:themeColor="text1"/>
          <w:kern w:val="0"/>
          <w:sz w:val="24"/>
          <w:szCs w:val="24"/>
          <w14:ligatures w14:val="none"/>
        </w:rPr>
        <w:t xml:space="preserve"> (2021), most industrial firms struggle to implement a sound governance framework, including risk reporting, financial disclosures, and environmental compliance. This deepens the compliance gap because executives and board members are unprepared; many lack governance training (Kastiel &amp; Nili, 2021). Saudi regulators must intensify their efforts to enforce rules and ensure compliance with governance policies. Wang (2022) points out that technology, such as risk assessment models using artificial intelligence, can help improve the supervision of compliance and increase transparency. Organizations that encourage the use of technology in their governance compliance framework will experience higher levels of compliance, lower financial risks, and higher investor satisfaction.</w:t>
      </w:r>
    </w:p>
    <w:p w14:paraId="590A87D1" w14:textId="77777777" w:rsidR="00FE6BEC" w:rsidRPr="00EB4B39" w:rsidRDefault="00FE6BEC" w:rsidP="00FE6BEC">
      <w:pPr>
        <w:contextualSpacing/>
        <w:jc w:val="both"/>
        <w:rPr>
          <w:rFonts w:ascii="Times New Roman" w:eastAsia="Times New Roman" w:hAnsi="Times New Roman" w:cs="Times New Roman"/>
          <w:color w:val="000000" w:themeColor="text1"/>
          <w:kern w:val="0"/>
          <w:sz w:val="24"/>
          <w:szCs w:val="24"/>
          <w14:ligatures w14:val="none"/>
        </w:rPr>
      </w:pPr>
      <w:r w:rsidRPr="00EB4B39">
        <w:rPr>
          <w:rFonts w:ascii="Times New Roman" w:eastAsia="Times New Roman" w:hAnsi="Times New Roman" w:cs="Times New Roman"/>
          <w:color w:val="000000" w:themeColor="text1"/>
          <w:kern w:val="0"/>
          <w:sz w:val="24"/>
          <w:szCs w:val="24"/>
          <w14:ligatures w14:val="none"/>
        </w:rPr>
        <w:tab/>
        <w:t>Corporate social responsibility is a topic of interest, too. This approach aims to maintain and enhance high standards of ethical, social, and environmental responsibility by adjusting governance systems to focus on sustainable and value-creation principles. According to Reyad et al. (2022), companies that use ethical governance and sustainability measures have less flapping because they handle risks wisely and socially responsibly, which is what stakeholders expect. Integrating sustainability practices into governance structures improves organizational robustness by enhancing compliance with ESG measures. Wang (2022) postulates that it is easy for companies that embrace ESG to manage regulatory risks, reputational threats, and financial uncertainties. For example, companies that use environmentally friendly production methods, hire fair labor, or have clear supply chain policies are less likely to be sued or lose their good name (Jaradat et al., 2021).</w:t>
      </w:r>
    </w:p>
    <w:p w14:paraId="040935F2" w14:textId="77777777" w:rsidR="00FE6BEC" w:rsidRPr="00EB4B39" w:rsidRDefault="00FE6BEC" w:rsidP="00FE6BEC">
      <w:pPr>
        <w:contextualSpacing/>
        <w:jc w:val="both"/>
        <w:rPr>
          <w:rFonts w:ascii="Times New Roman" w:eastAsia="Times New Roman" w:hAnsi="Times New Roman" w:cs="Times New Roman"/>
          <w:color w:val="000000" w:themeColor="text1"/>
          <w:kern w:val="0"/>
          <w:sz w:val="24"/>
          <w:szCs w:val="24"/>
          <w14:ligatures w14:val="none"/>
        </w:rPr>
      </w:pPr>
      <w:r w:rsidRPr="00EB4B39">
        <w:rPr>
          <w:rFonts w:ascii="Times New Roman" w:eastAsia="Times New Roman" w:hAnsi="Times New Roman" w:cs="Times New Roman"/>
          <w:color w:val="000000" w:themeColor="text1"/>
          <w:kern w:val="0"/>
          <w:sz w:val="24"/>
          <w:szCs w:val="24"/>
          <w14:ligatures w14:val="none"/>
        </w:rPr>
        <w:tab/>
        <w:t xml:space="preserve">Some companies view CSR as an endeavor rather than a managerial function (Lami, 2024). As a result, CSR activities lack explicit alignment with firm risk management and do not provide optimal support for broader organizational financial stability. Another concern in CSR implementation is achieving the much-desired balance between profitability and sustainability. </w:t>
      </w:r>
      <w:r w:rsidRPr="00EB4B39">
        <w:rPr>
          <w:rFonts w:ascii="Times New Roman" w:eastAsia="Times New Roman" w:hAnsi="Times New Roman" w:cs="Times New Roman"/>
          <w:color w:val="000000" w:themeColor="text1"/>
          <w:kern w:val="0"/>
          <w:sz w:val="24"/>
          <w:szCs w:val="24"/>
          <w14:ligatures w14:val="none"/>
        </w:rPr>
        <w:lastRenderedPageBreak/>
        <w:t>Many organizations treat compliance with ESG standards as an expense, especially in industries with significant operating costs (</w:t>
      </w:r>
      <w:proofErr w:type="spellStart"/>
      <w:r w:rsidRPr="00EB4B39">
        <w:rPr>
          <w:rFonts w:ascii="Times New Roman" w:eastAsia="Times New Roman" w:hAnsi="Times New Roman" w:cs="Times New Roman"/>
          <w:color w:val="000000" w:themeColor="text1"/>
          <w:kern w:val="0"/>
          <w:sz w:val="24"/>
          <w:szCs w:val="24"/>
          <w14:ligatures w14:val="none"/>
        </w:rPr>
        <w:t>Ghofar</w:t>
      </w:r>
      <w:proofErr w:type="spellEnd"/>
      <w:r w:rsidRPr="00EB4B39">
        <w:rPr>
          <w:rFonts w:ascii="Times New Roman" w:eastAsia="Times New Roman" w:hAnsi="Times New Roman" w:cs="Times New Roman"/>
          <w:color w:val="000000" w:themeColor="text1"/>
          <w:kern w:val="0"/>
          <w:sz w:val="24"/>
          <w:szCs w:val="24"/>
          <w14:ligatures w14:val="none"/>
        </w:rPr>
        <w:t xml:space="preserve"> et al., 2022). A recent study by Eltayeb (2025) demonstrates that CSR integration in firms’ governance yields long-run value, such as increased investor confidence, better regulation management, and better market image.</w:t>
      </w:r>
    </w:p>
    <w:p w14:paraId="7067304B" w14:textId="77777777" w:rsidR="00FE6BEC" w:rsidRPr="00EB4B39" w:rsidRDefault="00FE6BEC" w:rsidP="00FE6BEC">
      <w:pPr>
        <w:contextualSpacing/>
        <w:jc w:val="both"/>
        <w:rPr>
          <w:rFonts w:ascii="Times New Roman" w:eastAsia="Times New Roman" w:hAnsi="Times New Roman" w:cs="Times New Roman"/>
          <w:color w:val="000000" w:themeColor="text1"/>
          <w:kern w:val="0"/>
          <w:sz w:val="24"/>
          <w:szCs w:val="24"/>
          <w14:ligatures w14:val="none"/>
        </w:rPr>
      </w:pPr>
      <w:r w:rsidRPr="00EB4B39">
        <w:rPr>
          <w:rFonts w:ascii="Times New Roman" w:eastAsia="Times New Roman" w:hAnsi="Times New Roman" w:cs="Times New Roman"/>
          <w:color w:val="000000" w:themeColor="text1"/>
          <w:kern w:val="0"/>
          <w:sz w:val="24"/>
          <w:szCs w:val="24"/>
          <w14:ligatures w14:val="none"/>
        </w:rPr>
        <w:tab/>
        <w:t xml:space="preserve">Additionally, companies that do not adopt sound ethical governance and sustainability policies risk incurring fines and damaging their reputation. </w:t>
      </w:r>
      <w:proofErr w:type="spellStart"/>
      <w:r w:rsidRPr="00EB4B39">
        <w:rPr>
          <w:rFonts w:ascii="Times New Roman" w:eastAsia="Times New Roman" w:hAnsi="Times New Roman" w:cs="Times New Roman"/>
          <w:color w:val="000000" w:themeColor="text1"/>
          <w:kern w:val="0"/>
          <w:sz w:val="24"/>
          <w:szCs w:val="24"/>
          <w14:ligatures w14:val="none"/>
        </w:rPr>
        <w:t>Altheebeh</w:t>
      </w:r>
      <w:proofErr w:type="spellEnd"/>
      <w:r w:rsidRPr="00EB4B39">
        <w:rPr>
          <w:rFonts w:ascii="Times New Roman" w:eastAsia="Times New Roman" w:hAnsi="Times New Roman" w:cs="Times New Roman"/>
          <w:color w:val="000000" w:themeColor="text1"/>
          <w:kern w:val="0"/>
          <w:sz w:val="24"/>
          <w:szCs w:val="24"/>
          <w14:ligatures w14:val="none"/>
        </w:rPr>
        <w:t xml:space="preserve"> et al. (2024) note that the escalating corporate governance scandals and unethical business conduct have compelled global investors and regulators to pay attention. Companies considering CSR as an option to mitigate risks will likely lose shareholders’ confidence and financial viability. Saudi firms should reinstate CSR-driven governance by implanting sustainability reporting, ethical leadership, and corporate transparency into their frameworks. To meet global standards for corporate governance (Kumo, 2025), statutory regulatory bodies should tell these frameworks how to include ESG disclosures. Corporate governance is an essential aspect of enterprise risk management because it helps firms operate according to clear and acceptable standards of business conduct. Scholarly works suggest that effective governance structures strengthen risk management, investor interest, and compliance standards (Abu, 2024; Bazhair, 2021). However, when companies become more like Saudi Arabia, it creates problems following rules, telling people about risks, and running the business. CSR is also a big part of governance-driven risk resilience since businesses that take sustainability steps face less financial risk and more trust from regulators (Reyad et al., 2022). Nevertheless, there is a dearth of studies exploring the involvement of CSR in the Saudi Arabian industrial sector.</w:t>
      </w:r>
    </w:p>
    <w:p w14:paraId="41B4B3F8" w14:textId="77777777" w:rsidR="00FE6BEC" w:rsidRPr="00EB4B39" w:rsidRDefault="00FE6BEC" w:rsidP="00FE6BEC">
      <w:pPr>
        <w:pStyle w:val="Heading2"/>
        <w:spacing w:before="0" w:after="0"/>
        <w:contextualSpacing/>
        <w:jc w:val="both"/>
        <w:rPr>
          <w:rFonts w:ascii="Times New Roman" w:eastAsia="Times New Roman" w:hAnsi="Times New Roman" w:cs="Times New Roman"/>
          <w:b/>
          <w:bCs/>
          <w:color w:val="000000" w:themeColor="text1"/>
          <w:sz w:val="24"/>
          <w:szCs w:val="24"/>
        </w:rPr>
      </w:pPr>
      <w:bookmarkStart w:id="12" w:name="_Toc192863218"/>
      <w:r w:rsidRPr="00EB4B39">
        <w:rPr>
          <w:rFonts w:ascii="Times New Roman" w:eastAsia="Times New Roman" w:hAnsi="Times New Roman" w:cs="Times New Roman"/>
          <w:b/>
          <w:bCs/>
          <w:color w:val="000000" w:themeColor="text1"/>
          <w:sz w:val="24"/>
          <w:szCs w:val="24"/>
        </w:rPr>
        <w:lastRenderedPageBreak/>
        <w:t>Theoretical Framework of the Study</w:t>
      </w:r>
      <w:bookmarkEnd w:id="12"/>
    </w:p>
    <w:p w14:paraId="4C68FB59" w14:textId="77777777" w:rsidR="00FE6BEC" w:rsidRPr="00EB4B39" w:rsidRDefault="00FE6BEC" w:rsidP="00FE6BEC">
      <w:pPr>
        <w:pStyle w:val="Heading3"/>
        <w:spacing w:before="0" w:after="0"/>
        <w:contextualSpacing/>
        <w:jc w:val="both"/>
        <w:rPr>
          <w:rFonts w:ascii="Times New Roman" w:hAnsi="Times New Roman" w:cs="Times New Roman"/>
          <w:b/>
          <w:bCs/>
          <w:color w:val="000000" w:themeColor="text1"/>
          <w:sz w:val="24"/>
          <w:szCs w:val="24"/>
        </w:rPr>
      </w:pPr>
      <w:bookmarkStart w:id="13" w:name="_Toc192863219"/>
      <w:r w:rsidRPr="00EB4B39">
        <w:rPr>
          <w:rFonts w:ascii="Times New Roman" w:hAnsi="Times New Roman" w:cs="Times New Roman"/>
          <w:b/>
          <w:bCs/>
          <w:color w:val="000000" w:themeColor="text1"/>
          <w:sz w:val="24"/>
          <w:szCs w:val="24"/>
        </w:rPr>
        <w:t>Agency theory</w:t>
      </w:r>
      <w:bookmarkEnd w:id="13"/>
    </w:p>
    <w:p w14:paraId="727F5F65" w14:textId="77777777" w:rsidR="00FE6BEC" w:rsidRPr="00EB4B39" w:rsidRDefault="00FE6BEC" w:rsidP="00FE6BEC">
      <w:pPr>
        <w:contextualSpacing/>
        <w:jc w:val="both"/>
        <w:rPr>
          <w:rFonts w:ascii="Times New Roman" w:eastAsia="Times New Roman" w:hAnsi="Times New Roman" w:cs="Times New Roman"/>
          <w:color w:val="000000" w:themeColor="text1"/>
          <w:kern w:val="0"/>
          <w:sz w:val="24"/>
          <w:szCs w:val="24"/>
          <w14:ligatures w14:val="none"/>
        </w:rPr>
      </w:pPr>
      <w:r w:rsidRPr="00EB4B39">
        <w:rPr>
          <w:rFonts w:ascii="Times New Roman" w:eastAsia="Times New Roman" w:hAnsi="Times New Roman" w:cs="Times New Roman"/>
          <w:color w:val="000000" w:themeColor="text1"/>
          <w:kern w:val="0"/>
          <w:sz w:val="24"/>
          <w:szCs w:val="24"/>
          <w14:ligatures w14:val="none"/>
        </w:rPr>
        <w:tab/>
        <w:t xml:space="preserve">Agency theory is the relationship between managers (agents) and shareholders (principals), whereby managers may act in their self-interest rather than the company's best interest. Poor governance systems result in inefficiency, excessive risk, and unsustainability in the management of resources. Institutions like having independent boards, a structured audit committee, and transparent risk disclosure are vital to </w:t>
      </w:r>
      <w:proofErr w:type="gramStart"/>
      <w:r w:rsidRPr="00EB4B39">
        <w:rPr>
          <w:rFonts w:ascii="Times New Roman" w:eastAsia="Times New Roman" w:hAnsi="Times New Roman" w:cs="Times New Roman"/>
          <w:color w:val="000000" w:themeColor="text1"/>
          <w:kern w:val="0"/>
          <w:sz w:val="24"/>
          <w:szCs w:val="24"/>
          <w14:ligatures w14:val="none"/>
        </w:rPr>
        <w:t>minimize</w:t>
      </w:r>
      <w:proofErr w:type="gramEnd"/>
      <w:r w:rsidRPr="00EB4B39">
        <w:rPr>
          <w:rFonts w:ascii="Times New Roman" w:eastAsia="Times New Roman" w:hAnsi="Times New Roman" w:cs="Times New Roman"/>
          <w:color w:val="000000" w:themeColor="text1"/>
          <w:kern w:val="0"/>
          <w:sz w:val="24"/>
          <w:szCs w:val="24"/>
          <w14:ligatures w14:val="none"/>
        </w:rPr>
        <w:t xml:space="preserve"> these risks. Well-governed firms show improved financial restraint, lower agency costs, and better regulatory compliance (Idem; </w:t>
      </w:r>
      <w:proofErr w:type="spellStart"/>
      <w:r w:rsidRPr="00EB4B39">
        <w:rPr>
          <w:rFonts w:ascii="Times New Roman" w:eastAsia="Times New Roman" w:hAnsi="Times New Roman" w:cs="Times New Roman"/>
          <w:color w:val="000000" w:themeColor="text1"/>
          <w:kern w:val="0"/>
          <w:sz w:val="24"/>
          <w:szCs w:val="24"/>
          <w14:ligatures w14:val="none"/>
        </w:rPr>
        <w:t>Farhangdoust</w:t>
      </w:r>
      <w:proofErr w:type="spellEnd"/>
      <w:r w:rsidRPr="00EB4B39">
        <w:rPr>
          <w:rFonts w:ascii="Times New Roman" w:eastAsia="Times New Roman" w:hAnsi="Times New Roman" w:cs="Times New Roman"/>
          <w:color w:val="000000" w:themeColor="text1"/>
          <w:kern w:val="0"/>
          <w:sz w:val="24"/>
          <w:szCs w:val="24"/>
          <w14:ligatures w14:val="none"/>
        </w:rPr>
        <w:t xml:space="preserve"> et al., 2020). Agency theory in the Saudi Arabian industrial sector says that the proper governance mechanisms should be implemented to keep the management in check because they tend to act in their best interests, which is terrible for the company's finances and makes them not responsible to its shareholders.</w:t>
      </w:r>
    </w:p>
    <w:p w14:paraId="1B7B8C45" w14:textId="77777777" w:rsidR="00FE6BEC" w:rsidRPr="00EB4B39" w:rsidRDefault="00FE6BEC" w:rsidP="00FE6BEC">
      <w:pPr>
        <w:pStyle w:val="Heading3"/>
        <w:spacing w:before="0" w:after="0"/>
        <w:contextualSpacing/>
        <w:jc w:val="both"/>
        <w:rPr>
          <w:rFonts w:ascii="Times New Roman" w:eastAsia="Times New Roman" w:hAnsi="Times New Roman" w:cs="Times New Roman"/>
          <w:b/>
          <w:bCs/>
          <w:color w:val="000000" w:themeColor="text1"/>
          <w:sz w:val="24"/>
          <w:szCs w:val="24"/>
        </w:rPr>
      </w:pPr>
      <w:bookmarkStart w:id="14" w:name="_Toc192863220"/>
      <w:r w:rsidRPr="00EB4B39">
        <w:rPr>
          <w:rFonts w:ascii="Times New Roman" w:eastAsia="Times New Roman" w:hAnsi="Times New Roman" w:cs="Times New Roman"/>
          <w:b/>
          <w:bCs/>
          <w:color w:val="000000" w:themeColor="text1"/>
          <w:sz w:val="24"/>
          <w:szCs w:val="24"/>
        </w:rPr>
        <w:t>Institutional theory</w:t>
      </w:r>
      <w:bookmarkEnd w:id="14"/>
    </w:p>
    <w:p w14:paraId="6DC1002A" w14:textId="77777777" w:rsidR="00FE6BEC" w:rsidRPr="00EB4B39" w:rsidRDefault="00FE6BEC" w:rsidP="00FE6BEC">
      <w:pPr>
        <w:contextualSpacing/>
        <w:jc w:val="both"/>
        <w:rPr>
          <w:rFonts w:ascii="Times New Roman" w:eastAsia="Times New Roman" w:hAnsi="Times New Roman" w:cs="Times New Roman"/>
          <w:color w:val="000000" w:themeColor="text1"/>
          <w:kern w:val="0"/>
          <w:sz w:val="24"/>
          <w:szCs w:val="24"/>
          <w14:ligatures w14:val="none"/>
        </w:rPr>
      </w:pPr>
      <w:r w:rsidRPr="00EB4B39">
        <w:rPr>
          <w:rFonts w:ascii="Times New Roman" w:eastAsia="Times New Roman" w:hAnsi="Times New Roman" w:cs="Times New Roman"/>
          <w:color w:val="000000" w:themeColor="text1"/>
          <w:kern w:val="0"/>
          <w:sz w:val="24"/>
          <w:szCs w:val="24"/>
          <w14:ligatures w14:val="none"/>
        </w:rPr>
        <w:tab/>
        <w:t>Applying institutional theory reveals the role of regulatory frameworks and governance policies in influencing risk management and corporate transparency. New governance reforms are steadily being implemented within Vision 2030 in Saudi Arabia, raising the bar with increased disclosure of financial performance, risk reporting, and board independence. Companies that conform to these rules get market stability and investors' trust, while businesses that do not follow such rules face much higher financial risks and reputational losses (</w:t>
      </w:r>
      <w:proofErr w:type="spellStart"/>
      <w:r w:rsidRPr="00EB4B39">
        <w:rPr>
          <w:rFonts w:ascii="Times New Roman" w:eastAsia="Times New Roman" w:hAnsi="Times New Roman" w:cs="Times New Roman"/>
          <w:color w:val="000000" w:themeColor="text1"/>
          <w:kern w:val="0"/>
          <w:sz w:val="24"/>
          <w:szCs w:val="24"/>
          <w14:ligatures w14:val="none"/>
        </w:rPr>
        <w:t>Murayr</w:t>
      </w:r>
      <w:proofErr w:type="spellEnd"/>
      <w:r w:rsidRPr="00EB4B39">
        <w:rPr>
          <w:rFonts w:ascii="Times New Roman" w:eastAsia="Times New Roman" w:hAnsi="Times New Roman" w:cs="Times New Roman"/>
          <w:color w:val="000000" w:themeColor="text1"/>
          <w:kern w:val="0"/>
          <w:sz w:val="24"/>
          <w:szCs w:val="24"/>
          <w14:ligatures w14:val="none"/>
        </w:rPr>
        <w:t>, 2023). Nonetheless, despite the drive for corporate governance reforms, there are still some problems in enforcement and some firms' nonadherence to the set corporate governance practices. Paying close attention to enforcement, compliance, and awareness of corporate governance to enhance performance is critical for long-term financial success and risk management in Saudi Arabia’s industry.</w:t>
      </w:r>
    </w:p>
    <w:p w14:paraId="203047F1" w14:textId="77777777" w:rsidR="00FE6BEC" w:rsidRDefault="00FE6BEC" w:rsidP="00FE6BEC"/>
    <w:p w14:paraId="607F1E77" w14:textId="77777777" w:rsidR="00FE6BEC" w:rsidRDefault="00FE6BEC"/>
    <w:sectPr w:rsidR="00FE6BEC" w:rsidSect="00FE6BE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2E2BE" w14:textId="77777777" w:rsidR="007B3F71" w:rsidRDefault="007B3F71" w:rsidP="002F1D10">
      <w:pPr>
        <w:spacing w:line="240" w:lineRule="auto"/>
      </w:pPr>
      <w:r>
        <w:separator/>
      </w:r>
    </w:p>
  </w:endnote>
  <w:endnote w:type="continuationSeparator" w:id="0">
    <w:p w14:paraId="1DA0322B" w14:textId="77777777" w:rsidR="007B3F71" w:rsidRDefault="007B3F71" w:rsidP="002F1D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4A6DF" w14:textId="77777777" w:rsidR="007B3F71" w:rsidRDefault="007B3F71" w:rsidP="002F1D10">
      <w:pPr>
        <w:spacing w:line="240" w:lineRule="auto"/>
      </w:pPr>
      <w:r>
        <w:separator/>
      </w:r>
    </w:p>
  </w:footnote>
  <w:footnote w:type="continuationSeparator" w:id="0">
    <w:p w14:paraId="65E75E59" w14:textId="77777777" w:rsidR="007B3F71" w:rsidRDefault="007B3F71" w:rsidP="002F1D1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DC78D3"/>
    <w:multiLevelType w:val="multilevel"/>
    <w:tmpl w:val="BD76E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46305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BEC"/>
    <w:rsid w:val="002F1D10"/>
    <w:rsid w:val="00585472"/>
    <w:rsid w:val="007B3F71"/>
    <w:rsid w:val="00FE6B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3CC75"/>
  <w15:chartTrackingRefBased/>
  <w15:docId w15:val="{F2E64A57-5836-4F76-AAB8-4B5FD2171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BEC"/>
    <w:pPr>
      <w:spacing w:after="0" w:line="480" w:lineRule="auto"/>
    </w:pPr>
    <w:rPr>
      <w:sz w:val="22"/>
      <w:szCs w:val="22"/>
    </w:rPr>
  </w:style>
  <w:style w:type="paragraph" w:styleId="Heading1">
    <w:name w:val="heading 1"/>
    <w:basedOn w:val="Normal"/>
    <w:next w:val="Normal"/>
    <w:link w:val="Heading1Char"/>
    <w:uiPriority w:val="9"/>
    <w:qFormat/>
    <w:rsid w:val="00FE6B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E6B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E6B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6B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6B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6BE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6BE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6BE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6BE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B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E6B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E6B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6B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6B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6B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6B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6B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6BEC"/>
    <w:rPr>
      <w:rFonts w:eastAsiaTheme="majorEastAsia" w:cstheme="majorBidi"/>
      <w:color w:val="272727" w:themeColor="text1" w:themeTint="D8"/>
    </w:rPr>
  </w:style>
  <w:style w:type="paragraph" w:styleId="Title">
    <w:name w:val="Title"/>
    <w:basedOn w:val="Normal"/>
    <w:next w:val="Normal"/>
    <w:link w:val="TitleChar"/>
    <w:uiPriority w:val="10"/>
    <w:qFormat/>
    <w:rsid w:val="00FE6B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6B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6B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6B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6BEC"/>
    <w:pPr>
      <w:spacing w:before="160"/>
      <w:jc w:val="center"/>
    </w:pPr>
    <w:rPr>
      <w:i/>
      <w:iCs/>
      <w:color w:val="404040" w:themeColor="text1" w:themeTint="BF"/>
    </w:rPr>
  </w:style>
  <w:style w:type="character" w:customStyle="1" w:styleId="QuoteChar">
    <w:name w:val="Quote Char"/>
    <w:basedOn w:val="DefaultParagraphFont"/>
    <w:link w:val="Quote"/>
    <w:uiPriority w:val="29"/>
    <w:rsid w:val="00FE6BEC"/>
    <w:rPr>
      <w:i/>
      <w:iCs/>
      <w:color w:val="404040" w:themeColor="text1" w:themeTint="BF"/>
    </w:rPr>
  </w:style>
  <w:style w:type="paragraph" w:styleId="ListParagraph">
    <w:name w:val="List Paragraph"/>
    <w:basedOn w:val="Normal"/>
    <w:uiPriority w:val="34"/>
    <w:qFormat/>
    <w:rsid w:val="00FE6BEC"/>
    <w:pPr>
      <w:ind w:left="720"/>
      <w:contextualSpacing/>
    </w:pPr>
  </w:style>
  <w:style w:type="character" w:styleId="IntenseEmphasis">
    <w:name w:val="Intense Emphasis"/>
    <w:basedOn w:val="DefaultParagraphFont"/>
    <w:uiPriority w:val="21"/>
    <w:qFormat/>
    <w:rsid w:val="00FE6BEC"/>
    <w:rPr>
      <w:i/>
      <w:iCs/>
      <w:color w:val="0F4761" w:themeColor="accent1" w:themeShade="BF"/>
    </w:rPr>
  </w:style>
  <w:style w:type="paragraph" w:styleId="IntenseQuote">
    <w:name w:val="Intense Quote"/>
    <w:basedOn w:val="Normal"/>
    <w:next w:val="Normal"/>
    <w:link w:val="IntenseQuoteChar"/>
    <w:uiPriority w:val="30"/>
    <w:qFormat/>
    <w:rsid w:val="00FE6B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6BEC"/>
    <w:rPr>
      <w:i/>
      <w:iCs/>
      <w:color w:val="0F4761" w:themeColor="accent1" w:themeShade="BF"/>
    </w:rPr>
  </w:style>
  <w:style w:type="character" w:styleId="IntenseReference">
    <w:name w:val="Intense Reference"/>
    <w:basedOn w:val="DefaultParagraphFont"/>
    <w:uiPriority w:val="32"/>
    <w:qFormat/>
    <w:rsid w:val="00FE6BEC"/>
    <w:rPr>
      <w:b/>
      <w:bCs/>
      <w:smallCaps/>
      <w:color w:val="0F4761" w:themeColor="accent1" w:themeShade="BF"/>
      <w:spacing w:val="5"/>
    </w:rPr>
  </w:style>
  <w:style w:type="paragraph" w:styleId="TOCHeading">
    <w:name w:val="TOC Heading"/>
    <w:basedOn w:val="Heading1"/>
    <w:next w:val="Normal"/>
    <w:uiPriority w:val="39"/>
    <w:unhideWhenUsed/>
    <w:qFormat/>
    <w:rsid w:val="00FE6BEC"/>
    <w:pPr>
      <w:spacing w:before="240" w:after="0" w:line="259" w:lineRule="auto"/>
      <w:outlineLvl w:val="9"/>
    </w:pPr>
    <w:rPr>
      <w:sz w:val="32"/>
      <w:szCs w:val="32"/>
    </w:rPr>
  </w:style>
  <w:style w:type="paragraph" w:styleId="TOC1">
    <w:name w:val="toc 1"/>
    <w:basedOn w:val="Normal"/>
    <w:next w:val="Normal"/>
    <w:autoRedefine/>
    <w:uiPriority w:val="39"/>
    <w:unhideWhenUsed/>
    <w:rsid w:val="00FE6BEC"/>
    <w:pPr>
      <w:spacing w:after="100"/>
    </w:pPr>
  </w:style>
  <w:style w:type="paragraph" w:styleId="TOC2">
    <w:name w:val="toc 2"/>
    <w:basedOn w:val="Normal"/>
    <w:next w:val="Normal"/>
    <w:autoRedefine/>
    <w:uiPriority w:val="39"/>
    <w:unhideWhenUsed/>
    <w:rsid w:val="00FE6BEC"/>
    <w:pPr>
      <w:spacing w:after="100"/>
      <w:ind w:left="220"/>
    </w:pPr>
  </w:style>
  <w:style w:type="paragraph" w:styleId="TOC3">
    <w:name w:val="toc 3"/>
    <w:basedOn w:val="Normal"/>
    <w:next w:val="Normal"/>
    <w:autoRedefine/>
    <w:uiPriority w:val="39"/>
    <w:unhideWhenUsed/>
    <w:rsid w:val="00FE6BEC"/>
    <w:pPr>
      <w:spacing w:after="100"/>
      <w:ind w:left="440"/>
    </w:pPr>
  </w:style>
  <w:style w:type="character" w:styleId="Hyperlink">
    <w:name w:val="Hyperlink"/>
    <w:basedOn w:val="DefaultParagraphFont"/>
    <w:uiPriority w:val="99"/>
    <w:unhideWhenUsed/>
    <w:rsid w:val="00FE6BEC"/>
    <w:rPr>
      <w:color w:val="467886" w:themeColor="hyperlink"/>
      <w:u w:val="single"/>
    </w:rPr>
  </w:style>
  <w:style w:type="paragraph" w:styleId="Header">
    <w:name w:val="header"/>
    <w:basedOn w:val="Normal"/>
    <w:link w:val="HeaderChar"/>
    <w:uiPriority w:val="99"/>
    <w:unhideWhenUsed/>
    <w:rsid w:val="002F1D10"/>
    <w:pPr>
      <w:tabs>
        <w:tab w:val="center" w:pos="4680"/>
        <w:tab w:val="right" w:pos="9360"/>
      </w:tabs>
      <w:spacing w:line="240" w:lineRule="auto"/>
    </w:pPr>
  </w:style>
  <w:style w:type="character" w:customStyle="1" w:styleId="HeaderChar">
    <w:name w:val="Header Char"/>
    <w:basedOn w:val="DefaultParagraphFont"/>
    <w:link w:val="Header"/>
    <w:uiPriority w:val="99"/>
    <w:rsid w:val="002F1D10"/>
    <w:rPr>
      <w:sz w:val="22"/>
      <w:szCs w:val="22"/>
    </w:rPr>
  </w:style>
  <w:style w:type="paragraph" w:styleId="Footer">
    <w:name w:val="footer"/>
    <w:basedOn w:val="Normal"/>
    <w:link w:val="FooterChar"/>
    <w:uiPriority w:val="99"/>
    <w:unhideWhenUsed/>
    <w:rsid w:val="002F1D10"/>
    <w:pPr>
      <w:tabs>
        <w:tab w:val="center" w:pos="4680"/>
        <w:tab w:val="right" w:pos="9360"/>
      </w:tabs>
      <w:spacing w:line="240" w:lineRule="auto"/>
    </w:pPr>
  </w:style>
  <w:style w:type="character" w:customStyle="1" w:styleId="FooterChar">
    <w:name w:val="Footer Char"/>
    <w:basedOn w:val="DefaultParagraphFont"/>
    <w:link w:val="Footer"/>
    <w:uiPriority w:val="99"/>
    <w:rsid w:val="002F1D10"/>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4732239">
      <w:bodyDiv w:val="1"/>
      <w:marLeft w:val="0"/>
      <w:marRight w:val="0"/>
      <w:marTop w:val="0"/>
      <w:marBottom w:val="0"/>
      <w:divBdr>
        <w:top w:val="none" w:sz="0" w:space="0" w:color="auto"/>
        <w:left w:val="none" w:sz="0" w:space="0" w:color="auto"/>
        <w:bottom w:val="none" w:sz="0" w:space="0" w:color="auto"/>
        <w:right w:val="none" w:sz="0" w:space="0" w:color="auto"/>
      </w:divBdr>
    </w:div>
    <w:div w:id="158460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18</Pages>
  <Words>4229</Words>
  <Characters>24110</Characters>
  <Application>Microsoft Office Word</Application>
  <DocSecurity>0</DocSecurity>
  <Lines>200</Lines>
  <Paragraphs>56</Paragraphs>
  <ScaleCrop>false</ScaleCrop>
  <Company/>
  <LinksUpToDate>false</LinksUpToDate>
  <CharactersWithSpaces>28283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Fayez A. AlEnazi</dc:creator>
  <cp:keywords/>
  <dc:description/>
  <cp:lastModifiedBy>Nadia Fayez A. AlEnazi</cp:lastModifiedBy>
  <cp:revision>2</cp:revision>
  <dcterms:created xsi:type="dcterms:W3CDTF">2025-04-09T17:32:00Z</dcterms:created>
  <dcterms:modified xsi:type="dcterms:W3CDTF">2025-04-09T17:40:00Z</dcterms:modified>
</cp:coreProperties>
</file>