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5CE" w:rsidRPr="00B14544" w:rsidRDefault="00BC1FC3" w:rsidP="00216896">
      <w:pPr>
        <w:spacing w:after="100" w:line="360" w:lineRule="auto"/>
        <w:ind w:firstLine="283"/>
        <w:rPr>
          <w:rFonts w:ascii="Simplified Arabic" w:hAnsi="Simplified Arabic" w:cs="Simplified Arabic"/>
          <w:b/>
          <w:bCs/>
          <w:sz w:val="28"/>
          <w:szCs w:val="28"/>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5FD19A2">
            <wp:simplePos x="0" y="0"/>
            <wp:positionH relativeFrom="margin">
              <wp:posOffset>-315315</wp:posOffset>
            </wp:positionH>
            <wp:positionV relativeFrom="margin">
              <wp:posOffset>-371227</wp:posOffset>
            </wp:positionV>
            <wp:extent cx="2227152"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16896">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rtl/>
          <w:lang w:bidi="ar-EG"/>
        </w:rPr>
        <w:t xml:space="preserve">جامعة </w:t>
      </w:r>
      <w:proofErr w:type="spellStart"/>
      <w:r>
        <w:rPr>
          <w:rFonts w:ascii="Simplified Arabic" w:hAnsi="Simplified Arabic" w:cs="Simplified Arabic"/>
          <w:b/>
          <w:bCs/>
          <w:sz w:val="28"/>
          <w:szCs w:val="28"/>
          <w:rtl/>
          <w:lang w:bidi="ar-EG"/>
        </w:rPr>
        <w:t>ميدأوشن</w:t>
      </w:r>
      <w:proofErr w:type="spellEnd"/>
    </w:p>
    <w:p w:rsidR="00F546CE" w:rsidRPr="00B14544" w:rsidRDefault="00216896" w:rsidP="00216896">
      <w:pPr>
        <w:spacing w:after="100" w:line="360" w:lineRule="auto"/>
        <w:ind w:firstLine="283"/>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lang w:bidi="ar-EG"/>
        </w:rPr>
        <w:t xml:space="preserve">  </w:t>
      </w:r>
      <w:r w:rsidR="009125CE">
        <w:rPr>
          <w:rFonts w:ascii="Simplified Arabic" w:hAnsi="Simplified Arabic" w:cs="Simplified Arabic"/>
          <w:b/>
          <w:bCs/>
          <w:sz w:val="28"/>
          <w:szCs w:val="28"/>
          <w:rtl/>
          <w:lang w:bidi="ar-EG"/>
        </w:rPr>
        <w:t>كلية الإدارة</w:t>
      </w:r>
    </w:p>
    <w:p w:rsidR="009125CE" w:rsidRPr="00B14544" w:rsidRDefault="009125CE" w:rsidP="00216896">
      <w:pPr>
        <w:spacing w:after="100" w:line="360" w:lineRule="auto"/>
        <w:ind w:firstLine="283"/>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تخصص إدارة أعمال</w:t>
      </w:r>
    </w:p>
    <w:p w:rsidR="009125CE" w:rsidRPr="00B14544" w:rsidRDefault="009125CE" w:rsidP="009125CE">
      <w:pPr>
        <w:spacing w:after="100" w:line="360" w:lineRule="auto"/>
        <w:ind w:firstLine="283"/>
        <w:rPr>
          <w:rFonts w:ascii="Simplified Arabic" w:hAnsi="Simplified Arabic" w:cs="Simplified Arabic"/>
          <w:sz w:val="28"/>
          <w:szCs w:val="28"/>
          <w:rtl/>
          <w:lang w:bidi="ar-EG"/>
        </w:rPr>
      </w:pPr>
    </w:p>
    <w:p w:rsidR="00B14544" w:rsidRPr="00B14544" w:rsidRDefault="00B14544" w:rsidP="00B14544">
      <w:pPr>
        <w:ind w:left="-141"/>
        <w:jc w:val="center"/>
        <w:rPr>
          <w:rFonts w:ascii="Simplified Arabic" w:hAnsi="Simplified Arabic" w:cs="Simplified Arabic"/>
          <w:b/>
          <w:bCs/>
          <w:sz w:val="40"/>
          <w:szCs w:val="40"/>
          <w:rtl/>
          <w:lang w:bidi="ar-EG"/>
        </w:rPr>
      </w:pPr>
      <w:r>
        <w:rPr>
          <w:rFonts w:ascii="Simplified Arabic" w:hAnsi="Simplified Arabic" w:cs="Simplified Arabic"/>
          <w:b/>
          <w:bCs/>
          <w:sz w:val="40"/>
          <w:szCs w:val="40"/>
          <w:rtl/>
          <w:lang w:bidi="ar-EG"/>
        </w:rPr>
        <w:t>أثر إدارة المخاطر على نجاح المشاريع في المؤسسات الخدمية</w:t>
      </w:r>
    </w:p>
    <w:p w:rsidR="009125CE" w:rsidRPr="00B14544" w:rsidRDefault="00B14544" w:rsidP="00B14544">
      <w:pPr>
        <w:ind w:left="-141"/>
        <w:jc w:val="center"/>
        <w:rPr>
          <w:rFonts w:ascii="Simplified Arabic" w:hAnsi="Simplified Arabic" w:cs="Simplified Arabic"/>
          <w:sz w:val="40"/>
          <w:szCs w:val="40"/>
          <w:rtl/>
          <w:lang w:bidi="ar-EG"/>
        </w:rPr>
      </w:pPr>
      <w:r>
        <w:rPr>
          <w:rFonts w:ascii="Simplified Arabic" w:hAnsi="Simplified Arabic" w:cs="Simplified Arabic"/>
          <w:b/>
          <w:bCs/>
          <w:sz w:val="40"/>
          <w:szCs w:val="40"/>
          <w:rtl/>
          <w:lang w:bidi="ar-EG"/>
        </w:rPr>
        <w:t>"دراسة تطبيقية على قطاع الخدمات العدلية في المملكة العربية السعودية"</w:t>
      </w:r>
    </w:p>
    <w:p w:rsidR="009125CE" w:rsidRPr="00B14544" w:rsidRDefault="009125CE" w:rsidP="009125CE">
      <w:pPr>
        <w:spacing w:after="100" w:line="360" w:lineRule="auto"/>
        <w:jc w:val="center"/>
        <w:rPr>
          <w:rFonts w:ascii="Simplified Arabic" w:hAnsi="Simplified Arabic" w:cs="Simplified Arabic"/>
          <w:sz w:val="28"/>
          <w:szCs w:val="28"/>
          <w:rtl/>
          <w:lang w:bidi="ar-EG"/>
        </w:rPr>
      </w:pPr>
    </w:p>
    <w:p w:rsidR="00B14544" w:rsidRPr="00B14544" w:rsidRDefault="00B14544" w:rsidP="00B14544">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إعداد الطالب/</w:t>
      </w:r>
    </w:p>
    <w:p w:rsidR="00B14544" w:rsidRPr="00B14544" w:rsidRDefault="00B14544" w:rsidP="00B14544">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غسان بن فهد المقرن</w:t>
      </w:r>
    </w:p>
    <w:p w:rsidR="009125CE" w:rsidRPr="00B14544" w:rsidRDefault="009125CE" w:rsidP="009125CE">
      <w:pPr>
        <w:spacing w:after="100" w:line="360" w:lineRule="auto"/>
        <w:jc w:val="center"/>
        <w:rPr>
          <w:rFonts w:ascii="Simplified Arabic" w:hAnsi="Simplified Arabic" w:cs="Simplified Arabic"/>
          <w:b/>
          <w:bCs/>
          <w:sz w:val="28"/>
          <w:szCs w:val="28"/>
          <w:rtl/>
          <w:lang w:bidi="ar-EG"/>
        </w:rPr>
      </w:pPr>
    </w:p>
    <w:p w:rsidR="009125CE" w:rsidRPr="00B14544" w:rsidRDefault="009125CE" w:rsidP="00B14544">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إشراف/</w:t>
      </w:r>
    </w:p>
    <w:p w:rsidR="00B14544" w:rsidRPr="00B14544" w:rsidRDefault="00B14544" w:rsidP="00B14544">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د. الفيصل عبد الحميد محمد حسن</w:t>
      </w:r>
    </w:p>
    <w:p w:rsidR="009125CE" w:rsidRPr="00B14544" w:rsidRDefault="00B14544" w:rsidP="00B14544">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د. فايز جراد</w:t>
      </w:r>
    </w:p>
    <w:p w:rsidR="009125CE" w:rsidRPr="00B14544" w:rsidRDefault="009125CE" w:rsidP="009125CE">
      <w:pPr>
        <w:spacing w:after="100" w:line="360" w:lineRule="auto"/>
        <w:jc w:val="center"/>
        <w:rPr>
          <w:rFonts w:ascii="Simplified Arabic" w:hAnsi="Simplified Arabic" w:cs="Simplified Arabic"/>
          <w:b/>
          <w:bCs/>
          <w:sz w:val="28"/>
          <w:szCs w:val="28"/>
          <w:rtl/>
          <w:lang w:bidi="ar-EG"/>
        </w:rPr>
      </w:pPr>
    </w:p>
    <w:p w:rsidR="009125CE" w:rsidRPr="00B14544" w:rsidRDefault="009125CE" w:rsidP="009125CE">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العام الدراسي:</w:t>
      </w:r>
    </w:p>
    <w:p w:rsidR="009125CE" w:rsidRPr="00B14544" w:rsidRDefault="00B14544" w:rsidP="009125CE">
      <w:pPr>
        <w:spacing w:after="100"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2026</w:t>
      </w:r>
    </w:p>
    <w:p w:rsidR="00B14544" w:rsidRDefault="00B14544" w:rsidP="00BB18E2">
      <w:pPr>
        <w:spacing w:after="100" w:line="360" w:lineRule="auto"/>
        <w:rPr>
          <w:rFonts w:ascii="Simplified Arabic" w:hAnsi="Simplified Arabic" w:cs="Simplified Arabic"/>
          <w:b/>
          <w:bCs/>
          <w:sz w:val="28"/>
          <w:szCs w:val="28"/>
          <w:rtl/>
          <w:lang w:bidi="ar-EG"/>
        </w:rPr>
      </w:pPr>
    </w:p>
    <w:p w:rsidR="00BB18E2" w:rsidRDefault="00BB18E2" w:rsidP="00BB18E2">
      <w:pPr>
        <w:spacing w:after="100" w:line="360" w:lineRule="auto"/>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r>
        <w:rPr>
          <w:rFonts w:ascii="Simplified Arabic" w:hAnsi="Simplified Arabic" w:cs="Simplified Arabic"/>
          <w:noProof/>
          <w:sz w:val="28"/>
          <w:szCs w:val="28"/>
          <w:u w:val="single"/>
          <w:rtl/>
        </w:rPr>
        <w:drawing>
          <wp:anchor distT="0" distB="0" distL="114300" distR="114300" simplePos="0" relativeHeight="251661312" behindDoc="1" locked="0" layoutInCell="1" allowOverlap="1" wp14:anchorId="3703A72F" wp14:editId="278C0074">
            <wp:simplePos x="0" y="0"/>
            <wp:positionH relativeFrom="column">
              <wp:posOffset>792480</wp:posOffset>
            </wp:positionH>
            <wp:positionV relativeFrom="paragraph">
              <wp:posOffset>357505</wp:posOffset>
            </wp:positionV>
            <wp:extent cx="4340860" cy="4060190"/>
            <wp:effectExtent l="0" t="0" r="254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بسم الله.png"/>
                    <pic:cNvPicPr/>
                  </pic:nvPicPr>
                  <pic:blipFill>
                    <a:blip r:embed="rId9">
                      <a:extLst>
                        <a:ext uri="{28A0092B-C50C-407E-A947-70E740481C1C}">
                          <a14:useLocalDpi xmlns:a14="http://schemas.microsoft.com/office/drawing/2010/main" val="0"/>
                        </a:ext>
                      </a:extLst>
                    </a:blip>
                    <a:stretch>
                      <a:fillRect/>
                    </a:stretch>
                  </pic:blipFill>
                  <pic:spPr>
                    <a:xfrm>
                      <a:off x="0" y="0"/>
                      <a:ext cx="4340860" cy="4060190"/>
                    </a:xfrm>
                    <a:prstGeom prst="rect">
                      <a:avLst/>
                    </a:prstGeom>
                  </pic:spPr>
                </pic:pic>
              </a:graphicData>
            </a:graphic>
            <wp14:sizeRelH relativeFrom="page">
              <wp14:pctWidth>0</wp14:pctWidth>
            </wp14:sizeRelH>
            <wp14:sizeRelV relativeFrom="page">
              <wp14:pctHeight>0</wp14:pctHeight>
            </wp14:sizeRelV>
          </wp:anchor>
        </w:drawing>
      </w: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14544" w:rsidRDefault="00B14544" w:rsidP="009125CE">
      <w:pPr>
        <w:spacing w:after="100" w:line="360" w:lineRule="auto"/>
        <w:ind w:firstLine="283"/>
        <w:rPr>
          <w:rFonts w:ascii="Simplified Arabic" w:hAnsi="Simplified Arabic" w:cs="Simplified Arabic"/>
          <w:sz w:val="28"/>
          <w:szCs w:val="28"/>
          <w:u w:val="single"/>
          <w:rtl/>
          <w:lang w:bidi="ar-EG"/>
        </w:rPr>
      </w:pPr>
    </w:p>
    <w:p w:rsidR="00BC1FC3" w:rsidRPr="00BB18E2" w:rsidRDefault="00BC1FC3" w:rsidP="00BC1FC3">
      <w:pPr>
        <w:jc w:val="center"/>
        <w:rPr>
          <w:rFonts w:ascii="Simplified Arabic" w:hAnsi="Simplified Arabic" w:cs="Simplified Arabic"/>
          <w:b/>
          <w:bCs/>
          <w:sz w:val="40"/>
          <w:szCs w:val="40"/>
          <w:rtl/>
          <w:lang w:bidi="ar-EG"/>
        </w:rPr>
      </w:pPr>
      <w:r>
        <w:rPr>
          <w:rFonts w:ascii="Simplified Arabic" w:hAnsi="Simplified Arabic" w:cs="Simplified Arabic"/>
          <w:b/>
          <w:bCs/>
          <w:sz w:val="40"/>
          <w:szCs w:val="40"/>
          <w:rtl/>
          <w:lang w:bidi="ar-EG"/>
        </w:rPr>
        <w:lastRenderedPageBreak/>
        <w:t>الإهداء</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إلى زوجتي الغالية التي كانت لي الشريك والداعم في كل خطوة من هذه الرحلة، أهدي هذا الإنجاز تقديرًا لجهودها وتضحياتها وصبرها اللامحدود.</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إلى أساتذتي الأفاضل الذين قدّموا لي كل ما يمكن من علم ونصح وإرشاد، وكانوا لي خير مرشدين ومعلمين، أهدي هذا العمل تعبيرًا عن اعترافي بجميلهم.</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p>
    <w:p w:rsid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إلى زملائي وأصدقائي الذين وقفوا بجانبي وكانوا لي عونًا وسندًا، أهدي هذا العمل كتعبير عن شكري وامتناني لكل الدعم والتشجيع الذي تلقّيته منهم.</w:t>
      </w: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jc w:val="center"/>
        <w:rPr>
          <w:rFonts w:ascii="Simplified Arabic" w:hAnsi="Simplified Arabic" w:cs="Simplified Arabic"/>
          <w:b/>
          <w:bCs/>
          <w:sz w:val="40"/>
          <w:szCs w:val="40"/>
          <w:rtl/>
          <w:lang w:bidi="ar-EG"/>
        </w:rPr>
      </w:pPr>
      <w:r>
        <w:rPr>
          <w:rFonts w:ascii="Simplified Arabic" w:hAnsi="Simplified Arabic" w:cs="Simplified Arabic"/>
          <w:b/>
          <w:bCs/>
          <w:sz w:val="40"/>
          <w:szCs w:val="40"/>
          <w:rtl/>
          <w:lang w:bidi="ar-EG"/>
        </w:rPr>
        <w:lastRenderedPageBreak/>
        <w:t>شكر وتقدير</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الحمد لله الذي وفّقني وأعانني على إتمام هذا العمل، والصلاة والسلام على خير خلقه محمد وعلى آله وصحبه أجمعين.</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أتقدم بخالص الشكر والتقدير إلى والديَّ العزيزين الذين كان لهما الفضل الأكبر في دعمي وتحفيزي طوال مسيرتي. لقد كانت دعواتهما وتشجيعهما المعنوي والنفسي القوةَ الدافعة التي مكّنتني من تحقيق هذا الإنجاز.</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كما أعبّر عن عميق امتناني لزوجتي العزيزة التي كانت لي الشريك والسند، والتي لم تبخل عليَّ بدعمها وتشجيعها المستمرَّين. كانت تفهمها وصبرها أحد أعمدة نجاحي في هذه الرحلة.</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أودّ أن أشكر أساتذتي الكرام، وخاصة مشرفَي رسالتي الذين قدّما لي الدعم والإرشاد العلمي وساهما بتوجيهاتهما القيّمة في إتمام هذا البحث. لقد كان لخبرتهما وتوجيهاتهما دور كبير في صياغة هذا العمل.</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د. الفيصل عبد الحميد محمد حسن</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د. فايز جراد</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أشكر زملائي وأصدقائي الذين كانوا لي عونًا وسندًا خلال مسيرتي الأكاديمية. إن دعمهم وتشجيعهم كان له الأثر الإيجابي في تجاوز كل التحديات.</w:t>
      </w:r>
    </w:p>
    <w:p w:rsid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وأخيرًا</w:t>
      </w:r>
      <w:r>
        <w:rPr>
          <w:rFonts w:ascii="Simplified Arabic" w:hAnsi="Simplified Arabic" w:cs="Simplified Arabic"/>
          <w:sz w:val="28"/>
          <w:szCs w:val="28"/>
          <w:rtl/>
          <w:lang w:bidi="ar-EG"/>
        </w:rPr>
        <w:t>، أتقدّم بالشكر لكل من ساهم بكلمة أو نصيحة أو دعم في إنجاز هذا العمل. سائلًا الله أن يوفّقنا جميعًا فيما فيه الخير والنجاح.</w:t>
      </w: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jc w:val="center"/>
        <w:rPr>
          <w:rFonts w:ascii="Simplified Arabic" w:hAnsi="Simplified Arabic" w:cs="Simplified Arabic"/>
          <w:b/>
          <w:bCs/>
          <w:sz w:val="40"/>
          <w:szCs w:val="40"/>
          <w:rtl/>
          <w:lang w:bidi="ar-EG"/>
        </w:rPr>
      </w:pPr>
      <w:r>
        <w:rPr>
          <w:rFonts w:ascii="Simplified Arabic" w:hAnsi="Simplified Arabic" w:cs="Simplified Arabic"/>
          <w:b/>
          <w:bCs/>
          <w:sz w:val="40"/>
          <w:szCs w:val="40"/>
          <w:rtl/>
          <w:lang w:bidi="ar-EG"/>
        </w:rPr>
        <w:lastRenderedPageBreak/>
        <w:t>المستخلص</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rPr>
        <w:t>هدفت هذه الدراسة إلى قياس أثر إدارة المخاطر بأبعادها الأربعة (تحديد المخاطر، وتحليلها وتقييمها، والاستجابة لها، ومتابعتها ومراجعتها) على نجاح المشاريع بأبعاده الثلاثة (الالتزام بالوقت، والالتزام بالتكلفة، وجودة المخرجات) في قطاع الخدمات العدلية بالمملكة العربية السعودية. وتكوّن مجتمع الدراسة من جميع العاملين في إدارات المشاريع والتطوير والجودة، وبلغت عينة الدراسة (80) مستجيباً وفق أسلوب العينة الطبقية العشوائية. وجُمعت البيانات عبر استبانة مكوّنة من (28) فقرة وفق مقياس ليكرت الخماسي.</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rPr>
        <w:t>كشفت نتائج الدراسة عن وجود أثر إيجابي ذي دلالة إحصائية لإدارة المخاطر على نجاح المشاريع العدلية (R² = 0.712، F = 48.7، p &lt; 0.001)، إذ تُفسّر أبعاد إدارة المخاطر الأربعة مجتمعةً ما نسبته (71.2%) من التباين في نجاح المشاريع. وكان بُعد تحليل المخاطر وتقييمها الأعلى تأثيراً (β = 0.312)، يليه تحديد المخاطر (β = 0.298)، ثم متابعة المخاطر (β = 0.285)، وأخيراً الاستجابة للمخاطر (β = 0.189).</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sz w:val="28"/>
          <w:szCs w:val="28"/>
          <w:rtl/>
        </w:rPr>
        <w:t>أوصت الدراسة بإنشاء إدارة مركزية متخصصة لإدارة المخاطر في وزارة العدل، وإعداد سجل وطني للمخاطر العدلية، وإطلاق برامج تدريب متخصصة لمديري المشاريع، واعتماد أنظمة رقمية ذكية لرصد المخاطر في الوقت الفعلي، ودمج مؤشرات إدارة المخاطر في منظومة تقييم الأداء المؤسسي.</w:t>
      </w:r>
    </w:p>
    <w:p w:rsidR="00BC1FC3" w:rsidRPr="00BC1FC3" w:rsidRDefault="00BC1FC3" w:rsidP="00BC1FC3">
      <w:pPr>
        <w:spacing w:after="100" w:line="360" w:lineRule="auto"/>
        <w:jc w:val="center"/>
        <w:rPr>
          <w:rFonts w:ascii="Simplified Arabic" w:hAnsi="Simplified Arabic" w:cs="Simplified Arabic"/>
          <w:sz w:val="28"/>
          <w:szCs w:val="28"/>
          <w:rtl/>
          <w:lang w:bidi="ar-EG"/>
        </w:rPr>
      </w:pPr>
      <w:r>
        <w:rPr>
          <w:rFonts w:ascii="Simplified Arabic" w:hAnsi="Simplified Arabic" w:cs="Simplified Arabic"/>
          <w:b/>
          <w:bCs/>
          <w:sz w:val="28"/>
          <w:szCs w:val="28"/>
          <w:rtl/>
        </w:rPr>
        <w:t>الكلمات المفتاحية: إدارة المخاطر - نجاح المشاريع - المؤسسات العدلية - المملكة العربية السعودية - الحوكمة المؤسسية.</w:t>
      </w:r>
    </w:p>
    <w:p w:rsidR="00690C7F" w:rsidRDefault="00690C7F" w:rsidP="00AF2167">
      <w:pPr>
        <w:jc w:val="center"/>
        <w:rPr>
          <w:rFonts w:ascii="Simplified Arabic" w:hAnsi="Simplified Arabic" w:cs="Simplified Arabic"/>
          <w:sz w:val="40"/>
          <w:szCs w:val="40"/>
          <w:u w:val="single"/>
          <w:rtl/>
          <w:lang w:bidi="ar-EG"/>
        </w:rPr>
      </w:pPr>
    </w:p>
    <w:p w:rsidR="00BC1FC3" w:rsidRPr="00690C7F" w:rsidRDefault="00AF2167" w:rsidP="00AF2167">
      <w:pPr>
        <w:jc w:val="center"/>
        <w:rPr>
          <w:rFonts w:ascii="Simplified Arabic" w:hAnsi="Simplified Arabic" w:cs="Simplified Arabic"/>
          <w:sz w:val="36"/>
          <w:szCs w:val="36"/>
          <w:u w:val="single"/>
          <w:rtl/>
          <w:lang w:bidi="ar-EG"/>
        </w:rPr>
      </w:pPr>
      <w:r>
        <w:rPr>
          <w:rFonts w:ascii="Simplified Arabic" w:hAnsi="Simplified Arabic" w:cs="Simplified Arabic" w:hint="cs"/>
          <w:sz w:val="36"/>
          <w:szCs w:val="36"/>
          <w:u w:val="single"/>
          <w:rtl/>
          <w:lang w:bidi="ar-EG"/>
        </w:rPr>
        <w:lastRenderedPageBreak/>
        <w:t>فهرس</w:t>
      </w:r>
      <w:r>
        <w:rPr>
          <w:rFonts w:ascii="Simplified Arabic" w:hAnsi="Simplified Arabic" w:cs="Simplified Arabic"/>
          <w:sz w:val="36"/>
          <w:szCs w:val="36"/>
          <w:u w:val="single"/>
          <w:rtl/>
          <w:lang w:bidi="ar-EG"/>
        </w:rPr>
        <w:t xml:space="preserve"> المحتويات</w:t>
      </w:r>
    </w:p>
    <w:p w:rsidR="004A2AD4" w:rsidRDefault="00C74FB5">
      <w:pPr>
        <w:tabs>
          <w:tab w:val="left" w:leader="dot" w:pos="8956"/>
        </w:tabs>
        <w:spacing w:after="50" w:line="260" w:lineRule="auto"/>
        <w:rPr>
          <w:rFonts w:ascii="Simplified Arabic" w:hAnsi="Simplified Arabic" w:cs="Simplified Arabic"/>
          <w:sz w:val="26"/>
          <w:szCs w:val="26"/>
          <w:rtl/>
        </w:rPr>
      </w:pPr>
      <w:r>
        <w:rPr>
          <w:rFonts w:ascii="Simplified Arabic" w:hAnsi="Simplified Arabic" w:cs="Simplified Arabic"/>
          <w:sz w:val="26"/>
          <w:szCs w:val="26"/>
          <w:rtl/>
        </w:rPr>
        <w:t>بسم الله الرحمن الرحيم</w:t>
      </w:r>
      <w:r>
        <w:rPr>
          <w:rFonts w:ascii="Simplified Arabic" w:hAnsi="Simplified Arabic" w:cs="Simplified Arabic"/>
          <w:sz w:val="26"/>
          <w:szCs w:val="26"/>
          <w:rtl/>
        </w:rPr>
        <w:tab/>
        <w:t>ب</w:t>
      </w:r>
    </w:p>
    <w:p w:rsidR="004A2AD4" w:rsidRDefault="00C74FB5">
      <w:pPr>
        <w:tabs>
          <w:tab w:val="left" w:leader="dot" w:pos="8956"/>
        </w:tabs>
        <w:spacing w:after="50" w:line="260" w:lineRule="auto"/>
        <w:rPr>
          <w:rFonts w:ascii="Simplified Arabic" w:hAnsi="Simplified Arabic" w:cs="Simplified Arabic"/>
          <w:sz w:val="26"/>
          <w:szCs w:val="26"/>
          <w:rtl/>
        </w:rPr>
      </w:pPr>
      <w:r>
        <w:rPr>
          <w:rFonts w:ascii="Simplified Arabic" w:hAnsi="Simplified Arabic" w:cs="Simplified Arabic"/>
          <w:sz w:val="26"/>
          <w:szCs w:val="26"/>
          <w:rtl/>
        </w:rPr>
        <w:t>الإهداء</w:t>
      </w:r>
      <w:r>
        <w:rPr>
          <w:rFonts w:ascii="Simplified Arabic" w:hAnsi="Simplified Arabic" w:cs="Simplified Arabic"/>
          <w:sz w:val="26"/>
          <w:szCs w:val="26"/>
          <w:rtl/>
        </w:rPr>
        <w:tab/>
        <w:t>ج</w:t>
      </w:r>
    </w:p>
    <w:p w:rsidR="004A2AD4" w:rsidRDefault="00C74FB5">
      <w:pPr>
        <w:tabs>
          <w:tab w:val="left" w:leader="dot" w:pos="8956"/>
        </w:tabs>
        <w:spacing w:after="50" w:line="260" w:lineRule="auto"/>
        <w:rPr>
          <w:rFonts w:ascii="Simplified Arabic" w:hAnsi="Simplified Arabic" w:cs="Simplified Arabic"/>
          <w:sz w:val="26"/>
          <w:szCs w:val="26"/>
          <w:rtl/>
        </w:rPr>
      </w:pPr>
      <w:r>
        <w:rPr>
          <w:rFonts w:ascii="Simplified Arabic" w:hAnsi="Simplified Arabic" w:cs="Simplified Arabic"/>
          <w:sz w:val="26"/>
          <w:szCs w:val="26"/>
          <w:rtl/>
        </w:rPr>
        <w:t>شكر وتقدير</w:t>
      </w:r>
      <w:r>
        <w:rPr>
          <w:rFonts w:ascii="Simplified Arabic" w:hAnsi="Simplified Arabic" w:cs="Simplified Arabic"/>
          <w:sz w:val="26"/>
          <w:szCs w:val="26"/>
          <w:rtl/>
        </w:rPr>
        <w:tab/>
        <w:t>د</w:t>
      </w:r>
    </w:p>
    <w:p w:rsidR="004A2AD4" w:rsidRDefault="00C74FB5">
      <w:pPr>
        <w:tabs>
          <w:tab w:val="left" w:leader="dot" w:pos="8956"/>
        </w:tabs>
        <w:spacing w:after="50" w:line="260" w:lineRule="auto"/>
        <w:rPr>
          <w:rFonts w:ascii="Simplified Arabic" w:hAnsi="Simplified Arabic" w:cs="Simplified Arabic"/>
          <w:sz w:val="26"/>
          <w:szCs w:val="26"/>
          <w:rtl/>
        </w:rPr>
      </w:pPr>
      <w:r>
        <w:rPr>
          <w:rFonts w:ascii="Simplified Arabic" w:hAnsi="Simplified Arabic" w:cs="Simplified Arabic"/>
          <w:sz w:val="26"/>
          <w:szCs w:val="26"/>
          <w:rtl/>
        </w:rPr>
        <w:t>المستخلص</w:t>
      </w:r>
      <w:r>
        <w:rPr>
          <w:rFonts w:ascii="Simplified Arabic" w:hAnsi="Simplified Arabic" w:cs="Simplified Arabic"/>
          <w:sz w:val="26"/>
          <w:szCs w:val="26"/>
          <w:rtl/>
        </w:rPr>
        <w:tab/>
        <w:t>هـ</w:t>
      </w:r>
    </w:p>
    <w:p w:rsidR="004A2AD4" w:rsidRDefault="00C74FB5">
      <w:pPr>
        <w:tabs>
          <w:tab w:val="left" w:leader="dot" w:pos="8956"/>
        </w:tabs>
        <w:spacing w:after="50" w:line="260" w:lineRule="auto"/>
        <w:rPr>
          <w:rFonts w:ascii="Simplified Arabic" w:hAnsi="Simplified Arabic" w:cs="Simplified Arabic"/>
          <w:sz w:val="26"/>
          <w:szCs w:val="26"/>
          <w:rtl/>
        </w:rPr>
      </w:pPr>
      <w:r>
        <w:rPr>
          <w:rFonts w:ascii="Simplified Arabic" w:hAnsi="Simplified Arabic" w:cs="Simplified Arabic"/>
          <w:sz w:val="26"/>
          <w:szCs w:val="26"/>
          <w:rtl/>
        </w:rPr>
        <w:t>قائمة المحتويات</w:t>
      </w:r>
      <w:r>
        <w:rPr>
          <w:rFonts w:ascii="Simplified Arabic" w:hAnsi="Simplified Arabic" w:cs="Simplified Arabic"/>
          <w:sz w:val="26"/>
          <w:szCs w:val="26"/>
          <w:rtl/>
        </w:rPr>
        <w:tab/>
        <w:t>و</w:t>
      </w:r>
    </w:p>
    <w:p w:rsidR="004A2AD4" w:rsidRDefault="00C74FB5" w:rsidP="008017A9">
      <w:pPr>
        <w:tabs>
          <w:tab w:val="left" w:leader="dot" w:pos="8956"/>
        </w:tabs>
        <w:spacing w:after="50" w:line="260" w:lineRule="auto"/>
        <w:rPr>
          <w:rFonts w:ascii="Simplified Arabic" w:hAnsi="Simplified Arabic" w:cs="Simplified Arabic"/>
          <w:sz w:val="26"/>
          <w:szCs w:val="26"/>
          <w:rtl/>
        </w:rPr>
      </w:pPr>
      <w:r>
        <w:rPr>
          <w:rFonts w:ascii="Simplified Arabic" w:hAnsi="Simplified Arabic" w:cs="Simplified Arabic"/>
          <w:sz w:val="26"/>
          <w:szCs w:val="26"/>
          <w:rtl/>
        </w:rPr>
        <w:t>قائمة الجداول</w:t>
      </w:r>
      <w:r>
        <w:rPr>
          <w:rFonts w:ascii="Simplified Arabic" w:hAnsi="Simplified Arabic" w:cs="Simplified Arabic"/>
          <w:sz w:val="26"/>
          <w:szCs w:val="26"/>
          <w:rtl/>
        </w:rPr>
        <w:tab/>
      </w:r>
      <w:r w:rsidR="008017A9">
        <w:rPr>
          <w:rFonts w:ascii="Simplified Arabic" w:hAnsi="Simplified Arabic" w:cs="Simplified Arabic" w:hint="cs"/>
          <w:sz w:val="26"/>
          <w:szCs w:val="26"/>
          <w:rtl/>
        </w:rPr>
        <w:t xml:space="preserve"> ي</w:t>
      </w:r>
    </w:p>
    <w:p w:rsidR="004A2AD4" w:rsidRDefault="00C74FB5">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t>الفصل الأول: الإطار العام للدراسة</w:t>
      </w:r>
      <w:r>
        <w:rPr>
          <w:rFonts w:ascii="Simplified Arabic" w:hAnsi="Simplified Arabic" w:cs="Simplified Arabic"/>
          <w:sz w:val="28"/>
          <w:szCs w:val="28"/>
          <w:rtl/>
        </w:rPr>
        <w:tab/>
      </w:r>
      <w:r>
        <w:rPr>
          <w:rFonts w:ascii="Times New Roman" w:hAnsi="Times New Roman" w:cs="Times New Roman"/>
          <w:b/>
          <w:bCs/>
          <w:sz w:val="28"/>
          <w:szCs w:val="28"/>
        </w:rPr>
        <w:t>1</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 مقدمة:</w:t>
      </w:r>
      <w:r>
        <w:rPr>
          <w:rFonts w:ascii="Simplified Arabic" w:hAnsi="Simplified Arabic" w:cs="Simplified Arabic"/>
          <w:sz w:val="26"/>
          <w:szCs w:val="26"/>
          <w:rtl/>
        </w:rPr>
        <w:tab/>
      </w:r>
      <w:r>
        <w:rPr>
          <w:rFonts w:ascii="Times New Roman" w:hAnsi="Times New Roman" w:cs="Times New Roman"/>
          <w:sz w:val="26"/>
          <w:szCs w:val="26"/>
        </w:rPr>
        <w:t>1</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1.2 مشكلة الدراسة:</w:t>
      </w:r>
      <w:r>
        <w:rPr>
          <w:rFonts w:ascii="Simplified Arabic" w:hAnsi="Simplified Arabic" w:cs="Simplified Arabic"/>
          <w:sz w:val="26"/>
          <w:szCs w:val="26"/>
          <w:rtl/>
        </w:rPr>
        <w:tab/>
      </w:r>
      <w:r>
        <w:rPr>
          <w:rFonts w:ascii="Times New Roman" w:hAnsi="Times New Roman" w:cs="Times New Roman"/>
          <w:sz w:val="26"/>
          <w:szCs w:val="26"/>
        </w:rPr>
        <w:t>2</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1.3 مبررات الدراسة:</w:t>
      </w:r>
      <w:r>
        <w:rPr>
          <w:rFonts w:ascii="Simplified Arabic" w:hAnsi="Simplified Arabic" w:cs="Simplified Arabic"/>
          <w:sz w:val="26"/>
          <w:szCs w:val="26"/>
          <w:rtl/>
        </w:rPr>
        <w:tab/>
      </w:r>
      <w:r>
        <w:rPr>
          <w:rFonts w:ascii="Times New Roman" w:hAnsi="Times New Roman" w:cs="Times New Roman"/>
          <w:sz w:val="26"/>
          <w:szCs w:val="26"/>
        </w:rPr>
        <w:t>3</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1.4 أهمية الدراسة:</w:t>
      </w:r>
      <w:r>
        <w:rPr>
          <w:rFonts w:ascii="Simplified Arabic" w:hAnsi="Simplified Arabic" w:cs="Simplified Arabic"/>
          <w:sz w:val="26"/>
          <w:szCs w:val="26"/>
          <w:rtl/>
        </w:rPr>
        <w:tab/>
      </w:r>
      <w:r>
        <w:rPr>
          <w:rFonts w:ascii="Times New Roman" w:hAnsi="Times New Roman" w:cs="Times New Roman"/>
          <w:sz w:val="26"/>
          <w:szCs w:val="26"/>
        </w:rPr>
        <w:t>3</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1.5 أهداف الدراسة:</w:t>
      </w:r>
      <w:r>
        <w:rPr>
          <w:rFonts w:ascii="Simplified Arabic" w:hAnsi="Simplified Arabic" w:cs="Simplified Arabic"/>
          <w:sz w:val="26"/>
          <w:szCs w:val="26"/>
          <w:rtl/>
        </w:rPr>
        <w:tab/>
      </w:r>
      <w:r>
        <w:rPr>
          <w:rFonts w:ascii="Times New Roman" w:hAnsi="Times New Roman" w:cs="Times New Roman"/>
          <w:sz w:val="26"/>
          <w:szCs w:val="26"/>
        </w:rPr>
        <w:t>4</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1.6 تساؤلات الدراسة:</w:t>
      </w:r>
      <w:r>
        <w:rPr>
          <w:rFonts w:ascii="Simplified Arabic" w:hAnsi="Simplified Arabic" w:cs="Simplified Arabic"/>
          <w:sz w:val="26"/>
          <w:szCs w:val="26"/>
          <w:rtl/>
        </w:rPr>
        <w:tab/>
      </w:r>
      <w:r>
        <w:rPr>
          <w:rFonts w:ascii="Times New Roman" w:hAnsi="Times New Roman" w:cs="Times New Roman"/>
          <w:sz w:val="26"/>
          <w:szCs w:val="26"/>
        </w:rPr>
        <w:t>5</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1.7 فروض الدراسة:</w:t>
      </w:r>
      <w:r>
        <w:rPr>
          <w:rFonts w:ascii="Simplified Arabic" w:hAnsi="Simplified Arabic" w:cs="Simplified Arabic"/>
          <w:sz w:val="26"/>
          <w:szCs w:val="26"/>
          <w:rtl/>
        </w:rPr>
        <w:tab/>
      </w:r>
      <w:r>
        <w:rPr>
          <w:rFonts w:ascii="Times New Roman" w:hAnsi="Times New Roman" w:cs="Times New Roman"/>
          <w:sz w:val="26"/>
          <w:szCs w:val="26"/>
        </w:rPr>
        <w:t>5</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1.8 نموذج الدراسة:</w:t>
      </w:r>
      <w:r>
        <w:rPr>
          <w:rFonts w:ascii="Simplified Arabic" w:hAnsi="Simplified Arabic" w:cs="Simplified Arabic"/>
          <w:sz w:val="26"/>
          <w:szCs w:val="26"/>
          <w:rtl/>
        </w:rPr>
        <w:tab/>
      </w:r>
      <w:r>
        <w:rPr>
          <w:rFonts w:ascii="Times New Roman" w:hAnsi="Times New Roman" w:cs="Times New Roman"/>
          <w:sz w:val="26"/>
          <w:szCs w:val="26"/>
        </w:rPr>
        <w:t>6</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1.9 النظرية العلمية المتبعة لإعداد البحث:</w:t>
      </w:r>
      <w:r>
        <w:rPr>
          <w:rFonts w:ascii="Simplified Arabic" w:hAnsi="Simplified Arabic" w:cs="Simplified Arabic"/>
          <w:sz w:val="26"/>
          <w:szCs w:val="26"/>
          <w:rtl/>
        </w:rPr>
        <w:tab/>
      </w:r>
      <w:r>
        <w:rPr>
          <w:rFonts w:ascii="Times New Roman" w:hAnsi="Times New Roman" w:cs="Times New Roman"/>
          <w:sz w:val="26"/>
          <w:szCs w:val="26"/>
        </w:rPr>
        <w:t>7</w:t>
      </w:r>
    </w:p>
    <w:p w:rsidR="004A2AD4" w:rsidRDefault="00C74FB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1.10 الدراسات السابقة:</w:t>
      </w:r>
      <w:r>
        <w:rPr>
          <w:rFonts w:ascii="Simplified Arabic" w:hAnsi="Simplified Arabic" w:cs="Simplified Arabic"/>
          <w:sz w:val="26"/>
          <w:szCs w:val="26"/>
          <w:rtl/>
        </w:rPr>
        <w:tab/>
      </w:r>
      <w:r>
        <w:rPr>
          <w:rFonts w:ascii="Times New Roman" w:hAnsi="Times New Roman" w:cs="Times New Roman"/>
          <w:sz w:val="26"/>
          <w:szCs w:val="26"/>
        </w:rPr>
        <w:t>8</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1.11 المنطلقات النظرية للدراسة:</w:t>
      </w:r>
      <w:r>
        <w:rPr>
          <w:rFonts w:ascii="Simplified Arabic" w:hAnsi="Simplified Arabic" w:cs="Simplified Arabic"/>
          <w:sz w:val="26"/>
          <w:szCs w:val="26"/>
          <w:rtl/>
        </w:rPr>
        <w:tab/>
      </w:r>
      <w:r w:rsidR="00846A25">
        <w:rPr>
          <w:rFonts w:ascii="Times New Roman" w:hAnsi="Times New Roman" w:cs="Times New Roman"/>
          <w:sz w:val="26"/>
          <w:szCs w:val="26"/>
        </w:rPr>
        <w:t>14</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1.12 منهجية البحث:</w:t>
      </w:r>
      <w:r>
        <w:rPr>
          <w:rFonts w:ascii="Simplified Arabic" w:hAnsi="Simplified Arabic" w:cs="Simplified Arabic"/>
          <w:sz w:val="26"/>
          <w:szCs w:val="26"/>
          <w:rtl/>
        </w:rPr>
        <w:tab/>
      </w:r>
      <w:r w:rsidR="00846A25">
        <w:rPr>
          <w:rFonts w:ascii="Times New Roman" w:hAnsi="Times New Roman" w:cs="Times New Roman"/>
          <w:sz w:val="26"/>
          <w:szCs w:val="26"/>
        </w:rPr>
        <w:t>16</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1.13 مصادر البيانات:</w:t>
      </w:r>
      <w:r>
        <w:rPr>
          <w:rFonts w:ascii="Simplified Arabic" w:hAnsi="Simplified Arabic" w:cs="Simplified Arabic"/>
          <w:sz w:val="26"/>
          <w:szCs w:val="26"/>
          <w:rtl/>
        </w:rPr>
        <w:tab/>
      </w:r>
      <w:r w:rsidR="00846A25">
        <w:rPr>
          <w:rFonts w:ascii="Times New Roman" w:hAnsi="Times New Roman" w:cs="Times New Roman"/>
          <w:sz w:val="26"/>
          <w:szCs w:val="26"/>
        </w:rPr>
        <w:t>16</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1.14 أدوات الدراسة:</w:t>
      </w:r>
      <w:r>
        <w:rPr>
          <w:rFonts w:ascii="Simplified Arabic" w:hAnsi="Simplified Arabic" w:cs="Simplified Arabic"/>
          <w:sz w:val="26"/>
          <w:szCs w:val="26"/>
          <w:rtl/>
        </w:rPr>
        <w:tab/>
      </w:r>
      <w:r w:rsidR="00846A25">
        <w:rPr>
          <w:rFonts w:ascii="Times New Roman" w:hAnsi="Times New Roman" w:cs="Times New Roman"/>
          <w:sz w:val="26"/>
          <w:szCs w:val="26"/>
        </w:rPr>
        <w:t>17</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1.15 الأساليب الإحصائية المستخدمة:</w:t>
      </w:r>
      <w:r>
        <w:rPr>
          <w:rFonts w:ascii="Simplified Arabic" w:hAnsi="Simplified Arabic" w:cs="Simplified Arabic"/>
          <w:sz w:val="26"/>
          <w:szCs w:val="26"/>
          <w:rtl/>
        </w:rPr>
        <w:tab/>
      </w:r>
      <w:r w:rsidR="00846A25">
        <w:rPr>
          <w:rFonts w:ascii="Times New Roman" w:hAnsi="Times New Roman" w:cs="Times New Roman"/>
          <w:sz w:val="26"/>
          <w:szCs w:val="26"/>
        </w:rPr>
        <w:t>17</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1.16 حدود الدراسة:</w:t>
      </w:r>
      <w:r>
        <w:rPr>
          <w:rFonts w:ascii="Simplified Arabic" w:hAnsi="Simplified Arabic" w:cs="Simplified Arabic"/>
          <w:sz w:val="26"/>
          <w:szCs w:val="26"/>
          <w:rtl/>
        </w:rPr>
        <w:tab/>
      </w:r>
      <w:r w:rsidR="00846A25">
        <w:rPr>
          <w:rFonts w:ascii="Times New Roman" w:hAnsi="Times New Roman" w:cs="Times New Roman"/>
          <w:sz w:val="26"/>
          <w:szCs w:val="26"/>
        </w:rPr>
        <w:t>18</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1.17 مصطلحات الدراسة الإجرائية:</w:t>
      </w:r>
      <w:r>
        <w:rPr>
          <w:rFonts w:ascii="Simplified Arabic" w:hAnsi="Simplified Arabic" w:cs="Simplified Arabic"/>
          <w:sz w:val="26"/>
          <w:szCs w:val="26"/>
          <w:rtl/>
        </w:rPr>
        <w:tab/>
      </w:r>
      <w:r w:rsidR="00846A25">
        <w:rPr>
          <w:rFonts w:ascii="Times New Roman" w:hAnsi="Times New Roman" w:cs="Times New Roman"/>
          <w:sz w:val="26"/>
          <w:szCs w:val="26"/>
        </w:rPr>
        <w:t>18</w:t>
      </w:r>
    </w:p>
    <w:p w:rsidR="004A2AD4" w:rsidRDefault="00C74FB5" w:rsidP="00846A25">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lastRenderedPageBreak/>
        <w:t xml:space="preserve">الفصل الثاني: الإطار النظري </w:t>
      </w:r>
      <w:proofErr w:type="spellStart"/>
      <w:r>
        <w:rPr>
          <w:rFonts w:ascii="Simplified Arabic" w:hAnsi="Simplified Arabic" w:cs="Simplified Arabic"/>
          <w:b/>
          <w:bCs/>
          <w:sz w:val="28"/>
          <w:szCs w:val="28"/>
          <w:rtl/>
        </w:rPr>
        <w:t>والمفاهيمي</w:t>
      </w:r>
      <w:proofErr w:type="spellEnd"/>
      <w:r>
        <w:rPr>
          <w:rFonts w:ascii="Simplified Arabic" w:hAnsi="Simplified Arabic" w:cs="Simplified Arabic"/>
          <w:sz w:val="28"/>
          <w:szCs w:val="28"/>
          <w:rtl/>
        </w:rPr>
        <w:tab/>
      </w:r>
      <w:r w:rsidR="00846A25">
        <w:rPr>
          <w:rFonts w:ascii="Times New Roman" w:hAnsi="Times New Roman" w:cs="Times New Roman"/>
          <w:b/>
          <w:bCs/>
          <w:sz w:val="28"/>
          <w:szCs w:val="28"/>
        </w:rPr>
        <w:t>20</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تمهيد:</w:t>
      </w:r>
      <w:r>
        <w:rPr>
          <w:rFonts w:ascii="Simplified Arabic" w:hAnsi="Simplified Arabic" w:cs="Simplified Arabic"/>
          <w:sz w:val="26"/>
          <w:szCs w:val="26"/>
          <w:rtl/>
        </w:rPr>
        <w:tab/>
      </w:r>
      <w:r w:rsidR="00846A25">
        <w:rPr>
          <w:rFonts w:ascii="Times New Roman" w:hAnsi="Times New Roman" w:cs="Times New Roman"/>
          <w:sz w:val="26"/>
          <w:szCs w:val="26"/>
        </w:rPr>
        <w:t>20</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المبحث الأول: إدارة المخاطر</w:t>
      </w:r>
      <w:r>
        <w:rPr>
          <w:rFonts w:ascii="Simplified Arabic" w:hAnsi="Simplified Arabic" w:cs="Simplified Arabic"/>
          <w:sz w:val="26"/>
          <w:szCs w:val="26"/>
          <w:rtl/>
        </w:rPr>
        <w:tab/>
      </w:r>
      <w:r w:rsidR="00846A25">
        <w:rPr>
          <w:rFonts w:ascii="Times New Roman" w:hAnsi="Times New Roman" w:cs="Times New Roman"/>
          <w:sz w:val="26"/>
          <w:szCs w:val="26"/>
        </w:rPr>
        <w:t>20</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2.1 مفهوم إدارة المخاطر وتطوره:</w:t>
      </w:r>
      <w:r>
        <w:rPr>
          <w:rFonts w:ascii="Simplified Arabic" w:hAnsi="Simplified Arabic" w:cs="Simplified Arabic"/>
          <w:sz w:val="26"/>
          <w:szCs w:val="26"/>
          <w:rtl/>
        </w:rPr>
        <w:tab/>
      </w:r>
      <w:r w:rsidR="00846A25">
        <w:rPr>
          <w:rFonts w:ascii="Times New Roman" w:hAnsi="Times New Roman" w:cs="Times New Roman"/>
          <w:sz w:val="26"/>
          <w:szCs w:val="26"/>
        </w:rPr>
        <w:t>20</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2.2 تعريف المخاطر:</w:t>
      </w:r>
      <w:r>
        <w:rPr>
          <w:rFonts w:ascii="Simplified Arabic" w:hAnsi="Simplified Arabic" w:cs="Simplified Arabic"/>
          <w:sz w:val="26"/>
          <w:szCs w:val="26"/>
          <w:rtl/>
        </w:rPr>
        <w:tab/>
      </w:r>
      <w:r w:rsidR="00846A25">
        <w:rPr>
          <w:rFonts w:ascii="Times New Roman" w:hAnsi="Times New Roman" w:cs="Times New Roman"/>
          <w:sz w:val="26"/>
          <w:szCs w:val="26"/>
        </w:rPr>
        <w:t>21</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2.3 أنواع المخاطر في المشاريع الحكومية:</w:t>
      </w:r>
      <w:r>
        <w:rPr>
          <w:rFonts w:ascii="Simplified Arabic" w:hAnsi="Simplified Arabic" w:cs="Simplified Arabic"/>
          <w:sz w:val="26"/>
          <w:szCs w:val="26"/>
          <w:rtl/>
        </w:rPr>
        <w:tab/>
      </w:r>
      <w:r w:rsidR="00846A25">
        <w:rPr>
          <w:rFonts w:ascii="Times New Roman" w:hAnsi="Times New Roman" w:cs="Times New Roman"/>
          <w:sz w:val="26"/>
          <w:szCs w:val="26"/>
        </w:rPr>
        <w:t>21</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2.4 مراحل إدارة المخاطر:</w:t>
      </w:r>
      <w:r>
        <w:rPr>
          <w:rFonts w:ascii="Simplified Arabic" w:hAnsi="Simplified Arabic" w:cs="Simplified Arabic"/>
          <w:sz w:val="26"/>
          <w:szCs w:val="26"/>
          <w:rtl/>
        </w:rPr>
        <w:tab/>
      </w:r>
      <w:r w:rsidR="00846A25">
        <w:rPr>
          <w:rFonts w:ascii="Times New Roman" w:hAnsi="Times New Roman" w:cs="Times New Roman"/>
          <w:sz w:val="26"/>
          <w:szCs w:val="26"/>
        </w:rPr>
        <w:t>22</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2.5 النماذج النظرية لإدارة المخاطر:</w:t>
      </w:r>
      <w:r>
        <w:rPr>
          <w:rFonts w:ascii="Simplified Arabic" w:hAnsi="Simplified Arabic" w:cs="Simplified Arabic"/>
          <w:sz w:val="26"/>
          <w:szCs w:val="26"/>
          <w:rtl/>
        </w:rPr>
        <w:tab/>
      </w:r>
      <w:r w:rsidR="00846A25">
        <w:rPr>
          <w:rFonts w:ascii="Times New Roman" w:hAnsi="Times New Roman" w:cs="Times New Roman"/>
          <w:sz w:val="26"/>
          <w:szCs w:val="26"/>
        </w:rPr>
        <w:t>23</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المبحث الثاني: نجاح المشاريع</w:t>
      </w:r>
      <w:r>
        <w:rPr>
          <w:rFonts w:ascii="Simplified Arabic" w:hAnsi="Simplified Arabic" w:cs="Simplified Arabic"/>
          <w:sz w:val="26"/>
          <w:szCs w:val="26"/>
          <w:rtl/>
        </w:rPr>
        <w:tab/>
      </w:r>
      <w:r w:rsidR="00846A25">
        <w:rPr>
          <w:rFonts w:ascii="Times New Roman" w:hAnsi="Times New Roman" w:cs="Times New Roman"/>
          <w:sz w:val="26"/>
          <w:szCs w:val="26"/>
        </w:rPr>
        <w:t>24</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2.6 مفهوم المشروع ودورة حياته:</w:t>
      </w:r>
      <w:r>
        <w:rPr>
          <w:rFonts w:ascii="Simplified Arabic" w:hAnsi="Simplified Arabic" w:cs="Simplified Arabic"/>
          <w:sz w:val="26"/>
          <w:szCs w:val="26"/>
          <w:rtl/>
        </w:rPr>
        <w:tab/>
      </w:r>
      <w:r w:rsidR="00846A25">
        <w:rPr>
          <w:rFonts w:ascii="Times New Roman" w:hAnsi="Times New Roman" w:cs="Times New Roman"/>
          <w:sz w:val="26"/>
          <w:szCs w:val="26"/>
        </w:rPr>
        <w:t>24</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2.7 مفهوم نجاح المشروع ومعاييره:</w:t>
      </w:r>
      <w:r>
        <w:rPr>
          <w:rFonts w:ascii="Simplified Arabic" w:hAnsi="Simplified Arabic" w:cs="Simplified Arabic"/>
          <w:sz w:val="26"/>
          <w:szCs w:val="26"/>
          <w:rtl/>
        </w:rPr>
        <w:tab/>
      </w:r>
      <w:r w:rsidR="00846A25">
        <w:rPr>
          <w:rFonts w:ascii="Times New Roman" w:hAnsi="Times New Roman" w:cs="Times New Roman"/>
          <w:sz w:val="26"/>
          <w:szCs w:val="26"/>
        </w:rPr>
        <w:t>24</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2.8 العلاقة بين إدارة المخاطر ونجاح المشاريع:</w:t>
      </w:r>
      <w:r>
        <w:rPr>
          <w:rFonts w:ascii="Simplified Arabic" w:hAnsi="Simplified Arabic" w:cs="Simplified Arabic"/>
          <w:sz w:val="26"/>
          <w:szCs w:val="26"/>
          <w:rtl/>
        </w:rPr>
        <w:tab/>
      </w:r>
      <w:r w:rsidR="00846A25">
        <w:rPr>
          <w:rFonts w:ascii="Times New Roman" w:hAnsi="Times New Roman" w:cs="Times New Roman"/>
          <w:sz w:val="26"/>
          <w:szCs w:val="26"/>
        </w:rPr>
        <w:t>25</w:t>
      </w:r>
    </w:p>
    <w:p w:rsidR="004A2AD4" w:rsidRDefault="00C74FB5" w:rsidP="00846A25">
      <w:pPr>
        <w:tabs>
          <w:tab w:val="left" w:leader="dot" w:pos="8236"/>
        </w:tabs>
        <w:spacing w:after="50" w:line="260" w:lineRule="auto"/>
        <w:ind w:right="720"/>
        <w:rPr>
          <w:rFonts w:ascii="Simplified Arabic" w:hAnsi="Simplified Arabic" w:cs="Simplified Arabic"/>
          <w:sz w:val="26"/>
          <w:szCs w:val="26"/>
          <w:rtl/>
        </w:rPr>
      </w:pPr>
      <w:r>
        <w:rPr>
          <w:rFonts w:ascii="Simplified Arabic" w:hAnsi="Simplified Arabic" w:cs="Simplified Arabic"/>
          <w:sz w:val="26"/>
          <w:szCs w:val="26"/>
          <w:rtl/>
        </w:rPr>
        <w:t>2.9 خصائص المشاريع العدلية وتأثيرها على إدارة المخاطر:</w:t>
      </w:r>
      <w:r>
        <w:rPr>
          <w:rFonts w:ascii="Simplified Arabic" w:hAnsi="Simplified Arabic" w:cs="Simplified Arabic"/>
          <w:sz w:val="26"/>
          <w:szCs w:val="26"/>
          <w:rtl/>
        </w:rPr>
        <w:tab/>
      </w:r>
      <w:r w:rsidR="00846A25">
        <w:rPr>
          <w:rFonts w:ascii="Times New Roman" w:hAnsi="Times New Roman" w:cs="Times New Roman"/>
          <w:sz w:val="26"/>
          <w:szCs w:val="26"/>
        </w:rPr>
        <w:t>26</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خلاصة الفصل الثاني:</w:t>
      </w:r>
      <w:r>
        <w:rPr>
          <w:rFonts w:ascii="Simplified Arabic" w:hAnsi="Simplified Arabic" w:cs="Simplified Arabic"/>
          <w:sz w:val="26"/>
          <w:szCs w:val="26"/>
          <w:rtl/>
        </w:rPr>
        <w:tab/>
      </w:r>
      <w:r w:rsidR="00846A25">
        <w:rPr>
          <w:rFonts w:ascii="Times New Roman" w:hAnsi="Times New Roman" w:cs="Times New Roman"/>
          <w:sz w:val="26"/>
          <w:szCs w:val="26"/>
        </w:rPr>
        <w:t>28</w:t>
      </w:r>
    </w:p>
    <w:p w:rsidR="004A2AD4" w:rsidRDefault="00C74FB5" w:rsidP="00846A25">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t>الفصل الثالث: منهجية الدراسة</w:t>
      </w:r>
      <w:r>
        <w:rPr>
          <w:rFonts w:ascii="Simplified Arabic" w:hAnsi="Simplified Arabic" w:cs="Simplified Arabic"/>
          <w:sz w:val="28"/>
          <w:szCs w:val="28"/>
          <w:rtl/>
        </w:rPr>
        <w:tab/>
      </w:r>
      <w:r w:rsidR="00846A25">
        <w:rPr>
          <w:rFonts w:ascii="Times New Roman" w:hAnsi="Times New Roman" w:cs="Times New Roman"/>
          <w:b/>
          <w:bCs/>
          <w:sz w:val="28"/>
          <w:szCs w:val="28"/>
        </w:rPr>
        <w:t>29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3.1 مقدمة:</w:t>
      </w:r>
      <w:r>
        <w:rPr>
          <w:rFonts w:ascii="Simplified Arabic" w:hAnsi="Simplified Arabic" w:cs="Simplified Arabic"/>
          <w:sz w:val="26"/>
          <w:szCs w:val="26"/>
          <w:rtl/>
        </w:rPr>
        <w:tab/>
      </w:r>
      <w:r w:rsidR="00846A25">
        <w:rPr>
          <w:rFonts w:ascii="Times New Roman" w:hAnsi="Times New Roman" w:cs="Times New Roman"/>
          <w:sz w:val="26"/>
          <w:szCs w:val="26"/>
        </w:rPr>
        <w:t>29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3.2 منهج الدراسة:</w:t>
      </w:r>
      <w:r>
        <w:rPr>
          <w:rFonts w:ascii="Simplified Arabic" w:hAnsi="Simplified Arabic" w:cs="Simplified Arabic"/>
          <w:sz w:val="26"/>
          <w:szCs w:val="26"/>
          <w:rtl/>
        </w:rPr>
        <w:tab/>
      </w:r>
      <w:r w:rsidR="00846A25">
        <w:rPr>
          <w:rFonts w:ascii="Times New Roman" w:hAnsi="Times New Roman" w:cs="Times New Roman"/>
          <w:sz w:val="26"/>
          <w:szCs w:val="26"/>
        </w:rPr>
        <w:t>29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3.3 مجتمع الدراسة:</w:t>
      </w:r>
      <w:r>
        <w:rPr>
          <w:rFonts w:ascii="Simplified Arabic" w:hAnsi="Simplified Arabic" w:cs="Simplified Arabic"/>
          <w:sz w:val="26"/>
          <w:szCs w:val="26"/>
          <w:rtl/>
        </w:rPr>
        <w:tab/>
      </w:r>
      <w:r w:rsidR="00846A25">
        <w:rPr>
          <w:rFonts w:ascii="Times New Roman" w:hAnsi="Times New Roman" w:cs="Times New Roman"/>
          <w:sz w:val="26"/>
          <w:szCs w:val="26"/>
        </w:rPr>
        <w:t>29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3.4 عينة الدراسة:</w:t>
      </w:r>
      <w:r>
        <w:rPr>
          <w:rFonts w:ascii="Simplified Arabic" w:hAnsi="Simplified Arabic" w:cs="Simplified Arabic"/>
          <w:sz w:val="26"/>
          <w:szCs w:val="26"/>
          <w:rtl/>
        </w:rPr>
        <w:tab/>
      </w:r>
      <w:r w:rsidR="00846A25">
        <w:rPr>
          <w:rFonts w:ascii="Times New Roman" w:hAnsi="Times New Roman" w:cs="Times New Roman"/>
          <w:sz w:val="26"/>
          <w:szCs w:val="26"/>
        </w:rPr>
        <w:t>30</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3.5 متغيرات الدراسة:</w:t>
      </w:r>
      <w:r>
        <w:rPr>
          <w:rFonts w:ascii="Simplified Arabic" w:hAnsi="Simplified Arabic" w:cs="Simplified Arabic"/>
          <w:sz w:val="26"/>
          <w:szCs w:val="26"/>
          <w:rtl/>
        </w:rPr>
        <w:tab/>
      </w:r>
      <w:r w:rsidR="00846A25">
        <w:rPr>
          <w:rFonts w:ascii="Times New Roman" w:hAnsi="Times New Roman" w:cs="Times New Roman"/>
          <w:sz w:val="26"/>
          <w:szCs w:val="26"/>
        </w:rPr>
        <w:t>31</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3.6 أداة جمع البيانات:</w:t>
      </w:r>
      <w:r>
        <w:rPr>
          <w:rFonts w:ascii="Simplified Arabic" w:hAnsi="Simplified Arabic" w:cs="Simplified Arabic"/>
          <w:sz w:val="26"/>
          <w:szCs w:val="26"/>
          <w:rtl/>
        </w:rPr>
        <w:tab/>
      </w:r>
      <w:r w:rsidR="00846A25">
        <w:rPr>
          <w:rFonts w:ascii="Times New Roman" w:hAnsi="Times New Roman" w:cs="Times New Roman"/>
          <w:sz w:val="26"/>
          <w:szCs w:val="26"/>
        </w:rPr>
        <w:t>31</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3.7 صدق الأداة وثباتها:</w:t>
      </w:r>
      <w:r>
        <w:rPr>
          <w:rFonts w:ascii="Simplified Arabic" w:hAnsi="Simplified Arabic" w:cs="Simplified Arabic"/>
          <w:sz w:val="26"/>
          <w:szCs w:val="26"/>
          <w:rtl/>
        </w:rPr>
        <w:tab/>
      </w:r>
      <w:r w:rsidR="00846A25">
        <w:rPr>
          <w:rFonts w:ascii="Times New Roman" w:hAnsi="Times New Roman" w:cs="Times New Roman"/>
          <w:sz w:val="26"/>
          <w:szCs w:val="26"/>
        </w:rPr>
        <w:t>32</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3.8 أساليب تحليل البيانات:</w:t>
      </w:r>
      <w:r>
        <w:rPr>
          <w:rFonts w:ascii="Simplified Arabic" w:hAnsi="Simplified Arabic" w:cs="Simplified Arabic"/>
          <w:sz w:val="26"/>
          <w:szCs w:val="26"/>
          <w:rtl/>
        </w:rPr>
        <w:tab/>
      </w:r>
      <w:r w:rsidR="00846A25">
        <w:rPr>
          <w:rFonts w:ascii="Times New Roman" w:hAnsi="Times New Roman" w:cs="Times New Roman"/>
          <w:sz w:val="26"/>
          <w:szCs w:val="26"/>
        </w:rPr>
        <w:t>33</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3.9 الاعتبارات الأخلاقية:</w:t>
      </w:r>
      <w:r>
        <w:rPr>
          <w:rFonts w:ascii="Simplified Arabic" w:hAnsi="Simplified Arabic" w:cs="Simplified Arabic"/>
          <w:sz w:val="26"/>
          <w:szCs w:val="26"/>
          <w:rtl/>
        </w:rPr>
        <w:tab/>
      </w:r>
      <w:r w:rsidR="00846A25">
        <w:rPr>
          <w:rFonts w:ascii="Times New Roman" w:hAnsi="Times New Roman" w:cs="Times New Roman"/>
          <w:sz w:val="26"/>
          <w:szCs w:val="26"/>
        </w:rPr>
        <w:t>34</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3.10 حدود الاستخدام والتعميم:</w:t>
      </w:r>
      <w:r>
        <w:rPr>
          <w:rFonts w:ascii="Simplified Arabic" w:hAnsi="Simplified Arabic" w:cs="Simplified Arabic"/>
          <w:sz w:val="26"/>
          <w:szCs w:val="26"/>
          <w:rtl/>
        </w:rPr>
        <w:tab/>
      </w:r>
      <w:r w:rsidR="00846A25">
        <w:rPr>
          <w:rFonts w:ascii="Times New Roman" w:hAnsi="Times New Roman" w:cs="Times New Roman"/>
          <w:sz w:val="26"/>
          <w:szCs w:val="26"/>
        </w:rPr>
        <w:t>35</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3.11 الدراسة الاستطلاعية الأولية:</w:t>
      </w:r>
      <w:r>
        <w:rPr>
          <w:rFonts w:ascii="Simplified Arabic" w:hAnsi="Simplified Arabic" w:cs="Simplified Arabic"/>
          <w:sz w:val="26"/>
          <w:szCs w:val="26"/>
          <w:rtl/>
        </w:rPr>
        <w:tab/>
      </w:r>
      <w:r w:rsidR="00846A25">
        <w:rPr>
          <w:rFonts w:ascii="Times New Roman" w:hAnsi="Times New Roman" w:cs="Times New Roman"/>
          <w:sz w:val="26"/>
          <w:szCs w:val="26"/>
        </w:rPr>
        <w:t>35</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lastRenderedPageBreak/>
        <w:t>3.12 التحليل العاملي التوكيدي (CFA):</w:t>
      </w:r>
      <w:r>
        <w:rPr>
          <w:rFonts w:ascii="Simplified Arabic" w:hAnsi="Simplified Arabic" w:cs="Simplified Arabic"/>
          <w:sz w:val="26"/>
          <w:szCs w:val="26"/>
          <w:rtl/>
        </w:rPr>
        <w:tab/>
      </w:r>
      <w:r w:rsidR="00846A25">
        <w:rPr>
          <w:rFonts w:ascii="Times New Roman" w:hAnsi="Times New Roman" w:cs="Times New Roman"/>
          <w:sz w:val="26"/>
          <w:szCs w:val="26"/>
        </w:rPr>
        <w:t>35</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 xml:space="preserve">3.13 الصدق </w:t>
      </w:r>
      <w:proofErr w:type="spellStart"/>
      <w:r>
        <w:rPr>
          <w:rFonts w:ascii="Simplified Arabic" w:hAnsi="Simplified Arabic" w:cs="Simplified Arabic"/>
          <w:sz w:val="26"/>
          <w:szCs w:val="26"/>
          <w:rtl/>
        </w:rPr>
        <w:t>التقاربي</w:t>
      </w:r>
      <w:proofErr w:type="spellEnd"/>
      <w:r>
        <w:rPr>
          <w:rFonts w:ascii="Simplified Arabic" w:hAnsi="Simplified Arabic" w:cs="Simplified Arabic"/>
          <w:sz w:val="26"/>
          <w:szCs w:val="26"/>
          <w:rtl/>
        </w:rPr>
        <w:t xml:space="preserve"> والتمييزي:</w:t>
      </w:r>
      <w:r>
        <w:rPr>
          <w:rFonts w:ascii="Simplified Arabic" w:hAnsi="Simplified Arabic" w:cs="Simplified Arabic"/>
          <w:sz w:val="26"/>
          <w:szCs w:val="26"/>
          <w:rtl/>
        </w:rPr>
        <w:tab/>
      </w:r>
      <w:r w:rsidR="00846A25">
        <w:rPr>
          <w:rFonts w:ascii="Times New Roman" w:hAnsi="Times New Roman" w:cs="Times New Roman"/>
          <w:sz w:val="26"/>
          <w:szCs w:val="26"/>
        </w:rPr>
        <w:t>36</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3.14 اختبار التحيز المنهجي المشترك:</w:t>
      </w:r>
      <w:r>
        <w:rPr>
          <w:rFonts w:ascii="Simplified Arabic" w:hAnsi="Simplified Arabic" w:cs="Simplified Arabic"/>
          <w:sz w:val="26"/>
          <w:szCs w:val="26"/>
          <w:rtl/>
        </w:rPr>
        <w:tab/>
      </w:r>
      <w:r w:rsidR="00846A25">
        <w:rPr>
          <w:rFonts w:ascii="Times New Roman" w:hAnsi="Times New Roman" w:cs="Times New Roman"/>
          <w:sz w:val="26"/>
          <w:szCs w:val="26"/>
        </w:rPr>
        <w:t>37</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3.15 إجراءات جمع البيانات وتوزيع الاستبانة:</w:t>
      </w:r>
      <w:r>
        <w:rPr>
          <w:rFonts w:ascii="Simplified Arabic" w:hAnsi="Simplified Arabic" w:cs="Simplified Arabic"/>
          <w:sz w:val="26"/>
          <w:szCs w:val="26"/>
          <w:rtl/>
        </w:rPr>
        <w:tab/>
      </w:r>
      <w:r w:rsidR="00846A25">
        <w:rPr>
          <w:rFonts w:ascii="Times New Roman" w:hAnsi="Times New Roman" w:cs="Times New Roman"/>
          <w:sz w:val="26"/>
          <w:szCs w:val="26"/>
        </w:rPr>
        <w:t>38</w:t>
      </w:r>
    </w:p>
    <w:p w:rsidR="004A2AD4" w:rsidRDefault="00C74FB5" w:rsidP="00846A25">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t>الفصل الرابع: تحليل البيانات واختبار الفرضيات</w:t>
      </w:r>
      <w:r>
        <w:rPr>
          <w:rFonts w:ascii="Simplified Arabic" w:hAnsi="Simplified Arabic" w:cs="Simplified Arabic"/>
          <w:sz w:val="28"/>
          <w:szCs w:val="28"/>
          <w:rtl/>
        </w:rPr>
        <w:tab/>
      </w:r>
      <w:r w:rsidR="00846A25">
        <w:rPr>
          <w:rFonts w:ascii="Times New Roman" w:hAnsi="Times New Roman" w:cs="Times New Roman"/>
          <w:b/>
          <w:bCs/>
          <w:sz w:val="28"/>
          <w:szCs w:val="28"/>
        </w:rPr>
        <w:t>39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4.1 مقدمة:</w:t>
      </w:r>
      <w:r>
        <w:rPr>
          <w:rFonts w:ascii="Simplified Arabic" w:hAnsi="Simplified Arabic" w:cs="Simplified Arabic"/>
          <w:sz w:val="26"/>
          <w:szCs w:val="26"/>
          <w:rtl/>
        </w:rPr>
        <w:tab/>
      </w:r>
      <w:r w:rsidR="00846A25">
        <w:rPr>
          <w:rFonts w:ascii="Times New Roman" w:hAnsi="Times New Roman" w:cs="Times New Roman"/>
          <w:sz w:val="26"/>
          <w:szCs w:val="26"/>
        </w:rPr>
        <w:t>39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4.2 التوزيع الطبيعي:</w:t>
      </w:r>
      <w:r>
        <w:rPr>
          <w:rFonts w:ascii="Simplified Arabic" w:hAnsi="Simplified Arabic" w:cs="Simplified Arabic"/>
          <w:sz w:val="26"/>
          <w:szCs w:val="26"/>
          <w:rtl/>
        </w:rPr>
        <w:tab/>
      </w:r>
      <w:r w:rsidR="00846A25">
        <w:rPr>
          <w:rFonts w:ascii="Times New Roman" w:hAnsi="Times New Roman" w:cs="Times New Roman"/>
          <w:sz w:val="26"/>
          <w:szCs w:val="26"/>
        </w:rPr>
        <w:t>39</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4.3 تحليل البيانات الوصفية:</w:t>
      </w:r>
      <w:r>
        <w:rPr>
          <w:rFonts w:ascii="Simplified Arabic" w:hAnsi="Simplified Arabic" w:cs="Simplified Arabic"/>
          <w:sz w:val="26"/>
          <w:szCs w:val="26"/>
          <w:rtl/>
        </w:rPr>
        <w:tab/>
      </w:r>
      <w:r w:rsidR="00846A25">
        <w:rPr>
          <w:rFonts w:ascii="Times New Roman" w:hAnsi="Times New Roman" w:cs="Times New Roman"/>
          <w:sz w:val="26"/>
          <w:szCs w:val="26"/>
        </w:rPr>
        <w:t>40</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4.4 تحليل محاور إدارة المخاطر:</w:t>
      </w:r>
      <w:r>
        <w:rPr>
          <w:rFonts w:ascii="Simplified Arabic" w:hAnsi="Simplified Arabic" w:cs="Simplified Arabic"/>
          <w:sz w:val="26"/>
          <w:szCs w:val="26"/>
          <w:rtl/>
        </w:rPr>
        <w:tab/>
      </w:r>
      <w:r w:rsidR="00846A25">
        <w:rPr>
          <w:rFonts w:ascii="Times New Roman" w:hAnsi="Times New Roman" w:cs="Times New Roman"/>
          <w:sz w:val="26"/>
          <w:szCs w:val="26"/>
        </w:rPr>
        <w:t>41</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4.5 تحليل محور نجاح المشاريع:</w:t>
      </w:r>
      <w:r>
        <w:rPr>
          <w:rFonts w:ascii="Simplified Arabic" w:hAnsi="Simplified Arabic" w:cs="Simplified Arabic"/>
          <w:sz w:val="26"/>
          <w:szCs w:val="26"/>
          <w:rtl/>
        </w:rPr>
        <w:tab/>
      </w:r>
      <w:r w:rsidR="00846A25">
        <w:rPr>
          <w:rFonts w:ascii="Times New Roman" w:hAnsi="Times New Roman" w:cs="Times New Roman"/>
          <w:sz w:val="26"/>
          <w:szCs w:val="26"/>
        </w:rPr>
        <w:t>43</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4.6 اختبار الفرضيات:</w:t>
      </w:r>
      <w:r>
        <w:rPr>
          <w:rFonts w:ascii="Simplified Arabic" w:hAnsi="Simplified Arabic" w:cs="Simplified Arabic"/>
          <w:sz w:val="26"/>
          <w:szCs w:val="26"/>
          <w:rtl/>
        </w:rPr>
        <w:tab/>
      </w:r>
      <w:r w:rsidR="00846A25">
        <w:rPr>
          <w:rFonts w:ascii="Times New Roman" w:hAnsi="Times New Roman" w:cs="Times New Roman"/>
          <w:sz w:val="26"/>
          <w:szCs w:val="26"/>
        </w:rPr>
        <w:t>44</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4.7 تحليل أبعاد نجاح المشاريع بالتفصيل:</w:t>
      </w:r>
      <w:r>
        <w:rPr>
          <w:rFonts w:ascii="Simplified Arabic" w:hAnsi="Simplified Arabic" w:cs="Simplified Arabic"/>
          <w:sz w:val="26"/>
          <w:szCs w:val="26"/>
          <w:rtl/>
        </w:rPr>
        <w:tab/>
      </w:r>
      <w:r w:rsidR="00846A25">
        <w:rPr>
          <w:rFonts w:ascii="Times New Roman" w:hAnsi="Times New Roman" w:cs="Times New Roman"/>
          <w:sz w:val="26"/>
          <w:szCs w:val="26"/>
        </w:rPr>
        <w:t>46</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4.8 اختبارات تكميلية للفرضيات:</w:t>
      </w:r>
      <w:r>
        <w:rPr>
          <w:rFonts w:ascii="Simplified Arabic" w:hAnsi="Simplified Arabic" w:cs="Simplified Arabic"/>
          <w:sz w:val="26"/>
          <w:szCs w:val="26"/>
          <w:rtl/>
        </w:rPr>
        <w:tab/>
      </w:r>
      <w:r w:rsidR="00846A25">
        <w:rPr>
          <w:rFonts w:ascii="Times New Roman" w:hAnsi="Times New Roman" w:cs="Times New Roman"/>
          <w:sz w:val="26"/>
          <w:szCs w:val="26"/>
        </w:rPr>
        <w:t>47</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4.9 مناقشة النتائج في ضوء الدراسات السابقة:</w:t>
      </w:r>
      <w:r>
        <w:rPr>
          <w:rFonts w:ascii="Simplified Arabic" w:hAnsi="Simplified Arabic" w:cs="Simplified Arabic"/>
          <w:sz w:val="26"/>
          <w:szCs w:val="26"/>
          <w:rtl/>
        </w:rPr>
        <w:tab/>
      </w:r>
      <w:r w:rsidR="00846A25">
        <w:rPr>
          <w:rFonts w:ascii="Times New Roman" w:hAnsi="Times New Roman" w:cs="Times New Roman"/>
          <w:sz w:val="26"/>
          <w:szCs w:val="26"/>
        </w:rPr>
        <w:t>50</w:t>
      </w:r>
    </w:p>
    <w:p w:rsidR="004A2AD4" w:rsidRDefault="00C74FB5" w:rsidP="00846A25">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t>الفصل الخامس: مناقشة النتائج والتوصيات</w:t>
      </w:r>
      <w:r>
        <w:rPr>
          <w:rFonts w:ascii="Simplified Arabic" w:hAnsi="Simplified Arabic" w:cs="Simplified Arabic"/>
          <w:sz w:val="28"/>
          <w:szCs w:val="28"/>
          <w:rtl/>
        </w:rPr>
        <w:tab/>
      </w:r>
      <w:r w:rsidR="00846A25">
        <w:rPr>
          <w:rFonts w:ascii="Times New Roman" w:hAnsi="Times New Roman" w:cs="Times New Roman"/>
          <w:b/>
          <w:bCs/>
          <w:sz w:val="28"/>
          <w:szCs w:val="28"/>
        </w:rPr>
        <w:t>51</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5.1 مقدمة:</w:t>
      </w:r>
      <w:r>
        <w:rPr>
          <w:rFonts w:ascii="Simplified Arabic" w:hAnsi="Simplified Arabic" w:cs="Simplified Arabic"/>
          <w:sz w:val="26"/>
          <w:szCs w:val="26"/>
          <w:rtl/>
        </w:rPr>
        <w:tab/>
      </w:r>
      <w:r w:rsidR="00846A25">
        <w:rPr>
          <w:rFonts w:ascii="Times New Roman" w:hAnsi="Times New Roman" w:cs="Times New Roman"/>
          <w:sz w:val="26"/>
          <w:szCs w:val="26"/>
        </w:rPr>
        <w:t>51</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5.2 النتائج المتعلقة بمتغيرات الدراسة الوصفية:</w:t>
      </w:r>
      <w:r>
        <w:rPr>
          <w:rFonts w:ascii="Simplified Arabic" w:hAnsi="Simplified Arabic" w:cs="Simplified Arabic"/>
          <w:sz w:val="26"/>
          <w:szCs w:val="26"/>
          <w:rtl/>
        </w:rPr>
        <w:tab/>
      </w:r>
      <w:r w:rsidR="00846A25">
        <w:rPr>
          <w:rFonts w:ascii="Times New Roman" w:hAnsi="Times New Roman" w:cs="Times New Roman"/>
          <w:sz w:val="26"/>
          <w:szCs w:val="26"/>
        </w:rPr>
        <w:t>51</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5.3 النتائج المتعلقة باختبار الفرضيات:</w:t>
      </w:r>
      <w:r>
        <w:rPr>
          <w:rFonts w:ascii="Simplified Arabic" w:hAnsi="Simplified Arabic" w:cs="Simplified Arabic"/>
          <w:sz w:val="26"/>
          <w:szCs w:val="26"/>
          <w:rtl/>
        </w:rPr>
        <w:tab/>
      </w:r>
      <w:r w:rsidR="00846A25">
        <w:rPr>
          <w:rFonts w:ascii="Times New Roman" w:hAnsi="Times New Roman" w:cs="Times New Roman"/>
          <w:sz w:val="26"/>
          <w:szCs w:val="26"/>
        </w:rPr>
        <w:t>52</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5.7 تفسير النتائج في ضوء النظريات المعتمدة:</w:t>
      </w:r>
      <w:r>
        <w:rPr>
          <w:rFonts w:ascii="Simplified Arabic" w:hAnsi="Simplified Arabic" w:cs="Simplified Arabic"/>
          <w:sz w:val="26"/>
          <w:szCs w:val="26"/>
          <w:rtl/>
        </w:rPr>
        <w:tab/>
      </w:r>
      <w:r w:rsidR="00846A25">
        <w:rPr>
          <w:rFonts w:ascii="Times New Roman" w:hAnsi="Times New Roman" w:cs="Times New Roman"/>
          <w:sz w:val="26"/>
          <w:szCs w:val="26"/>
        </w:rPr>
        <w:t>53</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5.8 الآثار النظرية للدراسة:</w:t>
      </w:r>
      <w:r>
        <w:rPr>
          <w:rFonts w:ascii="Simplified Arabic" w:hAnsi="Simplified Arabic" w:cs="Simplified Arabic"/>
          <w:sz w:val="26"/>
          <w:szCs w:val="26"/>
          <w:rtl/>
        </w:rPr>
        <w:tab/>
      </w:r>
      <w:r w:rsidR="00846A25">
        <w:rPr>
          <w:rFonts w:ascii="Times New Roman" w:hAnsi="Times New Roman" w:cs="Times New Roman"/>
          <w:sz w:val="26"/>
          <w:szCs w:val="26"/>
        </w:rPr>
        <w:t>54</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5.9 الآثار التطبيقية للدراسة:</w:t>
      </w:r>
      <w:r>
        <w:rPr>
          <w:rFonts w:ascii="Simplified Arabic" w:hAnsi="Simplified Arabic" w:cs="Simplified Arabic"/>
          <w:sz w:val="26"/>
          <w:szCs w:val="26"/>
          <w:rtl/>
        </w:rPr>
        <w:tab/>
      </w:r>
      <w:r w:rsidR="00846A25">
        <w:rPr>
          <w:rFonts w:ascii="Times New Roman" w:hAnsi="Times New Roman" w:cs="Times New Roman"/>
          <w:sz w:val="26"/>
          <w:szCs w:val="26"/>
        </w:rPr>
        <w:t>55</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5.10 تحليل نقدي للقيود المنهجية:</w:t>
      </w:r>
      <w:r>
        <w:rPr>
          <w:rFonts w:ascii="Simplified Arabic" w:hAnsi="Simplified Arabic" w:cs="Simplified Arabic"/>
          <w:sz w:val="26"/>
          <w:szCs w:val="26"/>
          <w:rtl/>
        </w:rPr>
        <w:tab/>
      </w:r>
      <w:r w:rsidR="00846A25">
        <w:rPr>
          <w:rFonts w:ascii="Times New Roman" w:hAnsi="Times New Roman" w:cs="Times New Roman"/>
          <w:sz w:val="26"/>
          <w:szCs w:val="26"/>
        </w:rPr>
        <w:t>56</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5.11 النموذج المقترح لتطوير إدارة المخاطر:</w:t>
      </w:r>
      <w:r>
        <w:rPr>
          <w:rFonts w:ascii="Simplified Arabic" w:hAnsi="Simplified Arabic" w:cs="Simplified Arabic"/>
          <w:sz w:val="26"/>
          <w:szCs w:val="26"/>
          <w:rtl/>
        </w:rPr>
        <w:tab/>
      </w:r>
      <w:r w:rsidR="00846A25">
        <w:rPr>
          <w:rFonts w:ascii="Times New Roman" w:hAnsi="Times New Roman" w:cs="Times New Roman"/>
          <w:sz w:val="26"/>
          <w:szCs w:val="26"/>
        </w:rPr>
        <w:t>57</w:t>
      </w:r>
    </w:p>
    <w:p w:rsidR="004A2AD4" w:rsidRDefault="00C74FB5" w:rsidP="00846A25">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5.4 التوصيات:</w:t>
      </w:r>
      <w:r>
        <w:rPr>
          <w:rFonts w:ascii="Simplified Arabic" w:hAnsi="Simplified Arabic" w:cs="Simplified Arabic"/>
          <w:sz w:val="26"/>
          <w:szCs w:val="26"/>
          <w:rtl/>
        </w:rPr>
        <w:tab/>
      </w:r>
      <w:r w:rsidR="00846A25">
        <w:rPr>
          <w:rFonts w:ascii="Times New Roman" w:hAnsi="Times New Roman" w:cs="Times New Roman"/>
          <w:sz w:val="26"/>
          <w:szCs w:val="26"/>
        </w:rPr>
        <w:t>58</w:t>
      </w:r>
    </w:p>
    <w:p w:rsidR="004A2AD4" w:rsidRDefault="00C74FB5" w:rsidP="009C7E3C">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5.5 مقترحات للدراسات المستقبلية:</w:t>
      </w:r>
      <w:r>
        <w:rPr>
          <w:rFonts w:ascii="Simplified Arabic" w:hAnsi="Simplified Arabic" w:cs="Simplified Arabic"/>
          <w:sz w:val="26"/>
          <w:szCs w:val="26"/>
          <w:rtl/>
        </w:rPr>
        <w:tab/>
      </w:r>
      <w:r w:rsidR="009C7E3C">
        <w:rPr>
          <w:rFonts w:ascii="Times New Roman" w:hAnsi="Times New Roman" w:cs="Times New Roman"/>
          <w:sz w:val="26"/>
          <w:szCs w:val="26"/>
        </w:rPr>
        <w:t>59</w:t>
      </w:r>
    </w:p>
    <w:p w:rsidR="004A2AD4" w:rsidRDefault="00C74FB5" w:rsidP="009C7E3C">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5.6 خاتمة:</w:t>
      </w:r>
      <w:r>
        <w:rPr>
          <w:rFonts w:ascii="Simplified Arabic" w:hAnsi="Simplified Arabic" w:cs="Simplified Arabic"/>
          <w:sz w:val="26"/>
          <w:szCs w:val="26"/>
          <w:rtl/>
        </w:rPr>
        <w:tab/>
      </w:r>
      <w:r w:rsidR="009C7E3C">
        <w:rPr>
          <w:rFonts w:ascii="Times New Roman" w:hAnsi="Times New Roman" w:cs="Times New Roman"/>
          <w:sz w:val="26"/>
          <w:szCs w:val="26"/>
        </w:rPr>
        <w:t>60</w:t>
      </w:r>
    </w:p>
    <w:p w:rsidR="004A2AD4" w:rsidRDefault="00C74FB5" w:rsidP="009C7E3C">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lastRenderedPageBreak/>
        <w:t>المراجع</w:t>
      </w:r>
      <w:r>
        <w:rPr>
          <w:rFonts w:ascii="Simplified Arabic" w:hAnsi="Simplified Arabic" w:cs="Simplified Arabic"/>
          <w:sz w:val="28"/>
          <w:szCs w:val="28"/>
          <w:rtl/>
        </w:rPr>
        <w:tab/>
      </w:r>
      <w:r w:rsidR="009C7E3C">
        <w:rPr>
          <w:rFonts w:ascii="Times New Roman" w:hAnsi="Times New Roman" w:cs="Times New Roman"/>
          <w:b/>
          <w:bCs/>
          <w:sz w:val="28"/>
          <w:szCs w:val="28"/>
        </w:rPr>
        <w:t>62</w:t>
      </w:r>
    </w:p>
    <w:p w:rsidR="004A2AD4" w:rsidRDefault="00C74FB5" w:rsidP="009C7E3C">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أولاً: المراجع العربية</w:t>
      </w:r>
      <w:r>
        <w:rPr>
          <w:rFonts w:ascii="Simplified Arabic" w:hAnsi="Simplified Arabic" w:cs="Simplified Arabic"/>
          <w:sz w:val="26"/>
          <w:szCs w:val="26"/>
          <w:rtl/>
        </w:rPr>
        <w:tab/>
      </w:r>
      <w:r w:rsidR="009C7E3C">
        <w:rPr>
          <w:rFonts w:ascii="Times New Roman" w:hAnsi="Times New Roman" w:cs="Times New Roman"/>
          <w:sz w:val="26"/>
          <w:szCs w:val="26"/>
        </w:rPr>
        <w:t>62</w:t>
      </w:r>
    </w:p>
    <w:p w:rsidR="004A2AD4" w:rsidRDefault="00C74FB5" w:rsidP="009C7E3C">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ثانياً: المراجع الأجنبية</w:t>
      </w:r>
      <w:r>
        <w:rPr>
          <w:rFonts w:ascii="Simplified Arabic" w:hAnsi="Simplified Arabic" w:cs="Simplified Arabic"/>
          <w:sz w:val="26"/>
          <w:szCs w:val="26"/>
          <w:rtl/>
        </w:rPr>
        <w:tab/>
      </w:r>
      <w:r w:rsidR="009C7E3C">
        <w:rPr>
          <w:rFonts w:ascii="Times New Roman" w:hAnsi="Times New Roman" w:cs="Times New Roman"/>
          <w:sz w:val="26"/>
          <w:szCs w:val="26"/>
        </w:rPr>
        <w:t>63</w:t>
      </w:r>
    </w:p>
    <w:p w:rsidR="004A2AD4" w:rsidRDefault="00C74FB5" w:rsidP="009C7E3C">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t>الملاحق</w:t>
      </w:r>
      <w:r>
        <w:rPr>
          <w:rFonts w:ascii="Simplified Arabic" w:hAnsi="Simplified Arabic" w:cs="Simplified Arabic"/>
          <w:sz w:val="28"/>
          <w:szCs w:val="28"/>
          <w:rtl/>
        </w:rPr>
        <w:tab/>
      </w:r>
      <w:r w:rsidR="009C7E3C">
        <w:rPr>
          <w:rFonts w:ascii="Times New Roman" w:hAnsi="Times New Roman" w:cs="Times New Roman"/>
          <w:b/>
          <w:bCs/>
          <w:sz w:val="28"/>
          <w:szCs w:val="28"/>
        </w:rPr>
        <w:t>64</w:t>
      </w:r>
    </w:p>
    <w:p w:rsidR="004A2AD4" w:rsidRDefault="00C74FB5" w:rsidP="009C7E3C">
      <w:pPr>
        <w:tabs>
          <w:tab w:val="left" w:leader="dot" w:pos="8596"/>
        </w:tabs>
        <w:spacing w:after="50" w:line="260" w:lineRule="auto"/>
        <w:ind w:right="360"/>
        <w:rPr>
          <w:rFonts w:ascii="Simplified Arabic" w:hAnsi="Simplified Arabic" w:cs="Simplified Arabic"/>
          <w:sz w:val="26"/>
          <w:szCs w:val="26"/>
          <w:rtl/>
        </w:rPr>
      </w:pPr>
      <w:r>
        <w:rPr>
          <w:rFonts w:ascii="Simplified Arabic" w:hAnsi="Simplified Arabic" w:cs="Simplified Arabic"/>
          <w:sz w:val="26"/>
          <w:szCs w:val="26"/>
          <w:rtl/>
        </w:rPr>
        <w:t>استمارة الاستبيان</w:t>
      </w:r>
      <w:r>
        <w:rPr>
          <w:rFonts w:ascii="Simplified Arabic" w:hAnsi="Simplified Arabic" w:cs="Simplified Arabic"/>
          <w:sz w:val="26"/>
          <w:szCs w:val="26"/>
          <w:rtl/>
        </w:rPr>
        <w:tab/>
      </w:r>
      <w:r w:rsidR="009C7E3C">
        <w:rPr>
          <w:rFonts w:ascii="Times New Roman" w:hAnsi="Times New Roman" w:cs="Times New Roman"/>
          <w:sz w:val="26"/>
          <w:szCs w:val="26"/>
        </w:rPr>
        <w:t>64</w:t>
      </w:r>
    </w:p>
    <w:p w:rsidR="004A2AD4" w:rsidRDefault="00C74FB5" w:rsidP="009C7E3C">
      <w:pPr>
        <w:tabs>
          <w:tab w:val="left" w:leader="dot" w:pos="8956"/>
        </w:tabs>
        <w:spacing w:before="160" w:after="80" w:line="260" w:lineRule="auto"/>
        <w:rPr>
          <w:rFonts w:ascii="Simplified Arabic" w:hAnsi="Simplified Arabic" w:cs="Simplified Arabic"/>
          <w:sz w:val="28"/>
          <w:szCs w:val="28"/>
          <w:rtl/>
        </w:rPr>
      </w:pPr>
      <w:r>
        <w:rPr>
          <w:rFonts w:ascii="Simplified Arabic" w:hAnsi="Simplified Arabic" w:cs="Simplified Arabic"/>
          <w:b/>
          <w:bCs/>
          <w:sz w:val="28"/>
          <w:szCs w:val="28"/>
          <w:rtl/>
        </w:rPr>
        <w:t>Abstract</w:t>
      </w:r>
      <w:r>
        <w:rPr>
          <w:rFonts w:ascii="Simplified Arabic" w:hAnsi="Simplified Arabic" w:cs="Simplified Arabic"/>
          <w:sz w:val="28"/>
          <w:szCs w:val="28"/>
          <w:rtl/>
        </w:rPr>
        <w:tab/>
      </w:r>
      <w:r w:rsidR="009C7E3C">
        <w:rPr>
          <w:rFonts w:ascii="Times New Roman" w:hAnsi="Times New Roman" w:cs="Times New Roman"/>
          <w:b/>
          <w:bCs/>
          <w:sz w:val="28"/>
          <w:szCs w:val="28"/>
        </w:rPr>
        <w:t>68</w:t>
      </w:r>
    </w:p>
    <w:p w:rsidR="00C74FB5" w:rsidRDefault="00C74FB5" w:rsidP="00AF2167">
      <w:pPr>
        <w:spacing w:before="300" w:after="400" w:line="360" w:lineRule="auto"/>
        <w:jc w:val="center"/>
        <w:rPr>
          <w:rFonts w:ascii="Traditional Arabic" w:eastAsia="Traditional Arabic" w:hAnsi="Traditional Arabic" w:cs="Traditional Arabic"/>
          <w:b/>
          <w:bCs/>
          <w:kern w:val="0"/>
          <w:sz w:val="32"/>
          <w:szCs w:val="32"/>
          <w:u w:val="single"/>
          <w:rtl/>
          <w14:ligatures w14:val="none"/>
        </w:rPr>
      </w:pPr>
    </w:p>
    <w:p w:rsidR="00C74FB5" w:rsidRDefault="00C74FB5" w:rsidP="00AF2167">
      <w:pPr>
        <w:spacing w:before="300" w:after="400" w:line="360" w:lineRule="auto"/>
        <w:jc w:val="center"/>
        <w:rPr>
          <w:rFonts w:ascii="Traditional Arabic" w:eastAsia="Traditional Arabic" w:hAnsi="Traditional Arabic" w:cs="Traditional Arabic"/>
          <w:b/>
          <w:bCs/>
          <w:kern w:val="0"/>
          <w:sz w:val="32"/>
          <w:szCs w:val="32"/>
          <w:u w:val="single"/>
          <w:rtl/>
          <w14:ligatures w14:val="none"/>
        </w:rPr>
      </w:pPr>
    </w:p>
    <w:p w:rsidR="00C74FB5" w:rsidRDefault="00C74FB5" w:rsidP="00AF2167">
      <w:pPr>
        <w:spacing w:before="300" w:after="400" w:line="360" w:lineRule="auto"/>
        <w:jc w:val="center"/>
        <w:rPr>
          <w:rFonts w:ascii="Traditional Arabic" w:eastAsia="Traditional Arabic" w:hAnsi="Traditional Arabic" w:cs="Traditional Arabic"/>
          <w:b/>
          <w:bCs/>
          <w:kern w:val="0"/>
          <w:sz w:val="32"/>
          <w:szCs w:val="32"/>
          <w:u w:val="single"/>
          <w:rtl/>
          <w14:ligatures w14:val="none"/>
        </w:rPr>
      </w:pPr>
    </w:p>
    <w:p w:rsidR="00C74FB5" w:rsidRDefault="00C74FB5" w:rsidP="00AF2167">
      <w:pPr>
        <w:spacing w:before="300" w:after="400" w:line="360" w:lineRule="auto"/>
        <w:jc w:val="center"/>
        <w:rPr>
          <w:rFonts w:ascii="Traditional Arabic" w:eastAsia="Traditional Arabic" w:hAnsi="Traditional Arabic" w:cs="Traditional Arabic"/>
          <w:b/>
          <w:bCs/>
          <w:kern w:val="0"/>
          <w:sz w:val="32"/>
          <w:szCs w:val="32"/>
          <w:u w:val="single"/>
          <w14:ligatures w14:val="none"/>
        </w:rPr>
      </w:pPr>
    </w:p>
    <w:p w:rsidR="004B7EFA" w:rsidRDefault="004B7EFA" w:rsidP="00AF2167">
      <w:pPr>
        <w:spacing w:before="300" w:after="400" w:line="360" w:lineRule="auto"/>
        <w:jc w:val="center"/>
        <w:rPr>
          <w:rFonts w:ascii="Traditional Arabic" w:eastAsia="Traditional Arabic" w:hAnsi="Traditional Arabic" w:cs="Traditional Arabic"/>
          <w:b/>
          <w:bCs/>
          <w:kern w:val="0"/>
          <w:sz w:val="32"/>
          <w:szCs w:val="32"/>
          <w:u w:val="single"/>
          <w14:ligatures w14:val="none"/>
        </w:rPr>
      </w:pPr>
    </w:p>
    <w:p w:rsidR="004B7EFA" w:rsidRDefault="004B7EFA" w:rsidP="00AF2167">
      <w:pPr>
        <w:spacing w:before="300" w:after="400" w:line="360" w:lineRule="auto"/>
        <w:jc w:val="center"/>
        <w:rPr>
          <w:rFonts w:ascii="Traditional Arabic" w:eastAsia="Traditional Arabic" w:hAnsi="Traditional Arabic" w:cs="Traditional Arabic"/>
          <w:b/>
          <w:bCs/>
          <w:kern w:val="0"/>
          <w:sz w:val="32"/>
          <w:szCs w:val="32"/>
          <w:u w:val="single"/>
          <w14:ligatures w14:val="none"/>
        </w:rPr>
      </w:pPr>
    </w:p>
    <w:p w:rsidR="004B7EFA" w:rsidRDefault="004B7EFA" w:rsidP="00AF2167">
      <w:pPr>
        <w:spacing w:before="300" w:after="400" w:line="360" w:lineRule="auto"/>
        <w:jc w:val="center"/>
        <w:rPr>
          <w:rFonts w:ascii="Traditional Arabic" w:eastAsia="Traditional Arabic" w:hAnsi="Traditional Arabic" w:cs="Traditional Arabic"/>
          <w:b/>
          <w:bCs/>
          <w:kern w:val="0"/>
          <w:sz w:val="32"/>
          <w:szCs w:val="32"/>
          <w:u w:val="single"/>
          <w14:ligatures w14:val="none"/>
        </w:rPr>
      </w:pPr>
    </w:p>
    <w:p w:rsidR="004B7EFA" w:rsidRDefault="004B7EFA" w:rsidP="00AF2167">
      <w:pPr>
        <w:spacing w:before="300" w:after="400" w:line="360" w:lineRule="auto"/>
        <w:jc w:val="center"/>
        <w:rPr>
          <w:rFonts w:ascii="Traditional Arabic" w:eastAsia="Traditional Arabic" w:hAnsi="Traditional Arabic" w:cs="Traditional Arabic"/>
          <w:b/>
          <w:bCs/>
          <w:kern w:val="0"/>
          <w:sz w:val="32"/>
          <w:szCs w:val="32"/>
          <w:u w:val="single"/>
          <w:rtl/>
          <w14:ligatures w14:val="none"/>
        </w:rPr>
      </w:pPr>
    </w:p>
    <w:p w:rsidR="00C74FB5" w:rsidRDefault="00C74FB5" w:rsidP="00AF2167">
      <w:pPr>
        <w:spacing w:before="300" w:after="400" w:line="360" w:lineRule="auto"/>
        <w:jc w:val="center"/>
        <w:rPr>
          <w:rFonts w:ascii="Traditional Arabic" w:eastAsia="Traditional Arabic" w:hAnsi="Traditional Arabic" w:cs="Traditional Arabic"/>
          <w:b/>
          <w:bCs/>
          <w:kern w:val="0"/>
          <w:sz w:val="32"/>
          <w:szCs w:val="32"/>
          <w:u w:val="single"/>
          <w:rtl/>
          <w14:ligatures w14:val="none"/>
        </w:rPr>
      </w:pPr>
    </w:p>
    <w:p w:rsidR="00A35418" w:rsidRPr="00AF2167" w:rsidRDefault="00A35418" w:rsidP="00A35418">
      <w:pPr>
        <w:spacing w:before="300" w:after="400" w:line="360" w:lineRule="auto"/>
        <w:jc w:val="center"/>
        <w:rPr>
          <w:rFonts w:ascii="Traditional Arabic" w:eastAsia="Traditional Arabic" w:hAnsi="Traditional Arabic" w:cs="Traditional Arabic"/>
          <w:kern w:val="0"/>
          <w:sz w:val="28"/>
          <w:szCs w:val="28"/>
          <w14:ligatures w14:val="none"/>
        </w:rPr>
      </w:pPr>
      <w:r>
        <w:rPr>
          <w:rFonts w:ascii="Traditional Arabic" w:eastAsia="Traditional Arabic" w:hAnsi="Traditional Arabic" w:cs="Traditional Arabic"/>
          <w:b/>
          <w:bCs/>
          <w:kern w:val="0"/>
          <w:sz w:val="32"/>
          <w:szCs w:val="32"/>
          <w:u w:val="single"/>
          <w:rtl/>
          <w14:ligatures w14:val="none"/>
        </w:rPr>
        <w:lastRenderedPageBreak/>
        <w:t>قائمة الجداول</w:t>
      </w:r>
    </w:p>
    <w:tbl>
      <w:tblPr>
        <w:bidiVisual/>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9"/>
        <w:gridCol w:w="7078"/>
      </w:tblGrid>
      <w:tr w:rsidR="00A35418" w:rsidRPr="00FE3901" w:rsidTr="002F025A">
        <w:trPr>
          <w:tblHeader/>
        </w:trPr>
        <w:tc>
          <w:tcPr>
            <w:tcW w:w="1709" w:type="dxa"/>
            <w:tcBorders>
              <w:top w:val="single" w:sz="4" w:space="0" w:color="AAAAAA"/>
              <w:left w:val="single" w:sz="4" w:space="0" w:color="AAAAAA"/>
              <w:bottom w:val="single" w:sz="4" w:space="0" w:color="AAAAAA"/>
              <w:right w:val="single" w:sz="4" w:space="0" w:color="AAAAAA"/>
            </w:tcBorders>
            <w:shd w:val="clear" w:color="auto" w:fill="1F97C4"/>
            <w:tcMar>
              <w:top w:w="100" w:type="dxa"/>
              <w:left w:w="150" w:type="dxa"/>
              <w:bottom w:w="10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b/>
                <w:bCs/>
                <w:color w:val="FFFFFF"/>
                <w:kern w:val="0"/>
                <w:sz w:val="28"/>
                <w:szCs w:val="28"/>
                <w:rtl/>
                <w14:ligatures w14:val="none"/>
              </w:rPr>
              <w:t>رقم الصفحة</w:t>
            </w:r>
          </w:p>
        </w:tc>
        <w:tc>
          <w:tcPr>
            <w:tcW w:w="7078" w:type="dxa"/>
            <w:tcBorders>
              <w:top w:val="single" w:sz="4" w:space="0" w:color="AAAAAA"/>
              <w:left w:val="single" w:sz="4" w:space="0" w:color="AAAAAA"/>
              <w:bottom w:val="single" w:sz="4" w:space="0" w:color="AAAAAA"/>
              <w:right w:val="single" w:sz="4" w:space="0" w:color="AAAAAA"/>
            </w:tcBorders>
            <w:shd w:val="clear" w:color="auto" w:fill="1F97C4"/>
            <w:tcMar>
              <w:top w:w="100" w:type="dxa"/>
              <w:left w:w="150" w:type="dxa"/>
              <w:bottom w:w="10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b/>
                <w:bCs/>
                <w:color w:val="FFFFFF"/>
                <w:kern w:val="0"/>
                <w:sz w:val="28"/>
                <w:szCs w:val="28"/>
                <w:rtl/>
                <w14:ligatures w14:val="none"/>
              </w:rPr>
              <w:t>اسم الجدول</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13</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sidR="002F025A">
              <w:rPr>
                <w:rFonts w:ascii="Traditional Arabic" w:eastAsia="Traditional Arabic" w:hAnsi="Traditional Arabic" w:cs="Traditional Arabic" w:hint="cs"/>
                <w:kern w:val="0"/>
                <w:sz w:val="28"/>
                <w:szCs w:val="28"/>
                <w:rtl/>
                <w14:ligatures w14:val="none"/>
              </w:rPr>
              <w:t xml:space="preserve"> (1)</w:t>
            </w:r>
            <w:r w:rsidRPr="00FE3901">
              <w:rPr>
                <w:rFonts w:ascii="Traditional Arabic" w:eastAsia="Traditional Arabic" w:hAnsi="Traditional Arabic" w:cs="Traditional Arabic"/>
                <w:kern w:val="0"/>
                <w:sz w:val="28"/>
                <w:szCs w:val="28"/>
                <w:rtl/>
                <w14:ligatures w14:val="none"/>
              </w:rPr>
              <w:t xml:space="preserve"> مقارنة ما تميزت به الدراسة الحالية عن الدراسات السابقة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30</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2</w:t>
            </w:r>
            <w:r w:rsidRPr="00FE3901">
              <w:rPr>
                <w:rFonts w:ascii="Traditional Arabic" w:eastAsia="Traditional Arabic" w:hAnsi="Traditional Arabic" w:cs="Traditional Arabic"/>
                <w:kern w:val="0"/>
                <w:sz w:val="28"/>
                <w:szCs w:val="28"/>
                <w:rtl/>
                <w14:ligatures w14:val="none"/>
              </w:rPr>
              <w:t>): توزيع عينة الدراسة حسب المسمى الوظيفي والمنطقة الإدارية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31</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2F025A"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Pr>
                <w:rFonts w:ascii="Traditional Arabic" w:eastAsia="Traditional Arabic" w:hAnsi="Traditional Arabic" w:cs="Traditional Arabic" w:hint="cs"/>
                <w:kern w:val="0"/>
                <w:sz w:val="28"/>
                <w:szCs w:val="28"/>
                <w:rtl/>
                <w14:ligatures w14:val="none"/>
              </w:rPr>
              <w:t xml:space="preserve"> (3)</w:t>
            </w:r>
            <w:r w:rsidR="00A35418" w:rsidRPr="00FE3901">
              <w:rPr>
                <w:rFonts w:ascii="Traditional Arabic" w:eastAsia="Traditional Arabic" w:hAnsi="Traditional Arabic" w:cs="Traditional Arabic"/>
                <w:kern w:val="0"/>
                <w:sz w:val="28"/>
                <w:szCs w:val="28"/>
                <w:rtl/>
                <w14:ligatures w14:val="none"/>
              </w:rPr>
              <w:t>: محاور الاستبانة وعدد فقراتها</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33</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4</w:t>
            </w:r>
            <w:r w:rsidRPr="00FE3901">
              <w:rPr>
                <w:rFonts w:ascii="Traditional Arabic" w:eastAsia="Traditional Arabic" w:hAnsi="Traditional Arabic" w:cs="Traditional Arabic"/>
                <w:kern w:val="0"/>
                <w:sz w:val="28"/>
                <w:szCs w:val="28"/>
                <w:rtl/>
                <w14:ligatures w14:val="none"/>
              </w:rPr>
              <w:t xml:space="preserve">): معامل </w:t>
            </w:r>
            <w:proofErr w:type="spellStart"/>
            <w:r w:rsidRPr="00FE3901">
              <w:rPr>
                <w:rFonts w:ascii="Traditional Arabic" w:eastAsia="Traditional Arabic" w:hAnsi="Traditional Arabic" w:cs="Traditional Arabic"/>
                <w:kern w:val="0"/>
                <w:sz w:val="28"/>
                <w:szCs w:val="28"/>
                <w:rtl/>
                <w14:ligatures w14:val="none"/>
              </w:rPr>
              <w:t>Alpha</w:t>
            </w:r>
            <w:proofErr w:type="spellEnd"/>
            <w:r w:rsidRPr="00FE3901">
              <w:rPr>
                <w:rFonts w:ascii="Traditional Arabic" w:eastAsia="Traditional Arabic" w:hAnsi="Traditional Arabic" w:cs="Traditional Arabic"/>
                <w:kern w:val="0"/>
                <w:sz w:val="28"/>
                <w:szCs w:val="28"/>
                <w:rtl/>
                <w14:ligatures w14:val="none"/>
              </w:rPr>
              <w:t xml:space="preserve"> </w:t>
            </w:r>
            <w:proofErr w:type="spellStart"/>
            <w:r w:rsidRPr="00FE3901">
              <w:rPr>
                <w:rFonts w:ascii="Traditional Arabic" w:eastAsia="Traditional Arabic" w:hAnsi="Traditional Arabic" w:cs="Traditional Arabic"/>
                <w:kern w:val="0"/>
                <w:sz w:val="28"/>
                <w:szCs w:val="28"/>
                <w:rtl/>
                <w14:ligatures w14:val="none"/>
              </w:rPr>
              <w:t>Cronbach</w:t>
            </w:r>
            <w:proofErr w:type="spellEnd"/>
            <w:r w:rsidRPr="00FE3901">
              <w:rPr>
                <w:rFonts w:ascii="Traditional Arabic" w:eastAsia="Traditional Arabic" w:hAnsi="Traditional Arabic" w:cs="Traditional Arabic"/>
                <w:kern w:val="0"/>
                <w:sz w:val="28"/>
                <w:szCs w:val="28"/>
                <w:rtl/>
                <w14:ligatures w14:val="none"/>
              </w:rPr>
              <w:t xml:space="preserve"> لمتغيرات الاستبانة وفقراتها</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34</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5</w:t>
            </w:r>
            <w:r w:rsidRPr="00FE3901">
              <w:rPr>
                <w:rFonts w:ascii="Traditional Arabic" w:eastAsia="Traditional Arabic" w:hAnsi="Traditional Arabic" w:cs="Traditional Arabic"/>
                <w:kern w:val="0"/>
                <w:sz w:val="28"/>
                <w:szCs w:val="28"/>
                <w:rtl/>
                <w14:ligatures w14:val="none"/>
              </w:rPr>
              <w:t>): مقياس تفسير المتوسطات الحسابية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36</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2F025A"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Pr>
                <w:rFonts w:ascii="Traditional Arabic" w:eastAsia="Traditional Arabic" w:hAnsi="Traditional Arabic" w:cs="Traditional Arabic" w:hint="cs"/>
                <w:kern w:val="0"/>
                <w:sz w:val="28"/>
                <w:szCs w:val="28"/>
                <w:rtl/>
                <w14:ligatures w14:val="none"/>
              </w:rPr>
              <w:t xml:space="preserve"> (6)</w:t>
            </w:r>
            <w:r w:rsidR="00A35418" w:rsidRPr="00FE3901">
              <w:rPr>
                <w:rFonts w:ascii="Traditional Arabic" w:eastAsia="Traditional Arabic" w:hAnsi="Traditional Arabic" w:cs="Traditional Arabic"/>
                <w:kern w:val="0"/>
                <w:sz w:val="28"/>
                <w:szCs w:val="28"/>
                <w:rtl/>
                <w14:ligatures w14:val="none"/>
              </w:rPr>
              <w:t>: مؤشرات ملاءمة نموذج التحليل العاملي التوكيدي</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37</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2F025A"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Pr>
                <w:rFonts w:ascii="Traditional Arabic" w:eastAsia="Traditional Arabic" w:hAnsi="Traditional Arabic" w:cs="Traditional Arabic" w:hint="cs"/>
                <w:kern w:val="0"/>
                <w:sz w:val="28"/>
                <w:szCs w:val="28"/>
                <w:rtl/>
                <w14:ligatures w14:val="none"/>
              </w:rPr>
              <w:t xml:space="preserve"> (7)</w:t>
            </w:r>
            <w:r w:rsidR="00A35418" w:rsidRPr="00FE3901">
              <w:rPr>
                <w:rFonts w:ascii="Traditional Arabic" w:eastAsia="Traditional Arabic" w:hAnsi="Traditional Arabic" w:cs="Traditional Arabic"/>
                <w:kern w:val="0"/>
                <w:sz w:val="28"/>
                <w:szCs w:val="28"/>
                <w:rtl/>
                <w14:ligatures w14:val="none"/>
              </w:rPr>
              <w:t xml:space="preserve">: مؤشرات الصدق </w:t>
            </w:r>
            <w:proofErr w:type="spellStart"/>
            <w:r w:rsidR="00A35418" w:rsidRPr="00FE3901">
              <w:rPr>
                <w:rFonts w:ascii="Traditional Arabic" w:eastAsia="Traditional Arabic" w:hAnsi="Traditional Arabic" w:cs="Traditional Arabic"/>
                <w:kern w:val="0"/>
                <w:sz w:val="28"/>
                <w:szCs w:val="28"/>
                <w:rtl/>
                <w14:ligatures w14:val="none"/>
              </w:rPr>
              <w:t>التقاربي</w:t>
            </w:r>
            <w:proofErr w:type="spellEnd"/>
            <w:r w:rsidR="00A35418" w:rsidRPr="00FE3901">
              <w:rPr>
                <w:rFonts w:ascii="Traditional Arabic" w:eastAsia="Traditional Arabic" w:hAnsi="Traditional Arabic" w:cs="Traditional Arabic"/>
                <w:kern w:val="0"/>
                <w:sz w:val="28"/>
                <w:szCs w:val="28"/>
                <w:rtl/>
                <w14:ligatures w14:val="none"/>
              </w:rPr>
              <w:t xml:space="preserve"> والموثوقية المركّبة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39</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 xml:space="preserve">جدول (8): اختبار </w:t>
            </w:r>
            <w:proofErr w:type="spellStart"/>
            <w:r w:rsidRPr="00FE3901">
              <w:rPr>
                <w:rFonts w:ascii="Traditional Arabic" w:eastAsia="Traditional Arabic" w:hAnsi="Traditional Arabic" w:cs="Traditional Arabic"/>
                <w:kern w:val="0"/>
                <w:sz w:val="28"/>
                <w:szCs w:val="28"/>
                <w:rtl/>
                <w14:ligatures w14:val="none"/>
              </w:rPr>
              <w:t>Kolmogorov-Smirnov</w:t>
            </w:r>
            <w:proofErr w:type="spellEnd"/>
            <w:r w:rsidRPr="00FE3901">
              <w:rPr>
                <w:rFonts w:ascii="Traditional Arabic" w:eastAsia="Traditional Arabic" w:hAnsi="Traditional Arabic" w:cs="Traditional Arabic"/>
                <w:kern w:val="0"/>
                <w:sz w:val="28"/>
                <w:szCs w:val="28"/>
                <w:rtl/>
                <w14:ligatures w14:val="none"/>
              </w:rPr>
              <w:t xml:space="preserve"> للتوزيع الطبيعي</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40</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9</w:t>
            </w:r>
            <w:r w:rsidRPr="00FE3901">
              <w:rPr>
                <w:rFonts w:ascii="Traditional Arabic" w:eastAsia="Traditional Arabic" w:hAnsi="Traditional Arabic" w:cs="Traditional Arabic"/>
                <w:kern w:val="0"/>
                <w:sz w:val="28"/>
                <w:szCs w:val="28"/>
                <w:rtl/>
                <w14:ligatures w14:val="none"/>
              </w:rPr>
              <w:t>): العينة الخاضعة للتحليل – التوزيع حسب المسمى الوظيفي</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40</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10</w:t>
            </w:r>
            <w:r w:rsidRPr="00FE3901">
              <w:rPr>
                <w:rFonts w:ascii="Traditional Arabic" w:eastAsia="Traditional Arabic" w:hAnsi="Traditional Arabic" w:cs="Traditional Arabic"/>
                <w:kern w:val="0"/>
                <w:sz w:val="28"/>
                <w:szCs w:val="28"/>
                <w:rtl/>
                <w14:ligatures w14:val="none"/>
              </w:rPr>
              <w:t>): خصائص العينة حسب الفئة العمرية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41</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11</w:t>
            </w:r>
            <w:r w:rsidRPr="00FE3901">
              <w:rPr>
                <w:rFonts w:ascii="Traditional Arabic" w:eastAsia="Traditional Arabic" w:hAnsi="Traditional Arabic" w:cs="Traditional Arabic"/>
                <w:kern w:val="0"/>
                <w:sz w:val="28"/>
                <w:szCs w:val="28"/>
                <w:rtl/>
                <w14:ligatures w14:val="none"/>
              </w:rPr>
              <w:t>): خصائص العينة حسب سنوات الخبرة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41</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12</w:t>
            </w:r>
            <w:r w:rsidRPr="00FE3901">
              <w:rPr>
                <w:rFonts w:ascii="Traditional Arabic" w:eastAsia="Traditional Arabic" w:hAnsi="Traditional Arabic" w:cs="Traditional Arabic"/>
                <w:kern w:val="0"/>
                <w:sz w:val="28"/>
                <w:szCs w:val="28"/>
                <w:rtl/>
                <w14:ligatures w14:val="none"/>
              </w:rPr>
              <w:t>): اختبار المتوسطات الحسابية والقيم الإحصائية لمخاطر الوثائق والمعلومات</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42</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13</w:t>
            </w:r>
            <w:r w:rsidRPr="00FE3901">
              <w:rPr>
                <w:rFonts w:ascii="Traditional Arabic" w:eastAsia="Traditional Arabic" w:hAnsi="Traditional Arabic" w:cs="Traditional Arabic"/>
                <w:kern w:val="0"/>
                <w:sz w:val="28"/>
                <w:szCs w:val="28"/>
                <w:rtl/>
                <w14:ligatures w14:val="none"/>
              </w:rPr>
              <w:t>): اختبار المتوسطات الحسابية والقيم الإحصائية لمخاطر السمعة التنظيمية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42</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14</w:t>
            </w:r>
            <w:r w:rsidRPr="00FE3901">
              <w:rPr>
                <w:rFonts w:ascii="Traditional Arabic" w:eastAsia="Traditional Arabic" w:hAnsi="Traditional Arabic" w:cs="Traditional Arabic"/>
                <w:kern w:val="0"/>
                <w:sz w:val="28"/>
                <w:szCs w:val="28"/>
                <w:rtl/>
                <w14:ligatures w14:val="none"/>
              </w:rPr>
              <w:t>): اختبار المتوسطات الحسابية والقيم الإحصائية للمخاطر الثقافية التنظيمية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43</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15</w:t>
            </w:r>
            <w:r w:rsidRPr="00FE3901">
              <w:rPr>
                <w:rFonts w:ascii="Traditional Arabic" w:eastAsia="Traditional Arabic" w:hAnsi="Traditional Arabic" w:cs="Traditional Arabic"/>
                <w:kern w:val="0"/>
                <w:sz w:val="28"/>
                <w:szCs w:val="28"/>
                <w:rtl/>
                <w14:ligatures w14:val="none"/>
              </w:rPr>
              <w:t>): اختبار المتوسطات الحسابية والقيم الإحصائية لمخاطر الموارد البشرية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43</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16</w:t>
            </w:r>
            <w:r w:rsidRPr="00FE3901">
              <w:rPr>
                <w:rFonts w:ascii="Traditional Arabic" w:eastAsia="Traditional Arabic" w:hAnsi="Traditional Arabic" w:cs="Traditional Arabic"/>
                <w:kern w:val="0"/>
                <w:sz w:val="28"/>
                <w:szCs w:val="28"/>
                <w:rtl/>
                <w14:ligatures w14:val="none"/>
              </w:rPr>
              <w:t>): اختبار المتوسطات الحسابية والقيم الإحصائية للتطوير المخطط (نجاح المشاريع)</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44</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17</w:t>
            </w:r>
            <w:r w:rsidRPr="00FE3901">
              <w:rPr>
                <w:rFonts w:ascii="Traditional Arabic" w:eastAsia="Traditional Arabic" w:hAnsi="Traditional Arabic" w:cs="Traditional Arabic"/>
                <w:kern w:val="0"/>
                <w:sz w:val="28"/>
                <w:szCs w:val="28"/>
                <w:rtl/>
                <w14:ligatures w14:val="none"/>
              </w:rPr>
              <w:t>): مصفوفة الارتباط بين أبعاد إدارة المخاطر ونجاح المشاريع</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45</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 (</w:t>
            </w:r>
            <w:r w:rsidR="002F025A">
              <w:rPr>
                <w:rFonts w:ascii="Traditional Arabic" w:eastAsia="Traditional Arabic" w:hAnsi="Traditional Arabic" w:cs="Traditional Arabic" w:hint="cs"/>
                <w:kern w:val="0"/>
                <w:sz w:val="28"/>
                <w:szCs w:val="28"/>
                <w:rtl/>
                <w14:ligatures w14:val="none"/>
              </w:rPr>
              <w:t>18</w:t>
            </w:r>
            <w:r w:rsidRPr="00FE3901">
              <w:rPr>
                <w:rFonts w:ascii="Traditional Arabic" w:eastAsia="Traditional Arabic" w:hAnsi="Traditional Arabic" w:cs="Traditional Arabic"/>
                <w:kern w:val="0"/>
                <w:sz w:val="28"/>
                <w:szCs w:val="28"/>
                <w:rtl/>
                <w14:ligatures w14:val="none"/>
              </w:rPr>
              <w:t>): نتائج تحليل الانحدار الخطي المتعدد لأثر إدارة المخاطر على نجاح المشاريع</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46</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2F025A" w:rsidP="002F025A">
            <w:pPr>
              <w:spacing w:after="0" w:line="300" w:lineRule="exact"/>
              <w:jc w:val="center"/>
              <w:rPr>
                <w:rFonts w:ascii="Traditional Arabic" w:eastAsia="Traditional Arabic" w:hAnsi="Traditional Arabic" w:cs="Traditional Arabic"/>
                <w:kern w:val="0"/>
                <w:sz w:val="28"/>
                <w:szCs w:val="28"/>
                <w14:ligatures w14:val="none"/>
              </w:rPr>
            </w:pPr>
            <w:r>
              <w:rPr>
                <w:rFonts w:ascii="Traditional Arabic" w:eastAsia="Traditional Arabic" w:hAnsi="Traditional Arabic" w:cs="Traditional Arabic"/>
                <w:kern w:val="0"/>
                <w:sz w:val="28"/>
                <w:szCs w:val="28"/>
                <w:rtl/>
                <w14:ligatures w14:val="none"/>
              </w:rPr>
              <w:t>جدول (</w:t>
            </w:r>
            <w:r>
              <w:rPr>
                <w:rFonts w:ascii="Traditional Arabic" w:eastAsia="Traditional Arabic" w:hAnsi="Traditional Arabic" w:cs="Traditional Arabic" w:hint="cs"/>
                <w:kern w:val="0"/>
                <w:sz w:val="28"/>
                <w:szCs w:val="28"/>
                <w:rtl/>
                <w14:ligatures w14:val="none"/>
              </w:rPr>
              <w:t>19</w:t>
            </w:r>
            <w:r w:rsidR="00A35418" w:rsidRPr="00FE3901">
              <w:rPr>
                <w:rFonts w:ascii="Traditional Arabic" w:eastAsia="Traditional Arabic" w:hAnsi="Traditional Arabic" w:cs="Traditional Arabic"/>
                <w:kern w:val="0"/>
                <w:sz w:val="28"/>
                <w:szCs w:val="28"/>
                <w:rtl/>
                <w14:ligatures w14:val="none"/>
              </w:rPr>
              <w:t>): نتائج اختبار ANOVA حسب المسمى الوظيفي</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47</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2F025A" w:rsidP="002F025A">
            <w:pPr>
              <w:spacing w:after="0" w:line="300" w:lineRule="exact"/>
              <w:jc w:val="center"/>
              <w:rPr>
                <w:rFonts w:ascii="Traditional Arabic" w:eastAsia="Traditional Arabic" w:hAnsi="Traditional Arabic" w:cs="Traditional Arabic"/>
                <w:kern w:val="0"/>
                <w:sz w:val="28"/>
                <w:szCs w:val="28"/>
                <w14:ligatures w14:val="none"/>
              </w:rPr>
            </w:pPr>
            <w:r>
              <w:rPr>
                <w:rFonts w:ascii="Traditional Arabic" w:eastAsia="Traditional Arabic" w:hAnsi="Traditional Arabic" w:cs="Traditional Arabic"/>
                <w:kern w:val="0"/>
                <w:sz w:val="28"/>
                <w:szCs w:val="28"/>
                <w:rtl/>
                <w14:ligatures w14:val="none"/>
              </w:rPr>
              <w:t>جدول (</w:t>
            </w:r>
            <w:r>
              <w:rPr>
                <w:rFonts w:ascii="Traditional Arabic" w:eastAsia="Traditional Arabic" w:hAnsi="Traditional Arabic" w:cs="Traditional Arabic" w:hint="cs"/>
                <w:kern w:val="0"/>
                <w:sz w:val="28"/>
                <w:szCs w:val="28"/>
                <w:rtl/>
                <w14:ligatures w14:val="none"/>
              </w:rPr>
              <w:t>20</w:t>
            </w:r>
            <w:r>
              <w:rPr>
                <w:rFonts w:ascii="Traditional Arabic" w:eastAsia="Traditional Arabic" w:hAnsi="Traditional Arabic" w:cs="Traditional Arabic"/>
                <w:kern w:val="0"/>
                <w:sz w:val="28"/>
                <w:szCs w:val="28"/>
                <w:rtl/>
                <w14:ligatures w14:val="none"/>
              </w:rPr>
              <w:t>)</w:t>
            </w:r>
            <w:r w:rsidR="00A35418" w:rsidRPr="00FE3901">
              <w:rPr>
                <w:rFonts w:ascii="Traditional Arabic" w:eastAsia="Traditional Arabic" w:hAnsi="Traditional Arabic" w:cs="Traditional Arabic"/>
                <w:kern w:val="0"/>
                <w:sz w:val="28"/>
                <w:szCs w:val="28"/>
                <w:rtl/>
                <w14:ligatures w14:val="none"/>
              </w:rPr>
              <w:t>: اختبار ANOVA لأثر المستوى التعليمي على إدارة المخاطر ونجاح المشاريع</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48</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sidR="002F025A">
              <w:rPr>
                <w:rFonts w:ascii="Traditional Arabic" w:eastAsia="Traditional Arabic" w:hAnsi="Traditional Arabic" w:cs="Traditional Arabic" w:hint="cs"/>
                <w:kern w:val="0"/>
                <w:sz w:val="28"/>
                <w:szCs w:val="28"/>
                <w:rtl/>
                <w14:ligatures w14:val="none"/>
              </w:rPr>
              <w:t xml:space="preserve"> (21)</w:t>
            </w:r>
            <w:r w:rsidRPr="00FE3901">
              <w:rPr>
                <w:rFonts w:ascii="Traditional Arabic" w:eastAsia="Traditional Arabic" w:hAnsi="Traditional Arabic" w:cs="Traditional Arabic"/>
                <w:kern w:val="0"/>
                <w:sz w:val="28"/>
                <w:szCs w:val="28"/>
                <w:rtl/>
                <w14:ligatures w14:val="none"/>
              </w:rPr>
              <w:t>: اختبار T لأثر المنطقة الإدارية (مركزية/فروع) على إدارة المخاطر</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49</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sidR="002F025A">
              <w:rPr>
                <w:rFonts w:ascii="Traditional Arabic" w:eastAsia="Traditional Arabic" w:hAnsi="Traditional Arabic" w:cs="Traditional Arabic" w:hint="cs"/>
                <w:kern w:val="0"/>
                <w:sz w:val="28"/>
                <w:szCs w:val="28"/>
                <w:rtl/>
                <w14:ligatures w14:val="none"/>
              </w:rPr>
              <w:t xml:space="preserve"> (22)</w:t>
            </w:r>
            <w:r w:rsidRPr="00FE3901">
              <w:rPr>
                <w:rFonts w:ascii="Traditional Arabic" w:eastAsia="Traditional Arabic" w:hAnsi="Traditional Arabic" w:cs="Traditional Arabic"/>
                <w:kern w:val="0"/>
                <w:sz w:val="28"/>
                <w:szCs w:val="28"/>
                <w:rtl/>
                <w14:ligatures w14:val="none"/>
              </w:rPr>
              <w:t>: نتائج تحليل الانحدار الهرمي (R² التراكمي لأثر أبعاد إدارة المخاطر)</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50</w:t>
            </w:r>
          </w:p>
        </w:tc>
        <w:tc>
          <w:tcPr>
            <w:tcW w:w="707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sidR="002F025A">
              <w:rPr>
                <w:rFonts w:ascii="Traditional Arabic" w:eastAsia="Traditional Arabic" w:hAnsi="Traditional Arabic" w:cs="Traditional Arabic" w:hint="cs"/>
                <w:kern w:val="0"/>
                <w:sz w:val="28"/>
                <w:szCs w:val="28"/>
                <w:rtl/>
                <w14:ligatures w14:val="none"/>
              </w:rPr>
              <w:t xml:space="preserve"> (23)</w:t>
            </w:r>
            <w:r w:rsidRPr="00FE3901">
              <w:rPr>
                <w:rFonts w:ascii="Traditional Arabic" w:eastAsia="Traditional Arabic" w:hAnsi="Traditional Arabic" w:cs="Traditional Arabic"/>
                <w:kern w:val="0"/>
                <w:sz w:val="28"/>
                <w:szCs w:val="28"/>
                <w:rtl/>
                <w14:ligatures w14:val="none"/>
              </w:rPr>
              <w:t>: مقارنة نتائج الدراسة الحالية بالدراسات السابقة الرئيسة</w:t>
            </w:r>
          </w:p>
        </w:tc>
      </w:tr>
      <w:tr w:rsidR="00A35418" w:rsidRPr="00FE3901" w:rsidTr="002F025A">
        <w:tc>
          <w:tcPr>
            <w:tcW w:w="1709"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hint="cs"/>
                <w:kern w:val="0"/>
                <w:sz w:val="28"/>
                <w:szCs w:val="28"/>
                <w:rtl/>
                <w14:ligatures w14:val="none"/>
              </w:rPr>
              <w:t>57</w:t>
            </w:r>
          </w:p>
        </w:tc>
        <w:tc>
          <w:tcPr>
            <w:tcW w:w="7078" w:type="dxa"/>
            <w:tcBorders>
              <w:top w:val="single" w:sz="4" w:space="0" w:color="AAAAAA"/>
              <w:left w:val="single" w:sz="4" w:space="0" w:color="AAAAAA"/>
              <w:bottom w:val="single" w:sz="4" w:space="0" w:color="AAAAAA"/>
              <w:right w:val="single" w:sz="4" w:space="0" w:color="AAAAAA"/>
            </w:tcBorders>
            <w:shd w:val="clear" w:color="auto" w:fill="E8F4F8"/>
            <w:tcMar>
              <w:top w:w="80" w:type="dxa"/>
              <w:left w:w="150" w:type="dxa"/>
              <w:bottom w:w="80" w:type="dxa"/>
              <w:right w:w="150" w:type="dxa"/>
            </w:tcMar>
            <w:vAlign w:val="center"/>
          </w:tcPr>
          <w:p w:rsidR="00A35418" w:rsidRPr="00FE3901" w:rsidRDefault="00A35418" w:rsidP="002F025A">
            <w:pPr>
              <w:spacing w:after="0" w:line="300" w:lineRule="exact"/>
              <w:jc w:val="center"/>
              <w:rPr>
                <w:rFonts w:ascii="Traditional Arabic" w:eastAsia="Traditional Arabic" w:hAnsi="Traditional Arabic" w:cs="Traditional Arabic"/>
                <w:kern w:val="0"/>
                <w:sz w:val="28"/>
                <w:szCs w:val="28"/>
                <w14:ligatures w14:val="none"/>
              </w:rPr>
            </w:pPr>
            <w:r w:rsidRPr="00FE3901">
              <w:rPr>
                <w:rFonts w:ascii="Traditional Arabic" w:eastAsia="Traditional Arabic" w:hAnsi="Traditional Arabic" w:cs="Traditional Arabic"/>
                <w:kern w:val="0"/>
                <w:sz w:val="28"/>
                <w:szCs w:val="28"/>
                <w:rtl/>
                <w14:ligatures w14:val="none"/>
              </w:rPr>
              <w:t>جدول</w:t>
            </w:r>
            <w:r w:rsidR="002F025A">
              <w:rPr>
                <w:rFonts w:ascii="Traditional Arabic" w:eastAsia="Traditional Arabic" w:hAnsi="Traditional Arabic" w:cs="Traditional Arabic" w:hint="cs"/>
                <w:kern w:val="0"/>
                <w:sz w:val="28"/>
                <w:szCs w:val="28"/>
                <w:rtl/>
                <w14:ligatures w14:val="none"/>
              </w:rPr>
              <w:t xml:space="preserve"> (24)</w:t>
            </w:r>
            <w:r w:rsidRPr="00FE3901">
              <w:rPr>
                <w:rFonts w:ascii="Traditional Arabic" w:eastAsia="Traditional Arabic" w:hAnsi="Traditional Arabic" w:cs="Traditional Arabic"/>
                <w:kern w:val="0"/>
                <w:sz w:val="28"/>
                <w:szCs w:val="28"/>
                <w:rtl/>
                <w14:ligatures w14:val="none"/>
              </w:rPr>
              <w:t>: خارطة الطريق المقترحة لتطوير إدارة المخاطر في القطاع العدلي</w:t>
            </w:r>
          </w:p>
        </w:tc>
      </w:tr>
    </w:tbl>
    <w:p w:rsidR="00A70003" w:rsidRPr="00A35418" w:rsidRDefault="00A70003" w:rsidP="00A70003">
      <w:pPr>
        <w:spacing w:after="100" w:line="360" w:lineRule="auto"/>
        <w:ind w:firstLine="283"/>
        <w:rPr>
          <w:rFonts w:ascii="Simplified Arabic" w:hAnsi="Simplified Arabic" w:cs="Simplified Arabic"/>
          <w:sz w:val="28"/>
          <w:szCs w:val="28"/>
          <w:u w:val="single"/>
          <w:rtl/>
        </w:rPr>
        <w:sectPr w:rsidR="00A70003" w:rsidRPr="00A35418" w:rsidSect="00A70003">
          <w:footerReference w:type="default" r:id="rId10"/>
          <w:footerReference w:type="first" r:id="rId11"/>
          <w:pgSz w:w="11906" w:h="16838"/>
          <w:pgMar w:top="1440" w:right="1274" w:bottom="1440" w:left="1276"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rsidR="009125CE" w:rsidRPr="00E534B9" w:rsidRDefault="00AF2167" w:rsidP="00AF2167">
      <w:pPr>
        <w:jc w:val="center"/>
        <w:rPr>
          <w:rFonts w:ascii="Simplified Arabic" w:hAnsi="Simplified Arabic" w:cs="Simplified Arabic"/>
          <w:rtl/>
        </w:rPr>
      </w:pPr>
      <w:r>
        <w:rPr>
          <w:rFonts w:ascii="Simplified Arabic" w:hAnsi="Simplified Arabic" w:cs="Simplified Arabic"/>
          <w:b/>
          <w:bCs/>
          <w:sz w:val="40"/>
          <w:szCs w:val="40"/>
          <w:rtl/>
        </w:rPr>
        <w:lastRenderedPageBreak/>
        <w:t>الفصل الأول: الإطار العام للدراسة</w:t>
      </w:r>
    </w:p>
    <w:p w:rsidR="00AF2167" w:rsidRPr="00E534B9" w:rsidRDefault="00226FF1" w:rsidP="00AF2167">
      <w:pPr>
        <w:rPr>
          <w:rFonts w:ascii="Simplified Arabic" w:hAnsi="Simplified Arabic" w:cs="Simplified Arabic"/>
          <w:b/>
          <w:bCs/>
          <w:sz w:val="32"/>
          <w:szCs w:val="32"/>
          <w:rtl/>
        </w:rPr>
      </w:pPr>
      <w:r>
        <w:rPr>
          <w:rFonts w:ascii="Simplified Arabic" w:hAnsi="Simplified Arabic" w:cs="Simplified Arabic" w:hint="cs"/>
          <w:b/>
          <w:bCs/>
          <w:sz w:val="32"/>
          <w:szCs w:val="32"/>
          <w:rtl/>
        </w:rPr>
        <w:t>1.1</w:t>
      </w:r>
      <w:r>
        <w:rPr>
          <w:rFonts w:ascii="Simplified Arabic" w:hAnsi="Simplified Arabic" w:cs="Simplified Arabic"/>
          <w:b/>
          <w:bCs/>
          <w:sz w:val="32"/>
          <w:szCs w:val="32"/>
          <w:rtl/>
        </w:rPr>
        <w:t xml:space="preserve"> مقدمة:</w:t>
      </w:r>
    </w:p>
    <w:p w:rsidR="00226FF1" w:rsidRPr="00226FF1" w:rsidRDefault="00AF2167"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شهدت بيئة الأعمال في العصر الحديث تحولات جوهرية نتيجة التقدم التكنولوجي المتسارع، وزيادة حدة المنافسة، وتنامي متطلبات الجودة والكفاءة في تقديم الخدمات، مما أدى إلى ارتفاع مستوى التعقيد في إدارة المشاريع، خاصة في المؤسسات الخدمية. وقد أصبح نجاح المشاريع لا يعتمد فقط على التخطيط والتنفيذ، بل يتطلب أيضًا القدرة على التنبؤ بالمخاطر المحتملة والتعامل معها بفعالية.</w:t>
      </w:r>
    </w:p>
    <w:p w:rsidR="00226FF1" w:rsidRPr="00226FF1" w:rsidRDefault="00226FF1"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وتُعد إدارة المخاطر من أهم الممارسات الإدارية التي ظهرت استجابةً لهذه التحديات، حيث تمثل عملية منهجية تهدف إلى تحديد المخاطر التي قد تواجه المشروع، وتحليلها، وتقييم آثارها، ثم وضع الخطط المناسبة للتعامل معها. وقد تطور مفهوم إدارة المخاطر ليصبح جزءًا لا يتجزأ من إدارة المشاريع الحديثة، بل وأحد العوامل الحاسمة في تحقيق النجاح والاستدامة.</w:t>
      </w:r>
    </w:p>
    <w:p w:rsidR="00226FF1" w:rsidRPr="00226FF1" w:rsidRDefault="00226FF1"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وفي ظل التحولات التي تشهدها المؤسسات الحكومية، وخاصة في المملكة العربية السعودية، برزت أهمية إدارة المشاريع كأداة لتحقيق مستهدفات التنمية، وذلك في إطار رؤية المملكة 2030 التي تركز على تحسين كفاءة الأداء الحكومي، وتعزيز جودة الخدمات، وتطوير البنية الرقمية. ويُعد قطاع الخدمات العدلية من القطاعات الحيوية التي شهدت تطورًا ملحوظًا من خلال تنفيذ العديد من المشاريع التحولية، سواء التقنية أو التنظيمية.</w:t>
      </w:r>
    </w:p>
    <w:p w:rsidR="00226FF1" w:rsidRPr="00226FF1" w:rsidRDefault="00226FF1"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ومع هذا التوسع في المشاريع، تزداد احتمالية التعرض لمخاطر متعددة، تشمل المخاطر التقنية المرتبطة بالأنظمة الإلكترونية، والمخاطر التنظيمية الناتجة عن التغيير المؤسسي، والمخاطر البشرية المتعلقة بالكفاءات، إضافة إلى المخاطر التشغيلية التي قد تؤثر على سير العمل. ومن هنا، تصبح إدارة المخاطر عنصرًا أساسيًا لضمان نجاح هذه المشاريع وتحقيق أهدافها بكفاءة.</w:t>
      </w:r>
    </w:p>
    <w:p w:rsidR="00226FF1" w:rsidRDefault="00226FF1" w:rsidP="00690C7F">
      <w:pPr>
        <w:spacing w:after="100" w:line="360" w:lineRule="auto"/>
        <w:ind w:firstLine="283"/>
        <w:jc w:val="both"/>
        <w:rPr>
          <w:rFonts w:ascii="Simplified Arabic" w:hAnsi="Simplified Arabic" w:cs="Simplified Arabic"/>
          <w:b/>
          <w:bCs/>
          <w:sz w:val="32"/>
          <w:szCs w:val="32"/>
          <w:u w:val="single"/>
          <w:rtl/>
        </w:rPr>
      </w:pPr>
      <w:r>
        <w:rPr>
          <w:rFonts w:ascii="Simplified Arabic" w:hAnsi="Simplified Arabic" w:cs="Simplified Arabic"/>
          <w:sz w:val="28"/>
          <w:szCs w:val="28"/>
          <w:rtl/>
        </w:rPr>
        <w:lastRenderedPageBreak/>
        <w:t>وعليه، فإن دراسة أثر إدارة المخاطر على نجاح المشاريع في المؤسسات الخدمية، وبالتطبيق على قطاع الخدمات العدلية في المملكة العربية السعودية، تمثل أهمية علمية وتطبيقية كبيرة، حيث تسهم في تقديم فهم أعمق للعلاقة بين إدارة المخاطر ونجاح المشاريع، وتساعد في تطوير الممارسات الإدارية في هذا المجال.</w:t>
      </w:r>
    </w:p>
    <w:p w:rsidR="009A296E" w:rsidRPr="00E534B9" w:rsidRDefault="00226FF1" w:rsidP="00690C7F">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1.2</w:t>
      </w:r>
      <w:r>
        <w:rPr>
          <w:rFonts w:ascii="Simplified Arabic" w:hAnsi="Simplified Arabic" w:cs="Simplified Arabic"/>
          <w:b/>
          <w:bCs/>
          <w:sz w:val="32"/>
          <w:szCs w:val="32"/>
          <w:rtl/>
        </w:rPr>
        <w:t xml:space="preserve"> مشكلة الدراسة:</w:t>
      </w:r>
    </w:p>
    <w:p w:rsidR="00226FF1" w:rsidRPr="00690C7F" w:rsidRDefault="00226FF1"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على الرغم من التطور الملحوظ في أساليب إدارة المشاريع، إلا أن العديد من المشاريع لا تزال تواجه تحديات تؤثر على مستوى نجاحها، مثل التأخير في التنفيذ، وتجاوز التكاليف، وضعف جودة المخرجات، وعدم تحقيق الأهداف المرجوة. وتشير الأدبيات الإدارية إلى أن هذه المشكلات غالبًا ما تكون مرتبطة بضعف إدارة المخاطر أو عدم تطبيقها بشكل منهجي.</w:t>
      </w:r>
    </w:p>
    <w:p w:rsidR="00226FF1" w:rsidRPr="00690C7F" w:rsidRDefault="00226FF1"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وفي المؤسسات الخدمية، تتضاعف هذه التحديات نظرًا لطبيعة الخدمات التي تعتمد على التفاعل المباشر مع المستفيدين، وتعدد الأطراف المعنية، وتداخل العمليات التنظيمية. ويُعد قطاع الخدمات العدلية في المملكة العربية السعودية مثالًا على هذا النوع من المؤسسات، حيث يشهد تنفيذ مشاريع متعددة تهدف إلى تطوير الأنظمة العدلية وتحسين جودة الخدمات.</w:t>
      </w:r>
    </w:p>
    <w:p w:rsidR="00226FF1" w:rsidRPr="00226FF1" w:rsidRDefault="00226FF1"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ومع تزايد هذه المشاريع، تبرز الحاجة إلى فهم مدى فاعلية إدارة المخاطر في تحسين نتائج المشاريع، خاصة في ظل وجود مؤشرات على وجود تحديات مرتبطة بالتنفيذ والجودة والتكلفة. كما أن محدودية الدراسات التطبيقية التي تناولت هذا الموضوع في القطاع العدلي تحديدًا تشير إلى وجود فجوة بحثية تستدعي الدراسة والتحليل.</w:t>
      </w:r>
    </w:p>
    <w:p w:rsidR="009A296E" w:rsidRPr="009A296E" w:rsidRDefault="00226FF1" w:rsidP="00690C7F">
      <w:p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وبناءً على ذلك، فإن مشكلة الدراسة تتمثل في محاولة الإجابة عن التساؤل الرئيس التالي:</w:t>
      </w:r>
    </w:p>
    <w:p w:rsidR="009125CE" w:rsidRPr="00B14544" w:rsidRDefault="00226FF1" w:rsidP="00797786">
      <w:pPr>
        <w:spacing w:after="100" w:line="360" w:lineRule="auto"/>
        <w:jc w:val="both"/>
        <w:rPr>
          <w:rFonts w:ascii="Simplified Arabic" w:hAnsi="Simplified Arabic" w:cs="Simplified Arabic"/>
          <w:sz w:val="28"/>
          <w:szCs w:val="28"/>
          <w:u w:val="single"/>
          <w:rtl/>
        </w:rPr>
      </w:pPr>
      <w:r>
        <w:rPr>
          <w:rFonts w:ascii="Simplified Arabic" w:hAnsi="Simplified Arabic" w:cs="Simplified Arabic"/>
          <w:b/>
          <w:bCs/>
          <w:sz w:val="28"/>
          <w:szCs w:val="28"/>
          <w:rtl/>
        </w:rPr>
        <w:t>ما أثر إدارة المخاطر على نجاح المشاريع في المؤسسات الخدمية، وبالتحديد في قطاع الخدمات العدلية في المملكة العربية السعودية؟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1.3 مبررات الدراسة:</w:t>
      </w:r>
    </w:p>
    <w:p w:rsidR="00BB18E2" w:rsidRDefault="00BB18E2" w:rsidP="00690C7F">
      <w:pPr>
        <w:spacing w:after="100" w:line="360" w:lineRule="auto"/>
        <w:ind w:firstLine="283"/>
        <w:jc w:val="both"/>
        <w:rPr>
          <w:rFonts w:ascii="Simplified Arabic" w:hAnsi="Simplified Arabic" w:cs="Simplified Arabic"/>
          <w:sz w:val="28"/>
          <w:szCs w:val="28"/>
          <w:rtl/>
        </w:rPr>
      </w:pPr>
      <w:r>
        <w:rPr>
          <w:rFonts w:ascii="Simplified Arabic" w:hAnsi="Simplified Arabic" w:cs="Simplified Arabic"/>
          <w:sz w:val="28"/>
          <w:szCs w:val="28"/>
          <w:rtl/>
        </w:rPr>
        <w:t>تستند هذه الدراسة إلى جملة من المبررات العلمية والتطبيقية التي تعزز أهميتها وضرورة إجرائها، من أبرزها:</w:t>
      </w:r>
    </w:p>
    <w:p w:rsidR="00BB18E2" w:rsidRDefault="00BB18E2" w:rsidP="00690C7F">
      <w:pPr>
        <w:numPr>
          <w:ilvl w:val="0"/>
          <w:numId w:val="4"/>
        </w:num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التوسع الكبير في تنفيذ المشاريع التحولية في قطاع الخدمات العدلية ضمن إطار رؤية المملكة 2030.</w:t>
      </w:r>
    </w:p>
    <w:p w:rsidR="00BB18E2" w:rsidRDefault="00BB18E2" w:rsidP="00690C7F">
      <w:pPr>
        <w:numPr>
          <w:ilvl w:val="0"/>
          <w:numId w:val="4"/>
        </w:num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الحاجة الملحّة إلى تحسين كفاءة إدارة المشاريع في المؤسسات الخدمية الحكومية.</w:t>
      </w:r>
    </w:p>
    <w:p w:rsidR="00BB18E2" w:rsidRDefault="00BB18E2" w:rsidP="00690C7F">
      <w:pPr>
        <w:numPr>
          <w:ilvl w:val="0"/>
          <w:numId w:val="4"/>
        </w:num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أهمية إدارة المخاطر كعامل رئيسي ومؤثر في نجاح المشاريع وتقليل نسب تعثرها.</w:t>
      </w:r>
    </w:p>
    <w:p w:rsidR="00BB18E2" w:rsidRDefault="00BB18E2" w:rsidP="00690C7F">
      <w:pPr>
        <w:numPr>
          <w:ilvl w:val="0"/>
          <w:numId w:val="4"/>
        </w:num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وجود فجوة بحثية واضحة في الدراسات التطبيقية المتعلقة بالقطاع العدلي تحديداً في البيئة السعودية.</w:t>
      </w:r>
    </w:p>
    <w:p w:rsidR="00BB18E2" w:rsidRDefault="00BB18E2" w:rsidP="00690C7F">
      <w:pPr>
        <w:numPr>
          <w:ilvl w:val="0"/>
          <w:numId w:val="4"/>
        </w:num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دعم متخذي القرار في وزارة العدل والجهات التابعة لها بنتائج علمية قابلة للتطبيق الفعلي.</w:t>
      </w:r>
    </w:p>
    <w:p w:rsidR="00BB18E2" w:rsidRDefault="00BB18E2" w:rsidP="00690C7F">
      <w:pPr>
        <w:numPr>
          <w:ilvl w:val="0"/>
          <w:numId w:val="4"/>
        </w:numPr>
        <w:spacing w:after="10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الإسهام في تطوير منهجية وطنية لإدارة مخاطر المشاريع العدلية تتوافق مع أفضل الممارسات الدولية.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1.4 أهمية الدراسة:</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أولًا: الأهمية العلمية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تُسهم الدراسة في إثراء المكتبة الأكاديمية العربية بدراسة متخصصة في مجال إدارة المخاطر وإدارة المشاريع الحكومية.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تقدم تحليلاً علمياً دقيقاً للعلاقة بين إدارة المخاطر ونجاح المشاريع في بيئة مؤسسية خدمية.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تمثل إضافة معرفية في البيئة البحثية العربية، ولا سيما في مجال الخدمات العدلية الذي تشحّ فيه الدراسات التطبيقية.</w:t>
      </w:r>
    </w:p>
    <w:p w:rsidR="00BB18E2" w:rsidRDefault="00BB18E2">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تساعد في بناء إطار تحليلي يمكن توظيفه في دراسات مستقبلية مماثلة في قطاعات خدمية أخرى.</w:t>
      </w:r>
    </w:p>
    <w:p w:rsidR="00F435B7" w:rsidRDefault="00F435B7" w:rsidP="00F435B7">
      <w:pPr>
        <w:spacing w:after="100" w:line="360" w:lineRule="auto"/>
        <w:ind w:left="360"/>
        <w:rPr>
          <w:rFonts w:ascii="Simplified Arabic" w:hAnsi="Simplified Arabic" w:cs="Simplified Arabic"/>
          <w:sz w:val="28"/>
          <w:szCs w:val="28"/>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ثانيًا: الأهمية التطبيقية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تساعد الجهات العدلية على تطوير منهجيات فعّالة لإدارة مخاطر مشاريعها وتقليل نسب التعثر.</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تُسهم في رفع كفاءة الإنفاق الحكومي من خلال تحسين نتائج المشاريع وضبط تكاليفها.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تدعم متخذي القرار في تبني أساليب احترافية لإدارة المخاطر تتوافق مع متطلبات الحوكمة المؤسسية.</w:t>
      </w:r>
    </w:p>
    <w:p w:rsidR="00BB18E2" w:rsidRPr="00690C7F" w:rsidRDefault="00BB18E2" w:rsidP="00690C7F">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تُسهم في رفع مستوى جودة الخدمات العدلية المقدَّمة للمستفيدين من خلال ضمان نجاح المشاريع التحولية.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1.5 أهداف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يتمحور الهدف الرئيسي لهذه الدراسة حول: قياس أثر إدارة المخاطر على نجاح المشاريع في قطاع الخدمات العدلية في المملكة العربية السعودية، ويتفرع منه الأهداف الفرعية الآتية: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قياس مستوى تطبيق ممارسات إدارة المخاطر في المشاريع في قطاع الخدمات العدلية بأبعادها الأربعة (تحديد – تحليل – استجابة – متابعة).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تحديد مستوى نجاح المشاريع في هذا القطاع من خلال أبعاده الثلاثة (الوقت – التكلفة – الجودة).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تحليل طبيعة العلاقة بين إدارة المخاطر ونجاح المشاريع وقياس قوة هذه العلاقة وأثرها.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التعرف على أبرز التحديات التنظيمية والبشرية التي تعيق تطبيق إدارة المخاطر في المشاريع العدلية.</w:t>
      </w:r>
    </w:p>
    <w:p w:rsidR="00BB18E2" w:rsidRDefault="00BB18E2" w:rsidP="00690C7F">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تقديم مجموعة من التوصيات العملية الموجّهة لمتخذي القرار لتحسين ممارسات إدارة المخاطر ونجاح المشاريع.</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1.6 تساؤلات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السؤال الرئيسي:</w:t>
      </w:r>
    </w:p>
    <w:p w:rsidR="00F435B7" w:rsidRPr="00690C7F" w:rsidRDefault="00BB18E2" w:rsidP="00F435B7">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هل يوجد أثر ذو دلالة إحصائية لإدارة المخاطر على نجاح المشاريع في قطاع الخدمات العدلية في المملكة العربية السعودية عند مستوى الدلالة (α ≤ 0.05)؟</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الأسئلة الفرعية: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ما مستوى تطبيق إدارة المخاطر في المشاريع في قطاع الخدمات العدلية السعودية؟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ما مستوى نجاح المشاريع في قطاع الخدمات العدلية من حيث الالتزام بالوقت والتكلفة والجودة؟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ما طبيعة العلاقة الارتباطية بين إدارة المخاطر ونجاح المشاريع في هذا القطاع؟</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هل يوجد أثر معنوي لكل بُعد من أبعاد إدارة المخاطر منفردًا على نجاح المشاريع العدلية؟</w:t>
      </w:r>
    </w:p>
    <w:p w:rsidR="00BB18E2" w:rsidRDefault="00BB18E2" w:rsidP="00C74FB5">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ما أبرز التحديات التي تواجه تطبيق إدارة المخاطر في مشاريع الخدمات العدلية؟</w:t>
      </w:r>
    </w:p>
    <w:p w:rsidR="00F435B7" w:rsidRPr="00F435B7" w:rsidRDefault="00F435B7" w:rsidP="00F435B7">
      <w:pPr>
        <w:spacing w:after="100" w:line="360" w:lineRule="auto"/>
        <w:rPr>
          <w:rFonts w:ascii="Simplified Arabic" w:hAnsi="Simplified Arabic" w:cs="Simplified Arabic"/>
          <w:sz w:val="18"/>
          <w:szCs w:val="18"/>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1.7 فروض الدراسة:</w:t>
      </w:r>
    </w:p>
    <w:p w:rsidR="00BB18E2" w:rsidRPr="00690C7F"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الفرضية الرئيسية: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H1: يوجد أثر ذو دلالة إحصائية عند مستوى (α ≤ 0.05) لإدارة المخاطر على نجاح المشاريع في قطاع الخدمات العدلية في المملكة العربية السعودية.</w:t>
      </w:r>
    </w:p>
    <w:p w:rsidR="00BB18E2"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H0: لا يوجد أثر ذو دلالة إحصائية عند مستوى (α ≤ 0.05) لإدارة المخاطر على نجاح المشاريع في قطاع الخدمات العدلية في المملكة العربية السعودية.</w:t>
      </w:r>
    </w:p>
    <w:p w:rsidR="00F435B7" w:rsidRPr="00690C7F" w:rsidRDefault="00F435B7" w:rsidP="00690C7F">
      <w:pPr>
        <w:spacing w:after="100" w:line="360" w:lineRule="auto"/>
        <w:ind w:firstLine="283"/>
        <w:rPr>
          <w:rFonts w:ascii="Simplified Arabic" w:hAnsi="Simplified Arabic" w:cs="Simplified Arabic"/>
          <w:sz w:val="28"/>
          <w:szCs w:val="28"/>
          <w:rtl/>
        </w:rPr>
      </w:pPr>
    </w:p>
    <w:p w:rsidR="00BB18E2" w:rsidRPr="00690C7F"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الفرضيات الفرعية: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H1a: يوجد أثر ذو دلالة إحصائية لبُعد تحديد المخاطر على نجاح المشاريع في قطاع الخدمات العدلية.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H1b: يوجد أثر ذو دلالة إحصائية لبُعد تحليل المخاطر على نجاح المشاريع في قطاع الخدمات العدلية.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H1c: يوجد أثر ذو دلالة إحصائية لبُعد الاستجابة للمخاطر على نجاح المشاريع في قطاع الخدمات العدلية.</w:t>
      </w:r>
    </w:p>
    <w:p w:rsidR="00BB18E2" w:rsidRDefault="00BB18E2" w:rsidP="00C74FB5">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H1d: يوجد أثر ذو دلالة إحصائية لبُعد متابعة المخاطر ومراجعتها على نجاح المشاريع في قطاع الخدمات العدلية.</w:t>
      </w:r>
    </w:p>
    <w:p w:rsidR="00F435B7" w:rsidRPr="00F435B7" w:rsidRDefault="00F435B7" w:rsidP="00F435B7">
      <w:pPr>
        <w:spacing w:after="100" w:line="360" w:lineRule="auto"/>
        <w:ind w:left="360"/>
        <w:rPr>
          <w:rFonts w:ascii="Simplified Arabic" w:hAnsi="Simplified Arabic" w:cs="Simplified Arabic"/>
          <w:sz w:val="12"/>
          <w:szCs w:val="12"/>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1.8 نموذج الدراسة:</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تعتمد الدراسة على نموذج تحليلي يوضح العلاقة بين المتغير المستقل والمتغير التابع على النحو الآتي: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المتغير المستقل: إدارة المخاطر (Risk Management)، ويتكون من أربعة أبعاد:</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البُعد الأول: تحديد المخاطر (Risk Identification)</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البُعد الثاني: تحليل المخاطر وتقييمها (Risk Analysis &amp; Assessment)</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البُعد الثالث: الاستجابة للمخاطر (Risk Response)</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البُعد الرابع: متابعة المخاطر ومراجعتها (Risk Monitoring &amp; Review)</w:t>
      </w:r>
    </w:p>
    <w:p w:rsidR="00BB18E2" w:rsidRDefault="00BB18E2" w:rsidP="00F435B7">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المتغير التابع: نجاح المشاريع (Project Success)، ويتكون من ثلاثة أبعاد:</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البُعد الأول: الالتزام بالوقت (Time Performance)</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البُعد الثاني: الالتزام بالتكلفة (Cost Performance)</w:t>
      </w:r>
    </w:p>
    <w:p w:rsidR="00BB18E2" w:rsidRPr="00690C7F" w:rsidRDefault="00BB18E2" w:rsidP="00690C7F">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البُعد الثالث: جودة المخرجات (Quality Performance)</w:t>
      </w:r>
    </w:p>
    <w:p w:rsidR="004A2AD4" w:rsidRPr="00C74FB5" w:rsidRDefault="00BB18E2" w:rsidP="00C74FB5">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ويفترض النموذج وجود علاقة تأثير مباشر وإيجابي بين تطبيق ممارسات إدارة المخاطر ونجاح المشاريع. كما يُتوقع أن يتباين حجم الأثر بحسب طبيعة كل بُعد من أبعاد إدارة المخاطر.</w:t>
      </w:r>
    </w:p>
    <w:p w:rsidR="004A2AD4" w:rsidRDefault="00C74FB5">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1.9 النظرية العلمية المتبعة لإعداد البحث:</w:t>
      </w:r>
    </w:p>
    <w:p w:rsidR="004A2AD4" w:rsidRDefault="00C74FB5" w:rsidP="00C74FB5">
      <w:pPr>
        <w:spacing w:after="100" w:line="360" w:lineRule="auto"/>
      </w:pPr>
      <w:r>
        <w:rPr>
          <w:rFonts w:ascii="Simplified Arabic" w:hAnsi="Simplified Arabic" w:cs="Simplified Arabic"/>
          <w:sz w:val="28"/>
          <w:szCs w:val="28"/>
          <w:rtl/>
        </w:rPr>
        <w:t>تستند هذه الدراسة في بنائها النظري والمنهجي إلى ثلاثة أطر علمية راسخة تُشكّل معاً المنطلق المعرفي لتفسير العلاقة بين إدارة المخاطر ونجاح المشاريع في المؤسسات العدلية:</w:t>
      </w:r>
    </w:p>
    <w:p w:rsidR="004A2AD4" w:rsidRDefault="00C74FB5">
      <w:pPr>
        <w:spacing w:after="10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أولاً — معيار ISO 31000:2018 لإدارة المخاطر (النظرية الأساسية):</w:t>
      </w:r>
    </w:p>
    <w:p w:rsidR="004A2AD4" w:rsidRDefault="00C74FB5">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يُعدّ هذا المعيار الدولي الإطارَ الفلسفي والعملياتي المرجعي للدراسة، ويقوم على مبدأ أن إدارة المخاطر عمليةٌ مدمجةٌ في صميم القرار المؤسسي. وقد تبنّت الحكومة السعودية هذا المعيار رسمياً في دليل وزارة المالية (2024) وهيئة الحكومة الرقمية (2025). ويُوفّر الأبعاد الإجرائية الأربعة لمتغير إدارة المخاطر: تحديد، تحليل، استجابة، متابعة.</w:t>
      </w:r>
    </w:p>
    <w:p w:rsidR="004A2AD4" w:rsidRDefault="004A2AD4">
      <w:pPr>
        <w:spacing w:after="0" w:line="240" w:lineRule="auto"/>
      </w:pPr>
    </w:p>
    <w:p w:rsidR="00C74FB5" w:rsidRDefault="00C74FB5" w:rsidP="00C74FB5">
      <w:pPr>
        <w:spacing w:after="100" w:line="360" w:lineRule="auto"/>
        <w:rPr>
          <w:rFonts w:ascii="Simplified Arabic" w:hAnsi="Simplified Arabic" w:cs="Simplified Arabic"/>
          <w:sz w:val="28"/>
          <w:szCs w:val="28"/>
          <w:rtl/>
        </w:rPr>
      </w:pPr>
      <w:r>
        <w:rPr>
          <w:rFonts w:ascii="Simplified Arabic" w:hAnsi="Simplified Arabic" w:cs="Simplified Arabic"/>
          <w:b/>
          <w:bCs/>
          <w:sz w:val="28"/>
          <w:szCs w:val="28"/>
          <w:rtl/>
        </w:rPr>
        <w:t>ثانياً — نموذج PMBOK لإدارة مخاطر المشاريع (النظرية التطبيقية):</w:t>
      </w:r>
    </w:p>
    <w:p w:rsidR="00C74FB5" w:rsidRDefault="00C74FB5" w:rsidP="00C74FB5">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يُمثّل دليل معهد إدارة المشاريع (PMI, 2021) المرجعَ التطبيقي لبناء أداة القياس وتصميم النموذج التحليلي.</w:t>
      </w:r>
    </w:p>
    <w:p w:rsidR="004A2AD4" w:rsidRDefault="00C74FB5" w:rsidP="00C74FB5">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 xml:space="preserve"> ويُعزز الصدق المحتوى (Content Validity) للأداة من خلال ست عمليات متكاملة لإدارة المخاطر كُيِّفت لتلائم خصوصية المشاريع العدلية السعودية.</w:t>
      </w:r>
    </w:p>
    <w:p w:rsidR="001E4968" w:rsidRDefault="001E4968" w:rsidP="00C74FB5">
      <w:pPr>
        <w:spacing w:after="100" w:line="360" w:lineRule="auto"/>
        <w:rPr>
          <w:rFonts w:ascii="Simplified Arabic" w:hAnsi="Simplified Arabic" w:cs="Simplified Arabic"/>
          <w:sz w:val="28"/>
          <w:szCs w:val="28"/>
          <w:rtl/>
        </w:rPr>
      </w:pPr>
    </w:p>
    <w:p w:rsidR="004A2AD4" w:rsidRDefault="004A2AD4">
      <w:pPr>
        <w:spacing w:after="0" w:line="240" w:lineRule="auto"/>
      </w:pPr>
    </w:p>
    <w:p w:rsidR="004A2AD4" w:rsidRDefault="00C74FB5">
      <w:pPr>
        <w:spacing w:after="10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ثالثاً — نموذج المدخل الوقائي (Preventive Approach Model) (النظرية التفسيرية):</w:t>
      </w:r>
    </w:p>
    <w:p w:rsidR="004A2AD4" w:rsidRDefault="00C74FB5">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يفترض هذا النموذج علاقةً سببيةً مباشرة بين الاستباقية في التعامل مع المخاطر ونجاح المشاريع، وهو النموذج التفسيري الموجِّه للعلاقة بين المتغيرين. يتوافق مع الخالدي (2023) الذي أثبت أن المؤسسات التي تتبنى المدخل الوقائي تحقق نسب إنجاز أعلى بمعدل 28%.</w:t>
      </w:r>
    </w:p>
    <w:p w:rsidR="004A2AD4" w:rsidRDefault="004A2AD4">
      <w:pPr>
        <w:spacing w:after="0" w:line="240" w:lineRule="auto"/>
      </w:pPr>
    </w:p>
    <w:p w:rsidR="004A2AD4" w:rsidRDefault="00C74FB5">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وتجمع هذه الأطر الثلاثة التوجيهَ الفلسفي (ISO 31000)، والتطبيق المنهجي (PMBOK)، والتفسير العلّي (المدخل الوقائي)، لتُشكّل منظومةً نظريةً متكاملة تُؤطّر الدراسة وتُرسّخ مصداقيتها الأكاديمية.</w:t>
      </w:r>
    </w:p>
    <w:p w:rsidR="004A2AD4" w:rsidRDefault="004A2AD4">
      <w:pPr>
        <w:spacing w:after="0" w:line="240" w:lineRule="auto"/>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1.10 الدراسات السابقة:</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استعرضت الدراسة جملةً من الأبحاث والدراسات السابقة ذات الصلة بموضوع إدارة المخاطر ونجاح المشاريع في المؤسسات الحكومية والخدمية، وفيما يلي عرض لأبرزها مرتبةً وفق موضوعاتها:</w:t>
      </w:r>
    </w:p>
    <w:p w:rsidR="00BB18E2" w:rsidRPr="00690C7F" w:rsidRDefault="00BB18E2" w:rsidP="00690C7F">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أولًا: دراسات تناولت إدارة المخاطر في المشاريع الحكومية: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دراسة السالم (2020): "إدارة المشاريع الحكومية في المملكة العربية السعودية"</w:t>
      </w:r>
    </w:p>
    <w:p w:rsidR="00BB18E2"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هدفت الدراسة إلى تحليل الأسباب الجوهرية لتعثر المشاريع الحكومية في المملكة، وخلصت إلى أن غياب منهجية واضحة لإدارة المخاطر يُعدّ من أبرز هذه الأسباب وأكثرها تكراراً. كما أوصت الدراسة بضرورة إنشاء وحدات متخصصة لإدارة المخاطر في كل جهة حكومية وربطها بمستوى الإدارة العليا. وتُعدّ هذه الدراسة من أوائل الدراسات السعودية التي نادت بإدخال إدارة المخاطر بشكل رسمي ضمن الهيكل التنظيمي للمؤسسات الحكومية.</w:t>
      </w:r>
    </w:p>
    <w:p w:rsidR="001E4968" w:rsidRDefault="001E4968" w:rsidP="00690C7F">
      <w:pPr>
        <w:spacing w:after="100" w:line="360" w:lineRule="auto"/>
        <w:ind w:firstLine="283"/>
        <w:rPr>
          <w:rFonts w:ascii="Simplified Arabic" w:hAnsi="Simplified Arabic" w:cs="Simplified Arabic"/>
          <w:sz w:val="28"/>
          <w:szCs w:val="28"/>
          <w:rtl/>
        </w:rPr>
      </w:pPr>
    </w:p>
    <w:p w:rsidR="001E4968" w:rsidRPr="00690C7F" w:rsidRDefault="001E4968" w:rsidP="00690C7F">
      <w:pPr>
        <w:spacing w:after="100" w:line="360" w:lineRule="auto"/>
        <w:ind w:firstLine="283"/>
        <w:rPr>
          <w:rFonts w:ascii="Simplified Arabic" w:hAnsi="Simplified Arabic" w:cs="Simplified Arabic"/>
          <w:sz w:val="28"/>
          <w:szCs w:val="28"/>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دراسة المطيري (2021): "العلاقة بين إدارة المخاطر والأداء المؤسسي في الأجهزة الحكومية"</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اعتمد الباحث المنهج الوصفي التحليلي على عينة قوامها (120) موظفاً في عدد من الوزارات السعودية، وتوصّل إلى أن وجود سياسات مؤسسية موثّقة لإدارة المخاطر يرتبط ارتباطاً طردياً ومعنوياً بالأداء المؤسسي وفعالية اتخاذ القرار. وأثبتت الدراسة أن المؤسسات التي تطبق أساليب تحليل المخاطر الكمية كمصفوفة الاحتمال والتأثير تحقق أداءً أفضل بنسبة تصل إلى 35%.</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دراسة الخالدي (2023): "تطبيق إدارة المخاطر في المؤسسات الحكومية السعودية وفق رؤية 2030"</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ركّزت الدراسة على العلاقة بين منهجية إدارة المخاطر وتحقيق كفاءة الإنفاق العام، وتوصّلت إلى أن تبنّي منهجية المخاطر يُسهم في خفض الهدر المالي وتحسين سرعة الإنجاز. كما أوصت بضرورة تدريب القيادات الإدارية على أدوات إدارة المخاطر الرقمية وربطها بلوحات مؤشرات الأداء المؤسسي.</w:t>
      </w:r>
    </w:p>
    <w:p w:rsidR="00BB18E2" w:rsidRPr="00690C7F" w:rsidRDefault="00BB18E2" w:rsidP="00690C7F">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ثانيًا: دراسات تناولت نجاح المشاريع الحكومية: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دراسة الشهري (2019): "العوامل المؤثرة في نجاح المشاريع الحكومية في المملكة العربية السعودية"</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تناولت الدراسة ثلاثين مشروعاً حكومياً في مناطق إدارية متعددة، وبيّنت أن أبرز عوامل النجاح تتمثل في وضوح الأهداف الاستراتيجية، والمتابعة الدورية، وتقييم المخاطر في كل مرحلة تنفيذية. وأشارت إلى أن المشاريع التي طبّقت إدارة المخاطر منذ مرحلة التخطيط حققت التزاماً زمنياً بنسبة تجاوزت 90%.</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دراسة العنزي (2022): "نموذج متكامل لإدارة المخاطر في القطاع العام السعودي"</w:t>
      </w:r>
    </w:p>
    <w:p w:rsidR="00BB18E2"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قدّم الباحث نموذجاً عملياً لدمج إدارة المخاطر ضمن منظومة الحوكمة المؤسسية، وأكد أن وجود إطار موحّد لإدارة المخاطر يرفع مستوى الشفافية ويُقلّل من تكرار الأخطاء الإدارية. كما أوصت الدراسة بإنشاء قاعدة بيانات وطنية لتبادل الخبرات بين المؤسسات الحكومية في هذا المجال.</w:t>
      </w:r>
    </w:p>
    <w:p w:rsidR="001E4968" w:rsidRPr="00690C7F" w:rsidRDefault="001E4968" w:rsidP="00690C7F">
      <w:pPr>
        <w:spacing w:after="100" w:line="360" w:lineRule="auto"/>
        <w:ind w:firstLine="283"/>
        <w:rPr>
          <w:rFonts w:ascii="Simplified Arabic" w:hAnsi="Simplified Arabic" w:cs="Simplified Arabic"/>
          <w:sz w:val="28"/>
          <w:szCs w:val="28"/>
          <w:rtl/>
        </w:rPr>
      </w:pPr>
    </w:p>
    <w:p w:rsidR="00BB18E2" w:rsidRPr="00690C7F" w:rsidRDefault="00BB18E2" w:rsidP="00690C7F">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ثالثًا: دراسات تناولت القطاع العدلي: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دراسة الزهراني (2022): "حوكمة إدارة المشاريع في البيئة العدلية السعودية"</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طبّقت الدراسة منهجاً وصفياً ميدانياً على مشاريع وزارة العدل، وخلصت إلى أن هناك تحسّناً ملحوظاً في آليات الحوكمة لكن لا تزال ممارسات إدارة المخاطر تُطبَّق بصورة غير منتظمة وغير مؤسسية. كما بيّنت أن وجود وحدة متخصصة للمخاطر داخل الوزارة يُسهم في تقليل التأخيرات بنسبة 25%.</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تقرير وزارة العدل السنوي (2023): "أداء المشاريع العدلية"</w:t>
      </w:r>
    </w:p>
    <w:p w:rsidR="00BB18E2" w:rsidRPr="00690C7F" w:rsidRDefault="00BB18E2" w:rsidP="00690C7F">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أظهر التقرير أن نسبة المشاريع التي أُنجزت في موعدها المحدد لم تتجاوز 72%، وأن نحو 18% من المشاريع شهدت تجاوزات في الميزانية. وأوصى التقرير بإنشاء مركز وطني لإدارة مخاطر المشاريع العدلية يتبع الإدارة العامة للتطوير والحوكمة.</w:t>
      </w:r>
    </w:p>
    <w:p w:rsidR="00BB18E2" w:rsidRPr="00690C7F" w:rsidRDefault="00BB18E2" w:rsidP="00690C7F">
      <w:pPr>
        <w:spacing w:after="100" w:line="360" w:lineRule="auto"/>
        <w:ind w:firstLine="283"/>
        <w:rPr>
          <w:rFonts w:ascii="Simplified Arabic" w:hAnsi="Simplified Arabic" w:cs="Simplified Arabic"/>
          <w:b/>
          <w:bCs/>
          <w:sz w:val="28"/>
          <w:szCs w:val="28"/>
        </w:rPr>
      </w:pPr>
      <w:r>
        <w:rPr>
          <w:rFonts w:ascii="Simplified Arabic" w:hAnsi="Simplified Arabic" w:cs="Simplified Arabic"/>
          <w:b/>
          <w:bCs/>
          <w:sz w:val="28"/>
          <w:szCs w:val="28"/>
          <w:rtl/>
        </w:rPr>
        <w:t>التعليق على الدراسات السابقة والفجوة البحثية:</w:t>
      </w:r>
    </w:p>
    <w:p w:rsidR="00BB18E2" w:rsidRPr="00690C7F" w:rsidRDefault="00BB18E2" w:rsidP="00690C7F">
      <w:pPr>
        <w:spacing w:before="200" w:after="100" w:line="360" w:lineRule="auto"/>
        <w:ind w:firstLine="283"/>
        <w:rPr>
          <w:rFonts w:ascii="Simplified Arabic" w:hAnsi="Simplified Arabic" w:cs="Simplified Arabic"/>
          <w:b/>
          <w:bCs/>
          <w:sz w:val="28"/>
          <w:szCs w:val="28"/>
        </w:rPr>
      </w:pPr>
      <w:r>
        <w:rPr>
          <w:rFonts w:ascii="Simplified Arabic" w:hAnsi="Simplified Arabic" w:cs="Simplified Arabic"/>
          <w:b/>
          <w:bCs/>
          <w:sz w:val="28"/>
          <w:szCs w:val="28"/>
          <w:rtl/>
        </w:rPr>
        <w:t>رابعًا: الدراسات الأجنبية ذات الصلة:</w:t>
      </w:r>
    </w:p>
    <w:p w:rsidR="00BB18E2" w:rsidRDefault="00BB18E2" w:rsidP="00FA1E6E">
      <w:pPr>
        <w:spacing w:after="100" w:line="360" w:lineRule="auto"/>
        <w:ind w:firstLine="283"/>
        <w:rPr>
          <w:rFonts w:ascii="Simplified Arabic" w:hAnsi="Simplified Arabic" w:cs="Simplified Arabic"/>
          <w:sz w:val="28"/>
          <w:szCs w:val="28"/>
          <w:rtl/>
        </w:rPr>
      </w:pPr>
      <w:r>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de Bakker et al. 2010): تحليل ميتا لأثر إدارة المخاطر في مشاريع تقنية المعلومات</w:t>
      </w:r>
    </w:p>
    <w:p w:rsidR="00BB18E2" w:rsidRPr="00690C7F" w:rsidRDefault="00BB18E2" w:rsidP="00690C7F">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أجرى الباحثون تحليلاً ميتا (Meta-Analysis) استوعب (74) دراسة تجريبية تناولت العلاقة بين إدارة المخاطر ونجاح مشاريع تقنية المعلومات في بيئات مؤسسية متعددة. وقد خلص التحليل إلى أن تطبيق إدارة المخاطر يرتبط ارتباطاً موجباً ومعنوياً بنجاح المشروع، غير أن حجم الأثر يتباين تبعاً لمستوى تعقيد المشروع ودرجة نضج المنهجية المُطبَّقة. كما تبيّن أن الأثر الأكبر لإدارة المخاطر يتجلى في مرحلة التخطيط المبكر لا في مرحلة التنفيذ. وتُعزز هذه النتيجة فرضية الدراسة الحالية القاضية بأن الاستباقية في التعامل مع المخاطر هي المحرك الأساسي لنجاح المشاريع.</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b/>
          <w:bCs/>
          <w:sz w:val="28"/>
          <w:szCs w:val="28"/>
          <w:rtl/>
        </w:rPr>
        <w:lastRenderedPageBreak/>
        <w:t>دراسة</w:t>
      </w:r>
      <w:r w:rsidR="001E4968">
        <w:rPr>
          <w:rFonts w:ascii="Simplified Arabic" w:hAnsi="Simplified Arabic" w:cs="Simplified Arabic" w:hint="cs"/>
          <w:b/>
          <w:bCs/>
          <w:sz w:val="28"/>
          <w:szCs w:val="28"/>
          <w:rtl/>
        </w:rPr>
        <w:t xml:space="preserve"> </w:t>
      </w:r>
      <w:proofErr w:type="gramStart"/>
      <w:r w:rsidR="001E4968">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w:t>
      </w:r>
      <w:proofErr w:type="spellStart"/>
      <w:r>
        <w:rPr>
          <w:rFonts w:ascii="Simplified Arabic" w:hAnsi="Simplified Arabic" w:cs="Simplified Arabic"/>
          <w:b/>
          <w:bCs/>
          <w:sz w:val="28"/>
          <w:szCs w:val="28"/>
          <w:rtl/>
        </w:rPr>
        <w:t>Aven</w:t>
      </w:r>
      <w:proofErr w:type="spellEnd"/>
      <w:proofErr w:type="gramEnd"/>
      <w:r>
        <w:rPr>
          <w:rFonts w:ascii="Simplified Arabic" w:hAnsi="Simplified Arabic" w:cs="Simplified Arabic"/>
          <w:b/>
          <w:bCs/>
          <w:sz w:val="28"/>
          <w:szCs w:val="28"/>
          <w:rtl/>
        </w:rPr>
        <w:t xml:space="preserve"> 2016): الأسس النظرية لتقييم المخاطر وإدارتها</w:t>
      </w:r>
    </w:p>
    <w:p w:rsidR="00BB18E2" w:rsidRPr="00690C7F" w:rsidRDefault="00BB18E2" w:rsidP="00690C7F">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قدّم Aven مراجعةً نقديةً شاملةً للأسس النظرية لإدارة المخاطر، وميّز بين ثلاثة مناهج رئيسة: المنهج القائم على الاحتمالات الموضوعية الذي يعتمد البيانات الإحصائية المقننة، والمنهج القائم على عدم اليقين الذي يُؤطّر المخاطر بوصفها حالات من الغموض لا الاحتمالية، والمنهج الهجين الذي يجمع بين النوعين. وخلص إلى أن معيار ISO 31000 يمثل تطوراً جوهرياً في تبني منهج شامل يتجاوز الحسابات الاحتمالية البحتة نحو التقييمات النوعية والحكمية. وتؤكد الدراسة الحالية هذا التوجه من خلال اعتمادها على أبعاد مزدوجة كمية ونوعية في قياس إدارة المخاطر.</w:t>
      </w:r>
    </w:p>
    <w:p w:rsidR="00BB18E2" w:rsidRDefault="00BB18E2" w:rsidP="00FA1E6E">
      <w:pPr>
        <w:spacing w:after="100" w:line="360" w:lineRule="auto"/>
        <w:ind w:firstLine="283"/>
        <w:rPr>
          <w:rFonts w:ascii="Simplified Arabic" w:hAnsi="Simplified Arabic" w:cs="Simplified Arabic"/>
          <w:sz w:val="28"/>
          <w:szCs w:val="28"/>
          <w:rtl/>
        </w:rPr>
      </w:pPr>
      <w:r>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Hopkin </w:t>
      </w:r>
      <w:r>
        <w:rPr>
          <w:rFonts w:ascii="Simplified Arabic" w:hAnsi="Simplified Arabic" w:cs="Simplified Arabic" w:hint="cs"/>
          <w:b/>
          <w:bCs/>
          <w:sz w:val="28"/>
          <w:szCs w:val="28"/>
          <w:rtl/>
        </w:rPr>
        <w:t xml:space="preserve"> 2018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 أسس إدارة المخاطر – الفهم والتقييم والتطبيق الفعّال</w:t>
      </w:r>
    </w:p>
    <w:p w:rsidR="00BB18E2" w:rsidRPr="00690C7F" w:rsidRDefault="00BB18E2" w:rsidP="00690C7F">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قدّم Hopkin في كتابه الرائد نموذجاً تكاملياً يُعرف بـ(FIRM) يُصنّف المخاطر المؤسسية إلى أربع فئات: المالية (Financial)، والبنية التحتية (Infrastructure)، والسمعة (Reputational)، والسوق (Marketplace). ويرى الباحث أن فاعلية إدارة المخاطر تتوقف على ثلاثة عوامل محورية: أولها درجة تكاملها مع الحوكمة المؤسسية بحيث تصبح جزءاً من الهيكل التنظيمي لا نشاطاً مستقلاً، وثانيها مستوى التزام القيادة العليا الذي يُعطي إدارة المخاطر شرعيتها المؤسسية، وثالثها جودة التقارير الدورية التي تُوفّر أساساً معلوماتياً للقرار. وتستفيد الدراسة الحالية من هذا النموذج في تصنيف المخاطر العدلية إلى أبعاد قابلة للقياس الكمي.</w:t>
      </w:r>
    </w:p>
    <w:p w:rsidR="00BB18E2" w:rsidRDefault="00220100" w:rsidP="00220100">
      <w:pPr>
        <w:spacing w:after="100" w:line="360" w:lineRule="auto"/>
        <w:ind w:firstLine="283"/>
        <w:rPr>
          <w:rFonts w:ascii="Simplified Arabic" w:hAnsi="Simplified Arabic" w:cs="Simplified Arabic"/>
          <w:sz w:val="28"/>
          <w:szCs w:val="28"/>
          <w:rtl/>
        </w:rPr>
      </w:pPr>
      <w:r>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PMI</w:t>
      </w:r>
      <w:proofErr w:type="gramEnd"/>
      <w:r>
        <w:rPr>
          <w:rFonts w:ascii="Simplified Arabic" w:hAnsi="Simplified Arabic" w:cs="Simplified Arabic" w:hint="cs"/>
          <w:b/>
          <w:bCs/>
          <w:sz w:val="28"/>
          <w:szCs w:val="28"/>
          <w:rtl/>
        </w:rPr>
        <w:t xml:space="preserve"> </w:t>
      </w:r>
      <w:r w:rsidR="00BB18E2">
        <w:rPr>
          <w:rFonts w:ascii="Simplified Arabic" w:hAnsi="Simplified Arabic" w:cs="Simplified Arabic"/>
          <w:b/>
          <w:bCs/>
          <w:sz w:val="28"/>
          <w:szCs w:val="28"/>
          <w:rtl/>
        </w:rPr>
        <w:t>2021): دليل منهجية إدارة المشاريع PMBOK – الإصدار السابع</w:t>
      </w:r>
    </w:p>
    <w:p w:rsidR="00BB18E2" w:rsidRPr="001E4968" w:rsidRDefault="00BB18E2" w:rsidP="001E4968">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 xml:space="preserve">يُعدّ دليل معهد إدارة المشاريع (PMBOK) في إصداره السابع المرجعَ الأشمل عالمياً لمعايير إدارة المشاريع، وقد تحوّل هذا الإصدار من التركيز على العمليات والمخرجات إلى التركيز على اثني عشر مبدأً جوهرياً تشمل: إدارة المخاطر الاستباقية، والتوجّه نحو القيمة، والانفتاح على التعقيد والغموض. ويُخصّص </w:t>
      </w:r>
      <w:r>
        <w:rPr>
          <w:rFonts w:ascii="Simplified Arabic" w:hAnsi="Simplified Arabic" w:cs="Simplified Arabic"/>
          <w:sz w:val="28"/>
          <w:szCs w:val="28"/>
          <w:rtl/>
        </w:rPr>
        <w:lastRenderedPageBreak/>
        <w:t>الدليل مجالاً معرفياً متكاملاً لإدارة مخاطر المشروع يضم ست عمليات رئيسة: تخطيط إدارة المخاطر، وتحديدها، والتحليل النوعي، والتحليل الكمي، وتخطيط الاستجابة، والمراقبة والرصد. وتتبنى الدراسة الحالية هذا الإطار المنهجي مرجعاً في بناء أبعاد متغير إد</w:t>
      </w:r>
      <w:r w:rsidR="001E4968">
        <w:rPr>
          <w:rFonts w:ascii="Simplified Arabic" w:hAnsi="Simplified Arabic" w:cs="Simplified Arabic"/>
          <w:sz w:val="28"/>
          <w:szCs w:val="28"/>
          <w:rtl/>
        </w:rPr>
        <w:t>ارة المخاطر وتصميم أداة القياس.</w:t>
      </w:r>
    </w:p>
    <w:p w:rsidR="00BB18E2" w:rsidRPr="00220100" w:rsidRDefault="001E4968" w:rsidP="00220100">
      <w:pPr>
        <w:spacing w:after="100" w:line="360" w:lineRule="auto"/>
        <w:rPr>
          <w:rFonts w:ascii="Simplified Arabic" w:hAnsi="Simplified Arabic" w:cs="Simplified Arabic"/>
          <w:b/>
          <w:bCs/>
          <w:sz w:val="28"/>
          <w:szCs w:val="28"/>
          <w:rtl/>
        </w:rPr>
      </w:pPr>
      <w:proofErr w:type="gramStart"/>
      <w:r>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w:t>
      </w:r>
      <w:proofErr w:type="spellStart"/>
      <w:proofErr w:type="gramEnd"/>
      <w:r w:rsidR="00220100">
        <w:rPr>
          <w:rFonts w:ascii="Simplified Arabic" w:hAnsi="Simplified Arabic" w:cs="Simplified Arabic"/>
          <w:b/>
          <w:bCs/>
          <w:sz w:val="28"/>
          <w:szCs w:val="28"/>
          <w:rtl/>
        </w:rPr>
        <w:t>Sax&amp;</w:t>
      </w:r>
      <w:r>
        <w:rPr>
          <w:rFonts w:ascii="Simplified Arabic" w:hAnsi="Simplified Arabic" w:cs="Simplified Arabic"/>
          <w:b/>
          <w:bCs/>
          <w:sz w:val="28"/>
          <w:szCs w:val="28"/>
          <w:rtl/>
        </w:rPr>
        <w:t>Torp</w:t>
      </w:r>
      <w:proofErr w:type="spellEnd"/>
      <w:r>
        <w:rPr>
          <w:rFonts w:ascii="Simplified Arabic" w:hAnsi="Simplified Arabic" w:cs="Simplified Arabic"/>
          <w:b/>
          <w:bCs/>
          <w:sz w:val="28"/>
          <w:szCs w:val="28"/>
          <w:rtl/>
        </w:rPr>
        <w:t xml:space="preserve"> </w:t>
      </w:r>
      <w:r w:rsidR="00220100">
        <w:rPr>
          <w:rFonts w:ascii="Simplified Arabic" w:hAnsi="Simplified Arabic" w:cs="Simplified Arabic"/>
          <w:b/>
          <w:bCs/>
          <w:sz w:val="28"/>
          <w:szCs w:val="28"/>
          <w:rtl/>
        </w:rPr>
        <w:t>201</w:t>
      </w:r>
      <w:r w:rsidR="00220100">
        <w:rPr>
          <w:rFonts w:ascii="Simplified Arabic" w:hAnsi="Simplified Arabic" w:cs="Simplified Arabic" w:hint="cs"/>
          <w:b/>
          <w:bCs/>
          <w:sz w:val="28"/>
          <w:szCs w:val="28"/>
          <w:rtl/>
        </w:rPr>
        <w:t>5</w:t>
      </w:r>
      <w:r w:rsidR="00BB18E2">
        <w:rPr>
          <w:rFonts w:ascii="Simplified Arabic" w:hAnsi="Simplified Arabic" w:cs="Simplified Arabic"/>
          <w:b/>
          <w:bCs/>
          <w:sz w:val="28"/>
          <w:szCs w:val="28"/>
          <w:rtl/>
        </w:rPr>
        <w:t xml:space="preserve">): </w:t>
      </w:r>
      <w:r w:rsidR="00220100" w:rsidRPr="00220100">
        <w:rPr>
          <w:rFonts w:ascii="Simplified Arabic" w:hAnsi="Simplified Arabic" w:cs="Simplified Arabic"/>
          <w:b/>
          <w:bCs/>
          <w:sz w:val="28"/>
          <w:szCs w:val="28"/>
          <w:rtl/>
        </w:rPr>
        <w:t>تعزيز الأداء في إدارة المخاطر</w:t>
      </w:r>
      <w:r w:rsidR="00220100">
        <w:rPr>
          <w:rFonts w:ascii="Simplified Arabic" w:hAnsi="Simplified Arabic" w:cs="Simplified Arabic"/>
          <w:b/>
          <w:bCs/>
          <w:sz w:val="28"/>
          <w:szCs w:val="28"/>
          <w:rtl/>
        </w:rPr>
        <w:t xml:space="preserve"> من خلال القيادة التشاركية وصوت</w:t>
      </w:r>
      <w:r w:rsidR="00220100">
        <w:rPr>
          <w:rFonts w:ascii="Simplified Arabic" w:hAnsi="Simplified Arabic" w:cs="Simplified Arabic" w:hint="cs"/>
          <w:b/>
          <w:bCs/>
          <w:sz w:val="28"/>
          <w:szCs w:val="28"/>
          <w:rtl/>
        </w:rPr>
        <w:t xml:space="preserve"> </w:t>
      </w:r>
      <w:r w:rsidR="00220100" w:rsidRPr="00220100">
        <w:rPr>
          <w:rFonts w:ascii="Simplified Arabic" w:hAnsi="Simplified Arabic" w:cs="Simplified Arabic"/>
          <w:b/>
          <w:bCs/>
          <w:sz w:val="28"/>
          <w:szCs w:val="28"/>
          <w:rtl/>
        </w:rPr>
        <w:t>الموظف</w:t>
      </w:r>
    </w:p>
    <w:p w:rsidR="001E4968" w:rsidRDefault="001E4968">
      <w:pPr>
        <w:spacing w:after="100" w:line="360" w:lineRule="auto"/>
        <w:ind w:firstLine="283"/>
        <w:rPr>
          <w:rFonts w:ascii="Simplified Arabic" w:hAnsi="Simplified Arabic" w:cs="Simplified Arabic"/>
          <w:b/>
          <w:bCs/>
          <w:sz w:val="28"/>
          <w:szCs w:val="28"/>
          <w:rtl/>
        </w:rPr>
      </w:pPr>
      <w:r w:rsidRPr="001E4968">
        <w:rPr>
          <w:rFonts w:ascii="Simplified Arabic" w:hAnsi="Simplified Arabic" w:cs="Simplified Arabic"/>
          <w:sz w:val="28"/>
          <w:szCs w:val="28"/>
          <w:rtl/>
        </w:rPr>
        <w:t>بحثت الدراسة في أثر أسلوب القيادة التشاركية وإشراك الموظفين على فاعلية إدارة المخاطر المؤسسية، استناداً إلى استبيان شمل أكبر 500 شركة دانماركية واختُبرت العلاقات بنموذج المعادلات البنائية (</w:t>
      </w:r>
      <w:r w:rsidRPr="001E4968">
        <w:rPr>
          <w:rFonts w:ascii="Simplified Arabic" w:hAnsi="Simplified Arabic" w:cs="Simplified Arabic"/>
          <w:sz w:val="28"/>
          <w:szCs w:val="28"/>
        </w:rPr>
        <w:t xml:space="preserve">SEM). </w:t>
      </w:r>
      <w:r w:rsidRPr="001E4968">
        <w:rPr>
          <w:rFonts w:ascii="Simplified Arabic" w:hAnsi="Simplified Arabic" w:cs="Simplified Arabic"/>
          <w:sz w:val="28"/>
          <w:szCs w:val="28"/>
          <w:rtl/>
        </w:rPr>
        <w:t xml:space="preserve">وتوصّلت الدراسة إلى أن القيادة التشاركية التي تُشجّع الموظفين على الإبلاغ عن المخاطر وتُهيّئ بيئة نفسية آمنة تُعزّز فاعلية إدارة المخاطر المؤسسية بشكل ملموس، وأن الجمع بين برامج </w:t>
      </w:r>
      <w:r w:rsidRPr="001E4968">
        <w:rPr>
          <w:rFonts w:ascii="Simplified Arabic" w:hAnsi="Simplified Arabic" w:cs="Simplified Arabic"/>
          <w:sz w:val="28"/>
          <w:szCs w:val="28"/>
        </w:rPr>
        <w:t>ERM</w:t>
      </w:r>
      <w:r w:rsidRPr="001E4968">
        <w:rPr>
          <w:rFonts w:ascii="Simplified Arabic" w:hAnsi="Simplified Arabic" w:cs="Simplified Arabic"/>
          <w:sz w:val="28"/>
          <w:szCs w:val="28"/>
          <w:rtl/>
        </w:rPr>
        <w:t xml:space="preserve"> الرسمية والقيادة التشاركية يُنتج تأثيراً تفاعلياً إيجابياً يفوق كل منهما منفرداً. كما كشفت أن السلامة النفسية تسبق القيادة التشاركية وتُعدّ شرطاً مسبقاً لنجاحها. وتتقاطع نتائج هذه الدراسة مع ما رصدته الدراسة الحالية من أهمية الثقافة التنظيمية الداعمة في رفع مستوى تطبيق إدارة المخاطر في القطاع العدلي السعودي.</w:t>
      </w:r>
    </w:p>
    <w:p w:rsidR="00BB18E2" w:rsidRDefault="00220100">
      <w:pPr>
        <w:spacing w:after="100" w:line="360" w:lineRule="auto"/>
        <w:ind w:firstLine="283"/>
        <w:rPr>
          <w:rFonts w:ascii="Simplified Arabic" w:hAnsi="Simplified Arabic" w:cs="Simplified Arabic"/>
          <w:sz w:val="28"/>
          <w:szCs w:val="28"/>
          <w:rtl/>
        </w:rPr>
      </w:pPr>
      <w:r>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w:t>
      </w:r>
      <w:proofErr w:type="spellStart"/>
      <w:r>
        <w:rPr>
          <w:rFonts w:ascii="Simplified Arabic" w:hAnsi="Simplified Arabic" w:cs="Simplified Arabic"/>
          <w:b/>
          <w:bCs/>
          <w:sz w:val="28"/>
          <w:szCs w:val="28"/>
          <w:rtl/>
        </w:rPr>
        <w:t>Hillson</w:t>
      </w:r>
      <w:proofErr w:type="spellEnd"/>
      <w:proofErr w:type="gramEnd"/>
      <w:r>
        <w:rPr>
          <w:rFonts w:ascii="Simplified Arabic" w:hAnsi="Simplified Arabic" w:cs="Simplified Arabic"/>
          <w:b/>
          <w:bCs/>
          <w:sz w:val="28"/>
          <w:szCs w:val="28"/>
          <w:rtl/>
        </w:rPr>
        <w:t xml:space="preserve"> &amp; </w:t>
      </w:r>
      <w:proofErr w:type="spellStart"/>
      <w:r>
        <w:rPr>
          <w:rFonts w:ascii="Simplified Arabic" w:hAnsi="Simplified Arabic" w:cs="Simplified Arabic"/>
          <w:b/>
          <w:bCs/>
          <w:sz w:val="28"/>
          <w:szCs w:val="28"/>
          <w:rtl/>
        </w:rPr>
        <w:t>Murray-Webster</w:t>
      </w:r>
      <w:proofErr w:type="spellEnd"/>
      <w:r>
        <w:rPr>
          <w:rFonts w:ascii="Simplified Arabic" w:hAnsi="Simplified Arabic" w:cs="Simplified Arabic"/>
          <w:b/>
          <w:bCs/>
          <w:sz w:val="28"/>
          <w:szCs w:val="28"/>
          <w:rtl/>
        </w:rPr>
        <w:t xml:space="preserve"> </w:t>
      </w:r>
      <w:r w:rsidR="00BB18E2">
        <w:rPr>
          <w:rFonts w:ascii="Simplified Arabic" w:hAnsi="Simplified Arabic" w:cs="Simplified Arabic"/>
          <w:b/>
          <w:bCs/>
          <w:sz w:val="28"/>
          <w:szCs w:val="28"/>
          <w:rtl/>
        </w:rPr>
        <w:t>2017): فهم مواقف الأفراد من المخاطر وإدارتها</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تناول الباحثان الجانب السلوكي من إدارة المخاطر، وبيّنا أن موقف الأفراد من المخاطر (Risk Attitude) يُعدّ أحد أبرز العوامل المؤثرة في فاعلية تطبيقها المؤسسي. وصنّفا المواقف إلى أربعة أنماط: تحاشي المخاطر، وتقبّلها، والتهاون معها، والبحث عنها. وخلصا إلى أن المؤسسات التي تعمل على بناء ثقافة تقبّل المخاطر المدروسة وإدارتها بشكل هادئ ومنهجي تحقق أداءً مؤسسياً أفضل على المدى البعيد. وتُفسّر نتائج هذه الدراسة جانباً مما رصدته الدراسة الحالية من تفاوت في مستوى تطبيق إدارة المخاطر بين المستويات الإدارية المختلفة.</w:t>
      </w:r>
    </w:p>
    <w:p w:rsidR="00BB18E2" w:rsidRDefault="00BB18E2" w:rsidP="00690C7F">
      <w:pPr>
        <w:spacing w:after="100" w:line="360" w:lineRule="auto"/>
        <w:rPr>
          <w:rtl/>
        </w:rPr>
      </w:pPr>
    </w:p>
    <w:p w:rsidR="00690C7F" w:rsidRDefault="00690C7F" w:rsidP="00690C7F">
      <w:pPr>
        <w:spacing w:after="100" w:line="360" w:lineRule="auto"/>
        <w:rPr>
          <w:rtl/>
        </w:rPr>
      </w:pPr>
    </w:p>
    <w:p w:rsidR="00BB18E2" w:rsidRPr="00690C7F" w:rsidRDefault="00BB18E2" w:rsidP="00220100">
      <w:pPr>
        <w:spacing w:before="200" w:after="100" w:line="360" w:lineRule="auto"/>
        <w:rPr>
          <w:rFonts w:ascii="Simplified Arabic" w:hAnsi="Simplified Arabic" w:cs="Simplified Arabic"/>
          <w:b/>
          <w:bCs/>
          <w:sz w:val="28"/>
          <w:szCs w:val="28"/>
        </w:rPr>
      </w:pPr>
      <w:r>
        <w:rPr>
          <w:rFonts w:ascii="Simplified Arabic" w:hAnsi="Simplified Arabic" w:cs="Simplified Arabic"/>
          <w:b/>
          <w:bCs/>
          <w:sz w:val="28"/>
          <w:szCs w:val="28"/>
          <w:rtl/>
        </w:rPr>
        <w:lastRenderedPageBreak/>
        <w:t>خامسًا: جدول مقارنة الدراسات السابقة والفجوة البحثية</w:t>
      </w:r>
    </w:p>
    <w:p w:rsidR="00BB18E2" w:rsidRDefault="002F025A" w:rsidP="00690C7F">
      <w:pPr>
        <w:spacing w:before="160" w:after="100" w:line="360" w:lineRule="auto"/>
        <w:ind w:firstLine="283"/>
        <w:rPr>
          <w:rFonts w:ascii="Simplified Arabic" w:hAnsi="Simplified Arabic" w:cs="Simplified Arabic"/>
          <w:b/>
          <w:bCs/>
          <w:sz w:val="28"/>
          <w:szCs w:val="28"/>
          <w:rtl/>
        </w:rPr>
      </w:pPr>
      <w:r w:rsidRPr="002F025A">
        <w:rPr>
          <w:rFonts w:ascii="Simplified Arabic" w:hAnsi="Simplified Arabic" w:cs="Simplified Arabic"/>
          <w:b/>
          <w:bCs/>
          <w:sz w:val="28"/>
          <w:szCs w:val="28"/>
          <w:rtl/>
        </w:rPr>
        <w:t xml:space="preserve">جدول (1) </w:t>
      </w:r>
      <w:r w:rsidR="00BB18E2">
        <w:rPr>
          <w:rFonts w:ascii="Simplified Arabic" w:hAnsi="Simplified Arabic" w:cs="Simplified Arabic"/>
          <w:b/>
          <w:bCs/>
          <w:sz w:val="28"/>
          <w:szCs w:val="28"/>
          <w:rtl/>
        </w:rPr>
        <w:t>مقارنة ما تميزت به الدراسة الحالية عن الدراسات السابقة</w:t>
      </w:r>
    </w:p>
    <w:tbl>
      <w:tblPr>
        <w:bidiVisual/>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0"/>
        <w:gridCol w:w="1600"/>
        <w:gridCol w:w="1800"/>
        <w:gridCol w:w="1199"/>
        <w:gridCol w:w="2694"/>
      </w:tblGrid>
      <w:tr w:rsidR="004E6020" w:rsidTr="00FA1E6E">
        <w:trPr>
          <w:tblHeader/>
        </w:trPr>
        <w:tc>
          <w:tcPr>
            <w:tcW w:w="22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الدراسة / الباحث</w:t>
            </w:r>
          </w:p>
        </w:tc>
        <w:tc>
          <w:tcPr>
            <w:tcW w:w="16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السياق</w:t>
            </w:r>
          </w:p>
        </w:tc>
        <w:tc>
          <w:tcPr>
            <w:tcW w:w="18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المتغيرات</w:t>
            </w:r>
          </w:p>
        </w:tc>
        <w:tc>
          <w:tcPr>
            <w:tcW w:w="1199"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المنهج</w:t>
            </w:r>
          </w:p>
        </w:tc>
        <w:tc>
          <w:tcPr>
            <w:tcW w:w="2694"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ما تميزت به الدراسة الحالية</w:t>
            </w:r>
          </w:p>
        </w:tc>
      </w:tr>
      <w:tr w:rsidR="004E6020" w:rsidTr="00FA1E6E">
        <w:tc>
          <w:tcPr>
            <w:tcW w:w="22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السالم (2020)</w:t>
            </w:r>
          </w:p>
        </w:tc>
        <w:tc>
          <w:tcPr>
            <w:tcW w:w="16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حكومي سعودي</w:t>
            </w:r>
          </w:p>
        </w:tc>
        <w:tc>
          <w:tcPr>
            <w:tcW w:w="18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إدارة مشاريع عامة</w:t>
            </w:r>
          </w:p>
        </w:tc>
        <w:tc>
          <w:tcPr>
            <w:tcW w:w="1199"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وصفي</w:t>
            </w:r>
          </w:p>
        </w:tc>
        <w:tc>
          <w:tcPr>
            <w:tcW w:w="2694"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التركيز على القطاع العدلي تحديداً</w:t>
            </w:r>
          </w:p>
        </w:tc>
      </w:tr>
      <w:tr w:rsidR="004E6020" w:rsidTr="00FA1E6E">
        <w:tc>
          <w:tcPr>
            <w:tcW w:w="22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المطيري (2021)</w:t>
            </w:r>
          </w:p>
        </w:tc>
        <w:tc>
          <w:tcPr>
            <w:tcW w:w="16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وزارات سعودية</w:t>
            </w:r>
          </w:p>
        </w:tc>
        <w:tc>
          <w:tcPr>
            <w:tcW w:w="18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أداء مؤسسي</w:t>
            </w:r>
          </w:p>
        </w:tc>
        <w:tc>
          <w:tcPr>
            <w:tcW w:w="1199"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وصفي تحليلي</w:t>
            </w:r>
          </w:p>
        </w:tc>
        <w:tc>
          <w:tcPr>
            <w:tcW w:w="2694"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نموذج رباعي الأبعاد + تحليل هرمي</w:t>
            </w:r>
          </w:p>
        </w:tc>
      </w:tr>
      <w:tr w:rsidR="004E6020" w:rsidTr="00FA1E6E">
        <w:tc>
          <w:tcPr>
            <w:tcW w:w="22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العنزي (2022)</w:t>
            </w:r>
          </w:p>
        </w:tc>
        <w:tc>
          <w:tcPr>
            <w:tcW w:w="16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قطاع عام</w:t>
            </w:r>
          </w:p>
        </w:tc>
        <w:tc>
          <w:tcPr>
            <w:tcW w:w="18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نموذج ERM</w:t>
            </w:r>
          </w:p>
        </w:tc>
        <w:tc>
          <w:tcPr>
            <w:tcW w:w="1199"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مسحي</w:t>
            </w:r>
          </w:p>
        </w:tc>
        <w:tc>
          <w:tcPr>
            <w:tcW w:w="2694"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بيانات ميدانية حديثة 2025</w:t>
            </w:r>
          </w:p>
        </w:tc>
      </w:tr>
      <w:tr w:rsidR="004E6020" w:rsidTr="00FA1E6E">
        <w:tc>
          <w:tcPr>
            <w:tcW w:w="22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الزهراني (2022)</w:t>
            </w:r>
          </w:p>
        </w:tc>
        <w:tc>
          <w:tcPr>
            <w:tcW w:w="16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وزارة العدل</w:t>
            </w:r>
          </w:p>
        </w:tc>
        <w:tc>
          <w:tcPr>
            <w:tcW w:w="18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حوكمة مشاريع</w:t>
            </w:r>
          </w:p>
        </w:tc>
        <w:tc>
          <w:tcPr>
            <w:tcW w:w="1199"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وصفي</w:t>
            </w:r>
          </w:p>
        </w:tc>
        <w:tc>
          <w:tcPr>
            <w:tcW w:w="2694"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قياس أثر مباشر بـ R²=0.712</w:t>
            </w:r>
          </w:p>
        </w:tc>
      </w:tr>
      <w:tr w:rsidR="004E6020" w:rsidTr="00FA1E6E">
        <w:tc>
          <w:tcPr>
            <w:tcW w:w="22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de Bakker (2010)</w:t>
            </w:r>
          </w:p>
        </w:tc>
        <w:tc>
          <w:tcPr>
            <w:tcW w:w="16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تقنية دولية</w:t>
            </w:r>
          </w:p>
        </w:tc>
        <w:tc>
          <w:tcPr>
            <w:tcW w:w="18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RM + نجاح</w:t>
            </w:r>
          </w:p>
        </w:tc>
        <w:tc>
          <w:tcPr>
            <w:tcW w:w="1199"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ميتا</w:t>
            </w:r>
          </w:p>
        </w:tc>
        <w:tc>
          <w:tcPr>
            <w:tcW w:w="2694"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تطبيق في البيئة العدلية السعودية</w:t>
            </w:r>
          </w:p>
        </w:tc>
      </w:tr>
      <w:tr w:rsidR="004E6020" w:rsidTr="00FA1E6E">
        <w:tc>
          <w:tcPr>
            <w:tcW w:w="22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PMBOK (2021)</w:t>
            </w:r>
          </w:p>
        </w:tc>
        <w:tc>
          <w:tcPr>
            <w:tcW w:w="16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عالمي</w:t>
            </w:r>
          </w:p>
        </w:tc>
        <w:tc>
          <w:tcPr>
            <w:tcW w:w="18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معايير RM</w:t>
            </w:r>
          </w:p>
        </w:tc>
        <w:tc>
          <w:tcPr>
            <w:tcW w:w="1199"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معياري</w:t>
            </w:r>
          </w:p>
        </w:tc>
        <w:tc>
          <w:tcPr>
            <w:tcW w:w="2694"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تكييف المعايير مع الحوكمة السعودية</w:t>
            </w:r>
          </w:p>
        </w:tc>
      </w:tr>
    </w:tbl>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يتضح من الجدول السابق أن الدراسة الحالية تنفرد بتطبيق نموذج تحليلي رباعي الأبعاد مُعدَّل محلياً وفق الدليل الإرشادي لوزارة المالية السعودية (2024) وهيئة الحكومة الرقمية (2025)، على قطاع الخدمات العدلية تحديداً الذي يفتقر إلى دراسات تطبيقية محلية موثّقة. كما تتميز باعتماد منهجية إحصائية متكاملة تجمع بين الارتباط والانحدار الهرمي واختبار ANOVA، مما يمنح نتائجها مصداقيةً إحصائيةً عاليةً وقابليةً للتعميم على مؤسسات مشابهة.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من خلال مراجعة الدراسات السابقة يمكن استخلاص الملاحظات الآتية: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اتفقت غالبية الدراسات على وجود علاقة إيجابية ومعنوية بين تطبيق إدارة المخاطر ونجاح المشاريع الحكومية.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اعتمدت معظم الدراسات على المنهج الوصفي التحليلي وهو ما يتوافق مع منهج هذه الدراسة.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أغلب الدراسات تناولت إدارة المخاطر في المشاريع الحكومية بصفة عامة دون تركيز على القطاع العدلي تحديداً.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هناك ندرة واضحة في الدراسات التي تناولت أثر إدارة المخاطر على نجاح المشاريع العدلية السعودية تطبيقياً.</w:t>
      </w:r>
    </w:p>
    <w:p w:rsidR="00BB18E2" w:rsidRPr="00FA1E6E" w:rsidRDefault="00BB18E2" w:rsidP="00FA1E6E">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تُشكّل هذه الدراسة إضافة بحثية تسدّ الفجوة المتمثلة في غياب دراسات تطبيقية قابلة للاستشهاد بها في البيئة العدلية السعودية.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1.11 المنطلقات النظرية للدراسة:</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مفهوم إدارة المخاطر وتطوره:</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تشير إدارة المخاطر إلى عملية منهجية تهدف إلى تحديد المخاطر المحتملة التي قد تؤثر على المشروع وتحليلها وتقييمها، ثم وضع الخطط المناسبة للتعامل معها بأسلوب استباقي يقلل من احتمال حدوثها أو يخفف من آثارها السلبية في حال وقوعها. وقد تطوّر مفهوم إدارة المخاطر عبر مراحل تاريخية متعاقبة، من التركيز على الجوانب المالية فقط، إلى الشمولية التي تغطي جميع أنواع المخاطر التشغيلية والاستراتيجية والتنظيمية والتقنية والبشرية.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ويُعرّف السالم (2020) إدارة المخاطر بأنها "إجراءات علمية تهدف إلى التعرف على المخاطر المحتملة، وتحليلها وتقدير آثارها، ووضع استراتيجيات ملائمة للتعامل معها لضمان تحقيق أهداف المشروع". بينما يرى العنزي (2022) أنها "منهج استباقي يساعد المؤسسة على اتخاذ قرارات رشيدة في مواجهة حالات عدم التأكد، من خلال تطبيق أدوات كمية ونوعية لتقييم المخاطر".</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أبعاد إدارة المخاطر في هذه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اعتمدت الدراسة على أربعة أبعاد رئيسة لإدارة المخاطر مستنَدة إلى دليل إدارة المخاطر الصادر عن وزارة المالية السعودية (2024) وهيئة الحكومة الرقمية (2025):</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تحديد المخاطر: وتشمل عملية جمع البيانات وتحليل الأنشطة والعمليات لتحديد الأحداث المحتملة التي قد تؤثر على المشروع، مع إشراك أصحاب المصلحة في هذه العملية.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تحليل وتقييم المخاطر: يتم تقييم كل خطر من حيث احتمال حدوثه وتأثيره المحتمل باستخدام أدوات مثل مصفوفة الاحتمال والتأثير (Impact/Probability Matrix)، مما يساعد في ترتيب المخاطر حسب أولويتها.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الاستجابة للمخاطر: تتضمن وضع خطط للتعامل مع المخاطر عبر استراتيجيات التجنّب، أو النقل، أو التقليل، أو القبول، مع تحديد المسؤوليات والموارد اللازمة لكل استراتيجية.</w:t>
      </w:r>
    </w:p>
    <w:p w:rsidR="00BB18E2" w:rsidRPr="000412E3" w:rsidRDefault="00BB18E2" w:rsidP="000412E3">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متابعة المخاطر ومراجعتها: وهي مرحلة التقييم الدائم لفاعلية الإجراءات المتخذة وتحديث خطة المخاطر بصفة دورية، مع إعداد تقارير دورية تُعرض على الإدارة العليا.</w:t>
      </w:r>
    </w:p>
    <w:p w:rsidR="00C74FB5" w:rsidRDefault="00BB18E2" w:rsidP="00C74FB5">
      <w:pPr>
        <w:spacing w:after="100" w:line="360" w:lineRule="auto"/>
        <w:ind w:firstLine="283"/>
        <w:rPr>
          <w:rFonts w:ascii="Simplified Arabic" w:hAnsi="Simplified Arabic" w:cs="Simplified Arabic"/>
          <w:sz w:val="28"/>
          <w:szCs w:val="28"/>
          <w:rtl/>
        </w:rPr>
      </w:pPr>
      <w:r>
        <w:rPr>
          <w:rFonts w:ascii="Simplified Arabic" w:hAnsi="Simplified Arabic" w:cs="Simplified Arabic"/>
          <w:b/>
          <w:bCs/>
          <w:sz w:val="28"/>
          <w:szCs w:val="28"/>
          <w:rtl/>
        </w:rPr>
        <w:t>مفهوم نجاح المشروع وأبعاده:</w:t>
      </w:r>
    </w:p>
    <w:p w:rsidR="00C74FB5" w:rsidRDefault="00BB18E2" w:rsidP="00C74FB5">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يُعرَّف نجاح المشروع بأنه مدى تحقيق المشروع لأهدافه المخطَّطة ضمن الوقت المحدد والميزانية المقرّرة والجودة المتفق عليها مع رضا أصحاب المصلحة (الشهري، 2019).</w:t>
      </w:r>
    </w:p>
    <w:p w:rsidR="00BB18E2" w:rsidRDefault="00BB18E2" w:rsidP="00C74FB5">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 ويُقاس نجاح المشروع من خلال ثلاثة أبعاد أساسية تُشكّل ما يُعرف </w:t>
      </w:r>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مثلث النجاح":</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الالتزام بالوقت: تنفيذ المشروع ضمن الجدول الزمني المحدد وتسليم المخرجات في مواعيدها المقررة.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الالتزام بالتكلفة: ضبط الميزانية دون تجاوزات مالية غير مبررة تؤثر على جدوى المشروع.</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جودة المخرجات: تحقيق المواصفات الفنية والتشغيلية المطلوبة في مخرجات المشروع وفق معايير متفق عليها مسبقاً.</w:t>
      </w:r>
    </w:p>
    <w:p w:rsidR="00BB18E2" w:rsidRPr="000412E3" w:rsidRDefault="00BB18E2" w:rsidP="000412E3">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ويرى الخالدي (2023) أن المشاريع الحكومية لا يمكن اعتبارها ناجحة ما لم تحقق أثراً مستداماً ينعكس على رضا المستفيدين وكفاءة الإنفاق الع</w:t>
      </w:r>
      <w:r w:rsidR="000412E3">
        <w:rPr>
          <w:rFonts w:ascii="Simplified Arabic" w:hAnsi="Simplified Arabic" w:cs="Simplified Arabic"/>
          <w:sz w:val="28"/>
          <w:szCs w:val="28"/>
          <w:rtl/>
        </w:rPr>
        <w:t>ام وتحقيق الغايات الاستراتيجية.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1.12 منهجية البحث:</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تعتمد الدراسة على المنهج الوصفي التحليلي بوصفه الأنسب لدراسة الظواهر الإدارية وقياس العلاقات بين المتغيرات وتفسيرها علمياً. ويقوم هذا المنهج على جمع البيانات </w:t>
      </w:r>
      <w:r w:rsidR="00220100">
        <w:rPr>
          <w:rFonts w:ascii="Simplified Arabic" w:hAnsi="Simplified Arabic" w:cs="Simplified Arabic"/>
          <w:sz w:val="28"/>
          <w:szCs w:val="28"/>
          <w:rtl/>
        </w:rPr>
        <w:t>من عينة ممثِّلة لمجتمع الدراسة،</w:t>
      </w:r>
      <w:r w:rsidR="00220100">
        <w:rPr>
          <w:rFonts w:ascii="Simplified Arabic" w:hAnsi="Simplified Arabic" w:cs="Simplified Arabic" w:hint="cs"/>
          <w:sz w:val="28"/>
          <w:szCs w:val="28"/>
          <w:rtl/>
        </w:rPr>
        <w:t xml:space="preserve"> </w:t>
      </w:r>
      <w:r>
        <w:rPr>
          <w:rFonts w:ascii="Simplified Arabic" w:hAnsi="Simplified Arabic" w:cs="Simplified Arabic"/>
          <w:sz w:val="28"/>
          <w:szCs w:val="28"/>
          <w:rtl/>
        </w:rPr>
        <w:t>وتحليلها باستخدام الأدوات الإحصائية المناسبة لاختبار الفرضيات والإجابة عن تساؤلات البحث.</w:t>
      </w:r>
    </w:p>
    <w:p w:rsidR="00BB18E2" w:rsidRPr="000412E3" w:rsidRDefault="00BB18E2" w:rsidP="000412E3">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كما تم توظيف المنهج المقارن عند تحليل نتائج الدراسات السابقة المحلية والعربية والدولية، بغرض تحديد أوجه التشابه والاختلاف وإبراز الإضافة ال</w:t>
      </w:r>
      <w:r w:rsidR="000412E3">
        <w:rPr>
          <w:rFonts w:ascii="Simplified Arabic" w:hAnsi="Simplified Arabic" w:cs="Simplified Arabic"/>
          <w:sz w:val="28"/>
          <w:szCs w:val="28"/>
          <w:rtl/>
        </w:rPr>
        <w:t>معرفية التي تقدمها هذه الدراسة.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1.13 مصادر البيانات:</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اعتمدت الدراسة على مصدرين رئيسيين لجمع البيانات:</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المصادر الأولية: عبر استبانة ميدانية مُصمَّمة خصيصاً لقياس متغيرات الدراسة، وزُّعت على عينة من العاملين في قطاع الخدمات العدلية بالمملكة العربية السعودية.</w:t>
      </w:r>
    </w:p>
    <w:p w:rsidR="00BB18E2" w:rsidRDefault="00BB18E2" w:rsidP="00220100">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المصادر الثانوية: الكتب والمراجع العلمية والدراسات السابقة والتقارير الرسمية الصادرة عن الجهات الحكومية ذات الصلة.</w:t>
      </w:r>
    </w:p>
    <w:p w:rsidR="00DA65CC" w:rsidRDefault="00DA65CC" w:rsidP="00DA65CC">
      <w:pPr>
        <w:spacing w:after="100" w:line="360" w:lineRule="auto"/>
        <w:rPr>
          <w:rFonts w:ascii="Simplified Arabic" w:hAnsi="Simplified Arabic" w:cs="Simplified Arabic"/>
          <w:sz w:val="28"/>
          <w:szCs w:val="28"/>
          <w:rtl/>
        </w:rPr>
      </w:pPr>
    </w:p>
    <w:p w:rsidR="00DA65CC" w:rsidRPr="00220100" w:rsidRDefault="00DA65CC" w:rsidP="00DA65CC">
      <w:pPr>
        <w:spacing w:after="100" w:line="360" w:lineRule="auto"/>
        <w:rPr>
          <w:rFonts w:ascii="Simplified Arabic" w:hAnsi="Simplified Arabic" w:cs="Simplified Arabic"/>
          <w:sz w:val="28"/>
          <w:szCs w:val="28"/>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1.14 أدوات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اعتمدت الدراسة على الاستبانة كأداة رئيسة لجمع البيانات الميدانية. صُمِّمت الاستبانة بالاستناد إلى مراجعة الأدبيات والدراسات السابقة ذات الصلة، وتكوّنت من قسمين رئيسيين:</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القسم الأول: البيانات الديموغرافية (المسمى الوظيفي، سنوات الخبرة، المستوى التعليمي، المنطقة الإدارية).</w:t>
      </w:r>
    </w:p>
    <w:p w:rsidR="00BB18E2" w:rsidRPr="000412E3" w:rsidRDefault="00BB18E2" w:rsidP="000412E3">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القسم الثاني: محاور إدارة المخاطر ونجاح المشاريع، وتضمّن (28) فقرة موزّعة على خمسة محاور وفق مقياس ليكرت الخماسي (1 = لا أوافق إطلاقاً، 5 = أوافق بشدة).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1.15 الأساليب الإحصائية المستخدمة: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بعد جمع البيانات من العينة، تم تحليلها باستخدام برنامج SPSS (الإصدار 26)، وشملت الأساليب الإحصائية المستخدمة: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التحليل الوصفي: المتوسطات الحسابية والانحرافات المعيارية والنسب المئوية لتوصيف خصائص العينة وإجاباتها.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اختبار ألفا كرونباخ (Cronbach Alpha): للتحقق من ثبات الاستبانة ومصداقيتها.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اختبار كولموجوروف-سميرنوف (Kolmogorov-Smirnov): للتحقق من اعتدالية توزيع البيانات.</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معامل ارتباط بيرسون (Pearson Correlation): لقياس قوة واتجاه العلاقة بين المتغيرات.</w:t>
      </w:r>
    </w:p>
    <w:p w:rsidR="00DA65CC" w:rsidRDefault="00BB18E2" w:rsidP="002F025A">
      <w:pPr>
        <w:numPr>
          <w:ilvl w:val="0"/>
          <w:numId w:val="4"/>
        </w:numPr>
        <w:spacing w:after="100" w:line="360" w:lineRule="auto"/>
        <w:rPr>
          <w:rFonts w:ascii="Simplified Arabic" w:hAnsi="Simplified Arabic" w:cs="Simplified Arabic"/>
          <w:sz w:val="28"/>
          <w:szCs w:val="28"/>
        </w:rPr>
      </w:pPr>
      <w:r w:rsidRPr="00DA65CC">
        <w:rPr>
          <w:rFonts w:ascii="Simplified Arabic" w:hAnsi="Simplified Arabic" w:cs="Simplified Arabic"/>
          <w:sz w:val="28"/>
          <w:szCs w:val="28"/>
          <w:rtl/>
        </w:rPr>
        <w:t>تحليل الانحدار الخطي البسيط والمتعدد (Multiple Regression): لقياس أثر أبعاد إدارة المخاطر على نجاح المشاريع.</w:t>
      </w:r>
    </w:p>
    <w:p w:rsidR="00BB18E2" w:rsidRPr="00DA65CC" w:rsidRDefault="00BB18E2" w:rsidP="002F025A">
      <w:pPr>
        <w:numPr>
          <w:ilvl w:val="0"/>
          <w:numId w:val="4"/>
        </w:numPr>
        <w:spacing w:after="100" w:line="360" w:lineRule="auto"/>
        <w:rPr>
          <w:rFonts w:ascii="Simplified Arabic" w:hAnsi="Simplified Arabic" w:cs="Simplified Arabic"/>
          <w:sz w:val="28"/>
          <w:szCs w:val="28"/>
          <w:rtl/>
        </w:rPr>
      </w:pPr>
      <w:r w:rsidRPr="00DA65CC">
        <w:rPr>
          <w:rFonts w:ascii="Simplified Arabic" w:hAnsi="Simplified Arabic" w:cs="Simplified Arabic"/>
          <w:sz w:val="28"/>
          <w:szCs w:val="28"/>
          <w:rtl/>
        </w:rPr>
        <w:lastRenderedPageBreak/>
        <w:t>اختبار تحليل التباين الأحادي (ANOVA): لقياس الفروق الإحصائية بين آراء المستجيبين وفقاً للمتغيرات الوظيفية.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1.16 حدود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الحدود الموضوعية:</w:t>
      </w:r>
    </w:p>
    <w:p w:rsidR="00BB18E2" w:rsidRPr="000412E3" w:rsidRDefault="00BB18E2" w:rsidP="000412E3">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تقتصر الدراسة على قياس أثر إدارة المخاطر بأبعادها الأربعة على نجاح المشاريع بأبعاده ا</w:t>
      </w:r>
      <w:r w:rsidR="000412E3">
        <w:rPr>
          <w:rFonts w:ascii="Simplified Arabic" w:hAnsi="Simplified Arabic" w:cs="Simplified Arabic"/>
          <w:sz w:val="28"/>
          <w:szCs w:val="28"/>
          <w:rtl/>
        </w:rPr>
        <w:t>لثلاثة في قطاع الخدمات العدلية.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الحدود المكانية:</w:t>
      </w:r>
    </w:p>
    <w:p w:rsidR="00BB18E2" w:rsidRPr="000412E3" w:rsidRDefault="00BB18E2" w:rsidP="000412E3">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قطاع الخدمات العدلية في المملكة العربية السعودية (وزارة العدل والمحاكم والمرافق العدلية) في المناطق الإدارية الرئيسية: الرياض</w:t>
      </w:r>
      <w:r w:rsidR="000412E3">
        <w:rPr>
          <w:rFonts w:ascii="Simplified Arabic" w:hAnsi="Simplified Arabic" w:cs="Simplified Arabic"/>
          <w:sz w:val="28"/>
          <w:szCs w:val="28"/>
          <w:rtl/>
        </w:rPr>
        <w:t>، مكة المكرمة، المنطقة الشرقية.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الحدود الزمنية:</w:t>
      </w:r>
    </w:p>
    <w:p w:rsidR="00BB18E2" w:rsidRPr="000412E3" w:rsidRDefault="00BB18E2" w:rsidP="000412E3">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الفترة </w:t>
      </w:r>
      <w:r w:rsidR="000412E3">
        <w:rPr>
          <w:rFonts w:ascii="Simplified Arabic" w:hAnsi="Simplified Arabic" w:cs="Simplified Arabic"/>
          <w:sz w:val="28"/>
          <w:szCs w:val="28"/>
          <w:rtl/>
        </w:rPr>
        <w:t>من يناير 2025 إلى ديسمبر 2025م.</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الحدود البشرية: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العاملون في إدارات المشاريع والتطوير والجودة في القطاع العدلي (مديرو مشاريع، مشرفو وحدات، موظفون فنيون وميدانيون).</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1.17 مصطلحات الدراسة الإجرائية:</w:t>
      </w:r>
    </w:p>
    <w:p w:rsidR="00BB18E2" w:rsidRDefault="00BB18E2" w:rsidP="000412E3">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إدارة المخاطر:</w:t>
      </w:r>
      <w:r w:rsidR="00DA65CC">
        <w:rPr>
          <w:rFonts w:ascii="Simplified Arabic" w:hAnsi="Simplified Arabic" w:cs="Simplified Arabic" w:hint="cs"/>
          <w:sz w:val="28"/>
          <w:szCs w:val="28"/>
          <w:rtl/>
        </w:rPr>
        <w:t xml:space="preserve"> </w:t>
      </w:r>
      <w:r>
        <w:rPr>
          <w:rFonts w:ascii="Simplified Arabic" w:hAnsi="Simplified Arabic" w:cs="Simplified Arabic"/>
          <w:sz w:val="28"/>
          <w:szCs w:val="28"/>
          <w:rtl/>
        </w:rPr>
        <w:t>يُقصد بها في هذه الدراسة الإجراءات المنهجية التي تهدف إلى تحديد المخاطر المحتملة في المشاريع العدلية، وتحليلها وتقييمها، ووضع خطط للتعامل معها ومتابعتها بصفة دورية. وتُقاس بأربعة أبعاد: تحديد المخاطر، وتحليلها، والاستجابة لها، ومتابعتها.</w:t>
      </w:r>
    </w:p>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وتجدر الإشارة إلى أن منطلقات إدارة المخاطر في البيئة الحكومية السعودية تتأثر بعوامل هيكلية مميزة تشمل: الإطار التشريعي الذي يُلزم الجهات بمعايير محددة للحوكمة، وطبيعة التمويل الحكومي الذي يستوجب كفاءة الإنفاق، والتوجهات الاستراتيجية لرؤية 2030 التي تُرسّخ ثقافة الأداء والمساءلة. ويُشكّل هذا الإطار التشريعي والمؤسسي السياقَ الذي تعمل فيه إدارة المخاطر في القطاع العدلي، وهو ما يمنح الدراسة الحالية خصوصيةً بحثيةً لا تتوافر في الدراسات الدولية التي تُجرى في بيئات مؤسسية مختلفة.</w:t>
      </w:r>
    </w:p>
    <w:p w:rsidR="00BB18E2" w:rsidRDefault="00BB18E2">
      <w:pPr>
        <w:spacing w:after="100" w:line="360" w:lineRule="auto"/>
        <w:ind w:firstLine="283"/>
      </w:pP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أما على صعيد العلاقة بين إدارة المخاطر ونجاح المشاريع، فيُمكن تصنيفها في الأدبيات وفق ثلاثة نماذج نظرية: النموذج الخطي الذي يفترض علاقةً مباشرةً بين تطبيق إدارة المخاطر ونجاح المشاريع، والنموذج التفاعلي الذي يُضيف عوامل وسيطة كالثقافة التنظيمية وكفاءة الفريق، والنموذج الظرفي الذي يرى أن أثر إدارة المخاطر يتباين تبعاً للسياق والبيئة. وتتبنى الدراسة الحالية النموذج الخطي كمنطلق أولي، مع الإشارة إلى احتمال تدخّل متغيرات ظ</w:t>
      </w:r>
      <w:r w:rsidR="00DA65CC">
        <w:rPr>
          <w:rFonts w:ascii="Simplified Arabic" w:hAnsi="Simplified Arabic" w:cs="Simplified Arabic"/>
          <w:sz w:val="28"/>
          <w:szCs w:val="28"/>
          <w:rtl/>
        </w:rPr>
        <w:t>رفية تُوصى دراسات لاحقة بفحصها.</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نجاح المشروع:</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يُعرَّف إجرائياً بأنه تحقيق المشروع العدلي لأهدافه المخططة ضمن الوقت المحدد والميزانية المعتمدة وبالجودة المطلوبة مع تحقيق رضا المستفيدين. ويُقاس بثلاثة أبعاد: الالتزام بالوقت، والالتزام بالتكلفة، وجودة المخرجات.</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المؤسسات العدلية: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تشمل وزارة العدل والمحاكم العامة والجزئية والإدارية، والمرافق العدلية والإدارات التابعة لها في مختلف مناطق المملكة العربية السعودية.</w:t>
      </w:r>
    </w:p>
    <w:p w:rsidR="00BB18E2" w:rsidRDefault="00BB18E2">
      <w:pPr>
        <w:jc w:val="center"/>
        <w:rPr>
          <w:rFonts w:ascii="Simplified Arabic" w:hAnsi="Simplified Arabic" w:cs="Simplified Arabic"/>
          <w:rtl/>
        </w:rPr>
      </w:pPr>
      <w:r>
        <w:rPr>
          <w:rFonts w:ascii="Simplified Arabic" w:hAnsi="Simplified Arabic" w:cs="Simplified Arabic"/>
          <w:b/>
          <w:bCs/>
          <w:sz w:val="40"/>
          <w:szCs w:val="40"/>
          <w:rtl/>
        </w:rPr>
        <w:lastRenderedPageBreak/>
        <w:t>الفصل الثاني: الإطار النظري والمفاهيمي</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تمهيد:</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يُعدّ الإطار النظري أحد الركائز الأساسية في البحث العلمي، حيث يوفر الأساس المعرفي الذي يستند إليه الباحث في تفسير الظاهرة محل الدراسة. وفي ضوء موضوع الدراسة المتمثل في أثر إدارة المخاطر على نجاح المشاريع في المؤسسات الخدمية، يتناول هذا الفصل عرضاً مفصلاً لمفهوم إدارة المخاطر وأهميتها وأنواعها ومراحلها، إضافة إلى مفهوم نجاح المشاريع وأبعاده، مع التركيز على طبيعة العلاقة بين المتغيرين في البيئة العدلية السعودية.</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المبحث الأول: إدارة المخاطر</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2.1 مفهوم إدارة المخاطر وتطوره:</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أصبحت إدارة المخاطر في العصر الحديث من الوظائف الاستراتيجية الأساسية في المنظمات، نظراً لارتفاع مستوى عدم اليقين الذي يُحيط ببيئة الأعمال، وتزايد تعقيد المشاريع وتشابك أطرافها. وقد أدّى ذلك إلى تحوّل إدارة المخاطر من مجرد نشاط تكميلي يُمارَس بصفة غير منتظمة، إلى عنصر استراتيجي متكامل يُؤثّر مباشرةً في قرارات التخطيط والتنفيذ والرقابة.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وتكمن أهمية إدارة المخاطر في قدرتها على التعامل مع الأحداث غير المتوقعة قبل وقوعها، مما يساعد المنظمات على تقليل الخسائر المحتملة، وتحسين فرص النجاح، وتعزيز القدرة على اتخاذ قرارات مدروسة قائمة على بيانات دقيقة وتحليلات موضوعية. وقد أثبتت التجارب الدولية والمحلية أن المؤسسات التي تتبنّى منهجية منظّمة لإدارة المخاطر تحقق نتائج أفضل على صعيد نجاح مشاريعها وكفاءة إنفاقها.</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2.2 تعريف المخاطر:</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تُعرَّف المخاطر في سياق إدارة المشاريع بأنها احتمال وقوع حدث غير متوقع قد يؤثر سلباً أو إيجاباً على تحقيق أهداف المشروع. وتشير بعض التعريفات إلى أن المخاطر تمثل حالة من عدم التأكد المرتبط بنتائج مستقبلية لا يمكن التنبؤ بها بدقة تامة.</w:t>
      </w:r>
    </w:p>
    <w:p w:rsidR="00BB18E2" w:rsidRDefault="00BB18E2" w:rsidP="00DA65CC">
      <w:pPr>
        <w:spacing w:after="100" w:line="360" w:lineRule="auto"/>
        <w:ind w:firstLine="283"/>
        <w:rPr>
          <w:rtl/>
        </w:rPr>
      </w:pPr>
      <w:r>
        <w:rPr>
          <w:rFonts w:ascii="Simplified Arabic" w:hAnsi="Simplified Arabic" w:cs="Simplified Arabic"/>
          <w:sz w:val="28"/>
          <w:szCs w:val="28"/>
          <w:rtl/>
        </w:rPr>
        <w:t>ووفقاً للمعيار الدولي ISO 31000:2018، تُعرَّف المخاطر بأنها "أثر حالة عدم اليقين على الأهداف"، حيث يمكن أن يكون هذا الأثر إيجابياً (فرص) أو سلبياً (تهديدات). كما تُعرَّف بأنها التعرض لاحتمالية حدوث خسارة أو انحراف عن الأهداف المخططة نتيجة اتخاذ قرار معين أو نتيجة ظروف خارجية تؤثر على مسار المشروع.</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2.3 أنواع المخاطر في المشاريع الحكومية: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تتعدد أنواع المخاطر التي تواجه المشاريع الحكومية ولا سيما في القطاع العدلي، وتُصنَّف على النحو الآتي: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مخاطر الوثائق والمعلومات: وتشمل مخاطر فقدان البيانات أو تلفها أو تسريبها، وضعف توثيق إجراءات المشروع، وغياب سياسات واضحة لأمن المعلومات.</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مخاطر السمعة التنظيمية: وتتمثل في المخاطر المرتبطة بالصورة الذهنية للمؤسسة أمام المستفيدين والرأي العام، وتأثير الفشل في تنفيذ المشاريع على ثقة المجتمع.</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المخاطر الثقافية والتنظيمية: وتشمل مقاومة التغيير، وضعف التنسيق بين الأقسام والجهات المشاركة، وغياب ثقافة إدارة المخاطر لدى العاملين.</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مخاطر الموارد البشرية: وتتضمن نقص الكوادر المتخصصة، وارتفاع معدلات دوران الموظفين، وضعف التدريب على أدوات إدارة المشاريع والمخاطر.</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المخاطر التقنية: وتشمل أعطال الأنظمة الإلكترونية، والاختراق الأمني، وفشل الربط التقني بين المنظومات المؤسسية.</w:t>
      </w:r>
    </w:p>
    <w:p w:rsidR="00BB18E2" w:rsidRPr="00DA65CC" w:rsidRDefault="00BB18E2" w:rsidP="00DA65CC">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المخاطر المالية: وتتمثل في تجاوز الميزانيات، وتأخر صرف المستحقات، والتضخم في تكاليف التوريد والتعاقد.</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2.4 مراحل إدارة المخاطر:</w:t>
      </w: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تتكون دورة إدارة المخاطر وفق نموذج وزارة المالية وهيئة الحكومة الرقمية السعودية (2024-2025)</w:t>
      </w:r>
      <w:r w:rsidR="00DA65CC">
        <w:rPr>
          <w:rFonts w:ascii="Simplified Arabic" w:hAnsi="Simplified Arabic" w:cs="Simplified Arabic"/>
          <w:sz w:val="28"/>
          <w:szCs w:val="28"/>
          <w:rtl/>
        </w:rPr>
        <w:t xml:space="preserve"> من خمس مراحل متسلسلة ومتكاملة: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المرحلة الأولى – تحديد المخاطر (Risk Identification):</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تشمل جمع البيانات وتحليل الأنشطة والعمليات باستخدام أدوات متنوعة كجلسات العصف الذهني، ومراجعة الدروس المستفادة من المشاريع السابقة، وتحليل بيئة المشروع الداخلية والخارجية. والهدف منها إعداد سجل متكامل للمخاطر يحصر جميع التهديدات والفرص المحتملة.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المرحلة الثانية – تحليل وتقييم المخاطر (Risk Assessment):</w:t>
      </w:r>
    </w:p>
    <w:p w:rsidR="00BB18E2"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يتم تقييم كل خطر من حيث احتمال حدوثه (Probability) وحجم تأثيره (Impact)، باستخدام مصفوفة الاحتمال والتأثير لترتيب المخاطر حسب درجة أولويتها ومستوى خطورتها. وتساعد هذه المرحلة في توجيه ال</w:t>
      </w:r>
      <w:r w:rsidR="00DA65CC">
        <w:rPr>
          <w:rFonts w:ascii="Simplified Arabic" w:hAnsi="Simplified Arabic" w:cs="Simplified Arabic"/>
          <w:sz w:val="28"/>
          <w:szCs w:val="28"/>
          <w:rtl/>
        </w:rPr>
        <w:t>موارد نحو المخاطر الأكثر أثراً.</w:t>
      </w:r>
    </w:p>
    <w:p w:rsidR="00DA65CC" w:rsidRPr="00DA65CC" w:rsidRDefault="00DA65CC" w:rsidP="00DA65CC">
      <w:pPr>
        <w:spacing w:after="100" w:line="360" w:lineRule="auto"/>
        <w:ind w:firstLine="283"/>
        <w:rPr>
          <w:rFonts w:ascii="Simplified Arabic" w:hAnsi="Simplified Arabic" w:cs="Simplified Arabic"/>
          <w:sz w:val="28"/>
          <w:szCs w:val="28"/>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المرحلة الثالثة – تخطيط الاستجابة للمخاطر (Risk Response Planning):</w:t>
      </w: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تتضمن اختيار أنسب استراتيجية للتعامل مع كل خطر من بين أربع استراتيجيات رئيسة: التجنّب (Avoidance)، والنقل (Transfer)، والتقليل (Mitigation)، والقبول (Acceptance). ويُحدَّد لكل خطر مسؤول واضح و</w:t>
      </w:r>
      <w:r w:rsidR="00DA65CC">
        <w:rPr>
          <w:rFonts w:ascii="Simplified Arabic" w:hAnsi="Simplified Arabic" w:cs="Simplified Arabic"/>
          <w:sz w:val="28"/>
          <w:szCs w:val="28"/>
          <w:rtl/>
        </w:rPr>
        <w:t>موارد كافية وجدول زمني للتنفيذ.</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المرحلة الرابعة – تنفيذ خطة الاستجابة (Implementation):</w:t>
      </w: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تطبيق الإجراءات الوقائية والتصحيحية الموضوعة في خطة الاستجابة، مع ضمان تخصيص الموارد اللازمة وإجراء مراجعات</w:t>
      </w:r>
      <w:r w:rsidR="00DA65CC">
        <w:rPr>
          <w:rFonts w:ascii="Simplified Arabic" w:hAnsi="Simplified Arabic" w:cs="Simplified Arabic"/>
          <w:sz w:val="28"/>
          <w:szCs w:val="28"/>
          <w:rtl/>
        </w:rPr>
        <w:t xml:space="preserve"> دورية للتحقق من كفاءة التنفيذ.</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المرحلة الخامسة – المتابعة والمراجعة المستمرة (Monitoring &amp; Review):</w:t>
      </w:r>
    </w:p>
    <w:p w:rsid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وهي المرحلة التي تضمن استمرارية فاعلية إدارة المخاطر من خلال إعداد تقارير دورية، وتحديث سجل المخاطر، وعرض النتائج على الإدارة العليا لاتخاذ القرا</w:t>
      </w:r>
      <w:r w:rsidR="00DA65CC">
        <w:rPr>
          <w:rFonts w:ascii="Simplified Arabic" w:hAnsi="Simplified Arabic" w:cs="Simplified Arabic"/>
          <w:sz w:val="28"/>
          <w:szCs w:val="28"/>
          <w:rtl/>
        </w:rPr>
        <w:t>رات التصحيحية في الوقت المناسب.</w:t>
      </w:r>
    </w:p>
    <w:p w:rsidR="00DA65CC" w:rsidRPr="00DA65CC" w:rsidRDefault="00DA65CC" w:rsidP="00DA65CC">
      <w:pPr>
        <w:spacing w:after="100" w:line="360" w:lineRule="auto"/>
        <w:ind w:firstLine="283"/>
        <w:rPr>
          <w:rFonts w:ascii="Simplified Arabic" w:hAnsi="Simplified Arabic" w:cs="Simplified Arabic"/>
          <w:sz w:val="28"/>
          <w:szCs w:val="28"/>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2.5 النماذج النظرية لإدارة المخاطر:</w:t>
      </w: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تستند هذه الدرا</w:t>
      </w:r>
      <w:r w:rsidR="00DA65CC">
        <w:rPr>
          <w:rFonts w:ascii="Simplified Arabic" w:hAnsi="Simplified Arabic" w:cs="Simplified Arabic"/>
          <w:sz w:val="28"/>
          <w:szCs w:val="28"/>
          <w:rtl/>
        </w:rPr>
        <w:t>سة إلى ثلاثة نماذج نظرية رئيسة: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أولاً – نموذج الحوكمة المؤسسية (Corporate Governance Model):</w:t>
      </w: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يرى هذا النموذج أن إدارة المخاطر هي أحد أعمدة الحوكمة الرشيدة، ولا يمكن فصلها عن منظومة القرار الاستراتيجي. وقد تبنّت وزارة المالية السعودية (2024) هذا النموذج في دليل إدارة المخاطر الحكومي، مؤكدةً أن نجاح المشاريع لا يتحقق إلا من خلال إطار حوكمة يربط تقييم </w:t>
      </w:r>
      <w:r w:rsidR="00DA65CC">
        <w:rPr>
          <w:rFonts w:ascii="Simplified Arabic" w:hAnsi="Simplified Arabic" w:cs="Simplified Arabic"/>
          <w:sz w:val="28"/>
          <w:szCs w:val="28"/>
          <w:rtl/>
        </w:rPr>
        <w:t>المخاطر بقرارات الإدارة العليا.</w:t>
      </w:r>
    </w:p>
    <w:p w:rsidR="00DA65CC" w:rsidRDefault="00DA65CC" w:rsidP="00DA65CC">
      <w:pPr>
        <w:spacing w:after="100" w:line="360" w:lineRule="auto"/>
        <w:ind w:firstLine="283"/>
        <w:rPr>
          <w:rFonts w:ascii="Simplified Arabic" w:hAnsi="Simplified Arabic" w:cs="Simplified Arabic"/>
          <w:sz w:val="28"/>
          <w:szCs w:val="28"/>
          <w:rtl/>
        </w:rPr>
      </w:pPr>
    </w:p>
    <w:p w:rsid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ثانياً – نموذج المدخل الوقائي (</w:t>
      </w:r>
      <w:proofErr w:type="spellStart"/>
      <w:r>
        <w:rPr>
          <w:rFonts w:ascii="Simplified Arabic" w:hAnsi="Simplified Arabic" w:cs="Simplified Arabic"/>
          <w:sz w:val="28"/>
          <w:szCs w:val="28"/>
          <w:rtl/>
        </w:rPr>
        <w:t>Preventive</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Approach</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Model</w:t>
      </w:r>
      <w:proofErr w:type="spellEnd"/>
      <w:r>
        <w:rPr>
          <w:rFonts w:ascii="Simplified Arabic" w:hAnsi="Simplified Arabic" w:cs="Simplified Arabic"/>
          <w:sz w:val="28"/>
          <w:szCs w:val="28"/>
          <w:rtl/>
        </w:rPr>
        <w:t>):</w:t>
      </w:r>
      <w:r w:rsidR="00DA65CC">
        <w:rPr>
          <w:rFonts w:ascii="Simplified Arabic" w:hAnsi="Simplified Arabic" w:cs="Simplified Arabic" w:hint="cs"/>
          <w:sz w:val="28"/>
          <w:szCs w:val="28"/>
          <w:rtl/>
        </w:rPr>
        <w:t xml:space="preserve"> </w:t>
      </w:r>
    </w:p>
    <w:p w:rsidR="00BB18E2"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يفترض هذا النموذج أن التعامل المبكر مع المخاطر قبل وقوعها يقلّل التكاليف ويحسّن الأداء العام، وقد أثبتت الدراسات المحلية مثل الخالدي (2023) أن المؤسسات التي تعتمد المدخل الوقائي تحقق نسب إنجاز أعلى بمعدل 28% مقارنةً بتلك التي تعتمد المدخل التصحيحي.</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ثالثاً – نموذج الأداء المؤسسي (Institutional Performance Model):</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يعتبر هذا النموذج إدارة المخاطر أداةً لتحسين الأداء المؤسسي من خلال الحد من الانحرافات في الخطط التشغيلية والمالية، مما يؤدي إلى تحقيق أهداف المؤسسة بكفاءة أعلى وهدر أقل.</w:t>
      </w:r>
    </w:p>
    <w:p w:rsidR="00BB18E2" w:rsidRDefault="00BB18E2">
      <w:pPr>
        <w:spacing w:after="100" w:line="360" w:lineRule="auto"/>
        <w:ind w:firstLine="283"/>
        <w:rPr>
          <w:rtl/>
        </w:rPr>
      </w:pPr>
    </w:p>
    <w:p w:rsidR="00BB18E2" w:rsidRPr="00DA65CC" w:rsidRDefault="00DA65CC" w:rsidP="00DA65CC">
      <w:pPr>
        <w:rPr>
          <w:rFonts w:ascii="Simplified Arabic" w:hAnsi="Simplified Arabic" w:cs="Simplified Arabic"/>
          <w:b/>
          <w:bCs/>
          <w:sz w:val="32"/>
          <w:szCs w:val="32"/>
          <w:rtl/>
        </w:rPr>
      </w:pPr>
      <w:r>
        <w:rPr>
          <w:rFonts w:ascii="Simplified Arabic" w:hAnsi="Simplified Arabic" w:cs="Simplified Arabic"/>
          <w:b/>
          <w:bCs/>
          <w:sz w:val="32"/>
          <w:szCs w:val="32"/>
          <w:rtl/>
        </w:rPr>
        <w:t>المبحث الثاني: نجاح المشاريع</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2.6 مفهوم المشروع ودورة حياته:</w:t>
      </w:r>
    </w:p>
    <w:p w:rsidR="00BB18E2" w:rsidRPr="00DA65CC" w:rsidRDefault="00BB18E2" w:rsidP="00DA65CC">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يُعرَّف المشروع بأنه مجهود مؤقت يُبذَل لإنشاء منتَج أو خدمة أو نتيجة فريدة ومحددة. ويتميز المشروع بخصائص جوهرية تجعله مختلفاً عن العمليات التشغيلية المتكررة، أبرزها: المؤقتية (له بداية ونهاية محددتان)، والتفرد (مخرجاته غير مسبوقة)، والتدرّج (يتطور عبر مراحل متتالية). وتمر دورة حياة المشروع بأربع مراحل رئيسة: التخطيط، والتنفي</w:t>
      </w:r>
      <w:r w:rsidR="00DA65CC">
        <w:rPr>
          <w:rFonts w:ascii="Simplified Arabic" w:hAnsi="Simplified Arabic" w:cs="Simplified Arabic"/>
          <w:sz w:val="28"/>
          <w:szCs w:val="28"/>
          <w:rtl/>
        </w:rPr>
        <w:t>ذ، والمتابعة والتحكم، والإغلاق.</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2.7 مفهوم نجاح المشروع ومعاييره:</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اتسع مفهوم نجاح المشروع في الأدبيات الإدارية الحديثة ليتجاوز المفهوم التقليدي المحدود في "مثلث الحديد" (الوقت والتكلفة والجودة)، إلى مفهوم أشمل يراعي رضا المستفيدين، والأثر الاستراتيجي على المنظمة، والاستدامة في المدى البعيد.</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وتُصنَّف معايير نجاح المشروع في هذه الدراسة إلى ثلاثة محاور:</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الالتزام بالوقت: وفاء المشروع بجدوله الزمني المحدد، وتسليم المخرجات في مواعيدها المقرّرة دون تأخيرات غير مبررة تنعكس سلباً على المستفيدين.</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الالتزام بالتكلفة: إنجاز المشروع ضمن الميزانية المعتمدة مع ضبط التكاليف التشغيلية والتعاقدية وتجنّب الهدر في الموارد العامة.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جودة المخرجات: تحقيق المشروع للمواصفات الفنية والتشغيلية المطلوبة وفق معايير الجودة المحددة، مع تلبية توقعات المستفيدين وتحقيق رضاهم.</w:t>
      </w:r>
    </w:p>
    <w:p w:rsidR="00BB18E2" w:rsidRDefault="00BB18E2" w:rsidP="00DA65CC">
      <w:pPr>
        <w:spacing w:after="100" w:line="360" w:lineRule="auto"/>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2.8 العلاقة بين إدارة المخاطر ونجاح المشاريع:</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تشير الأدبيات العلمية إلى وجود علاقة طردية قوية ومعنوية بين تطبيق إدارة المخاطر وارتفاع احتمالية نجاح المشاريع. فكلما كانت المؤسسة أكثر التزاماً بتطبيق منهجية واضحة لإدارة المخاطر، ازدادت قدرتها على التنبؤ بالأزمات ومعالجتها قبل تصاعدها.</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وقد أوضحت دراسة المطيري (2021) أن المؤسسات الحكومية التي تبنّت وحدات متخصصة لإدارة المخاطر شهدت انخفاضاً في معدل التعثر بنسبة 35%. بينما وجدت دراسة الزهراني (2022) أن المشاريع العدلية التي تضم لجانًا مختصة بإدارة المخاطر سجّلت كفاءة أعلى في التنفيذ وجودة أفضل في المخرجات.</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ويمكن تفسير هذه العلاقة من خلال نموذج "المدخل الوقائي" الذي يفترض أن الاستجابة المبكرة للمخاطر تُقلّل التكاليف التصحيحية لاحقاً، مما ينعكس إيجاباً على جودة التنفيذ وسرعة الإنجاز وتحقيق رضا المستفيدين.</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2.9 خصائص المشاريع العدلية وتأثيرها على إدارة المخاطر:</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تتميز المشاريع في قطاع الخدمات العدلية بجملة من الخصائص التي تزيد من تعقيد إدارة مخاطرها، منها: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تعدد الأطراف: تتضمن عادةً أطرافاً متعددة (وزارة العدل، المحاكم، مزودو التقنية، الموردون، الجهات الرقابية) مما يُعقّد عمليات التنسيق وتوزيع المسؤوليات.</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حساسية النتائج: ترتبط مخرجات المشاريع العدلية مباشرةً بثقة المجتمع في منظومة العدالة، مما يجعل تكلفة الفشل مرتفعة على الصعيدين المؤسسي والاجتماعي.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الطبيعة التقنية: تشمل كثير من المشاريع العدلية تحولاً رقمياً وتطوير أنظمة إلكترونية متقدمة تستوجب كفاءات تقنية متخصصة وإدارة مخاطر تقنية دقيقة.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المتطلبات القانونية الصارمة: تخضع هذه المشاريع لقواعد وأنظمة حوكمة مشددة تُلزم المؤسسات بمستوى عالٍ من الشفافية والمساءلة والامتثال.</w:t>
      </w:r>
    </w:p>
    <w:p w:rsidR="00BB18E2" w:rsidRPr="00E87924" w:rsidRDefault="00BB18E2" w:rsidP="00E87924">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ولذلك، فإن إدارة المخاطر في المشاريع العدلية لا تقتصر على الجوانب المالية والتشغيلية فقط، بل تمتد لتشمل المخاطر التنظيمية، والقانونية، والتقنية، والبشرية، وهو ما يجعل هذا القطاع نموذجاً بالغ الثراء</w:t>
      </w:r>
      <w:r w:rsidR="00E87924">
        <w:rPr>
          <w:rFonts w:ascii="Simplified Arabic" w:hAnsi="Simplified Arabic" w:cs="Simplified Arabic"/>
          <w:sz w:val="28"/>
          <w:szCs w:val="28"/>
          <w:rtl/>
        </w:rPr>
        <w:t xml:space="preserve"> لدراسة إدارة المخاطر تطبيقياً.</w:t>
      </w:r>
    </w:p>
    <w:p w:rsidR="00BB18E2" w:rsidRPr="00E87924" w:rsidRDefault="00BB18E2" w:rsidP="00E87924">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 xml:space="preserve">وتتميز المخاطر في المشاريع العدلية بثلاثة أبعاد مترابطة تُعقّد عملية إدارتها وتستوجب منهجيةً خاصةً تتجاوز نماذج القطاع الخاص: البُعد القانوني الذي يُحيل كل مخاطرة إلى منظومة أنظمة ولوائح تحكمها وتُقيّد خيارات الاستجابة، والبُعد السيادي الذي يجعل الفشل في المشاريع العدلية ذا تداعيات اجتماعية تمسّ ثقة المواطن في منظومة العدالة، والبُعد الرقابي الذي يُخضع هذه المشاريع لتدقيق ديوان المراقبة العامة </w:t>
      </w:r>
      <w:r>
        <w:rPr>
          <w:rFonts w:ascii="Simplified Arabic" w:hAnsi="Simplified Arabic" w:cs="Simplified Arabic"/>
          <w:sz w:val="28"/>
          <w:szCs w:val="28"/>
          <w:rtl/>
        </w:rPr>
        <w:lastRenderedPageBreak/>
        <w:t>والجهات الرقابية المتعددة. هذا التركيب المتشابك يجعل إدارة المخاطر في القطاع العدلي أكثر تعقيداً وحاجةً إلى كفاءات متخصصة مقارنةً بإدارة مخاطر</w:t>
      </w:r>
      <w:r w:rsidR="00E87924">
        <w:rPr>
          <w:rFonts w:ascii="Simplified Arabic" w:hAnsi="Simplified Arabic" w:cs="Simplified Arabic"/>
          <w:sz w:val="28"/>
          <w:szCs w:val="28"/>
          <w:rtl/>
        </w:rPr>
        <w:t xml:space="preserve"> المشاريع الهندسية أو التجارية.</w:t>
      </w:r>
    </w:p>
    <w:p w:rsidR="00BB18E2" w:rsidRDefault="00BB18E2" w:rsidP="00E87924">
      <w:pPr>
        <w:spacing w:after="100" w:line="360" w:lineRule="auto"/>
        <w:ind w:firstLine="283"/>
      </w:pPr>
      <w:r>
        <w:rPr>
          <w:rFonts w:ascii="Simplified Arabic" w:hAnsi="Simplified Arabic" w:cs="Simplified Arabic"/>
          <w:sz w:val="28"/>
          <w:szCs w:val="28"/>
          <w:rtl/>
        </w:rPr>
        <w:t>وفيما يتعلق بمراحل إدارة المخاطر، يُلاحظ أن المرحلة الثانية (تحليل وتقييم المخاطر) تستأثر باهتمام خاص في الأدبيات الأكاديمية، إذ تُؤكد الدراسات أن جودة التحليل تُحدد إلى حدٍّ بعيد فاعلية جميع المراحل اللاحقة. فالتحليل النوعي (Qualitative Analysis) يُرتّب المخاطر حسب أولويتها ويُوجّه الانتباه الإداري نحوها، في حين يُقدّم التحليل الكمي (Quantitative Analysis) تقديرات رقمية لتكلفة المخاطر واحتمالاتها تُمكّن من اتخاذ قرارات تخصيص الموارد على أسس موضوعية. ولذلك، كان إسهام بُعد تحليل المخاطر في الدراسة الحالية الأعلى بين جميع الأبعاد (β=0.312)، مما يتوافق تماماً مع ما تُؤكده الأدبيات العلمية الدولية.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وقد كشفت مراجعة الدراسات السابقة أن أكثر عوامل فشل إدارة المخاطر شيوعاً في المشاريع الحكومية تتمثل في: (1) التطبيق الشكلي الاجرائي دون ربط حقيقي بالقرار الإداري، (2) غياب قاعدة بيانات تاريخية تُغذّي التقييم الكمي، (3) ضعف التدريب على أدوات التحليل المتقدم، (4) التركيز على المخاطر المعروفة وإغفال المخاطر الناشئة، (5) قصر دورة متابعة المخاطر وعدم تحديث السجل بصفة منتظمة. وتعكس نتائج الدراسة الحالية وجود بعض هذه التحديات في القطاع العدلي السعودي، ولا سيما في بُعدي الاستجابة والمتابعة اللذين سجّلا مؤشرات أدنى نسبياً.</w:t>
      </w:r>
    </w:p>
    <w:p w:rsidR="00E87924" w:rsidRDefault="00E87924">
      <w:pPr>
        <w:spacing w:after="100" w:line="360" w:lineRule="auto"/>
        <w:ind w:firstLine="283"/>
        <w:rPr>
          <w:rFonts w:ascii="Simplified Arabic" w:hAnsi="Simplified Arabic" w:cs="Simplified Arabic"/>
          <w:sz w:val="28"/>
          <w:szCs w:val="28"/>
          <w:rtl/>
        </w:rPr>
      </w:pPr>
    </w:p>
    <w:p w:rsidR="00E87924" w:rsidRDefault="00E87924">
      <w:pPr>
        <w:spacing w:after="100" w:line="360" w:lineRule="auto"/>
        <w:ind w:firstLine="283"/>
        <w:rPr>
          <w:rFonts w:ascii="Simplified Arabic" w:hAnsi="Simplified Arabic" w:cs="Simplified Arabic"/>
          <w:sz w:val="28"/>
          <w:szCs w:val="28"/>
          <w:rtl/>
        </w:rPr>
      </w:pPr>
    </w:p>
    <w:p w:rsidR="00E87924" w:rsidRDefault="00E87924">
      <w:pPr>
        <w:spacing w:after="100" w:line="360" w:lineRule="auto"/>
        <w:ind w:firstLine="283"/>
        <w:rPr>
          <w:rFonts w:ascii="Simplified Arabic" w:hAnsi="Simplified Arabic" w:cs="Simplified Arabic"/>
          <w:sz w:val="28"/>
          <w:szCs w:val="28"/>
          <w:rtl/>
        </w:rPr>
      </w:pPr>
    </w:p>
    <w:p w:rsidR="00E87924" w:rsidRDefault="00E87924">
      <w:pPr>
        <w:spacing w:after="100" w:line="360" w:lineRule="auto"/>
        <w:ind w:firstLine="283"/>
        <w:rPr>
          <w:rFonts w:ascii="Simplified Arabic" w:hAnsi="Simplified Arabic" w:cs="Simplified Arabic"/>
          <w:sz w:val="28"/>
          <w:szCs w:val="28"/>
          <w:rtl/>
        </w:rPr>
      </w:pP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خلاصة الفصل الثاني: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يتبيّن من خلال هذا الفصل أن الأدبيات النظرية تُقدّم إطاراً معرفياً غنياً يُؤكد أن إدارة المخاطر ليست إجراءً تكميلياً بل ركيزةً استراتيجيةً لا غنى عنها لضمان نجاح المشاريع المؤسسية. وتتكامل النظريات الثلاث (ISO 31000، PMBOK، ERM) في بناء تصور شامل لمنظومة إدارة المخاطر تتدرّج من المبادئ إلى العمليات إلى الأثر الاستراتيجي. أما على صعيد نجاح المشاريع، فقد تطوّر المفهوم من مثلث الحديد الضيق إلى رؤية أشمل تعتدّ بالاستدامة وتحقيق القيمة للمستفيدين والمجتمع. ويُوفّر هذا الإطار النظري المتكامل الأساس المعرفي الصلب لبناء نموذج الدراسة وفرضياتها واختبارها ميدانياً في الفصول التالية.</w:t>
      </w:r>
    </w:p>
    <w:p w:rsidR="000412E3" w:rsidRDefault="000412E3">
      <w:pPr>
        <w:jc w:val="center"/>
        <w:rPr>
          <w:rFonts w:ascii="Simplified Arabic" w:hAnsi="Simplified Arabic" w:cs="Simplified Arabic"/>
          <w:b/>
          <w:bCs/>
          <w:sz w:val="40"/>
          <w:szCs w:val="40"/>
          <w:rtl/>
        </w:rPr>
      </w:pPr>
    </w:p>
    <w:p w:rsidR="000412E3" w:rsidRDefault="000412E3">
      <w:pPr>
        <w:jc w:val="center"/>
        <w:rPr>
          <w:rFonts w:ascii="Simplified Arabic" w:hAnsi="Simplified Arabic" w:cs="Simplified Arabic"/>
          <w:b/>
          <w:bCs/>
          <w:sz w:val="40"/>
          <w:szCs w:val="40"/>
          <w:rtl/>
        </w:rPr>
      </w:pPr>
    </w:p>
    <w:p w:rsidR="00E87924" w:rsidRDefault="00E87924">
      <w:pPr>
        <w:jc w:val="center"/>
        <w:rPr>
          <w:rFonts w:ascii="Simplified Arabic" w:hAnsi="Simplified Arabic" w:cs="Simplified Arabic"/>
          <w:b/>
          <w:bCs/>
          <w:sz w:val="40"/>
          <w:szCs w:val="40"/>
          <w:rtl/>
        </w:rPr>
      </w:pPr>
    </w:p>
    <w:p w:rsidR="00E87924" w:rsidRDefault="00E87924">
      <w:pPr>
        <w:jc w:val="center"/>
        <w:rPr>
          <w:rFonts w:ascii="Simplified Arabic" w:hAnsi="Simplified Arabic" w:cs="Simplified Arabic"/>
          <w:b/>
          <w:bCs/>
          <w:sz w:val="40"/>
          <w:szCs w:val="40"/>
          <w:rtl/>
        </w:rPr>
      </w:pPr>
    </w:p>
    <w:p w:rsidR="00E87924" w:rsidRDefault="00E87924">
      <w:pPr>
        <w:jc w:val="center"/>
        <w:rPr>
          <w:rFonts w:ascii="Simplified Arabic" w:hAnsi="Simplified Arabic" w:cs="Simplified Arabic"/>
          <w:b/>
          <w:bCs/>
          <w:sz w:val="40"/>
          <w:szCs w:val="40"/>
          <w:rtl/>
        </w:rPr>
      </w:pPr>
    </w:p>
    <w:p w:rsidR="00E87924" w:rsidRDefault="00E87924">
      <w:pPr>
        <w:jc w:val="center"/>
        <w:rPr>
          <w:rFonts w:ascii="Simplified Arabic" w:hAnsi="Simplified Arabic" w:cs="Simplified Arabic"/>
          <w:b/>
          <w:bCs/>
          <w:sz w:val="40"/>
          <w:szCs w:val="40"/>
          <w:rtl/>
        </w:rPr>
      </w:pPr>
    </w:p>
    <w:p w:rsidR="00E87924" w:rsidRDefault="00E87924">
      <w:pPr>
        <w:jc w:val="center"/>
        <w:rPr>
          <w:rFonts w:ascii="Simplified Arabic" w:hAnsi="Simplified Arabic" w:cs="Simplified Arabic"/>
          <w:b/>
          <w:bCs/>
          <w:sz w:val="40"/>
          <w:szCs w:val="40"/>
          <w:rtl/>
        </w:rPr>
      </w:pPr>
    </w:p>
    <w:p w:rsidR="00E87924" w:rsidRDefault="00E87924">
      <w:pPr>
        <w:jc w:val="center"/>
        <w:rPr>
          <w:rFonts w:ascii="Simplified Arabic" w:hAnsi="Simplified Arabic" w:cs="Simplified Arabic"/>
          <w:b/>
          <w:bCs/>
          <w:sz w:val="40"/>
          <w:szCs w:val="40"/>
          <w:rtl/>
        </w:rPr>
      </w:pPr>
    </w:p>
    <w:p w:rsidR="000412E3" w:rsidRDefault="000412E3">
      <w:pPr>
        <w:jc w:val="center"/>
        <w:rPr>
          <w:rFonts w:ascii="Simplified Arabic" w:hAnsi="Simplified Arabic" w:cs="Simplified Arabic"/>
          <w:b/>
          <w:bCs/>
          <w:sz w:val="40"/>
          <w:szCs w:val="40"/>
          <w:rtl/>
        </w:rPr>
      </w:pPr>
    </w:p>
    <w:p w:rsidR="000412E3" w:rsidRDefault="000412E3">
      <w:pPr>
        <w:jc w:val="center"/>
        <w:rPr>
          <w:rFonts w:ascii="Simplified Arabic" w:hAnsi="Simplified Arabic" w:cs="Simplified Arabic"/>
          <w:b/>
          <w:bCs/>
          <w:sz w:val="40"/>
          <w:szCs w:val="40"/>
          <w:rtl/>
        </w:rPr>
      </w:pPr>
    </w:p>
    <w:p w:rsidR="00BB18E2" w:rsidRDefault="00BB18E2">
      <w:pPr>
        <w:jc w:val="center"/>
        <w:rPr>
          <w:rFonts w:ascii="Simplified Arabic" w:hAnsi="Simplified Arabic" w:cs="Simplified Arabic"/>
          <w:rtl/>
        </w:rPr>
      </w:pPr>
      <w:r>
        <w:rPr>
          <w:rFonts w:ascii="Simplified Arabic" w:hAnsi="Simplified Arabic" w:cs="Simplified Arabic"/>
          <w:b/>
          <w:bCs/>
          <w:sz w:val="40"/>
          <w:szCs w:val="40"/>
          <w:rtl/>
        </w:rPr>
        <w:lastRenderedPageBreak/>
        <w:t>الفصل الثالث: منهجية الدراسة</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3.1 مقدمة:</w:t>
      </w:r>
    </w:p>
    <w:p w:rsidR="00BB18E2" w:rsidRDefault="00BB18E2" w:rsidP="00E87924">
      <w:pPr>
        <w:spacing w:after="100" w:line="360" w:lineRule="auto"/>
        <w:ind w:firstLine="283"/>
        <w:rPr>
          <w:rtl/>
        </w:rPr>
      </w:pPr>
      <w:r>
        <w:rPr>
          <w:rFonts w:ascii="Simplified Arabic" w:hAnsi="Simplified Arabic" w:cs="Simplified Arabic"/>
          <w:sz w:val="28"/>
          <w:szCs w:val="28"/>
          <w:rtl/>
        </w:rPr>
        <w:t>يتناول هذا الفصل المنهجية التي اعتمدتها الدراسة في جمع البيانات وتحليلها، إذ تم تصميم إطار منهجي يجمع بين الجانب الوصفي التحليلي والجانب الكمي التطبيقي. ويهدف هذا الإطار إلى دراسة أثر إدارة المخاطر على نجاح المشاريع في المؤسسات العدلية، من خلال تطبيق أدوات القياس العلمي واستخدام التحليل الإحصائي لتفسير العلاقة بين المتغيرات.</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3.2 منهج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اعتمدت الدراسة على المنهج الوصفي التحليلي باعتباره الأنسب لدراسة الظواهر الإدارية، حيث يساعد في وصف الواقع الحالي وتحليل العلاقات بين المتغيرات وتفسيرها علمياً. ويقوم هذا المنهج على جمع البيانات من عينة ممثلة لمجتمع الدراسة، وتحليلها باستخدام الأساليب الإحصائية المناسبة لاختبار الفرضيات المطروحة.</w:t>
      </w:r>
    </w:p>
    <w:p w:rsidR="00BB18E2" w:rsidRPr="00E87924" w:rsidRDefault="00BB18E2" w:rsidP="00E87924">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كما تم توظيف المنهج المقارن في تحليل بعض نتائج الدراسات السابقة لتحديد أوجه التشابه والاختلاف وبيان الإضافة المعرفية التي تقدّمها هذه الدر</w:t>
      </w:r>
      <w:r w:rsidR="00E87924">
        <w:rPr>
          <w:rFonts w:ascii="Simplified Arabic" w:hAnsi="Simplified Arabic" w:cs="Simplified Arabic"/>
          <w:sz w:val="28"/>
          <w:szCs w:val="28"/>
          <w:rtl/>
        </w:rPr>
        <w:t>اسة في ضوء ما تم تناوله سابقاً.</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3.3 مجتمع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يتمثّل مجتمع الدراسة في جميع الموظفين العاملين في إدارات المشاريع والتطوير والجودة في قطاع الخدمات العدلية بالمملكة العربية السعودية، ويشمل ذلك:</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موظفي وزارة العدل في الإدارات المركزية (إدارة المشاريع، التحول الرقمي، الجودة والتطوير).</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موظفي المحاكم العامة والجزئية والإدارية في مختلف مناطق المملكة.</w:t>
      </w:r>
    </w:p>
    <w:p w:rsidR="00BB18E2" w:rsidRPr="00E87924" w:rsidRDefault="00BB18E2" w:rsidP="00E87924">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موظفي المرافق العدلية (مراكز الخدمات العدلية، مراكز التدريب العدلي، إدارات التحول الرقمي).</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3.4 عينة الدراسة:</w:t>
      </w:r>
    </w:p>
    <w:p w:rsidR="004A2AD4" w:rsidRPr="00E87924" w:rsidRDefault="00BB18E2" w:rsidP="00E87924">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نظراً لاتساع مجتمع الدراسة، تم اختيار عينة عشوائية طبقية قوامها (80) موظفاً من مختلف المستويات الإدارية والمناط</w:t>
      </w:r>
      <w:r w:rsidR="00E87924">
        <w:rPr>
          <w:rFonts w:ascii="Simplified Arabic" w:hAnsi="Simplified Arabic" w:cs="Simplified Arabic"/>
          <w:sz w:val="28"/>
          <w:szCs w:val="28"/>
          <w:rtl/>
        </w:rPr>
        <w:t>ق الجغرافية، وفق التوزيع الآتي:</w:t>
      </w:r>
    </w:p>
    <w:p w:rsidR="004A2AD4" w:rsidRDefault="00C74FB5">
      <w:pPr>
        <w:spacing w:after="10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تحديد حجم العينة:</w:t>
      </w:r>
    </w:p>
    <w:p w:rsidR="004A2AD4" w:rsidRDefault="00C74FB5" w:rsidP="002F025A">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 xml:space="preserve">لتحديد الحجم الأدنى المقبول إحصائياً، استُعين بجداول كريجسي ومورغان (Krejcie &amp; Morgan, 1970) وهي المعيار المرجعي في أبحاث العلوم الاجتماعية. استناداً إلى مستوى ثقة 95% وهامش خطأ ±5% وحجم مجتمع مقدَّر بنحو (500) موظف في إدارات المشاريع والتطوير والجودة في القطاع العدلي بالمناطق الثلاث المستهدفة، يُشير الجدول إلى أن الحد الأدنى المطلوب يقع في نطاق (80 – 100) مستجيب. ورُوعي في التوزيع تمثيل المستويات الوظيفية الثلاثة وفق العينة الطبقية العشوائية. وقد أسفر التوزيع عن استرداد (80) استمارة صالحة من أصل (95) بنسبة (84.2%)، وهي نسبة مرتفعة وفق معايير </w:t>
      </w:r>
      <w:r w:rsidR="00913ACB">
        <w:rPr>
          <w:rFonts w:ascii="Simplified Arabic" w:hAnsi="Simplified Arabic" w:cs="Simplified Arabic" w:hint="cs"/>
          <w:sz w:val="28"/>
          <w:szCs w:val="28"/>
          <w:rtl/>
        </w:rPr>
        <w:t>(</w:t>
      </w:r>
      <w:proofErr w:type="spellStart"/>
      <w:r>
        <w:rPr>
          <w:rFonts w:ascii="Simplified Arabic" w:hAnsi="Simplified Arabic" w:cs="Simplified Arabic"/>
          <w:sz w:val="28"/>
          <w:szCs w:val="28"/>
          <w:rtl/>
        </w:rPr>
        <w:t>Sekaran</w:t>
      </w:r>
      <w:proofErr w:type="spellEnd"/>
      <w:r>
        <w:rPr>
          <w:rFonts w:ascii="Simplified Arabic" w:hAnsi="Simplified Arabic" w:cs="Simplified Arabic"/>
          <w:sz w:val="28"/>
          <w:szCs w:val="28"/>
          <w:rtl/>
        </w:rPr>
        <w:t xml:space="preserve"> &amp; </w:t>
      </w:r>
      <w:proofErr w:type="spellStart"/>
      <w:r>
        <w:rPr>
          <w:rFonts w:ascii="Simplified Arabic" w:hAnsi="Simplified Arabic" w:cs="Simplified Arabic"/>
          <w:sz w:val="28"/>
          <w:szCs w:val="28"/>
          <w:rtl/>
        </w:rPr>
        <w:t>Bougie</w:t>
      </w:r>
      <w:proofErr w:type="spellEnd"/>
      <w:r>
        <w:rPr>
          <w:rFonts w:ascii="Simplified Arabic" w:hAnsi="Simplified Arabic" w:cs="Simplified Arabic"/>
          <w:sz w:val="28"/>
          <w:szCs w:val="28"/>
          <w:rtl/>
        </w:rPr>
        <w:t xml:space="preserve"> 2016).</w:t>
      </w:r>
    </w:p>
    <w:p w:rsidR="004A2AD4" w:rsidRDefault="004A2AD4">
      <w:pPr>
        <w:spacing w:after="0" w:line="240" w:lineRule="auto"/>
      </w:pPr>
    </w:p>
    <w:p w:rsidR="00BB18E2" w:rsidRDefault="002F025A" w:rsidP="002F025A">
      <w:pPr>
        <w:spacing w:after="100" w:line="360" w:lineRule="auto"/>
        <w:ind w:firstLine="283"/>
        <w:rPr>
          <w:rFonts w:ascii="Simplified Arabic" w:hAnsi="Simplified Arabic" w:cs="Simplified Arabic"/>
          <w:b/>
          <w:bCs/>
          <w:sz w:val="28"/>
          <w:szCs w:val="28"/>
          <w:rtl/>
        </w:rPr>
      </w:pPr>
      <w:r w:rsidRPr="002F025A">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w:t>
      </w:r>
      <w:r w:rsidRPr="002F025A">
        <w:rPr>
          <w:rFonts w:ascii="Simplified Arabic" w:hAnsi="Simplified Arabic" w:cs="Simplified Arabic"/>
          <w:b/>
          <w:bCs/>
          <w:sz w:val="28"/>
          <w:szCs w:val="28"/>
          <w:rtl/>
        </w:rPr>
        <w:t>)</w:t>
      </w:r>
      <w:r w:rsidR="00BB18E2">
        <w:rPr>
          <w:rFonts w:ascii="Simplified Arabic" w:hAnsi="Simplified Arabic" w:cs="Simplified Arabic"/>
          <w:b/>
          <w:bCs/>
          <w:sz w:val="28"/>
          <w:szCs w:val="28"/>
          <w:rtl/>
        </w:rPr>
        <w:t>: توزيع عينة الدراسة حسب المسمى الوظيفي والمنطقة</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0"/>
        <w:gridCol w:w="1200"/>
        <w:gridCol w:w="1200"/>
        <w:gridCol w:w="1200"/>
        <w:gridCol w:w="1400"/>
        <w:gridCol w:w="1200"/>
      </w:tblGrid>
      <w:tr w:rsidR="004E6020">
        <w:trPr>
          <w:tblHeader/>
        </w:trPr>
        <w:tc>
          <w:tcPr>
            <w:tcW w:w="28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المسمى الوظيفي</w:t>
            </w:r>
          </w:p>
        </w:tc>
        <w:tc>
          <w:tcPr>
            <w:tcW w:w="1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الرياض</w:t>
            </w:r>
          </w:p>
        </w:tc>
        <w:tc>
          <w:tcPr>
            <w:tcW w:w="1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مكة</w:t>
            </w:r>
          </w:p>
        </w:tc>
        <w:tc>
          <w:tcPr>
            <w:tcW w:w="1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الشرقية</w:t>
            </w:r>
          </w:p>
        </w:tc>
        <w:tc>
          <w:tcPr>
            <w:tcW w:w="14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الإجمالي</w:t>
            </w:r>
          </w:p>
        </w:tc>
        <w:tc>
          <w:tcPr>
            <w:tcW w:w="1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النسبة</w:t>
            </w:r>
          </w:p>
        </w:tc>
      </w:tr>
      <w:tr w:rsidR="004E6020">
        <w:tc>
          <w:tcPr>
            <w:tcW w:w="28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مدير مشروع / رئيس وحدة</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14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20</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25.0%</w:t>
            </w:r>
          </w:p>
        </w:tc>
      </w:tr>
      <w:tr w:rsidR="004E6020">
        <w:tc>
          <w:tcPr>
            <w:tcW w:w="28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مشرف قسم / مشرف وحدة</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11</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14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31.25%</w:t>
            </w:r>
          </w:p>
        </w:tc>
      </w:tr>
      <w:tr w:rsidR="004E6020">
        <w:tc>
          <w:tcPr>
            <w:tcW w:w="28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موظف فني / ميداني</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14</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11</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w:t>
            </w:r>
          </w:p>
        </w:tc>
        <w:tc>
          <w:tcPr>
            <w:tcW w:w="14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w:t>
            </w:r>
          </w:p>
        </w:tc>
        <w:tc>
          <w:tcPr>
            <w:tcW w:w="12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43.75%</w:t>
            </w:r>
          </w:p>
        </w:tc>
      </w:tr>
      <w:tr w:rsidR="004E6020">
        <w:tc>
          <w:tcPr>
            <w:tcW w:w="28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الإجمالي</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20</w:t>
            </w:r>
          </w:p>
        </w:tc>
        <w:tc>
          <w:tcPr>
            <w:tcW w:w="14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12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100%</w:t>
            </w:r>
          </w:p>
        </w:tc>
      </w:tr>
    </w:tbl>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3.5 متغيرات الدراسة: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المتغير المستقل: إدارة المخاطر (Risk Management)</w:t>
      </w:r>
    </w:p>
    <w:p w:rsidR="00BB18E2" w:rsidRPr="00E87924" w:rsidRDefault="00BB18E2" w:rsidP="00E87924">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ويتضمن أربعة أبعاد (تحديد المخاطر، وتحليلها وتقييمها، والاستجابة لها، والمراقبة والمتابعة)، وتُقاس جميعها </w:t>
      </w:r>
      <w:r w:rsidR="00E87924">
        <w:rPr>
          <w:rFonts w:ascii="Simplified Arabic" w:hAnsi="Simplified Arabic" w:cs="Simplified Arabic"/>
          <w:sz w:val="28"/>
          <w:szCs w:val="28"/>
          <w:rtl/>
        </w:rPr>
        <w:t>من خلال (22) فقرة في الاستبانة.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المتغير التابع: نجاح المشاريع (Project Success)</w:t>
      </w:r>
    </w:p>
    <w:p w:rsidR="00BB18E2" w:rsidRPr="00E87924" w:rsidRDefault="00BB18E2" w:rsidP="00E87924">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ويتضمن ثلاثة أبعاد (الالتزام بالوقت، والالتزام بالتكلفة، وجودة المخرجات)، وتُقاس </w:t>
      </w:r>
      <w:r w:rsidR="00E87924">
        <w:rPr>
          <w:rFonts w:ascii="Simplified Arabic" w:hAnsi="Simplified Arabic" w:cs="Simplified Arabic"/>
          <w:sz w:val="28"/>
          <w:szCs w:val="28"/>
          <w:rtl/>
        </w:rPr>
        <w:t>من خلال (6) فقرات في الاستبانة.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3.6 أداة جمع البيانات:</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تم تطوير استبانة استقصائية كأداة رئيسة لجمع البيانات الميدانية، بالاعتماد على مراجعة الأدبيات والدراسات السابقة. وتكوّنت الاستبانة من جزأين:</w:t>
      </w:r>
    </w:p>
    <w:p w:rsidR="00BB18E2" w:rsidRDefault="00BB18E2" w:rsidP="00E87924">
      <w:pPr>
        <w:numPr>
          <w:ilvl w:val="0"/>
          <w:numId w:val="4"/>
        </w:numPr>
        <w:spacing w:after="100" w:line="360" w:lineRule="auto"/>
        <w:ind w:left="142"/>
        <w:rPr>
          <w:rFonts w:ascii="Simplified Arabic" w:hAnsi="Simplified Arabic" w:cs="Simplified Arabic"/>
          <w:sz w:val="28"/>
          <w:szCs w:val="28"/>
          <w:rtl/>
        </w:rPr>
      </w:pPr>
      <w:r>
        <w:rPr>
          <w:rFonts w:ascii="Simplified Arabic" w:hAnsi="Simplified Arabic" w:cs="Simplified Arabic"/>
          <w:sz w:val="28"/>
          <w:szCs w:val="28"/>
          <w:rtl/>
        </w:rPr>
        <w:t>الجزء الأول: البيانات الديموغرافية (المسمى الوظيفي، سنوات الخبرة، المستوى التعليمي، المنطقة الإدارية).</w:t>
      </w:r>
    </w:p>
    <w:p w:rsidR="00BB18E2" w:rsidRDefault="00BB18E2" w:rsidP="00E87924">
      <w:pPr>
        <w:numPr>
          <w:ilvl w:val="0"/>
          <w:numId w:val="4"/>
        </w:numPr>
        <w:spacing w:after="100" w:line="360" w:lineRule="auto"/>
        <w:ind w:left="142"/>
        <w:rPr>
          <w:rFonts w:ascii="Simplified Arabic" w:hAnsi="Simplified Arabic" w:cs="Simplified Arabic"/>
          <w:sz w:val="28"/>
          <w:szCs w:val="28"/>
          <w:rtl/>
        </w:rPr>
      </w:pPr>
      <w:r>
        <w:rPr>
          <w:rFonts w:ascii="Simplified Arabic" w:hAnsi="Simplified Arabic" w:cs="Simplified Arabic"/>
          <w:sz w:val="28"/>
          <w:szCs w:val="28"/>
          <w:rtl/>
        </w:rPr>
        <w:t>الجزء الثاني: محاور الدراسة (28 فقرة على مقياس ليكرت الخماسي).</w:t>
      </w:r>
    </w:p>
    <w:p w:rsidR="00BB18E2" w:rsidRDefault="00BB18E2" w:rsidP="00913ACB">
      <w:pPr>
        <w:spacing w:after="100"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جدول (</w:t>
      </w:r>
      <w:r w:rsidR="00913ACB">
        <w:rPr>
          <w:rFonts w:ascii="Simplified Arabic" w:hAnsi="Simplified Arabic" w:cs="Simplified Arabic" w:hint="cs"/>
          <w:b/>
          <w:bCs/>
          <w:sz w:val="28"/>
          <w:szCs w:val="28"/>
          <w:rtl/>
        </w:rPr>
        <w:t>3</w:t>
      </w:r>
      <w:r>
        <w:rPr>
          <w:rFonts w:ascii="Simplified Arabic" w:hAnsi="Simplified Arabic" w:cs="Simplified Arabic"/>
          <w:b/>
          <w:bCs/>
          <w:sz w:val="28"/>
          <w:szCs w:val="28"/>
          <w:rtl/>
        </w:rPr>
        <w:t>): محاور الاستبانة وعدد فقراتها</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0"/>
        <w:gridCol w:w="2000"/>
        <w:gridCol w:w="1600"/>
        <w:gridCol w:w="4200"/>
      </w:tblGrid>
      <w:tr w:rsidR="004E6020">
        <w:trPr>
          <w:tblHeader/>
        </w:trPr>
        <w:tc>
          <w:tcPr>
            <w:tcW w:w="1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المحور</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أبعاد القياس</w:t>
            </w:r>
          </w:p>
        </w:tc>
        <w:tc>
          <w:tcPr>
            <w:tcW w:w="16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عدد الفقرات</w:t>
            </w:r>
          </w:p>
        </w:tc>
        <w:tc>
          <w:tcPr>
            <w:tcW w:w="4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مثال على الفقرات</w:t>
            </w:r>
          </w:p>
        </w:tc>
      </w:tr>
      <w:tr w:rsidR="004E6020">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الأول</w:t>
            </w:r>
          </w:p>
        </w:tc>
        <w:tc>
          <w:tcPr>
            <w:tcW w:w="2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4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تحدد الجهة المخاطر المحتملة قبل بدء المشروع</w:t>
            </w:r>
          </w:p>
        </w:tc>
      </w:tr>
      <w:tr w:rsidR="004E6020">
        <w:tc>
          <w:tcPr>
            <w:tcW w:w="1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الثاني</w:t>
            </w:r>
          </w:p>
        </w:tc>
        <w:tc>
          <w:tcPr>
            <w:tcW w:w="2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تحليل المخاطر</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4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تصنيف المخاطر حسب الاحتمال والتأثير</w:t>
            </w:r>
          </w:p>
        </w:tc>
      </w:tr>
      <w:tr w:rsidR="004E6020">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الثالث</w:t>
            </w:r>
          </w:p>
        </w:tc>
        <w:tc>
          <w:tcPr>
            <w:tcW w:w="2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الاستجابة للمخاطر</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توجد خطط استجابة واضحة لكل خطر محدد</w:t>
            </w:r>
          </w:p>
        </w:tc>
      </w:tr>
      <w:tr w:rsidR="004E6020">
        <w:tc>
          <w:tcPr>
            <w:tcW w:w="1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الرابع</w:t>
            </w:r>
          </w:p>
        </w:tc>
        <w:tc>
          <w:tcPr>
            <w:tcW w:w="2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متابعة المخاطر</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تحديث سجل المخاطر بصفة دورية</w:t>
            </w:r>
          </w:p>
        </w:tc>
      </w:tr>
      <w:tr w:rsidR="004E6020">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الخامس</w:t>
            </w:r>
          </w:p>
        </w:tc>
        <w:tc>
          <w:tcPr>
            <w:tcW w:w="2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نجاح المشروع</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4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تلتزم المشاريع بالجدول الزمني المحدد</w:t>
            </w:r>
          </w:p>
        </w:tc>
      </w:tr>
    </w:tbl>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3.7 صدق الأداة وثباتها:</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الصدق الظاهري:</w:t>
      </w:r>
    </w:p>
    <w:p w:rsidR="00BB18E2" w:rsidRPr="00E87924" w:rsidRDefault="00BB18E2" w:rsidP="00E87924">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تمّ عرض الاستبانة على مجموعة من المحكّمين المتخصصين في إدارة الأعمال والبحث العلمي للتحقق من وضوح الفقرات وملاءمتها لأهداف الدرا</w:t>
      </w:r>
      <w:r w:rsidR="00E87924">
        <w:rPr>
          <w:rFonts w:ascii="Simplified Arabic" w:hAnsi="Simplified Arabic" w:cs="Simplified Arabic"/>
          <w:sz w:val="28"/>
          <w:szCs w:val="28"/>
          <w:rtl/>
        </w:rPr>
        <w:t>سة، وأُجريت التعديلات المقترحة.</w:t>
      </w:r>
    </w:p>
    <w:p w:rsidR="00BB18E2" w:rsidRPr="00E87924" w:rsidRDefault="00BB18E2" w:rsidP="00E87924">
      <w:pPr>
        <w:spacing w:after="100" w:line="360" w:lineRule="auto"/>
        <w:ind w:firstLine="283"/>
        <w:rPr>
          <w:rFonts w:ascii="Simplified Arabic" w:hAnsi="Simplified Arabic" w:cs="Simplified Arabic"/>
          <w:b/>
          <w:bCs/>
          <w:sz w:val="28"/>
          <w:szCs w:val="28"/>
        </w:rPr>
      </w:pPr>
      <w:r>
        <w:rPr>
          <w:rFonts w:ascii="Simplified Arabic" w:hAnsi="Simplified Arabic" w:cs="Simplified Arabic"/>
          <w:b/>
          <w:bCs/>
          <w:sz w:val="28"/>
          <w:szCs w:val="28"/>
          <w:rtl/>
        </w:rPr>
        <w:t>الثبات</w:t>
      </w:r>
      <w:r w:rsidR="00E87924">
        <w:rPr>
          <w:rFonts w:ascii="Simplified Arabic" w:hAnsi="Simplified Arabic" w:cs="Simplified Arabic"/>
          <w:b/>
          <w:bCs/>
          <w:sz w:val="28"/>
          <w:szCs w:val="28"/>
          <w:rtl/>
        </w:rPr>
        <w:t xml:space="preserve"> (</w:t>
      </w:r>
      <w:proofErr w:type="spellStart"/>
      <w:r w:rsidR="00E87924">
        <w:rPr>
          <w:rFonts w:ascii="Simplified Arabic" w:hAnsi="Simplified Arabic" w:cs="Simplified Arabic"/>
          <w:b/>
          <w:bCs/>
          <w:sz w:val="28"/>
          <w:szCs w:val="28"/>
          <w:rtl/>
        </w:rPr>
        <w:t>Reliability</w:t>
      </w:r>
      <w:proofErr w:type="spellEnd"/>
      <w:r w:rsidR="00E87924">
        <w:rPr>
          <w:rFonts w:ascii="Simplified Arabic" w:hAnsi="Simplified Arabic" w:cs="Simplified Arabic"/>
          <w:b/>
          <w:bCs/>
          <w:sz w:val="28"/>
          <w:szCs w:val="28"/>
          <w:rtl/>
        </w:rPr>
        <w:t>):</w:t>
      </w:r>
    </w:p>
    <w:p w:rsidR="00BB18E2" w:rsidRPr="00E87924" w:rsidRDefault="00BB18E2" w:rsidP="00E87924">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وقد راعت الدراسة في اختيار عينتها مبدأ التمثيل الطبقي (Stratified Sampling) بما يضمن تمثيل المستويات الوظيفية الثلاثة (إدارية، إشرافية، تنفيذية) والمناطق الجغرافية الثلاث الرئيسة. ويُعزز هذا التنوع في التمثيل مصداقية النتائج ويجعلها أكثر قابليةً للتعميم على مجتمع الدراسة الكلي. كما اشتُرط في المشاركين الحصول على خبرة لا تقل عن سنتين في إدارة المشاريع أو العمل في وحدات التطوير والجودة، ضماناً للحصول على استجابات مبنية على تجربة ميدان</w:t>
      </w:r>
      <w:r w:rsidR="00E87924">
        <w:rPr>
          <w:rFonts w:ascii="Simplified Arabic" w:hAnsi="Simplified Arabic" w:cs="Simplified Arabic"/>
          <w:sz w:val="28"/>
          <w:szCs w:val="28"/>
          <w:rtl/>
        </w:rPr>
        <w:t>ية حقيقية لا مجرد تصورات نظرية.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وبالنسبة لمقياس ليكرت الخماسي المعتمد في الاستبانة، فهو الأكثر استخداماً في قياس الاتجاهات والآراء في بحوث العلوم الاجتماعية، ويتميز بخاصيتين جوهريتين: أولاهما سهولة الفهم والاستجابة من قبل المشاركين، وثانيتهما إتاحته قدراً من التدرج الكمي يُمكّن من إجراء التحليلات الإحصائية البارامترية كتحليل الانحدار واختبار ANOVA. وقد ثبت في الدراسات المنهجية (de Bakker et al., 2010) أن المقاييس الخماسية والسباعية تُنتج توزيعات طبيعية مقبولة في العينات التي تزيد على (50) مشاركاً، وهو شرط تستوفيه عينة الدراسة الحالية البالغة (80) مشاركاً.</w:t>
      </w:r>
    </w:p>
    <w:p w:rsidR="00E87924" w:rsidRDefault="00E87924">
      <w:pPr>
        <w:spacing w:after="100" w:line="360" w:lineRule="auto"/>
        <w:ind w:firstLine="283"/>
        <w:rPr>
          <w:rFonts w:ascii="Simplified Arabic" w:hAnsi="Simplified Arabic" w:cs="Simplified Arabic"/>
          <w:sz w:val="28"/>
          <w:szCs w:val="28"/>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قُيس ثبات الاستبانة باستخدام معامل ألفا كرونباخ، وكانت النتائج كما يلي:</w:t>
      </w:r>
    </w:p>
    <w:p w:rsidR="00BB18E2" w:rsidRDefault="00BB18E2">
      <w:pPr>
        <w:spacing w:after="100" w:line="360" w:lineRule="auto"/>
        <w:ind w:firstLine="283"/>
        <w:rPr>
          <w:rtl/>
        </w:rPr>
      </w:pPr>
    </w:p>
    <w:p w:rsidR="00BB18E2" w:rsidRDefault="00913ACB"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4</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00BB18E2">
        <w:rPr>
          <w:rFonts w:ascii="Simplified Arabic" w:hAnsi="Simplified Arabic" w:cs="Simplified Arabic"/>
          <w:b/>
          <w:bCs/>
          <w:sz w:val="28"/>
          <w:szCs w:val="28"/>
          <w:rtl/>
        </w:rPr>
        <w:t xml:space="preserve">معامل </w:t>
      </w:r>
      <w:proofErr w:type="spellStart"/>
      <w:r w:rsidR="00BB18E2">
        <w:rPr>
          <w:rFonts w:ascii="Simplified Arabic" w:hAnsi="Simplified Arabic" w:cs="Simplified Arabic"/>
          <w:b/>
          <w:bCs/>
          <w:sz w:val="28"/>
          <w:szCs w:val="28"/>
          <w:rtl/>
        </w:rPr>
        <w:t>Alpha</w:t>
      </w:r>
      <w:proofErr w:type="spellEnd"/>
      <w:r w:rsidR="00BB18E2">
        <w:rPr>
          <w:rFonts w:ascii="Simplified Arabic" w:hAnsi="Simplified Arabic" w:cs="Simplified Arabic"/>
          <w:b/>
          <w:bCs/>
          <w:sz w:val="28"/>
          <w:szCs w:val="28"/>
          <w:rtl/>
        </w:rPr>
        <w:t xml:space="preserve"> </w:t>
      </w:r>
      <w:proofErr w:type="spellStart"/>
      <w:r w:rsidR="00BB18E2">
        <w:rPr>
          <w:rFonts w:ascii="Simplified Arabic" w:hAnsi="Simplified Arabic" w:cs="Simplified Arabic"/>
          <w:b/>
          <w:bCs/>
          <w:sz w:val="28"/>
          <w:szCs w:val="28"/>
          <w:rtl/>
        </w:rPr>
        <w:t>Cronbach</w:t>
      </w:r>
      <w:proofErr w:type="spellEnd"/>
      <w:r w:rsidR="00BB18E2">
        <w:rPr>
          <w:rFonts w:ascii="Simplified Arabic" w:hAnsi="Simplified Arabic" w:cs="Simplified Arabic"/>
          <w:b/>
          <w:bCs/>
          <w:sz w:val="28"/>
          <w:szCs w:val="28"/>
          <w:rtl/>
        </w:rPr>
        <w:t xml:space="preserve"> لمتغيرات الاستبانة وفقراتها</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0"/>
        <w:gridCol w:w="1600"/>
        <w:gridCol w:w="2400"/>
        <w:gridCol w:w="2200"/>
      </w:tblGrid>
      <w:tr w:rsidR="004E6020">
        <w:trPr>
          <w:tblHeader/>
        </w:trPr>
        <w:tc>
          <w:tcPr>
            <w:tcW w:w="28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المحور</w:t>
            </w:r>
          </w:p>
        </w:tc>
        <w:tc>
          <w:tcPr>
            <w:tcW w:w="16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عدد الفقرات</w:t>
            </w:r>
          </w:p>
        </w:tc>
        <w:tc>
          <w:tcPr>
            <w:tcW w:w="24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معامل ألفا كرونباخ</w:t>
            </w:r>
          </w:p>
        </w:tc>
        <w:tc>
          <w:tcPr>
            <w:tcW w:w="2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مستوى الثبات</w:t>
            </w:r>
          </w:p>
        </w:tc>
      </w:tr>
      <w:tr w:rsidR="004E6020">
        <w:tc>
          <w:tcPr>
            <w:tcW w:w="28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24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0.84</w:t>
            </w:r>
          </w:p>
        </w:tc>
        <w:tc>
          <w:tcPr>
            <w:tcW w:w="2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28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تحليل المخاطر وتقييمها</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24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0.87</w:t>
            </w:r>
          </w:p>
        </w:tc>
        <w:tc>
          <w:tcPr>
            <w:tcW w:w="2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 جداً</w:t>
            </w:r>
          </w:p>
        </w:tc>
      </w:tr>
      <w:tr w:rsidR="004E6020">
        <w:tc>
          <w:tcPr>
            <w:tcW w:w="28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الاستجابة للمخاطر</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24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0.82</w:t>
            </w:r>
          </w:p>
        </w:tc>
        <w:tc>
          <w:tcPr>
            <w:tcW w:w="2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28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متابعة المخاطر ومراجعتها</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24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0.86</w:t>
            </w:r>
          </w:p>
        </w:tc>
        <w:tc>
          <w:tcPr>
            <w:tcW w:w="2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 جداً</w:t>
            </w:r>
          </w:p>
        </w:tc>
      </w:tr>
      <w:tr w:rsidR="004E6020">
        <w:tc>
          <w:tcPr>
            <w:tcW w:w="28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نجاح المشروع</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24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0.89</w:t>
            </w:r>
          </w:p>
        </w:tc>
        <w:tc>
          <w:tcPr>
            <w:tcW w:w="2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 جداً</w:t>
            </w:r>
          </w:p>
        </w:tc>
      </w:tr>
      <w:tr w:rsidR="004E6020">
        <w:tc>
          <w:tcPr>
            <w:tcW w:w="28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الاستبانة الكلية</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28</w:t>
            </w:r>
          </w:p>
        </w:tc>
        <w:tc>
          <w:tcPr>
            <w:tcW w:w="24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0.91</w:t>
            </w:r>
          </w:p>
        </w:tc>
        <w:tc>
          <w:tcPr>
            <w:tcW w:w="2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 جداً</w:t>
            </w:r>
          </w:p>
        </w:tc>
      </w:tr>
    </w:tbl>
    <w:p w:rsidR="00BB18E2" w:rsidRDefault="00BB18E2">
      <w:pPr>
        <w:spacing w:after="100" w:line="360" w:lineRule="auto"/>
        <w:ind w:firstLine="283"/>
        <w:rPr>
          <w:rtl/>
        </w:rPr>
      </w:pPr>
    </w:p>
    <w:p w:rsidR="00BB18E2" w:rsidRPr="00E87924" w:rsidRDefault="00BB18E2" w:rsidP="00E87924">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تُشير هذه النتائج إلى أن الاستبانة تتمتع بمستوى ثبات مرتفع جداً يُعزز الوثوقية بنتائجها ويُبرر استخدامها كأداة قياس موثو</w:t>
      </w:r>
      <w:r w:rsidR="00E87924">
        <w:rPr>
          <w:rFonts w:ascii="Simplified Arabic" w:hAnsi="Simplified Arabic" w:cs="Simplified Arabic"/>
          <w:sz w:val="28"/>
          <w:szCs w:val="28"/>
          <w:rtl/>
        </w:rPr>
        <w:t>قة في هذه الدراسة.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3.8 أساليب تحليل البيانات:</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بعد جمع البيانات من العينة، تم إدخالها إلى برنامج SPSS (الإصدار 26)، وشملت الأساليب الإحصائية: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التحليل الوصفي: حساب التكرارات والنسب المئوية والمتوسطات والانحرافات المعيارية لتوصيف خصائص العينة.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اختبار كولموجوروف-سميرنوف: للتحقق من اعتدالية توزيع البيانات قبل إجراء الاختبارات البارامترية.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معامل ارتباط بيرسون: لقياس قوة واتجاه العلاقة بين إدارة المخاطر ونجاح المشاريع.</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تحليل الانحدار الخطي المتعدد: لقياس أثر أبعاد إدارة المخاطر على نجاح المشاريع وتحديد البُعد الأكثر تأثيراً.</w:t>
      </w:r>
    </w:p>
    <w:p w:rsidR="00BB18E2" w:rsidRPr="00E87924" w:rsidRDefault="00BB18E2" w:rsidP="00E87924">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اختبار ANOVA: لقياس الفروق بين آراء المستجيبين حسب المسمى الوظيفي وسنوات الخبرة والمنطقة الإدارية.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جدول تفسير المتوسطات الحسابية:</w:t>
      </w: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sidR="00913ACB">
        <w:rPr>
          <w:rFonts w:ascii="Simplified Arabic" w:hAnsi="Simplified Arabic" w:cs="Simplified Arabic" w:hint="cs"/>
          <w:b/>
          <w:bCs/>
          <w:sz w:val="28"/>
          <w:szCs w:val="28"/>
          <w:rtl/>
        </w:rPr>
        <w:t>5</w:t>
      </w:r>
      <w:r>
        <w:rPr>
          <w:rFonts w:ascii="Simplified Arabic" w:hAnsi="Simplified Arabic" w:cs="Simplified Arabic"/>
          <w:b/>
          <w:bCs/>
          <w:sz w:val="28"/>
          <w:szCs w:val="28"/>
          <w:rtl/>
        </w:rPr>
        <w:t>): مقياس تفسير المتوسطات الحسابية</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0"/>
        <w:gridCol w:w="4500"/>
      </w:tblGrid>
      <w:tr w:rsidR="004E6020">
        <w:trPr>
          <w:tblHeader/>
        </w:trPr>
        <w:tc>
          <w:tcPr>
            <w:tcW w:w="4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المتوسط الحسابي</w:t>
            </w:r>
          </w:p>
        </w:tc>
        <w:tc>
          <w:tcPr>
            <w:tcW w:w="4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مستوى الموافقة / الممارسة</w:t>
            </w:r>
          </w:p>
        </w:tc>
      </w:tr>
      <w:tr w:rsidR="004E6020">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1.00 – 1.79</w:t>
            </w:r>
          </w:p>
        </w:tc>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ضعيف جداً</w:t>
            </w:r>
          </w:p>
        </w:tc>
      </w:tr>
      <w:tr w:rsidR="004E6020">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1.80 – 2.59</w:t>
            </w:r>
          </w:p>
        </w:tc>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ضعيف</w:t>
            </w:r>
          </w:p>
        </w:tc>
      </w:tr>
      <w:tr w:rsidR="004E6020">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2.60 – 3.39</w:t>
            </w:r>
          </w:p>
        </w:tc>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متوسط</w:t>
            </w:r>
          </w:p>
        </w:tc>
      </w:tr>
      <w:tr w:rsidR="004E6020">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3.40 – 4.19</w:t>
            </w:r>
          </w:p>
        </w:tc>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4.20 – 5.00</w:t>
            </w:r>
          </w:p>
        </w:tc>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 جداً</w:t>
            </w:r>
          </w:p>
        </w:tc>
      </w:tr>
    </w:tbl>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3.9 الاعتبارات الأخلاقية: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تلتزم الدراسة بالمبادئ الأخلاقية للبحث العلمي، ومنها: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الحفاظ على سرية المعلومات وعدم الإفصاح عن هوية المشاركين في أي صورة من الصور.</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جمع البيانات لأغراض البحث العلمي فقط وعدم توظيفها في أي غرض آخر.</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الإشارة الدقيقة والأمينة إلى جميع المصادر والمراجع العلمية الموظّفة في البحث.</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الحصول على موافقة المشاركين المسبقة وإطلاعهم على أهداف الدراسة وطبيعة الاستبانة.</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3.10 حدود الاستخدام والتعميم:</w:t>
      </w:r>
    </w:p>
    <w:p w:rsidR="00BB18E2" w:rsidRPr="00E87924" w:rsidRDefault="00BB18E2" w:rsidP="00E87924">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تقتصر نتائج الدراسة على مجتمع قطاع الخدمات العدلية في المملكة، وبالتالي فإن إمكانية تعميم النتائج على قطاعات أخرى يجب أن تتم بحذر. إلا أن الإطار المنهجي المقترح يمكن الاستفادة منه كنموذج عام لتطوير سياسات إدارة المخاطر في المؤسسات</w:t>
      </w:r>
      <w:r w:rsidR="00E87924">
        <w:rPr>
          <w:rFonts w:ascii="Simplified Arabic" w:hAnsi="Simplified Arabic" w:cs="Simplified Arabic"/>
          <w:sz w:val="28"/>
          <w:szCs w:val="28"/>
          <w:rtl/>
        </w:rPr>
        <w:t xml:space="preserve"> الحكومية ذات الطبيعة المماثلة.</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3.11 الدراسة الاستطلاعية الأولية (Pilot Study):</w:t>
      </w:r>
    </w:p>
    <w:p w:rsidR="00BB18E2" w:rsidRPr="00E87924" w:rsidRDefault="00BB18E2" w:rsidP="00E87924">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قبل توزيع الاستبانة على العينة الكاملة، أُجريت دراسة استطلاعية أولية على عينة مؤلفة من (20) موظفاً من خارج عينة الدراسة الرئيسة، وذلك بهدف: (1) التحقق من وضوح الفقرات وسلامة صياغتها اللغوية، (2) قياس الوقت المستغرق في الإجابة للتأكد من مناسبته، (3) الكشف عن أي تداخل أو غموض في مفاهيم الفقرات، (4) الحصول على مؤشر أولي لمعامل الثبات قبل التطبيق الرسمي. أسفرت الدراسة الاستطلاعية عن معامل ألفا كرونباخ أولي بلغ (0.88)، مما أكد قبول الأداة وصلاحيتها. وأُجريت تعديلات لغوية طفيفة على ثلاث فقرات بناءً على ملاحظات المشاركين الاستطلا</w:t>
      </w:r>
      <w:r w:rsidR="00E87924">
        <w:rPr>
          <w:rFonts w:ascii="Simplified Arabic" w:hAnsi="Simplified Arabic" w:cs="Simplified Arabic"/>
          <w:sz w:val="28"/>
          <w:szCs w:val="28"/>
          <w:rtl/>
        </w:rPr>
        <w:t>عيين قبل توزيع النسخة النهائية.</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3.12 التحليل العاملي التوكيدي (CFA):</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للتحقق من البنية العاملية للاستبانة وتأكيد أن الفقرات تنتمي فعلاً إلى أبعادها المصمَّمة، أُجري التحليل العاملي التوكيدي (Confirmatory Factor Analysis – CFA) باستخدام برنامج AMOS. ويختلف CFA عن التحليل العاملي الاستكشافي في أنه يختبر نموذجاً محدداً مسبقاً بدلاً من استكشاف الأبعاد بحرية، مما يمنحه قدرةً تحققيةً أعلى. وقد أسفرت النتائج عن مؤشرات ملاءمة ممتازة:</w:t>
      </w:r>
    </w:p>
    <w:p w:rsidR="00BB18E2" w:rsidRDefault="00BB18E2">
      <w:pPr>
        <w:spacing w:after="100" w:line="360" w:lineRule="auto"/>
        <w:ind w:firstLine="283"/>
      </w:pPr>
    </w:p>
    <w:p w:rsidR="00E87924" w:rsidRDefault="00E87924" w:rsidP="00E87924">
      <w:pPr>
        <w:spacing w:before="160" w:after="100" w:line="360" w:lineRule="auto"/>
        <w:ind w:firstLine="283"/>
        <w:rPr>
          <w:rFonts w:ascii="Simplified Arabic" w:hAnsi="Simplified Arabic" w:cs="Simplified Arabic"/>
          <w:b/>
          <w:bCs/>
          <w:sz w:val="28"/>
          <w:szCs w:val="28"/>
          <w:rtl/>
        </w:rPr>
      </w:pPr>
    </w:p>
    <w:p w:rsidR="00E87924" w:rsidRDefault="00E87924" w:rsidP="00E87924">
      <w:pPr>
        <w:spacing w:before="160" w:after="100" w:line="360" w:lineRule="auto"/>
        <w:ind w:firstLine="283"/>
        <w:rPr>
          <w:rFonts w:ascii="Simplified Arabic" w:hAnsi="Simplified Arabic" w:cs="Simplified Arabic"/>
          <w:b/>
          <w:bCs/>
          <w:sz w:val="28"/>
          <w:szCs w:val="28"/>
          <w:rtl/>
        </w:rPr>
      </w:pPr>
    </w:p>
    <w:p w:rsidR="00BB18E2" w:rsidRDefault="00913ACB" w:rsidP="00913ACB">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6</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مؤشرات ملاءمة نموذج التحليل العاملي التوكيدي</w:t>
      </w:r>
    </w:p>
    <w:tbl>
      <w:tblPr>
        <w:bidiVisual/>
        <w:tblW w:w="9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7"/>
        <w:gridCol w:w="1111"/>
        <w:gridCol w:w="2012"/>
        <w:gridCol w:w="2004"/>
        <w:gridCol w:w="1121"/>
      </w:tblGrid>
      <w:tr w:rsidR="004E6020" w:rsidTr="00E87924">
        <w:trPr>
          <w:trHeight w:val="675"/>
          <w:tblHeader/>
        </w:trPr>
        <w:tc>
          <w:tcPr>
            <w:tcW w:w="2877"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مؤشر الملاءمة</w:t>
            </w:r>
          </w:p>
        </w:tc>
        <w:tc>
          <w:tcPr>
            <w:tcW w:w="1111"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الرمز</w:t>
            </w:r>
          </w:p>
        </w:tc>
        <w:tc>
          <w:tcPr>
            <w:tcW w:w="2012"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القيمة المُستخرجة</w:t>
            </w:r>
          </w:p>
        </w:tc>
        <w:tc>
          <w:tcPr>
            <w:tcW w:w="2004"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القيمة المرجعية</w:t>
            </w:r>
          </w:p>
        </w:tc>
        <w:tc>
          <w:tcPr>
            <w:tcW w:w="1121"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الحكم</w:t>
            </w:r>
          </w:p>
        </w:tc>
      </w:tr>
      <w:tr w:rsidR="004E6020" w:rsidTr="00E87924">
        <w:trPr>
          <w:trHeight w:val="680"/>
        </w:trPr>
        <w:tc>
          <w:tcPr>
            <w:tcW w:w="2877"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نسبة كاي تربيع إلى درجات الحرية</w:t>
            </w:r>
          </w:p>
        </w:tc>
        <w:tc>
          <w:tcPr>
            <w:tcW w:w="1111"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χ²/df</w:t>
            </w:r>
          </w:p>
        </w:tc>
        <w:tc>
          <w:tcPr>
            <w:tcW w:w="2012"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2.14</w:t>
            </w:r>
          </w:p>
        </w:tc>
        <w:tc>
          <w:tcPr>
            <w:tcW w:w="2004"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&lt; 3.0</w:t>
            </w:r>
          </w:p>
        </w:tc>
        <w:tc>
          <w:tcPr>
            <w:tcW w:w="1121"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مقبول ✓</w:t>
            </w:r>
          </w:p>
        </w:tc>
      </w:tr>
      <w:tr w:rsidR="004E6020" w:rsidTr="00E87924">
        <w:trPr>
          <w:trHeight w:val="680"/>
        </w:trPr>
        <w:tc>
          <w:tcPr>
            <w:tcW w:w="2877"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مؤشر الملاءمة المقارن</w:t>
            </w:r>
          </w:p>
        </w:tc>
        <w:tc>
          <w:tcPr>
            <w:tcW w:w="1111"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CFI</w:t>
            </w:r>
          </w:p>
        </w:tc>
        <w:tc>
          <w:tcPr>
            <w:tcW w:w="2012"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0.953</w:t>
            </w:r>
          </w:p>
        </w:tc>
        <w:tc>
          <w:tcPr>
            <w:tcW w:w="2004"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&gt; 0.90</w:t>
            </w:r>
          </w:p>
        </w:tc>
        <w:tc>
          <w:tcPr>
            <w:tcW w:w="1121"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ممتاز ✓</w:t>
            </w:r>
          </w:p>
        </w:tc>
      </w:tr>
      <w:tr w:rsidR="004E6020" w:rsidTr="00E87924">
        <w:trPr>
          <w:trHeight w:val="680"/>
        </w:trPr>
        <w:tc>
          <w:tcPr>
            <w:tcW w:w="2877"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مؤشر الملاءمة المطلق</w:t>
            </w:r>
          </w:p>
        </w:tc>
        <w:tc>
          <w:tcPr>
            <w:tcW w:w="1111"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GFI</w:t>
            </w:r>
          </w:p>
        </w:tc>
        <w:tc>
          <w:tcPr>
            <w:tcW w:w="2012"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0.921</w:t>
            </w:r>
          </w:p>
        </w:tc>
        <w:tc>
          <w:tcPr>
            <w:tcW w:w="2004"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&gt; 0.90</w:t>
            </w:r>
          </w:p>
        </w:tc>
        <w:tc>
          <w:tcPr>
            <w:tcW w:w="1121"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ممتاز ✓</w:t>
            </w:r>
          </w:p>
        </w:tc>
      </w:tr>
      <w:tr w:rsidR="004E6020" w:rsidTr="00E87924">
        <w:trPr>
          <w:trHeight w:val="680"/>
        </w:trPr>
        <w:tc>
          <w:tcPr>
            <w:tcW w:w="2877"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مؤشر الملاءمة التدريجي</w:t>
            </w:r>
          </w:p>
        </w:tc>
        <w:tc>
          <w:tcPr>
            <w:tcW w:w="1111"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IFI</w:t>
            </w:r>
          </w:p>
        </w:tc>
        <w:tc>
          <w:tcPr>
            <w:tcW w:w="2012"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0.948</w:t>
            </w:r>
          </w:p>
        </w:tc>
        <w:tc>
          <w:tcPr>
            <w:tcW w:w="2004"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&gt; 0.90</w:t>
            </w:r>
          </w:p>
        </w:tc>
        <w:tc>
          <w:tcPr>
            <w:tcW w:w="1121"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ممتاز ✓</w:t>
            </w:r>
          </w:p>
        </w:tc>
      </w:tr>
      <w:tr w:rsidR="004E6020" w:rsidTr="00E87924">
        <w:trPr>
          <w:trHeight w:val="680"/>
        </w:trPr>
        <w:tc>
          <w:tcPr>
            <w:tcW w:w="2877"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جذر متوسط مربعات الخطأ التقريبي</w:t>
            </w:r>
          </w:p>
        </w:tc>
        <w:tc>
          <w:tcPr>
            <w:tcW w:w="1111"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RMSEA</w:t>
            </w:r>
          </w:p>
        </w:tc>
        <w:tc>
          <w:tcPr>
            <w:tcW w:w="2012"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0.067</w:t>
            </w:r>
          </w:p>
        </w:tc>
        <w:tc>
          <w:tcPr>
            <w:tcW w:w="2004"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&lt; 0.08</w:t>
            </w:r>
          </w:p>
        </w:tc>
        <w:tc>
          <w:tcPr>
            <w:tcW w:w="1121"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مقبول ✓</w:t>
            </w:r>
          </w:p>
        </w:tc>
      </w:tr>
    </w:tbl>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تُشير هذه المؤشرات مجتمعةً إلى أن البنية العاملية الخماسية للاستبانة تتناسب تناسباً جيداً مع البيانات، وأن توزيع الفقرات الثماني والعشرين على أبعادها الخمسة سليم ومبرَّر علمياً. ويعزز ذلك صدق البنية (Construct Validity) ويمنح الدراسة مصداقيةً قياسيةً إضافية.</w:t>
      </w:r>
    </w:p>
    <w:p w:rsidR="00BB18E2" w:rsidRDefault="00BB18E2">
      <w:pPr>
        <w:spacing w:after="100" w:line="360" w:lineRule="auto"/>
        <w:ind w:firstLine="283"/>
      </w:pP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3.13 الصدق التقاربي والتمييزي: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لاستكمال التحقق من جودة القياس، قُيس نوعان إضافيان من الصدق:</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الصدق التقاربي (Convergent Validity): يُقيس مدى قياس الفقرات المنتمية إلى بُعد واحد للمفهوم ذاته فعلاً، ويُعبَّر عنه بمتوسط التباين المستخرج (AVE). ويُقبَل إذا تجاوز (0.50).</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الصدق التمييزي (Discriminant Validity): يُقيس مدى تمايز الأبعاد عن بعضها وعدم تداخلها، ويُعبَّر عنه بمقارنة الجذر التربيعي للـ AVE بمعاملات الارتباط بين الأبعاد.</w:t>
      </w:r>
    </w:p>
    <w:p w:rsidR="00BB18E2" w:rsidRDefault="00BB18E2">
      <w:pPr>
        <w:spacing w:after="100" w:line="360" w:lineRule="auto"/>
        <w:ind w:firstLine="283"/>
        <w:rPr>
          <w:rtl/>
        </w:rPr>
      </w:pPr>
    </w:p>
    <w:p w:rsidR="00E87924" w:rsidRDefault="00E87924">
      <w:pPr>
        <w:spacing w:after="100" w:line="360" w:lineRule="auto"/>
        <w:ind w:firstLine="283"/>
      </w:pPr>
    </w:p>
    <w:p w:rsidR="00BB18E2" w:rsidRDefault="00913ACB" w:rsidP="00E87924">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7</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xml:space="preserve">: مؤشرات الصدق </w:t>
      </w:r>
      <w:proofErr w:type="spellStart"/>
      <w:r w:rsidR="00BB18E2">
        <w:rPr>
          <w:rFonts w:ascii="Simplified Arabic" w:hAnsi="Simplified Arabic" w:cs="Simplified Arabic"/>
          <w:b/>
          <w:bCs/>
          <w:sz w:val="28"/>
          <w:szCs w:val="28"/>
          <w:rtl/>
        </w:rPr>
        <w:t>التقاربي</w:t>
      </w:r>
      <w:proofErr w:type="spellEnd"/>
      <w:r w:rsidR="00BB18E2">
        <w:rPr>
          <w:rFonts w:ascii="Simplified Arabic" w:hAnsi="Simplified Arabic" w:cs="Simplified Arabic"/>
          <w:b/>
          <w:bCs/>
          <w:sz w:val="28"/>
          <w:szCs w:val="28"/>
          <w:rtl/>
        </w:rPr>
        <w:t xml:space="preserve"> والموثوقية المركّبة</w:t>
      </w:r>
    </w:p>
    <w:tbl>
      <w:tblPr>
        <w:bidiVisual/>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3"/>
        <w:gridCol w:w="1115"/>
        <w:gridCol w:w="1338"/>
        <w:gridCol w:w="1338"/>
        <w:gridCol w:w="2295"/>
      </w:tblGrid>
      <w:tr w:rsidR="004E6020" w:rsidTr="00E87924">
        <w:trPr>
          <w:trHeight w:val="794"/>
          <w:tblHeader/>
        </w:trPr>
        <w:tc>
          <w:tcPr>
            <w:tcW w:w="3123"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المتغير</w:t>
            </w:r>
          </w:p>
        </w:tc>
        <w:tc>
          <w:tcPr>
            <w:tcW w:w="1115"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عدد الفقرات</w:t>
            </w:r>
          </w:p>
        </w:tc>
        <w:tc>
          <w:tcPr>
            <w:tcW w:w="1338"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AVE</w:t>
            </w:r>
          </w:p>
        </w:tc>
        <w:tc>
          <w:tcPr>
            <w:tcW w:w="1338"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CR</w:t>
            </w:r>
          </w:p>
        </w:tc>
        <w:tc>
          <w:tcPr>
            <w:tcW w:w="2295"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الحكم</w:t>
            </w:r>
          </w:p>
        </w:tc>
      </w:tr>
      <w:tr w:rsidR="004E6020" w:rsidTr="00E87924">
        <w:trPr>
          <w:trHeight w:val="794"/>
        </w:trPr>
        <w:tc>
          <w:tcPr>
            <w:tcW w:w="312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1115"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6</w:t>
            </w:r>
          </w:p>
        </w:tc>
        <w:tc>
          <w:tcPr>
            <w:tcW w:w="1338"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0.621</w:t>
            </w:r>
          </w:p>
        </w:tc>
        <w:tc>
          <w:tcPr>
            <w:tcW w:w="1338"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0.891</w:t>
            </w:r>
          </w:p>
        </w:tc>
        <w:tc>
          <w:tcPr>
            <w:tcW w:w="2295"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صادق ✓</w:t>
            </w:r>
          </w:p>
        </w:tc>
      </w:tr>
      <w:tr w:rsidR="004E6020" w:rsidTr="00E87924">
        <w:trPr>
          <w:trHeight w:val="794"/>
        </w:trPr>
        <w:tc>
          <w:tcPr>
            <w:tcW w:w="3123"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تحليل المخاطر وتقييمها</w:t>
            </w:r>
          </w:p>
        </w:tc>
        <w:tc>
          <w:tcPr>
            <w:tcW w:w="1115"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6</w:t>
            </w:r>
          </w:p>
        </w:tc>
        <w:tc>
          <w:tcPr>
            <w:tcW w:w="1338"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0.648</w:t>
            </w:r>
          </w:p>
        </w:tc>
        <w:tc>
          <w:tcPr>
            <w:tcW w:w="1338"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0.903</w:t>
            </w:r>
          </w:p>
        </w:tc>
        <w:tc>
          <w:tcPr>
            <w:tcW w:w="2295"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صادق ✓</w:t>
            </w:r>
          </w:p>
        </w:tc>
      </w:tr>
      <w:tr w:rsidR="004E6020" w:rsidTr="00E87924">
        <w:trPr>
          <w:trHeight w:val="794"/>
        </w:trPr>
        <w:tc>
          <w:tcPr>
            <w:tcW w:w="312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الاستجابة للمخاطر</w:t>
            </w:r>
          </w:p>
        </w:tc>
        <w:tc>
          <w:tcPr>
            <w:tcW w:w="1115"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5</w:t>
            </w:r>
          </w:p>
        </w:tc>
        <w:tc>
          <w:tcPr>
            <w:tcW w:w="1338"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0.594</w:t>
            </w:r>
          </w:p>
        </w:tc>
        <w:tc>
          <w:tcPr>
            <w:tcW w:w="1338"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0.875</w:t>
            </w:r>
          </w:p>
        </w:tc>
        <w:tc>
          <w:tcPr>
            <w:tcW w:w="2295"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صادق ✓</w:t>
            </w:r>
          </w:p>
        </w:tc>
      </w:tr>
      <w:tr w:rsidR="004E6020" w:rsidTr="00E87924">
        <w:trPr>
          <w:trHeight w:val="794"/>
        </w:trPr>
        <w:tc>
          <w:tcPr>
            <w:tcW w:w="3123"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متابعة المخاطر ومراجعتها</w:t>
            </w:r>
          </w:p>
        </w:tc>
        <w:tc>
          <w:tcPr>
            <w:tcW w:w="1115"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5</w:t>
            </w:r>
          </w:p>
        </w:tc>
        <w:tc>
          <w:tcPr>
            <w:tcW w:w="1338"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0.638</w:t>
            </w:r>
          </w:p>
        </w:tc>
        <w:tc>
          <w:tcPr>
            <w:tcW w:w="1338"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0.895</w:t>
            </w:r>
          </w:p>
        </w:tc>
        <w:tc>
          <w:tcPr>
            <w:tcW w:w="2295"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صادق ✓</w:t>
            </w:r>
          </w:p>
        </w:tc>
      </w:tr>
      <w:tr w:rsidR="004E6020" w:rsidTr="00E87924">
        <w:trPr>
          <w:trHeight w:val="794"/>
        </w:trPr>
        <w:tc>
          <w:tcPr>
            <w:tcW w:w="312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نجاح المشروع</w:t>
            </w:r>
          </w:p>
        </w:tc>
        <w:tc>
          <w:tcPr>
            <w:tcW w:w="1115"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6</w:t>
            </w:r>
          </w:p>
        </w:tc>
        <w:tc>
          <w:tcPr>
            <w:tcW w:w="1338"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0.672</w:t>
            </w:r>
          </w:p>
        </w:tc>
        <w:tc>
          <w:tcPr>
            <w:tcW w:w="1338"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0.918</w:t>
            </w:r>
          </w:p>
        </w:tc>
        <w:tc>
          <w:tcPr>
            <w:tcW w:w="2295"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صادق ✓</w:t>
            </w:r>
          </w:p>
        </w:tc>
      </w:tr>
    </w:tbl>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تُثبت جميع القيم أن الأداة تتمتع بصدق تقاربي عالٍ (AVE &gt; 0.50 لجميع الأبعاد) وموثوقية مركّبة ممتازة (CR &gt; 0.70)، مما يُؤكد أن القياس يعكس المفاهيم المستهدفة بدقة ومصداقية.</w:t>
      </w:r>
    </w:p>
    <w:p w:rsidR="00BB18E2" w:rsidRDefault="00BB18E2">
      <w:pPr>
        <w:spacing w:after="100" w:line="360" w:lineRule="auto"/>
        <w:ind w:firstLine="283"/>
      </w:pP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3.14 اختبار التحيّز المنهجي المشترك (Common Method Bias):</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للتحقق من احتمالية أن يُجيب المشاركون بما يعتقدون أنه مرغوب اجتماعياً بدلاً من آرائهم الحقيقية، ما يُعرف بتحيّز طريقة القياس الواحدة، أُجري اختبار Harman أحادي العامل (Harman Single-Factor Test). تُستخرج في هذا الاختبار العوامل من جميع متغيرات الدراسة دفعةً واحدة، فإذا كان العامل الأول يُفسّر أكثر من 50% من التباين الكلي دلّ ذلك على وجود تحيّز منهجي. كشفت نتائج الاختبار أن العامل الأول يُفسّر (26.4%) فقط من إجمالي التباين، وهو رقم يقع دون الحد الأعلى المقبول، مما يؤكد غياب التحيّز المنهجي الجوهري في البيانات ويزيد من ثقة الباحث بصحة الاستجابات المجمّعة.</w:t>
      </w:r>
    </w:p>
    <w:p w:rsidR="00BB18E2" w:rsidRDefault="00BB18E2">
      <w:pPr>
        <w:spacing w:after="100" w:line="360" w:lineRule="auto"/>
        <w:ind w:firstLine="283"/>
      </w:pP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3.15 إجراءات جمع البيانات وتوزيع الاستبانة: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جرى توزيع الاستبانة بطريقتين متكاملتين: الأولى إلكترونية عبر نظام (Microsoft Forms) وأُرسلت روابطها إلى المستجيبين عبر بريد مؤسسي رسمي، والثانية ورقية مباشرة للمستجيبين في مقار عملهم لضمان تمثيل الفئات التي تُفضّل التفاعل المباشر. امتدت فترة التوزيع والاسترداد ثلاثة أشهر (أغسطس – أكتوبر 2025). وقد وُزّع إجمالي (95) استمارة لاسترداد (80) منها بعد استبعاد (15) استمارة ناقصة أو غير مكتملة. وتمثّل نسبة الاسترداد الفعلية (84.2%) نسبةً مقبولةً في أبحاث العلوم الاجتماعية التي تُصنّف ما فوق (70%) نسبةً جيدة.</w:t>
      </w:r>
    </w:p>
    <w:p w:rsidR="00BB18E2" w:rsidRDefault="00BB18E2">
      <w:pPr>
        <w:pageBreakBefore/>
        <w:spacing w:after="100" w:line="360" w:lineRule="auto"/>
        <w:ind w:firstLine="283"/>
        <w:rPr>
          <w:rtl/>
        </w:rPr>
      </w:pPr>
    </w:p>
    <w:p w:rsidR="00BB18E2" w:rsidRDefault="00BB18E2">
      <w:pPr>
        <w:jc w:val="center"/>
        <w:rPr>
          <w:rFonts w:ascii="Simplified Arabic" w:hAnsi="Simplified Arabic" w:cs="Simplified Arabic"/>
          <w:rtl/>
        </w:rPr>
      </w:pPr>
      <w:r>
        <w:rPr>
          <w:rFonts w:ascii="Simplified Arabic" w:hAnsi="Simplified Arabic" w:cs="Simplified Arabic"/>
          <w:b/>
          <w:bCs/>
          <w:sz w:val="40"/>
          <w:szCs w:val="40"/>
          <w:rtl/>
        </w:rPr>
        <w:t>الفصل الرابع: تحليل البيانات واختبار الفرضيات</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4.1 مقدمة: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يتناول هذا الفصل عرضاً تحليلياً للبيانات التي تم جمعها من خلال الاستبانة الميدانية، إذ يشمل التحليل الوصفي لخصائص عينة الدراسة، ونتائج اختبارات ثبات الأداة، ونتائج التوزيع الطبيعي، ثم نتائج اختبار الفرضيات باستخدام الأساليب الإحصائية المناسبة.</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4.2 التوزيع الطبيعي: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قبل الشروع في التحليل الإحصائي، تم التحقق من اعتدالية توزيع البيانات باستخدام اختبار كولموجوروف-سميرنوف (Kolmogorov-Smirnov). وقد أظهرت النتائج أن بيانات جميع المحاور تتوزع توزيعاً طبيعياً، مما يُجيز استخدام الاختبارات الإحصائية البارامترية.</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(8): اختبار Kolmogorov-Smirnov للتوزيع الطبيعي</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0"/>
        <w:gridCol w:w="1900"/>
        <w:gridCol w:w="1600"/>
        <w:gridCol w:w="2000"/>
        <w:gridCol w:w="1000"/>
      </w:tblGrid>
      <w:tr w:rsidR="004E6020">
        <w:trPr>
          <w:tblHeader/>
        </w:trPr>
        <w:tc>
          <w:tcPr>
            <w:tcW w:w="2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المتغير</w:t>
            </w:r>
          </w:p>
        </w:tc>
        <w:tc>
          <w:tcPr>
            <w:tcW w:w="19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إحصائي الاختبار</w:t>
            </w:r>
          </w:p>
        </w:tc>
        <w:tc>
          <w:tcPr>
            <w:tcW w:w="16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درجات الحرية</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مستوى الدلالة</w:t>
            </w:r>
          </w:p>
        </w:tc>
        <w:tc>
          <w:tcPr>
            <w:tcW w:w="1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التوزيع</w:t>
            </w:r>
          </w:p>
        </w:tc>
      </w:tr>
      <w:tr w:rsidR="004E6020">
        <w:tc>
          <w:tcPr>
            <w:tcW w:w="2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1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0.087</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0.200</w:t>
            </w:r>
          </w:p>
        </w:tc>
        <w:tc>
          <w:tcPr>
            <w:tcW w:w="1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طبيعي ✓</w:t>
            </w:r>
          </w:p>
        </w:tc>
      </w:tr>
      <w:tr w:rsidR="004E6020">
        <w:tc>
          <w:tcPr>
            <w:tcW w:w="2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تحليل المخاطر</w:t>
            </w:r>
          </w:p>
        </w:tc>
        <w:tc>
          <w:tcPr>
            <w:tcW w:w="1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0.093</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0.082</w:t>
            </w:r>
          </w:p>
        </w:tc>
        <w:tc>
          <w:tcPr>
            <w:tcW w:w="1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طبيعي ✓</w:t>
            </w:r>
          </w:p>
        </w:tc>
      </w:tr>
      <w:tr w:rsidR="004E6020">
        <w:tc>
          <w:tcPr>
            <w:tcW w:w="2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الاستجابة للمخاطر</w:t>
            </w:r>
          </w:p>
        </w:tc>
        <w:tc>
          <w:tcPr>
            <w:tcW w:w="1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0.081</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0.200</w:t>
            </w:r>
          </w:p>
        </w:tc>
        <w:tc>
          <w:tcPr>
            <w:tcW w:w="1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طبيعي ✓</w:t>
            </w:r>
          </w:p>
        </w:tc>
      </w:tr>
      <w:tr w:rsidR="004E6020">
        <w:tc>
          <w:tcPr>
            <w:tcW w:w="2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متابعة المخاطر</w:t>
            </w:r>
          </w:p>
        </w:tc>
        <w:tc>
          <w:tcPr>
            <w:tcW w:w="1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0.096</w:t>
            </w:r>
          </w:p>
        </w:tc>
        <w:tc>
          <w:tcPr>
            <w:tcW w:w="1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0.062</w:t>
            </w:r>
          </w:p>
        </w:tc>
        <w:tc>
          <w:tcPr>
            <w:tcW w:w="1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طبيعي ✓</w:t>
            </w:r>
          </w:p>
        </w:tc>
      </w:tr>
      <w:tr w:rsidR="004E6020">
        <w:tc>
          <w:tcPr>
            <w:tcW w:w="2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نجاح المشروع</w:t>
            </w:r>
          </w:p>
        </w:tc>
        <w:tc>
          <w:tcPr>
            <w:tcW w:w="1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0.079</w:t>
            </w:r>
          </w:p>
        </w:tc>
        <w:tc>
          <w:tcPr>
            <w:tcW w:w="1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0.200</w:t>
            </w:r>
          </w:p>
        </w:tc>
        <w:tc>
          <w:tcPr>
            <w:tcW w:w="1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طبيعي ✓</w:t>
            </w:r>
          </w:p>
        </w:tc>
      </w:tr>
    </w:tbl>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4.3 تحليل البيانات الوصفية:</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4.3.1 خصائص العينة: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توزّع أفراد عينة الدراسة (80 مستجيباً) وفق المتغيرات الديموغرافية على النحو الآتي:</w:t>
      </w:r>
    </w:p>
    <w:p w:rsidR="00BB18E2" w:rsidRDefault="00BB18E2">
      <w:pPr>
        <w:spacing w:after="100" w:line="360" w:lineRule="auto"/>
        <w:ind w:firstLine="283"/>
        <w:rPr>
          <w:rtl/>
        </w:rPr>
      </w:pPr>
    </w:p>
    <w:p w:rsidR="00BB18E2" w:rsidRDefault="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Pr>
          <w:rFonts w:ascii="Simplified Arabic" w:hAnsi="Simplified Arabic" w:cs="Simplified Arabic" w:hint="cs"/>
          <w:b/>
          <w:bCs/>
          <w:sz w:val="28"/>
          <w:szCs w:val="28"/>
          <w:rtl/>
        </w:rPr>
        <w:t>9</w:t>
      </w:r>
      <w:r w:rsidR="00BB18E2">
        <w:rPr>
          <w:rFonts w:ascii="Simplified Arabic" w:hAnsi="Simplified Arabic" w:cs="Simplified Arabic"/>
          <w:b/>
          <w:bCs/>
          <w:sz w:val="28"/>
          <w:szCs w:val="28"/>
          <w:rtl/>
        </w:rPr>
        <w:t>): العينة الخاضعة للتحليل – التوزيع حسب المسمى الوظيفي</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0"/>
        <w:gridCol w:w="2000"/>
        <w:gridCol w:w="2500"/>
      </w:tblGrid>
      <w:tr w:rsidR="004E6020" w:rsidTr="00E87924">
        <w:trPr>
          <w:trHeight w:val="794"/>
          <w:tblHeader/>
        </w:trPr>
        <w:tc>
          <w:tcPr>
            <w:tcW w:w="4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المسمى الوظيفي</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العدد</w:t>
            </w:r>
          </w:p>
        </w:tc>
        <w:tc>
          <w:tcPr>
            <w:tcW w:w="2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النسبة المئوية</w:t>
            </w:r>
          </w:p>
        </w:tc>
      </w:tr>
      <w:tr w:rsidR="004E6020" w:rsidTr="00E87924">
        <w:trPr>
          <w:trHeight w:val="794"/>
        </w:trPr>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مدير مشروع / رئيس وحدة</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20</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25.0%</w:t>
            </w:r>
          </w:p>
        </w:tc>
      </w:tr>
      <w:tr w:rsidR="004E6020" w:rsidTr="00E87924">
        <w:trPr>
          <w:trHeight w:val="794"/>
        </w:trPr>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مشرف قسم / مشرف وحدة</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w:t>
            </w:r>
          </w:p>
        </w:tc>
        <w:tc>
          <w:tcPr>
            <w:tcW w:w="2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31.25%</w:t>
            </w:r>
          </w:p>
        </w:tc>
      </w:tr>
      <w:tr w:rsidR="004E6020" w:rsidTr="00E87924">
        <w:trPr>
          <w:trHeight w:val="794"/>
        </w:trPr>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موظف فني / ميداني</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43.75%</w:t>
            </w:r>
          </w:p>
        </w:tc>
      </w:tr>
      <w:tr w:rsidR="004E6020" w:rsidTr="00E87924">
        <w:trPr>
          <w:trHeight w:val="794"/>
        </w:trPr>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الإجمالي</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100%</w:t>
            </w:r>
          </w:p>
        </w:tc>
      </w:tr>
    </w:tbl>
    <w:p w:rsidR="00BB18E2" w:rsidRDefault="00BB18E2">
      <w:pPr>
        <w:spacing w:after="100" w:line="360" w:lineRule="auto"/>
        <w:ind w:firstLine="283"/>
        <w:rPr>
          <w:rtl/>
        </w:rPr>
      </w:pPr>
    </w:p>
    <w:p w:rsidR="00BB18E2" w:rsidRDefault="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Pr>
          <w:rFonts w:ascii="Simplified Arabic" w:hAnsi="Simplified Arabic" w:cs="Simplified Arabic" w:hint="cs"/>
          <w:b/>
          <w:bCs/>
          <w:sz w:val="28"/>
          <w:szCs w:val="28"/>
          <w:rtl/>
        </w:rPr>
        <w:t>10</w:t>
      </w:r>
      <w:r w:rsidR="00BB18E2">
        <w:rPr>
          <w:rFonts w:ascii="Simplified Arabic" w:hAnsi="Simplified Arabic" w:cs="Simplified Arabic"/>
          <w:b/>
          <w:bCs/>
          <w:sz w:val="28"/>
          <w:szCs w:val="28"/>
          <w:rtl/>
        </w:rPr>
        <w:t>): خصائص العينة حسب الفئة العمرية</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0"/>
        <w:gridCol w:w="2000"/>
        <w:gridCol w:w="2500"/>
      </w:tblGrid>
      <w:tr w:rsidR="004E6020" w:rsidTr="00E87924">
        <w:trPr>
          <w:trHeight w:val="680"/>
          <w:tblHeader/>
        </w:trPr>
        <w:tc>
          <w:tcPr>
            <w:tcW w:w="4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الفئة العمرية</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العدد</w:t>
            </w:r>
          </w:p>
        </w:tc>
        <w:tc>
          <w:tcPr>
            <w:tcW w:w="2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النسبة المئوية</w:t>
            </w:r>
          </w:p>
        </w:tc>
      </w:tr>
      <w:tr w:rsidR="004E6020" w:rsidTr="00E87924">
        <w:trPr>
          <w:trHeight w:val="680"/>
        </w:trPr>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أقل من 30 سنة</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15</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18.75%</w:t>
            </w:r>
          </w:p>
        </w:tc>
      </w:tr>
      <w:tr w:rsidR="004E6020" w:rsidTr="00E87924">
        <w:trPr>
          <w:trHeight w:val="680"/>
        </w:trPr>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30 – 40 سنة</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32</w:t>
            </w:r>
          </w:p>
        </w:tc>
        <w:tc>
          <w:tcPr>
            <w:tcW w:w="2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40.0%</w:t>
            </w:r>
          </w:p>
        </w:tc>
      </w:tr>
      <w:tr w:rsidR="004E6020" w:rsidTr="00E87924">
        <w:trPr>
          <w:trHeight w:val="680"/>
        </w:trPr>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41 – 50 سنة</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31.25%</w:t>
            </w:r>
          </w:p>
        </w:tc>
      </w:tr>
      <w:tr w:rsidR="004E6020" w:rsidTr="00E87924">
        <w:trPr>
          <w:trHeight w:val="680"/>
        </w:trPr>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أكثر من 50 سنة</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w:t>
            </w:r>
          </w:p>
        </w:tc>
        <w:tc>
          <w:tcPr>
            <w:tcW w:w="2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10.0%</w:t>
            </w:r>
          </w:p>
        </w:tc>
      </w:tr>
      <w:tr w:rsidR="004E6020" w:rsidTr="00E87924">
        <w:trPr>
          <w:trHeight w:val="680"/>
        </w:trPr>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الإجمالي</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100%</w:t>
            </w:r>
          </w:p>
        </w:tc>
      </w:tr>
    </w:tbl>
    <w:p w:rsidR="00BB18E2" w:rsidRDefault="00BB18E2">
      <w:pPr>
        <w:spacing w:after="100" w:line="360" w:lineRule="auto"/>
        <w:ind w:firstLine="283"/>
        <w:rPr>
          <w:rtl/>
        </w:rPr>
      </w:pP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sidR="00913ACB">
        <w:rPr>
          <w:rFonts w:ascii="Simplified Arabic" w:hAnsi="Simplified Arabic" w:cs="Simplified Arabic" w:hint="cs"/>
          <w:b/>
          <w:bCs/>
          <w:sz w:val="28"/>
          <w:szCs w:val="28"/>
          <w:rtl/>
        </w:rPr>
        <w:t>11</w:t>
      </w:r>
      <w:r>
        <w:rPr>
          <w:rFonts w:ascii="Simplified Arabic" w:hAnsi="Simplified Arabic" w:cs="Simplified Arabic"/>
          <w:b/>
          <w:bCs/>
          <w:sz w:val="28"/>
          <w:szCs w:val="28"/>
          <w:rtl/>
        </w:rPr>
        <w:t>): خصائص العينة حسب سنوات الخبرة</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0"/>
        <w:gridCol w:w="2000"/>
        <w:gridCol w:w="2500"/>
      </w:tblGrid>
      <w:tr w:rsidR="004E6020">
        <w:trPr>
          <w:tblHeader/>
        </w:trPr>
        <w:tc>
          <w:tcPr>
            <w:tcW w:w="4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سنوات الخبرة</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العدد</w:t>
            </w:r>
          </w:p>
        </w:tc>
        <w:tc>
          <w:tcPr>
            <w:tcW w:w="2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النسبة المئوية</w:t>
            </w:r>
          </w:p>
        </w:tc>
      </w:tr>
      <w:tr w:rsidR="004E6020">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أقل من 5 سنوات</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18</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22.5%</w:t>
            </w:r>
          </w:p>
        </w:tc>
      </w:tr>
      <w:tr w:rsidR="004E6020">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من 5 إلى 10 سنوات</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w:t>
            </w:r>
          </w:p>
        </w:tc>
        <w:tc>
          <w:tcPr>
            <w:tcW w:w="2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43.75%</w:t>
            </w:r>
          </w:p>
        </w:tc>
      </w:tr>
      <w:tr w:rsidR="004E6020">
        <w:tc>
          <w:tcPr>
            <w:tcW w:w="45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أكثر من 10 سنوات</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27</w:t>
            </w:r>
          </w:p>
        </w:tc>
        <w:tc>
          <w:tcPr>
            <w:tcW w:w="2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33.75%</w:t>
            </w:r>
          </w:p>
        </w:tc>
      </w:tr>
      <w:tr w:rsidR="004E6020">
        <w:tc>
          <w:tcPr>
            <w:tcW w:w="45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الإجمالي</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80</w:t>
            </w:r>
          </w:p>
        </w:tc>
        <w:tc>
          <w:tcPr>
            <w:tcW w:w="2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100%</w:t>
            </w:r>
          </w:p>
        </w:tc>
      </w:tr>
    </w:tbl>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4.4 تحليل محاور إدارة المخاطر:</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4.4.1 تحليل محور تحديد المخاطر:</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يوضح الجدول الآتي المتوسطات الحسابية والانحرافات المعيارية لفقرات محور تحديد المخاطر:</w:t>
      </w:r>
    </w:p>
    <w:p w:rsidR="00BB18E2" w:rsidRDefault="00BB18E2">
      <w:pPr>
        <w:spacing w:after="100" w:line="360" w:lineRule="auto"/>
        <w:ind w:firstLine="283"/>
        <w:rPr>
          <w:rtl/>
        </w:rPr>
      </w:pP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sidR="00913ACB">
        <w:rPr>
          <w:rFonts w:ascii="Simplified Arabic" w:hAnsi="Simplified Arabic" w:cs="Simplified Arabic" w:hint="cs"/>
          <w:b/>
          <w:bCs/>
          <w:sz w:val="28"/>
          <w:szCs w:val="28"/>
          <w:rtl/>
        </w:rPr>
        <w:t>12</w:t>
      </w:r>
      <w:r>
        <w:rPr>
          <w:rFonts w:ascii="Simplified Arabic" w:hAnsi="Simplified Arabic" w:cs="Simplified Arabic"/>
          <w:b/>
          <w:bCs/>
          <w:sz w:val="28"/>
          <w:szCs w:val="28"/>
          <w:rtl/>
        </w:rPr>
        <w:t>): اختبار المتوسطات الحسابية والقيم الإحصائية لمخاطر الوثائق والمعلومات</w:t>
      </w:r>
    </w:p>
    <w:tbl>
      <w:tblPr>
        <w:bidiVisual/>
        <w:tblW w:w="8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
        <w:gridCol w:w="4621"/>
        <w:gridCol w:w="1039"/>
        <w:gridCol w:w="1039"/>
        <w:gridCol w:w="1386"/>
      </w:tblGrid>
      <w:tr w:rsidR="004E6020" w:rsidTr="0054157D">
        <w:trPr>
          <w:trHeight w:val="624"/>
          <w:tblHeader/>
        </w:trPr>
        <w:tc>
          <w:tcPr>
            <w:tcW w:w="577"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4621"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103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المتوسط</w:t>
            </w:r>
          </w:p>
        </w:tc>
        <w:tc>
          <w:tcPr>
            <w:tcW w:w="103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الانحراف</w:t>
            </w:r>
          </w:p>
        </w:tc>
        <w:tc>
          <w:tcPr>
            <w:tcW w:w="1386"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المستوى</w:t>
            </w:r>
          </w:p>
        </w:tc>
      </w:tr>
      <w:tr w:rsidR="004E6020" w:rsidTr="0054157D">
        <w:trPr>
          <w:trHeight w:val="613"/>
        </w:trPr>
        <w:tc>
          <w:tcPr>
            <w:tcW w:w="577"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w:t>
            </w:r>
          </w:p>
        </w:tc>
        <w:tc>
          <w:tcPr>
            <w:tcW w:w="4621"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تحدد الجهة المخاطر المحتملة قبل بدء المشروع</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4.12</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0.72</w:t>
            </w:r>
          </w:p>
        </w:tc>
        <w:tc>
          <w:tcPr>
            <w:tcW w:w="138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24"/>
        </w:trPr>
        <w:tc>
          <w:tcPr>
            <w:tcW w:w="577"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4621"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يُشرك أصحاب المصلحة في تحديد المخاطر</w:t>
            </w:r>
          </w:p>
        </w:tc>
        <w:tc>
          <w:tcPr>
            <w:tcW w:w="103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3.98</w:t>
            </w:r>
          </w:p>
        </w:tc>
        <w:tc>
          <w:tcPr>
            <w:tcW w:w="103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0.68</w:t>
            </w:r>
          </w:p>
        </w:tc>
        <w:tc>
          <w:tcPr>
            <w:tcW w:w="1386"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13"/>
        </w:trPr>
        <w:tc>
          <w:tcPr>
            <w:tcW w:w="577"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w:t>
            </w:r>
          </w:p>
        </w:tc>
        <w:tc>
          <w:tcPr>
            <w:tcW w:w="4621"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يُعدّ سجل مخاطر شامل لكل مشروع</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3.75</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0.81</w:t>
            </w:r>
          </w:p>
        </w:tc>
        <w:tc>
          <w:tcPr>
            <w:tcW w:w="138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13"/>
        </w:trPr>
        <w:tc>
          <w:tcPr>
            <w:tcW w:w="577"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4621"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تحديد المخاطر في جميع مراحل المشروع</w:t>
            </w:r>
          </w:p>
        </w:tc>
        <w:tc>
          <w:tcPr>
            <w:tcW w:w="103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4.05</w:t>
            </w:r>
          </w:p>
        </w:tc>
        <w:tc>
          <w:tcPr>
            <w:tcW w:w="103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0.74</w:t>
            </w:r>
          </w:p>
        </w:tc>
        <w:tc>
          <w:tcPr>
            <w:tcW w:w="1386"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24"/>
        </w:trPr>
        <w:tc>
          <w:tcPr>
            <w:tcW w:w="577"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621"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توجد أدوات موثّقة لتحديد المخاطر</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3.62</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0.88</w:t>
            </w:r>
          </w:p>
        </w:tc>
        <w:tc>
          <w:tcPr>
            <w:tcW w:w="138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13"/>
        </w:trPr>
        <w:tc>
          <w:tcPr>
            <w:tcW w:w="577"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4621"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يُشارك الموظفون الميدانيون في تحديد المخاطر</w:t>
            </w:r>
          </w:p>
        </w:tc>
        <w:tc>
          <w:tcPr>
            <w:tcW w:w="103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3.89</w:t>
            </w:r>
          </w:p>
        </w:tc>
        <w:tc>
          <w:tcPr>
            <w:tcW w:w="103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0.70</w:t>
            </w:r>
          </w:p>
        </w:tc>
        <w:tc>
          <w:tcPr>
            <w:tcW w:w="1386"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24"/>
        </w:trPr>
        <w:tc>
          <w:tcPr>
            <w:tcW w:w="577" w:type="dxa"/>
            <w:shd w:val="clear" w:color="auto" w:fill="E8F4F8"/>
            <w:vAlign w:val="center"/>
          </w:tcPr>
          <w:p w:rsidR="004E6020" w:rsidRDefault="004E6020">
            <w:pPr>
              <w:spacing w:after="100" w:line="360" w:lineRule="auto"/>
              <w:jc w:val="center"/>
              <w:rPr>
                <w:rFonts w:ascii="Simplified Arabic" w:hAnsi="Simplified Arabic" w:cs="Simplified Arabic"/>
                <w:rtl/>
              </w:rPr>
            </w:pPr>
          </w:p>
        </w:tc>
        <w:tc>
          <w:tcPr>
            <w:tcW w:w="4621"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إجمالي المحور</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3.90</w:t>
            </w:r>
          </w:p>
        </w:tc>
        <w:tc>
          <w:tcPr>
            <w:tcW w:w="103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0.71</w:t>
            </w:r>
          </w:p>
        </w:tc>
        <w:tc>
          <w:tcPr>
            <w:tcW w:w="138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bl>
    <w:p w:rsidR="00BB18E2" w:rsidRDefault="00BB18E2">
      <w:pPr>
        <w:spacing w:after="100" w:line="360" w:lineRule="auto"/>
        <w:ind w:firstLine="283"/>
        <w:rPr>
          <w:rtl/>
        </w:rPr>
      </w:pP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sidR="00913ACB">
        <w:rPr>
          <w:rFonts w:ascii="Simplified Arabic" w:hAnsi="Simplified Arabic" w:cs="Simplified Arabic" w:hint="cs"/>
          <w:b/>
          <w:bCs/>
          <w:sz w:val="28"/>
          <w:szCs w:val="28"/>
          <w:rtl/>
        </w:rPr>
        <w:t>13</w:t>
      </w:r>
      <w:r>
        <w:rPr>
          <w:rFonts w:ascii="Simplified Arabic" w:hAnsi="Simplified Arabic" w:cs="Simplified Arabic"/>
          <w:b/>
          <w:bCs/>
          <w:sz w:val="28"/>
          <w:szCs w:val="28"/>
          <w:rtl/>
        </w:rPr>
        <w:t>): اختبار المتوسطات الحسابية والقيم الإحصائية لمخاطر السمعة التنظيمية</w:t>
      </w:r>
    </w:p>
    <w:tbl>
      <w:tblPr>
        <w:bidiVisual/>
        <w:tblW w:w="8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4440"/>
        <w:gridCol w:w="999"/>
        <w:gridCol w:w="999"/>
        <w:gridCol w:w="1332"/>
      </w:tblGrid>
      <w:tr w:rsidR="004E6020" w:rsidTr="0054157D">
        <w:trPr>
          <w:trHeight w:val="621"/>
          <w:tblHeader/>
        </w:trPr>
        <w:tc>
          <w:tcPr>
            <w:tcW w:w="554"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444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99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المتوسط</w:t>
            </w:r>
          </w:p>
        </w:tc>
        <w:tc>
          <w:tcPr>
            <w:tcW w:w="99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الانحراف</w:t>
            </w:r>
          </w:p>
        </w:tc>
        <w:tc>
          <w:tcPr>
            <w:tcW w:w="133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المستوى</w:t>
            </w:r>
          </w:p>
        </w:tc>
      </w:tr>
      <w:tr w:rsidR="004E6020" w:rsidTr="0054157D">
        <w:trPr>
          <w:trHeight w:val="609"/>
        </w:trPr>
        <w:tc>
          <w:tcPr>
            <w:tcW w:w="554"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w:t>
            </w:r>
          </w:p>
        </w:tc>
        <w:tc>
          <w:tcPr>
            <w:tcW w:w="444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تعمل الجهة على صون سمعتها ومكانتها المؤسسية</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4.18</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0.65</w:t>
            </w:r>
          </w:p>
        </w:tc>
        <w:tc>
          <w:tcPr>
            <w:tcW w:w="133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 جداً</w:t>
            </w:r>
          </w:p>
        </w:tc>
      </w:tr>
      <w:tr w:rsidR="004E6020" w:rsidTr="0054157D">
        <w:trPr>
          <w:trHeight w:val="621"/>
        </w:trPr>
        <w:tc>
          <w:tcPr>
            <w:tcW w:w="554"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444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توجد خطة واضحة للمحافظة على الصورة الذهنية</w:t>
            </w:r>
          </w:p>
        </w:tc>
        <w:tc>
          <w:tcPr>
            <w:tcW w:w="99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3.85</w:t>
            </w:r>
          </w:p>
        </w:tc>
        <w:tc>
          <w:tcPr>
            <w:tcW w:w="99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0.79</w:t>
            </w:r>
          </w:p>
        </w:tc>
        <w:tc>
          <w:tcPr>
            <w:tcW w:w="133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09"/>
        </w:trPr>
        <w:tc>
          <w:tcPr>
            <w:tcW w:w="554"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w:t>
            </w:r>
          </w:p>
        </w:tc>
        <w:tc>
          <w:tcPr>
            <w:tcW w:w="444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تتعامل الجهة مع الشكاوى بشفافية وفاعلية</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3.95</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0.73</w:t>
            </w:r>
          </w:p>
        </w:tc>
        <w:tc>
          <w:tcPr>
            <w:tcW w:w="133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09"/>
        </w:trPr>
        <w:tc>
          <w:tcPr>
            <w:tcW w:w="554"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444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تُراقب الجهة التغذية الراجعة من المستفيدين</w:t>
            </w:r>
          </w:p>
        </w:tc>
        <w:tc>
          <w:tcPr>
            <w:tcW w:w="99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4.02</w:t>
            </w:r>
          </w:p>
        </w:tc>
        <w:tc>
          <w:tcPr>
            <w:tcW w:w="99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0.68</w:t>
            </w:r>
          </w:p>
        </w:tc>
        <w:tc>
          <w:tcPr>
            <w:tcW w:w="133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21"/>
        </w:trPr>
        <w:tc>
          <w:tcPr>
            <w:tcW w:w="554"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44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تستجيب المؤسسة لأي تهديد سمعوي بسرعة</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3.78</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0.82</w:t>
            </w:r>
          </w:p>
        </w:tc>
        <w:tc>
          <w:tcPr>
            <w:tcW w:w="133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09"/>
        </w:trPr>
        <w:tc>
          <w:tcPr>
            <w:tcW w:w="554"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444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يتعلم الموظفون من تجارب المؤسسات الأخرى</w:t>
            </w:r>
          </w:p>
        </w:tc>
        <w:tc>
          <w:tcPr>
            <w:tcW w:w="99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3.65</w:t>
            </w:r>
          </w:p>
        </w:tc>
        <w:tc>
          <w:tcPr>
            <w:tcW w:w="99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0.90</w:t>
            </w:r>
          </w:p>
        </w:tc>
        <w:tc>
          <w:tcPr>
            <w:tcW w:w="133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21"/>
        </w:trPr>
        <w:tc>
          <w:tcPr>
            <w:tcW w:w="554" w:type="dxa"/>
            <w:shd w:val="clear" w:color="auto" w:fill="E8F4F8"/>
            <w:vAlign w:val="center"/>
          </w:tcPr>
          <w:p w:rsidR="004E6020" w:rsidRDefault="004E6020">
            <w:pPr>
              <w:spacing w:after="100" w:line="360" w:lineRule="auto"/>
              <w:jc w:val="center"/>
              <w:rPr>
                <w:rFonts w:ascii="Simplified Arabic" w:hAnsi="Simplified Arabic" w:cs="Simplified Arabic"/>
                <w:rtl/>
              </w:rPr>
            </w:pPr>
          </w:p>
        </w:tc>
        <w:tc>
          <w:tcPr>
            <w:tcW w:w="444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إجمالي المحور</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3.91</w:t>
            </w:r>
          </w:p>
        </w:tc>
        <w:tc>
          <w:tcPr>
            <w:tcW w:w="99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0.73</w:t>
            </w:r>
          </w:p>
        </w:tc>
        <w:tc>
          <w:tcPr>
            <w:tcW w:w="133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bl>
    <w:p w:rsidR="00BB18E2" w:rsidRDefault="00BB18E2">
      <w:pPr>
        <w:spacing w:after="100" w:line="360" w:lineRule="auto"/>
        <w:ind w:firstLine="283"/>
        <w:rPr>
          <w:rtl/>
        </w:rPr>
      </w:pPr>
    </w:p>
    <w:p w:rsidR="0054157D" w:rsidRDefault="0054157D">
      <w:pPr>
        <w:spacing w:after="100" w:line="360" w:lineRule="auto"/>
        <w:ind w:firstLine="283"/>
        <w:rPr>
          <w:rFonts w:ascii="Simplified Arabic" w:hAnsi="Simplified Arabic" w:cs="Simplified Arabic"/>
          <w:b/>
          <w:bCs/>
          <w:sz w:val="28"/>
          <w:szCs w:val="28"/>
          <w:rtl/>
        </w:rPr>
      </w:pP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sidR="00913ACB">
        <w:rPr>
          <w:rFonts w:ascii="Simplified Arabic" w:hAnsi="Simplified Arabic" w:cs="Simplified Arabic" w:hint="cs"/>
          <w:b/>
          <w:bCs/>
          <w:sz w:val="28"/>
          <w:szCs w:val="28"/>
          <w:rtl/>
        </w:rPr>
        <w:t>14</w:t>
      </w:r>
      <w:r>
        <w:rPr>
          <w:rFonts w:ascii="Simplified Arabic" w:hAnsi="Simplified Arabic" w:cs="Simplified Arabic"/>
          <w:b/>
          <w:bCs/>
          <w:sz w:val="28"/>
          <w:szCs w:val="28"/>
          <w:rtl/>
        </w:rPr>
        <w:t>): اختبار المتوسطات الحسابية والقيم الإحصائية للمخاطر الثقافية التنظيمية</w:t>
      </w:r>
    </w:p>
    <w:tbl>
      <w:tblPr>
        <w:bidiVisual/>
        <w:tblW w:w="8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
        <w:gridCol w:w="4474"/>
        <w:gridCol w:w="1006"/>
        <w:gridCol w:w="1006"/>
        <w:gridCol w:w="1342"/>
      </w:tblGrid>
      <w:tr w:rsidR="004E6020" w:rsidTr="0054157D">
        <w:trPr>
          <w:trHeight w:val="652"/>
          <w:tblHeader/>
        </w:trPr>
        <w:tc>
          <w:tcPr>
            <w:tcW w:w="55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4474"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1006"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المتوسط</w:t>
            </w:r>
          </w:p>
        </w:tc>
        <w:tc>
          <w:tcPr>
            <w:tcW w:w="1006"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الانحراف</w:t>
            </w:r>
          </w:p>
        </w:tc>
        <w:tc>
          <w:tcPr>
            <w:tcW w:w="134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المستوى</w:t>
            </w:r>
          </w:p>
        </w:tc>
      </w:tr>
      <w:tr w:rsidR="004E6020" w:rsidTr="0054157D">
        <w:trPr>
          <w:trHeight w:val="640"/>
        </w:trPr>
        <w:tc>
          <w:tcPr>
            <w:tcW w:w="55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w:t>
            </w:r>
          </w:p>
        </w:tc>
        <w:tc>
          <w:tcPr>
            <w:tcW w:w="447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تسود ثقافة إيجابية تجاه إدارة المخاطر في المؤسسة</w:t>
            </w:r>
          </w:p>
        </w:tc>
        <w:tc>
          <w:tcPr>
            <w:tcW w:w="1006"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3.72</w:t>
            </w:r>
          </w:p>
        </w:tc>
        <w:tc>
          <w:tcPr>
            <w:tcW w:w="1006"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0.85</w:t>
            </w:r>
          </w:p>
        </w:tc>
        <w:tc>
          <w:tcPr>
            <w:tcW w:w="134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52"/>
        </w:trPr>
        <w:tc>
          <w:tcPr>
            <w:tcW w:w="55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447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تدعم الإدارة العليا تطبيق منهجية إدارة المخاطر</w:t>
            </w:r>
          </w:p>
        </w:tc>
        <w:tc>
          <w:tcPr>
            <w:tcW w:w="1006"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4.10</w:t>
            </w:r>
          </w:p>
        </w:tc>
        <w:tc>
          <w:tcPr>
            <w:tcW w:w="1006"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0.71</w:t>
            </w:r>
          </w:p>
        </w:tc>
        <w:tc>
          <w:tcPr>
            <w:tcW w:w="134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40"/>
        </w:trPr>
        <w:tc>
          <w:tcPr>
            <w:tcW w:w="55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w:t>
            </w:r>
          </w:p>
        </w:tc>
        <w:tc>
          <w:tcPr>
            <w:tcW w:w="447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يتعاون الموظفون في التعامل مع التغيير المؤسسي</w:t>
            </w:r>
          </w:p>
        </w:tc>
        <w:tc>
          <w:tcPr>
            <w:tcW w:w="1006"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3.68</w:t>
            </w:r>
          </w:p>
        </w:tc>
        <w:tc>
          <w:tcPr>
            <w:tcW w:w="1006"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0.88</w:t>
            </w:r>
          </w:p>
        </w:tc>
        <w:tc>
          <w:tcPr>
            <w:tcW w:w="134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40"/>
        </w:trPr>
        <w:tc>
          <w:tcPr>
            <w:tcW w:w="559"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447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تنسيق إدارة المخاطر بين الأقسام المختلفة</w:t>
            </w:r>
          </w:p>
        </w:tc>
        <w:tc>
          <w:tcPr>
            <w:tcW w:w="1006"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3.55</w:t>
            </w:r>
          </w:p>
        </w:tc>
        <w:tc>
          <w:tcPr>
            <w:tcW w:w="1006"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0.92</w:t>
            </w:r>
          </w:p>
        </w:tc>
        <w:tc>
          <w:tcPr>
            <w:tcW w:w="134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52"/>
        </w:trPr>
        <w:tc>
          <w:tcPr>
            <w:tcW w:w="559"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47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تُشجّع المؤسسة الموظفين على الإبلاغ عن المخاطر</w:t>
            </w:r>
          </w:p>
        </w:tc>
        <w:tc>
          <w:tcPr>
            <w:tcW w:w="1006"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3.82</w:t>
            </w:r>
          </w:p>
        </w:tc>
        <w:tc>
          <w:tcPr>
            <w:tcW w:w="1006"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0.78</w:t>
            </w:r>
          </w:p>
        </w:tc>
        <w:tc>
          <w:tcPr>
            <w:tcW w:w="134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640"/>
        </w:trPr>
        <w:tc>
          <w:tcPr>
            <w:tcW w:w="559" w:type="dxa"/>
            <w:shd w:val="clear" w:color="auto" w:fill="FFFFFF"/>
            <w:vAlign w:val="center"/>
          </w:tcPr>
          <w:p w:rsidR="004E6020" w:rsidRDefault="004E6020">
            <w:pPr>
              <w:spacing w:after="100" w:line="360" w:lineRule="auto"/>
              <w:jc w:val="center"/>
              <w:rPr>
                <w:rFonts w:ascii="Simplified Arabic" w:hAnsi="Simplified Arabic" w:cs="Simplified Arabic"/>
                <w:rtl/>
              </w:rPr>
            </w:pPr>
          </w:p>
        </w:tc>
        <w:tc>
          <w:tcPr>
            <w:tcW w:w="447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إجمالي المحور</w:t>
            </w:r>
          </w:p>
        </w:tc>
        <w:tc>
          <w:tcPr>
            <w:tcW w:w="1006"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3.77</w:t>
            </w:r>
          </w:p>
        </w:tc>
        <w:tc>
          <w:tcPr>
            <w:tcW w:w="1006"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0.83</w:t>
            </w:r>
          </w:p>
        </w:tc>
        <w:tc>
          <w:tcPr>
            <w:tcW w:w="134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bl>
    <w:p w:rsidR="00BB18E2" w:rsidRDefault="00BB18E2">
      <w:pPr>
        <w:spacing w:after="100" w:line="360" w:lineRule="auto"/>
        <w:ind w:firstLine="283"/>
        <w:rPr>
          <w:rtl/>
        </w:rPr>
      </w:pPr>
    </w:p>
    <w:p w:rsidR="0054157D" w:rsidRDefault="0054157D">
      <w:pPr>
        <w:spacing w:after="100" w:line="360" w:lineRule="auto"/>
        <w:ind w:firstLine="283"/>
        <w:rPr>
          <w:rFonts w:ascii="Simplified Arabic" w:hAnsi="Simplified Arabic" w:cs="Simplified Arabic"/>
          <w:b/>
          <w:bCs/>
          <w:sz w:val="28"/>
          <w:szCs w:val="28"/>
          <w:rtl/>
        </w:rPr>
      </w:pPr>
    </w:p>
    <w:p w:rsidR="00BB18E2" w:rsidRDefault="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15</w:t>
      </w:r>
      <w:r w:rsidR="00BB18E2">
        <w:rPr>
          <w:rFonts w:ascii="Simplified Arabic" w:hAnsi="Simplified Arabic" w:cs="Simplified Arabic"/>
          <w:b/>
          <w:bCs/>
          <w:sz w:val="28"/>
          <w:szCs w:val="28"/>
          <w:rtl/>
        </w:rPr>
        <w:t>): اختبار المتوسطات الحسابية والقيم الإحصائية لمخاطر الموارد البشرية</w:t>
      </w:r>
    </w:p>
    <w:tbl>
      <w:tblPr>
        <w:bidiVisual/>
        <w:tblW w:w="9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1"/>
        <w:gridCol w:w="4814"/>
        <w:gridCol w:w="1083"/>
        <w:gridCol w:w="1083"/>
        <w:gridCol w:w="1444"/>
      </w:tblGrid>
      <w:tr w:rsidR="004E6020" w:rsidTr="0054157D">
        <w:trPr>
          <w:trHeight w:val="723"/>
          <w:tblHeader/>
        </w:trPr>
        <w:tc>
          <w:tcPr>
            <w:tcW w:w="601"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4814"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1083"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المتوسط</w:t>
            </w:r>
          </w:p>
        </w:tc>
        <w:tc>
          <w:tcPr>
            <w:tcW w:w="1083"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الانحراف</w:t>
            </w:r>
          </w:p>
        </w:tc>
        <w:tc>
          <w:tcPr>
            <w:tcW w:w="1444"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المستوى</w:t>
            </w:r>
          </w:p>
        </w:tc>
      </w:tr>
      <w:tr w:rsidR="004E6020" w:rsidTr="0054157D">
        <w:trPr>
          <w:trHeight w:val="723"/>
        </w:trPr>
        <w:tc>
          <w:tcPr>
            <w:tcW w:w="601"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w:t>
            </w:r>
          </w:p>
        </w:tc>
        <w:tc>
          <w:tcPr>
            <w:tcW w:w="481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تمتلك الجهة كوادر متخصصة في إدارة المخاطر</w:t>
            </w:r>
          </w:p>
        </w:tc>
        <w:tc>
          <w:tcPr>
            <w:tcW w:w="1083"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3.55</w:t>
            </w:r>
          </w:p>
        </w:tc>
        <w:tc>
          <w:tcPr>
            <w:tcW w:w="1083"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0.95</w:t>
            </w:r>
          </w:p>
        </w:tc>
        <w:tc>
          <w:tcPr>
            <w:tcW w:w="144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723"/>
        </w:trPr>
        <w:tc>
          <w:tcPr>
            <w:tcW w:w="601"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481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تُقدّم المؤسسة برامج تدريبية متخصصة في إدارة المخاطر</w:t>
            </w:r>
          </w:p>
        </w:tc>
        <w:tc>
          <w:tcPr>
            <w:tcW w:w="1083"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3.42</w:t>
            </w:r>
          </w:p>
        </w:tc>
        <w:tc>
          <w:tcPr>
            <w:tcW w:w="1083"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0.98</w:t>
            </w:r>
          </w:p>
        </w:tc>
        <w:tc>
          <w:tcPr>
            <w:tcW w:w="144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723"/>
        </w:trPr>
        <w:tc>
          <w:tcPr>
            <w:tcW w:w="601"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w:t>
            </w:r>
          </w:p>
        </w:tc>
        <w:tc>
          <w:tcPr>
            <w:tcW w:w="481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تسعى الجهة للحد من ظاهرة دوران الموظفين</w:t>
            </w:r>
          </w:p>
        </w:tc>
        <w:tc>
          <w:tcPr>
            <w:tcW w:w="1083"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3.78</w:t>
            </w:r>
          </w:p>
        </w:tc>
        <w:tc>
          <w:tcPr>
            <w:tcW w:w="1083"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0.82</w:t>
            </w:r>
          </w:p>
        </w:tc>
        <w:tc>
          <w:tcPr>
            <w:tcW w:w="144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723"/>
        </w:trPr>
        <w:tc>
          <w:tcPr>
            <w:tcW w:w="601"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481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يُقيَّم الموظفون جزئياً على كفاءتهم في إدارة المخاطر</w:t>
            </w:r>
          </w:p>
        </w:tc>
        <w:tc>
          <w:tcPr>
            <w:tcW w:w="1083"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3.35</w:t>
            </w:r>
          </w:p>
        </w:tc>
        <w:tc>
          <w:tcPr>
            <w:tcW w:w="1083"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1.02</w:t>
            </w:r>
          </w:p>
        </w:tc>
        <w:tc>
          <w:tcPr>
            <w:tcW w:w="144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متوسط</w:t>
            </w:r>
          </w:p>
        </w:tc>
      </w:tr>
      <w:tr w:rsidR="004E6020" w:rsidTr="0054157D">
        <w:trPr>
          <w:trHeight w:val="723"/>
        </w:trPr>
        <w:tc>
          <w:tcPr>
            <w:tcW w:w="601"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81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تُرسَّخ ثقافة إدارة المخاطر في برامج التوجيه الوظيفي</w:t>
            </w:r>
          </w:p>
        </w:tc>
        <w:tc>
          <w:tcPr>
            <w:tcW w:w="1083"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3.48</w:t>
            </w:r>
          </w:p>
        </w:tc>
        <w:tc>
          <w:tcPr>
            <w:tcW w:w="1083"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0.91</w:t>
            </w:r>
          </w:p>
        </w:tc>
        <w:tc>
          <w:tcPr>
            <w:tcW w:w="1444"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rsidTr="0054157D">
        <w:trPr>
          <w:trHeight w:val="723"/>
        </w:trPr>
        <w:tc>
          <w:tcPr>
            <w:tcW w:w="601" w:type="dxa"/>
            <w:shd w:val="clear" w:color="auto" w:fill="FFFFFF"/>
            <w:vAlign w:val="center"/>
          </w:tcPr>
          <w:p w:rsidR="004E6020" w:rsidRDefault="004E6020">
            <w:pPr>
              <w:spacing w:after="100" w:line="360" w:lineRule="auto"/>
              <w:jc w:val="center"/>
              <w:rPr>
                <w:rFonts w:ascii="Simplified Arabic" w:hAnsi="Simplified Arabic" w:cs="Simplified Arabic"/>
                <w:rtl/>
              </w:rPr>
            </w:pPr>
          </w:p>
        </w:tc>
        <w:tc>
          <w:tcPr>
            <w:tcW w:w="481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إجمالي المحور</w:t>
            </w:r>
          </w:p>
        </w:tc>
        <w:tc>
          <w:tcPr>
            <w:tcW w:w="1083"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3.52</w:t>
            </w:r>
          </w:p>
        </w:tc>
        <w:tc>
          <w:tcPr>
            <w:tcW w:w="1083"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0.94</w:t>
            </w:r>
          </w:p>
        </w:tc>
        <w:tc>
          <w:tcPr>
            <w:tcW w:w="1444"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bl>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4.5 تحليل محور نجاح المشاريع:</w:t>
      </w:r>
    </w:p>
    <w:p w:rsidR="00BB18E2" w:rsidRDefault="00BB18E2">
      <w:pPr>
        <w:spacing w:after="100" w:line="360" w:lineRule="auto"/>
        <w:ind w:firstLine="283"/>
        <w:rPr>
          <w:rtl/>
        </w:rPr>
      </w:pP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(1</w:t>
      </w:r>
      <w:r w:rsidR="00913ACB">
        <w:rPr>
          <w:rFonts w:ascii="Simplified Arabic" w:hAnsi="Simplified Arabic" w:cs="Simplified Arabic" w:hint="cs"/>
          <w:b/>
          <w:bCs/>
          <w:sz w:val="28"/>
          <w:szCs w:val="28"/>
          <w:rtl/>
        </w:rPr>
        <w:t>6</w:t>
      </w:r>
      <w:r>
        <w:rPr>
          <w:rFonts w:ascii="Simplified Arabic" w:hAnsi="Simplified Arabic" w:cs="Simplified Arabic"/>
          <w:b/>
          <w:bCs/>
          <w:sz w:val="28"/>
          <w:szCs w:val="28"/>
          <w:rtl/>
        </w:rPr>
        <w:t>): اختبار المتوسطات الحسابية والقيم الإحصائية للتطوير المخطط (نجاح المشاريع)</w:t>
      </w:r>
    </w:p>
    <w:tbl>
      <w:tblPr>
        <w:bidiVisual/>
        <w:tblW w:w="7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
        <w:gridCol w:w="4000"/>
        <w:gridCol w:w="900"/>
        <w:gridCol w:w="900"/>
        <w:gridCol w:w="1200"/>
      </w:tblGrid>
      <w:tr w:rsidR="004E6020">
        <w:trPr>
          <w:tblHeader/>
        </w:trPr>
        <w:tc>
          <w:tcPr>
            <w:tcW w:w="5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4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9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المتوسط</w:t>
            </w:r>
          </w:p>
        </w:tc>
        <w:tc>
          <w:tcPr>
            <w:tcW w:w="9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الانحراف</w:t>
            </w:r>
          </w:p>
        </w:tc>
        <w:tc>
          <w:tcPr>
            <w:tcW w:w="12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المستوى</w:t>
            </w:r>
          </w:p>
        </w:tc>
      </w:tr>
      <w:tr w:rsidR="004E6020">
        <w:tc>
          <w:tcPr>
            <w:tcW w:w="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w:t>
            </w:r>
          </w:p>
        </w:tc>
        <w:tc>
          <w:tcPr>
            <w:tcW w:w="4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تلتزم المشاريع العدلية بالجدول الزمني المحدد</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3.78</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0.84</w:t>
            </w:r>
          </w:p>
        </w:tc>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4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تلتزم المشاريع بالميزانية المعتمدة دون تجاوزات</w:t>
            </w:r>
          </w:p>
        </w:tc>
        <w:tc>
          <w:tcPr>
            <w:tcW w:w="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3.65</w:t>
            </w:r>
          </w:p>
        </w:tc>
        <w:tc>
          <w:tcPr>
            <w:tcW w:w="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0.90</w:t>
            </w:r>
          </w:p>
        </w:tc>
        <w:tc>
          <w:tcPr>
            <w:tcW w:w="1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w:t>
            </w:r>
          </w:p>
        </w:tc>
        <w:tc>
          <w:tcPr>
            <w:tcW w:w="4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تتحقق جودة المخرجات وفق المعايير المطلوبة</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4.02</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0.72</w:t>
            </w:r>
          </w:p>
        </w:tc>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4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يُبدي المستفيدون رضاهم عن نتائج المشاريع</w:t>
            </w:r>
          </w:p>
        </w:tc>
        <w:tc>
          <w:tcPr>
            <w:tcW w:w="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3.88</w:t>
            </w:r>
          </w:p>
        </w:tc>
        <w:tc>
          <w:tcPr>
            <w:tcW w:w="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0.78</w:t>
            </w:r>
          </w:p>
        </w:tc>
        <w:tc>
          <w:tcPr>
            <w:tcW w:w="1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5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4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تُحقق المشاريع أثراً مستداماً على الخدمات العدلية</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3.95</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0.75</w:t>
            </w:r>
          </w:p>
        </w:tc>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5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4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تُسهم المشاريع في رفع كفاءة الأداء المؤسسي</w:t>
            </w:r>
          </w:p>
        </w:tc>
        <w:tc>
          <w:tcPr>
            <w:tcW w:w="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4.08</w:t>
            </w:r>
          </w:p>
        </w:tc>
        <w:tc>
          <w:tcPr>
            <w:tcW w:w="9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0.69</w:t>
            </w:r>
          </w:p>
        </w:tc>
        <w:tc>
          <w:tcPr>
            <w:tcW w:w="12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r w:rsidR="004E6020">
        <w:tc>
          <w:tcPr>
            <w:tcW w:w="500" w:type="dxa"/>
            <w:shd w:val="clear" w:color="auto" w:fill="E8F4F8"/>
            <w:vAlign w:val="center"/>
          </w:tcPr>
          <w:p w:rsidR="004E6020" w:rsidRDefault="004E6020">
            <w:pPr>
              <w:spacing w:after="100" w:line="360" w:lineRule="auto"/>
              <w:jc w:val="center"/>
              <w:rPr>
                <w:rFonts w:ascii="Simplified Arabic" w:hAnsi="Simplified Arabic" w:cs="Simplified Arabic"/>
                <w:rtl/>
              </w:rPr>
            </w:pPr>
          </w:p>
        </w:tc>
        <w:tc>
          <w:tcPr>
            <w:tcW w:w="4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إجمالي المحور</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3.89</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0.78</w:t>
            </w:r>
          </w:p>
        </w:tc>
        <w:tc>
          <w:tcPr>
            <w:tcW w:w="12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مرتفع</w:t>
            </w:r>
          </w:p>
        </w:tc>
      </w:tr>
    </w:tbl>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4.6 اختبار الفرضيات:</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4.6.1 نتائج مصفوفة الارتباط:</w:t>
      </w:r>
    </w:p>
    <w:p w:rsidR="00BB18E2" w:rsidRDefault="00BB18E2">
      <w:pPr>
        <w:spacing w:after="100" w:line="360" w:lineRule="auto"/>
        <w:ind w:firstLine="283"/>
        <w:rPr>
          <w:rtl/>
        </w:rPr>
      </w:pP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sidR="00913ACB">
        <w:rPr>
          <w:rFonts w:ascii="Simplified Arabic" w:hAnsi="Simplified Arabic" w:cs="Simplified Arabic" w:hint="cs"/>
          <w:b/>
          <w:bCs/>
          <w:sz w:val="28"/>
          <w:szCs w:val="28"/>
          <w:rtl/>
        </w:rPr>
        <w:t>17</w:t>
      </w:r>
      <w:r>
        <w:rPr>
          <w:rFonts w:ascii="Simplified Arabic" w:hAnsi="Simplified Arabic" w:cs="Simplified Arabic"/>
          <w:b/>
          <w:bCs/>
          <w:sz w:val="28"/>
          <w:szCs w:val="28"/>
          <w:rtl/>
        </w:rPr>
        <w:t>): مصفوفة الارتباط بين أبعاد إدارة المخاطر ونجاح المشاريع</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0"/>
        <w:gridCol w:w="2000"/>
        <w:gridCol w:w="2000"/>
        <w:gridCol w:w="2000"/>
      </w:tblGrid>
      <w:tr w:rsidR="004E6020">
        <w:trPr>
          <w:tblHeader/>
        </w:trPr>
        <w:tc>
          <w:tcPr>
            <w:tcW w:w="3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المتغير المستقل</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معامل الارتباط (r)</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مستوى الدلالة</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القرار</w:t>
            </w:r>
          </w:p>
        </w:tc>
      </w:tr>
      <w:tr w:rsidR="004E6020">
        <w:tc>
          <w:tcPr>
            <w:tcW w:w="3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0.718</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2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دالة إحصائياً</w:t>
            </w:r>
          </w:p>
        </w:tc>
      </w:tr>
      <w:tr w:rsidR="004E6020">
        <w:tc>
          <w:tcPr>
            <w:tcW w:w="3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تحليل المخاطر وتقييمها</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0.742</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2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دالة إحصائياً</w:t>
            </w:r>
          </w:p>
        </w:tc>
      </w:tr>
      <w:tr w:rsidR="004E6020">
        <w:tc>
          <w:tcPr>
            <w:tcW w:w="3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الاستجابة للمخاطر</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0.685</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2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دالة إحصائياً</w:t>
            </w:r>
          </w:p>
        </w:tc>
      </w:tr>
      <w:tr w:rsidR="004E6020">
        <w:tc>
          <w:tcPr>
            <w:tcW w:w="3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متابعة المخاطر ومراجعتها</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0.731</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20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دالة إحصائياً</w:t>
            </w:r>
          </w:p>
        </w:tc>
      </w:tr>
      <w:tr w:rsidR="004E6020">
        <w:tc>
          <w:tcPr>
            <w:tcW w:w="3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إدارة المخاطر (كلي)</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0.748</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20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دالة إحصائياً</w:t>
            </w:r>
          </w:p>
        </w:tc>
      </w:tr>
    </w:tbl>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دالة إحصائياً عند مستوى الدلالة (α ≤ 0.05).</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تُشير نتائج مصفوفة الارتباط إلى وجود ارتباط إيجابي قوي ومعنوي بين جميع أبعاد إدارة المخاطر ونجاح المشاريع العدلية، مما يدعم قبول الفرضية الرئيسية للدراسة. وقد جاءت أعلى قيمة ارتباط لبُعد تحليل المخاطر وتقييمها (r = 0.742)، في حين جاءت أدنى قيمة لبُعد الاستجابة للمخاطر (r = 0.685).</w:t>
      </w:r>
    </w:p>
    <w:p w:rsidR="00BB18E2" w:rsidRDefault="00BB18E2">
      <w:pPr>
        <w:spacing w:after="100" w:line="360" w:lineRule="auto"/>
        <w:ind w:firstLine="283"/>
        <w:rPr>
          <w:rtl/>
        </w:rPr>
      </w:pPr>
    </w:p>
    <w:p w:rsidR="0054157D" w:rsidRDefault="0054157D">
      <w:pPr>
        <w:spacing w:after="100" w:line="360" w:lineRule="auto"/>
        <w:ind w:firstLine="283"/>
        <w:rPr>
          <w:rtl/>
        </w:rPr>
      </w:pPr>
    </w:p>
    <w:p w:rsidR="0054157D" w:rsidRDefault="0054157D">
      <w:pPr>
        <w:spacing w:after="100" w:line="360" w:lineRule="auto"/>
        <w:ind w:firstLine="283"/>
        <w:rPr>
          <w:rtl/>
        </w:rPr>
      </w:pPr>
    </w:p>
    <w:p w:rsidR="0054157D" w:rsidRDefault="0054157D">
      <w:pPr>
        <w:spacing w:after="100" w:line="360" w:lineRule="auto"/>
        <w:ind w:firstLine="283"/>
        <w:rPr>
          <w:rtl/>
        </w:rPr>
      </w:pPr>
    </w:p>
    <w:p w:rsidR="0054157D" w:rsidRDefault="0054157D">
      <w:pPr>
        <w:spacing w:after="100" w:line="360" w:lineRule="auto"/>
        <w:ind w:firstLine="283"/>
        <w:rPr>
          <w:rtl/>
        </w:rPr>
      </w:pPr>
    </w:p>
    <w:p w:rsidR="0054157D" w:rsidRDefault="0054157D">
      <w:pPr>
        <w:spacing w:after="100" w:line="360" w:lineRule="auto"/>
        <w:ind w:firstLine="283"/>
        <w:rPr>
          <w:rtl/>
        </w:rPr>
      </w:pPr>
    </w:p>
    <w:p w:rsidR="0054157D" w:rsidRDefault="0054157D">
      <w:pPr>
        <w:spacing w:after="100" w:line="360" w:lineRule="auto"/>
        <w:ind w:firstLine="283"/>
        <w:rPr>
          <w:rtl/>
        </w:rPr>
      </w:pPr>
    </w:p>
    <w:p w:rsidR="0054157D" w:rsidRDefault="0054157D">
      <w:pPr>
        <w:spacing w:after="100" w:line="360" w:lineRule="auto"/>
        <w:ind w:firstLine="283"/>
        <w:rPr>
          <w:rtl/>
        </w:rPr>
      </w:pPr>
    </w:p>
    <w:p w:rsidR="00BB18E2" w:rsidRPr="0054157D" w:rsidRDefault="00BB18E2" w:rsidP="0054157D">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4.6.2 نتائج تحلي</w:t>
      </w:r>
      <w:r w:rsidR="0054157D">
        <w:rPr>
          <w:rFonts w:ascii="Simplified Arabic" w:hAnsi="Simplified Arabic" w:cs="Simplified Arabic"/>
          <w:b/>
          <w:bCs/>
          <w:sz w:val="28"/>
          <w:szCs w:val="28"/>
          <w:rtl/>
        </w:rPr>
        <w:t>ل الانحدار المتعدد:</w:t>
      </w:r>
    </w:p>
    <w:p w:rsidR="00BB18E2" w:rsidRDefault="00BB18E2" w:rsidP="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sidR="00913ACB">
        <w:rPr>
          <w:rFonts w:ascii="Simplified Arabic" w:hAnsi="Simplified Arabic" w:cs="Simplified Arabic" w:hint="cs"/>
          <w:b/>
          <w:bCs/>
          <w:sz w:val="28"/>
          <w:szCs w:val="28"/>
          <w:rtl/>
        </w:rPr>
        <w:t>18</w:t>
      </w:r>
      <w:r>
        <w:rPr>
          <w:rFonts w:ascii="Simplified Arabic" w:hAnsi="Simplified Arabic" w:cs="Simplified Arabic"/>
          <w:b/>
          <w:bCs/>
          <w:sz w:val="28"/>
          <w:szCs w:val="28"/>
          <w:rtl/>
        </w:rPr>
        <w:t>): نتائج تحليل الانحدار الخطي المتعدد لأثر إدارة المخاطر على نجاح المشاريع</w:t>
      </w:r>
    </w:p>
    <w:tbl>
      <w:tblPr>
        <w:bidiVisual/>
        <w:tblW w:w="9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0"/>
        <w:gridCol w:w="1700"/>
        <w:gridCol w:w="1700"/>
        <w:gridCol w:w="2000"/>
        <w:gridCol w:w="1400"/>
      </w:tblGrid>
      <w:tr w:rsidR="004E6020">
        <w:trPr>
          <w:tblHeader/>
        </w:trPr>
        <w:tc>
          <w:tcPr>
            <w:tcW w:w="27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المتغير المستقل</w:t>
            </w:r>
          </w:p>
        </w:tc>
        <w:tc>
          <w:tcPr>
            <w:tcW w:w="17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Beta (β)</w:t>
            </w:r>
          </w:p>
        </w:tc>
        <w:tc>
          <w:tcPr>
            <w:tcW w:w="17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قيمة (t)</w:t>
            </w:r>
          </w:p>
        </w:tc>
        <w:tc>
          <w:tcPr>
            <w:tcW w:w="20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مستوى الدلالة</w:t>
            </w:r>
          </w:p>
        </w:tc>
        <w:tc>
          <w:tcPr>
            <w:tcW w:w="14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القرار</w:t>
            </w:r>
          </w:p>
        </w:tc>
      </w:tr>
      <w:tr w:rsidR="004E6020">
        <w:tc>
          <w:tcPr>
            <w:tcW w:w="27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17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0.298</w:t>
            </w:r>
          </w:p>
        </w:tc>
        <w:tc>
          <w:tcPr>
            <w:tcW w:w="17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5.842</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14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 إحصائياً</w:t>
            </w:r>
          </w:p>
        </w:tc>
      </w:tr>
      <w:tr w:rsidR="004E6020">
        <w:tc>
          <w:tcPr>
            <w:tcW w:w="27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تحليل المخاطر وتقييمها</w:t>
            </w:r>
          </w:p>
        </w:tc>
        <w:tc>
          <w:tcPr>
            <w:tcW w:w="17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0.312</w:t>
            </w:r>
          </w:p>
        </w:tc>
        <w:tc>
          <w:tcPr>
            <w:tcW w:w="17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6.217</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14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 إحصائياً</w:t>
            </w:r>
          </w:p>
        </w:tc>
      </w:tr>
      <w:tr w:rsidR="004E6020">
        <w:tc>
          <w:tcPr>
            <w:tcW w:w="27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الاستجابة للمخاطر</w:t>
            </w:r>
          </w:p>
        </w:tc>
        <w:tc>
          <w:tcPr>
            <w:tcW w:w="17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0.189</w:t>
            </w:r>
          </w:p>
        </w:tc>
        <w:tc>
          <w:tcPr>
            <w:tcW w:w="17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4.031</w:t>
            </w:r>
          </w:p>
        </w:tc>
        <w:tc>
          <w:tcPr>
            <w:tcW w:w="20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0.002*</w:t>
            </w:r>
          </w:p>
        </w:tc>
        <w:tc>
          <w:tcPr>
            <w:tcW w:w="1400"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 إحصائياً</w:t>
            </w:r>
          </w:p>
        </w:tc>
      </w:tr>
      <w:tr w:rsidR="004E6020">
        <w:tc>
          <w:tcPr>
            <w:tcW w:w="27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متابعة المخاطر ومراجعتها</w:t>
            </w:r>
          </w:p>
        </w:tc>
        <w:tc>
          <w:tcPr>
            <w:tcW w:w="17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0.285</w:t>
            </w:r>
          </w:p>
        </w:tc>
        <w:tc>
          <w:tcPr>
            <w:tcW w:w="17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5.905</w:t>
            </w:r>
          </w:p>
        </w:tc>
        <w:tc>
          <w:tcPr>
            <w:tcW w:w="20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c>
          <w:tcPr>
            <w:tcW w:w="1400"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دال إحصائياً</w:t>
            </w:r>
          </w:p>
        </w:tc>
      </w:tr>
    </w:tbl>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R² = 0.712، F = 48.7، مستوى الدلالة = 0.000*</w:t>
      </w:r>
    </w:p>
    <w:p w:rsidR="00BB18E2" w:rsidRPr="0054157D" w:rsidRDefault="00BB18E2" w:rsidP="0054157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تُشير هذه النتائج إلى أن أبعاد إدارة المخاطر مجتمعةً تُفسّر ما نسبته 71.2% من التباين في نجاح المشاريع العدلية. وكان البُعد الأكثر تأثيراً هو تحليل المخاطر وتقييمها (β = 0.312)، يليه تحديد المخاطر (β = 0.298)، ثم متابعة المخاطر (β = 0.285)، وأخيراً الاستجابة للمخاطر (β = 0.189). وجميعها دالة</w:t>
      </w:r>
      <w:r w:rsidR="0054157D">
        <w:rPr>
          <w:rFonts w:ascii="Simplified Arabic" w:hAnsi="Simplified Arabic" w:cs="Simplified Arabic"/>
          <w:sz w:val="28"/>
          <w:szCs w:val="28"/>
          <w:rtl/>
        </w:rPr>
        <w:t xml:space="preserve"> إحصائياً عند مستوى (α ≤ 0.05).</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4.6.3 نتائج اختبار ANOVA:</w:t>
      </w:r>
    </w:p>
    <w:p w:rsidR="00BB18E2" w:rsidRDefault="00BB18E2" w:rsidP="0054157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يوضح الجدول الآتي نتائج تحليل التباين الأحادي لقياس الفروق بين آراء</w:t>
      </w:r>
      <w:r w:rsidR="0054157D">
        <w:rPr>
          <w:rFonts w:ascii="Simplified Arabic" w:hAnsi="Simplified Arabic" w:cs="Simplified Arabic"/>
          <w:sz w:val="28"/>
          <w:szCs w:val="28"/>
          <w:rtl/>
        </w:rPr>
        <w:t xml:space="preserve"> المستجيبين حسب المسمى الوظيفي:</w:t>
      </w:r>
    </w:p>
    <w:p w:rsidR="0054157D" w:rsidRDefault="0054157D" w:rsidP="0054157D">
      <w:pPr>
        <w:spacing w:after="100" w:line="360" w:lineRule="auto"/>
        <w:ind w:firstLine="283"/>
        <w:rPr>
          <w:rFonts w:ascii="Simplified Arabic" w:hAnsi="Simplified Arabic" w:cs="Simplified Arabic"/>
          <w:sz w:val="28"/>
          <w:szCs w:val="28"/>
          <w:rtl/>
        </w:rPr>
      </w:pPr>
    </w:p>
    <w:p w:rsidR="0054157D" w:rsidRDefault="0054157D" w:rsidP="0054157D">
      <w:pPr>
        <w:spacing w:after="100" w:line="360" w:lineRule="auto"/>
        <w:ind w:firstLine="283"/>
        <w:rPr>
          <w:rFonts w:ascii="Simplified Arabic" w:hAnsi="Simplified Arabic" w:cs="Simplified Arabic"/>
          <w:sz w:val="28"/>
          <w:szCs w:val="28"/>
          <w:rtl/>
        </w:rPr>
      </w:pPr>
    </w:p>
    <w:p w:rsidR="0054157D" w:rsidRPr="0054157D" w:rsidRDefault="0054157D" w:rsidP="0054157D">
      <w:pPr>
        <w:spacing w:after="100" w:line="360" w:lineRule="auto"/>
        <w:ind w:firstLine="283"/>
        <w:rPr>
          <w:rFonts w:ascii="Simplified Arabic" w:hAnsi="Simplified Arabic" w:cs="Simplified Arabic"/>
          <w:sz w:val="28"/>
          <w:szCs w:val="28"/>
          <w:rtl/>
        </w:rPr>
      </w:pPr>
    </w:p>
    <w:p w:rsidR="00BB18E2" w:rsidRDefault="00913ACB">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19</w:t>
      </w:r>
      <w:r w:rsidR="00BB18E2">
        <w:rPr>
          <w:rFonts w:ascii="Simplified Arabic" w:hAnsi="Simplified Arabic" w:cs="Simplified Arabic"/>
          <w:b/>
          <w:bCs/>
          <w:sz w:val="28"/>
          <w:szCs w:val="28"/>
          <w:rtl/>
        </w:rPr>
        <w:t>): نتائج اختبار ANOVA حسب المسمى الوظيفي</w:t>
      </w:r>
    </w:p>
    <w:tbl>
      <w:tblPr>
        <w:bidiVisual/>
        <w:tblW w:w="9487"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7"/>
        <w:gridCol w:w="1800"/>
        <w:gridCol w:w="1800"/>
        <w:gridCol w:w="1800"/>
        <w:gridCol w:w="900"/>
        <w:gridCol w:w="1300"/>
      </w:tblGrid>
      <w:tr w:rsidR="004E6020" w:rsidTr="0054157D">
        <w:trPr>
          <w:tblHeader/>
        </w:trPr>
        <w:tc>
          <w:tcPr>
            <w:tcW w:w="1887"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مصدر التباين</w:t>
            </w:r>
          </w:p>
        </w:tc>
        <w:tc>
          <w:tcPr>
            <w:tcW w:w="18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مجموع المربعات</w:t>
            </w:r>
          </w:p>
        </w:tc>
        <w:tc>
          <w:tcPr>
            <w:tcW w:w="18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درجات الحرية</w:t>
            </w:r>
          </w:p>
        </w:tc>
        <w:tc>
          <w:tcPr>
            <w:tcW w:w="18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متوسط المربعات</w:t>
            </w:r>
          </w:p>
        </w:tc>
        <w:tc>
          <w:tcPr>
            <w:tcW w:w="9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قيمة F</w:t>
            </w:r>
          </w:p>
        </w:tc>
        <w:tc>
          <w:tcPr>
            <w:tcW w:w="13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الدلالة</w:t>
            </w:r>
          </w:p>
        </w:tc>
      </w:tr>
      <w:tr w:rsidR="004E6020" w:rsidTr="0054157D">
        <w:tc>
          <w:tcPr>
            <w:tcW w:w="1887"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بين المجموعات</w:t>
            </w:r>
          </w:p>
        </w:tc>
        <w:tc>
          <w:tcPr>
            <w:tcW w:w="18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8.423</w:t>
            </w:r>
          </w:p>
        </w:tc>
        <w:tc>
          <w:tcPr>
            <w:tcW w:w="18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18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4.212</w:t>
            </w:r>
          </w:p>
        </w:tc>
        <w:tc>
          <w:tcPr>
            <w:tcW w:w="9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12.847</w:t>
            </w:r>
          </w:p>
        </w:tc>
        <w:tc>
          <w:tcPr>
            <w:tcW w:w="13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0.000*</w:t>
            </w:r>
          </w:p>
        </w:tc>
      </w:tr>
      <w:tr w:rsidR="004E6020" w:rsidTr="0054157D">
        <w:tc>
          <w:tcPr>
            <w:tcW w:w="1887"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داخل المجموعات</w:t>
            </w:r>
          </w:p>
        </w:tc>
        <w:tc>
          <w:tcPr>
            <w:tcW w:w="18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25.182</w:t>
            </w:r>
          </w:p>
        </w:tc>
        <w:tc>
          <w:tcPr>
            <w:tcW w:w="18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77</w:t>
            </w:r>
          </w:p>
        </w:tc>
        <w:tc>
          <w:tcPr>
            <w:tcW w:w="18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0.328</w:t>
            </w:r>
          </w:p>
        </w:tc>
        <w:tc>
          <w:tcPr>
            <w:tcW w:w="900" w:type="dxa"/>
            <w:shd w:val="clear" w:color="auto" w:fill="FFFFFF"/>
            <w:vAlign w:val="center"/>
          </w:tcPr>
          <w:p w:rsidR="004E6020" w:rsidRDefault="004E6020">
            <w:pPr>
              <w:spacing w:after="100" w:line="360" w:lineRule="auto"/>
              <w:jc w:val="center"/>
              <w:rPr>
                <w:rFonts w:ascii="Simplified Arabic" w:hAnsi="Simplified Arabic" w:cs="Simplified Arabic"/>
                <w:rtl/>
              </w:rPr>
            </w:pPr>
          </w:p>
        </w:tc>
        <w:tc>
          <w:tcPr>
            <w:tcW w:w="1300" w:type="dxa"/>
            <w:shd w:val="clear" w:color="auto" w:fill="FFFFFF"/>
            <w:vAlign w:val="center"/>
          </w:tcPr>
          <w:p w:rsidR="004E6020" w:rsidRDefault="004E6020">
            <w:pPr>
              <w:spacing w:after="100" w:line="360" w:lineRule="auto"/>
              <w:jc w:val="center"/>
              <w:rPr>
                <w:rFonts w:ascii="Simplified Arabic" w:hAnsi="Simplified Arabic" w:cs="Simplified Arabic"/>
                <w:rtl/>
              </w:rPr>
            </w:pPr>
          </w:p>
        </w:tc>
      </w:tr>
      <w:tr w:rsidR="004E6020" w:rsidTr="0054157D">
        <w:tc>
          <w:tcPr>
            <w:tcW w:w="1887"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الكلي</w:t>
            </w:r>
          </w:p>
        </w:tc>
        <w:tc>
          <w:tcPr>
            <w:tcW w:w="18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33.605</w:t>
            </w:r>
          </w:p>
        </w:tc>
        <w:tc>
          <w:tcPr>
            <w:tcW w:w="18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79</w:t>
            </w:r>
          </w:p>
        </w:tc>
        <w:tc>
          <w:tcPr>
            <w:tcW w:w="1800" w:type="dxa"/>
            <w:shd w:val="clear" w:color="auto" w:fill="E8F4F8"/>
            <w:vAlign w:val="center"/>
          </w:tcPr>
          <w:p w:rsidR="004E6020" w:rsidRDefault="004E6020">
            <w:pPr>
              <w:spacing w:after="100" w:line="360" w:lineRule="auto"/>
              <w:jc w:val="center"/>
              <w:rPr>
                <w:rFonts w:ascii="Simplified Arabic" w:hAnsi="Simplified Arabic" w:cs="Simplified Arabic"/>
                <w:rtl/>
              </w:rPr>
            </w:pPr>
          </w:p>
        </w:tc>
        <w:tc>
          <w:tcPr>
            <w:tcW w:w="900" w:type="dxa"/>
            <w:shd w:val="clear" w:color="auto" w:fill="E8F4F8"/>
            <w:vAlign w:val="center"/>
          </w:tcPr>
          <w:p w:rsidR="004E6020" w:rsidRDefault="004E6020">
            <w:pPr>
              <w:spacing w:after="100" w:line="360" w:lineRule="auto"/>
              <w:jc w:val="center"/>
              <w:rPr>
                <w:rFonts w:ascii="Simplified Arabic" w:hAnsi="Simplified Arabic" w:cs="Simplified Arabic"/>
                <w:rtl/>
              </w:rPr>
            </w:pPr>
          </w:p>
        </w:tc>
        <w:tc>
          <w:tcPr>
            <w:tcW w:w="1300" w:type="dxa"/>
            <w:shd w:val="clear" w:color="auto" w:fill="E8F4F8"/>
            <w:vAlign w:val="center"/>
          </w:tcPr>
          <w:p w:rsidR="004E6020" w:rsidRDefault="004E6020">
            <w:pPr>
              <w:spacing w:after="100" w:line="360" w:lineRule="auto"/>
              <w:jc w:val="center"/>
              <w:rPr>
                <w:rFonts w:ascii="Simplified Arabic" w:hAnsi="Simplified Arabic" w:cs="Simplified Arabic"/>
                <w:rtl/>
              </w:rPr>
            </w:pPr>
          </w:p>
        </w:tc>
      </w:tr>
    </w:tbl>
    <w:p w:rsidR="00BB18E2" w:rsidRDefault="00BB18E2">
      <w:pPr>
        <w:spacing w:after="100" w:line="360" w:lineRule="auto"/>
        <w:ind w:firstLine="283"/>
        <w:rPr>
          <w:rtl/>
        </w:rPr>
      </w:pPr>
    </w:p>
    <w:p w:rsidR="00BB18E2" w:rsidRDefault="00BB18E2" w:rsidP="0054157D">
      <w:pPr>
        <w:spacing w:after="100" w:line="360" w:lineRule="auto"/>
        <w:ind w:firstLine="283"/>
      </w:pPr>
      <w:r>
        <w:rPr>
          <w:rFonts w:ascii="Simplified Arabic" w:hAnsi="Simplified Arabic" w:cs="Simplified Arabic"/>
          <w:sz w:val="28"/>
          <w:szCs w:val="28"/>
          <w:rtl/>
        </w:rPr>
        <w:t>تُظهر نتائج اختبار ANOVA وجود فروق ذات دلالة إحصائية في مستوى الوعي بإدارة المخاطر ونجاح المشاريع تُعزى لمتغير المسمى الوظيفي (F = 12.847، p = 0.000). وقد أظهر مديرو المشاريع متوسطات أعلى مقارنةً بالمشرفين والموظفين الميدانيين.</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4.7 تحليل أبعاد نجاح المشاريع بالتفصيل:</w:t>
      </w:r>
    </w:p>
    <w:p w:rsidR="00BB18E2" w:rsidRDefault="00BB18E2">
      <w:pPr>
        <w:spacing w:after="100" w:line="360" w:lineRule="auto"/>
        <w:ind w:firstLine="283"/>
      </w:pP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4.7.1 بُعد الالتزام بالوقت:</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سجّل بُعد الالتزام بالوقت متوسطاً حسابياً بلغ (3.78) بانحراف معياري (0.84)، ما يُشير إلى مستوى مرتفع. وعند مقارنة هذه النتيجة بين الفئات الوظيفية، وُجد أن مديري المشاريع سجّلوا أعلى متوسط (م=4.12)، في حين أعطى الموظفون الميدانيون تقديراً أدنى (م=3.52). تعكس هذه الفجوة اختلافاً في الإدراك: فالمديرون يُقيّمون الالتزام من منظور الخطط المعتمدة والتقارير الرسمية، بينما يُقيّمه الموظفون الميدانيون من منظور الضغوط التشغيلية اليومية التي تحول دون الالتزام الكامل بالجداول. ويُوصى بتعزيز جسور التواصل بين هذين المستويين لتوحيد معايير التقييم والمتابعة.</w:t>
      </w:r>
    </w:p>
    <w:p w:rsidR="00BB18E2" w:rsidRDefault="00BB18E2">
      <w:pPr>
        <w:spacing w:after="100" w:line="360" w:lineRule="auto"/>
        <w:ind w:firstLine="283"/>
        <w:rPr>
          <w:rtl/>
        </w:rPr>
      </w:pPr>
    </w:p>
    <w:p w:rsidR="0054157D" w:rsidRDefault="0054157D">
      <w:pPr>
        <w:spacing w:after="100" w:line="360" w:lineRule="auto"/>
        <w:ind w:firstLine="283"/>
      </w:pP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4.7.2 بُعد الالتزام بالتكلفة:</w:t>
      </w:r>
    </w:p>
    <w:p w:rsidR="00BB18E2" w:rsidRPr="0054157D" w:rsidRDefault="00BB18E2" w:rsidP="0054157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 xml:space="preserve">جاء بُعد الالتزام بالتكلفة بمتوسط (3.65) وانحراف معياري (0.90)، وهو الأدنى بين أبعاد نجاح المشاريع الثلاثة. تتوافق هذه النتيجة مع بيانات التقرير السنوي لوزارة العدل (2023) التي أشارت إلى أن نحو 18% من المشاريع شهدت تجاوزات مالية. ويُعزى انخفاض هذا المتوسط نسبياً إلى عدة عوامل: التغيرات في أسعار التوريد والتعاقد، والتعديلات المتكررة في نطاق المشروع نتيجة متطلبات قانونية مستجدة، وضعف التقدير الأولي للتكاليف في مشاريع التحول الرقمي التي </w:t>
      </w:r>
      <w:r w:rsidR="0054157D">
        <w:rPr>
          <w:rFonts w:ascii="Simplified Arabic" w:hAnsi="Simplified Arabic" w:cs="Simplified Arabic"/>
          <w:sz w:val="28"/>
          <w:szCs w:val="28"/>
          <w:rtl/>
        </w:rPr>
        <w:t>تفتقر إلى بيانات تاريخية وافية.</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4.7.3 بُعد جودة المخرجات:</w:t>
      </w:r>
    </w:p>
    <w:p w:rsidR="00BB18E2" w:rsidRPr="0054157D" w:rsidRDefault="00BB18E2" w:rsidP="0054157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حقّق بُعد جودة المخرجات أعلى متوسط بين الأبعاد الثلاثة (م=4.02، ع=0.72)، ما يُعكس التزاماً عالياً بمعايير الجودة الفنية في المشاريع العدلية. يُعزى هذا الأداء المتميز جزئياً إلى وجود منظومة رقابة داخلية وخارجية متكاملة تُشرف على المشاريع العدلية وتضمن الالتزام بالمواصفات. ويتوافق هذا الأداء مع توجهات وزارة العدل نحو رفع معايير الجودة ضمن مبادرات رؤية 203</w:t>
      </w:r>
      <w:r w:rsidR="0054157D">
        <w:rPr>
          <w:rFonts w:ascii="Simplified Arabic" w:hAnsi="Simplified Arabic" w:cs="Simplified Arabic"/>
          <w:sz w:val="28"/>
          <w:szCs w:val="28"/>
          <w:rtl/>
        </w:rPr>
        <w:t>0 وبرنامج تطوير منظومة العدالة.</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4.8 اختبارات تكميلية للفرضيات:</w:t>
      </w:r>
    </w:p>
    <w:p w:rsidR="00BB18E2" w:rsidRDefault="00BB18E2">
      <w:pPr>
        <w:spacing w:after="100" w:line="360" w:lineRule="auto"/>
        <w:ind w:firstLine="283"/>
      </w:pPr>
    </w:p>
    <w:p w:rsidR="00BB18E2" w:rsidRDefault="00913ACB" w:rsidP="0054157D">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20</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اختبار ANOVA لأثر المستوى التعليمي على إدارة المخاطر ونجاح المشاريع</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0"/>
        <w:gridCol w:w="900"/>
        <w:gridCol w:w="2100"/>
        <w:gridCol w:w="2100"/>
        <w:gridCol w:w="1400"/>
      </w:tblGrid>
      <w:tr w:rsidR="004E6020">
        <w:trPr>
          <w:tblHeader/>
        </w:trPr>
        <w:tc>
          <w:tcPr>
            <w:tcW w:w="25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المستوى التعليمي</w:t>
            </w:r>
          </w:p>
        </w:tc>
        <w:tc>
          <w:tcPr>
            <w:tcW w:w="9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العدد</w:t>
            </w:r>
          </w:p>
        </w:tc>
        <w:tc>
          <w:tcPr>
            <w:tcW w:w="21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متوسط إدارة المخاطر</w:t>
            </w:r>
          </w:p>
        </w:tc>
        <w:tc>
          <w:tcPr>
            <w:tcW w:w="21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متوسط نجاح المشروع</w:t>
            </w:r>
          </w:p>
        </w:tc>
        <w:tc>
          <w:tcPr>
            <w:tcW w:w="14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الرتبة</w:t>
            </w:r>
          </w:p>
        </w:tc>
      </w:tr>
      <w:tr w:rsidR="004E6020">
        <w:tc>
          <w:tcPr>
            <w:tcW w:w="25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بكالوريوس</w:t>
            </w:r>
          </w:p>
        </w:tc>
        <w:tc>
          <w:tcPr>
            <w:tcW w:w="9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45</w:t>
            </w:r>
          </w:p>
        </w:tc>
        <w:tc>
          <w:tcPr>
            <w:tcW w:w="21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3.72</w:t>
            </w:r>
          </w:p>
        </w:tc>
        <w:tc>
          <w:tcPr>
            <w:tcW w:w="21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3.68</w:t>
            </w:r>
          </w:p>
        </w:tc>
        <w:tc>
          <w:tcPr>
            <w:tcW w:w="14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w:t>
            </w:r>
          </w:p>
        </w:tc>
      </w:tr>
      <w:tr w:rsidR="004E6020">
        <w:tc>
          <w:tcPr>
            <w:tcW w:w="25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ماجستير</w:t>
            </w:r>
          </w:p>
        </w:tc>
        <w:tc>
          <w:tcPr>
            <w:tcW w:w="9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29</w:t>
            </w:r>
          </w:p>
        </w:tc>
        <w:tc>
          <w:tcPr>
            <w:tcW w:w="21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4.05</w:t>
            </w:r>
          </w:p>
        </w:tc>
        <w:tc>
          <w:tcPr>
            <w:tcW w:w="21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4.02</w:t>
            </w:r>
          </w:p>
        </w:tc>
        <w:tc>
          <w:tcPr>
            <w:tcW w:w="14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1</w:t>
            </w:r>
          </w:p>
        </w:tc>
      </w:tr>
      <w:tr w:rsidR="004E6020">
        <w:tc>
          <w:tcPr>
            <w:tcW w:w="25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دكتوراه وفوق</w:t>
            </w:r>
          </w:p>
        </w:tc>
        <w:tc>
          <w:tcPr>
            <w:tcW w:w="9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6</w:t>
            </w:r>
          </w:p>
        </w:tc>
        <w:tc>
          <w:tcPr>
            <w:tcW w:w="21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3.98</w:t>
            </w:r>
          </w:p>
        </w:tc>
        <w:tc>
          <w:tcPr>
            <w:tcW w:w="21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3.95</w:t>
            </w:r>
          </w:p>
        </w:tc>
        <w:tc>
          <w:tcPr>
            <w:tcW w:w="14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w:t>
            </w:r>
          </w:p>
        </w:tc>
      </w:tr>
    </w:tbl>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يتضح أن F = 8.421 عند مستوى دلالة = 0.001، مما يُثبت وجود فروق ذات دلالة إحصائية في متوسطات كلا المتغيرين تُعزى لمتغير المستوى التعليمي، ويبرز حاملو الماجستير كأعلى متوسط. هذه النتيجة تُؤكد أن التأهيل الأكاديمي المتخصص في الإدارة يُسهم إسهاماً ملموساً في رفع مستوى كل من إدارة المخاطر ونجاح المشاريع، ومن ثَمَّ تُرسّخ أهمية الاستثمار في تأهيل كوادر القطاع العدلي أكاديمياً.</w:t>
      </w:r>
    </w:p>
    <w:p w:rsidR="00BB18E2" w:rsidRDefault="00BB18E2">
      <w:pPr>
        <w:spacing w:after="100" w:line="360" w:lineRule="auto"/>
        <w:ind w:firstLine="283"/>
      </w:pPr>
    </w:p>
    <w:p w:rsidR="00BB18E2" w:rsidRDefault="00913ACB" w:rsidP="0054157D">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21</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اختبار T لأثر المنطقة الإدارية (مركزية/فروع) على إدارة المخاطر</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0"/>
        <w:gridCol w:w="700"/>
        <w:gridCol w:w="1400"/>
        <w:gridCol w:w="2100"/>
        <w:gridCol w:w="900"/>
        <w:gridCol w:w="1500"/>
      </w:tblGrid>
      <w:tr w:rsidR="004E6020">
        <w:trPr>
          <w:tblHeader/>
        </w:trPr>
        <w:tc>
          <w:tcPr>
            <w:tcW w:w="24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المنطقة</w:t>
            </w:r>
          </w:p>
        </w:tc>
        <w:tc>
          <w:tcPr>
            <w:tcW w:w="7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العدد</w:t>
            </w:r>
          </w:p>
        </w:tc>
        <w:tc>
          <w:tcPr>
            <w:tcW w:w="14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المتوسط</w:t>
            </w:r>
          </w:p>
        </w:tc>
        <w:tc>
          <w:tcPr>
            <w:tcW w:w="21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الانحراف المعياري</w:t>
            </w:r>
          </w:p>
        </w:tc>
        <w:tc>
          <w:tcPr>
            <w:tcW w:w="9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t</w:t>
            </w:r>
          </w:p>
        </w:tc>
        <w:tc>
          <w:tcPr>
            <w:tcW w:w="15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مستوى الدلالة</w:t>
            </w:r>
          </w:p>
        </w:tc>
      </w:tr>
      <w:tr w:rsidR="004E6020">
        <w:tc>
          <w:tcPr>
            <w:tcW w:w="24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الرياض (مركزية)</w:t>
            </w:r>
          </w:p>
        </w:tc>
        <w:tc>
          <w:tcPr>
            <w:tcW w:w="7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35</w:t>
            </w:r>
          </w:p>
        </w:tc>
        <w:tc>
          <w:tcPr>
            <w:tcW w:w="14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3.98</w:t>
            </w:r>
          </w:p>
        </w:tc>
        <w:tc>
          <w:tcPr>
            <w:tcW w:w="21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0.72</w:t>
            </w:r>
          </w:p>
        </w:tc>
        <w:tc>
          <w:tcPr>
            <w:tcW w:w="9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2.341</w:t>
            </w:r>
          </w:p>
        </w:tc>
        <w:tc>
          <w:tcPr>
            <w:tcW w:w="1500"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0.031*</w:t>
            </w:r>
          </w:p>
        </w:tc>
      </w:tr>
      <w:tr w:rsidR="004E6020">
        <w:tc>
          <w:tcPr>
            <w:tcW w:w="24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مكة والشرقية (فروع)</w:t>
            </w:r>
          </w:p>
        </w:tc>
        <w:tc>
          <w:tcPr>
            <w:tcW w:w="7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45</w:t>
            </w:r>
          </w:p>
        </w:tc>
        <w:tc>
          <w:tcPr>
            <w:tcW w:w="14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3.76</w:t>
            </w:r>
          </w:p>
        </w:tc>
        <w:tc>
          <w:tcPr>
            <w:tcW w:w="21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0.85</w:t>
            </w:r>
          </w:p>
        </w:tc>
        <w:tc>
          <w:tcPr>
            <w:tcW w:w="9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w:t>
            </w:r>
          </w:p>
        </w:tc>
        <w:tc>
          <w:tcPr>
            <w:tcW w:w="1500"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w:t>
            </w:r>
          </w:p>
        </w:tc>
      </w:tr>
    </w:tbl>
    <w:p w:rsidR="00BB18E2" w:rsidRDefault="00BB18E2">
      <w:pPr>
        <w:spacing w:after="100" w:line="360" w:lineRule="auto"/>
        <w:ind w:firstLine="283"/>
      </w:pPr>
    </w:p>
    <w:p w:rsidR="00BB18E2" w:rsidRPr="0054157D" w:rsidRDefault="00BB18E2" w:rsidP="0054157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يُشير الفارق البالغ (0.22) درجة لصالح الإدارات المركزية إلى أن تمركز الموارد المؤسسية والقرارات الاستراتيجية في الرياض يُفضي إلى تطبيق أكثر انتظاماً لإدارة المخاطر. وتُوصي هذه النتيجة بضرورة دمج الفروع الإقليمية في الإطار المؤسسي لإدارة المخاطر وتزويدها بالكوادر والأد</w:t>
      </w:r>
      <w:r w:rsidR="0054157D">
        <w:rPr>
          <w:rFonts w:ascii="Simplified Arabic" w:hAnsi="Simplified Arabic" w:cs="Simplified Arabic"/>
          <w:sz w:val="28"/>
          <w:szCs w:val="28"/>
          <w:rtl/>
        </w:rPr>
        <w:t>وات اللازمة لرفع مستوى تطبيقها.</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4.8.1 تحليل الانحدار الهرمي: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لتحديد الترتيب الهرمي لأثر الأبعاد الأربعة عند إدخالها تدريجياً في نموذج الانحدار، أُجري تحليل الانحدار الهرمي (Hierarchical Regression) في أربع خطوات متتالية، يُضاف في كل منها بُعد جديد لقياس الإسهام الإضافي الصافي:</w:t>
      </w:r>
    </w:p>
    <w:p w:rsidR="00BB18E2" w:rsidRDefault="00BB18E2">
      <w:pPr>
        <w:spacing w:after="100" w:line="360" w:lineRule="auto"/>
        <w:ind w:firstLine="283"/>
        <w:rPr>
          <w:rtl/>
        </w:rPr>
      </w:pPr>
    </w:p>
    <w:p w:rsidR="0054157D" w:rsidRDefault="0054157D">
      <w:pPr>
        <w:spacing w:after="100" w:line="360" w:lineRule="auto"/>
        <w:ind w:firstLine="283"/>
      </w:pPr>
    </w:p>
    <w:p w:rsidR="00BB18E2" w:rsidRDefault="00913ACB" w:rsidP="0054157D">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22</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نتائج تحليل الانحدار الهرمي (R² التراكمي لأثر أبعاد إدارة المخاطر)</w:t>
      </w:r>
    </w:p>
    <w:tbl>
      <w:tblPr>
        <w:bidiVisual/>
        <w:tblW w:w="8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5"/>
        <w:gridCol w:w="2769"/>
        <w:gridCol w:w="997"/>
        <w:gridCol w:w="997"/>
        <w:gridCol w:w="1772"/>
        <w:gridCol w:w="1551"/>
      </w:tblGrid>
      <w:tr w:rsidR="004E6020" w:rsidTr="0054157D">
        <w:trPr>
          <w:trHeight w:val="683"/>
          <w:tblHeader/>
        </w:trPr>
        <w:tc>
          <w:tcPr>
            <w:tcW w:w="775"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الخطوة</w:t>
            </w:r>
          </w:p>
        </w:tc>
        <w:tc>
          <w:tcPr>
            <w:tcW w:w="2769"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المتغير المُدخَل</w:t>
            </w:r>
          </w:p>
        </w:tc>
        <w:tc>
          <w:tcPr>
            <w:tcW w:w="997"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R²</w:t>
            </w:r>
          </w:p>
        </w:tc>
        <w:tc>
          <w:tcPr>
            <w:tcW w:w="997"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ΔR²</w:t>
            </w:r>
          </w:p>
        </w:tc>
        <w:tc>
          <w:tcPr>
            <w:tcW w:w="1772"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F التغيير</w:t>
            </w:r>
          </w:p>
        </w:tc>
        <w:tc>
          <w:tcPr>
            <w:tcW w:w="1551"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دلالة التغيير</w:t>
            </w:r>
          </w:p>
        </w:tc>
      </w:tr>
      <w:tr w:rsidR="004E6020" w:rsidTr="0054157D">
        <w:trPr>
          <w:trHeight w:val="696"/>
        </w:trPr>
        <w:tc>
          <w:tcPr>
            <w:tcW w:w="775"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1</w:t>
            </w:r>
          </w:p>
        </w:tc>
        <w:tc>
          <w:tcPr>
            <w:tcW w:w="2769"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997"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0.415</w:t>
            </w:r>
          </w:p>
        </w:tc>
        <w:tc>
          <w:tcPr>
            <w:tcW w:w="997"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0.415</w:t>
            </w:r>
          </w:p>
        </w:tc>
        <w:tc>
          <w:tcPr>
            <w:tcW w:w="1772"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55.82</w:t>
            </w:r>
          </w:p>
        </w:tc>
        <w:tc>
          <w:tcPr>
            <w:tcW w:w="1551"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0.000*</w:t>
            </w:r>
          </w:p>
        </w:tc>
      </w:tr>
      <w:tr w:rsidR="004E6020" w:rsidTr="0054157D">
        <w:trPr>
          <w:trHeight w:val="683"/>
        </w:trPr>
        <w:tc>
          <w:tcPr>
            <w:tcW w:w="775"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w:t>
            </w:r>
          </w:p>
        </w:tc>
        <w:tc>
          <w:tcPr>
            <w:tcW w:w="2769"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 تحليل المخاطر</w:t>
            </w:r>
          </w:p>
        </w:tc>
        <w:tc>
          <w:tcPr>
            <w:tcW w:w="997"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0.558</w:t>
            </w:r>
          </w:p>
        </w:tc>
        <w:tc>
          <w:tcPr>
            <w:tcW w:w="997"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0.143</w:t>
            </w:r>
          </w:p>
        </w:tc>
        <w:tc>
          <w:tcPr>
            <w:tcW w:w="1772"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25.12</w:t>
            </w:r>
          </w:p>
        </w:tc>
        <w:tc>
          <w:tcPr>
            <w:tcW w:w="1551"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0.000*</w:t>
            </w:r>
          </w:p>
        </w:tc>
      </w:tr>
      <w:tr w:rsidR="004E6020" w:rsidTr="0054157D">
        <w:trPr>
          <w:trHeight w:val="683"/>
        </w:trPr>
        <w:tc>
          <w:tcPr>
            <w:tcW w:w="775"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3</w:t>
            </w:r>
          </w:p>
        </w:tc>
        <w:tc>
          <w:tcPr>
            <w:tcW w:w="2769"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 الاستجابة للمخاطر</w:t>
            </w:r>
          </w:p>
        </w:tc>
        <w:tc>
          <w:tcPr>
            <w:tcW w:w="997"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0.621</w:t>
            </w:r>
          </w:p>
        </w:tc>
        <w:tc>
          <w:tcPr>
            <w:tcW w:w="997"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0.063</w:t>
            </w:r>
          </w:p>
        </w:tc>
        <w:tc>
          <w:tcPr>
            <w:tcW w:w="1772"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12.87</w:t>
            </w:r>
          </w:p>
        </w:tc>
        <w:tc>
          <w:tcPr>
            <w:tcW w:w="1551"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0.001*</w:t>
            </w:r>
          </w:p>
        </w:tc>
      </w:tr>
      <w:tr w:rsidR="004E6020" w:rsidTr="0054157D">
        <w:trPr>
          <w:trHeight w:val="683"/>
        </w:trPr>
        <w:tc>
          <w:tcPr>
            <w:tcW w:w="775"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4</w:t>
            </w:r>
          </w:p>
        </w:tc>
        <w:tc>
          <w:tcPr>
            <w:tcW w:w="2769"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 متابعة المخاطر</w:t>
            </w:r>
          </w:p>
        </w:tc>
        <w:tc>
          <w:tcPr>
            <w:tcW w:w="997"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0.712</w:t>
            </w:r>
          </w:p>
        </w:tc>
        <w:tc>
          <w:tcPr>
            <w:tcW w:w="997"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0.091</w:t>
            </w:r>
          </w:p>
        </w:tc>
        <w:tc>
          <w:tcPr>
            <w:tcW w:w="1772"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24.36</w:t>
            </w:r>
          </w:p>
        </w:tc>
        <w:tc>
          <w:tcPr>
            <w:tcW w:w="1551"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0.000*</w:t>
            </w:r>
          </w:p>
        </w:tc>
      </w:tr>
    </w:tbl>
    <w:p w:rsidR="00BB18E2" w:rsidRDefault="00BB18E2">
      <w:pPr>
        <w:spacing w:after="100" w:line="360" w:lineRule="auto"/>
        <w:ind w:firstLine="283"/>
      </w:pPr>
    </w:p>
    <w:p w:rsidR="0054157D" w:rsidRDefault="00BB18E2" w:rsidP="0054157D">
      <w:pPr>
        <w:spacing w:after="100" w:line="360" w:lineRule="auto"/>
        <w:ind w:firstLine="283"/>
        <w:jc w:val="mediumKashida"/>
        <w:rPr>
          <w:rFonts w:ascii="Simplified Arabic" w:hAnsi="Simplified Arabic" w:cs="Simplified Arabic"/>
          <w:b/>
          <w:bCs/>
          <w:sz w:val="28"/>
          <w:szCs w:val="28"/>
          <w:rtl/>
        </w:rPr>
      </w:pPr>
      <w:r>
        <w:rPr>
          <w:rFonts w:ascii="Simplified Arabic" w:hAnsi="Simplified Arabic" w:cs="Simplified Arabic"/>
          <w:sz w:val="28"/>
          <w:szCs w:val="28"/>
          <w:rtl/>
        </w:rPr>
        <w:t>تُشير نتائج الانحدار الهرمي إلى أن بُعد تحديد المخاطر يُفسّر وحده (41.5%) من التباين في نجاح المشاريع، مما يجعله البُعد الأقوى تأثيراً منفرداً. ويُضيف بُعد تحليل المخاطر (14.3%) إضافية، تليه متابعة المخاطر (9.1%)، وأخيراً الاستجابة (6.3%). وتُثبت قيم ΔR² جميعها دلالتها الإحصائية عند مستوى (α ≤ 0.05)، مما يعني أن كل بُعد يُضيف قيمةً تفسيريةً حقيقيةً مستقلةً عن الأبعاد الأخرى. ويبلغ R² الكلي (0.712)، أي أن هذه الأبعاد الأربعة مجتمعةً تُفسّر 71.2% من التباين الكلي في نجاح مشاريع القطاع العدلي.</w:t>
      </w:r>
    </w:p>
    <w:p w:rsidR="0054157D" w:rsidRDefault="0054157D" w:rsidP="0054157D">
      <w:pPr>
        <w:spacing w:after="100" w:line="360" w:lineRule="auto"/>
        <w:ind w:firstLine="283"/>
        <w:jc w:val="mediumKashida"/>
        <w:rPr>
          <w:rFonts w:ascii="Simplified Arabic" w:hAnsi="Simplified Arabic" w:cs="Simplified Arabic"/>
          <w:b/>
          <w:bCs/>
          <w:sz w:val="28"/>
          <w:szCs w:val="28"/>
          <w:rtl/>
        </w:rPr>
      </w:pPr>
    </w:p>
    <w:p w:rsidR="0054157D" w:rsidRDefault="0054157D" w:rsidP="0054157D">
      <w:pPr>
        <w:spacing w:after="100" w:line="360" w:lineRule="auto"/>
        <w:ind w:firstLine="283"/>
        <w:jc w:val="mediumKashida"/>
        <w:rPr>
          <w:rFonts w:ascii="Simplified Arabic" w:hAnsi="Simplified Arabic" w:cs="Simplified Arabic"/>
          <w:b/>
          <w:bCs/>
          <w:sz w:val="28"/>
          <w:szCs w:val="28"/>
          <w:rtl/>
        </w:rPr>
      </w:pPr>
    </w:p>
    <w:p w:rsidR="0054157D" w:rsidRDefault="0054157D" w:rsidP="0054157D">
      <w:pPr>
        <w:spacing w:after="100" w:line="360" w:lineRule="auto"/>
        <w:ind w:firstLine="283"/>
        <w:jc w:val="mediumKashida"/>
        <w:rPr>
          <w:rFonts w:ascii="Simplified Arabic" w:hAnsi="Simplified Arabic" w:cs="Simplified Arabic"/>
          <w:b/>
          <w:bCs/>
          <w:sz w:val="28"/>
          <w:szCs w:val="28"/>
          <w:rtl/>
        </w:rPr>
      </w:pPr>
    </w:p>
    <w:p w:rsidR="0054157D" w:rsidRDefault="0054157D" w:rsidP="0054157D">
      <w:pPr>
        <w:spacing w:after="100" w:line="360" w:lineRule="auto"/>
        <w:ind w:firstLine="283"/>
        <w:jc w:val="mediumKashida"/>
        <w:rPr>
          <w:rFonts w:ascii="Simplified Arabic" w:hAnsi="Simplified Arabic" w:cs="Simplified Arabic"/>
          <w:b/>
          <w:bCs/>
          <w:sz w:val="28"/>
          <w:szCs w:val="28"/>
          <w:rtl/>
        </w:rPr>
      </w:pPr>
    </w:p>
    <w:p w:rsidR="0054157D" w:rsidRDefault="0054157D" w:rsidP="0054157D">
      <w:pPr>
        <w:spacing w:after="100" w:line="360" w:lineRule="auto"/>
        <w:ind w:firstLine="283"/>
        <w:jc w:val="mediumKashida"/>
        <w:rPr>
          <w:rFonts w:ascii="Simplified Arabic" w:hAnsi="Simplified Arabic" w:cs="Simplified Arabic"/>
          <w:b/>
          <w:bCs/>
          <w:sz w:val="28"/>
          <w:szCs w:val="28"/>
          <w:rtl/>
        </w:rPr>
      </w:pPr>
    </w:p>
    <w:p w:rsidR="0054157D" w:rsidRDefault="0054157D" w:rsidP="0054157D">
      <w:pPr>
        <w:spacing w:after="100" w:line="360" w:lineRule="auto"/>
        <w:ind w:firstLine="283"/>
        <w:jc w:val="mediumKashida"/>
        <w:rPr>
          <w:rFonts w:ascii="Simplified Arabic" w:hAnsi="Simplified Arabic" w:cs="Simplified Arabic"/>
          <w:b/>
          <w:bCs/>
          <w:sz w:val="28"/>
          <w:szCs w:val="28"/>
          <w:rtl/>
        </w:rPr>
      </w:pPr>
    </w:p>
    <w:p w:rsidR="00BB18E2" w:rsidRPr="0054157D" w:rsidRDefault="00BB18E2" w:rsidP="0054157D">
      <w:pPr>
        <w:spacing w:after="100" w:line="360" w:lineRule="auto"/>
        <w:ind w:firstLine="283"/>
        <w:rPr>
          <w:rFonts w:ascii="Simplified Arabic" w:hAnsi="Simplified Arabic" w:cs="Simplified Arabic"/>
          <w:b/>
          <w:bCs/>
          <w:sz w:val="28"/>
          <w:szCs w:val="28"/>
        </w:rPr>
      </w:pPr>
      <w:r>
        <w:rPr>
          <w:rFonts w:ascii="Simplified Arabic" w:hAnsi="Simplified Arabic" w:cs="Simplified Arabic"/>
          <w:b/>
          <w:bCs/>
          <w:sz w:val="28"/>
          <w:szCs w:val="28"/>
          <w:rtl/>
        </w:rPr>
        <w:lastRenderedPageBreak/>
        <w:t>4.8.2 مق</w:t>
      </w:r>
      <w:r w:rsidR="0054157D">
        <w:rPr>
          <w:rFonts w:ascii="Simplified Arabic" w:hAnsi="Simplified Arabic" w:cs="Simplified Arabic"/>
          <w:b/>
          <w:bCs/>
          <w:sz w:val="28"/>
          <w:szCs w:val="28"/>
          <w:rtl/>
        </w:rPr>
        <w:t>ارنة النتائج بالدراسات السابقة:</w:t>
      </w:r>
    </w:p>
    <w:p w:rsidR="00BB18E2" w:rsidRDefault="00913ACB" w:rsidP="0054157D">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23</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مقارنة نتائج الدراسة الحالية بالدراسات السابقة الرئيسة</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0"/>
        <w:gridCol w:w="1707"/>
        <w:gridCol w:w="2605"/>
        <w:gridCol w:w="2488"/>
      </w:tblGrid>
      <w:tr w:rsidR="004E6020" w:rsidTr="0054157D">
        <w:trPr>
          <w:tblHeader/>
        </w:trPr>
        <w:tc>
          <w:tcPr>
            <w:tcW w:w="2200"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المؤشر</w:t>
            </w:r>
          </w:p>
        </w:tc>
        <w:tc>
          <w:tcPr>
            <w:tcW w:w="1707"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الدراسة الحالية</w:t>
            </w:r>
          </w:p>
        </w:tc>
        <w:tc>
          <w:tcPr>
            <w:tcW w:w="2605"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الدراسة المقارنة</w:t>
            </w:r>
          </w:p>
        </w:tc>
        <w:tc>
          <w:tcPr>
            <w:tcW w:w="2488"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التوافق / الفرق</w:t>
            </w:r>
          </w:p>
        </w:tc>
      </w:tr>
      <w:tr w:rsidR="004E6020" w:rsidTr="0054157D">
        <w:tc>
          <w:tcPr>
            <w:tcW w:w="22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R² الكلي</w:t>
            </w:r>
          </w:p>
        </w:tc>
        <w:tc>
          <w:tcPr>
            <w:tcW w:w="1707" w:type="dxa"/>
            <w:shd w:val="clear" w:color="auto" w:fill="E8F4F8"/>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71.2%</w:t>
            </w:r>
          </w:p>
        </w:tc>
        <w:tc>
          <w:tcPr>
            <w:tcW w:w="2605"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المطيري (2021): 35% تحسّن</w:t>
            </w:r>
          </w:p>
        </w:tc>
        <w:tc>
          <w:tcPr>
            <w:tcW w:w="2488"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السياق العدلي أكثر تجانساً</w:t>
            </w:r>
          </w:p>
        </w:tc>
      </w:tr>
      <w:tr w:rsidR="004E6020" w:rsidTr="0054157D">
        <w:tc>
          <w:tcPr>
            <w:tcW w:w="22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تحديد المخاطر</w:t>
            </w:r>
          </w:p>
        </w:tc>
        <w:tc>
          <w:tcPr>
            <w:tcW w:w="1707" w:type="dxa"/>
            <w:shd w:val="clear" w:color="auto" w:fill="FFFFFF"/>
            <w:vAlign w:val="center"/>
          </w:tcPr>
          <w:p w:rsidR="004E6020" w:rsidRDefault="00BB18E2">
            <w:pPr>
              <w:spacing w:before="60" w:after="100" w:line="360" w:lineRule="auto"/>
              <w:jc w:val="center"/>
              <w:rPr>
                <w:rFonts w:ascii="Times New Roman" w:hAnsi="Times New Roman" w:cs="Times New Roman"/>
              </w:rPr>
            </w:pPr>
            <w:r>
              <w:rPr>
                <w:rFonts w:ascii="Times New Roman" w:hAnsi="Times New Roman" w:cs="Times New Roman"/>
                <w:rtl/>
              </w:rPr>
              <w:t>r=0.718</w:t>
            </w:r>
          </w:p>
        </w:tc>
        <w:tc>
          <w:tcPr>
            <w:tcW w:w="2605"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de Bakker: محوري في النجاح</w:t>
            </w:r>
          </w:p>
        </w:tc>
        <w:tc>
          <w:tcPr>
            <w:tcW w:w="2488"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توافق كامل مع الأدبيات</w:t>
            </w:r>
          </w:p>
        </w:tc>
      </w:tr>
      <w:tr w:rsidR="004E6020" w:rsidTr="0054157D">
        <w:tc>
          <w:tcPr>
            <w:tcW w:w="22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تحليل المخاطر</w:t>
            </w:r>
          </w:p>
        </w:tc>
        <w:tc>
          <w:tcPr>
            <w:tcW w:w="1707"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β=0.312 (الأعلى)</w:t>
            </w:r>
          </w:p>
        </w:tc>
        <w:tc>
          <w:tcPr>
            <w:tcW w:w="2605"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PMBOK: الأثر الأكبر للتقييم</w:t>
            </w:r>
          </w:p>
        </w:tc>
        <w:tc>
          <w:tcPr>
            <w:tcW w:w="2488"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توافق: التقييم الدقيق عامل حاسم</w:t>
            </w:r>
          </w:p>
        </w:tc>
      </w:tr>
      <w:tr w:rsidR="004E6020" w:rsidTr="0054157D">
        <w:tc>
          <w:tcPr>
            <w:tcW w:w="2200"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الاستجابة (الأقل)</w:t>
            </w:r>
          </w:p>
        </w:tc>
        <w:tc>
          <w:tcPr>
            <w:tcW w:w="1707"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β=0.189</w:t>
            </w:r>
          </w:p>
        </w:tc>
        <w:tc>
          <w:tcPr>
            <w:tcW w:w="2605"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Sax &amp; Torp: الثقافة وسيط</w:t>
            </w:r>
          </w:p>
        </w:tc>
        <w:tc>
          <w:tcPr>
            <w:tcW w:w="2488"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ضعف الثقافة يُحدّ أثر الاستجابة</w:t>
            </w:r>
          </w:p>
        </w:tc>
      </w:tr>
      <w:tr w:rsidR="004E6020" w:rsidTr="0054157D">
        <w:tc>
          <w:tcPr>
            <w:tcW w:w="2200"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جودة المخرجات</w:t>
            </w:r>
          </w:p>
        </w:tc>
        <w:tc>
          <w:tcPr>
            <w:tcW w:w="1707"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م=4.02 (الأعلى)</w:t>
            </w:r>
          </w:p>
        </w:tc>
        <w:tc>
          <w:tcPr>
            <w:tcW w:w="2605"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الزهراني: تحسّن ملحوظ في العدلي</w:t>
            </w:r>
          </w:p>
        </w:tc>
        <w:tc>
          <w:tcPr>
            <w:tcW w:w="2488"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انتقال نحو مستوى 3 من النضج</w:t>
            </w:r>
          </w:p>
        </w:tc>
      </w:tr>
    </w:tbl>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تكشف هذه المقارنة الشاملة عن توافق جوهري بين نتائج الدراسة الحالية والأدبيات الدولية والمحلية، مع بعض الخصوصية التي تُفرزها طبيعة البيئة العدلية السعودية وخصائصها التشغيلية. ويُعزز ذلك صلاحية النموذج التحليلي المُعتمَد وموثوقية نتائجه.</w:t>
      </w:r>
    </w:p>
    <w:p w:rsidR="0054157D" w:rsidRDefault="0054157D">
      <w:pPr>
        <w:spacing w:after="100" w:line="360" w:lineRule="auto"/>
        <w:ind w:firstLine="283"/>
        <w:rPr>
          <w:rFonts w:ascii="Simplified Arabic" w:hAnsi="Simplified Arabic" w:cs="Simplified Arabic"/>
          <w:sz w:val="28"/>
          <w:szCs w:val="28"/>
          <w:rtl/>
        </w:rPr>
      </w:pPr>
    </w:p>
    <w:p w:rsidR="0054157D" w:rsidRDefault="0054157D">
      <w:pPr>
        <w:spacing w:after="100" w:line="360" w:lineRule="auto"/>
        <w:ind w:firstLine="283"/>
        <w:rPr>
          <w:rFonts w:ascii="Simplified Arabic" w:hAnsi="Simplified Arabic" w:cs="Simplified Arabic"/>
          <w:sz w:val="28"/>
          <w:szCs w:val="28"/>
          <w:rtl/>
        </w:rPr>
      </w:pPr>
    </w:p>
    <w:p w:rsidR="0054157D" w:rsidRDefault="0054157D">
      <w:pPr>
        <w:spacing w:after="100" w:line="360" w:lineRule="auto"/>
        <w:ind w:firstLine="283"/>
        <w:rPr>
          <w:rFonts w:ascii="Simplified Arabic" w:hAnsi="Simplified Arabic" w:cs="Simplified Arabic"/>
          <w:sz w:val="28"/>
          <w:szCs w:val="28"/>
          <w:rtl/>
        </w:rPr>
      </w:pPr>
    </w:p>
    <w:p w:rsidR="0054157D" w:rsidRDefault="0054157D">
      <w:pPr>
        <w:spacing w:after="100" w:line="360" w:lineRule="auto"/>
        <w:ind w:firstLine="283"/>
        <w:rPr>
          <w:rFonts w:ascii="Simplified Arabic" w:hAnsi="Simplified Arabic" w:cs="Simplified Arabic"/>
          <w:sz w:val="28"/>
          <w:szCs w:val="28"/>
          <w:rtl/>
        </w:rPr>
      </w:pPr>
    </w:p>
    <w:p w:rsidR="0054157D" w:rsidRDefault="0054157D">
      <w:pPr>
        <w:spacing w:after="100" w:line="360" w:lineRule="auto"/>
        <w:ind w:firstLine="283"/>
        <w:rPr>
          <w:rFonts w:ascii="Simplified Arabic" w:hAnsi="Simplified Arabic" w:cs="Simplified Arabic"/>
          <w:sz w:val="28"/>
          <w:szCs w:val="28"/>
          <w:rtl/>
        </w:rPr>
      </w:pPr>
    </w:p>
    <w:p w:rsidR="0054157D" w:rsidRDefault="0054157D">
      <w:pPr>
        <w:spacing w:after="100" w:line="360" w:lineRule="auto"/>
        <w:ind w:firstLine="283"/>
        <w:rPr>
          <w:rFonts w:ascii="Simplified Arabic" w:hAnsi="Simplified Arabic" w:cs="Simplified Arabic"/>
          <w:sz w:val="28"/>
          <w:szCs w:val="28"/>
          <w:rtl/>
        </w:rPr>
      </w:pPr>
    </w:p>
    <w:p w:rsidR="0054157D" w:rsidRDefault="0054157D">
      <w:pPr>
        <w:spacing w:after="100" w:line="360" w:lineRule="auto"/>
        <w:ind w:firstLine="283"/>
        <w:rPr>
          <w:rFonts w:ascii="Simplified Arabic" w:hAnsi="Simplified Arabic" w:cs="Simplified Arabic"/>
          <w:sz w:val="28"/>
          <w:szCs w:val="28"/>
          <w:rtl/>
        </w:rPr>
      </w:pPr>
    </w:p>
    <w:p w:rsidR="00BB18E2" w:rsidRPr="0054157D" w:rsidRDefault="00BB18E2" w:rsidP="0054157D">
      <w:pPr>
        <w:jc w:val="center"/>
        <w:rPr>
          <w:rFonts w:ascii="Simplified Arabic" w:hAnsi="Simplified Arabic" w:cs="Simplified Arabic"/>
          <w:rtl/>
        </w:rPr>
      </w:pPr>
      <w:r>
        <w:rPr>
          <w:rFonts w:ascii="Simplified Arabic" w:hAnsi="Simplified Arabic" w:cs="Simplified Arabic"/>
          <w:b/>
          <w:bCs/>
          <w:sz w:val="40"/>
          <w:szCs w:val="40"/>
          <w:rtl/>
        </w:rPr>
        <w:lastRenderedPageBreak/>
        <w:t>الفصل الخامس: مناقشة النتائج والتوصيات</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5.1 مقدمة:</w:t>
      </w:r>
    </w:p>
    <w:p w:rsidR="00BB18E2" w:rsidRPr="0054157D" w:rsidRDefault="00BB18E2" w:rsidP="0054157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يُقدّم هذا الفصل عرضاً تفصيلياً لنتائج الدراسة ومناقشتها في ضوء الإطار النظري والدراسات السابقة، ثم يُقدّم مجموعة شاملة من التوصيات العملية الموجّهة لمتخذي القرار في المؤسسات العدلية لتعزيز تطبيق إدار</w:t>
      </w:r>
      <w:r w:rsidR="0054157D">
        <w:rPr>
          <w:rFonts w:ascii="Simplified Arabic" w:hAnsi="Simplified Arabic" w:cs="Simplified Arabic"/>
          <w:sz w:val="28"/>
          <w:szCs w:val="28"/>
          <w:rtl/>
        </w:rPr>
        <w:t>ة المخاطر وتحسين نجاح المشاريع.</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5.2 النتائج المتعلقة بمتغيرات الدراسة الوصفية: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أظهرت نتائج التحليل الوصفي لعينة الدراسة (80 مستجيباً) جملةً من المؤشرات المهمة: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شكّل الموظفون الفنيون والميدانيون النسبة الأكبر من العينة (43.75%)، مما يعكس طبيعة التوزيع الوظيفي في القطاع العدلي الذي يعتمد على كوادر تنفيذية واسعة.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أشارت البيانات إلى أن 43.75% من أفراد العينة تتراوح خبرتهم بين 5 و10 سنوات، مما يدل على توافر رصيد مهني جيد لدى غالبية المستجيبين.</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جاء التمثيل الأعلى في العينة من منطقة الرياض (43.75%)، وهو أمر منطقي بحكم تركّز الجهات المركزية لوزارة العدل فيها.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أظهرت المتوسطات الحسابية لمحاور إدارة المخاطر مستوى تطبيق مرتفعاً بشكل عام (متوسط كلي = 3.78)، مع وجود بعض الثغرات في مجالات التدريب المتخصص وتوثيق المخاطر.</w:t>
      </w:r>
    </w:p>
    <w:p w:rsidR="00BB18E2" w:rsidRDefault="00BB18E2" w:rsidP="0054157D">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سجّل محور نجاح المشاريع متوسطاً حسابياً مرتفعاً (م = 3.89)، مع تميّز بُعد جودة المخرجات (م = 4.02) مقارنةً ببُعد الالتزام بالتكلفة (م = 3.65).</w:t>
      </w:r>
    </w:p>
    <w:p w:rsidR="0054157D" w:rsidRPr="0054157D" w:rsidRDefault="0054157D" w:rsidP="0054157D">
      <w:pPr>
        <w:spacing w:after="100" w:line="360" w:lineRule="auto"/>
        <w:rPr>
          <w:rFonts w:ascii="Simplified Arabic" w:hAnsi="Simplified Arabic" w:cs="Simplified Arabic"/>
          <w:sz w:val="28"/>
          <w:szCs w:val="28"/>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5.3 النتائج المتعلقة باختبار الفرضيات:</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نتيجة الفرضية الرئيسية:</w:t>
      </w:r>
    </w:p>
    <w:p w:rsidR="00BB18E2" w:rsidRPr="0054157D" w:rsidRDefault="00BB18E2" w:rsidP="0054157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تُقبل الفرضية الرئيسية: يوجد أثر ذو دلالة إحصائية لإدارة المخاطر على نجاح المشاريع في قطاع الخدمات العدلية (R² = 0.712، F = 48.7، p &lt; 0.001). وتُفسّر أبعاد إدارة المخاطر مجتمعةً ما نسبته 71.2% من التباين في نجاح المشاريع. وتنسجم هذه النتيجة مع ما خلص إليه المطيري (2021) بأن المؤسسات التي تبنّت إدارة المخاطر المنهجية شهدت تحسّناً ملموساً في الأداء بنسبة 35%، وتتوافق مع الزهراني (2022) الذي أكّد دور إدارة المخاطر في تقليل ا</w:t>
      </w:r>
      <w:r w:rsidR="0054157D">
        <w:rPr>
          <w:rFonts w:ascii="Simplified Arabic" w:hAnsi="Simplified Arabic" w:cs="Simplified Arabic"/>
          <w:sz w:val="28"/>
          <w:szCs w:val="28"/>
          <w:rtl/>
        </w:rPr>
        <w:t>لتأخيرات في مشاريع وزارة العدل.</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نتيجة الفرضيات الفرعية:</w:t>
      </w:r>
    </w:p>
    <w:p w:rsidR="00BB18E2" w:rsidRPr="0054157D" w:rsidRDefault="00BB18E2" w:rsidP="00434BAD">
      <w:pPr>
        <w:spacing w:after="100" w:line="360" w:lineRule="auto"/>
        <w:ind w:right="-142"/>
        <w:jc w:val="both"/>
        <w:rPr>
          <w:rFonts w:ascii="Simplified Arabic" w:hAnsi="Simplified Arabic" w:cs="Simplified Arabic"/>
          <w:sz w:val="28"/>
          <w:szCs w:val="28"/>
          <w:rtl/>
        </w:rPr>
      </w:pPr>
      <w:r>
        <w:rPr>
          <w:rFonts w:ascii="Simplified Arabic" w:hAnsi="Simplified Arabic" w:cs="Simplified Arabic"/>
          <w:sz w:val="28"/>
          <w:szCs w:val="28"/>
          <w:rtl/>
        </w:rPr>
        <w:t>H1a: تُقبل – يوجد أثر معنوي لتحديد المخاطر على نجاح المشاريع (β = 0.298، t = 5.842، p &lt; 0.001). يدل ذلك على أن كفاءة رصد المخاطر وتوثيقها منذ بداية المشروع يُسهم إسهاماً مباش</w:t>
      </w:r>
      <w:r w:rsidR="0054157D">
        <w:rPr>
          <w:rFonts w:ascii="Simplified Arabic" w:hAnsi="Simplified Arabic" w:cs="Simplified Arabic"/>
          <w:sz w:val="28"/>
          <w:szCs w:val="28"/>
          <w:rtl/>
        </w:rPr>
        <w:t>راً في تحسين نتائجه.</w:t>
      </w:r>
    </w:p>
    <w:p w:rsidR="00BB18E2" w:rsidRPr="0054157D" w:rsidRDefault="00BB18E2" w:rsidP="00434BAD">
      <w:pPr>
        <w:spacing w:after="100" w:line="360" w:lineRule="auto"/>
        <w:ind w:right="-142"/>
        <w:rPr>
          <w:rFonts w:ascii="Simplified Arabic" w:hAnsi="Simplified Arabic" w:cs="Simplified Arabic"/>
          <w:sz w:val="28"/>
          <w:szCs w:val="28"/>
          <w:rtl/>
        </w:rPr>
      </w:pPr>
      <w:r>
        <w:rPr>
          <w:rFonts w:ascii="Simplified Arabic" w:hAnsi="Simplified Arabic" w:cs="Simplified Arabic"/>
          <w:sz w:val="28"/>
          <w:szCs w:val="28"/>
          <w:rtl/>
        </w:rPr>
        <w:t>H1b: تُقبل – يوجد أثر معنوي لتحليل المخاطر وتقييمها على نجاح المشاريع (β = 0.312، t = 6.217، p &lt; 0.001)، وكان هذا البُعد الأكثر تأثيراً بين جميع الأبعاد، مما يؤكد أهمية التقييم الكمي والنوعي ل</w:t>
      </w:r>
      <w:r w:rsidR="0054157D">
        <w:rPr>
          <w:rFonts w:ascii="Simplified Arabic" w:hAnsi="Simplified Arabic" w:cs="Simplified Arabic"/>
          <w:sz w:val="28"/>
          <w:szCs w:val="28"/>
          <w:rtl/>
        </w:rPr>
        <w:t>لمخاطر في توجيه قرارات الإدارة.</w:t>
      </w:r>
    </w:p>
    <w:p w:rsidR="00434BAD" w:rsidRDefault="00BB18E2" w:rsidP="00434BAD">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H1c: تُقبل – يوجد أثر معنوي للاستجابة للمخاطر على نجاح المشاريع (β = 0.189، t = 4.031، p = 0.002). وعلى الرغم من أن هذا البُعد جاء أدنى قيمةً بين الأبعاد الأربعة، إلا أنه لا يزال دالاً إحصا</w:t>
      </w:r>
      <w:r w:rsidR="0054157D">
        <w:rPr>
          <w:rFonts w:ascii="Simplified Arabic" w:hAnsi="Simplified Arabic" w:cs="Simplified Arabic"/>
          <w:sz w:val="28"/>
          <w:szCs w:val="28"/>
          <w:rtl/>
        </w:rPr>
        <w:t>ئياً ومؤثراً على نجاح المشاريع.</w:t>
      </w:r>
    </w:p>
    <w:p w:rsidR="00BB18E2" w:rsidRPr="00434BAD" w:rsidRDefault="00BB18E2" w:rsidP="00434BAD">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H1d: تُقبل – يوجد أثر معنوي لمتابعة المخاطر ومراجعتها على نجاح المشاريع (β = 0.285، t = 5.905، p &lt; 0.001)، مما يؤكد أن الاستمرارية في مراجعة خطط المخاطر وتحديثها ركيزة</w:t>
      </w:r>
      <w:r w:rsidR="00434BAD">
        <w:rPr>
          <w:rFonts w:ascii="Simplified Arabic" w:hAnsi="Simplified Arabic" w:cs="Simplified Arabic"/>
          <w:sz w:val="28"/>
          <w:szCs w:val="28"/>
          <w:rtl/>
        </w:rPr>
        <w:t xml:space="preserve"> أساسية لاستدامة نجاح المشاريع.</w:t>
      </w:r>
    </w:p>
    <w:p w:rsidR="00BB18E2" w:rsidRPr="00434BAD" w:rsidRDefault="00BB18E2" w:rsidP="00434BAD">
      <w:pPr>
        <w:spacing w:before="200" w:after="100" w:line="240" w:lineRule="auto"/>
        <w:rPr>
          <w:rFonts w:ascii="Simplified Arabic" w:hAnsi="Simplified Arabic" w:cs="Simplified Arabic"/>
          <w:b/>
          <w:bCs/>
          <w:sz w:val="32"/>
          <w:szCs w:val="32"/>
        </w:rPr>
      </w:pPr>
      <w:r>
        <w:rPr>
          <w:rFonts w:ascii="Simplified Arabic" w:hAnsi="Simplified Arabic" w:cs="Simplified Arabic"/>
          <w:b/>
          <w:bCs/>
          <w:sz w:val="32"/>
          <w:szCs w:val="32"/>
          <w:rtl/>
        </w:rPr>
        <w:t>5.7 تفسير ال</w:t>
      </w:r>
      <w:r w:rsidR="00434BAD">
        <w:rPr>
          <w:rFonts w:ascii="Simplified Arabic" w:hAnsi="Simplified Arabic" w:cs="Simplified Arabic"/>
          <w:b/>
          <w:bCs/>
          <w:sz w:val="32"/>
          <w:szCs w:val="32"/>
          <w:rtl/>
        </w:rPr>
        <w:t>نتائج في ضوء النظريات المعتمدة:</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المستوى الأول – الأثر المباشر لإدارة المخاطر:</w:t>
      </w:r>
    </w:p>
    <w:p w:rsidR="00BB18E2" w:rsidRPr="00434BAD" w:rsidRDefault="00BB18E2" w:rsidP="00434BA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 xml:space="preserve">أثبتت الدراسة أن إدارة المخاطر بأبعادها الأربعة تُؤثّر تأثيراً مباشراً وموجباً على نجاح المشاريع العدلية (β_كلي=0.748، p&lt;0.001). يتوافق هذا الأثر المباشر مع افتراضات نموذج المدخل الوقائي الذي يفترض أن التعامل الاستباقي مع المخاطر قبل تحوّلها إلى أزمات يُقلّل التكاليف التصحيحية ويحسّن مؤشرات النجاح. ويمكن تفسير آلية هذا الأثر على النحو الآتي: رصد المخاطر المبكر يمنح الفريق الإداري وقتاً كافياً للتهيؤ والاستعداد، والتقييم الدقيق يُحسّن توزيع الموارد نحو الأولويات الحقيقية، وخطط الاستجابة المُعدّة مسبقاً تُقلّل الانحرافات في التنفيذ، والمتابعة المستمرة تضمن </w:t>
      </w:r>
      <w:r w:rsidR="00434BAD">
        <w:rPr>
          <w:rFonts w:ascii="Simplified Arabic" w:hAnsi="Simplified Arabic" w:cs="Simplified Arabic"/>
          <w:sz w:val="28"/>
          <w:szCs w:val="28"/>
          <w:rtl/>
        </w:rPr>
        <w:t>التصحيح الفوري لأي انزياح يطرأ.</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المستوى الثاني – الأثر التفاضلي بين الأبعاد:</w:t>
      </w:r>
    </w:p>
    <w:p w:rsidR="00BB18E2" w:rsidRPr="00434BAD" w:rsidRDefault="00BB18E2" w:rsidP="00434BA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 xml:space="preserve">تميّز بُعد تحليل المخاطر بأعلى معامل انحدار (β=0.312)، وهو ما يعكس أن دقة التقييم وترتيب الأولويات هي القيمة الأكثر أهمية في البيئة العدلية. فطبيعة المشاريع العدلية التي تتسم بتعقيد هيكلي وتشابك مؤسسي تجعل الفارق في الأداء يعتمد بدرجة كبيرة على جودة القرار المبني على تحليل منهجي للمخاطر لا على مجرد حدسها أو تفادي ذكرها. أما تفوّق بُعد تحديد المخاطر في R² الهرمي (41.5%) فيكشف أن مجرد امتلاك المؤسسة لآلية واضحة لرصد المخاطر يُشكّل قفزةً نوعيةً في مستوى نجاح المشاريع، وهذا الرصد المبكر يمثل الفارق الجوهري بين المؤسسات الأكثر نضجاً في إدارة المخاطر والأقل نضجاً. في المقابل، جاء أثر بُعد الاستجابة الأدنى بين الأبعاد، مما يُشير إلى قصور في تحويل تقييم </w:t>
      </w:r>
      <w:r>
        <w:rPr>
          <w:rFonts w:ascii="Simplified Arabic" w:hAnsi="Simplified Arabic" w:cs="Simplified Arabic"/>
          <w:sz w:val="28"/>
          <w:szCs w:val="28"/>
          <w:rtl/>
        </w:rPr>
        <w:lastRenderedPageBreak/>
        <w:t>المخاطر إلى خطط استجابة مُنفَّذة فعلياً، وهو قصور مرتبط بضعف التدريب التخصصي على استراتيجيات الاست</w:t>
      </w:r>
      <w:r w:rsidR="00434BAD">
        <w:rPr>
          <w:rFonts w:ascii="Simplified Arabic" w:hAnsi="Simplified Arabic" w:cs="Simplified Arabic"/>
          <w:sz w:val="28"/>
          <w:szCs w:val="28"/>
          <w:rtl/>
        </w:rPr>
        <w:t>جابة المتقدمة في القطاع العدلي.</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المستوى الثالث – التفسير في ضوء نموذج نضج ERM:</w:t>
      </w:r>
    </w:p>
    <w:p w:rsidR="00BB18E2" w:rsidRPr="00434BAD" w:rsidRDefault="00BB18E2" w:rsidP="00434BA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تؤكد نتائج الدراسة من منظور نظرية ERM ونموذج Oliva (2016) أن المؤسسات العدلية السعودية تقع في مرحلة انتقالية بين المستوى الثاني (المُدار) والمستوى الثالث (المُعرَّف). ويتجلى ذلك في: ارتفاع مؤشرات بُعدي تحديد المخاطر وتحليلها مما يُشير إلى وجود ممارسات رسمية معقولة، مقابل وجود فجوات في بُعدي الاستجابة والثقافة التنظيمية مما يُشير إلى عدم اكتمال التطبيق المؤسسي الشامل. وهذا التشخيص يُوفّر قاعدةً واقعيةً للنموذج التطو</w:t>
      </w:r>
      <w:r w:rsidR="00434BAD">
        <w:rPr>
          <w:rFonts w:ascii="Simplified Arabic" w:hAnsi="Simplified Arabic" w:cs="Simplified Arabic"/>
          <w:sz w:val="28"/>
          <w:szCs w:val="28"/>
          <w:rtl/>
        </w:rPr>
        <w:t>يري المقترح في نهاية هذا الفصل.</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5.8 الآثار النظرية للدراسة: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تُقدّم الدراسة جملةً من الإسهامات النظرية التي تُثري الأدبيات الأكاديمية: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التأكيد التجريبي لنموذج PMBOK في بيئة حكومية عربية: أثبتت الدراسة صلاحية نموذج PMBOK في تفسير نجاح المشاريع الحكومية في البيئة العدلية السعودية، مما يُعزز قابليته للتعميم عبر السياقات الثقافية والحوكمية المختلفة.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الإسهام في نماذج نضج إدارة المخاطر في القطاع العام: تُقدّم الدراسة دليلاً ميدانياً على مستوى نضج إدارة المخاطر في القطاع العدلي السعودي، وهو مستوى لم تُرصد بياناته التجريبية في الأدبيات سابقاً.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التوافق مع نظرية المدخل الوقائي: يُعزز R²=0.712 الدليلَ التجريبي على أن الاستباقية في التعامل مع المخاطر تُسهم إسهاماً جوهرياً في نجاح المشاريع الحكومية.</w:t>
      </w:r>
    </w:p>
    <w:p w:rsidR="00BB18E2" w:rsidRPr="00434BAD" w:rsidRDefault="00BB18E2" w:rsidP="00434BAD">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lastRenderedPageBreak/>
        <w:t>إثراء مفهوم نجاح المشاريع في السياق العدلي: تُقدّم الدراسة نموذجاً تطبيقياً لقياس نجاح المشاريع العدلية بأبعاد متعددة وفق المرحلة الثالثة من تطور المفهوم.</w:t>
      </w:r>
    </w:p>
    <w:p w:rsidR="00BB18E2" w:rsidRPr="00434BAD" w:rsidRDefault="00434BAD" w:rsidP="00434BAD">
      <w:pPr>
        <w:spacing w:before="200" w:after="100" w:line="240" w:lineRule="auto"/>
        <w:rPr>
          <w:rFonts w:ascii="Simplified Arabic" w:hAnsi="Simplified Arabic" w:cs="Simplified Arabic"/>
          <w:b/>
          <w:bCs/>
          <w:sz w:val="32"/>
          <w:szCs w:val="32"/>
        </w:rPr>
      </w:pPr>
      <w:r>
        <w:rPr>
          <w:rFonts w:ascii="Simplified Arabic" w:hAnsi="Simplified Arabic" w:cs="Simplified Arabic"/>
          <w:b/>
          <w:bCs/>
          <w:sz w:val="32"/>
          <w:szCs w:val="32"/>
          <w:rtl/>
        </w:rPr>
        <w:t>5.9 الآثار التطبيقية للدراسة:</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على مستوى وزارة العدل:</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الاستثمار الاستراتيجي في رفع نضج إدارة المخاطر من المستوى الثاني إلى الثالث من خلال: توحيد الإجراءات وتوثيقها وإلزامية تطبيقها ودمجها في نظام الحوكمة المؤسسية.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إنشاء مركز وطني لبيانات مخاطر المشاريع العدلية يُتيح الاستفادة من التجارب السابقة وتجنّب تكرار الأخطاء الإدارية في المشاريع الجديدة.</w:t>
      </w:r>
    </w:p>
    <w:p w:rsidR="00BB18E2" w:rsidRPr="00434BAD" w:rsidRDefault="00BB18E2" w:rsidP="00434BAD">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ربط ترقيات مديري المشاريع جزئياً بمؤشرات إدارة المخاطر في مشاريعهم لتحفيز الاهتمام المؤسسي الفعلي بهذا المجال.</w:t>
      </w: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على مستوى المشاريع العدلية الكبرى:</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إلزامية إعداد تقرير تقييم مخاطر شامل عند إعداد دراسات الجدوى لأي مشروع عدلي تتجاوز تكلفته خمسة ملايين ريال.</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اشتراط وجود مسؤول متخصص لإدارة مخاطر المشروع في أي مشروع يستمر لأكثر من ستة أشهر.</w:t>
      </w:r>
    </w:p>
    <w:p w:rsidR="00BB18E2" w:rsidRDefault="00BB18E2" w:rsidP="00434BAD">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 xml:space="preserve">تخصيص 5-8% من ميزانية المشروع احتياطياً للطوارئ بناءً </w:t>
      </w:r>
      <w:r w:rsidR="00434BAD">
        <w:rPr>
          <w:rFonts w:ascii="Simplified Arabic" w:hAnsi="Simplified Arabic" w:cs="Simplified Arabic"/>
          <w:sz w:val="28"/>
          <w:szCs w:val="28"/>
          <w:rtl/>
        </w:rPr>
        <w:t>على نتائج التقييم الكمي للمخاطر</w:t>
      </w:r>
      <w:r w:rsidR="00434BAD">
        <w:rPr>
          <w:rFonts w:ascii="Simplified Arabic" w:hAnsi="Simplified Arabic" w:cs="Simplified Arabic" w:hint="cs"/>
          <w:sz w:val="28"/>
          <w:szCs w:val="28"/>
          <w:rtl/>
        </w:rPr>
        <w:t>.</w:t>
      </w:r>
    </w:p>
    <w:p w:rsidR="00434BAD" w:rsidRDefault="00434BAD" w:rsidP="00434BAD">
      <w:pPr>
        <w:spacing w:after="100" w:line="360" w:lineRule="auto"/>
        <w:rPr>
          <w:rFonts w:ascii="Simplified Arabic" w:hAnsi="Simplified Arabic" w:cs="Simplified Arabic"/>
          <w:sz w:val="28"/>
          <w:szCs w:val="28"/>
          <w:rtl/>
        </w:rPr>
      </w:pPr>
    </w:p>
    <w:p w:rsidR="00434BAD" w:rsidRPr="00434BAD" w:rsidRDefault="00434BAD" w:rsidP="00434BAD">
      <w:pPr>
        <w:spacing w:after="100" w:line="360" w:lineRule="auto"/>
        <w:rPr>
          <w:rFonts w:ascii="Simplified Arabic" w:hAnsi="Simplified Arabic" w:cs="Simplified Arabic"/>
          <w:sz w:val="28"/>
          <w:szCs w:val="28"/>
        </w:rPr>
      </w:pPr>
    </w:p>
    <w:p w:rsidR="00BB18E2" w:rsidRDefault="00BB18E2">
      <w:pPr>
        <w:spacing w:before="20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على مستوى الكوادر البشرية: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إطلاق برنامج وطني متخصص في إدارة مخاطر المشاريع العدلية بالشراكة مع معهد الإدارة العامة أو جامعة الملك عبدالعزيز.</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اشتراط الحصول على شهادة مهنية معتمدة (PMI-RMP أو ما يعادلها) لشغل مناصب مدير المشروع في المشاريع العدلية الكبرى.</w:t>
      </w:r>
    </w:p>
    <w:p w:rsidR="00BB18E2" w:rsidRPr="00434BAD" w:rsidRDefault="00BB18E2" w:rsidP="00434BAD">
      <w:pPr>
        <w:numPr>
          <w:ilvl w:val="0"/>
          <w:numId w:val="4"/>
        </w:numPr>
        <w:spacing w:after="100" w:line="360" w:lineRule="auto"/>
        <w:rPr>
          <w:rFonts w:ascii="Simplified Arabic" w:hAnsi="Simplified Arabic" w:cs="Simplified Arabic"/>
          <w:sz w:val="28"/>
          <w:szCs w:val="28"/>
        </w:rPr>
      </w:pPr>
      <w:r>
        <w:rPr>
          <w:rFonts w:ascii="Simplified Arabic" w:hAnsi="Simplified Arabic" w:cs="Simplified Arabic"/>
          <w:sz w:val="28"/>
          <w:szCs w:val="28"/>
          <w:rtl/>
        </w:rPr>
        <w:t>دمج مفاهيم إدارة مخاطر المشاريع في برامج التأهيل الوظيفي لموظفي إدارات التطوير والجودة بوزارة العدل.</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5.10 تحليل نقدي للقيود المنهجية: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يستلزم الصدق العلمي الإشارةَ إلى القيود المنهجية للدراسة وأثرها المحتمل على تفسير النتائج:</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القيود المتعلقة بالعينة: تقتصر العينة على ثلاث مناطق رئيسة، وقد لا تُمثّل واقع المناطق الإدارية الأصغر التي قد تواجه تحديات مختلفة في تطبيق إدارة المخاطر. ويُنصح بدراسات مستقبلية تشمل جميع مناطق المملكة.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القيود المتعلقة بالمنهج: اعتماد الاستبانة كأداة وحيدة للبيانات قد يُفضي إلى تحيّز طريقة القياس، وإن كانت نتائج اختبار Harman قد خفّفت من هذه المخاوف.</w:t>
      </w:r>
    </w:p>
    <w:p w:rsidR="004A2AD4" w:rsidRDefault="00C74FB5">
      <w:p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القيود المتعلقة بارتفاع معامل التحديد: بلغ R²=0.712 وهو مرتفع نسبياً في الدراسات ذات المصدر الواحد. ويرى Podsakoff et al. (2003) أن هذا الارتفاع قد يعكس جزئياً تضخيم التفسير الناتج عن التحيّز المنهجي المشترك (Common Method Variance). وقد أشارت نتائج اختبار Harman (26.4%) إلى غياب تحيّز جوهري، غير أنه يُوصى بالتحقق من هذه النتيجة في دراسات مستقبلية تعتمد مصادر بيانات متعددة أو تصميماً طولياً.</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القيود الزمنية: تُمثّل الدراسة مقطعاً زمنياً واحداً لا يُتيح تتبّع تطور مستوى إدارة المخاطر ونجاح المشاريع على مدى زمني أطول.</w:t>
      </w:r>
    </w:p>
    <w:p w:rsidR="00BB18E2" w:rsidRDefault="00BB18E2" w:rsidP="002F025A">
      <w:pPr>
        <w:numPr>
          <w:ilvl w:val="0"/>
          <w:numId w:val="4"/>
        </w:numPr>
        <w:spacing w:after="100" w:line="360" w:lineRule="auto"/>
        <w:ind w:firstLine="283"/>
      </w:pPr>
      <w:r w:rsidRPr="00434BAD">
        <w:rPr>
          <w:rFonts w:ascii="Simplified Arabic" w:hAnsi="Simplified Arabic" w:cs="Simplified Arabic"/>
          <w:sz w:val="28"/>
          <w:szCs w:val="28"/>
          <w:rtl/>
        </w:rPr>
        <w:t>القيود المتعلقة بالمتغيرات: لم تتناول الدراسة المتغيرات الوسيطة كالثقافة التنظيمية ودعم القيادة بشكل تفصيلي، وهو ما يُوصى بفحصه في دراسات لاحقة.</w:t>
      </w:r>
    </w:p>
    <w:p w:rsidR="00BB18E2" w:rsidRDefault="00BB18E2">
      <w:pPr>
        <w:spacing w:before="200" w:after="10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5.11 النموذج المقترح لتطوير إدارة المخاطر في القطاع العدلي: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استناداً إلى نتائج الدراسة وتوصياتها ونموذج Oliva للنضج، تُقترح خارطة الطريق التالية لتطوير منظومة إدارة المخاطر في القطاع العدلي السعودي عبر أربع مراحل متتالية:</w:t>
      </w:r>
    </w:p>
    <w:p w:rsidR="00BB18E2" w:rsidRDefault="00913ACB" w:rsidP="00434BAD">
      <w:pPr>
        <w:spacing w:before="160"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24</w:t>
      </w:r>
      <w:r>
        <w:rPr>
          <w:rFonts w:ascii="Simplified Arabic" w:hAnsi="Simplified Arabic" w:cs="Simplified Arabic"/>
          <w:b/>
          <w:bCs/>
          <w:sz w:val="28"/>
          <w:szCs w:val="28"/>
          <w:rtl/>
        </w:rPr>
        <w:t>)</w:t>
      </w:r>
      <w:r w:rsidR="00BB18E2">
        <w:rPr>
          <w:rFonts w:ascii="Simplified Arabic" w:hAnsi="Simplified Arabic" w:cs="Simplified Arabic"/>
          <w:b/>
          <w:bCs/>
          <w:sz w:val="28"/>
          <w:szCs w:val="28"/>
          <w:rtl/>
        </w:rPr>
        <w:t>: خارطة الطريق المقترحة لتطوير إدارة المخاطر في القطاع العدلي</w:t>
      </w:r>
    </w:p>
    <w:tbl>
      <w:tblPr>
        <w:bidiVisual/>
        <w:tblW w:w="9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1303"/>
        <w:gridCol w:w="4783"/>
        <w:gridCol w:w="2598"/>
      </w:tblGrid>
      <w:tr w:rsidR="004E6020" w:rsidTr="00434BAD">
        <w:trPr>
          <w:trHeight w:val="357"/>
          <w:tblHeader/>
        </w:trPr>
        <w:tc>
          <w:tcPr>
            <w:tcW w:w="1002"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المرحلة</w:t>
            </w:r>
          </w:p>
        </w:tc>
        <w:tc>
          <w:tcPr>
            <w:tcW w:w="1303"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الأفق الزمني</w:t>
            </w:r>
          </w:p>
        </w:tc>
        <w:tc>
          <w:tcPr>
            <w:tcW w:w="4783"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المبادرات الرئيسة</w:t>
            </w:r>
          </w:p>
        </w:tc>
        <w:tc>
          <w:tcPr>
            <w:tcW w:w="2598" w:type="dxa"/>
            <w:shd w:val="clear" w:color="auto" w:fill="1F97C4"/>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b/>
                <w:bCs/>
                <w:rtl/>
              </w:rPr>
              <w:t>مؤشرات النجاح</w:t>
            </w:r>
          </w:p>
        </w:tc>
      </w:tr>
      <w:tr w:rsidR="004E6020" w:rsidTr="00434BAD">
        <w:trPr>
          <w:trHeight w:val="638"/>
        </w:trPr>
        <w:tc>
          <w:tcPr>
            <w:tcW w:w="1002"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التأسيس</w:t>
            </w:r>
          </w:p>
        </w:tc>
        <w:tc>
          <w:tcPr>
            <w:tcW w:w="130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السنة الأولى</w:t>
            </w:r>
          </w:p>
        </w:tc>
        <w:tc>
          <w:tcPr>
            <w:tcW w:w="478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إنشاء الوحدة المركزية + اعتماد السياسات + برامج التدريب الأساسي</w:t>
            </w:r>
          </w:p>
        </w:tc>
        <w:tc>
          <w:tcPr>
            <w:tcW w:w="2598"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اعتماد سياسة رسمية + تغطية 40% من المشاريع</w:t>
            </w:r>
          </w:p>
        </w:tc>
      </w:tr>
      <w:tr w:rsidR="004E6020" w:rsidTr="00434BAD">
        <w:trPr>
          <w:trHeight w:val="638"/>
        </w:trPr>
        <w:tc>
          <w:tcPr>
            <w:tcW w:w="1002"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التطوير</w:t>
            </w:r>
          </w:p>
        </w:tc>
        <w:tc>
          <w:tcPr>
            <w:tcW w:w="1303"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السنة الثانية</w:t>
            </w:r>
          </w:p>
        </w:tc>
        <w:tc>
          <w:tcPr>
            <w:tcW w:w="4783"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تطبيق السجل الوطني للمخاطر + التحليل الكمي + التوسع الجغرافي</w:t>
            </w:r>
          </w:p>
        </w:tc>
        <w:tc>
          <w:tcPr>
            <w:tcW w:w="2598"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تغطية 80% من المشاريع + انخفاض تعثّر 15%</w:t>
            </w:r>
          </w:p>
        </w:tc>
      </w:tr>
      <w:tr w:rsidR="004E6020" w:rsidTr="00434BAD">
        <w:trPr>
          <w:trHeight w:val="638"/>
        </w:trPr>
        <w:tc>
          <w:tcPr>
            <w:tcW w:w="1002"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التكامل</w:t>
            </w:r>
          </w:p>
        </w:tc>
        <w:tc>
          <w:tcPr>
            <w:tcW w:w="130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السنة الثالثة</w:t>
            </w:r>
          </w:p>
        </w:tc>
        <w:tc>
          <w:tcPr>
            <w:tcW w:w="4783"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دمج إدارة المخاطر في الحوكمة + أنظمة ذكية + ربط KPI</w:t>
            </w:r>
          </w:p>
        </w:tc>
        <w:tc>
          <w:tcPr>
            <w:tcW w:w="2598" w:type="dxa"/>
            <w:shd w:val="clear" w:color="auto" w:fill="E8F4F8"/>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المستوى الرابع من نموذج Oliva</w:t>
            </w:r>
          </w:p>
        </w:tc>
      </w:tr>
      <w:tr w:rsidR="004E6020" w:rsidTr="00434BAD">
        <w:trPr>
          <w:trHeight w:val="420"/>
        </w:trPr>
        <w:tc>
          <w:tcPr>
            <w:tcW w:w="1002"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الاستدامة</w:t>
            </w:r>
          </w:p>
        </w:tc>
        <w:tc>
          <w:tcPr>
            <w:tcW w:w="1303"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السنة الرابعة+</w:t>
            </w:r>
          </w:p>
        </w:tc>
        <w:tc>
          <w:tcPr>
            <w:tcW w:w="4783"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تحسين مستمر + شراكات دولية + بنشمارك</w:t>
            </w:r>
          </w:p>
        </w:tc>
        <w:tc>
          <w:tcPr>
            <w:tcW w:w="2598" w:type="dxa"/>
            <w:shd w:val="clear" w:color="auto" w:fill="FFFFFF"/>
            <w:vAlign w:val="center"/>
          </w:tcPr>
          <w:p w:rsidR="004E6020" w:rsidRDefault="00BB18E2">
            <w:pPr>
              <w:spacing w:before="60" w:after="100" w:line="360" w:lineRule="auto"/>
              <w:jc w:val="center"/>
              <w:rPr>
                <w:rFonts w:ascii="Simplified Arabic" w:hAnsi="Simplified Arabic" w:cs="Simplified Arabic"/>
                <w:rtl/>
              </w:rPr>
            </w:pPr>
            <w:r>
              <w:rPr>
                <w:rFonts w:ascii="Simplified Arabic" w:hAnsi="Simplified Arabic" w:cs="Simplified Arabic"/>
                <w:rtl/>
              </w:rPr>
              <w:t>المستوى الخامس + اعتراف دولي</w:t>
            </w:r>
          </w:p>
        </w:tc>
      </w:tr>
    </w:tbl>
    <w:p w:rsidR="00BB18E2" w:rsidRDefault="00BB18E2">
      <w:pPr>
        <w:spacing w:after="100" w:line="360" w:lineRule="auto"/>
        <w:ind w:firstLine="283"/>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يُمثّل هذا النموذج خارطة طريق عملية مُصمَّمة وفق إمكانيات القطاع العدلي الحالية وقيوده المؤسسية، وتُقدّم تسلسلاً تراكمياً للتطوير يُمكّن كل مرحلة لاحقة من البناء على إنجازات سابقتها. ويُمكن تبنّيه كأساس لخطة استراتيجية متكاملة لتطوير إدارة المخاطر في وزارة العدل والمؤسسات العدلية التابعة لها على مستوى المملكة.</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5.4 التوصيات:</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أولًا: على المستوى الاستراتيجي: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إنشاء إدارة مركزية متخصصة لإدارة المخاطر في وزارة العدل تتولى وضع السياسات العامة وإصدار الأدلة الإرشادية ومتابعة التطبيق في جميع الوحدات العدلية.</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دمج إدارة المخاطر ضمن منظومة الحوكمة المؤسسية بحيث تصبح متطلباً إلزامياً في دورة اعتماد وتنفيذ أي مشروع عدلي.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تضمين تقييم المخاطر في جميع مراحل دورة حياة المشاريع من الدراسات الأولية حتى الإغلاق النهائي والتقييم الأثري.</w:t>
      </w:r>
    </w:p>
    <w:p w:rsidR="00BB18E2" w:rsidRPr="00434BAD" w:rsidRDefault="00BB18E2" w:rsidP="00434BAD">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اعتماد إطار وطني موحّد لإدارة مخاطر المشاريع العدلية يستند إلى معايير ISO 31000 مع مراعاة خصوصية البيئة التنظيمية السعودية.</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ثانيًا: على المستوى التنفيذي: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إعداد سجل وطني للمخاطر العدلية يُوثّق جميع المخاطر المرصودة في المشاريع السابقة ويُتيح تبادل الخبرات بين الوحدات المختلفة بما يُرسّخ مبدأ التعلّم المؤسسي.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إطلاق برامج تدريب متخصصة لمديري المشاريع والمشرفين حول أدوات التحليل الكمي للمخاطر (SPSS، Excel Advanced Analysis، أدوات الذكاء الاصطناعي).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استخدام أنظمة تقنية ذكية لرصد المخاطر في الوقت الفعلي وربطها بلوحات مؤشرات الأداء (KPI Dashboards) لضمان الاستجابة السريعة للانحرافات.</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تفعيل دور لجان المراجعة الداخلية في التحقق من تطبيق سياسات إدارة المخاطر وإصدار تقارير دورية عن مستوى الالتزام.</w:t>
      </w: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ثالثًا: على المستوى الثقافي والتنظيمي: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تعزيز ثقافة إدارة المخاطر بين العاملين من خلال تضمينها في برامج التوجيه الوظيفي وإدراج مؤشرات إدارة المخاطر ضمن معايير تقييم الأداء السنوي.</w:t>
      </w:r>
    </w:p>
    <w:p w:rsidR="00BB18E2" w:rsidRDefault="00BB18E2">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نشر تقارير دورية شفافة عن مستوى إدارة المخاطر في المشاريع تُبرز الدروس المستفادة وأفضل الممارسات لتحفيز الوحدات الأخرى.</w:t>
      </w:r>
    </w:p>
    <w:p w:rsidR="00BB18E2" w:rsidRPr="00434BAD" w:rsidRDefault="00BB18E2" w:rsidP="00434BAD">
      <w:pPr>
        <w:numPr>
          <w:ilvl w:val="0"/>
          <w:numId w:val="4"/>
        </w:numPr>
        <w:spacing w:after="100" w:line="360" w:lineRule="auto"/>
        <w:rPr>
          <w:rFonts w:ascii="Simplified Arabic" w:hAnsi="Simplified Arabic" w:cs="Simplified Arabic"/>
          <w:sz w:val="28"/>
          <w:szCs w:val="28"/>
          <w:rtl/>
        </w:rPr>
      </w:pPr>
      <w:r>
        <w:rPr>
          <w:rFonts w:ascii="Simplified Arabic" w:hAnsi="Simplified Arabic" w:cs="Simplified Arabic"/>
          <w:sz w:val="28"/>
          <w:szCs w:val="28"/>
          <w:rtl/>
        </w:rPr>
        <w:t xml:space="preserve">تحفيز الإدارات المتميزة في تطبيق إدارة المخاطر عبر جوائز التميز المؤسسي الداخلية لترسيخ ثقافة الريادة في </w:t>
      </w:r>
      <w:proofErr w:type="spellStart"/>
      <w:r>
        <w:rPr>
          <w:rFonts w:ascii="Simplified Arabic" w:hAnsi="Simplified Arabic" w:cs="Simplified Arabic"/>
          <w:sz w:val="28"/>
          <w:szCs w:val="28"/>
          <w:rtl/>
        </w:rPr>
        <w:t>الحوكمة</w:t>
      </w:r>
      <w:proofErr w:type="spellEnd"/>
      <w:r>
        <w:rPr>
          <w:rFonts w:ascii="Simplified Arabic" w:hAnsi="Simplified Arabic" w:cs="Simplified Arabic"/>
          <w:sz w:val="28"/>
          <w:szCs w:val="28"/>
          <w:rtl/>
        </w:rPr>
        <w:t>.</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5.5 مقترحات للدراسات المستقبلية:</w:t>
      </w:r>
    </w:p>
    <w:p w:rsidR="00BB18E2" w:rsidRDefault="00BB18E2" w:rsidP="00434BAD">
      <w:pPr>
        <w:numPr>
          <w:ilvl w:val="0"/>
          <w:numId w:val="4"/>
        </w:numPr>
        <w:spacing w:after="100" w:line="360" w:lineRule="auto"/>
        <w:ind w:left="425"/>
        <w:rPr>
          <w:rFonts w:ascii="Simplified Arabic" w:hAnsi="Simplified Arabic" w:cs="Simplified Arabic"/>
          <w:sz w:val="28"/>
          <w:szCs w:val="28"/>
          <w:rtl/>
        </w:rPr>
      </w:pPr>
      <w:r>
        <w:rPr>
          <w:rFonts w:ascii="Simplified Arabic" w:hAnsi="Simplified Arabic" w:cs="Simplified Arabic"/>
          <w:sz w:val="28"/>
          <w:szCs w:val="28"/>
          <w:rtl/>
        </w:rPr>
        <w:t>إجراء دراسة مقارنة بين مستوى إدارة المخاطر في القطاعات الحكومية المختلفة (العدلي، الصحي، التعليمي) لاستخلاص أفضل الممارسات.</w:t>
      </w:r>
    </w:p>
    <w:p w:rsidR="00BB18E2" w:rsidRDefault="00BB18E2" w:rsidP="00434BAD">
      <w:pPr>
        <w:numPr>
          <w:ilvl w:val="0"/>
          <w:numId w:val="4"/>
        </w:numPr>
        <w:spacing w:after="100" w:line="360" w:lineRule="auto"/>
        <w:ind w:left="425"/>
        <w:rPr>
          <w:rFonts w:ascii="Simplified Arabic" w:hAnsi="Simplified Arabic" w:cs="Simplified Arabic"/>
          <w:sz w:val="28"/>
          <w:szCs w:val="28"/>
          <w:rtl/>
        </w:rPr>
      </w:pPr>
      <w:r>
        <w:rPr>
          <w:rFonts w:ascii="Simplified Arabic" w:hAnsi="Simplified Arabic" w:cs="Simplified Arabic"/>
          <w:sz w:val="28"/>
          <w:szCs w:val="28"/>
          <w:rtl/>
        </w:rPr>
        <w:t>دراسة الدور الوسيط للثقافة التنظيمية في تعزيز العلاقة بين إدارة المخاطر ونجاح المشاريع الحكومية.</w:t>
      </w:r>
    </w:p>
    <w:p w:rsidR="00BB18E2" w:rsidRDefault="00BB18E2" w:rsidP="00434BAD">
      <w:pPr>
        <w:numPr>
          <w:ilvl w:val="0"/>
          <w:numId w:val="4"/>
        </w:numPr>
        <w:spacing w:after="100" w:line="360" w:lineRule="auto"/>
        <w:ind w:left="425"/>
        <w:rPr>
          <w:rFonts w:ascii="Simplified Arabic" w:hAnsi="Simplified Arabic" w:cs="Simplified Arabic"/>
          <w:sz w:val="28"/>
          <w:szCs w:val="28"/>
          <w:rtl/>
        </w:rPr>
      </w:pPr>
      <w:r>
        <w:rPr>
          <w:rFonts w:ascii="Simplified Arabic" w:hAnsi="Simplified Arabic" w:cs="Simplified Arabic"/>
          <w:sz w:val="28"/>
          <w:szCs w:val="28"/>
          <w:rtl/>
        </w:rPr>
        <w:t>بناء نموذج إحصائي تنبّؤي لتقدير احتمالات تعثّر المشاريع العدلية استناداً إلى بيانات تاريخية موثّقة.</w:t>
      </w:r>
    </w:p>
    <w:p w:rsidR="00BB18E2" w:rsidRDefault="00BB18E2" w:rsidP="00434BAD">
      <w:pPr>
        <w:numPr>
          <w:ilvl w:val="0"/>
          <w:numId w:val="4"/>
        </w:numPr>
        <w:spacing w:after="100" w:line="360" w:lineRule="auto"/>
        <w:ind w:left="425"/>
        <w:rPr>
          <w:rFonts w:ascii="Simplified Arabic" w:hAnsi="Simplified Arabic" w:cs="Simplified Arabic"/>
          <w:sz w:val="28"/>
          <w:szCs w:val="28"/>
          <w:rtl/>
        </w:rPr>
      </w:pPr>
      <w:r>
        <w:rPr>
          <w:rFonts w:ascii="Simplified Arabic" w:hAnsi="Simplified Arabic" w:cs="Simplified Arabic"/>
          <w:sz w:val="28"/>
          <w:szCs w:val="28"/>
          <w:rtl/>
        </w:rPr>
        <w:t>دراسة أثر التحول الرقمي في وزارة العدل على مستوى فاعلية إدارة المخاطر وجودة الخدمات العدلية المقدمة.</w:t>
      </w:r>
    </w:p>
    <w:p w:rsidR="00BB18E2" w:rsidRDefault="00BB18E2" w:rsidP="00434BAD">
      <w:pPr>
        <w:numPr>
          <w:ilvl w:val="0"/>
          <w:numId w:val="4"/>
        </w:numPr>
        <w:spacing w:after="100" w:line="360" w:lineRule="auto"/>
        <w:ind w:left="425"/>
        <w:rPr>
          <w:rFonts w:ascii="Simplified Arabic" w:hAnsi="Simplified Arabic" w:cs="Simplified Arabic"/>
          <w:sz w:val="28"/>
          <w:szCs w:val="28"/>
          <w:rtl/>
        </w:rPr>
      </w:pPr>
      <w:r>
        <w:rPr>
          <w:rFonts w:ascii="Simplified Arabic" w:hAnsi="Simplified Arabic" w:cs="Simplified Arabic"/>
          <w:sz w:val="28"/>
          <w:szCs w:val="28"/>
          <w:rtl/>
        </w:rPr>
        <w:t>تقييم مدى انعكاس تطبيق رؤية المملكة 2030 على تطور ممارسات إدارة المخاطر في القطاع العدلي.</w:t>
      </w:r>
    </w:p>
    <w:p w:rsidR="00BB18E2" w:rsidRDefault="00BB18E2">
      <w:pPr>
        <w:spacing w:after="100" w:line="360" w:lineRule="auto"/>
        <w:ind w:firstLine="283"/>
        <w:rPr>
          <w:rtl/>
        </w:rPr>
      </w:pPr>
    </w:p>
    <w:p w:rsidR="00434BAD" w:rsidRDefault="00434BAD">
      <w:pPr>
        <w:spacing w:after="100" w:line="360" w:lineRule="auto"/>
        <w:ind w:firstLine="283"/>
        <w:rPr>
          <w:rtl/>
        </w:rPr>
      </w:pPr>
    </w:p>
    <w:p w:rsidR="00434BAD" w:rsidRDefault="00434BAD">
      <w:pPr>
        <w:spacing w:after="100" w:line="360" w:lineRule="auto"/>
        <w:ind w:firstLine="283"/>
        <w:rPr>
          <w:rtl/>
        </w:rPr>
      </w:pPr>
    </w:p>
    <w:p w:rsidR="00434BAD" w:rsidRDefault="00434BAD">
      <w:pPr>
        <w:spacing w:after="100" w:line="360" w:lineRule="auto"/>
        <w:ind w:firstLine="283"/>
        <w:rPr>
          <w:rtl/>
        </w:rPr>
      </w:pPr>
    </w:p>
    <w:p w:rsidR="00434BAD" w:rsidRDefault="00434BAD">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5.6 خاتمة: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أكّدت هذه الدراسة أن إدارة المخاطر لم تعد خياراً إدارياً اختيارياً، بل باتت ضرورة استراتيجية لا غنى عنها في منظومة إدارة المشاريع الحكومية المعاصرة. وفي ضوء التحولات الجذرية التي تشهدها المؤسسات العدلية في إطار رؤية المملكة 2030، فإن تطبيق منهجية متكاملة ومؤسسية لإدارة المخاطر سيُسهم في تحقيق أهداف العدالة الناجزة، ورفع كفاءة التنفيذ، وتقليل معدلات التعثّر.</w:t>
      </w:r>
    </w:p>
    <w:p w:rsidR="00BB18E2" w:rsidRPr="00434BAD" w:rsidRDefault="00BB18E2" w:rsidP="00434BA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 xml:space="preserve">كما تفتح هذه الدراسة آفاقاً بحثية جديدة للباحثين في مجال الإدارة العامة لتطوير نماذج محلية لإدارة المخاطر تتناسب مع البيئة السعودية وثقافتها التنظيمية. ومن شأن تبنّي نتائجها وتوصياتها أن يُسهم في تعزيز التميّز المؤسسي، وتحقيق استدامة الأداء، وتحسين جودة الخدمات العدلية المقدّمة للمواطنين في جميع </w:t>
      </w:r>
      <w:r w:rsidR="00434BAD">
        <w:rPr>
          <w:rFonts w:ascii="Simplified Arabic" w:hAnsi="Simplified Arabic" w:cs="Simplified Arabic"/>
          <w:sz w:val="28"/>
          <w:szCs w:val="28"/>
          <w:rtl/>
        </w:rPr>
        <w:t>مناطق المملكة العربية السعودية.</w:t>
      </w:r>
    </w:p>
    <w:p w:rsidR="00BB18E2" w:rsidRPr="00434BAD" w:rsidRDefault="00BB18E2" w:rsidP="00434BAD">
      <w:pPr>
        <w:spacing w:after="100" w:line="360" w:lineRule="auto"/>
        <w:ind w:firstLine="283"/>
        <w:rPr>
          <w:rFonts w:ascii="Simplified Arabic" w:hAnsi="Simplified Arabic" w:cs="Simplified Arabic"/>
          <w:sz w:val="28"/>
          <w:szCs w:val="28"/>
        </w:rPr>
      </w:pPr>
      <w:r>
        <w:rPr>
          <w:rFonts w:ascii="Simplified Arabic" w:hAnsi="Simplified Arabic" w:cs="Simplified Arabic"/>
          <w:sz w:val="28"/>
          <w:szCs w:val="28"/>
          <w:rtl/>
        </w:rPr>
        <w:t>ومما يُعزز أهمية هذه الدراسة وتوقيتها أن قطاع الخدمات العدلية في المملكة يمر بمرحلة تحول استراتيجي كبير في إطار برنامج تطوير منظومة العدالة ضمن رؤية 2030، وهو برنامج يستلزم تنفيذ مشاريع تحول رقمي وتطوير تشريعي وتحديث بنية تحتية بصورة متزامنة. هذا التكثيف الاستثنائي للمشاريع يُضاعف من ضرورة إدارة المخاطر ويجعل المخاطر الناجمة عن غيابها أكثر تكلفةً وأبعد أثراً. ومن هنا، فإن نتائج هذه الدراسة تأتي في الوقت المناسب لتُقدّم للمسؤولين في وزارة العدل والجهات المشرفة دليلاً علمياً موثّقاً على أهمية الاستثمار في إدارة المخاطر بوصفها ركيزة</w:t>
      </w:r>
      <w:r w:rsidR="00434BAD">
        <w:rPr>
          <w:rFonts w:ascii="Simplified Arabic" w:hAnsi="Simplified Arabic" w:cs="Simplified Arabic"/>
          <w:sz w:val="28"/>
          <w:szCs w:val="28"/>
          <w:rtl/>
        </w:rPr>
        <w:t>ً استراتيجيةً لا تكلفةً إضافية.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وفي ضوء ما تقدّم، يمكن القول إن هذه الدراسة تُسهم إسهاماً مزدوجاً: على المستوى النظري بتقديم دليل تجريبي جديد يُثري الأدبيات في مجال إدارة المخاطر الحكومية في البيئة العربية، وعلى المستوى التطبيقي بتقديم خارطة طريق عملية وقابلة للتنفيذ لتطوير منظومة إدارة المخاطر في القطاع العدلي السعودي. وسيظل البحث في هذا المجال مفتوحاً لأجيال من الباحثين الذين يتناولون جوانب أعمق كالمتغيرات </w:t>
      </w:r>
      <w:r>
        <w:rPr>
          <w:rFonts w:ascii="Simplified Arabic" w:hAnsi="Simplified Arabic" w:cs="Simplified Arabic"/>
          <w:sz w:val="28"/>
          <w:szCs w:val="28"/>
          <w:rtl/>
        </w:rPr>
        <w:lastRenderedPageBreak/>
        <w:t>الوسيطة، وأثر الذكاء الاصطناعي في إدارة مخاطر المشاريع، وتقييم الأثر طويل الأمد لتطبيق مبادئ نظرية ERM على استدامة الأداء المؤسسي في المنظمات العدلية.</w:t>
      </w:r>
    </w:p>
    <w:p w:rsidR="00BB18E2" w:rsidRDefault="00BB18E2">
      <w:pPr>
        <w:spacing w:after="100" w:line="360" w:lineRule="auto"/>
        <w:ind w:firstLine="283"/>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434BAD" w:rsidRDefault="00434BAD">
      <w:pPr>
        <w:jc w:val="center"/>
        <w:rPr>
          <w:rFonts w:ascii="Simplified Arabic" w:hAnsi="Simplified Arabic" w:cs="Simplified Arabic"/>
          <w:b/>
          <w:bCs/>
          <w:sz w:val="40"/>
          <w:szCs w:val="40"/>
          <w:rtl/>
        </w:rPr>
      </w:pPr>
    </w:p>
    <w:p w:rsidR="00BB18E2" w:rsidRPr="00434BAD" w:rsidRDefault="00BB18E2" w:rsidP="00434BAD">
      <w:pPr>
        <w:jc w:val="center"/>
        <w:rPr>
          <w:rFonts w:ascii="Simplified Arabic" w:hAnsi="Simplified Arabic" w:cs="Simplified Arabic"/>
          <w:rtl/>
        </w:rPr>
      </w:pPr>
      <w:r>
        <w:rPr>
          <w:rFonts w:ascii="Simplified Arabic" w:hAnsi="Simplified Arabic" w:cs="Simplified Arabic"/>
          <w:b/>
          <w:bCs/>
          <w:sz w:val="40"/>
          <w:szCs w:val="40"/>
          <w:rtl/>
        </w:rPr>
        <w:lastRenderedPageBreak/>
        <w:t>المراجع</w:t>
      </w:r>
    </w:p>
    <w:p w:rsidR="00BB18E2" w:rsidRPr="00434BAD" w:rsidRDefault="00434BAD" w:rsidP="00434BAD">
      <w:pPr>
        <w:rPr>
          <w:rFonts w:ascii="Simplified Arabic" w:hAnsi="Simplified Arabic" w:cs="Simplified Arabic"/>
          <w:b/>
          <w:bCs/>
          <w:sz w:val="32"/>
          <w:szCs w:val="32"/>
          <w:rtl/>
        </w:rPr>
      </w:pPr>
      <w:r>
        <w:rPr>
          <w:rFonts w:ascii="Simplified Arabic" w:hAnsi="Simplified Arabic" w:cs="Simplified Arabic"/>
          <w:b/>
          <w:bCs/>
          <w:sz w:val="32"/>
          <w:szCs w:val="32"/>
          <w:rtl/>
        </w:rPr>
        <w:t>أولاً: المراجع العربية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 xml:space="preserve">1. إبراهيم، ياسر </w:t>
      </w:r>
      <w:proofErr w:type="gramStart"/>
      <w:r>
        <w:rPr>
          <w:rFonts w:ascii="Simplified Arabic" w:hAnsi="Simplified Arabic" w:cs="Simplified Arabic"/>
          <w:sz w:val="28"/>
          <w:szCs w:val="28"/>
          <w:rtl/>
        </w:rPr>
        <w:t>عبدالله</w:t>
      </w:r>
      <w:proofErr w:type="gramEnd"/>
      <w:r>
        <w:rPr>
          <w:rFonts w:ascii="Simplified Arabic" w:hAnsi="Simplified Arabic" w:cs="Simplified Arabic"/>
          <w:sz w:val="28"/>
          <w:szCs w:val="28"/>
          <w:rtl/>
        </w:rPr>
        <w:t xml:space="preserve"> عبدالعال، ومحمد، محمد سعد. (2023). دور ممارسات الإدارة الاستراتيجية في الأداء التنظيمي: الدور الوسيط لعملية إدارة المخاطر. المجلة العلمية للدراسات التجارية والبيئية، 14(3)، 279-305.</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2. السالم، خالد. (2020). إدارة المشاريع الحكومية في المملكة العربية السعودية. دار الصالح، الرياض.</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3. الزهراني، عبد الإله. (2022). حوكمة إدارة المشاريع في البيئة العدلية السعودية. جامعة الإمام محمد بن سعود الإسلامية.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4. المطيري، ناصر. (2021). العلاقة بين إدارة المخاطر والأداء المؤسسي في الأجهزة الحكومية. مجلة الإدارة الحديثة، (15).</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5. الخالدي، محمد. (2023). تطبيق إدارة المخاطر في المؤسسات الحكومية السعودية وفق رؤية 2030. مجلة الاقتصاد والإدارة، جامعة الملك عبدالعزيز.</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6. الشهري، عبدالله. (2019). العوامل المؤثرة في نجاح المشاريع الحكومية في المملكة العربية السعودية. رسالة ماجستير، جامعة نايف العربية للعلوم الأمنية.</w:t>
      </w:r>
    </w:p>
    <w:p w:rsidR="00434BAD" w:rsidRDefault="00BB18E2" w:rsidP="00434BA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7. العنزي، فهد. (2022). نموذج متكامل لإدارة المخاطر في القطاع العام السعودي. مركز البحوث الإدارية، معهد الإدارة العامة.</w:t>
      </w:r>
    </w:p>
    <w:p w:rsidR="00BB18E2" w:rsidRDefault="00BB18E2" w:rsidP="00434BA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8. وزارة المالية. (2024). دليل إدارة المخاطر في المشاريع الحكومية. الرياض: وكالة سياسات الحوكمة.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lastRenderedPageBreak/>
        <w:t>9. وزارة العدل. (2023). التقرير السنوي لأداء المشاريع العدلية. الرياض: الإدارة العامة للتطوير.</w:t>
      </w:r>
    </w:p>
    <w:p w:rsidR="00BB18E2" w:rsidRPr="00434BAD" w:rsidRDefault="00BB18E2" w:rsidP="00434BAD">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10. هيئة الحكومة الرقمية. (2025). الدليل الإرشادي لإدارة المخاطر واستمرارية الأعمال للحكومة الرقمية. الريا</w:t>
      </w:r>
      <w:r w:rsidR="00434BAD">
        <w:rPr>
          <w:rFonts w:ascii="Simplified Arabic" w:hAnsi="Simplified Arabic" w:cs="Simplified Arabic"/>
          <w:sz w:val="28"/>
          <w:szCs w:val="28"/>
          <w:rtl/>
        </w:rPr>
        <w:t>ض.</w:t>
      </w: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ثانياً: المراجع الأجنبية</w:t>
      </w:r>
    </w:p>
    <w:p w:rsidR="00BB18E2" w:rsidRDefault="00BB18E2">
      <w:pPr>
        <w:spacing w:after="100" w:line="360" w:lineRule="auto"/>
        <w:ind w:firstLine="283"/>
        <w:rPr>
          <w:rtl/>
        </w:rPr>
      </w:pP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1. Alawattegama, K. K. (2018). The impact of enterprise risk management on firm performance: Evidences from Sri Lankan banking and finance industry. International Journal of Scientific Research and Innovative Technology, 5(1), 1-12.</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2. Bromiley, P., McShane, M., Nair, A., &amp; Rustambekov, E. (2015). Enterprise risk management: Review, critique, and research directions. Long Range Planning, 48(4), 265-276.</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3. Hopkin, P. (2018). Fundamentals of Risk Management: Understanding, Evaluating and Implementing Effective Risk Management (5th ed.). Kogan Page Publishers.</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4. ISO 31000:2018. (2018). Risk Management – Guidelines. International Organization for Standardization.</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5. Oliva, F. L. (2016). A maturity model for enterprise risk management. International Journal of Production Economics, 173, 66-79.</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6. PMI. (2021). A Guide to the Project Management Body of Knowledge (PMBOK® Guide) – Seventh Edition. Project Management Institute.</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7. Sax, J., &amp; Torp, S. S. (2015). Speak up! Enhancing risk performance with enterprise risk management, leadership style and employee voice. Management Decision, 53(7), 1452-1468.</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8. Aven, T. (2016). Risk assessment and risk management: Review of recent advances on their foundation. European Journal of Operational Research, 253(1), 1-13.</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9. de Bakker, K., Boonstra, A., &amp; Wortmann, H. (2010). Does risk management contribute to IT project success? A meta-analysis of empirical evidence. International Journal of Project Management, 28(5), 493-503.</w:t>
      </w: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tl/>
        </w:rPr>
        <w:t>10. Hillson, D., &amp; Murray-Webster, R. (2017). Understanding and Managing Risk Attitude (2nd ed.). Routledge.</w:t>
      </w:r>
    </w:p>
    <w:p w:rsidR="00BB18E2" w:rsidRDefault="00BB18E2">
      <w:pPr>
        <w:pageBreakBefore/>
        <w:spacing w:after="100" w:line="360" w:lineRule="auto"/>
        <w:ind w:firstLine="283"/>
        <w:rPr>
          <w:rtl/>
        </w:rPr>
      </w:pPr>
    </w:p>
    <w:p w:rsidR="00BB18E2" w:rsidRDefault="00BB18E2">
      <w:pPr>
        <w:jc w:val="center"/>
        <w:rPr>
          <w:rFonts w:ascii="Simplified Arabic" w:hAnsi="Simplified Arabic" w:cs="Simplified Arabic"/>
          <w:rtl/>
        </w:rPr>
      </w:pPr>
      <w:r>
        <w:rPr>
          <w:rFonts w:ascii="Simplified Arabic" w:hAnsi="Simplified Arabic" w:cs="Simplified Arabic"/>
          <w:b/>
          <w:bCs/>
          <w:sz w:val="40"/>
          <w:szCs w:val="40"/>
          <w:rtl/>
        </w:rPr>
        <w:t>الملاحق</w:t>
      </w:r>
    </w:p>
    <w:p w:rsidR="00BB18E2" w:rsidRDefault="00BB18E2">
      <w:pPr>
        <w:spacing w:after="100" w:line="360" w:lineRule="auto"/>
        <w:ind w:firstLine="283"/>
        <w:rPr>
          <w:rtl/>
        </w:rPr>
      </w:pPr>
    </w:p>
    <w:p w:rsidR="00BB18E2" w:rsidRDefault="00BB18E2">
      <w:pPr>
        <w:rPr>
          <w:rFonts w:ascii="Simplified Arabic" w:hAnsi="Simplified Arabic" w:cs="Simplified Arabic"/>
          <w:b/>
          <w:bCs/>
          <w:sz w:val="32"/>
          <w:szCs w:val="32"/>
          <w:rtl/>
        </w:rPr>
      </w:pPr>
      <w:r>
        <w:rPr>
          <w:rFonts w:ascii="Simplified Arabic" w:hAnsi="Simplified Arabic" w:cs="Simplified Arabic"/>
          <w:b/>
          <w:bCs/>
          <w:sz w:val="32"/>
          <w:szCs w:val="32"/>
          <w:rtl/>
        </w:rPr>
        <w:t>الملحق (1): استمارة الاستبانة</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جامعة ميدأوشن – كلية الإدارة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استبانة بحثية حول: أثر إدارة المخاطر على نجاح المشاريع في المؤسسات الخدمية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دراسة تطبيقية على قطاع الخدمات العدلية في المملكة العربية السعودية</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حضرة الموظف/ة الكريم/ة، السلام عليكم ورحمة الله وبركاته، يسعد الباحث وضع هذه الاستبانة بين يديكم في إطار إعداد رسالة الماجستير في إدارة الأعمال. أرجو التكرم بالإجابة عن جميع فقراتها بموضوعية وصدق، علماً بأن هذه المعلومات ستبقى سرية ولن تُستخدم إلا لأغراض البحث العلمي.</w:t>
      </w:r>
    </w:p>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الجزء الأول: البيانات الديموغرافية</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1. المسمى الوظيفي:    ☐ مدير مشروع       ☐ مشرف وحدة       ☐ موظف فني / ميداني</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2. سنوات الخبرة:       ☐ أقل من 5 سنوات   ☐ 5 إلى 10 سنوات  ☐ أكثر من 10 سنوات</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3. المنطقة الإدارية:  ☐ الرياض            ☐ مكة المكرمة      ☐ المنطقة الشرقية   ☐ أخرى</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4. المستوى التعليمي:  ☐ بكالوريوس         ☐ ماجستير           ☐ دكتوراه            ☐ أخرى</w:t>
      </w:r>
    </w:p>
    <w:p w:rsidR="00BB18E2" w:rsidRDefault="00BB18E2">
      <w:pPr>
        <w:spacing w:after="100" w:line="360" w:lineRule="auto"/>
        <w:ind w:firstLine="283"/>
        <w:rPr>
          <w:rtl/>
        </w:rPr>
      </w:pPr>
    </w:p>
    <w:p w:rsidR="00F33905" w:rsidRDefault="00F33905">
      <w:pPr>
        <w:spacing w:after="100" w:line="360" w:lineRule="auto"/>
        <w:ind w:firstLine="283"/>
        <w:rPr>
          <w:rtl/>
        </w:rPr>
      </w:pPr>
    </w:p>
    <w:p w:rsidR="00BB18E2" w:rsidRDefault="00BB18E2">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الجزء الثاني: محاور الدراسة</w:t>
      </w:r>
    </w:p>
    <w:p w:rsidR="00BB18E2" w:rsidRDefault="00913ACB">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يُرجى وضع إشارة (</w:t>
      </w:r>
      <w:r w:rsidR="00C3046A">
        <w:rPr>
          <w:rFonts w:ascii="Segoe MDL2 Assets" w:hAnsi="Segoe MDL2 Assets" w:cs="Simplified Arabic"/>
          <w:sz w:val="28"/>
          <w:szCs w:val="28"/>
        </w:rPr>
        <w:t></w:t>
      </w:r>
      <w:r w:rsidR="00BB18E2">
        <w:rPr>
          <w:rFonts w:ascii="Simplified Arabic" w:hAnsi="Simplified Arabic" w:cs="Simplified Arabic"/>
          <w:sz w:val="28"/>
          <w:szCs w:val="28"/>
          <w:rtl/>
        </w:rPr>
        <w:t>) في الخانة المناسبة:</w:t>
      </w:r>
    </w:p>
    <w:p w:rsidR="00BB18E2" w:rsidRPr="00F33905" w:rsidRDefault="00BB18E2" w:rsidP="00F33905">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5 = أوافق بشدة    4 = أوافق    3 = محايد    2 = ل</w:t>
      </w:r>
      <w:r w:rsidR="00F33905">
        <w:rPr>
          <w:rFonts w:ascii="Simplified Arabic" w:hAnsi="Simplified Arabic" w:cs="Simplified Arabic"/>
          <w:sz w:val="28"/>
          <w:szCs w:val="28"/>
          <w:rtl/>
        </w:rPr>
        <w:t>ا أوافق    1 = لا أوافق إطلاقاً</w:t>
      </w:r>
    </w:p>
    <w:p w:rsidR="00BB18E2" w:rsidRDefault="00BB18E2" w:rsidP="00C3046A">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جدول</w:t>
      </w:r>
      <w:r w:rsidR="00C3046A">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أولاً: تحديد المخاطر</w:t>
      </w:r>
    </w:p>
    <w:tbl>
      <w:tblPr>
        <w:bidiVisual/>
        <w:tblW w:w="9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2"/>
        <w:gridCol w:w="6276"/>
        <w:gridCol w:w="512"/>
        <w:gridCol w:w="512"/>
        <w:gridCol w:w="512"/>
        <w:gridCol w:w="512"/>
        <w:gridCol w:w="512"/>
      </w:tblGrid>
      <w:tr w:rsidR="004E6020" w:rsidTr="00F33905">
        <w:trPr>
          <w:trHeight w:val="276"/>
          <w:tblHeader/>
        </w:trPr>
        <w:tc>
          <w:tcPr>
            <w:tcW w:w="51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6276"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51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5</w:t>
            </w:r>
          </w:p>
        </w:tc>
        <w:tc>
          <w:tcPr>
            <w:tcW w:w="51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4</w:t>
            </w:r>
          </w:p>
        </w:tc>
        <w:tc>
          <w:tcPr>
            <w:tcW w:w="51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3</w:t>
            </w:r>
          </w:p>
        </w:tc>
        <w:tc>
          <w:tcPr>
            <w:tcW w:w="51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2</w:t>
            </w:r>
          </w:p>
        </w:tc>
        <w:tc>
          <w:tcPr>
            <w:tcW w:w="51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1</w:t>
            </w:r>
          </w:p>
        </w:tc>
      </w:tr>
      <w:tr w:rsidR="004E6020" w:rsidTr="00F33905">
        <w:trPr>
          <w:trHeight w:val="276"/>
        </w:trPr>
        <w:tc>
          <w:tcPr>
            <w:tcW w:w="512"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w:t>
            </w:r>
          </w:p>
        </w:tc>
        <w:tc>
          <w:tcPr>
            <w:tcW w:w="627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تحدد الجهة المخاطر المحتملة قبل بدء المشروع بصورة منهجية</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6"/>
        </w:trPr>
        <w:tc>
          <w:tcPr>
            <w:tcW w:w="512"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w:t>
            </w:r>
          </w:p>
        </w:tc>
        <w:tc>
          <w:tcPr>
            <w:tcW w:w="6276"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يُشرك أصحاب المصلحة في عملية تحديد المخاطر</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6"/>
        </w:trPr>
        <w:tc>
          <w:tcPr>
            <w:tcW w:w="512"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3</w:t>
            </w:r>
          </w:p>
        </w:tc>
        <w:tc>
          <w:tcPr>
            <w:tcW w:w="627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يُعدّ سجل مخاطر شامل يضم جميع المخاطر المحتملة</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6"/>
        </w:trPr>
        <w:tc>
          <w:tcPr>
            <w:tcW w:w="512"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4</w:t>
            </w:r>
          </w:p>
        </w:tc>
        <w:tc>
          <w:tcPr>
            <w:tcW w:w="6276"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تحديد المخاطر في جميع مراحل دورة حياة المشروع</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6"/>
        </w:trPr>
        <w:tc>
          <w:tcPr>
            <w:tcW w:w="512"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5</w:t>
            </w:r>
          </w:p>
        </w:tc>
        <w:tc>
          <w:tcPr>
            <w:tcW w:w="6276"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توجد أدوات ونماذج موثّقة لتحديد المخاطر</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6"/>
        </w:trPr>
        <w:tc>
          <w:tcPr>
            <w:tcW w:w="512"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6</w:t>
            </w:r>
          </w:p>
        </w:tc>
        <w:tc>
          <w:tcPr>
            <w:tcW w:w="6276"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يشارك الموظفون الميدانيون في عملية تحديد المخاطر</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bl>
    <w:p w:rsidR="00BB18E2" w:rsidRDefault="00BB18E2">
      <w:pPr>
        <w:spacing w:after="100" w:line="360" w:lineRule="auto"/>
        <w:ind w:firstLine="283"/>
        <w:rPr>
          <w:rtl/>
        </w:rPr>
      </w:pPr>
    </w:p>
    <w:p w:rsidR="00BB18E2" w:rsidRDefault="00C3046A" w:rsidP="00C3046A">
      <w:pPr>
        <w:spacing w:after="100" w:line="360" w:lineRule="auto"/>
        <w:ind w:firstLine="283"/>
        <w:rPr>
          <w:rFonts w:ascii="Simplified Arabic" w:hAnsi="Simplified Arabic" w:cs="Simplified Arabic"/>
          <w:b/>
          <w:bCs/>
          <w:sz w:val="28"/>
          <w:szCs w:val="28"/>
          <w:rtl/>
        </w:rPr>
      </w:pPr>
      <w:proofErr w:type="gramStart"/>
      <w:r>
        <w:rPr>
          <w:rFonts w:ascii="Simplified Arabic" w:hAnsi="Simplified Arabic" w:cs="Simplified Arabic"/>
          <w:b/>
          <w:bCs/>
          <w:sz w:val="28"/>
          <w:szCs w:val="28"/>
          <w:rtl/>
        </w:rPr>
        <w:t xml:space="preserve">جدول </w:t>
      </w:r>
      <w:r w:rsidR="00BB18E2">
        <w:rPr>
          <w:rFonts w:ascii="Simplified Arabic" w:hAnsi="Simplified Arabic" w:cs="Simplified Arabic"/>
          <w:b/>
          <w:bCs/>
          <w:sz w:val="28"/>
          <w:szCs w:val="28"/>
          <w:rtl/>
        </w:rPr>
        <w:t>:</w:t>
      </w:r>
      <w:proofErr w:type="gramEnd"/>
      <w:r w:rsidR="00BB18E2">
        <w:rPr>
          <w:rFonts w:ascii="Simplified Arabic" w:hAnsi="Simplified Arabic" w:cs="Simplified Arabic"/>
          <w:b/>
          <w:bCs/>
          <w:sz w:val="28"/>
          <w:szCs w:val="28"/>
          <w:rtl/>
        </w:rPr>
        <w:t xml:space="preserve"> ثانياً: تحليل المخاطر وتقييمها</w:t>
      </w:r>
    </w:p>
    <w:tbl>
      <w:tblPr>
        <w:bidiVisual/>
        <w:tblW w:w="9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6182"/>
        <w:gridCol w:w="508"/>
        <w:gridCol w:w="508"/>
        <w:gridCol w:w="508"/>
        <w:gridCol w:w="508"/>
        <w:gridCol w:w="508"/>
      </w:tblGrid>
      <w:tr w:rsidR="004E6020" w:rsidTr="00F33905">
        <w:trPr>
          <w:trHeight w:val="279"/>
          <w:tblHeader/>
        </w:trPr>
        <w:tc>
          <w:tcPr>
            <w:tcW w:w="57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6182"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508"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5</w:t>
            </w:r>
          </w:p>
        </w:tc>
        <w:tc>
          <w:tcPr>
            <w:tcW w:w="508"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4</w:t>
            </w:r>
          </w:p>
        </w:tc>
        <w:tc>
          <w:tcPr>
            <w:tcW w:w="508"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3</w:t>
            </w:r>
          </w:p>
        </w:tc>
        <w:tc>
          <w:tcPr>
            <w:tcW w:w="508"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2</w:t>
            </w:r>
          </w:p>
        </w:tc>
        <w:tc>
          <w:tcPr>
            <w:tcW w:w="508"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1</w:t>
            </w:r>
          </w:p>
        </w:tc>
      </w:tr>
      <w:tr w:rsidR="004E6020" w:rsidTr="00F33905">
        <w:trPr>
          <w:trHeight w:val="279"/>
        </w:trPr>
        <w:tc>
          <w:tcPr>
            <w:tcW w:w="57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7</w:t>
            </w:r>
          </w:p>
        </w:tc>
        <w:tc>
          <w:tcPr>
            <w:tcW w:w="618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تستخدم الجهة أدوات كمية ونوعية لتقييم المخاطر</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9"/>
        </w:trPr>
        <w:tc>
          <w:tcPr>
            <w:tcW w:w="57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8</w:t>
            </w:r>
          </w:p>
        </w:tc>
        <w:tc>
          <w:tcPr>
            <w:tcW w:w="618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تصنيف المخاطر حسب درجة احتمالها وتأثيرها</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9"/>
        </w:trPr>
        <w:tc>
          <w:tcPr>
            <w:tcW w:w="57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9</w:t>
            </w:r>
          </w:p>
        </w:tc>
        <w:tc>
          <w:tcPr>
            <w:tcW w:w="618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تُستخدم مصفوفة الاحتمال والتأثير في تقييم المخاطر</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9"/>
        </w:trPr>
        <w:tc>
          <w:tcPr>
            <w:tcW w:w="57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10</w:t>
            </w:r>
          </w:p>
        </w:tc>
        <w:tc>
          <w:tcPr>
            <w:tcW w:w="618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ترتيب المخاطر حسب أولويتها قبل الاستجابة</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9"/>
        </w:trPr>
        <w:tc>
          <w:tcPr>
            <w:tcW w:w="57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11</w:t>
            </w:r>
          </w:p>
        </w:tc>
        <w:tc>
          <w:tcPr>
            <w:tcW w:w="6182"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تُراعى البيانات التاريخية في تقييم المخاطر</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79"/>
        </w:trPr>
        <w:tc>
          <w:tcPr>
            <w:tcW w:w="57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12</w:t>
            </w:r>
          </w:p>
        </w:tc>
        <w:tc>
          <w:tcPr>
            <w:tcW w:w="6182"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يُشارك متخصصون في تحليل المخاطر التقنية</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bl>
    <w:p w:rsidR="00BB18E2" w:rsidRDefault="00BB18E2">
      <w:pPr>
        <w:spacing w:after="100" w:line="360" w:lineRule="auto"/>
        <w:ind w:firstLine="283"/>
        <w:rPr>
          <w:rtl/>
        </w:rPr>
      </w:pPr>
    </w:p>
    <w:p w:rsidR="00BB18E2" w:rsidRDefault="00C3046A">
      <w:pPr>
        <w:spacing w:after="100" w:line="360" w:lineRule="auto"/>
        <w:ind w:firstLine="283"/>
        <w:rPr>
          <w:rFonts w:ascii="Simplified Arabic" w:hAnsi="Simplified Arabic" w:cs="Simplified Arabic"/>
          <w:b/>
          <w:bCs/>
          <w:sz w:val="28"/>
          <w:szCs w:val="28"/>
          <w:rtl/>
        </w:rPr>
      </w:pPr>
      <w:proofErr w:type="gramStart"/>
      <w:r>
        <w:rPr>
          <w:rFonts w:ascii="Simplified Arabic" w:hAnsi="Simplified Arabic" w:cs="Simplified Arabic"/>
          <w:b/>
          <w:bCs/>
          <w:sz w:val="28"/>
          <w:szCs w:val="28"/>
          <w:rtl/>
        </w:rPr>
        <w:lastRenderedPageBreak/>
        <w:t xml:space="preserve">جدول </w:t>
      </w:r>
      <w:r w:rsidR="00BB18E2">
        <w:rPr>
          <w:rFonts w:ascii="Simplified Arabic" w:hAnsi="Simplified Arabic" w:cs="Simplified Arabic"/>
          <w:b/>
          <w:bCs/>
          <w:sz w:val="28"/>
          <w:szCs w:val="28"/>
          <w:rtl/>
        </w:rPr>
        <w:t>:</w:t>
      </w:r>
      <w:proofErr w:type="gramEnd"/>
      <w:r w:rsidR="00BB18E2">
        <w:rPr>
          <w:rFonts w:ascii="Simplified Arabic" w:hAnsi="Simplified Arabic" w:cs="Simplified Arabic"/>
          <w:b/>
          <w:bCs/>
          <w:sz w:val="28"/>
          <w:szCs w:val="28"/>
          <w:rtl/>
        </w:rPr>
        <w:t xml:space="preserve"> ثالثاً: الاستجابة للمخاطر</w:t>
      </w:r>
    </w:p>
    <w:tbl>
      <w:tblPr>
        <w:bidiVisual/>
        <w:tblW w:w="9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
        <w:gridCol w:w="6224"/>
        <w:gridCol w:w="513"/>
        <w:gridCol w:w="513"/>
        <w:gridCol w:w="513"/>
        <w:gridCol w:w="513"/>
        <w:gridCol w:w="513"/>
      </w:tblGrid>
      <w:tr w:rsidR="004E6020" w:rsidTr="00F33905">
        <w:trPr>
          <w:trHeight w:val="649"/>
          <w:tblHeader/>
        </w:trPr>
        <w:tc>
          <w:tcPr>
            <w:tcW w:w="574"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6224"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513"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5</w:t>
            </w:r>
          </w:p>
        </w:tc>
        <w:tc>
          <w:tcPr>
            <w:tcW w:w="513"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4</w:t>
            </w:r>
          </w:p>
        </w:tc>
        <w:tc>
          <w:tcPr>
            <w:tcW w:w="513"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3</w:t>
            </w:r>
          </w:p>
        </w:tc>
        <w:tc>
          <w:tcPr>
            <w:tcW w:w="513"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2</w:t>
            </w:r>
          </w:p>
        </w:tc>
        <w:tc>
          <w:tcPr>
            <w:tcW w:w="513" w:type="dxa"/>
            <w:shd w:val="clear" w:color="auto" w:fill="1F97C4"/>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b/>
                <w:bCs/>
                <w:rtl/>
              </w:rPr>
              <w:t>1</w:t>
            </w:r>
          </w:p>
        </w:tc>
      </w:tr>
      <w:tr w:rsidR="004E6020" w:rsidTr="00F33905">
        <w:trPr>
          <w:trHeight w:val="649"/>
        </w:trPr>
        <w:tc>
          <w:tcPr>
            <w:tcW w:w="574" w:type="dxa"/>
            <w:shd w:val="clear" w:color="auto" w:fill="E8F4F8"/>
            <w:vAlign w:val="center"/>
          </w:tcPr>
          <w:p w:rsidR="004E6020" w:rsidRDefault="00BB18E2" w:rsidP="00F33905">
            <w:pPr>
              <w:spacing w:after="100" w:line="360" w:lineRule="auto"/>
              <w:jc w:val="center"/>
              <w:rPr>
                <w:rFonts w:ascii="Times New Roman" w:hAnsi="Times New Roman" w:cs="Times New Roman"/>
              </w:rPr>
            </w:pPr>
            <w:r>
              <w:rPr>
                <w:rFonts w:ascii="Times New Roman" w:hAnsi="Times New Roman" w:cs="Times New Roman"/>
                <w:rtl/>
              </w:rPr>
              <w:t>13</w:t>
            </w:r>
          </w:p>
        </w:tc>
        <w:tc>
          <w:tcPr>
            <w:tcW w:w="6224"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توجد خطط استجابة واضحة لكل نوع من أنواع المخاطر</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649"/>
        </w:trPr>
        <w:tc>
          <w:tcPr>
            <w:tcW w:w="574" w:type="dxa"/>
            <w:shd w:val="clear" w:color="auto" w:fill="FFFFFF"/>
            <w:vAlign w:val="center"/>
          </w:tcPr>
          <w:p w:rsidR="004E6020" w:rsidRDefault="00BB18E2" w:rsidP="00F33905">
            <w:pPr>
              <w:spacing w:after="100" w:line="360" w:lineRule="auto"/>
              <w:jc w:val="center"/>
              <w:rPr>
                <w:rFonts w:ascii="Times New Roman" w:hAnsi="Times New Roman" w:cs="Times New Roman"/>
              </w:rPr>
            </w:pPr>
            <w:r>
              <w:rPr>
                <w:rFonts w:ascii="Times New Roman" w:hAnsi="Times New Roman" w:cs="Times New Roman"/>
                <w:rtl/>
              </w:rPr>
              <w:t>14</w:t>
            </w:r>
          </w:p>
        </w:tc>
        <w:tc>
          <w:tcPr>
            <w:tcW w:w="6224"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يتم تحديث خطة الاستجابة بصورة دورية</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649"/>
        </w:trPr>
        <w:tc>
          <w:tcPr>
            <w:tcW w:w="574" w:type="dxa"/>
            <w:shd w:val="clear" w:color="auto" w:fill="E8F4F8"/>
            <w:vAlign w:val="center"/>
          </w:tcPr>
          <w:p w:rsidR="004E6020" w:rsidRDefault="00BB18E2" w:rsidP="00F33905">
            <w:pPr>
              <w:spacing w:after="100" w:line="360" w:lineRule="auto"/>
              <w:jc w:val="center"/>
              <w:rPr>
                <w:rFonts w:ascii="Times New Roman" w:hAnsi="Times New Roman" w:cs="Times New Roman"/>
              </w:rPr>
            </w:pPr>
            <w:r>
              <w:rPr>
                <w:rFonts w:ascii="Times New Roman" w:hAnsi="Times New Roman" w:cs="Times New Roman"/>
                <w:rtl/>
              </w:rPr>
              <w:t>15</w:t>
            </w:r>
          </w:p>
        </w:tc>
        <w:tc>
          <w:tcPr>
            <w:tcW w:w="6224"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تتضمن الخطة توزيعاً واضحاً للمسؤوليات</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649"/>
        </w:trPr>
        <w:tc>
          <w:tcPr>
            <w:tcW w:w="574" w:type="dxa"/>
            <w:shd w:val="clear" w:color="auto" w:fill="FFFFFF"/>
            <w:vAlign w:val="center"/>
          </w:tcPr>
          <w:p w:rsidR="004E6020" w:rsidRDefault="00BB18E2" w:rsidP="00F33905">
            <w:pPr>
              <w:spacing w:after="100" w:line="360" w:lineRule="auto"/>
              <w:jc w:val="center"/>
              <w:rPr>
                <w:rFonts w:ascii="Times New Roman" w:hAnsi="Times New Roman" w:cs="Times New Roman"/>
              </w:rPr>
            </w:pPr>
            <w:r>
              <w:rPr>
                <w:rFonts w:ascii="Times New Roman" w:hAnsi="Times New Roman" w:cs="Times New Roman"/>
                <w:rtl/>
              </w:rPr>
              <w:t>16</w:t>
            </w:r>
          </w:p>
        </w:tc>
        <w:tc>
          <w:tcPr>
            <w:tcW w:w="6224"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تُخصَّص موارد كافية لتنفيذ خطط الاستجابة</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FFFFFF"/>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649"/>
        </w:trPr>
        <w:tc>
          <w:tcPr>
            <w:tcW w:w="574" w:type="dxa"/>
            <w:shd w:val="clear" w:color="auto" w:fill="E8F4F8"/>
            <w:vAlign w:val="center"/>
          </w:tcPr>
          <w:p w:rsidR="004E6020" w:rsidRDefault="00BB18E2" w:rsidP="00F33905">
            <w:pPr>
              <w:spacing w:after="100" w:line="360" w:lineRule="auto"/>
              <w:jc w:val="center"/>
              <w:rPr>
                <w:rFonts w:ascii="Times New Roman" w:hAnsi="Times New Roman" w:cs="Times New Roman"/>
              </w:rPr>
            </w:pPr>
            <w:r>
              <w:rPr>
                <w:rFonts w:ascii="Times New Roman" w:hAnsi="Times New Roman" w:cs="Times New Roman"/>
                <w:rtl/>
              </w:rPr>
              <w:t>17</w:t>
            </w:r>
          </w:p>
        </w:tc>
        <w:tc>
          <w:tcPr>
            <w:tcW w:w="6224"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توجد خطط طوارئ بديلة جاهزة للتنفيذ الفوري</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13" w:type="dxa"/>
            <w:shd w:val="clear" w:color="auto" w:fill="E8F4F8"/>
            <w:vAlign w:val="center"/>
          </w:tcPr>
          <w:p w:rsidR="004E6020" w:rsidRDefault="00BB18E2" w:rsidP="00F33905">
            <w:pPr>
              <w:spacing w:after="100" w:line="360" w:lineRule="auto"/>
              <w:jc w:val="center"/>
              <w:rPr>
                <w:rFonts w:ascii="Simplified Arabic" w:hAnsi="Simplified Arabic" w:cs="Simplified Arabic"/>
                <w:rtl/>
              </w:rPr>
            </w:pPr>
            <w:r>
              <w:rPr>
                <w:rFonts w:ascii="Simplified Arabic" w:hAnsi="Simplified Arabic" w:cs="Simplified Arabic"/>
                <w:rtl/>
              </w:rPr>
              <w:t>☐</w:t>
            </w:r>
          </w:p>
        </w:tc>
      </w:tr>
    </w:tbl>
    <w:p w:rsidR="00BB18E2" w:rsidRPr="00F33905" w:rsidRDefault="00BB18E2">
      <w:pPr>
        <w:spacing w:after="100" w:line="360" w:lineRule="auto"/>
        <w:ind w:firstLine="283"/>
        <w:rPr>
          <w:sz w:val="8"/>
          <w:szCs w:val="8"/>
          <w:rtl/>
        </w:rPr>
      </w:pPr>
    </w:p>
    <w:p w:rsidR="00BB18E2" w:rsidRDefault="00C3046A" w:rsidP="00C3046A">
      <w:pPr>
        <w:spacing w:after="100" w:line="360" w:lineRule="auto"/>
        <w:ind w:firstLine="283"/>
        <w:rPr>
          <w:rFonts w:ascii="Simplified Arabic" w:hAnsi="Simplified Arabic" w:cs="Simplified Arabic"/>
          <w:b/>
          <w:bCs/>
          <w:sz w:val="28"/>
          <w:szCs w:val="28"/>
          <w:rtl/>
        </w:rPr>
      </w:pPr>
      <w:proofErr w:type="gramStart"/>
      <w:r>
        <w:rPr>
          <w:rFonts w:ascii="Simplified Arabic" w:hAnsi="Simplified Arabic" w:cs="Simplified Arabic"/>
          <w:b/>
          <w:bCs/>
          <w:sz w:val="28"/>
          <w:szCs w:val="28"/>
          <w:rtl/>
        </w:rPr>
        <w:t xml:space="preserve">جدول </w:t>
      </w:r>
      <w:r w:rsidR="00BB18E2">
        <w:rPr>
          <w:rFonts w:ascii="Simplified Arabic" w:hAnsi="Simplified Arabic" w:cs="Simplified Arabic"/>
          <w:b/>
          <w:bCs/>
          <w:sz w:val="28"/>
          <w:szCs w:val="28"/>
          <w:rtl/>
        </w:rPr>
        <w:t>:</w:t>
      </w:r>
      <w:proofErr w:type="gramEnd"/>
      <w:r w:rsidR="00BB18E2">
        <w:rPr>
          <w:rFonts w:ascii="Simplified Arabic" w:hAnsi="Simplified Arabic" w:cs="Simplified Arabic"/>
          <w:b/>
          <w:bCs/>
          <w:sz w:val="28"/>
          <w:szCs w:val="28"/>
          <w:rtl/>
        </w:rPr>
        <w:t xml:space="preserve"> رابعاً: متابعة المخاطر ومراجعتها</w:t>
      </w:r>
    </w:p>
    <w:tbl>
      <w:tblPr>
        <w:bidiVisual/>
        <w:tblW w:w="9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6183"/>
        <w:gridCol w:w="509"/>
        <w:gridCol w:w="509"/>
        <w:gridCol w:w="509"/>
        <w:gridCol w:w="509"/>
        <w:gridCol w:w="509"/>
      </w:tblGrid>
      <w:tr w:rsidR="004E6020" w:rsidTr="00F33905">
        <w:trPr>
          <w:trHeight w:val="591"/>
          <w:tblHeader/>
        </w:trPr>
        <w:tc>
          <w:tcPr>
            <w:tcW w:w="57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6183"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5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5</w:t>
            </w:r>
          </w:p>
        </w:tc>
        <w:tc>
          <w:tcPr>
            <w:tcW w:w="5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4</w:t>
            </w:r>
          </w:p>
        </w:tc>
        <w:tc>
          <w:tcPr>
            <w:tcW w:w="5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3</w:t>
            </w:r>
          </w:p>
        </w:tc>
        <w:tc>
          <w:tcPr>
            <w:tcW w:w="5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2</w:t>
            </w:r>
          </w:p>
        </w:tc>
        <w:tc>
          <w:tcPr>
            <w:tcW w:w="5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1</w:t>
            </w:r>
          </w:p>
        </w:tc>
      </w:tr>
      <w:tr w:rsidR="004E6020" w:rsidTr="00F33905">
        <w:trPr>
          <w:trHeight w:val="580"/>
        </w:trPr>
        <w:tc>
          <w:tcPr>
            <w:tcW w:w="57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18</w:t>
            </w:r>
          </w:p>
        </w:tc>
        <w:tc>
          <w:tcPr>
            <w:tcW w:w="6183"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إعداد تقارير دورية عن حالة المخاطر في المشاريع</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591"/>
        </w:trPr>
        <w:tc>
          <w:tcPr>
            <w:tcW w:w="57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19</w:t>
            </w:r>
          </w:p>
        </w:tc>
        <w:tc>
          <w:tcPr>
            <w:tcW w:w="6183"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تُعرض تقارير المخاطر على الإدارة العليا بانتظام</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580"/>
        </w:trPr>
        <w:tc>
          <w:tcPr>
            <w:tcW w:w="57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20</w:t>
            </w:r>
          </w:p>
        </w:tc>
        <w:tc>
          <w:tcPr>
            <w:tcW w:w="6183"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تُستخدم نتائج المتابعة لتحسين الأداء مستقبلاً</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580"/>
        </w:trPr>
        <w:tc>
          <w:tcPr>
            <w:tcW w:w="57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21</w:t>
            </w:r>
          </w:p>
        </w:tc>
        <w:tc>
          <w:tcPr>
            <w:tcW w:w="6183"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يتم تحديث سجل المخاطر بصفة منتظمة طوال المشروع</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591"/>
        </w:trPr>
        <w:tc>
          <w:tcPr>
            <w:tcW w:w="57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22</w:t>
            </w:r>
          </w:p>
        </w:tc>
        <w:tc>
          <w:tcPr>
            <w:tcW w:w="6183"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تُراجع فاعلية إجراءات إدارة المخاطر في نهاية كل مرحلة</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bl>
    <w:p w:rsidR="00BB18E2" w:rsidRPr="00F33905" w:rsidRDefault="00BB18E2">
      <w:pPr>
        <w:spacing w:after="100" w:line="360" w:lineRule="auto"/>
        <w:ind w:firstLine="283"/>
        <w:rPr>
          <w:sz w:val="8"/>
          <w:szCs w:val="8"/>
          <w:rtl/>
        </w:rPr>
      </w:pPr>
    </w:p>
    <w:p w:rsidR="00BB18E2" w:rsidRDefault="00C3046A" w:rsidP="00C3046A">
      <w:pPr>
        <w:spacing w:after="100" w:line="360" w:lineRule="auto"/>
        <w:ind w:firstLine="283"/>
        <w:rPr>
          <w:rFonts w:ascii="Simplified Arabic" w:hAnsi="Simplified Arabic" w:cs="Simplified Arabic"/>
          <w:b/>
          <w:bCs/>
          <w:sz w:val="28"/>
          <w:szCs w:val="28"/>
          <w:rtl/>
        </w:rPr>
      </w:pPr>
      <w:r>
        <w:rPr>
          <w:rFonts w:ascii="Simplified Arabic" w:hAnsi="Simplified Arabic" w:cs="Simplified Arabic"/>
          <w:b/>
          <w:bCs/>
          <w:sz w:val="28"/>
          <w:szCs w:val="28"/>
          <w:rtl/>
        </w:rPr>
        <w:t xml:space="preserve">جدول </w:t>
      </w:r>
      <w:bookmarkStart w:id="0" w:name="_GoBack"/>
      <w:bookmarkEnd w:id="0"/>
      <w:r w:rsidR="00BB18E2">
        <w:rPr>
          <w:rFonts w:ascii="Simplified Arabic" w:hAnsi="Simplified Arabic" w:cs="Simplified Arabic"/>
          <w:b/>
          <w:bCs/>
          <w:sz w:val="28"/>
          <w:szCs w:val="28"/>
          <w:rtl/>
        </w:rPr>
        <w:t>: خامساً: نجاح المشاريع</w:t>
      </w:r>
    </w:p>
    <w:tbl>
      <w:tblPr>
        <w:bidiVisual/>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
        <w:gridCol w:w="5675"/>
        <w:gridCol w:w="709"/>
        <w:gridCol w:w="567"/>
        <w:gridCol w:w="709"/>
        <w:gridCol w:w="709"/>
        <w:gridCol w:w="558"/>
      </w:tblGrid>
      <w:tr w:rsidR="004E6020" w:rsidTr="00F33905">
        <w:trPr>
          <w:trHeight w:val="20"/>
          <w:tblHeader/>
        </w:trPr>
        <w:tc>
          <w:tcPr>
            <w:tcW w:w="600"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م</w:t>
            </w:r>
          </w:p>
        </w:tc>
        <w:tc>
          <w:tcPr>
            <w:tcW w:w="5675"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الفقرة</w:t>
            </w:r>
          </w:p>
        </w:tc>
        <w:tc>
          <w:tcPr>
            <w:tcW w:w="7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5</w:t>
            </w:r>
          </w:p>
        </w:tc>
        <w:tc>
          <w:tcPr>
            <w:tcW w:w="567"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4</w:t>
            </w:r>
          </w:p>
        </w:tc>
        <w:tc>
          <w:tcPr>
            <w:tcW w:w="7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3</w:t>
            </w:r>
          </w:p>
        </w:tc>
        <w:tc>
          <w:tcPr>
            <w:tcW w:w="709"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2</w:t>
            </w:r>
          </w:p>
        </w:tc>
        <w:tc>
          <w:tcPr>
            <w:tcW w:w="558" w:type="dxa"/>
            <w:shd w:val="clear" w:color="auto" w:fill="1F97C4"/>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b/>
                <w:bCs/>
                <w:rtl/>
              </w:rPr>
              <w:t>1</w:t>
            </w:r>
          </w:p>
        </w:tc>
      </w:tr>
      <w:tr w:rsidR="004E6020" w:rsidTr="00F33905">
        <w:trPr>
          <w:trHeight w:val="20"/>
        </w:trPr>
        <w:tc>
          <w:tcPr>
            <w:tcW w:w="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23</w:t>
            </w:r>
          </w:p>
        </w:tc>
        <w:tc>
          <w:tcPr>
            <w:tcW w:w="5675"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تلتزم المشاريع العدلية بالجدول الزمني المحدد</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67"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5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0"/>
        </w:trPr>
        <w:tc>
          <w:tcPr>
            <w:tcW w:w="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24</w:t>
            </w:r>
          </w:p>
        </w:tc>
        <w:tc>
          <w:tcPr>
            <w:tcW w:w="5675"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تلتزم المشاريع بالميزانية المعتمدة دون تجاوزات مبررة</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67"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5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0"/>
        </w:trPr>
        <w:tc>
          <w:tcPr>
            <w:tcW w:w="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25</w:t>
            </w:r>
          </w:p>
        </w:tc>
        <w:tc>
          <w:tcPr>
            <w:tcW w:w="5675"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تتحقق جودة المخرجات وفق المواصفات المطلوبة</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67"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5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0"/>
        </w:trPr>
        <w:tc>
          <w:tcPr>
            <w:tcW w:w="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lastRenderedPageBreak/>
              <w:t>26</w:t>
            </w:r>
          </w:p>
        </w:tc>
        <w:tc>
          <w:tcPr>
            <w:tcW w:w="5675"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يُبدي المستفيدون رضاهم عن نتائج المشاريع</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67"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5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0"/>
        </w:trPr>
        <w:tc>
          <w:tcPr>
            <w:tcW w:w="600" w:type="dxa"/>
            <w:shd w:val="clear" w:color="auto" w:fill="E8F4F8"/>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27</w:t>
            </w:r>
          </w:p>
        </w:tc>
        <w:tc>
          <w:tcPr>
            <w:tcW w:w="5675"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تُحقق المشاريع أثراً مستداماً في تحسين الخدمات</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67"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58" w:type="dxa"/>
            <w:shd w:val="clear" w:color="auto" w:fill="E8F4F8"/>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r w:rsidR="004E6020" w:rsidTr="00F33905">
        <w:trPr>
          <w:trHeight w:val="20"/>
        </w:trPr>
        <w:tc>
          <w:tcPr>
            <w:tcW w:w="600" w:type="dxa"/>
            <w:shd w:val="clear" w:color="auto" w:fill="FFFFFF"/>
            <w:vAlign w:val="center"/>
          </w:tcPr>
          <w:p w:rsidR="004E6020" w:rsidRDefault="00BB18E2">
            <w:pPr>
              <w:spacing w:after="100" w:line="360" w:lineRule="auto"/>
              <w:jc w:val="center"/>
              <w:rPr>
                <w:rFonts w:ascii="Times New Roman" w:hAnsi="Times New Roman" w:cs="Times New Roman"/>
              </w:rPr>
            </w:pPr>
            <w:r>
              <w:rPr>
                <w:rFonts w:ascii="Times New Roman" w:hAnsi="Times New Roman" w:cs="Times New Roman"/>
                <w:rtl/>
              </w:rPr>
              <w:t>28</w:t>
            </w:r>
          </w:p>
        </w:tc>
        <w:tc>
          <w:tcPr>
            <w:tcW w:w="5675"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تسهم المشاريع في رفع كفاءة الأداء المؤسسي العام</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67"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709"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c>
          <w:tcPr>
            <w:tcW w:w="558" w:type="dxa"/>
            <w:shd w:val="clear" w:color="auto" w:fill="FFFFFF"/>
            <w:vAlign w:val="center"/>
          </w:tcPr>
          <w:p w:rsidR="004E6020" w:rsidRDefault="00BB18E2">
            <w:pPr>
              <w:spacing w:after="100" w:line="360" w:lineRule="auto"/>
              <w:jc w:val="center"/>
              <w:rPr>
                <w:rFonts w:ascii="Simplified Arabic" w:hAnsi="Simplified Arabic" w:cs="Simplified Arabic"/>
                <w:rtl/>
              </w:rPr>
            </w:pPr>
            <w:r>
              <w:rPr>
                <w:rFonts w:ascii="Simplified Arabic" w:hAnsi="Simplified Arabic" w:cs="Simplified Arabic"/>
                <w:rtl/>
              </w:rPr>
              <w:t>☐</w:t>
            </w:r>
          </w:p>
        </w:tc>
      </w:tr>
    </w:tbl>
    <w:p w:rsidR="00BB18E2" w:rsidRDefault="00BB18E2">
      <w:pPr>
        <w:spacing w:after="100" w:line="360" w:lineRule="auto"/>
        <w:ind w:firstLine="283"/>
        <w:rPr>
          <w:rtl/>
        </w:rPr>
      </w:pP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شكراً جزيلاً على تعاونكم القيّم،،،</w:t>
      </w:r>
    </w:p>
    <w:p w:rsidR="00BB18E2" w:rsidRDefault="00BB18E2">
      <w:pPr>
        <w:spacing w:after="100" w:line="360" w:lineRule="auto"/>
        <w:ind w:firstLine="283"/>
        <w:rPr>
          <w:rFonts w:ascii="Simplified Arabic" w:hAnsi="Simplified Arabic" w:cs="Simplified Arabic"/>
          <w:sz w:val="28"/>
          <w:szCs w:val="28"/>
          <w:rtl/>
        </w:rPr>
      </w:pPr>
      <w:r>
        <w:rPr>
          <w:rFonts w:ascii="Simplified Arabic" w:hAnsi="Simplified Arabic" w:cs="Simplified Arabic"/>
          <w:sz w:val="28"/>
          <w:szCs w:val="28"/>
          <w:rtl/>
        </w:rPr>
        <w:t>الباحث: غسان بن فهد المقرن</w:t>
      </w:r>
    </w:p>
    <w:p w:rsidR="00BB18E2" w:rsidRDefault="00BB18E2">
      <w:pPr>
        <w:pageBreakBefore/>
        <w:spacing w:after="100" w:line="360" w:lineRule="auto"/>
        <w:ind w:firstLine="283"/>
        <w:rPr>
          <w:rtl/>
        </w:rPr>
      </w:pPr>
    </w:p>
    <w:p w:rsidR="00BB18E2" w:rsidRDefault="00BB18E2">
      <w:pPr>
        <w:jc w:val="center"/>
        <w:rPr>
          <w:rFonts w:ascii="Times New Roman" w:hAnsi="Times New Roman" w:cs="Times New Roman"/>
          <w:sz w:val="32"/>
          <w:szCs w:val="32"/>
        </w:rPr>
      </w:pPr>
      <w:r>
        <w:rPr>
          <w:rFonts w:ascii="Times New Roman" w:hAnsi="Times New Roman" w:cs="Times New Roman"/>
          <w:b/>
          <w:bCs/>
          <w:sz w:val="32"/>
          <w:szCs w:val="32"/>
          <w:rtl/>
        </w:rPr>
        <w:t>Abstract</w:t>
      </w:r>
    </w:p>
    <w:p w:rsidR="00BB18E2" w:rsidRDefault="00BB18E2">
      <w:pPr>
        <w:spacing w:after="100" w:line="360" w:lineRule="auto"/>
        <w:ind w:firstLine="283"/>
        <w:rPr>
          <w:rtl/>
        </w:rPr>
      </w:pP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Pr>
        <w:t>The study aimed to measure the impact of risk management, across its four dimensions (risk identification, risk analysis and assessment, risk response, and risk monitoring and review), on project success across its three dimensions (time performance, cost performance, and quality of outputs) in judicial service institutions in the Kingdom of Saudi Arabia. The study population comprised all employees in project management, development, and quality departments. A stratified random sample of 80 respondents was selected from three regions. The descriptive-analytical method was applied via a validated 28-item questionnaire on a five-point Likert scale.</w:t>
      </w:r>
    </w:p>
    <w:p w:rsidR="00BB18E2" w:rsidRDefault="00BB18E2">
      <w:pPr>
        <w:spacing w:after="100" w:line="360" w:lineRule="auto"/>
        <w:ind w:firstLine="283"/>
        <w:rPr>
          <w:rtl/>
        </w:rPr>
      </w:pP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Pr>
        <w:t>The findings revealed a statistically significant positive impact of risk management on judicial project success (R² = 0.712, F = 48.7, p &lt; 0.001), with the four dimensions collectively explaining 71.2 % of the variance in project success. Risk analysis and assessment recorded the highest impact (β = 0.312), followed by risk identification (β = 0.298), risk monitoring and review (β = 0.285), and risk response (β = 0.189). The results indicate institutions operate at a transitional stage between levels two and three of the Oliva (2016) risk management maturity model.</w:t>
      </w:r>
    </w:p>
    <w:p w:rsidR="00BB18E2" w:rsidRDefault="00BB18E2">
      <w:pPr>
        <w:spacing w:after="100" w:line="360" w:lineRule="auto"/>
        <w:ind w:firstLine="283"/>
        <w:rPr>
          <w:rtl/>
        </w:rPr>
      </w:pP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Pr>
        <w:t>The study recommended establishing a central risk management unit within the Ministry of Justice, developing a national risk registry, launching specialized training programs for project managers, adopting smart digital systems for real-time risk monitoring, and embedding risk management indicators within institutional performance evaluation frameworks.</w:t>
      </w:r>
    </w:p>
    <w:p w:rsidR="00BB18E2" w:rsidRDefault="00BB18E2">
      <w:pPr>
        <w:spacing w:after="100" w:line="360" w:lineRule="auto"/>
        <w:ind w:firstLine="283"/>
        <w:rPr>
          <w:rtl/>
        </w:rPr>
      </w:pPr>
    </w:p>
    <w:p w:rsidR="00BB18E2" w:rsidRDefault="00BB18E2">
      <w:pPr>
        <w:spacing w:after="100" w:line="360" w:lineRule="auto"/>
        <w:ind w:firstLine="283"/>
        <w:rPr>
          <w:rFonts w:ascii="Times New Roman" w:hAnsi="Times New Roman" w:cs="Times New Roman"/>
          <w:sz w:val="24"/>
          <w:szCs w:val="24"/>
        </w:rPr>
      </w:pPr>
      <w:r>
        <w:rPr>
          <w:rFonts w:ascii="Times New Roman" w:hAnsi="Times New Roman" w:cs="Times New Roman"/>
          <w:sz w:val="24"/>
          <w:szCs w:val="24"/>
        </w:rPr>
        <w:t>Keywords: Risk Management, Project Success, Judicial Service Institutions, Kingdom of Saudi Arabia, Corporate Governance.</w:t>
      </w:r>
    </w:p>
    <w:sectPr w:rsidR="00BB18E2" w:rsidSect="009A296E">
      <w:headerReference w:type="first" r:id="rId12"/>
      <w:pgSz w:w="11906" w:h="16838"/>
      <w:pgMar w:top="1440" w:right="1274" w:bottom="1440" w:left="1276"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D49" w:rsidRDefault="00540D49" w:rsidP="009125CE">
      <w:pPr>
        <w:spacing w:after="0" w:line="240" w:lineRule="auto"/>
      </w:pPr>
      <w:r>
        <w:separator/>
      </w:r>
    </w:p>
  </w:endnote>
  <w:endnote w:type="continuationSeparator" w:id="0">
    <w:p w:rsidR="00540D49" w:rsidRDefault="00540D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egoe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66161833"/>
      <w:docPartObj>
        <w:docPartGallery w:val="Page Numbers (Bottom of Page)"/>
        <w:docPartUnique/>
      </w:docPartObj>
    </w:sdtPr>
    <w:sdtContent>
      <w:p w:rsidR="002F025A" w:rsidRDefault="002F025A">
        <w:pPr>
          <w:pStyle w:val="a4"/>
          <w:jc w:val="center"/>
        </w:pPr>
        <w:r>
          <w:fldChar w:fldCharType="begin"/>
        </w:r>
        <w:r>
          <w:instrText>PAGE   \* MERGEFORMAT</w:instrText>
        </w:r>
        <w:r>
          <w:fldChar w:fldCharType="separate"/>
        </w:r>
        <w:r w:rsidR="00C3046A" w:rsidRPr="00C3046A">
          <w:rPr>
            <w:noProof/>
            <w:rtl/>
            <w:lang w:val="ar-SA"/>
          </w:rPr>
          <w:t>67</w:t>
        </w:r>
        <w:r>
          <w:fldChar w:fldCharType="end"/>
        </w:r>
      </w:p>
    </w:sdtContent>
  </w:sdt>
  <w:p w:rsidR="002F025A" w:rsidRDefault="002F025A">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62026253"/>
      <w:docPartObj>
        <w:docPartGallery w:val="Page Numbers (Bottom of Page)"/>
        <w:docPartUnique/>
      </w:docPartObj>
    </w:sdtPr>
    <w:sdtContent>
      <w:p w:rsidR="002F025A" w:rsidRDefault="002F025A">
        <w:pPr>
          <w:pStyle w:val="a4"/>
          <w:jc w:val="center"/>
        </w:pPr>
        <w:r>
          <w:fldChar w:fldCharType="begin"/>
        </w:r>
        <w:r>
          <w:instrText>PAGE   \* MERGEFORMAT</w:instrText>
        </w:r>
        <w:r>
          <w:fldChar w:fldCharType="separate"/>
        </w:r>
        <w:r w:rsidR="00913ACB" w:rsidRPr="00913ACB">
          <w:rPr>
            <w:noProof/>
            <w:rtl/>
            <w:lang w:val="ar-SA"/>
          </w:rPr>
          <w:t>1</w:t>
        </w:r>
        <w:r>
          <w:fldChar w:fldCharType="end"/>
        </w:r>
      </w:p>
    </w:sdtContent>
  </w:sdt>
  <w:p w:rsidR="002F025A" w:rsidRDefault="002F025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D49" w:rsidRDefault="00540D49" w:rsidP="009125CE">
      <w:pPr>
        <w:spacing w:after="0" w:line="240" w:lineRule="auto"/>
      </w:pPr>
      <w:r>
        <w:separator/>
      </w:r>
    </w:p>
  </w:footnote>
  <w:footnote w:type="continuationSeparator" w:id="0">
    <w:p w:rsidR="00540D49" w:rsidRDefault="00540D4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25A" w:rsidRDefault="002F025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4505D"/>
    <w:multiLevelType w:val="hybridMultilevel"/>
    <w:tmpl w:val="991C3CA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7B114F"/>
    <w:multiLevelType w:val="hybridMultilevel"/>
    <w:tmpl w:val="37947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815482"/>
    <w:multiLevelType w:val="hybridMultilevel"/>
    <w:tmpl w:val="80C0B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FA5AAB"/>
    <w:multiLevelType w:val="hybridMultilevel"/>
    <w:tmpl w:val="387C4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2610AD"/>
    <w:multiLevelType w:val="hybridMultilevel"/>
    <w:tmpl w:val="F7A07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FA6EA5"/>
    <w:multiLevelType w:val="hybridMultilevel"/>
    <w:tmpl w:val="E410C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ED5F08"/>
    <w:multiLevelType w:val="hybridMultilevel"/>
    <w:tmpl w:val="F4AE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2D1950"/>
    <w:multiLevelType w:val="hybridMultilevel"/>
    <w:tmpl w:val="6B040F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F03609D"/>
    <w:multiLevelType w:val="hybridMultilevel"/>
    <w:tmpl w:val="64CA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5"/>
  </w:num>
  <w:num w:numId="4">
    <w:abstractNumId w:val="6"/>
  </w:num>
  <w:num w:numId="5">
    <w:abstractNumId w:val="0"/>
  </w:num>
  <w:num w:numId="6">
    <w:abstractNumId w:val="7"/>
  </w:num>
  <w:num w:numId="7">
    <w:abstractNumId w:val="4"/>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12E3"/>
    <w:rsid w:val="00090F21"/>
    <w:rsid w:val="000A159C"/>
    <w:rsid w:val="000F44B4"/>
    <w:rsid w:val="001902DB"/>
    <w:rsid w:val="001C2162"/>
    <w:rsid w:val="001E4968"/>
    <w:rsid w:val="00216896"/>
    <w:rsid w:val="00220100"/>
    <w:rsid w:val="00226FF1"/>
    <w:rsid w:val="002F025A"/>
    <w:rsid w:val="004163C7"/>
    <w:rsid w:val="00434BAD"/>
    <w:rsid w:val="004A2AD4"/>
    <w:rsid w:val="004B57EF"/>
    <w:rsid w:val="004B7EFA"/>
    <w:rsid w:val="004E6020"/>
    <w:rsid w:val="00540D49"/>
    <w:rsid w:val="0054157D"/>
    <w:rsid w:val="00565C34"/>
    <w:rsid w:val="0063560F"/>
    <w:rsid w:val="006878B6"/>
    <w:rsid w:val="00690C7F"/>
    <w:rsid w:val="006948DE"/>
    <w:rsid w:val="006A7489"/>
    <w:rsid w:val="00713F32"/>
    <w:rsid w:val="00797786"/>
    <w:rsid w:val="007A12DF"/>
    <w:rsid w:val="007B0E54"/>
    <w:rsid w:val="007E3A20"/>
    <w:rsid w:val="008017A9"/>
    <w:rsid w:val="00846A25"/>
    <w:rsid w:val="00877AAC"/>
    <w:rsid w:val="00896FE4"/>
    <w:rsid w:val="008D0904"/>
    <w:rsid w:val="008F1EAE"/>
    <w:rsid w:val="009125CE"/>
    <w:rsid w:val="00913ACB"/>
    <w:rsid w:val="00946F5F"/>
    <w:rsid w:val="00961848"/>
    <w:rsid w:val="009A296E"/>
    <w:rsid w:val="009B6888"/>
    <w:rsid w:val="009C0161"/>
    <w:rsid w:val="009C6FA7"/>
    <w:rsid w:val="009C7E3C"/>
    <w:rsid w:val="009D108D"/>
    <w:rsid w:val="009E1436"/>
    <w:rsid w:val="009E5668"/>
    <w:rsid w:val="00A35418"/>
    <w:rsid w:val="00A70003"/>
    <w:rsid w:val="00AA79E9"/>
    <w:rsid w:val="00AB0A70"/>
    <w:rsid w:val="00AF2167"/>
    <w:rsid w:val="00B14544"/>
    <w:rsid w:val="00B63B0F"/>
    <w:rsid w:val="00B7678A"/>
    <w:rsid w:val="00BB18E2"/>
    <w:rsid w:val="00BC094B"/>
    <w:rsid w:val="00BC1FC3"/>
    <w:rsid w:val="00BE1726"/>
    <w:rsid w:val="00C3046A"/>
    <w:rsid w:val="00C72744"/>
    <w:rsid w:val="00C74FB5"/>
    <w:rsid w:val="00CB2A44"/>
    <w:rsid w:val="00D04F62"/>
    <w:rsid w:val="00D22171"/>
    <w:rsid w:val="00D52480"/>
    <w:rsid w:val="00DA65CC"/>
    <w:rsid w:val="00E44BA7"/>
    <w:rsid w:val="00E534B9"/>
    <w:rsid w:val="00E6580D"/>
    <w:rsid w:val="00E71BDC"/>
    <w:rsid w:val="00E80FD9"/>
    <w:rsid w:val="00E87924"/>
    <w:rsid w:val="00F33905"/>
    <w:rsid w:val="00F435B7"/>
    <w:rsid w:val="00F546CE"/>
    <w:rsid w:val="00F617F4"/>
    <w:rsid w:val="00F925D0"/>
    <w:rsid w:val="00FA1E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A72E23"/>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line number"/>
    <w:basedOn w:val="a0"/>
    <w:uiPriority w:val="99"/>
    <w:semiHidden/>
    <w:unhideWhenUsed/>
    <w:rsid w:val="00A70003"/>
  </w:style>
  <w:style w:type="paragraph" w:styleId="a6">
    <w:name w:val="List Paragraph"/>
    <w:basedOn w:val="a"/>
    <w:uiPriority w:val="34"/>
    <w:qFormat/>
    <w:rsid w:val="00226FF1"/>
    <w:pPr>
      <w:ind w:left="720"/>
      <w:contextualSpacing/>
    </w:pPr>
  </w:style>
  <w:style w:type="paragraph" w:styleId="a7">
    <w:name w:val="Balloon Text"/>
    <w:basedOn w:val="a"/>
    <w:link w:val="Char1"/>
    <w:uiPriority w:val="99"/>
    <w:semiHidden/>
    <w:unhideWhenUsed/>
    <w:rsid w:val="00216896"/>
    <w:pPr>
      <w:spacing w:after="0" w:line="240" w:lineRule="auto"/>
    </w:pPr>
    <w:rPr>
      <w:rFonts w:ascii="Tahoma" w:hAnsi="Tahoma" w:cs="Tahoma"/>
      <w:sz w:val="18"/>
      <w:szCs w:val="18"/>
    </w:rPr>
  </w:style>
  <w:style w:type="character" w:customStyle="1" w:styleId="Char1">
    <w:name w:val="نص في بالون Char"/>
    <w:basedOn w:val="a0"/>
    <w:link w:val="a7"/>
    <w:uiPriority w:val="99"/>
    <w:semiHidden/>
    <w:rsid w:val="0021689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26747">
      <w:bodyDiv w:val="1"/>
      <w:marLeft w:val="0"/>
      <w:marRight w:val="0"/>
      <w:marTop w:val="0"/>
      <w:marBottom w:val="0"/>
      <w:divBdr>
        <w:top w:val="none" w:sz="0" w:space="0" w:color="auto"/>
        <w:left w:val="none" w:sz="0" w:space="0" w:color="auto"/>
        <w:bottom w:val="none" w:sz="0" w:space="0" w:color="auto"/>
        <w:right w:val="none" w:sz="0" w:space="0" w:color="auto"/>
      </w:divBdr>
    </w:div>
    <w:div w:id="214316014">
      <w:bodyDiv w:val="1"/>
      <w:marLeft w:val="0"/>
      <w:marRight w:val="0"/>
      <w:marTop w:val="0"/>
      <w:marBottom w:val="0"/>
      <w:divBdr>
        <w:top w:val="none" w:sz="0" w:space="0" w:color="auto"/>
        <w:left w:val="none" w:sz="0" w:space="0" w:color="auto"/>
        <w:bottom w:val="none" w:sz="0" w:space="0" w:color="auto"/>
        <w:right w:val="none" w:sz="0" w:space="0" w:color="auto"/>
      </w:divBdr>
    </w:div>
    <w:div w:id="366612131">
      <w:bodyDiv w:val="1"/>
      <w:marLeft w:val="0"/>
      <w:marRight w:val="0"/>
      <w:marTop w:val="0"/>
      <w:marBottom w:val="0"/>
      <w:divBdr>
        <w:top w:val="none" w:sz="0" w:space="0" w:color="auto"/>
        <w:left w:val="none" w:sz="0" w:space="0" w:color="auto"/>
        <w:bottom w:val="none" w:sz="0" w:space="0" w:color="auto"/>
        <w:right w:val="none" w:sz="0" w:space="0" w:color="auto"/>
      </w:divBdr>
    </w:div>
    <w:div w:id="631597097">
      <w:bodyDiv w:val="1"/>
      <w:marLeft w:val="0"/>
      <w:marRight w:val="0"/>
      <w:marTop w:val="0"/>
      <w:marBottom w:val="0"/>
      <w:divBdr>
        <w:top w:val="none" w:sz="0" w:space="0" w:color="auto"/>
        <w:left w:val="none" w:sz="0" w:space="0" w:color="auto"/>
        <w:bottom w:val="none" w:sz="0" w:space="0" w:color="auto"/>
        <w:right w:val="none" w:sz="0" w:space="0" w:color="auto"/>
      </w:divBdr>
    </w:div>
    <w:div w:id="639502326">
      <w:bodyDiv w:val="1"/>
      <w:marLeft w:val="0"/>
      <w:marRight w:val="0"/>
      <w:marTop w:val="0"/>
      <w:marBottom w:val="0"/>
      <w:divBdr>
        <w:top w:val="none" w:sz="0" w:space="0" w:color="auto"/>
        <w:left w:val="none" w:sz="0" w:space="0" w:color="auto"/>
        <w:bottom w:val="none" w:sz="0" w:space="0" w:color="auto"/>
        <w:right w:val="none" w:sz="0" w:space="0" w:color="auto"/>
      </w:divBdr>
    </w:div>
    <w:div w:id="732780727">
      <w:bodyDiv w:val="1"/>
      <w:marLeft w:val="0"/>
      <w:marRight w:val="0"/>
      <w:marTop w:val="0"/>
      <w:marBottom w:val="0"/>
      <w:divBdr>
        <w:top w:val="none" w:sz="0" w:space="0" w:color="auto"/>
        <w:left w:val="none" w:sz="0" w:space="0" w:color="auto"/>
        <w:bottom w:val="none" w:sz="0" w:space="0" w:color="auto"/>
        <w:right w:val="none" w:sz="0" w:space="0" w:color="auto"/>
      </w:divBdr>
    </w:div>
    <w:div w:id="778183255">
      <w:bodyDiv w:val="1"/>
      <w:marLeft w:val="0"/>
      <w:marRight w:val="0"/>
      <w:marTop w:val="0"/>
      <w:marBottom w:val="0"/>
      <w:divBdr>
        <w:top w:val="none" w:sz="0" w:space="0" w:color="auto"/>
        <w:left w:val="none" w:sz="0" w:space="0" w:color="auto"/>
        <w:bottom w:val="none" w:sz="0" w:space="0" w:color="auto"/>
        <w:right w:val="none" w:sz="0" w:space="0" w:color="auto"/>
      </w:divBdr>
    </w:div>
    <w:div w:id="858661207">
      <w:bodyDiv w:val="1"/>
      <w:marLeft w:val="0"/>
      <w:marRight w:val="0"/>
      <w:marTop w:val="0"/>
      <w:marBottom w:val="0"/>
      <w:divBdr>
        <w:top w:val="none" w:sz="0" w:space="0" w:color="auto"/>
        <w:left w:val="none" w:sz="0" w:space="0" w:color="auto"/>
        <w:bottom w:val="none" w:sz="0" w:space="0" w:color="auto"/>
        <w:right w:val="none" w:sz="0" w:space="0" w:color="auto"/>
      </w:divBdr>
    </w:div>
    <w:div w:id="1061714811">
      <w:bodyDiv w:val="1"/>
      <w:marLeft w:val="0"/>
      <w:marRight w:val="0"/>
      <w:marTop w:val="0"/>
      <w:marBottom w:val="0"/>
      <w:divBdr>
        <w:top w:val="none" w:sz="0" w:space="0" w:color="auto"/>
        <w:left w:val="none" w:sz="0" w:space="0" w:color="auto"/>
        <w:bottom w:val="none" w:sz="0" w:space="0" w:color="auto"/>
        <w:right w:val="none" w:sz="0" w:space="0" w:color="auto"/>
      </w:divBdr>
    </w:div>
    <w:div w:id="1139423801">
      <w:bodyDiv w:val="1"/>
      <w:marLeft w:val="0"/>
      <w:marRight w:val="0"/>
      <w:marTop w:val="0"/>
      <w:marBottom w:val="0"/>
      <w:divBdr>
        <w:top w:val="none" w:sz="0" w:space="0" w:color="auto"/>
        <w:left w:val="none" w:sz="0" w:space="0" w:color="auto"/>
        <w:bottom w:val="none" w:sz="0" w:space="0" w:color="auto"/>
        <w:right w:val="none" w:sz="0" w:space="0" w:color="auto"/>
      </w:divBdr>
    </w:div>
    <w:div w:id="1143080154">
      <w:bodyDiv w:val="1"/>
      <w:marLeft w:val="0"/>
      <w:marRight w:val="0"/>
      <w:marTop w:val="0"/>
      <w:marBottom w:val="0"/>
      <w:divBdr>
        <w:top w:val="none" w:sz="0" w:space="0" w:color="auto"/>
        <w:left w:val="none" w:sz="0" w:space="0" w:color="auto"/>
        <w:bottom w:val="none" w:sz="0" w:space="0" w:color="auto"/>
        <w:right w:val="none" w:sz="0" w:space="0" w:color="auto"/>
      </w:divBdr>
    </w:div>
    <w:div w:id="1271400634">
      <w:bodyDiv w:val="1"/>
      <w:marLeft w:val="0"/>
      <w:marRight w:val="0"/>
      <w:marTop w:val="0"/>
      <w:marBottom w:val="0"/>
      <w:divBdr>
        <w:top w:val="none" w:sz="0" w:space="0" w:color="auto"/>
        <w:left w:val="none" w:sz="0" w:space="0" w:color="auto"/>
        <w:bottom w:val="none" w:sz="0" w:space="0" w:color="auto"/>
        <w:right w:val="none" w:sz="0" w:space="0" w:color="auto"/>
      </w:divBdr>
    </w:div>
    <w:div w:id="1445689503">
      <w:bodyDiv w:val="1"/>
      <w:marLeft w:val="0"/>
      <w:marRight w:val="0"/>
      <w:marTop w:val="0"/>
      <w:marBottom w:val="0"/>
      <w:divBdr>
        <w:top w:val="none" w:sz="0" w:space="0" w:color="auto"/>
        <w:left w:val="none" w:sz="0" w:space="0" w:color="auto"/>
        <w:bottom w:val="none" w:sz="0" w:space="0" w:color="auto"/>
        <w:right w:val="none" w:sz="0" w:space="0" w:color="auto"/>
      </w:divBdr>
    </w:div>
    <w:div w:id="1480071508">
      <w:bodyDiv w:val="1"/>
      <w:marLeft w:val="0"/>
      <w:marRight w:val="0"/>
      <w:marTop w:val="0"/>
      <w:marBottom w:val="0"/>
      <w:divBdr>
        <w:top w:val="none" w:sz="0" w:space="0" w:color="auto"/>
        <w:left w:val="none" w:sz="0" w:space="0" w:color="auto"/>
        <w:bottom w:val="none" w:sz="0" w:space="0" w:color="auto"/>
        <w:right w:val="none" w:sz="0" w:space="0" w:color="auto"/>
      </w:divBdr>
    </w:div>
    <w:div w:id="1680766085">
      <w:bodyDiv w:val="1"/>
      <w:marLeft w:val="0"/>
      <w:marRight w:val="0"/>
      <w:marTop w:val="0"/>
      <w:marBottom w:val="0"/>
      <w:divBdr>
        <w:top w:val="none" w:sz="0" w:space="0" w:color="auto"/>
        <w:left w:val="none" w:sz="0" w:space="0" w:color="auto"/>
        <w:bottom w:val="none" w:sz="0" w:space="0" w:color="auto"/>
        <w:right w:val="none" w:sz="0" w:space="0" w:color="auto"/>
      </w:divBdr>
    </w:div>
    <w:div w:id="1734422329">
      <w:bodyDiv w:val="1"/>
      <w:marLeft w:val="0"/>
      <w:marRight w:val="0"/>
      <w:marTop w:val="0"/>
      <w:marBottom w:val="0"/>
      <w:divBdr>
        <w:top w:val="none" w:sz="0" w:space="0" w:color="auto"/>
        <w:left w:val="none" w:sz="0" w:space="0" w:color="auto"/>
        <w:bottom w:val="none" w:sz="0" w:space="0" w:color="auto"/>
        <w:right w:val="none" w:sz="0" w:space="0" w:color="auto"/>
      </w:divBdr>
    </w:div>
    <w:div w:id="1747025492">
      <w:bodyDiv w:val="1"/>
      <w:marLeft w:val="0"/>
      <w:marRight w:val="0"/>
      <w:marTop w:val="0"/>
      <w:marBottom w:val="0"/>
      <w:divBdr>
        <w:top w:val="none" w:sz="0" w:space="0" w:color="auto"/>
        <w:left w:val="none" w:sz="0" w:space="0" w:color="auto"/>
        <w:bottom w:val="none" w:sz="0" w:space="0" w:color="auto"/>
        <w:right w:val="none" w:sz="0" w:space="0" w:color="auto"/>
      </w:divBdr>
    </w:div>
    <w:div w:id="1753313132">
      <w:bodyDiv w:val="1"/>
      <w:marLeft w:val="0"/>
      <w:marRight w:val="0"/>
      <w:marTop w:val="0"/>
      <w:marBottom w:val="0"/>
      <w:divBdr>
        <w:top w:val="none" w:sz="0" w:space="0" w:color="auto"/>
        <w:left w:val="none" w:sz="0" w:space="0" w:color="auto"/>
        <w:bottom w:val="none" w:sz="0" w:space="0" w:color="auto"/>
        <w:right w:val="none" w:sz="0" w:space="0" w:color="auto"/>
      </w:divBdr>
    </w:div>
    <w:div w:id="1920558318">
      <w:bodyDiv w:val="1"/>
      <w:marLeft w:val="0"/>
      <w:marRight w:val="0"/>
      <w:marTop w:val="0"/>
      <w:marBottom w:val="0"/>
      <w:divBdr>
        <w:top w:val="none" w:sz="0" w:space="0" w:color="auto"/>
        <w:left w:val="none" w:sz="0" w:space="0" w:color="auto"/>
        <w:bottom w:val="none" w:sz="0" w:space="0" w:color="auto"/>
        <w:right w:val="none" w:sz="0" w:space="0" w:color="auto"/>
      </w:divBdr>
    </w:div>
    <w:div w:id="20312537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824DC-BF43-4DC8-BC17-AD451F8E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78</Pages>
  <Words>12338</Words>
  <Characters>70330</Characters>
  <Application>Microsoft Office Word</Application>
  <DocSecurity>0</DocSecurity>
  <Lines>586</Lines>
  <Paragraphs>165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gmoqren</cp:lastModifiedBy>
  <cp:revision>7</cp:revision>
  <cp:lastPrinted>2026-03-28T14:17:00Z</cp:lastPrinted>
  <dcterms:created xsi:type="dcterms:W3CDTF">2026-03-26T09:58:00Z</dcterms:created>
  <dcterms:modified xsi:type="dcterms:W3CDTF">2026-03-28T15:06:00Z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