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54309A" w:rsidRDefault="00264677" w:rsidP="0054309A">
      <w:pPr>
        <w:bidi/>
        <w:spacing w:line="240" w:lineRule="auto"/>
        <w:jc w:val="both"/>
        <w:rPr>
          <w:rFonts w:ascii="ae_Cortoba" w:hAnsi="ae_Cortoba" w:cs="ae_Cortoba"/>
          <w:b/>
          <w:bCs/>
          <w:color w:val="548DD4" w:themeColor="text2" w:themeTint="99"/>
          <w:sz w:val="40"/>
          <w:szCs w:val="40"/>
        </w:rPr>
      </w:pPr>
      <w:bookmarkStart w:id="0" w:name="_Hlk206352915"/>
      <w:r>
        <w:rPr>
          <w:rFonts w:ascii="Times New Roman"/>
          <w:b/>
          <w:noProof/>
          <w:sz w:val="20"/>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Default="000B28C7" w:rsidP="000B28C7">
      <w:pPr>
        <w:spacing w:line="360" w:lineRule="auto"/>
        <w:jc w:val="right"/>
        <w:rPr>
          <w:rFonts w:ascii="Sakkal Majalla" w:hAnsi="Sakkal Majalla" w:cs="Sakkal Majalla" w:hint="cs"/>
          <w:b/>
          <w:bCs/>
          <w:sz w:val="36"/>
          <w:szCs w:val="36"/>
          <w:rtl/>
        </w:rPr>
      </w:pPr>
      <w:r>
        <w:rPr>
          <w:rFonts w:ascii="Sakkal Majalla" w:hAnsi="Sakkal Majalla" w:cs="Sakkal Majalla" w:hint="cs"/>
          <w:b/>
          <w:bCs/>
          <w:sz w:val="36"/>
          <w:szCs w:val="36"/>
          <w:rtl/>
        </w:rPr>
        <w:t>جامعة ميداوشن</w:t>
      </w:r>
    </w:p>
    <w:p w14:paraId="2F815173" w14:textId="3286CE27" w:rsidR="00540C9A" w:rsidRPr="000B28C7" w:rsidRDefault="00540C9A" w:rsidP="00540C9A">
      <w:pPr>
        <w:spacing w:line="360" w:lineRule="auto"/>
        <w:jc w:val="center"/>
        <w:rPr>
          <w:rFonts w:ascii="Traditional Arabic" w:hAnsi="Traditional Arabic" w:cs="Traditional Arabic"/>
          <w:b/>
          <w:bCs/>
          <w:sz w:val="36"/>
          <w:szCs w:val="36"/>
        </w:rPr>
      </w:pPr>
      <w:r w:rsidRPr="000B28C7">
        <w:rPr>
          <w:rFonts w:ascii="Traditional Arabic" w:hAnsi="Traditional Arabic" w:cs="Traditional Arabic"/>
          <w:b/>
          <w:bCs/>
          <w:sz w:val="36"/>
          <w:szCs w:val="36"/>
          <w:rtl/>
        </w:rPr>
        <w:t xml:space="preserve"> أطروحة درجة الدكتوراة بالإدارة</w:t>
      </w:r>
    </w:p>
    <w:p w14:paraId="0B874267" w14:textId="77AB59E0" w:rsidR="00D022C9" w:rsidRPr="000B28C7" w:rsidRDefault="002511D2" w:rsidP="002511D2">
      <w:pPr>
        <w:bidi/>
        <w:spacing w:line="360" w:lineRule="auto"/>
        <w:rPr>
          <w:rFonts w:ascii="Traditional Arabic" w:hAnsi="Traditional Arabic" w:cs="Traditional Arabic" w:hint="cs"/>
          <w:b/>
          <w:bCs/>
          <w:sz w:val="36"/>
          <w:szCs w:val="36"/>
          <w:rtl/>
        </w:rPr>
      </w:pPr>
      <w:r w:rsidRPr="000B28C7">
        <w:rPr>
          <w:rFonts w:ascii="Traditional Arabic" w:hAnsi="Traditional Arabic" w:cs="Traditional Arabic"/>
          <w:b/>
          <w:bCs/>
          <w:sz w:val="36"/>
          <w:szCs w:val="36"/>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9A689A" w:rsidRDefault="00813C16" w:rsidP="009A689A">
      <w:pPr>
        <w:spacing w:line="360" w:lineRule="auto"/>
        <w:jc w:val="both"/>
        <w:rPr>
          <w:rFonts w:asciiTheme="majorBidi" w:hAnsiTheme="majorBidi" w:cstheme="majorBidi"/>
          <w:sz w:val="36"/>
          <w:szCs w:val="36"/>
        </w:rPr>
      </w:pPr>
      <w:r w:rsidRPr="000B28C7">
        <w:rPr>
          <w:rFonts w:asciiTheme="majorBidi" w:hAnsiTheme="majorBidi" w:cstheme="majorBidi"/>
          <w:b/>
          <w:bCs/>
          <w:sz w:val="36"/>
          <w:szCs w:val="36"/>
        </w:rPr>
        <w:t>The Role of Transformational Leadership on Safety Culture in Government Hospitals: A Field Study in the Al-Jouf Region of the Kingdom of Saudi Arabia</w:t>
      </w:r>
    </w:p>
    <w:p w14:paraId="3B6EFA17" w14:textId="4110422E" w:rsidR="009A689A" w:rsidRDefault="009A689A" w:rsidP="009A689A">
      <w:pPr>
        <w:bidi/>
        <w:spacing w:line="360" w:lineRule="auto"/>
        <w:jc w:val="right"/>
        <w:rPr>
          <w:rFonts w:asciiTheme="majorBidi" w:hAnsiTheme="majorBidi" w:cstheme="majorBidi"/>
          <w:b/>
          <w:bCs/>
          <w:sz w:val="24"/>
          <w:szCs w:val="24"/>
        </w:rPr>
      </w:pPr>
      <w:r w:rsidRPr="009A689A">
        <w:rPr>
          <w:rFonts w:asciiTheme="majorBidi" w:hAnsiTheme="majorBidi" w:cstheme="majorBidi"/>
          <w:b/>
          <w:bCs/>
          <w:sz w:val="24"/>
          <w:szCs w:val="24"/>
        </w:rPr>
        <w:t xml:space="preserve">Submitted to Midocean University in partial </w:t>
      </w:r>
      <w:r w:rsidRPr="009A689A">
        <w:rPr>
          <w:rFonts w:asciiTheme="majorBidi" w:hAnsiTheme="majorBidi" w:cstheme="majorBidi"/>
          <w:b/>
          <w:bCs/>
          <w:sz w:val="24"/>
          <w:szCs w:val="24"/>
        </w:rPr>
        <w:t>fulfilment</w:t>
      </w:r>
      <w:r w:rsidRPr="009A689A">
        <w:rPr>
          <w:rFonts w:asciiTheme="majorBidi" w:hAnsiTheme="majorBidi" w:cstheme="majorBidi"/>
          <w:b/>
          <w:bCs/>
          <w:sz w:val="24"/>
          <w:szCs w:val="24"/>
        </w:rPr>
        <w:t xml:space="preserve"> of the requirements for the degree of Doctor of Philosophy</w:t>
      </w:r>
      <w:r w:rsidR="003D7090">
        <w:rPr>
          <w:rFonts w:asciiTheme="majorBidi" w:hAnsiTheme="majorBidi" w:cstheme="majorBidi"/>
          <w:b/>
          <w:bCs/>
          <w:sz w:val="24"/>
          <w:szCs w:val="24"/>
        </w:rPr>
        <w:t>.</w:t>
      </w:r>
    </w:p>
    <w:p w14:paraId="29E8D536" w14:textId="77777777" w:rsidR="003D7090" w:rsidRDefault="003D7090" w:rsidP="003D7090">
      <w:pPr>
        <w:bidi/>
        <w:spacing w:line="360" w:lineRule="auto"/>
        <w:jc w:val="right"/>
        <w:rPr>
          <w:rFonts w:asciiTheme="majorBidi" w:hAnsiTheme="majorBidi" w:cstheme="majorBidi" w:hint="cs"/>
          <w:b/>
          <w:bCs/>
          <w:sz w:val="24"/>
          <w:szCs w:val="24"/>
        </w:rPr>
      </w:pPr>
    </w:p>
    <w:p w14:paraId="45B2A2A0" w14:textId="77777777" w:rsidR="003D7090" w:rsidRDefault="003D7090" w:rsidP="003D7090">
      <w:pPr>
        <w:bidi/>
        <w:spacing w:line="360" w:lineRule="auto"/>
        <w:jc w:val="right"/>
        <w:rPr>
          <w:rFonts w:asciiTheme="majorBidi" w:hAnsiTheme="majorBidi" w:cstheme="majorBidi"/>
          <w:b/>
          <w:bCs/>
          <w:sz w:val="24"/>
          <w:szCs w:val="24"/>
        </w:rPr>
      </w:pPr>
    </w:p>
    <w:p w14:paraId="20570E2C" w14:textId="77777777" w:rsidR="003D7090" w:rsidRPr="00573910" w:rsidRDefault="003D7090" w:rsidP="003D7090">
      <w:pPr>
        <w:bidi/>
        <w:spacing w:line="360" w:lineRule="auto"/>
        <w:rPr>
          <w:rFonts w:ascii="Traditional Arabic" w:hAnsi="Traditional Arabic" w:cs="Traditional Arabic" w:hint="cs"/>
          <w:b/>
          <w:bCs/>
          <w:sz w:val="28"/>
          <w:szCs w:val="28"/>
          <w:rtl/>
        </w:rPr>
      </w:pPr>
      <w:r w:rsidRPr="006B09CC">
        <w:rPr>
          <w:rFonts w:ascii="Traditional Arabic" w:hAnsi="Traditional Arabic" w:cs="Traditional Arabic" w:hint="cs"/>
          <w:b/>
          <w:bCs/>
          <w:sz w:val="28"/>
          <w:szCs w:val="28"/>
          <w:rtl/>
        </w:rPr>
        <w:t>اعداد</w:t>
      </w:r>
      <w:r w:rsidRPr="006B09CC">
        <w:rPr>
          <w:rFonts w:ascii="Traditional Arabic" w:hAnsi="Traditional Arabic" w:cs="Traditional Arabic"/>
          <w:b/>
          <w:bCs/>
          <w:sz w:val="28"/>
          <w:szCs w:val="28"/>
          <w:rtl/>
        </w:rPr>
        <w:t xml:space="preserve"> الباحث:</w:t>
      </w:r>
      <w:r>
        <w:rPr>
          <w:rFonts w:ascii="Traditional Arabic" w:hAnsi="Traditional Arabic" w:cs="Traditional Arabic" w:hint="cs"/>
          <w:b/>
          <w:bCs/>
          <w:sz w:val="28"/>
          <w:szCs w:val="28"/>
          <w:rtl/>
        </w:rPr>
        <w:t xml:space="preserve"> </w:t>
      </w:r>
      <w:r w:rsidRPr="00573910">
        <w:rPr>
          <w:rFonts w:ascii="Traditional Arabic" w:hAnsi="Traditional Arabic" w:cs="Traditional Arabic"/>
          <w:b/>
          <w:bCs/>
          <w:sz w:val="24"/>
          <w:szCs w:val="24"/>
          <w:rtl/>
        </w:rPr>
        <w:t>عبد الله مجزع الرويلي</w:t>
      </w:r>
    </w:p>
    <w:p w14:paraId="46C7795D" w14:textId="77777777" w:rsidR="003D7090" w:rsidRDefault="003D7090" w:rsidP="003D7090">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0B28C7">
        <w:rPr>
          <w:rFonts w:ascii="Traditional Arabic" w:hAnsi="Traditional Arabic" w:cs="Traditional Arabic"/>
          <w:b/>
          <w:bCs/>
          <w:sz w:val="24"/>
          <w:szCs w:val="24"/>
          <w:rtl/>
        </w:rPr>
        <w:t>الرقم الجامعي:242000241</w:t>
      </w:r>
    </w:p>
    <w:p w14:paraId="6D87B448" w14:textId="77777777" w:rsidR="003D7090" w:rsidRPr="006B09CC" w:rsidRDefault="003D7090" w:rsidP="003D7090">
      <w:pPr>
        <w:bidi/>
        <w:spacing w:line="360" w:lineRule="auto"/>
        <w:rPr>
          <w:rFonts w:ascii="Traditional Arabic" w:hAnsi="Traditional Arabic" w:cs="Traditional Arabic"/>
          <w:b/>
          <w:bCs/>
          <w:sz w:val="24"/>
          <w:szCs w:val="24"/>
          <w:rtl/>
        </w:rPr>
      </w:pPr>
      <w:r w:rsidRPr="006B09CC">
        <w:rPr>
          <w:rFonts w:ascii="Traditional Arabic" w:hAnsi="Traditional Arabic" w:cs="Traditional Arabic" w:hint="cs"/>
          <w:b/>
          <w:bCs/>
          <w:sz w:val="24"/>
          <w:szCs w:val="24"/>
          <w:rtl/>
        </w:rPr>
        <w:t>المملكة العربية السعودية</w:t>
      </w:r>
    </w:p>
    <w:p w14:paraId="478B338F" w14:textId="27C7B448" w:rsidR="00573910" w:rsidRDefault="003D7090" w:rsidP="003D7090">
      <w:pPr>
        <w:bidi/>
        <w:spacing w:line="360" w:lineRule="auto"/>
        <w:rPr>
          <w:rFonts w:ascii="Traditional Arabic" w:hAnsi="Traditional Arabic" w:cs="Traditional Arabic"/>
          <w:sz w:val="24"/>
          <w:szCs w:val="24"/>
          <w:rtl/>
        </w:rPr>
      </w:pPr>
      <w:r w:rsidRPr="00573910">
        <w:rPr>
          <w:rFonts w:ascii="Traditional Arabic" w:hAnsi="Traditional Arabic" w:cs="Traditional Arabic"/>
          <w:b/>
          <w:bCs/>
          <w:sz w:val="24"/>
          <w:szCs w:val="24"/>
          <w:rtl/>
        </w:rPr>
        <w:t xml:space="preserve">الكلية: </w:t>
      </w:r>
      <w:r w:rsidRPr="00573910">
        <w:rPr>
          <w:rFonts w:ascii="Traditional Arabic" w:hAnsi="Traditional Arabic" w:cs="Traditional Arabic" w:hint="cs"/>
          <w:b/>
          <w:bCs/>
          <w:sz w:val="24"/>
          <w:szCs w:val="24"/>
          <w:rtl/>
        </w:rPr>
        <w:t>الإدارة</w:t>
      </w:r>
    </w:p>
    <w:p w14:paraId="6969F8D0" w14:textId="77777777" w:rsidR="003D7090" w:rsidRDefault="003D7090" w:rsidP="003D7090">
      <w:pPr>
        <w:bidi/>
        <w:spacing w:line="360" w:lineRule="auto"/>
        <w:jc w:val="center"/>
        <w:rPr>
          <w:rFonts w:ascii="Traditional Arabic" w:hAnsi="Traditional Arabic" w:cs="Traditional Arabic"/>
          <w:sz w:val="24"/>
          <w:szCs w:val="24"/>
          <w:rtl/>
        </w:rPr>
      </w:pPr>
    </w:p>
    <w:p w14:paraId="0A7154B0" w14:textId="77777777" w:rsidR="00573910" w:rsidRDefault="00573910" w:rsidP="00573910">
      <w:pPr>
        <w:bidi/>
        <w:spacing w:line="360" w:lineRule="auto"/>
        <w:jc w:val="both"/>
        <w:rPr>
          <w:rFonts w:ascii="Traditional Arabic" w:hAnsi="Traditional Arabic" w:cs="Traditional Arabic"/>
          <w:b/>
          <w:bCs/>
          <w:color w:val="EE0000"/>
          <w:sz w:val="28"/>
          <w:szCs w:val="28"/>
          <w:rtl/>
        </w:rPr>
      </w:pPr>
    </w:p>
    <w:p w14:paraId="03161FB8" w14:textId="77777777" w:rsidR="004F70A5" w:rsidRDefault="004F70A5" w:rsidP="004F70A5">
      <w:pPr>
        <w:bidi/>
        <w:spacing w:line="360" w:lineRule="auto"/>
        <w:jc w:val="both"/>
        <w:rPr>
          <w:rFonts w:ascii="Traditional Arabic" w:hAnsi="Traditional Arabic" w:cs="Traditional Arabic"/>
          <w:b/>
          <w:bCs/>
          <w:color w:val="EE0000"/>
          <w:sz w:val="28"/>
          <w:szCs w:val="28"/>
          <w:rtl/>
        </w:rPr>
      </w:pPr>
    </w:p>
    <w:p w14:paraId="52D91D90" w14:textId="77777777" w:rsidR="004F70A5" w:rsidRDefault="004F70A5" w:rsidP="004F70A5">
      <w:pPr>
        <w:bidi/>
        <w:spacing w:line="360" w:lineRule="auto"/>
        <w:jc w:val="both"/>
        <w:rPr>
          <w:rFonts w:ascii="Traditional Arabic" w:hAnsi="Traditional Arabic" w:cs="Traditional Arabic" w:hint="cs"/>
          <w:b/>
          <w:bCs/>
          <w:color w:val="EE0000"/>
          <w:sz w:val="28"/>
          <w:szCs w:val="28"/>
          <w:rtl/>
        </w:rPr>
      </w:pPr>
    </w:p>
    <w:p w14:paraId="3924C554" w14:textId="4245CA5E" w:rsidR="00680415" w:rsidRPr="002E15D3" w:rsidRDefault="00680415" w:rsidP="00573910">
      <w:pPr>
        <w:bidi/>
        <w:spacing w:line="360" w:lineRule="auto"/>
        <w:jc w:val="both"/>
        <w:rPr>
          <w:rFonts w:ascii="Traditional Arabic" w:eastAsiaTheme="majorEastAsia" w:hAnsi="Traditional Arabic" w:cs="Traditional Arabic" w:hint="cs"/>
          <w:b/>
          <w:bCs/>
          <w:spacing w:val="-10"/>
          <w:kern w:val="28"/>
          <w:sz w:val="24"/>
          <w:szCs w:val="24"/>
          <w:rtl/>
        </w:rPr>
      </w:pPr>
      <w:r w:rsidRPr="00680415">
        <w:rPr>
          <w:rFonts w:hint="cs"/>
          <w:b/>
          <w:bCs/>
          <w:sz w:val="28"/>
          <w:szCs w:val="28"/>
          <w:rtl/>
          <w:lang w:bidi="ar-JO"/>
        </w:rPr>
        <w:lastRenderedPageBreak/>
        <w:t>1</w:t>
      </w:r>
      <w:r w:rsidRPr="002E15D3">
        <w:rPr>
          <w:rFonts w:ascii="Traditional Arabic" w:hAnsi="Traditional Arabic" w:cs="Traditional Arabic"/>
          <w:b/>
          <w:bCs/>
          <w:sz w:val="28"/>
          <w:szCs w:val="28"/>
          <w:rtl/>
          <w:lang w:bidi="ar-JO"/>
        </w:rPr>
        <w:t>.</w:t>
      </w:r>
      <w:r w:rsidR="0000479E" w:rsidRPr="002E15D3">
        <w:rPr>
          <w:rFonts w:ascii="Traditional Arabic" w:eastAsiaTheme="majorEastAsia" w:hAnsi="Traditional Arabic" w:cs="Traditional Arabic"/>
          <w:b/>
          <w:bCs/>
          <w:spacing w:val="-10"/>
          <w:kern w:val="28"/>
          <w:sz w:val="36"/>
          <w:szCs w:val="36"/>
          <w:rtl/>
        </w:rPr>
        <w:t>ال</w:t>
      </w:r>
      <w:r w:rsidR="00E94DD2" w:rsidRPr="002E15D3">
        <w:rPr>
          <w:rFonts w:ascii="Traditional Arabic" w:eastAsiaTheme="majorEastAsia" w:hAnsi="Traditional Arabic" w:cs="Traditional Arabic"/>
          <w:b/>
          <w:bCs/>
          <w:spacing w:val="-10"/>
          <w:kern w:val="28"/>
          <w:sz w:val="36"/>
          <w:szCs w:val="36"/>
          <w:rtl/>
        </w:rPr>
        <w:t xml:space="preserve">مقدمة </w:t>
      </w:r>
    </w:p>
    <w:p w14:paraId="076592AF" w14:textId="73A58B9E" w:rsidR="00680415" w:rsidRPr="002E15D3" w:rsidRDefault="00EC0173" w:rsidP="00680415">
      <w:pPr>
        <w:bidi/>
        <w:spacing w:line="360" w:lineRule="auto"/>
        <w:jc w:val="both"/>
        <w:rPr>
          <w:rFonts w:ascii="Traditional Arabic" w:eastAsiaTheme="majorEastAsia" w:hAnsi="Traditional Arabic" w:cs="Traditional Arabic"/>
          <w:b/>
          <w:bCs/>
          <w:spacing w:val="-10"/>
          <w:kern w:val="28"/>
          <w:sz w:val="24"/>
          <w:szCs w:val="24"/>
          <w:rtl/>
        </w:rPr>
      </w:pPr>
      <w:r w:rsidRPr="002E15D3">
        <w:rPr>
          <w:rFonts w:ascii="Traditional Arabic" w:eastAsiaTheme="majorEastAsia" w:hAnsi="Traditional Arabic" w:cs="Traditional Arabic"/>
          <w:spacing w:val="-10"/>
          <w:kern w:val="28"/>
          <w:sz w:val="28"/>
          <w:szCs w:val="28"/>
          <w:rtl/>
        </w:rPr>
        <w:t xml:space="preserve">النظام الصحي حول العالم يمر بتغيرات كبيرة، مما يجعلنا نعيد التفكير في الطرق التقليدية التي نعتاد عليها في الرعاية الصحية. اليوم، أصبح ضمان سلامة المرضى هو الأساس الذي نقيس به جودة الخدمات الصحية ومدى نجاح الأنظمة الطبية الحديثة. </w:t>
      </w:r>
      <w:r w:rsidR="00CE248B">
        <w:rPr>
          <w:rFonts w:ascii="Traditional Arabic" w:eastAsiaTheme="majorEastAsia" w:hAnsi="Traditional Arabic" w:cs="Traditional Arabic"/>
          <w:spacing w:val="-10"/>
          <w:kern w:val="28"/>
          <w:sz w:val="28"/>
          <w:szCs w:val="28"/>
          <w:rtl/>
        </w:rPr>
        <w:fldChar w:fldCharType="begin"/>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ADDIN EN.CITE &lt;EndNote&gt;&lt;Cite&gt;&lt;Author&gt;Shenoy&lt;/Author&gt;&lt;Year&gt;2021&lt;/Year&gt;&lt;RecNum&gt;246&lt;/RecNum&gt;&lt;DisplayText&gt;(Shenoy, 2021)&lt;/DisplayText&gt;&lt;record&gt;&lt;rec-number&gt;246&lt;/rec-number&gt;&lt;foreign-keys&gt;&lt;key app="EN" db-id="02retxxrerxdxhe9aphvs0z2t9z25p0ew99s" timestamp="1762</w:instrText>
      </w:r>
      <w:r w:rsidR="00CE248B">
        <w:rPr>
          <w:rFonts w:ascii="Traditional Arabic" w:eastAsiaTheme="majorEastAsia" w:hAnsi="Traditional Arabic" w:cs="Traditional Arabic"/>
          <w:spacing w:val="-10"/>
          <w:kern w:val="28"/>
          <w:sz w:val="28"/>
          <w:szCs w:val="28"/>
          <w:rtl/>
        </w:rPr>
        <w:instrText>443774"&gt;246&lt;/</w:instrText>
      </w:r>
      <w:r w:rsidR="00CE248B">
        <w:rPr>
          <w:rFonts w:ascii="Traditional Arabic" w:eastAsiaTheme="majorEastAsia" w:hAnsi="Traditional Arabic" w:cs="Traditional Arabic"/>
          <w:spacing w:val="-10"/>
          <w:kern w:val="28"/>
          <w:sz w:val="28"/>
          <w:szCs w:val="28"/>
        </w:rPr>
        <w:instrTex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w:instrText>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Surg&lt;/secondary-title&gt;&lt;/titles&gt;&lt;periodical&gt;&lt;full-title&gt;Patient Saf Surg&lt;/full-title&gt;&lt;/periodical&gt;&lt;pages&gt;12&lt;/pages&gt;&lt;volume&gt;15&lt;/volume&gt;&lt;number&gt;1&lt;/number&gt;&lt;edition&gt;2021/03/24&lt;/edition&gt;&lt;keywords&gt;&lt;keyword&gt;High-quality clinical care&lt;/keyword&gt;&lt;keyword&gt;IHI&amp;apos;s</w:instrText>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w:instrText>
      </w:r>
      <w:r w:rsidR="00CE248B">
        <w:rPr>
          <w:rFonts w:ascii="Traditional Arabic" w:eastAsiaTheme="majorEastAsia" w:hAnsi="Traditional Arabic" w:cs="Traditional Arabic"/>
          <w:spacing w:val="-10"/>
          <w:kern w:val="28"/>
          <w:sz w:val="28"/>
          <w:szCs w:val="28"/>
          <w:rtl/>
        </w:rPr>
        <w:instrText>83197&lt;/</w:instrText>
      </w:r>
      <w:r w:rsidR="00CE248B">
        <w:rPr>
          <w:rFonts w:ascii="Traditional Arabic" w:eastAsiaTheme="majorEastAsia" w:hAnsi="Traditional Arabic" w:cs="Traditional Arabic"/>
          <w:spacing w:val="-10"/>
          <w:kern w:val="28"/>
          <w:sz w:val="28"/>
          <w:szCs w:val="28"/>
        </w:rPr>
        <w:instrText>custom2&gt;&lt;electronic-resource-num&gt;10.1186/s13037-021-00286-6&lt;/electronic-resource-num&gt;&lt;/record&gt;&lt;/Cite&gt;&lt;/EndNote</w:instrText>
      </w:r>
      <w:r w:rsidR="00CE248B">
        <w:rPr>
          <w:rFonts w:ascii="Traditional Arabic" w:eastAsiaTheme="majorEastAsia" w:hAnsi="Traditional Arabic" w:cs="Traditional Arabic"/>
          <w:spacing w:val="-10"/>
          <w:kern w:val="28"/>
          <w:sz w:val="28"/>
          <w:szCs w:val="28"/>
          <w:rtl/>
        </w:rPr>
        <w:instrText>&gt;</w:instrText>
      </w:r>
      <w:r w:rsidR="00CE248B">
        <w:rPr>
          <w:rFonts w:ascii="Traditional Arabic" w:eastAsiaTheme="majorEastAsia" w:hAnsi="Traditional Arabic" w:cs="Traditional Arabic"/>
          <w:spacing w:val="-10"/>
          <w:kern w:val="28"/>
          <w:sz w:val="28"/>
          <w:szCs w:val="28"/>
          <w:rtl/>
        </w:rPr>
        <w:fldChar w:fldCharType="separate"/>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noProof/>
          <w:spacing w:val="-10"/>
          <w:kern w:val="28"/>
          <w:sz w:val="28"/>
          <w:szCs w:val="28"/>
        </w:rPr>
        <w:t>Shenoy, 2021</w:t>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spacing w:val="-10"/>
          <w:kern w:val="28"/>
          <w:sz w:val="28"/>
          <w:szCs w:val="28"/>
          <w:rtl/>
        </w:rPr>
        <w:fldChar w:fldCharType="end"/>
      </w:r>
      <w:r w:rsidR="00E94DD2" w:rsidRPr="002E15D3">
        <w:rPr>
          <w:rFonts w:ascii="Traditional Arabic" w:eastAsiaTheme="majorEastAsia" w:hAnsi="Traditional Arabic" w:cs="Traditional Arabic"/>
          <w:spacing w:val="-10"/>
          <w:kern w:val="28"/>
          <w:sz w:val="28"/>
          <w:szCs w:val="28"/>
          <w:rtl/>
        </w:rPr>
        <w:t xml:space="preserve">. </w:t>
      </w:r>
      <w:r w:rsidRPr="002E15D3">
        <w:rPr>
          <w:rFonts w:ascii="Traditional Arabic" w:eastAsiaTheme="majorEastAsia" w:hAnsi="Traditional Arabic" w:cs="Traditional Arabic"/>
          <w:spacing w:val="-10"/>
          <w:kern w:val="28"/>
          <w:sz w:val="28"/>
          <w:szCs w:val="28"/>
          <w:rtl/>
        </w:rPr>
        <w:t>بعيداً عن دوره المعتاد في علاج المرضى، أصبحت النظم الصحية اليوم تركز بشكل أكبر على تقديم رعاية ذات جودة عالية. هذا الهدف صار محوري وأساسي في خططهم. مع التطور السريع في التقنيات الطبية وتعقيد الإجراءات، زادت التحديات على المستشفيات. الآن، عليها أن تضمن سلامة المرضى أثناء تقديم الرعاية، وهذا أمر يضيف ضغطاً كبيراً على العاملين فيها</w:t>
      </w:r>
      <w:r w:rsidR="00CE248B" w:rsidRPr="00573910">
        <w:rPr>
          <w:rFonts w:ascii="Traditional Arabic" w:eastAsiaTheme="majorEastAsia" w:hAnsi="Traditional Arabic" w:cs="Traditional Arabic"/>
          <w:spacing w:val="-10"/>
          <w:kern w:val="28"/>
          <w:sz w:val="24"/>
          <w:szCs w:val="24"/>
          <w:rtl/>
        </w:rPr>
        <w:fldChar w:fldCharType="begin"/>
      </w:r>
      <w:r w:rsidR="00CE248B" w:rsidRPr="00573910">
        <w:rPr>
          <w:rFonts w:ascii="Traditional Arabic" w:eastAsiaTheme="majorEastAsia" w:hAnsi="Traditional Arabic" w:cs="Traditional Arabic"/>
          <w:spacing w:val="-10"/>
          <w:kern w:val="28"/>
          <w:sz w:val="24"/>
          <w:szCs w:val="24"/>
          <w:rtl/>
        </w:rPr>
        <w:instrText xml:space="preserve"> </w:instrText>
      </w:r>
      <w:r w:rsidR="00CE248B" w:rsidRPr="00573910">
        <w:rPr>
          <w:rFonts w:ascii="Traditional Arabic" w:eastAsiaTheme="majorEastAsia" w:hAnsi="Traditional Arabic" w:cs="Traditional Arabic"/>
          <w:spacing w:val="-10"/>
          <w:kern w:val="28"/>
          <w:sz w:val="24"/>
          <w:szCs w:val="24"/>
        </w:rPr>
        <w:instrText>ADDIN EN.CITE &lt;EndNote&gt;&lt;Cite&gt;&lt;Author&gt;Hamdan&lt;/Author&gt;&lt;Year&gt;2024&lt;/Year&gt;&lt;RecNum&gt;167&lt;/RecNum&gt;&lt;DisplayText&gt;(Hamdan et al., 2024)&lt;/DisplayText&gt;&lt;record&gt;&lt;rec-number&gt;167&lt;/rec-number&gt;&lt;foreign-keys&gt;&lt;key app="EN" db-id="02retxxrerxdxhe9aphvs0z2t9z25p0ew99s" timestamp="1752662792"&gt;167&lt;/key&gt;&lt;/foreign-keys&gt;&lt;ref-type name="Journal Article"&gt;17&lt;/ref-type&gt;&lt;contributors&gt;&lt;authors&gt;&lt;author&gt;Hamdan, Mahmoud&lt;/author&gt;&lt;author&gt;Jaaffar, Amar Hisham&lt;/author&gt;&lt;author&gt;Khraisat, Omar&lt;/author&gt;&lt;author&gt;Issa, Marwan Rasmi&lt;/author&gt;&lt;author&gt;Jarrar, Mu’taman&lt;/author&gt;&lt;/authors&gt;&lt;/contributors&gt;&lt;titles&gt;&lt;title&gt;The association of transformational leadership on safety practices among nurses: the mediating role of patient safety culture&lt;/title&gt;&lt;secondary-title&gt;Risk Management and Healthcare Policy&lt;/secondary-title&gt;&lt;/titles&gt;&lt;periodical&gt;&lt;full-title&gt;Risk Management and Healthcare Policy&lt;/full-title&gt;&lt;/periodical&gt;&lt;pages&gt;1687-1700&lt;/pages&gt;&lt;dates&gt;&lt;year&gt;2024&lt;/year&gt;&lt;/dates&gt;&lt;isbn&gt;1179-1594&lt;/isbn&gt;&lt;urls&gt;&lt;related-urls&gt;&lt;url&gt;https://pdfs.semanticscholar.org/ba60/afd49d2</w:instrText>
      </w:r>
      <w:r w:rsidR="00CE248B" w:rsidRPr="00573910">
        <w:rPr>
          <w:rFonts w:ascii="Traditional Arabic" w:eastAsiaTheme="majorEastAsia" w:hAnsi="Traditional Arabic" w:cs="Traditional Arabic"/>
          <w:spacing w:val="-10"/>
          <w:kern w:val="28"/>
          <w:sz w:val="24"/>
          <w:szCs w:val="24"/>
          <w:rtl/>
        </w:rPr>
        <w:instrText>5</w:instrText>
      </w:r>
      <w:r w:rsidR="00CE248B" w:rsidRPr="00573910">
        <w:rPr>
          <w:rFonts w:ascii="Traditional Arabic" w:eastAsiaTheme="majorEastAsia" w:hAnsi="Traditional Arabic" w:cs="Traditional Arabic"/>
          <w:spacing w:val="-10"/>
          <w:kern w:val="28"/>
          <w:sz w:val="24"/>
          <w:szCs w:val="24"/>
        </w:rPr>
        <w:instrText>f3a6df551bb3826d6c098202c00d.pdf&lt;/url&gt;&lt;/related-urls&gt;&lt;/urls&gt;&lt;/record&gt;&lt;/Cite&gt;&lt;/EndNote</w:instrText>
      </w:r>
      <w:r w:rsidR="00CE248B" w:rsidRPr="00573910">
        <w:rPr>
          <w:rFonts w:ascii="Traditional Arabic" w:eastAsiaTheme="majorEastAsia" w:hAnsi="Traditional Arabic" w:cs="Traditional Arabic"/>
          <w:spacing w:val="-10"/>
          <w:kern w:val="28"/>
          <w:sz w:val="24"/>
          <w:szCs w:val="24"/>
          <w:rtl/>
        </w:rPr>
        <w:instrText>&gt;</w:instrText>
      </w:r>
      <w:r w:rsidR="00CE248B" w:rsidRPr="00573910">
        <w:rPr>
          <w:rFonts w:ascii="Traditional Arabic" w:eastAsiaTheme="majorEastAsia" w:hAnsi="Traditional Arabic" w:cs="Traditional Arabic"/>
          <w:spacing w:val="-10"/>
          <w:kern w:val="28"/>
          <w:sz w:val="24"/>
          <w:szCs w:val="24"/>
          <w:rtl/>
        </w:rPr>
        <w:fldChar w:fldCharType="separate"/>
      </w:r>
      <w:r w:rsidR="00CE248B" w:rsidRPr="00573910">
        <w:rPr>
          <w:rFonts w:ascii="Traditional Arabic" w:eastAsiaTheme="majorEastAsia" w:hAnsi="Traditional Arabic" w:cs="Traditional Arabic"/>
          <w:noProof/>
          <w:spacing w:val="-10"/>
          <w:kern w:val="28"/>
          <w:sz w:val="24"/>
          <w:szCs w:val="24"/>
          <w:rtl/>
        </w:rPr>
        <w:t>(</w:t>
      </w:r>
      <w:r w:rsidR="00CE248B" w:rsidRPr="00573910">
        <w:rPr>
          <w:rFonts w:ascii="Traditional Arabic" w:eastAsiaTheme="majorEastAsia" w:hAnsi="Traditional Arabic" w:cs="Traditional Arabic"/>
          <w:noProof/>
          <w:spacing w:val="-10"/>
          <w:kern w:val="28"/>
          <w:sz w:val="24"/>
          <w:szCs w:val="24"/>
        </w:rPr>
        <w:t>Hamdan et al., 2024</w:t>
      </w:r>
      <w:r w:rsidR="00CE248B" w:rsidRPr="00573910">
        <w:rPr>
          <w:rFonts w:ascii="Traditional Arabic" w:eastAsiaTheme="majorEastAsia" w:hAnsi="Traditional Arabic" w:cs="Traditional Arabic"/>
          <w:noProof/>
          <w:spacing w:val="-10"/>
          <w:kern w:val="28"/>
          <w:sz w:val="24"/>
          <w:szCs w:val="24"/>
          <w:rtl/>
        </w:rPr>
        <w:t>)</w:t>
      </w:r>
      <w:r w:rsidR="00CE248B" w:rsidRPr="00573910">
        <w:rPr>
          <w:rFonts w:ascii="Traditional Arabic" w:eastAsiaTheme="majorEastAsia" w:hAnsi="Traditional Arabic" w:cs="Traditional Arabic"/>
          <w:spacing w:val="-10"/>
          <w:kern w:val="28"/>
          <w:sz w:val="24"/>
          <w:szCs w:val="24"/>
          <w:rtl/>
        </w:rPr>
        <w:fldChar w:fldCharType="end"/>
      </w:r>
      <w:r w:rsidR="00CE248B" w:rsidRPr="00573910">
        <w:rPr>
          <w:rFonts w:ascii="Traditional Arabic" w:eastAsiaTheme="majorEastAsia" w:hAnsi="Traditional Arabic" w:cs="Traditional Arabic" w:hint="cs"/>
          <w:spacing w:val="-10"/>
          <w:kern w:val="28"/>
          <w:sz w:val="24"/>
          <w:szCs w:val="24"/>
          <w:rtl/>
        </w:rPr>
        <w:t>.</w:t>
      </w:r>
    </w:p>
    <w:p w14:paraId="5EB8F254" w14:textId="5BC90B3B" w:rsidR="00680415" w:rsidRPr="002E15D3" w:rsidRDefault="00EC0173" w:rsidP="00680415">
      <w:pPr>
        <w:bidi/>
        <w:spacing w:line="360" w:lineRule="auto"/>
        <w:jc w:val="both"/>
        <w:rPr>
          <w:rFonts w:ascii="Traditional Arabic" w:eastAsiaTheme="majorEastAsia" w:hAnsi="Traditional Arabic" w:cs="Traditional Arabic" w:hint="cs"/>
          <w:spacing w:val="-10"/>
          <w:kern w:val="28"/>
          <w:sz w:val="28"/>
          <w:szCs w:val="28"/>
          <w:rtl/>
        </w:rPr>
      </w:pPr>
      <w:r w:rsidRPr="002E15D3">
        <w:rPr>
          <w:rFonts w:ascii="Traditional Arabic" w:eastAsiaTheme="majorEastAsia" w:hAnsi="Traditional Arabic" w:cs="Traditional Arabic"/>
          <w:spacing w:val="-10"/>
          <w:kern w:val="28"/>
          <w:sz w:val="28"/>
          <w:szCs w:val="28"/>
          <w:rtl/>
        </w:rPr>
        <w:t>سلامة المرضى تعني كل الخطوات والاحتياطات اللي نتناولها لكي نقلل ونمنع المشاكل والأضرار اللي ممكن تصيب المريض بسبب الرعاية الصحية</w:t>
      </w:r>
      <w:r w:rsidR="00CE248B">
        <w:rPr>
          <w:rFonts w:ascii="Traditional Arabic" w:eastAsiaTheme="majorEastAsia" w:hAnsi="Traditional Arabic" w:cs="Traditional Arabic"/>
          <w:spacing w:val="-10"/>
          <w:kern w:val="28"/>
          <w:sz w:val="28"/>
          <w:szCs w:val="28"/>
          <w:rtl/>
        </w:rPr>
        <w:fldChar w:fldCharType="begin"/>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00CE248B">
        <w:rPr>
          <w:rFonts w:ascii="Traditional Arabic" w:eastAsiaTheme="majorEastAsia" w:hAnsi="Traditional Arabic" w:cs="Traditional Arabic"/>
          <w:spacing w:val="-10"/>
          <w:kern w:val="28"/>
          <w:sz w:val="28"/>
          <w:szCs w:val="28"/>
          <w:rtl/>
        </w:rPr>
        <w:instrText>.&lt;/</w:instrText>
      </w:r>
      <w:r w:rsidR="00CE248B">
        <w:rPr>
          <w:rFonts w:ascii="Traditional Arabic" w:eastAsiaTheme="majorEastAsia" w:hAnsi="Traditional Arabic" w:cs="Traditional Arabic"/>
          <w:spacing w:val="-10"/>
          <w:kern w:val="28"/>
          <w:sz w:val="28"/>
          <w:szCs w:val="28"/>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00CE248B">
        <w:rPr>
          <w:rFonts w:ascii="Traditional Arabic" w:eastAsiaTheme="majorEastAsia" w:hAnsi="Traditional Arabic" w:cs="Traditional Arabic"/>
          <w:spacing w:val="-10"/>
          <w:kern w:val="28"/>
          <w:sz w:val="28"/>
          <w:szCs w:val="28"/>
          <w:rtl/>
        </w:rPr>
        <w:instrText>&gt;&lt;/</w:instrText>
      </w:r>
      <w:r w:rsidR="00CE248B">
        <w:rPr>
          <w:rFonts w:ascii="Traditional Arabic" w:eastAsiaTheme="majorEastAsia" w:hAnsi="Traditional Arabic" w:cs="Traditional Arabic"/>
          <w:spacing w:val="-10"/>
          <w:kern w:val="28"/>
          <w:sz w:val="28"/>
          <w:szCs w:val="28"/>
        </w:rPr>
        <w:instrText>record&gt;&lt;/Cite&gt;&lt;/EndNote</w:instrText>
      </w:r>
      <w:r w:rsidR="00CE248B">
        <w:rPr>
          <w:rFonts w:ascii="Traditional Arabic" w:eastAsiaTheme="majorEastAsia" w:hAnsi="Traditional Arabic" w:cs="Traditional Arabic"/>
          <w:spacing w:val="-10"/>
          <w:kern w:val="28"/>
          <w:sz w:val="28"/>
          <w:szCs w:val="28"/>
          <w:rtl/>
        </w:rPr>
        <w:instrText>&gt;</w:instrText>
      </w:r>
      <w:r w:rsidR="00CE248B">
        <w:rPr>
          <w:rFonts w:ascii="Traditional Arabic" w:eastAsiaTheme="majorEastAsia" w:hAnsi="Traditional Arabic" w:cs="Traditional Arabic"/>
          <w:spacing w:val="-10"/>
          <w:kern w:val="28"/>
          <w:sz w:val="28"/>
          <w:szCs w:val="28"/>
          <w:rtl/>
        </w:rPr>
        <w:fldChar w:fldCharType="separate"/>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noProof/>
          <w:spacing w:val="-10"/>
          <w:kern w:val="28"/>
          <w:sz w:val="28"/>
          <w:szCs w:val="28"/>
        </w:rPr>
        <w:t>Konlan &amp; Shin, 2022</w:t>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spacing w:val="-10"/>
          <w:kern w:val="28"/>
          <w:sz w:val="28"/>
          <w:szCs w:val="28"/>
          <w:rtl/>
        </w:rPr>
        <w:fldChar w:fldCharType="end"/>
      </w:r>
      <w:r w:rsidRPr="002E15D3">
        <w:rPr>
          <w:rFonts w:ascii="Traditional Arabic" w:eastAsiaTheme="majorEastAsia" w:hAnsi="Traditional Arabic" w:cs="Traditional Arabic"/>
          <w:spacing w:val="-10"/>
          <w:kern w:val="28"/>
          <w:sz w:val="28"/>
          <w:szCs w:val="28"/>
          <w:rtl/>
        </w:rPr>
        <w:t>.</w:t>
      </w:r>
      <w:r w:rsidRPr="002E15D3">
        <w:rPr>
          <w:rFonts w:ascii="Traditional Arabic" w:eastAsiaTheme="majorEastAsia" w:hAnsi="Traditional Arabic" w:cs="Traditional Arabic"/>
          <w:spacing w:val="-10"/>
          <w:kern w:val="28"/>
          <w:sz w:val="28"/>
          <w:szCs w:val="28"/>
        </w:rPr>
        <w:t xml:space="preserve"> </w:t>
      </w:r>
      <w:r w:rsidRPr="002E15D3">
        <w:rPr>
          <w:rFonts w:ascii="Traditional Arabic" w:eastAsiaTheme="majorEastAsia" w:hAnsi="Traditional Arabic" w:cs="Traditional Arabic"/>
          <w:spacing w:val="-10"/>
          <w:kern w:val="28"/>
          <w:sz w:val="28"/>
          <w:szCs w:val="28"/>
          <w:rtl/>
        </w:rPr>
        <w:t>تشير الدراسات العلمية إلى أن الأخطاء الطبية ليست مجرد أضرار تصيب المرضى بشكل مباشر، بل تتجاوز ذلك لتؤثر على ثقة الناس في النظام الصحي بشكل عام. بالإضافة إلى ذلك، تسبب هذه الأخطاء أعباء اقتصادية متزايدة على الجميع</w:t>
      </w:r>
      <w:r w:rsidRPr="002E15D3">
        <w:rPr>
          <w:rFonts w:ascii="Traditional Arabic" w:eastAsiaTheme="majorEastAsia" w:hAnsi="Traditional Arabic" w:cs="Traditional Arabic"/>
          <w:spacing w:val="-10"/>
          <w:kern w:val="28"/>
          <w:sz w:val="28"/>
          <w:szCs w:val="28"/>
        </w:rPr>
        <w:t xml:space="preserve">. </w:t>
      </w:r>
      <w:r w:rsidR="00CE248B">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E248B">
        <w:rPr>
          <w:rFonts w:ascii="Traditional Arabic" w:eastAsiaTheme="majorEastAsia" w:hAnsi="Traditional Arabic" w:cs="Traditional Arabic"/>
          <w:spacing w:val="-10"/>
          <w:kern w:val="28"/>
          <w:sz w:val="28"/>
          <w:szCs w:val="28"/>
        </w:rPr>
        <w:instrText xml:space="preserve"> ADDIN EN.CITE </w:instrText>
      </w:r>
      <w:r w:rsidR="00CE248B">
        <w:rPr>
          <w:rFonts w:ascii="Traditional Arabic" w:eastAsiaTheme="majorEastAsia" w:hAnsi="Traditional Arabic" w:cs="Traditional Arabic"/>
          <w:spacing w:val="-10"/>
          <w:kern w:val="28"/>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E248B">
        <w:rPr>
          <w:rFonts w:ascii="Traditional Arabic" w:eastAsiaTheme="majorEastAsia" w:hAnsi="Traditional Arabic" w:cs="Traditional Arabic"/>
          <w:spacing w:val="-10"/>
          <w:kern w:val="28"/>
          <w:sz w:val="28"/>
          <w:szCs w:val="28"/>
        </w:rPr>
        <w:instrText xml:space="preserve"> ADDIN EN.CITE.DATA </w:instrText>
      </w:r>
      <w:r w:rsidR="00CE248B">
        <w:rPr>
          <w:rFonts w:ascii="Traditional Arabic" w:eastAsiaTheme="majorEastAsia" w:hAnsi="Traditional Arabic" w:cs="Traditional Arabic"/>
          <w:spacing w:val="-10"/>
          <w:kern w:val="28"/>
          <w:sz w:val="28"/>
          <w:szCs w:val="28"/>
        </w:rPr>
      </w:r>
      <w:r w:rsidR="00CE248B">
        <w:rPr>
          <w:rFonts w:ascii="Traditional Arabic" w:eastAsiaTheme="majorEastAsia" w:hAnsi="Traditional Arabic" w:cs="Traditional Arabic"/>
          <w:spacing w:val="-10"/>
          <w:kern w:val="28"/>
          <w:sz w:val="28"/>
          <w:szCs w:val="28"/>
        </w:rPr>
        <w:fldChar w:fldCharType="end"/>
      </w:r>
      <w:r w:rsidR="00CE248B">
        <w:rPr>
          <w:rFonts w:ascii="Traditional Arabic" w:eastAsiaTheme="majorEastAsia" w:hAnsi="Traditional Arabic" w:cs="Traditional Arabic"/>
          <w:spacing w:val="-10"/>
          <w:kern w:val="28"/>
          <w:sz w:val="28"/>
          <w:szCs w:val="28"/>
        </w:rPr>
        <w:fldChar w:fldCharType="separate"/>
      </w:r>
      <w:r w:rsidR="00CE248B">
        <w:rPr>
          <w:rFonts w:ascii="Traditional Arabic" w:eastAsiaTheme="majorEastAsia" w:hAnsi="Traditional Arabic" w:cs="Traditional Arabic"/>
          <w:noProof/>
          <w:spacing w:val="-10"/>
          <w:kern w:val="28"/>
          <w:sz w:val="28"/>
          <w:szCs w:val="28"/>
        </w:rPr>
        <w:t>(Ahmed et al., 2024)</w:t>
      </w:r>
      <w:r w:rsidR="00CE248B">
        <w:rPr>
          <w:rFonts w:ascii="Traditional Arabic" w:eastAsiaTheme="majorEastAsia" w:hAnsi="Traditional Arabic" w:cs="Traditional Arabic"/>
          <w:spacing w:val="-10"/>
          <w:kern w:val="28"/>
          <w:sz w:val="28"/>
          <w:szCs w:val="28"/>
        </w:rPr>
        <w:fldChar w:fldCharType="end"/>
      </w:r>
      <w:r w:rsidR="00680415" w:rsidRPr="002E15D3">
        <w:rPr>
          <w:rFonts w:ascii="Traditional Arabic" w:eastAsiaTheme="majorEastAsia" w:hAnsi="Traditional Arabic" w:cs="Traditional Arabic"/>
          <w:spacing w:val="-10"/>
          <w:kern w:val="28"/>
          <w:sz w:val="28"/>
          <w:szCs w:val="28"/>
        </w:rPr>
        <w:t xml:space="preserve"> </w:t>
      </w:r>
      <w:r w:rsidRPr="002E15D3">
        <w:rPr>
          <w:rFonts w:ascii="Traditional Arabic" w:eastAsiaTheme="majorEastAsia" w:hAnsi="Traditional Arabic" w:cs="Traditional Arabic"/>
          <w:spacing w:val="-10"/>
          <w:kern w:val="28"/>
          <w:sz w:val="28"/>
          <w:szCs w:val="28"/>
          <w:rtl/>
        </w:rPr>
        <w:t>بناءً على ذلك، أصبح العمل على تحسين بيئة الأمان أولوية لا يمكن تجاهلها لدى المؤسسات الصحية التي تسعى للتميز. فكلما تحسنت هذه البيئة، انخفضت فرص حدوث مضاعفات خطيرة أو مشكلات ضارة بشكل واضح</w:t>
      </w:r>
      <w:r w:rsidR="00CE248B">
        <w:rPr>
          <w:rFonts w:ascii="Traditional Arabic" w:eastAsiaTheme="majorEastAsia" w:hAnsi="Traditional Arabic" w:cs="Traditional Arabic" w:hint="cs"/>
          <w:spacing w:val="-10"/>
          <w:kern w:val="28"/>
          <w:sz w:val="28"/>
          <w:szCs w:val="28"/>
          <w:rtl/>
        </w:rPr>
        <w:t xml:space="preserve">   </w:t>
      </w:r>
      <w:r w:rsidR="00CE248B">
        <w:rPr>
          <w:rFonts w:ascii="Traditional Arabic" w:eastAsiaTheme="majorEastAsia" w:hAnsi="Traditional Arabic" w:cs="Traditional Arabic"/>
          <w:spacing w:val="-10"/>
          <w:kern w:val="28"/>
          <w:sz w:val="28"/>
          <w:szCs w:val="28"/>
          <w:rtl/>
        </w:rPr>
        <w:fldChar w:fldCharType="begin"/>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00CE248B">
        <w:rPr>
          <w:rFonts w:ascii="Traditional Arabic" w:eastAsiaTheme="majorEastAsia" w:hAnsi="Traditional Arabic" w:cs="Traditional Arabic"/>
          <w:spacing w:val="-10"/>
          <w:kern w:val="28"/>
          <w:sz w:val="28"/>
          <w:szCs w:val="28"/>
          <w:rtl/>
        </w:rPr>
        <w:instrText>&lt;/</w:instrText>
      </w:r>
      <w:r w:rsidR="00CE248B">
        <w:rPr>
          <w:rFonts w:ascii="Traditional Arabic" w:eastAsiaTheme="majorEastAsia" w:hAnsi="Traditional Arabic" w:cs="Traditional Arabic"/>
          <w:spacing w:val="-10"/>
          <w:kern w:val="28"/>
          <w:sz w:val="28"/>
          <w:szCs w:val="28"/>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00CE248B">
        <w:rPr>
          <w:rFonts w:ascii="Traditional Arabic" w:eastAsiaTheme="majorEastAsia" w:hAnsi="Traditional Arabic" w:cs="Traditional Arabic"/>
          <w:spacing w:val="-10"/>
          <w:kern w:val="28"/>
          <w:sz w:val="28"/>
          <w:szCs w:val="28"/>
          <w:rtl/>
        </w:rPr>
        <w:instrText>&gt;&lt;/</w:instrText>
      </w:r>
      <w:r w:rsidR="00CE248B">
        <w:rPr>
          <w:rFonts w:ascii="Traditional Arabic" w:eastAsiaTheme="majorEastAsia" w:hAnsi="Traditional Arabic" w:cs="Traditional Arabic"/>
          <w:spacing w:val="-10"/>
          <w:kern w:val="28"/>
          <w:sz w:val="28"/>
          <w:szCs w:val="28"/>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00CE248B">
        <w:rPr>
          <w:rFonts w:ascii="Traditional Arabic" w:eastAsiaTheme="majorEastAsia" w:hAnsi="Traditional Arabic" w:cs="Traditional Arabic"/>
          <w:spacing w:val="-10"/>
          <w:kern w:val="28"/>
          <w:sz w:val="28"/>
          <w:szCs w:val="28"/>
          <w:rtl/>
        </w:rPr>
        <w:instrText>/</w:instrText>
      </w:r>
      <w:r w:rsidR="00CE248B">
        <w:rPr>
          <w:rFonts w:ascii="Traditional Arabic" w:eastAsiaTheme="majorEastAsia" w:hAnsi="Traditional Arabic" w:cs="Traditional Arabic"/>
          <w:spacing w:val="-10"/>
          <w:kern w:val="28"/>
          <w:sz w:val="28"/>
          <w:szCs w:val="28"/>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00CE248B">
        <w:rPr>
          <w:rFonts w:ascii="Traditional Arabic" w:eastAsiaTheme="majorEastAsia" w:hAnsi="Traditional Arabic" w:cs="Traditional Arabic"/>
          <w:spacing w:val="-10"/>
          <w:kern w:val="28"/>
          <w:sz w:val="28"/>
          <w:szCs w:val="28"/>
          <w:rtl/>
        </w:rPr>
        <w:instrText>&gt;</w:instrText>
      </w:r>
      <w:r w:rsidR="00CE248B">
        <w:rPr>
          <w:rFonts w:ascii="Traditional Arabic" w:eastAsiaTheme="majorEastAsia" w:hAnsi="Traditional Arabic" w:cs="Traditional Arabic"/>
          <w:spacing w:val="-10"/>
          <w:kern w:val="28"/>
          <w:sz w:val="28"/>
          <w:szCs w:val="28"/>
          <w:rtl/>
        </w:rPr>
        <w:fldChar w:fldCharType="separate"/>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noProof/>
          <w:spacing w:val="-10"/>
          <w:kern w:val="28"/>
          <w:sz w:val="28"/>
          <w:szCs w:val="28"/>
        </w:rPr>
        <w:t>Mistri et al., 2023</w:t>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spacing w:val="-10"/>
          <w:kern w:val="28"/>
          <w:sz w:val="28"/>
          <w:szCs w:val="28"/>
          <w:rtl/>
        </w:rPr>
        <w:fldChar w:fldCharType="end"/>
      </w:r>
      <w:r w:rsidR="00CE248B">
        <w:rPr>
          <w:rFonts w:ascii="Traditional Arabic" w:eastAsiaTheme="majorEastAsia" w:hAnsi="Traditional Arabic" w:cs="Traditional Arabic" w:hint="cs"/>
          <w:spacing w:val="-10"/>
          <w:kern w:val="28"/>
          <w:sz w:val="28"/>
          <w:szCs w:val="28"/>
          <w:rtl/>
        </w:rPr>
        <w:t xml:space="preserve"> </w:t>
      </w:r>
      <w:r w:rsidRPr="002E15D3">
        <w:rPr>
          <w:rFonts w:ascii="Traditional Arabic" w:eastAsiaTheme="majorEastAsia" w:hAnsi="Traditional Arabic" w:cs="Traditional Arabic"/>
          <w:spacing w:val="-10"/>
          <w:kern w:val="28"/>
          <w:sz w:val="28"/>
          <w:szCs w:val="28"/>
        </w:rPr>
        <w:t>.</w:t>
      </w:r>
      <w:r w:rsidR="00680415" w:rsidRPr="002E15D3">
        <w:rPr>
          <w:rFonts w:ascii="Traditional Arabic" w:eastAsiaTheme="majorEastAsia" w:hAnsi="Traditional Arabic" w:cs="Traditional Arabic"/>
          <w:spacing w:val="-10"/>
          <w:kern w:val="28"/>
          <w:sz w:val="28"/>
          <w:szCs w:val="28"/>
        </w:rPr>
        <w:t xml:space="preserve"> </w:t>
      </w:r>
    </w:p>
    <w:p w14:paraId="109A0B96" w14:textId="655E5368" w:rsidR="003A141C" w:rsidRPr="002E15D3" w:rsidRDefault="00EC0173" w:rsidP="00984A64">
      <w:pPr>
        <w:bidi/>
        <w:spacing w:line="360" w:lineRule="auto"/>
        <w:jc w:val="both"/>
        <w:rPr>
          <w:rFonts w:ascii="Traditional Arabic" w:eastAsiaTheme="majorEastAsia" w:hAnsi="Traditional Arabic" w:cs="Traditional Arabic"/>
          <w:spacing w:val="-10"/>
          <w:kern w:val="28"/>
          <w:sz w:val="28"/>
          <w:szCs w:val="28"/>
        </w:rPr>
      </w:pPr>
      <w:r w:rsidRPr="002E15D3">
        <w:rPr>
          <w:rFonts w:ascii="Traditional Arabic" w:eastAsiaTheme="majorEastAsia" w:hAnsi="Traditional Arabic" w:cs="Traditional Arabic"/>
          <w:spacing w:val="-10"/>
          <w:kern w:val="28"/>
          <w:sz w:val="28"/>
          <w:szCs w:val="28"/>
          <w:rtl/>
        </w:rPr>
        <w:t>مع إدراكنا أن معظم الأخطاء في الرعاية الصحية ليست مجرد أخطاء فردية، بل نتيجة لمشاكل في النظام والعمليات نفسها، بدأنا نركز أكثر على بناء ثقافة سلامة شاملة. ثقافة السلامة هنا تعني أن الجميع في المؤسسة يشتركون في مجموعة من القيم والمعتقدات والسلوكيات التي تجعل الأمان أولوية أساسية في كل شيء نقوم به</w:t>
      </w:r>
      <w:r w:rsidRPr="002E15D3">
        <w:rPr>
          <w:rFonts w:ascii="Traditional Arabic" w:eastAsiaTheme="majorEastAsia" w:hAnsi="Traditional Arabic" w:cs="Traditional Arabic"/>
          <w:spacing w:val="-10"/>
          <w:kern w:val="28"/>
          <w:sz w:val="28"/>
          <w:szCs w:val="28"/>
        </w:rPr>
        <w:t>.</w:t>
      </w:r>
      <w:r w:rsidR="00CE248B">
        <w:rPr>
          <w:rFonts w:ascii="Traditional Arabic" w:eastAsiaTheme="majorEastAsia" w:hAnsi="Traditional Arabic" w:cs="Traditional Arabic"/>
          <w:spacing w:val="-10"/>
          <w:kern w:val="28"/>
          <w:sz w:val="28"/>
          <w:szCs w:val="28"/>
        </w:rPr>
        <w:fldChar w:fldCharType="begin"/>
      </w:r>
      <w:r w:rsidR="00CE248B">
        <w:rPr>
          <w:rFonts w:ascii="Traditional Arabic" w:eastAsiaTheme="majorEastAsia" w:hAnsi="Traditional Arabic" w:cs="Traditional Arabic"/>
          <w:spacing w:val="-10"/>
          <w:kern w:val="28"/>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CE248B">
        <w:rPr>
          <w:rFonts w:ascii="Traditional Arabic" w:eastAsiaTheme="majorEastAsia" w:hAnsi="Traditional Arabic" w:cs="Traditional Arabic"/>
          <w:spacing w:val="-10"/>
          <w:kern w:val="28"/>
          <w:sz w:val="28"/>
          <w:szCs w:val="28"/>
        </w:rPr>
        <w:fldChar w:fldCharType="separate"/>
      </w:r>
      <w:r w:rsidR="00CE248B">
        <w:rPr>
          <w:rFonts w:ascii="Traditional Arabic" w:eastAsiaTheme="majorEastAsia" w:hAnsi="Traditional Arabic" w:cs="Traditional Arabic"/>
          <w:noProof/>
          <w:spacing w:val="-10"/>
          <w:kern w:val="28"/>
          <w:sz w:val="28"/>
          <w:szCs w:val="28"/>
        </w:rPr>
        <w:t>(Mistri et al., 2023)</w:t>
      </w:r>
      <w:r w:rsidR="00CE248B">
        <w:rPr>
          <w:rFonts w:ascii="Traditional Arabic" w:eastAsiaTheme="majorEastAsia" w:hAnsi="Traditional Arabic" w:cs="Traditional Arabic"/>
          <w:spacing w:val="-10"/>
          <w:kern w:val="28"/>
          <w:sz w:val="28"/>
          <w:szCs w:val="28"/>
        </w:rPr>
        <w:fldChar w:fldCharType="end"/>
      </w:r>
      <w:r w:rsidRPr="002E15D3">
        <w:rPr>
          <w:rFonts w:ascii="Traditional Arabic" w:eastAsiaTheme="majorEastAsia" w:hAnsi="Traditional Arabic" w:cs="Traditional Arabic"/>
          <w:spacing w:val="-10"/>
          <w:kern w:val="28"/>
          <w:sz w:val="28"/>
          <w:szCs w:val="28"/>
        </w:rPr>
        <w:t xml:space="preserve"> </w:t>
      </w:r>
      <w:r w:rsidR="003A141C" w:rsidRPr="002E15D3">
        <w:rPr>
          <w:rFonts w:ascii="Traditional Arabic" w:eastAsiaTheme="majorEastAsia" w:hAnsi="Traditional Arabic" w:cs="Traditional Arabic"/>
          <w:spacing w:val="-10"/>
          <w:kern w:val="28"/>
          <w:sz w:val="28"/>
          <w:szCs w:val="28"/>
          <w:rtl/>
        </w:rPr>
        <w:t xml:space="preserve">تنعكس هذه الثقافة الإيجابية في مكان عمل مليء بالصحة والحيوية، حيث تكون طرق العمل واضحة والتعاون بين الجميع موجود بشكل طبيعي. من أهم الأمور التي تميز هذه البيئة: </w:t>
      </w:r>
    </w:p>
    <w:p w14:paraId="242C0062" w14:textId="5E63975D" w:rsidR="00680415" w:rsidRPr="002E15D3" w:rsidRDefault="00984A64" w:rsidP="00984A64">
      <w:pPr>
        <w:bidi/>
        <w:spacing w:line="360" w:lineRule="auto"/>
        <w:jc w:val="both"/>
        <w:rPr>
          <w:rFonts w:ascii="Traditional Arabic" w:eastAsiaTheme="majorEastAsia" w:hAnsi="Traditional Arabic" w:cs="Traditional Arabic"/>
          <w:spacing w:val="-10"/>
          <w:kern w:val="28"/>
          <w:sz w:val="28"/>
          <w:szCs w:val="28"/>
        </w:rPr>
      </w:pPr>
      <w:r>
        <w:rPr>
          <w:rFonts w:ascii="Traditional Arabic" w:eastAsiaTheme="majorEastAsia" w:hAnsi="Traditional Arabic" w:cs="Traditional Arabic" w:hint="cs"/>
          <w:b/>
          <w:bCs/>
          <w:spacing w:val="-10"/>
          <w:kern w:val="28"/>
          <w:sz w:val="28"/>
          <w:szCs w:val="28"/>
          <w:rtl/>
        </w:rPr>
        <w:t>أولا:</w:t>
      </w:r>
      <w:r w:rsidRPr="00984A64">
        <w:rPr>
          <w:rFonts w:ascii="Traditional Arabic" w:eastAsiaTheme="majorEastAsia" w:hAnsi="Traditional Arabic" w:cs="Traditional Arabic" w:hint="cs"/>
          <w:b/>
          <w:bCs/>
          <w:spacing w:val="-10"/>
          <w:kern w:val="28"/>
          <w:sz w:val="28"/>
          <w:szCs w:val="28"/>
          <w:rtl/>
        </w:rPr>
        <w:t xml:space="preserve"> دع</w:t>
      </w:r>
      <w:r w:rsidRPr="00984A64">
        <w:rPr>
          <w:rFonts w:ascii="Traditional Arabic" w:eastAsiaTheme="majorEastAsia" w:hAnsi="Traditional Arabic" w:cs="Traditional Arabic" w:hint="eastAsia"/>
          <w:b/>
          <w:bCs/>
          <w:spacing w:val="-10"/>
          <w:kern w:val="28"/>
          <w:sz w:val="28"/>
          <w:szCs w:val="28"/>
          <w:rtl/>
        </w:rPr>
        <w:t>م</w:t>
      </w:r>
      <w:r w:rsidR="003A141C" w:rsidRPr="00984A64">
        <w:rPr>
          <w:rFonts w:ascii="Traditional Arabic" w:eastAsiaTheme="majorEastAsia" w:hAnsi="Traditional Arabic" w:cs="Traditional Arabic"/>
          <w:b/>
          <w:bCs/>
          <w:spacing w:val="-10"/>
          <w:kern w:val="28"/>
          <w:sz w:val="28"/>
          <w:szCs w:val="28"/>
          <w:rtl/>
        </w:rPr>
        <w:t xml:space="preserve"> الإدارة والتزامها</w:t>
      </w:r>
      <w:r w:rsidR="003A141C" w:rsidRPr="00984A64">
        <w:rPr>
          <w:rFonts w:ascii="Traditional Arabic" w:eastAsiaTheme="majorEastAsia" w:hAnsi="Traditional Arabic" w:cs="Traditional Arabic"/>
          <w:spacing w:val="-10"/>
          <w:kern w:val="28"/>
          <w:sz w:val="28"/>
          <w:szCs w:val="28"/>
          <w:rtl/>
        </w:rPr>
        <w:t xml:space="preserve">  يكون لالتزام القادة في المؤسسة بدعم الإجراءات الآمنة وتوفير الموارد الضرورية دور كبير في ضمان سلامة المرضى</w:t>
      </w:r>
      <w:r w:rsidR="00CE248B" w:rsidRPr="00984A64">
        <w:rPr>
          <w:rFonts w:ascii="Traditional Arabic" w:eastAsiaTheme="majorEastAsia" w:hAnsi="Traditional Arabic" w:cs="Traditional Arabic"/>
          <w:spacing w:val="-10"/>
          <w:kern w:val="28"/>
          <w:sz w:val="28"/>
          <w:szCs w:val="28"/>
          <w:rtl/>
        </w:rPr>
        <w:fldChar w:fldCharType="begin"/>
      </w:r>
      <w:r w:rsidR="00CE248B" w:rsidRPr="00984A64">
        <w:rPr>
          <w:rFonts w:ascii="Traditional Arabic" w:eastAsiaTheme="majorEastAsia" w:hAnsi="Traditional Arabic" w:cs="Traditional Arabic"/>
          <w:spacing w:val="-10"/>
          <w:kern w:val="28"/>
          <w:sz w:val="28"/>
          <w:szCs w:val="28"/>
          <w:rtl/>
        </w:rPr>
        <w:instrText xml:space="preserve"> </w:instrText>
      </w:r>
      <w:r w:rsidR="00CE248B" w:rsidRPr="00984A64">
        <w:rPr>
          <w:rFonts w:ascii="Traditional Arabic" w:eastAsiaTheme="majorEastAsia" w:hAnsi="Traditional Arabic" w:cs="Traditional Arabic"/>
          <w:spacing w:val="-10"/>
          <w:kern w:val="28"/>
          <w:sz w:val="28"/>
          <w:szCs w:val="28"/>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00CE248B" w:rsidRPr="00984A64">
        <w:rPr>
          <w:rFonts w:ascii="Traditional Arabic" w:eastAsiaTheme="majorEastAsia" w:hAnsi="Traditional Arabic" w:cs="Traditional Arabic"/>
          <w:spacing w:val="-10"/>
          <w:kern w:val="28"/>
          <w:sz w:val="28"/>
          <w:szCs w:val="28"/>
          <w:rtl/>
        </w:rPr>
        <w:instrText>.&lt;/</w:instrText>
      </w:r>
      <w:r w:rsidR="00CE248B" w:rsidRPr="00984A64">
        <w:rPr>
          <w:rFonts w:ascii="Traditional Arabic" w:eastAsiaTheme="majorEastAsia" w:hAnsi="Traditional Arabic" w:cs="Traditional Arabic"/>
          <w:spacing w:val="-10"/>
          <w:kern w:val="28"/>
          <w:sz w:val="28"/>
          <w:szCs w:val="28"/>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00CE248B" w:rsidRPr="00984A64">
        <w:rPr>
          <w:rFonts w:ascii="Traditional Arabic" w:eastAsiaTheme="majorEastAsia" w:hAnsi="Traditional Arabic" w:cs="Traditional Arabic"/>
          <w:spacing w:val="-10"/>
          <w:kern w:val="28"/>
          <w:sz w:val="28"/>
          <w:szCs w:val="28"/>
          <w:rtl/>
        </w:rPr>
        <w:instrText>&gt;&lt;/</w:instrText>
      </w:r>
      <w:r w:rsidR="00CE248B" w:rsidRPr="00984A64">
        <w:rPr>
          <w:rFonts w:ascii="Traditional Arabic" w:eastAsiaTheme="majorEastAsia" w:hAnsi="Traditional Arabic" w:cs="Traditional Arabic"/>
          <w:spacing w:val="-10"/>
          <w:kern w:val="28"/>
          <w:sz w:val="28"/>
          <w:szCs w:val="28"/>
        </w:rPr>
        <w:instrText>record&gt;&lt;/Cite&gt;&lt;/EndNote</w:instrText>
      </w:r>
      <w:r w:rsidR="00CE248B" w:rsidRPr="00984A64">
        <w:rPr>
          <w:rFonts w:ascii="Traditional Arabic" w:eastAsiaTheme="majorEastAsia" w:hAnsi="Traditional Arabic" w:cs="Traditional Arabic"/>
          <w:spacing w:val="-10"/>
          <w:kern w:val="28"/>
          <w:sz w:val="28"/>
          <w:szCs w:val="28"/>
          <w:rtl/>
        </w:rPr>
        <w:instrText>&gt;</w:instrText>
      </w:r>
      <w:r w:rsidR="00CE248B" w:rsidRPr="00984A64">
        <w:rPr>
          <w:rFonts w:ascii="Traditional Arabic" w:eastAsiaTheme="majorEastAsia" w:hAnsi="Traditional Arabic" w:cs="Traditional Arabic"/>
          <w:spacing w:val="-10"/>
          <w:kern w:val="28"/>
          <w:sz w:val="28"/>
          <w:szCs w:val="28"/>
          <w:rtl/>
        </w:rPr>
        <w:fldChar w:fldCharType="separate"/>
      </w:r>
      <w:r w:rsidR="00CE248B" w:rsidRPr="00984A64">
        <w:rPr>
          <w:rFonts w:ascii="Traditional Arabic" w:eastAsiaTheme="majorEastAsia" w:hAnsi="Traditional Arabic" w:cs="Traditional Arabic"/>
          <w:noProof/>
          <w:spacing w:val="-10"/>
          <w:kern w:val="28"/>
          <w:sz w:val="28"/>
          <w:szCs w:val="28"/>
          <w:rtl/>
        </w:rPr>
        <w:t>(</w:t>
      </w:r>
      <w:r w:rsidR="00CE248B" w:rsidRPr="00984A64">
        <w:rPr>
          <w:rFonts w:ascii="Traditional Arabic" w:eastAsiaTheme="majorEastAsia" w:hAnsi="Traditional Arabic" w:cs="Traditional Arabic"/>
          <w:noProof/>
          <w:spacing w:val="-10"/>
          <w:kern w:val="28"/>
          <w:sz w:val="28"/>
          <w:szCs w:val="28"/>
        </w:rPr>
        <w:t>Konlan &amp; Shin, 2022</w:t>
      </w:r>
      <w:r w:rsidR="00CE248B" w:rsidRPr="00984A64">
        <w:rPr>
          <w:rFonts w:ascii="Traditional Arabic" w:eastAsiaTheme="majorEastAsia" w:hAnsi="Traditional Arabic" w:cs="Traditional Arabic"/>
          <w:noProof/>
          <w:spacing w:val="-10"/>
          <w:kern w:val="28"/>
          <w:sz w:val="28"/>
          <w:szCs w:val="28"/>
          <w:rtl/>
        </w:rPr>
        <w:t>)</w:t>
      </w:r>
      <w:r w:rsidR="00CE248B" w:rsidRPr="00984A64">
        <w:rPr>
          <w:rFonts w:ascii="Traditional Arabic" w:eastAsiaTheme="majorEastAsia" w:hAnsi="Traditional Arabic" w:cs="Traditional Arabic"/>
          <w:spacing w:val="-10"/>
          <w:kern w:val="28"/>
          <w:sz w:val="28"/>
          <w:szCs w:val="28"/>
          <w:rtl/>
        </w:rPr>
        <w:fldChar w:fldCharType="end"/>
      </w:r>
      <w:r w:rsidR="0050669F">
        <w:rPr>
          <w:rFonts w:ascii="Traditional Arabic" w:eastAsiaTheme="majorEastAsia" w:hAnsi="Traditional Arabic" w:cs="Traditional Arabic" w:hint="cs"/>
          <w:spacing w:val="-10"/>
          <w:kern w:val="28"/>
          <w:sz w:val="28"/>
          <w:szCs w:val="28"/>
          <w:rtl/>
        </w:rPr>
        <w:t>،</w:t>
      </w:r>
      <w:r>
        <w:rPr>
          <w:rFonts w:ascii="Traditional Arabic" w:eastAsiaTheme="majorEastAsia" w:hAnsi="Traditional Arabic" w:cs="Traditional Arabic" w:hint="cs"/>
          <w:spacing w:val="-10"/>
          <w:kern w:val="28"/>
          <w:sz w:val="28"/>
          <w:szCs w:val="28"/>
          <w:rtl/>
        </w:rPr>
        <w:t xml:space="preserve"> </w:t>
      </w:r>
      <w:r w:rsidRPr="00984A64">
        <w:rPr>
          <w:rFonts w:ascii="Traditional Arabic" w:eastAsiaTheme="majorEastAsia" w:hAnsi="Traditional Arabic" w:cs="Traditional Arabic" w:hint="cs"/>
          <w:b/>
          <w:bCs/>
          <w:spacing w:val="-10"/>
          <w:kern w:val="28"/>
          <w:sz w:val="28"/>
          <w:szCs w:val="28"/>
          <w:rtl/>
        </w:rPr>
        <w:t xml:space="preserve">ثانيا: </w:t>
      </w:r>
      <w:r w:rsidR="003A141C" w:rsidRPr="00984A64">
        <w:rPr>
          <w:rFonts w:ascii="Traditional Arabic" w:eastAsiaTheme="majorEastAsia" w:hAnsi="Traditional Arabic" w:cs="Traditional Arabic"/>
          <w:b/>
          <w:bCs/>
          <w:spacing w:val="-10"/>
          <w:kern w:val="28"/>
          <w:sz w:val="28"/>
          <w:szCs w:val="28"/>
          <w:rtl/>
        </w:rPr>
        <w:t>التواصل الواضح والعدل</w:t>
      </w:r>
      <w:r w:rsidRPr="00984A64">
        <w:rPr>
          <w:rFonts w:ascii="Traditional Arabic" w:eastAsiaTheme="majorEastAsia" w:hAnsi="Traditional Arabic" w:cs="Traditional Arabic" w:hint="cs"/>
          <w:spacing w:val="-10"/>
          <w:kern w:val="28"/>
          <w:sz w:val="28"/>
          <w:szCs w:val="28"/>
          <w:rtl/>
        </w:rPr>
        <w:t xml:space="preserve"> من خلال</w:t>
      </w:r>
      <w:r w:rsidR="003A141C" w:rsidRPr="00984A64">
        <w:rPr>
          <w:rFonts w:ascii="Traditional Arabic" w:eastAsiaTheme="majorEastAsia" w:hAnsi="Traditional Arabic" w:cs="Traditional Arabic"/>
          <w:b/>
          <w:bCs/>
          <w:spacing w:val="-10"/>
          <w:kern w:val="28"/>
          <w:sz w:val="28"/>
          <w:szCs w:val="28"/>
          <w:rtl/>
        </w:rPr>
        <w:t xml:space="preserve"> </w:t>
      </w:r>
      <w:r w:rsidR="003A141C" w:rsidRPr="00984A64">
        <w:rPr>
          <w:rFonts w:ascii="Traditional Arabic" w:eastAsiaTheme="majorEastAsia" w:hAnsi="Traditional Arabic" w:cs="Traditional Arabic"/>
          <w:spacing w:val="-10"/>
          <w:kern w:val="28"/>
          <w:sz w:val="28"/>
          <w:szCs w:val="28"/>
          <w:rtl/>
        </w:rPr>
        <w:t>بناء بيئة يشعر فيه الجميع بالأمان للتحدث عن المخاطر والأخطاء بدون خوف من أي عقاب</w:t>
      </w:r>
      <w:r w:rsidR="00CE248B" w:rsidRPr="00984A64">
        <w:rPr>
          <w:rFonts w:ascii="Traditional Arabic" w:eastAsiaTheme="majorEastAsia" w:hAnsi="Traditional Arabic" w:cs="Traditional Arabic"/>
          <w:spacing w:val="-10"/>
          <w:kern w:val="28"/>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E248B" w:rsidRPr="00984A64">
        <w:rPr>
          <w:rFonts w:ascii="Traditional Arabic" w:eastAsiaTheme="majorEastAsia" w:hAnsi="Traditional Arabic" w:cs="Traditional Arabic"/>
          <w:spacing w:val="-10"/>
          <w:kern w:val="28"/>
          <w:sz w:val="28"/>
          <w:szCs w:val="28"/>
          <w:rtl/>
        </w:rPr>
        <w:instrText xml:space="preserve"> </w:instrText>
      </w:r>
      <w:r w:rsidR="00CE248B" w:rsidRPr="00984A64">
        <w:rPr>
          <w:rFonts w:ascii="Traditional Arabic" w:eastAsiaTheme="majorEastAsia" w:hAnsi="Traditional Arabic" w:cs="Traditional Arabic"/>
          <w:spacing w:val="-10"/>
          <w:kern w:val="28"/>
          <w:sz w:val="28"/>
          <w:szCs w:val="28"/>
        </w:rPr>
        <w:instrText>ADDIN EN.CITE</w:instrText>
      </w:r>
      <w:r w:rsidR="00CE248B" w:rsidRPr="00984A64">
        <w:rPr>
          <w:rFonts w:ascii="Traditional Arabic" w:eastAsiaTheme="majorEastAsia" w:hAnsi="Traditional Arabic" w:cs="Traditional Arabic"/>
          <w:spacing w:val="-10"/>
          <w:kern w:val="28"/>
          <w:sz w:val="28"/>
          <w:szCs w:val="28"/>
          <w:rtl/>
        </w:rPr>
        <w:instrText xml:space="preserve"> </w:instrText>
      </w:r>
      <w:r w:rsidR="00CE248B" w:rsidRPr="00984A64">
        <w:rPr>
          <w:rFonts w:ascii="Traditional Arabic" w:eastAsiaTheme="majorEastAsia" w:hAnsi="Traditional Arabic" w:cs="Traditional Arabic"/>
          <w:spacing w:val="-10"/>
          <w:kern w:val="28"/>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CE248B" w:rsidRPr="00984A64">
        <w:rPr>
          <w:rFonts w:ascii="Traditional Arabic" w:eastAsiaTheme="majorEastAsia" w:hAnsi="Traditional Arabic" w:cs="Traditional Arabic"/>
          <w:spacing w:val="-10"/>
          <w:kern w:val="28"/>
          <w:sz w:val="28"/>
          <w:szCs w:val="28"/>
          <w:rtl/>
        </w:rPr>
        <w:instrText xml:space="preserve"> </w:instrText>
      </w:r>
      <w:r w:rsidR="00CE248B" w:rsidRPr="00984A64">
        <w:rPr>
          <w:rFonts w:ascii="Traditional Arabic" w:eastAsiaTheme="majorEastAsia" w:hAnsi="Traditional Arabic" w:cs="Traditional Arabic"/>
          <w:spacing w:val="-10"/>
          <w:kern w:val="28"/>
          <w:sz w:val="28"/>
          <w:szCs w:val="28"/>
        </w:rPr>
        <w:instrText>ADDIN EN.CITE.DATA</w:instrText>
      </w:r>
      <w:r w:rsidR="00CE248B" w:rsidRPr="00984A64">
        <w:rPr>
          <w:rFonts w:ascii="Traditional Arabic" w:eastAsiaTheme="majorEastAsia" w:hAnsi="Traditional Arabic" w:cs="Traditional Arabic"/>
          <w:spacing w:val="-10"/>
          <w:kern w:val="28"/>
          <w:sz w:val="28"/>
          <w:szCs w:val="28"/>
          <w:rtl/>
        </w:rPr>
        <w:instrText xml:space="preserve"> </w:instrText>
      </w:r>
      <w:r w:rsidR="00CE248B">
        <w:rPr>
          <w:rtl/>
        </w:rPr>
      </w:r>
      <w:r w:rsidR="00CE248B" w:rsidRPr="00984A64">
        <w:rPr>
          <w:rFonts w:ascii="Traditional Arabic" w:eastAsiaTheme="majorEastAsia" w:hAnsi="Traditional Arabic" w:cs="Traditional Arabic"/>
          <w:spacing w:val="-10"/>
          <w:kern w:val="28"/>
          <w:sz w:val="28"/>
          <w:szCs w:val="28"/>
          <w:rtl/>
        </w:rPr>
        <w:fldChar w:fldCharType="end"/>
      </w:r>
      <w:r w:rsidR="00CE248B" w:rsidRPr="00984A64">
        <w:rPr>
          <w:rFonts w:ascii="Traditional Arabic" w:eastAsiaTheme="majorEastAsia" w:hAnsi="Traditional Arabic" w:cs="Traditional Arabic"/>
          <w:spacing w:val="-10"/>
          <w:kern w:val="28"/>
          <w:sz w:val="28"/>
          <w:szCs w:val="28"/>
          <w:rtl/>
        </w:rPr>
        <w:fldChar w:fldCharType="separate"/>
      </w:r>
      <w:r w:rsidR="00CE248B" w:rsidRPr="00984A64">
        <w:rPr>
          <w:rFonts w:ascii="Traditional Arabic" w:eastAsiaTheme="majorEastAsia" w:hAnsi="Traditional Arabic" w:cs="Traditional Arabic"/>
          <w:noProof/>
          <w:spacing w:val="-10"/>
          <w:kern w:val="28"/>
          <w:sz w:val="28"/>
          <w:szCs w:val="28"/>
          <w:rtl/>
        </w:rPr>
        <w:t>(</w:t>
      </w:r>
      <w:r w:rsidR="00CE248B" w:rsidRPr="00984A64">
        <w:rPr>
          <w:rFonts w:ascii="Traditional Arabic" w:eastAsiaTheme="majorEastAsia" w:hAnsi="Traditional Arabic" w:cs="Traditional Arabic"/>
          <w:noProof/>
          <w:spacing w:val="-10"/>
          <w:kern w:val="28"/>
          <w:sz w:val="28"/>
          <w:szCs w:val="28"/>
        </w:rPr>
        <w:t>Ahmed et al., 2024</w:t>
      </w:r>
      <w:r w:rsidR="00CE248B" w:rsidRPr="00984A64">
        <w:rPr>
          <w:rFonts w:ascii="Traditional Arabic" w:eastAsiaTheme="majorEastAsia" w:hAnsi="Traditional Arabic" w:cs="Traditional Arabic"/>
          <w:noProof/>
          <w:spacing w:val="-10"/>
          <w:kern w:val="28"/>
          <w:sz w:val="28"/>
          <w:szCs w:val="28"/>
          <w:rtl/>
        </w:rPr>
        <w:t>)</w:t>
      </w:r>
      <w:r w:rsidR="00CE248B" w:rsidRPr="00984A64">
        <w:rPr>
          <w:rFonts w:ascii="Traditional Arabic" w:eastAsiaTheme="majorEastAsia" w:hAnsi="Traditional Arabic" w:cs="Traditional Arabic"/>
          <w:spacing w:val="-10"/>
          <w:kern w:val="28"/>
          <w:sz w:val="28"/>
          <w:szCs w:val="28"/>
          <w:rtl/>
        </w:rPr>
        <w:fldChar w:fldCharType="end"/>
      </w:r>
      <w:r w:rsidR="0050669F">
        <w:rPr>
          <w:rFonts w:ascii="Traditional Arabic" w:eastAsiaTheme="majorEastAsia" w:hAnsi="Traditional Arabic" w:cs="Traditional Arabic" w:hint="cs"/>
          <w:b/>
          <w:bCs/>
          <w:spacing w:val="-10"/>
          <w:kern w:val="28"/>
          <w:sz w:val="28"/>
          <w:szCs w:val="28"/>
          <w:rtl/>
        </w:rPr>
        <w:t>،</w:t>
      </w:r>
      <w:r w:rsidR="00680415" w:rsidRPr="00984A64">
        <w:rPr>
          <w:rFonts w:ascii="Traditional Arabic" w:eastAsiaTheme="majorEastAsia" w:hAnsi="Traditional Arabic" w:cs="Traditional Arabic"/>
          <w:spacing w:val="-10"/>
          <w:kern w:val="28"/>
          <w:sz w:val="28"/>
          <w:szCs w:val="28"/>
        </w:rPr>
        <w:t xml:space="preserve"> </w:t>
      </w:r>
      <w:r w:rsidRPr="00984A64">
        <w:rPr>
          <w:rFonts w:ascii="Traditional Arabic" w:eastAsiaTheme="majorEastAsia" w:hAnsi="Traditional Arabic" w:cs="Traditional Arabic" w:hint="cs"/>
          <w:b/>
          <w:bCs/>
          <w:spacing w:val="-10"/>
          <w:kern w:val="28"/>
          <w:sz w:val="28"/>
          <w:szCs w:val="28"/>
          <w:rtl/>
        </w:rPr>
        <w:t>ثالثا: التعل</w:t>
      </w:r>
      <w:r w:rsidRPr="00984A64">
        <w:rPr>
          <w:rFonts w:ascii="Traditional Arabic" w:eastAsiaTheme="majorEastAsia" w:hAnsi="Traditional Arabic" w:cs="Traditional Arabic" w:hint="eastAsia"/>
          <w:b/>
          <w:bCs/>
          <w:spacing w:val="-10"/>
          <w:kern w:val="28"/>
          <w:sz w:val="28"/>
          <w:szCs w:val="28"/>
          <w:rtl/>
        </w:rPr>
        <w:t>م</w:t>
      </w:r>
      <w:r w:rsidR="00680415" w:rsidRPr="00984A64">
        <w:rPr>
          <w:rFonts w:ascii="Traditional Arabic" w:eastAsiaTheme="majorEastAsia" w:hAnsi="Traditional Arabic" w:cs="Traditional Arabic"/>
          <w:b/>
          <w:bCs/>
          <w:spacing w:val="-10"/>
          <w:kern w:val="28"/>
          <w:sz w:val="28"/>
          <w:szCs w:val="28"/>
          <w:rtl/>
        </w:rPr>
        <w:t xml:space="preserve"> المست</w:t>
      </w:r>
      <w:r>
        <w:rPr>
          <w:rFonts w:ascii="Traditional Arabic" w:eastAsiaTheme="majorEastAsia" w:hAnsi="Traditional Arabic" w:cs="Traditional Arabic" w:hint="cs"/>
          <w:b/>
          <w:bCs/>
          <w:spacing w:val="-10"/>
          <w:kern w:val="28"/>
          <w:sz w:val="28"/>
          <w:szCs w:val="28"/>
          <w:rtl/>
        </w:rPr>
        <w:t>ر</w:t>
      </w:r>
      <w:r>
        <w:rPr>
          <w:rFonts w:ascii="Traditional Arabic" w:eastAsiaTheme="majorEastAsia" w:hAnsi="Traditional Arabic" w:cs="Traditional Arabic" w:hint="cs"/>
          <w:spacing w:val="-10"/>
          <w:kern w:val="28"/>
          <w:sz w:val="28"/>
          <w:szCs w:val="28"/>
          <w:rtl/>
        </w:rPr>
        <w:t xml:space="preserve"> وذلك </w:t>
      </w:r>
      <w:r w:rsidRPr="00984A64">
        <w:rPr>
          <w:rFonts w:ascii="Traditional Arabic" w:eastAsiaTheme="majorEastAsia" w:hAnsi="Traditional Arabic" w:cs="Traditional Arabic"/>
          <w:spacing w:val="-10"/>
          <w:kern w:val="28"/>
          <w:sz w:val="28"/>
          <w:szCs w:val="28"/>
          <w:rtl/>
        </w:rPr>
        <w:t>عندما</w:t>
      </w:r>
      <w:r w:rsidR="003A141C" w:rsidRPr="00984A64">
        <w:rPr>
          <w:rFonts w:ascii="Traditional Arabic" w:eastAsiaTheme="majorEastAsia" w:hAnsi="Traditional Arabic" w:cs="Traditional Arabic"/>
          <w:spacing w:val="-10"/>
          <w:kern w:val="28"/>
          <w:sz w:val="28"/>
          <w:szCs w:val="28"/>
          <w:rtl/>
        </w:rPr>
        <w:t xml:space="preserve"> نرى الحوادث والأخطاء كفرص للتعلم، نصبح قادرين على تحسين النظام بشكل مستمر. هذه النظرة تساعدنا على النمو والتطور في مجال عملنا، وتجعلنا أكثر استعدادًا لمواجهة التحديات المستقبلية بطريقة </w:t>
      </w:r>
      <w:r w:rsidR="00CE248B" w:rsidRPr="00984A64">
        <w:rPr>
          <w:rFonts w:ascii="Traditional Arabic" w:eastAsiaTheme="majorEastAsia" w:hAnsi="Traditional Arabic" w:cs="Traditional Arabic" w:hint="cs"/>
          <w:spacing w:val="-10"/>
          <w:kern w:val="28"/>
          <w:sz w:val="28"/>
          <w:szCs w:val="28"/>
          <w:rtl/>
        </w:rPr>
        <w:t>أفضل</w:t>
      </w:r>
      <w:r w:rsidR="00CE248B" w:rsidRPr="00984A64">
        <w:rPr>
          <w:rFonts w:ascii="Traditional Arabic" w:eastAsiaTheme="majorEastAsia" w:hAnsi="Traditional Arabic" w:cs="Traditional Arabic"/>
          <w:spacing w:val="-10"/>
          <w:kern w:val="28"/>
          <w:sz w:val="28"/>
          <w:szCs w:val="28"/>
        </w:rPr>
        <w:t>.</w:t>
      </w:r>
      <w:r w:rsidR="00CE248B" w:rsidRPr="00984A64">
        <w:rPr>
          <w:rFonts w:ascii="Traditional Arabic" w:eastAsiaTheme="majorEastAsia" w:hAnsi="Traditional Arabic" w:cs="Traditional Arabic"/>
          <w:spacing w:val="-10"/>
          <w:kern w:val="28"/>
          <w:sz w:val="28"/>
          <w:szCs w:val="28"/>
        </w:rPr>
        <w:fldChar w:fldCharType="begin">
          <w:fldData xml:space="preserve">PEVuZE5vdGU+PENpdGU+PEF1dGhvcj5BbHNhcmk8L0F1dGhvcj48WWVhcj4yMDI0PC9ZZWFyPjxS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PjwvRW5kTm90ZT4A
</w:fldData>
        </w:fldChar>
      </w:r>
      <w:r w:rsidR="00CE248B" w:rsidRPr="00984A64">
        <w:rPr>
          <w:rFonts w:ascii="Traditional Arabic" w:eastAsiaTheme="majorEastAsia" w:hAnsi="Traditional Arabic" w:cs="Traditional Arabic"/>
          <w:spacing w:val="-10"/>
          <w:kern w:val="28"/>
          <w:sz w:val="28"/>
          <w:szCs w:val="28"/>
        </w:rPr>
        <w:instrText xml:space="preserve"> ADDIN EN.CITE </w:instrText>
      </w:r>
      <w:r w:rsidR="00CE248B" w:rsidRPr="00984A64">
        <w:rPr>
          <w:rFonts w:ascii="Traditional Arabic" w:eastAsiaTheme="majorEastAsia" w:hAnsi="Traditional Arabic" w:cs="Traditional Arabic"/>
          <w:spacing w:val="-10"/>
          <w:kern w:val="28"/>
          <w:sz w:val="28"/>
          <w:szCs w:val="28"/>
        </w:rPr>
        <w:fldChar w:fldCharType="begin">
          <w:fldData xml:space="preserve">PEVuZE5vdGU+PENpdGU+PEF1dGhvcj5BbHNhcmk8L0F1dGhvcj48WWVhcj4yMDI0PC9ZZWFyPjxS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PjwvRW5kTm90ZT4A
</w:fldData>
        </w:fldChar>
      </w:r>
      <w:r w:rsidR="00CE248B" w:rsidRPr="00984A64">
        <w:rPr>
          <w:rFonts w:ascii="Traditional Arabic" w:eastAsiaTheme="majorEastAsia" w:hAnsi="Traditional Arabic" w:cs="Traditional Arabic"/>
          <w:spacing w:val="-10"/>
          <w:kern w:val="28"/>
          <w:sz w:val="28"/>
          <w:szCs w:val="28"/>
        </w:rPr>
        <w:instrText xml:space="preserve"> ADDIN EN.CITE.DATA </w:instrText>
      </w:r>
      <w:r w:rsidR="00CE248B" w:rsidRPr="00984A64">
        <w:rPr>
          <w:rFonts w:ascii="Traditional Arabic" w:eastAsiaTheme="majorEastAsia" w:hAnsi="Traditional Arabic" w:cs="Traditional Arabic"/>
          <w:spacing w:val="-10"/>
          <w:kern w:val="28"/>
          <w:sz w:val="28"/>
          <w:szCs w:val="28"/>
        </w:rPr>
        <w:fldChar w:fldCharType="end"/>
      </w:r>
      <w:r w:rsidR="00CE248B" w:rsidRPr="00984A64">
        <w:rPr>
          <w:rFonts w:ascii="Traditional Arabic" w:eastAsiaTheme="majorEastAsia" w:hAnsi="Traditional Arabic" w:cs="Traditional Arabic"/>
          <w:spacing w:val="-10"/>
          <w:kern w:val="28"/>
          <w:sz w:val="28"/>
          <w:szCs w:val="28"/>
        </w:rPr>
        <w:fldChar w:fldCharType="separate"/>
      </w:r>
      <w:r w:rsidR="00CE248B" w:rsidRPr="00984A64">
        <w:rPr>
          <w:rFonts w:ascii="Traditional Arabic" w:eastAsiaTheme="majorEastAsia" w:hAnsi="Traditional Arabic" w:cs="Traditional Arabic"/>
          <w:noProof/>
          <w:spacing w:val="-10"/>
          <w:kern w:val="28"/>
          <w:sz w:val="28"/>
          <w:szCs w:val="28"/>
        </w:rPr>
        <w:t>(Alsari et al., 2024; Konlan &amp; Shin, 2022)</w:t>
      </w:r>
      <w:r w:rsidR="00CE248B" w:rsidRPr="00984A64">
        <w:rPr>
          <w:rFonts w:ascii="Traditional Arabic" w:eastAsiaTheme="majorEastAsia" w:hAnsi="Traditional Arabic" w:cs="Traditional Arabic"/>
          <w:spacing w:val="-10"/>
          <w:kern w:val="28"/>
          <w:sz w:val="28"/>
          <w:szCs w:val="28"/>
        </w:rPr>
        <w:fldChar w:fldCharType="end"/>
      </w:r>
      <w:r w:rsidR="003A141C" w:rsidRPr="00984A64">
        <w:rPr>
          <w:rFonts w:ascii="Traditional Arabic" w:eastAsiaTheme="majorEastAsia" w:hAnsi="Traditional Arabic" w:cs="Traditional Arabic"/>
          <w:spacing w:val="-10"/>
          <w:kern w:val="28"/>
          <w:sz w:val="28"/>
          <w:szCs w:val="28"/>
        </w:rPr>
        <w:t xml:space="preserve"> </w:t>
      </w:r>
      <w:r w:rsidR="00573910" w:rsidRPr="00984A64">
        <w:rPr>
          <w:rFonts w:ascii="Traditional Arabic" w:eastAsiaTheme="majorEastAsia" w:hAnsi="Traditional Arabic" w:cs="Traditional Arabic"/>
          <w:spacing w:val="-10"/>
          <w:kern w:val="28"/>
          <w:sz w:val="28"/>
          <w:szCs w:val="28"/>
        </w:rPr>
        <w:t xml:space="preserve"> </w:t>
      </w:r>
      <w:r w:rsidR="00573910">
        <w:rPr>
          <w:rFonts w:ascii="Traditional Arabic" w:eastAsiaTheme="majorEastAsia" w:hAnsi="Traditional Arabic" w:cs="Traditional Arabic" w:hint="cs"/>
          <w:spacing w:val="-10"/>
          <w:kern w:val="28"/>
          <w:sz w:val="28"/>
          <w:szCs w:val="28"/>
          <w:rtl/>
        </w:rPr>
        <w:t>،</w:t>
      </w:r>
      <w:r w:rsidR="0050669F">
        <w:rPr>
          <w:rFonts w:ascii="Traditional Arabic" w:eastAsiaTheme="majorEastAsia" w:hAnsi="Traditional Arabic" w:cs="Traditional Arabic" w:hint="cs"/>
          <w:spacing w:val="-10"/>
          <w:kern w:val="28"/>
          <w:sz w:val="28"/>
          <w:szCs w:val="28"/>
          <w:rtl/>
        </w:rPr>
        <w:t xml:space="preserve"> </w:t>
      </w:r>
      <w:r w:rsidR="0050669F" w:rsidRPr="0050669F">
        <w:rPr>
          <w:rFonts w:ascii="Traditional Arabic" w:eastAsiaTheme="majorEastAsia" w:hAnsi="Traditional Arabic" w:cs="Traditional Arabic" w:hint="cs"/>
          <w:b/>
          <w:bCs/>
          <w:spacing w:val="-10"/>
          <w:kern w:val="28"/>
          <w:sz w:val="28"/>
          <w:szCs w:val="28"/>
          <w:rtl/>
        </w:rPr>
        <w:t>رابعا: العم</w:t>
      </w:r>
      <w:r w:rsidR="0050669F" w:rsidRPr="0050669F">
        <w:rPr>
          <w:rFonts w:ascii="Traditional Arabic" w:eastAsiaTheme="majorEastAsia" w:hAnsi="Traditional Arabic" w:cs="Traditional Arabic" w:hint="eastAsia"/>
          <w:b/>
          <w:bCs/>
          <w:spacing w:val="-10"/>
          <w:kern w:val="28"/>
          <w:sz w:val="28"/>
          <w:szCs w:val="28"/>
          <w:rtl/>
        </w:rPr>
        <w:t>ل</w:t>
      </w:r>
      <w:r w:rsidR="00680415" w:rsidRPr="0050669F">
        <w:rPr>
          <w:rFonts w:ascii="Traditional Arabic" w:eastAsiaTheme="majorEastAsia" w:hAnsi="Traditional Arabic" w:cs="Traditional Arabic"/>
          <w:b/>
          <w:bCs/>
          <w:spacing w:val="-10"/>
          <w:kern w:val="28"/>
          <w:sz w:val="28"/>
          <w:szCs w:val="28"/>
          <w:rtl/>
        </w:rPr>
        <w:t xml:space="preserve"> الجماعي</w:t>
      </w:r>
      <w:r w:rsidR="0050669F">
        <w:rPr>
          <w:rFonts w:ascii="Traditional Arabic" w:eastAsiaTheme="majorEastAsia" w:hAnsi="Traditional Arabic" w:cs="Traditional Arabic" w:hint="cs"/>
          <w:spacing w:val="-10"/>
          <w:kern w:val="28"/>
          <w:sz w:val="28"/>
          <w:szCs w:val="28"/>
          <w:rtl/>
        </w:rPr>
        <w:t xml:space="preserve"> وينتج ذلك من خلال</w:t>
      </w:r>
      <w:r w:rsidR="00680415" w:rsidRPr="002E15D3">
        <w:rPr>
          <w:rFonts w:ascii="Traditional Arabic" w:eastAsiaTheme="majorEastAsia" w:hAnsi="Traditional Arabic" w:cs="Traditional Arabic"/>
          <w:spacing w:val="-10"/>
          <w:kern w:val="28"/>
          <w:sz w:val="28"/>
          <w:szCs w:val="28"/>
        </w:rPr>
        <w:t xml:space="preserve"> </w:t>
      </w:r>
      <w:r w:rsidR="003A141C" w:rsidRPr="002E15D3">
        <w:rPr>
          <w:rFonts w:ascii="Traditional Arabic" w:eastAsiaTheme="majorEastAsia" w:hAnsi="Traditional Arabic" w:cs="Traditional Arabic"/>
          <w:spacing w:val="-10"/>
          <w:kern w:val="28"/>
          <w:sz w:val="28"/>
          <w:szCs w:val="28"/>
          <w:rtl/>
        </w:rPr>
        <w:t>التعاون بين الفرق المتنوعة في التخصصات</w:t>
      </w:r>
      <w:r w:rsidR="000E4892" w:rsidRPr="002E15D3">
        <w:rPr>
          <w:rFonts w:ascii="Traditional Arabic" w:eastAsiaTheme="majorEastAsia" w:hAnsi="Traditional Arabic" w:cs="Traditional Arabic"/>
          <w:spacing w:val="-10"/>
          <w:kern w:val="28"/>
          <w:sz w:val="28"/>
          <w:szCs w:val="28"/>
          <w:rtl/>
        </w:rPr>
        <w:t xml:space="preserve"> يعتبر غاية في الاهمية</w:t>
      </w:r>
      <w:r w:rsidR="003A141C" w:rsidRPr="002E15D3">
        <w:rPr>
          <w:rFonts w:ascii="Traditional Arabic" w:eastAsiaTheme="majorEastAsia" w:hAnsi="Traditional Arabic" w:cs="Traditional Arabic"/>
          <w:spacing w:val="-10"/>
          <w:kern w:val="28"/>
          <w:sz w:val="28"/>
          <w:szCs w:val="28"/>
          <w:rtl/>
        </w:rPr>
        <w:t xml:space="preserve">، ليتمكنوا من تقديم رعاية متكاملة وسلسة للمريض. كل فريق يضيف جزء مهم، وعندما يتناغم الجميع، يشعر المريض أنه في أيدٍ أمينة </w:t>
      </w:r>
      <w:r w:rsidR="000E4892" w:rsidRPr="002E15D3">
        <w:rPr>
          <w:rFonts w:ascii="Traditional Arabic" w:eastAsiaTheme="majorEastAsia" w:hAnsi="Traditional Arabic" w:cs="Traditional Arabic"/>
          <w:spacing w:val="-10"/>
          <w:kern w:val="28"/>
          <w:sz w:val="28"/>
          <w:szCs w:val="28"/>
          <w:rtl/>
        </w:rPr>
        <w:t>ومتفاهمة</w:t>
      </w:r>
      <w:r w:rsidR="00CE248B">
        <w:rPr>
          <w:rFonts w:ascii="Traditional Arabic" w:eastAsiaTheme="majorEastAsia" w:hAnsi="Traditional Arabic" w:cs="Traditional Arabic"/>
          <w:spacing w:val="-10"/>
          <w:kern w:val="28"/>
          <w:sz w:val="28"/>
          <w:szCs w:val="28"/>
          <w:rtl/>
        </w:rPr>
        <w:fldChar w:fldCharType="begin"/>
      </w:r>
      <w:r w:rsidR="00CE248B">
        <w:rPr>
          <w:rFonts w:ascii="Traditional Arabic" w:eastAsiaTheme="majorEastAsia" w:hAnsi="Traditional Arabic" w:cs="Traditional Arabic"/>
          <w:spacing w:val="-10"/>
          <w:kern w:val="28"/>
          <w:sz w:val="28"/>
          <w:szCs w:val="28"/>
          <w:rtl/>
        </w:rPr>
        <w:instrText xml:space="preserve"> </w:instrText>
      </w:r>
      <w:r w:rsidR="00CE248B">
        <w:rPr>
          <w:rFonts w:ascii="Traditional Arabic" w:eastAsiaTheme="majorEastAsia" w:hAnsi="Traditional Arabic" w:cs="Traditional Arabic"/>
          <w:spacing w:val="-10"/>
          <w:kern w:val="28"/>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record&gt;&lt;/Cite&gt;&lt;/EndNote</w:instrText>
      </w:r>
      <w:r w:rsidR="00CE248B">
        <w:rPr>
          <w:rFonts w:ascii="Traditional Arabic" w:eastAsiaTheme="majorEastAsia" w:hAnsi="Traditional Arabic" w:cs="Traditional Arabic"/>
          <w:spacing w:val="-10"/>
          <w:kern w:val="28"/>
          <w:sz w:val="28"/>
          <w:szCs w:val="28"/>
          <w:rtl/>
        </w:rPr>
        <w:instrText>&gt;</w:instrText>
      </w:r>
      <w:r w:rsidR="00CE248B">
        <w:rPr>
          <w:rFonts w:ascii="Traditional Arabic" w:eastAsiaTheme="majorEastAsia" w:hAnsi="Traditional Arabic" w:cs="Traditional Arabic"/>
          <w:spacing w:val="-10"/>
          <w:kern w:val="28"/>
          <w:sz w:val="28"/>
          <w:szCs w:val="28"/>
          <w:rtl/>
        </w:rPr>
        <w:fldChar w:fldCharType="separate"/>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noProof/>
          <w:spacing w:val="-10"/>
          <w:kern w:val="28"/>
          <w:sz w:val="28"/>
          <w:szCs w:val="28"/>
        </w:rPr>
        <w:t>Asante &amp; Novak, 2024</w:t>
      </w:r>
      <w:r w:rsidR="00CE248B">
        <w:rPr>
          <w:rFonts w:ascii="Traditional Arabic" w:eastAsiaTheme="majorEastAsia" w:hAnsi="Traditional Arabic" w:cs="Traditional Arabic"/>
          <w:noProof/>
          <w:spacing w:val="-10"/>
          <w:kern w:val="28"/>
          <w:sz w:val="28"/>
          <w:szCs w:val="28"/>
          <w:rtl/>
        </w:rPr>
        <w:t>)</w:t>
      </w:r>
      <w:r w:rsidR="00CE248B">
        <w:rPr>
          <w:rFonts w:ascii="Traditional Arabic" w:eastAsiaTheme="majorEastAsia" w:hAnsi="Traditional Arabic" w:cs="Traditional Arabic"/>
          <w:spacing w:val="-10"/>
          <w:kern w:val="28"/>
          <w:sz w:val="28"/>
          <w:szCs w:val="28"/>
          <w:rtl/>
        </w:rPr>
        <w:fldChar w:fldCharType="end"/>
      </w:r>
      <w:r w:rsidR="00CE248B">
        <w:rPr>
          <w:rFonts w:ascii="Traditional Arabic" w:eastAsiaTheme="majorEastAsia" w:hAnsi="Traditional Arabic" w:cs="Traditional Arabic" w:hint="cs"/>
          <w:spacing w:val="-10"/>
          <w:kern w:val="28"/>
          <w:sz w:val="28"/>
          <w:szCs w:val="28"/>
          <w:rtl/>
        </w:rPr>
        <w:t>.</w:t>
      </w:r>
      <w:r w:rsidR="000E4892" w:rsidRPr="002E15D3">
        <w:rPr>
          <w:rFonts w:ascii="Traditional Arabic" w:eastAsiaTheme="majorEastAsia" w:hAnsi="Traditional Arabic" w:cs="Traditional Arabic"/>
          <w:spacing w:val="-10"/>
          <w:kern w:val="28"/>
          <w:sz w:val="28"/>
          <w:szCs w:val="28"/>
          <w:rtl/>
        </w:rPr>
        <w:t xml:space="preserve"> </w:t>
      </w:r>
    </w:p>
    <w:p w14:paraId="4717779C" w14:textId="58B75043" w:rsidR="00680415" w:rsidRPr="002E15D3" w:rsidRDefault="000E4892" w:rsidP="00680415">
      <w:pPr>
        <w:bidi/>
        <w:spacing w:before="100" w:beforeAutospacing="1" w:after="100" w:afterAutospacing="1" w:line="360" w:lineRule="auto"/>
        <w:jc w:val="both"/>
        <w:rPr>
          <w:rFonts w:ascii="Traditional Arabic" w:eastAsia="Times New Roman" w:hAnsi="Traditional Arabic" w:cs="Traditional Arabic"/>
          <w:color w:val="000000"/>
          <w:sz w:val="28"/>
          <w:szCs w:val="28"/>
          <w:rtl/>
        </w:rPr>
      </w:pPr>
      <w:r w:rsidRPr="002E15D3">
        <w:rPr>
          <w:rFonts w:ascii="Traditional Arabic" w:eastAsia="Times New Roman" w:hAnsi="Traditional Arabic" w:cs="Traditional Arabic"/>
          <w:color w:val="000000"/>
          <w:sz w:val="28"/>
          <w:szCs w:val="28"/>
          <w:rtl/>
        </w:rPr>
        <w:lastRenderedPageBreak/>
        <w:t xml:space="preserve">كثير من الباحثين يؤكدون أن ثقافة السلامة في المستشفى تعبر بشكل كبير عن مدى قدرة المؤسسة على تقليل الحوادث الضارة وتخفيف نتائجها. كما تعكس مدى التزام الموظفين بتطبيق سلوكيات الأمان في عملهم </w:t>
      </w:r>
      <w:r w:rsidR="00680415" w:rsidRPr="002E15D3">
        <w:rPr>
          <w:rFonts w:ascii="Traditional Arabic" w:eastAsia="Times New Roman" w:hAnsi="Traditional Arabic" w:cs="Traditional Arabic"/>
          <w:color w:val="000000"/>
          <w:sz w:val="28"/>
          <w:szCs w:val="28"/>
        </w:rPr>
        <w:t>.</w:t>
      </w:r>
      <w:r w:rsidR="00E31264">
        <w:rPr>
          <w:rFonts w:ascii="Traditional Arabic" w:eastAsia="Times New Roman" w:hAnsi="Traditional Arabic" w:cs="Traditional Arabic"/>
          <w:color w:val="000000"/>
          <w:sz w:val="28"/>
          <w:szCs w:val="28"/>
        </w:rPr>
        <w:fldChar w:fldCharType="begin"/>
      </w:r>
      <w:r w:rsidR="00E31264">
        <w:rPr>
          <w:rFonts w:ascii="Traditional Arabic" w:eastAsia="Times New Roman" w:hAnsi="Traditional Arabic" w:cs="Traditional Arabic"/>
          <w:color w:val="000000"/>
          <w:sz w:val="28"/>
          <w:szCs w:val="28"/>
        </w:rPr>
        <w:instrText xml:space="preserve"> 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Mohammed&lt;/author&gt;&lt;author&gt;Goniewicz,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gt;10.2147/JMDH.S458718&lt;/electronic-resource-num&gt;&lt;/record&gt;&lt;/Cite&gt;&lt;/EndNote&gt;</w:instrText>
      </w:r>
      <w:r w:rsidR="00E31264">
        <w:rPr>
          <w:rFonts w:ascii="Traditional Arabic" w:eastAsia="Times New Roman" w:hAnsi="Traditional Arabic" w:cs="Traditional Arabic"/>
          <w:color w:val="000000"/>
          <w:sz w:val="28"/>
          <w:szCs w:val="28"/>
        </w:rPr>
        <w:fldChar w:fldCharType="separate"/>
      </w:r>
      <w:r w:rsidR="00E31264">
        <w:rPr>
          <w:rFonts w:ascii="Traditional Arabic" w:eastAsia="Times New Roman" w:hAnsi="Traditional Arabic" w:cs="Traditional Arabic"/>
          <w:noProof/>
          <w:color w:val="000000"/>
          <w:sz w:val="28"/>
          <w:szCs w:val="28"/>
        </w:rPr>
        <w:t>(Alsahli et al., 2024)</w:t>
      </w:r>
      <w:r w:rsidR="00E31264">
        <w:rPr>
          <w:rFonts w:ascii="Traditional Arabic" w:eastAsia="Times New Roman" w:hAnsi="Traditional Arabic" w:cs="Traditional Arabic"/>
          <w:color w:val="000000"/>
          <w:sz w:val="28"/>
          <w:szCs w:val="28"/>
        </w:rPr>
        <w:fldChar w:fldCharType="end"/>
      </w:r>
      <w:r w:rsidR="00680415"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 xml:space="preserve"> في الأماكن الصحية المعقدة، يظهر هذا التحدي بوضوح كبير. هنا، لا بد من تنسيق دقيق وإدارة متقنة لكل العمليات الحيوية. لذلك، من المهم أن نفهم العوامل القيادية والتنظيمية التي تساعد في خلق ثقافة سلامة متينة. فالقيادة الجيدة هي القلب النابض لهذه البيئة، وهي التي ترسم طريق العمل وتحدد ما يجب أن يكون الأولوية</w:t>
      </w:r>
      <w:r w:rsidR="00E31264">
        <w:rPr>
          <w:rFonts w:ascii="Traditional Arabic" w:eastAsia="Times New Roman" w:hAnsi="Traditional Arabic" w:cs="Traditional Arabic"/>
          <w:color w:val="000000"/>
          <w:sz w:val="28"/>
          <w:szCs w:val="28"/>
          <w:rtl/>
        </w:rPr>
        <w:fldChar w:fldCharType="begin"/>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ADDIN EN.CITE &lt;EndNote&gt;&lt;Cite&gt;&lt;Author&gt;Shenoy&lt;/Author&gt;&lt;Year&gt;2021&lt;/Year&gt;&lt;RecNum&gt;246&lt;/RecNum&gt;&lt;DisplayText&gt;(Shenoy, 2021)&lt;/DisplayText&gt;&lt;record&gt;&lt;rec-number&gt;246&lt;/rec-number&gt;&lt;foreign-keys&gt;&lt;key app="EN" db-id="02retxxrerxdxhe9aphvs0z2t9z25p0ew99s" timestamp="1762</w:instrText>
      </w:r>
      <w:r w:rsidR="00E31264">
        <w:rPr>
          <w:rFonts w:ascii="Traditional Arabic" w:eastAsia="Times New Roman" w:hAnsi="Traditional Arabic" w:cs="Traditional Arabic"/>
          <w:color w:val="000000"/>
          <w:sz w:val="28"/>
          <w:szCs w:val="28"/>
          <w:rtl/>
        </w:rPr>
        <w:instrText>443774"&gt;246&lt;/</w:instrText>
      </w:r>
      <w:r w:rsidR="00E31264">
        <w:rPr>
          <w:rFonts w:ascii="Traditional Arabic" w:eastAsia="Times New Roman" w:hAnsi="Traditional Arabic" w:cs="Traditional Arabic"/>
          <w:color w:val="000000"/>
          <w:sz w:val="28"/>
          <w:szCs w:val="28"/>
        </w:rPr>
        <w:instrTex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w:instrText>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Surg&lt;/secondary-title&gt;&lt;/titles&gt;&lt;periodical&gt;&lt;full-title&gt;Patient Saf Surg&lt;/full-title&gt;&lt;/periodical&gt;&lt;pages&gt;12&lt;/pages&gt;&lt;volume&gt;15&lt;/volume&gt;&lt;number&gt;1&lt;/number&gt;&lt;edition&gt;2021/03/24&lt;/edition&gt;&lt;keywords&gt;&lt;keyword&gt;High-quality clinical care&lt;/keyword&gt;&lt;keyword&gt;IHI&amp;apos;s</w:instrText>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w:instrText>
      </w:r>
      <w:r w:rsidR="00E31264">
        <w:rPr>
          <w:rFonts w:ascii="Traditional Arabic" w:eastAsia="Times New Roman" w:hAnsi="Traditional Arabic" w:cs="Traditional Arabic"/>
          <w:color w:val="000000"/>
          <w:sz w:val="28"/>
          <w:szCs w:val="28"/>
          <w:rtl/>
        </w:rPr>
        <w:instrText>83197&lt;/</w:instrText>
      </w:r>
      <w:r w:rsidR="00E31264">
        <w:rPr>
          <w:rFonts w:ascii="Traditional Arabic" w:eastAsia="Times New Roman" w:hAnsi="Traditional Arabic" w:cs="Traditional Arabic"/>
          <w:color w:val="000000"/>
          <w:sz w:val="28"/>
          <w:szCs w:val="28"/>
        </w:rPr>
        <w:instrText>custom2&gt;&lt;electronic-resource-num&gt;10.1186/s13037-021-00286-6&lt;/electronic-resource-num&gt;&lt;/record&gt;&lt;/Cite&gt;&lt;/EndNote</w:instrText>
      </w:r>
      <w:r w:rsidR="00E31264">
        <w:rPr>
          <w:rFonts w:ascii="Traditional Arabic" w:eastAsia="Times New Roman" w:hAnsi="Traditional Arabic" w:cs="Traditional Arabic"/>
          <w:color w:val="000000"/>
          <w:sz w:val="28"/>
          <w:szCs w:val="28"/>
          <w:rtl/>
        </w:rPr>
        <w:instrText>&gt;</w:instrText>
      </w:r>
      <w:r w:rsidR="00E31264">
        <w:rPr>
          <w:rFonts w:ascii="Traditional Arabic" w:eastAsia="Times New Roman" w:hAnsi="Traditional Arabic" w:cs="Traditional Arabic"/>
          <w:color w:val="000000"/>
          <w:sz w:val="28"/>
          <w:szCs w:val="28"/>
          <w:rtl/>
        </w:rPr>
        <w:fldChar w:fldCharType="separate"/>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noProof/>
          <w:color w:val="000000"/>
          <w:sz w:val="28"/>
          <w:szCs w:val="28"/>
        </w:rPr>
        <w:t>Shenoy, 2021</w:t>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w:t>
      </w:r>
      <w:r w:rsidRPr="002E15D3">
        <w:rPr>
          <w:rFonts w:ascii="Traditional Arabic" w:eastAsia="Times New Roman" w:hAnsi="Traditional Arabic" w:cs="Traditional Arabic"/>
          <w:color w:val="000000"/>
          <w:sz w:val="28"/>
          <w:szCs w:val="28"/>
        </w:rPr>
        <w:t xml:space="preserve"> </w:t>
      </w:r>
    </w:p>
    <w:p w14:paraId="6A546480" w14:textId="32AEF043" w:rsidR="00680415" w:rsidRPr="002E15D3" w:rsidRDefault="000E4892" w:rsidP="00680415">
      <w:pPr>
        <w:bidi/>
        <w:spacing w:before="100" w:beforeAutospacing="1" w:after="100" w:afterAutospacing="1" w:line="360" w:lineRule="auto"/>
        <w:jc w:val="both"/>
        <w:rPr>
          <w:rFonts w:ascii="Traditional Arabic" w:eastAsia="Times New Roman" w:hAnsi="Traditional Arabic" w:cs="Traditional Arabic" w:hint="cs"/>
          <w:color w:val="000000"/>
          <w:sz w:val="28"/>
          <w:szCs w:val="28"/>
          <w:rtl/>
        </w:rPr>
      </w:pPr>
      <w:r w:rsidRPr="002E15D3">
        <w:rPr>
          <w:rFonts w:ascii="Traditional Arabic" w:eastAsia="Times New Roman" w:hAnsi="Traditional Arabic" w:cs="Traditional Arabic"/>
          <w:color w:val="000000"/>
          <w:sz w:val="28"/>
          <w:szCs w:val="28"/>
          <w:rtl/>
        </w:rPr>
        <w:t>هنا، تظهر القيادة التحويلية كنوع من القيادة التي تملك قدرة مميزة على إحداث تغييرات عميقة ودائمة في قيم وأخلاقيات وسلوكيات العمل</w:t>
      </w:r>
      <w:r w:rsidR="00E31264">
        <w:rPr>
          <w:rFonts w:ascii="Traditional Arabic" w:eastAsia="Times New Roman" w:hAnsi="Traditional Arabic" w:cs="Traditional Arabic"/>
          <w:color w:val="000000"/>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ADDIN EN.CITE</w:instrText>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ADDIN EN.CITE.DATA</w:instrText>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tl/>
        </w:rPr>
      </w:r>
      <w:r w:rsidR="00E31264">
        <w:rPr>
          <w:rFonts w:ascii="Traditional Arabic" w:eastAsia="Times New Roman" w:hAnsi="Traditional Arabic" w:cs="Traditional Arabic"/>
          <w:color w:val="000000"/>
          <w:sz w:val="28"/>
          <w:szCs w:val="28"/>
          <w:rtl/>
        </w:rPr>
        <w:fldChar w:fldCharType="end"/>
      </w:r>
      <w:r w:rsidR="00E31264">
        <w:rPr>
          <w:rFonts w:ascii="Traditional Arabic" w:eastAsia="Times New Roman" w:hAnsi="Traditional Arabic" w:cs="Traditional Arabic"/>
          <w:color w:val="000000"/>
          <w:sz w:val="28"/>
          <w:szCs w:val="28"/>
          <w:rtl/>
        </w:rPr>
        <w:fldChar w:fldCharType="separate"/>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noProof/>
          <w:color w:val="000000"/>
          <w:sz w:val="28"/>
          <w:szCs w:val="28"/>
        </w:rPr>
        <w:t>Ahmed et al., 2024</w:t>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w:t>
      </w:r>
      <w:r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تشير الدراسات إلى أن القيادة التحويلية لها تأثير كبير على خلق بيئة عمل تشجع على السلامة وتدعم التعلم المستمر</w:t>
      </w:r>
      <w:r w:rsidR="0050669F">
        <w:rPr>
          <w:rFonts w:ascii="Traditional Arabic" w:eastAsia="Times New Roman" w:hAnsi="Traditional Arabic" w:cs="Traditional Arabic"/>
          <w:color w:val="000000"/>
          <w:sz w:val="28"/>
          <w:szCs w:val="28"/>
          <w:rtl/>
        </w:rPr>
        <w:fldChar w:fldCharType="begin"/>
      </w:r>
      <w:r w:rsidR="0050669F">
        <w:rPr>
          <w:rFonts w:ascii="Traditional Arabic" w:eastAsia="Times New Roman" w:hAnsi="Traditional Arabic" w:cs="Traditional Arabic"/>
          <w:color w:val="000000"/>
          <w:sz w:val="28"/>
          <w:szCs w:val="28"/>
          <w:rtl/>
        </w:rPr>
        <w:instrText xml:space="preserve"> </w:instrText>
      </w:r>
      <w:r w:rsidR="0050669F">
        <w:rPr>
          <w:rFonts w:ascii="Traditional Arabic" w:eastAsia="Times New Roman" w:hAnsi="Traditional Arabic" w:cs="Traditional Arabic"/>
          <w:color w:val="000000"/>
          <w:sz w:val="28"/>
          <w:szCs w:val="28"/>
        </w:rPr>
        <w:instrText>ADDIN EN.CITE &lt;EndNote&gt;&lt;Cite&gt;&lt;Author</w:instrText>
      </w:r>
      <w:r w:rsidR="0050669F">
        <w:rPr>
          <w:rFonts w:ascii="Traditional Arabic" w:eastAsia="Times New Roman" w:hAnsi="Traditional Arabic" w:cs="Traditional Arabic"/>
          <w:color w:val="000000"/>
          <w:sz w:val="28"/>
          <w:szCs w:val="28"/>
          <w:rtl/>
        </w:rPr>
        <w:instrText>&gt;البركاني&lt;/</w:instrText>
      </w:r>
      <w:r w:rsidR="0050669F">
        <w:rPr>
          <w:rFonts w:ascii="Traditional Arabic" w:eastAsia="Times New Roman" w:hAnsi="Traditional Arabic" w:cs="Traditional Arabic"/>
          <w:color w:val="000000"/>
          <w:sz w:val="28"/>
          <w:szCs w:val="28"/>
        </w:rPr>
        <w:instrText>Author&gt;&lt;Year&gt;2024&lt;/Year&gt;&lt;RecNum&gt;175&lt;/RecNum&gt;&lt;DisplayText</w:instrText>
      </w:r>
      <w:r w:rsidR="0050669F">
        <w:rPr>
          <w:rFonts w:ascii="Traditional Arabic" w:eastAsia="Times New Roman" w:hAnsi="Traditional Arabic" w:cs="Traditional Arabic"/>
          <w:color w:val="000000"/>
          <w:sz w:val="28"/>
          <w:szCs w:val="28"/>
          <w:rtl/>
        </w:rPr>
        <w:instrText>&gt;(البركاني, 2024)&lt;/</w:instrText>
      </w:r>
      <w:r w:rsidR="0050669F">
        <w:rPr>
          <w:rFonts w:ascii="Traditional Arabic" w:eastAsia="Times New Roman" w:hAnsi="Traditional Arabic" w:cs="Traditional Arabic"/>
          <w:color w:val="000000"/>
          <w:sz w:val="28"/>
          <w:szCs w:val="28"/>
        </w:rPr>
        <w:instrText>DisplayText&gt;&lt;record&gt;&lt;rec-number&gt;175&lt;/rec-number&gt;&lt;foreign-keys&gt;&lt;key app="EN" db-id="02retxxrerxdxhe9aphvs0z2t9z25p0ew99s" timestamp</w:instrText>
      </w:r>
      <w:r w:rsidR="0050669F">
        <w:rPr>
          <w:rFonts w:ascii="Traditional Arabic" w:eastAsia="Times New Roman" w:hAnsi="Traditional Arabic" w:cs="Traditional Arabic"/>
          <w:color w:val="000000"/>
          <w:sz w:val="28"/>
          <w:szCs w:val="28"/>
          <w:rtl/>
        </w:rPr>
        <w:instrText>="1754213809"&gt;175&lt;/</w:instrText>
      </w:r>
      <w:r w:rsidR="0050669F">
        <w:rPr>
          <w:rFonts w:ascii="Traditional Arabic" w:eastAsia="Times New Roman" w:hAnsi="Traditional Arabic" w:cs="Traditional Arabic"/>
          <w:color w:val="000000"/>
          <w:sz w:val="28"/>
          <w:szCs w:val="28"/>
        </w:rPr>
        <w:instrText>key&gt;&lt;/foreign-keys&gt;&lt;ref-type name="Journal Article"&gt;17&lt;/ref-type&gt;&lt;contributors&gt;&lt;authors&gt;&lt;author</w:instrText>
      </w:r>
      <w:r w:rsidR="0050669F">
        <w:rPr>
          <w:rFonts w:ascii="Traditional Arabic" w:eastAsia="Times New Roman" w:hAnsi="Traditional Arabic" w:cs="Traditional Arabic"/>
          <w:color w:val="000000"/>
          <w:sz w:val="28"/>
          <w:szCs w:val="28"/>
          <w:rtl/>
        </w:rPr>
        <w:instrText>&gt;البركاني, يوسف ضويحي&lt;/</w:instrText>
      </w:r>
      <w:r w:rsidR="0050669F">
        <w:rPr>
          <w:rFonts w:ascii="Traditional Arabic" w:eastAsia="Times New Roman" w:hAnsi="Traditional Arabic" w:cs="Traditional Arabic"/>
          <w:color w:val="000000"/>
          <w:sz w:val="28"/>
          <w:szCs w:val="28"/>
        </w:rPr>
        <w:instrText>author&gt;&lt;/authors&gt;&lt;/contributors&gt;&lt;titles&gt;&lt;title</w:instrText>
      </w:r>
      <w:r w:rsidR="0050669F">
        <w:rPr>
          <w:rFonts w:ascii="Traditional Arabic" w:eastAsia="Times New Roman" w:hAnsi="Traditional Arabic" w:cs="Traditional Arabic"/>
          <w:color w:val="000000"/>
          <w:sz w:val="28"/>
          <w:szCs w:val="28"/>
          <w:rtl/>
        </w:rPr>
        <w:instrText>&gt;أثر القيادة التحويلية على فاعلية اتخاذ القرارات: دراسة تطبيقية على مستشفى العام&lt;/</w:instrText>
      </w:r>
      <w:r w:rsidR="0050669F">
        <w:rPr>
          <w:rFonts w:ascii="Traditional Arabic" w:eastAsia="Times New Roman" w:hAnsi="Traditional Arabic" w:cs="Traditional Arabic"/>
          <w:color w:val="000000"/>
          <w:sz w:val="28"/>
          <w:szCs w:val="28"/>
        </w:rPr>
        <w:instrText>title&gt;&lt;secondary-title</w:instrText>
      </w:r>
      <w:r w:rsidR="0050669F">
        <w:rPr>
          <w:rFonts w:ascii="Traditional Arabic" w:eastAsia="Times New Roman" w:hAnsi="Traditional Arabic" w:cs="Traditional Arabic"/>
          <w:color w:val="000000"/>
          <w:sz w:val="28"/>
          <w:szCs w:val="28"/>
          <w:rtl/>
        </w:rPr>
        <w:instrText>&gt;مجلة العلوم الإقتصادية و الإدارية و القانونية&lt;/</w:instrText>
      </w:r>
      <w:r w:rsidR="0050669F">
        <w:rPr>
          <w:rFonts w:ascii="Traditional Arabic" w:eastAsia="Times New Roman" w:hAnsi="Traditional Arabic" w:cs="Traditional Arabic"/>
          <w:color w:val="000000"/>
          <w:sz w:val="28"/>
          <w:szCs w:val="28"/>
        </w:rPr>
        <w:instrText>secondary-title&gt;&lt;/titles&gt;&lt;periodical&gt;&lt;full-title</w:instrText>
      </w:r>
      <w:r w:rsidR="0050669F">
        <w:rPr>
          <w:rFonts w:ascii="Traditional Arabic" w:eastAsia="Times New Roman" w:hAnsi="Traditional Arabic" w:cs="Traditional Arabic"/>
          <w:color w:val="000000"/>
          <w:sz w:val="28"/>
          <w:szCs w:val="28"/>
          <w:rtl/>
        </w:rPr>
        <w:instrText>&gt;مجلة العلوم الإقتصادية و الإدارية و القانونية&lt;/</w:instrText>
      </w:r>
      <w:r w:rsidR="0050669F">
        <w:rPr>
          <w:rFonts w:ascii="Traditional Arabic" w:eastAsia="Times New Roman" w:hAnsi="Traditional Arabic" w:cs="Traditional Arabic"/>
          <w:color w:val="000000"/>
          <w:sz w:val="28"/>
          <w:szCs w:val="28"/>
        </w:rPr>
        <w:instrText>full-title&gt;&lt;/periodical&gt;&lt;dates&gt;&lt;year&gt;2024&lt;/year&gt;&lt;/dates&gt;&lt;urls&gt;&lt;/urls&gt;&lt;/record&gt;&lt;/Cite&gt;&lt;/EndNote</w:instrText>
      </w:r>
      <w:r w:rsidR="0050669F">
        <w:rPr>
          <w:rFonts w:ascii="Traditional Arabic" w:eastAsia="Times New Roman" w:hAnsi="Traditional Arabic" w:cs="Traditional Arabic"/>
          <w:color w:val="000000"/>
          <w:sz w:val="28"/>
          <w:szCs w:val="28"/>
          <w:rtl/>
        </w:rPr>
        <w:instrText>&gt;</w:instrText>
      </w:r>
      <w:r w:rsidR="0050669F">
        <w:rPr>
          <w:rFonts w:ascii="Traditional Arabic" w:eastAsia="Times New Roman" w:hAnsi="Traditional Arabic" w:cs="Traditional Arabic"/>
          <w:color w:val="000000"/>
          <w:sz w:val="28"/>
          <w:szCs w:val="28"/>
          <w:rtl/>
        </w:rPr>
        <w:fldChar w:fldCharType="separate"/>
      </w:r>
      <w:r w:rsidR="0050669F">
        <w:rPr>
          <w:rFonts w:ascii="Traditional Arabic" w:eastAsia="Times New Roman" w:hAnsi="Traditional Arabic" w:cs="Traditional Arabic"/>
          <w:noProof/>
          <w:color w:val="000000"/>
          <w:sz w:val="28"/>
          <w:szCs w:val="28"/>
          <w:rtl/>
        </w:rPr>
        <w:t>(البركاني, 2024)</w:t>
      </w:r>
      <w:r w:rsidR="0050669F">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 هذه القيادة تؤثر بشكل مباشر على بعض الجوانب داخل المنظمة، مما يساعد في تعزيز ثقافة السلامة وتحسينها بشكل عام</w:t>
      </w:r>
      <w:r w:rsidR="00E31264">
        <w:rPr>
          <w:rFonts w:ascii="Traditional Arabic" w:eastAsia="Times New Roman" w:hAnsi="Traditional Arabic" w:cs="Traditional Arabic"/>
          <w:color w:val="000000"/>
          <w:sz w:val="28"/>
          <w:szCs w:val="28"/>
          <w:rtl/>
        </w:rPr>
        <w:fldChar w:fldCharType="begin"/>
      </w:r>
      <w:r w:rsidR="00E31264">
        <w:rPr>
          <w:rFonts w:ascii="Traditional Arabic" w:eastAsia="Times New Roman" w:hAnsi="Traditional Arabic" w:cs="Traditional Arabic"/>
          <w:color w:val="000000"/>
          <w:sz w:val="28"/>
          <w:szCs w:val="28"/>
          <w:rtl/>
        </w:rPr>
        <w:instrText xml:space="preserve"> </w:instrText>
      </w:r>
      <w:r w:rsidR="00E31264">
        <w:rPr>
          <w:rFonts w:ascii="Traditional Arabic" w:eastAsia="Times New Roman" w:hAnsi="Traditional Arabic" w:cs="Traditional Arabic"/>
          <w:color w:val="000000"/>
          <w:sz w:val="28"/>
          <w:szCs w:val="28"/>
        </w:rPr>
        <w:instrText>ADDIN EN.CITE &lt;EndNote&gt;&lt;Cite&gt;&lt;Author&gt;Alotaibi&lt;/Author&gt;&lt;Year&gt;2015&lt;/Year&gt;&lt;RecNum&gt;148&lt;/RecNum&gt;&lt;DisplayText&gt;(Alotaibi et al., 2015)&lt;/DisplayText&gt;&lt;record&gt;&lt;rec-number&gt;148&lt;/rec-number&gt;&lt;foreign-keys&gt;&lt;key app="EN" db-id="02retxxrerxdxhe9aphvs0z2t9z25p0ew99s" timestamp="1752523610"&gt;148&lt;/key&gt;&lt;/foreign-keys&gt;&lt;ref-type name="Journal Article"&gt;17&lt;/ref-type&gt;&lt;contributors&gt;&lt;authors&gt;&lt;author&gt;Alotaibi, Eqab Aiyadh&lt;/author&gt;&lt;author&gt;ZienYusoff, Rushami&lt;/author&gt;&lt;author&gt;Al-Swidi, Abdullah Kaid&lt;/author&gt;&lt;author&gt;Al-Matari, Ebrahim Mohammed&lt;/author&gt;&lt;author&gt;AlSharqi, Omar Zayyan&lt;/author&gt;&lt;/authors&gt;&lt;/contributors&gt;&lt;titles&gt;&lt;title&gt;The Mediating Effect of Organizational Climate on the Relationship between Transformational Leadership and Patient Safety: A Study on Saudi Hospitals&lt;/title&gt;&lt;secondary-title&gt;Mediterranean Journal of Social Sciences&lt;/secondary-title&gt;&lt;/titles&gt;&lt;periodical&gt;&lt;full-title&gt;Mediterranean Journal of Social Sciences&lt;/full-title&gt;&lt;/periodical&gt;&lt;volume&gt;6&lt;/volume&gt;&lt;dates&gt;&lt;year&gt;2015&lt;/year&gt;&lt;pub-dates&gt;&lt;date&gt;03/01&lt;/date&gt;&lt;/pub-dates&gt;&lt;/dates&gt;&lt;isbn&gt;20399340&amp;#xD;20392117&lt;/isbn&gt;&lt;urls&gt;&lt;/urls&gt;&lt;electronic-resource-num&gt;10.5901/mjss.2015.v6n2s1p117&lt;/electronic-resource-num&gt;&lt;/record&gt;&lt;/Cite&gt;&lt;/EndNote</w:instrText>
      </w:r>
      <w:r w:rsidR="00E31264">
        <w:rPr>
          <w:rFonts w:ascii="Traditional Arabic" w:eastAsia="Times New Roman" w:hAnsi="Traditional Arabic" w:cs="Traditional Arabic"/>
          <w:color w:val="000000"/>
          <w:sz w:val="28"/>
          <w:szCs w:val="28"/>
          <w:rtl/>
        </w:rPr>
        <w:instrText>&gt;</w:instrText>
      </w:r>
      <w:r w:rsidR="00E31264">
        <w:rPr>
          <w:rFonts w:ascii="Traditional Arabic" w:eastAsia="Times New Roman" w:hAnsi="Traditional Arabic" w:cs="Traditional Arabic"/>
          <w:color w:val="000000"/>
          <w:sz w:val="28"/>
          <w:szCs w:val="28"/>
          <w:rtl/>
        </w:rPr>
        <w:fldChar w:fldCharType="separate"/>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noProof/>
          <w:color w:val="000000"/>
          <w:sz w:val="28"/>
          <w:szCs w:val="28"/>
        </w:rPr>
        <w:t>Alotaibi et al., 2015</w:t>
      </w:r>
      <w:r w:rsidR="00E31264">
        <w:rPr>
          <w:rFonts w:ascii="Traditional Arabic" w:eastAsia="Times New Roman" w:hAnsi="Traditional Arabic" w:cs="Traditional Arabic"/>
          <w:noProof/>
          <w:color w:val="000000"/>
          <w:sz w:val="28"/>
          <w:szCs w:val="28"/>
          <w:rtl/>
        </w:rPr>
        <w:t>)</w:t>
      </w:r>
      <w:r w:rsidR="00E31264">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w:t>
      </w:r>
      <w:r w:rsidR="00680415"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هذا الأسلوب في القيادة يركز على دعم الموظفين وتحفيزهم بشكل يجعلهم يتجاوزون التوقعات العادية. يعتمد على وجود رؤية واضحة تلهم الجميع، ويحفزهم على التفكير بعمق ومراجعة الأمور كما هي، مما يفتح الباب أمام أفكار جديدة وتطوير أساليب العمل</w:t>
      </w:r>
      <w:r w:rsidR="0050669F">
        <w:rPr>
          <w:rFonts w:ascii="Traditional Arabic" w:eastAsia="Times New Roman" w:hAnsi="Traditional Arabic" w:cs="Traditional Arabic"/>
          <w:color w:val="000000"/>
          <w:sz w:val="28"/>
          <w:szCs w:val="28"/>
          <w:rtl/>
        </w:rPr>
        <w:fldChar w:fldCharType="begin"/>
      </w:r>
      <w:r w:rsidR="0050669F">
        <w:rPr>
          <w:rFonts w:ascii="Traditional Arabic" w:eastAsia="Times New Roman" w:hAnsi="Traditional Arabic" w:cs="Traditional Arabic"/>
          <w:color w:val="000000"/>
          <w:sz w:val="28"/>
          <w:szCs w:val="28"/>
          <w:rtl/>
        </w:rPr>
        <w:instrText xml:space="preserve"> </w:instrText>
      </w:r>
      <w:r w:rsidR="0050669F">
        <w:rPr>
          <w:rFonts w:ascii="Traditional Arabic" w:eastAsia="Times New Roman" w:hAnsi="Traditional Arabic" w:cs="Traditional Arabic"/>
          <w:color w:val="000000"/>
          <w:sz w:val="28"/>
          <w:szCs w:val="28"/>
        </w:rPr>
        <w:instrText>ADDIN EN.CITE &lt;EndNote&gt;&lt;Cite&gt;&lt;Author</w:instrText>
      </w:r>
      <w:r w:rsidR="0050669F">
        <w:rPr>
          <w:rFonts w:ascii="Traditional Arabic" w:eastAsia="Times New Roman" w:hAnsi="Traditional Arabic" w:cs="Traditional Arabic"/>
          <w:color w:val="000000"/>
          <w:sz w:val="28"/>
          <w:szCs w:val="28"/>
          <w:rtl/>
        </w:rPr>
        <w:instrText>&gt;الحاج&lt;/</w:instrText>
      </w:r>
      <w:r w:rsidR="0050669F">
        <w:rPr>
          <w:rFonts w:ascii="Traditional Arabic" w:eastAsia="Times New Roman" w:hAnsi="Traditional Arabic" w:cs="Traditional Arabic"/>
          <w:color w:val="000000"/>
          <w:sz w:val="28"/>
          <w:szCs w:val="28"/>
        </w:rPr>
        <w:instrText>Author&gt;&lt;Year&gt;2024&lt;/Year&gt;&lt;RecNum&gt;176&lt;/RecNum&gt;&lt;DisplayText</w:instrText>
      </w:r>
      <w:r w:rsidR="0050669F">
        <w:rPr>
          <w:rFonts w:ascii="Traditional Arabic" w:eastAsia="Times New Roman" w:hAnsi="Traditional Arabic" w:cs="Traditional Arabic"/>
          <w:color w:val="000000"/>
          <w:sz w:val="28"/>
          <w:szCs w:val="28"/>
          <w:rtl/>
        </w:rPr>
        <w:instrText>&gt;(الحاج &amp;</w:instrText>
      </w:r>
      <w:r w:rsidR="0050669F">
        <w:rPr>
          <w:rFonts w:ascii="Traditional Arabic" w:eastAsia="Times New Roman" w:hAnsi="Traditional Arabic" w:cs="Traditional Arabic"/>
          <w:color w:val="000000"/>
          <w:sz w:val="28"/>
          <w:szCs w:val="28"/>
        </w:rPr>
        <w:instrText>amp</w:instrText>
      </w:r>
      <w:r w:rsidR="0050669F">
        <w:rPr>
          <w:rFonts w:ascii="Traditional Arabic" w:eastAsia="Times New Roman" w:hAnsi="Traditional Arabic" w:cs="Traditional Arabic"/>
          <w:color w:val="000000"/>
          <w:sz w:val="28"/>
          <w:szCs w:val="28"/>
          <w:rtl/>
        </w:rPr>
        <w:instrText>; السفياني, 2024)&lt;/</w:instrText>
      </w:r>
      <w:r w:rsidR="0050669F">
        <w:rPr>
          <w:rFonts w:ascii="Traditional Arabic" w:eastAsia="Times New Roman" w:hAnsi="Traditional Arabic" w:cs="Traditional Arabic"/>
          <w:color w:val="000000"/>
          <w:sz w:val="28"/>
          <w:szCs w:val="28"/>
        </w:rPr>
        <w:instrText>DisplayText&gt;&lt;record&gt;&lt;rec-number&gt;176&lt;/rec-number&gt;&lt;foreign-keys&gt;&lt;key app="EN" db-id="02retxxrerxdxhe9aphvs0z2t9z25p0ew99s" timestamp="1754214025"&gt;176&lt;/key&gt;&lt;/foreign-keys&gt;&lt;ref-type name="Journal Article"&gt;17&lt;/ref-type&gt;&lt;contributors&gt;&lt;authors&gt;&lt;author</w:instrText>
      </w:r>
      <w:r w:rsidR="0050669F">
        <w:rPr>
          <w:rFonts w:ascii="Traditional Arabic" w:eastAsia="Times New Roman" w:hAnsi="Traditional Arabic" w:cs="Traditional Arabic"/>
          <w:color w:val="000000"/>
          <w:sz w:val="28"/>
          <w:szCs w:val="28"/>
          <w:rtl/>
        </w:rPr>
        <w:instrText>&gt;الحاج, عبدالملك خالد نصر&lt;/</w:instrText>
      </w:r>
      <w:r w:rsidR="0050669F">
        <w:rPr>
          <w:rFonts w:ascii="Traditional Arabic" w:eastAsia="Times New Roman" w:hAnsi="Traditional Arabic" w:cs="Traditional Arabic"/>
          <w:color w:val="000000"/>
          <w:sz w:val="28"/>
          <w:szCs w:val="28"/>
        </w:rPr>
        <w:instrText>author&gt;&lt;author</w:instrText>
      </w:r>
      <w:r w:rsidR="0050669F">
        <w:rPr>
          <w:rFonts w:ascii="Traditional Arabic" w:eastAsia="Times New Roman" w:hAnsi="Traditional Arabic" w:cs="Traditional Arabic"/>
          <w:color w:val="000000"/>
          <w:sz w:val="28"/>
          <w:szCs w:val="28"/>
          <w:rtl/>
        </w:rPr>
        <w:instrText>&gt;السفياني, عبدالرحمن محمد&lt;/</w:instrText>
      </w:r>
      <w:r w:rsidR="0050669F">
        <w:rPr>
          <w:rFonts w:ascii="Traditional Arabic" w:eastAsia="Times New Roman" w:hAnsi="Traditional Arabic" w:cs="Traditional Arabic"/>
          <w:color w:val="000000"/>
          <w:sz w:val="28"/>
          <w:szCs w:val="28"/>
        </w:rPr>
        <w:instrText>author&gt;&lt;/authors&gt;&lt;/contributors&gt;&lt;titles&gt;&lt;title</w:instrText>
      </w:r>
      <w:r w:rsidR="0050669F">
        <w:rPr>
          <w:rFonts w:ascii="Traditional Arabic" w:eastAsia="Times New Roman" w:hAnsi="Traditional Arabic" w:cs="Traditional Arabic"/>
          <w:color w:val="000000"/>
          <w:sz w:val="28"/>
          <w:szCs w:val="28"/>
          <w:rtl/>
        </w:rPr>
        <w:instrText>&gt;أثر القيادة التحويلية في الارتباط الوظيفي: دراسة ميدانية في المستشفيات الأهلية بمحافظة تعز&lt;/</w:instrText>
      </w:r>
      <w:r w:rsidR="0050669F">
        <w:rPr>
          <w:rFonts w:ascii="Traditional Arabic" w:eastAsia="Times New Roman" w:hAnsi="Traditional Arabic" w:cs="Traditional Arabic"/>
          <w:color w:val="000000"/>
          <w:sz w:val="28"/>
          <w:szCs w:val="28"/>
        </w:rPr>
        <w:instrText>title&gt;&lt;secondary-title</w:instrText>
      </w:r>
      <w:r w:rsidR="0050669F">
        <w:rPr>
          <w:rFonts w:ascii="Traditional Arabic" w:eastAsia="Times New Roman" w:hAnsi="Traditional Arabic" w:cs="Traditional Arabic"/>
          <w:color w:val="000000"/>
          <w:sz w:val="28"/>
          <w:szCs w:val="28"/>
          <w:rtl/>
        </w:rPr>
        <w:instrText>&gt;مجلة جامعة صنعاء للعلوم الإنسانية&lt;/</w:instrText>
      </w:r>
      <w:r w:rsidR="0050669F">
        <w:rPr>
          <w:rFonts w:ascii="Traditional Arabic" w:eastAsia="Times New Roman" w:hAnsi="Traditional Arabic" w:cs="Traditional Arabic"/>
          <w:color w:val="000000"/>
          <w:sz w:val="28"/>
          <w:szCs w:val="28"/>
        </w:rPr>
        <w:instrText>secondary-title&gt;&lt;/titles&gt;&lt;periodical&gt;&lt;full-title</w:instrText>
      </w:r>
      <w:r w:rsidR="0050669F">
        <w:rPr>
          <w:rFonts w:ascii="Traditional Arabic" w:eastAsia="Times New Roman" w:hAnsi="Traditional Arabic" w:cs="Traditional Arabic"/>
          <w:color w:val="000000"/>
          <w:sz w:val="28"/>
          <w:szCs w:val="28"/>
          <w:rtl/>
        </w:rPr>
        <w:instrText>&gt;مجلة جامعة صنعاء للعلوم الإنسانية&lt;/</w:instrText>
      </w:r>
      <w:r w:rsidR="0050669F">
        <w:rPr>
          <w:rFonts w:ascii="Traditional Arabic" w:eastAsia="Times New Roman" w:hAnsi="Traditional Arabic" w:cs="Traditional Arabic"/>
          <w:color w:val="000000"/>
          <w:sz w:val="28"/>
          <w:szCs w:val="28"/>
        </w:rPr>
        <w:instrText>full-title&gt;&lt;/periodical&gt;&lt;dates&gt;&lt;year&gt;202</w:instrText>
      </w:r>
      <w:r w:rsidR="0050669F">
        <w:rPr>
          <w:rFonts w:ascii="Traditional Arabic" w:eastAsia="Times New Roman" w:hAnsi="Traditional Arabic" w:cs="Traditional Arabic"/>
          <w:color w:val="000000"/>
          <w:sz w:val="28"/>
          <w:szCs w:val="28"/>
          <w:rtl/>
        </w:rPr>
        <w:instrText>4&lt;/</w:instrText>
      </w:r>
      <w:r w:rsidR="0050669F">
        <w:rPr>
          <w:rFonts w:ascii="Traditional Arabic" w:eastAsia="Times New Roman" w:hAnsi="Traditional Arabic" w:cs="Traditional Arabic"/>
          <w:color w:val="000000"/>
          <w:sz w:val="28"/>
          <w:szCs w:val="28"/>
        </w:rPr>
        <w:instrText>year&gt;&lt;/dates&gt;&lt;urls&gt;&lt;/urls&gt;&lt;/record&gt;&lt;/Cite&gt;&lt;/EndNote</w:instrText>
      </w:r>
      <w:r w:rsidR="0050669F">
        <w:rPr>
          <w:rFonts w:ascii="Traditional Arabic" w:eastAsia="Times New Roman" w:hAnsi="Traditional Arabic" w:cs="Traditional Arabic"/>
          <w:color w:val="000000"/>
          <w:sz w:val="28"/>
          <w:szCs w:val="28"/>
          <w:rtl/>
        </w:rPr>
        <w:instrText>&gt;</w:instrText>
      </w:r>
      <w:r w:rsidR="0050669F">
        <w:rPr>
          <w:rFonts w:ascii="Traditional Arabic" w:eastAsia="Times New Roman" w:hAnsi="Traditional Arabic" w:cs="Traditional Arabic"/>
          <w:color w:val="000000"/>
          <w:sz w:val="28"/>
          <w:szCs w:val="28"/>
          <w:rtl/>
        </w:rPr>
        <w:fldChar w:fldCharType="separate"/>
      </w:r>
      <w:r w:rsidR="0050669F">
        <w:rPr>
          <w:rFonts w:ascii="Traditional Arabic" w:eastAsia="Times New Roman" w:hAnsi="Traditional Arabic" w:cs="Traditional Arabic"/>
          <w:noProof/>
          <w:color w:val="000000"/>
          <w:sz w:val="28"/>
          <w:szCs w:val="28"/>
          <w:rtl/>
        </w:rPr>
        <w:t>(الحاج &amp; السفياني, 2024)</w:t>
      </w:r>
      <w:r w:rsidR="0050669F">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w:t>
      </w:r>
    </w:p>
    <w:p w14:paraId="42A0719E" w14:textId="0FDFF8B2" w:rsidR="00680415" w:rsidRPr="002E15D3" w:rsidRDefault="008B213C" w:rsidP="00680415">
      <w:pPr>
        <w:bidi/>
        <w:spacing w:before="100" w:beforeAutospacing="1" w:after="100" w:afterAutospacing="1" w:line="360" w:lineRule="auto"/>
        <w:jc w:val="both"/>
        <w:rPr>
          <w:rFonts w:ascii="Traditional Arabic" w:eastAsia="Times New Roman" w:hAnsi="Traditional Arabic" w:cs="Traditional Arabic" w:hint="cs"/>
          <w:color w:val="000000"/>
          <w:sz w:val="28"/>
          <w:szCs w:val="28"/>
          <w:rtl/>
        </w:rPr>
      </w:pPr>
      <w:r w:rsidRPr="002E15D3">
        <w:rPr>
          <w:rFonts w:ascii="Traditional Arabic" w:eastAsia="Times New Roman" w:hAnsi="Traditional Arabic" w:cs="Traditional Arabic"/>
          <w:color w:val="000000"/>
          <w:sz w:val="28"/>
          <w:szCs w:val="28"/>
          <w:rtl/>
        </w:rPr>
        <w:t xml:space="preserve">عند تطبيق هذا النموذج في المجال الصحي، فإنه يقوي بصورة مباشرة جوانب أساسية في ثقافة الأمان، ويساند التطور المعرفي والشخصي الذي يكفل الاستمرار في التعلم وتحسين جودة الرعاية الصحية </w:t>
      </w:r>
      <w:r w:rsidR="00680415" w:rsidRPr="002E15D3">
        <w:rPr>
          <w:rFonts w:ascii="Traditional Arabic" w:eastAsia="Times New Roman" w:hAnsi="Traditional Arabic" w:cs="Traditional Arabic"/>
          <w:color w:val="000000"/>
          <w:sz w:val="28"/>
          <w:szCs w:val="28"/>
        </w:rPr>
        <w:t>.</w:t>
      </w:r>
      <w:r w:rsidR="00E31264">
        <w:rPr>
          <w:rFonts w:ascii="Traditional Arabic" w:eastAsia="Times New Roman" w:hAnsi="Traditional Arabic" w:cs="Traditional Arabic"/>
          <w:color w:val="000000"/>
          <w:sz w:val="28"/>
          <w:szCs w:val="28"/>
        </w:rPr>
        <w:fldChar w:fldCharType="begin"/>
      </w:r>
      <w:r w:rsidR="00E31264">
        <w:rPr>
          <w:rFonts w:ascii="Traditional Arabic" w:eastAsia="Times New Roman" w:hAnsi="Traditional Arabic" w:cs="Traditional Arabic"/>
          <w:color w:val="000000"/>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E31264">
        <w:rPr>
          <w:rFonts w:ascii="Traditional Arabic" w:eastAsia="Times New Roman" w:hAnsi="Traditional Arabic" w:cs="Traditional Arabic"/>
          <w:color w:val="000000"/>
          <w:sz w:val="28"/>
          <w:szCs w:val="28"/>
        </w:rPr>
        <w:fldChar w:fldCharType="separate"/>
      </w:r>
      <w:r w:rsidR="00E31264">
        <w:rPr>
          <w:rFonts w:ascii="Traditional Arabic" w:eastAsia="Times New Roman" w:hAnsi="Traditional Arabic" w:cs="Traditional Arabic"/>
          <w:noProof/>
          <w:color w:val="000000"/>
          <w:sz w:val="28"/>
          <w:szCs w:val="28"/>
        </w:rPr>
        <w:t>(Mistri et al., 2023)</w:t>
      </w:r>
      <w:r w:rsidR="00E31264">
        <w:rPr>
          <w:rFonts w:ascii="Traditional Arabic" w:eastAsia="Times New Roman" w:hAnsi="Traditional Arabic" w:cs="Traditional Arabic"/>
          <w:color w:val="000000"/>
          <w:sz w:val="28"/>
          <w:szCs w:val="28"/>
        </w:rPr>
        <w:fldChar w:fldCharType="end"/>
      </w:r>
      <w:r w:rsidR="00680415"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أظهرت الأبحاث السابقة أن القيادة التحويلية تترك أثرًا إيجابيًا على ثقافة السلامة داخل المستشفيات، وتساهم في تحسين أساليب العمل المرتبطة بالسلامة بشكل واضح.</w:t>
      </w:r>
      <w:r w:rsidRPr="002E15D3">
        <w:rPr>
          <w:rFonts w:ascii="Traditional Arabic" w:eastAsia="Times New Roman" w:hAnsi="Traditional Arabic" w:cs="Traditional Arabic"/>
          <w:color w:val="000000"/>
          <w:sz w:val="28"/>
          <w:szCs w:val="28"/>
        </w:rPr>
        <w:t xml:space="preserve"> (</w:t>
      </w:r>
      <w:r w:rsidR="00680415" w:rsidRPr="002E15D3">
        <w:rPr>
          <w:rFonts w:ascii="Traditional Arabic" w:eastAsia="Times New Roman" w:hAnsi="Traditional Arabic" w:cs="Traditional Arabic"/>
          <w:color w:val="000000"/>
          <w:sz w:val="28"/>
          <w:szCs w:val="28"/>
        </w:rPr>
        <w:t>Althaibah et al., 2022)</w:t>
      </w:r>
    </w:p>
    <w:p w14:paraId="2033A28D" w14:textId="4F6BC8AE" w:rsidR="00680415" w:rsidRPr="002E15D3" w:rsidRDefault="008B213C" w:rsidP="00680415">
      <w:pPr>
        <w:bidi/>
        <w:spacing w:before="100" w:beforeAutospacing="1" w:after="100" w:afterAutospacing="1" w:line="360" w:lineRule="auto"/>
        <w:jc w:val="both"/>
        <w:rPr>
          <w:rFonts w:ascii="Traditional Arabic" w:eastAsia="Times New Roman" w:hAnsi="Traditional Arabic" w:cs="Traditional Arabic"/>
          <w:color w:val="000000"/>
          <w:sz w:val="28"/>
          <w:szCs w:val="28"/>
          <w:rtl/>
        </w:rPr>
      </w:pPr>
      <w:r w:rsidRPr="002E15D3">
        <w:rPr>
          <w:rFonts w:ascii="Traditional Arabic" w:eastAsia="Times New Roman" w:hAnsi="Traditional Arabic" w:cs="Traditional Arabic"/>
          <w:color w:val="000000"/>
          <w:sz w:val="28"/>
          <w:szCs w:val="28"/>
          <w:rtl/>
        </w:rPr>
        <w:t>موضوع هذا البحث له أهمية كبيرة في السعودية، خاصة مع التطورات اللي يشهدها القطاع الصحي هناك. المملكة تسعى من خلال رؤية 2030 وبرنامج تحول القطاع الصحي إلى رفع مستوى الخدمات الصحية وتحسين جودتها، وايضا ضمان سلامة المرضى بشكل أفضل. هذه الخطوات تعكس حرص السعودية على تطوير الرعاية الصحية بشكل مستدام</w:t>
      </w:r>
      <w:r w:rsidR="006A135E">
        <w:rPr>
          <w:rFonts w:ascii="Traditional Arabic" w:eastAsia="Times New Roman" w:hAnsi="Traditional Arabic" w:cs="Traditional Arabic"/>
          <w:color w:val="000000"/>
          <w:sz w:val="28"/>
          <w:szCs w:val="28"/>
          <w:rtl/>
        </w:rPr>
        <w:fldChar w:fldCharType="begin"/>
      </w:r>
      <w:r w:rsidR="006A135E">
        <w:rPr>
          <w:rFonts w:ascii="Traditional Arabic" w:eastAsia="Times New Roman" w:hAnsi="Traditional Arabic" w:cs="Traditional Arabic"/>
          <w:color w:val="000000"/>
          <w:sz w:val="28"/>
          <w:szCs w:val="28"/>
          <w:rtl/>
        </w:rPr>
        <w:instrText xml:space="preserve"> </w:instrText>
      </w:r>
      <w:r w:rsidR="006A135E">
        <w:rPr>
          <w:rFonts w:ascii="Traditional Arabic" w:eastAsia="Times New Roman" w:hAnsi="Traditional Arabic" w:cs="Traditional Arabic"/>
          <w:color w:val="000000"/>
          <w:sz w:val="28"/>
          <w:szCs w:val="28"/>
        </w:rPr>
        <w:instrText>ADDIN EN.CITE &lt;EndNote&gt;&lt;Cite&gt;&lt;Author&gt;Holding&lt;/Author&gt;&lt;Year&gt;2025&lt;/Year&gt;&lt;RecNum&gt;218&lt;/RecNum&gt;&lt;DisplayText&gt;(Alsari et al., 2024; Holding, 2025)&lt;/DisplayText&gt;&lt;record&gt;&lt;rec-number&gt;218&lt;/rec-number&gt;&lt;foreign-keys&gt;&lt;key app="EN" db-id="02retxxrerxdxhe9aphvs0z2t9z25p</w:instrText>
      </w:r>
      <w:r w:rsidR="006A135E">
        <w:rPr>
          <w:rFonts w:ascii="Traditional Arabic" w:eastAsia="Times New Roman" w:hAnsi="Traditional Arabic" w:cs="Traditional Arabic"/>
          <w:color w:val="000000"/>
          <w:sz w:val="28"/>
          <w:szCs w:val="28"/>
          <w:rtl/>
        </w:rPr>
        <w:instrText>0</w:instrText>
      </w:r>
      <w:r w:rsidR="006A135E">
        <w:rPr>
          <w:rFonts w:ascii="Traditional Arabic" w:eastAsia="Times New Roman" w:hAnsi="Traditional Arabic" w:cs="Traditional Arabic"/>
          <w:color w:val="000000"/>
          <w:sz w:val="28"/>
          <w:szCs w:val="28"/>
        </w:rPr>
        <w:instrText>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Cite&gt;&lt;Author&gt;Alsari&lt;/Author&gt;&lt;Year&gt;2024&lt;/Year&gt;&lt;RecNum&gt;165&lt;/RecNum&gt;&lt;record&gt;&lt;rec-number&gt;165&lt;/rec-number&gt;&lt;foreign-keys&gt;&lt;key app="EN" db-id="02retxxrerxdxhe9aphvs0z2t9z25p0ew99s" timestamp="1752528280"&gt;165&lt;/key&gt;&lt;/foreign-keys&gt;&lt;ref-type name="Journal Article"&gt;17&lt;/ref-type&gt;&lt;contributors&gt;&lt;authors&gt;&lt;author&gt;Alsari, Salem Matar&lt;/author&gt;&lt;author&gt;Alzamanan, Mahdi Mana Mohd</w:instrText>
      </w:r>
      <w:r w:rsidR="006A135E">
        <w:rPr>
          <w:rFonts w:ascii="Traditional Arabic" w:eastAsia="Times New Roman" w:hAnsi="Traditional Arabic" w:cs="Traditional Arabic"/>
          <w:color w:val="000000"/>
          <w:sz w:val="28"/>
          <w:szCs w:val="28"/>
          <w:rtl/>
        </w:rPr>
        <w:instrText>&lt;/</w:instrText>
      </w:r>
      <w:r w:rsidR="006A135E">
        <w:rPr>
          <w:rFonts w:ascii="Traditional Arabic" w:eastAsia="Times New Roman" w:hAnsi="Traditional Arabic" w:cs="Traditional Arabic"/>
          <w:color w:val="000000"/>
          <w:sz w:val="28"/>
          <w:szCs w:val="28"/>
        </w:rPr>
        <w:instrText>author&gt;&lt;author&gt;Salem, Hussain Abdullah&lt;/author&gt;&lt;author&gt;Almutyif, Qublan Hamad&lt;/author&gt;&lt;author&gt;Al-Masad, Alhussain Mahdi Saleh&lt;/author&gt;&lt;author&gt;Alabbas, Mansour Salem&lt;/author&gt;&lt;author&gt;Alfuhayd, Ghanem Nasser Mohammed&lt;/author&gt;&lt;author&gt;Aldwees, Hamad Saleh Hamad&lt;/author&gt;&lt;author&gt;Al Regheeb, Yahya Abdulhadi Moreh&lt;/author&gt;&lt;author&gt;Al Musri, Dhaifallah Ali Jobran&lt;/author&gt;&lt;/authors&gt;&lt;/contributors&gt;&lt;titles&gt;&lt;title&gt;The impact of vision 2030 on the healthcare system in Saudi Arabia&lt;/title&gt;&lt;secondary-title&gt;Journal of International Crisis and Risk Communication Research&lt;/secondary-title&gt;&lt;/titles&gt;&lt;periodical&gt;&lt;full-title&gt;Journal of International Crisis and Risk Communication Research&lt;/full-title&gt;&lt;/periodical&gt;&lt;pages&gt;2262&lt;/pages&gt;&lt;volume&gt;7&lt;/volume&gt;&lt;number&gt;S10&lt;/number&gt;&lt;dates&gt;&lt;year&gt;2024&lt;/year&gt;&lt;/dates&gt;&lt;isbn&gt;2576-0025&lt;/isbn&gt;&lt;urls&gt;&lt;related-urls&gt;&lt;url&gt;https://jicrcr.com/index.php/jicrcr/article/view/1393/1152&lt;/url&gt;&lt;/related-urls&gt;&lt;/urls&gt;&lt;/record&gt;&lt;/Cite&gt;&lt;/EndNote</w:instrText>
      </w:r>
      <w:r w:rsidR="006A135E">
        <w:rPr>
          <w:rFonts w:ascii="Traditional Arabic" w:eastAsia="Times New Roman" w:hAnsi="Traditional Arabic" w:cs="Traditional Arabic"/>
          <w:color w:val="000000"/>
          <w:sz w:val="28"/>
          <w:szCs w:val="28"/>
          <w:rtl/>
        </w:rPr>
        <w:instrText>&gt;</w:instrText>
      </w:r>
      <w:r w:rsidR="006A135E">
        <w:rPr>
          <w:rFonts w:ascii="Traditional Arabic" w:eastAsia="Times New Roman" w:hAnsi="Traditional Arabic" w:cs="Traditional Arabic"/>
          <w:color w:val="000000"/>
          <w:sz w:val="28"/>
          <w:szCs w:val="28"/>
          <w:rtl/>
        </w:rPr>
        <w:fldChar w:fldCharType="separate"/>
      </w:r>
      <w:r w:rsidR="006A135E">
        <w:rPr>
          <w:rFonts w:ascii="Traditional Arabic" w:eastAsia="Times New Roman" w:hAnsi="Traditional Arabic" w:cs="Traditional Arabic"/>
          <w:noProof/>
          <w:color w:val="000000"/>
          <w:sz w:val="28"/>
          <w:szCs w:val="28"/>
          <w:rtl/>
        </w:rPr>
        <w:t>(</w:t>
      </w:r>
      <w:r w:rsidR="006A135E">
        <w:rPr>
          <w:rFonts w:ascii="Traditional Arabic" w:eastAsia="Times New Roman" w:hAnsi="Traditional Arabic" w:cs="Traditional Arabic"/>
          <w:noProof/>
          <w:color w:val="000000"/>
          <w:sz w:val="28"/>
          <w:szCs w:val="28"/>
        </w:rPr>
        <w:t>Alsari et al., 2024; Holding, 2025</w:t>
      </w:r>
      <w:r w:rsidR="006A135E">
        <w:rPr>
          <w:rFonts w:ascii="Traditional Arabic" w:eastAsia="Times New Roman" w:hAnsi="Traditional Arabic" w:cs="Traditional Arabic"/>
          <w:noProof/>
          <w:color w:val="000000"/>
          <w:sz w:val="28"/>
          <w:szCs w:val="28"/>
          <w:rtl/>
        </w:rPr>
        <w:t>)</w:t>
      </w:r>
      <w:r w:rsidR="006A135E">
        <w:rPr>
          <w:rFonts w:ascii="Traditional Arabic" w:eastAsia="Times New Roman" w:hAnsi="Traditional Arabic" w:cs="Traditional Arabic"/>
          <w:color w:val="000000"/>
          <w:sz w:val="28"/>
          <w:szCs w:val="28"/>
          <w:rtl/>
        </w:rPr>
        <w:fldChar w:fldCharType="end"/>
      </w:r>
      <w:r w:rsidRPr="002E15D3">
        <w:rPr>
          <w:rFonts w:ascii="Traditional Arabic" w:eastAsia="Times New Roman" w:hAnsi="Traditional Arabic" w:cs="Traditional Arabic"/>
          <w:color w:val="000000"/>
          <w:sz w:val="28"/>
          <w:szCs w:val="28"/>
          <w:rtl/>
        </w:rPr>
        <w:t>.</w:t>
      </w:r>
      <w:r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رغم الجهود المبذولة، لا تزال المؤسسات الصحية في السعودية تواجه صعوبات كثيرة تتعلق بسلامة المرضى. تظهر الأبحاث الجديدة أن هناك نقص في ثقافة السلامة وأنظمة الإبلاغ عن الحوادث ليست بالمستوى المطلوب. هذا الوضع يحتاج إلى قيادة قوية تتدخل بسرعة وتحسن الخدمة وتجنب حدوث أي اضرار تمس المريض.</w:t>
      </w:r>
    </w:p>
    <w:p w14:paraId="7D42336C" w14:textId="39F67442" w:rsidR="00680415" w:rsidRPr="002E15D3" w:rsidRDefault="00897949" w:rsidP="007F4DC9">
      <w:pPr>
        <w:bidi/>
        <w:spacing w:line="360" w:lineRule="auto"/>
        <w:jc w:val="both"/>
        <w:rPr>
          <w:rFonts w:ascii="Traditional Arabic" w:eastAsia="Times New Roman" w:hAnsi="Traditional Arabic" w:cs="Traditional Arabic" w:hint="cs"/>
          <w:color w:val="000000"/>
          <w:sz w:val="28"/>
          <w:szCs w:val="28"/>
        </w:rPr>
      </w:pPr>
      <w:r w:rsidRPr="00897949">
        <w:rPr>
          <w:rFonts w:ascii="Traditional Arabic" w:eastAsia="Times New Roman" w:hAnsi="Traditional Arabic" w:cs="Traditional Arabic"/>
          <w:color w:val="000000"/>
          <w:sz w:val="28"/>
          <w:szCs w:val="28"/>
          <w:rtl/>
        </w:rPr>
        <w:lastRenderedPageBreak/>
        <w:t>تشير الأدلة الوطنية إلى مدى التحديات المتعلقة بسلامة المرضى داخل النظام الصحي السعودي، حيث توضح مراجعة منهجية حديثة أن الأخطاء الدوائية لها تأثير ملحوظ على مستوى سلامة المرضى في المستشفيات السعودية</w:t>
      </w:r>
      <w:r w:rsidRPr="00897949">
        <w:rPr>
          <w:rFonts w:ascii="Traditional Arabic" w:eastAsia="Times New Roman" w:hAnsi="Traditional Arabic" w:cs="Traditional Arabic"/>
          <w:color w:val="000000"/>
          <w:sz w:val="28"/>
          <w:szCs w:val="28"/>
        </w:rPr>
        <w:t xml:space="preserve">. </w:t>
      </w:r>
      <w:r w:rsidRPr="00897949">
        <w:rPr>
          <w:rFonts w:ascii="Traditional Arabic" w:eastAsia="Times New Roman" w:hAnsi="Traditional Arabic" w:cs="Traditional Arabic"/>
          <w:color w:val="000000"/>
          <w:sz w:val="28"/>
          <w:szCs w:val="28"/>
          <w:rtl/>
        </w:rPr>
        <w:t xml:space="preserve">هذه الأخطاء قد تؤدي إلى وقوع أحداث دوائية ضارة، مما يسهم في ارتفاع معدلات الوفيات وزيادة مدة الإقامة في </w:t>
      </w:r>
      <w:r w:rsidRPr="002E15D3">
        <w:rPr>
          <w:rFonts w:ascii="Traditional Arabic" w:eastAsia="Times New Roman" w:hAnsi="Traditional Arabic" w:cs="Traditional Arabic"/>
          <w:color w:val="000000"/>
          <w:sz w:val="28"/>
          <w:szCs w:val="28"/>
          <w:rtl/>
        </w:rPr>
        <w:t>المستشفى</w:t>
      </w:r>
      <w:r w:rsidRPr="002E15D3">
        <w:rPr>
          <w:rFonts w:ascii="Traditional Arabic" w:eastAsia="Times New Roman" w:hAnsi="Traditional Arabic" w:cs="Traditional Arabic"/>
          <w:color w:val="000000"/>
          <w:sz w:val="28"/>
          <w:szCs w:val="28"/>
        </w:rPr>
        <w:t xml:space="preserve">. </w:t>
      </w:r>
      <w:r w:rsidR="007F4DC9">
        <w:rPr>
          <w:rFonts w:ascii="Traditional Arabic" w:eastAsia="Times New Roman" w:hAnsi="Traditional Arabic" w:cs="Traditional Arabic"/>
          <w:color w:val="000000"/>
          <w:sz w:val="28"/>
          <w:szCs w:val="28"/>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7F4DC9">
        <w:rPr>
          <w:rFonts w:ascii="Traditional Arabic" w:eastAsia="Times New Roman" w:hAnsi="Traditional Arabic" w:cs="Traditional Arabic"/>
          <w:color w:val="000000"/>
          <w:sz w:val="28"/>
          <w:szCs w:val="28"/>
        </w:rPr>
        <w:instrText xml:space="preserve"> ADDIN EN.CITE </w:instrText>
      </w:r>
      <w:r w:rsidR="007F4DC9">
        <w:rPr>
          <w:rFonts w:ascii="Traditional Arabic" w:eastAsia="Times New Roman" w:hAnsi="Traditional Arabic" w:cs="Traditional Arabic"/>
          <w:color w:val="000000"/>
          <w:sz w:val="28"/>
          <w:szCs w:val="28"/>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7F4DC9">
        <w:rPr>
          <w:rFonts w:ascii="Traditional Arabic" w:eastAsia="Times New Roman" w:hAnsi="Traditional Arabic" w:cs="Traditional Arabic"/>
          <w:color w:val="000000"/>
          <w:sz w:val="28"/>
          <w:szCs w:val="28"/>
        </w:rPr>
        <w:instrText xml:space="preserve"> ADDIN EN.CITE.DATA </w:instrText>
      </w:r>
      <w:r w:rsidR="007F4DC9">
        <w:rPr>
          <w:rFonts w:ascii="Traditional Arabic" w:eastAsia="Times New Roman" w:hAnsi="Traditional Arabic" w:cs="Traditional Arabic"/>
          <w:color w:val="000000"/>
          <w:sz w:val="28"/>
          <w:szCs w:val="28"/>
        </w:rPr>
      </w:r>
      <w:r w:rsidR="007F4DC9">
        <w:rPr>
          <w:rFonts w:ascii="Traditional Arabic" w:eastAsia="Times New Roman" w:hAnsi="Traditional Arabic" w:cs="Traditional Arabic"/>
          <w:color w:val="000000"/>
          <w:sz w:val="28"/>
          <w:szCs w:val="28"/>
        </w:rPr>
        <w:fldChar w:fldCharType="end"/>
      </w:r>
      <w:r w:rsidR="007F4DC9">
        <w:rPr>
          <w:rFonts w:ascii="Traditional Arabic" w:eastAsia="Times New Roman" w:hAnsi="Traditional Arabic" w:cs="Traditional Arabic"/>
          <w:color w:val="000000"/>
          <w:sz w:val="28"/>
          <w:szCs w:val="28"/>
        </w:rPr>
        <w:fldChar w:fldCharType="separate"/>
      </w:r>
      <w:r w:rsidR="007F4DC9">
        <w:rPr>
          <w:rFonts w:ascii="Traditional Arabic" w:eastAsia="Times New Roman" w:hAnsi="Traditional Arabic" w:cs="Traditional Arabic"/>
          <w:noProof/>
          <w:color w:val="000000"/>
          <w:sz w:val="28"/>
          <w:szCs w:val="28"/>
        </w:rPr>
        <w:t>(Alrasheeday et al., 2024)</w:t>
      </w:r>
      <w:r w:rsidR="007F4DC9">
        <w:rPr>
          <w:rFonts w:ascii="Traditional Arabic" w:eastAsia="Times New Roman" w:hAnsi="Traditional Arabic" w:cs="Traditional Arabic"/>
          <w:color w:val="000000"/>
          <w:sz w:val="28"/>
          <w:szCs w:val="28"/>
        </w:rPr>
        <w:fldChar w:fldCharType="end"/>
      </w:r>
      <w:r w:rsidR="00680415" w:rsidRPr="002E15D3">
        <w:rPr>
          <w:rFonts w:ascii="Traditional Arabic" w:eastAsia="Times New Roman" w:hAnsi="Traditional Arabic" w:cs="Traditional Arabic"/>
          <w:color w:val="000000"/>
          <w:sz w:val="28"/>
          <w:szCs w:val="28"/>
        </w:rPr>
        <w:t xml:space="preserve"> </w:t>
      </w:r>
      <w:r w:rsidR="007F4DC9">
        <w:rPr>
          <w:rFonts w:ascii="Traditional Arabic" w:eastAsia="Times New Roman" w:hAnsi="Traditional Arabic" w:cs="Traditional Arabic" w:hint="cs"/>
          <w:color w:val="000000"/>
          <w:sz w:val="28"/>
          <w:szCs w:val="28"/>
          <w:rtl/>
        </w:rPr>
        <w:t xml:space="preserve"> </w:t>
      </w:r>
      <w:r w:rsidR="007F4DC9">
        <w:rPr>
          <w:rFonts w:ascii="Traditional Arabic" w:eastAsia="Times New Roman" w:hAnsi="Traditional Arabic" w:cs="Traditional Arabic"/>
          <w:color w:val="000000"/>
          <w:sz w:val="28"/>
          <w:szCs w:val="28"/>
          <w:rtl/>
        </w:rPr>
        <w:fldChar w:fldCharType="begin"/>
      </w:r>
      <w:r w:rsidR="002F016F">
        <w:rPr>
          <w:rFonts w:ascii="Traditional Arabic" w:eastAsia="Times New Roman" w:hAnsi="Traditional Arabic" w:cs="Traditional Arabic"/>
          <w:color w:val="000000"/>
          <w:sz w:val="28"/>
          <w:szCs w:val="28"/>
          <w:rtl/>
        </w:rPr>
        <w:instrText xml:space="preserve"> </w:instrText>
      </w:r>
      <w:r w:rsidR="002F016F">
        <w:rPr>
          <w:rFonts w:ascii="Traditional Arabic" w:eastAsia="Times New Roman" w:hAnsi="Traditional Arabic" w:cs="Traditional Arabic"/>
          <w:color w:val="000000"/>
          <w:sz w:val="28"/>
          <w:szCs w:val="28"/>
        </w:rPr>
        <w:instrText>ADDIN EN.CITE &lt;EndNote&gt;&lt;Cite&gt;&lt;Author</w:instrText>
      </w:r>
      <w:r w:rsidR="002F016F">
        <w:rPr>
          <w:rFonts w:ascii="Traditional Arabic" w:eastAsia="Times New Roman" w:hAnsi="Traditional Arabic" w:cs="Traditional Arabic"/>
          <w:color w:val="000000"/>
          <w:sz w:val="28"/>
          <w:szCs w:val="28"/>
          <w:rtl/>
        </w:rPr>
        <w:instrText>&gt;اسماعيل محمد الشيخ&lt;/</w:instrText>
      </w:r>
      <w:r w:rsidR="002F016F">
        <w:rPr>
          <w:rFonts w:ascii="Traditional Arabic" w:eastAsia="Times New Roman" w:hAnsi="Traditional Arabic" w:cs="Traditional Arabic"/>
          <w:color w:val="000000"/>
          <w:sz w:val="28"/>
          <w:szCs w:val="28"/>
        </w:rPr>
        <w:instrText>Author&gt;&lt;Year&gt;2024&lt;/Year&gt;&lt;RecNum&gt;177&lt;/RecNum&gt;&lt;DisplayText</w:instrText>
      </w:r>
      <w:r w:rsidR="002F016F">
        <w:rPr>
          <w:rFonts w:ascii="Traditional Arabic" w:eastAsia="Times New Roman" w:hAnsi="Traditional Arabic" w:cs="Traditional Arabic"/>
          <w:color w:val="000000"/>
          <w:sz w:val="28"/>
          <w:szCs w:val="28"/>
          <w:rtl/>
        </w:rPr>
        <w:instrText xml:space="preserve">&gt;(اسماعيل محمد الشيخ </w:instrText>
      </w:r>
      <w:r w:rsidR="002F016F">
        <w:rPr>
          <w:rFonts w:ascii="Traditional Arabic" w:eastAsia="Times New Roman" w:hAnsi="Traditional Arabic" w:cs="Traditional Arabic"/>
          <w:color w:val="000000"/>
          <w:sz w:val="28"/>
          <w:szCs w:val="28"/>
        </w:rPr>
        <w:instrText>et al., 2024</w:instrText>
      </w:r>
      <w:r w:rsidR="002F016F">
        <w:rPr>
          <w:rFonts w:ascii="Traditional Arabic" w:eastAsia="Times New Roman" w:hAnsi="Traditional Arabic" w:cs="Traditional Arabic"/>
          <w:color w:val="000000"/>
          <w:sz w:val="28"/>
          <w:szCs w:val="28"/>
          <w:rtl/>
        </w:rPr>
        <w:instrText>)&lt;/</w:instrText>
      </w:r>
      <w:r w:rsidR="002F016F">
        <w:rPr>
          <w:rFonts w:ascii="Traditional Arabic" w:eastAsia="Times New Roman" w:hAnsi="Traditional Arabic" w:cs="Traditional Arabic"/>
          <w:color w:val="000000"/>
          <w:sz w:val="28"/>
          <w:szCs w:val="28"/>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002F016F">
        <w:rPr>
          <w:rFonts w:ascii="Traditional Arabic" w:eastAsia="Times New Roman" w:hAnsi="Traditional Arabic" w:cs="Traditional Arabic"/>
          <w:color w:val="000000"/>
          <w:sz w:val="28"/>
          <w:szCs w:val="28"/>
          <w:rtl/>
        </w:rPr>
        <w:instrText>&gt;اسماعيل محمد الشيخ, مني&lt;/</w:instrText>
      </w:r>
      <w:r w:rsidR="002F016F">
        <w:rPr>
          <w:rFonts w:ascii="Traditional Arabic" w:eastAsia="Times New Roman" w:hAnsi="Traditional Arabic" w:cs="Traditional Arabic"/>
          <w:color w:val="000000"/>
          <w:sz w:val="28"/>
          <w:szCs w:val="28"/>
        </w:rPr>
        <w:instrText>author&gt;&lt;author</w:instrText>
      </w:r>
      <w:r w:rsidR="002F016F">
        <w:rPr>
          <w:rFonts w:ascii="Traditional Arabic" w:eastAsia="Times New Roman" w:hAnsi="Traditional Arabic" w:cs="Traditional Arabic"/>
          <w:color w:val="000000"/>
          <w:sz w:val="28"/>
          <w:szCs w:val="28"/>
          <w:rtl/>
        </w:rPr>
        <w:instrText>&gt;بكرى عبد العليم إسماعيل, محمد&lt;/</w:instrText>
      </w:r>
      <w:r w:rsidR="002F016F">
        <w:rPr>
          <w:rFonts w:ascii="Traditional Arabic" w:eastAsia="Times New Roman" w:hAnsi="Traditional Arabic" w:cs="Traditional Arabic"/>
          <w:color w:val="000000"/>
          <w:sz w:val="28"/>
          <w:szCs w:val="28"/>
        </w:rPr>
        <w:instrText>author&gt;&lt;author</w:instrText>
      </w:r>
      <w:r w:rsidR="002F016F">
        <w:rPr>
          <w:rFonts w:ascii="Traditional Arabic" w:eastAsia="Times New Roman" w:hAnsi="Traditional Arabic" w:cs="Traditional Arabic"/>
          <w:color w:val="000000"/>
          <w:sz w:val="28"/>
          <w:szCs w:val="28"/>
          <w:rtl/>
        </w:rPr>
        <w:instrText>&gt;محمد عامر, أمانى&lt;/</w:instrText>
      </w:r>
      <w:r w:rsidR="002F016F">
        <w:rPr>
          <w:rFonts w:ascii="Traditional Arabic" w:eastAsia="Times New Roman" w:hAnsi="Traditional Arabic" w:cs="Traditional Arabic"/>
          <w:color w:val="000000"/>
          <w:sz w:val="28"/>
          <w:szCs w:val="28"/>
        </w:rPr>
        <w:instrText>author&gt;&lt;/authors&gt;&lt;/contributors&gt;&lt;titles&gt;&lt;title</w:instrText>
      </w:r>
      <w:r w:rsidR="002F016F">
        <w:rPr>
          <w:rFonts w:ascii="Traditional Arabic" w:eastAsia="Times New Roman" w:hAnsi="Traditional Arabic" w:cs="Traditional Arabic"/>
          <w:color w:val="000000"/>
          <w:sz w:val="28"/>
          <w:szCs w:val="28"/>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002F016F">
        <w:rPr>
          <w:rFonts w:ascii="Traditional Arabic" w:eastAsia="Times New Roman" w:hAnsi="Traditional Arabic" w:cs="Traditional Arabic"/>
          <w:color w:val="000000"/>
          <w:sz w:val="28"/>
          <w:szCs w:val="28"/>
        </w:rPr>
        <w:instrText>title&gt;&lt;secondary-title</w:instrText>
      </w:r>
      <w:r w:rsidR="002F016F">
        <w:rPr>
          <w:rFonts w:ascii="Traditional Arabic" w:eastAsia="Times New Roman" w:hAnsi="Traditional Arabic" w:cs="Traditional Arabic"/>
          <w:color w:val="000000"/>
          <w:sz w:val="28"/>
          <w:szCs w:val="28"/>
          <w:rtl/>
        </w:rPr>
        <w:instrText>&gt;مجلة بنها للعلوم الإنسانية&lt;/</w:instrText>
      </w:r>
      <w:r w:rsidR="002F016F">
        <w:rPr>
          <w:rFonts w:ascii="Traditional Arabic" w:eastAsia="Times New Roman" w:hAnsi="Traditional Arabic" w:cs="Traditional Arabic"/>
          <w:color w:val="000000"/>
          <w:sz w:val="28"/>
          <w:szCs w:val="28"/>
        </w:rPr>
        <w:instrText>secondary-title&gt;&lt;short-title</w:instrText>
      </w:r>
      <w:r w:rsidR="002F016F">
        <w:rPr>
          <w:rFonts w:ascii="Traditional Arabic" w:eastAsia="Times New Roman" w:hAnsi="Traditional Arabic" w:cs="Traditional Arabic"/>
          <w:color w:val="000000"/>
          <w:sz w:val="28"/>
          <w:szCs w:val="28"/>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002F016F">
        <w:rPr>
          <w:rFonts w:ascii="Traditional Arabic" w:eastAsia="Times New Roman" w:hAnsi="Traditional Arabic" w:cs="Traditional Arabic"/>
          <w:color w:val="000000"/>
          <w:sz w:val="28"/>
          <w:szCs w:val="28"/>
        </w:rPr>
        <w:instrText>short-title&gt;&lt;/titles&gt;&lt;periodical&gt;&lt;full-title</w:instrText>
      </w:r>
      <w:r w:rsidR="002F016F">
        <w:rPr>
          <w:rFonts w:ascii="Traditional Arabic" w:eastAsia="Times New Roman" w:hAnsi="Traditional Arabic" w:cs="Traditional Arabic"/>
          <w:color w:val="000000"/>
          <w:sz w:val="28"/>
          <w:szCs w:val="28"/>
          <w:rtl/>
        </w:rPr>
        <w:instrText>&gt;مجلة بنها للعلوم الإنسانية&lt;/</w:instrText>
      </w:r>
      <w:r w:rsidR="002F016F">
        <w:rPr>
          <w:rFonts w:ascii="Traditional Arabic" w:eastAsia="Times New Roman" w:hAnsi="Traditional Arabic" w:cs="Traditional Arabic"/>
          <w:color w:val="000000"/>
          <w:sz w:val="28"/>
          <w:szCs w:val="28"/>
        </w:rPr>
        <w:instrText>full-title&gt;&lt;/periodical&gt;&lt;pages&gt;137-168&lt;/pages&gt;&lt;volume&gt;3&lt;/volume&gt;&lt;number&gt;2&lt;/number&gt;&lt;keywords&gt;&lt;keyword</w:instrText>
      </w:r>
      <w:r w:rsidR="002F016F">
        <w:rPr>
          <w:rFonts w:ascii="Traditional Arabic" w:eastAsia="Times New Roman" w:hAnsi="Traditional Arabic" w:cs="Traditional Arabic"/>
          <w:color w:val="000000"/>
          <w:sz w:val="28"/>
          <w:szCs w:val="28"/>
          <w:rtl/>
        </w:rPr>
        <w:instrText>&gt;الانتهاك الايجابى لقواعد المنظمة&lt;/</w:instrText>
      </w:r>
      <w:r w:rsidR="002F016F">
        <w:rPr>
          <w:rFonts w:ascii="Traditional Arabic" w:eastAsia="Times New Roman" w:hAnsi="Traditional Arabic" w:cs="Traditional Arabic"/>
          <w:color w:val="000000"/>
          <w:sz w:val="28"/>
          <w:szCs w:val="28"/>
        </w:rPr>
        <w:instrText>keyword&gt;&lt;keyword</w:instrText>
      </w:r>
      <w:r w:rsidR="002F016F">
        <w:rPr>
          <w:rFonts w:ascii="Traditional Arabic" w:eastAsia="Times New Roman" w:hAnsi="Traditional Arabic" w:cs="Traditional Arabic"/>
          <w:color w:val="000000"/>
          <w:sz w:val="28"/>
          <w:szCs w:val="28"/>
          <w:rtl/>
        </w:rPr>
        <w:instrText>&gt;القيادة التحويلية&lt;/</w:instrText>
      </w:r>
      <w:r w:rsidR="002F016F">
        <w:rPr>
          <w:rFonts w:ascii="Traditional Arabic" w:eastAsia="Times New Roman" w:hAnsi="Traditional Arabic" w:cs="Traditional Arabic"/>
          <w:color w:val="000000"/>
          <w:sz w:val="28"/>
          <w:szCs w:val="28"/>
        </w:rPr>
        <w:instrText>keyword&gt;&lt;keyword</w:instrText>
      </w:r>
      <w:r w:rsidR="002F016F">
        <w:rPr>
          <w:rFonts w:ascii="Traditional Arabic" w:eastAsia="Times New Roman" w:hAnsi="Traditional Arabic" w:cs="Traditional Arabic"/>
          <w:color w:val="000000"/>
          <w:sz w:val="28"/>
          <w:szCs w:val="28"/>
          <w:rtl/>
        </w:rPr>
        <w:instrText>&gt;الابداع التنظيمى&lt;/</w:instrText>
      </w:r>
      <w:r w:rsidR="002F016F">
        <w:rPr>
          <w:rFonts w:ascii="Traditional Arabic" w:eastAsia="Times New Roman" w:hAnsi="Traditional Arabic" w:cs="Traditional Arabic"/>
          <w:color w:val="000000"/>
          <w:sz w:val="28"/>
          <w:szCs w:val="28"/>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002F016F">
        <w:rPr>
          <w:rFonts w:ascii="Traditional Arabic" w:eastAsia="Times New Roman" w:hAnsi="Traditional Arabic" w:cs="Traditional Arabic"/>
          <w:color w:val="000000"/>
          <w:sz w:val="28"/>
          <w:szCs w:val="28"/>
          <w:rtl/>
        </w:rPr>
        <w:instrText>&gt;</w:instrText>
      </w:r>
      <w:r w:rsidR="007F4DC9">
        <w:rPr>
          <w:rFonts w:ascii="Traditional Arabic" w:eastAsia="Times New Roman" w:hAnsi="Traditional Arabic" w:cs="Traditional Arabic"/>
          <w:color w:val="000000"/>
          <w:sz w:val="28"/>
          <w:szCs w:val="28"/>
          <w:rtl/>
        </w:rPr>
        <w:fldChar w:fldCharType="separate"/>
      </w:r>
      <w:r w:rsidR="002F016F">
        <w:rPr>
          <w:rFonts w:ascii="Traditional Arabic" w:eastAsia="Times New Roman" w:hAnsi="Traditional Arabic" w:cs="Traditional Arabic"/>
          <w:noProof/>
          <w:color w:val="000000"/>
          <w:sz w:val="28"/>
          <w:szCs w:val="28"/>
          <w:rtl/>
        </w:rPr>
        <w:t xml:space="preserve">(اسماعيل محمد الشيخ </w:t>
      </w:r>
      <w:r w:rsidR="002F016F">
        <w:rPr>
          <w:rFonts w:ascii="Traditional Arabic" w:eastAsia="Times New Roman" w:hAnsi="Traditional Arabic" w:cs="Traditional Arabic"/>
          <w:noProof/>
          <w:color w:val="000000"/>
          <w:sz w:val="28"/>
          <w:szCs w:val="28"/>
        </w:rPr>
        <w:t>et al., 2024</w:t>
      </w:r>
      <w:r w:rsidR="002F016F">
        <w:rPr>
          <w:rFonts w:ascii="Traditional Arabic" w:eastAsia="Times New Roman" w:hAnsi="Traditional Arabic" w:cs="Traditional Arabic"/>
          <w:noProof/>
          <w:color w:val="000000"/>
          <w:sz w:val="28"/>
          <w:szCs w:val="28"/>
          <w:rtl/>
        </w:rPr>
        <w:t>)</w:t>
      </w:r>
      <w:r w:rsidR="007F4DC9">
        <w:rPr>
          <w:rFonts w:ascii="Traditional Arabic" w:eastAsia="Times New Roman" w:hAnsi="Traditional Arabic" w:cs="Traditional Arabic"/>
          <w:color w:val="000000"/>
          <w:sz w:val="28"/>
          <w:szCs w:val="28"/>
          <w:rtl/>
        </w:rPr>
        <w:fldChar w:fldCharType="end"/>
      </w:r>
      <w:r w:rsidR="007F4DC9">
        <w:rPr>
          <w:rFonts w:ascii="Traditional Arabic" w:eastAsia="Times New Roman" w:hAnsi="Traditional Arabic" w:cs="Traditional Arabic" w:hint="cs"/>
          <w:color w:val="000000"/>
          <w:sz w:val="28"/>
          <w:szCs w:val="28"/>
          <w:rtl/>
        </w:rPr>
        <w:t xml:space="preserve"> أشارو</w:t>
      </w:r>
      <w:r w:rsidR="007F4DC9">
        <w:rPr>
          <w:rFonts w:ascii="Traditional Arabic" w:eastAsia="Times New Roman" w:hAnsi="Traditional Arabic" w:cs="Traditional Arabic" w:hint="eastAsia"/>
          <w:color w:val="000000"/>
          <w:sz w:val="28"/>
          <w:szCs w:val="28"/>
          <w:rtl/>
        </w:rPr>
        <w:t>ا</w:t>
      </w:r>
      <w:r w:rsidR="007F4DC9">
        <w:rPr>
          <w:rFonts w:ascii="Traditional Arabic" w:eastAsia="Times New Roman" w:hAnsi="Traditional Arabic" w:cs="Traditional Arabic" w:hint="cs"/>
          <w:color w:val="000000"/>
          <w:sz w:val="28"/>
          <w:szCs w:val="28"/>
          <w:rtl/>
        </w:rPr>
        <w:t xml:space="preserve"> الى ان بعض الدراسات </w:t>
      </w:r>
      <w:r w:rsidRPr="002E15D3">
        <w:rPr>
          <w:rFonts w:ascii="Traditional Arabic" w:eastAsia="Times New Roman" w:hAnsi="Traditional Arabic" w:cs="Traditional Arabic"/>
          <w:color w:val="000000"/>
          <w:sz w:val="28"/>
          <w:szCs w:val="28"/>
          <w:rtl/>
        </w:rPr>
        <w:t>تشير إلى وجود تحديات كبيرة فيما يتعلق بثقافة سلامة المرضى بين العاملين الصحيين في عدد من المدن</w:t>
      </w:r>
      <w:r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وفي المقابل، تبرز الدراسات الوطنية علاقة وثيقة ومهمة بين ثقافة سلامة المرضى ووقوع الأحداث الخطيرة داخل المستشفيا</w:t>
      </w:r>
      <w:r w:rsidR="007F4DC9">
        <w:rPr>
          <w:rFonts w:ascii="Traditional Arabic" w:eastAsia="Times New Roman" w:hAnsi="Traditional Arabic" w:cs="Traditional Arabic" w:hint="cs"/>
          <w:color w:val="000000"/>
          <w:sz w:val="28"/>
          <w:szCs w:val="28"/>
          <w:rtl/>
        </w:rPr>
        <w:t>ت</w:t>
      </w:r>
      <w:r w:rsidR="002F016F">
        <w:rPr>
          <w:rFonts w:ascii="Traditional Arabic" w:eastAsia="Times New Roman" w:hAnsi="Traditional Arabic" w:cs="Traditional Arabic" w:hint="cs"/>
          <w:color w:val="000000"/>
          <w:sz w:val="28"/>
          <w:szCs w:val="28"/>
          <w:rtl/>
        </w:rPr>
        <w:t>.</w:t>
      </w:r>
      <w:r w:rsidR="007F4DC9">
        <w:rPr>
          <w:rFonts w:ascii="Traditional Arabic" w:eastAsia="Times New Roman" w:hAnsi="Traditional Arabic" w:cs="Traditional Arabic" w:hint="cs"/>
          <w:color w:val="000000"/>
          <w:sz w:val="28"/>
          <w:szCs w:val="28"/>
          <w:rtl/>
        </w:rPr>
        <w:t xml:space="preserve"> </w:t>
      </w:r>
      <w:r w:rsidR="00680415"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 xml:space="preserve"> </w:t>
      </w:r>
    </w:p>
    <w:p w14:paraId="5D4AC7EA" w14:textId="77777777" w:rsidR="0050669F" w:rsidRDefault="0050669F" w:rsidP="000B0FA3">
      <w:pPr>
        <w:bidi/>
        <w:spacing w:line="360" w:lineRule="auto"/>
        <w:jc w:val="both"/>
        <w:rPr>
          <w:rFonts w:ascii="Traditional Arabic" w:eastAsia="Times New Roman" w:hAnsi="Traditional Arabic" w:cs="Traditional Arabic"/>
          <w:color w:val="000000"/>
          <w:sz w:val="28"/>
          <w:szCs w:val="28"/>
          <w:rtl/>
        </w:rPr>
      </w:pPr>
      <w:r>
        <w:rPr>
          <w:rFonts w:ascii="Traditional Arabic" w:eastAsia="Times New Roman" w:hAnsi="Traditional Arabic" w:cs="Traditional Arabic" w:hint="cs"/>
          <w:color w:val="000000"/>
          <w:sz w:val="28"/>
          <w:szCs w:val="28"/>
          <w:rtl/>
        </w:rPr>
        <w:t>ت</w:t>
      </w:r>
      <w:r w:rsidR="00897949" w:rsidRPr="002E15D3">
        <w:rPr>
          <w:rFonts w:ascii="Traditional Arabic" w:eastAsia="Times New Roman" w:hAnsi="Traditional Arabic" w:cs="Traditional Arabic"/>
          <w:color w:val="000000"/>
          <w:sz w:val="28"/>
          <w:szCs w:val="28"/>
          <w:rtl/>
        </w:rPr>
        <w:t xml:space="preserve">شير هذه المؤشرات إلى وجود حاجة ملحة لتعزيز التدخلات القيادية الفعّالة، خاصة في مستشفيات القطاع الحكومي التي تُعد الركيزة الأساسية لتقديم الخدمات الصحية لشرائح واسعة من السكان. تكشف الدراسات السابقة عن فجوة بحثية واضحة عند النظر إلى التوزيع الجغرافي للأبحاث في المملكة، حيث ركزت تلك الأبحاث على مناطق معينة مثل الرياض، الحدود الشمالية، وجدة، بينما لم تُعطَ منطقة الجوف الاهتمام الكافي رغم أهميتها الاستراتيجية. </w:t>
      </w:r>
    </w:p>
    <w:p w14:paraId="47C26606" w14:textId="53F0F098" w:rsidR="0050669F" w:rsidRDefault="00897949" w:rsidP="0050669F">
      <w:pPr>
        <w:bidi/>
        <w:spacing w:line="360" w:lineRule="auto"/>
        <w:jc w:val="both"/>
        <w:rPr>
          <w:rFonts w:ascii="Traditional Arabic" w:eastAsia="Times New Roman" w:hAnsi="Traditional Arabic" w:cs="Traditional Arabic"/>
          <w:color w:val="000000"/>
          <w:sz w:val="28"/>
          <w:szCs w:val="28"/>
          <w:rtl/>
        </w:rPr>
      </w:pPr>
      <w:r w:rsidRPr="002E15D3">
        <w:rPr>
          <w:rFonts w:ascii="Traditional Arabic" w:eastAsia="Times New Roman" w:hAnsi="Traditional Arabic" w:cs="Traditional Arabic"/>
          <w:color w:val="000000"/>
          <w:sz w:val="28"/>
          <w:szCs w:val="28"/>
          <w:rtl/>
        </w:rPr>
        <w:t>إن إغفال الخصائص الجغرافية والثقافية المحلية قد يؤدي إلى ضعف في فهم تأثير العوامل التنظيمية</w:t>
      </w:r>
      <w:r w:rsidRPr="002E15D3">
        <w:rPr>
          <w:rFonts w:ascii="Traditional Arabic" w:eastAsia="Times New Roman" w:hAnsi="Traditional Arabic" w:cs="Traditional Arabic"/>
          <w:color w:val="000000"/>
          <w:sz w:val="28"/>
          <w:szCs w:val="28"/>
        </w:rPr>
        <w:t xml:space="preserve">. </w:t>
      </w:r>
      <w:r w:rsidRPr="002E15D3">
        <w:rPr>
          <w:rFonts w:ascii="Traditional Arabic" w:eastAsia="Times New Roman" w:hAnsi="Traditional Arabic" w:cs="Traditional Arabic"/>
          <w:color w:val="000000"/>
          <w:sz w:val="28"/>
          <w:szCs w:val="28"/>
          <w:rtl/>
        </w:rPr>
        <w:t>تكتسب هذه الدراسة أهمية كبيرة من الناحيتين العلمية والعملية بسبب تركيزها على منطقة الجوف بالتحديد، إذ تحتضن المنطقة تسعة مستشفيات حكومية تقدم خدماتها لأكثر من 595 ألف مستفيد، موزعين عبر خمس محافظات رئيسية هي سكاكا، دومة الجندل، صوير، طبرجل، والقريات (</w:t>
      </w:r>
      <w:r w:rsidRPr="002E15D3">
        <w:rPr>
          <w:rFonts w:ascii="Traditional Arabic" w:eastAsia="Times New Roman" w:hAnsi="Traditional Arabic" w:cs="Traditional Arabic"/>
          <w:color w:val="000000"/>
          <w:sz w:val="28"/>
          <w:szCs w:val="28"/>
        </w:rPr>
        <w:t>Holding, 2025</w:t>
      </w:r>
      <w:r w:rsidRPr="002E15D3">
        <w:rPr>
          <w:rFonts w:ascii="Traditional Arabic" w:eastAsia="Times New Roman" w:hAnsi="Traditional Arabic" w:cs="Traditional Arabic"/>
          <w:color w:val="000000"/>
          <w:sz w:val="28"/>
          <w:szCs w:val="28"/>
          <w:rtl/>
        </w:rPr>
        <w:t>). هذا التوزيع الجغرافي المتنوع مع العدد الكبير للمستفيدين يبرز ضرورة إجراء دراسة متخصصة تأخذ في الحسبان الخصائص المحلية وتحديات القيادة والإدارة في القطاع الحكومي بالمنطقة</w:t>
      </w:r>
      <w:r w:rsidRPr="002E15D3">
        <w:rPr>
          <w:rFonts w:ascii="Traditional Arabic" w:eastAsia="Times New Roman" w:hAnsi="Traditional Arabic" w:cs="Traditional Arabic"/>
          <w:color w:val="000000"/>
          <w:sz w:val="28"/>
          <w:szCs w:val="28"/>
        </w:rPr>
        <w:t xml:space="preserve">. </w:t>
      </w:r>
    </w:p>
    <w:p w14:paraId="673528F3" w14:textId="4D3F61ED" w:rsidR="00897949" w:rsidRPr="002E15D3" w:rsidRDefault="0050669F" w:rsidP="0050669F">
      <w:pPr>
        <w:bidi/>
        <w:spacing w:line="360" w:lineRule="auto"/>
        <w:jc w:val="both"/>
        <w:rPr>
          <w:rFonts w:ascii="Traditional Arabic" w:hAnsi="Traditional Arabic" w:cs="Traditional Arabic"/>
          <w:b/>
          <w:bCs/>
          <w:sz w:val="28"/>
          <w:szCs w:val="28"/>
        </w:rPr>
      </w:pPr>
      <w:r>
        <w:rPr>
          <w:rFonts w:ascii="Traditional Arabic" w:eastAsia="Times New Roman" w:hAnsi="Traditional Arabic" w:cs="Traditional Arabic" w:hint="cs"/>
          <w:color w:val="000000"/>
          <w:sz w:val="28"/>
          <w:szCs w:val="28"/>
          <w:rtl/>
        </w:rPr>
        <w:t>وبالتالي، تتمثل</w:t>
      </w:r>
      <w:r w:rsidR="00897949" w:rsidRPr="002E15D3">
        <w:rPr>
          <w:rFonts w:ascii="Traditional Arabic" w:eastAsia="Times New Roman" w:hAnsi="Traditional Arabic" w:cs="Traditional Arabic"/>
          <w:color w:val="000000"/>
          <w:sz w:val="28"/>
          <w:szCs w:val="28"/>
          <w:rtl/>
        </w:rPr>
        <w:t xml:space="preserve"> مشكلة البحث في الحاجة إلى دراسة العلاقة بين النمط القيادي المستند إلى القيادة التحويلية ومستوى تعزيز ثقافة السلامة كعامل وسيط، وتأثير ذلك على السلوكيات المرتبطة بالسلامة وتخفيف الأحداث الضارة داخل مستشفيات القطاع الحكومي بمنطقة الجوف. تهدف هذه الدراسة الميدانية إلى معالجة هذه الفجوة المعرفية عبر استكشاف هذه العلاقة الحيوية وتقديم توصيات عملية تُساعد صناع القرار في تطوير استراتيجيات قيادية فعّالة تدعم تحقيق أهداف رؤية المملكة 2030 المتعلقة بجودة وسلامة الرعاية الصحية</w:t>
      </w:r>
      <w:r w:rsidR="00897949" w:rsidRPr="002E15D3">
        <w:rPr>
          <w:rFonts w:ascii="Traditional Arabic" w:eastAsia="Times New Roman" w:hAnsi="Traditional Arabic" w:cs="Traditional Arabic"/>
          <w:color w:val="000000"/>
          <w:sz w:val="28"/>
          <w:szCs w:val="28"/>
        </w:rPr>
        <w:t>.</w:t>
      </w:r>
    </w:p>
    <w:p w14:paraId="41F5156A" w14:textId="53CB2CE0" w:rsidR="00E624E0" w:rsidRPr="0046668B" w:rsidRDefault="00897949" w:rsidP="00897949">
      <w:pPr>
        <w:bidi/>
        <w:spacing w:line="360" w:lineRule="auto"/>
        <w:rPr>
          <w:rFonts w:ascii="Traditional Arabic" w:hAnsi="Traditional Arabic" w:cs="Traditional Arabic"/>
          <w:b/>
          <w:bCs/>
          <w:sz w:val="32"/>
          <w:szCs w:val="32"/>
          <w:rtl/>
        </w:rPr>
      </w:pPr>
      <w:r w:rsidRPr="0046668B">
        <w:rPr>
          <w:rFonts w:ascii="Traditional Arabic" w:hAnsi="Traditional Arabic" w:cs="Traditional Arabic"/>
          <w:b/>
          <w:bCs/>
          <w:sz w:val="32"/>
          <w:szCs w:val="32"/>
        </w:rPr>
        <w:t>2</w:t>
      </w:r>
      <w:r w:rsidRPr="0046668B">
        <w:rPr>
          <w:rFonts w:ascii="Traditional Arabic" w:hAnsi="Traditional Arabic" w:cs="Traditional Arabic"/>
          <w:b/>
          <w:bCs/>
          <w:sz w:val="32"/>
          <w:szCs w:val="32"/>
          <w:rtl/>
        </w:rPr>
        <w:t>.</w:t>
      </w:r>
      <w:r w:rsidR="00E624E0" w:rsidRPr="0046668B">
        <w:rPr>
          <w:rFonts w:ascii="Traditional Arabic" w:hAnsi="Traditional Arabic" w:cs="Traditional Arabic"/>
          <w:b/>
          <w:bCs/>
          <w:sz w:val="32"/>
          <w:szCs w:val="32"/>
          <w:rtl/>
        </w:rPr>
        <w:t xml:space="preserve"> مشكلة الدراسة</w:t>
      </w:r>
    </w:p>
    <w:p w14:paraId="72435FBE" w14:textId="77777777" w:rsidR="00E624E0" w:rsidRPr="002E15D3" w:rsidRDefault="00E624E0" w:rsidP="00E624E0">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2.1 السياق وأهمية سلامة المرضى</w:t>
      </w:r>
    </w:p>
    <w:p w14:paraId="46ECAF21" w14:textId="3A5EFAC7" w:rsidR="00E56F93" w:rsidRPr="00E56F93" w:rsidRDefault="00E56F93" w:rsidP="00E56F93">
      <w:pPr>
        <w:bidi/>
        <w:spacing w:line="360" w:lineRule="auto"/>
        <w:jc w:val="both"/>
        <w:rPr>
          <w:rFonts w:ascii="Traditional Arabic" w:hAnsi="Traditional Arabic" w:cs="Traditional Arabic"/>
          <w:sz w:val="28"/>
          <w:szCs w:val="28"/>
        </w:rPr>
      </w:pPr>
      <w:r w:rsidRPr="00E56F93">
        <w:rPr>
          <w:rFonts w:ascii="Traditional Arabic" w:hAnsi="Traditional Arabic" w:cs="Traditional Arabic"/>
          <w:sz w:val="28"/>
          <w:szCs w:val="28"/>
          <w:rtl/>
        </w:rPr>
        <w:t xml:space="preserve">تواجه المؤسسات الصحية على المستوى العالمي تحديات متزايدة تتعلق بضمان سلامة المرضى، حيث تُعتبر هذه القضية من الأولويات البارزة في مجال البحث العلمي والممارسة الطبية. تُفيد التقديرات بأن الأخطاء الطبية والأحداث الضارة التي يمكن الوقاية منها تُسبب أضرارًا كبيرة للمرضى، </w:t>
      </w:r>
      <w:r w:rsidRPr="00E56F93">
        <w:rPr>
          <w:rFonts w:ascii="Traditional Arabic" w:hAnsi="Traditional Arabic" w:cs="Traditional Arabic"/>
          <w:sz w:val="28"/>
          <w:szCs w:val="28"/>
          <w:rtl/>
        </w:rPr>
        <w:lastRenderedPageBreak/>
        <w:t xml:space="preserve">بالإضافة إلى زيادتها الملحوظة للتكاليف التشغيلية للنظم الصحية، وفقًا لما أكده </w:t>
      </w:r>
      <w:r w:rsidRPr="00E56F93">
        <w:rPr>
          <w:rFonts w:ascii="Traditional Arabic" w:hAnsi="Traditional Arabic" w:cs="Traditional Arabic"/>
          <w:sz w:val="28"/>
          <w:szCs w:val="28"/>
        </w:rPr>
        <w:t>.</w:t>
      </w:r>
      <w:r w:rsidR="007F4DC9">
        <w:rPr>
          <w:rFonts w:ascii="Traditional Arabic" w:hAnsi="Traditional Arabic" w:cs="Traditional Arabic"/>
          <w:sz w:val="28"/>
          <w:szCs w:val="28"/>
        </w:rPr>
        <w:fldChar w:fldCharType="begin"/>
      </w:r>
      <w:r w:rsidR="007F4DC9">
        <w:rPr>
          <w:rFonts w:ascii="Traditional Arabic" w:hAnsi="Traditional Arabic" w:cs="Traditional Arabic"/>
          <w:sz w:val="28"/>
          <w:szCs w:val="28"/>
        </w:rPr>
        <w:instrText xml:space="preserve"> ADDIN EN.CITE &lt;EndNote&gt;&lt;Cite&gt;&lt;Author&gt;Hussain&lt;/Author&gt;&lt;Year&gt;2021&lt;/Year&gt;&lt;RecNum&gt;146&lt;/RecNum&gt;&lt;DisplayText&gt;(Hussain &amp;amp; Khayat, 2021)&lt;/DisplayText&gt;&lt;record&gt;&lt;rec-number&gt;146&lt;/rec-number&gt;&lt;foreign-keys&gt;&lt;key app="EN" db-id="02retxxrerxdxhe9aphvs0z2t9z25p0ew99s" 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record&gt;&lt;/Cite&gt;&lt;/EndNote&gt;</w:instrText>
      </w:r>
      <w:r w:rsidR="007F4DC9">
        <w:rPr>
          <w:rFonts w:ascii="Traditional Arabic" w:hAnsi="Traditional Arabic" w:cs="Traditional Arabic"/>
          <w:sz w:val="28"/>
          <w:szCs w:val="28"/>
        </w:rPr>
        <w:fldChar w:fldCharType="separate"/>
      </w:r>
      <w:r w:rsidR="007F4DC9">
        <w:rPr>
          <w:rFonts w:ascii="Traditional Arabic" w:hAnsi="Traditional Arabic" w:cs="Traditional Arabic"/>
          <w:noProof/>
          <w:sz w:val="28"/>
          <w:szCs w:val="28"/>
        </w:rPr>
        <w:t>(Hussain &amp; Khayat, 2021)</w:t>
      </w:r>
      <w:r w:rsidR="007F4DC9">
        <w:rPr>
          <w:rFonts w:ascii="Traditional Arabic" w:hAnsi="Traditional Arabic" w:cs="Traditional Arabic"/>
          <w:sz w:val="28"/>
          <w:szCs w:val="28"/>
        </w:rPr>
        <w:fldChar w:fldCharType="end"/>
      </w:r>
      <w:r w:rsidRPr="00E56F93">
        <w:rPr>
          <w:rFonts w:ascii="Traditional Arabic" w:hAnsi="Traditional Arabic" w:cs="Traditional Arabic"/>
          <w:sz w:val="28"/>
          <w:szCs w:val="28"/>
        </w:rPr>
        <w:t xml:space="preserve"> </w:t>
      </w:r>
      <w:r w:rsidRPr="00E56F93">
        <w:rPr>
          <w:rFonts w:ascii="Traditional Arabic" w:hAnsi="Traditional Arabic" w:cs="Traditional Arabic"/>
          <w:sz w:val="28"/>
          <w:szCs w:val="28"/>
          <w:rtl/>
        </w:rPr>
        <w:t>يظهر هذا التحدي بوضوح خاص في البيئات الصحية ذات الطبيعة المعقدة التي تستلزم تنسيقًا دقيقًا بين فرق متعددة التخصصات وإدارة فعالة للعمليات الأساسية</w:t>
      </w:r>
      <w:r w:rsidRPr="00E56F93">
        <w:rPr>
          <w:rFonts w:ascii="Traditional Arabic" w:hAnsi="Traditional Arabic" w:cs="Traditional Arabic"/>
          <w:sz w:val="28"/>
          <w:szCs w:val="28"/>
        </w:rPr>
        <w:t xml:space="preserve">. </w:t>
      </w:r>
      <w:r w:rsidRPr="00E56F93">
        <w:rPr>
          <w:rFonts w:ascii="Traditional Arabic" w:hAnsi="Traditional Arabic" w:cs="Traditional Arabic"/>
          <w:sz w:val="28"/>
          <w:szCs w:val="28"/>
          <w:rtl/>
        </w:rPr>
        <w:t>في هذا السياق، تتزايد الحاجة إلى دراسة العوامل القيادية والتنظيمية التي تسهم في ترسيخ ثقافة قوية لسلامة المرضى</w:t>
      </w:r>
      <w:r w:rsidRPr="00E56F93">
        <w:rPr>
          <w:rFonts w:ascii="Traditional Arabic" w:hAnsi="Traditional Arabic" w:cs="Traditional Arabic"/>
          <w:sz w:val="28"/>
          <w:szCs w:val="28"/>
        </w:rPr>
        <w:t>.</w:t>
      </w:r>
    </w:p>
    <w:p w14:paraId="73D7C967" w14:textId="77777777" w:rsidR="00E624E0" w:rsidRPr="002E15D3" w:rsidRDefault="00E624E0" w:rsidP="00E624E0">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2.2 الوضع في المملكة العربية السعودية والحاجة للتحول القيادي</w:t>
      </w:r>
    </w:p>
    <w:p w14:paraId="7647DC42" w14:textId="77777777" w:rsidR="007F4DC9" w:rsidRDefault="00E56F93" w:rsidP="00E56F93">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في سياق المملكة العربية السعودية، تتسم هذه القضية بأهمية متزايدة، حيث تسعى رؤية 2030 وبرنامج تحول القطاع الصحي إلى تعزيز جودة الخدمات الصحية وضمان سلامة المرضى. على الرغم من الجهود المبذولة لتحقيق هذه الأهداف، تُظهر الدراسات أن الأخطاء الطبية والحوادث الضارة التي كان بالإمكان تجنبها لا تزال تمثل تحديًا مستمرًا</w:t>
      </w:r>
      <w:r w:rsidRPr="002E15D3">
        <w:rPr>
          <w:rFonts w:ascii="Traditional Arabic" w:hAnsi="Traditional Arabic" w:cs="Traditional Arabic"/>
          <w:sz w:val="28"/>
          <w:szCs w:val="28"/>
        </w:rPr>
        <w:t xml:space="preserve">. </w:t>
      </w:r>
      <w:r w:rsidRPr="002E15D3">
        <w:rPr>
          <w:rFonts w:ascii="Traditional Arabic" w:hAnsi="Traditional Arabic" w:cs="Traditional Arabic"/>
          <w:sz w:val="28"/>
          <w:szCs w:val="28"/>
          <w:rtl/>
        </w:rPr>
        <w:t>فقد كشفت تقارير سابقة عن تصاعد معدلات الحوادث الخطيرة القابلة للوقاية</w:t>
      </w:r>
      <w:r w:rsidR="007F4DC9">
        <w:rPr>
          <w:rFonts w:ascii="Traditional Arabic" w:hAnsi="Traditional Arabic" w:cs="Traditional Arabic"/>
          <w:sz w:val="28"/>
          <w:szCs w:val="28"/>
          <w:rtl/>
        </w:rPr>
        <w:fldChar w:fldCharType="begin"/>
      </w:r>
      <w:r w:rsidR="007F4DC9">
        <w:rPr>
          <w:rFonts w:ascii="Traditional Arabic" w:hAnsi="Traditional Arabic" w:cs="Traditional Arabic"/>
          <w:sz w:val="28"/>
          <w:szCs w:val="28"/>
          <w:rtl/>
        </w:rPr>
        <w:instrText xml:space="preserve"> </w:instrText>
      </w:r>
      <w:r w:rsidR="007F4DC9">
        <w:rPr>
          <w:rFonts w:ascii="Traditional Arabic" w:hAnsi="Traditional Arabic" w:cs="Traditional Arabic"/>
          <w:sz w:val="28"/>
          <w:szCs w:val="28"/>
        </w:rPr>
        <w:instrText>ADDIN EN.CITE &lt;EndNote&gt;&lt;Cite&gt;&lt;Author</w:instrText>
      </w:r>
      <w:r w:rsidR="007F4DC9">
        <w:rPr>
          <w:rFonts w:ascii="Traditional Arabic" w:hAnsi="Traditional Arabic" w:cs="Traditional Arabic"/>
          <w:sz w:val="28"/>
          <w:szCs w:val="28"/>
          <w:rtl/>
        </w:rPr>
        <w:instrText>&gt;السلمي&lt;/</w:instrText>
      </w:r>
      <w:r w:rsidR="007F4DC9">
        <w:rPr>
          <w:rFonts w:ascii="Traditional Arabic" w:hAnsi="Traditional Arabic" w:cs="Traditional Arabic"/>
          <w:sz w:val="28"/>
          <w:szCs w:val="28"/>
        </w:rPr>
        <w:instrText>Author&gt;&lt;Year&gt;2024&lt;/Year&gt;&lt;RecNum&gt;174&lt;/RecNum&gt;&lt;DisplayText</w:instrText>
      </w:r>
      <w:r w:rsidR="007F4DC9">
        <w:rPr>
          <w:rFonts w:ascii="Traditional Arabic" w:hAnsi="Traditional Arabic" w:cs="Traditional Arabic"/>
          <w:sz w:val="28"/>
          <w:szCs w:val="28"/>
          <w:rtl/>
        </w:rPr>
        <w:instrText>&gt;(السلمي &amp;</w:instrText>
      </w:r>
      <w:r w:rsidR="007F4DC9">
        <w:rPr>
          <w:rFonts w:ascii="Traditional Arabic" w:hAnsi="Traditional Arabic" w:cs="Traditional Arabic"/>
          <w:sz w:val="28"/>
          <w:szCs w:val="28"/>
        </w:rPr>
        <w:instrText>amp</w:instrText>
      </w:r>
      <w:r w:rsidR="007F4DC9">
        <w:rPr>
          <w:rFonts w:ascii="Traditional Arabic" w:hAnsi="Traditional Arabic" w:cs="Traditional Arabic"/>
          <w:sz w:val="28"/>
          <w:szCs w:val="28"/>
          <w:rtl/>
        </w:rPr>
        <w:instrText>; شعيبي, 2024)&lt;/</w:instrText>
      </w:r>
      <w:r w:rsidR="007F4DC9">
        <w:rPr>
          <w:rFonts w:ascii="Traditional Arabic" w:hAnsi="Traditional Arabic" w:cs="Traditional Arabic"/>
          <w:sz w:val="28"/>
          <w:szCs w:val="28"/>
        </w:rPr>
        <w:instrText>DisplayText&gt;&lt;record&gt;&lt;rec-number&gt;174&lt;/rec-number&gt;&lt;foreign-keys&gt;&lt;key app="EN" db-id="02retxxrerxdxhe9aphvs0z2t9z25p0ew99s" timestamp="1754211646"&gt;174&lt;/key&gt;&lt;/foreign-keys&gt;&lt;ref-type name="Journal Article"&gt;17&lt;/ref-type&gt;&lt;contributors&gt;&lt;authors&gt;&lt;author&gt;&lt;style face="normal" font="default" charset="178" size="100%</w:instrText>
      </w:r>
      <w:r w:rsidR="007F4DC9">
        <w:rPr>
          <w:rFonts w:ascii="Traditional Arabic" w:hAnsi="Traditional Arabic" w:cs="Traditional Arabic"/>
          <w:sz w:val="28"/>
          <w:szCs w:val="28"/>
          <w:rtl/>
        </w:rPr>
        <w:instrText>"&gt;السلمي&lt;/</w:instrText>
      </w:r>
      <w:r w:rsidR="007F4DC9">
        <w:rPr>
          <w:rFonts w:ascii="Traditional Arabic" w:hAnsi="Traditional Arabic" w:cs="Traditional Arabic"/>
          <w:sz w:val="28"/>
          <w:szCs w:val="28"/>
        </w:rPr>
        <w:instrText>style&gt;&lt;style face="normal" font="default" size="100%"&gt;, &lt;/style</w:instrText>
      </w:r>
      <w:r w:rsidR="007F4DC9">
        <w:rPr>
          <w:rFonts w:ascii="Traditional Arabic" w:hAnsi="Traditional Arabic" w:cs="Traditional Arabic"/>
          <w:sz w:val="28"/>
          <w:szCs w:val="28"/>
          <w:rtl/>
        </w:rPr>
        <w:instrText>&gt;&lt;</w:instrText>
      </w:r>
      <w:r w:rsidR="007F4DC9">
        <w:rPr>
          <w:rFonts w:ascii="Traditional Arabic" w:hAnsi="Traditional Arabic" w:cs="Traditional Arabic"/>
          <w:sz w:val="28"/>
          <w:szCs w:val="28"/>
        </w:rPr>
        <w:instrText>style face="normal" font="default" charset="178" size="100%</w:instrText>
      </w:r>
      <w:r w:rsidR="007F4DC9">
        <w:rPr>
          <w:rFonts w:ascii="Traditional Arabic" w:hAnsi="Traditional Arabic" w:cs="Traditional Arabic"/>
          <w:sz w:val="28"/>
          <w:szCs w:val="28"/>
          <w:rtl/>
        </w:rPr>
        <w:instrText>"&gt;محمد خالد محمد&lt;/</w:instrText>
      </w:r>
      <w:r w:rsidR="007F4DC9">
        <w:rPr>
          <w:rFonts w:ascii="Traditional Arabic" w:hAnsi="Traditional Arabic" w:cs="Traditional Arabic"/>
          <w:sz w:val="28"/>
          <w:szCs w:val="28"/>
        </w:rPr>
        <w:instrText>style&gt;&lt;/author&gt;&lt;author&gt;&lt;style face="normal" font="default" charset="178" size="100%</w:instrText>
      </w:r>
      <w:r w:rsidR="007F4DC9">
        <w:rPr>
          <w:rFonts w:ascii="Traditional Arabic" w:hAnsi="Traditional Arabic" w:cs="Traditional Arabic"/>
          <w:sz w:val="28"/>
          <w:szCs w:val="28"/>
          <w:rtl/>
        </w:rPr>
        <w:instrText>"&gt;شعيبي&lt;/</w:instrText>
      </w:r>
      <w:r w:rsidR="007F4DC9">
        <w:rPr>
          <w:rFonts w:ascii="Traditional Arabic" w:hAnsi="Traditional Arabic" w:cs="Traditional Arabic"/>
          <w:sz w:val="28"/>
          <w:szCs w:val="28"/>
        </w:rPr>
        <w:instrText>style&gt;&lt;style face="normal" font="default" size="100%"&gt;, &lt;/style&gt;&lt;style face="normal</w:instrText>
      </w:r>
      <w:r w:rsidR="007F4DC9">
        <w:rPr>
          <w:rFonts w:ascii="Traditional Arabic" w:hAnsi="Traditional Arabic" w:cs="Traditional Arabic"/>
          <w:sz w:val="28"/>
          <w:szCs w:val="28"/>
          <w:rtl/>
        </w:rPr>
        <w:instrText xml:space="preserve">" </w:instrText>
      </w:r>
      <w:r w:rsidR="007F4DC9">
        <w:rPr>
          <w:rFonts w:ascii="Traditional Arabic" w:hAnsi="Traditional Arabic" w:cs="Traditional Arabic"/>
          <w:sz w:val="28"/>
          <w:szCs w:val="28"/>
        </w:rPr>
        <w:instrText>font="default" charset="178" size="100%</w:instrText>
      </w:r>
      <w:r w:rsidR="007F4DC9">
        <w:rPr>
          <w:rFonts w:ascii="Traditional Arabic" w:hAnsi="Traditional Arabic" w:cs="Traditional Arabic"/>
          <w:sz w:val="28"/>
          <w:szCs w:val="28"/>
          <w:rtl/>
        </w:rPr>
        <w:instrText>"&gt;فيصل أحمد عابد&lt;/</w:instrText>
      </w:r>
      <w:r w:rsidR="007F4DC9">
        <w:rPr>
          <w:rFonts w:ascii="Traditional Arabic" w:hAnsi="Traditional Arabic" w:cs="Traditional Arabic"/>
          <w:sz w:val="28"/>
          <w:szCs w:val="28"/>
        </w:rPr>
        <w:instrText>style&gt;&lt;/author&gt;&lt;/authors&gt;&lt;/contributors&gt;&lt;titles&gt;&lt;title&gt;The role of transformational leadership in enhancing organizational reputation A field study on administrative staff in health affairs in Jeddah&lt;/title&gt;&lt;secondary-title&gt;&lt;style face="normal" font="default" charset="178" size="100%</w:instrText>
      </w:r>
      <w:r w:rsidR="007F4DC9">
        <w:rPr>
          <w:rFonts w:ascii="Traditional Arabic" w:hAnsi="Traditional Arabic" w:cs="Traditional Arabic"/>
          <w:sz w:val="28"/>
          <w:szCs w:val="28"/>
          <w:rtl/>
        </w:rPr>
        <w:instrText>"&gt;مجلة العلوم الإقتصادية و الإدارية و القانونية&lt;/</w:instrText>
      </w:r>
      <w:r w:rsidR="007F4DC9">
        <w:rPr>
          <w:rFonts w:ascii="Traditional Arabic" w:hAnsi="Traditional Arabic" w:cs="Traditional Arabic"/>
          <w:sz w:val="28"/>
          <w:szCs w:val="28"/>
        </w:rPr>
        <w:instrText>style&gt;&lt;/secondary-title&gt;&lt;/titles&gt;&lt;periodical&gt;&lt;full-title</w:instrText>
      </w:r>
      <w:r w:rsidR="007F4DC9">
        <w:rPr>
          <w:rFonts w:ascii="Traditional Arabic" w:hAnsi="Traditional Arabic" w:cs="Traditional Arabic"/>
          <w:sz w:val="28"/>
          <w:szCs w:val="28"/>
          <w:rtl/>
        </w:rPr>
        <w:instrText>&gt;مجلة العلوم الإقتصادية و الإدارية و القانونية&lt;/</w:instrText>
      </w:r>
      <w:r w:rsidR="007F4DC9">
        <w:rPr>
          <w:rFonts w:ascii="Traditional Arabic" w:hAnsi="Traditional Arabic" w:cs="Traditional Arabic"/>
          <w:sz w:val="28"/>
          <w:szCs w:val="28"/>
        </w:rPr>
        <w:instrText>full-title&gt;&lt;/periodical&gt;&lt;dates&gt;&lt;year&gt;2024&lt;/year&gt;&lt;/dates&gt;&lt;urls&gt;&lt;/urls&gt;&lt;electronic-resource-num&gt;10.26389/AJSRP.A010823&lt;/electronic-resource-num&gt;&lt;/record&gt;&lt;/Cite&gt;&lt;/EndNote</w:instrText>
      </w:r>
      <w:r w:rsidR="007F4DC9">
        <w:rPr>
          <w:rFonts w:ascii="Traditional Arabic" w:hAnsi="Traditional Arabic" w:cs="Traditional Arabic"/>
          <w:sz w:val="28"/>
          <w:szCs w:val="28"/>
          <w:rtl/>
        </w:rPr>
        <w:instrText>&gt;</w:instrText>
      </w:r>
      <w:r w:rsidR="007F4DC9">
        <w:rPr>
          <w:rFonts w:ascii="Traditional Arabic" w:hAnsi="Traditional Arabic" w:cs="Traditional Arabic"/>
          <w:sz w:val="28"/>
          <w:szCs w:val="28"/>
          <w:rtl/>
        </w:rPr>
        <w:fldChar w:fldCharType="separate"/>
      </w:r>
      <w:r w:rsidR="007F4DC9">
        <w:rPr>
          <w:rFonts w:ascii="Traditional Arabic" w:hAnsi="Traditional Arabic" w:cs="Traditional Arabic"/>
          <w:noProof/>
          <w:sz w:val="28"/>
          <w:szCs w:val="28"/>
          <w:rtl/>
        </w:rPr>
        <w:t>(السلمي &amp; شعيبي, 2024)</w:t>
      </w:r>
      <w:r w:rsidR="007F4DC9">
        <w:rPr>
          <w:rFonts w:ascii="Traditional Arabic" w:hAnsi="Traditional Arabic" w:cs="Traditional Arabic"/>
          <w:sz w:val="28"/>
          <w:szCs w:val="28"/>
          <w:rtl/>
        </w:rPr>
        <w:fldChar w:fldCharType="end"/>
      </w:r>
      <w:r w:rsidR="007F4DC9">
        <w:rPr>
          <w:rFonts w:ascii="Traditional Arabic" w:hAnsi="Traditional Arabic" w:cs="Traditional Arabic" w:hint="cs"/>
          <w:sz w:val="28"/>
          <w:szCs w:val="28"/>
          <w:rtl/>
        </w:rPr>
        <w:t>.</w:t>
      </w:r>
      <w:r w:rsidRPr="002E15D3">
        <w:rPr>
          <w:rFonts w:ascii="Traditional Arabic" w:hAnsi="Traditional Arabic" w:cs="Traditional Arabic"/>
          <w:sz w:val="28"/>
          <w:szCs w:val="28"/>
          <w:rtl/>
        </w:rPr>
        <w:t xml:space="preserve"> </w:t>
      </w:r>
    </w:p>
    <w:p w14:paraId="5FFE00B1" w14:textId="1E80182A" w:rsidR="00E56F93" w:rsidRPr="002E15D3" w:rsidRDefault="002E6AD0" w:rsidP="007F4DC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Pr="002E15D3">
        <w:rPr>
          <w:rFonts w:ascii="Traditional Arabic" w:hAnsi="Traditional Arabic" w:cs="Traditional Arabic"/>
          <w:sz w:val="28"/>
          <w:szCs w:val="28"/>
          <w:rtl/>
        </w:rPr>
        <w:t>للتوصل</w:t>
      </w:r>
      <w:r w:rsidR="00E56F93" w:rsidRPr="002E15D3">
        <w:rPr>
          <w:rFonts w:ascii="Traditional Arabic" w:hAnsi="Traditional Arabic" w:cs="Traditional Arabic"/>
          <w:sz w:val="28"/>
          <w:szCs w:val="28"/>
          <w:rtl/>
        </w:rPr>
        <w:t xml:space="preserve"> إلى تحسينات ملموسة في هذا المجال، تُبرز الدراسات الحديثة الدور المحوري للقيادة التحويلية في تشكيل ثقافة المؤسسات الصحية</w:t>
      </w:r>
      <w:r w:rsidR="00E56F93" w:rsidRPr="002E15D3">
        <w:rPr>
          <w:rFonts w:ascii="Traditional Arabic" w:hAnsi="Traditional Arabic" w:cs="Traditional Arabic"/>
          <w:sz w:val="28"/>
          <w:szCs w:val="28"/>
        </w:rPr>
        <w:t xml:space="preserve">. </w:t>
      </w:r>
      <w:r w:rsidR="00E56F93" w:rsidRPr="002E15D3">
        <w:rPr>
          <w:rFonts w:ascii="Traditional Arabic" w:hAnsi="Traditional Arabic" w:cs="Traditional Arabic"/>
          <w:sz w:val="28"/>
          <w:szCs w:val="28"/>
          <w:rtl/>
        </w:rPr>
        <w:t>فقد بينت أبحاث معاصرة الأثر الإيجابي لهذا النمط القيادي على تعزيز ثقافة السلامة وتحسين ممارساتها في المستشفيات السعودية</w:t>
      </w:r>
      <w:r w:rsidR="00E56F93" w:rsidRPr="002E15D3">
        <w:rPr>
          <w:rFonts w:ascii="Traditional Arabic" w:hAnsi="Traditional Arabic" w:cs="Traditional Arabic"/>
          <w:sz w:val="28"/>
          <w:szCs w:val="28"/>
        </w:rPr>
        <w:t xml:space="preserve"> </w:t>
      </w:r>
      <w:r w:rsidR="007F4DC9">
        <w:rPr>
          <w:rFonts w:ascii="Traditional Arabic" w:hAnsi="Traditional Arabic" w:cs="Traditional Arabic"/>
          <w:sz w:val="28"/>
          <w:szCs w:val="28"/>
          <w:rtl/>
        </w:rPr>
        <w:fldChar w:fldCharType="begin"/>
      </w:r>
      <w:r w:rsidR="007F4DC9">
        <w:rPr>
          <w:rFonts w:ascii="Traditional Arabic" w:hAnsi="Traditional Arabic" w:cs="Traditional Arabic"/>
          <w:sz w:val="28"/>
          <w:szCs w:val="28"/>
          <w:rtl/>
        </w:rPr>
        <w:instrText xml:space="preserve"> </w:instrText>
      </w:r>
      <w:r w:rsidR="007F4DC9">
        <w:rPr>
          <w:rFonts w:ascii="Traditional Arabic" w:hAnsi="Traditional Arabic" w:cs="Traditional Arabic"/>
          <w:sz w:val="28"/>
          <w:szCs w:val="28"/>
        </w:rPr>
        <w:instrText>ADDIN EN.CITE &lt;EndNote&gt;&lt;Cite&gt;&lt;Author&gt;Hamdan&lt;/Author&gt;&lt;Year&gt;2024&lt;/Year&gt;&lt;RecNum&gt;167&lt;/RecNum&gt;&lt;DisplayText&gt;(Hamdan et al., 2024)&lt;/DisplayText&gt;&lt;record&gt;&lt;rec-number&gt;167&lt;/rec-number&gt;&lt;foreign-keys&gt;&lt;key app="EN" db-id="02retxxrerxdxhe9aphvs0z2t9z25p0ew99s" timestamp="1752662792"&gt;167&lt;/key&gt;&lt;/foreign-keys&gt;&lt;ref-type name="Journal Article"&gt;17&lt;/ref-type&gt;&lt;contributors&gt;&lt;authors&gt;&lt;author&gt;Hamdan, Mahmoud&lt;/author&gt;&lt;author&gt;Jaaffar, Amar Hisham&lt;/author&gt;&lt;author&gt;Khraisat, Omar&lt;/author&gt;&lt;author&gt;Issa, Marwan Rasmi&lt;/author&gt;&lt;author&gt;Jarrar, Mu’taman&lt;/author&gt;&lt;/authors&gt;&lt;/contributors&gt;&lt;titles&gt;&lt;title&gt;The association of transformational leadership on safety practices among nurses: the mediating role of patient safety culture&lt;/title&gt;&lt;secondary-title&gt;Risk Management and Healthcare Policy&lt;/secondary-title&gt;&lt;/titles&gt;&lt;periodical&gt;&lt;full-title&gt;Risk Management and Healthcare Policy&lt;/full-title&gt;&lt;/periodical&gt;&lt;pages&gt;1687-1700&lt;/pages&gt;&lt;dates&gt;&lt;year&gt;2024&lt;/year&gt;&lt;/dates&gt;&lt;isbn&gt;1179-1594&lt;/isbn&gt;&lt;urls&gt;&lt;related-urls&gt;&lt;url&gt;https://pdfs.semanticscholar.org/ba60/afd49d2</w:instrText>
      </w:r>
      <w:r w:rsidR="007F4DC9">
        <w:rPr>
          <w:rFonts w:ascii="Traditional Arabic" w:hAnsi="Traditional Arabic" w:cs="Traditional Arabic"/>
          <w:sz w:val="28"/>
          <w:szCs w:val="28"/>
          <w:rtl/>
        </w:rPr>
        <w:instrText>5</w:instrText>
      </w:r>
      <w:r w:rsidR="007F4DC9">
        <w:rPr>
          <w:rFonts w:ascii="Traditional Arabic" w:hAnsi="Traditional Arabic" w:cs="Traditional Arabic"/>
          <w:sz w:val="28"/>
          <w:szCs w:val="28"/>
        </w:rPr>
        <w:instrText>f3a6df551bb3826d6c098202c00d.pdf&lt;/url&gt;&lt;/related-urls&gt;&lt;/urls&gt;&lt;/record&gt;&lt;/Cite&gt;&lt;/EndNote</w:instrText>
      </w:r>
      <w:r w:rsidR="007F4DC9">
        <w:rPr>
          <w:rFonts w:ascii="Traditional Arabic" w:hAnsi="Traditional Arabic" w:cs="Traditional Arabic"/>
          <w:sz w:val="28"/>
          <w:szCs w:val="28"/>
          <w:rtl/>
        </w:rPr>
        <w:instrText>&gt;</w:instrText>
      </w:r>
      <w:r w:rsidR="007F4DC9">
        <w:rPr>
          <w:rFonts w:ascii="Traditional Arabic" w:hAnsi="Traditional Arabic" w:cs="Traditional Arabic"/>
          <w:sz w:val="28"/>
          <w:szCs w:val="28"/>
          <w:rtl/>
        </w:rPr>
        <w:fldChar w:fldCharType="separate"/>
      </w:r>
      <w:r w:rsidR="007F4DC9">
        <w:rPr>
          <w:rFonts w:ascii="Traditional Arabic" w:hAnsi="Traditional Arabic" w:cs="Traditional Arabic"/>
          <w:noProof/>
          <w:sz w:val="28"/>
          <w:szCs w:val="28"/>
          <w:rtl/>
        </w:rPr>
        <w:t>(</w:t>
      </w:r>
      <w:r w:rsidR="007F4DC9">
        <w:rPr>
          <w:rFonts w:ascii="Traditional Arabic" w:hAnsi="Traditional Arabic" w:cs="Traditional Arabic"/>
          <w:noProof/>
          <w:sz w:val="28"/>
          <w:szCs w:val="28"/>
        </w:rPr>
        <w:t>Hamdan et al., 2024</w:t>
      </w:r>
      <w:r w:rsidR="007F4DC9">
        <w:rPr>
          <w:rFonts w:ascii="Traditional Arabic" w:hAnsi="Traditional Arabic" w:cs="Traditional Arabic"/>
          <w:noProof/>
          <w:sz w:val="28"/>
          <w:szCs w:val="28"/>
          <w:rtl/>
        </w:rPr>
        <w:t>)</w:t>
      </w:r>
      <w:r w:rsidR="007F4DC9">
        <w:rPr>
          <w:rFonts w:ascii="Traditional Arabic" w:hAnsi="Traditional Arabic" w:cs="Traditional Arabic"/>
          <w:sz w:val="28"/>
          <w:szCs w:val="28"/>
          <w:rtl/>
        </w:rPr>
        <w:fldChar w:fldCharType="end"/>
      </w:r>
      <w:r w:rsidR="007F4DC9">
        <w:rPr>
          <w:rFonts w:ascii="Traditional Arabic" w:hAnsi="Traditional Arabic" w:cs="Traditional Arabic" w:hint="cs"/>
          <w:sz w:val="28"/>
          <w:szCs w:val="28"/>
          <w:rtl/>
        </w:rPr>
        <w:t>.</w:t>
      </w:r>
      <w:r w:rsidR="00E56F93" w:rsidRPr="002E15D3">
        <w:rPr>
          <w:rFonts w:ascii="Traditional Arabic" w:hAnsi="Traditional Arabic" w:cs="Traditional Arabic"/>
          <w:sz w:val="28"/>
          <w:szCs w:val="28"/>
          <w:rtl/>
        </w:rPr>
        <w:t>كما أوضحت دراسات إضافية أهمية الدور الوسيط الذي تؤديه ثقافة المؤسسات في العلاقة بين القيادة التحويلية وتطوير سلوكيات السلامة</w:t>
      </w:r>
      <w:r w:rsidR="00E56F93" w:rsidRPr="002E15D3">
        <w:rPr>
          <w:rFonts w:ascii="Traditional Arabic" w:hAnsi="Traditional Arabic" w:cs="Traditional Arabic"/>
          <w:sz w:val="28"/>
          <w:szCs w:val="28"/>
        </w:rPr>
        <w:t xml:space="preserve"> .</w:t>
      </w:r>
      <w:r>
        <w:rPr>
          <w:rFonts w:ascii="Traditional Arabic" w:hAnsi="Traditional Arabic" w:cs="Traditional Arabic"/>
          <w:sz w:val="28"/>
          <w:szCs w:val="28"/>
        </w:rPr>
        <w:fldChar w:fldCharType="begin"/>
      </w:r>
      <w:r>
        <w:rPr>
          <w:rFonts w:ascii="Traditional Arabic" w:hAnsi="Traditional Arabic" w:cs="Traditional Arabic"/>
          <w:sz w:val="28"/>
          <w:szCs w:val="28"/>
        </w:rPr>
        <w:instrText xml:space="preserve"> ADDIN EN.CITE &lt;EndNote&gt;&lt;Cite&gt;&lt;Author&gt;Craig&lt;/Author&gt;&lt;Year&gt;2025&lt;/Year&gt;&lt;RecNum&gt;154&lt;/RecNum&gt;&lt;DisplayText&gt;(Craig, 2025)&lt;/DisplayText&gt;&lt;record&gt;&lt;rec-number&gt;154&lt;/rec-number&gt;&lt;foreign-keys&gt;&lt;key app="EN" db-id="02retxxrerxdxhe9aphvs0z2t9z25p0ew99s" timestamp="1752526285"&gt;154&lt;/key&gt;&lt;/foreign-keys&gt;&lt;ref-type name="Thesis"&gt;32&lt;/ref-type&gt;&lt;contributors&gt;&lt;authors&gt;&lt;author&gt;Craig, Eugene D&lt;/author&gt;&lt;/authors&gt;&lt;/contributors&gt;&lt;titles&gt;&lt;title&gt;Impact of Transformational Leadership on Correctional Healthcare Worker Affective Commitment and Intention to Stay&lt;/title&gt;&lt;/titles&gt;&lt;dates&gt;&lt;year&gt;2025&lt;/year&gt;&lt;/dates&gt;&lt;publisher&gt;Grand Canyon University&lt;/publisher&gt;&lt;urls&gt;&lt;/urls&gt;&lt;/record&gt;&lt;/Cite&gt;&lt;/EndNote&gt;</w:instrText>
      </w:r>
      <w:r>
        <w:rPr>
          <w:rFonts w:ascii="Traditional Arabic" w:hAnsi="Traditional Arabic" w:cs="Traditional Arabic"/>
          <w:sz w:val="28"/>
          <w:szCs w:val="28"/>
        </w:rPr>
        <w:fldChar w:fldCharType="separate"/>
      </w:r>
      <w:r>
        <w:rPr>
          <w:rFonts w:ascii="Traditional Arabic" w:hAnsi="Traditional Arabic" w:cs="Traditional Arabic"/>
          <w:noProof/>
          <w:sz w:val="28"/>
          <w:szCs w:val="28"/>
        </w:rPr>
        <w:t>(Craig, 2025)</w:t>
      </w:r>
      <w:r>
        <w:rPr>
          <w:rFonts w:ascii="Traditional Arabic" w:hAnsi="Traditional Arabic" w:cs="Traditional Arabic"/>
          <w:sz w:val="28"/>
          <w:szCs w:val="28"/>
        </w:rPr>
        <w:fldChar w:fldCharType="end"/>
      </w:r>
      <w:r w:rsidR="00E56F93" w:rsidRPr="002E15D3">
        <w:rPr>
          <w:rFonts w:ascii="Traditional Arabic" w:hAnsi="Traditional Arabic" w:cs="Traditional Arabic"/>
          <w:sz w:val="28"/>
          <w:szCs w:val="28"/>
        </w:rPr>
        <w:t xml:space="preserve"> </w:t>
      </w:r>
      <w:r w:rsidR="00E56F93" w:rsidRPr="002E15D3">
        <w:rPr>
          <w:rFonts w:ascii="Traditional Arabic" w:hAnsi="Traditional Arabic" w:cs="Traditional Arabic"/>
          <w:sz w:val="28"/>
          <w:szCs w:val="28"/>
          <w:rtl/>
        </w:rPr>
        <w:t>وبالتالي، يمكن استنتاج أن تأثير القيادة التحويلية على الأداء التنظيمي يعتمد بشكل كبير على قدرتها على تغيير الثقافة المؤسسية كخطوة أولى.</w:t>
      </w:r>
    </w:p>
    <w:p w14:paraId="3D2B798D" w14:textId="72E54110" w:rsidR="00E624E0" w:rsidRPr="002E15D3" w:rsidRDefault="00E56F93" w:rsidP="00E56F93">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sz w:val="28"/>
          <w:szCs w:val="28"/>
        </w:rPr>
        <w:t>.</w:t>
      </w:r>
      <w:r w:rsidR="00E624E0" w:rsidRPr="002E15D3">
        <w:rPr>
          <w:rFonts w:ascii="Traditional Arabic" w:hAnsi="Traditional Arabic" w:cs="Traditional Arabic"/>
          <w:b/>
          <w:bCs/>
          <w:sz w:val="28"/>
          <w:szCs w:val="28"/>
          <w:rtl/>
        </w:rPr>
        <w:t>2.3 الفجوة البحثية والتحدي في منطقة الجوف</w:t>
      </w:r>
    </w:p>
    <w:p w14:paraId="1577A4F9" w14:textId="77777777" w:rsidR="00132DA8" w:rsidRDefault="000B684B" w:rsidP="00132DA8">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على الرغم من أهمية العلاقة المذكورة، هناك نقص واضح في الدراسات التي تركز على استيعاب الآليات الوسيطة لهذا التأثير ضمن السياق السعودي، خاصة في مستشفيات القطاع الحكومي بمنطقة الجوف. تواجه هذه المستشفيات تحديات متزايدة تتعلق بتعزيز ثقافة السلامة وتحسين سلوكيات العاملين، وهو ما قد يؤثر بشكل سلبي على جودة الرعاية الصحية</w:t>
      </w:r>
      <w:r w:rsidR="002E6AD0">
        <w:rPr>
          <w:rFonts w:ascii="Traditional Arabic" w:hAnsi="Traditional Arabic" w:cs="Traditional Arabic"/>
          <w:sz w:val="28"/>
          <w:szCs w:val="28"/>
          <w:rtl/>
        </w:rPr>
        <w:fldChar w:fldCharType="begin"/>
      </w:r>
      <w:r w:rsidR="002E6AD0">
        <w:rPr>
          <w:rFonts w:ascii="Traditional Arabic" w:hAnsi="Traditional Arabic" w:cs="Traditional Arabic"/>
          <w:sz w:val="28"/>
          <w:szCs w:val="28"/>
          <w:rtl/>
        </w:rPr>
        <w:instrText xml:space="preserve"> </w:instrText>
      </w:r>
      <w:r w:rsidR="002E6AD0">
        <w:rPr>
          <w:rFonts w:ascii="Traditional Arabic" w:hAnsi="Traditional Arabic" w:cs="Traditional Arabic"/>
          <w:sz w:val="28"/>
          <w:szCs w:val="28"/>
        </w:rPr>
        <w:instrText>ADDIN EN.CITE &lt;EndNote&gt;&lt;Cite&gt;&lt;Author</w:instrText>
      </w:r>
      <w:r w:rsidR="002E6AD0">
        <w:rPr>
          <w:rFonts w:ascii="Traditional Arabic" w:hAnsi="Traditional Arabic" w:cs="Traditional Arabic"/>
          <w:sz w:val="28"/>
          <w:szCs w:val="28"/>
          <w:rtl/>
        </w:rPr>
        <w:instrText>&gt;مخدوم&lt;/</w:instrText>
      </w:r>
      <w:r w:rsidR="002E6AD0">
        <w:rPr>
          <w:rFonts w:ascii="Traditional Arabic" w:hAnsi="Traditional Arabic" w:cs="Traditional Arabic"/>
          <w:sz w:val="28"/>
          <w:szCs w:val="28"/>
        </w:rPr>
        <w:instrText>Author&gt;&lt;Year&gt;2019&lt;/Year&gt;&lt;RecNum&gt;182&lt;/RecNum&gt;&lt;DisplayText</w:instrText>
      </w:r>
      <w:r w:rsidR="002E6AD0">
        <w:rPr>
          <w:rFonts w:ascii="Traditional Arabic" w:hAnsi="Traditional Arabic" w:cs="Traditional Arabic"/>
          <w:sz w:val="28"/>
          <w:szCs w:val="28"/>
          <w:rtl/>
        </w:rPr>
        <w:instrText>&gt;(مخدوم, 2019)&lt;/</w:instrText>
      </w:r>
      <w:r w:rsidR="002E6AD0">
        <w:rPr>
          <w:rFonts w:ascii="Traditional Arabic" w:hAnsi="Traditional Arabic" w:cs="Traditional Arabic"/>
          <w:sz w:val="28"/>
          <w:szCs w:val="28"/>
        </w:rPr>
        <w:instrText>DisplayText&gt;&lt;record&gt;&lt;rec-number&gt;182&lt;/rec-number&gt;&lt;foreign-keys&gt;&lt;key app="EN" db-id="02retxxrerxdxhe9aphvs0z2t9z25p0ew99s" timestamp="175459</w:instrText>
      </w:r>
      <w:r w:rsidR="002E6AD0">
        <w:rPr>
          <w:rFonts w:ascii="Traditional Arabic" w:hAnsi="Traditional Arabic" w:cs="Traditional Arabic"/>
          <w:sz w:val="28"/>
          <w:szCs w:val="28"/>
          <w:rtl/>
        </w:rPr>
        <w:instrText>7898"&gt;182&lt;/</w:instrText>
      </w:r>
      <w:r w:rsidR="002E6AD0">
        <w:rPr>
          <w:rFonts w:ascii="Traditional Arabic" w:hAnsi="Traditional Arabic" w:cs="Traditional Arabic"/>
          <w:sz w:val="28"/>
          <w:szCs w:val="28"/>
        </w:rPr>
        <w:instrText>key&gt;&lt;/foreign-keys&gt;&lt;ref-type name="Journal Article"&gt;17&lt;/ref-type&gt;&lt;contributors&gt;&lt;authors&gt;&lt;author</w:instrText>
      </w:r>
      <w:r w:rsidR="002E6AD0">
        <w:rPr>
          <w:rFonts w:ascii="Traditional Arabic" w:hAnsi="Traditional Arabic" w:cs="Traditional Arabic"/>
          <w:sz w:val="28"/>
          <w:szCs w:val="28"/>
          <w:rtl/>
        </w:rPr>
        <w:instrText>&gt;مخدوم, هند کرامة الله&lt;/</w:instrText>
      </w:r>
      <w:r w:rsidR="002E6AD0">
        <w:rPr>
          <w:rFonts w:ascii="Traditional Arabic" w:hAnsi="Traditional Arabic" w:cs="Traditional Arabic"/>
          <w:sz w:val="28"/>
          <w:szCs w:val="28"/>
        </w:rPr>
        <w:instrText>author&gt;&lt;/authors&gt;&lt;/contributors&gt;&lt;titles&gt;&lt;title</w:instrText>
      </w:r>
      <w:r w:rsidR="002E6AD0">
        <w:rPr>
          <w:rFonts w:ascii="Traditional Arabic" w:hAnsi="Traditional Arabic" w:cs="Traditional Arabic"/>
          <w:sz w:val="28"/>
          <w:szCs w:val="28"/>
          <w:rtl/>
        </w:rPr>
        <w:instrText>&gt;دور القيادة التحويلية في التنمية البشرية بالتطبيق على القطاع الصحي بالمملکة العربية السعودية&lt;/</w:instrText>
      </w:r>
      <w:r w:rsidR="002E6AD0">
        <w:rPr>
          <w:rFonts w:ascii="Traditional Arabic" w:hAnsi="Traditional Arabic" w:cs="Traditional Arabic"/>
          <w:sz w:val="28"/>
          <w:szCs w:val="28"/>
        </w:rPr>
        <w:instrText>title&gt;&lt;secondary-title</w:instrText>
      </w:r>
      <w:r w:rsidR="002E6AD0">
        <w:rPr>
          <w:rFonts w:ascii="Traditional Arabic" w:hAnsi="Traditional Arabic" w:cs="Traditional Arabic"/>
          <w:sz w:val="28"/>
          <w:szCs w:val="28"/>
          <w:rtl/>
        </w:rPr>
        <w:instrText>&gt;المجلة العلمية للدراسات والبحوث المالية والإدارية</w:instrText>
      </w:r>
      <w:r w:rsidR="002E6AD0">
        <w:rPr>
          <w:rFonts w:ascii="Traditional Arabic" w:hAnsi="Traditional Arabic" w:cs="Traditional Arabic"/>
          <w:sz w:val="28"/>
          <w:szCs w:val="28"/>
          <w:cs/>
        </w:rPr>
        <w:instrText>‎</w:instrText>
      </w:r>
      <w:r w:rsidR="002E6AD0">
        <w:rPr>
          <w:rFonts w:ascii="Traditional Arabic" w:hAnsi="Traditional Arabic" w:cs="Traditional Arabic"/>
          <w:sz w:val="28"/>
          <w:szCs w:val="28"/>
        </w:rPr>
        <w:instrText>&lt;/secondary-title&gt;&lt;short-title</w:instrText>
      </w:r>
      <w:r w:rsidR="002E6AD0">
        <w:rPr>
          <w:rFonts w:ascii="Traditional Arabic" w:hAnsi="Traditional Arabic" w:cs="Traditional Arabic"/>
          <w:sz w:val="28"/>
          <w:szCs w:val="28"/>
          <w:rtl/>
        </w:rPr>
        <w:instrText>&gt;دور القيادة التحويلية في التنمية البشرية بالتطبيق على القطاع الصحي بالمملکة العربية السعودية&lt;/</w:instrText>
      </w:r>
      <w:r w:rsidR="002E6AD0">
        <w:rPr>
          <w:rFonts w:ascii="Traditional Arabic" w:hAnsi="Traditional Arabic" w:cs="Traditional Arabic"/>
          <w:sz w:val="28"/>
          <w:szCs w:val="28"/>
        </w:rPr>
        <w:instrText>short-title&gt;&lt;/titles&gt;&lt;periodical&gt;&lt;full-title</w:instrText>
      </w:r>
      <w:r w:rsidR="002E6AD0">
        <w:rPr>
          <w:rFonts w:ascii="Traditional Arabic" w:hAnsi="Traditional Arabic" w:cs="Traditional Arabic"/>
          <w:sz w:val="28"/>
          <w:szCs w:val="28"/>
          <w:rtl/>
        </w:rPr>
        <w:instrText>&gt;المجلة العلمية للدراسات والبحوث المالية والإدارية</w:instrText>
      </w:r>
      <w:r w:rsidR="002E6AD0">
        <w:rPr>
          <w:rFonts w:ascii="Traditional Arabic" w:hAnsi="Traditional Arabic" w:cs="Traditional Arabic"/>
          <w:sz w:val="28"/>
          <w:szCs w:val="28"/>
          <w:cs/>
        </w:rPr>
        <w:instrText>‎</w:instrText>
      </w:r>
      <w:r w:rsidR="002E6AD0">
        <w:rPr>
          <w:rFonts w:ascii="Traditional Arabic" w:hAnsi="Traditional Arabic" w:cs="Traditional Arabic"/>
          <w:sz w:val="28"/>
          <w:szCs w:val="28"/>
        </w:rPr>
        <w:instrText>&lt;/full-title&gt;&lt;/periodical&gt;&lt;pages&gt;237-267&lt;/pages&gt;&lt;volume&gt;4&lt;/volume&gt;&lt;number&gt;2&lt;/number&gt;&lt;dates&gt;&lt;year&gt;2019&lt;/year&gt;&lt;/dates&gt;&lt;urls&gt;&lt;related-urls&gt;&lt;url&gt;https://masf.journals.ekb.eg/article_68978_37d386f362180e6de</w:instrText>
      </w:r>
      <w:r w:rsidR="002E6AD0">
        <w:rPr>
          <w:rFonts w:ascii="Traditional Arabic" w:hAnsi="Traditional Arabic" w:cs="Traditional Arabic"/>
          <w:sz w:val="28"/>
          <w:szCs w:val="28"/>
          <w:rtl/>
        </w:rPr>
        <w:instrText>7</w:instrText>
      </w:r>
      <w:r w:rsidR="002E6AD0">
        <w:rPr>
          <w:rFonts w:ascii="Traditional Arabic" w:hAnsi="Traditional Arabic" w:cs="Traditional Arabic"/>
          <w:sz w:val="28"/>
          <w:szCs w:val="28"/>
        </w:rPr>
        <w:instrText>f5137c84745a21.pdf&lt;/url&gt;&lt;/related-urls&gt;&lt;/urls&gt;&lt;electronic-resource-num&gt;10.21608/masf.2019.68978&lt;/electronic-resource-num&gt;&lt;/record&gt;&lt;/Cite&gt;&lt;/EndNote</w:instrText>
      </w:r>
      <w:r w:rsidR="002E6AD0">
        <w:rPr>
          <w:rFonts w:ascii="Traditional Arabic" w:hAnsi="Traditional Arabic" w:cs="Traditional Arabic"/>
          <w:sz w:val="28"/>
          <w:szCs w:val="28"/>
          <w:rtl/>
        </w:rPr>
        <w:instrText>&gt;</w:instrText>
      </w:r>
      <w:r w:rsidR="002E6AD0">
        <w:rPr>
          <w:rFonts w:ascii="Traditional Arabic" w:hAnsi="Traditional Arabic" w:cs="Traditional Arabic"/>
          <w:sz w:val="28"/>
          <w:szCs w:val="28"/>
          <w:rtl/>
        </w:rPr>
        <w:fldChar w:fldCharType="separate"/>
      </w:r>
      <w:r w:rsidR="002E6AD0">
        <w:rPr>
          <w:rFonts w:ascii="Traditional Arabic" w:hAnsi="Traditional Arabic" w:cs="Traditional Arabic"/>
          <w:noProof/>
          <w:sz w:val="28"/>
          <w:szCs w:val="28"/>
          <w:rtl/>
        </w:rPr>
        <w:t>(مخدوم, 2019)</w:t>
      </w:r>
      <w:r w:rsidR="002E6AD0">
        <w:rPr>
          <w:rFonts w:ascii="Traditional Arabic" w:hAnsi="Traditional Arabic" w:cs="Traditional Arabic"/>
          <w:sz w:val="28"/>
          <w:szCs w:val="28"/>
          <w:rtl/>
        </w:rPr>
        <w:fldChar w:fldCharType="end"/>
      </w:r>
      <w:r w:rsidR="002E6AD0">
        <w:rPr>
          <w:rFonts w:ascii="Traditional Arabic" w:hAnsi="Traditional Arabic" w:cs="Traditional Arabic"/>
          <w:sz w:val="28"/>
          <w:szCs w:val="28"/>
        </w:rPr>
        <w:t>.</w:t>
      </w:r>
      <w:r w:rsidRPr="002E15D3">
        <w:rPr>
          <w:rFonts w:ascii="Traditional Arabic" w:hAnsi="Traditional Arabic" w:cs="Traditional Arabic"/>
          <w:sz w:val="28"/>
          <w:szCs w:val="28"/>
        </w:rPr>
        <w:t xml:space="preserve"> </w:t>
      </w:r>
      <w:r w:rsidRPr="002E15D3">
        <w:rPr>
          <w:rFonts w:ascii="Traditional Arabic" w:hAnsi="Traditional Arabic" w:cs="Traditional Arabic"/>
          <w:sz w:val="28"/>
          <w:szCs w:val="28"/>
          <w:rtl/>
        </w:rPr>
        <w:t>هذه الفجوة تتجلى في التوزيع الجغرافي غير المتوازن للبحوث وعدم التطرق الكافي لدراسة الآثار الوسيطة المتعلقة بمؤشرات سلامة مثل سلوكيات السلامة وتقليل الأحداث الضارة</w:t>
      </w:r>
      <w:r w:rsidRPr="002E15D3">
        <w:rPr>
          <w:rFonts w:ascii="Traditional Arabic" w:hAnsi="Traditional Arabic" w:cs="Traditional Arabic"/>
          <w:sz w:val="28"/>
          <w:szCs w:val="28"/>
        </w:rPr>
        <w:t xml:space="preserve">. </w:t>
      </w:r>
    </w:p>
    <w:p w14:paraId="6618AD85" w14:textId="73EE3BC3" w:rsidR="000B0FA3" w:rsidRDefault="000B684B" w:rsidP="00132DA8">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تتمحور المشكلة الرئيسية للدراسة حول غياب الوضوح بشأن الآلية التي تؤثر بها القيادة التحويلية على سلوكيات السلامة وتقليل حدوث الأخطاء أو الحوادث الضارة داخل مستشفيات منطقة الجوف</w:t>
      </w:r>
      <w:r w:rsidRPr="002E15D3">
        <w:rPr>
          <w:rFonts w:ascii="Traditional Arabic" w:hAnsi="Traditional Arabic" w:cs="Traditional Arabic"/>
          <w:sz w:val="28"/>
          <w:szCs w:val="28"/>
        </w:rPr>
        <w:t xml:space="preserve">. </w:t>
      </w:r>
      <w:r w:rsidRPr="002E15D3">
        <w:rPr>
          <w:rFonts w:ascii="Traditional Arabic" w:hAnsi="Traditional Arabic" w:cs="Traditional Arabic"/>
          <w:sz w:val="28"/>
          <w:szCs w:val="28"/>
          <w:rtl/>
        </w:rPr>
        <w:t>برزت الحاجة الملحة لفهم الدور الذي تلعبه ثقافة السلامة كوسيط في هذه العلاقة، الأمر الذي يستوجب إجراء دراسة شاملة لسد هذه الفجوة المعرفية وتقديم حلول قابلة للتطبيق تعتمد على بيانات محلية دقيقة</w:t>
      </w:r>
      <w:r w:rsidRPr="002E15D3">
        <w:rPr>
          <w:rFonts w:ascii="Traditional Arabic" w:hAnsi="Traditional Arabic" w:cs="Traditional Arabic"/>
          <w:sz w:val="28"/>
          <w:szCs w:val="28"/>
        </w:rPr>
        <w:t>.</w:t>
      </w:r>
    </w:p>
    <w:p w14:paraId="67DC9E99" w14:textId="77777777" w:rsidR="00B85713" w:rsidRPr="002E15D3" w:rsidRDefault="00B85713" w:rsidP="00B85713">
      <w:pPr>
        <w:bidi/>
        <w:spacing w:line="360" w:lineRule="auto"/>
        <w:jc w:val="both"/>
        <w:rPr>
          <w:rFonts w:ascii="Traditional Arabic" w:hAnsi="Traditional Arabic" w:cs="Traditional Arabic"/>
          <w:sz w:val="28"/>
          <w:szCs w:val="28"/>
        </w:rPr>
      </w:pPr>
    </w:p>
    <w:p w14:paraId="71683001" w14:textId="77777777" w:rsidR="00E624E0" w:rsidRPr="00132DA8" w:rsidRDefault="00E624E0" w:rsidP="00E624E0">
      <w:pPr>
        <w:bidi/>
        <w:spacing w:line="360" w:lineRule="auto"/>
        <w:rPr>
          <w:rFonts w:ascii="Traditional Arabic" w:hAnsi="Traditional Arabic" w:cs="Traditional Arabic"/>
          <w:b/>
          <w:bCs/>
          <w:sz w:val="32"/>
          <w:szCs w:val="32"/>
          <w:rtl/>
        </w:rPr>
      </w:pPr>
      <w:r w:rsidRPr="00132DA8">
        <w:rPr>
          <w:rFonts w:ascii="Traditional Arabic" w:hAnsi="Traditional Arabic" w:cs="Traditional Arabic"/>
          <w:b/>
          <w:bCs/>
          <w:sz w:val="32"/>
          <w:szCs w:val="32"/>
          <w:rtl/>
        </w:rPr>
        <w:lastRenderedPageBreak/>
        <w:t>3. أسئلة الدراسة</w:t>
      </w:r>
    </w:p>
    <w:p w14:paraId="45067B97" w14:textId="77777777" w:rsidR="00E624E0" w:rsidRPr="002E15D3" w:rsidRDefault="00E624E0" w:rsidP="00E624E0">
      <w:p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3.1 السؤال الرئيسي للدراسة:</w:t>
      </w:r>
    </w:p>
    <w:p w14:paraId="20A052B4" w14:textId="77777777" w:rsidR="000B684B" w:rsidRPr="000B684B" w:rsidRDefault="000B684B" w:rsidP="000B684B">
      <w:pPr>
        <w:bidi/>
        <w:spacing w:line="360" w:lineRule="auto"/>
        <w:rPr>
          <w:rFonts w:ascii="Traditional Arabic" w:hAnsi="Traditional Arabic" w:cs="Traditional Arabic"/>
          <w:sz w:val="28"/>
          <w:szCs w:val="28"/>
        </w:rPr>
      </w:pPr>
      <w:r w:rsidRPr="000B684B">
        <w:rPr>
          <w:rFonts w:ascii="Traditional Arabic" w:hAnsi="Traditional Arabic" w:cs="Traditional Arabic"/>
          <w:sz w:val="28"/>
          <w:szCs w:val="28"/>
          <w:rtl/>
        </w:rPr>
        <w:t>ما هو تأثير القيادة التحويلية بأبعادها المتنوعة على تعزيز ثقافة السلامة داخل مستشفيات القطاع الحكومي في منطقة الجوف؟ وكيف تسهم ثقافة السلامة كعامل وسيط في العلاقة بين القيادة التحويلية وبين كل من سلوكيات السلامة والحد من وقوع الأحداث الضارة؟</w:t>
      </w:r>
    </w:p>
    <w:p w14:paraId="7D56C8F3" w14:textId="77777777" w:rsidR="00E624E0" w:rsidRPr="002E15D3" w:rsidRDefault="00E624E0" w:rsidP="00E624E0">
      <w:p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3.2 الأسئلة الفرعية:</w:t>
      </w:r>
    </w:p>
    <w:p w14:paraId="548993A1" w14:textId="77777777" w:rsidR="000B684B" w:rsidRPr="002E15D3" w:rsidRDefault="000B684B" w:rsidP="000B684B">
      <w:pPr>
        <w:pStyle w:val="a3"/>
        <w:numPr>
          <w:ilvl w:val="0"/>
          <w:numId w:val="97"/>
        </w:num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ما هو مدى تأثير أبعاد القيادة التحويلية في تعزيز وتطوير أبعاد ثقافة السلامة لدى العاملين في المستشفيات الحكومية الواقعة في منطقة الجوف؟</w:t>
      </w:r>
    </w:p>
    <w:p w14:paraId="4ADDB4CA" w14:textId="77777777" w:rsidR="000B684B" w:rsidRPr="002E15D3" w:rsidRDefault="000B684B" w:rsidP="000B684B">
      <w:pPr>
        <w:pStyle w:val="a3"/>
        <w:numPr>
          <w:ilvl w:val="0"/>
          <w:numId w:val="97"/>
        </w:num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 xml:space="preserve"> ما طبيعة العلاقة بين أبعاد ثقافة السلامة وتحسين سلوكيات السلامة من جهة، وتقليل معدل وشدة الأحداث الضارة من جهة أخرى، بين العاملين في المستشفيات الحكومية بمنطقة الجوف؟ </w:t>
      </w:r>
    </w:p>
    <w:p w14:paraId="4ADE9958" w14:textId="77777777" w:rsidR="000B684B" w:rsidRPr="002E15D3" w:rsidRDefault="000B684B" w:rsidP="000B684B">
      <w:pPr>
        <w:pStyle w:val="a3"/>
        <w:numPr>
          <w:ilvl w:val="0"/>
          <w:numId w:val="97"/>
        </w:num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 xml:space="preserve">ما حجم التأثير المباشر الذي تمارسه القيادة التحويلية على سلوكيات السلامة وتقليل معدل وشدة الأحداث الضارة بين العاملين في المستشفيات الحكومية بمنطقة الجوف؟ </w:t>
      </w:r>
    </w:p>
    <w:p w14:paraId="017B2ED8" w14:textId="77777777" w:rsidR="000B684B" w:rsidRPr="002E15D3" w:rsidRDefault="000B684B" w:rsidP="000B684B">
      <w:pPr>
        <w:pStyle w:val="a3"/>
        <w:numPr>
          <w:ilvl w:val="0"/>
          <w:numId w:val="97"/>
        </w:num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 xml:space="preserve">إلى أي حد تُمثّل أبعاد ثقافة السلامة عنصراً وسيطاً يُؤثر على العلاقة بين أبعاد القيادة التحويلية وسلوكيات السلامة داخل المستشفيات الحكومية بمنطقة الجوف؟ </w:t>
      </w:r>
    </w:p>
    <w:p w14:paraId="22E76CD3" w14:textId="0D230F54" w:rsidR="002E15D3" w:rsidRPr="00B85713" w:rsidRDefault="000B684B" w:rsidP="00B85713">
      <w:pPr>
        <w:pStyle w:val="a3"/>
        <w:numPr>
          <w:ilvl w:val="0"/>
          <w:numId w:val="97"/>
        </w:num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إلى أي مدى تلعب أبعاد ثقافة السلامة دوراً وسيطاً في العلاقة القائمة بين أبعاد القيادة التحويلية وتقليل معدل وشدة الأحداث الضارة في المستشفيات الحكومية ضمن منطقة الجوف؟</w:t>
      </w:r>
    </w:p>
    <w:p w14:paraId="544DFBC9" w14:textId="23FA7AEA" w:rsidR="001E6447" w:rsidRPr="002E15D3" w:rsidRDefault="001E6447" w:rsidP="001E6447">
      <w:pPr>
        <w:pStyle w:val="a8"/>
        <w:bidi/>
        <w:spacing w:line="360" w:lineRule="auto"/>
        <w:rPr>
          <w:rFonts w:ascii="Traditional Arabic" w:hAnsi="Traditional Arabic" w:cs="Traditional Arabic"/>
          <w:b/>
          <w:bCs/>
          <w:color w:val="000000"/>
          <w:sz w:val="28"/>
          <w:szCs w:val="28"/>
          <w:rtl/>
        </w:rPr>
      </w:pPr>
      <w:r w:rsidRPr="002E15D3">
        <w:rPr>
          <w:rFonts w:ascii="Traditional Arabic" w:hAnsi="Traditional Arabic" w:cs="Traditional Arabic"/>
          <w:b/>
          <w:bCs/>
          <w:color w:val="000000"/>
          <w:sz w:val="32"/>
          <w:szCs w:val="32"/>
          <w:rtl/>
        </w:rPr>
        <w:t>3. أهمية الدراسة</w:t>
      </w:r>
    </w:p>
    <w:p w14:paraId="28B0E2D1" w14:textId="42E96673" w:rsidR="001E6447" w:rsidRPr="002E15D3" w:rsidRDefault="0077321B" w:rsidP="000E42D6">
      <w:pPr>
        <w:pStyle w:val="a8"/>
        <w:bidi/>
        <w:spacing w:line="360" w:lineRule="auto"/>
        <w:jc w:val="both"/>
        <w:rPr>
          <w:rFonts w:ascii="Traditional Arabic" w:hAnsi="Traditional Arabic" w:cs="Traditional Arabic"/>
          <w:color w:val="000000"/>
          <w:sz w:val="28"/>
          <w:szCs w:val="28"/>
          <w:rtl/>
        </w:rPr>
      </w:pPr>
      <w:r w:rsidRPr="0077321B">
        <w:rPr>
          <w:rFonts w:ascii="Traditional Arabic" w:hAnsi="Traditional Arabic" w:cs="Traditional Arabic"/>
          <w:color w:val="000000"/>
          <w:sz w:val="28"/>
          <w:szCs w:val="28"/>
          <w:rtl/>
        </w:rPr>
        <w:t>تكتسب هذه الدراسة أهمية كبيرة من خلال تركيزها على تحليل دور القيادة الفعّالة في تعزيز سلامة المرضى، مع تقديم إطار عمل نظري وتطبيقي شامل</w:t>
      </w:r>
      <w:r w:rsidRPr="0077321B">
        <w:rPr>
          <w:rFonts w:ascii="Traditional Arabic" w:hAnsi="Traditional Arabic" w:cs="Traditional Arabic"/>
          <w:color w:val="000000"/>
          <w:sz w:val="28"/>
          <w:szCs w:val="28"/>
        </w:rPr>
        <w:t xml:space="preserve">. </w:t>
      </w:r>
      <w:r w:rsidRPr="0077321B">
        <w:rPr>
          <w:rFonts w:ascii="Traditional Arabic" w:hAnsi="Traditional Arabic" w:cs="Traditional Arabic"/>
          <w:color w:val="000000"/>
          <w:sz w:val="28"/>
          <w:szCs w:val="28"/>
          <w:rtl/>
        </w:rPr>
        <w:t xml:space="preserve">تزداد أهمية الدراسة تحديداً في سياق </w:t>
      </w:r>
      <w:r w:rsidRPr="002E15D3">
        <w:rPr>
          <w:rFonts w:ascii="Traditional Arabic" w:hAnsi="Traditional Arabic" w:cs="Traditional Arabic"/>
          <w:color w:val="000000"/>
          <w:sz w:val="28"/>
          <w:szCs w:val="28"/>
          <w:rtl/>
        </w:rPr>
        <w:t>المستشفيات في</w:t>
      </w:r>
      <w:r w:rsidRPr="0077321B">
        <w:rPr>
          <w:rFonts w:ascii="Traditional Arabic" w:hAnsi="Traditional Arabic" w:cs="Traditional Arabic"/>
          <w:color w:val="000000"/>
          <w:sz w:val="28"/>
          <w:szCs w:val="28"/>
          <w:rtl/>
        </w:rPr>
        <w:t xml:space="preserve"> القطاع الحكومي بالمملكة العربية السعودية، والذي يُعد بمثابة ركيزة أساسية لتحقيق أهداف رؤية 2030 وبرنامج تحول القطاع الصحي. في ظل التقدم الملحوظ في الإجراءات الطبية وتعقيداتها المتزايدة</w:t>
      </w:r>
      <w:r w:rsidR="002E6AD0">
        <w:rPr>
          <w:rFonts w:ascii="Traditional Arabic" w:hAnsi="Traditional Arabic" w:cs="Traditional Arabic" w:hint="cs"/>
          <w:color w:val="000000"/>
          <w:sz w:val="28"/>
          <w:szCs w:val="28"/>
          <w:rtl/>
        </w:rPr>
        <w:t xml:space="preserve"> </w:t>
      </w:r>
      <w:r w:rsidR="002E6AD0">
        <w:rPr>
          <w:rFonts w:ascii="Traditional Arabic" w:hAnsi="Traditional Arabic" w:cs="Traditional Arabic"/>
          <w:color w:val="000000"/>
          <w:sz w:val="28"/>
          <w:szCs w:val="28"/>
          <w:rtl/>
        </w:rPr>
        <w:fldChar w:fldCharType="begin"/>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ADDIN EN.CITE &lt;EndNote&gt;&lt;Cite&gt;&lt;Author&gt;Mohammed&lt;/Author&gt;&lt;Year&gt;2025&lt;/Year&gt;&lt;RecNum&gt;144&lt;/RecNum&gt;&lt;DisplayText&gt;(Mohammed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w:instrText>
      </w:r>
      <w:r w:rsidR="002E6AD0">
        <w:rPr>
          <w:rFonts w:ascii="Traditional Arabic" w:hAnsi="Traditional Arabic" w:cs="Traditional Arabic"/>
          <w:color w:val="000000"/>
          <w:sz w:val="28"/>
          <w:szCs w:val="28"/>
          <w:rtl/>
        </w:rPr>
        <w:instrText>&gt;&lt;</w:instrText>
      </w:r>
      <w:r w:rsidR="002E6AD0">
        <w:rPr>
          <w:rFonts w:ascii="Traditional Arabic" w:hAnsi="Traditional Arabic" w:cs="Traditional Arabic"/>
          <w:color w:val="000000"/>
          <w:sz w:val="28"/>
          <w:szCs w:val="28"/>
        </w:rPr>
        <w:instrTex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Commitment&lt;/title&gt;&lt;/titles&gt;&lt;dates&gt;&lt;year&gt;2025&lt;/year&gt;&lt;/dates&gt;&lt;accession-num&gt;article&lt;/accession-num&gt;&lt;urls&gt;&lt;/urls&gt;&lt;/record&gt;&lt;/Cite&gt;&lt;/EndNote</w:instrText>
      </w:r>
      <w:r w:rsidR="002E6AD0">
        <w:rPr>
          <w:rFonts w:ascii="Traditional Arabic" w:hAnsi="Traditional Arabic" w:cs="Traditional Arabic"/>
          <w:color w:val="000000"/>
          <w:sz w:val="28"/>
          <w:szCs w:val="28"/>
          <w:rtl/>
        </w:rPr>
        <w:instrText>&gt;</w:instrText>
      </w:r>
      <w:r w:rsidR="002E6AD0">
        <w:rPr>
          <w:rFonts w:ascii="Traditional Arabic" w:hAnsi="Traditional Arabic" w:cs="Traditional Arabic"/>
          <w:color w:val="000000"/>
          <w:sz w:val="28"/>
          <w:szCs w:val="28"/>
          <w:rtl/>
        </w:rPr>
        <w:fldChar w:fldCharType="separate"/>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noProof/>
          <w:color w:val="000000"/>
          <w:sz w:val="28"/>
          <w:szCs w:val="28"/>
        </w:rPr>
        <w:t>Mohammed et al., 2025</w:t>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color w:val="000000"/>
          <w:sz w:val="28"/>
          <w:szCs w:val="28"/>
          <w:rtl/>
        </w:rPr>
        <w:fldChar w:fldCharType="end"/>
      </w:r>
      <w:r w:rsidRPr="0077321B">
        <w:rPr>
          <w:rFonts w:ascii="Traditional Arabic" w:hAnsi="Traditional Arabic" w:cs="Traditional Arabic"/>
          <w:color w:val="000000"/>
          <w:sz w:val="28"/>
          <w:szCs w:val="28"/>
          <w:rtl/>
        </w:rPr>
        <w:t>، تصبح قضايا سلامة المرضى مسألة ذات أولوية قصوى</w:t>
      </w:r>
      <w:r w:rsidR="002E6AD0">
        <w:rPr>
          <w:rFonts w:ascii="Traditional Arabic" w:hAnsi="Traditional Arabic" w:cs="Traditional Arabic"/>
          <w:color w:val="000000"/>
          <w:sz w:val="28"/>
          <w:szCs w:val="28"/>
          <w:rtl/>
        </w:rPr>
        <w:fldChar w:fldCharType="begin"/>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ADDIN EN.CITE &lt;EndNote&gt;&lt;Cite&gt;&lt;Author&gt;Shenoy&lt;/Author&gt;&lt;Year&gt;2021&lt;/Year&gt;&lt;RecNum&gt;246&lt;/RecNum&gt;&lt;DisplayText&gt;(Shenoy, 2021)&lt;/DisplayText&gt;&lt;record&gt;&lt;rec-number&gt;246&lt;/rec-number&gt;&lt;foreign-keys&gt;&lt;key app="EN" db-id="02retxxrerxdxhe9aphvs0z2t9z25p0ew99s" timestamp="1762</w:instrText>
      </w:r>
      <w:r w:rsidR="002E6AD0">
        <w:rPr>
          <w:rFonts w:ascii="Traditional Arabic" w:hAnsi="Traditional Arabic" w:cs="Traditional Arabic"/>
          <w:color w:val="000000"/>
          <w:sz w:val="28"/>
          <w:szCs w:val="28"/>
          <w:rtl/>
        </w:rPr>
        <w:instrText>443774"&gt;246&lt;/</w:instrText>
      </w:r>
      <w:r w:rsidR="002E6AD0">
        <w:rPr>
          <w:rFonts w:ascii="Traditional Arabic" w:hAnsi="Traditional Arabic" w:cs="Traditional Arabic"/>
          <w:color w:val="000000"/>
          <w:sz w:val="28"/>
          <w:szCs w:val="28"/>
        </w:rPr>
        <w:instrTex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w:instrText>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Surg&lt;/secondary-title&gt;&lt;/titles&gt;&lt;periodical&gt;&lt;full-title&gt;Patient Saf Surg&lt;/full-title&gt;&lt;/periodical&gt;&lt;pages&gt;12&lt;/pages&gt;&lt;volume&gt;15&lt;/volume&gt;&lt;number&gt;1&lt;/number&gt;&lt;edition&gt;2021/03/24&lt;/edition&gt;&lt;keywords&gt;&lt;keyword&gt;High-quality clinical care&lt;/keyword&gt;&lt;keyword&gt;IHI&amp;apos;s</w:instrText>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w:instrText>
      </w:r>
      <w:r w:rsidR="002E6AD0">
        <w:rPr>
          <w:rFonts w:ascii="Traditional Arabic" w:hAnsi="Traditional Arabic" w:cs="Traditional Arabic"/>
          <w:color w:val="000000"/>
          <w:sz w:val="28"/>
          <w:szCs w:val="28"/>
          <w:rtl/>
        </w:rPr>
        <w:instrText>83197&lt;/</w:instrText>
      </w:r>
      <w:r w:rsidR="002E6AD0">
        <w:rPr>
          <w:rFonts w:ascii="Traditional Arabic" w:hAnsi="Traditional Arabic" w:cs="Traditional Arabic"/>
          <w:color w:val="000000"/>
          <w:sz w:val="28"/>
          <w:szCs w:val="28"/>
        </w:rPr>
        <w:instrText>custom2&gt;&lt;electronic-resource-num&gt;10.1186/s13037-021-00286-6&lt;/electronic-resource-num&gt;&lt;/record&gt;&lt;/Cite&gt;&lt;/EndNote</w:instrText>
      </w:r>
      <w:r w:rsidR="002E6AD0">
        <w:rPr>
          <w:rFonts w:ascii="Traditional Arabic" w:hAnsi="Traditional Arabic" w:cs="Traditional Arabic"/>
          <w:color w:val="000000"/>
          <w:sz w:val="28"/>
          <w:szCs w:val="28"/>
          <w:rtl/>
        </w:rPr>
        <w:instrText>&gt;</w:instrText>
      </w:r>
      <w:r w:rsidR="002E6AD0">
        <w:rPr>
          <w:rFonts w:ascii="Traditional Arabic" w:hAnsi="Traditional Arabic" w:cs="Traditional Arabic"/>
          <w:color w:val="000000"/>
          <w:sz w:val="28"/>
          <w:szCs w:val="28"/>
          <w:rtl/>
        </w:rPr>
        <w:fldChar w:fldCharType="separate"/>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noProof/>
          <w:color w:val="000000"/>
          <w:sz w:val="28"/>
          <w:szCs w:val="28"/>
        </w:rPr>
        <w:t>Shenoy, 2021</w:t>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color w:val="000000"/>
          <w:sz w:val="28"/>
          <w:szCs w:val="28"/>
          <w:rtl/>
        </w:rPr>
        <w:fldChar w:fldCharType="end"/>
      </w:r>
      <w:r w:rsidRPr="0077321B">
        <w:rPr>
          <w:rFonts w:ascii="Traditional Arabic" w:hAnsi="Traditional Arabic" w:cs="Traditional Arabic"/>
          <w:color w:val="000000"/>
          <w:sz w:val="28"/>
          <w:szCs w:val="28"/>
          <w:rtl/>
        </w:rPr>
        <w:t xml:space="preserve">. لذا، تسهم هذه الدراسة في تعزيز ضمان تقديم الرعاية الصحية الآمنة والفعّالة </w:t>
      </w:r>
      <w:r w:rsidR="000E42D6" w:rsidRPr="002E15D3">
        <w:rPr>
          <w:rFonts w:ascii="Traditional Arabic" w:hAnsi="Traditional Arabic" w:cs="Traditional Arabic"/>
          <w:color w:val="000000"/>
          <w:sz w:val="28"/>
          <w:szCs w:val="28"/>
          <w:rtl/>
        </w:rPr>
        <w:t>وتنقسم</w:t>
      </w:r>
      <w:r w:rsidR="001E6447" w:rsidRPr="002E15D3">
        <w:rPr>
          <w:rFonts w:ascii="Traditional Arabic" w:hAnsi="Traditional Arabic" w:cs="Traditional Arabic"/>
          <w:color w:val="000000"/>
          <w:sz w:val="28"/>
          <w:szCs w:val="28"/>
          <w:rtl/>
        </w:rPr>
        <w:t xml:space="preserve"> أهمية الدراسة إلى محورين رئيسيين:</w:t>
      </w:r>
    </w:p>
    <w:p w14:paraId="2D6FF809" w14:textId="77777777" w:rsidR="000B0FA3" w:rsidRPr="002E15D3" w:rsidRDefault="001E6447" w:rsidP="000B0FA3">
      <w:pPr>
        <w:pStyle w:val="a8"/>
        <w:bidi/>
        <w:spacing w:line="360" w:lineRule="auto"/>
        <w:rPr>
          <w:rFonts w:ascii="Traditional Arabic" w:hAnsi="Traditional Arabic" w:cs="Traditional Arabic"/>
          <w:b/>
          <w:bCs/>
          <w:color w:val="000000"/>
          <w:sz w:val="28"/>
          <w:szCs w:val="28"/>
          <w:rtl/>
        </w:rPr>
      </w:pPr>
      <w:r w:rsidRPr="002E15D3">
        <w:rPr>
          <w:rFonts w:ascii="Traditional Arabic" w:hAnsi="Traditional Arabic" w:cs="Traditional Arabic"/>
          <w:b/>
          <w:bCs/>
          <w:color w:val="000000"/>
          <w:sz w:val="28"/>
          <w:szCs w:val="28"/>
          <w:rtl/>
        </w:rPr>
        <w:lastRenderedPageBreak/>
        <w:t>3.1 الأهمية النظرية (العلمية)</w:t>
      </w:r>
    </w:p>
    <w:p w14:paraId="66C28225" w14:textId="0EAA118D" w:rsidR="000E42D6" w:rsidRPr="002E15D3" w:rsidRDefault="000E42D6" w:rsidP="000B0FA3">
      <w:pPr>
        <w:pStyle w:val="a8"/>
        <w:bidi/>
        <w:spacing w:line="360" w:lineRule="auto"/>
        <w:rPr>
          <w:rFonts w:ascii="Traditional Arabic" w:hAnsi="Traditional Arabic" w:cs="Traditional Arabic"/>
          <w:color w:val="000000"/>
          <w:sz w:val="28"/>
          <w:szCs w:val="28"/>
        </w:rPr>
      </w:pPr>
      <w:r w:rsidRPr="002E15D3">
        <w:rPr>
          <w:rFonts w:ascii="Traditional Arabic" w:hAnsi="Traditional Arabic" w:cs="Traditional Arabic"/>
          <w:color w:val="000000"/>
          <w:sz w:val="28"/>
          <w:szCs w:val="28"/>
          <w:rtl/>
        </w:rPr>
        <w:t>تقدم هذه الدراسة إسهامات نوعية ومتميزة في الحقل الأكاديمي والبحوث التنظيمية ضمن قطاع الرعاية الصحية، وتتجسد هذه الإسهامات في النقاط التالية</w:t>
      </w:r>
      <w:r w:rsidRPr="002E15D3">
        <w:rPr>
          <w:rFonts w:ascii="Traditional Arabic" w:hAnsi="Traditional Arabic" w:cs="Traditional Arabic"/>
          <w:color w:val="000000"/>
          <w:sz w:val="28"/>
          <w:szCs w:val="28"/>
        </w:rPr>
        <w:t xml:space="preserve">: </w:t>
      </w:r>
    </w:p>
    <w:p w14:paraId="08F7527C" w14:textId="629C5BCD" w:rsidR="000E42D6" w:rsidRPr="002E15D3" w:rsidRDefault="000E42D6" w:rsidP="000E42D6">
      <w:pPr>
        <w:pStyle w:val="a8"/>
        <w:numPr>
          <w:ilvl w:val="0"/>
          <w:numId w:val="98"/>
        </w:numPr>
        <w:bidi/>
        <w:spacing w:line="360" w:lineRule="auto"/>
        <w:jc w:val="both"/>
        <w:rPr>
          <w:rFonts w:ascii="Traditional Arabic" w:hAnsi="Traditional Arabic" w:cs="Traditional Arabic"/>
          <w:color w:val="000000"/>
          <w:sz w:val="28"/>
          <w:szCs w:val="28"/>
        </w:rPr>
      </w:pPr>
      <w:r w:rsidRPr="002E15D3">
        <w:rPr>
          <w:rFonts w:ascii="Traditional Arabic" w:hAnsi="Traditional Arabic" w:cs="Traditional Arabic"/>
          <w:b/>
          <w:bCs/>
          <w:color w:val="000000"/>
          <w:sz w:val="28"/>
          <w:szCs w:val="28"/>
          <w:rtl/>
        </w:rPr>
        <w:t>اختبار نموذج التوسيط المتتالي المتكامل</w:t>
      </w:r>
      <w:r w:rsidRPr="002E15D3">
        <w:rPr>
          <w:rFonts w:ascii="Traditional Arabic" w:hAnsi="Traditional Arabic" w:cs="Traditional Arabic"/>
          <w:b/>
          <w:bCs/>
          <w:color w:val="000000"/>
          <w:sz w:val="28"/>
          <w:szCs w:val="28"/>
        </w:rPr>
        <w:t xml:space="preserve">: </w:t>
      </w:r>
      <w:r w:rsidRPr="002E15D3">
        <w:rPr>
          <w:rFonts w:ascii="Traditional Arabic" w:hAnsi="Traditional Arabic" w:cs="Traditional Arabic"/>
          <w:color w:val="000000"/>
          <w:sz w:val="28"/>
          <w:szCs w:val="28"/>
          <w:rtl/>
        </w:rPr>
        <w:t>تشكل هذه الدراسة إسهاماً أصيلاً في تطوير الأطر النظرية لعلوم الإدارة الصحية، إذ تستهدف اختبار نموذج مفاهيمي متسلسل وشامل في سياق المستشفيات الحكومية في المملكة العربية السعودية. يتم ذلك من خلال تحليل العلاقة التسلسلية بين القيادة التحويلية، ثقافة السلامة، السلوكيات المرتبطة بالسلامة، وتقليل حدوث الأحداث الضارة. هذا النهج التكاملي يسد فجوة معرفية واضحة تتعلق بفهم الآليات الوسيطة المعقدة التي تُسهم من خلالها القيادة في تعزيز السلامة التنظيمية</w:t>
      </w:r>
      <w:r w:rsidRPr="002E15D3">
        <w:rPr>
          <w:rFonts w:ascii="Traditional Arabic" w:hAnsi="Traditional Arabic" w:cs="Traditional Arabic"/>
          <w:color w:val="000000"/>
          <w:sz w:val="28"/>
          <w:szCs w:val="28"/>
        </w:rPr>
        <w:t>.</w:t>
      </w:r>
    </w:p>
    <w:p w14:paraId="1B7AC438" w14:textId="3BADC145" w:rsidR="000E42D6" w:rsidRPr="002E15D3" w:rsidRDefault="000E42D6" w:rsidP="000E42D6">
      <w:pPr>
        <w:pStyle w:val="a8"/>
        <w:numPr>
          <w:ilvl w:val="0"/>
          <w:numId w:val="98"/>
        </w:numPr>
        <w:bidi/>
        <w:spacing w:line="360" w:lineRule="auto"/>
        <w:jc w:val="both"/>
        <w:rPr>
          <w:rFonts w:ascii="Traditional Arabic" w:hAnsi="Traditional Arabic" w:cs="Traditional Arabic"/>
          <w:color w:val="000000"/>
          <w:sz w:val="28"/>
          <w:szCs w:val="28"/>
        </w:rPr>
      </w:pPr>
      <w:r w:rsidRPr="002E15D3">
        <w:rPr>
          <w:rFonts w:ascii="Traditional Arabic" w:hAnsi="Traditional Arabic" w:cs="Traditional Arabic"/>
          <w:b/>
          <w:bCs/>
          <w:color w:val="000000"/>
          <w:sz w:val="28"/>
          <w:szCs w:val="28"/>
        </w:rPr>
        <w:t xml:space="preserve"> </w:t>
      </w:r>
      <w:r w:rsidRPr="002E15D3">
        <w:rPr>
          <w:rFonts w:ascii="Traditional Arabic" w:hAnsi="Traditional Arabic" w:cs="Traditional Arabic"/>
          <w:b/>
          <w:bCs/>
          <w:color w:val="000000"/>
          <w:sz w:val="28"/>
          <w:szCs w:val="28"/>
          <w:rtl/>
        </w:rPr>
        <w:t>تعميق فهم المتغيرات في السياق المحلي</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تسعى الدراسة إلى تعزيز قاعدة المعرفة الأكاديمية عبر تقديم أدلة تجريبية ضمن السياق السعودي، مما يساهم في إثراء الدراسات المتعلقة بتأثيرات القيادة التحويلية على الأداء في القطاع الصحي داخل المملكة. البحث يركز على التحليل الدقيق لأبعاد القيادة التحويلية وثقافة السلامة، مع دراسة التأثيرات المباشرة وغير المباشرة بين هذه الأبعاد الفرعية في البيئة المحلية، كما وضحته الدراسات السابقة مثل</w:t>
      </w:r>
      <w:r w:rsidRPr="002E15D3">
        <w:rPr>
          <w:rFonts w:ascii="Traditional Arabic" w:hAnsi="Traditional Arabic" w:cs="Traditional Arabic"/>
          <w:color w:val="000000"/>
          <w:sz w:val="28"/>
          <w:szCs w:val="28"/>
        </w:rPr>
        <w:t xml:space="preserve"> </w:t>
      </w:r>
      <w:r w:rsidR="002E6AD0">
        <w:rPr>
          <w:rFonts w:ascii="Traditional Arabic" w:hAnsi="Traditional Arabic" w:cs="Traditional Arabic"/>
          <w:color w:val="000000"/>
          <w:sz w:val="28"/>
          <w:szCs w:val="28"/>
        </w:rPr>
        <w:fldChar w:fldCharType="begin"/>
      </w:r>
      <w:r w:rsidR="002E6AD0">
        <w:rPr>
          <w:rFonts w:ascii="Traditional Arabic" w:hAnsi="Traditional Arabic" w:cs="Traditional Arabic"/>
          <w:color w:val="000000"/>
          <w:sz w:val="28"/>
          <w:szCs w:val="28"/>
        </w:rPr>
        <w:instrText xml:space="preserve"> ADDIN EN.CITE &lt;EndNote&gt;&lt;Cite&gt;&lt;Author&gt;Khirfan&lt;/Author&gt;&lt;Year&gt;2022&lt;/Year&gt;&lt;RecNum&gt;180&lt;/RecNum&gt;&lt;DisplayText&gt;(Khirfan &amp;amp; Abd Aziz, 2022)&lt;/DisplayText&gt;&lt;record&gt;&lt;rec-number&gt;180&lt;/rec-number&gt;&lt;foreign-keys&gt;&lt;key app="EN" db-id="02retxxrerxdxhe9aphvs0z2t9z25p0ew99s" 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gt;</w:instrText>
      </w:r>
      <w:r w:rsidR="002E6AD0">
        <w:rPr>
          <w:rFonts w:ascii="Traditional Arabic" w:hAnsi="Traditional Arabic" w:cs="Traditional Arabic"/>
          <w:color w:val="000000"/>
          <w:sz w:val="28"/>
          <w:szCs w:val="28"/>
        </w:rPr>
        <w:fldChar w:fldCharType="separate"/>
      </w:r>
      <w:r w:rsidR="002E6AD0">
        <w:rPr>
          <w:rFonts w:ascii="Traditional Arabic" w:hAnsi="Traditional Arabic" w:cs="Traditional Arabic"/>
          <w:noProof/>
          <w:color w:val="000000"/>
          <w:sz w:val="28"/>
          <w:szCs w:val="28"/>
        </w:rPr>
        <w:t>(Khirfan &amp; Abd Aziz, 2022)</w:t>
      </w:r>
      <w:r w:rsidR="002E6AD0">
        <w:rPr>
          <w:rFonts w:ascii="Traditional Arabic" w:hAnsi="Traditional Arabic" w:cs="Traditional Arabic"/>
          <w:color w:val="000000"/>
          <w:sz w:val="28"/>
          <w:szCs w:val="28"/>
        </w:rPr>
        <w:fldChar w:fldCharType="end"/>
      </w:r>
      <w:r w:rsidR="002E6AD0">
        <w:rPr>
          <w:rFonts w:ascii="Traditional Arabic" w:hAnsi="Traditional Arabic" w:cs="Traditional Arabic" w:hint="cs"/>
          <w:color w:val="000000"/>
          <w:sz w:val="28"/>
          <w:szCs w:val="28"/>
          <w:rtl/>
        </w:rPr>
        <w:t>.</w:t>
      </w:r>
    </w:p>
    <w:p w14:paraId="0FC3ADD8" w14:textId="5D9A49EC" w:rsidR="000E42D6" w:rsidRPr="002E15D3" w:rsidRDefault="000E42D6" w:rsidP="000E42D6">
      <w:pPr>
        <w:pStyle w:val="a8"/>
        <w:numPr>
          <w:ilvl w:val="0"/>
          <w:numId w:val="98"/>
        </w:numPr>
        <w:bidi/>
        <w:spacing w:line="360" w:lineRule="auto"/>
        <w:jc w:val="both"/>
        <w:rPr>
          <w:rFonts w:ascii="Traditional Arabic" w:hAnsi="Traditional Arabic" w:cs="Traditional Arabic"/>
          <w:color w:val="000000"/>
          <w:sz w:val="28"/>
          <w:szCs w:val="28"/>
        </w:rPr>
      </w:pPr>
      <w:r w:rsidRPr="002E15D3">
        <w:rPr>
          <w:rFonts w:ascii="Traditional Arabic" w:hAnsi="Traditional Arabic" w:cs="Traditional Arabic"/>
          <w:b/>
          <w:bCs/>
          <w:color w:val="000000"/>
          <w:sz w:val="28"/>
          <w:szCs w:val="28"/>
          <w:rtl/>
        </w:rPr>
        <w:t>إثراء الأدبيات المنهجية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تساهم هذه الدراسة في تعزيز الإطار النظري من خلال تبني منهجية نمذجة المعادلات الهيكلية</w:t>
      </w:r>
      <w:r w:rsidRPr="002E15D3">
        <w:rPr>
          <w:rFonts w:ascii="Traditional Arabic" w:hAnsi="Traditional Arabic" w:cs="Traditional Arabic"/>
          <w:color w:val="000000"/>
          <w:sz w:val="28"/>
          <w:szCs w:val="28"/>
        </w:rPr>
        <w:t xml:space="preserve"> (SEM)</w:t>
      </w:r>
      <w:r w:rsidRPr="002E15D3">
        <w:rPr>
          <w:rFonts w:ascii="Traditional Arabic" w:hAnsi="Traditional Arabic" w:cs="Traditional Arabic"/>
          <w:color w:val="000000"/>
          <w:sz w:val="28"/>
          <w:szCs w:val="28"/>
          <w:rtl/>
        </w:rPr>
        <w:t>، مما يرفع من دقة ومصداقية النتائج الأكاديمية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توفر هذه المنهجية نموذجاً تحليلياً متقدماً يسمح باختبار قوة العلاقات البينية والمسارات الوسيطة بمستوى عالٍ من العمق والدقة في إطار البحوث المتعلقة بمجالي القيادة والسلامة.</w:t>
      </w:r>
    </w:p>
    <w:p w14:paraId="7CEAEA79" w14:textId="2A82EE98" w:rsidR="000E42D6" w:rsidRPr="002E15D3" w:rsidRDefault="000E42D6" w:rsidP="000E42D6">
      <w:pPr>
        <w:pStyle w:val="a8"/>
        <w:numPr>
          <w:ilvl w:val="0"/>
          <w:numId w:val="98"/>
        </w:numPr>
        <w:bidi/>
        <w:spacing w:line="360" w:lineRule="auto"/>
        <w:jc w:val="both"/>
        <w:rPr>
          <w:rFonts w:ascii="Traditional Arabic" w:hAnsi="Traditional Arabic" w:cs="Traditional Arabic"/>
          <w:color w:val="000000"/>
          <w:sz w:val="28"/>
          <w:szCs w:val="28"/>
        </w:rPr>
      </w:pPr>
      <w:r w:rsidRPr="002E15D3">
        <w:rPr>
          <w:rFonts w:ascii="Traditional Arabic" w:hAnsi="Traditional Arabic" w:cs="Traditional Arabic"/>
          <w:b/>
          <w:bCs/>
          <w:color w:val="000000"/>
          <w:sz w:val="28"/>
          <w:szCs w:val="28"/>
          <w:rtl/>
        </w:rPr>
        <w:t>تقليص الفجوة الجغرافية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تأتي أهمية هذه الدراسة من مساهمتها الجوهرية في سد الفجوة البحثية التي تخص منطقة الجوف بالمملكة العربية السعودية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ورغم الأهمية الإقليمية لهذه المنطقة وتأثيرها الكبير على شريحة واسعة من المستفيدين، لم تحصل حتى الآن على الاهتمام البحثي الكافي، مما يبرز القيمة الإضافية التي تقدمها الدراسة للمعرفة العلمية حول هذا السياق الجغرافي.</w:t>
      </w:r>
    </w:p>
    <w:p w14:paraId="5438D610" w14:textId="5B320F54" w:rsidR="001E6447" w:rsidRPr="002E15D3" w:rsidRDefault="001E6447" w:rsidP="000E42D6">
      <w:pPr>
        <w:pStyle w:val="a8"/>
        <w:bidi/>
        <w:spacing w:line="360" w:lineRule="auto"/>
        <w:ind w:left="90"/>
        <w:rPr>
          <w:rFonts w:ascii="Traditional Arabic" w:hAnsi="Traditional Arabic" w:cs="Traditional Arabic"/>
          <w:b/>
          <w:bCs/>
          <w:color w:val="000000"/>
          <w:sz w:val="28"/>
          <w:szCs w:val="28"/>
          <w:rtl/>
        </w:rPr>
      </w:pPr>
      <w:r w:rsidRPr="002E15D3">
        <w:rPr>
          <w:rFonts w:ascii="Traditional Arabic" w:hAnsi="Traditional Arabic" w:cs="Traditional Arabic"/>
          <w:b/>
          <w:bCs/>
          <w:color w:val="000000"/>
          <w:sz w:val="28"/>
          <w:szCs w:val="28"/>
          <w:rtl/>
        </w:rPr>
        <w:t>3.2 الأهمية التطبيقية (العملية)</w:t>
      </w:r>
    </w:p>
    <w:p w14:paraId="7AC49312" w14:textId="7325026D" w:rsidR="00EB4C9D" w:rsidRPr="002E15D3" w:rsidRDefault="00EB4C9D" w:rsidP="00EB4C9D">
      <w:pPr>
        <w:pStyle w:val="a8"/>
        <w:bidi/>
        <w:spacing w:line="360" w:lineRule="auto"/>
        <w:rPr>
          <w:rFonts w:ascii="Traditional Arabic" w:hAnsi="Traditional Arabic" w:cs="Traditional Arabic"/>
          <w:color w:val="000000"/>
          <w:sz w:val="28"/>
          <w:szCs w:val="28"/>
          <w:rtl/>
        </w:rPr>
      </w:pPr>
      <w:r w:rsidRPr="002E15D3">
        <w:rPr>
          <w:rFonts w:ascii="Traditional Arabic" w:hAnsi="Traditional Arabic" w:cs="Traditional Arabic"/>
          <w:color w:val="000000"/>
          <w:sz w:val="28"/>
          <w:szCs w:val="28"/>
          <w:rtl/>
        </w:rPr>
        <w:t>تتمثل القيمة التطبيقية لهذه الدراسة في تقديم إرشادات عملية ومنهجية يمكن أن يستفيد منها صناع القرار والقادة بشكل مباشر لتعزيز كفاءة القطاع الصحي. وتتلخص الفوائد التطبيقية للدراسة في النقاط التالية:</w:t>
      </w:r>
    </w:p>
    <w:p w14:paraId="4D861E73" w14:textId="2D4B0E0D" w:rsidR="00EB4C9D" w:rsidRPr="002E15D3" w:rsidRDefault="00EB4C9D" w:rsidP="00EB4C9D">
      <w:pPr>
        <w:pStyle w:val="a8"/>
        <w:numPr>
          <w:ilvl w:val="0"/>
          <w:numId w:val="99"/>
        </w:numPr>
        <w:bidi/>
        <w:spacing w:line="360" w:lineRule="auto"/>
        <w:jc w:val="both"/>
        <w:rPr>
          <w:rFonts w:ascii="Traditional Arabic" w:hAnsi="Traditional Arabic" w:cs="Traditional Arabic"/>
          <w:b/>
          <w:bCs/>
          <w:color w:val="000000"/>
          <w:sz w:val="32"/>
          <w:szCs w:val="32"/>
        </w:rPr>
      </w:pPr>
      <w:r w:rsidRPr="002E15D3">
        <w:rPr>
          <w:rFonts w:ascii="Traditional Arabic" w:hAnsi="Traditional Arabic" w:cs="Traditional Arabic"/>
          <w:b/>
          <w:bCs/>
          <w:color w:val="000000"/>
          <w:sz w:val="28"/>
          <w:szCs w:val="28"/>
          <w:rtl/>
        </w:rPr>
        <w:lastRenderedPageBreak/>
        <w:t>دعم تحقيق الأهداف الاستراتيجية لرؤية 2030</w:t>
      </w:r>
      <w:r w:rsidRPr="002E15D3">
        <w:rPr>
          <w:rFonts w:ascii="Traditional Arabic" w:hAnsi="Traditional Arabic" w:cs="Traditional Arabic"/>
          <w:b/>
          <w:bCs/>
          <w:color w:val="000000"/>
          <w:sz w:val="28"/>
          <w:szCs w:val="28"/>
        </w:rPr>
        <w:t xml:space="preserve">: </w:t>
      </w:r>
      <w:r w:rsidRPr="002E15D3">
        <w:rPr>
          <w:rFonts w:ascii="Traditional Arabic" w:hAnsi="Traditional Arabic" w:cs="Traditional Arabic"/>
          <w:color w:val="000000"/>
          <w:sz w:val="28"/>
          <w:szCs w:val="28"/>
          <w:rtl/>
        </w:rPr>
        <w:t>توفر الدراسة قاعدة بيانات محلية دقيقة وموثوقة تسهم في تحقيق أهداف برنامج تحول القطاع الصحي في إطار رؤية 2030</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وتُبرز الدراسة خريطة طريق واضحة المعالم لتحسين جودة الخدمات الصحية وضمان سلامة المرضى، مما يعزز التكامل مع الجهود الوطنية الرامية إلى رفع كفاءة النظام الصحي وتحقيق تطلعات الرؤية الاستراتيجية</w:t>
      </w:r>
      <w:r w:rsidRPr="002E15D3">
        <w:rPr>
          <w:rFonts w:ascii="Traditional Arabic" w:hAnsi="Traditional Arabic" w:cs="Traditional Arabic"/>
          <w:color w:val="000000"/>
          <w:sz w:val="28"/>
          <w:szCs w:val="28"/>
        </w:rPr>
        <w:t>.</w:t>
      </w:r>
    </w:p>
    <w:p w14:paraId="5A46BC63" w14:textId="0EF46825" w:rsidR="00EB4C9D" w:rsidRPr="002E15D3" w:rsidRDefault="00EB4C9D" w:rsidP="00EB4C9D">
      <w:pPr>
        <w:pStyle w:val="a8"/>
        <w:numPr>
          <w:ilvl w:val="0"/>
          <w:numId w:val="99"/>
        </w:numPr>
        <w:bidi/>
        <w:spacing w:line="360" w:lineRule="auto"/>
        <w:jc w:val="both"/>
        <w:rPr>
          <w:rFonts w:ascii="Traditional Arabic" w:hAnsi="Traditional Arabic" w:cs="Traditional Arabic"/>
          <w:color w:val="000000"/>
          <w:sz w:val="32"/>
          <w:szCs w:val="32"/>
        </w:rPr>
      </w:pPr>
      <w:r w:rsidRPr="002E15D3">
        <w:rPr>
          <w:rFonts w:ascii="Traditional Arabic" w:hAnsi="Traditional Arabic" w:cs="Traditional Arabic"/>
          <w:b/>
          <w:bCs/>
          <w:color w:val="000000"/>
          <w:sz w:val="28"/>
          <w:szCs w:val="28"/>
          <w:rtl/>
        </w:rPr>
        <w:t>تعزيز التدخلات القيادية الفعّالة</w:t>
      </w:r>
      <w:r w:rsidRPr="002E15D3">
        <w:rPr>
          <w:rFonts w:ascii="Traditional Arabic" w:hAnsi="Traditional Arabic" w:cs="Traditional Arabic"/>
          <w:b/>
          <w:bCs/>
          <w:color w:val="000000"/>
          <w:sz w:val="28"/>
          <w:szCs w:val="28"/>
        </w:rPr>
        <w:t xml:space="preserve">: </w:t>
      </w:r>
      <w:r w:rsidRPr="002E15D3">
        <w:rPr>
          <w:rFonts w:ascii="Traditional Arabic" w:hAnsi="Traditional Arabic" w:cs="Traditional Arabic"/>
          <w:color w:val="000000"/>
          <w:sz w:val="28"/>
          <w:szCs w:val="28"/>
          <w:rtl/>
        </w:rPr>
        <w:t xml:space="preserve">تقدم الدراسة نموذجًا عمليًا يمكن للقادة في المستشفيات الحكومية الاستناد إليه لتحديد أبرز أبعاد القيادة التحويلية التي تؤثر بشكل كبير على ثقافة السلامة داخل المؤسسات الصحية، كما أشارت الأدبيات السابقة </w:t>
      </w:r>
      <w:r w:rsidR="002E6AD0">
        <w:rPr>
          <w:rFonts w:ascii="Traditional Arabic" w:hAnsi="Traditional Arabic" w:cs="Traditional Arabic"/>
          <w:color w:val="000000"/>
          <w:sz w:val="28"/>
          <w:szCs w:val="28"/>
          <w:rtl/>
        </w:rPr>
        <w:fldChar w:fldCharType="begin"/>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2E6AD0">
        <w:rPr>
          <w:rFonts w:ascii="Traditional Arabic" w:hAnsi="Traditional Arabic" w:cs="Traditional Arabic"/>
          <w:color w:val="000000"/>
          <w:sz w:val="28"/>
          <w:szCs w:val="28"/>
          <w:rtl/>
        </w:rPr>
        <w:instrText xml:space="preserve">" </w:instrText>
      </w:r>
      <w:r w:rsidR="002E6AD0">
        <w:rPr>
          <w:rFonts w:ascii="Traditional Arabic" w:hAnsi="Traditional Arabic" w:cs="Traditional Arabic"/>
          <w:color w:val="000000"/>
          <w:sz w:val="28"/>
          <w:szCs w:val="28"/>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2E6AD0">
        <w:rPr>
          <w:rFonts w:ascii="Traditional Arabic" w:hAnsi="Traditional Arabic" w:cs="Traditional Arabic"/>
          <w:color w:val="000000"/>
          <w:sz w:val="28"/>
          <w:szCs w:val="28"/>
          <w:rtl/>
        </w:rPr>
        <w:instrText>&gt;</w:instrText>
      </w:r>
      <w:r w:rsidR="002E6AD0">
        <w:rPr>
          <w:rFonts w:ascii="Traditional Arabic" w:hAnsi="Traditional Arabic" w:cs="Traditional Arabic"/>
          <w:color w:val="000000"/>
          <w:sz w:val="28"/>
          <w:szCs w:val="28"/>
          <w:rtl/>
        </w:rPr>
        <w:fldChar w:fldCharType="separate"/>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noProof/>
          <w:color w:val="000000"/>
          <w:sz w:val="28"/>
          <w:szCs w:val="28"/>
        </w:rPr>
        <w:t>Khirfan &amp; Abd Aziz, 2022</w:t>
      </w:r>
      <w:r w:rsidR="002E6AD0">
        <w:rPr>
          <w:rFonts w:ascii="Traditional Arabic" w:hAnsi="Traditional Arabic" w:cs="Traditional Arabic"/>
          <w:noProof/>
          <w:color w:val="000000"/>
          <w:sz w:val="28"/>
          <w:szCs w:val="28"/>
          <w:rtl/>
        </w:rPr>
        <w:t>)</w:t>
      </w:r>
      <w:r w:rsidR="002E6AD0">
        <w:rPr>
          <w:rFonts w:ascii="Traditional Arabic" w:hAnsi="Traditional Arabic" w:cs="Traditional Arabic"/>
          <w:color w:val="000000"/>
          <w:sz w:val="28"/>
          <w:szCs w:val="28"/>
          <w:rtl/>
        </w:rPr>
        <w:fldChar w:fldCharType="end"/>
      </w:r>
      <w:r w:rsidR="002E6AD0">
        <w:rPr>
          <w:rFonts w:ascii="Traditional Arabic" w:hAnsi="Traditional Arabic" w:cs="Traditional Arabic" w:hint="cs"/>
          <w:color w:val="000000"/>
          <w:sz w:val="28"/>
          <w:szCs w:val="28"/>
          <w:rtl/>
        </w:rPr>
        <w:t>.</w:t>
      </w:r>
      <w:r w:rsidRPr="002E15D3">
        <w:rPr>
          <w:rFonts w:ascii="Traditional Arabic" w:hAnsi="Traditional Arabic" w:cs="Traditional Arabic"/>
          <w:color w:val="000000"/>
          <w:sz w:val="28"/>
          <w:szCs w:val="28"/>
          <w:rtl/>
        </w:rPr>
        <w:t>ويتيح هذا النموذج للقادة تركيز جهودهم ومواردهم على الجوانب القيادية الأكثر أهمية لضمان تحسين سلامة المرضى، استنادًا إلى الأطر النظرية التي تربط القيادة بالثقافة التنظيمية والإجراءات الوقائية</w:t>
      </w:r>
      <w:r w:rsidRPr="002E15D3">
        <w:rPr>
          <w:rFonts w:ascii="Traditional Arabic" w:hAnsi="Traditional Arabic" w:cs="Traditional Arabic"/>
          <w:color w:val="000000"/>
          <w:sz w:val="32"/>
          <w:szCs w:val="32"/>
          <w:rtl/>
        </w:rPr>
        <w:t xml:space="preserve"> </w:t>
      </w:r>
      <w:r w:rsidR="002E6AD0">
        <w:rPr>
          <w:rFonts w:ascii="Traditional Arabic" w:hAnsi="Traditional Arabic" w:cs="Traditional Arabic"/>
          <w:color w:val="000000"/>
          <w:sz w:val="32"/>
          <w:szCs w:val="32"/>
          <w:rtl/>
        </w:rPr>
        <w:fldChar w:fldCharType="begin"/>
      </w:r>
      <w:r w:rsidR="002E6AD0">
        <w:rPr>
          <w:rFonts w:ascii="Traditional Arabic" w:hAnsi="Traditional Arabic" w:cs="Traditional Arabic"/>
          <w:color w:val="000000"/>
          <w:sz w:val="32"/>
          <w:szCs w:val="32"/>
          <w:rtl/>
        </w:rPr>
        <w:instrText xml:space="preserve"> </w:instrText>
      </w:r>
      <w:r w:rsidR="002E6AD0">
        <w:rPr>
          <w:rFonts w:ascii="Traditional Arabic" w:hAnsi="Traditional Arabic" w:cs="Traditional Arabic"/>
          <w:color w:val="000000"/>
          <w:sz w:val="32"/>
          <w:szCs w:val="32"/>
        </w:rPr>
        <w:instrText>ADDIN EN.CITE &lt;EndNote&gt;&lt;Cite&gt;&lt;Author&gt;Jones&lt;/Author&gt;&lt;Year&gt;2008&lt;/Year&gt;&lt;RecNum&gt;187&lt;/RecNum&gt;&lt;DisplayText&gt;(Jones et al., 2008)&lt;/DisplayText&gt;&lt;record&gt;&lt;rec-number&gt;187&lt;/rec-number&gt;&lt;foreign-keys&gt;&lt;key app="EN" db-id="02retxxrerxdxhe9aphvs0z2t9z25p0ew99s" timestamp</w:instrText>
      </w:r>
      <w:r w:rsidR="002E6AD0">
        <w:rPr>
          <w:rFonts w:ascii="Traditional Arabic" w:hAnsi="Traditional Arabic" w:cs="Traditional Arabic"/>
          <w:color w:val="000000"/>
          <w:sz w:val="32"/>
          <w:szCs w:val="32"/>
          <w:rtl/>
        </w:rPr>
        <w:instrText>="1754603905"&gt;187&lt;/</w:instrText>
      </w:r>
      <w:r w:rsidR="002E6AD0">
        <w:rPr>
          <w:rFonts w:ascii="Traditional Arabic" w:hAnsi="Traditional Arabic" w:cs="Traditional Arabic"/>
          <w:color w:val="000000"/>
          <w:sz w:val="32"/>
          <w:szCs w:val="32"/>
        </w:rPr>
        <w:instrText>key&gt;&lt;/foreign-keys&gt;&lt;ref-type name="Conference Proceedings"&gt;10&lt;/ref-type&gt;&lt;contributors&gt;&lt;authors&gt;&lt;author&gt;Jones, Katherine Janiec&lt;/author&gt;&lt;author&gt;Skinner, Anne&lt;/author&gt;&lt;author&gt;Xu, Liyan&lt;/author&gt;&lt;author&gt;Sun, Junfeng&lt;/author&gt;&lt;author&gt;Mueller</w:instrText>
      </w:r>
      <w:r w:rsidR="002E6AD0">
        <w:rPr>
          <w:rFonts w:ascii="Traditional Arabic" w:hAnsi="Traditional Arabic" w:cs="Traditional Arabic"/>
          <w:color w:val="000000"/>
          <w:sz w:val="32"/>
          <w:szCs w:val="32"/>
          <w:rtl/>
        </w:rPr>
        <w:instrText xml:space="preserve">, </w:instrText>
      </w:r>
      <w:r w:rsidR="002E6AD0">
        <w:rPr>
          <w:rFonts w:ascii="Traditional Arabic" w:hAnsi="Traditional Arabic" w:cs="Traditional Arabic"/>
          <w:color w:val="000000"/>
          <w:sz w:val="32"/>
          <w:szCs w:val="32"/>
        </w:rPr>
        <w:instrText>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Programs&lt;/title&gt;&lt;/titles&gt;&lt;dates&gt;&lt;year&gt;2008&lt;/year&gt;&lt;/dates&gt;&lt;urls&gt;&lt;/urls&gt;&lt;electronic-resource-num&gt;21249886&lt;/electronic-resource-num&gt;&lt;/record&gt;&lt;/Cite&gt;&lt;/EndNote</w:instrText>
      </w:r>
      <w:r w:rsidR="002E6AD0">
        <w:rPr>
          <w:rFonts w:ascii="Traditional Arabic" w:hAnsi="Traditional Arabic" w:cs="Traditional Arabic"/>
          <w:color w:val="000000"/>
          <w:sz w:val="32"/>
          <w:szCs w:val="32"/>
          <w:rtl/>
        </w:rPr>
        <w:instrText>&gt;</w:instrText>
      </w:r>
      <w:r w:rsidR="002E6AD0">
        <w:rPr>
          <w:rFonts w:ascii="Traditional Arabic" w:hAnsi="Traditional Arabic" w:cs="Traditional Arabic"/>
          <w:color w:val="000000"/>
          <w:sz w:val="32"/>
          <w:szCs w:val="32"/>
          <w:rtl/>
        </w:rPr>
        <w:fldChar w:fldCharType="separate"/>
      </w:r>
      <w:r w:rsidR="002E6AD0">
        <w:rPr>
          <w:rFonts w:ascii="Traditional Arabic" w:hAnsi="Traditional Arabic" w:cs="Traditional Arabic"/>
          <w:noProof/>
          <w:color w:val="000000"/>
          <w:sz w:val="32"/>
          <w:szCs w:val="32"/>
          <w:rtl/>
        </w:rPr>
        <w:t>(</w:t>
      </w:r>
      <w:r w:rsidR="002E6AD0">
        <w:rPr>
          <w:rFonts w:ascii="Traditional Arabic" w:hAnsi="Traditional Arabic" w:cs="Traditional Arabic"/>
          <w:noProof/>
          <w:color w:val="000000"/>
          <w:sz w:val="32"/>
          <w:szCs w:val="32"/>
        </w:rPr>
        <w:t>Jones et al., 2008</w:t>
      </w:r>
      <w:r w:rsidR="002E6AD0">
        <w:rPr>
          <w:rFonts w:ascii="Traditional Arabic" w:hAnsi="Traditional Arabic" w:cs="Traditional Arabic"/>
          <w:noProof/>
          <w:color w:val="000000"/>
          <w:sz w:val="32"/>
          <w:szCs w:val="32"/>
          <w:rtl/>
        </w:rPr>
        <w:t>)</w:t>
      </w:r>
      <w:r w:rsidR="002E6AD0">
        <w:rPr>
          <w:rFonts w:ascii="Traditional Arabic" w:hAnsi="Traditional Arabic" w:cs="Traditional Arabic"/>
          <w:color w:val="000000"/>
          <w:sz w:val="32"/>
          <w:szCs w:val="32"/>
          <w:rtl/>
        </w:rPr>
        <w:fldChar w:fldCharType="end"/>
      </w:r>
      <w:r w:rsidR="002F7699" w:rsidRPr="002E15D3">
        <w:rPr>
          <w:rFonts w:ascii="Traditional Arabic" w:hAnsi="Traditional Arabic" w:cs="Traditional Arabic"/>
          <w:color w:val="000000"/>
          <w:sz w:val="32"/>
          <w:szCs w:val="32"/>
          <w:rtl/>
        </w:rPr>
        <w:t>.</w:t>
      </w:r>
    </w:p>
    <w:p w14:paraId="391B4311" w14:textId="416AFEF2" w:rsidR="00EB4C9D" w:rsidRPr="002E15D3" w:rsidRDefault="00EB4C9D" w:rsidP="00EB4C9D">
      <w:pPr>
        <w:pStyle w:val="a8"/>
        <w:numPr>
          <w:ilvl w:val="0"/>
          <w:numId w:val="99"/>
        </w:numPr>
        <w:bidi/>
        <w:spacing w:line="360" w:lineRule="auto"/>
        <w:jc w:val="both"/>
        <w:rPr>
          <w:rFonts w:ascii="Traditional Arabic" w:hAnsi="Traditional Arabic" w:cs="Traditional Arabic"/>
          <w:color w:val="000000"/>
          <w:sz w:val="32"/>
          <w:szCs w:val="32"/>
        </w:rPr>
      </w:pPr>
      <w:r w:rsidRPr="002E15D3">
        <w:rPr>
          <w:rFonts w:ascii="Traditional Arabic" w:hAnsi="Traditional Arabic" w:cs="Traditional Arabic"/>
          <w:b/>
          <w:bCs/>
          <w:color w:val="000000"/>
          <w:sz w:val="28"/>
          <w:szCs w:val="28"/>
          <w:rtl/>
        </w:rPr>
        <w:t xml:space="preserve">تعزيز سلوكيات العاملين وتقليص المخاطر الصحية: </w:t>
      </w:r>
      <w:r w:rsidRPr="002E15D3">
        <w:rPr>
          <w:rFonts w:ascii="Traditional Arabic" w:hAnsi="Traditional Arabic" w:cs="Traditional Arabic"/>
          <w:color w:val="000000"/>
          <w:sz w:val="28"/>
          <w:szCs w:val="28"/>
          <w:rtl/>
        </w:rPr>
        <w:t xml:space="preserve">تسلط نتائج الدراسة الضوء على كيفية تأثير ثقافة السلامة الإيجابية في تحسين سلوكيات العاملين الصحية، مثل التزامهم بالإجراءات وسياسات الإبلاغ عن الحوادث. من المتوقع أن يقلل هذا من معدل وقوع الحوادث الضارة وشدتها، خاصة تلك التي يمكن تجنبها </w:t>
      </w:r>
      <w:r w:rsidR="002E6AD0">
        <w:rPr>
          <w:rFonts w:ascii="Traditional Arabic" w:hAnsi="Traditional Arabic" w:cs="Traditional Arabic"/>
          <w:color w:val="000000"/>
          <w:sz w:val="28"/>
          <w:szCs w:val="28"/>
        </w:rPr>
        <w:fldChar w:fldCharType="begin"/>
      </w:r>
      <w:r w:rsidR="002E6AD0">
        <w:rPr>
          <w:rFonts w:ascii="Traditional Arabic" w:hAnsi="Traditional Arabic" w:cs="Traditional Arabic"/>
          <w:color w:val="000000"/>
          <w:sz w:val="28"/>
          <w:szCs w:val="28"/>
        </w:rPr>
        <w:instrText xml:space="preserve"> 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M.&lt;/author&gt;&lt;author&gt;Peugh,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21&lt;/volume&gt;&lt;dates&gt;&lt;year&gt;2005&lt;/year&gt;&lt;/dates&gt;&lt;urls&gt;&lt;/urls&gt;&lt;electronic-resource-num&gt;10.1001/jama.293.21.2609&lt;/electronic-resource-num&gt;&lt;/record&gt;&lt;/Cite&gt;&lt;/EndNote&gt;</w:instrText>
      </w:r>
      <w:r w:rsidR="002E6AD0">
        <w:rPr>
          <w:rFonts w:ascii="Traditional Arabic" w:hAnsi="Traditional Arabic" w:cs="Traditional Arabic"/>
          <w:color w:val="000000"/>
          <w:sz w:val="28"/>
          <w:szCs w:val="28"/>
        </w:rPr>
        <w:fldChar w:fldCharType="separate"/>
      </w:r>
      <w:r w:rsidR="002E6AD0">
        <w:rPr>
          <w:rFonts w:ascii="Traditional Arabic" w:hAnsi="Traditional Arabic" w:cs="Traditional Arabic"/>
          <w:noProof/>
          <w:color w:val="000000"/>
          <w:sz w:val="28"/>
          <w:szCs w:val="28"/>
        </w:rPr>
        <w:t>(Studdert et al., 2005)</w:t>
      </w:r>
      <w:r w:rsidR="002E6AD0">
        <w:rPr>
          <w:rFonts w:ascii="Traditional Arabic" w:hAnsi="Traditional Arabic" w:cs="Traditional Arabic"/>
          <w:color w:val="000000"/>
          <w:sz w:val="28"/>
          <w:szCs w:val="28"/>
        </w:rPr>
        <w:fldChar w:fldCharType="end"/>
      </w:r>
      <w:r w:rsidRPr="002E15D3">
        <w:rPr>
          <w:rFonts w:ascii="Traditional Arabic" w:hAnsi="Traditional Arabic" w:cs="Traditional Arabic"/>
          <w:color w:val="000000"/>
          <w:sz w:val="28"/>
          <w:szCs w:val="28"/>
          <w:rtl/>
        </w:rPr>
        <w:t>، مما يسهم في رفع مستويات جودة الرعاية الصحية وتقليل التكاليف المرتبطة بالمخاطر</w:t>
      </w:r>
      <w:r w:rsidRPr="002E15D3">
        <w:rPr>
          <w:rFonts w:ascii="Traditional Arabic" w:hAnsi="Traditional Arabic" w:cs="Traditional Arabic"/>
          <w:color w:val="000000"/>
          <w:sz w:val="28"/>
          <w:szCs w:val="28"/>
        </w:rPr>
        <w:t xml:space="preserve">. </w:t>
      </w:r>
    </w:p>
    <w:p w14:paraId="0771C016" w14:textId="7D2E8300" w:rsidR="00EB4C9D" w:rsidRPr="002E15D3" w:rsidRDefault="00EB4C9D" w:rsidP="00EB4C9D">
      <w:pPr>
        <w:pStyle w:val="a8"/>
        <w:numPr>
          <w:ilvl w:val="0"/>
          <w:numId w:val="99"/>
        </w:numPr>
        <w:bidi/>
        <w:spacing w:line="360" w:lineRule="auto"/>
        <w:jc w:val="both"/>
        <w:rPr>
          <w:rFonts w:ascii="Traditional Arabic" w:hAnsi="Traditional Arabic" w:cs="Traditional Arabic"/>
          <w:color w:val="000000"/>
          <w:sz w:val="32"/>
          <w:szCs w:val="32"/>
        </w:rPr>
      </w:pPr>
      <w:r w:rsidRPr="002E15D3">
        <w:rPr>
          <w:rFonts w:ascii="Traditional Arabic" w:hAnsi="Traditional Arabic" w:cs="Traditional Arabic"/>
          <w:b/>
          <w:bCs/>
          <w:color w:val="000000"/>
          <w:sz w:val="28"/>
          <w:szCs w:val="28"/>
          <w:rtl/>
        </w:rPr>
        <w:t>تصميم برامج تدريبية مخصصة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توضح الدراسة أهمية تصميم برامج تدريبية موجهة للقادة والممارسين الصحيين في منطقة الجوف، تحديدًا لمعالجة نقاط الضعف التي تشير إليها النتائج</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هذه البرامج التدريبية تستهدف تطوير الأبعاد القيادية والثقافية التي يثبت البحث أهميتها لتحسين بيئة السلامة الصحية. وبذلك، يضمن محتوى التدريب فعالية أكبر مقارنةً بأساليب التدريب العامة وغير المخصصة</w:t>
      </w:r>
      <w:r w:rsidRPr="002E15D3">
        <w:rPr>
          <w:rFonts w:ascii="Traditional Arabic" w:hAnsi="Traditional Arabic" w:cs="Traditional Arabic"/>
          <w:color w:val="000000"/>
          <w:sz w:val="28"/>
          <w:szCs w:val="28"/>
        </w:rPr>
        <w:t xml:space="preserve">. </w:t>
      </w:r>
      <w:r w:rsidRPr="002E15D3">
        <w:rPr>
          <w:rFonts w:ascii="Traditional Arabic" w:hAnsi="Traditional Arabic" w:cs="Traditional Arabic"/>
          <w:color w:val="000000"/>
          <w:sz w:val="28"/>
          <w:szCs w:val="28"/>
          <w:rtl/>
        </w:rPr>
        <w:t>تجمع هذه الدراسة بين الرؤية الاستراتيجية والجانب التطبيقي، مما يجعلها أداة فعّالة لدعم التحول الصحي وتحقيق معايير الجودة العالمية في القطاع الصحي</w:t>
      </w:r>
      <w:r w:rsidR="00F5271B">
        <w:rPr>
          <w:rFonts w:ascii="Traditional Arabic" w:hAnsi="Traditional Arabic" w:cs="Traditional Arabic" w:hint="cs"/>
          <w:color w:val="000000"/>
          <w:sz w:val="32"/>
          <w:szCs w:val="32"/>
          <w:rtl/>
        </w:rPr>
        <w:t>.</w:t>
      </w:r>
    </w:p>
    <w:p w14:paraId="4631B637" w14:textId="77777777" w:rsidR="002E15D3" w:rsidRDefault="00EB4C9D" w:rsidP="002E15D3">
      <w:pPr>
        <w:pStyle w:val="a8"/>
        <w:bidi/>
        <w:spacing w:line="360" w:lineRule="auto"/>
        <w:rPr>
          <w:rFonts w:ascii="Traditional Arabic" w:hAnsi="Traditional Arabic" w:cs="Traditional Arabic"/>
          <w:b/>
          <w:bCs/>
          <w:color w:val="000000"/>
          <w:sz w:val="32"/>
          <w:szCs w:val="32"/>
          <w:rtl/>
        </w:rPr>
      </w:pPr>
      <w:r w:rsidRPr="002E15D3">
        <w:rPr>
          <w:rFonts w:ascii="Traditional Arabic" w:hAnsi="Traditional Arabic" w:cs="Traditional Arabic"/>
          <w:b/>
          <w:bCs/>
          <w:color w:val="000000"/>
          <w:sz w:val="32"/>
          <w:szCs w:val="32"/>
          <w:rtl/>
        </w:rPr>
        <w:t>4</w:t>
      </w:r>
      <w:r w:rsidR="001E1A72" w:rsidRPr="002E15D3">
        <w:rPr>
          <w:rFonts w:ascii="Traditional Arabic" w:hAnsi="Traditional Arabic" w:cs="Traditional Arabic"/>
          <w:b/>
          <w:bCs/>
          <w:color w:val="000000"/>
          <w:sz w:val="32"/>
          <w:szCs w:val="32"/>
          <w:rtl/>
        </w:rPr>
        <w:t xml:space="preserve">.  أهداف الدراسة </w:t>
      </w:r>
    </w:p>
    <w:p w14:paraId="15426FA7" w14:textId="59EE3ABB" w:rsidR="002E15D3" w:rsidRPr="002A7904" w:rsidRDefault="00DF749B" w:rsidP="002E15D3">
      <w:pPr>
        <w:pStyle w:val="a8"/>
        <w:bidi/>
        <w:spacing w:line="360" w:lineRule="auto"/>
        <w:rPr>
          <w:rFonts w:ascii="Traditional Arabic" w:hAnsi="Traditional Arabic" w:cs="Traditional Arabic"/>
          <w:color w:val="000000"/>
          <w:sz w:val="28"/>
          <w:szCs w:val="28"/>
          <w:rtl/>
        </w:rPr>
      </w:pPr>
      <w:r w:rsidRPr="002A7904">
        <w:rPr>
          <w:rFonts w:ascii="Traditional Arabic" w:hAnsi="Traditional Arabic" w:cs="Traditional Arabic"/>
          <w:color w:val="000000"/>
          <w:sz w:val="28"/>
          <w:szCs w:val="28"/>
          <w:rtl/>
        </w:rPr>
        <w:t>تهدف هذه الدراسة إلى تحقيق مجموعة من الأهداف العلمية والتطبيقية التي تركز على تحليل العلاقات بين المتغيرات المحورية ضمن بيئة مستشفيات القطاع الحكومي في منطقة الجوف</w:t>
      </w:r>
      <w:r w:rsidRPr="002A7904">
        <w:rPr>
          <w:rFonts w:ascii="Traditional Arabic" w:hAnsi="Traditional Arabic" w:cs="Traditional Arabic"/>
          <w:color w:val="000000"/>
          <w:sz w:val="28"/>
          <w:szCs w:val="28"/>
        </w:rPr>
        <w:t xml:space="preserve">. </w:t>
      </w:r>
      <w:r w:rsidRPr="002A7904">
        <w:rPr>
          <w:rFonts w:ascii="Traditional Arabic" w:hAnsi="Traditional Arabic" w:cs="Traditional Arabic"/>
          <w:color w:val="000000"/>
          <w:sz w:val="28"/>
          <w:szCs w:val="28"/>
          <w:rtl/>
        </w:rPr>
        <w:t>وتشمل هذه الأهداف ما يلي</w:t>
      </w:r>
      <w:r w:rsidR="002A7904">
        <w:rPr>
          <w:rFonts w:ascii="Traditional Arabic" w:hAnsi="Traditional Arabic" w:cs="Traditional Arabic" w:hint="cs"/>
          <w:color w:val="000000"/>
          <w:sz w:val="28"/>
          <w:szCs w:val="28"/>
          <w:rtl/>
        </w:rPr>
        <w:t>:</w:t>
      </w:r>
    </w:p>
    <w:p w14:paraId="09F80A2A" w14:textId="77777777"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t>استقصاء مستوى تطبيق القيادة التحويلية في مستشفيات القطاع الحكومي بمنطقة الجوف، وفقًا لوجهات نظر الموظفين والممارسين الصحيين</w:t>
      </w:r>
      <w:r w:rsidRPr="002A7904">
        <w:rPr>
          <w:rFonts w:ascii="Traditional Arabic" w:hAnsi="Traditional Arabic" w:cs="Traditional Arabic"/>
          <w:color w:val="000000"/>
          <w:sz w:val="28"/>
          <w:szCs w:val="28"/>
        </w:rPr>
        <w:t xml:space="preserve">. </w:t>
      </w:r>
    </w:p>
    <w:p w14:paraId="2C0D3418" w14:textId="047DE0E1"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lastRenderedPageBreak/>
        <w:t xml:space="preserve">تقييم وقياس مدى وعي العاملين </w:t>
      </w:r>
      <w:r w:rsidR="008B36A4" w:rsidRPr="002A7904">
        <w:rPr>
          <w:rFonts w:ascii="Traditional Arabic" w:hAnsi="Traditional Arabic" w:cs="Traditional Arabic" w:hint="cs"/>
          <w:color w:val="000000"/>
          <w:sz w:val="28"/>
          <w:szCs w:val="28"/>
          <w:rtl/>
        </w:rPr>
        <w:t>ب</w:t>
      </w:r>
      <w:r w:rsidRPr="002A7904">
        <w:rPr>
          <w:rFonts w:ascii="Traditional Arabic" w:hAnsi="Traditional Arabic" w:cs="Traditional Arabic"/>
          <w:color w:val="000000"/>
          <w:sz w:val="28"/>
          <w:szCs w:val="28"/>
          <w:rtl/>
        </w:rPr>
        <w:t>ثقافة السلامة وأبعادها المختلفة، بما في ذلك دعم الإدارة، التواصل المفتوح، والتعلم من الأخطاء، في مستشفيات القطاع الحكومي بمنطقة الجوف</w:t>
      </w:r>
      <w:r w:rsidRPr="002A7904">
        <w:rPr>
          <w:rFonts w:ascii="Traditional Arabic" w:hAnsi="Traditional Arabic" w:cs="Traditional Arabic"/>
          <w:color w:val="000000"/>
          <w:sz w:val="28"/>
          <w:szCs w:val="28"/>
        </w:rPr>
        <w:t xml:space="preserve">. </w:t>
      </w:r>
    </w:p>
    <w:p w14:paraId="7AF41F48" w14:textId="77777777"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t>دراسة تأثير القيادة التحويلية بشكل مباشر على تعزيز وتطوير ثقافة السلامة لدى العاملين في القطاع الصحي الحكومي بمنطقة الجوف</w:t>
      </w:r>
      <w:r w:rsidRPr="002A7904">
        <w:rPr>
          <w:rFonts w:ascii="Traditional Arabic" w:hAnsi="Traditional Arabic" w:cs="Traditional Arabic"/>
          <w:color w:val="000000"/>
          <w:sz w:val="28"/>
          <w:szCs w:val="28"/>
        </w:rPr>
        <w:t xml:space="preserve">. </w:t>
      </w:r>
    </w:p>
    <w:p w14:paraId="2D8E67C2" w14:textId="77777777"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t>تحليل الأثر الذي تتركه ثقافة السلامة كمتغير وسيط على السلوكيات المرتبطة بالسلامة التي يمارسها الممارسون الصحيون في مستشفيات القطاع الحكومي بمنطقة الجوف</w:t>
      </w:r>
      <w:r w:rsidRPr="002A7904">
        <w:rPr>
          <w:rFonts w:ascii="Traditional Arabic" w:hAnsi="Traditional Arabic" w:cs="Traditional Arabic"/>
          <w:color w:val="000000"/>
          <w:sz w:val="28"/>
          <w:szCs w:val="28"/>
        </w:rPr>
        <w:t xml:space="preserve">. </w:t>
      </w:r>
    </w:p>
    <w:p w14:paraId="37D42413" w14:textId="77777777"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t>اختبار التأثير غير المباشر للقيادة التحويلية على سلوكيات السلامة من خلال دور الوساطة المتسلسل لثقافة السلامة في المستشفيات الحكومية بالمنطقة</w:t>
      </w:r>
      <w:r w:rsidRPr="002A7904">
        <w:rPr>
          <w:rFonts w:ascii="Traditional Arabic" w:hAnsi="Traditional Arabic" w:cs="Traditional Arabic"/>
          <w:color w:val="000000"/>
          <w:sz w:val="28"/>
          <w:szCs w:val="28"/>
        </w:rPr>
        <w:t xml:space="preserve">. </w:t>
      </w:r>
    </w:p>
    <w:p w14:paraId="3BACDD88" w14:textId="77777777" w:rsidR="002E15D3" w:rsidRPr="002A7904" w:rsidRDefault="00DF749B" w:rsidP="002E15D3">
      <w:pPr>
        <w:pStyle w:val="a8"/>
        <w:numPr>
          <w:ilvl w:val="0"/>
          <w:numId w:val="102"/>
        </w:numPr>
        <w:bidi/>
        <w:spacing w:line="360" w:lineRule="auto"/>
        <w:rPr>
          <w:rFonts w:ascii="Traditional Arabic" w:hAnsi="Traditional Arabic" w:cs="Traditional Arabic"/>
          <w:color w:val="000000"/>
          <w:sz w:val="32"/>
          <w:szCs w:val="32"/>
        </w:rPr>
      </w:pPr>
      <w:r w:rsidRPr="002A7904">
        <w:rPr>
          <w:rFonts w:ascii="Traditional Arabic" w:hAnsi="Traditional Arabic" w:cs="Traditional Arabic"/>
          <w:color w:val="000000"/>
          <w:sz w:val="28"/>
          <w:szCs w:val="28"/>
          <w:rtl/>
        </w:rPr>
        <w:t>تفسير العلاقة المباشرة بين السلوكيات المتعلقة بالسلامة التي يتم تبنيها من قبل الممارسين الصحيين وانخفاض معدل وقوع الأحداث الضارة القابلة للوقاية ضمن مستشفيات القطاع الحكومي بمنطقة الجوف</w:t>
      </w:r>
      <w:r w:rsidRPr="002A7904">
        <w:rPr>
          <w:rFonts w:ascii="Traditional Arabic" w:hAnsi="Traditional Arabic" w:cs="Traditional Arabic"/>
          <w:color w:val="000000"/>
          <w:sz w:val="28"/>
          <w:szCs w:val="28"/>
        </w:rPr>
        <w:t>.</w:t>
      </w:r>
    </w:p>
    <w:p w14:paraId="5ACEA34E" w14:textId="472F98BB" w:rsidR="000B0FA3" w:rsidRPr="0019244B" w:rsidRDefault="00DF749B" w:rsidP="0019244B">
      <w:pPr>
        <w:pStyle w:val="a8"/>
        <w:numPr>
          <w:ilvl w:val="0"/>
          <w:numId w:val="102"/>
        </w:numPr>
        <w:bidi/>
        <w:spacing w:line="360" w:lineRule="auto"/>
        <w:rPr>
          <w:rFonts w:ascii="Traditional Arabic" w:hAnsi="Traditional Arabic" w:cs="Traditional Arabic"/>
          <w:color w:val="000000"/>
          <w:sz w:val="32"/>
          <w:szCs w:val="32"/>
          <w:rtl/>
        </w:rPr>
      </w:pPr>
      <w:r w:rsidRPr="002A7904">
        <w:rPr>
          <w:rFonts w:ascii="Traditional Arabic" w:hAnsi="Traditional Arabic" w:cs="Traditional Arabic"/>
          <w:color w:val="000000"/>
          <w:sz w:val="28"/>
          <w:szCs w:val="28"/>
          <w:rtl/>
        </w:rPr>
        <w:t>صياغة نموذج تحليلي وتقديم توصيات تطبيقية قائمة على نتائج الدراسة بهدف تطوير برامج تدريبية وتدخلات إدارية تركز على الجوانب الأكثر تأثيرًا في تحسين مستوى سلامة المرضى في مؤسسات الرعاية الصحية بمنطقة الجوف</w:t>
      </w:r>
    </w:p>
    <w:p w14:paraId="40EBC9D8" w14:textId="53304065" w:rsidR="00D957AB" w:rsidRPr="002E15D3" w:rsidRDefault="009C7B18" w:rsidP="00DF749B">
      <w:pPr>
        <w:pStyle w:val="2"/>
        <w:bidi/>
        <w:spacing w:before="0" w:after="120" w:line="360" w:lineRule="auto"/>
        <w:jc w:val="both"/>
        <w:rPr>
          <w:rFonts w:ascii="Traditional Arabic" w:eastAsia="Times New Roman" w:hAnsi="Traditional Arabic" w:cs="Traditional Arabic" w:hint="cs"/>
          <w:b/>
          <w:bCs/>
          <w:color w:val="000000"/>
          <w:sz w:val="28"/>
          <w:szCs w:val="28"/>
          <w:rtl/>
        </w:rPr>
      </w:pPr>
      <w:r w:rsidRPr="002E15D3">
        <w:rPr>
          <w:rFonts w:ascii="Traditional Arabic" w:hAnsi="Traditional Arabic" w:cs="Traditional Arabic"/>
          <w:b/>
          <w:bCs/>
          <w:color w:val="1B1C1D"/>
          <w:sz w:val="32"/>
          <w:szCs w:val="32"/>
          <w:rtl/>
        </w:rPr>
        <w:t xml:space="preserve">5. </w:t>
      </w:r>
      <w:r w:rsidR="00D957AB" w:rsidRPr="002E15D3">
        <w:rPr>
          <w:rFonts w:ascii="Traditional Arabic" w:hAnsi="Traditional Arabic" w:cs="Traditional Arabic"/>
          <w:b/>
          <w:bCs/>
          <w:color w:val="1B1C1D"/>
          <w:sz w:val="32"/>
          <w:szCs w:val="32"/>
          <w:rtl/>
        </w:rPr>
        <w:t>فر</w:t>
      </w:r>
      <w:r w:rsidR="00E4285D" w:rsidRPr="002E15D3">
        <w:rPr>
          <w:rFonts w:ascii="Traditional Arabic" w:hAnsi="Traditional Arabic" w:cs="Traditional Arabic"/>
          <w:b/>
          <w:bCs/>
          <w:color w:val="1B1C1D"/>
          <w:sz w:val="32"/>
          <w:szCs w:val="32"/>
          <w:rtl/>
        </w:rPr>
        <w:t>ضيات</w:t>
      </w:r>
      <w:r w:rsidR="00D957AB" w:rsidRPr="002E15D3">
        <w:rPr>
          <w:rFonts w:ascii="Traditional Arabic" w:hAnsi="Traditional Arabic" w:cs="Traditional Arabic"/>
          <w:b/>
          <w:bCs/>
          <w:color w:val="1B1C1D"/>
          <w:sz w:val="32"/>
          <w:szCs w:val="32"/>
          <w:rtl/>
        </w:rPr>
        <w:t xml:space="preserve"> الدراسة </w:t>
      </w:r>
    </w:p>
    <w:p w14:paraId="322B4A97" w14:textId="1378370A" w:rsidR="00D957AB" w:rsidRPr="002E15D3" w:rsidRDefault="00D957AB" w:rsidP="009C7B18">
      <w:pPr>
        <w:pStyle w:val="a8"/>
        <w:bidi/>
        <w:spacing w:before="0" w:beforeAutospacing="0" w:after="240" w:afterAutospacing="0" w:line="360" w:lineRule="auto"/>
        <w:jc w:val="both"/>
        <w:rPr>
          <w:rFonts w:ascii="Traditional Arabic" w:hAnsi="Traditional Arabic" w:cs="Traditional Arabic"/>
          <w:sz w:val="28"/>
          <w:szCs w:val="28"/>
        </w:rPr>
      </w:pPr>
      <w:r w:rsidRPr="002E15D3">
        <w:rPr>
          <w:rFonts w:ascii="Traditional Arabic" w:hAnsi="Traditional Arabic" w:cs="Traditional Arabic"/>
          <w:color w:val="1B1C1D"/>
          <w:sz w:val="28"/>
          <w:szCs w:val="28"/>
          <w:rtl/>
        </w:rPr>
        <w:t xml:space="preserve">تعتمد هذه الدراسة على </w:t>
      </w:r>
      <w:r w:rsidRPr="002E15D3">
        <w:rPr>
          <w:rFonts w:ascii="Traditional Arabic" w:hAnsi="Traditional Arabic" w:cs="Traditional Arabic"/>
          <w:b/>
          <w:bCs/>
          <w:color w:val="1B1C1D"/>
          <w:sz w:val="28"/>
          <w:szCs w:val="28"/>
          <w:rtl/>
        </w:rPr>
        <w:t>الفروض البديلة (</w:t>
      </w:r>
      <w:r w:rsidRPr="00B85713">
        <w:rPr>
          <w:rFonts w:asciiTheme="majorBidi" w:hAnsiTheme="majorBidi" w:cstheme="majorBidi"/>
          <w:b/>
          <w:bCs/>
          <w:color w:val="1B1C1D"/>
          <w:sz w:val="28"/>
          <w:szCs w:val="28"/>
        </w:rPr>
        <w:t>Alternative Hypotheses</w:t>
      </w:r>
      <w:r w:rsidRPr="002E15D3">
        <w:rPr>
          <w:rFonts w:ascii="Traditional Arabic" w:hAnsi="Traditional Arabic" w:cs="Traditional Arabic"/>
          <w:b/>
          <w:bCs/>
          <w:color w:val="1B1C1D"/>
          <w:sz w:val="28"/>
          <w:szCs w:val="28"/>
          <w:rtl/>
        </w:rPr>
        <w:t>)</w:t>
      </w:r>
      <w:r w:rsidRPr="002E15D3">
        <w:rPr>
          <w:rFonts w:ascii="Traditional Arabic" w:hAnsi="Traditional Arabic" w:cs="Traditional Arabic"/>
          <w:color w:val="1B1C1D"/>
          <w:sz w:val="28"/>
          <w:szCs w:val="28"/>
          <w:rtl/>
        </w:rPr>
        <w:t xml:space="preserve"> الموجهة، التي تسعى لاختبار مدى معنوية العلاقات التأثيرية المباشرة وغير المباشرة بين متغيرات الدراسة، وتجسد المسار السببي للنموذج المفاهيمي للبحث:</w:t>
      </w:r>
    </w:p>
    <w:p w14:paraId="41D95A39" w14:textId="6E7A499B" w:rsidR="00D957AB" w:rsidRPr="002E15D3" w:rsidRDefault="00140863" w:rsidP="009C7B18">
      <w:pPr>
        <w:pStyle w:val="3"/>
        <w:bidi/>
        <w:spacing w:before="0" w:after="120" w:line="360" w:lineRule="auto"/>
        <w:jc w:val="both"/>
        <w:rPr>
          <w:rFonts w:ascii="Traditional Arabic" w:hAnsi="Traditional Arabic" w:cs="Traditional Arabic"/>
          <w:b/>
          <w:bCs/>
          <w:sz w:val="28"/>
          <w:szCs w:val="28"/>
          <w:rtl/>
        </w:rPr>
      </w:pPr>
      <w:r w:rsidRPr="002E15D3">
        <w:rPr>
          <w:rFonts w:ascii="Traditional Arabic" w:hAnsi="Traditional Arabic" w:cs="Traditional Arabic"/>
          <w:b/>
          <w:bCs/>
          <w:color w:val="1B1C1D"/>
          <w:sz w:val="28"/>
          <w:szCs w:val="28"/>
          <w:rtl/>
        </w:rPr>
        <w:t>5</w:t>
      </w:r>
      <w:r w:rsidR="00D957AB" w:rsidRPr="002E15D3">
        <w:rPr>
          <w:rFonts w:ascii="Traditional Arabic" w:hAnsi="Traditional Arabic" w:cs="Traditional Arabic"/>
          <w:b/>
          <w:bCs/>
          <w:color w:val="1B1C1D"/>
          <w:sz w:val="28"/>
          <w:szCs w:val="28"/>
          <w:rtl/>
        </w:rPr>
        <w:t>.1. الفروض الخاصة باختبار العلاقات المباشرة</w:t>
      </w:r>
    </w:p>
    <w:p w14:paraId="4EB2656A" w14:textId="726063E0" w:rsidR="00E4285D" w:rsidRPr="002E15D3" w:rsidRDefault="00E4285D" w:rsidP="009C7B18">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1. الفرضية الأولى (</w:t>
      </w:r>
      <w:r w:rsidRPr="00B85713">
        <w:rPr>
          <w:rFonts w:asciiTheme="majorBidi" w:hAnsiTheme="majorBidi" w:cstheme="majorBidi"/>
          <w:sz w:val="28"/>
          <w:szCs w:val="28"/>
        </w:rPr>
        <w:t>H1</w:t>
      </w:r>
      <w:r w:rsidRPr="002E15D3">
        <w:rPr>
          <w:rFonts w:ascii="Traditional Arabic" w:hAnsi="Traditional Arabic" w:cs="Traditional Arabic"/>
          <w:sz w:val="28"/>
          <w:szCs w:val="28"/>
          <w:rtl/>
        </w:rPr>
        <w:t>):</w:t>
      </w:r>
      <w:r w:rsidRPr="002E15D3">
        <w:rPr>
          <w:rFonts w:ascii="Traditional Arabic" w:hAnsi="Traditional Arabic" w:cs="Traditional Arabic"/>
          <w:b/>
          <w:bCs/>
          <w:color w:val="1B1C1D"/>
          <w:sz w:val="28"/>
          <w:szCs w:val="28"/>
          <w:rtl/>
        </w:rPr>
        <w:t xml:space="preserve"> يوجد تأثير مباشر ذو دلالة إحصائية</w:t>
      </w:r>
      <w:r w:rsidRPr="002E15D3">
        <w:rPr>
          <w:rFonts w:ascii="Traditional Arabic" w:hAnsi="Traditional Arabic" w:cs="Traditional Arabic"/>
          <w:color w:val="1B1C1D"/>
          <w:sz w:val="28"/>
          <w:szCs w:val="28"/>
          <w:rtl/>
        </w:rPr>
        <w:t xml:space="preserve"> للقيادة التحويلية على ثقافة السلامة في مستشفيات القطاع الحكومي بمنطقة الجوف</w:t>
      </w:r>
    </w:p>
    <w:p w14:paraId="538715BD" w14:textId="14307C0D" w:rsidR="00E4285D" w:rsidRPr="002E15D3" w:rsidRDefault="00E4285D" w:rsidP="009C7B18">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2. الفرضية الثانية (</w:t>
      </w:r>
      <w:r w:rsidRPr="002E15D3">
        <w:rPr>
          <w:rFonts w:ascii="Traditional Arabic" w:hAnsi="Traditional Arabic" w:cs="Traditional Arabic"/>
          <w:sz w:val="28"/>
          <w:szCs w:val="28"/>
        </w:rPr>
        <w:t>H2</w:t>
      </w:r>
      <w:r w:rsidRPr="002E15D3">
        <w:rPr>
          <w:rFonts w:ascii="Traditional Arabic" w:hAnsi="Traditional Arabic" w:cs="Traditional Arabic"/>
          <w:sz w:val="28"/>
          <w:szCs w:val="28"/>
          <w:rtl/>
        </w:rPr>
        <w:t>):</w:t>
      </w:r>
      <w:r w:rsidRPr="002E15D3">
        <w:rPr>
          <w:rFonts w:ascii="Traditional Arabic" w:hAnsi="Traditional Arabic" w:cs="Traditional Arabic"/>
          <w:b/>
          <w:bCs/>
          <w:color w:val="1B1C1D"/>
          <w:sz w:val="28"/>
          <w:szCs w:val="28"/>
          <w:rtl/>
        </w:rPr>
        <w:t xml:space="preserve"> يوجد تأثير مباشر ذو دلالة إحصائية</w:t>
      </w:r>
      <w:r w:rsidRPr="002E15D3">
        <w:rPr>
          <w:rFonts w:ascii="Traditional Arabic" w:hAnsi="Traditional Arabic" w:cs="Traditional Arabic"/>
          <w:color w:val="1B1C1D"/>
          <w:sz w:val="28"/>
          <w:szCs w:val="28"/>
          <w:rtl/>
        </w:rPr>
        <w:t xml:space="preserve"> لثقافة السلامة على سلوكيات السلامة لدى الممارسين الصحيين في مستشفيات القطاع الحكومي بمنطقة الجوف</w:t>
      </w:r>
    </w:p>
    <w:p w14:paraId="7C657745" w14:textId="2D711566" w:rsidR="00D957AB" w:rsidRPr="002E15D3" w:rsidRDefault="00E4285D" w:rsidP="009C7B18">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lastRenderedPageBreak/>
        <w:t>3. الفرضية الثالثة (</w:t>
      </w:r>
      <w:r w:rsidRPr="002E15D3">
        <w:rPr>
          <w:rFonts w:ascii="Traditional Arabic" w:hAnsi="Traditional Arabic" w:cs="Traditional Arabic"/>
          <w:sz w:val="28"/>
          <w:szCs w:val="28"/>
        </w:rPr>
        <w:t>H3</w:t>
      </w:r>
      <w:r w:rsidRPr="002E15D3">
        <w:rPr>
          <w:rFonts w:ascii="Traditional Arabic" w:hAnsi="Traditional Arabic" w:cs="Traditional Arabic"/>
          <w:sz w:val="28"/>
          <w:szCs w:val="28"/>
          <w:rtl/>
        </w:rPr>
        <w:t>):</w:t>
      </w:r>
      <w:r w:rsidRPr="002E15D3">
        <w:rPr>
          <w:rFonts w:ascii="Traditional Arabic" w:hAnsi="Traditional Arabic" w:cs="Traditional Arabic"/>
          <w:b/>
          <w:bCs/>
          <w:color w:val="1B1C1D"/>
          <w:sz w:val="28"/>
          <w:szCs w:val="28"/>
          <w:rtl/>
        </w:rPr>
        <w:t xml:space="preserve"> يوجد تأثير مباشر ذو دلالة إحصائية</w:t>
      </w:r>
      <w:r w:rsidRPr="002E15D3">
        <w:rPr>
          <w:rFonts w:ascii="Traditional Arabic" w:hAnsi="Traditional Arabic" w:cs="Traditional Arabic"/>
          <w:color w:val="1B1C1D"/>
          <w:sz w:val="28"/>
          <w:szCs w:val="28"/>
          <w:rtl/>
        </w:rPr>
        <w:t xml:space="preserve"> لسلوكيات السلامة على تقليل معدل وقوع الأحداث الضارة في مستشفيات القطاع الحكومي بمنطقة الجوف</w:t>
      </w:r>
    </w:p>
    <w:p w14:paraId="5B9D878D" w14:textId="5324697A" w:rsidR="00D957AB" w:rsidRPr="002E15D3" w:rsidRDefault="00140863" w:rsidP="009C7B18">
      <w:pPr>
        <w:pStyle w:val="3"/>
        <w:bidi/>
        <w:spacing w:before="0" w:after="120" w:line="360" w:lineRule="auto"/>
        <w:jc w:val="both"/>
        <w:rPr>
          <w:rFonts w:ascii="Traditional Arabic" w:hAnsi="Traditional Arabic" w:cs="Traditional Arabic"/>
          <w:b/>
          <w:bCs/>
          <w:sz w:val="28"/>
          <w:szCs w:val="28"/>
        </w:rPr>
      </w:pPr>
      <w:r w:rsidRPr="002E15D3">
        <w:rPr>
          <w:rFonts w:ascii="Traditional Arabic" w:hAnsi="Traditional Arabic" w:cs="Traditional Arabic"/>
          <w:b/>
          <w:bCs/>
          <w:color w:val="1B1C1D"/>
          <w:sz w:val="28"/>
          <w:szCs w:val="28"/>
          <w:rtl/>
        </w:rPr>
        <w:t>5</w:t>
      </w:r>
      <w:r w:rsidR="00D957AB" w:rsidRPr="002E15D3">
        <w:rPr>
          <w:rFonts w:ascii="Traditional Arabic" w:hAnsi="Traditional Arabic" w:cs="Traditional Arabic"/>
          <w:b/>
          <w:bCs/>
          <w:color w:val="1B1C1D"/>
          <w:sz w:val="28"/>
          <w:szCs w:val="28"/>
          <w:rtl/>
        </w:rPr>
        <w:t>.2. الفروض الخاصة باختبار الأثر غير المباشر (التوسيط)</w:t>
      </w:r>
    </w:p>
    <w:p w14:paraId="4566253B" w14:textId="366EF365" w:rsidR="00D957AB" w:rsidRPr="002E15D3" w:rsidRDefault="009C7B18" w:rsidP="009C7B18">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4.</w:t>
      </w:r>
      <w:r w:rsidR="00E4285D" w:rsidRPr="002E15D3">
        <w:rPr>
          <w:rFonts w:ascii="Traditional Arabic" w:hAnsi="Traditional Arabic" w:cs="Traditional Arabic"/>
          <w:sz w:val="28"/>
          <w:szCs w:val="28"/>
          <w:rtl/>
        </w:rPr>
        <w:t xml:space="preserve"> الفرضية الرابعة (</w:t>
      </w:r>
      <w:r w:rsidR="00E4285D" w:rsidRPr="002E15D3">
        <w:rPr>
          <w:rFonts w:ascii="Traditional Arabic" w:hAnsi="Traditional Arabic" w:cs="Traditional Arabic"/>
          <w:sz w:val="28"/>
          <w:szCs w:val="28"/>
        </w:rPr>
        <w:t>H4</w:t>
      </w:r>
      <w:r w:rsidR="00E4285D" w:rsidRPr="002E15D3">
        <w:rPr>
          <w:rFonts w:ascii="Traditional Arabic" w:hAnsi="Traditional Arabic" w:cs="Traditional Arabic"/>
          <w:sz w:val="28"/>
          <w:szCs w:val="28"/>
          <w:rtl/>
        </w:rPr>
        <w:t>):</w:t>
      </w:r>
      <w:r w:rsidR="00E4285D" w:rsidRPr="002E15D3">
        <w:rPr>
          <w:rFonts w:ascii="Traditional Arabic" w:hAnsi="Traditional Arabic" w:cs="Traditional Arabic"/>
          <w:b/>
          <w:bCs/>
          <w:color w:val="1B1C1D"/>
          <w:sz w:val="28"/>
          <w:szCs w:val="28"/>
          <w:rtl/>
        </w:rPr>
        <w:t xml:space="preserve"> </w:t>
      </w:r>
      <w:r w:rsidRPr="002E15D3">
        <w:rPr>
          <w:rFonts w:ascii="Traditional Arabic" w:hAnsi="Traditional Arabic" w:cs="Traditional Arabic"/>
          <w:b/>
          <w:bCs/>
          <w:color w:val="1B1C1D"/>
          <w:sz w:val="28"/>
          <w:szCs w:val="28"/>
          <w:rtl/>
        </w:rPr>
        <w:t>يوجد تأثير غير مباشر (توسيط) ذو دلالة إحصائية</w:t>
      </w:r>
      <w:r w:rsidRPr="002E15D3">
        <w:rPr>
          <w:rFonts w:ascii="Traditional Arabic" w:hAnsi="Traditional Arabic" w:cs="Traditional Arabic"/>
          <w:color w:val="1B1C1D"/>
          <w:sz w:val="28"/>
          <w:szCs w:val="28"/>
          <w:rtl/>
        </w:rPr>
        <w:t xml:space="preserve"> للقيادة التحويلية على سلوكيات السلامة، يمر عبر الدور </w:t>
      </w:r>
      <w:r w:rsidRPr="002E15D3">
        <w:rPr>
          <w:rFonts w:ascii="Traditional Arabic" w:hAnsi="Traditional Arabic" w:cs="Traditional Arabic"/>
          <w:b/>
          <w:bCs/>
          <w:color w:val="1B1C1D"/>
          <w:sz w:val="28"/>
          <w:szCs w:val="28"/>
          <w:rtl/>
        </w:rPr>
        <w:t>الوسيط لثقافة السلامة</w:t>
      </w:r>
      <w:r w:rsidRPr="002E15D3">
        <w:rPr>
          <w:rFonts w:ascii="Traditional Arabic" w:hAnsi="Traditional Arabic" w:cs="Traditional Arabic"/>
          <w:color w:val="1B1C1D"/>
          <w:sz w:val="28"/>
          <w:szCs w:val="28"/>
          <w:rtl/>
        </w:rPr>
        <w:t xml:space="preserve"> في مستشفيات القطاع الحكومي بمنطقة الجوف.</w:t>
      </w:r>
    </w:p>
    <w:p w14:paraId="14252779" w14:textId="683AEEBB" w:rsidR="009C7B18" w:rsidRPr="002E15D3" w:rsidRDefault="009C7B18" w:rsidP="009C7B18">
      <w:pPr>
        <w:pStyle w:val="a8"/>
        <w:bidi/>
        <w:spacing w:before="120" w:beforeAutospacing="0" w:after="120" w:afterAutospacing="0"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5. الفرضية الخامسة (</w:t>
      </w:r>
      <w:r w:rsidRPr="002E15D3">
        <w:rPr>
          <w:rFonts w:ascii="Traditional Arabic" w:hAnsi="Traditional Arabic" w:cs="Traditional Arabic"/>
          <w:sz w:val="28"/>
          <w:szCs w:val="28"/>
        </w:rPr>
        <w:t>H5</w:t>
      </w:r>
      <w:r w:rsidRPr="002E15D3">
        <w:rPr>
          <w:rFonts w:ascii="Traditional Arabic" w:hAnsi="Traditional Arabic" w:cs="Traditional Arabic"/>
          <w:sz w:val="28"/>
          <w:szCs w:val="28"/>
          <w:rtl/>
        </w:rPr>
        <w:t>):</w:t>
      </w:r>
      <w:r w:rsidRPr="002E15D3">
        <w:rPr>
          <w:rFonts w:ascii="Traditional Arabic" w:hAnsi="Traditional Arabic" w:cs="Traditional Arabic"/>
          <w:b/>
          <w:bCs/>
          <w:color w:val="1B1C1D"/>
          <w:sz w:val="28"/>
          <w:szCs w:val="28"/>
          <w:rtl/>
        </w:rPr>
        <w:t xml:space="preserve"> يوجد تأثير متتالي ذو دلالة إحصائية</w:t>
      </w:r>
      <w:r w:rsidRPr="002E15D3">
        <w:rPr>
          <w:rFonts w:ascii="Traditional Arabic" w:hAnsi="Traditional Arabic" w:cs="Traditional Arabic"/>
          <w:color w:val="1B1C1D"/>
          <w:sz w:val="28"/>
          <w:szCs w:val="28"/>
          <w:rtl/>
        </w:rPr>
        <w:t xml:space="preserve"> للقيادة التحويلية على تقليل الأحداث الضارة، يتوسطه كل من ثقافة السلامة </w:t>
      </w:r>
      <w:r w:rsidRPr="002E15D3">
        <w:rPr>
          <w:rFonts w:ascii="Traditional Arabic" w:hAnsi="Traditional Arabic" w:cs="Traditional Arabic"/>
          <w:b/>
          <w:bCs/>
          <w:color w:val="1B1C1D"/>
          <w:sz w:val="28"/>
          <w:szCs w:val="28"/>
          <w:rtl/>
        </w:rPr>
        <w:t>وسلوكيات السلامة</w:t>
      </w:r>
      <w:r w:rsidRPr="002E15D3">
        <w:rPr>
          <w:rFonts w:ascii="Traditional Arabic" w:hAnsi="Traditional Arabic" w:cs="Traditional Arabic"/>
          <w:color w:val="1B1C1D"/>
          <w:sz w:val="28"/>
          <w:szCs w:val="28"/>
          <w:rtl/>
        </w:rPr>
        <w:t xml:space="preserve"> في مستشفيات القطاع الحكومي بمنطقة الجوف.</w:t>
      </w:r>
    </w:p>
    <w:p w14:paraId="78D3CBF9" w14:textId="36EF49C8" w:rsidR="007E5BA4" w:rsidRPr="002E15D3" w:rsidRDefault="009C7B18" w:rsidP="00140863">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و</w:t>
      </w:r>
      <w:r w:rsidRPr="002E15D3">
        <w:rPr>
          <w:rFonts w:ascii="Traditional Arabic" w:hAnsi="Traditional Arabic" w:cs="Traditional Arabic"/>
          <w:color w:val="1B1C1D"/>
          <w:sz w:val="28"/>
          <w:szCs w:val="28"/>
          <w:rtl/>
        </w:rPr>
        <w:t xml:space="preserve">تعتبر الفرضية الخامسة </w:t>
      </w:r>
      <w:r w:rsidR="00D957AB" w:rsidRPr="002E15D3">
        <w:rPr>
          <w:rFonts w:ascii="Traditional Arabic" w:hAnsi="Traditional Arabic" w:cs="Traditional Arabic"/>
          <w:color w:val="1B1C1D"/>
          <w:sz w:val="28"/>
          <w:szCs w:val="28"/>
          <w:rtl/>
        </w:rPr>
        <w:t>ه</w:t>
      </w:r>
      <w:r w:rsidRPr="002E15D3">
        <w:rPr>
          <w:rFonts w:ascii="Traditional Arabic" w:hAnsi="Traditional Arabic" w:cs="Traditional Arabic"/>
          <w:color w:val="1B1C1D"/>
          <w:sz w:val="28"/>
          <w:szCs w:val="28"/>
          <w:rtl/>
        </w:rPr>
        <w:t>ي</w:t>
      </w:r>
      <w:r w:rsidR="00D957AB" w:rsidRPr="002E15D3">
        <w:rPr>
          <w:rFonts w:ascii="Traditional Arabic" w:hAnsi="Traditional Arabic" w:cs="Traditional Arabic"/>
          <w:color w:val="1B1C1D"/>
          <w:sz w:val="28"/>
          <w:szCs w:val="28"/>
          <w:rtl/>
        </w:rPr>
        <w:t xml:space="preserve"> الفرض</w:t>
      </w:r>
      <w:r w:rsidRPr="002E15D3">
        <w:rPr>
          <w:rFonts w:ascii="Traditional Arabic" w:hAnsi="Traditional Arabic" w:cs="Traditional Arabic"/>
          <w:color w:val="1B1C1D"/>
          <w:sz w:val="28"/>
          <w:szCs w:val="28"/>
          <w:rtl/>
        </w:rPr>
        <w:t>ية</w:t>
      </w:r>
      <w:r w:rsidR="00D957AB" w:rsidRPr="002E15D3">
        <w:rPr>
          <w:rFonts w:ascii="Traditional Arabic" w:hAnsi="Traditional Arabic" w:cs="Traditional Arabic"/>
          <w:color w:val="1B1C1D"/>
          <w:sz w:val="28"/>
          <w:szCs w:val="28"/>
          <w:rtl/>
        </w:rPr>
        <w:t xml:space="preserve"> الجوهري</w:t>
      </w:r>
      <w:r w:rsidRPr="002E15D3">
        <w:rPr>
          <w:rFonts w:ascii="Traditional Arabic" w:hAnsi="Traditional Arabic" w:cs="Traditional Arabic"/>
          <w:color w:val="1B1C1D"/>
          <w:sz w:val="28"/>
          <w:szCs w:val="28"/>
          <w:rtl/>
        </w:rPr>
        <w:t>ة</w:t>
      </w:r>
      <w:r w:rsidR="00D957AB" w:rsidRPr="002E15D3">
        <w:rPr>
          <w:rFonts w:ascii="Traditional Arabic" w:hAnsi="Traditional Arabic" w:cs="Traditional Arabic"/>
          <w:color w:val="1B1C1D"/>
          <w:sz w:val="28"/>
          <w:szCs w:val="28"/>
          <w:rtl/>
        </w:rPr>
        <w:t xml:space="preserve"> ال</w:t>
      </w:r>
      <w:r w:rsidRPr="002E15D3">
        <w:rPr>
          <w:rFonts w:ascii="Traditional Arabic" w:hAnsi="Traditional Arabic" w:cs="Traditional Arabic"/>
          <w:color w:val="1B1C1D"/>
          <w:sz w:val="28"/>
          <w:szCs w:val="28"/>
          <w:rtl/>
        </w:rPr>
        <w:t>ت</w:t>
      </w:r>
      <w:r w:rsidR="00D957AB" w:rsidRPr="002E15D3">
        <w:rPr>
          <w:rFonts w:ascii="Traditional Arabic" w:hAnsi="Traditional Arabic" w:cs="Traditional Arabic"/>
          <w:color w:val="1B1C1D"/>
          <w:sz w:val="28"/>
          <w:szCs w:val="28"/>
          <w:rtl/>
        </w:rPr>
        <w:t xml:space="preserve">ي </w:t>
      </w:r>
      <w:r w:rsidRPr="002E15D3">
        <w:rPr>
          <w:rFonts w:ascii="Traditional Arabic" w:hAnsi="Traditional Arabic" w:cs="Traditional Arabic"/>
          <w:color w:val="1B1C1D"/>
          <w:sz w:val="28"/>
          <w:szCs w:val="28"/>
          <w:rtl/>
        </w:rPr>
        <w:t>ت</w:t>
      </w:r>
      <w:r w:rsidR="00D957AB" w:rsidRPr="002E15D3">
        <w:rPr>
          <w:rFonts w:ascii="Traditional Arabic" w:hAnsi="Traditional Arabic" w:cs="Traditional Arabic"/>
          <w:color w:val="1B1C1D"/>
          <w:sz w:val="28"/>
          <w:szCs w:val="28"/>
          <w:rtl/>
        </w:rPr>
        <w:t xml:space="preserve">ختبر النموذج المتكامل، حيث </w:t>
      </w:r>
      <w:r w:rsidRPr="002E15D3">
        <w:rPr>
          <w:rFonts w:ascii="Traditional Arabic" w:hAnsi="Traditional Arabic" w:cs="Traditional Arabic"/>
          <w:color w:val="1B1C1D"/>
          <w:sz w:val="28"/>
          <w:szCs w:val="28"/>
          <w:rtl/>
        </w:rPr>
        <w:t>ت</w:t>
      </w:r>
      <w:r w:rsidR="00D957AB" w:rsidRPr="002E15D3">
        <w:rPr>
          <w:rFonts w:ascii="Traditional Arabic" w:hAnsi="Traditional Arabic" w:cs="Traditional Arabic"/>
          <w:color w:val="1B1C1D"/>
          <w:sz w:val="28"/>
          <w:szCs w:val="28"/>
          <w:rtl/>
        </w:rPr>
        <w:t>دمج الأثر غير المباشر عبر متغيرين وسيطين بشكل متسلسل، مما يعكس بوضوح عمق الفهم لمنهجية البحث في هذه الأطروحة</w:t>
      </w:r>
      <w:r w:rsidR="00D957AB" w:rsidRPr="002E15D3">
        <w:rPr>
          <w:rFonts w:ascii="Traditional Arabic" w:hAnsi="Traditional Arabic" w:cs="Traditional Arabic"/>
          <w:color w:val="1B1C1D"/>
          <w:sz w:val="28"/>
          <w:szCs w:val="28"/>
        </w:rPr>
        <w:t>.</w:t>
      </w:r>
    </w:p>
    <w:p w14:paraId="3375375A" w14:textId="14EE5D0B" w:rsidR="007E5BA4" w:rsidRPr="00132DA8" w:rsidRDefault="007E5BA4" w:rsidP="00140863">
      <w:pPr>
        <w:bidi/>
        <w:spacing w:line="360" w:lineRule="auto"/>
        <w:rPr>
          <w:rFonts w:ascii="Traditional Arabic" w:hAnsi="Traditional Arabic" w:cs="Traditional Arabic"/>
          <w:b/>
          <w:bCs/>
          <w:sz w:val="32"/>
          <w:szCs w:val="32"/>
          <w:rtl/>
        </w:rPr>
      </w:pPr>
      <w:r w:rsidRPr="00132DA8">
        <w:rPr>
          <w:rFonts w:ascii="Traditional Arabic" w:hAnsi="Traditional Arabic" w:cs="Traditional Arabic"/>
          <w:b/>
          <w:bCs/>
          <w:sz w:val="32"/>
          <w:szCs w:val="32"/>
          <w:rtl/>
        </w:rPr>
        <w:t>6. مفاهيم الدراسة ومصطلحاتها</w:t>
      </w:r>
    </w:p>
    <w:p w14:paraId="40879FDF" w14:textId="77777777" w:rsidR="00A6093A" w:rsidRPr="00A6093A" w:rsidRDefault="00A6093A" w:rsidP="000B0FA3">
      <w:pPr>
        <w:bidi/>
        <w:spacing w:line="360" w:lineRule="auto"/>
        <w:jc w:val="both"/>
        <w:rPr>
          <w:rFonts w:ascii="Traditional Arabic" w:hAnsi="Traditional Arabic" w:cs="Traditional Arabic" w:hint="cs"/>
          <w:sz w:val="28"/>
          <w:szCs w:val="28"/>
          <w:rtl/>
        </w:rPr>
      </w:pPr>
      <w:r w:rsidRPr="00A6093A">
        <w:rPr>
          <w:rFonts w:ascii="Traditional Arabic" w:hAnsi="Traditional Arabic" w:cs="Traditional Arabic"/>
          <w:sz w:val="28"/>
          <w:szCs w:val="28"/>
          <w:rtl/>
        </w:rPr>
        <w:t>يركز هذا القسم على شرح المصطلحات والمفاهيم الأساسية التي شكلت الأساس الذي بنيت عليه الدراسة، وذلك بهدف إزالة أي لبس وضمان وضوح ودقة في فهم المحتوى العلمي المطروح. وقد تم فيه التفريق بين التعريفات الاصطلاحية التي تستند إلى المراجع الأدبية، والتعريفات الإجرائية التي تتوافق مع طبيعة وأهداف الدراسة في سياقها المحدد</w:t>
      </w:r>
      <w:r w:rsidRPr="00A6093A">
        <w:rPr>
          <w:rFonts w:ascii="Traditional Arabic" w:hAnsi="Traditional Arabic" w:cs="Traditional Arabic"/>
          <w:sz w:val="28"/>
          <w:szCs w:val="28"/>
        </w:rPr>
        <w:t>.</w:t>
      </w:r>
    </w:p>
    <w:p w14:paraId="0ACFF9F8" w14:textId="29FEE5B1" w:rsidR="007E5BA4" w:rsidRPr="00132DA8" w:rsidRDefault="007E5BA4" w:rsidP="004F586A">
      <w:pPr>
        <w:bidi/>
        <w:spacing w:line="360" w:lineRule="auto"/>
        <w:rPr>
          <w:rFonts w:ascii="Traditional Arabic" w:hAnsi="Traditional Arabic" w:cs="Traditional Arabic"/>
          <w:b/>
          <w:bCs/>
          <w:sz w:val="28"/>
          <w:szCs w:val="28"/>
        </w:rPr>
      </w:pPr>
      <w:r w:rsidRPr="00132DA8">
        <w:rPr>
          <w:rFonts w:ascii="Traditional Arabic" w:hAnsi="Traditional Arabic" w:cs="Traditional Arabic"/>
          <w:b/>
          <w:bCs/>
          <w:sz w:val="28"/>
          <w:szCs w:val="28"/>
          <w:rtl/>
        </w:rPr>
        <w:t xml:space="preserve">6.1 القيادة التحويلية </w:t>
      </w:r>
      <w:r w:rsidR="004F586A" w:rsidRPr="00132DA8">
        <w:rPr>
          <w:rFonts w:ascii="Traditional Arabic" w:hAnsi="Traditional Arabic" w:cs="Traditional Arabic"/>
          <w:b/>
          <w:bCs/>
          <w:sz w:val="28"/>
          <w:szCs w:val="28"/>
        </w:rPr>
        <w:t>(</w:t>
      </w:r>
      <w:r w:rsidR="004F586A" w:rsidRPr="00132DA8">
        <w:rPr>
          <w:rFonts w:asciiTheme="majorBidi" w:hAnsiTheme="majorBidi" w:cstheme="majorBidi"/>
          <w:b/>
          <w:bCs/>
          <w:sz w:val="28"/>
          <w:szCs w:val="28"/>
        </w:rPr>
        <w:t>Transformational Leadership</w:t>
      </w:r>
      <w:r w:rsidR="004F586A" w:rsidRPr="00132DA8">
        <w:rPr>
          <w:rFonts w:ascii="Traditional Arabic" w:hAnsi="Traditional Arabic" w:cs="Traditional Arabic"/>
          <w:b/>
          <w:bCs/>
          <w:sz w:val="28"/>
          <w:szCs w:val="28"/>
        </w:rPr>
        <w:t>)</w:t>
      </w:r>
    </w:p>
    <w:p w14:paraId="08904617" w14:textId="2426F27D" w:rsidR="00A6093A" w:rsidRPr="002E6AD0" w:rsidRDefault="007E5BA4" w:rsidP="00A6093A">
      <w:pPr>
        <w:bidi/>
        <w:spacing w:line="360" w:lineRule="auto"/>
        <w:rPr>
          <w:rFonts w:ascii="Traditional Arabic" w:hAnsi="Traditional Arabic" w:cs="Traditional Arabic" w:hint="cs"/>
          <w:sz w:val="28"/>
          <w:szCs w:val="28"/>
          <w:rtl/>
        </w:rPr>
      </w:pPr>
      <w:r w:rsidRPr="002E15D3">
        <w:rPr>
          <w:rFonts w:ascii="Traditional Arabic" w:hAnsi="Traditional Arabic" w:cs="Traditional Arabic"/>
          <w:b/>
          <w:bCs/>
          <w:sz w:val="28"/>
          <w:szCs w:val="28"/>
          <w:rtl/>
        </w:rPr>
        <w:t>1. التعريف الأكاديمي والاصطلاحي</w:t>
      </w:r>
      <w:r w:rsidRPr="002E15D3">
        <w:rPr>
          <w:rFonts w:ascii="Traditional Arabic" w:hAnsi="Traditional Arabic" w:cs="Traditional Arabic"/>
          <w:sz w:val="28"/>
          <w:szCs w:val="28"/>
          <w:rtl/>
        </w:rPr>
        <w:t>:</w:t>
      </w:r>
      <w:r w:rsidRPr="002E15D3">
        <w:rPr>
          <w:rFonts w:ascii="Traditional Arabic" w:hAnsi="Traditional Arabic" w:cs="Traditional Arabic"/>
          <w:sz w:val="28"/>
          <w:szCs w:val="28"/>
          <w:rtl/>
        </w:rPr>
        <w:br/>
      </w:r>
      <w:r w:rsidR="00A6093A" w:rsidRPr="002E15D3">
        <w:rPr>
          <w:rFonts w:ascii="Traditional Arabic" w:hAnsi="Traditional Arabic" w:cs="Traditional Arabic"/>
          <w:sz w:val="28"/>
          <w:szCs w:val="28"/>
          <w:rtl/>
        </w:rPr>
        <w:t>إنه أسلوب قيادي يسعى إلى تحفيز الأفراد وإلهامهم لتقديم الأولوية لمصالح المجموعة والمؤسسة على حساب مصالحهم الشخصية، بهدف تحقيق الأهداف المشتركة</w:t>
      </w:r>
      <w:r w:rsidR="00A6093A" w:rsidRPr="002E15D3">
        <w:rPr>
          <w:rFonts w:ascii="Traditional Arabic" w:hAnsi="Traditional Arabic" w:cs="Traditional Arabic"/>
          <w:sz w:val="28"/>
          <w:szCs w:val="28"/>
        </w:rPr>
        <w:t xml:space="preserve">. </w:t>
      </w:r>
      <w:r w:rsidR="00A6093A" w:rsidRPr="002E15D3">
        <w:rPr>
          <w:rFonts w:ascii="Traditional Arabic" w:hAnsi="Traditional Arabic" w:cs="Traditional Arabic"/>
          <w:sz w:val="28"/>
          <w:szCs w:val="28"/>
          <w:rtl/>
        </w:rPr>
        <w:t>يتميز هذا النوع من القيادة بتأثيره النموذجي، وتحفيزه الملهم، وتقديره للاحتياجات الفردية، بالإضافة إلى تشجيعه للتفكير الابتكاري</w:t>
      </w:r>
      <w:r w:rsidR="002E6AD0">
        <w:rPr>
          <w:rFonts w:ascii="Traditional Arabic" w:hAnsi="Traditional Arabic" w:cs="Traditional Arabic"/>
          <w:sz w:val="28"/>
          <w:szCs w:val="28"/>
        </w:rPr>
        <w:fldChar w:fldCharType="begin"/>
      </w:r>
      <w:r w:rsidR="002E6AD0">
        <w:rPr>
          <w:rFonts w:ascii="Traditional Arabic" w:hAnsi="Traditional Arabic" w:cs="Traditional Arabic"/>
          <w:sz w:val="28"/>
          <w:szCs w:val="28"/>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002E6AD0">
        <w:rPr>
          <w:rFonts w:ascii="Traditional Arabic" w:hAnsi="Traditional Arabic" w:cs="Traditional Arabic"/>
          <w:sz w:val="28"/>
          <w:szCs w:val="28"/>
        </w:rPr>
        <w:fldChar w:fldCharType="separate"/>
      </w:r>
      <w:r w:rsidR="002E6AD0">
        <w:rPr>
          <w:rFonts w:ascii="Traditional Arabic" w:hAnsi="Traditional Arabic" w:cs="Traditional Arabic"/>
          <w:noProof/>
          <w:sz w:val="28"/>
          <w:szCs w:val="28"/>
        </w:rPr>
        <w:t>(Bass &amp; Avolio, 1996)</w:t>
      </w:r>
      <w:r w:rsidR="002E6AD0">
        <w:rPr>
          <w:rFonts w:ascii="Traditional Arabic" w:hAnsi="Traditional Arabic" w:cs="Traditional Arabic"/>
          <w:sz w:val="28"/>
          <w:szCs w:val="28"/>
        </w:rPr>
        <w:fldChar w:fldCharType="end"/>
      </w:r>
      <w:r w:rsidR="002E6AD0">
        <w:rPr>
          <w:rFonts w:ascii="Traditional Arabic" w:hAnsi="Traditional Arabic" w:cs="Traditional Arabic" w:hint="cs"/>
          <w:sz w:val="28"/>
          <w:szCs w:val="28"/>
          <w:rtl/>
        </w:rPr>
        <w:t>.</w:t>
      </w:r>
    </w:p>
    <w:p w14:paraId="7B0C36FA" w14:textId="21DD9914" w:rsidR="007E5BA4" w:rsidRPr="002E15D3" w:rsidRDefault="007E5BA4" w:rsidP="00A6093A">
      <w:pPr>
        <w:bidi/>
        <w:spacing w:line="360" w:lineRule="auto"/>
        <w:rPr>
          <w:rFonts w:ascii="Traditional Arabic" w:hAnsi="Traditional Arabic" w:cs="Traditional Arabic" w:hint="cs"/>
          <w:sz w:val="28"/>
          <w:szCs w:val="28"/>
          <w:rtl/>
        </w:rPr>
      </w:pPr>
      <w:r w:rsidRPr="002E15D3">
        <w:rPr>
          <w:rFonts w:ascii="Traditional Arabic" w:hAnsi="Traditional Arabic" w:cs="Traditional Arabic"/>
          <w:sz w:val="28"/>
          <w:szCs w:val="28"/>
          <w:rtl/>
        </w:rPr>
        <w:t xml:space="preserve">2. </w:t>
      </w:r>
      <w:r w:rsidRPr="002E15D3">
        <w:rPr>
          <w:rFonts w:ascii="Traditional Arabic" w:hAnsi="Traditional Arabic" w:cs="Traditional Arabic"/>
          <w:b/>
          <w:bCs/>
          <w:sz w:val="28"/>
          <w:szCs w:val="28"/>
          <w:rtl/>
        </w:rPr>
        <w:t>التعريف الإجرائي في الدراسة</w:t>
      </w:r>
      <w:r w:rsidRPr="002E15D3">
        <w:rPr>
          <w:rFonts w:ascii="Traditional Arabic" w:hAnsi="Traditional Arabic" w:cs="Traditional Arabic"/>
          <w:sz w:val="28"/>
          <w:szCs w:val="28"/>
          <w:rtl/>
        </w:rPr>
        <w:t>:</w:t>
      </w:r>
    </w:p>
    <w:p w14:paraId="6DCD8161" w14:textId="77777777" w:rsidR="00A6093A" w:rsidRPr="00A6093A" w:rsidRDefault="00A6093A" w:rsidP="000B0FA3">
      <w:pPr>
        <w:bidi/>
        <w:spacing w:line="360" w:lineRule="auto"/>
        <w:jc w:val="both"/>
        <w:rPr>
          <w:rFonts w:ascii="Traditional Arabic" w:hAnsi="Traditional Arabic" w:cs="Traditional Arabic"/>
          <w:sz w:val="28"/>
          <w:szCs w:val="28"/>
        </w:rPr>
      </w:pPr>
      <w:r w:rsidRPr="00A6093A">
        <w:rPr>
          <w:rFonts w:ascii="Traditional Arabic" w:hAnsi="Traditional Arabic" w:cs="Traditional Arabic"/>
          <w:sz w:val="28"/>
          <w:szCs w:val="28"/>
          <w:rtl/>
        </w:rPr>
        <w:t>مدى إدراك العاملين والممارسين الصحيين في مستشفيات القطاع الحكومي بمنطقة الجوف لمستوى تطبيق القيادات الإدارية والطبية لأبعاد القيادة التحويلية، والذي يتم تقييمه من خلال الفقرات المعتمدة في استبانة الدراسة</w:t>
      </w:r>
      <w:r w:rsidRPr="00A6093A">
        <w:rPr>
          <w:rFonts w:ascii="Traditional Arabic" w:hAnsi="Traditional Arabic" w:cs="Traditional Arabic"/>
          <w:sz w:val="28"/>
          <w:szCs w:val="28"/>
        </w:rPr>
        <w:t>.</w:t>
      </w:r>
    </w:p>
    <w:p w14:paraId="0B08FB1D" w14:textId="77777777" w:rsidR="000B0FA3" w:rsidRPr="00132DA8" w:rsidRDefault="007E5BA4" w:rsidP="000B0FA3">
      <w:pPr>
        <w:bidi/>
        <w:spacing w:line="360" w:lineRule="auto"/>
        <w:rPr>
          <w:rFonts w:ascii="Traditional Arabic" w:hAnsi="Traditional Arabic" w:cs="Traditional Arabic"/>
          <w:b/>
          <w:bCs/>
          <w:sz w:val="28"/>
          <w:szCs w:val="28"/>
          <w:rtl/>
        </w:rPr>
      </w:pPr>
      <w:r w:rsidRPr="00132DA8">
        <w:rPr>
          <w:rFonts w:ascii="Traditional Arabic" w:hAnsi="Traditional Arabic" w:cs="Traditional Arabic"/>
          <w:b/>
          <w:bCs/>
          <w:sz w:val="28"/>
          <w:szCs w:val="28"/>
          <w:rtl/>
        </w:rPr>
        <w:lastRenderedPageBreak/>
        <w:t xml:space="preserve">6.2. ثقافة السلامة </w:t>
      </w:r>
      <w:r w:rsidR="004F586A" w:rsidRPr="00132DA8">
        <w:rPr>
          <w:rFonts w:ascii="Traditional Arabic" w:hAnsi="Traditional Arabic" w:cs="Traditional Arabic"/>
          <w:b/>
          <w:bCs/>
          <w:sz w:val="28"/>
          <w:szCs w:val="28"/>
        </w:rPr>
        <w:t>(</w:t>
      </w:r>
      <w:r w:rsidR="004F586A" w:rsidRPr="00132DA8">
        <w:rPr>
          <w:rFonts w:asciiTheme="majorBidi" w:hAnsiTheme="majorBidi" w:cstheme="majorBidi"/>
          <w:b/>
          <w:bCs/>
          <w:sz w:val="28"/>
          <w:szCs w:val="28"/>
        </w:rPr>
        <w:t>Safety Culture</w:t>
      </w:r>
      <w:r w:rsidR="004F586A" w:rsidRPr="00132DA8">
        <w:rPr>
          <w:rFonts w:ascii="Traditional Arabic" w:hAnsi="Traditional Arabic" w:cs="Traditional Arabic"/>
          <w:b/>
          <w:bCs/>
          <w:sz w:val="28"/>
          <w:szCs w:val="28"/>
        </w:rPr>
        <w:t>)</w:t>
      </w:r>
    </w:p>
    <w:p w14:paraId="2826855C" w14:textId="7089FA5A" w:rsidR="00A6093A" w:rsidRPr="002E15D3" w:rsidRDefault="000B0FA3" w:rsidP="000B0FA3">
      <w:pPr>
        <w:bidi/>
        <w:spacing w:line="360" w:lineRule="auto"/>
        <w:jc w:val="both"/>
        <w:rPr>
          <w:rFonts w:ascii="Traditional Arabic" w:hAnsi="Traditional Arabic" w:cs="Traditional Arabic"/>
          <w:b/>
          <w:bCs/>
          <w:sz w:val="32"/>
          <w:szCs w:val="32"/>
        </w:rPr>
      </w:pPr>
      <w:r w:rsidRPr="002E15D3">
        <w:rPr>
          <w:rFonts w:ascii="Traditional Arabic" w:hAnsi="Traditional Arabic" w:cs="Traditional Arabic"/>
          <w:b/>
          <w:bCs/>
          <w:sz w:val="28"/>
          <w:szCs w:val="28"/>
          <w:rtl/>
        </w:rPr>
        <w:t>1.</w:t>
      </w:r>
      <w:r w:rsidR="00A6093A" w:rsidRPr="002E15D3">
        <w:rPr>
          <w:rFonts w:ascii="Traditional Arabic" w:hAnsi="Traditional Arabic" w:cs="Traditional Arabic"/>
          <w:b/>
          <w:bCs/>
          <w:sz w:val="28"/>
          <w:szCs w:val="28"/>
          <w:rtl/>
        </w:rPr>
        <w:t xml:space="preserve">التعريف الأكاديمي والاصطلاحي: </w:t>
      </w:r>
      <w:r w:rsidR="00A6093A" w:rsidRPr="002E15D3">
        <w:rPr>
          <w:rFonts w:ascii="Traditional Arabic" w:hAnsi="Traditional Arabic" w:cs="Traditional Arabic"/>
          <w:sz w:val="28"/>
          <w:szCs w:val="28"/>
          <w:rtl/>
        </w:rPr>
        <w:t>يشير إلى أنه يمثل حصيلة القيم، والاتجاهات، والقدرات، وأنماط السلوك على المستويين الفردي والجماعي، والتي تعكس مدى التزام إدارة المؤسسة بتعزيز معايير الصحة والسلامة</w:t>
      </w:r>
      <w:r w:rsidR="00A6093A" w:rsidRPr="002E15D3">
        <w:rPr>
          <w:rFonts w:ascii="Traditional Arabic" w:hAnsi="Traditional Arabic" w:cs="Traditional Arabic"/>
          <w:sz w:val="28"/>
          <w:szCs w:val="28"/>
        </w:rPr>
        <w:t xml:space="preserve">. </w:t>
      </w:r>
      <w:r w:rsidR="00A6093A" w:rsidRPr="002E15D3">
        <w:rPr>
          <w:rFonts w:ascii="Traditional Arabic" w:hAnsi="Traditional Arabic" w:cs="Traditional Arabic"/>
          <w:sz w:val="28"/>
          <w:szCs w:val="28"/>
          <w:rtl/>
        </w:rPr>
        <w:t>هذا الالتزام يتجاوز مجرد الامتثال للمتطلبات القانونية أو التنظيمية، ليصبح عنصرًا جوهريًا وأولوية قصوى مدمجة ضمن الأولويات اليومية للمؤس</w:t>
      </w:r>
      <w:r w:rsidR="002E6AD0">
        <w:rPr>
          <w:rFonts w:ascii="Traditional Arabic" w:hAnsi="Traditional Arabic" w:cs="Traditional Arabic" w:hint="cs"/>
          <w:sz w:val="28"/>
          <w:szCs w:val="28"/>
          <w:rtl/>
        </w:rPr>
        <w:t xml:space="preserve">سة </w:t>
      </w:r>
      <w:r w:rsidR="000F64C0">
        <w:rPr>
          <w:rFonts w:ascii="Traditional Arabic" w:hAnsi="Traditional Arabic" w:cs="Traditional Arabic"/>
          <w:sz w:val="28"/>
          <w:szCs w:val="28"/>
          <w:rtl/>
        </w:rPr>
        <w:fldChar w:fldCharType="begin"/>
      </w:r>
      <w:r w:rsidR="000F64C0">
        <w:rPr>
          <w:rFonts w:ascii="Traditional Arabic" w:hAnsi="Traditional Arabic" w:cs="Traditional Arabic"/>
          <w:sz w:val="28"/>
          <w:szCs w:val="28"/>
          <w:rtl/>
        </w:rPr>
        <w:instrText xml:space="preserve"> </w:instrText>
      </w:r>
      <w:r w:rsidR="000F64C0">
        <w:rPr>
          <w:rFonts w:ascii="Traditional Arabic" w:hAnsi="Traditional Arabic" w:cs="Traditional Arabic"/>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record&gt;&lt;/Cite&gt;&lt;/EndNote</w:instrText>
      </w:r>
      <w:r w:rsidR="000F64C0">
        <w:rPr>
          <w:rFonts w:ascii="Traditional Arabic" w:hAnsi="Traditional Arabic" w:cs="Traditional Arabic"/>
          <w:sz w:val="28"/>
          <w:szCs w:val="28"/>
          <w:rtl/>
        </w:rPr>
        <w:instrText>&gt;</w:instrText>
      </w:r>
      <w:r w:rsidR="000F64C0">
        <w:rPr>
          <w:rFonts w:ascii="Traditional Arabic" w:hAnsi="Traditional Arabic" w:cs="Traditional Arabic"/>
          <w:sz w:val="28"/>
          <w:szCs w:val="28"/>
          <w:rtl/>
        </w:rPr>
        <w:fldChar w:fldCharType="separate"/>
      </w:r>
      <w:r w:rsidR="000F64C0">
        <w:rPr>
          <w:rFonts w:ascii="Traditional Arabic" w:hAnsi="Traditional Arabic" w:cs="Traditional Arabic"/>
          <w:noProof/>
          <w:sz w:val="28"/>
          <w:szCs w:val="28"/>
          <w:rtl/>
        </w:rPr>
        <w:t>(</w:t>
      </w:r>
      <w:r w:rsidR="000F64C0">
        <w:rPr>
          <w:rFonts w:ascii="Traditional Arabic" w:hAnsi="Traditional Arabic" w:cs="Traditional Arabic"/>
          <w:noProof/>
          <w:sz w:val="28"/>
          <w:szCs w:val="28"/>
        </w:rPr>
        <w:t>Asante &amp; Novak, 2024</w:t>
      </w:r>
      <w:r w:rsidR="000F64C0">
        <w:rPr>
          <w:rFonts w:ascii="Traditional Arabic" w:hAnsi="Traditional Arabic" w:cs="Traditional Arabic"/>
          <w:noProof/>
          <w:sz w:val="28"/>
          <w:szCs w:val="28"/>
          <w:rtl/>
        </w:rPr>
        <w:t>)</w:t>
      </w:r>
      <w:r w:rsidR="000F64C0">
        <w:rPr>
          <w:rFonts w:ascii="Traditional Arabic" w:hAnsi="Traditional Arabic" w:cs="Traditional Arabic"/>
          <w:sz w:val="28"/>
          <w:szCs w:val="28"/>
          <w:rtl/>
        </w:rPr>
        <w:fldChar w:fldCharType="end"/>
      </w:r>
      <w:r w:rsidR="00A6093A" w:rsidRPr="002E15D3">
        <w:rPr>
          <w:rFonts w:ascii="Traditional Arabic" w:hAnsi="Traditional Arabic" w:cs="Traditional Arabic"/>
          <w:sz w:val="28"/>
          <w:szCs w:val="28"/>
          <w:rtl/>
        </w:rPr>
        <w:t xml:space="preserve"> </w:t>
      </w:r>
      <w:r w:rsidR="000F64C0">
        <w:rPr>
          <w:rFonts w:ascii="Traditional Arabic" w:hAnsi="Traditional Arabic" w:cs="Traditional Arabic" w:hint="cs"/>
          <w:sz w:val="28"/>
          <w:szCs w:val="28"/>
          <w:rtl/>
        </w:rPr>
        <w:t>.</w:t>
      </w:r>
    </w:p>
    <w:p w14:paraId="29033DDE" w14:textId="608AC06F" w:rsidR="007E5BA4" w:rsidRPr="002E15D3" w:rsidRDefault="007E5BA4" w:rsidP="000B0FA3">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2. </w:t>
      </w:r>
      <w:r w:rsidRPr="002E15D3">
        <w:rPr>
          <w:rFonts w:ascii="Traditional Arabic" w:hAnsi="Traditional Arabic" w:cs="Traditional Arabic"/>
          <w:b/>
          <w:bCs/>
          <w:sz w:val="28"/>
          <w:szCs w:val="28"/>
          <w:rtl/>
        </w:rPr>
        <w:t xml:space="preserve">التعريف الإجرائي في </w:t>
      </w:r>
      <w:r w:rsidR="000B0FA3" w:rsidRPr="002E15D3">
        <w:rPr>
          <w:rFonts w:ascii="Traditional Arabic" w:hAnsi="Traditional Arabic" w:cs="Traditional Arabic"/>
          <w:b/>
          <w:bCs/>
          <w:sz w:val="28"/>
          <w:szCs w:val="28"/>
          <w:rtl/>
        </w:rPr>
        <w:t>الدراسة</w:t>
      </w:r>
      <w:r w:rsidR="000B0FA3" w:rsidRPr="002E15D3">
        <w:rPr>
          <w:rFonts w:ascii="Traditional Arabic" w:hAnsi="Traditional Arabic" w:cs="Traditional Arabic"/>
          <w:sz w:val="28"/>
          <w:szCs w:val="28"/>
          <w:rtl/>
        </w:rPr>
        <w:t>: هي</w:t>
      </w:r>
      <w:r w:rsidR="00C27F64" w:rsidRPr="002E15D3">
        <w:rPr>
          <w:rFonts w:ascii="Traditional Arabic" w:hAnsi="Traditional Arabic" w:cs="Traditional Arabic"/>
          <w:sz w:val="28"/>
          <w:szCs w:val="28"/>
          <w:rtl/>
        </w:rPr>
        <w:t xml:space="preserve"> إدراك العاملين والممارسين الصحيين في مستشفيات القطاع الحكومي بمنطقة الجوف لمجموعة الأبعاد المتعلقة بسلامة المرضى (مثل: دعم الإدارة للسلامة، والتواصل المفتوح، والتغذية الراجعة، والتعلم من الأخطاء)، والتي تُقاس بالدرجة الكلية التي يحصل عليها المستجيبون عبر أبعاد استبانة ثقافة السلامة المعتمدة.</w:t>
      </w:r>
    </w:p>
    <w:p w14:paraId="7C6948C2" w14:textId="7F625917" w:rsidR="007E5BA4" w:rsidRPr="002E15D3" w:rsidRDefault="00C27F64" w:rsidP="007E5BA4">
      <w:pPr>
        <w:bidi/>
        <w:spacing w:line="360" w:lineRule="auto"/>
        <w:rPr>
          <w:rFonts w:ascii="Traditional Arabic" w:hAnsi="Traditional Arabic" w:cs="Traditional Arabic"/>
          <w:b/>
          <w:bCs/>
          <w:sz w:val="28"/>
          <w:szCs w:val="28"/>
        </w:rPr>
      </w:pPr>
      <w:r w:rsidRPr="002E15D3">
        <w:rPr>
          <w:rFonts w:ascii="Traditional Arabic" w:hAnsi="Traditional Arabic" w:cs="Traditional Arabic"/>
          <w:b/>
          <w:bCs/>
          <w:sz w:val="28"/>
          <w:szCs w:val="28"/>
          <w:rtl/>
        </w:rPr>
        <w:t>6</w:t>
      </w:r>
      <w:r w:rsidR="007E5BA4" w:rsidRPr="002E15D3">
        <w:rPr>
          <w:rFonts w:ascii="Traditional Arabic" w:hAnsi="Traditional Arabic" w:cs="Traditional Arabic"/>
          <w:b/>
          <w:bCs/>
          <w:sz w:val="28"/>
          <w:szCs w:val="28"/>
          <w:rtl/>
        </w:rPr>
        <w:t>.3. سلوكيات السلامة (</w:t>
      </w:r>
      <w:r w:rsidR="007E5BA4" w:rsidRPr="002E15D3">
        <w:rPr>
          <w:rFonts w:ascii="Traditional Arabic" w:hAnsi="Traditional Arabic" w:cs="Traditional Arabic"/>
          <w:b/>
          <w:bCs/>
          <w:sz w:val="28"/>
          <w:szCs w:val="28"/>
        </w:rPr>
        <w:t>Safety Behaviors</w:t>
      </w:r>
      <w:r w:rsidR="007E5BA4" w:rsidRPr="002E15D3">
        <w:rPr>
          <w:rFonts w:ascii="Traditional Arabic" w:hAnsi="Traditional Arabic" w:cs="Traditional Arabic"/>
          <w:b/>
          <w:bCs/>
          <w:sz w:val="28"/>
          <w:szCs w:val="28"/>
          <w:rtl/>
        </w:rPr>
        <w:t>)</w:t>
      </w:r>
    </w:p>
    <w:p w14:paraId="664C2FA2" w14:textId="7FF68272" w:rsidR="00C27F64" w:rsidRPr="002E15D3" w:rsidRDefault="00C27F64" w:rsidP="000B0FA3">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1. التعريف الأكاديمي والاصطلاحي</w:t>
      </w:r>
      <w:r w:rsidRPr="002E15D3">
        <w:rPr>
          <w:rFonts w:ascii="Traditional Arabic" w:hAnsi="Traditional Arabic" w:cs="Traditional Arabic"/>
          <w:sz w:val="28"/>
          <w:szCs w:val="28"/>
          <w:rtl/>
        </w:rPr>
        <w:t>:</w:t>
      </w:r>
      <w:r w:rsidR="000B0FA3" w:rsidRPr="002E15D3">
        <w:rPr>
          <w:rFonts w:ascii="Traditional Arabic" w:hAnsi="Traditional Arabic" w:cs="Traditional Arabic"/>
          <w:sz w:val="28"/>
          <w:szCs w:val="28"/>
          <w:rtl/>
        </w:rPr>
        <w:t xml:space="preserve"> </w:t>
      </w:r>
      <w:r w:rsidRPr="002E15D3">
        <w:rPr>
          <w:rFonts w:ascii="Traditional Arabic" w:hAnsi="Traditional Arabic" w:cs="Traditional Arabic"/>
          <w:sz w:val="28"/>
          <w:szCs w:val="28"/>
          <w:rtl/>
        </w:rPr>
        <w:t xml:space="preserve">هي الأداءات والإجراءات التي يقوم بها الممارسون الصحيون داخل بيئة العمل والتي تهدف بشكل مباشر إلى الحفاظ على سلامة المريض ومنع وقوع الأخطاء، وتشمل الالتزام بالبروتوكولات، والإبلاغ عن الأحداث الوشيكة، واستخدام معدات الحماية بشكل صحيح </w:t>
      </w:r>
      <w:r w:rsidR="000F64C0">
        <w:rPr>
          <w:rFonts w:ascii="Traditional Arabic" w:hAnsi="Traditional Arabic" w:cs="Traditional Arabic"/>
          <w:sz w:val="28"/>
          <w:szCs w:val="28"/>
          <w:rtl/>
        </w:rPr>
        <w:fldChar w:fldCharType="begin"/>
      </w:r>
      <w:r w:rsidR="000F64C0">
        <w:rPr>
          <w:rFonts w:ascii="Traditional Arabic" w:hAnsi="Traditional Arabic" w:cs="Traditional Arabic"/>
          <w:sz w:val="28"/>
          <w:szCs w:val="28"/>
          <w:rtl/>
        </w:rPr>
        <w:instrText xml:space="preserve"> </w:instrText>
      </w:r>
      <w:r w:rsidR="000F64C0">
        <w:rPr>
          <w:rFonts w:ascii="Traditional Arabic" w:hAnsi="Traditional Arabic" w:cs="Traditional Arabic"/>
          <w:sz w:val="28"/>
          <w:szCs w:val="28"/>
        </w:rPr>
        <w:instrText>ADDIN EN.CITE &lt;EndNote&gt;&lt;Cite&gt;&lt;Author&gt;Mohammed&lt;/Author&gt;&lt;Year&gt;2025&lt;/Year&gt;&lt;RecNum&gt;144&lt;/RecNum&gt;&lt;DisplayText&gt;(Mohammed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w:instrText>
      </w:r>
      <w:r w:rsidR="000F64C0">
        <w:rPr>
          <w:rFonts w:ascii="Traditional Arabic" w:hAnsi="Traditional Arabic" w:cs="Traditional Arabic"/>
          <w:sz w:val="28"/>
          <w:szCs w:val="28"/>
          <w:rtl/>
        </w:rPr>
        <w:instrText>&gt;&lt;</w:instrText>
      </w:r>
      <w:r w:rsidR="000F64C0">
        <w:rPr>
          <w:rFonts w:ascii="Traditional Arabic" w:hAnsi="Traditional Arabic" w:cs="Traditional Arabic"/>
          <w:sz w:val="28"/>
          <w:szCs w:val="28"/>
        </w:rPr>
        <w:instrTex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Commitment&lt;/title&gt;&lt;/titles&gt;&lt;dates&gt;&lt;year&gt;2025&lt;/year&gt;&lt;/dates&gt;&lt;accession-num&gt;article&lt;/accession-num&gt;&lt;urls&gt;&lt;/urls&gt;&lt;/record&gt;&lt;/Cite&gt;&lt;/EndNote</w:instrText>
      </w:r>
      <w:r w:rsidR="000F64C0">
        <w:rPr>
          <w:rFonts w:ascii="Traditional Arabic" w:hAnsi="Traditional Arabic" w:cs="Traditional Arabic"/>
          <w:sz w:val="28"/>
          <w:szCs w:val="28"/>
          <w:rtl/>
        </w:rPr>
        <w:instrText>&gt;</w:instrText>
      </w:r>
      <w:r w:rsidR="000F64C0">
        <w:rPr>
          <w:rFonts w:ascii="Traditional Arabic" w:hAnsi="Traditional Arabic" w:cs="Traditional Arabic"/>
          <w:sz w:val="28"/>
          <w:szCs w:val="28"/>
          <w:rtl/>
        </w:rPr>
        <w:fldChar w:fldCharType="separate"/>
      </w:r>
      <w:r w:rsidR="000F64C0">
        <w:rPr>
          <w:rFonts w:ascii="Traditional Arabic" w:hAnsi="Traditional Arabic" w:cs="Traditional Arabic"/>
          <w:noProof/>
          <w:sz w:val="28"/>
          <w:szCs w:val="28"/>
          <w:rtl/>
        </w:rPr>
        <w:t>(</w:t>
      </w:r>
      <w:r w:rsidR="000F64C0">
        <w:rPr>
          <w:rFonts w:ascii="Traditional Arabic" w:hAnsi="Traditional Arabic" w:cs="Traditional Arabic"/>
          <w:noProof/>
          <w:sz w:val="28"/>
          <w:szCs w:val="28"/>
        </w:rPr>
        <w:t>Mohammed et al., 2025</w:t>
      </w:r>
      <w:r w:rsidR="000F64C0">
        <w:rPr>
          <w:rFonts w:ascii="Traditional Arabic" w:hAnsi="Traditional Arabic" w:cs="Traditional Arabic"/>
          <w:noProof/>
          <w:sz w:val="28"/>
          <w:szCs w:val="28"/>
          <w:rtl/>
        </w:rPr>
        <w:t>)</w:t>
      </w:r>
      <w:r w:rsidR="000F64C0">
        <w:rPr>
          <w:rFonts w:ascii="Traditional Arabic" w:hAnsi="Traditional Arabic" w:cs="Traditional Arabic"/>
          <w:sz w:val="28"/>
          <w:szCs w:val="28"/>
          <w:rtl/>
        </w:rPr>
        <w:fldChar w:fldCharType="end"/>
      </w:r>
      <w:r w:rsidRPr="002E15D3">
        <w:rPr>
          <w:rFonts w:ascii="Traditional Arabic" w:hAnsi="Traditional Arabic" w:cs="Traditional Arabic"/>
          <w:sz w:val="28"/>
          <w:szCs w:val="28"/>
          <w:rtl/>
        </w:rPr>
        <w:t>.</w:t>
      </w:r>
    </w:p>
    <w:p w14:paraId="1DBABFEF" w14:textId="1773EDCF" w:rsidR="007E5BA4" w:rsidRPr="002E15D3" w:rsidRDefault="00C27F64" w:rsidP="000B0FA3">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2. </w:t>
      </w:r>
      <w:r w:rsidRPr="002E15D3">
        <w:rPr>
          <w:rFonts w:ascii="Traditional Arabic" w:hAnsi="Traditional Arabic" w:cs="Traditional Arabic"/>
          <w:b/>
          <w:bCs/>
          <w:sz w:val="28"/>
          <w:szCs w:val="28"/>
          <w:rtl/>
        </w:rPr>
        <w:t>التعريف الإجرائي في الدراسة</w:t>
      </w:r>
      <w:r w:rsidRPr="002E15D3">
        <w:rPr>
          <w:rFonts w:ascii="Traditional Arabic" w:hAnsi="Traditional Arabic" w:cs="Traditional Arabic"/>
          <w:sz w:val="28"/>
          <w:szCs w:val="28"/>
          <w:rtl/>
        </w:rPr>
        <w:t>:</w:t>
      </w:r>
      <w:r w:rsidR="000B0FA3" w:rsidRPr="002E15D3">
        <w:rPr>
          <w:rFonts w:ascii="Traditional Arabic" w:hAnsi="Traditional Arabic" w:cs="Traditional Arabic"/>
          <w:sz w:val="28"/>
          <w:szCs w:val="28"/>
          <w:rtl/>
        </w:rPr>
        <w:t xml:space="preserve"> </w:t>
      </w:r>
      <w:r w:rsidRPr="002E15D3">
        <w:rPr>
          <w:rFonts w:ascii="Traditional Arabic" w:hAnsi="Traditional Arabic" w:cs="Traditional Arabic"/>
          <w:sz w:val="28"/>
          <w:szCs w:val="28"/>
          <w:rtl/>
        </w:rPr>
        <w:t>هي مجموعة الممارسات الفعلية والالتزام العملي للممارسين الصحيين في مستشفيات القطاع الحكومي بمنطقة الجوف بالبروتوكولات والإجراءات الهادفة لحماية المريض (كغسل الأيدي، والتحقق من هوية المريض، والالتزام بقائمة تدقيق العمليات)، والتي تُقاس من خلال تقييم المستجيبين لمدى تطبيقهم لهذه السلوكيات في الاستبانة</w:t>
      </w:r>
      <w:r w:rsidR="00813540">
        <w:rPr>
          <w:rFonts w:ascii="Traditional Arabic" w:hAnsi="Traditional Arabic" w:cs="Traditional Arabic"/>
          <w:sz w:val="28"/>
          <w:szCs w:val="28"/>
          <w:rtl/>
        </w:rPr>
        <w:fldChar w:fldCharType="begin"/>
      </w:r>
      <w:r w:rsidR="00813540">
        <w:rPr>
          <w:rFonts w:ascii="Traditional Arabic" w:hAnsi="Traditional Arabic" w:cs="Traditional Arabic"/>
          <w:sz w:val="28"/>
          <w:szCs w:val="28"/>
          <w:rtl/>
        </w:rPr>
        <w:instrText xml:space="preserve"> </w:instrText>
      </w:r>
      <w:r w:rsidR="00813540">
        <w:rPr>
          <w:rFonts w:ascii="Traditional Arabic" w:hAnsi="Traditional Arabic" w:cs="Traditional Arabic"/>
          <w:sz w:val="28"/>
          <w:szCs w:val="28"/>
        </w:rPr>
        <w:instrText>ADDIN EN.CITE &lt;EndNote&gt;&lt;Cite&gt;&lt;Author</w:instrText>
      </w:r>
      <w:r w:rsidR="00813540">
        <w:rPr>
          <w:rFonts w:ascii="Traditional Arabic" w:hAnsi="Traditional Arabic" w:cs="Traditional Arabic"/>
          <w:sz w:val="28"/>
          <w:szCs w:val="28"/>
          <w:rtl/>
        </w:rPr>
        <w:instrText>&gt;الحمري&lt;/</w:instrText>
      </w:r>
      <w:r w:rsidR="00813540">
        <w:rPr>
          <w:rFonts w:ascii="Traditional Arabic" w:hAnsi="Traditional Arabic" w:cs="Traditional Arabic"/>
          <w:sz w:val="28"/>
          <w:szCs w:val="28"/>
        </w:rPr>
        <w:instrText>Author&gt;&lt;Year&gt;2025&lt;/Year&gt;&lt;RecNum&gt;183&lt;/RecNum&gt;&lt;DisplayText</w:instrText>
      </w:r>
      <w:r w:rsidR="00813540">
        <w:rPr>
          <w:rFonts w:ascii="Traditional Arabic" w:hAnsi="Traditional Arabic" w:cs="Traditional Arabic"/>
          <w:sz w:val="28"/>
          <w:szCs w:val="28"/>
          <w:rtl/>
        </w:rPr>
        <w:instrText>&gt;(الحمري, 2025)&lt;/</w:instrText>
      </w:r>
      <w:r w:rsidR="00813540">
        <w:rPr>
          <w:rFonts w:ascii="Traditional Arabic" w:hAnsi="Traditional Arabic" w:cs="Traditional Arabic"/>
          <w:sz w:val="28"/>
          <w:szCs w:val="28"/>
        </w:rPr>
        <w:instrText>DisplayText&gt;&lt;record&gt;&lt;rec-number&gt;183&lt;/rec-number&gt;&lt;foreign-keys&gt;&lt;key app="EN" db-id="02retxxrerxdxhe9aphvs0z2t9z25p0ew99s" timestamp="1754</w:instrText>
      </w:r>
      <w:r w:rsidR="00813540">
        <w:rPr>
          <w:rFonts w:ascii="Traditional Arabic" w:hAnsi="Traditional Arabic" w:cs="Traditional Arabic"/>
          <w:sz w:val="28"/>
          <w:szCs w:val="28"/>
          <w:rtl/>
        </w:rPr>
        <w:instrText>598889"&gt;183&lt;/</w:instrText>
      </w:r>
      <w:r w:rsidR="00813540">
        <w:rPr>
          <w:rFonts w:ascii="Traditional Arabic" w:hAnsi="Traditional Arabic" w:cs="Traditional Arabic"/>
          <w:sz w:val="28"/>
          <w:szCs w:val="28"/>
        </w:rPr>
        <w:instrText>key&gt;&lt;/foreign-keys&gt;&lt;ref-type name="Journal Article"&gt;17&lt;/ref-type&gt;&lt;contributors&gt;&lt;authors&gt;&lt;author&gt;&lt;style face="normal" font="default" charset="178" size="100%</w:instrText>
      </w:r>
      <w:r w:rsidR="00813540">
        <w:rPr>
          <w:rFonts w:ascii="Traditional Arabic" w:hAnsi="Traditional Arabic" w:cs="Traditional Arabic"/>
          <w:sz w:val="28"/>
          <w:szCs w:val="28"/>
          <w:rtl/>
        </w:rPr>
        <w:instrText>"&gt;منصور المطيري،عبد الله الحمري&lt;/</w:instrText>
      </w:r>
      <w:r w:rsidR="00813540">
        <w:rPr>
          <w:rFonts w:ascii="Traditional Arabic" w:hAnsi="Traditional Arabic" w:cs="Traditional Arabic"/>
          <w:sz w:val="28"/>
          <w:szCs w:val="28"/>
        </w:rPr>
        <w:instrText>style&gt;&lt;/author&gt;&lt;/authors&gt;&lt;/contributors&gt;&lt;titles&gt;&lt;title&gt;&lt;style face="normal" font="default" charset="178" size="100%</w:instrText>
      </w:r>
      <w:r w:rsidR="00813540">
        <w:rPr>
          <w:rFonts w:ascii="Traditional Arabic" w:hAnsi="Traditional Arabic" w:cs="Traditional Arabic"/>
          <w:sz w:val="28"/>
          <w:szCs w:val="28"/>
          <w:rtl/>
        </w:rPr>
        <w:instrText>"&gt;أثر السلامة المهنية على أداء العاملين بالمنظمات الصحية (دراسة تطبيقية على مستشفى الملك فهد العام بمحافظة جدة)&lt;/</w:instrText>
      </w:r>
      <w:r w:rsidR="00813540">
        <w:rPr>
          <w:rFonts w:ascii="Traditional Arabic" w:hAnsi="Traditional Arabic" w:cs="Traditional Arabic"/>
          <w:sz w:val="28"/>
          <w:szCs w:val="28"/>
        </w:rPr>
        <w:instrText>style&gt;&lt;/title&gt;&lt;secondary-title&gt;&lt;style face="normal" font="default" charset="178</w:instrText>
      </w:r>
      <w:r w:rsidR="00813540">
        <w:rPr>
          <w:rFonts w:ascii="Traditional Arabic" w:hAnsi="Traditional Arabic" w:cs="Traditional Arabic"/>
          <w:sz w:val="28"/>
          <w:szCs w:val="28"/>
          <w:rtl/>
        </w:rPr>
        <w:instrText xml:space="preserve">" </w:instrText>
      </w:r>
      <w:r w:rsidR="00813540">
        <w:rPr>
          <w:rFonts w:ascii="Traditional Arabic" w:hAnsi="Traditional Arabic" w:cs="Traditional Arabic"/>
          <w:sz w:val="28"/>
          <w:szCs w:val="28"/>
        </w:rPr>
        <w:instrText>size="100%</w:instrText>
      </w:r>
      <w:r w:rsidR="00813540">
        <w:rPr>
          <w:rFonts w:ascii="Traditional Arabic" w:hAnsi="Traditional Arabic" w:cs="Traditional Arabic"/>
          <w:sz w:val="28"/>
          <w:szCs w:val="28"/>
          <w:rtl/>
        </w:rPr>
        <w:instrText>"&gt;المجلة الدولية لنشر البحوث والدراسات&lt;/</w:instrText>
      </w:r>
      <w:r w:rsidR="00813540">
        <w:rPr>
          <w:rFonts w:ascii="Traditional Arabic" w:hAnsi="Traditional Arabic" w:cs="Traditional Arabic"/>
          <w:sz w:val="28"/>
          <w:szCs w:val="28"/>
        </w:rPr>
        <w:instrText>style&gt;&lt;/secondary-title&gt;&lt;/titles&gt;&lt;periodical&gt;&lt;full-title</w:instrText>
      </w:r>
      <w:r w:rsidR="00813540">
        <w:rPr>
          <w:rFonts w:ascii="Traditional Arabic" w:hAnsi="Traditional Arabic" w:cs="Traditional Arabic"/>
          <w:sz w:val="28"/>
          <w:szCs w:val="28"/>
          <w:rtl/>
        </w:rPr>
        <w:instrText>&gt;المجلة الدولية لنشر البحوث والدراسات&lt;/</w:instrText>
      </w:r>
      <w:r w:rsidR="00813540">
        <w:rPr>
          <w:rFonts w:ascii="Traditional Arabic" w:hAnsi="Traditional Arabic" w:cs="Traditional Arabic"/>
          <w:sz w:val="28"/>
          <w:szCs w:val="28"/>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00813540">
        <w:rPr>
          <w:rFonts w:ascii="Traditional Arabic" w:hAnsi="Traditional Arabic" w:cs="Traditional Arabic"/>
          <w:sz w:val="28"/>
          <w:szCs w:val="28"/>
          <w:rtl/>
        </w:rPr>
        <w:instrText>&gt;</w:instrText>
      </w:r>
      <w:r w:rsidR="00813540">
        <w:rPr>
          <w:rFonts w:ascii="Traditional Arabic" w:hAnsi="Traditional Arabic" w:cs="Traditional Arabic"/>
          <w:sz w:val="28"/>
          <w:szCs w:val="28"/>
          <w:rtl/>
        </w:rPr>
        <w:fldChar w:fldCharType="separate"/>
      </w:r>
      <w:r w:rsidR="00813540">
        <w:rPr>
          <w:rFonts w:ascii="Traditional Arabic" w:hAnsi="Traditional Arabic" w:cs="Traditional Arabic"/>
          <w:noProof/>
          <w:sz w:val="28"/>
          <w:szCs w:val="28"/>
          <w:rtl/>
        </w:rPr>
        <w:t>(الحمري, 2025)</w:t>
      </w:r>
      <w:r w:rsidR="00813540">
        <w:rPr>
          <w:rFonts w:ascii="Traditional Arabic" w:hAnsi="Traditional Arabic" w:cs="Traditional Arabic"/>
          <w:sz w:val="28"/>
          <w:szCs w:val="28"/>
          <w:rtl/>
        </w:rPr>
        <w:fldChar w:fldCharType="end"/>
      </w:r>
      <w:r w:rsidRPr="002E15D3">
        <w:rPr>
          <w:rFonts w:ascii="Traditional Arabic" w:hAnsi="Traditional Arabic" w:cs="Traditional Arabic"/>
          <w:sz w:val="28"/>
          <w:szCs w:val="28"/>
          <w:rtl/>
        </w:rPr>
        <w:t>.</w:t>
      </w:r>
    </w:p>
    <w:p w14:paraId="2061F816" w14:textId="0982B67E" w:rsidR="007E5BA4" w:rsidRPr="002E15D3" w:rsidRDefault="00C27F64" w:rsidP="007E5BA4">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6</w:t>
      </w:r>
      <w:r w:rsidR="007E5BA4" w:rsidRPr="002E15D3">
        <w:rPr>
          <w:rFonts w:ascii="Traditional Arabic" w:hAnsi="Traditional Arabic" w:cs="Traditional Arabic"/>
          <w:b/>
          <w:bCs/>
          <w:sz w:val="28"/>
          <w:szCs w:val="28"/>
          <w:rtl/>
        </w:rPr>
        <w:t>.4. الأحداث الضارة (</w:t>
      </w:r>
      <w:r w:rsidR="007E5BA4" w:rsidRPr="002E15D3">
        <w:rPr>
          <w:rFonts w:ascii="Traditional Arabic" w:hAnsi="Traditional Arabic" w:cs="Traditional Arabic"/>
          <w:b/>
          <w:bCs/>
          <w:sz w:val="28"/>
          <w:szCs w:val="28"/>
        </w:rPr>
        <w:t>Adverse Events</w:t>
      </w:r>
      <w:r w:rsidR="007E5BA4" w:rsidRPr="002E15D3">
        <w:rPr>
          <w:rFonts w:ascii="Traditional Arabic" w:hAnsi="Traditional Arabic" w:cs="Traditional Arabic"/>
          <w:b/>
          <w:bCs/>
          <w:sz w:val="28"/>
          <w:szCs w:val="28"/>
          <w:rtl/>
        </w:rPr>
        <w:t>)</w:t>
      </w:r>
    </w:p>
    <w:p w14:paraId="7B6ABA6A" w14:textId="53C8B37F" w:rsidR="00C27F64" w:rsidRPr="002E15D3" w:rsidRDefault="00C27F64" w:rsidP="000636E4">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1. التعريف الأكاديمي والاصطلاحي</w:t>
      </w:r>
      <w:r w:rsidRPr="002E15D3">
        <w:rPr>
          <w:rFonts w:ascii="Traditional Arabic" w:hAnsi="Traditional Arabic" w:cs="Traditional Arabic"/>
          <w:sz w:val="28"/>
          <w:szCs w:val="28"/>
          <w:rtl/>
        </w:rPr>
        <w:t>:</w:t>
      </w:r>
      <w:r w:rsidR="000636E4" w:rsidRPr="002E15D3">
        <w:rPr>
          <w:rFonts w:ascii="Traditional Arabic" w:hAnsi="Traditional Arabic" w:cs="Traditional Arabic"/>
          <w:sz w:val="28"/>
          <w:szCs w:val="28"/>
          <w:rtl/>
        </w:rPr>
        <w:t xml:space="preserve"> </w:t>
      </w:r>
      <w:r w:rsidRPr="002E15D3">
        <w:rPr>
          <w:rFonts w:ascii="Traditional Arabic" w:hAnsi="Traditional Arabic" w:cs="Traditional Arabic"/>
          <w:sz w:val="28"/>
          <w:szCs w:val="28"/>
          <w:rtl/>
        </w:rPr>
        <w:t>هي إصابة غير مقصودة للمريض ناتجة عن الرعاية الطبية المقدمة بدلاً من المرض الأساسي للمريض، وتؤدي إلى تلف وظيفي أو زيادة في مدة الإقامة بالمستشفى أو الوفاة وهي أحداث قابلة للوقاية في أغلب الأحيان (</w:t>
      </w:r>
      <w:r w:rsidRPr="002E15D3">
        <w:rPr>
          <w:rFonts w:ascii="Traditional Arabic" w:hAnsi="Traditional Arabic" w:cs="Traditional Arabic"/>
          <w:sz w:val="28"/>
          <w:szCs w:val="28"/>
        </w:rPr>
        <w:t>Shenoy, 2021</w:t>
      </w:r>
      <w:r w:rsidRPr="002E15D3">
        <w:rPr>
          <w:rFonts w:ascii="Traditional Arabic" w:hAnsi="Traditional Arabic" w:cs="Traditional Arabic"/>
          <w:sz w:val="28"/>
          <w:szCs w:val="28"/>
          <w:rtl/>
        </w:rPr>
        <w:t>).</w:t>
      </w:r>
    </w:p>
    <w:p w14:paraId="73DE402D" w14:textId="08032244" w:rsidR="000F64C0" w:rsidRDefault="00C27F64" w:rsidP="0019244B">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2. </w:t>
      </w:r>
      <w:r w:rsidRPr="002E15D3">
        <w:rPr>
          <w:rFonts w:ascii="Traditional Arabic" w:hAnsi="Traditional Arabic" w:cs="Traditional Arabic"/>
          <w:b/>
          <w:bCs/>
          <w:sz w:val="28"/>
          <w:szCs w:val="28"/>
          <w:rtl/>
        </w:rPr>
        <w:t>التعريف الإجرائي في الدراسة</w:t>
      </w:r>
      <w:r w:rsidRPr="002E15D3">
        <w:rPr>
          <w:rFonts w:ascii="Traditional Arabic" w:hAnsi="Traditional Arabic" w:cs="Traditional Arabic"/>
          <w:sz w:val="28"/>
          <w:szCs w:val="28"/>
          <w:rtl/>
        </w:rPr>
        <w:t>:</w:t>
      </w:r>
      <w:r w:rsidR="000636E4" w:rsidRPr="002E15D3">
        <w:rPr>
          <w:rFonts w:ascii="Traditional Arabic" w:hAnsi="Traditional Arabic" w:cs="Traditional Arabic"/>
          <w:sz w:val="28"/>
          <w:szCs w:val="28"/>
          <w:rtl/>
        </w:rPr>
        <w:t xml:space="preserve"> </w:t>
      </w:r>
      <w:r w:rsidRPr="002E15D3">
        <w:rPr>
          <w:rFonts w:ascii="Traditional Arabic" w:hAnsi="Traditional Arabic" w:cs="Traditional Arabic"/>
          <w:sz w:val="28"/>
          <w:szCs w:val="28"/>
          <w:rtl/>
        </w:rPr>
        <w:t>هي مستوى التقليل من معدلات وقوع الأخطاء والحوادث الضارة القابلة للوقاية (كأخطاء الأدوية، أو العدوى المكتسبة من المستشفى) التي يُعزى وقوعها للرعاية المقدمة في مستشفيات القطاع الحكومي بمنطقة الجوف. ويُقاس هذا المتغير عكسياً من خلال مدى إدراك العاملين لفعالية التدابير المتبعة للحد من هذه الأحداث.</w:t>
      </w:r>
    </w:p>
    <w:p w14:paraId="19C5C8E5" w14:textId="77777777" w:rsidR="00B85713" w:rsidRPr="002E15D3" w:rsidRDefault="00B85713" w:rsidP="00B85713">
      <w:pPr>
        <w:bidi/>
        <w:spacing w:line="360" w:lineRule="auto"/>
        <w:jc w:val="both"/>
        <w:rPr>
          <w:rFonts w:ascii="Traditional Arabic" w:hAnsi="Traditional Arabic" w:cs="Traditional Arabic" w:hint="cs"/>
          <w:sz w:val="28"/>
          <w:szCs w:val="28"/>
          <w:rtl/>
        </w:rPr>
      </w:pPr>
    </w:p>
    <w:p w14:paraId="42C4936D" w14:textId="66D45548" w:rsidR="00336EAC" w:rsidRPr="002E15D3" w:rsidRDefault="00392B50" w:rsidP="00392B50">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b/>
          <w:bCs/>
          <w:sz w:val="32"/>
          <w:szCs w:val="32"/>
          <w:rtl/>
        </w:rPr>
        <w:lastRenderedPageBreak/>
        <w:t>7</w:t>
      </w:r>
      <w:r w:rsidR="00336EAC" w:rsidRPr="002E15D3">
        <w:rPr>
          <w:rFonts w:ascii="Traditional Arabic" w:hAnsi="Traditional Arabic" w:cs="Traditional Arabic"/>
          <w:b/>
          <w:bCs/>
          <w:sz w:val="32"/>
          <w:szCs w:val="32"/>
          <w:rtl/>
        </w:rPr>
        <w:t xml:space="preserve">. الدراسات السابقة </w:t>
      </w:r>
    </w:p>
    <w:p w14:paraId="1A23A352" w14:textId="77777777" w:rsidR="007718B7" w:rsidRPr="007718B7" w:rsidRDefault="007718B7" w:rsidP="000636E4">
      <w:pPr>
        <w:bidi/>
        <w:spacing w:line="360" w:lineRule="auto"/>
        <w:jc w:val="both"/>
        <w:rPr>
          <w:rFonts w:ascii="Traditional Arabic" w:hAnsi="Traditional Arabic" w:cs="Traditional Arabic"/>
          <w:noProof/>
          <w:sz w:val="28"/>
          <w:szCs w:val="28"/>
        </w:rPr>
      </w:pPr>
      <w:r w:rsidRPr="007718B7">
        <w:rPr>
          <w:rFonts w:ascii="Traditional Arabic" w:hAnsi="Traditional Arabic" w:cs="Traditional Arabic"/>
          <w:noProof/>
          <w:sz w:val="28"/>
          <w:szCs w:val="28"/>
          <w:rtl/>
          <w:lang w:val="ar-SA"/>
        </w:rPr>
        <w:t>تتناول هذه الفقرة مراجعة نقدية تحليلية معمقة للأدبيات المتعلقة بالمتغيرات الأساسية للدراسة، التي تشمل القيادة التحويلية</w:t>
      </w:r>
      <w:r w:rsidRPr="007718B7">
        <w:rPr>
          <w:rFonts w:ascii="Traditional Arabic" w:hAnsi="Traditional Arabic" w:cs="Traditional Arabic"/>
          <w:noProof/>
          <w:sz w:val="28"/>
          <w:szCs w:val="28"/>
        </w:rPr>
        <w:t xml:space="preserve"> (TL)</w:t>
      </w:r>
      <w:r w:rsidRPr="007718B7">
        <w:rPr>
          <w:rFonts w:ascii="Traditional Arabic" w:hAnsi="Traditional Arabic" w:cs="Traditional Arabic"/>
          <w:noProof/>
          <w:sz w:val="28"/>
          <w:szCs w:val="28"/>
          <w:rtl/>
          <w:lang w:val="ar-SA"/>
        </w:rPr>
        <w:t>، ثقافة السلامة</w:t>
      </w:r>
      <w:r w:rsidRPr="007718B7">
        <w:rPr>
          <w:rFonts w:ascii="Traditional Arabic" w:hAnsi="Traditional Arabic" w:cs="Traditional Arabic"/>
          <w:noProof/>
          <w:sz w:val="28"/>
          <w:szCs w:val="28"/>
        </w:rPr>
        <w:t xml:space="preserve"> (SC)</w:t>
      </w:r>
      <w:r w:rsidRPr="007718B7">
        <w:rPr>
          <w:rFonts w:ascii="Traditional Arabic" w:hAnsi="Traditional Arabic" w:cs="Traditional Arabic"/>
          <w:noProof/>
          <w:sz w:val="28"/>
          <w:szCs w:val="28"/>
          <w:rtl/>
          <w:lang w:val="ar-SA"/>
        </w:rPr>
        <w:t>، سلوكيات السلامة</w:t>
      </w:r>
      <w:r w:rsidRPr="007718B7">
        <w:rPr>
          <w:rFonts w:ascii="Traditional Arabic" w:hAnsi="Traditional Arabic" w:cs="Traditional Arabic"/>
          <w:noProof/>
          <w:sz w:val="28"/>
          <w:szCs w:val="28"/>
        </w:rPr>
        <w:t xml:space="preserve"> (SB)</w:t>
      </w:r>
      <w:r w:rsidRPr="007718B7">
        <w:rPr>
          <w:rFonts w:ascii="Traditional Arabic" w:hAnsi="Traditional Arabic" w:cs="Traditional Arabic"/>
          <w:noProof/>
          <w:sz w:val="28"/>
          <w:szCs w:val="28"/>
          <w:rtl/>
          <w:lang w:val="ar-SA"/>
        </w:rPr>
        <w:t>، وتقليل الأحداث الضارة</w:t>
      </w:r>
      <w:r w:rsidRPr="007718B7">
        <w:rPr>
          <w:rFonts w:ascii="Traditional Arabic" w:hAnsi="Traditional Arabic" w:cs="Traditional Arabic"/>
          <w:noProof/>
          <w:sz w:val="28"/>
          <w:szCs w:val="28"/>
        </w:rPr>
        <w:t xml:space="preserve"> (AE). </w:t>
      </w:r>
      <w:r w:rsidRPr="007718B7">
        <w:rPr>
          <w:rFonts w:ascii="Traditional Arabic" w:hAnsi="Traditional Arabic" w:cs="Traditional Arabic"/>
          <w:noProof/>
          <w:sz w:val="28"/>
          <w:szCs w:val="28"/>
          <w:rtl/>
          <w:lang w:val="ar-SA"/>
        </w:rPr>
        <w:t>تم تنظيم العرض في محاور تُبرز التسلسل السببي للنموذج المقترح، مع مراعاة الترتيب الزمني بدءًا من الأحدث وصولًا إلى الأقدم، مع التركيز على التحليل المنهجي لدعم فهم الموضوع بشكل متكامل</w:t>
      </w:r>
      <w:r w:rsidRPr="007718B7">
        <w:rPr>
          <w:rFonts w:ascii="Traditional Arabic" w:hAnsi="Traditional Arabic" w:cs="Traditional Arabic"/>
          <w:noProof/>
          <w:sz w:val="28"/>
          <w:szCs w:val="28"/>
        </w:rPr>
        <w:t>.</w:t>
      </w:r>
    </w:p>
    <w:p w14:paraId="380CB4B9" w14:textId="1D6CC78D" w:rsidR="00624B1F" w:rsidRPr="002E15D3" w:rsidRDefault="00624B1F" w:rsidP="00624B1F">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 xml:space="preserve">7.1. المحور الأول: العلاقة بين القيادة التحويلية وثقافة وسلامة المريض </w:t>
      </w:r>
    </w:p>
    <w:p w14:paraId="06EE6E53" w14:textId="77777777" w:rsidR="008C3F9B" w:rsidRDefault="007718B7" w:rsidP="008C3F9B">
      <w:pPr>
        <w:bidi/>
        <w:spacing w:line="360" w:lineRule="auto"/>
        <w:jc w:val="both"/>
        <w:rPr>
          <w:rFonts w:ascii="Traditional Arabic" w:hAnsi="Traditional Arabic" w:cs="Traditional Arabic" w:hint="cs"/>
          <w:noProof/>
          <w:sz w:val="28"/>
          <w:szCs w:val="28"/>
          <w:rtl/>
          <w:lang w:val="ar-SA"/>
        </w:rPr>
      </w:pPr>
      <w:r w:rsidRPr="002E15D3">
        <w:rPr>
          <w:rFonts w:ascii="Traditional Arabic" w:hAnsi="Traditional Arabic" w:cs="Traditional Arabic"/>
          <w:noProof/>
          <w:sz w:val="28"/>
          <w:szCs w:val="28"/>
          <w:rtl/>
          <w:lang w:val="ar-SA"/>
        </w:rPr>
        <w:t>يتناول هذا المحور الدراسات التي أثبتت العلاقة المبدئية بين القيادة بوصفها أداة للتغيير وعوامل السلامة، إذ تؤكد الأدبيات النظرية الحديثة على الدور المحوري الذي تضطلع به القيادة الفعّالة كعنصر أساسي لتحقيق سلامة المرضى وضمان جودة الخدمات المقدمة</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توصلت المراجعة السردية التي أجراها</w:t>
      </w:r>
      <w:r w:rsidRPr="002E15D3">
        <w:rPr>
          <w:rFonts w:ascii="Traditional Arabic" w:hAnsi="Traditional Arabic" w:cs="Traditional Arabic"/>
          <w:noProof/>
          <w:sz w:val="28"/>
          <w:szCs w:val="28"/>
        </w:rPr>
        <w:t xml:space="preserve"> Ahmed et al. (2024) </w:t>
      </w:r>
      <w:r w:rsidRPr="002E15D3">
        <w:rPr>
          <w:rFonts w:ascii="Traditional Arabic" w:hAnsi="Traditional Arabic" w:cs="Traditional Arabic"/>
          <w:noProof/>
          <w:sz w:val="28"/>
          <w:szCs w:val="28"/>
          <w:rtl/>
          <w:lang w:val="ar-SA"/>
        </w:rPr>
        <w:t>إلى أن القيادة تمثل عاملاً رئيسياً في تعزيز النتائج الإيجابية في منظومات الرعاية الصحية، مما يدعم اختيار القيادة التحويلية كنموذج مستقل يساهم في تحفيز التغيي</w:t>
      </w:r>
      <w:r w:rsidR="008C3F9B">
        <w:rPr>
          <w:rFonts w:ascii="Traditional Arabic" w:hAnsi="Traditional Arabic" w:cs="Traditional Arabic" w:hint="cs"/>
          <w:noProof/>
          <w:sz w:val="28"/>
          <w:szCs w:val="28"/>
          <w:rtl/>
          <w:lang w:val="ar-SA"/>
        </w:rPr>
        <w:t>ر.</w:t>
      </w:r>
    </w:p>
    <w:p w14:paraId="42DF868B" w14:textId="4C1619F3" w:rsidR="00624B1F" w:rsidRPr="002E15D3" w:rsidRDefault="007718B7" w:rsidP="008C3F9B">
      <w:pPr>
        <w:bidi/>
        <w:spacing w:line="360" w:lineRule="auto"/>
        <w:jc w:val="both"/>
        <w:rPr>
          <w:rFonts w:ascii="Traditional Arabic" w:hAnsi="Traditional Arabic" w:cs="Traditional Arabic" w:hint="cs"/>
          <w:noProof/>
          <w:sz w:val="28"/>
          <w:szCs w:val="28"/>
          <w:rtl/>
        </w:rPr>
      </w:pP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أما في السياق السعودي، فقد عززت الدراسات الكمية صحة هذا الارتباط</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استعرضت دراسة تحليلية أجراها</w:t>
      </w:r>
      <w:r w:rsidRPr="002E15D3">
        <w:rPr>
          <w:rFonts w:ascii="Traditional Arabic" w:hAnsi="Traditional Arabic" w:cs="Traditional Arabic"/>
          <w:noProof/>
          <w:sz w:val="28"/>
          <w:szCs w:val="28"/>
        </w:rPr>
        <w:t xml:space="preserve"> Althaibah et al. (2022) </w:t>
      </w:r>
      <w:r w:rsidRPr="002E15D3">
        <w:rPr>
          <w:rFonts w:ascii="Traditional Arabic" w:hAnsi="Traditional Arabic" w:cs="Traditional Arabic"/>
          <w:noProof/>
          <w:sz w:val="28"/>
          <w:szCs w:val="28"/>
          <w:rtl/>
          <w:lang w:val="ar-SA"/>
        </w:rPr>
        <w:t>علاقة القيادة التحويلية بسلامة المرضى، من خلال عينة تضمنت 251 موظفاً، وخلصت إلى وجود تأثير مباشر وذي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وهذا القصور يمنع فهماً معمقاً لآليات تحويل رؤية القائد إلى نتائج واقعية وملموسة</w:t>
      </w:r>
      <w:r w:rsidRPr="002E15D3">
        <w:rPr>
          <w:rFonts w:ascii="Traditional Arabic" w:hAnsi="Traditional Arabic" w:cs="Traditional Arabic"/>
          <w:noProof/>
          <w:sz w:val="28"/>
          <w:szCs w:val="28"/>
        </w:rPr>
        <w:t>.</w:t>
      </w:r>
    </w:p>
    <w:p w14:paraId="23FEF257" w14:textId="4AADB2EA" w:rsidR="007718B7" w:rsidRPr="007718B7" w:rsidRDefault="007718B7" w:rsidP="007718B7">
      <w:pPr>
        <w:bidi/>
        <w:spacing w:line="360" w:lineRule="auto"/>
        <w:jc w:val="both"/>
        <w:rPr>
          <w:rFonts w:ascii="Traditional Arabic" w:hAnsi="Traditional Arabic" w:cs="Traditional Arabic"/>
          <w:noProof/>
          <w:sz w:val="28"/>
          <w:szCs w:val="28"/>
        </w:rPr>
      </w:pPr>
      <w:r w:rsidRPr="007718B7">
        <w:rPr>
          <w:rFonts w:ascii="Traditional Arabic" w:hAnsi="Traditional Arabic" w:cs="Traditional Arabic"/>
          <w:noProof/>
          <w:sz w:val="28"/>
          <w:szCs w:val="28"/>
          <w:rtl/>
          <w:lang w:val="ar-SA"/>
        </w:rPr>
        <w:t xml:space="preserve">لمعالجة جزء من الآلية، أجرى </w:t>
      </w:r>
      <w:r w:rsidRPr="007718B7">
        <w:rPr>
          <w:rFonts w:ascii="Traditional Arabic" w:hAnsi="Traditional Arabic" w:cs="Traditional Arabic"/>
          <w:noProof/>
          <w:sz w:val="28"/>
          <w:szCs w:val="28"/>
        </w:rPr>
        <w:t xml:space="preserve">Almuntasheri &amp; Almandeel (2022) </w:t>
      </w:r>
      <w:r w:rsidRPr="007718B7">
        <w:rPr>
          <w:rFonts w:ascii="Traditional Arabic" w:hAnsi="Traditional Arabic" w:cs="Traditional Arabic"/>
          <w:noProof/>
          <w:sz w:val="28"/>
          <w:szCs w:val="28"/>
          <w:rtl/>
          <w:lang w:val="ar-SA"/>
        </w:rPr>
        <w:t>دراسة مقطعية في أحد مستشفيات جدة شملت عينة مكونة من 195 موظفاً</w:t>
      </w:r>
      <w:r w:rsidRPr="007718B7">
        <w:rPr>
          <w:rFonts w:ascii="Traditional Arabic" w:hAnsi="Traditional Arabic" w:cs="Traditional Arabic"/>
          <w:noProof/>
          <w:sz w:val="28"/>
          <w:szCs w:val="28"/>
        </w:rPr>
        <w:t xml:space="preserve">. </w:t>
      </w:r>
      <w:r w:rsidRPr="007718B7">
        <w:rPr>
          <w:rFonts w:ascii="Traditional Arabic" w:hAnsi="Traditional Arabic" w:cs="Traditional Arabic"/>
          <w:noProof/>
          <w:sz w:val="28"/>
          <w:szCs w:val="28"/>
          <w:rtl/>
          <w:lang w:val="ar-SA"/>
        </w:rPr>
        <w:t>أشارت نتائج الدراسة إلى وجود علاقة إيجابية ذات دلالة إحصائية بين سلوكيات القيادة وثقافة السلامة</w:t>
      </w:r>
      <w:r w:rsidRPr="007718B7">
        <w:rPr>
          <w:rFonts w:ascii="Traditional Arabic" w:hAnsi="Traditional Arabic" w:cs="Traditional Arabic"/>
          <w:noProof/>
          <w:sz w:val="28"/>
          <w:szCs w:val="28"/>
        </w:rPr>
        <w:t xml:space="preserve">. </w:t>
      </w:r>
      <w:r w:rsidRPr="007718B7">
        <w:rPr>
          <w:rFonts w:ascii="Traditional Arabic" w:hAnsi="Traditional Arabic" w:cs="Traditional Arabic"/>
          <w:noProof/>
          <w:sz w:val="28"/>
          <w:szCs w:val="28"/>
          <w:rtl/>
          <w:lang w:val="ar-SA"/>
        </w:rPr>
        <w:t>ومع ذلك، تُعد إحدى نقاط الضعف في هذه الدراسة التوقف عند المتغير الوسيط الأول</w:t>
      </w:r>
      <w:r w:rsidRPr="002E15D3">
        <w:rPr>
          <w:rFonts w:ascii="Traditional Arabic" w:hAnsi="Traditional Arabic" w:cs="Traditional Arabic"/>
          <w:noProof/>
          <w:sz w:val="28"/>
          <w:szCs w:val="28"/>
          <w:rtl/>
          <w:lang w:val="ar-SA"/>
        </w:rPr>
        <w:t xml:space="preserve"> ثقافة السلامة</w:t>
      </w:r>
      <w:r w:rsidRPr="007718B7">
        <w:rPr>
          <w:rFonts w:ascii="Traditional Arabic" w:hAnsi="Traditional Arabic" w:cs="Traditional Arabic"/>
          <w:noProof/>
          <w:sz w:val="28"/>
          <w:szCs w:val="28"/>
          <w:rtl/>
          <w:lang w:val="ar-SA"/>
        </w:rPr>
        <w:t xml:space="preserve"> </w:t>
      </w:r>
      <w:r w:rsidRPr="007718B7">
        <w:rPr>
          <w:rFonts w:ascii="Traditional Arabic" w:hAnsi="Traditional Arabic" w:cs="Traditional Arabic"/>
          <w:noProof/>
          <w:sz w:val="28"/>
          <w:szCs w:val="28"/>
        </w:rPr>
        <w:t xml:space="preserve">(SC) </w:t>
      </w:r>
      <w:r w:rsidRPr="007718B7">
        <w:rPr>
          <w:rFonts w:ascii="Traditional Arabic" w:hAnsi="Traditional Arabic" w:cs="Traditional Arabic"/>
          <w:noProof/>
          <w:sz w:val="28"/>
          <w:szCs w:val="28"/>
          <w:rtl/>
          <w:lang w:val="ar-SA"/>
        </w:rPr>
        <w:t>فقط، دون استكمال تتبع المسار السببي للوصول إلى سلوكيات السلامة</w:t>
      </w:r>
      <w:r w:rsidRPr="007718B7">
        <w:rPr>
          <w:rFonts w:ascii="Traditional Arabic" w:hAnsi="Traditional Arabic" w:cs="Traditional Arabic"/>
          <w:noProof/>
          <w:sz w:val="28"/>
          <w:szCs w:val="28"/>
        </w:rPr>
        <w:t xml:space="preserve"> (SB) </w:t>
      </w:r>
      <w:r w:rsidRPr="007718B7">
        <w:rPr>
          <w:rFonts w:ascii="Traditional Arabic" w:hAnsi="Traditional Arabic" w:cs="Traditional Arabic"/>
          <w:noProof/>
          <w:sz w:val="28"/>
          <w:szCs w:val="28"/>
          <w:rtl/>
          <w:lang w:val="ar-SA"/>
        </w:rPr>
        <w:t>أو تقليل الأحداث الضارة</w:t>
      </w:r>
      <w:r w:rsidRPr="007718B7">
        <w:rPr>
          <w:rFonts w:ascii="Traditional Arabic" w:hAnsi="Traditional Arabic" w:cs="Traditional Arabic"/>
          <w:noProof/>
          <w:sz w:val="28"/>
          <w:szCs w:val="28"/>
        </w:rPr>
        <w:t xml:space="preserve"> (AE) </w:t>
      </w:r>
      <w:r w:rsidRPr="002E15D3">
        <w:rPr>
          <w:rFonts w:ascii="Traditional Arabic" w:hAnsi="Traditional Arabic" w:cs="Traditional Arabic"/>
          <w:noProof/>
          <w:sz w:val="28"/>
          <w:szCs w:val="28"/>
          <w:rtl/>
          <w:lang w:val="ar-SA"/>
        </w:rPr>
        <w:t xml:space="preserve"> و</w:t>
      </w:r>
      <w:r w:rsidRPr="007718B7">
        <w:rPr>
          <w:rFonts w:ascii="Traditional Arabic" w:hAnsi="Traditional Arabic" w:cs="Traditional Arabic"/>
          <w:noProof/>
          <w:sz w:val="28"/>
          <w:szCs w:val="28"/>
          <w:rtl/>
          <w:lang w:val="ar-SA"/>
        </w:rPr>
        <w:t>هذا القصور يترك فجوة واضحة في فهم السلسلة السببية بشكل متكامل</w:t>
      </w:r>
      <w:r w:rsidRPr="007718B7">
        <w:rPr>
          <w:rFonts w:ascii="Traditional Arabic" w:hAnsi="Traditional Arabic" w:cs="Traditional Arabic"/>
          <w:noProof/>
          <w:sz w:val="28"/>
          <w:szCs w:val="28"/>
        </w:rPr>
        <w:t>.</w:t>
      </w:r>
    </w:p>
    <w:p w14:paraId="3031E128" w14:textId="368D5F49" w:rsidR="00624B1F" w:rsidRPr="002E15D3" w:rsidRDefault="00624B1F" w:rsidP="00624B1F">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 xml:space="preserve">7.2. المحور الثاني: العلاقة بين ثقافة السلامة، سلوكيات العاملين، وتقليل الأحداث الضارة </w:t>
      </w:r>
    </w:p>
    <w:p w14:paraId="43DE6701" w14:textId="24420E2D" w:rsidR="00F93590" w:rsidRPr="002E15D3" w:rsidRDefault="00F93590" w:rsidP="000636E4">
      <w:pPr>
        <w:bidi/>
        <w:spacing w:line="360" w:lineRule="auto"/>
        <w:jc w:val="both"/>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يتناول هذا المحور العلاقة بين المتغيرات الوسيطة والتابعة، مع التركيز على افتقار الأدبيات إلى نموذج يربط بين جميع العناصر في إطار تسلسلي شامل</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بناءً على ذلك، أكدت الدراسات أهمية ثقافة السلامة كعامل أساسي مؤثر في السلوكيات، حيث كشفت دراسة</w:t>
      </w:r>
      <w:r w:rsidR="000F64C0">
        <w:rPr>
          <w:rFonts w:ascii="Traditional Arabic" w:hAnsi="Traditional Arabic" w:cs="Traditional Arabic"/>
          <w:noProof/>
          <w:sz w:val="28"/>
          <w:szCs w:val="28"/>
        </w:rPr>
        <w:fldChar w:fldCharType="begin"/>
      </w:r>
      <w:r w:rsidR="000F64C0">
        <w:rPr>
          <w:rFonts w:ascii="Traditional Arabic" w:hAnsi="Traditional Arabic" w:cs="Traditional Arabic"/>
          <w:noProof/>
          <w:sz w:val="28"/>
          <w:szCs w:val="28"/>
        </w:rPr>
        <w:instrText xml:space="preserve"> ADDIN EN.CITE &lt;EndNote&gt;&lt;Cite AuthorYear="1"&gt;&lt;Author&gt;Alsahli&lt;/Author&gt;&lt;Year&gt;2024&lt;/Year&gt;&lt;RecNum&gt;185&lt;/RecNum&gt;&lt;DisplayText&gt;Alsahli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Mohammed&lt;/author&gt;&lt;author&gt;Goniewicz,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gt;10.2147/JMDH.S458718&lt;/electronic-resource-num&gt;&lt;/record&gt;&lt;/Cite&gt;&lt;/EndNote&gt;</w:instrText>
      </w:r>
      <w:r w:rsidR="000F64C0">
        <w:rPr>
          <w:rFonts w:ascii="Traditional Arabic" w:hAnsi="Traditional Arabic" w:cs="Traditional Arabic"/>
          <w:noProof/>
          <w:sz w:val="28"/>
          <w:szCs w:val="28"/>
        </w:rPr>
        <w:fldChar w:fldCharType="separate"/>
      </w:r>
      <w:r w:rsidR="000F64C0">
        <w:rPr>
          <w:rFonts w:ascii="Traditional Arabic" w:hAnsi="Traditional Arabic" w:cs="Traditional Arabic"/>
          <w:noProof/>
          <w:sz w:val="28"/>
          <w:szCs w:val="28"/>
        </w:rPr>
        <w:t xml:space="preserve">Alsahli et al. </w:t>
      </w:r>
      <w:r w:rsidR="000F64C0">
        <w:rPr>
          <w:rFonts w:ascii="Traditional Arabic" w:hAnsi="Traditional Arabic" w:cs="Traditional Arabic"/>
          <w:noProof/>
          <w:sz w:val="28"/>
          <w:szCs w:val="28"/>
        </w:rPr>
        <w:lastRenderedPageBreak/>
        <w:t>(2024)</w:t>
      </w:r>
      <w:r w:rsidR="000F64C0">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tl/>
          <w:lang w:val="ar-SA"/>
        </w:rPr>
        <w:t>في السياق السعودي أن ثقافة السلامة تُعتبر العنصر الرئيسي في تعزيز سلوكيات السلامة مثل الإبلاغ عن الحوادث، في حين تُشكل الثقافة السلبية عائقاً كبيراً أمام تحقيق هذه السلوكيات</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وتدعم هذه النتائج وجود هذه العلاقة المنهجية</w:t>
      </w:r>
      <w:r w:rsidR="00D556BC">
        <w:rPr>
          <w:rFonts w:ascii="Traditional Arabic" w:hAnsi="Traditional Arabic" w:cs="Traditional Arabic" w:hint="cs"/>
          <w:noProof/>
          <w:sz w:val="28"/>
          <w:szCs w:val="28"/>
          <w:rtl/>
          <w:lang w:val="ar-SA"/>
        </w:rPr>
        <w:t>.</w:t>
      </w:r>
    </w:p>
    <w:p w14:paraId="502B1EC6" w14:textId="7DA010CA" w:rsidR="00F93590" w:rsidRPr="002E15D3" w:rsidRDefault="00F93590" w:rsidP="000636E4">
      <w:pPr>
        <w:bidi/>
        <w:spacing w:line="360" w:lineRule="auto"/>
        <w:jc w:val="both"/>
        <w:rPr>
          <w:rFonts w:ascii="Traditional Arabic" w:hAnsi="Traditional Arabic" w:cs="Traditional Arabic"/>
          <w:noProof/>
          <w:sz w:val="28"/>
          <w:szCs w:val="28"/>
        </w:rPr>
      </w:pPr>
      <w:r w:rsidRPr="002E15D3">
        <w:rPr>
          <w:rFonts w:ascii="Traditional Arabic" w:hAnsi="Traditional Arabic" w:cs="Traditional Arabic"/>
          <w:noProof/>
          <w:sz w:val="28"/>
          <w:szCs w:val="28"/>
          <w:rtl/>
          <w:lang w:val="ar-SA"/>
        </w:rPr>
        <w:t xml:space="preserve"> </w:t>
      </w:r>
      <w:r w:rsidRPr="002E15D3">
        <w:rPr>
          <w:rFonts w:ascii="Traditional Arabic" w:hAnsi="Traditional Arabic" w:cs="Traditional Arabic"/>
          <w:noProof/>
          <w:sz w:val="28"/>
          <w:szCs w:val="28"/>
        </w:rPr>
        <w:t xml:space="preserve"> (SC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raditional Arabic" w:hAnsi="Traditional Arabic" w:cs="Traditional Arabic"/>
          <w:noProof/>
          <w:sz w:val="28"/>
          <w:szCs w:val="28"/>
          <w:rtl/>
          <w:lang w:val="ar-SA"/>
        </w:rPr>
        <w:t>كخطوة جوهرية ضمن النموذج المُقترح</w:t>
      </w:r>
      <w:r w:rsidRPr="002E15D3">
        <w:rPr>
          <w:rFonts w:ascii="Traditional Arabic" w:hAnsi="Traditional Arabic" w:cs="Traditional Arabic"/>
          <w:noProof/>
          <w:sz w:val="28"/>
          <w:szCs w:val="28"/>
          <w:rtl/>
        </w:rPr>
        <w:t>.</w:t>
      </w:r>
    </w:p>
    <w:p w14:paraId="5654C611" w14:textId="4F5228B2" w:rsidR="00F93590" w:rsidRPr="002E15D3" w:rsidRDefault="00F93590" w:rsidP="00BB6CAF">
      <w:pPr>
        <w:bidi/>
        <w:spacing w:line="360" w:lineRule="auto"/>
        <w:jc w:val="both"/>
        <w:rPr>
          <w:rFonts w:ascii="Traditional Arabic" w:hAnsi="Traditional Arabic" w:cs="Traditional Arabic"/>
          <w:b/>
          <w:bCs/>
          <w:noProof/>
          <w:sz w:val="28"/>
          <w:szCs w:val="28"/>
          <w:rtl/>
        </w:rPr>
      </w:pP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 xml:space="preserve">أما فيما يتعلق بالنتائج الأوسع نطاقاً، فقد تناولت أطروحة الدكتوراه </w:t>
      </w:r>
      <w:r w:rsidR="000F64C0">
        <w:rPr>
          <w:rFonts w:ascii="Traditional Arabic" w:hAnsi="Traditional Arabic" w:cs="Traditional Arabic"/>
          <w:noProof/>
          <w:sz w:val="28"/>
          <w:szCs w:val="28"/>
          <w:rtl/>
          <w:lang w:val="ar-SA"/>
        </w:rPr>
        <w:fldChar w:fldCharType="begin"/>
      </w:r>
      <w:r w:rsidR="00984A64">
        <w:rPr>
          <w:rFonts w:ascii="Traditional Arabic" w:hAnsi="Traditional Arabic" w:cs="Traditional Arabic"/>
          <w:noProof/>
          <w:sz w:val="28"/>
          <w:szCs w:val="28"/>
          <w:rtl/>
          <w:lang w:val="ar-SA"/>
        </w:rPr>
        <w:instrText xml:space="preserve"> </w:instrText>
      </w:r>
      <w:r w:rsidR="00984A64">
        <w:rPr>
          <w:rFonts w:ascii="Traditional Arabic" w:hAnsi="Traditional Arabic" w:cs="Traditional Arabic"/>
          <w:noProof/>
          <w:sz w:val="28"/>
          <w:szCs w:val="28"/>
          <w:lang w:val="ar-SA"/>
        </w:rPr>
        <w:instrText>ADDIN EN.CITE &lt;EndNote&gt;&lt;Cite&gt;&lt;Author&gt;Mohammed&lt;/Author&gt;&lt;Year&gt;2025&lt;/Year&gt;&lt;RecNum&gt;170&lt;/RecNum&gt;&lt;DisplayText&gt;(Mohammed, 2025)&lt;/DisplayText&gt;&lt;record&gt;&lt;rec-number&gt;170&lt;/rec-number&gt;&lt;foreign-keys&gt;&lt;key app="EN" db-id="02retxxrerxdxhe9aphvs0z2t9z25p0ew99s" timestamp</w:instrText>
      </w:r>
      <w:r w:rsidR="00984A64">
        <w:rPr>
          <w:rFonts w:ascii="Traditional Arabic" w:hAnsi="Traditional Arabic" w:cs="Traditional Arabic"/>
          <w:noProof/>
          <w:sz w:val="28"/>
          <w:szCs w:val="28"/>
          <w:rtl/>
          <w:lang w:val="ar-SA"/>
        </w:rPr>
        <w:instrText>="1752665387"&gt;170&lt;/</w:instrText>
      </w:r>
      <w:r w:rsidR="00984A64">
        <w:rPr>
          <w:rFonts w:ascii="Traditional Arabic" w:hAnsi="Traditional Arabic" w:cs="Traditional Arabic"/>
          <w:noProof/>
          <w:sz w:val="28"/>
          <w:szCs w:val="28"/>
          <w:lang w:val="ar-SA"/>
        </w:rPr>
        <w:instrText>key&gt;&lt;/foreign-keys&gt;&lt;ref-type name="Thesis"&gt;32&lt;/ref-type&gt;&lt;contributors&gt;&lt;authors&gt;&lt;author&gt;Mohammed, Talat&lt;/author&gt;&lt;/authors&gt;&lt;/contributors&gt;&lt;titles&gt;&lt;title&gt;Patient Safety Culture in the Saudi Hospitals: A Mixed Methods Study of Staff Perceptions and Organisational Practices in Saudi Hospitals in the Holy Cities of Makkah and Madinah&lt;/title&gt;&lt;/titles&gt;&lt;dates&gt;&lt;year&gt;2025&lt;/year&gt;&lt;/dates&gt;&lt;publisher&gt;Queensland University of Technology&lt;/publisher&gt;&lt;urls&gt;&lt;/urls&gt;&lt;/record&gt;&lt;/Cite&gt;&lt;/EndNote</w:instrText>
      </w:r>
      <w:r w:rsidR="00984A64">
        <w:rPr>
          <w:rFonts w:ascii="Traditional Arabic" w:hAnsi="Traditional Arabic" w:cs="Traditional Arabic"/>
          <w:noProof/>
          <w:sz w:val="28"/>
          <w:szCs w:val="28"/>
          <w:rtl/>
          <w:lang w:val="ar-SA"/>
        </w:rPr>
        <w:instrText>&gt;</w:instrText>
      </w:r>
      <w:r w:rsidR="000F64C0">
        <w:rPr>
          <w:rFonts w:ascii="Traditional Arabic" w:hAnsi="Traditional Arabic" w:cs="Traditional Arabic"/>
          <w:noProof/>
          <w:sz w:val="28"/>
          <w:szCs w:val="28"/>
          <w:rtl/>
          <w:lang w:val="ar-SA"/>
        </w:rPr>
        <w:fldChar w:fldCharType="separate"/>
      </w:r>
      <w:r w:rsidR="000F64C0">
        <w:rPr>
          <w:rFonts w:ascii="Traditional Arabic" w:hAnsi="Traditional Arabic" w:cs="Traditional Arabic"/>
          <w:noProof/>
          <w:sz w:val="28"/>
          <w:szCs w:val="28"/>
          <w:rtl/>
          <w:lang w:val="ar-SA"/>
        </w:rPr>
        <w:t>(</w:t>
      </w:r>
      <w:r w:rsidR="000F64C0">
        <w:rPr>
          <w:rFonts w:ascii="Traditional Arabic" w:hAnsi="Traditional Arabic" w:cs="Traditional Arabic"/>
          <w:noProof/>
          <w:sz w:val="28"/>
          <w:szCs w:val="28"/>
          <w:lang w:val="ar-SA"/>
        </w:rPr>
        <w:t>Mohammed, 2025</w:t>
      </w:r>
      <w:r w:rsidR="000F64C0">
        <w:rPr>
          <w:rFonts w:ascii="Traditional Arabic" w:hAnsi="Traditional Arabic" w:cs="Traditional Arabic"/>
          <w:noProof/>
          <w:sz w:val="28"/>
          <w:szCs w:val="28"/>
          <w:rtl/>
          <w:lang w:val="ar-SA"/>
        </w:rPr>
        <w:t>)</w:t>
      </w:r>
      <w:r w:rsidR="000F64C0">
        <w:rPr>
          <w:rFonts w:ascii="Traditional Arabic" w:hAnsi="Traditional Arabic" w:cs="Traditional Arabic"/>
          <w:noProof/>
          <w:sz w:val="28"/>
          <w:szCs w:val="28"/>
          <w:rtl/>
          <w:lang w:val="ar-SA"/>
        </w:rPr>
        <w:fldChar w:fldCharType="end"/>
      </w:r>
      <w:r w:rsidRPr="002E15D3">
        <w:rPr>
          <w:rFonts w:ascii="Traditional Arabic" w:hAnsi="Traditional Arabic" w:cs="Traditional Arabic"/>
          <w:noProof/>
          <w:sz w:val="28"/>
          <w:szCs w:val="28"/>
          <w:rtl/>
          <w:lang w:val="ar-SA"/>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w:t>
      </w:r>
      <w:r w:rsidRPr="002E15D3">
        <w:rPr>
          <w:rFonts w:ascii="Traditional Arabic" w:hAnsi="Traditional Arabic" w:cs="Traditional Arabic"/>
          <w:noProof/>
          <w:sz w:val="28"/>
          <w:szCs w:val="28"/>
        </w:rPr>
        <w:t xml:space="preserve"> </w:t>
      </w:r>
      <w:r w:rsidR="00BB6CAF">
        <w:rPr>
          <w:rFonts w:ascii="Traditional Arabic" w:hAnsi="Traditional Arabic" w:cs="Traditional Arabic"/>
          <w:noProof/>
          <w:sz w:val="28"/>
          <w:szCs w:val="28"/>
        </w:rPr>
        <w:t>.(SC)</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(AE) </w:t>
      </w:r>
      <w:r w:rsidR="00BB6CAF">
        <w:rPr>
          <w:rFonts w:ascii="Traditional Arabic" w:hAnsi="Traditional Arabic" w:cs="Traditional Arabic"/>
          <w:noProof/>
          <w:sz w:val="28"/>
          <w:szCs w:val="28"/>
          <w:rtl/>
          <w:lang w:val="ar-SA"/>
        </w:rPr>
        <w:br/>
      </w:r>
      <w:r w:rsidRPr="002E15D3">
        <w:rPr>
          <w:rFonts w:ascii="Traditional Arabic" w:hAnsi="Traditional Arabic" w:cs="Traditional Arabic"/>
          <w:noProof/>
          <w:sz w:val="28"/>
          <w:szCs w:val="28"/>
          <w:rtl/>
          <w:lang w:val="ar-SA"/>
        </w:rPr>
        <w:t>بالإضافة إلى ذلك، أكدت المراجعات المنهجية تلك العلاقة، حيث خلصت مراجعة</w:t>
      </w:r>
      <w:r w:rsidR="00004971">
        <w:rPr>
          <w:rFonts w:ascii="Traditional Arabic" w:hAnsi="Traditional Arabic" w:cs="Traditional Arabic"/>
          <w:noProof/>
          <w:sz w:val="28"/>
          <w:szCs w:val="28"/>
        </w:rPr>
        <w:fldChar w:fldCharType="begin"/>
      </w:r>
      <w:r w:rsidR="00004971">
        <w:rPr>
          <w:rFonts w:ascii="Traditional Arabic" w:hAnsi="Traditional Arabic" w:cs="Traditional Arabic"/>
          <w:noProof/>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(Mistri et al., 2023)</w:t>
      </w:r>
      <w:r w:rsidR="00004971">
        <w:rPr>
          <w:rFonts w:ascii="Traditional Arabic" w:hAnsi="Traditional Arabic" w:cs="Traditional Arabic"/>
          <w:noProof/>
          <w:sz w:val="28"/>
          <w:szCs w:val="28"/>
        </w:rPr>
        <w:fldChar w:fldCharType="end"/>
      </w:r>
      <w:r w:rsidR="00B72DD9">
        <w:rPr>
          <w:rFonts w:ascii="Traditional Arabic" w:hAnsi="Traditional Arabic" w:cs="Traditional Arabic" w:hint="cs"/>
          <w:noProof/>
          <w:sz w:val="28"/>
          <w:szCs w:val="28"/>
          <w:rtl/>
          <w:lang w:val="ar-SA"/>
        </w:rPr>
        <w:t xml:space="preserve"> </w:t>
      </w:r>
      <w:r w:rsidRPr="002E15D3">
        <w:rPr>
          <w:rFonts w:ascii="Traditional Arabic" w:hAnsi="Traditional Arabic" w:cs="Traditional Arabic"/>
          <w:noProof/>
          <w:sz w:val="28"/>
          <w:szCs w:val="28"/>
          <w:rtl/>
          <w:lang w:val="ar-SA"/>
        </w:rPr>
        <w:t>إلى أن وجود بيئة إيجابية للسلامة يساهم في تقليل احتمالية حدوث المضاعفات أو الأحداث الضارة. كما أوضحت</w:t>
      </w:r>
      <w:r w:rsidRPr="002E15D3">
        <w:rPr>
          <w:rFonts w:ascii="Traditional Arabic" w:hAnsi="Traditional Arabic" w:cs="Traditional Arabic"/>
          <w:noProof/>
          <w:sz w:val="28"/>
          <w:szCs w:val="28"/>
        </w:rPr>
        <w:t xml:space="preserve"> </w:t>
      </w:r>
      <w:r w:rsidR="00004971">
        <w:rPr>
          <w:rFonts w:ascii="Traditional Arabic" w:hAnsi="Traditional Arabic" w:cs="Traditional Arabic"/>
          <w:noProof/>
          <w:sz w:val="28"/>
          <w:szCs w:val="28"/>
        </w:rPr>
        <w:fldChar w:fldCharType="begin"/>
      </w:r>
      <w:r w:rsidR="00004971">
        <w:rPr>
          <w:rFonts w:ascii="Traditional Arabic" w:hAnsi="Traditional Arabic" w:cs="Traditional Arabic"/>
          <w:noProof/>
          <w:sz w:val="28"/>
          <w:szCs w:val="28"/>
        </w:rPr>
        <w:instrText xml:space="preserve"> ADDIN EN.CITE &lt;EndNote&gt;&lt;Cite&gt;&lt;Author&gt;Shenoy&lt;/Author&gt;&lt;Year&gt;2021&lt;/Year&gt;&lt;RecNum&gt;246&lt;/RecNum&gt;&lt;DisplayText&gt;(Shenoy, 2021)&lt;/DisplayText&gt;&lt;record&gt;&lt;rec-number&gt;246&lt;/rec-number&gt;&lt;foreign-keys&gt;&lt;key app="EN" db-id="02retxxrerxdxhe9aphvs0z2t9z25p0ew99s" timestamp="1762443774"&gt;246&lt;/key&gt;&lt;/foreign-keys&gt;&lt;ref-type name="Journal Article"&gt;17&lt;/ref-type&gt;&lt;contributors&gt;&lt;authors&gt;&lt;author&gt;Shenoy, A.&lt;/author&gt;&lt;/authors&gt;&lt;/contributors&gt;&lt;auth-address&gt;College of Public Affairs, School of Health and Human Services, Healthcare Administration Program, University of Baltimore, 1420 N. Charles Street, MD, 21201, Baltimore, USA. amritashenoy@gmail.com.&lt;/auth-address&gt;&lt;titles&gt;&lt;title&gt;Patient safety from the perspective of quality management frameworks: a review&lt;/title&gt;&lt;secondary-title&gt;Patient Saf Surg&lt;/secondary-title&gt;&lt;/titles&gt;&lt;periodical&gt;&lt;full-title&gt;Patient Saf Surg&lt;/full-title&gt;&lt;/periodical&gt;&lt;pages&gt;12&lt;/pages&gt;&lt;volume&gt;15&lt;/volume&gt;&lt;number&gt;1&lt;/number&gt;&lt;edition&gt;2021/03/24&lt;/edition&gt;&lt;keywords&gt;&lt;keyword&gt;High-quality clinical care&lt;/keyword&gt;&lt;keyword&gt;IHI&amp;apos;s Triple Aim&lt;/keyword&gt;&lt;keyword&gt;IOM&amp;apos;s six aims for improvement&lt;/keyword&gt;&lt;keyword&gt;Patient centeredness&lt;/keyword&gt;&lt;keyword&gt;Patient safety&lt;/keyword&gt;&lt;keyword&gt;Quality management frameworks&lt;/keyword&gt;&lt;/keywords&gt;&lt;dates&gt;&lt;year&gt;2021&lt;/year&gt;&lt;pub-dates&gt;&lt;date&gt;Mar 22&lt;/date&gt;&lt;/pub-dates&gt;&lt;/dates&gt;&lt;isbn&gt;1754-9493 (Print)&amp;#xD;1754-9493 (Electronic)&amp;#xD;1754-9493 (Linking)&lt;/isbn&gt;&lt;accession-num&gt;33752725&lt;/accession-num&gt;&lt;urls&gt;&lt;related-urls&gt;&lt;url&gt;https://www.ncbi.nlm.nih.gov/pubmed/33752725&lt;/url&gt;&lt;/related-urls&gt;&lt;/urls&gt;&lt;custom2&gt;PMC7983197&lt;/custom2&gt;&lt;electronic-resource-num&gt;10.1186/s13037-021-00286-6&lt;/electronic-resource-num&gt;&lt;/record&gt;&lt;/Cite&gt;&lt;/EndNote&gt;</w:instrText>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(Shenoy, 2021)</w:t>
      </w:r>
      <w:r w:rsidR="00004971">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أن تحسين سلامة المريض يعتمد بشكل كبير على تطبيق أطر إدارة الجودة الموجّهة للحد من الحالات المرضية المكتسبة داخل المستشفيات</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 xml:space="preserve">ومع ذلك، يظهر نقد تحليلي لهذه المجموعة من الدراسات يتمثل في تركيزها على أجزاء منفصلة من النموذج، مثل العلاقات </w:t>
      </w:r>
      <w:r w:rsidRPr="002E15D3">
        <w:rPr>
          <w:rFonts w:ascii="Traditional Arabic" w:hAnsi="Traditional Arabic" w:cs="Traditional Arabic"/>
          <w:noProof/>
          <w:sz w:val="28"/>
          <w:szCs w:val="28"/>
        </w:rPr>
        <w:t xml:space="preserve">((SC)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raditional Arabic" w:hAnsi="Traditional Arabic" w:cs="Traditional Arabic"/>
          <w:noProof/>
          <w:sz w:val="28"/>
          <w:szCs w:val="28"/>
          <w:rtl/>
          <w:lang w:val="ar-SA"/>
        </w:rPr>
        <w:t>أو</w:t>
      </w:r>
      <w:r w:rsidRPr="002E15D3">
        <w:rPr>
          <w:rFonts w:ascii="Traditional Arabic" w:hAnsi="Traditional Arabic" w:cs="Traditional Arabic"/>
          <w:noProof/>
          <w:sz w:val="28"/>
          <w:szCs w:val="28"/>
        </w:rPr>
        <w:t xml:space="preserve"> ((SC)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(AE))</w:t>
      </w:r>
      <w:r w:rsidRPr="002E15D3">
        <w:rPr>
          <w:rFonts w:ascii="Traditional Arabic" w:hAnsi="Traditional Arabic" w:cs="Traditional Arabic"/>
          <w:noProof/>
          <w:sz w:val="28"/>
          <w:szCs w:val="28"/>
          <w:rtl/>
          <w:lang w:val="ar-SA"/>
        </w:rPr>
        <w:t>، دون تضمين المتغير المستقل الأساسي وهو القيادة التحويلية في اختبار سببي متكامل يربط جميع العناصر ضمن سياق تسلسلي شمولي</w:t>
      </w:r>
      <w:r w:rsidRPr="002E15D3">
        <w:rPr>
          <w:rFonts w:ascii="Traditional Arabic" w:hAnsi="Traditional Arabic" w:cs="Traditional Arabic"/>
          <w:noProof/>
          <w:sz w:val="28"/>
          <w:szCs w:val="28"/>
        </w:rPr>
        <w:t>.</w:t>
      </w:r>
    </w:p>
    <w:p w14:paraId="6876EAAD" w14:textId="19C5DA4F" w:rsidR="00624B1F" w:rsidRPr="002E15D3" w:rsidRDefault="009A6041" w:rsidP="00F93590">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7</w:t>
      </w:r>
      <w:r w:rsidR="00624B1F" w:rsidRPr="002E15D3">
        <w:rPr>
          <w:rFonts w:ascii="Traditional Arabic" w:hAnsi="Traditional Arabic" w:cs="Traditional Arabic"/>
          <w:b/>
          <w:bCs/>
          <w:noProof/>
          <w:sz w:val="28"/>
          <w:szCs w:val="28"/>
          <w:rtl/>
          <w:lang w:val="ar-SA"/>
        </w:rPr>
        <w:t>.3. التعليق النقدي، الفجوة البحثية، والقيمة المضافة للدراسة</w:t>
      </w:r>
    </w:p>
    <w:p w14:paraId="229DD8A2" w14:textId="771D9DD4" w:rsidR="00624B1F" w:rsidRPr="002E15D3" w:rsidRDefault="00624B1F" w:rsidP="009A6041">
      <w:pPr>
        <w:bidi/>
        <w:spacing w:line="360" w:lineRule="auto"/>
        <w:rPr>
          <w:rFonts w:ascii="Traditional Arabic" w:hAnsi="Traditional Arabic" w:cs="Traditional Arabic"/>
          <w:b/>
          <w:bCs/>
          <w:noProof/>
          <w:sz w:val="28"/>
          <w:szCs w:val="28"/>
          <w:rtl/>
        </w:rPr>
      </w:pPr>
      <w:r w:rsidRPr="002E15D3">
        <w:rPr>
          <w:rFonts w:ascii="Traditional Arabic" w:hAnsi="Traditional Arabic" w:cs="Traditional Arabic"/>
          <w:b/>
          <w:bCs/>
          <w:noProof/>
          <w:sz w:val="28"/>
          <w:szCs w:val="28"/>
          <w:rtl/>
          <w:lang w:val="ar-SA"/>
        </w:rPr>
        <w:t>أولاً: التعليق النقدي وأوجه الاتفاق والاختلاف</w:t>
      </w:r>
    </w:p>
    <w:p w14:paraId="1C8C892F" w14:textId="122C86A4" w:rsidR="00624B1F" w:rsidRPr="002E15D3" w:rsidRDefault="00624B1F" w:rsidP="000636E4">
      <w:pPr>
        <w:numPr>
          <w:ilvl w:val="0"/>
          <w:numId w:val="51"/>
        </w:numPr>
        <w:tabs>
          <w:tab w:val="num" w:pos="720"/>
        </w:tabs>
        <w:bidi/>
        <w:spacing w:line="360" w:lineRule="auto"/>
        <w:jc w:val="both"/>
        <w:rPr>
          <w:rFonts w:ascii="Traditional Arabic" w:hAnsi="Traditional Arabic" w:cs="Traditional Arabic"/>
          <w:noProof/>
          <w:sz w:val="28"/>
          <w:szCs w:val="28"/>
        </w:rPr>
      </w:pPr>
      <w:r w:rsidRPr="002E15D3">
        <w:rPr>
          <w:rFonts w:ascii="Traditional Arabic" w:hAnsi="Traditional Arabic" w:cs="Traditional Arabic"/>
          <w:b/>
          <w:bCs/>
          <w:noProof/>
          <w:sz w:val="28"/>
          <w:szCs w:val="28"/>
          <w:rtl/>
          <w:lang w:val="ar-SA"/>
        </w:rPr>
        <w:t>أوجه الاتفاق (نقاط القوة المكتسبة):</w:t>
      </w:r>
      <w:r w:rsidRPr="002E15D3">
        <w:rPr>
          <w:rFonts w:ascii="Traditional Arabic" w:hAnsi="Traditional Arabic" w:cs="Traditional Arabic"/>
          <w:noProof/>
          <w:sz w:val="28"/>
          <w:szCs w:val="28"/>
          <w:rtl/>
          <w:lang w:val="ar-SA"/>
        </w:rPr>
        <w:t xml:space="preserve"> تتفق جميع الدراسات على أن القيادة التحويلية (</w:t>
      </w:r>
      <w:r w:rsidRPr="002E15D3">
        <w:rPr>
          <w:rFonts w:ascii="Traditional Arabic" w:hAnsi="Traditional Arabic" w:cs="Traditional Arabic"/>
          <w:noProof/>
          <w:sz w:val="28"/>
          <w:szCs w:val="28"/>
        </w:rPr>
        <w:t>TL</w:t>
      </w:r>
      <w:r w:rsidRPr="002E15D3">
        <w:rPr>
          <w:rFonts w:ascii="Traditional Arabic" w:hAnsi="Traditional Arabic" w:cs="Traditional Arabic"/>
          <w:noProof/>
          <w:sz w:val="28"/>
          <w:szCs w:val="28"/>
          <w:rtl/>
          <w:lang w:val="ar-SA"/>
        </w:rPr>
        <w:t>) هي مُحفز أولي، وأن ثقافة السلامة (</w:t>
      </w:r>
      <w:r w:rsidRPr="002E15D3">
        <w:rPr>
          <w:rFonts w:ascii="Traditional Arabic" w:hAnsi="Traditional Arabic" w:cs="Traditional Arabic"/>
          <w:noProof/>
          <w:sz w:val="28"/>
          <w:szCs w:val="28"/>
        </w:rPr>
        <w:t>SC</w:t>
      </w:r>
      <w:r w:rsidRPr="002E15D3">
        <w:rPr>
          <w:rFonts w:ascii="Traditional Arabic" w:hAnsi="Traditional Arabic" w:cs="Traditional Arabic"/>
          <w:noProof/>
          <w:sz w:val="28"/>
          <w:szCs w:val="28"/>
          <w:rtl/>
          <w:lang w:val="ar-SA"/>
        </w:rPr>
        <w:t>) هي وسيط ضروري، وأن سلوكيات السلامة (</w:t>
      </w:r>
      <w:r w:rsidR="009A6041" w:rsidRPr="002E15D3">
        <w:rPr>
          <w:rFonts w:ascii="Traditional Arabic" w:hAnsi="Traditional Arabic" w:cs="Traditional Arabic"/>
          <w:noProof/>
          <w:sz w:val="28"/>
          <w:szCs w:val="28"/>
        </w:rPr>
        <w:t>SB</w:t>
      </w:r>
      <w:r w:rsidRPr="002E15D3">
        <w:rPr>
          <w:rFonts w:ascii="Traditional Arabic" w:hAnsi="Traditional Arabic" w:cs="Traditional Arabic"/>
          <w:noProof/>
          <w:sz w:val="28"/>
          <w:szCs w:val="28"/>
          <w:rtl/>
          <w:lang w:val="ar-SA"/>
        </w:rPr>
        <w:t>) هي العامل المباشر الذي يُؤدي إلى تقليل الأحداث الضارة (</w:t>
      </w:r>
      <w:r w:rsidR="009A6041" w:rsidRPr="002E15D3">
        <w:rPr>
          <w:rFonts w:ascii="Traditional Arabic" w:hAnsi="Traditional Arabic" w:cs="Traditional Arabic"/>
          <w:noProof/>
          <w:sz w:val="28"/>
          <w:szCs w:val="28"/>
        </w:rPr>
        <w:t>AE</w:t>
      </w:r>
      <w:r w:rsidRPr="002E15D3">
        <w:rPr>
          <w:rFonts w:ascii="Traditional Arabic" w:hAnsi="Traditional Arabic" w:cs="Traditional Arabic"/>
          <w:noProof/>
          <w:sz w:val="28"/>
          <w:szCs w:val="28"/>
          <w:rtl/>
          <w:lang w:val="ar-SA"/>
        </w:rPr>
        <w:t>). هذا الاتفاق يُشكل الأساس النظري القوي لفرضيات الدراسة.</w:t>
      </w:r>
    </w:p>
    <w:p w14:paraId="56778ABE" w14:textId="77777777" w:rsidR="00624B1F" w:rsidRPr="002E15D3" w:rsidRDefault="00624B1F" w:rsidP="00624B1F">
      <w:pPr>
        <w:numPr>
          <w:ilvl w:val="0"/>
          <w:numId w:val="51"/>
        </w:numPr>
        <w:tabs>
          <w:tab w:val="num" w:pos="720"/>
        </w:tabs>
        <w:bidi/>
        <w:spacing w:line="360" w:lineRule="auto"/>
        <w:rPr>
          <w:rFonts w:ascii="Traditional Arabic" w:hAnsi="Traditional Arabic" w:cs="Traditional Arabic"/>
          <w:noProof/>
          <w:sz w:val="28"/>
          <w:szCs w:val="28"/>
          <w:rtl/>
          <w:lang w:val="ar-SA"/>
        </w:rPr>
      </w:pPr>
      <w:r w:rsidRPr="002E15D3">
        <w:rPr>
          <w:rFonts w:ascii="Traditional Arabic" w:hAnsi="Traditional Arabic" w:cs="Traditional Arabic"/>
          <w:b/>
          <w:bCs/>
          <w:noProof/>
          <w:sz w:val="28"/>
          <w:szCs w:val="28"/>
          <w:rtl/>
          <w:lang w:val="ar-SA"/>
        </w:rPr>
        <w:t>أوجه الاختلاف ونقاط الضعف (النقد الموجه):</w:t>
      </w:r>
    </w:p>
    <w:p w14:paraId="5BADD790" w14:textId="77777777" w:rsidR="000636E4" w:rsidRPr="002E15D3" w:rsidRDefault="00240308" w:rsidP="00F770F8">
      <w:pPr>
        <w:bidi/>
        <w:spacing w:line="360" w:lineRule="auto"/>
        <w:jc w:val="both"/>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أولا</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يظهر النقد الجذري المنهجي أن أكبر مشكلة في الأبحاث هو تقسيم النموذج السببي</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لم يقم أي بحث باختبار نموذج متكامل يتسلسل ويشرح كيفية انتقال التأثير من خلال وسيطين بشكل متتابع</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هذا يعني أن الأبحاث لم تتمكن من تأكيد السؤال:</w:t>
      </w:r>
    </w:p>
    <w:p w14:paraId="0BCB6190" w14:textId="2A210444" w:rsidR="00624B1F" w:rsidRPr="002E15D3" w:rsidRDefault="00240308" w:rsidP="00F770F8">
      <w:pPr>
        <w:bidi/>
        <w:spacing w:line="360" w:lineRule="auto"/>
        <w:rPr>
          <w:rFonts w:ascii="Traditional Arabic" w:hAnsi="Traditional Arabic" w:cs="Traditional Arabic"/>
          <w:noProof/>
          <w:sz w:val="28"/>
          <w:szCs w:val="28"/>
          <w:rtl/>
        </w:rPr>
      </w:pPr>
      <w:r w:rsidRPr="002E15D3">
        <w:rPr>
          <w:rFonts w:ascii="Traditional Arabic" w:hAnsi="Traditional Arabic" w:cs="Traditional Arabic"/>
          <w:noProof/>
          <w:sz w:val="28"/>
          <w:szCs w:val="28"/>
          <w:rtl/>
          <w:lang w:val="ar-SA"/>
        </w:rPr>
        <w:lastRenderedPageBreak/>
        <w:t xml:space="preserve"> كيف يتفاعل التأثير القيادي بشكل شامل عبر الثقافة والسلوك لإحداث تغيير في النتائج النهائية؟</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ثانيا</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يوضح النقد السياقي أن الكثير من الدراسات المحلية لا تتناول بشكل كاف منطقة الجوف، مما يقلل من أهمية</w:t>
      </w:r>
      <w:r w:rsidR="000636E4" w:rsidRPr="002E15D3">
        <w:rPr>
          <w:rFonts w:ascii="Traditional Arabic" w:hAnsi="Traditional Arabic" w:cs="Traditional Arabic"/>
          <w:noProof/>
          <w:sz w:val="28"/>
          <w:szCs w:val="28"/>
          <w:rtl/>
          <w:lang w:val="ar-SA"/>
        </w:rPr>
        <w:t xml:space="preserve"> </w:t>
      </w:r>
      <w:r w:rsidRPr="002E15D3">
        <w:rPr>
          <w:rFonts w:ascii="Traditional Arabic" w:hAnsi="Traditional Arabic" w:cs="Traditional Arabic"/>
          <w:noProof/>
          <w:sz w:val="28"/>
          <w:szCs w:val="28"/>
          <w:rtl/>
          <w:lang w:val="ar-SA"/>
        </w:rPr>
        <w:t>نتائجها بالنسبة لصانعي القرار في هذا السياق المحدد</w:t>
      </w:r>
      <w:r w:rsidRPr="002E15D3">
        <w:rPr>
          <w:rFonts w:ascii="Traditional Arabic" w:hAnsi="Traditional Arabic" w:cs="Traditional Arabic"/>
          <w:noProof/>
          <w:sz w:val="28"/>
          <w:szCs w:val="28"/>
        </w:rPr>
        <w:t>.</w:t>
      </w:r>
      <w:r w:rsidR="00624B1F" w:rsidRPr="002E15D3">
        <w:rPr>
          <w:rFonts w:ascii="Traditional Arabic" w:hAnsi="Traditional Arabic" w:cs="Traditional Arabic"/>
          <w:noProof/>
          <w:sz w:val="28"/>
          <w:szCs w:val="28"/>
          <w:rtl/>
          <w:lang w:val="ar-SA"/>
        </w:rPr>
        <w:t>ثانياً: الفجوة البحثية والقيمة العلمية الجديدة</w:t>
      </w:r>
      <w:r w:rsidR="00F770F8">
        <w:rPr>
          <w:rFonts w:ascii="Traditional Arabic" w:hAnsi="Traditional Arabic" w:cs="Traditional Arabic" w:hint="cs"/>
          <w:noProof/>
          <w:sz w:val="28"/>
          <w:szCs w:val="28"/>
          <w:rtl/>
        </w:rPr>
        <w:t>.</w:t>
      </w:r>
    </w:p>
    <w:p w14:paraId="04DDF524" w14:textId="53B8B73B" w:rsidR="00240308" w:rsidRPr="002E15D3" w:rsidRDefault="00240308" w:rsidP="00240308">
      <w:pPr>
        <w:bidi/>
        <w:spacing w:line="360" w:lineRule="auto"/>
        <w:rPr>
          <w:rFonts w:ascii="Traditional Arabic" w:hAnsi="Traditional Arabic" w:cs="Traditional Arabic"/>
          <w:noProof/>
          <w:sz w:val="28"/>
          <w:szCs w:val="28"/>
          <w:rtl/>
          <w:lang w:val="ar-SA"/>
        </w:rPr>
      </w:pPr>
      <w:r w:rsidRPr="002E15D3">
        <w:rPr>
          <w:rFonts w:ascii="Traditional Arabic" w:hAnsi="Traditional Arabic" w:cs="Traditional Arabic"/>
          <w:noProof/>
          <w:sz w:val="28"/>
          <w:szCs w:val="28"/>
          <w:rtl/>
          <w:lang w:val="ar-SA"/>
        </w:rPr>
        <w:t>توضح الدراسة الحالية سبب وجودها بوضوح من خلال معالجة الفجوات التالية</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rPr>
        <w:t>1.</w:t>
      </w:r>
      <w:r w:rsidRPr="002E15D3">
        <w:rPr>
          <w:rFonts w:ascii="Traditional Arabic" w:hAnsi="Traditional Arabic" w:cs="Traditional Arabic"/>
          <w:noProof/>
          <w:sz w:val="28"/>
          <w:szCs w:val="28"/>
          <w:rtl/>
          <w:lang w:val="ar-SA"/>
        </w:rPr>
        <w:t>معالجة الفجوة المنهجية (اختبار التوسيع المتسلسل)</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هذه الدراسة تقدم أول اختبار شامل لنموذج التوسيع المتسلسل</w:t>
      </w:r>
      <w:r w:rsidRPr="002E15D3">
        <w:rPr>
          <w:rFonts w:ascii="Traditional Arabic" w:hAnsi="Traditional Arabic" w:cs="Traditional Arabic"/>
          <w:noProof/>
          <w:sz w:val="28"/>
          <w:szCs w:val="28"/>
        </w:rPr>
        <w:t xml:space="preserve"> (TL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SC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 xml:space="preserve"> SB </w:t>
      </w:r>
      <w:r w:rsidRPr="002E15D3">
        <w:rPr>
          <w:rFonts w:ascii="Times New Roman" w:hAnsi="Times New Roman" w:cs="Times New Roman"/>
          <w:noProof/>
          <w:sz w:val="28"/>
          <w:szCs w:val="28"/>
        </w:rPr>
        <w:t>→</w:t>
      </w:r>
      <w:r w:rsidRPr="002E15D3">
        <w:rPr>
          <w:rFonts w:ascii="Traditional Arabic" w:hAnsi="Traditional Arabic" w:cs="Traditional Arabic"/>
          <w:noProof/>
          <w:sz w:val="28"/>
          <w:szCs w:val="28"/>
        </w:rPr>
        <w:t>AE). </w:t>
      </w:r>
      <w:r w:rsidRPr="002E15D3">
        <w:rPr>
          <w:rFonts w:ascii="Traditional Arabic" w:hAnsi="Traditional Arabic" w:cs="Traditional Arabic"/>
          <w:noProof/>
          <w:sz w:val="28"/>
          <w:szCs w:val="28"/>
          <w:rtl/>
          <w:lang w:val="ar-SA"/>
        </w:rPr>
        <w:t>هذه هي الأهمية العلمية الرئيسية، حيث سوف يكشف هذا الاختبار عن التأثير غير المباشر المتسلسل الذي يوفر تفسيرًا عميقًا لكيفية تأثير القيادة على الثقافة والسلوك، مما يعزز الفرضية الخامسة (</w:t>
      </w:r>
      <w:r w:rsidRPr="002E15D3">
        <w:rPr>
          <w:rFonts w:ascii="Traditional Arabic" w:hAnsi="Traditional Arabic" w:cs="Traditional Arabic"/>
          <w:noProof/>
          <w:sz w:val="28"/>
          <w:szCs w:val="28"/>
        </w:rPr>
        <w:t>H5</w:t>
      </w:r>
      <w:r w:rsidRPr="002E15D3">
        <w:rPr>
          <w:rFonts w:ascii="Traditional Arabic" w:hAnsi="Traditional Arabic" w:cs="Traditional Arabic"/>
          <w:noProof/>
          <w:sz w:val="28"/>
          <w:szCs w:val="28"/>
          <w:rtl/>
          <w:lang w:val="ar-SA"/>
        </w:rPr>
        <w:t>)</w:t>
      </w:r>
      <w:r w:rsidR="00B85713">
        <w:rPr>
          <w:rFonts w:ascii="Traditional Arabic" w:hAnsi="Traditional Arabic" w:cs="Traditional Arabic" w:hint="cs"/>
          <w:noProof/>
          <w:sz w:val="28"/>
          <w:szCs w:val="28"/>
          <w:rtl/>
          <w:lang w:val="ar-SA"/>
        </w:rPr>
        <w:t>.</w:t>
      </w:r>
    </w:p>
    <w:p w14:paraId="39F80F2C" w14:textId="0CD691B2" w:rsidR="00240308" w:rsidRPr="002E15D3" w:rsidRDefault="00240308" w:rsidP="000636E4">
      <w:pPr>
        <w:bidi/>
        <w:spacing w:line="360" w:lineRule="auto"/>
        <w:rPr>
          <w:rFonts w:ascii="Traditional Arabic" w:hAnsi="Traditional Arabic" w:cs="Traditional Arabic"/>
          <w:noProof/>
          <w:sz w:val="28"/>
          <w:szCs w:val="28"/>
        </w:rPr>
      </w:pPr>
      <w:r w:rsidRPr="002E15D3">
        <w:rPr>
          <w:rFonts w:ascii="Traditional Arabic" w:hAnsi="Traditional Arabic" w:cs="Traditional Arabic"/>
          <w:noProof/>
          <w:sz w:val="28"/>
          <w:szCs w:val="28"/>
          <w:rtl/>
        </w:rPr>
        <w:t>2.</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معالجة الفجوة السياقية (التخصيص الإقليمي)</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r>
      <w:r w:rsidRPr="002E15D3">
        <w:rPr>
          <w:rFonts w:ascii="Traditional Arabic" w:hAnsi="Traditional Arabic" w:cs="Traditional Arabic"/>
          <w:noProof/>
          <w:sz w:val="28"/>
          <w:szCs w:val="28"/>
          <w:rtl/>
          <w:lang w:val="ar-SA"/>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w:t>
      </w:r>
    </w:p>
    <w:p w14:paraId="4A9CD30D" w14:textId="1EA00832" w:rsidR="00624B1F" w:rsidRPr="002E15D3" w:rsidRDefault="00624B1F" w:rsidP="00240308">
      <w:pPr>
        <w:bidi/>
        <w:spacing w:line="360" w:lineRule="auto"/>
        <w:rPr>
          <w:rFonts w:ascii="Traditional Arabic" w:hAnsi="Traditional Arabic" w:cs="Traditional Arabic"/>
          <w:noProof/>
          <w:sz w:val="28"/>
          <w:szCs w:val="28"/>
          <w:rtl/>
        </w:rPr>
      </w:pPr>
      <w:r w:rsidRPr="002E15D3">
        <w:rPr>
          <w:rFonts w:ascii="Traditional Arabic" w:hAnsi="Traditional Arabic" w:cs="Traditional Arabic"/>
          <w:b/>
          <w:bCs/>
          <w:noProof/>
          <w:sz w:val="28"/>
          <w:szCs w:val="28"/>
          <w:rtl/>
          <w:lang w:val="ar-SA"/>
        </w:rPr>
        <w:t>ثالثاً: الاستفادة العملية والمنهجية من الدراسات السابقة</w:t>
      </w:r>
    </w:p>
    <w:p w14:paraId="30E22760" w14:textId="77777777" w:rsidR="00240308" w:rsidRPr="002E15D3" w:rsidRDefault="00240308" w:rsidP="00DE2642">
      <w:pPr>
        <w:pStyle w:val="a3"/>
        <w:numPr>
          <w:ilvl w:val="0"/>
          <w:numId w:val="101"/>
        </w:numPr>
        <w:bidi/>
        <w:spacing w:line="360" w:lineRule="auto"/>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t>تستفيد الدراسة من الأبحاث التي تم القيام بها سابقاً لتعزيز جودتها وموثوقيتها عبر النقاط التالية</w:t>
      </w:r>
      <w:r w:rsidRPr="002E15D3">
        <w:rPr>
          <w:rFonts w:ascii="Traditional Arabic" w:hAnsi="Traditional Arabic" w:cs="Traditional Arabic"/>
          <w:noProof/>
          <w:sz w:val="28"/>
          <w:szCs w:val="28"/>
        </w:rPr>
        <w:t>:</w:t>
      </w:r>
      <w:r w:rsidRPr="002E15D3">
        <w:rPr>
          <w:rFonts w:ascii="Traditional Arabic" w:hAnsi="Traditional Arabic" w:cs="Traditional Arabic"/>
          <w:noProof/>
          <w:sz w:val="28"/>
          <w:szCs w:val="28"/>
        </w:rPr>
        <w:br/>
        <w:t xml:space="preserve"> </w:t>
      </w:r>
      <w:r w:rsidRPr="002E15D3">
        <w:rPr>
          <w:rFonts w:ascii="Traditional Arabic" w:hAnsi="Traditional Arabic" w:cs="Traditional Arabic"/>
          <w:noProof/>
          <w:sz w:val="28"/>
          <w:szCs w:val="28"/>
          <w:rtl/>
          <w:lang w:val="ar-SA"/>
        </w:rPr>
        <w:t>الاستفادة المنهجية</w:t>
      </w:r>
      <w:r w:rsidRPr="002E15D3">
        <w:rPr>
          <w:rFonts w:ascii="Traditional Arabic" w:hAnsi="Traditional Arabic" w:cs="Traditional Arabic"/>
          <w:noProof/>
          <w:sz w:val="28"/>
          <w:szCs w:val="28"/>
        </w:rPr>
        <w:t>: </w:t>
      </w:r>
      <w:r w:rsidRPr="002E15D3">
        <w:rPr>
          <w:rFonts w:ascii="Traditional Arabic" w:hAnsi="Traditional Arabic" w:cs="Traditional Arabic"/>
          <w:noProof/>
          <w:sz w:val="28"/>
          <w:szCs w:val="28"/>
          <w:rtl/>
          <w:lang w:val="ar-SA"/>
        </w:rPr>
        <w:t>استخدام منهجية تحليل الكميات المتطورة</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نمذجة المعادلات الهيكلية</w:t>
      </w:r>
      <w:r w:rsidRPr="002E15D3">
        <w:rPr>
          <w:rFonts w:ascii="Traditional Arabic" w:hAnsi="Traditional Arabic" w:cs="Traditional Arabic"/>
          <w:noProof/>
          <w:sz w:val="28"/>
          <w:szCs w:val="28"/>
        </w:rPr>
        <w:t xml:space="preserve"> - SEM) </w:t>
      </w:r>
      <w:r w:rsidRPr="002E15D3">
        <w:rPr>
          <w:rFonts w:ascii="Traditional Arabic" w:hAnsi="Traditional Arabic" w:cs="Traditional Arabic"/>
          <w:noProof/>
          <w:sz w:val="28"/>
          <w:szCs w:val="28"/>
          <w:rtl/>
          <w:lang w:val="ar-SA"/>
        </w:rPr>
        <w:t>لاختبار الوساطة التسلسلية، للتغلب على العيوب المنهجية في الدراسات التي اعتمدت فقط على الإحصائيات الوصفية أو الارتباطات البسيطة</w:t>
      </w:r>
      <w:r w:rsidRPr="002E15D3">
        <w:rPr>
          <w:rFonts w:ascii="Traditional Arabic" w:hAnsi="Traditional Arabic" w:cs="Traditional Arabic"/>
          <w:noProof/>
          <w:sz w:val="28"/>
          <w:szCs w:val="28"/>
        </w:rPr>
        <w:t>.</w:t>
      </w:r>
    </w:p>
    <w:p w14:paraId="4537BE86" w14:textId="66B3DBCD" w:rsidR="00240308" w:rsidRPr="002E15D3" w:rsidRDefault="00240308" w:rsidP="00240308">
      <w:pPr>
        <w:pStyle w:val="a3"/>
        <w:numPr>
          <w:ilvl w:val="0"/>
          <w:numId w:val="101"/>
        </w:numPr>
        <w:bidi/>
        <w:spacing w:line="360" w:lineRule="auto"/>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t>الاستفادة من الأدوات: الاعتماد على الأدوات والمقاييس التي تتمتع بمصداقية وثبات عالٍ، والتي تم استخدامها بنجاح سابقاً في السياق السعودي (مثلما هو مذكور في</w:t>
      </w:r>
      <w:r w:rsidR="00004971">
        <w:rPr>
          <w:rFonts w:ascii="Traditional Arabic" w:hAnsi="Traditional Arabic" w:cs="Traditional Arabic"/>
          <w:noProof/>
          <w:sz w:val="28"/>
          <w:szCs w:val="28"/>
        </w:rPr>
        <w:fldChar w:fldCharType="begin">
          <w:fldData xml:space="preserve">PEVuZE5vdGU+PENpdGU+PEF1dGhvcj5Nb2hhbW1lZDwvQXV0aG9yPjxZZWFyPjIwMjU8L1llYXI+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</w:fldData>
        </w:fldChar>
      </w:r>
      <w:r w:rsidR="00004971">
        <w:rPr>
          <w:rFonts w:ascii="Traditional Arabic" w:hAnsi="Traditional Arabic" w:cs="Traditional Arabic"/>
          <w:noProof/>
          <w:sz w:val="28"/>
          <w:szCs w:val="28"/>
        </w:rPr>
        <w:instrText xml:space="preserve"> ADDIN EN.CITE </w:instrText>
      </w:r>
      <w:r w:rsidR="00004971">
        <w:rPr>
          <w:rFonts w:ascii="Traditional Arabic" w:hAnsi="Traditional Arabic" w:cs="Traditional Arabic"/>
          <w:noProof/>
          <w:sz w:val="28"/>
          <w:szCs w:val="28"/>
        </w:rPr>
        <w:fldChar w:fldCharType="begin">
          <w:fldData xml:space="preserve">PEVuZE5vdGU+PENpdGU+PEF1dGhvcj5Nb2hhbW1lZDwvQXV0aG9yPjxZZWFyPjIwMjU8L1llYXI+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</w:fldData>
        </w:fldChar>
      </w:r>
      <w:r w:rsidR="00004971">
        <w:rPr>
          <w:rFonts w:ascii="Traditional Arabic" w:hAnsi="Traditional Arabic" w:cs="Traditional Arabic"/>
          <w:noProof/>
          <w:sz w:val="28"/>
          <w:szCs w:val="28"/>
        </w:rPr>
        <w:instrText xml:space="preserve"> ADDIN EN.CITE.DATA </w:instrText>
      </w:r>
      <w:r w:rsidR="00004971">
        <w:rPr>
          <w:rFonts w:ascii="Traditional Arabic" w:hAnsi="Traditional Arabic" w:cs="Traditional Arabic"/>
          <w:noProof/>
          <w:sz w:val="28"/>
          <w:szCs w:val="28"/>
        </w:rPr>
      </w:r>
      <w:r w:rsidR="00004971">
        <w:rPr>
          <w:rFonts w:ascii="Traditional Arabic" w:hAnsi="Traditional Arabic" w:cs="Traditional Arabic"/>
          <w:noProof/>
          <w:sz w:val="28"/>
          <w:szCs w:val="28"/>
        </w:rPr>
        <w:fldChar w:fldCharType="end"/>
      </w:r>
      <w:r w:rsidR="00004971">
        <w:rPr>
          <w:rFonts w:ascii="Traditional Arabic" w:hAnsi="Traditional Arabic" w:cs="Traditional Arabic"/>
          <w:noProof/>
          <w:sz w:val="28"/>
          <w:szCs w:val="28"/>
        </w:rPr>
        <w:fldChar w:fldCharType="separate"/>
      </w:r>
      <w:r w:rsidR="00004971">
        <w:rPr>
          <w:rFonts w:ascii="Traditional Arabic" w:hAnsi="Traditional Arabic" w:cs="Traditional Arabic"/>
          <w:noProof/>
          <w:sz w:val="28"/>
          <w:szCs w:val="28"/>
        </w:rPr>
        <w:t>(Amal Ali Almuntasheri, 2022; Mohammed, 2025)</w:t>
      </w:r>
      <w:r w:rsidR="00004971">
        <w:rPr>
          <w:rFonts w:ascii="Traditional Arabic" w:hAnsi="Traditional Arabic" w:cs="Traditional Arabic"/>
          <w:noProof/>
          <w:sz w:val="28"/>
          <w:szCs w:val="28"/>
        </w:rPr>
        <w:fldChar w:fldCharType="end"/>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لضمان قوة قياس المتغيرات</w:t>
      </w:r>
      <w:r w:rsidRPr="002E15D3">
        <w:rPr>
          <w:rFonts w:ascii="Traditional Arabic" w:hAnsi="Traditional Arabic" w:cs="Traditional Arabic"/>
          <w:noProof/>
          <w:sz w:val="28"/>
          <w:szCs w:val="28"/>
        </w:rPr>
        <w:t>.</w:t>
      </w:r>
    </w:p>
    <w:p w14:paraId="1461DBD6" w14:textId="6C5A2D85" w:rsidR="00004971" w:rsidRPr="0019244B" w:rsidRDefault="00240308" w:rsidP="0019244B">
      <w:pPr>
        <w:pStyle w:val="a3"/>
        <w:numPr>
          <w:ilvl w:val="0"/>
          <w:numId w:val="101"/>
        </w:numPr>
        <w:bidi/>
        <w:spacing w:line="360" w:lineRule="auto"/>
        <w:jc w:val="both"/>
        <w:rPr>
          <w:rFonts w:ascii="Traditional Arabic" w:hAnsi="Traditional Arabic" w:cs="Traditional Arabic"/>
          <w:b/>
          <w:bCs/>
          <w:sz w:val="32"/>
          <w:szCs w:val="32"/>
        </w:rPr>
      </w:pPr>
      <w:r w:rsidRPr="002E15D3">
        <w:rPr>
          <w:rFonts w:ascii="Traditional Arabic" w:hAnsi="Traditional Arabic" w:cs="Traditional Arabic"/>
          <w:noProof/>
          <w:sz w:val="28"/>
          <w:szCs w:val="28"/>
          <w:rtl/>
          <w:lang w:val="ar-SA"/>
        </w:rPr>
        <w:t>الاستفادة التطبيقية (آليات التطوير): استخدام النتائج المؤكدة حول عناصر القيادة التحويلية الأكثر تأثيراً</w:t>
      </w:r>
      <w:r w:rsidRPr="002E15D3">
        <w:rPr>
          <w:rFonts w:ascii="Traditional Arabic" w:hAnsi="Traditional Arabic" w:cs="Traditional Arabic"/>
          <w:noProof/>
          <w:sz w:val="28"/>
          <w:szCs w:val="28"/>
        </w:rPr>
        <w:t xml:space="preserve"> (</w:t>
      </w:r>
      <w:r w:rsidRPr="002E15D3">
        <w:rPr>
          <w:rFonts w:ascii="Traditional Arabic" w:hAnsi="Traditional Arabic" w:cs="Traditional Arabic"/>
          <w:noProof/>
          <w:sz w:val="28"/>
          <w:szCs w:val="28"/>
          <w:rtl/>
          <w:lang w:val="ar-SA"/>
        </w:rPr>
        <w:t>كما حُدد في الدراسات السابقة) كنقطة انطلاق لتصميم برامج تدريب وتدخلات إدارية تركز على هذه العناصر تحديداً في مستشفيات الجوف، مما يساعد في الربط بين النتائج والتطبيق العملي بشكل مباشر.</w:t>
      </w:r>
    </w:p>
    <w:p w14:paraId="20F530B9" w14:textId="74079F32" w:rsidR="00443F33" w:rsidRPr="00004971" w:rsidRDefault="00443F33" w:rsidP="00240308">
      <w:pPr>
        <w:bidi/>
        <w:spacing w:line="360" w:lineRule="auto"/>
        <w:rPr>
          <w:rFonts w:ascii="Traditional Arabic" w:hAnsi="Traditional Arabic" w:cs="Traditional Arabic"/>
          <w:b/>
          <w:bCs/>
          <w:sz w:val="32"/>
          <w:szCs w:val="32"/>
          <w:rtl/>
        </w:rPr>
      </w:pPr>
      <w:r w:rsidRPr="00004971">
        <w:rPr>
          <w:rFonts w:ascii="Traditional Arabic" w:hAnsi="Traditional Arabic" w:cs="Traditional Arabic"/>
          <w:b/>
          <w:bCs/>
          <w:sz w:val="32"/>
          <w:szCs w:val="32"/>
          <w:rtl/>
        </w:rPr>
        <w:t xml:space="preserve">8.حدود الدراسة </w:t>
      </w:r>
    </w:p>
    <w:p w14:paraId="37FEED5C" w14:textId="1D044847" w:rsidR="00DE2642" w:rsidRPr="00DE2642" w:rsidRDefault="00DE2642" w:rsidP="00004971">
      <w:pPr>
        <w:bidi/>
        <w:spacing w:line="360" w:lineRule="auto"/>
        <w:rPr>
          <w:rFonts w:ascii="Traditional Arabic" w:hAnsi="Traditional Arabic" w:cs="Traditional Arabic"/>
          <w:sz w:val="28"/>
          <w:szCs w:val="28"/>
        </w:rPr>
      </w:pPr>
      <w:r w:rsidRPr="00DE2642">
        <w:rPr>
          <w:rFonts w:ascii="Traditional Arabic" w:hAnsi="Traditional Arabic" w:cs="Traditional Arabic"/>
          <w:sz w:val="28"/>
          <w:szCs w:val="28"/>
          <w:rtl/>
        </w:rPr>
        <w:lastRenderedPageBreak/>
        <w:t>تحديد حدود الدراسة خطوة مهمة جداً، لأنها تساعد على توجيه الجهود بشكل واضح وتخلي النتائج قابلة للفهم والتأكد منها. في هذه الدراسة، تم الالتزام بمجموعة من الحدود الأكاديمية، وهي كالتالي:</w:t>
      </w:r>
    </w:p>
    <w:p w14:paraId="49E4BF55" w14:textId="77777777" w:rsidR="00DE2642" w:rsidRPr="00DE2642" w:rsidRDefault="00DE2642" w:rsidP="00DE2642">
      <w:pPr>
        <w:bidi/>
        <w:spacing w:line="360" w:lineRule="auto"/>
        <w:rPr>
          <w:rFonts w:ascii="Traditional Arabic" w:hAnsi="Traditional Arabic" w:cs="Traditional Arabic"/>
          <w:sz w:val="28"/>
          <w:szCs w:val="28"/>
        </w:rPr>
      </w:pPr>
      <w:r w:rsidRPr="00DE2642">
        <w:rPr>
          <w:rFonts w:ascii="Traditional Arabic" w:hAnsi="Traditional Arabic" w:cs="Traditional Arabic"/>
          <w:sz w:val="28"/>
          <w:szCs w:val="28"/>
          <w:rtl/>
        </w:rPr>
        <w:t xml:space="preserve">8.1. الحدود الموضوعية  </w:t>
      </w:r>
    </w:p>
    <w:p w14:paraId="678D02B5" w14:textId="77777777" w:rsidR="00DE2642" w:rsidRPr="00DE2642" w:rsidRDefault="00DE2642" w:rsidP="00DE2642">
      <w:pPr>
        <w:bidi/>
        <w:spacing w:line="360" w:lineRule="auto"/>
        <w:rPr>
          <w:rFonts w:ascii="Traditional Arabic" w:hAnsi="Traditional Arabic" w:cs="Traditional Arabic"/>
          <w:sz w:val="28"/>
          <w:szCs w:val="28"/>
        </w:rPr>
      </w:pPr>
      <w:r w:rsidRPr="00DE2642">
        <w:rPr>
          <w:rFonts w:ascii="Traditional Arabic" w:hAnsi="Traditional Arabic" w:cs="Traditional Arabic"/>
          <w:sz w:val="28"/>
          <w:szCs w:val="28"/>
          <w:rtl/>
        </w:rPr>
        <w:t xml:space="preserve">الجانب الموضوعي تم تحديده بناءً على نقاط معينة:  </w:t>
      </w:r>
    </w:p>
    <w:p w14:paraId="27ADCA00" w14:textId="77777777" w:rsidR="00DE2642" w:rsidRPr="00DE2642" w:rsidRDefault="00DE2642" w:rsidP="00DE2642">
      <w:pPr>
        <w:bidi/>
        <w:spacing w:line="360" w:lineRule="auto"/>
        <w:rPr>
          <w:rFonts w:ascii="Traditional Arabic" w:hAnsi="Traditional Arabic" w:cs="Traditional Arabic"/>
          <w:sz w:val="28"/>
          <w:szCs w:val="28"/>
        </w:rPr>
      </w:pPr>
      <w:r w:rsidRPr="00DE2642">
        <w:rPr>
          <w:rFonts w:ascii="Traditional Arabic" w:hAnsi="Traditional Arabic" w:cs="Traditional Arabic"/>
          <w:sz w:val="28"/>
          <w:szCs w:val="28"/>
          <w:rtl/>
        </w:rPr>
        <w:t xml:space="preserve">1. </w:t>
      </w:r>
      <w:r w:rsidRPr="0019244B">
        <w:rPr>
          <w:rFonts w:ascii="Traditional Arabic" w:hAnsi="Traditional Arabic" w:cs="Traditional Arabic"/>
          <w:b/>
          <w:bCs/>
          <w:sz w:val="28"/>
          <w:szCs w:val="28"/>
          <w:rtl/>
        </w:rPr>
        <w:t>مجال التركيز:</w:t>
      </w:r>
      <w:r w:rsidRPr="00DE2642">
        <w:rPr>
          <w:rFonts w:ascii="Traditional Arabic" w:hAnsi="Traditional Arabic" w:cs="Traditional Arabic"/>
          <w:sz w:val="28"/>
          <w:szCs w:val="28"/>
          <w:rtl/>
        </w:rPr>
        <w:t xml:space="preserve"> الدراسة تركز بشكل محدد على اختبار نموذج وساطة متسلسلة، يوضح كيف تؤثر القيادة التحويلية في تقليل الحوادث الضارة، وذلك عن طريق دورين وسيطين هما ثقافة السلامة وسلوكيات السلامة.  </w:t>
      </w:r>
    </w:p>
    <w:p w14:paraId="7D737486" w14:textId="2763CE7D" w:rsidR="00DE2642" w:rsidRPr="00DE2642" w:rsidRDefault="00DE2642" w:rsidP="00DE2642">
      <w:pPr>
        <w:bidi/>
        <w:spacing w:line="360" w:lineRule="auto"/>
        <w:rPr>
          <w:rFonts w:ascii="Traditional Arabic" w:hAnsi="Traditional Arabic" w:cs="Traditional Arabic"/>
          <w:sz w:val="28"/>
          <w:szCs w:val="28"/>
        </w:rPr>
      </w:pPr>
      <w:r w:rsidRPr="00DE2642">
        <w:rPr>
          <w:rFonts w:ascii="Traditional Arabic" w:hAnsi="Traditional Arabic" w:cs="Traditional Arabic"/>
          <w:sz w:val="28"/>
          <w:szCs w:val="28"/>
          <w:rtl/>
        </w:rPr>
        <w:t xml:space="preserve">2. </w:t>
      </w:r>
      <w:r w:rsidRPr="0019244B">
        <w:rPr>
          <w:rFonts w:ascii="Traditional Arabic" w:hAnsi="Traditional Arabic" w:cs="Traditional Arabic"/>
          <w:b/>
          <w:bCs/>
          <w:sz w:val="28"/>
          <w:szCs w:val="28"/>
          <w:rtl/>
        </w:rPr>
        <w:t>الاستثناءات:</w:t>
      </w:r>
      <w:r w:rsidRPr="00DE2642">
        <w:rPr>
          <w:rFonts w:ascii="Traditional Arabic" w:hAnsi="Traditional Arabic" w:cs="Traditional Arabic"/>
          <w:sz w:val="28"/>
          <w:szCs w:val="28"/>
          <w:rtl/>
        </w:rPr>
        <w:t xml:space="preserve"> الدراسة لا تشمل تحليل أنماط القيادة الأخرى، بل تقتصر فقط على القيادة التحويلية.</w:t>
      </w:r>
    </w:p>
    <w:p w14:paraId="1AD98F86" w14:textId="77777777" w:rsidR="00DE2642" w:rsidRDefault="00DE2642" w:rsidP="00DE2642">
      <w:pPr>
        <w:bidi/>
        <w:spacing w:line="360" w:lineRule="auto"/>
        <w:rPr>
          <w:rFonts w:ascii="Traditional Arabic" w:hAnsi="Traditional Arabic" w:cs="Traditional Arabic"/>
          <w:b/>
          <w:bCs/>
          <w:sz w:val="28"/>
          <w:szCs w:val="28"/>
          <w:rtl/>
        </w:rPr>
      </w:pPr>
      <w:r w:rsidRPr="00DE2642">
        <w:rPr>
          <w:rFonts w:ascii="Traditional Arabic" w:hAnsi="Traditional Arabic" w:cs="Traditional Arabic"/>
          <w:sz w:val="28"/>
          <w:szCs w:val="28"/>
          <w:rtl/>
        </w:rPr>
        <w:t>بهذا الشكل، يصبح واضح أي الجوانب تم التطرق إليها وأيها تم استبعادها، مما يساعد في توضيح نطاق البحث ويجعل النتائج أكثر دقة ووضوح.</w:t>
      </w:r>
    </w:p>
    <w:p w14:paraId="2C1082BB" w14:textId="77777777" w:rsidR="00DE2642" w:rsidRPr="00DE2642" w:rsidRDefault="00DE2642" w:rsidP="00DE2642">
      <w:pPr>
        <w:bidi/>
        <w:spacing w:line="360" w:lineRule="auto"/>
        <w:rPr>
          <w:rFonts w:ascii="Traditional Arabic" w:hAnsi="Traditional Arabic" w:cs="Traditional Arabic"/>
          <w:b/>
          <w:bCs/>
          <w:sz w:val="28"/>
          <w:szCs w:val="28"/>
        </w:rPr>
      </w:pPr>
      <w:r w:rsidRPr="00DE2642">
        <w:rPr>
          <w:rFonts w:ascii="Traditional Arabic" w:hAnsi="Traditional Arabic" w:cs="Traditional Arabic"/>
          <w:b/>
          <w:bCs/>
          <w:sz w:val="28"/>
          <w:szCs w:val="28"/>
          <w:rtl/>
        </w:rPr>
        <w:t xml:space="preserve">8.2. الحدود المكانية  </w:t>
      </w:r>
    </w:p>
    <w:p w14:paraId="10741CC6" w14:textId="77777777" w:rsidR="00DE2642" w:rsidRPr="00DE2642" w:rsidRDefault="00DE2642" w:rsidP="00DE2642">
      <w:pPr>
        <w:bidi/>
        <w:spacing w:line="360" w:lineRule="auto"/>
        <w:rPr>
          <w:rFonts w:ascii="Traditional Arabic" w:hAnsi="Traditional Arabic" w:cs="Traditional Arabic"/>
          <w:b/>
          <w:bCs/>
          <w:sz w:val="28"/>
          <w:szCs w:val="28"/>
        </w:rPr>
      </w:pPr>
      <w:r w:rsidRPr="00DE2642">
        <w:rPr>
          <w:rFonts w:ascii="Traditional Arabic" w:hAnsi="Traditional Arabic" w:cs="Traditional Arabic"/>
          <w:b/>
          <w:bCs/>
          <w:sz w:val="28"/>
          <w:szCs w:val="28"/>
          <w:rtl/>
        </w:rPr>
        <w:t xml:space="preserve">1. النطاق الجغرافي: </w:t>
      </w:r>
      <w:r w:rsidRPr="00DE2642">
        <w:rPr>
          <w:rFonts w:ascii="Traditional Arabic" w:hAnsi="Traditional Arabic" w:cs="Traditional Arabic"/>
          <w:sz w:val="28"/>
          <w:szCs w:val="28"/>
          <w:rtl/>
        </w:rPr>
        <w:t>تركز الدراسة على مستشفيات القطاع الحكومي التابعة لوزارة الصحة في منطقة الجوف بالمملكة العربية السعودية.</w:t>
      </w:r>
      <w:r w:rsidRPr="00DE2642">
        <w:rPr>
          <w:rFonts w:ascii="Traditional Arabic" w:hAnsi="Traditional Arabic" w:cs="Traditional Arabic"/>
          <w:b/>
          <w:bCs/>
          <w:sz w:val="28"/>
          <w:szCs w:val="28"/>
          <w:rtl/>
        </w:rPr>
        <w:t xml:space="preserve">  </w:t>
      </w:r>
    </w:p>
    <w:p w14:paraId="1E79DD22" w14:textId="329464C0" w:rsidR="00A36CAF" w:rsidRDefault="00DE2642" w:rsidP="00A36CAF">
      <w:pPr>
        <w:bidi/>
        <w:spacing w:line="360" w:lineRule="auto"/>
        <w:rPr>
          <w:rFonts w:ascii="Traditional Arabic" w:hAnsi="Traditional Arabic" w:cs="Traditional Arabic"/>
          <w:b/>
          <w:bCs/>
          <w:sz w:val="28"/>
          <w:szCs w:val="28"/>
          <w:rtl/>
        </w:rPr>
      </w:pPr>
      <w:r w:rsidRPr="00DE2642">
        <w:rPr>
          <w:rFonts w:ascii="Traditional Arabic" w:hAnsi="Traditional Arabic" w:cs="Traditional Arabic"/>
          <w:b/>
          <w:bCs/>
          <w:sz w:val="28"/>
          <w:szCs w:val="28"/>
          <w:rtl/>
        </w:rPr>
        <w:t xml:space="preserve">2. سبب الاختيار: </w:t>
      </w:r>
      <w:r w:rsidRPr="00DE2642">
        <w:rPr>
          <w:rFonts w:ascii="Traditional Arabic" w:hAnsi="Traditional Arabic" w:cs="Traditional Arabic"/>
          <w:sz w:val="28"/>
          <w:szCs w:val="28"/>
          <w:rtl/>
        </w:rPr>
        <w:t>وقع الاختيار على منطقة الجوف لأنها تمثل حالة إقليمية مميزة لم تحظَ بالكثير من البحث في الدراسات الماضية (كما تم الإشارة إلى ذلك في الفصل الثامن). بالإضافة إلى ذلك، جميع المستشفيات المختارة تتبع نفس الهيكل التنظيمي التابع لوزارة الصحة، مما يضمن اتساق البيانات</w:t>
      </w:r>
      <w:r w:rsidRPr="00DE2642">
        <w:rPr>
          <w:rFonts w:ascii="Traditional Arabic" w:hAnsi="Traditional Arabic" w:cs="Traditional Arabic"/>
          <w:b/>
          <w:bCs/>
          <w:sz w:val="28"/>
          <w:szCs w:val="28"/>
          <w:rtl/>
        </w:rPr>
        <w:t>.</w:t>
      </w:r>
    </w:p>
    <w:p w14:paraId="589F5209" w14:textId="77777777" w:rsidR="00A36CAF" w:rsidRPr="00A36CAF" w:rsidRDefault="00A36CAF" w:rsidP="00A36CAF">
      <w:pPr>
        <w:bidi/>
        <w:spacing w:line="360" w:lineRule="auto"/>
        <w:rPr>
          <w:rFonts w:ascii="Traditional Arabic" w:hAnsi="Traditional Arabic" w:cs="Traditional Arabic"/>
          <w:b/>
          <w:bCs/>
          <w:sz w:val="28"/>
          <w:szCs w:val="28"/>
        </w:rPr>
      </w:pPr>
      <w:r w:rsidRPr="00A36CAF">
        <w:rPr>
          <w:rFonts w:ascii="Traditional Arabic" w:hAnsi="Traditional Arabic" w:cs="Traditional Arabic"/>
          <w:b/>
          <w:bCs/>
          <w:sz w:val="28"/>
          <w:szCs w:val="28"/>
          <w:rtl/>
        </w:rPr>
        <w:t xml:space="preserve">8.3. الحدود الزمنية  </w:t>
      </w:r>
    </w:p>
    <w:p w14:paraId="731AF636" w14:textId="77777777" w:rsidR="00A36CAF" w:rsidRPr="00A36CAF" w:rsidRDefault="00A36CAF" w:rsidP="00A36CAF">
      <w:pPr>
        <w:bidi/>
        <w:spacing w:line="360" w:lineRule="auto"/>
        <w:rPr>
          <w:rFonts w:ascii="Traditional Arabic" w:hAnsi="Traditional Arabic" w:cs="Traditional Arabic"/>
          <w:b/>
          <w:bCs/>
          <w:sz w:val="28"/>
          <w:szCs w:val="28"/>
        </w:rPr>
      </w:pPr>
      <w:r w:rsidRPr="00A36CAF">
        <w:rPr>
          <w:rFonts w:ascii="Traditional Arabic" w:hAnsi="Traditional Arabic" w:cs="Traditional Arabic"/>
          <w:b/>
          <w:bCs/>
          <w:sz w:val="28"/>
          <w:szCs w:val="28"/>
          <w:rtl/>
        </w:rPr>
        <w:t xml:space="preserve">1. الفترة الزمنية: </w:t>
      </w:r>
      <w:r w:rsidRPr="00A36CAF">
        <w:rPr>
          <w:rFonts w:ascii="Traditional Arabic" w:hAnsi="Traditional Arabic" w:cs="Traditional Arabic"/>
          <w:sz w:val="28"/>
          <w:szCs w:val="28"/>
          <w:rtl/>
        </w:rPr>
        <w:t>سيتم جمع وتحليل البيانات الميدانية خلال الفترة من بداية عام 2026 وحتى نهايته (أو ما يعادلها بالتقويم الهجري).</w:t>
      </w:r>
      <w:r w:rsidRPr="00A36CAF">
        <w:rPr>
          <w:rFonts w:ascii="Traditional Arabic" w:hAnsi="Traditional Arabic" w:cs="Traditional Arabic"/>
          <w:b/>
          <w:bCs/>
          <w:sz w:val="28"/>
          <w:szCs w:val="28"/>
          <w:rtl/>
        </w:rPr>
        <w:t xml:space="preserve">  </w:t>
      </w:r>
    </w:p>
    <w:p w14:paraId="1A3AFF80" w14:textId="334622DB" w:rsidR="00A36CAF" w:rsidRPr="002E15D3" w:rsidRDefault="00A36CAF" w:rsidP="00A36CAF">
      <w:pPr>
        <w:bidi/>
        <w:spacing w:line="360" w:lineRule="auto"/>
        <w:rPr>
          <w:rFonts w:ascii="Traditional Arabic" w:hAnsi="Traditional Arabic" w:cs="Traditional Arabic"/>
          <w:b/>
          <w:bCs/>
          <w:sz w:val="28"/>
          <w:szCs w:val="28"/>
          <w:rtl/>
        </w:rPr>
      </w:pPr>
      <w:r w:rsidRPr="00A36CAF">
        <w:rPr>
          <w:rFonts w:ascii="Traditional Arabic" w:hAnsi="Traditional Arabic" w:cs="Traditional Arabic"/>
          <w:b/>
          <w:bCs/>
          <w:sz w:val="28"/>
          <w:szCs w:val="28"/>
          <w:rtl/>
        </w:rPr>
        <w:t xml:space="preserve">2. سبب اختيار الفترة: </w:t>
      </w:r>
      <w:r w:rsidRPr="00A36CAF">
        <w:rPr>
          <w:rFonts w:ascii="Traditional Arabic" w:hAnsi="Traditional Arabic" w:cs="Traditional Arabic"/>
          <w:sz w:val="28"/>
          <w:szCs w:val="28"/>
          <w:rtl/>
        </w:rPr>
        <w:t>الهدف من هذه المدة هو الحصول على صورة واضحة وحديثة تعبر عن تجربة العاملين في ظل ظروف برنامج تحول القطاع الصحي في المملكة كما هي الآن، بعيداً عن أي تغييرات إدارية كبيرة قد تحدث لاحقاً.</w:t>
      </w:r>
    </w:p>
    <w:p w14:paraId="793E34C3" w14:textId="25ECECCF" w:rsidR="00A36CAF" w:rsidRPr="00A36CAF" w:rsidRDefault="00443F33" w:rsidP="00A36CAF">
      <w:pPr>
        <w:bidi/>
        <w:spacing w:line="360" w:lineRule="auto"/>
        <w:rPr>
          <w:rFonts w:ascii="Traditional Arabic" w:hAnsi="Traditional Arabic" w:cs="Traditional Arabic"/>
          <w:b/>
          <w:bCs/>
          <w:sz w:val="28"/>
          <w:szCs w:val="28"/>
        </w:rPr>
      </w:pPr>
      <w:r w:rsidRPr="002E15D3">
        <w:rPr>
          <w:rFonts w:ascii="Traditional Arabic" w:hAnsi="Traditional Arabic" w:cs="Traditional Arabic"/>
          <w:b/>
          <w:bCs/>
          <w:sz w:val="28"/>
          <w:szCs w:val="28"/>
          <w:rtl/>
        </w:rPr>
        <w:t xml:space="preserve">8.4. الحدود البشرية </w:t>
      </w:r>
      <w:r w:rsidR="00A36CAF" w:rsidRPr="00A36CAF">
        <w:rPr>
          <w:rFonts w:ascii="Traditional Arabic" w:hAnsi="Traditional Arabic" w:cs="Traditional Arabic"/>
          <w:b/>
          <w:bCs/>
          <w:sz w:val="28"/>
          <w:szCs w:val="28"/>
          <w:rtl/>
        </w:rPr>
        <w:t xml:space="preserve">  </w:t>
      </w:r>
    </w:p>
    <w:p w14:paraId="627B250F" w14:textId="0F0D9420" w:rsidR="00A36CAF" w:rsidRPr="00A36CAF" w:rsidRDefault="00A36CAF" w:rsidP="00A36CAF">
      <w:pPr>
        <w:bidi/>
        <w:spacing w:line="360" w:lineRule="auto"/>
        <w:rPr>
          <w:rFonts w:ascii="Traditional Arabic" w:hAnsi="Traditional Arabic" w:cs="Traditional Arabic"/>
          <w:sz w:val="28"/>
          <w:szCs w:val="28"/>
        </w:rPr>
      </w:pPr>
      <w:r>
        <w:rPr>
          <w:rFonts w:ascii="Traditional Arabic" w:hAnsi="Traditional Arabic" w:cs="Traditional Arabic" w:hint="cs"/>
          <w:b/>
          <w:bCs/>
          <w:sz w:val="28"/>
          <w:szCs w:val="28"/>
          <w:rtl/>
        </w:rPr>
        <w:lastRenderedPageBreak/>
        <w:t>1</w:t>
      </w:r>
      <w:r w:rsidRPr="00A36CAF">
        <w:rPr>
          <w:rFonts w:ascii="Traditional Arabic" w:hAnsi="Traditional Arabic" w:cs="Traditional Arabic"/>
          <w:b/>
          <w:bCs/>
          <w:sz w:val="28"/>
          <w:szCs w:val="28"/>
          <w:rtl/>
        </w:rPr>
        <w:t xml:space="preserve">. الفئة المستهدفة: </w:t>
      </w:r>
      <w:r w:rsidRPr="00A36CAF">
        <w:rPr>
          <w:rFonts w:ascii="Traditional Arabic" w:hAnsi="Traditional Arabic" w:cs="Traditional Arabic"/>
          <w:sz w:val="28"/>
          <w:szCs w:val="28"/>
          <w:rtl/>
        </w:rPr>
        <w:t xml:space="preserve">شملت عينة الدراسة جميع العاملين في القطاع الصحي والإداري، اللي لهم دور مباشر في تقديم الرعاية أو إدارة سلامة المرضى داخل مستشفيات القطاع الحكومي في منطقة الجوف. وبشكل محدد:  </w:t>
      </w:r>
    </w:p>
    <w:p w14:paraId="294992FB" w14:textId="77777777" w:rsidR="00A36CAF" w:rsidRPr="00A36CAF" w:rsidRDefault="00A36CAF" w:rsidP="00A36CAF">
      <w:pPr>
        <w:bidi/>
        <w:spacing w:line="360" w:lineRule="auto"/>
        <w:rPr>
          <w:rFonts w:ascii="Traditional Arabic" w:hAnsi="Traditional Arabic" w:cs="Traditional Arabic"/>
          <w:sz w:val="28"/>
          <w:szCs w:val="28"/>
        </w:rPr>
      </w:pPr>
      <w:r w:rsidRPr="00A36CAF">
        <w:rPr>
          <w:rFonts w:ascii="Traditional Arabic" w:hAnsi="Traditional Arabic" w:cs="Traditional Arabic"/>
          <w:sz w:val="28"/>
          <w:szCs w:val="28"/>
          <w:rtl/>
        </w:rPr>
        <w:t xml:space="preserve">أ‌- الأطباء.  </w:t>
      </w:r>
    </w:p>
    <w:p w14:paraId="06987B8F" w14:textId="77777777" w:rsidR="00A36CAF" w:rsidRPr="00A36CAF" w:rsidRDefault="00A36CAF" w:rsidP="00A36CAF">
      <w:pPr>
        <w:bidi/>
        <w:spacing w:line="360" w:lineRule="auto"/>
        <w:rPr>
          <w:rFonts w:ascii="Traditional Arabic" w:hAnsi="Traditional Arabic" w:cs="Traditional Arabic"/>
          <w:sz w:val="28"/>
          <w:szCs w:val="28"/>
        </w:rPr>
      </w:pPr>
      <w:r w:rsidRPr="00A36CAF">
        <w:rPr>
          <w:rFonts w:ascii="Traditional Arabic" w:hAnsi="Traditional Arabic" w:cs="Traditional Arabic"/>
          <w:sz w:val="28"/>
          <w:szCs w:val="28"/>
          <w:rtl/>
        </w:rPr>
        <w:t xml:space="preserve">ب‌- الكادر التمريضي.  </w:t>
      </w:r>
    </w:p>
    <w:p w14:paraId="22C8BE4B" w14:textId="77777777" w:rsidR="00A36CAF" w:rsidRPr="00A36CAF" w:rsidRDefault="00A36CAF" w:rsidP="00A36CAF">
      <w:pPr>
        <w:bidi/>
        <w:spacing w:line="360" w:lineRule="auto"/>
        <w:rPr>
          <w:rFonts w:ascii="Traditional Arabic" w:hAnsi="Traditional Arabic" w:cs="Traditional Arabic"/>
          <w:sz w:val="28"/>
          <w:szCs w:val="28"/>
        </w:rPr>
      </w:pPr>
      <w:r w:rsidRPr="00A36CAF">
        <w:rPr>
          <w:rFonts w:ascii="Traditional Arabic" w:hAnsi="Traditional Arabic" w:cs="Traditional Arabic"/>
          <w:sz w:val="28"/>
          <w:szCs w:val="28"/>
          <w:rtl/>
        </w:rPr>
        <w:t xml:space="preserve">ت‌- المهن الصحية المساعدة.  </w:t>
      </w:r>
    </w:p>
    <w:p w14:paraId="029F6FFA" w14:textId="77777777" w:rsidR="00A36CAF" w:rsidRPr="00A36CAF" w:rsidRDefault="00A36CAF" w:rsidP="00A36CAF">
      <w:pPr>
        <w:bidi/>
        <w:spacing w:line="360" w:lineRule="auto"/>
        <w:rPr>
          <w:rFonts w:ascii="Traditional Arabic" w:hAnsi="Traditional Arabic" w:cs="Traditional Arabic"/>
          <w:sz w:val="28"/>
          <w:szCs w:val="28"/>
          <w:rtl/>
        </w:rPr>
      </w:pPr>
      <w:r w:rsidRPr="00A36CAF">
        <w:rPr>
          <w:rFonts w:ascii="Traditional Arabic" w:hAnsi="Traditional Arabic" w:cs="Traditional Arabic"/>
          <w:sz w:val="28"/>
          <w:szCs w:val="28"/>
          <w:rtl/>
        </w:rPr>
        <w:t>ث‌- الإداريين المسؤولين عن جودة الخدمة وسلامة المرضى.</w:t>
      </w:r>
    </w:p>
    <w:p w14:paraId="7B777462" w14:textId="77777777" w:rsidR="00A36CAF" w:rsidRDefault="00A36CAF" w:rsidP="00A36CAF">
      <w:pPr>
        <w:bidi/>
        <w:spacing w:line="360" w:lineRule="auto"/>
        <w:jc w:val="both"/>
        <w:rPr>
          <w:rFonts w:ascii="Traditional Arabic" w:hAnsi="Traditional Arabic" w:cs="Traditional Arabic"/>
          <w:sz w:val="28"/>
          <w:szCs w:val="28"/>
          <w:rtl/>
        </w:rPr>
      </w:pPr>
      <w:r w:rsidRPr="00A36CAF">
        <w:rPr>
          <w:rFonts w:ascii="Traditional Arabic" w:hAnsi="Traditional Arabic" w:cs="Traditional Arabic"/>
          <w:sz w:val="28"/>
          <w:szCs w:val="28"/>
          <w:rtl/>
        </w:rPr>
        <w:t>تم اختيار هذه الفئات لأنها تمثل الركائز الأساسية التي تتأثر بشكل مباشر بأسلوب القيادة، وتلعب دورًا مهمًا في بناء ثقافة السلامة داخل المؤسسة. هم الأشخاص الذين يطبقون سلوكيات السلامة بهدف تقليل الحوادث والمخاطر. أما العاملون في الخدمات المساندة مثل الأمن والنظافة والصيانة، فلم يتم تضمينهم في الدراسة، لأن دورهم لا يتداخل بشكل مباشر مع الجوانب الإكلينيكية التي يركز عليها البحث.</w:t>
      </w:r>
    </w:p>
    <w:p w14:paraId="2835236C" w14:textId="052EDB94" w:rsidR="00443F33" w:rsidRPr="002E15D3" w:rsidRDefault="00F72A5E" w:rsidP="0086026A">
      <w:pPr>
        <w:bidi/>
        <w:spacing w:line="360" w:lineRule="auto"/>
        <w:jc w:val="both"/>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8</w:t>
      </w:r>
      <w:r w:rsidR="00443F33" w:rsidRPr="002E15D3">
        <w:rPr>
          <w:rFonts w:ascii="Traditional Arabic" w:hAnsi="Traditional Arabic" w:cs="Traditional Arabic"/>
          <w:b/>
          <w:bCs/>
          <w:sz w:val="28"/>
          <w:szCs w:val="28"/>
          <w:rtl/>
        </w:rPr>
        <w:t xml:space="preserve">.5. القيود على التعميم </w:t>
      </w:r>
      <w:r w:rsidR="0078042C">
        <w:rPr>
          <w:rFonts w:ascii="Traditional Arabic" w:hAnsi="Traditional Arabic" w:cs="Traditional Arabic" w:hint="cs"/>
          <w:b/>
          <w:bCs/>
          <w:sz w:val="28"/>
          <w:szCs w:val="28"/>
          <w:rtl/>
        </w:rPr>
        <w:t>وارتباطها</w:t>
      </w:r>
      <w:r w:rsidR="00443F33" w:rsidRPr="002E15D3">
        <w:rPr>
          <w:rFonts w:ascii="Traditional Arabic" w:hAnsi="Traditional Arabic" w:cs="Traditional Arabic"/>
          <w:b/>
          <w:bCs/>
          <w:sz w:val="28"/>
          <w:szCs w:val="28"/>
          <w:rtl/>
        </w:rPr>
        <w:t xml:space="preserve"> </w:t>
      </w:r>
      <w:r w:rsidR="0078042C">
        <w:rPr>
          <w:rFonts w:ascii="Traditional Arabic" w:hAnsi="Traditional Arabic" w:cs="Traditional Arabic" w:hint="cs"/>
          <w:b/>
          <w:bCs/>
          <w:sz w:val="28"/>
          <w:szCs w:val="28"/>
          <w:rtl/>
        </w:rPr>
        <w:t>بالدراسة</w:t>
      </w:r>
    </w:p>
    <w:p w14:paraId="6176DBE7" w14:textId="0F10B34E" w:rsidR="00443F33" w:rsidRPr="002E15D3" w:rsidRDefault="00443F33" w:rsidP="00F72A5E">
      <w:pPr>
        <w:bidi/>
        <w:spacing w:line="360" w:lineRule="auto"/>
        <w:rPr>
          <w:rFonts w:ascii="Traditional Arabic" w:hAnsi="Traditional Arabic" w:cs="Traditional Arabic"/>
          <w:b/>
          <w:bCs/>
          <w:sz w:val="28"/>
          <w:szCs w:val="28"/>
        </w:rPr>
      </w:pPr>
      <w:r w:rsidRPr="002E15D3">
        <w:rPr>
          <w:rFonts w:ascii="Traditional Arabic" w:hAnsi="Traditional Arabic" w:cs="Traditional Arabic"/>
          <w:b/>
          <w:bCs/>
          <w:sz w:val="28"/>
          <w:szCs w:val="28"/>
          <w:rtl/>
        </w:rPr>
        <w:t>1. القيود وإمكانية التعميم</w:t>
      </w:r>
      <w:r w:rsidR="00F72A5E" w:rsidRPr="002E15D3">
        <w:rPr>
          <w:rFonts w:ascii="Traditional Arabic" w:hAnsi="Traditional Arabic" w:cs="Traditional Arabic"/>
          <w:b/>
          <w:bCs/>
          <w:sz w:val="28"/>
          <w:szCs w:val="28"/>
          <w:rtl/>
        </w:rPr>
        <w:t xml:space="preserve"> و</w:t>
      </w:r>
      <w:r w:rsidRPr="002E15D3">
        <w:rPr>
          <w:rFonts w:ascii="Traditional Arabic" w:hAnsi="Traditional Arabic" w:cs="Traditional Arabic"/>
          <w:sz w:val="28"/>
          <w:szCs w:val="28"/>
          <w:rtl/>
        </w:rPr>
        <w:t>تخضع إمكانية تعميم نتائج الدراسة للقيود التالية:</w:t>
      </w:r>
    </w:p>
    <w:p w14:paraId="47CF1C8F" w14:textId="77777777" w:rsidR="00F72A5E" w:rsidRPr="002E15D3" w:rsidRDefault="00443F33" w:rsidP="00F72A5E">
      <w:pPr>
        <w:pStyle w:val="a3"/>
        <w:numPr>
          <w:ilvl w:val="0"/>
          <w:numId w:val="75"/>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القيود المكانية والبشرية:</w:t>
      </w:r>
      <w:r w:rsidRPr="002E15D3">
        <w:rPr>
          <w:rFonts w:ascii="Traditional Arabic" w:hAnsi="Traditional Arabic" w:cs="Traditional Arabic"/>
          <w:sz w:val="28"/>
          <w:szCs w:val="28"/>
          <w:rtl/>
        </w:rPr>
        <w:t xml:space="preserve"> لا يمكن تعميم النتائج بشكل مطلق على مستشفيات القطاع الخاص، أو المستشفيات التخصصية، أو المراكز الصحية الأولية، أو مستشفيات وزارة الدفاع والقطاعات العسكرية، نظراً لاختلاف الهيكل الإداري، والثقافة التنظيمية، وأنماط القيادة السائدة فيها.</w:t>
      </w:r>
    </w:p>
    <w:p w14:paraId="3A3F75C6" w14:textId="7B693790" w:rsidR="00443F33" w:rsidRPr="002E15D3" w:rsidRDefault="00443F33" w:rsidP="00F72A5E">
      <w:pPr>
        <w:pStyle w:val="a3"/>
        <w:numPr>
          <w:ilvl w:val="0"/>
          <w:numId w:val="75"/>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القيود المنهجية:</w:t>
      </w:r>
      <w:r w:rsidRPr="002E15D3">
        <w:rPr>
          <w:rFonts w:ascii="Traditional Arabic" w:hAnsi="Traditional Arabic" w:cs="Traditional Arabic"/>
          <w:sz w:val="28"/>
          <w:szCs w:val="28"/>
          <w:rtl/>
        </w:rPr>
        <w:t xml:space="preserve"> بما أن الدراسة تعتمد على بيانات مسحية ذاتية الإبلاغ (</w:t>
      </w:r>
      <w:r w:rsidRPr="002E15D3">
        <w:rPr>
          <w:rFonts w:ascii="Traditional Arabic" w:hAnsi="Traditional Arabic" w:cs="Traditional Arabic"/>
          <w:sz w:val="28"/>
          <w:szCs w:val="28"/>
        </w:rPr>
        <w:t>Self-Reported Data</w:t>
      </w:r>
      <w:r w:rsidRPr="002E15D3">
        <w:rPr>
          <w:rFonts w:ascii="Traditional Arabic" w:hAnsi="Traditional Arabic" w:cs="Traditional Arabic"/>
          <w:sz w:val="28"/>
          <w:szCs w:val="28"/>
          <w:rtl/>
        </w:rPr>
        <w:t>)، فإنها تخضع لتحيز الرغبة الاجتماعية (</w:t>
      </w:r>
      <w:r w:rsidRPr="002E15D3">
        <w:rPr>
          <w:rFonts w:ascii="Traditional Arabic" w:hAnsi="Traditional Arabic" w:cs="Traditional Arabic"/>
          <w:sz w:val="28"/>
          <w:szCs w:val="28"/>
        </w:rPr>
        <w:t>Social Desirability Bias</w:t>
      </w:r>
      <w:r w:rsidRPr="002E15D3">
        <w:rPr>
          <w:rFonts w:ascii="Traditional Arabic" w:hAnsi="Traditional Arabic" w:cs="Traditional Arabic"/>
          <w:sz w:val="28"/>
          <w:szCs w:val="28"/>
          <w:rtl/>
        </w:rPr>
        <w:t>)، مما يحد من إمكانية تعميم النتائج المتعلقة بالسلوكيات بدقة دون دعم من بيانات موضوعية.</w:t>
      </w:r>
    </w:p>
    <w:p w14:paraId="288BD0E1" w14:textId="00DE89E2" w:rsidR="00443F33" w:rsidRPr="002E15D3" w:rsidRDefault="00443F33" w:rsidP="00F72A5E">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 ربط</w:t>
      </w:r>
      <w:r w:rsidR="00F72A5E" w:rsidRPr="002E15D3">
        <w:rPr>
          <w:rFonts w:ascii="Traditional Arabic" w:hAnsi="Traditional Arabic" w:cs="Traditional Arabic"/>
          <w:b/>
          <w:bCs/>
          <w:sz w:val="28"/>
          <w:szCs w:val="28"/>
          <w:rtl/>
        </w:rPr>
        <w:t>ها</w:t>
      </w:r>
      <w:r w:rsidRPr="002E15D3">
        <w:rPr>
          <w:rFonts w:ascii="Traditional Arabic" w:hAnsi="Traditional Arabic" w:cs="Traditional Arabic"/>
          <w:b/>
          <w:bCs/>
          <w:sz w:val="28"/>
          <w:szCs w:val="28"/>
          <w:rtl/>
        </w:rPr>
        <w:t xml:space="preserve"> بعنوان ا</w:t>
      </w:r>
      <w:r w:rsidR="00F72A5E" w:rsidRPr="002E15D3">
        <w:rPr>
          <w:rFonts w:ascii="Traditional Arabic" w:hAnsi="Traditional Arabic" w:cs="Traditional Arabic"/>
          <w:b/>
          <w:bCs/>
          <w:sz w:val="28"/>
          <w:szCs w:val="28"/>
          <w:rtl/>
        </w:rPr>
        <w:t>لدراسة</w:t>
      </w:r>
    </w:p>
    <w:p w14:paraId="16D91465" w14:textId="77777777" w:rsidR="00443F33" w:rsidRPr="002E15D3" w:rsidRDefault="00443F33" w:rsidP="00443F33">
      <w:p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تعمل هذه الحدود على تعزيز وضوح عنوان البحث، حيث تؤكد أن الدراسة هي:</w:t>
      </w:r>
    </w:p>
    <w:p w14:paraId="0D67C144" w14:textId="77777777" w:rsidR="00F72A5E" w:rsidRPr="002E15D3" w:rsidRDefault="00443F33" w:rsidP="00F72A5E">
      <w:pPr>
        <w:pStyle w:val="a3"/>
        <w:numPr>
          <w:ilvl w:val="0"/>
          <w:numId w:val="76"/>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موضوعياً:</w:t>
      </w:r>
      <w:r w:rsidRPr="002E15D3">
        <w:rPr>
          <w:rFonts w:ascii="Traditional Arabic" w:hAnsi="Traditional Arabic" w:cs="Traditional Arabic"/>
          <w:sz w:val="28"/>
          <w:szCs w:val="28"/>
          <w:rtl/>
        </w:rPr>
        <w:t xml:space="preserve"> دراسة تحليلية للعلاقات المعقدة بين المتغيرات الأربعة.</w:t>
      </w:r>
    </w:p>
    <w:p w14:paraId="490C1A44" w14:textId="77777777" w:rsidR="00F72A5E" w:rsidRPr="002E15D3" w:rsidRDefault="00443F33" w:rsidP="00F72A5E">
      <w:pPr>
        <w:pStyle w:val="a3"/>
        <w:numPr>
          <w:ilvl w:val="0"/>
          <w:numId w:val="76"/>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مكانياً:</w:t>
      </w:r>
      <w:r w:rsidRPr="002E15D3">
        <w:rPr>
          <w:rFonts w:ascii="Traditional Arabic" w:hAnsi="Traditional Arabic" w:cs="Traditional Arabic"/>
          <w:sz w:val="28"/>
          <w:szCs w:val="28"/>
          <w:rtl/>
        </w:rPr>
        <w:t xml:space="preserve"> محصورة في "مستشفيات القطاع الحكومي في منطقة الجوف".</w:t>
      </w:r>
    </w:p>
    <w:p w14:paraId="6A590588" w14:textId="2A5BD197" w:rsidR="000B0FA3" w:rsidRPr="009A0B22" w:rsidRDefault="00443F33" w:rsidP="009A0B22">
      <w:pPr>
        <w:pStyle w:val="a3"/>
        <w:numPr>
          <w:ilvl w:val="0"/>
          <w:numId w:val="76"/>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بشرياً:</w:t>
      </w:r>
      <w:r w:rsidRPr="002E15D3">
        <w:rPr>
          <w:rFonts w:ascii="Traditional Arabic" w:hAnsi="Traditional Arabic" w:cs="Traditional Arabic"/>
          <w:sz w:val="28"/>
          <w:szCs w:val="28"/>
          <w:rtl/>
        </w:rPr>
        <w:t xml:space="preserve"> موجهة نحو "الممارسين الصحيين والإداريين" الذين هم جوهر سلامة المريض.</w:t>
      </w:r>
    </w:p>
    <w:p w14:paraId="29BC65A7" w14:textId="1227BDCB" w:rsidR="00615235" w:rsidRPr="002E15D3" w:rsidRDefault="00615235" w:rsidP="00615235">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b/>
          <w:bCs/>
          <w:sz w:val="32"/>
          <w:szCs w:val="32"/>
          <w:rtl/>
        </w:rPr>
        <w:t xml:space="preserve">9. الإطار المنهجي للدراسة </w:t>
      </w:r>
    </w:p>
    <w:p w14:paraId="4B1DF6BD" w14:textId="6EC54C91" w:rsidR="00615235" w:rsidRPr="002E15D3" w:rsidRDefault="00615235" w:rsidP="00615235">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تتبنى هذه الدراسة منهجية بحثية كمية تحليلية، تستهدف اختبار العلاقات السببية والتوسطية المعقدة بين المتغيرات.</w:t>
      </w:r>
    </w:p>
    <w:p w14:paraId="386DC5EC" w14:textId="0A23FFEF" w:rsidR="00615235" w:rsidRPr="002E15D3" w:rsidRDefault="00615235" w:rsidP="00615235">
      <w:pPr>
        <w:bidi/>
        <w:spacing w:line="360" w:lineRule="auto"/>
        <w:rPr>
          <w:rFonts w:ascii="Traditional Arabic" w:hAnsi="Traditional Arabic" w:cs="Traditional Arabic" w:hint="cs"/>
          <w:b/>
          <w:bCs/>
          <w:sz w:val="28"/>
          <w:szCs w:val="28"/>
          <w:rtl/>
        </w:rPr>
      </w:pPr>
      <w:r w:rsidRPr="002E15D3">
        <w:rPr>
          <w:rFonts w:ascii="Traditional Arabic" w:hAnsi="Traditional Arabic" w:cs="Traditional Arabic"/>
          <w:b/>
          <w:bCs/>
          <w:sz w:val="28"/>
          <w:szCs w:val="28"/>
          <w:rtl/>
        </w:rPr>
        <w:t>9.1. الأساليب والطرق البحثية</w:t>
      </w:r>
    </w:p>
    <w:p w14:paraId="7809DA38" w14:textId="265CB285"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1. المنهج البحثي (</w:t>
      </w:r>
      <w:r w:rsidRPr="002E15D3">
        <w:rPr>
          <w:rFonts w:ascii="Traditional Arabic" w:hAnsi="Traditional Arabic" w:cs="Traditional Arabic"/>
          <w:b/>
          <w:bCs/>
          <w:sz w:val="28"/>
          <w:szCs w:val="28"/>
        </w:rPr>
        <w:t>Research Approach</w:t>
      </w:r>
      <w:r w:rsidRPr="002E15D3">
        <w:rPr>
          <w:rFonts w:ascii="Traditional Arabic" w:hAnsi="Traditional Arabic" w:cs="Traditional Arabic"/>
          <w:b/>
          <w:bCs/>
          <w:sz w:val="28"/>
          <w:szCs w:val="28"/>
          <w:rtl/>
        </w:rPr>
        <w:t>)</w:t>
      </w:r>
    </w:p>
    <w:p w14:paraId="2D057B80" w14:textId="77777777" w:rsidR="00615235" w:rsidRPr="002E15D3" w:rsidRDefault="00615235" w:rsidP="00615235">
      <w:p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المنهج المُعتمد:</w:t>
      </w:r>
      <w:r w:rsidRPr="002E15D3">
        <w:rPr>
          <w:rFonts w:ascii="Traditional Arabic" w:hAnsi="Traditional Arabic" w:cs="Traditional Arabic"/>
          <w:sz w:val="28"/>
          <w:szCs w:val="28"/>
          <w:rtl/>
        </w:rPr>
        <w:t xml:space="preserve"> المنهج </w:t>
      </w:r>
      <w:r w:rsidRPr="002E15D3">
        <w:rPr>
          <w:rFonts w:ascii="Traditional Arabic" w:hAnsi="Traditional Arabic" w:cs="Traditional Arabic"/>
          <w:b/>
          <w:bCs/>
          <w:sz w:val="28"/>
          <w:szCs w:val="28"/>
          <w:rtl/>
        </w:rPr>
        <w:t>الوصفي التحليلي الكمي (</w:t>
      </w:r>
      <w:r w:rsidRPr="002E15D3">
        <w:rPr>
          <w:rFonts w:ascii="Traditional Arabic" w:hAnsi="Traditional Arabic" w:cs="Traditional Arabic"/>
          <w:b/>
          <w:bCs/>
          <w:sz w:val="28"/>
          <w:szCs w:val="28"/>
        </w:rPr>
        <w:t>Quantitative Descriptive-Analytical Approach</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w:t>
      </w:r>
    </w:p>
    <w:p w14:paraId="465F995E" w14:textId="77777777" w:rsidR="00615235" w:rsidRPr="002E15D3" w:rsidRDefault="00615235" w:rsidP="00615235">
      <w:pPr>
        <w:pStyle w:val="a3"/>
        <w:numPr>
          <w:ilvl w:val="0"/>
          <w:numId w:val="88"/>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مبررات الاختيار:</w:t>
      </w:r>
    </w:p>
    <w:p w14:paraId="06BF7732" w14:textId="1D7D232E" w:rsidR="00615235" w:rsidRPr="002E15D3" w:rsidRDefault="00615235" w:rsidP="00615235">
      <w:pPr>
        <w:bidi/>
        <w:spacing w:line="360" w:lineRule="auto"/>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أولا: يناسب هذا المنهج طبيعة الأهداف التي تسعى إلى </w:t>
      </w:r>
      <w:r w:rsidRPr="002E15D3">
        <w:rPr>
          <w:rFonts w:ascii="Traditional Arabic" w:hAnsi="Traditional Arabic" w:cs="Traditional Arabic"/>
          <w:b/>
          <w:bCs/>
          <w:sz w:val="28"/>
          <w:szCs w:val="28"/>
          <w:rtl/>
        </w:rPr>
        <w:t>قياس</w:t>
      </w:r>
      <w:r w:rsidRPr="002E15D3">
        <w:rPr>
          <w:rFonts w:ascii="Traditional Arabic" w:hAnsi="Traditional Arabic" w:cs="Traditional Arabic"/>
          <w:sz w:val="28"/>
          <w:szCs w:val="28"/>
          <w:rtl/>
        </w:rPr>
        <w:t xml:space="preserve"> إدراكات الممارسين الصحيين للمتغيرات. ثانيا: يُمكن من اختبار الفروض التي تفترض علاقات سببية وتوسيطيه متقدمة (</w:t>
      </w:r>
      <w:r w:rsidRPr="002E15D3">
        <w:rPr>
          <w:rFonts w:ascii="Traditional Arabic" w:hAnsi="Traditional Arabic" w:cs="Traditional Arabic"/>
          <w:sz w:val="28"/>
          <w:szCs w:val="28"/>
        </w:rPr>
        <w:t>Serial Mediation</w:t>
      </w:r>
      <w:r w:rsidRPr="002E15D3">
        <w:rPr>
          <w:rFonts w:ascii="Traditional Arabic" w:hAnsi="Traditional Arabic" w:cs="Traditional Arabic"/>
          <w:sz w:val="28"/>
          <w:szCs w:val="28"/>
          <w:rtl/>
        </w:rPr>
        <w:t>) بين المتغيرات، ويتطلب ذلك استخدام أدوات إحصائية استدلالية.</w:t>
      </w:r>
    </w:p>
    <w:p w14:paraId="62F609F8" w14:textId="04FB8685" w:rsidR="00615235" w:rsidRPr="002E15D3" w:rsidRDefault="00615235" w:rsidP="00615235">
      <w:pPr>
        <w:bidi/>
        <w:spacing w:line="360" w:lineRule="auto"/>
        <w:rPr>
          <w:rFonts w:ascii="Traditional Arabic" w:hAnsi="Traditional Arabic" w:cs="Traditional Arabic" w:hint="cs"/>
          <w:b/>
          <w:bCs/>
          <w:sz w:val="28"/>
          <w:szCs w:val="28"/>
          <w:rtl/>
        </w:rPr>
      </w:pPr>
      <w:r w:rsidRPr="002E15D3">
        <w:rPr>
          <w:rFonts w:ascii="Traditional Arabic" w:hAnsi="Traditional Arabic" w:cs="Traditional Arabic"/>
          <w:b/>
          <w:bCs/>
          <w:sz w:val="28"/>
          <w:szCs w:val="28"/>
          <w:rtl/>
        </w:rPr>
        <w:t>2. أداة جمع البيانات</w:t>
      </w:r>
    </w:p>
    <w:p w14:paraId="5DDB08B5" w14:textId="77777777" w:rsidR="00615235" w:rsidRPr="002E15D3" w:rsidRDefault="00615235" w:rsidP="00615235">
      <w:pPr>
        <w:pStyle w:val="a3"/>
        <w:numPr>
          <w:ilvl w:val="0"/>
          <w:numId w:val="89"/>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الأداة الرئيسية:</w:t>
      </w:r>
      <w:r w:rsidRPr="002E15D3">
        <w:rPr>
          <w:rFonts w:ascii="Traditional Arabic" w:hAnsi="Traditional Arabic" w:cs="Traditional Arabic"/>
          <w:sz w:val="28"/>
          <w:szCs w:val="28"/>
          <w:rtl/>
        </w:rPr>
        <w:t xml:space="preserve"> </w:t>
      </w:r>
      <w:r w:rsidRPr="002E15D3">
        <w:rPr>
          <w:rFonts w:ascii="Traditional Arabic" w:hAnsi="Traditional Arabic" w:cs="Traditional Arabic"/>
          <w:b/>
          <w:bCs/>
          <w:sz w:val="28"/>
          <w:szCs w:val="28"/>
          <w:rtl/>
        </w:rPr>
        <w:t>الاستبانة (</w:t>
      </w:r>
      <w:r w:rsidRPr="002E15D3">
        <w:rPr>
          <w:rFonts w:ascii="Traditional Arabic" w:hAnsi="Traditional Arabic" w:cs="Traditional Arabic"/>
          <w:b/>
          <w:bCs/>
          <w:sz w:val="28"/>
          <w:szCs w:val="28"/>
        </w:rPr>
        <w:t>Questionnaire</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المُغلقة كأداة أساسية لجمع البيانات، لضمان التوحيد الكمي للاستجابات وتسهيل المعالجة الإحصائية.</w:t>
      </w:r>
    </w:p>
    <w:p w14:paraId="04933ECB" w14:textId="6CB6AFB7" w:rsidR="00615235" w:rsidRPr="002E15D3" w:rsidRDefault="00615235" w:rsidP="00615235">
      <w:pPr>
        <w:pStyle w:val="a3"/>
        <w:numPr>
          <w:ilvl w:val="0"/>
          <w:numId w:val="89"/>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الاستخدام:</w:t>
      </w:r>
      <w:r w:rsidRPr="002E15D3">
        <w:rPr>
          <w:rFonts w:ascii="Traditional Arabic" w:hAnsi="Traditional Arabic" w:cs="Traditional Arabic"/>
          <w:sz w:val="28"/>
          <w:szCs w:val="28"/>
          <w:rtl/>
        </w:rPr>
        <w:t xml:space="preserve"> تم تصميم الاستبانة لتشمل أقساماً لقياس كل متغير من متغيرات الدراسة الأربعة، بالاعتماد على مقياس ليكرت الخماسي لتحديد درجة الموافقة.</w:t>
      </w:r>
    </w:p>
    <w:p w14:paraId="6E9E8EAB" w14:textId="6BCB0357"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9.2. مجتمع وعينة الدراسة</w:t>
      </w:r>
    </w:p>
    <w:p w14:paraId="0F90DBC4" w14:textId="3A6B10CD"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 xml:space="preserve">1. مجتمع الدراسة </w:t>
      </w:r>
    </w:p>
    <w:p w14:paraId="49CA6E3A" w14:textId="77777777" w:rsidR="0086026A" w:rsidRPr="0086026A" w:rsidRDefault="0086026A" w:rsidP="00615235">
      <w:pPr>
        <w:bidi/>
        <w:spacing w:line="360" w:lineRule="auto"/>
        <w:rPr>
          <w:rFonts w:ascii="Traditional Arabic" w:hAnsi="Traditional Arabic" w:cs="Traditional Arabic"/>
          <w:sz w:val="28"/>
          <w:szCs w:val="28"/>
          <w:rtl/>
        </w:rPr>
      </w:pPr>
      <w:r w:rsidRPr="0086026A">
        <w:rPr>
          <w:rFonts w:ascii="Traditional Arabic" w:hAnsi="Traditional Arabic" w:cs="Traditional Arabic"/>
          <w:sz w:val="28"/>
          <w:szCs w:val="28"/>
          <w:rtl/>
        </w:rPr>
        <w:t>مجتمع الدراسة يشمل كل العاملين الصحيين والإداريين اللي لهم دور مباشر في سلامة المرضى والقيادة داخل مستشفيات القطاع الحكومي في منطقة الجوف بالمملكة العربية السعودية. تم اختيار هذا المجتمع لأنه الأكثر تأثيراً وأيضاً الأكثر تأثراً بعوامل القيادة التحويلية وثقافة وسلامة المرضى.</w:t>
      </w:r>
    </w:p>
    <w:p w14:paraId="4FCD0E33" w14:textId="42942E8B" w:rsidR="00615235" w:rsidRPr="002E15D3" w:rsidRDefault="00615235" w:rsidP="0086026A">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lastRenderedPageBreak/>
        <w:t xml:space="preserve">2. عينة الدراسة </w:t>
      </w:r>
    </w:p>
    <w:p w14:paraId="1179EFA7" w14:textId="77777777" w:rsidR="00615235" w:rsidRPr="002E15D3" w:rsidRDefault="00615235" w:rsidP="000B0FA3">
      <w:pPr>
        <w:pStyle w:val="a3"/>
        <w:numPr>
          <w:ilvl w:val="0"/>
          <w:numId w:val="90"/>
        </w:numPr>
        <w:bidi/>
        <w:spacing w:line="360" w:lineRule="auto"/>
        <w:jc w:val="both"/>
        <w:rPr>
          <w:rFonts w:ascii="Traditional Arabic" w:hAnsi="Traditional Arabic" w:cs="Traditional Arabic"/>
          <w:sz w:val="28"/>
          <w:szCs w:val="28"/>
        </w:rPr>
      </w:pPr>
      <w:r w:rsidRPr="002E15D3">
        <w:rPr>
          <w:rFonts w:ascii="Traditional Arabic" w:hAnsi="Traditional Arabic" w:cs="Traditional Arabic"/>
          <w:b/>
          <w:bCs/>
          <w:sz w:val="28"/>
          <w:szCs w:val="28"/>
          <w:rtl/>
        </w:rPr>
        <w:t>طريقة الاختيار:</w:t>
      </w:r>
      <w:r w:rsidRPr="002E15D3">
        <w:rPr>
          <w:rFonts w:ascii="Traditional Arabic" w:hAnsi="Traditional Arabic" w:cs="Traditional Arabic"/>
          <w:sz w:val="28"/>
          <w:szCs w:val="28"/>
          <w:rtl/>
        </w:rPr>
        <w:t xml:space="preserve"> سيتم الاعتماد على </w:t>
      </w:r>
      <w:r w:rsidRPr="002E15D3">
        <w:rPr>
          <w:rFonts w:ascii="Traditional Arabic" w:hAnsi="Traditional Arabic" w:cs="Traditional Arabic"/>
          <w:b/>
          <w:bCs/>
          <w:sz w:val="28"/>
          <w:szCs w:val="28"/>
          <w:rtl/>
        </w:rPr>
        <w:t>العينة الطبقية العشوائية (</w:t>
      </w:r>
      <w:r w:rsidRPr="002E15D3">
        <w:rPr>
          <w:rFonts w:ascii="Traditional Arabic" w:hAnsi="Traditional Arabic" w:cs="Traditional Arabic"/>
          <w:b/>
          <w:bCs/>
          <w:sz w:val="28"/>
          <w:szCs w:val="28"/>
        </w:rPr>
        <w:t>Stratified Random Sampling</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أو </w:t>
      </w:r>
      <w:r w:rsidRPr="002E15D3">
        <w:rPr>
          <w:rFonts w:ascii="Traditional Arabic" w:hAnsi="Traditional Arabic" w:cs="Traditional Arabic"/>
          <w:b/>
          <w:bCs/>
          <w:sz w:val="28"/>
          <w:szCs w:val="28"/>
          <w:rtl/>
        </w:rPr>
        <w:t>المسح الشامل (</w:t>
      </w:r>
      <w:r w:rsidRPr="002E15D3">
        <w:rPr>
          <w:rFonts w:ascii="Traditional Arabic" w:hAnsi="Traditional Arabic" w:cs="Traditional Arabic"/>
          <w:b/>
          <w:bCs/>
          <w:sz w:val="28"/>
          <w:szCs w:val="28"/>
        </w:rPr>
        <w:t>Census</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إذا كان حجم المجتمع صغيراً نسبياً، لضمان تمثيل جميع الفئات المهنية (الأطباء، التمريض، الإداريين، المهن الصحية المساعدة) بنسبتها الفعلية أو المقترحة لضمان عدم التحيز.</w:t>
      </w:r>
    </w:p>
    <w:p w14:paraId="3FA59837" w14:textId="188A79B3" w:rsidR="00615235" w:rsidRPr="002E15D3" w:rsidRDefault="00615235" w:rsidP="000B0FA3">
      <w:pPr>
        <w:pStyle w:val="a3"/>
        <w:numPr>
          <w:ilvl w:val="0"/>
          <w:numId w:val="90"/>
        </w:num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تحديد الحجم:</w:t>
      </w:r>
      <w:r w:rsidRPr="002E15D3">
        <w:rPr>
          <w:rFonts w:ascii="Traditional Arabic" w:hAnsi="Traditional Arabic" w:cs="Traditional Arabic"/>
          <w:sz w:val="28"/>
          <w:szCs w:val="28"/>
          <w:rtl/>
        </w:rPr>
        <w:t xml:space="preserve"> سيتم تحديد حجم العينة بناءً على متطلبات </w:t>
      </w:r>
      <w:r w:rsidRPr="002E15D3">
        <w:rPr>
          <w:rFonts w:ascii="Traditional Arabic" w:hAnsi="Traditional Arabic" w:cs="Traditional Arabic"/>
          <w:b/>
          <w:bCs/>
          <w:sz w:val="28"/>
          <w:szCs w:val="28"/>
          <w:rtl/>
        </w:rPr>
        <w:t>نمذجة المعادلات الهيكلية (</w:t>
      </w:r>
      <w:r w:rsidRPr="002E15D3">
        <w:rPr>
          <w:rFonts w:ascii="Traditional Arabic" w:hAnsi="Traditional Arabic" w:cs="Traditional Arabic"/>
          <w:b/>
          <w:bCs/>
          <w:sz w:val="28"/>
          <w:szCs w:val="28"/>
        </w:rPr>
        <w:t>Structural Equation Modeling - SEM</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حيث تتطلب هذه التقنية عينة كبيرة لتقدير النموذج المتعدد المعاملات بشكل موثوق. ويُوصى بأن لا يقل حجم العينة عن </w:t>
      </w:r>
      <w:r w:rsidRPr="002E15D3">
        <w:rPr>
          <w:rFonts w:ascii="Traditional Arabic" w:hAnsi="Traditional Arabic" w:cs="Traditional Arabic"/>
          <w:b/>
          <w:bCs/>
          <w:sz w:val="28"/>
          <w:szCs w:val="28"/>
          <w:rtl/>
        </w:rPr>
        <w:t>250-300 مستجيب</w:t>
      </w:r>
      <w:r w:rsidRPr="002E15D3">
        <w:rPr>
          <w:rFonts w:ascii="Traditional Arabic" w:hAnsi="Traditional Arabic" w:cs="Traditional Arabic"/>
          <w:sz w:val="28"/>
          <w:szCs w:val="28"/>
          <w:rtl/>
        </w:rPr>
        <w:t xml:space="preserve"> للحصول على قوة إحصائية كافية واختبار معايير الملاءمة للنموذج.</w:t>
      </w:r>
    </w:p>
    <w:p w14:paraId="34680961" w14:textId="0D2C9427" w:rsidR="00615235" w:rsidRPr="002E15D3" w:rsidRDefault="00615235" w:rsidP="00615235">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9.3. تصميم واختيار أدوات البحث والمقاييس</w:t>
      </w:r>
    </w:p>
    <w:p w14:paraId="163C8D41" w14:textId="77777777" w:rsidR="00615235" w:rsidRPr="002E15D3" w:rsidRDefault="00615235" w:rsidP="00615235">
      <w:pPr>
        <w:bidi/>
        <w:spacing w:line="360" w:lineRule="auto"/>
        <w:rPr>
          <w:rFonts w:ascii="Traditional Arabic" w:hAnsi="Traditional Arabic" w:cs="Traditional Arabic"/>
          <w:sz w:val="28"/>
          <w:szCs w:val="28"/>
        </w:rPr>
      </w:pPr>
      <w:r w:rsidRPr="002E15D3">
        <w:rPr>
          <w:rFonts w:ascii="Traditional Arabic" w:hAnsi="Traditional Arabic" w:cs="Traditional Arabic"/>
          <w:sz w:val="28"/>
          <w:szCs w:val="28"/>
          <w:rtl/>
        </w:rPr>
        <w:t>لضمان الدقة والمصداقية العلمية، تم اعتماد مقاييس دولية موثوقة ومعدلة للسياق العربي والسعودي: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2E15D3"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2E15D3" w:rsidRDefault="00615235" w:rsidP="00615235">
            <w:pPr>
              <w:bidi/>
              <w:spacing w:line="360" w:lineRule="auto"/>
              <w:jc w:val="center"/>
              <w:rPr>
                <w:rFonts w:ascii="Traditional Arabic" w:hAnsi="Traditional Arabic" w:cs="Traditional Arabic"/>
                <w:sz w:val="28"/>
                <w:szCs w:val="28"/>
                <w:rtl/>
              </w:rPr>
            </w:pPr>
            <w:r w:rsidRPr="002E15D3">
              <w:rPr>
                <w:rFonts w:ascii="Traditional Arabic" w:hAnsi="Traditional Arabic" w:cs="Traditional Arabic"/>
                <w:b/>
                <w:bCs/>
                <w:sz w:val="28"/>
                <w:szCs w:val="28"/>
                <w:rtl/>
              </w:rPr>
              <w:t>الملاءمة والتحقق</w:t>
            </w:r>
          </w:p>
        </w:tc>
      </w:tr>
      <w:tr w:rsidR="00615235" w:rsidRPr="002E15D3"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القيادة التحويلية (</w:t>
            </w:r>
            <w:r w:rsidRPr="002E15D3">
              <w:rPr>
                <w:rFonts w:ascii="Traditional Arabic" w:hAnsi="Traditional Arabic" w:cs="Traditional Arabic"/>
                <w:b/>
                <w:bCs/>
                <w:sz w:val="24"/>
                <w:szCs w:val="24"/>
              </w:rPr>
              <w:t>TL</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القيادة متعدد العوامل (</w:t>
            </w:r>
            <w:r w:rsidRPr="002E15D3">
              <w:rPr>
                <w:rFonts w:ascii="Traditional Arabic" w:hAnsi="Traditional Arabic" w:cs="Traditional Arabic"/>
                <w:sz w:val="24"/>
                <w:szCs w:val="24"/>
              </w:rPr>
              <w:t>MLQ</w:t>
            </w:r>
            <w:r w:rsidRPr="002E15D3">
              <w:rPr>
                <w:rFonts w:ascii="Traditional Arabic" w:hAnsi="Traditional Arabic" w:cs="Traditional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2E15D3" w:rsidRDefault="00004971" w:rsidP="008B1883">
            <w:pPr>
              <w:shd w:val="clear" w:color="auto" w:fill="FFFFFF" w:themeFill="background1"/>
              <w:bidi/>
              <w:spacing w:line="360" w:lineRule="auto"/>
              <w:jc w:val="center"/>
              <w:rPr>
                <w:rFonts w:ascii="Traditional Arabic" w:hAnsi="Traditional Arabic" w:cs="Traditional Arabic" w:hint="cs"/>
                <w:sz w:val="24"/>
                <w:szCs w:val="24"/>
                <w:rtl/>
              </w:rPr>
            </w:pPr>
            <w:r>
              <w:rPr>
                <w:rFonts w:ascii="Traditional Arabic" w:hAnsi="Traditional Arabic" w:cs="Traditional Arabic"/>
                <w:sz w:val="24"/>
                <w:szCs w:val="24"/>
              </w:rPr>
              <w:fldChar w:fldCharType="begin"/>
            </w:r>
            <w:r>
              <w:rPr>
                <w:rFonts w:ascii="Traditional Arabic" w:hAnsi="Traditional Arabic" w:cs="Traditional Arabic"/>
                <w:sz w:val="24"/>
                <w:szCs w:val="24"/>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Pr>
                <w:rFonts w:ascii="Traditional Arabic" w:hAnsi="Traditional Arabic" w:cs="Traditional Arabic"/>
                <w:sz w:val="24"/>
                <w:szCs w:val="24"/>
              </w:rPr>
              <w:fldChar w:fldCharType="separate"/>
            </w:r>
            <w:r>
              <w:rPr>
                <w:rFonts w:ascii="Traditional Arabic" w:hAnsi="Traditional Arabic" w:cs="Traditional Arabic"/>
                <w:noProof/>
                <w:sz w:val="24"/>
                <w:szCs w:val="24"/>
              </w:rPr>
              <w:t>(Bass &amp; Avolio, 1996)</w:t>
            </w:r>
            <w:r>
              <w:rPr>
                <w:rFonts w:ascii="Traditional Arabic" w:hAnsi="Traditional Arabic" w:cs="Traditional Arabic"/>
                <w:sz w:val="24"/>
                <w:szCs w:val="24"/>
              </w:rPr>
              <w:fldChar w:fldCharType="end"/>
            </w:r>
            <w:r w:rsidR="00615235" w:rsidRPr="002E15D3">
              <w:rPr>
                <w:rFonts w:ascii="Traditional Arabic" w:hAnsi="Traditional Arabic" w:cs="Traditional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استخدام الأبعاد الأربعة الرئيسية للقيادة التحويلية.</w:t>
            </w:r>
          </w:p>
        </w:tc>
      </w:tr>
      <w:tr w:rsidR="00615235" w:rsidRPr="002E15D3"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ثقافة السلامة (</w:t>
            </w:r>
            <w:r w:rsidRPr="002E15D3">
              <w:rPr>
                <w:rFonts w:ascii="Traditional Arabic" w:hAnsi="Traditional Arabic" w:cs="Traditional Arabic"/>
                <w:b/>
                <w:bCs/>
                <w:sz w:val="24"/>
                <w:szCs w:val="24"/>
              </w:rPr>
              <w:t>SC</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ثقافة السلامة بالمستشفيات (</w:t>
            </w:r>
            <w:r w:rsidRPr="002E15D3">
              <w:rPr>
                <w:rFonts w:ascii="Traditional Arabic" w:hAnsi="Traditional Arabic" w:cs="Traditional Arabic"/>
                <w:sz w:val="24"/>
                <w:szCs w:val="24"/>
              </w:rPr>
              <w:t>HSOPSC</w:t>
            </w:r>
            <w:r w:rsidRPr="002E15D3">
              <w:rPr>
                <w:rFonts w:ascii="Traditional Arabic" w:hAnsi="Traditional Arabic" w:cs="Traditional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004971" w:rsidRDefault="00615235" w:rsidP="008B1883">
            <w:pPr>
              <w:shd w:val="clear" w:color="auto" w:fill="FFFFFF" w:themeFill="background1"/>
              <w:bidi/>
              <w:spacing w:line="360" w:lineRule="auto"/>
              <w:jc w:val="center"/>
              <w:rPr>
                <w:rFonts w:ascii="Traditional Arabic" w:hAnsi="Traditional Arabic" w:cs="Traditional Arabic" w:hint="cs"/>
                <w:sz w:val="20"/>
                <w:szCs w:val="20"/>
                <w:rtl/>
              </w:rPr>
            </w:pPr>
            <w:r w:rsidRPr="00004971">
              <w:rPr>
                <w:rFonts w:ascii="Traditional Arabic" w:hAnsi="Traditional Arabic" w:cs="Traditional Arabic"/>
                <w:sz w:val="20"/>
                <w:szCs w:val="20"/>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اختيار الأبعاد الأكثر صلة بالقيادة والإبلاغ (مثل دعم الإدارة، والتغذية الراجعة).</w:t>
            </w:r>
          </w:p>
        </w:tc>
      </w:tr>
      <w:tr w:rsidR="00615235" w:rsidRPr="002E15D3"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سلوكيات السلامة (</w:t>
            </w:r>
            <w:r w:rsidRPr="002E15D3">
              <w:rPr>
                <w:rFonts w:ascii="Traditional Arabic" w:hAnsi="Traditional Arabic" w:cs="Traditional Arabic"/>
                <w:b/>
                <w:bCs/>
                <w:sz w:val="24"/>
                <w:szCs w:val="24"/>
              </w:rPr>
              <w:t>SB</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7ED2683F" w:rsidR="00615235" w:rsidRPr="002E15D3" w:rsidRDefault="00615235" w:rsidP="00984A64">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 xml:space="preserve"> </w:t>
            </w:r>
            <w:r w:rsidR="00984A64">
              <w:rPr>
                <w:rFonts w:ascii="Traditional Arabic" w:hAnsi="Traditional Arabic" w:cs="Traditional Arabic"/>
                <w:sz w:val="24"/>
                <w:szCs w:val="24"/>
                <w:rtl/>
              </w:rPr>
              <w:fldChar w:fldCharType="begin"/>
            </w:r>
            <w:r w:rsidR="00984A64">
              <w:rPr>
                <w:rFonts w:ascii="Traditional Arabic" w:hAnsi="Traditional Arabic" w:cs="Traditional Arabic"/>
                <w:sz w:val="24"/>
                <w:szCs w:val="24"/>
                <w:rtl/>
              </w:rPr>
              <w:instrText xml:space="preserve"> </w:instrText>
            </w:r>
            <w:r w:rsidR="00984A64">
              <w:rPr>
                <w:rFonts w:ascii="Traditional Arabic" w:hAnsi="Traditional Arabic" w:cs="Traditional Arabic"/>
                <w:sz w:val="24"/>
                <w:szCs w:val="24"/>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984A64">
              <w:rPr>
                <w:rFonts w:ascii="Traditional Arabic" w:hAnsi="Traditional Arabic" w:cs="Traditional Arabic"/>
                <w:sz w:val="24"/>
                <w:szCs w:val="24"/>
                <w:rtl/>
              </w:rPr>
              <w:instrText>&gt;</w:instrText>
            </w:r>
            <w:r w:rsidR="00984A64">
              <w:rPr>
                <w:rFonts w:ascii="Traditional Arabic" w:hAnsi="Traditional Arabic" w:cs="Traditional Arabic"/>
                <w:sz w:val="24"/>
                <w:szCs w:val="24"/>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984A64">
              <w:rPr>
                <w:rFonts w:ascii="Traditional Arabic" w:hAnsi="Traditional Arabic" w:cs="Traditional Arabic"/>
                <w:sz w:val="24"/>
                <w:szCs w:val="24"/>
                <w:rtl/>
              </w:rPr>
              <w:instrText xml:space="preserve"> </w:instrText>
            </w:r>
            <w:r w:rsidR="00984A64">
              <w:rPr>
                <w:rFonts w:ascii="Traditional Arabic" w:hAnsi="Traditional Arabic" w:cs="Traditional Arabic"/>
                <w:sz w:val="24"/>
                <w:szCs w:val="24"/>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record&gt;&lt;/Cite&gt;&lt;/EndNote</w:instrText>
            </w:r>
            <w:r w:rsidR="00984A64">
              <w:rPr>
                <w:rFonts w:ascii="Traditional Arabic" w:hAnsi="Traditional Arabic" w:cs="Traditional Arabic"/>
                <w:sz w:val="24"/>
                <w:szCs w:val="24"/>
                <w:rtl/>
              </w:rPr>
              <w:instrText>&gt;</w:instrText>
            </w:r>
            <w:r w:rsidR="00984A64">
              <w:rPr>
                <w:rFonts w:ascii="Traditional Arabic" w:hAnsi="Traditional Arabic" w:cs="Traditional Arabic"/>
                <w:sz w:val="24"/>
                <w:szCs w:val="24"/>
                <w:rtl/>
              </w:rPr>
              <w:fldChar w:fldCharType="separate"/>
            </w:r>
            <w:r w:rsidR="00984A64">
              <w:rPr>
                <w:rFonts w:ascii="Traditional Arabic" w:hAnsi="Traditional Arabic" w:cs="Traditional Arabic"/>
                <w:noProof/>
                <w:sz w:val="24"/>
                <w:szCs w:val="24"/>
                <w:rtl/>
              </w:rPr>
              <w:t>(</w:t>
            </w:r>
            <w:r w:rsidR="00984A64">
              <w:rPr>
                <w:rFonts w:ascii="Traditional Arabic" w:hAnsi="Traditional Arabic" w:cs="Traditional Arabic"/>
                <w:noProof/>
                <w:sz w:val="24"/>
                <w:szCs w:val="24"/>
              </w:rPr>
              <w:t>Elhihi et al., 2025</w:t>
            </w:r>
            <w:r w:rsidR="00984A64">
              <w:rPr>
                <w:rFonts w:ascii="Traditional Arabic" w:hAnsi="Traditional Arabic" w:cs="Traditional Arabic"/>
                <w:noProof/>
                <w:sz w:val="24"/>
                <w:szCs w:val="24"/>
                <w:rtl/>
              </w:rPr>
              <w:t>)</w:t>
            </w:r>
            <w:r w:rsidR="00984A64">
              <w:rPr>
                <w:rFonts w:ascii="Traditional Arabic" w:hAnsi="Traditional Arabic" w:cs="Traditional Arabic"/>
                <w:sz w:val="24"/>
                <w:szCs w:val="24"/>
                <w:rtl/>
              </w:rPr>
              <w:fldChar w:fldCharType="end"/>
            </w:r>
            <w:r w:rsidRPr="002E15D3">
              <w:rPr>
                <w:rFonts w:ascii="Traditional Arabic" w:hAnsi="Traditional Arabic" w:cs="Traditional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قياس مدى التزام الممارسين الصحيين بالإجراءات الوقائية.</w:t>
            </w:r>
          </w:p>
        </w:tc>
      </w:tr>
      <w:tr w:rsidR="00615235" w:rsidRPr="002E15D3" w14:paraId="20F558D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2E15D3" w:rsidRDefault="00615235" w:rsidP="002F53C6">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b/>
                <w:bCs/>
                <w:sz w:val="24"/>
                <w:szCs w:val="24"/>
                <w:rtl/>
              </w:rPr>
              <w:t>تقليل الأحداث الضارة (</w:t>
            </w:r>
            <w:r w:rsidRPr="002E15D3">
              <w:rPr>
                <w:rFonts w:ascii="Traditional Arabic" w:hAnsi="Traditional Arabic" w:cs="Traditional Arabic"/>
                <w:b/>
                <w:bCs/>
                <w:sz w:val="24"/>
                <w:szCs w:val="24"/>
              </w:rPr>
              <w:t>AE</w:t>
            </w:r>
            <w:r w:rsidRPr="002E15D3">
              <w:rPr>
                <w:rFonts w:ascii="Traditional Arabic" w:hAnsi="Traditional Arabic" w:cs="Traditional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2E15D3" w:rsidRDefault="00615235" w:rsidP="008B1883">
            <w:pPr>
              <w:shd w:val="clear" w:color="auto" w:fill="FFFFFF" w:themeFill="background1"/>
              <w:bidi/>
              <w:spacing w:line="360" w:lineRule="auto"/>
              <w:jc w:val="center"/>
              <w:rPr>
                <w:rFonts w:ascii="Traditional Arabic" w:hAnsi="Traditional Arabic" w:cs="Traditional Arabic"/>
                <w:sz w:val="24"/>
                <w:szCs w:val="24"/>
                <w:rtl/>
              </w:rPr>
            </w:pPr>
            <w:r w:rsidRPr="002E15D3">
              <w:rPr>
                <w:rFonts w:ascii="Traditional Arabic" w:hAnsi="Traditional Arabic" w:cs="Traditional Arabic"/>
                <w:sz w:val="24"/>
                <w:szCs w:val="24"/>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2E15D3" w:rsidRDefault="00615235" w:rsidP="008B1883">
            <w:pPr>
              <w:shd w:val="clear" w:color="auto" w:fill="FFFFFF" w:themeFill="background1"/>
              <w:bidi/>
              <w:spacing w:line="360" w:lineRule="auto"/>
              <w:rPr>
                <w:rFonts w:ascii="Traditional Arabic" w:hAnsi="Traditional Arabic" w:cs="Traditional Arabic"/>
                <w:sz w:val="24"/>
                <w:szCs w:val="24"/>
                <w:rtl/>
              </w:rPr>
            </w:pPr>
            <w:r w:rsidRPr="002E15D3">
              <w:rPr>
                <w:rFonts w:ascii="Traditional Arabic" w:hAnsi="Traditional Arabic" w:cs="Traditional Arabic"/>
                <w:sz w:val="24"/>
                <w:szCs w:val="24"/>
                <w:rtl/>
              </w:rPr>
              <w:t>يقيس إدراك العاملين لفعالية التدابير المتبعة للحد من الأخطاء والحوادث القابلة للوقاية.</w:t>
            </w:r>
          </w:p>
        </w:tc>
      </w:tr>
    </w:tbl>
    <w:p w14:paraId="5064EA6B" w14:textId="2FAB50FF" w:rsidR="00615235" w:rsidRPr="002E15D3" w:rsidRDefault="0086026A" w:rsidP="002A7050">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9.3.1</w:t>
      </w:r>
      <w:r w:rsidR="00B01477" w:rsidRPr="002E15D3">
        <w:rPr>
          <w:rFonts w:ascii="Traditional Arabic" w:hAnsi="Traditional Arabic" w:cs="Traditional Arabic"/>
          <w:b/>
          <w:bCs/>
          <w:sz w:val="28"/>
          <w:szCs w:val="28"/>
          <w:rtl/>
        </w:rPr>
        <w:t xml:space="preserve"> </w:t>
      </w:r>
      <w:r w:rsidR="00615235" w:rsidRPr="002E15D3">
        <w:rPr>
          <w:rFonts w:ascii="Traditional Arabic" w:hAnsi="Traditional Arabic" w:cs="Traditional Arabic"/>
          <w:b/>
          <w:bCs/>
          <w:sz w:val="28"/>
          <w:szCs w:val="28"/>
          <w:rtl/>
        </w:rPr>
        <w:t>إجراءات التحقق من الأدوات (الصدق والثبات)</w:t>
      </w:r>
    </w:p>
    <w:p w14:paraId="4A81F8B7" w14:textId="77777777"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الصدق الظاهري (</w:t>
      </w:r>
      <w:r w:rsidRPr="0078042C">
        <w:rPr>
          <w:rFonts w:asciiTheme="majorBidi" w:hAnsiTheme="majorBidi" w:cstheme="majorBidi"/>
          <w:sz w:val="28"/>
          <w:szCs w:val="28"/>
        </w:rPr>
        <w:t>Face Validity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عرض الاستبانة على مجموعة من المحكمين المختصين (أعضاء هيئة تدريس وإداريين ذوي خبرة) للتأكد من وضوح العبارات وملاءمتها للسياق الثقافي والمؤسسي.</w:t>
      </w:r>
    </w:p>
    <w:p w14:paraId="772F6942" w14:textId="77777777"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الصدق البنائي (</w:t>
      </w:r>
      <w:r w:rsidRPr="00F770F8">
        <w:rPr>
          <w:rFonts w:asciiTheme="majorBidi" w:hAnsiTheme="majorBidi" w:cstheme="majorBidi"/>
          <w:sz w:val="28"/>
          <w:szCs w:val="28"/>
        </w:rPr>
        <w:t>Construct Validity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استخدام </w:t>
      </w:r>
      <w:r w:rsidRPr="002E15D3">
        <w:rPr>
          <w:rFonts w:ascii="Traditional Arabic" w:hAnsi="Traditional Arabic" w:cs="Traditional Arabic"/>
          <w:b/>
          <w:bCs/>
          <w:sz w:val="28"/>
          <w:szCs w:val="28"/>
          <w:rtl/>
        </w:rPr>
        <w:t xml:space="preserve">تحليل العوامل التوكيدي </w:t>
      </w:r>
      <w:r w:rsidRPr="00F770F8">
        <w:rPr>
          <w:rFonts w:ascii="Traditional Arabic" w:hAnsi="Traditional Arabic" w:cs="Traditional Arabic"/>
          <w:sz w:val="28"/>
          <w:szCs w:val="28"/>
          <w:rtl/>
        </w:rPr>
        <w:t>(</w:t>
      </w:r>
      <w:r w:rsidRPr="00F770F8">
        <w:rPr>
          <w:rFonts w:asciiTheme="majorBidi" w:hAnsiTheme="majorBidi" w:cstheme="majorBidi"/>
          <w:sz w:val="28"/>
          <w:szCs w:val="28"/>
        </w:rPr>
        <w:t>Confirmatory Factor</w:t>
      </w:r>
      <w:r w:rsidRPr="002E15D3">
        <w:rPr>
          <w:rFonts w:ascii="Traditional Arabic" w:hAnsi="Traditional Arabic" w:cs="Traditional Arabic"/>
          <w:b/>
          <w:bCs/>
          <w:sz w:val="28"/>
          <w:szCs w:val="28"/>
        </w:rPr>
        <w:t xml:space="preserve"> </w:t>
      </w:r>
      <w:r w:rsidRPr="00F770F8">
        <w:rPr>
          <w:rFonts w:asciiTheme="majorBidi" w:hAnsiTheme="majorBidi" w:cstheme="majorBidi"/>
          <w:sz w:val="28"/>
          <w:szCs w:val="28"/>
        </w:rPr>
        <w:t>Analysis</w:t>
      </w:r>
      <w:r w:rsidRPr="0078042C">
        <w:rPr>
          <w:rFonts w:asciiTheme="majorBidi" w:hAnsiTheme="majorBidi" w:cstheme="majorBidi"/>
          <w:b/>
          <w:bCs/>
          <w:sz w:val="28"/>
          <w:szCs w:val="28"/>
        </w:rPr>
        <w:t xml:space="preserve"> - </w:t>
      </w:r>
      <w:r w:rsidRPr="00F770F8">
        <w:rPr>
          <w:rFonts w:asciiTheme="majorBidi" w:hAnsiTheme="majorBidi" w:cstheme="majorBidi"/>
          <w:sz w:val="28"/>
          <w:szCs w:val="28"/>
        </w:rPr>
        <w:t>CFA</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في المرحلة الإحصائية للتأكد من أن العبارات تقيس بالفعل البناء النظري المخصص لها.</w:t>
      </w:r>
    </w:p>
    <w:p w14:paraId="3FFE894B" w14:textId="1484B670" w:rsidR="00615235" w:rsidRPr="002E15D3" w:rsidRDefault="00615235" w:rsidP="000B0FA3">
      <w:pPr>
        <w:numPr>
          <w:ilvl w:val="0"/>
          <w:numId w:val="83"/>
        </w:numPr>
        <w:tabs>
          <w:tab w:val="num" w:pos="720"/>
        </w:tabs>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b/>
          <w:bCs/>
          <w:sz w:val="28"/>
          <w:szCs w:val="28"/>
          <w:rtl/>
        </w:rPr>
        <w:t>الثبات (</w:t>
      </w:r>
      <w:r w:rsidRPr="00F770F8">
        <w:rPr>
          <w:rFonts w:asciiTheme="majorBidi" w:hAnsiTheme="majorBidi" w:cstheme="majorBidi"/>
          <w:sz w:val="28"/>
          <w:szCs w:val="28"/>
        </w:rPr>
        <w:t>Reliability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إجراء </w:t>
      </w:r>
      <w:r w:rsidRPr="002E15D3">
        <w:rPr>
          <w:rFonts w:ascii="Traditional Arabic" w:hAnsi="Traditional Arabic" w:cs="Traditional Arabic"/>
          <w:b/>
          <w:bCs/>
          <w:sz w:val="28"/>
          <w:szCs w:val="28"/>
          <w:rtl/>
        </w:rPr>
        <w:t>دراسة استكشافية (</w:t>
      </w:r>
      <w:r w:rsidRPr="00F770F8">
        <w:rPr>
          <w:rFonts w:asciiTheme="majorBidi" w:hAnsiTheme="majorBidi" w:cstheme="majorBidi"/>
          <w:sz w:val="28"/>
          <w:szCs w:val="28"/>
        </w:rPr>
        <w:t>Pilot Study</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على عينة خارج نطاق الدراسة النهائية (حوالي 30-50 مستجيباً) لحساب معامل </w:t>
      </w:r>
      <w:r w:rsidRPr="002E15D3">
        <w:rPr>
          <w:rFonts w:ascii="Traditional Arabic" w:hAnsi="Traditional Arabic" w:cs="Traditional Arabic"/>
          <w:b/>
          <w:bCs/>
          <w:sz w:val="28"/>
          <w:szCs w:val="28"/>
          <w:rtl/>
        </w:rPr>
        <w:t>ألفا كرونباخ (</w:t>
      </w:r>
      <w:r w:rsidRPr="00F770F8">
        <w:rPr>
          <w:rFonts w:asciiTheme="majorBidi" w:hAnsiTheme="majorBidi" w:cstheme="majorBidi"/>
          <w:sz w:val="28"/>
          <w:szCs w:val="28"/>
        </w:rPr>
        <w:t>Cronbach's Alpha</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لجميع أبعاد الاستبانة، والتأكد من أن قيم الثبات مقبولة (أكبر من 0.70).</w:t>
      </w:r>
    </w:p>
    <w:p w14:paraId="67F10163" w14:textId="4257B18B" w:rsidR="00615235" w:rsidRPr="002E15D3" w:rsidRDefault="002A7050" w:rsidP="002A7050">
      <w:pPr>
        <w:bidi/>
        <w:spacing w:line="360" w:lineRule="auto"/>
        <w:rPr>
          <w:rFonts w:ascii="Traditional Arabic" w:hAnsi="Traditional Arabic" w:cs="Traditional Arabic" w:hint="cs"/>
          <w:b/>
          <w:bCs/>
          <w:sz w:val="28"/>
          <w:szCs w:val="28"/>
          <w:rtl/>
        </w:rPr>
      </w:pPr>
      <w:r w:rsidRPr="002E15D3">
        <w:rPr>
          <w:rFonts w:ascii="Traditional Arabic" w:hAnsi="Traditional Arabic" w:cs="Traditional Arabic"/>
          <w:b/>
          <w:bCs/>
          <w:sz w:val="28"/>
          <w:szCs w:val="28"/>
          <w:rtl/>
        </w:rPr>
        <w:t>9</w:t>
      </w:r>
      <w:r w:rsidR="00615235" w:rsidRPr="002E15D3">
        <w:rPr>
          <w:rFonts w:ascii="Traditional Arabic" w:hAnsi="Traditional Arabic" w:cs="Traditional Arabic"/>
          <w:b/>
          <w:bCs/>
          <w:sz w:val="28"/>
          <w:szCs w:val="28"/>
          <w:rtl/>
        </w:rPr>
        <w:t>.4. الأساليب الإحصائية لتحليل النتائج</w:t>
      </w:r>
    </w:p>
    <w:p w14:paraId="59D1C501" w14:textId="6BC90D46" w:rsidR="00615235" w:rsidRPr="002E15D3" w:rsidRDefault="00615235" w:rsidP="000B0FA3">
      <w:pPr>
        <w:bidi/>
        <w:spacing w:line="360" w:lineRule="auto"/>
        <w:jc w:val="both"/>
        <w:rPr>
          <w:rFonts w:ascii="Traditional Arabic" w:hAnsi="Traditional Arabic" w:cs="Traditional Arabic"/>
          <w:sz w:val="28"/>
          <w:szCs w:val="28"/>
          <w:rtl/>
        </w:rPr>
      </w:pPr>
      <w:r w:rsidRPr="002E15D3">
        <w:rPr>
          <w:rFonts w:ascii="Traditional Arabic" w:hAnsi="Traditional Arabic" w:cs="Traditional Arabic"/>
          <w:sz w:val="28"/>
          <w:szCs w:val="28"/>
          <w:rtl/>
        </w:rPr>
        <w:t xml:space="preserve">سيتم استخدام حزمتين برمجيتين لضمان دقة التحليل وقدرته على اختبار الفروض المتقدمة: </w:t>
      </w:r>
      <w:r w:rsidRPr="002E15D3">
        <w:rPr>
          <w:rFonts w:ascii="Traditional Arabic" w:hAnsi="Traditional Arabic" w:cs="Traditional Arabic"/>
          <w:b/>
          <w:bCs/>
          <w:sz w:val="28"/>
          <w:szCs w:val="28"/>
          <w:rtl/>
        </w:rPr>
        <w:t xml:space="preserve">برنامج </w:t>
      </w:r>
      <w:r w:rsidRPr="00F770F8">
        <w:rPr>
          <w:rFonts w:asciiTheme="majorBidi" w:hAnsiTheme="majorBidi" w:cstheme="majorBidi"/>
          <w:sz w:val="28"/>
          <w:szCs w:val="28"/>
        </w:rPr>
        <w:t>SPSS</w:t>
      </w:r>
      <w:r w:rsidRPr="002E15D3">
        <w:rPr>
          <w:rFonts w:ascii="Traditional Arabic" w:hAnsi="Traditional Arabic" w:cs="Traditional Arabic"/>
          <w:sz w:val="28"/>
          <w:szCs w:val="28"/>
          <w:rtl/>
        </w:rPr>
        <w:t xml:space="preserve"> (للتحليل الوصفي والتحقق الأولي) </w:t>
      </w:r>
      <w:r w:rsidR="003041BA" w:rsidRPr="002E15D3">
        <w:rPr>
          <w:rFonts w:ascii="Traditional Arabic" w:hAnsi="Traditional Arabic" w:cs="Traditional Arabic"/>
          <w:sz w:val="28"/>
          <w:szCs w:val="28"/>
          <w:rtl/>
        </w:rPr>
        <w:t>وبرنامج</w:t>
      </w:r>
      <w:r w:rsidRPr="002E15D3">
        <w:rPr>
          <w:rFonts w:ascii="Traditional Arabic" w:hAnsi="Traditional Arabic" w:cs="Traditional Arabic"/>
          <w:b/>
          <w:bCs/>
          <w:sz w:val="28"/>
          <w:szCs w:val="28"/>
          <w:rtl/>
        </w:rPr>
        <w:t xml:space="preserve"> </w:t>
      </w:r>
      <w:r w:rsidRPr="00F770F8">
        <w:rPr>
          <w:rFonts w:asciiTheme="majorBidi" w:hAnsiTheme="majorBidi" w:cstheme="majorBidi"/>
          <w:sz w:val="28"/>
          <w:szCs w:val="28"/>
        </w:rPr>
        <w:t>AMOS</w:t>
      </w:r>
      <w:r w:rsidRPr="00F770F8">
        <w:rPr>
          <w:rFonts w:asciiTheme="majorBidi" w:hAnsiTheme="majorBidi" w:cstheme="majorBidi"/>
          <w:sz w:val="28"/>
          <w:szCs w:val="28"/>
          <w:rtl/>
        </w:rPr>
        <w:t xml:space="preserve"> أو </w:t>
      </w:r>
      <w:r w:rsidRPr="00F770F8">
        <w:rPr>
          <w:rFonts w:asciiTheme="majorBidi" w:hAnsiTheme="majorBidi" w:cstheme="majorBidi"/>
          <w:sz w:val="28"/>
          <w:szCs w:val="28"/>
        </w:rPr>
        <w:t>Smart</w:t>
      </w:r>
      <w:r w:rsidR="004D260F" w:rsidRPr="00F770F8">
        <w:rPr>
          <w:rFonts w:asciiTheme="majorBidi" w:hAnsiTheme="majorBidi" w:cstheme="majorBidi"/>
          <w:sz w:val="28"/>
          <w:szCs w:val="28"/>
        </w:rPr>
        <w:t xml:space="preserve"> </w:t>
      </w:r>
      <w:r w:rsidRPr="00F770F8">
        <w:rPr>
          <w:rFonts w:asciiTheme="majorBidi" w:hAnsiTheme="majorBidi" w:cstheme="majorBidi"/>
          <w:sz w:val="28"/>
          <w:szCs w:val="28"/>
        </w:rPr>
        <w:t>PLS</w:t>
      </w:r>
      <w:r w:rsidRPr="002E15D3">
        <w:rPr>
          <w:rFonts w:ascii="Traditional Arabic" w:hAnsi="Traditional Arabic" w:cs="Traditional Arabic"/>
          <w:sz w:val="28"/>
          <w:szCs w:val="28"/>
          <w:rtl/>
        </w:rPr>
        <w:t xml:space="preserve"> (لنمذجة المعادلات الهيكلية).</w:t>
      </w:r>
    </w:p>
    <w:p w14:paraId="404D9762" w14:textId="588742F0" w:rsidR="00615235" w:rsidRPr="002E15D3" w:rsidRDefault="00615235" w:rsidP="009B0F6B">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1. الإحصاء الوصفي (</w:t>
      </w:r>
      <w:r w:rsidRPr="00F770F8">
        <w:rPr>
          <w:rFonts w:asciiTheme="majorBidi" w:hAnsiTheme="majorBidi" w:cstheme="majorBidi"/>
          <w:b/>
          <w:bCs/>
          <w:sz w:val="28"/>
          <w:szCs w:val="28"/>
        </w:rPr>
        <w:t>Descriptive Statistics</w:t>
      </w:r>
      <w:r w:rsidRPr="002E15D3">
        <w:rPr>
          <w:rFonts w:ascii="Traditional Arabic" w:hAnsi="Traditional Arabic" w:cs="Traditional Arabic"/>
          <w:b/>
          <w:bCs/>
          <w:sz w:val="28"/>
          <w:szCs w:val="28"/>
          <w:rtl/>
        </w:rPr>
        <w:t>)</w:t>
      </w:r>
    </w:p>
    <w:p w14:paraId="0D0B7503" w14:textId="77777777" w:rsidR="009B0F6B" w:rsidRPr="002E15D3" w:rsidRDefault="00615235" w:rsidP="009B0F6B">
      <w:pPr>
        <w:pStyle w:val="a3"/>
        <w:numPr>
          <w:ilvl w:val="0"/>
          <w:numId w:val="91"/>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تحليل البيانات:</w:t>
      </w:r>
      <w:r w:rsidRPr="002E15D3">
        <w:rPr>
          <w:rFonts w:ascii="Traditional Arabic" w:hAnsi="Traditional Arabic" w:cs="Traditional Arabic"/>
          <w:sz w:val="28"/>
          <w:szCs w:val="28"/>
          <w:rtl/>
        </w:rPr>
        <w:t xml:space="preserve"> استخدام التوزيعات التكرارية والنسب المئوية لوصف الخصائص الديموغرافية للعينة.</w:t>
      </w:r>
    </w:p>
    <w:p w14:paraId="172C3153" w14:textId="4BD74E08" w:rsidR="00615235" w:rsidRPr="002E15D3" w:rsidRDefault="00615235" w:rsidP="009B0F6B">
      <w:pPr>
        <w:pStyle w:val="a3"/>
        <w:numPr>
          <w:ilvl w:val="0"/>
          <w:numId w:val="91"/>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وصف المتغيرات:</w:t>
      </w:r>
      <w:r w:rsidRPr="002E15D3">
        <w:rPr>
          <w:rFonts w:ascii="Traditional Arabic" w:hAnsi="Traditional Arabic" w:cs="Traditional Arabic"/>
          <w:sz w:val="28"/>
          <w:szCs w:val="28"/>
          <w:rtl/>
        </w:rPr>
        <w:t xml:space="preserve"> استخدام المتوسطات الحسابية والانحرافات المعيارية لوصف مستوى إدراك العينة لجميع متغيرات الدراسة.</w:t>
      </w:r>
    </w:p>
    <w:p w14:paraId="10BC9220" w14:textId="047428B2" w:rsidR="00615235" w:rsidRPr="002E15D3" w:rsidRDefault="00615235" w:rsidP="009B0F6B">
      <w:pPr>
        <w:bidi/>
        <w:spacing w:line="360" w:lineRule="auto"/>
        <w:rPr>
          <w:rFonts w:ascii="Traditional Arabic" w:hAnsi="Traditional Arabic" w:cs="Traditional Arabic"/>
          <w:b/>
          <w:bCs/>
          <w:sz w:val="28"/>
          <w:szCs w:val="28"/>
          <w:rtl/>
        </w:rPr>
      </w:pPr>
      <w:r w:rsidRPr="002E15D3">
        <w:rPr>
          <w:rFonts w:ascii="Traditional Arabic" w:hAnsi="Traditional Arabic" w:cs="Traditional Arabic"/>
          <w:b/>
          <w:bCs/>
          <w:sz w:val="28"/>
          <w:szCs w:val="28"/>
          <w:rtl/>
        </w:rPr>
        <w:t>2. الإحصاء الاستدلالي واختبار الفروض (</w:t>
      </w:r>
      <w:r w:rsidRPr="00F770F8">
        <w:rPr>
          <w:rFonts w:asciiTheme="majorBidi" w:hAnsiTheme="majorBidi" w:cstheme="majorBidi"/>
          <w:sz w:val="28"/>
          <w:szCs w:val="28"/>
        </w:rPr>
        <w:t>Inferential Statistics</w:t>
      </w:r>
      <w:r w:rsidRPr="002E15D3">
        <w:rPr>
          <w:rFonts w:ascii="Traditional Arabic" w:hAnsi="Traditional Arabic" w:cs="Traditional Arabic"/>
          <w:b/>
          <w:bCs/>
          <w:sz w:val="28"/>
          <w:szCs w:val="28"/>
          <w:rtl/>
        </w:rPr>
        <w:t>)</w:t>
      </w:r>
    </w:p>
    <w:p w14:paraId="16316C77" w14:textId="77777777" w:rsidR="009B0F6B" w:rsidRPr="002E15D3" w:rsidRDefault="00615235" w:rsidP="009B0F6B">
      <w:pPr>
        <w:pStyle w:val="a3"/>
        <w:numPr>
          <w:ilvl w:val="0"/>
          <w:numId w:val="92"/>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اختبار الصدق والثبات:</w:t>
      </w:r>
      <w:r w:rsidRPr="002E15D3">
        <w:rPr>
          <w:rFonts w:ascii="Traditional Arabic" w:hAnsi="Traditional Arabic" w:cs="Traditional Arabic"/>
          <w:sz w:val="28"/>
          <w:szCs w:val="28"/>
          <w:rtl/>
        </w:rPr>
        <w:t xml:space="preserve"> استخدام تحليل العوامل التوكيدي (</w:t>
      </w:r>
      <w:r w:rsidRPr="00F770F8">
        <w:rPr>
          <w:rFonts w:asciiTheme="majorBidi" w:hAnsiTheme="majorBidi" w:cstheme="majorBidi"/>
          <w:sz w:val="28"/>
          <w:szCs w:val="28"/>
        </w:rPr>
        <w:t>CFA</w:t>
      </w:r>
      <w:r w:rsidRPr="002E15D3">
        <w:rPr>
          <w:rFonts w:ascii="Traditional Arabic" w:hAnsi="Traditional Arabic" w:cs="Traditional Arabic"/>
          <w:sz w:val="28"/>
          <w:szCs w:val="28"/>
          <w:rtl/>
        </w:rPr>
        <w:t>) والثبات التركيبي (</w:t>
      </w:r>
      <w:r w:rsidRPr="00F770F8">
        <w:rPr>
          <w:rFonts w:asciiTheme="majorBidi" w:hAnsiTheme="majorBidi" w:cstheme="majorBidi"/>
          <w:sz w:val="28"/>
          <w:szCs w:val="28"/>
        </w:rPr>
        <w:t>Composite Reliability</w:t>
      </w:r>
      <w:r w:rsidRPr="002E15D3">
        <w:rPr>
          <w:rFonts w:ascii="Traditional Arabic" w:hAnsi="Traditional Arabic" w:cs="Traditional Arabic"/>
          <w:sz w:val="28"/>
          <w:szCs w:val="28"/>
          <w:rtl/>
        </w:rPr>
        <w:t>) كجزء من نمذجة المعادلات الهيكلية.</w:t>
      </w:r>
    </w:p>
    <w:p w14:paraId="47794FBF" w14:textId="77777777" w:rsidR="009B0F6B" w:rsidRPr="002E15D3" w:rsidRDefault="00615235" w:rsidP="009B0F6B">
      <w:pPr>
        <w:pStyle w:val="a3"/>
        <w:numPr>
          <w:ilvl w:val="0"/>
          <w:numId w:val="92"/>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 xml:space="preserve">اختبار العلاقات المباشرة (فروض </w:t>
      </w:r>
      <w:r w:rsidR="009B0F6B" w:rsidRPr="00F770F8">
        <w:rPr>
          <w:rFonts w:asciiTheme="majorBidi" w:hAnsiTheme="majorBidi" w:cstheme="majorBidi"/>
          <w:b/>
          <w:bCs/>
          <w:sz w:val="28"/>
          <w:szCs w:val="28"/>
        </w:rPr>
        <w:t>H1</w:t>
      </w:r>
      <w:r w:rsidRPr="00F770F8">
        <w:rPr>
          <w:rFonts w:asciiTheme="majorBidi" w:hAnsiTheme="majorBidi" w:cstheme="majorBidi"/>
          <w:b/>
          <w:bCs/>
          <w:sz w:val="28"/>
          <w:szCs w:val="28"/>
        </w:rPr>
        <w:t>, H2, H3</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استخدام </w:t>
      </w:r>
      <w:r w:rsidRPr="002E15D3">
        <w:rPr>
          <w:rFonts w:ascii="Traditional Arabic" w:hAnsi="Traditional Arabic" w:cs="Traditional Arabic"/>
          <w:b/>
          <w:bCs/>
          <w:sz w:val="28"/>
          <w:szCs w:val="28"/>
          <w:rtl/>
        </w:rPr>
        <w:t>تحليل الانحدار المتعدد (</w:t>
      </w:r>
      <w:r w:rsidRPr="00F770F8">
        <w:rPr>
          <w:rFonts w:asciiTheme="majorBidi" w:hAnsiTheme="majorBidi" w:cstheme="majorBidi"/>
          <w:b/>
          <w:bCs/>
          <w:sz w:val="28"/>
          <w:szCs w:val="28"/>
        </w:rPr>
        <w:t>Multiple Regression</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أو المسارات المباشرة ضمن نموذج </w:t>
      </w:r>
      <w:r w:rsidRPr="00F770F8">
        <w:rPr>
          <w:rFonts w:asciiTheme="majorBidi" w:hAnsiTheme="majorBidi" w:cstheme="majorBidi"/>
          <w:sz w:val="28"/>
          <w:szCs w:val="28"/>
        </w:rPr>
        <w:t>SEM</w:t>
      </w:r>
      <w:r w:rsidRPr="002E15D3">
        <w:rPr>
          <w:rFonts w:ascii="Traditional Arabic" w:hAnsi="Traditional Arabic" w:cs="Traditional Arabic"/>
          <w:sz w:val="28"/>
          <w:szCs w:val="28"/>
          <w:rtl/>
        </w:rPr>
        <w:t>.</w:t>
      </w:r>
    </w:p>
    <w:p w14:paraId="259DDAE6" w14:textId="55A21E82" w:rsidR="00615235" w:rsidRPr="002E15D3" w:rsidRDefault="00615235" w:rsidP="009B0F6B">
      <w:pPr>
        <w:pStyle w:val="a3"/>
        <w:numPr>
          <w:ilvl w:val="0"/>
          <w:numId w:val="92"/>
        </w:numPr>
        <w:bidi/>
        <w:spacing w:line="360" w:lineRule="auto"/>
        <w:rPr>
          <w:rFonts w:ascii="Traditional Arabic" w:hAnsi="Traditional Arabic" w:cs="Traditional Arabic"/>
          <w:sz w:val="28"/>
          <w:szCs w:val="28"/>
          <w:rtl/>
        </w:rPr>
      </w:pPr>
      <w:r w:rsidRPr="002E15D3">
        <w:rPr>
          <w:rFonts w:ascii="Traditional Arabic" w:hAnsi="Traditional Arabic" w:cs="Traditional Arabic"/>
          <w:b/>
          <w:bCs/>
          <w:sz w:val="28"/>
          <w:szCs w:val="28"/>
          <w:rtl/>
        </w:rPr>
        <w:t xml:space="preserve">اختبار الفروض الوسيطة (فروض </w:t>
      </w:r>
      <w:r w:rsidRPr="00F770F8">
        <w:rPr>
          <w:rFonts w:asciiTheme="majorBidi" w:hAnsiTheme="majorBidi" w:cstheme="majorBidi"/>
          <w:b/>
          <w:bCs/>
          <w:sz w:val="28"/>
          <w:szCs w:val="28"/>
        </w:rPr>
        <w:t>H4, H5</w:t>
      </w:r>
      <w:r w:rsidRPr="002E15D3">
        <w:rPr>
          <w:rFonts w:ascii="Traditional Arabic" w:hAnsi="Traditional Arabic" w:cs="Traditional Arabic"/>
          <w:b/>
          <w:bCs/>
          <w:sz w:val="28"/>
          <w:szCs w:val="28"/>
          <w:rtl/>
        </w:rPr>
        <w:t>):</w:t>
      </w:r>
    </w:p>
    <w:p w14:paraId="34ED9354" w14:textId="77777777" w:rsidR="009B0F6B" w:rsidRPr="002E15D3" w:rsidRDefault="00615235" w:rsidP="009B0F6B">
      <w:pPr>
        <w:pStyle w:val="a3"/>
        <w:numPr>
          <w:ilvl w:val="0"/>
          <w:numId w:val="93"/>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t>التقنية المعتمدة:</w:t>
      </w:r>
      <w:r w:rsidRPr="002E15D3">
        <w:rPr>
          <w:rFonts w:ascii="Traditional Arabic" w:hAnsi="Traditional Arabic" w:cs="Traditional Arabic"/>
          <w:sz w:val="28"/>
          <w:szCs w:val="28"/>
          <w:rtl/>
        </w:rPr>
        <w:t xml:space="preserve"> </w:t>
      </w:r>
      <w:r w:rsidRPr="002E15D3">
        <w:rPr>
          <w:rFonts w:ascii="Traditional Arabic" w:hAnsi="Traditional Arabic" w:cs="Traditional Arabic"/>
          <w:b/>
          <w:bCs/>
          <w:sz w:val="28"/>
          <w:szCs w:val="28"/>
          <w:rtl/>
        </w:rPr>
        <w:t>نمذجة المعادلات الهيكلية (</w:t>
      </w:r>
      <w:r w:rsidRPr="00F770F8">
        <w:rPr>
          <w:rFonts w:asciiTheme="majorBidi" w:hAnsiTheme="majorBidi" w:cstheme="majorBidi"/>
          <w:b/>
          <w:bCs/>
          <w:sz w:val="28"/>
          <w:szCs w:val="28"/>
        </w:rPr>
        <w:t>Structural Equation Modeling - SEM</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w:t>
      </w:r>
    </w:p>
    <w:p w14:paraId="34AB6B1F" w14:textId="409B9B7F" w:rsidR="00615235" w:rsidRPr="002E15D3" w:rsidRDefault="00615235" w:rsidP="009B0F6B">
      <w:pPr>
        <w:pStyle w:val="a3"/>
        <w:numPr>
          <w:ilvl w:val="0"/>
          <w:numId w:val="93"/>
        </w:numPr>
        <w:bidi/>
        <w:spacing w:line="360" w:lineRule="auto"/>
        <w:rPr>
          <w:rFonts w:ascii="Traditional Arabic" w:hAnsi="Traditional Arabic" w:cs="Traditional Arabic"/>
          <w:sz w:val="28"/>
          <w:szCs w:val="28"/>
        </w:rPr>
      </w:pPr>
      <w:r w:rsidRPr="002E15D3">
        <w:rPr>
          <w:rFonts w:ascii="Traditional Arabic" w:hAnsi="Traditional Arabic" w:cs="Traditional Arabic"/>
          <w:b/>
          <w:bCs/>
          <w:sz w:val="28"/>
          <w:szCs w:val="28"/>
          <w:rtl/>
        </w:rPr>
        <w:lastRenderedPageBreak/>
        <w:t>آلية اختبار التوسيط:</w:t>
      </w:r>
      <w:r w:rsidRPr="002E15D3">
        <w:rPr>
          <w:rFonts w:ascii="Traditional Arabic" w:hAnsi="Traditional Arabic" w:cs="Traditional Arabic"/>
          <w:sz w:val="28"/>
          <w:szCs w:val="28"/>
          <w:rtl/>
        </w:rPr>
        <w:t xml:space="preserve"> استخدام تقنية </w:t>
      </w:r>
      <w:r w:rsidRPr="002E15D3">
        <w:rPr>
          <w:rFonts w:ascii="Traditional Arabic" w:hAnsi="Traditional Arabic" w:cs="Traditional Arabic"/>
          <w:b/>
          <w:bCs/>
          <w:sz w:val="28"/>
          <w:szCs w:val="28"/>
          <w:rtl/>
        </w:rPr>
        <w:t>التمهيد (</w:t>
      </w:r>
      <w:r w:rsidRPr="00F770F8">
        <w:rPr>
          <w:rFonts w:asciiTheme="majorBidi" w:hAnsiTheme="majorBidi" w:cstheme="majorBidi"/>
          <w:b/>
          <w:bCs/>
          <w:sz w:val="28"/>
          <w:szCs w:val="28"/>
        </w:rPr>
        <w:t>Bootstrapping</w:t>
      </w:r>
      <w:r w:rsidRPr="002E15D3">
        <w:rPr>
          <w:rFonts w:ascii="Traditional Arabic" w:hAnsi="Traditional Arabic" w:cs="Traditional Arabic"/>
          <w:b/>
          <w:bCs/>
          <w:sz w:val="28"/>
          <w:szCs w:val="28"/>
          <w:rtl/>
        </w:rPr>
        <w:t>)</w:t>
      </w:r>
      <w:r w:rsidRPr="002E15D3">
        <w:rPr>
          <w:rFonts w:ascii="Traditional Arabic" w:hAnsi="Traditional Arabic" w:cs="Traditional Arabic"/>
          <w:sz w:val="28"/>
          <w:szCs w:val="28"/>
          <w:rtl/>
        </w:rPr>
        <w:t xml:space="preserve"> مع عدد كبير من العينات الفرعية (عادة 5000) لتقدير الأثر غير المباشر الكلي والمسارات المتسلسلة (</w:t>
      </w:r>
      <w:r w:rsidRPr="00F770F8">
        <w:rPr>
          <w:rFonts w:asciiTheme="majorBidi" w:hAnsiTheme="majorBidi" w:cstheme="majorBidi"/>
          <w:b/>
          <w:bCs/>
          <w:sz w:val="28"/>
          <w:szCs w:val="28"/>
        </w:rPr>
        <w:t>TL</w:t>
      </w:r>
      <w:r w:rsidR="009B0F6B" w:rsidRPr="00F770F8">
        <w:rPr>
          <w:rFonts w:asciiTheme="majorBidi" w:hAnsiTheme="majorBidi" w:cstheme="majorBidi"/>
          <w:b/>
          <w:bCs/>
          <w:sz w:val="28"/>
          <w:szCs w:val="28"/>
        </w:rPr>
        <w:t>→</w:t>
      </w:r>
      <w:r w:rsidRPr="00F770F8">
        <w:rPr>
          <w:rFonts w:asciiTheme="majorBidi" w:hAnsiTheme="majorBidi" w:cstheme="majorBidi"/>
          <w:b/>
          <w:bCs/>
          <w:sz w:val="28"/>
          <w:szCs w:val="28"/>
        </w:rPr>
        <w:t xml:space="preserve"> SC </w:t>
      </w:r>
      <w:r w:rsidR="009B0F6B" w:rsidRPr="00F770F8">
        <w:rPr>
          <w:rFonts w:asciiTheme="majorBidi" w:hAnsiTheme="majorBidi" w:cstheme="majorBidi"/>
          <w:b/>
          <w:bCs/>
          <w:sz w:val="28"/>
          <w:szCs w:val="28"/>
        </w:rPr>
        <w:t>→</w:t>
      </w:r>
      <w:r w:rsidRPr="00F770F8">
        <w:rPr>
          <w:rFonts w:asciiTheme="majorBidi" w:hAnsiTheme="majorBidi" w:cstheme="majorBidi"/>
          <w:b/>
          <w:bCs/>
          <w:sz w:val="28"/>
          <w:szCs w:val="28"/>
        </w:rPr>
        <w:t xml:space="preserve"> SB </w:t>
      </w:r>
      <w:r w:rsidR="009B0F6B" w:rsidRPr="00F770F8">
        <w:rPr>
          <w:rFonts w:asciiTheme="majorBidi" w:hAnsiTheme="majorBidi" w:cstheme="majorBidi"/>
          <w:b/>
          <w:bCs/>
          <w:sz w:val="28"/>
          <w:szCs w:val="28"/>
        </w:rPr>
        <w:t>→</w:t>
      </w:r>
      <w:r w:rsidRPr="00F770F8">
        <w:rPr>
          <w:rFonts w:asciiTheme="majorBidi" w:hAnsiTheme="majorBidi" w:cstheme="majorBidi"/>
          <w:b/>
          <w:bCs/>
          <w:sz w:val="28"/>
          <w:szCs w:val="28"/>
        </w:rPr>
        <w:t xml:space="preserve"> AE</w:t>
      </w:r>
      <w:r w:rsidRPr="002E15D3">
        <w:rPr>
          <w:rFonts w:ascii="Traditional Arabic" w:hAnsi="Traditional Arabic" w:cs="Traditional Arabic"/>
          <w:sz w:val="28"/>
          <w:szCs w:val="28"/>
          <w:rtl/>
        </w:rPr>
        <w:t>) وتحديد معنويتها الإحصائية، وهي الطريقة الأكثر موثوقية لاختبار الفروض الوسيطة المتعددة.</w:t>
      </w:r>
    </w:p>
    <w:p w14:paraId="5EADE2E9" w14:textId="642AD364" w:rsidR="000B0FA3" w:rsidRPr="002E15D3" w:rsidRDefault="008B1883" w:rsidP="000B0FA3">
      <w:pPr>
        <w:bidi/>
        <w:spacing w:line="360" w:lineRule="auto"/>
        <w:rPr>
          <w:rFonts w:ascii="Traditional Arabic" w:hAnsi="Traditional Arabic" w:cs="Traditional Arabic"/>
          <w:b/>
          <w:bCs/>
          <w:sz w:val="32"/>
          <w:szCs w:val="32"/>
        </w:rPr>
      </w:pPr>
      <w:r w:rsidRPr="002E15D3">
        <w:rPr>
          <w:rFonts w:ascii="Traditional Arabic" w:hAnsi="Traditional Arabic" w:cs="Traditional Arabic"/>
          <w:b/>
          <w:bCs/>
          <w:sz w:val="32"/>
          <w:szCs w:val="32"/>
          <w:rtl/>
        </w:rPr>
        <w:t>10.</w:t>
      </w:r>
      <w:r w:rsidR="001C72AD" w:rsidRPr="002E15D3">
        <w:rPr>
          <w:rFonts w:ascii="Traditional Arabic" w:hAnsi="Traditional Arabic" w:cs="Traditional Arabic"/>
          <w:b/>
          <w:bCs/>
          <w:sz w:val="32"/>
          <w:szCs w:val="32"/>
          <w:rtl/>
        </w:rPr>
        <w:t xml:space="preserve">الموذج المفاهيمي للدراسة </w:t>
      </w:r>
    </w:p>
    <w:p w14:paraId="3A2B4FE2" w14:textId="5627A29A" w:rsidR="004D260F" w:rsidRPr="002E15D3" w:rsidRDefault="00776407" w:rsidP="000B0FA3">
      <w:pPr>
        <w:bidi/>
        <w:spacing w:line="360" w:lineRule="auto"/>
        <w:rPr>
          <w:rFonts w:ascii="Traditional Arabic" w:hAnsi="Traditional Arabic" w:cs="Traditional Arabic"/>
          <w:b/>
          <w:bCs/>
          <w:sz w:val="32"/>
          <w:szCs w:val="32"/>
          <w:rtl/>
        </w:rPr>
      </w:pPr>
      <w:r w:rsidRPr="002E15D3">
        <w:rPr>
          <w:rFonts w:ascii="Traditional Arabic" w:hAnsi="Traditional Arabic" w:cs="Traditional Arabic"/>
          <w:noProof/>
        </w:rPr>
        <w:lastRenderedPageBreak/>
        <w:drawing>
          <wp:anchor distT="0" distB="0" distL="114300" distR="114300" simplePos="0" relativeHeight="251661824" behindDoc="1" locked="0" layoutInCell="1" allowOverlap="1" wp14:anchorId="1A0293D1" wp14:editId="173E3F68">
            <wp:simplePos x="0" y="0"/>
            <wp:positionH relativeFrom="margin">
              <wp:posOffset>-838835</wp:posOffset>
            </wp:positionH>
            <wp:positionV relativeFrom="paragraph">
              <wp:posOffset>1957070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2E15D3">
        <w:rPr>
          <w:rFonts w:ascii="Traditional Arabic" w:hAnsi="Traditional Arabic" w:cs="Traditional Arabic"/>
          <w:sz w:val="28"/>
          <w:szCs w:val="28"/>
          <w:rtl/>
        </w:rPr>
        <w:t>يهدف هذا النموذج البصري إلى تمثيل العلاقات السببية المُفترضة بين متغيرات الدراسة، والتي سيتم اختبارها باستخدام نمذجة المعادلا</w:t>
      </w:r>
      <w:r>
        <w:rPr>
          <w:rFonts w:ascii="Traditional Arabic" w:hAnsi="Traditional Arabic" w:cs="Traditional Arabic" w:hint="cs"/>
          <w:sz w:val="28"/>
          <w:szCs w:val="28"/>
          <w:rtl/>
        </w:rPr>
        <w:t>ت ا</w:t>
      </w:r>
      <w:r w:rsidR="001C72AD" w:rsidRPr="002E15D3">
        <w:rPr>
          <w:rFonts w:ascii="Traditional Arabic" w:hAnsi="Traditional Arabic" w:cs="Traditional Arabic"/>
          <w:sz w:val="28"/>
          <w:szCs w:val="28"/>
          <w:rtl/>
        </w:rPr>
        <w:t>لهيكلية (</w:t>
      </w:r>
      <w:r w:rsidR="001C72AD" w:rsidRPr="002E15D3">
        <w:rPr>
          <w:rFonts w:ascii="Traditional Arabic" w:hAnsi="Traditional Arabic" w:cs="Traditional Arabic"/>
          <w:sz w:val="28"/>
          <w:szCs w:val="28"/>
        </w:rPr>
        <w:t>SEM</w:t>
      </w:r>
      <w:r w:rsidR="001C72AD" w:rsidRPr="002E15D3">
        <w:rPr>
          <w:rFonts w:ascii="Traditional Arabic" w:hAnsi="Traditional Arabic" w:cs="Traditional Arabic"/>
          <w:sz w:val="28"/>
          <w:szCs w:val="28"/>
          <w:rtl/>
        </w:rPr>
        <w:t>).</w:t>
      </w:r>
    </w:p>
    <w:p w14:paraId="27C6EE69" w14:textId="2DA566DF" w:rsidR="00C07820" w:rsidRPr="00CD1C41" w:rsidRDefault="006F52A6" w:rsidP="00776407">
      <w:pPr>
        <w:bidi/>
        <w:spacing w:after="200" w:line="276" w:lineRule="auto"/>
        <w:rPr>
          <w:rFonts w:ascii="Sakkal Majalla" w:hAnsi="Sakkal Majalla" w:cs="Sakkal Majalla"/>
          <w:b/>
          <w:bCs/>
          <w:sz w:val="36"/>
          <w:szCs w:val="36"/>
        </w:rPr>
      </w:pPr>
      <w:r>
        <w:rPr>
          <w:rFonts w:ascii="Sakkal Majalla" w:hAnsi="Sakkal Majalla" w:cs="Sakkal Majalla" w:hint="cs"/>
          <w:b/>
          <w:bCs/>
          <w:sz w:val="36"/>
          <w:szCs w:val="36"/>
          <w:rtl/>
        </w:rPr>
        <w:lastRenderedPageBreak/>
        <w:t>11.</w:t>
      </w:r>
      <w:r w:rsidR="00C07820">
        <w:rPr>
          <w:rFonts w:ascii="Sakkal Majalla" w:hAnsi="Sakkal Majalla" w:cs="Sakkal Majalla" w:hint="cs"/>
          <w:b/>
          <w:bCs/>
          <w:sz w:val="36"/>
          <w:szCs w:val="36"/>
          <w:rtl/>
        </w:rPr>
        <w:t>المراجع:</w:t>
      </w:r>
      <w:r w:rsidR="00C07820">
        <w:rPr>
          <w:rFonts w:ascii="Sakkal Majalla" w:hAnsi="Sakkal Majalla" w:cs="Sakkal Majalla"/>
          <w:b/>
          <w:bCs/>
          <w:sz w:val="36"/>
          <w:szCs w:val="36"/>
        </w:rPr>
        <w:br/>
      </w:r>
      <w:r w:rsidR="00CD1C41">
        <w:rPr>
          <w:rFonts w:ascii="Sakkal Majalla" w:hAnsi="Sakkal Majalla" w:cs="Sakkal Majalla" w:hint="cs"/>
          <w:b/>
          <w:bCs/>
          <w:sz w:val="36"/>
          <w:szCs w:val="36"/>
          <w:rtl/>
        </w:rPr>
        <w:t>المراجع الإنجليزية:</w:t>
      </w:r>
      <w:r w:rsidR="00F30309">
        <w:rPr>
          <w:rFonts w:ascii="Sakkal Majalla" w:hAnsi="Sakkal Majalla" w:cs="Sakkal Majalla" w:hint="cs"/>
          <w:b/>
          <w:bCs/>
          <w:sz w:val="36"/>
          <w:szCs w:val="36"/>
          <w:rtl/>
        </w:rPr>
        <w:t xml:space="preserve">                                                                                                                                                   </w:t>
      </w:r>
    </w:p>
    <w:p w14:paraId="1509493C" w14:textId="29B9BB42" w:rsidR="00813540" w:rsidRPr="00813540" w:rsidRDefault="009F1791" w:rsidP="00776407">
      <w:pPr>
        <w:pStyle w:val="EndNoteBibliography"/>
        <w:ind w:left="720" w:hanging="720"/>
        <w:jc w:val="left"/>
        <w:rPr>
          <w:rtl/>
        </w:rPr>
      </w:pPr>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sz w:val="28"/>
          <w:szCs w:val="28"/>
        </w:rPr>
        <w:instrText>ADDIN EN.REFLIST</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00813540" w:rsidRPr="00813540">
        <w:t xml:space="preserve">Ahmed, Z., Ellahham, S., Soomro, M., Shams, S., &amp; Latif, K. (2024, May 7). Exploring the impact of compassion and leadership on patient safety and quality in healthcare systems: a narrative review. </w:t>
      </w:r>
      <w:r w:rsidR="00813540" w:rsidRPr="00813540">
        <w:rPr>
          <w:i/>
        </w:rPr>
        <w:t>BMJ Open Qual, 13</w:t>
      </w:r>
      <w:r w:rsidR="00813540" w:rsidRPr="00813540">
        <w:t xml:space="preserve">(Suppl 2). </w:t>
      </w:r>
      <w:hyperlink r:id="rId10" w:history="1">
        <w:r w:rsidR="00813540" w:rsidRPr="00813540">
          <w:rPr>
            <w:rStyle w:val="Hyperlink"/>
          </w:rPr>
          <w:t>https://doi.org/10.1136/bmjoq</w:t>
        </w:r>
        <w:r w:rsidR="00813540" w:rsidRPr="00813540">
          <w:rPr>
            <w:rStyle w:val="Hyperlink"/>
            <w:rtl/>
          </w:rPr>
          <w:t>-2023-002651</w:t>
        </w:r>
      </w:hyperlink>
      <w:r w:rsidR="00813540" w:rsidRPr="00813540">
        <w:rPr>
          <w:rtl/>
        </w:rPr>
        <w:t xml:space="preserve"> </w:t>
      </w:r>
    </w:p>
    <w:p w14:paraId="00512E66" w14:textId="77777777" w:rsidR="00813540" w:rsidRPr="00813540" w:rsidRDefault="00813540" w:rsidP="00776407">
      <w:pPr>
        <w:pStyle w:val="EndNoteBibliography"/>
        <w:spacing w:after="0"/>
        <w:jc w:val="left"/>
        <w:rPr>
          <w:rtl/>
        </w:rPr>
      </w:pPr>
    </w:p>
    <w:p w14:paraId="7A096C8A" w14:textId="0E1E5473" w:rsidR="00813540" w:rsidRPr="00813540" w:rsidRDefault="00813540" w:rsidP="00776407">
      <w:pPr>
        <w:pStyle w:val="EndNoteBibliography"/>
        <w:ind w:left="720" w:hanging="720"/>
        <w:jc w:val="left"/>
        <w:rPr>
          <w:rtl/>
        </w:rPr>
      </w:pPr>
      <w:r w:rsidRPr="00813540">
        <w:t>Alotaibi, E. A., ZienYusoff, R., Al-Swidi, A. K., Al-Matari, E. M., &amp; AlSharqi, O. Z. (2015, 03/01). The Mediating Effect of Organizational Climate on the Relationship between Transformational Leadership and Patient Safety: A Study on Saudi</w:t>
      </w:r>
      <w:r w:rsidRPr="00813540">
        <w:rPr>
          <w:rtl/>
        </w:rPr>
        <w:t xml:space="preserve"> </w:t>
      </w:r>
      <w:r w:rsidRPr="00813540">
        <w:t xml:space="preserve">Hospitals. </w:t>
      </w:r>
      <w:r w:rsidRPr="00813540">
        <w:rPr>
          <w:i/>
        </w:rPr>
        <w:t>Mediterranean Journal of Social Sciences, 6</w:t>
      </w:r>
      <w:r w:rsidRPr="00813540">
        <w:t xml:space="preserve">. </w:t>
      </w:r>
      <w:hyperlink r:id="rId11" w:history="1">
        <w:r w:rsidRPr="00813540">
          <w:rPr>
            <w:rStyle w:val="Hyperlink"/>
          </w:rPr>
          <w:t>https://doi.org/10.5901/mjss.2015.v6n2s1p117</w:t>
        </w:r>
      </w:hyperlink>
      <w:r w:rsidRPr="00813540">
        <w:rPr>
          <w:rtl/>
        </w:rPr>
        <w:t xml:space="preserve"> </w:t>
      </w:r>
    </w:p>
    <w:p w14:paraId="4FA21E8B" w14:textId="77777777" w:rsidR="00813540" w:rsidRPr="00813540" w:rsidRDefault="00813540" w:rsidP="00776407">
      <w:pPr>
        <w:pStyle w:val="EndNoteBibliography"/>
        <w:spacing w:after="0"/>
        <w:jc w:val="left"/>
        <w:rPr>
          <w:rtl/>
        </w:rPr>
      </w:pPr>
    </w:p>
    <w:p w14:paraId="20AF9624" w14:textId="0F4C6B84" w:rsidR="00813540" w:rsidRPr="00813540" w:rsidRDefault="00813540" w:rsidP="00776407">
      <w:pPr>
        <w:pStyle w:val="EndNoteBibliography"/>
        <w:ind w:left="720" w:hanging="720"/>
        <w:jc w:val="left"/>
        <w:rPr>
          <w:rtl/>
        </w:rPr>
      </w:pPr>
      <w:r w:rsidRPr="00813540">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813540">
        <w:rPr>
          <w:i/>
        </w:rPr>
        <w:t>BMJ open, 14</w:t>
      </w:r>
      <w:r w:rsidRPr="00813540">
        <w:t xml:space="preserve">(9), e084741. </w:t>
      </w:r>
      <w:hyperlink r:id="rId12" w:history="1">
        <w:r w:rsidRPr="00813540">
          <w:rPr>
            <w:rStyle w:val="Hyperlink"/>
          </w:rPr>
          <w:t>https://doi.org/10.1136/bmjopen-2024-084741</w:t>
        </w:r>
      </w:hyperlink>
      <w:r w:rsidRPr="00813540">
        <w:rPr>
          <w:rtl/>
        </w:rPr>
        <w:t xml:space="preserve"> </w:t>
      </w:r>
    </w:p>
    <w:p w14:paraId="57C28188" w14:textId="77777777" w:rsidR="00813540" w:rsidRPr="00813540" w:rsidRDefault="00813540" w:rsidP="00776407">
      <w:pPr>
        <w:pStyle w:val="EndNoteBibliography"/>
        <w:spacing w:after="0"/>
        <w:jc w:val="left"/>
        <w:rPr>
          <w:rtl/>
        </w:rPr>
      </w:pPr>
    </w:p>
    <w:p w14:paraId="41CA86BF" w14:textId="351FC333" w:rsidR="00813540" w:rsidRPr="00813540" w:rsidRDefault="00813540" w:rsidP="00776407">
      <w:pPr>
        <w:pStyle w:val="EndNoteBibliography"/>
        <w:ind w:left="720" w:hanging="720"/>
        <w:jc w:val="left"/>
        <w:rPr>
          <w:rtl/>
        </w:rPr>
      </w:pPr>
      <w:r w:rsidRPr="00813540">
        <w:t xml:space="preserve">Alsahli, H., Al-Wathinani, A., Althobaiti, T., Abahussain, M., &amp; Goniewicz, K. (2024, 08/05). Shaping Safety: Unveiling the Dynamics of Incident Reporting and Safety Culture in Saudi Arabian Healthcare. </w:t>
      </w:r>
      <w:r w:rsidRPr="00813540">
        <w:rPr>
          <w:i/>
        </w:rPr>
        <w:t>Journal of Multidisciplinary Healthcare, 17</w:t>
      </w:r>
      <w:r w:rsidRPr="00813540">
        <w:t xml:space="preserve">, 3775-3789. </w:t>
      </w:r>
      <w:hyperlink r:id="rId13" w:history="1">
        <w:r w:rsidRPr="00813540">
          <w:rPr>
            <w:rStyle w:val="Hyperlink"/>
          </w:rPr>
          <w:t>https://doi.org/10.2147/JMDH</w:t>
        </w:r>
        <w:r w:rsidRPr="00813540">
          <w:rPr>
            <w:rStyle w:val="Hyperlink"/>
            <w:rtl/>
          </w:rPr>
          <w:t>.</w:t>
        </w:r>
        <w:r w:rsidRPr="00813540">
          <w:rPr>
            <w:rStyle w:val="Hyperlink"/>
          </w:rPr>
          <w:t>S458718</w:t>
        </w:r>
      </w:hyperlink>
      <w:r w:rsidRPr="00813540">
        <w:rPr>
          <w:rtl/>
        </w:rPr>
        <w:t xml:space="preserve"> </w:t>
      </w:r>
    </w:p>
    <w:p w14:paraId="4A46D423" w14:textId="77777777" w:rsidR="00813540" w:rsidRPr="00813540" w:rsidRDefault="00813540" w:rsidP="00776407">
      <w:pPr>
        <w:pStyle w:val="EndNoteBibliography"/>
        <w:spacing w:after="0"/>
        <w:jc w:val="left"/>
        <w:rPr>
          <w:rtl/>
        </w:rPr>
      </w:pPr>
    </w:p>
    <w:p w14:paraId="08833E1D" w14:textId="6E71C608" w:rsidR="00813540" w:rsidRPr="00813540" w:rsidRDefault="00813540" w:rsidP="00776407">
      <w:pPr>
        <w:pStyle w:val="EndNoteBibliography"/>
        <w:ind w:left="720" w:hanging="720"/>
        <w:jc w:val="left"/>
        <w:rPr>
          <w:rtl/>
        </w:rPr>
      </w:pPr>
      <w:r w:rsidRPr="00813540">
        <w:t xml:space="preserve">Alsari, S. M., Alzamanan, M. M. M., Salem, H. A., Almutyif, Q. H., Al-Masad, A. M. S., Alabbas, M. S., Alfuhayd, G. N. M., Aldwees, H. S. H., Al Regheeb, Y. A. M., &amp; Al Musri, D. A. J. (2024). The impact of vision 2030 on the healthcare system in Saudi Arabia. </w:t>
      </w:r>
      <w:r w:rsidRPr="00813540">
        <w:rPr>
          <w:i/>
        </w:rPr>
        <w:t>Journal of International Crisis and Risk Communication Research, 7</w:t>
      </w:r>
      <w:r w:rsidRPr="00813540">
        <w:t xml:space="preserve">(S10), 2262. </w:t>
      </w:r>
      <w:hyperlink r:id="rId14" w:history="1">
        <w:r w:rsidRPr="00813540">
          <w:rPr>
            <w:rStyle w:val="Hyperlink"/>
          </w:rPr>
          <w:t>https://jicrcr.com/index.php/jicrcr/article/view/1393/1152</w:t>
        </w:r>
      </w:hyperlink>
      <w:r w:rsidRPr="00813540">
        <w:rPr>
          <w:rtl/>
        </w:rPr>
        <w:t xml:space="preserve"> </w:t>
      </w:r>
    </w:p>
    <w:p w14:paraId="4F849B7E" w14:textId="77777777" w:rsidR="00813540" w:rsidRPr="00813540" w:rsidRDefault="00813540" w:rsidP="00776407">
      <w:pPr>
        <w:pStyle w:val="EndNoteBibliography"/>
        <w:spacing w:after="0"/>
        <w:jc w:val="left"/>
        <w:rPr>
          <w:rtl/>
        </w:rPr>
      </w:pPr>
    </w:p>
    <w:p w14:paraId="219A1221" w14:textId="06D69108" w:rsidR="00813540" w:rsidRPr="00813540" w:rsidRDefault="00813540" w:rsidP="00776407">
      <w:pPr>
        <w:pStyle w:val="EndNoteBibliography"/>
        <w:ind w:left="720" w:hanging="720"/>
        <w:jc w:val="left"/>
        <w:rPr>
          <w:rtl/>
        </w:rPr>
      </w:pPr>
      <w:r w:rsidRPr="00813540">
        <w:t>Amal Ali Almuntasheri, S. M. A. A. A. A. S. M. A. (2022, %04/%29). Leadership Behavior Impact on Safety Culture in Jeddah Eye Hospital</w:t>
      </w:r>
      <w:r w:rsidRPr="00813540">
        <w:rPr>
          <w:rtl/>
        </w:rPr>
        <w:t xml:space="preserve">: أثر السلوك القيادي على ثقافة السلامة في مستشفى العيون بجدة. </w:t>
      </w:r>
      <w:r w:rsidRPr="00813540">
        <w:rPr>
          <w:i/>
          <w:rtl/>
        </w:rPr>
        <w:t>مجلة العلوم الإقتصادية و الإدارية و القانونية, 6</w:t>
      </w:r>
      <w:r w:rsidRPr="00813540">
        <w:rPr>
          <w:rtl/>
        </w:rPr>
        <w:t xml:space="preserve">(10), 161-180. </w:t>
      </w:r>
      <w:hyperlink r:id="rId15" w:history="1">
        <w:r w:rsidRPr="00813540">
          <w:rPr>
            <w:rStyle w:val="Hyperlink"/>
          </w:rPr>
          <w:t>https://doi.org/10.26389/ajsrp.M191021</w:t>
        </w:r>
      </w:hyperlink>
      <w:r w:rsidRPr="00813540">
        <w:rPr>
          <w:rtl/>
        </w:rPr>
        <w:t xml:space="preserve"> </w:t>
      </w:r>
    </w:p>
    <w:p w14:paraId="21C8918E" w14:textId="77777777" w:rsidR="00813540" w:rsidRPr="00813540" w:rsidRDefault="00813540" w:rsidP="00776407">
      <w:pPr>
        <w:pStyle w:val="EndNoteBibliography"/>
        <w:spacing w:after="0"/>
        <w:jc w:val="left"/>
        <w:rPr>
          <w:rtl/>
        </w:rPr>
      </w:pPr>
    </w:p>
    <w:p w14:paraId="76906AF9" w14:textId="77777777" w:rsidR="00813540" w:rsidRPr="00813540" w:rsidRDefault="00813540" w:rsidP="00776407">
      <w:pPr>
        <w:pStyle w:val="EndNoteBibliography"/>
        <w:ind w:left="720" w:hanging="720"/>
        <w:jc w:val="left"/>
        <w:rPr>
          <w:rtl/>
        </w:rPr>
      </w:pPr>
      <w:r w:rsidRPr="00813540">
        <w:t xml:space="preserve">Asante, K., &amp; Novak, P. (2024). Predicting nurses’ safety compliance behaviour in a developing economy, using the theory of planned behaviour: A configurational approach. </w:t>
      </w:r>
      <w:r w:rsidRPr="00813540">
        <w:rPr>
          <w:i/>
        </w:rPr>
        <w:t>Journal of Advanced Nursing, 80</w:t>
      </w:r>
      <w:r w:rsidRPr="00813540">
        <w:t>(3), 1097-1110</w:t>
      </w:r>
      <w:r w:rsidRPr="00813540">
        <w:rPr>
          <w:rtl/>
        </w:rPr>
        <w:t xml:space="preserve">. </w:t>
      </w:r>
    </w:p>
    <w:p w14:paraId="404B8B35" w14:textId="77777777" w:rsidR="00813540" w:rsidRPr="00813540" w:rsidRDefault="00813540" w:rsidP="00776407">
      <w:pPr>
        <w:pStyle w:val="EndNoteBibliography"/>
        <w:spacing w:after="0"/>
        <w:jc w:val="left"/>
        <w:rPr>
          <w:rtl/>
        </w:rPr>
      </w:pPr>
    </w:p>
    <w:p w14:paraId="0618FE85" w14:textId="5FEF023A" w:rsidR="00813540" w:rsidRPr="00813540" w:rsidRDefault="00813540" w:rsidP="00776407">
      <w:pPr>
        <w:pStyle w:val="EndNoteBibliography"/>
        <w:ind w:left="720" w:hanging="720"/>
        <w:jc w:val="left"/>
        <w:rPr>
          <w:rtl/>
        </w:rPr>
      </w:pPr>
      <w:r w:rsidRPr="00813540">
        <w:t xml:space="preserve">Bass, B. M., &amp; Avolio, B. J. (1996). Multifactor leadership questionnaire. </w:t>
      </w:r>
      <w:r w:rsidRPr="00813540">
        <w:rPr>
          <w:i/>
        </w:rPr>
        <w:t>Western Journal of Nursing Research</w:t>
      </w:r>
      <w:r w:rsidRPr="00813540">
        <w:t xml:space="preserve">. </w:t>
      </w:r>
      <w:hyperlink r:id="rId16" w:history="1">
        <w:r w:rsidRPr="00813540">
          <w:rPr>
            <w:rStyle w:val="Hyperlink"/>
          </w:rPr>
          <w:t>https://www.mindgarden.com/documents/MLQGermanPsychometric.pdf</w:t>
        </w:r>
      </w:hyperlink>
      <w:r w:rsidRPr="00813540">
        <w:rPr>
          <w:rtl/>
        </w:rPr>
        <w:t xml:space="preserve"> </w:t>
      </w:r>
    </w:p>
    <w:p w14:paraId="0BF1B55B" w14:textId="77777777" w:rsidR="00813540" w:rsidRPr="00813540" w:rsidRDefault="00813540" w:rsidP="00776407">
      <w:pPr>
        <w:pStyle w:val="EndNoteBibliography"/>
        <w:spacing w:after="0"/>
        <w:jc w:val="left"/>
        <w:rPr>
          <w:rtl/>
        </w:rPr>
      </w:pPr>
    </w:p>
    <w:p w14:paraId="3952064A" w14:textId="77777777" w:rsidR="00813540" w:rsidRPr="00813540" w:rsidRDefault="00813540" w:rsidP="00776407">
      <w:pPr>
        <w:pStyle w:val="EndNoteBibliography"/>
        <w:ind w:left="720" w:hanging="720"/>
        <w:jc w:val="left"/>
        <w:rPr>
          <w:rtl/>
        </w:rPr>
      </w:pPr>
      <w:r w:rsidRPr="00813540">
        <w:t xml:space="preserve">Craig, E. D. (2025). </w:t>
      </w:r>
      <w:r w:rsidRPr="00813540">
        <w:rPr>
          <w:i/>
        </w:rPr>
        <w:t>Impact of Transformational Leadership on Correctional Healthcare Worker Affective Commitment and Intention to Stay</w:t>
      </w:r>
      <w:r w:rsidRPr="00813540">
        <w:t xml:space="preserve"> Grand Canyon University</w:t>
      </w:r>
      <w:r w:rsidRPr="00813540">
        <w:rPr>
          <w:rtl/>
        </w:rPr>
        <w:t xml:space="preserve">]. </w:t>
      </w:r>
    </w:p>
    <w:p w14:paraId="093B7D4C" w14:textId="77777777" w:rsidR="00813540" w:rsidRPr="00813540" w:rsidRDefault="00813540" w:rsidP="00776407">
      <w:pPr>
        <w:pStyle w:val="EndNoteBibliography"/>
        <w:spacing w:after="0"/>
        <w:jc w:val="left"/>
        <w:rPr>
          <w:rtl/>
        </w:rPr>
      </w:pPr>
    </w:p>
    <w:p w14:paraId="53952B54" w14:textId="77777777" w:rsidR="00813540" w:rsidRPr="00813540" w:rsidRDefault="00813540" w:rsidP="00776407">
      <w:pPr>
        <w:pStyle w:val="EndNoteBibliography"/>
        <w:ind w:left="720" w:hanging="720"/>
        <w:jc w:val="left"/>
        <w:rPr>
          <w:rtl/>
        </w:rPr>
      </w:pPr>
      <w:r w:rsidRPr="00813540">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813540">
        <w:rPr>
          <w:i/>
        </w:rPr>
        <w:t>BMC nursing, 24</w:t>
      </w:r>
      <w:r w:rsidRPr="00813540">
        <w:t>(1), 392</w:t>
      </w:r>
      <w:r w:rsidRPr="00813540">
        <w:rPr>
          <w:rtl/>
        </w:rPr>
        <w:t xml:space="preserve">. </w:t>
      </w:r>
    </w:p>
    <w:p w14:paraId="13BB5ADB" w14:textId="77777777" w:rsidR="00813540" w:rsidRPr="00813540" w:rsidRDefault="00813540" w:rsidP="00776407">
      <w:pPr>
        <w:pStyle w:val="EndNoteBibliography"/>
        <w:spacing w:after="0"/>
        <w:jc w:val="left"/>
        <w:rPr>
          <w:rtl/>
        </w:rPr>
      </w:pPr>
    </w:p>
    <w:p w14:paraId="5FDE6208" w14:textId="2C914790" w:rsidR="00813540" w:rsidRPr="00813540" w:rsidRDefault="00813540" w:rsidP="00776407">
      <w:pPr>
        <w:pStyle w:val="EndNoteBibliography"/>
        <w:ind w:left="720" w:hanging="720"/>
        <w:jc w:val="left"/>
        <w:rPr>
          <w:rtl/>
        </w:rPr>
      </w:pPr>
      <w:r w:rsidRPr="00813540">
        <w:t xml:space="preserve">Hamdan, M., Jaaffar, A. H., Khraisat, O., Issa, M. R., &amp; Jarrar, M. t. (2024). The association of transformational leadership on safety practices among nurses: the mediating role of patient safety culture. </w:t>
      </w:r>
      <w:r w:rsidRPr="00813540">
        <w:rPr>
          <w:i/>
        </w:rPr>
        <w:t xml:space="preserve">Risk </w:t>
      </w:r>
      <w:r w:rsidRPr="00813540">
        <w:rPr>
          <w:i/>
        </w:rPr>
        <w:lastRenderedPageBreak/>
        <w:t>Management and Healthcare Policy</w:t>
      </w:r>
      <w:r w:rsidRPr="00813540">
        <w:t xml:space="preserve">, 1687-1700. </w:t>
      </w:r>
      <w:hyperlink r:id="rId17" w:history="1">
        <w:r w:rsidRPr="00813540">
          <w:rPr>
            <w:rStyle w:val="Hyperlink"/>
          </w:rPr>
          <w:t>https://pdfs.semanticscholar.org/ba60/afd49d25f3a6df551bb3826d6c098202c00d.pdf</w:t>
        </w:r>
      </w:hyperlink>
      <w:r w:rsidRPr="00813540">
        <w:rPr>
          <w:rtl/>
        </w:rPr>
        <w:t xml:space="preserve"> </w:t>
      </w:r>
    </w:p>
    <w:p w14:paraId="1881EDBB" w14:textId="77777777" w:rsidR="00813540" w:rsidRPr="00813540" w:rsidRDefault="00813540" w:rsidP="00776407">
      <w:pPr>
        <w:pStyle w:val="EndNoteBibliography"/>
        <w:spacing w:after="0"/>
        <w:jc w:val="left"/>
        <w:rPr>
          <w:rtl/>
        </w:rPr>
      </w:pPr>
    </w:p>
    <w:p w14:paraId="62570513" w14:textId="273D2271" w:rsidR="00813540" w:rsidRPr="00813540" w:rsidRDefault="00813540" w:rsidP="00776407">
      <w:pPr>
        <w:pStyle w:val="EndNoteBibliography"/>
        <w:ind w:left="720" w:hanging="720"/>
        <w:jc w:val="left"/>
        <w:rPr>
          <w:rtl/>
        </w:rPr>
      </w:pPr>
      <w:r w:rsidRPr="00813540">
        <w:t xml:space="preserve">Holding, H. (2025). Al Jouf Health Cluster. </w:t>
      </w:r>
      <w:hyperlink r:id="rId18" w:history="1">
        <w:r w:rsidRPr="00813540">
          <w:rPr>
            <w:rStyle w:val="Hyperlink"/>
          </w:rPr>
          <w:t>https://doi.org/https://www.health.sa/ar/clusters/al-jouf_health_cluster</w:t>
        </w:r>
      </w:hyperlink>
      <w:r w:rsidRPr="00813540">
        <w:rPr>
          <w:rtl/>
        </w:rPr>
        <w:t xml:space="preserve"> </w:t>
      </w:r>
    </w:p>
    <w:p w14:paraId="78211598" w14:textId="77777777" w:rsidR="00813540" w:rsidRPr="00813540" w:rsidRDefault="00813540" w:rsidP="00776407">
      <w:pPr>
        <w:pStyle w:val="EndNoteBibliography"/>
        <w:spacing w:after="0"/>
        <w:jc w:val="left"/>
        <w:rPr>
          <w:rtl/>
        </w:rPr>
      </w:pPr>
    </w:p>
    <w:p w14:paraId="3C4FEF62" w14:textId="77777777" w:rsidR="00813540" w:rsidRPr="00813540" w:rsidRDefault="00813540" w:rsidP="00776407">
      <w:pPr>
        <w:pStyle w:val="EndNoteBibliography"/>
        <w:ind w:left="720" w:hanging="720"/>
        <w:jc w:val="left"/>
        <w:rPr>
          <w:rtl/>
        </w:rPr>
      </w:pPr>
      <w:r w:rsidRPr="00813540">
        <w:t xml:space="preserve">Hussain, M. K., &amp; Khayat, R. A. M. (2021). The impact of transformational leadership on job satisfaction and organisational commitment among hospital staff: a systematic review. </w:t>
      </w:r>
      <w:r w:rsidRPr="00813540">
        <w:rPr>
          <w:i/>
        </w:rPr>
        <w:t>Journal of Health Management, 23</w:t>
      </w:r>
      <w:r w:rsidRPr="00813540">
        <w:t>(4), 614-630</w:t>
      </w:r>
      <w:r w:rsidRPr="00813540">
        <w:rPr>
          <w:rtl/>
        </w:rPr>
        <w:t xml:space="preserve">. </w:t>
      </w:r>
    </w:p>
    <w:p w14:paraId="3B36DAE0" w14:textId="77777777" w:rsidR="00813540" w:rsidRPr="00813540" w:rsidRDefault="00813540" w:rsidP="00776407">
      <w:pPr>
        <w:pStyle w:val="EndNoteBibliography"/>
        <w:spacing w:after="0"/>
        <w:jc w:val="left"/>
        <w:rPr>
          <w:rtl/>
        </w:rPr>
      </w:pPr>
    </w:p>
    <w:p w14:paraId="02C88DCB" w14:textId="77777777" w:rsidR="00813540" w:rsidRPr="00813540" w:rsidRDefault="00813540" w:rsidP="00776407">
      <w:pPr>
        <w:pStyle w:val="EndNoteBibliography"/>
        <w:ind w:left="720" w:hanging="720"/>
        <w:jc w:val="left"/>
        <w:rPr>
          <w:rtl/>
        </w:rPr>
      </w:pPr>
      <w:r w:rsidRPr="00813540">
        <w:t>Jones, K. J., Skinner, A., Xu, L., Sun, J., &amp; Mueller, K. (2008). The AHRQ Hospital Survey on Patient Safety Culture: A Tool to Plan and Evaluate Patient Safety Programs</w:t>
      </w:r>
      <w:r w:rsidRPr="00813540">
        <w:rPr>
          <w:rtl/>
        </w:rPr>
        <w:t xml:space="preserve">. </w:t>
      </w:r>
    </w:p>
    <w:p w14:paraId="52B596B5" w14:textId="77777777" w:rsidR="00813540" w:rsidRPr="00813540" w:rsidRDefault="00813540" w:rsidP="00776407">
      <w:pPr>
        <w:pStyle w:val="EndNoteBibliography"/>
        <w:spacing w:after="0"/>
        <w:jc w:val="left"/>
        <w:rPr>
          <w:rtl/>
        </w:rPr>
      </w:pPr>
    </w:p>
    <w:p w14:paraId="7C111C05" w14:textId="46655A14" w:rsidR="00813540" w:rsidRPr="00813540" w:rsidRDefault="00813540" w:rsidP="00776407">
      <w:pPr>
        <w:pStyle w:val="EndNoteBibliography"/>
        <w:ind w:left="720" w:hanging="720"/>
        <w:jc w:val="left"/>
        <w:rPr>
          <w:rtl/>
        </w:rPr>
      </w:pPr>
      <w:r w:rsidRPr="00813540">
        <w:t xml:space="preserve">Khirfan, R., &amp; Abd Aziz, A. (2022). Insight Into Role of Transformaional Leadership in Cost Containment in Healthcare in Ksa. </w:t>
      </w:r>
      <w:r w:rsidRPr="00813540">
        <w:rPr>
          <w:i/>
        </w:rPr>
        <w:t>Sciences, 12</w:t>
      </w:r>
      <w:r w:rsidRPr="00813540">
        <w:t xml:space="preserve">(1), 2657-2672. </w:t>
      </w:r>
      <w:hyperlink r:id="rId19" w:history="1">
        <w:r w:rsidRPr="00813540">
          <w:rPr>
            <w:rStyle w:val="Hyperlink"/>
          </w:rPr>
          <w:t>https://doi.org/10.6007/IJARBSS/v12-i1/12327</w:t>
        </w:r>
      </w:hyperlink>
      <w:r w:rsidRPr="00813540">
        <w:rPr>
          <w:rtl/>
        </w:rPr>
        <w:t xml:space="preserve"> </w:t>
      </w:r>
    </w:p>
    <w:p w14:paraId="6A67B963" w14:textId="77777777" w:rsidR="00813540" w:rsidRPr="00813540" w:rsidRDefault="00813540" w:rsidP="00776407">
      <w:pPr>
        <w:pStyle w:val="EndNoteBibliography"/>
        <w:spacing w:after="0"/>
        <w:jc w:val="left"/>
        <w:rPr>
          <w:rtl/>
        </w:rPr>
      </w:pPr>
    </w:p>
    <w:p w14:paraId="3BA68F8C" w14:textId="1518A8BB" w:rsidR="00813540" w:rsidRPr="00813540" w:rsidRDefault="00813540" w:rsidP="00776407">
      <w:pPr>
        <w:pStyle w:val="EndNoteBibliography"/>
        <w:ind w:left="720" w:hanging="720"/>
        <w:jc w:val="left"/>
        <w:rPr>
          <w:rtl/>
        </w:rPr>
      </w:pPr>
      <w:r w:rsidRPr="00813540">
        <w:t>Konlan, K. D., &amp; Shin, J. (2022). The status and the factors that influence patient safety in health care institutions in Africa: A</w:t>
      </w:r>
      <w:r w:rsidRPr="00813540">
        <w:rPr>
          <w:rtl/>
        </w:rPr>
        <w:t xml:space="preserve"> </w:t>
      </w:r>
      <w:r w:rsidRPr="00813540">
        <w:t xml:space="preserve">systematic review. </w:t>
      </w:r>
      <w:r w:rsidRPr="00813540">
        <w:rPr>
          <w:i/>
        </w:rPr>
        <w:t>PLOS Glob Public Health, 2</w:t>
      </w:r>
      <w:r w:rsidRPr="00813540">
        <w:t xml:space="preserve">(12), e0001085. </w:t>
      </w:r>
      <w:hyperlink r:id="rId20" w:history="1">
        <w:r w:rsidRPr="00813540">
          <w:rPr>
            <w:rStyle w:val="Hyperlink"/>
          </w:rPr>
          <w:t>https://doi.org/10.1371/journal.pgph.0001085</w:t>
        </w:r>
      </w:hyperlink>
      <w:r w:rsidRPr="00813540">
        <w:rPr>
          <w:rtl/>
        </w:rPr>
        <w:t xml:space="preserve"> </w:t>
      </w:r>
    </w:p>
    <w:p w14:paraId="78DE7FBC" w14:textId="77777777" w:rsidR="00813540" w:rsidRPr="00813540" w:rsidRDefault="00813540" w:rsidP="00776407">
      <w:pPr>
        <w:pStyle w:val="EndNoteBibliography"/>
        <w:spacing w:after="0"/>
        <w:jc w:val="left"/>
        <w:rPr>
          <w:rtl/>
        </w:rPr>
      </w:pPr>
    </w:p>
    <w:p w14:paraId="7E44BEBA" w14:textId="43FCA699" w:rsidR="00813540" w:rsidRPr="00813540" w:rsidRDefault="00813540" w:rsidP="00776407">
      <w:pPr>
        <w:pStyle w:val="EndNoteBibliography"/>
        <w:ind w:left="720" w:hanging="720"/>
        <w:jc w:val="left"/>
        <w:rPr>
          <w:rtl/>
        </w:rPr>
      </w:pPr>
      <w:r w:rsidRPr="00813540">
        <w:t xml:space="preserve">Mistri, I. U., Badge, A., &amp; Shahu, S. (2023, Dec). Enhancing Patient Safety Culture in Hospitals. </w:t>
      </w:r>
      <w:r w:rsidRPr="00813540">
        <w:rPr>
          <w:i/>
        </w:rPr>
        <w:t>Cureus, 15</w:t>
      </w:r>
      <w:r w:rsidRPr="00813540">
        <w:t xml:space="preserve">(12), e51159. </w:t>
      </w:r>
      <w:hyperlink r:id="rId21" w:history="1">
        <w:r w:rsidRPr="00813540">
          <w:rPr>
            <w:rStyle w:val="Hyperlink"/>
          </w:rPr>
          <w:t>https://doi.org/10.7759/cureus.51159</w:t>
        </w:r>
      </w:hyperlink>
      <w:r w:rsidRPr="00813540">
        <w:rPr>
          <w:rtl/>
        </w:rPr>
        <w:t xml:space="preserve"> </w:t>
      </w:r>
    </w:p>
    <w:p w14:paraId="3142A455" w14:textId="77777777" w:rsidR="00813540" w:rsidRPr="00813540" w:rsidRDefault="00813540" w:rsidP="00776407">
      <w:pPr>
        <w:pStyle w:val="EndNoteBibliography"/>
        <w:spacing w:after="0"/>
        <w:jc w:val="left"/>
        <w:rPr>
          <w:rtl/>
        </w:rPr>
      </w:pPr>
    </w:p>
    <w:p w14:paraId="79AEE293" w14:textId="77777777" w:rsidR="00813540" w:rsidRPr="00813540" w:rsidRDefault="00813540" w:rsidP="00776407">
      <w:pPr>
        <w:pStyle w:val="EndNoteBibliography"/>
        <w:ind w:left="720" w:hanging="720"/>
        <w:jc w:val="left"/>
        <w:rPr>
          <w:rtl/>
        </w:rPr>
      </w:pPr>
      <w:r w:rsidRPr="00813540">
        <w:t>Mohammed, A., Limonit, B., John, A., &amp; Bross, M. (2025). The Impact of Transformational Leadership on Employee Voice Behavior: A Moderated Mediation Model of Psychological Safety and Organizational Commitment</w:t>
      </w:r>
      <w:r w:rsidRPr="00813540">
        <w:rPr>
          <w:rtl/>
        </w:rPr>
        <w:t xml:space="preserve">. </w:t>
      </w:r>
    </w:p>
    <w:p w14:paraId="70C8D531" w14:textId="77777777" w:rsidR="00813540" w:rsidRPr="00813540" w:rsidRDefault="00813540" w:rsidP="00776407">
      <w:pPr>
        <w:pStyle w:val="EndNoteBibliography"/>
        <w:spacing w:after="0"/>
        <w:jc w:val="left"/>
        <w:rPr>
          <w:rFonts w:hint="cs"/>
          <w:rtl/>
        </w:rPr>
      </w:pPr>
    </w:p>
    <w:p w14:paraId="4FE29270" w14:textId="77777777" w:rsidR="00813540" w:rsidRPr="00813540" w:rsidRDefault="00813540" w:rsidP="00776407">
      <w:pPr>
        <w:pStyle w:val="EndNoteBibliography"/>
        <w:ind w:left="720" w:hanging="720"/>
        <w:jc w:val="left"/>
        <w:rPr>
          <w:rtl/>
        </w:rPr>
      </w:pPr>
      <w:r w:rsidRPr="00813540">
        <w:t xml:space="preserve">Mohammed, T. (2025). </w:t>
      </w:r>
      <w:r w:rsidRPr="00813540">
        <w:rPr>
          <w:i/>
        </w:rPr>
        <w:t>Patient</w:t>
      </w:r>
      <w:r w:rsidRPr="00813540">
        <w:rPr>
          <w:i/>
          <w:rtl/>
        </w:rPr>
        <w:t xml:space="preserve"> </w:t>
      </w:r>
      <w:r w:rsidRPr="00813540">
        <w:rPr>
          <w:i/>
        </w:rPr>
        <w:t>Safety Culture in the Saudi Hospitals: A Mixed Methods Study of Staff Perceptions and Organisational Practices in Saudi Hospitals in the Holy Cities of Makkah and Madinah</w:t>
      </w:r>
      <w:r w:rsidRPr="00813540">
        <w:t xml:space="preserve"> Queensland University of Technology</w:t>
      </w:r>
      <w:r w:rsidRPr="00813540">
        <w:rPr>
          <w:rtl/>
        </w:rPr>
        <w:t xml:space="preserve">]. </w:t>
      </w:r>
    </w:p>
    <w:p w14:paraId="4909B86B" w14:textId="77777777" w:rsidR="00813540" w:rsidRPr="00813540" w:rsidRDefault="00813540" w:rsidP="00776407">
      <w:pPr>
        <w:pStyle w:val="EndNoteBibliography"/>
        <w:spacing w:after="0"/>
        <w:jc w:val="left"/>
        <w:rPr>
          <w:rFonts w:hint="cs"/>
          <w:rtl/>
        </w:rPr>
      </w:pPr>
    </w:p>
    <w:p w14:paraId="436D7A68" w14:textId="28026227" w:rsidR="00813540" w:rsidRPr="00813540" w:rsidRDefault="00813540" w:rsidP="00776407">
      <w:pPr>
        <w:pStyle w:val="EndNoteBibliography"/>
        <w:ind w:left="720" w:hanging="720"/>
        <w:jc w:val="left"/>
        <w:rPr>
          <w:rtl/>
        </w:rPr>
      </w:pPr>
      <w:r w:rsidRPr="00813540">
        <w:t xml:space="preserve">Shenoy, A. (2021, Mar 22). Patient safety from the perspective of quality management frameworks: a review. </w:t>
      </w:r>
      <w:r w:rsidRPr="00813540">
        <w:rPr>
          <w:i/>
        </w:rPr>
        <w:t>Patient Saf Surg, 15</w:t>
      </w:r>
      <w:r w:rsidRPr="00813540">
        <w:t xml:space="preserve">(1), 12. </w:t>
      </w:r>
      <w:hyperlink r:id="rId22" w:history="1">
        <w:r w:rsidRPr="00813540">
          <w:rPr>
            <w:rStyle w:val="Hyperlink"/>
          </w:rPr>
          <w:t>https://doi.org/10.1186/s13037-021-00286-6</w:t>
        </w:r>
      </w:hyperlink>
      <w:r w:rsidRPr="00813540">
        <w:rPr>
          <w:rtl/>
        </w:rPr>
        <w:t xml:space="preserve"> </w:t>
      </w:r>
    </w:p>
    <w:p w14:paraId="76C324E3" w14:textId="77777777" w:rsidR="00813540" w:rsidRPr="00813540" w:rsidRDefault="00813540" w:rsidP="00776407">
      <w:pPr>
        <w:pStyle w:val="EndNoteBibliography"/>
        <w:spacing w:after="0"/>
        <w:jc w:val="left"/>
        <w:rPr>
          <w:rFonts w:hint="cs"/>
          <w:rtl/>
        </w:rPr>
      </w:pPr>
    </w:p>
    <w:p w14:paraId="1EDC1E3D" w14:textId="0FAE550F" w:rsidR="00813540" w:rsidRDefault="00813540" w:rsidP="00776407">
      <w:pPr>
        <w:pStyle w:val="EndNoteBibliography"/>
        <w:ind w:left="720" w:hanging="720"/>
        <w:jc w:val="left"/>
      </w:pPr>
      <w:r w:rsidRPr="00813540">
        <w:t xml:space="preserve">Studdert, D. M., Mello, M. M., Sage, W. M., DesRoches, C. M., Peugh, J., Zapert, K., &amp; Brennan, T. A. (2005). Defensive medicine among high-risk specialist physicians in a volatile malpractice environment. </w:t>
      </w:r>
      <w:r w:rsidRPr="00813540">
        <w:rPr>
          <w:i/>
        </w:rPr>
        <w:t>JAMA, 293 21</w:t>
      </w:r>
      <w:r w:rsidRPr="00813540">
        <w:t xml:space="preserve">, 2609-2617. </w:t>
      </w:r>
      <w:hyperlink r:id="rId23" w:history="1">
        <w:r w:rsidRPr="00813540">
          <w:rPr>
            <w:rStyle w:val="Hyperlink"/>
          </w:rPr>
          <w:t>https://doi.org/10.1001/jama.293.21.2609</w:t>
        </w:r>
      </w:hyperlink>
      <w:r w:rsidRPr="00813540">
        <w:rPr>
          <w:rtl/>
        </w:rPr>
        <w:t xml:space="preserve"> </w:t>
      </w:r>
    </w:p>
    <w:p w14:paraId="64791B4C" w14:textId="77777777" w:rsidR="00776407" w:rsidRDefault="00776407" w:rsidP="00776407">
      <w:pPr>
        <w:pStyle w:val="EndNoteBibliography"/>
        <w:ind w:left="720" w:hanging="720"/>
        <w:jc w:val="left"/>
        <w:rPr>
          <w:rFonts w:hint="cs"/>
        </w:rPr>
      </w:pPr>
    </w:p>
    <w:p w14:paraId="4AADD584" w14:textId="77777777" w:rsidR="00776407" w:rsidRDefault="00776407" w:rsidP="00776407">
      <w:pPr>
        <w:pStyle w:val="EndNoteBibliography"/>
        <w:ind w:left="720" w:hanging="720"/>
        <w:jc w:val="left"/>
      </w:pPr>
    </w:p>
    <w:p w14:paraId="52957E3E" w14:textId="057E4CA2" w:rsidR="00813540" w:rsidRPr="00715EF1" w:rsidRDefault="00776407" w:rsidP="00715EF1">
      <w:pPr>
        <w:pStyle w:val="EndNoteBibliography"/>
        <w:ind w:left="720" w:hanging="720"/>
        <w:rPr>
          <w:rFonts w:ascii="Simplified Arabic" w:hAnsi="Simplified Arabic" w:cs="Simplified Arabic" w:hint="cs"/>
          <w:sz w:val="24"/>
          <w:szCs w:val="24"/>
          <w:rtl/>
        </w:rPr>
      </w:pPr>
      <w:r>
        <w:rPr>
          <w:rFonts w:ascii="Simplified Arabic" w:hAnsi="Simplified Arabic" w:cs="Simplified Arabic" w:hint="cs"/>
          <w:sz w:val="24"/>
          <w:szCs w:val="24"/>
          <w:rtl/>
        </w:rPr>
        <w:t xml:space="preserve">2. </w:t>
      </w:r>
      <w:r w:rsidRPr="00776407">
        <w:rPr>
          <w:rFonts w:ascii="Simplified Arabic" w:hAnsi="Simplified Arabic" w:cs="Simplified Arabic"/>
          <w:sz w:val="24"/>
          <w:szCs w:val="24"/>
          <w:rtl/>
        </w:rPr>
        <w:t xml:space="preserve">المراجع العربية </w:t>
      </w:r>
    </w:p>
    <w:p w14:paraId="06EA9A98" w14:textId="7882F7BC" w:rsidR="00813540" w:rsidRPr="00813540" w:rsidRDefault="00813540" w:rsidP="00776407">
      <w:pPr>
        <w:pStyle w:val="EndNoteBibliography"/>
        <w:ind w:left="720" w:hanging="720"/>
        <w:rPr>
          <w:rtl/>
        </w:rPr>
      </w:pPr>
      <w:r w:rsidRPr="00813540">
        <w:rPr>
          <w:rtl/>
        </w:rPr>
        <w:t xml:space="preserve">اسماعيل محمد الشيخ, م., بكرى عبد العليم إسماعيل, م., &amp; محمد عامر, أ. (2024). أثر القيادة التحويلية في العلاقة بين الإنتهاك الإيجابى لقواعد المنظمة والإبداع التنظيمى بالتطبيق على المستشفيات العامة الحكومية بالقليوبية. </w:t>
      </w:r>
      <w:r w:rsidRPr="00813540">
        <w:rPr>
          <w:i/>
          <w:rtl/>
        </w:rPr>
        <w:t>مجلة بنها للعلوم الإنسانية, 3</w:t>
      </w:r>
      <w:r w:rsidRPr="00813540">
        <w:rPr>
          <w:rtl/>
        </w:rPr>
        <w:t xml:space="preserve">(2), 137-168. </w:t>
      </w:r>
      <w:hyperlink r:id="rId24" w:history="1">
        <w:r w:rsidRPr="00813540">
          <w:rPr>
            <w:rStyle w:val="Hyperlink"/>
          </w:rPr>
          <w:t>https://doi.org/10.21608/bjhs.2024.315754.1262</w:t>
        </w:r>
      </w:hyperlink>
      <w:r w:rsidRPr="00813540">
        <w:rPr>
          <w:rtl/>
        </w:rPr>
        <w:t xml:space="preserve"> </w:t>
      </w:r>
    </w:p>
    <w:p w14:paraId="41458EC5" w14:textId="77777777" w:rsidR="00813540" w:rsidRPr="00813540" w:rsidRDefault="00813540" w:rsidP="00776407">
      <w:pPr>
        <w:pStyle w:val="EndNoteBibliography"/>
        <w:spacing w:after="0"/>
        <w:jc w:val="left"/>
        <w:rPr>
          <w:rtl/>
        </w:rPr>
      </w:pPr>
    </w:p>
    <w:p w14:paraId="32ECBDB8" w14:textId="77777777" w:rsidR="00813540" w:rsidRPr="00813540" w:rsidRDefault="00813540" w:rsidP="00776407">
      <w:pPr>
        <w:pStyle w:val="EndNoteBibliography"/>
        <w:ind w:left="720" w:hanging="720"/>
        <w:rPr>
          <w:rtl/>
        </w:rPr>
      </w:pPr>
      <w:r w:rsidRPr="00813540">
        <w:rPr>
          <w:rtl/>
        </w:rPr>
        <w:lastRenderedPageBreak/>
        <w:t xml:space="preserve">البركاني, ي. ض. (2024). أثر القيادة التحويلية على فاعلية اتخاذ القرارات: دراسة تطبيقية على مستشفى العام. </w:t>
      </w:r>
      <w:r w:rsidRPr="00813540">
        <w:rPr>
          <w:i/>
          <w:rtl/>
        </w:rPr>
        <w:t>مجلة العلوم الإقتصادية و الإدارية و القانونية</w:t>
      </w:r>
      <w:r w:rsidRPr="00813540">
        <w:rPr>
          <w:rtl/>
        </w:rPr>
        <w:t xml:space="preserve">. </w:t>
      </w:r>
    </w:p>
    <w:p w14:paraId="3C6AAD3A" w14:textId="77777777" w:rsidR="00813540" w:rsidRPr="00813540" w:rsidRDefault="00813540" w:rsidP="00776407">
      <w:pPr>
        <w:pStyle w:val="EndNoteBibliography"/>
        <w:spacing w:after="0"/>
        <w:jc w:val="left"/>
        <w:rPr>
          <w:rtl/>
        </w:rPr>
      </w:pPr>
    </w:p>
    <w:p w14:paraId="412FE47A" w14:textId="77777777" w:rsidR="00813540" w:rsidRPr="00813540" w:rsidRDefault="00813540" w:rsidP="00776407">
      <w:pPr>
        <w:pStyle w:val="EndNoteBibliography"/>
        <w:ind w:left="720" w:hanging="720"/>
        <w:rPr>
          <w:rtl/>
        </w:rPr>
      </w:pPr>
      <w:r w:rsidRPr="00813540">
        <w:rPr>
          <w:rtl/>
        </w:rPr>
        <w:t xml:space="preserve">الحاج, ع. خ. ن., &amp; السفياني, ع. م. (2024). أثر القيادة التحويلية في الارتباط الوظيفي: دراسة ميدانية في المستشفيات الأهلية بمحافظة تعز. </w:t>
      </w:r>
      <w:r w:rsidRPr="00813540">
        <w:rPr>
          <w:i/>
          <w:rtl/>
        </w:rPr>
        <w:t>مجلة جامعة صنعاء للعلوم الإنسانية</w:t>
      </w:r>
      <w:r w:rsidRPr="00813540">
        <w:rPr>
          <w:rtl/>
        </w:rPr>
        <w:t xml:space="preserve">. </w:t>
      </w:r>
    </w:p>
    <w:p w14:paraId="3811EEF3" w14:textId="77777777" w:rsidR="00813540" w:rsidRPr="00813540" w:rsidRDefault="00813540" w:rsidP="00776407">
      <w:pPr>
        <w:pStyle w:val="EndNoteBibliography"/>
        <w:spacing w:after="0"/>
        <w:jc w:val="left"/>
        <w:rPr>
          <w:rtl/>
        </w:rPr>
      </w:pPr>
    </w:p>
    <w:p w14:paraId="2049290A" w14:textId="0194104A" w:rsidR="00813540" w:rsidRPr="00813540" w:rsidRDefault="00813540" w:rsidP="00776407">
      <w:pPr>
        <w:pStyle w:val="EndNoteBibliography"/>
        <w:ind w:left="720" w:hanging="720"/>
        <w:rPr>
          <w:rtl/>
        </w:rPr>
      </w:pPr>
      <w:r w:rsidRPr="00813540">
        <w:rPr>
          <w:rtl/>
        </w:rPr>
        <w:t xml:space="preserve">الحمري, م. ا. ع. ا. (2025). أثر السلامة المهنية على أداء العاملين بالمنظمات الصحية (دراسة تطبيقية على مستشفى الملك فهد العام بمحافظة جدة). </w:t>
      </w:r>
      <w:r w:rsidRPr="00813540">
        <w:rPr>
          <w:i/>
          <w:rtl/>
        </w:rPr>
        <w:t>المجلة الدولية لنشر البحوث والدراسات</w:t>
      </w:r>
      <w:r w:rsidRPr="00813540">
        <w:rPr>
          <w:rtl/>
        </w:rPr>
        <w:t xml:space="preserve">. </w:t>
      </w:r>
      <w:hyperlink r:id="rId25" w:history="1">
        <w:r w:rsidRPr="00813540">
          <w:rPr>
            <w:rStyle w:val="Hyperlink"/>
          </w:rPr>
          <w:t>https://doi.org/doi.org/10.52133/ijrsp.v3.36.5</w:t>
        </w:r>
      </w:hyperlink>
      <w:r w:rsidRPr="00813540">
        <w:rPr>
          <w:rtl/>
        </w:rPr>
        <w:t xml:space="preserve"> </w:t>
      </w:r>
    </w:p>
    <w:p w14:paraId="0092A40D" w14:textId="77777777" w:rsidR="00813540" w:rsidRPr="00813540" w:rsidRDefault="00813540" w:rsidP="00776407">
      <w:pPr>
        <w:pStyle w:val="EndNoteBibliography"/>
        <w:spacing w:after="0"/>
        <w:jc w:val="left"/>
        <w:rPr>
          <w:rtl/>
        </w:rPr>
      </w:pPr>
    </w:p>
    <w:p w14:paraId="20C029DD" w14:textId="458AF1A1" w:rsidR="00813540" w:rsidRPr="00813540" w:rsidRDefault="00813540" w:rsidP="00776407">
      <w:pPr>
        <w:pStyle w:val="EndNoteBibliography"/>
        <w:ind w:left="720" w:hanging="720"/>
        <w:rPr>
          <w:rtl/>
        </w:rPr>
      </w:pPr>
      <w:r w:rsidRPr="00813540">
        <w:rPr>
          <w:rtl/>
        </w:rPr>
        <w:t xml:space="preserve">السلمي, م. خ. م., &amp; شعيبي, ف. أ. ع. (2024). </w:t>
      </w:r>
      <w:r w:rsidRPr="00813540">
        <w:t>The role of transformational leadership in enhancing organizational reputation A field study on administrative staff in health affairs in Jeddah</w:t>
      </w:r>
      <w:r w:rsidRPr="00813540">
        <w:rPr>
          <w:rtl/>
        </w:rPr>
        <w:t xml:space="preserve">. </w:t>
      </w:r>
      <w:r w:rsidRPr="00813540">
        <w:rPr>
          <w:i/>
          <w:rtl/>
        </w:rPr>
        <w:t>مجلة العلوم الإقتصادية و الإدارية و القانونية</w:t>
      </w:r>
      <w:r w:rsidRPr="00813540">
        <w:rPr>
          <w:rtl/>
        </w:rPr>
        <w:t xml:space="preserve">. </w:t>
      </w:r>
      <w:hyperlink r:id="rId26" w:history="1">
        <w:r w:rsidRPr="00813540">
          <w:rPr>
            <w:rStyle w:val="Hyperlink"/>
          </w:rPr>
          <w:t>https://doi.org/10.26</w:t>
        </w:r>
        <w:r w:rsidRPr="00813540">
          <w:rPr>
            <w:rStyle w:val="Hyperlink"/>
            <w:rtl/>
          </w:rPr>
          <w:t>389/</w:t>
        </w:r>
        <w:r w:rsidRPr="00813540">
          <w:rPr>
            <w:rStyle w:val="Hyperlink"/>
          </w:rPr>
          <w:t>AJSRP.A010823</w:t>
        </w:r>
      </w:hyperlink>
      <w:r w:rsidRPr="00813540">
        <w:rPr>
          <w:rtl/>
        </w:rPr>
        <w:t xml:space="preserve"> </w:t>
      </w:r>
    </w:p>
    <w:p w14:paraId="74FFBCBD" w14:textId="77777777" w:rsidR="00813540" w:rsidRPr="00813540" w:rsidRDefault="00813540" w:rsidP="00776407">
      <w:pPr>
        <w:pStyle w:val="EndNoteBibliography"/>
        <w:spacing w:after="0"/>
        <w:jc w:val="left"/>
        <w:rPr>
          <w:rtl/>
        </w:rPr>
      </w:pPr>
    </w:p>
    <w:p w14:paraId="0B2CA7DD" w14:textId="623BE20E" w:rsidR="00813540" w:rsidRPr="00813540" w:rsidRDefault="00813540" w:rsidP="00776407">
      <w:pPr>
        <w:pStyle w:val="EndNoteBibliography"/>
        <w:ind w:left="720" w:hanging="720"/>
      </w:pPr>
      <w:r w:rsidRPr="00813540">
        <w:rPr>
          <w:rtl/>
        </w:rPr>
        <w:t xml:space="preserve">مخدوم, ه. ک. ا. (2019). دور القيادة التحويلية في التنمية البشرية بالتطبيق على القطاع الصحي بالمملکة العربية السعودية. </w:t>
      </w:r>
      <w:r w:rsidRPr="00813540">
        <w:rPr>
          <w:i/>
          <w:rtl/>
        </w:rPr>
        <w:t>المجلة العلمية للدراسات والبحوث المالية والإدارية</w:t>
      </w:r>
      <w:r w:rsidRPr="00813540">
        <w:rPr>
          <w:i/>
          <w:cs/>
        </w:rPr>
        <w:t>‎</w:t>
      </w:r>
      <w:r w:rsidRPr="00813540">
        <w:rPr>
          <w:i/>
        </w:rPr>
        <w:t>, 4</w:t>
      </w:r>
      <w:r w:rsidRPr="00813540">
        <w:t xml:space="preserve">(2), 237-267. </w:t>
      </w:r>
      <w:hyperlink r:id="rId27" w:history="1">
        <w:r w:rsidRPr="00813540">
          <w:rPr>
            <w:rStyle w:val="Hyperlink"/>
          </w:rPr>
          <w:t>https://doi.org/10.21608/masf.2019.68978</w:t>
        </w:r>
      </w:hyperlink>
      <w:r w:rsidRPr="00813540">
        <w:rPr>
          <w:rtl/>
        </w:rPr>
        <w:t xml:space="preserve"> </w:t>
      </w:r>
    </w:p>
    <w:p w14:paraId="1FCA2405" w14:textId="77777777" w:rsidR="00813540" w:rsidRPr="00813540" w:rsidRDefault="00813540" w:rsidP="00776407">
      <w:pPr>
        <w:pStyle w:val="EndNoteBibliography"/>
        <w:jc w:val="left"/>
        <w:rPr>
          <w:rtl/>
        </w:rPr>
      </w:pPr>
    </w:p>
    <w:p w14:paraId="5B9D3D81" w14:textId="4B30877A" w:rsidR="00CB5D24" w:rsidRDefault="009F1791" w:rsidP="00776407">
      <w:r>
        <w:rPr>
          <w:rtl/>
        </w:rPr>
        <w:fldChar w:fldCharType="end"/>
      </w:r>
      <w:bookmarkEnd w:id="0"/>
    </w:p>
    <w:sectPr w:rsidR="00CB5D24" w:rsidSect="00573910">
      <w:headerReference w:type="even" r:id="rId28"/>
      <w:headerReference w:type="default" r:id="rId29"/>
      <w:footerReference w:type="default" r:id="rId30"/>
      <w:headerReference w:type="first" r:id="rId31"/>
      <w:footerReference w:type="first" r:id="rId32"/>
      <w:pgSz w:w="11906" w:h="16838"/>
      <w:pgMar w:top="1008" w:right="1008" w:bottom="1008"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26061" w14:textId="77777777" w:rsidR="00004C05" w:rsidRDefault="00004C05" w:rsidP="00F628F0">
      <w:pPr>
        <w:spacing w:after="0" w:line="240" w:lineRule="auto"/>
      </w:pPr>
      <w:r>
        <w:separator/>
      </w:r>
    </w:p>
  </w:endnote>
  <w:endnote w:type="continuationSeparator" w:id="0">
    <w:p w14:paraId="3CA13FBC" w14:textId="77777777" w:rsidR="00004C05" w:rsidRDefault="00004C0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hint="cs"/>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06481" w14:textId="77777777" w:rsidR="00004C05" w:rsidRDefault="00004C05" w:rsidP="00F628F0">
      <w:pPr>
        <w:spacing w:after="0" w:line="240" w:lineRule="auto"/>
      </w:pPr>
      <w:r>
        <w:separator/>
      </w:r>
    </w:p>
  </w:footnote>
  <w:footnote w:type="continuationSeparator" w:id="0">
    <w:p w14:paraId="20B6DD95" w14:textId="77777777" w:rsidR="00004C05" w:rsidRDefault="00004C0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0"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2"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44"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46"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0"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4"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5"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3"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6"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4"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6"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8"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9"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2"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6"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0"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514297510">
    <w:abstractNumId w:val="60"/>
  </w:num>
  <w:num w:numId="2" w16cid:durableId="537475481">
    <w:abstractNumId w:val="81"/>
  </w:num>
  <w:num w:numId="3" w16cid:durableId="1232497270">
    <w:abstractNumId w:val="76"/>
  </w:num>
  <w:num w:numId="4" w16cid:durableId="1369183865">
    <w:abstractNumId w:val="86"/>
  </w:num>
  <w:num w:numId="5" w16cid:durableId="1909614167">
    <w:abstractNumId w:val="63"/>
  </w:num>
  <w:num w:numId="6" w16cid:durableId="153498815">
    <w:abstractNumId w:val="59"/>
  </w:num>
  <w:num w:numId="7" w16cid:durableId="994184520">
    <w:abstractNumId w:val="36"/>
  </w:num>
  <w:num w:numId="8" w16cid:durableId="1482576238">
    <w:abstractNumId w:val="19"/>
  </w:num>
  <w:num w:numId="9" w16cid:durableId="636298621">
    <w:abstractNumId w:val="65"/>
  </w:num>
  <w:num w:numId="10" w16cid:durableId="668757442">
    <w:abstractNumId w:val="89"/>
  </w:num>
  <w:num w:numId="11" w16cid:durableId="686371224">
    <w:abstractNumId w:val="26"/>
  </w:num>
  <w:num w:numId="12" w16cid:durableId="2061899866">
    <w:abstractNumId w:val="93"/>
  </w:num>
  <w:num w:numId="13" w16cid:durableId="1619868577">
    <w:abstractNumId w:val="58"/>
  </w:num>
  <w:num w:numId="14" w16cid:durableId="236398688">
    <w:abstractNumId w:val="22"/>
  </w:num>
  <w:num w:numId="15" w16cid:durableId="182593466">
    <w:abstractNumId w:val="77"/>
  </w:num>
  <w:num w:numId="16" w16cid:durableId="1388648558">
    <w:abstractNumId w:val="75"/>
  </w:num>
  <w:num w:numId="17" w16cid:durableId="1144392596">
    <w:abstractNumId w:val="34"/>
  </w:num>
  <w:num w:numId="18" w16cid:durableId="582641221">
    <w:abstractNumId w:val="46"/>
  </w:num>
  <w:num w:numId="19" w16cid:durableId="210193454">
    <w:abstractNumId w:val="25"/>
  </w:num>
  <w:num w:numId="20" w16cid:durableId="83578190">
    <w:abstractNumId w:val="35"/>
  </w:num>
  <w:num w:numId="21" w16cid:durableId="1832721583">
    <w:abstractNumId w:val="91"/>
  </w:num>
  <w:num w:numId="22" w16cid:durableId="741634815">
    <w:abstractNumId w:val="15"/>
  </w:num>
  <w:num w:numId="23" w16cid:durableId="867109736">
    <w:abstractNumId w:val="64"/>
  </w:num>
  <w:num w:numId="24" w16cid:durableId="1898130749">
    <w:abstractNumId w:val="39"/>
  </w:num>
  <w:num w:numId="25" w16cid:durableId="325397761">
    <w:abstractNumId w:val="48"/>
  </w:num>
  <w:num w:numId="26" w16cid:durableId="1956478903">
    <w:abstractNumId w:val="61"/>
  </w:num>
  <w:num w:numId="27" w16cid:durableId="605230824">
    <w:abstractNumId w:val="3"/>
  </w:num>
  <w:num w:numId="28" w16cid:durableId="1230730054">
    <w:abstractNumId w:val="21"/>
  </w:num>
  <w:num w:numId="29" w16cid:durableId="503202051">
    <w:abstractNumId w:val="50"/>
  </w:num>
  <w:num w:numId="30" w16cid:durableId="1347440300">
    <w:abstractNumId w:val="82"/>
  </w:num>
  <w:num w:numId="31" w16cid:durableId="1847554577">
    <w:abstractNumId w:val="56"/>
  </w:num>
  <w:num w:numId="32" w16cid:durableId="639529925">
    <w:abstractNumId w:val="24"/>
  </w:num>
  <w:num w:numId="33" w16cid:durableId="1605648494">
    <w:abstractNumId w:val="88"/>
  </w:num>
  <w:num w:numId="34" w16cid:durableId="1397321687">
    <w:abstractNumId w:val="67"/>
  </w:num>
  <w:num w:numId="35" w16cid:durableId="236669747">
    <w:abstractNumId w:val="29"/>
  </w:num>
  <w:num w:numId="36" w16cid:durableId="735979179">
    <w:abstractNumId w:val="68"/>
  </w:num>
  <w:num w:numId="37" w16cid:durableId="750543634">
    <w:abstractNumId w:val="9"/>
  </w:num>
  <w:num w:numId="38" w16cid:durableId="1577782852">
    <w:abstractNumId w:val="80"/>
  </w:num>
  <w:num w:numId="39" w16cid:durableId="874660689">
    <w:abstractNumId w:val="87"/>
  </w:num>
  <w:num w:numId="40" w16cid:durableId="625618834">
    <w:abstractNumId w:val="57"/>
  </w:num>
  <w:num w:numId="41" w16cid:durableId="1266039401">
    <w:abstractNumId w:val="44"/>
  </w:num>
  <w:num w:numId="42" w16cid:durableId="170530371">
    <w:abstractNumId w:val="1"/>
  </w:num>
  <w:num w:numId="43" w16cid:durableId="934898983">
    <w:abstractNumId w:val="28"/>
  </w:num>
  <w:num w:numId="44" w16cid:durableId="860823810">
    <w:abstractNumId w:val="45"/>
  </w:num>
  <w:num w:numId="45" w16cid:durableId="1098401609">
    <w:abstractNumId w:val="84"/>
  </w:num>
  <w:num w:numId="46" w16cid:durableId="1421174095">
    <w:abstractNumId w:val="52"/>
  </w:num>
  <w:num w:numId="47" w16cid:durableId="1311058430">
    <w:abstractNumId w:val="71"/>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71"/>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14"/>
    <w:lvlOverride w:ilvl="0">
      <w:lvl w:ilvl="0">
        <w:numFmt w:val="decimal"/>
        <w:lvlText w:val="%1."/>
        <w:lvlJc w:val="left"/>
      </w:lvl>
    </w:lvlOverride>
  </w:num>
  <w:num w:numId="50" w16cid:durableId="1163352717">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43"/>
  </w:num>
  <w:num w:numId="52" w16cid:durableId="2134516957">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38"/>
  </w:num>
  <w:num w:numId="55" w16cid:durableId="482699082">
    <w:abstractNumId w:val="74"/>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1"/>
    <w:lvlOverride w:ilvl="0">
      <w:lvl w:ilvl="0">
        <w:numFmt w:val="decimal"/>
        <w:lvlText w:val="%1."/>
        <w:lvlJc w:val="left"/>
      </w:lvl>
    </w:lvlOverride>
  </w:num>
  <w:num w:numId="57" w16cid:durableId="592128121">
    <w:abstractNumId w:val="42"/>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30"/>
  </w:num>
  <w:num w:numId="59" w16cid:durableId="1989505418">
    <w:abstractNumId w:val="0"/>
  </w:num>
  <w:num w:numId="60" w16cid:durableId="1412196425">
    <w:abstractNumId w:val="8"/>
  </w:num>
  <w:num w:numId="61" w16cid:durableId="1539197313">
    <w:abstractNumId w:val="7"/>
  </w:num>
  <w:num w:numId="62" w16cid:durableId="1536387558">
    <w:abstractNumId w:val="16"/>
  </w:num>
  <w:num w:numId="63" w16cid:durableId="2060979155">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17"/>
  </w:num>
  <w:num w:numId="68" w16cid:durableId="1042173741">
    <w:abstractNumId w:val="20"/>
  </w:num>
  <w:num w:numId="69" w16cid:durableId="1314607345">
    <w:abstractNumId w:val="37"/>
  </w:num>
  <w:num w:numId="70" w16cid:durableId="940794910">
    <w:abstractNumId w:val="12"/>
  </w:num>
  <w:num w:numId="71" w16cid:durableId="181550085">
    <w:abstractNumId w:val="53"/>
  </w:num>
  <w:num w:numId="72" w16cid:durableId="2055805501">
    <w:abstractNumId w:val="62"/>
  </w:num>
  <w:num w:numId="73" w16cid:durableId="1858884227">
    <w:abstractNumId w:val="51"/>
  </w:num>
  <w:num w:numId="74" w16cid:durableId="2022660746">
    <w:abstractNumId w:val="27"/>
  </w:num>
  <w:num w:numId="75" w16cid:durableId="2037195161">
    <w:abstractNumId w:val="31"/>
  </w:num>
  <w:num w:numId="76" w16cid:durableId="1004284984">
    <w:abstractNumId w:val="13"/>
  </w:num>
  <w:num w:numId="77" w16cid:durableId="1974823324">
    <w:abstractNumId w:val="6"/>
  </w:num>
  <w:num w:numId="78" w16cid:durableId="849948193">
    <w:abstractNumId w:val="79"/>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79"/>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73"/>
  </w:num>
  <w:num w:numId="81" w16cid:durableId="1187215243">
    <w:abstractNumId w:val="23"/>
  </w:num>
  <w:num w:numId="82" w16cid:durableId="1803451646">
    <w:abstractNumId w:val="66"/>
  </w:num>
  <w:num w:numId="83" w16cid:durableId="549804976">
    <w:abstractNumId w:val="2"/>
  </w:num>
  <w:num w:numId="84" w16cid:durableId="442651173">
    <w:abstractNumId w:val="32"/>
  </w:num>
  <w:num w:numId="85" w16cid:durableId="255016147">
    <w:abstractNumId w:val="18"/>
  </w:num>
  <w:num w:numId="86" w16cid:durableId="1430351160">
    <w:abstractNumId w:val="40"/>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40"/>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0"/>
  </w:num>
  <w:num w:numId="89" w16cid:durableId="110982434">
    <w:abstractNumId w:val="94"/>
  </w:num>
  <w:num w:numId="90" w16cid:durableId="1084180412">
    <w:abstractNumId w:val="55"/>
  </w:num>
  <w:num w:numId="91" w16cid:durableId="335692308">
    <w:abstractNumId w:val="41"/>
  </w:num>
  <w:num w:numId="92" w16cid:durableId="461922515">
    <w:abstractNumId w:val="54"/>
  </w:num>
  <w:num w:numId="93" w16cid:durableId="343046829">
    <w:abstractNumId w:val="4"/>
  </w:num>
  <w:num w:numId="94" w16cid:durableId="1647394107">
    <w:abstractNumId w:val="90"/>
  </w:num>
  <w:num w:numId="95" w16cid:durableId="1791243278">
    <w:abstractNumId w:val="33"/>
  </w:num>
  <w:num w:numId="96" w16cid:durableId="90322402">
    <w:abstractNumId w:val="69"/>
  </w:num>
  <w:num w:numId="97" w16cid:durableId="210456716">
    <w:abstractNumId w:val="49"/>
  </w:num>
  <w:num w:numId="98" w16cid:durableId="374308357">
    <w:abstractNumId w:val="85"/>
  </w:num>
  <w:num w:numId="99" w16cid:durableId="157617961">
    <w:abstractNumId w:val="47"/>
  </w:num>
  <w:num w:numId="100" w16cid:durableId="302662308">
    <w:abstractNumId w:val="70"/>
  </w:num>
  <w:num w:numId="101" w16cid:durableId="452483567">
    <w:abstractNumId w:val="92"/>
  </w:num>
  <w:num w:numId="102" w16cid:durableId="848178531">
    <w:abstractNumId w:val="7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2retxxrerxdxhe9aphvs0z2t9z25p0ew99s&quot;&gt;SBS2024&lt;record-ids&gt;&lt;item&gt;144&lt;/item&gt;&lt;item&gt;145&lt;/item&gt;&lt;item&gt;146&lt;/item&gt;&lt;item&gt;148&lt;/item&gt;&lt;item&gt;154&lt;/item&gt;&lt;item&gt;158&lt;/item&gt;&lt;item&gt;164&lt;/item&gt;&lt;item&gt;165&lt;/item&gt;&lt;item&gt;167&lt;/item&gt;&lt;item&gt;170&lt;/item&gt;&lt;item&gt;174&lt;/item&gt;&lt;item&gt;175&lt;/item&gt;&lt;item&gt;176&lt;/item&gt;&lt;item&gt;177&lt;/item&gt;&lt;item&gt;179&lt;/item&gt;&lt;item&gt;180&lt;/item&gt;&lt;item&gt;181&lt;/item&gt;&lt;item&gt;182&lt;/item&gt;&lt;item&gt;183&lt;/item&gt;&lt;item&gt;185&lt;/item&gt;&lt;item&gt;187&lt;/item&gt;&lt;item&gt;188&lt;/item&gt;&lt;item&gt;218&lt;/item&gt;&lt;item&gt;246&lt;/item&gt;&lt;item&gt;247&lt;/item&gt;&lt;item&gt;248&lt;/item&gt;&lt;item&gt;249&lt;/item&gt;&lt;/record-ids&gt;&lt;/item&gt;&lt;/Libraries&gt;"/>
  </w:docVars>
  <w:rsids>
    <w:rsidRoot w:val="000F7F04"/>
    <w:rsid w:val="0000479E"/>
    <w:rsid w:val="00004971"/>
    <w:rsid w:val="00004C05"/>
    <w:rsid w:val="0000692A"/>
    <w:rsid w:val="000148CB"/>
    <w:rsid w:val="00015F0D"/>
    <w:rsid w:val="0002038B"/>
    <w:rsid w:val="000234FD"/>
    <w:rsid w:val="00027A34"/>
    <w:rsid w:val="0003027E"/>
    <w:rsid w:val="000322E7"/>
    <w:rsid w:val="00035A9D"/>
    <w:rsid w:val="00042341"/>
    <w:rsid w:val="00043142"/>
    <w:rsid w:val="00044CFD"/>
    <w:rsid w:val="000462A2"/>
    <w:rsid w:val="000500A5"/>
    <w:rsid w:val="0005079C"/>
    <w:rsid w:val="000539FD"/>
    <w:rsid w:val="00057652"/>
    <w:rsid w:val="00061A09"/>
    <w:rsid w:val="000636E4"/>
    <w:rsid w:val="000654F3"/>
    <w:rsid w:val="000665BF"/>
    <w:rsid w:val="0007430F"/>
    <w:rsid w:val="00076240"/>
    <w:rsid w:val="00083266"/>
    <w:rsid w:val="00087E4F"/>
    <w:rsid w:val="00090A9C"/>
    <w:rsid w:val="00092C24"/>
    <w:rsid w:val="000940A0"/>
    <w:rsid w:val="00094A7A"/>
    <w:rsid w:val="000A1D3E"/>
    <w:rsid w:val="000A1E46"/>
    <w:rsid w:val="000A310D"/>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D0869"/>
    <w:rsid w:val="000D21B5"/>
    <w:rsid w:val="000D3EAE"/>
    <w:rsid w:val="000D5131"/>
    <w:rsid w:val="000E23AB"/>
    <w:rsid w:val="000E26E2"/>
    <w:rsid w:val="000E42D6"/>
    <w:rsid w:val="000E4892"/>
    <w:rsid w:val="000E6887"/>
    <w:rsid w:val="000E68C6"/>
    <w:rsid w:val="000F0A0D"/>
    <w:rsid w:val="000F1F55"/>
    <w:rsid w:val="000F4CAA"/>
    <w:rsid w:val="000F64C0"/>
    <w:rsid w:val="000F7F04"/>
    <w:rsid w:val="001042B1"/>
    <w:rsid w:val="00107B09"/>
    <w:rsid w:val="00110665"/>
    <w:rsid w:val="0011126E"/>
    <w:rsid w:val="00113B62"/>
    <w:rsid w:val="001159CC"/>
    <w:rsid w:val="001163C7"/>
    <w:rsid w:val="00116AE4"/>
    <w:rsid w:val="00117CA1"/>
    <w:rsid w:val="00123F6A"/>
    <w:rsid w:val="00131B56"/>
    <w:rsid w:val="00132DA8"/>
    <w:rsid w:val="00140863"/>
    <w:rsid w:val="0015086B"/>
    <w:rsid w:val="00152104"/>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5226"/>
    <w:rsid w:val="00195627"/>
    <w:rsid w:val="00195DA0"/>
    <w:rsid w:val="001A31E6"/>
    <w:rsid w:val="001A5804"/>
    <w:rsid w:val="001A680C"/>
    <w:rsid w:val="001B0E73"/>
    <w:rsid w:val="001B23C1"/>
    <w:rsid w:val="001B4DC1"/>
    <w:rsid w:val="001C01BE"/>
    <w:rsid w:val="001C2527"/>
    <w:rsid w:val="001C3DA0"/>
    <w:rsid w:val="001C426A"/>
    <w:rsid w:val="001C4D44"/>
    <w:rsid w:val="001C72AD"/>
    <w:rsid w:val="001C7DB2"/>
    <w:rsid w:val="001D1F2C"/>
    <w:rsid w:val="001D47AD"/>
    <w:rsid w:val="001E1A72"/>
    <w:rsid w:val="001E252D"/>
    <w:rsid w:val="001E32DF"/>
    <w:rsid w:val="001E3406"/>
    <w:rsid w:val="001E6447"/>
    <w:rsid w:val="001E7C73"/>
    <w:rsid w:val="00200A76"/>
    <w:rsid w:val="002018CB"/>
    <w:rsid w:val="0020239B"/>
    <w:rsid w:val="00203761"/>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50CC6"/>
    <w:rsid w:val="002511D2"/>
    <w:rsid w:val="00251580"/>
    <w:rsid w:val="00254976"/>
    <w:rsid w:val="00257F01"/>
    <w:rsid w:val="002616CF"/>
    <w:rsid w:val="00261AF8"/>
    <w:rsid w:val="00262403"/>
    <w:rsid w:val="00262A0F"/>
    <w:rsid w:val="00263733"/>
    <w:rsid w:val="00264677"/>
    <w:rsid w:val="00265C31"/>
    <w:rsid w:val="00274C5B"/>
    <w:rsid w:val="00276B55"/>
    <w:rsid w:val="00280585"/>
    <w:rsid w:val="002841B5"/>
    <w:rsid w:val="002851AE"/>
    <w:rsid w:val="00290C30"/>
    <w:rsid w:val="00291C10"/>
    <w:rsid w:val="002A053F"/>
    <w:rsid w:val="002A113E"/>
    <w:rsid w:val="002A14C3"/>
    <w:rsid w:val="002A6EC2"/>
    <w:rsid w:val="002A7050"/>
    <w:rsid w:val="002A7904"/>
    <w:rsid w:val="002B234B"/>
    <w:rsid w:val="002B2817"/>
    <w:rsid w:val="002B6766"/>
    <w:rsid w:val="002C2285"/>
    <w:rsid w:val="002D019D"/>
    <w:rsid w:val="002D3349"/>
    <w:rsid w:val="002D638C"/>
    <w:rsid w:val="002D68BB"/>
    <w:rsid w:val="002E03CF"/>
    <w:rsid w:val="002E15D3"/>
    <w:rsid w:val="002E6AD0"/>
    <w:rsid w:val="002F016F"/>
    <w:rsid w:val="002F0EEA"/>
    <w:rsid w:val="002F20A7"/>
    <w:rsid w:val="002F20B5"/>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335C4"/>
    <w:rsid w:val="00333FF1"/>
    <w:rsid w:val="00334002"/>
    <w:rsid w:val="00336EAC"/>
    <w:rsid w:val="00343773"/>
    <w:rsid w:val="003535B0"/>
    <w:rsid w:val="00356156"/>
    <w:rsid w:val="00360A3F"/>
    <w:rsid w:val="003610B7"/>
    <w:rsid w:val="00364C07"/>
    <w:rsid w:val="003667E3"/>
    <w:rsid w:val="00370539"/>
    <w:rsid w:val="003735F5"/>
    <w:rsid w:val="00375FDB"/>
    <w:rsid w:val="00377CB0"/>
    <w:rsid w:val="00381E67"/>
    <w:rsid w:val="003878D7"/>
    <w:rsid w:val="00392B50"/>
    <w:rsid w:val="00395E1F"/>
    <w:rsid w:val="00397058"/>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58C5"/>
    <w:rsid w:val="003D5F89"/>
    <w:rsid w:val="003D7090"/>
    <w:rsid w:val="003D7E7F"/>
    <w:rsid w:val="003E0205"/>
    <w:rsid w:val="003E1E60"/>
    <w:rsid w:val="003E2605"/>
    <w:rsid w:val="003F481E"/>
    <w:rsid w:val="003F6189"/>
    <w:rsid w:val="003F69BC"/>
    <w:rsid w:val="004010D0"/>
    <w:rsid w:val="00402407"/>
    <w:rsid w:val="0040510D"/>
    <w:rsid w:val="00414946"/>
    <w:rsid w:val="00431907"/>
    <w:rsid w:val="0043449E"/>
    <w:rsid w:val="00436B59"/>
    <w:rsid w:val="004373E9"/>
    <w:rsid w:val="004413CD"/>
    <w:rsid w:val="00442185"/>
    <w:rsid w:val="0044258D"/>
    <w:rsid w:val="00443A60"/>
    <w:rsid w:val="00443F33"/>
    <w:rsid w:val="00444B1D"/>
    <w:rsid w:val="00444B3C"/>
    <w:rsid w:val="00445C60"/>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92059"/>
    <w:rsid w:val="00492E40"/>
    <w:rsid w:val="004A10BC"/>
    <w:rsid w:val="004A2908"/>
    <w:rsid w:val="004A366F"/>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69CA"/>
    <w:rsid w:val="004F1607"/>
    <w:rsid w:val="004F1964"/>
    <w:rsid w:val="004F1CF1"/>
    <w:rsid w:val="004F4E13"/>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3202B"/>
    <w:rsid w:val="0053336F"/>
    <w:rsid w:val="00533AA9"/>
    <w:rsid w:val="00535ED5"/>
    <w:rsid w:val="0053681E"/>
    <w:rsid w:val="00540C9A"/>
    <w:rsid w:val="0054309A"/>
    <w:rsid w:val="005433BE"/>
    <w:rsid w:val="00545742"/>
    <w:rsid w:val="00546BB3"/>
    <w:rsid w:val="005532E5"/>
    <w:rsid w:val="0055373F"/>
    <w:rsid w:val="00560CC1"/>
    <w:rsid w:val="0056720C"/>
    <w:rsid w:val="00573910"/>
    <w:rsid w:val="00575C1B"/>
    <w:rsid w:val="0057638E"/>
    <w:rsid w:val="00577A3B"/>
    <w:rsid w:val="00577B79"/>
    <w:rsid w:val="00582F9E"/>
    <w:rsid w:val="0059061D"/>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B6"/>
    <w:rsid w:val="005B2E32"/>
    <w:rsid w:val="005B65AE"/>
    <w:rsid w:val="005C3DA2"/>
    <w:rsid w:val="005D1768"/>
    <w:rsid w:val="005D2492"/>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38AA"/>
    <w:rsid w:val="00633F98"/>
    <w:rsid w:val="00634932"/>
    <w:rsid w:val="0063698A"/>
    <w:rsid w:val="00636A0A"/>
    <w:rsid w:val="0063750A"/>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7BBF"/>
    <w:rsid w:val="00667D1C"/>
    <w:rsid w:val="006731F3"/>
    <w:rsid w:val="00676B85"/>
    <w:rsid w:val="00680415"/>
    <w:rsid w:val="0068489C"/>
    <w:rsid w:val="00684F06"/>
    <w:rsid w:val="006850A4"/>
    <w:rsid w:val="00687F77"/>
    <w:rsid w:val="00695F89"/>
    <w:rsid w:val="006A135E"/>
    <w:rsid w:val="006A7DC3"/>
    <w:rsid w:val="006B09CC"/>
    <w:rsid w:val="006B1075"/>
    <w:rsid w:val="006B366F"/>
    <w:rsid w:val="006B51C2"/>
    <w:rsid w:val="006B6ABE"/>
    <w:rsid w:val="006B790B"/>
    <w:rsid w:val="006C10F3"/>
    <w:rsid w:val="006C2E76"/>
    <w:rsid w:val="006C54C9"/>
    <w:rsid w:val="006D1724"/>
    <w:rsid w:val="006E5221"/>
    <w:rsid w:val="006E7A0B"/>
    <w:rsid w:val="006F1837"/>
    <w:rsid w:val="006F3CD1"/>
    <w:rsid w:val="006F52A6"/>
    <w:rsid w:val="006F65E8"/>
    <w:rsid w:val="006F6F1E"/>
    <w:rsid w:val="0070272D"/>
    <w:rsid w:val="0070279A"/>
    <w:rsid w:val="00703A9A"/>
    <w:rsid w:val="00704C25"/>
    <w:rsid w:val="00705F1D"/>
    <w:rsid w:val="00706AC7"/>
    <w:rsid w:val="00711248"/>
    <w:rsid w:val="00715EF1"/>
    <w:rsid w:val="007239AC"/>
    <w:rsid w:val="00723E95"/>
    <w:rsid w:val="007318EF"/>
    <w:rsid w:val="00733953"/>
    <w:rsid w:val="00736364"/>
    <w:rsid w:val="0073642B"/>
    <w:rsid w:val="00740AB1"/>
    <w:rsid w:val="00742306"/>
    <w:rsid w:val="00744715"/>
    <w:rsid w:val="00745F2F"/>
    <w:rsid w:val="007507AF"/>
    <w:rsid w:val="00750F2F"/>
    <w:rsid w:val="00754496"/>
    <w:rsid w:val="007603EA"/>
    <w:rsid w:val="00766568"/>
    <w:rsid w:val="0076684E"/>
    <w:rsid w:val="00766A58"/>
    <w:rsid w:val="007718B7"/>
    <w:rsid w:val="0077321B"/>
    <w:rsid w:val="00776407"/>
    <w:rsid w:val="007764F4"/>
    <w:rsid w:val="00776AB8"/>
    <w:rsid w:val="0078042C"/>
    <w:rsid w:val="00781550"/>
    <w:rsid w:val="007822A3"/>
    <w:rsid w:val="00783618"/>
    <w:rsid w:val="00785D8E"/>
    <w:rsid w:val="00790119"/>
    <w:rsid w:val="00793616"/>
    <w:rsid w:val="007969DC"/>
    <w:rsid w:val="00797AF9"/>
    <w:rsid w:val="007A24A6"/>
    <w:rsid w:val="007A31DC"/>
    <w:rsid w:val="007A64CE"/>
    <w:rsid w:val="007A7C00"/>
    <w:rsid w:val="007B29E4"/>
    <w:rsid w:val="007B3426"/>
    <w:rsid w:val="007B3995"/>
    <w:rsid w:val="007B3A5C"/>
    <w:rsid w:val="007B4CBF"/>
    <w:rsid w:val="007C1F01"/>
    <w:rsid w:val="007C428F"/>
    <w:rsid w:val="007D39B9"/>
    <w:rsid w:val="007D7D94"/>
    <w:rsid w:val="007E15C4"/>
    <w:rsid w:val="007E262A"/>
    <w:rsid w:val="007E282E"/>
    <w:rsid w:val="007E3985"/>
    <w:rsid w:val="007E5BA4"/>
    <w:rsid w:val="007F4183"/>
    <w:rsid w:val="007F4DC9"/>
    <w:rsid w:val="008022F1"/>
    <w:rsid w:val="00802EEF"/>
    <w:rsid w:val="00810AE7"/>
    <w:rsid w:val="00813540"/>
    <w:rsid w:val="00813C16"/>
    <w:rsid w:val="008173B3"/>
    <w:rsid w:val="00817E2A"/>
    <w:rsid w:val="00821E8B"/>
    <w:rsid w:val="00823077"/>
    <w:rsid w:val="00823BC5"/>
    <w:rsid w:val="00826F9A"/>
    <w:rsid w:val="00831B04"/>
    <w:rsid w:val="00840269"/>
    <w:rsid w:val="00841E70"/>
    <w:rsid w:val="00846C82"/>
    <w:rsid w:val="00847344"/>
    <w:rsid w:val="00850F57"/>
    <w:rsid w:val="00852990"/>
    <w:rsid w:val="00854E14"/>
    <w:rsid w:val="0086026A"/>
    <w:rsid w:val="0086333D"/>
    <w:rsid w:val="00864B2B"/>
    <w:rsid w:val="00867B43"/>
    <w:rsid w:val="00875F20"/>
    <w:rsid w:val="008806D9"/>
    <w:rsid w:val="0088301D"/>
    <w:rsid w:val="0088325B"/>
    <w:rsid w:val="00883E09"/>
    <w:rsid w:val="00886510"/>
    <w:rsid w:val="00887021"/>
    <w:rsid w:val="00894ABA"/>
    <w:rsid w:val="00894F92"/>
    <w:rsid w:val="00897949"/>
    <w:rsid w:val="008A09DC"/>
    <w:rsid w:val="008A2025"/>
    <w:rsid w:val="008A20E0"/>
    <w:rsid w:val="008A3BB9"/>
    <w:rsid w:val="008A69EA"/>
    <w:rsid w:val="008A7D25"/>
    <w:rsid w:val="008B0F36"/>
    <w:rsid w:val="008B1883"/>
    <w:rsid w:val="008B213C"/>
    <w:rsid w:val="008B36A4"/>
    <w:rsid w:val="008B5953"/>
    <w:rsid w:val="008C140C"/>
    <w:rsid w:val="008C2AA8"/>
    <w:rsid w:val="008C2ADD"/>
    <w:rsid w:val="008C3F9B"/>
    <w:rsid w:val="008C4024"/>
    <w:rsid w:val="008D1B67"/>
    <w:rsid w:val="008D49CC"/>
    <w:rsid w:val="008D5F2C"/>
    <w:rsid w:val="008D7A9B"/>
    <w:rsid w:val="008E18C4"/>
    <w:rsid w:val="008E1DF8"/>
    <w:rsid w:val="008E6B1C"/>
    <w:rsid w:val="008E7947"/>
    <w:rsid w:val="008F61CB"/>
    <w:rsid w:val="0090102E"/>
    <w:rsid w:val="00903A36"/>
    <w:rsid w:val="009043EA"/>
    <w:rsid w:val="00907396"/>
    <w:rsid w:val="00910399"/>
    <w:rsid w:val="009108EA"/>
    <w:rsid w:val="009139AE"/>
    <w:rsid w:val="00916122"/>
    <w:rsid w:val="00917C97"/>
    <w:rsid w:val="00920F58"/>
    <w:rsid w:val="00922314"/>
    <w:rsid w:val="00927C69"/>
    <w:rsid w:val="00935527"/>
    <w:rsid w:val="009357B9"/>
    <w:rsid w:val="00935FC3"/>
    <w:rsid w:val="0093756B"/>
    <w:rsid w:val="009400C2"/>
    <w:rsid w:val="009424FD"/>
    <w:rsid w:val="00945602"/>
    <w:rsid w:val="009462FA"/>
    <w:rsid w:val="009505DD"/>
    <w:rsid w:val="00955905"/>
    <w:rsid w:val="0096281F"/>
    <w:rsid w:val="00962E14"/>
    <w:rsid w:val="0096761A"/>
    <w:rsid w:val="009676BE"/>
    <w:rsid w:val="009705B3"/>
    <w:rsid w:val="00970784"/>
    <w:rsid w:val="00971016"/>
    <w:rsid w:val="00977837"/>
    <w:rsid w:val="00981096"/>
    <w:rsid w:val="009813A6"/>
    <w:rsid w:val="009813DB"/>
    <w:rsid w:val="00983200"/>
    <w:rsid w:val="00984A64"/>
    <w:rsid w:val="00986F65"/>
    <w:rsid w:val="0098742E"/>
    <w:rsid w:val="00990418"/>
    <w:rsid w:val="00995E24"/>
    <w:rsid w:val="009A0B22"/>
    <w:rsid w:val="009A4D5A"/>
    <w:rsid w:val="009A6041"/>
    <w:rsid w:val="009A672F"/>
    <w:rsid w:val="009A689A"/>
    <w:rsid w:val="009B044E"/>
    <w:rsid w:val="009B0F6B"/>
    <w:rsid w:val="009B1AC3"/>
    <w:rsid w:val="009B7B1F"/>
    <w:rsid w:val="009C2244"/>
    <w:rsid w:val="009C3C7B"/>
    <w:rsid w:val="009C5AEE"/>
    <w:rsid w:val="009C76D6"/>
    <w:rsid w:val="009C7B18"/>
    <w:rsid w:val="009D1D31"/>
    <w:rsid w:val="009E4604"/>
    <w:rsid w:val="009E58EB"/>
    <w:rsid w:val="009F1183"/>
    <w:rsid w:val="009F1514"/>
    <w:rsid w:val="009F1791"/>
    <w:rsid w:val="009F1FCE"/>
    <w:rsid w:val="009F2F7B"/>
    <w:rsid w:val="009F44B4"/>
    <w:rsid w:val="009F589F"/>
    <w:rsid w:val="009F7119"/>
    <w:rsid w:val="00A00401"/>
    <w:rsid w:val="00A00E5A"/>
    <w:rsid w:val="00A00F0E"/>
    <w:rsid w:val="00A016D3"/>
    <w:rsid w:val="00A043DE"/>
    <w:rsid w:val="00A05BAE"/>
    <w:rsid w:val="00A06283"/>
    <w:rsid w:val="00A11618"/>
    <w:rsid w:val="00A13D38"/>
    <w:rsid w:val="00A14CF4"/>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60347"/>
    <w:rsid w:val="00A60348"/>
    <w:rsid w:val="00A6093A"/>
    <w:rsid w:val="00A62487"/>
    <w:rsid w:val="00A63AF0"/>
    <w:rsid w:val="00A64F6A"/>
    <w:rsid w:val="00A67E70"/>
    <w:rsid w:val="00A70534"/>
    <w:rsid w:val="00A70CE4"/>
    <w:rsid w:val="00A717CD"/>
    <w:rsid w:val="00A73A46"/>
    <w:rsid w:val="00A74A2B"/>
    <w:rsid w:val="00A7525C"/>
    <w:rsid w:val="00A77B25"/>
    <w:rsid w:val="00A80484"/>
    <w:rsid w:val="00A82CB2"/>
    <w:rsid w:val="00A83153"/>
    <w:rsid w:val="00A8785A"/>
    <w:rsid w:val="00A90432"/>
    <w:rsid w:val="00A94A1A"/>
    <w:rsid w:val="00A94DC6"/>
    <w:rsid w:val="00AA254D"/>
    <w:rsid w:val="00AA4260"/>
    <w:rsid w:val="00AA47C0"/>
    <w:rsid w:val="00AA5C65"/>
    <w:rsid w:val="00AA6121"/>
    <w:rsid w:val="00AB0DB7"/>
    <w:rsid w:val="00AB0E27"/>
    <w:rsid w:val="00AB7BF2"/>
    <w:rsid w:val="00AC24D4"/>
    <w:rsid w:val="00AC46F5"/>
    <w:rsid w:val="00AC4F32"/>
    <w:rsid w:val="00AC6F69"/>
    <w:rsid w:val="00AD191A"/>
    <w:rsid w:val="00AD5DDB"/>
    <w:rsid w:val="00AD704E"/>
    <w:rsid w:val="00AD783C"/>
    <w:rsid w:val="00AE30A0"/>
    <w:rsid w:val="00AE6B9C"/>
    <w:rsid w:val="00AF0D45"/>
    <w:rsid w:val="00AF62C2"/>
    <w:rsid w:val="00B00D76"/>
    <w:rsid w:val="00B01477"/>
    <w:rsid w:val="00B0197B"/>
    <w:rsid w:val="00B03D10"/>
    <w:rsid w:val="00B05BF7"/>
    <w:rsid w:val="00B05FDA"/>
    <w:rsid w:val="00B06981"/>
    <w:rsid w:val="00B135BA"/>
    <w:rsid w:val="00B146C0"/>
    <w:rsid w:val="00B170EE"/>
    <w:rsid w:val="00B2444E"/>
    <w:rsid w:val="00B25493"/>
    <w:rsid w:val="00B32E4E"/>
    <w:rsid w:val="00B33476"/>
    <w:rsid w:val="00B35AA1"/>
    <w:rsid w:val="00B43D93"/>
    <w:rsid w:val="00B43F32"/>
    <w:rsid w:val="00B4456F"/>
    <w:rsid w:val="00B6050A"/>
    <w:rsid w:val="00B61F61"/>
    <w:rsid w:val="00B63BBC"/>
    <w:rsid w:val="00B72DD9"/>
    <w:rsid w:val="00B72EB2"/>
    <w:rsid w:val="00B76A68"/>
    <w:rsid w:val="00B802A8"/>
    <w:rsid w:val="00B8132E"/>
    <w:rsid w:val="00B85713"/>
    <w:rsid w:val="00B85E9F"/>
    <w:rsid w:val="00B86BE4"/>
    <w:rsid w:val="00B90CF8"/>
    <w:rsid w:val="00B90D8C"/>
    <w:rsid w:val="00B91986"/>
    <w:rsid w:val="00B92D61"/>
    <w:rsid w:val="00B93AAF"/>
    <w:rsid w:val="00B96E4F"/>
    <w:rsid w:val="00BA2E74"/>
    <w:rsid w:val="00BA688E"/>
    <w:rsid w:val="00BA6BC9"/>
    <w:rsid w:val="00BB3408"/>
    <w:rsid w:val="00BB4052"/>
    <w:rsid w:val="00BB46BB"/>
    <w:rsid w:val="00BB5DCC"/>
    <w:rsid w:val="00BB6CAF"/>
    <w:rsid w:val="00BC23E5"/>
    <w:rsid w:val="00BC4844"/>
    <w:rsid w:val="00BC7341"/>
    <w:rsid w:val="00BC78DA"/>
    <w:rsid w:val="00BD17E4"/>
    <w:rsid w:val="00BD242B"/>
    <w:rsid w:val="00BD4333"/>
    <w:rsid w:val="00BD43F5"/>
    <w:rsid w:val="00BD5BF2"/>
    <w:rsid w:val="00BD6EF7"/>
    <w:rsid w:val="00BE07E2"/>
    <w:rsid w:val="00BE2447"/>
    <w:rsid w:val="00BE253C"/>
    <w:rsid w:val="00BE2AD6"/>
    <w:rsid w:val="00BE4B10"/>
    <w:rsid w:val="00BE596B"/>
    <w:rsid w:val="00BE609B"/>
    <w:rsid w:val="00BF00BC"/>
    <w:rsid w:val="00BF10E4"/>
    <w:rsid w:val="00BF20DB"/>
    <w:rsid w:val="00BF2A76"/>
    <w:rsid w:val="00BF4225"/>
    <w:rsid w:val="00BF50E5"/>
    <w:rsid w:val="00BF7480"/>
    <w:rsid w:val="00C0027F"/>
    <w:rsid w:val="00C06B85"/>
    <w:rsid w:val="00C07820"/>
    <w:rsid w:val="00C07F58"/>
    <w:rsid w:val="00C11026"/>
    <w:rsid w:val="00C1168C"/>
    <w:rsid w:val="00C12488"/>
    <w:rsid w:val="00C12A50"/>
    <w:rsid w:val="00C1324B"/>
    <w:rsid w:val="00C144E4"/>
    <w:rsid w:val="00C14900"/>
    <w:rsid w:val="00C2122A"/>
    <w:rsid w:val="00C2376A"/>
    <w:rsid w:val="00C27F64"/>
    <w:rsid w:val="00C34D41"/>
    <w:rsid w:val="00C35EB8"/>
    <w:rsid w:val="00C3753A"/>
    <w:rsid w:val="00C415C4"/>
    <w:rsid w:val="00C44E75"/>
    <w:rsid w:val="00C45804"/>
    <w:rsid w:val="00C45B23"/>
    <w:rsid w:val="00C472D8"/>
    <w:rsid w:val="00C476E1"/>
    <w:rsid w:val="00C515D4"/>
    <w:rsid w:val="00C52D43"/>
    <w:rsid w:val="00C53130"/>
    <w:rsid w:val="00C53FBD"/>
    <w:rsid w:val="00C54FEC"/>
    <w:rsid w:val="00C557C5"/>
    <w:rsid w:val="00C56B6D"/>
    <w:rsid w:val="00C61182"/>
    <w:rsid w:val="00C625EA"/>
    <w:rsid w:val="00C62DC1"/>
    <w:rsid w:val="00C65225"/>
    <w:rsid w:val="00C73E8C"/>
    <w:rsid w:val="00C7436B"/>
    <w:rsid w:val="00C74AAF"/>
    <w:rsid w:val="00C76706"/>
    <w:rsid w:val="00C81373"/>
    <w:rsid w:val="00C85E0A"/>
    <w:rsid w:val="00C87AB5"/>
    <w:rsid w:val="00C92652"/>
    <w:rsid w:val="00C93ED6"/>
    <w:rsid w:val="00C940BE"/>
    <w:rsid w:val="00CA1B14"/>
    <w:rsid w:val="00CB0A76"/>
    <w:rsid w:val="00CB0E67"/>
    <w:rsid w:val="00CB1282"/>
    <w:rsid w:val="00CB35D3"/>
    <w:rsid w:val="00CB5D24"/>
    <w:rsid w:val="00CC365B"/>
    <w:rsid w:val="00CC3C32"/>
    <w:rsid w:val="00CD1ABB"/>
    <w:rsid w:val="00CD1C41"/>
    <w:rsid w:val="00CD3A50"/>
    <w:rsid w:val="00CD67C0"/>
    <w:rsid w:val="00CE13A5"/>
    <w:rsid w:val="00CE248B"/>
    <w:rsid w:val="00CE39F0"/>
    <w:rsid w:val="00CE3F82"/>
    <w:rsid w:val="00CE4373"/>
    <w:rsid w:val="00CE45FE"/>
    <w:rsid w:val="00CF38E8"/>
    <w:rsid w:val="00D0035F"/>
    <w:rsid w:val="00D012B5"/>
    <w:rsid w:val="00D022C9"/>
    <w:rsid w:val="00D046CC"/>
    <w:rsid w:val="00D05EDF"/>
    <w:rsid w:val="00D1286C"/>
    <w:rsid w:val="00D14DD5"/>
    <w:rsid w:val="00D16601"/>
    <w:rsid w:val="00D16E23"/>
    <w:rsid w:val="00D20E96"/>
    <w:rsid w:val="00D235C5"/>
    <w:rsid w:val="00D237EB"/>
    <w:rsid w:val="00D23CA7"/>
    <w:rsid w:val="00D2768A"/>
    <w:rsid w:val="00D31D7E"/>
    <w:rsid w:val="00D429C3"/>
    <w:rsid w:val="00D47F4C"/>
    <w:rsid w:val="00D52899"/>
    <w:rsid w:val="00D52CFE"/>
    <w:rsid w:val="00D54DD5"/>
    <w:rsid w:val="00D556BC"/>
    <w:rsid w:val="00D57E5C"/>
    <w:rsid w:val="00D66F8C"/>
    <w:rsid w:val="00D70797"/>
    <w:rsid w:val="00D70DF0"/>
    <w:rsid w:val="00D73F64"/>
    <w:rsid w:val="00D775E0"/>
    <w:rsid w:val="00D77BF5"/>
    <w:rsid w:val="00D82A81"/>
    <w:rsid w:val="00D9084B"/>
    <w:rsid w:val="00D9144F"/>
    <w:rsid w:val="00D9147D"/>
    <w:rsid w:val="00D957AB"/>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4E9D"/>
    <w:rsid w:val="00DE2642"/>
    <w:rsid w:val="00DE4849"/>
    <w:rsid w:val="00DF30DF"/>
    <w:rsid w:val="00DF6DD4"/>
    <w:rsid w:val="00DF749B"/>
    <w:rsid w:val="00E01563"/>
    <w:rsid w:val="00E031FB"/>
    <w:rsid w:val="00E11EF3"/>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878E2"/>
    <w:rsid w:val="00E94C2E"/>
    <w:rsid w:val="00E94DD2"/>
    <w:rsid w:val="00EA0044"/>
    <w:rsid w:val="00EA0129"/>
    <w:rsid w:val="00EA1243"/>
    <w:rsid w:val="00EA1FB9"/>
    <w:rsid w:val="00EA2C08"/>
    <w:rsid w:val="00EA69AC"/>
    <w:rsid w:val="00EA7B5A"/>
    <w:rsid w:val="00EB35A5"/>
    <w:rsid w:val="00EB4835"/>
    <w:rsid w:val="00EB4C9D"/>
    <w:rsid w:val="00EB684E"/>
    <w:rsid w:val="00EC0173"/>
    <w:rsid w:val="00EC25CF"/>
    <w:rsid w:val="00EC4694"/>
    <w:rsid w:val="00EC4746"/>
    <w:rsid w:val="00EC7D68"/>
    <w:rsid w:val="00ED0AEC"/>
    <w:rsid w:val="00ED5BCD"/>
    <w:rsid w:val="00EE1321"/>
    <w:rsid w:val="00EE4264"/>
    <w:rsid w:val="00EE699E"/>
    <w:rsid w:val="00EE7D55"/>
    <w:rsid w:val="00EF040F"/>
    <w:rsid w:val="00EF0994"/>
    <w:rsid w:val="00EF1678"/>
    <w:rsid w:val="00EF6D82"/>
    <w:rsid w:val="00F05002"/>
    <w:rsid w:val="00F06D80"/>
    <w:rsid w:val="00F13471"/>
    <w:rsid w:val="00F1554E"/>
    <w:rsid w:val="00F17A30"/>
    <w:rsid w:val="00F20D35"/>
    <w:rsid w:val="00F23554"/>
    <w:rsid w:val="00F26571"/>
    <w:rsid w:val="00F2665B"/>
    <w:rsid w:val="00F30309"/>
    <w:rsid w:val="00F30838"/>
    <w:rsid w:val="00F43BA7"/>
    <w:rsid w:val="00F4536C"/>
    <w:rsid w:val="00F47759"/>
    <w:rsid w:val="00F5271B"/>
    <w:rsid w:val="00F53C98"/>
    <w:rsid w:val="00F55531"/>
    <w:rsid w:val="00F5570C"/>
    <w:rsid w:val="00F567E0"/>
    <w:rsid w:val="00F5781A"/>
    <w:rsid w:val="00F57CE1"/>
    <w:rsid w:val="00F628F0"/>
    <w:rsid w:val="00F62DEC"/>
    <w:rsid w:val="00F71C4B"/>
    <w:rsid w:val="00F72A5E"/>
    <w:rsid w:val="00F73EE4"/>
    <w:rsid w:val="00F74068"/>
    <w:rsid w:val="00F74633"/>
    <w:rsid w:val="00F747CA"/>
    <w:rsid w:val="00F770F8"/>
    <w:rsid w:val="00F77CC4"/>
    <w:rsid w:val="00F77E43"/>
    <w:rsid w:val="00F909EF"/>
    <w:rsid w:val="00F92126"/>
    <w:rsid w:val="00F92EA4"/>
    <w:rsid w:val="00F93590"/>
    <w:rsid w:val="00F942D4"/>
    <w:rsid w:val="00F97CE6"/>
    <w:rsid w:val="00FA28F4"/>
    <w:rsid w:val="00FA4160"/>
    <w:rsid w:val="00FB40CE"/>
    <w:rsid w:val="00FB4EC1"/>
    <w:rsid w:val="00FB5943"/>
    <w:rsid w:val="00FB599B"/>
    <w:rsid w:val="00FB67F2"/>
    <w:rsid w:val="00FB7B59"/>
    <w:rsid w:val="00FB7CB2"/>
    <w:rsid w:val="00FC2FBC"/>
    <w:rsid w:val="00FC3BCE"/>
    <w:rsid w:val="00FC4679"/>
    <w:rsid w:val="00FC6E50"/>
    <w:rsid w:val="00FD0608"/>
    <w:rsid w:val="00FD07C1"/>
    <w:rsid w:val="00FD131E"/>
    <w:rsid w:val="00FD65D4"/>
    <w:rsid w:val="00FD66AC"/>
    <w:rsid w:val="00FE5FA8"/>
    <w:rsid w:val="00FE6577"/>
    <w:rsid w:val="00FF2D1F"/>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47/JMDH.S458718" TargetMode="External"/><Relationship Id="rId18" Type="http://schemas.openxmlformats.org/officeDocument/2006/relationships/hyperlink" Target="https://doi.org/https://www.health.sa/ar/clusters/al-jouf_health_cluster" TargetMode="External"/><Relationship Id="rId26" Type="http://schemas.openxmlformats.org/officeDocument/2006/relationships/hyperlink" Target="https://doi.org/10.26389/AJSRP.A010823" TargetMode="External"/><Relationship Id="rId3" Type="http://schemas.openxmlformats.org/officeDocument/2006/relationships/styles" Target="styles.xml"/><Relationship Id="rId21" Type="http://schemas.openxmlformats.org/officeDocument/2006/relationships/hyperlink" Target="https://doi.org/10.7759/cureus.5115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36/bmjopen-2024-084741" TargetMode="External"/><Relationship Id="rId17" Type="http://schemas.openxmlformats.org/officeDocument/2006/relationships/hyperlink" Target="https://pdfs.semanticscholar.org/ba60/afd49d25f3a6df551bb3826d6c098202c00d.pdf" TargetMode="External"/><Relationship Id="rId25" Type="http://schemas.openxmlformats.org/officeDocument/2006/relationships/hyperlink" Target="https://doi.org/doi.org/10.52133/ijrsp.v3.36.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ndgarden.com/documents/MLQGermanPsychometric.pdf" TargetMode="External"/><Relationship Id="rId20" Type="http://schemas.openxmlformats.org/officeDocument/2006/relationships/hyperlink" Target="https://doi.org/10.1371/journal.pgph.000108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01/mjss.2015.v6n2s1p117" TargetMode="External"/><Relationship Id="rId24" Type="http://schemas.openxmlformats.org/officeDocument/2006/relationships/hyperlink" Target="https://doi.org/10.21608/bjhs.2024.315754.1262"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26389/ajsrp.M191021" TargetMode="External"/><Relationship Id="rId23" Type="http://schemas.openxmlformats.org/officeDocument/2006/relationships/hyperlink" Target="https://doi.org/10.1001/jama.293.21.2609" TargetMode="External"/><Relationship Id="rId28" Type="http://schemas.openxmlformats.org/officeDocument/2006/relationships/header" Target="header1.xml"/><Relationship Id="rId10" Type="http://schemas.openxmlformats.org/officeDocument/2006/relationships/hyperlink" Target="https://doi.org/10.1136/bmjoq-2023-002651" TargetMode="External"/><Relationship Id="rId19" Type="http://schemas.openxmlformats.org/officeDocument/2006/relationships/hyperlink" Target="https://doi.org/10.6007/IJARBSS/v12-i1/12327"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icrcr.com/index.php/jicrcr/article/view/1393/1152" TargetMode="External"/><Relationship Id="rId22" Type="http://schemas.openxmlformats.org/officeDocument/2006/relationships/hyperlink" Target="https://doi.org/10.1186/s13037-021-00286-6" TargetMode="External"/><Relationship Id="rId27" Type="http://schemas.openxmlformats.org/officeDocument/2006/relationships/hyperlink" Target="https://doi.org/10.21608/masf.2019.68978"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24</Pages>
  <Words>13015</Words>
  <Characters>73279</Characters>
  <Application>Microsoft Office Word</Application>
  <DocSecurity>0</DocSecurity>
  <Lines>1110</Lines>
  <Paragraphs>549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عبدالله الرويلي 242000241</cp:lastModifiedBy>
  <cp:revision>131</cp:revision>
  <cp:lastPrinted>2025-08-21T18:43:00Z</cp:lastPrinted>
  <dcterms:created xsi:type="dcterms:W3CDTF">2025-08-07T23:25:00Z</dcterms:created>
  <dcterms:modified xsi:type="dcterms:W3CDTF">2025-11-06T18:23:00Z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