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56861" w14:textId="77777777" w:rsidR="007E1DF7" w:rsidRPr="007E1DF7" w:rsidRDefault="007E1DF7" w:rsidP="007E1DF7">
      <w:pPr>
        <w:jc w:val="both"/>
        <w:rPr>
          <w:rFonts w:ascii="Calibri" w:eastAsia="Calibri" w:hAnsi="Calibri" w:cs="Calibri"/>
          <w:lang w:val="en-US"/>
        </w:rPr>
      </w:pPr>
      <w:r w:rsidRPr="007E1DF7">
        <w:rPr>
          <w:rFonts w:ascii="Calibri" w:eastAsia="Calibri" w:hAnsi="Calibri" w:cs="Calibri"/>
          <w:noProof/>
          <w:lang w:val="en-US"/>
        </w:rPr>
        <w:drawing>
          <wp:anchor distT="0" distB="0" distL="114300" distR="114300" simplePos="0" relativeHeight="251659264" behindDoc="0" locked="0" layoutInCell="1" allowOverlap="1" wp14:anchorId="648260FD" wp14:editId="78CFA4CC">
            <wp:simplePos x="0" y="0"/>
            <wp:positionH relativeFrom="margin">
              <wp:posOffset>3714750</wp:posOffset>
            </wp:positionH>
            <wp:positionV relativeFrom="margin">
              <wp:posOffset>-466725</wp:posOffset>
            </wp:positionV>
            <wp:extent cx="2226945" cy="1713865"/>
            <wp:effectExtent l="0" t="0" r="1905" b="635"/>
            <wp:wrapSquare wrapText="bothSides"/>
            <wp:docPr id="1498695137" name="Picture 149869513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7E1DF7">
        <w:rPr>
          <w:rFonts w:ascii="Calibri" w:eastAsia="Calibri" w:hAnsi="Calibri" w:cs="Calibri"/>
          <w:lang w:val="en-US"/>
        </w:rPr>
        <w:t xml:space="preserve">Midocean University </w:t>
      </w:r>
    </w:p>
    <w:p w14:paraId="36625DCE" w14:textId="77777777" w:rsidR="007E1DF7" w:rsidRPr="007E1DF7" w:rsidRDefault="007E1DF7" w:rsidP="007E1DF7">
      <w:pPr>
        <w:jc w:val="both"/>
        <w:rPr>
          <w:rFonts w:ascii="Calibri" w:eastAsia="Calibri" w:hAnsi="Calibri" w:cs="Calibri"/>
          <w:lang w:val="en-US"/>
        </w:rPr>
      </w:pPr>
      <w:r w:rsidRPr="007E1DF7">
        <w:rPr>
          <w:rFonts w:ascii="Calibri" w:eastAsia="Calibri" w:hAnsi="Calibri" w:cs="Calibri"/>
          <w:lang w:val="en-US"/>
        </w:rPr>
        <w:t>College of Management</w:t>
      </w:r>
    </w:p>
    <w:p w14:paraId="76B57861" w14:textId="77777777" w:rsidR="007E1DF7" w:rsidRPr="007E1DF7" w:rsidRDefault="007E1DF7" w:rsidP="007E1DF7">
      <w:pPr>
        <w:jc w:val="both"/>
        <w:rPr>
          <w:rFonts w:ascii="Calibri" w:eastAsia="Calibri" w:hAnsi="Calibri" w:cs="Calibri"/>
          <w:lang w:val="en-US"/>
        </w:rPr>
      </w:pPr>
      <w:r w:rsidRPr="007E1DF7">
        <w:rPr>
          <w:rFonts w:ascii="Calibri" w:eastAsia="Calibri" w:hAnsi="Calibri" w:cs="Calibri"/>
          <w:lang w:val="en-US"/>
        </w:rPr>
        <w:t>Department of Master of Project Management</w:t>
      </w:r>
    </w:p>
    <w:p w14:paraId="2AD82B8F" w14:textId="77777777" w:rsidR="007E1DF7" w:rsidRPr="007E1DF7" w:rsidRDefault="007E1DF7" w:rsidP="007E1DF7">
      <w:pPr>
        <w:jc w:val="both"/>
        <w:rPr>
          <w:rFonts w:ascii="Calibri" w:eastAsia="Calibri" w:hAnsi="Calibri" w:cs="Calibri"/>
          <w:szCs w:val="24"/>
          <w:rtl/>
          <w:lang w:val="en-US"/>
        </w:rPr>
      </w:pPr>
    </w:p>
    <w:p w14:paraId="59ADD293" w14:textId="77777777" w:rsidR="007E1DF7" w:rsidRPr="007E1DF7" w:rsidRDefault="007E1DF7" w:rsidP="007E1DF7">
      <w:pPr>
        <w:jc w:val="both"/>
        <w:rPr>
          <w:rFonts w:ascii="Calibri" w:eastAsia="Calibri" w:hAnsi="Calibri" w:cs="Calibri"/>
          <w:szCs w:val="24"/>
          <w:rtl/>
          <w:lang w:val="en-US"/>
        </w:rPr>
      </w:pPr>
    </w:p>
    <w:p w14:paraId="7C7449F5" w14:textId="77777777" w:rsidR="007E1DF7" w:rsidRPr="007E1DF7" w:rsidRDefault="007E1DF7" w:rsidP="007E1DF7">
      <w:pPr>
        <w:tabs>
          <w:tab w:val="left" w:pos="5292"/>
        </w:tabs>
        <w:jc w:val="center"/>
        <w:rPr>
          <w:rFonts w:ascii="Calibri" w:eastAsia="Calibri" w:hAnsi="Calibri" w:cs="Calibri"/>
          <w:b/>
          <w:bCs/>
          <w:sz w:val="32"/>
          <w:szCs w:val="32"/>
          <w:lang w:val="en-US"/>
        </w:rPr>
      </w:pPr>
      <w:r w:rsidRPr="007E1DF7">
        <w:rPr>
          <w:rFonts w:ascii="Calibri" w:eastAsia="Calibri" w:hAnsi="Calibri" w:cs="Calibri"/>
          <w:b/>
          <w:bCs/>
          <w:sz w:val="32"/>
          <w:szCs w:val="32"/>
          <w:lang w:val="en-US"/>
        </w:rPr>
        <w:t xml:space="preserve">Barriers to the Implementation of Telehealth Among Allied Healthcare Providers in the Riyadh Second Health Cluster: </w:t>
      </w:r>
    </w:p>
    <w:p w14:paraId="1446462D" w14:textId="77777777" w:rsidR="007E1DF7" w:rsidRPr="007E1DF7" w:rsidRDefault="007E1DF7" w:rsidP="007E1DF7">
      <w:pPr>
        <w:tabs>
          <w:tab w:val="left" w:pos="5292"/>
        </w:tabs>
        <w:jc w:val="center"/>
        <w:rPr>
          <w:rFonts w:ascii="Calibri" w:eastAsia="Calibri" w:hAnsi="Calibri" w:cs="Calibri"/>
          <w:b/>
          <w:bCs/>
          <w:sz w:val="32"/>
          <w:szCs w:val="32"/>
          <w:lang w:val="en-US"/>
        </w:rPr>
      </w:pPr>
      <w:r w:rsidRPr="007E1DF7">
        <w:rPr>
          <w:rFonts w:ascii="Calibri" w:eastAsia="Calibri" w:hAnsi="Calibri" w:cs="Calibri"/>
          <w:b/>
          <w:bCs/>
          <w:sz w:val="32"/>
          <w:szCs w:val="32"/>
          <w:lang w:val="en-US"/>
        </w:rPr>
        <w:t>An Investigative Study</w:t>
      </w:r>
    </w:p>
    <w:p w14:paraId="5A8CF6F2" w14:textId="250D9159" w:rsidR="007E1DF7" w:rsidRPr="007E1DF7" w:rsidRDefault="007E1DF7" w:rsidP="007E1DF7">
      <w:pPr>
        <w:tabs>
          <w:tab w:val="left" w:pos="5562"/>
        </w:tabs>
        <w:jc w:val="both"/>
        <w:rPr>
          <w:rFonts w:ascii="Calibri" w:eastAsia="Calibri" w:hAnsi="Calibri" w:cs="Calibri"/>
          <w:szCs w:val="24"/>
          <w:rtl/>
          <w:lang w:val="en-US"/>
        </w:rPr>
      </w:pPr>
    </w:p>
    <w:p w14:paraId="6CEA7B9A" w14:textId="77777777" w:rsidR="007E1DF7" w:rsidRPr="007E1DF7" w:rsidRDefault="007E1DF7" w:rsidP="007E1DF7">
      <w:pPr>
        <w:jc w:val="center"/>
        <w:rPr>
          <w:rFonts w:ascii="Calibri" w:eastAsia="Calibri" w:hAnsi="Calibri" w:cs="Calibri"/>
          <w:sz w:val="28"/>
          <w:szCs w:val="28"/>
          <w:lang w:val="en-US"/>
        </w:rPr>
      </w:pPr>
      <w:r w:rsidRPr="007E1DF7">
        <w:rPr>
          <w:rFonts w:ascii="Calibri" w:eastAsia="Calibri" w:hAnsi="Calibri" w:cs="Calibri"/>
          <w:sz w:val="28"/>
          <w:szCs w:val="28"/>
          <w:lang w:val="en-US"/>
        </w:rPr>
        <w:t>Prepared by:</w:t>
      </w:r>
    </w:p>
    <w:p w14:paraId="7A94AD0A" w14:textId="77777777" w:rsidR="007E1DF7" w:rsidRPr="007E1DF7" w:rsidRDefault="007E1DF7" w:rsidP="007E1DF7">
      <w:pPr>
        <w:jc w:val="center"/>
        <w:rPr>
          <w:rFonts w:ascii="Calibri" w:eastAsia="Calibri" w:hAnsi="Calibri" w:cs="Calibri"/>
          <w:sz w:val="28"/>
          <w:szCs w:val="28"/>
          <w:lang w:val="en-US"/>
        </w:rPr>
      </w:pPr>
      <w:r w:rsidRPr="007E1DF7">
        <w:rPr>
          <w:rFonts w:ascii="Calibri" w:eastAsia="Calibri" w:hAnsi="Calibri" w:cs="Calibri"/>
          <w:sz w:val="28"/>
          <w:szCs w:val="28"/>
          <w:lang w:val="en-US"/>
        </w:rPr>
        <w:t xml:space="preserve">Ohouad </w:t>
      </w:r>
      <w:proofErr w:type="spellStart"/>
      <w:r w:rsidRPr="007E1DF7">
        <w:rPr>
          <w:rFonts w:ascii="Calibri" w:eastAsia="Calibri" w:hAnsi="Calibri" w:cs="Calibri"/>
          <w:sz w:val="28"/>
          <w:szCs w:val="28"/>
          <w:lang w:val="en-US"/>
        </w:rPr>
        <w:t>Dakelallah</w:t>
      </w:r>
      <w:proofErr w:type="spellEnd"/>
      <w:r w:rsidRPr="007E1DF7">
        <w:rPr>
          <w:rFonts w:ascii="Calibri" w:eastAsia="Calibri" w:hAnsi="Calibri" w:cs="Calibri"/>
          <w:sz w:val="28"/>
          <w:szCs w:val="28"/>
          <w:lang w:val="en-US"/>
        </w:rPr>
        <w:t xml:space="preserve"> Alotaibi</w:t>
      </w:r>
    </w:p>
    <w:p w14:paraId="34BF60A1" w14:textId="77777777" w:rsidR="007E1DF7" w:rsidRPr="007E1DF7" w:rsidRDefault="007E1DF7" w:rsidP="007E1DF7">
      <w:pPr>
        <w:jc w:val="center"/>
        <w:rPr>
          <w:rFonts w:ascii="Calibri" w:eastAsia="Calibri" w:hAnsi="Calibri" w:cs="Calibri"/>
          <w:sz w:val="28"/>
          <w:szCs w:val="28"/>
          <w:lang w:val="en-US"/>
        </w:rPr>
      </w:pPr>
      <w:r w:rsidRPr="007E1DF7">
        <w:rPr>
          <w:rFonts w:ascii="Calibri" w:eastAsia="Calibri" w:hAnsi="Calibri" w:cs="Calibri"/>
          <w:sz w:val="28"/>
          <w:szCs w:val="28"/>
          <w:lang w:val="en-US"/>
        </w:rPr>
        <w:t>Academic ID:</w:t>
      </w:r>
    </w:p>
    <w:p w14:paraId="2CEACE0A" w14:textId="77777777" w:rsidR="007E1DF7" w:rsidRDefault="007E1DF7" w:rsidP="007E1DF7">
      <w:pPr>
        <w:jc w:val="center"/>
        <w:rPr>
          <w:rFonts w:ascii="Calibri" w:eastAsia="Calibri" w:hAnsi="Calibri" w:cs="Calibri"/>
          <w:sz w:val="28"/>
          <w:szCs w:val="28"/>
          <w:lang w:val="en-US"/>
        </w:rPr>
      </w:pPr>
      <w:r w:rsidRPr="007E1DF7">
        <w:rPr>
          <w:rFonts w:ascii="Calibri" w:eastAsia="Calibri" w:hAnsi="Calibri" w:cs="Calibri"/>
          <w:sz w:val="28"/>
          <w:szCs w:val="28"/>
          <w:lang w:val="en-US"/>
        </w:rPr>
        <w:t>232000182</w:t>
      </w:r>
    </w:p>
    <w:p w14:paraId="4DE8EC69" w14:textId="77777777" w:rsidR="00A72F88" w:rsidRPr="007E1DF7" w:rsidRDefault="00A72F88" w:rsidP="007E1DF7">
      <w:pPr>
        <w:jc w:val="center"/>
        <w:rPr>
          <w:rFonts w:ascii="Calibri" w:eastAsia="Calibri" w:hAnsi="Calibri" w:cs="Calibri"/>
          <w:sz w:val="28"/>
          <w:szCs w:val="2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1"/>
        <w:gridCol w:w="4411"/>
      </w:tblGrid>
      <w:tr w:rsidR="00A72F88" w14:paraId="1668A7B5" w14:textId="77777777" w:rsidTr="00553EC4">
        <w:tc>
          <w:tcPr>
            <w:tcW w:w="4411" w:type="dxa"/>
          </w:tcPr>
          <w:p w14:paraId="79D35575" w14:textId="77777777" w:rsidR="00A72F88" w:rsidRDefault="00A72F88" w:rsidP="00553EC4">
            <w:pPr>
              <w:jc w:val="center"/>
              <w:rPr>
                <w:rFonts w:cstheme="minorHAnsi"/>
                <w:b/>
                <w:bCs/>
                <w:sz w:val="28"/>
                <w:szCs w:val="28"/>
              </w:rPr>
            </w:pPr>
            <w:r>
              <w:rPr>
                <w:rFonts w:cstheme="minorHAnsi"/>
                <w:b/>
                <w:bCs/>
                <w:sz w:val="28"/>
                <w:szCs w:val="28"/>
              </w:rPr>
              <w:t>Second Supervisor</w:t>
            </w:r>
          </w:p>
        </w:tc>
        <w:tc>
          <w:tcPr>
            <w:tcW w:w="4411" w:type="dxa"/>
          </w:tcPr>
          <w:p w14:paraId="3B827253" w14:textId="77777777" w:rsidR="00A72F88" w:rsidRDefault="00A72F88" w:rsidP="00553EC4">
            <w:pPr>
              <w:jc w:val="center"/>
              <w:rPr>
                <w:rFonts w:cstheme="minorHAnsi"/>
                <w:b/>
                <w:bCs/>
                <w:sz w:val="28"/>
                <w:szCs w:val="28"/>
              </w:rPr>
            </w:pPr>
            <w:r>
              <w:rPr>
                <w:rFonts w:cstheme="minorHAnsi"/>
                <w:b/>
                <w:bCs/>
                <w:sz w:val="28"/>
                <w:szCs w:val="28"/>
              </w:rPr>
              <w:t>Main S</w:t>
            </w:r>
            <w:r w:rsidRPr="00EE07A4">
              <w:rPr>
                <w:rFonts w:cstheme="minorHAnsi"/>
                <w:b/>
                <w:bCs/>
                <w:sz w:val="28"/>
                <w:szCs w:val="28"/>
              </w:rPr>
              <w:t>upervisor</w:t>
            </w:r>
            <w:r>
              <w:rPr>
                <w:rFonts w:cstheme="minorHAnsi"/>
                <w:b/>
                <w:bCs/>
                <w:sz w:val="28"/>
                <w:szCs w:val="28"/>
              </w:rPr>
              <w:t xml:space="preserve"> </w:t>
            </w:r>
          </w:p>
        </w:tc>
      </w:tr>
      <w:tr w:rsidR="00A72F88" w14:paraId="384DCE4F" w14:textId="77777777" w:rsidTr="00553EC4">
        <w:tc>
          <w:tcPr>
            <w:tcW w:w="4411" w:type="dxa"/>
          </w:tcPr>
          <w:p w14:paraId="47F67E28" w14:textId="77777777" w:rsidR="00A72F88" w:rsidRPr="00D81CD7" w:rsidRDefault="00A72F88" w:rsidP="00553EC4">
            <w:pPr>
              <w:jc w:val="center"/>
              <w:rPr>
                <w:rFonts w:cstheme="minorHAnsi"/>
                <w:sz w:val="28"/>
                <w:szCs w:val="28"/>
              </w:rPr>
            </w:pPr>
            <w:r w:rsidRPr="00CD4264">
              <w:rPr>
                <w:rFonts w:cstheme="minorHAnsi"/>
                <w:sz w:val="28"/>
                <w:szCs w:val="28"/>
              </w:rPr>
              <w:t>Dr.</w:t>
            </w:r>
            <w:r w:rsidRPr="003D21B2">
              <w:rPr>
                <w:rFonts w:cstheme="minorHAnsi"/>
                <w:sz w:val="28"/>
                <w:szCs w:val="28"/>
              </w:rPr>
              <w:t xml:space="preserve"> </w:t>
            </w:r>
            <w:r w:rsidRPr="00CD4264">
              <w:rPr>
                <w:rFonts w:cstheme="minorHAnsi"/>
                <w:sz w:val="28"/>
                <w:szCs w:val="28"/>
              </w:rPr>
              <w:t xml:space="preserve">Fayez Ali </w:t>
            </w:r>
            <w:proofErr w:type="spellStart"/>
            <w:r w:rsidRPr="00CD4264">
              <w:rPr>
                <w:rFonts w:cstheme="minorHAnsi"/>
                <w:sz w:val="28"/>
                <w:szCs w:val="28"/>
              </w:rPr>
              <w:t>Jrad</w:t>
            </w:r>
            <w:proofErr w:type="spellEnd"/>
          </w:p>
        </w:tc>
        <w:tc>
          <w:tcPr>
            <w:tcW w:w="4411" w:type="dxa"/>
          </w:tcPr>
          <w:p w14:paraId="56528F3C" w14:textId="77777777" w:rsidR="00A72F88" w:rsidRPr="00D81CD7" w:rsidRDefault="00A72F88" w:rsidP="00553EC4">
            <w:pPr>
              <w:jc w:val="center"/>
              <w:rPr>
                <w:rFonts w:cstheme="minorHAnsi"/>
                <w:sz w:val="28"/>
                <w:szCs w:val="28"/>
              </w:rPr>
            </w:pPr>
            <w:r w:rsidRPr="004D5249">
              <w:rPr>
                <w:rFonts w:cstheme="minorHAnsi"/>
                <w:sz w:val="28"/>
                <w:szCs w:val="28"/>
              </w:rPr>
              <w:t>Dr.</w:t>
            </w:r>
            <w:r w:rsidRPr="003D21B2">
              <w:rPr>
                <w:rFonts w:cstheme="minorHAnsi"/>
                <w:sz w:val="28"/>
                <w:szCs w:val="28"/>
              </w:rPr>
              <w:t xml:space="preserve"> </w:t>
            </w:r>
            <w:proofErr w:type="spellStart"/>
            <w:r w:rsidRPr="004D5249">
              <w:rPr>
                <w:rFonts w:cstheme="minorHAnsi"/>
                <w:sz w:val="28"/>
                <w:szCs w:val="28"/>
              </w:rPr>
              <w:t>Alfaisal</w:t>
            </w:r>
            <w:proofErr w:type="spellEnd"/>
            <w:r w:rsidRPr="004D5249">
              <w:rPr>
                <w:rFonts w:cstheme="minorHAnsi"/>
                <w:sz w:val="28"/>
                <w:szCs w:val="28"/>
              </w:rPr>
              <w:t xml:space="preserve"> </w:t>
            </w:r>
            <w:proofErr w:type="spellStart"/>
            <w:r w:rsidRPr="004D5249">
              <w:rPr>
                <w:rFonts w:cstheme="minorHAnsi"/>
                <w:sz w:val="28"/>
                <w:szCs w:val="28"/>
              </w:rPr>
              <w:t>Abdelhameed</w:t>
            </w:r>
            <w:proofErr w:type="spellEnd"/>
            <w:r w:rsidRPr="004D5249">
              <w:rPr>
                <w:rFonts w:cstheme="minorHAnsi"/>
                <w:sz w:val="28"/>
                <w:szCs w:val="28"/>
              </w:rPr>
              <w:t xml:space="preserve"> Mohame</w:t>
            </w:r>
            <w:r w:rsidRPr="003D21B2">
              <w:rPr>
                <w:rFonts w:cstheme="minorHAnsi"/>
                <w:sz w:val="28"/>
                <w:szCs w:val="28"/>
              </w:rPr>
              <w:t>d</w:t>
            </w:r>
          </w:p>
        </w:tc>
      </w:tr>
    </w:tbl>
    <w:p w14:paraId="46EF2F66" w14:textId="77777777" w:rsidR="007E1DF7" w:rsidRPr="007E1DF7" w:rsidRDefault="007E1DF7" w:rsidP="007E1DF7">
      <w:pPr>
        <w:jc w:val="center"/>
        <w:rPr>
          <w:rFonts w:ascii="Calibri" w:eastAsia="Calibri" w:hAnsi="Calibri" w:cs="Calibri"/>
          <w:sz w:val="28"/>
          <w:szCs w:val="28"/>
          <w:lang w:val="en-US"/>
        </w:rPr>
      </w:pPr>
    </w:p>
    <w:p w14:paraId="5FA5FD98" w14:textId="77777777" w:rsidR="0000476B" w:rsidRDefault="007E1DF7" w:rsidP="007E1DF7">
      <w:pPr>
        <w:jc w:val="center"/>
        <w:rPr>
          <w:rFonts w:ascii="Calibri" w:eastAsia="Calibri" w:hAnsi="Calibri" w:cs="Calibri"/>
          <w:sz w:val="28"/>
          <w:szCs w:val="28"/>
          <w:lang w:val="en-US"/>
        </w:rPr>
      </w:pPr>
      <w:r w:rsidRPr="007E1DF7">
        <w:rPr>
          <w:rFonts w:ascii="Calibri" w:eastAsia="Calibri" w:hAnsi="Calibri" w:cs="Calibri"/>
          <w:sz w:val="28"/>
          <w:szCs w:val="28"/>
          <w:lang w:val="en-US"/>
        </w:rPr>
        <w:t xml:space="preserve">Year: </w:t>
      </w:r>
    </w:p>
    <w:p w14:paraId="278D5F40" w14:textId="201BA56D" w:rsidR="0051434C" w:rsidRDefault="007E1DF7" w:rsidP="007E1DF7">
      <w:pPr>
        <w:jc w:val="center"/>
        <w:rPr>
          <w:rFonts w:ascii="Calibri" w:eastAsia="Calibri" w:hAnsi="Calibri" w:cs="Calibri"/>
          <w:sz w:val="28"/>
          <w:szCs w:val="28"/>
          <w:lang w:val="en-US"/>
        </w:rPr>
      </w:pPr>
      <w:r w:rsidRPr="007E1DF7">
        <w:rPr>
          <w:rFonts w:ascii="Calibri" w:eastAsia="Calibri" w:hAnsi="Calibri" w:cs="Calibri"/>
          <w:sz w:val="28"/>
          <w:szCs w:val="28"/>
          <w:lang w:val="en-US"/>
        </w:rPr>
        <w:t>2024</w:t>
      </w:r>
    </w:p>
    <w:p w14:paraId="6DEFCE74" w14:textId="77777777" w:rsidR="0051434C" w:rsidRDefault="0051434C">
      <w:pPr>
        <w:spacing w:line="259" w:lineRule="auto"/>
        <w:rPr>
          <w:rFonts w:ascii="Calibri" w:eastAsia="Calibri" w:hAnsi="Calibri" w:cs="Calibri"/>
          <w:sz w:val="28"/>
          <w:szCs w:val="28"/>
          <w:lang w:val="en-US"/>
        </w:rPr>
      </w:pPr>
      <w:r>
        <w:rPr>
          <w:rFonts w:ascii="Calibri" w:eastAsia="Calibri" w:hAnsi="Calibri" w:cs="Calibri"/>
          <w:sz w:val="28"/>
          <w:szCs w:val="28"/>
          <w:lang w:val="en-US"/>
        </w:rPr>
        <w:br w:type="page"/>
      </w:r>
    </w:p>
    <w:p w14:paraId="09B9B0F8" w14:textId="77777777" w:rsidR="0051434C" w:rsidRDefault="0051434C" w:rsidP="007E1DF7">
      <w:pPr>
        <w:jc w:val="center"/>
        <w:rPr>
          <w:rFonts w:ascii="Calibri" w:eastAsia="Calibri" w:hAnsi="Calibri" w:cs="Calibri"/>
          <w:sz w:val="28"/>
          <w:szCs w:val="28"/>
          <w:lang w:val="en-US"/>
        </w:rPr>
      </w:pPr>
    </w:p>
    <w:p w14:paraId="524D9390" w14:textId="6D3E6275" w:rsidR="00307485" w:rsidRPr="001902DB" w:rsidRDefault="00307485" w:rsidP="00081A2B">
      <w:pPr>
        <w:spacing w:line="259" w:lineRule="auto"/>
        <w:jc w:val="righ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3360" behindDoc="0" locked="0" layoutInCell="1" allowOverlap="1" wp14:anchorId="668EA772" wp14:editId="09BAB156">
            <wp:simplePos x="0" y="0"/>
            <wp:positionH relativeFrom="margin">
              <wp:posOffset>-609600</wp:posOffset>
            </wp:positionH>
            <wp:positionV relativeFrom="margin">
              <wp:posOffset>-502920</wp:posOffset>
            </wp:positionV>
            <wp:extent cx="1975485" cy="1833245"/>
            <wp:effectExtent l="0" t="0" r="5715" b="0"/>
            <wp:wrapSquare wrapText="bothSides"/>
            <wp:docPr id="148544824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75485" cy="1833245"/>
                    </a:xfrm>
                    <a:prstGeom prst="rect">
                      <a:avLst/>
                    </a:prstGeom>
                  </pic:spPr>
                </pic:pic>
              </a:graphicData>
            </a:graphic>
            <wp14:sizeRelH relativeFrom="margin">
              <wp14:pctWidth>0</wp14:pctWidth>
            </wp14:sizeRelH>
            <wp14:sizeRelV relativeFrom="margin">
              <wp14:pctHeight>0</wp14:pctHeight>
            </wp14:sizeRelV>
          </wp:anchor>
        </w:drawing>
      </w:r>
      <w:r w:rsidRPr="001902DB">
        <w:rPr>
          <w:rFonts w:ascii="Sakkal Majalla" w:hAnsi="Sakkal Majalla" w:cs="Sakkal Majalla"/>
          <w:b/>
          <w:bCs/>
          <w:sz w:val="28"/>
          <w:szCs w:val="28"/>
          <w:rtl/>
          <w:lang w:bidi="ar-EG"/>
        </w:rPr>
        <w:t>جامعة ميدأوشن</w:t>
      </w:r>
    </w:p>
    <w:p w14:paraId="0522CAAA" w14:textId="77777777" w:rsidR="00307485" w:rsidRPr="001902DB" w:rsidRDefault="00307485" w:rsidP="00307485">
      <w:pPr>
        <w:jc w:val="right"/>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22C59CF3" w14:textId="77777777" w:rsidR="00307485" w:rsidRPr="009125CE" w:rsidRDefault="00307485" w:rsidP="00307485">
      <w:pPr>
        <w:jc w:val="right"/>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أدارة مشاريع</w:t>
      </w:r>
    </w:p>
    <w:p w14:paraId="1222CACE" w14:textId="77777777" w:rsidR="00307485" w:rsidRPr="002871AA" w:rsidRDefault="00307485" w:rsidP="00307485">
      <w:pPr>
        <w:rPr>
          <w:rFonts w:asciiTheme="majorBidi" w:hAnsiTheme="majorBidi" w:cstheme="majorBidi"/>
          <w:sz w:val="28"/>
          <w:szCs w:val="28"/>
          <w:rtl/>
          <w:lang w:bidi="ar-EG"/>
        </w:rPr>
      </w:pPr>
    </w:p>
    <w:p w14:paraId="6CA52F73" w14:textId="508F923E" w:rsidR="00307485" w:rsidRPr="00042491" w:rsidRDefault="00081A2B" w:rsidP="00307485">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rPr>
        <w:t>معوقات</w:t>
      </w:r>
      <w:r w:rsidR="00307485" w:rsidRPr="00504B27">
        <w:rPr>
          <w:rFonts w:ascii="Simplified Arabic" w:hAnsi="Simplified Arabic" w:cs="Simplified Arabic"/>
          <w:b/>
          <w:bCs/>
          <w:sz w:val="32"/>
          <w:szCs w:val="32"/>
          <w:rtl/>
          <w:lang w:bidi="ar-EG"/>
        </w:rPr>
        <w:t xml:space="preserve"> تنفيذ الرعاية الصحية عن بُعد بين الممارسيين الصحيين في التجمع الرياض الصحي الثاني</w:t>
      </w:r>
      <w:r w:rsidR="00307485">
        <w:rPr>
          <w:rFonts w:ascii="Simplified Arabic" w:hAnsi="Simplified Arabic" w:cs="Simplified Arabic" w:hint="cs"/>
          <w:b/>
          <w:bCs/>
          <w:sz w:val="32"/>
          <w:szCs w:val="32"/>
          <w:rtl/>
          <w:lang w:bidi="ar-EG"/>
        </w:rPr>
        <w:t>- دراسة أستطلاعية</w:t>
      </w:r>
    </w:p>
    <w:p w14:paraId="15F13CE2" w14:textId="77777777" w:rsidR="00307485" w:rsidRPr="00042491" w:rsidRDefault="00307485" w:rsidP="00307485">
      <w:pPr>
        <w:jc w:val="center"/>
        <w:rPr>
          <w:rFonts w:ascii="Simplified Arabic" w:hAnsi="Simplified Arabic" w:cs="Simplified Arabic"/>
          <w:sz w:val="28"/>
          <w:szCs w:val="28"/>
          <w:rtl/>
          <w:lang w:bidi="ar-EG"/>
        </w:rPr>
      </w:pPr>
      <w:r w:rsidRPr="00042491">
        <w:rPr>
          <w:rFonts w:ascii="Simplified Arabic" w:hAnsi="Simplified Arabic" w:cs="Simplified Arabic"/>
          <w:sz w:val="28"/>
          <w:szCs w:val="28"/>
          <w:rtl/>
          <w:lang w:bidi="ar-EG"/>
        </w:rPr>
        <w:t>إعداد الطالب/</w:t>
      </w:r>
    </w:p>
    <w:p w14:paraId="62B95735" w14:textId="77777777" w:rsidR="00307485" w:rsidRPr="00042491" w:rsidRDefault="00307485" w:rsidP="00307485">
      <w:pPr>
        <w:jc w:val="center"/>
        <w:rPr>
          <w:rFonts w:ascii="Simplified Arabic" w:hAnsi="Simplified Arabic" w:cs="Simplified Arabic"/>
          <w:b/>
          <w:bCs/>
          <w:sz w:val="28"/>
          <w:szCs w:val="28"/>
          <w:rtl/>
          <w:lang w:bidi="ar-EG"/>
        </w:rPr>
      </w:pPr>
      <w:r w:rsidRPr="00042491">
        <w:rPr>
          <w:rFonts w:ascii="Simplified Arabic" w:hAnsi="Simplified Arabic" w:cs="Simplified Arabic" w:hint="cs"/>
          <w:b/>
          <w:bCs/>
          <w:sz w:val="28"/>
          <w:szCs w:val="28"/>
          <w:rtl/>
          <w:lang w:bidi="ar-EG"/>
        </w:rPr>
        <w:t xml:space="preserve">عهود دخيل الله العتيبي </w:t>
      </w:r>
    </w:p>
    <w:p w14:paraId="7B53736D" w14:textId="77777777" w:rsidR="00307485" w:rsidRPr="00042491" w:rsidRDefault="00307485" w:rsidP="00307485">
      <w:pPr>
        <w:jc w:val="center"/>
        <w:rPr>
          <w:rFonts w:ascii="Simplified Arabic" w:hAnsi="Simplified Arabic" w:cs="Simplified Arabic"/>
          <w:sz w:val="28"/>
          <w:szCs w:val="28"/>
          <w:rtl/>
          <w:lang w:bidi="ar-EG"/>
        </w:rPr>
      </w:pPr>
      <w:r w:rsidRPr="00042491">
        <w:rPr>
          <w:rFonts w:ascii="Simplified Arabic" w:hAnsi="Simplified Arabic" w:cs="Simplified Arabic" w:hint="cs"/>
          <w:sz w:val="28"/>
          <w:szCs w:val="28"/>
          <w:rtl/>
          <w:lang w:bidi="ar-EG"/>
        </w:rPr>
        <w:t>رقم الأكاديمي /</w:t>
      </w:r>
    </w:p>
    <w:p w14:paraId="4B80215F" w14:textId="77777777" w:rsidR="00307485" w:rsidRPr="00504B27" w:rsidRDefault="00307485" w:rsidP="00307485">
      <w:pPr>
        <w:jc w:val="center"/>
        <w:rPr>
          <w:rFonts w:ascii="Simplified Arabic" w:hAnsi="Simplified Arabic" w:cs="Simplified Arabic"/>
          <w:sz w:val="28"/>
          <w:szCs w:val="28"/>
          <w:lang w:bidi="ar-EG"/>
        </w:rPr>
      </w:pPr>
      <w:r w:rsidRPr="00504B27">
        <w:rPr>
          <w:rFonts w:ascii="Simplified Arabic" w:hAnsi="Simplified Arabic" w:cs="Simplified Arabic"/>
          <w:sz w:val="28"/>
          <w:szCs w:val="28"/>
          <w:lang w:bidi="ar-EG"/>
        </w:rPr>
        <w:t>232000182</w:t>
      </w:r>
    </w:p>
    <w:tbl>
      <w:tblPr>
        <w:tblStyle w:val="TableGrid"/>
        <w:tblpPr w:leftFromText="180" w:rightFromText="180" w:vertAnchor="text" w:horzAnchor="margin" w:tblpY="24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307485" w:rsidRPr="00504B27" w14:paraId="08540FFA" w14:textId="77777777" w:rsidTr="00984E79">
        <w:tc>
          <w:tcPr>
            <w:tcW w:w="4675" w:type="dxa"/>
          </w:tcPr>
          <w:p w14:paraId="0D8D0E42" w14:textId="77777777" w:rsidR="00307485" w:rsidRPr="00504B27" w:rsidRDefault="00307485" w:rsidP="00984E79">
            <w:pPr>
              <w:jc w:val="center"/>
              <w:rPr>
                <w:rFonts w:ascii="Simplified Arabic" w:hAnsi="Simplified Arabic" w:cs="Simplified Arabic"/>
                <w:b/>
                <w:bCs/>
                <w:sz w:val="28"/>
                <w:szCs w:val="28"/>
                <w:lang w:val="en-GB" w:bidi="ar-EG"/>
              </w:rPr>
            </w:pPr>
            <w:r w:rsidRPr="00504B27">
              <w:rPr>
                <w:rFonts w:ascii="Simplified Arabic" w:hAnsi="Simplified Arabic" w:cs="Simplified Arabic" w:hint="cs"/>
                <w:b/>
                <w:bCs/>
                <w:sz w:val="28"/>
                <w:szCs w:val="28"/>
                <w:rtl/>
                <w:lang w:val="en-GB" w:bidi="ar-EG"/>
              </w:rPr>
              <w:t>المشرف الثاني</w:t>
            </w:r>
          </w:p>
        </w:tc>
        <w:tc>
          <w:tcPr>
            <w:tcW w:w="4675" w:type="dxa"/>
          </w:tcPr>
          <w:p w14:paraId="7768BE29" w14:textId="77777777" w:rsidR="00307485" w:rsidRPr="00504B27" w:rsidRDefault="00307485" w:rsidP="00984E79">
            <w:pPr>
              <w:jc w:val="center"/>
              <w:rPr>
                <w:rFonts w:ascii="Simplified Arabic" w:hAnsi="Simplified Arabic" w:cs="Simplified Arabic"/>
                <w:b/>
                <w:bCs/>
                <w:sz w:val="28"/>
                <w:szCs w:val="28"/>
                <w:lang w:val="en-GB" w:bidi="ar-EG"/>
              </w:rPr>
            </w:pPr>
            <w:r w:rsidRPr="00504B27">
              <w:rPr>
                <w:rFonts w:ascii="Simplified Arabic" w:hAnsi="Simplified Arabic" w:cs="Simplified Arabic" w:hint="cs"/>
                <w:b/>
                <w:bCs/>
                <w:sz w:val="28"/>
                <w:szCs w:val="28"/>
                <w:rtl/>
                <w:lang w:val="en-GB" w:bidi="ar-EG"/>
              </w:rPr>
              <w:t>المشرف الرئيسي</w:t>
            </w:r>
          </w:p>
        </w:tc>
      </w:tr>
      <w:tr w:rsidR="00307485" w:rsidRPr="00504B27" w14:paraId="37759B94" w14:textId="77777777" w:rsidTr="00984E79">
        <w:tc>
          <w:tcPr>
            <w:tcW w:w="4675" w:type="dxa"/>
          </w:tcPr>
          <w:p w14:paraId="1BF59EA6" w14:textId="77777777" w:rsidR="00307485" w:rsidRPr="00504B27" w:rsidRDefault="00307485" w:rsidP="00984E79">
            <w:pPr>
              <w:jc w:val="center"/>
              <w:rPr>
                <w:rFonts w:ascii="Simplified Arabic" w:hAnsi="Simplified Arabic" w:cs="Simplified Arabic"/>
                <w:sz w:val="28"/>
                <w:szCs w:val="28"/>
                <w:lang w:val="en-GB" w:bidi="ar-EG"/>
              </w:rPr>
            </w:pPr>
            <w:r w:rsidRPr="00504B27">
              <w:rPr>
                <w:rFonts w:ascii="Simplified Arabic" w:hAnsi="Simplified Arabic" w:cs="Simplified Arabic" w:hint="cs"/>
                <w:sz w:val="28"/>
                <w:szCs w:val="28"/>
                <w:rtl/>
                <w:lang w:val="en-GB" w:bidi="ar-EG"/>
              </w:rPr>
              <w:t>د/ فايز علي جراد</w:t>
            </w:r>
          </w:p>
        </w:tc>
        <w:tc>
          <w:tcPr>
            <w:tcW w:w="4675" w:type="dxa"/>
          </w:tcPr>
          <w:p w14:paraId="38D3FBF4" w14:textId="77777777" w:rsidR="00307485" w:rsidRPr="00504B27" w:rsidRDefault="00307485" w:rsidP="00984E79">
            <w:pPr>
              <w:jc w:val="center"/>
              <w:rPr>
                <w:rFonts w:ascii="Simplified Arabic" w:hAnsi="Simplified Arabic" w:cs="Simplified Arabic"/>
                <w:sz w:val="28"/>
                <w:szCs w:val="28"/>
                <w:lang w:val="en-GB" w:bidi="ar-EG"/>
              </w:rPr>
            </w:pPr>
            <w:r w:rsidRPr="00504B27">
              <w:rPr>
                <w:rFonts w:ascii="Simplified Arabic" w:hAnsi="Simplified Arabic" w:cs="Simplified Arabic" w:hint="cs"/>
                <w:sz w:val="28"/>
                <w:szCs w:val="28"/>
                <w:rtl/>
                <w:lang w:val="en-GB" w:bidi="ar-EG"/>
              </w:rPr>
              <w:t>د.الفيصل عبد الحميد</w:t>
            </w:r>
          </w:p>
        </w:tc>
      </w:tr>
    </w:tbl>
    <w:p w14:paraId="35DE51BC" w14:textId="77777777" w:rsidR="00307485" w:rsidRPr="00504B27" w:rsidRDefault="00307485" w:rsidP="00307485">
      <w:pPr>
        <w:rPr>
          <w:rFonts w:ascii="Simplified Arabic" w:hAnsi="Simplified Arabic" w:cs="Simplified Arabic"/>
          <w:b/>
          <w:bCs/>
          <w:sz w:val="32"/>
          <w:szCs w:val="32"/>
          <w:lang w:bidi="ar-EG"/>
        </w:rPr>
      </w:pPr>
    </w:p>
    <w:p w14:paraId="2CF27263" w14:textId="77777777" w:rsidR="00307485" w:rsidRPr="00504B27" w:rsidRDefault="00307485" w:rsidP="00307485">
      <w:pPr>
        <w:jc w:val="center"/>
        <w:rPr>
          <w:rFonts w:ascii="Simplified Arabic" w:hAnsi="Simplified Arabic" w:cs="Simplified Arabic"/>
          <w:b/>
          <w:bCs/>
          <w:sz w:val="28"/>
          <w:szCs w:val="28"/>
          <w:rtl/>
          <w:lang w:bidi="ar-EG"/>
        </w:rPr>
      </w:pPr>
      <w:r w:rsidRPr="00504B27">
        <w:rPr>
          <w:rFonts w:ascii="Simplified Arabic" w:hAnsi="Simplified Arabic" w:cs="Simplified Arabic"/>
          <w:b/>
          <w:bCs/>
          <w:sz w:val="28"/>
          <w:szCs w:val="28"/>
          <w:rtl/>
          <w:lang w:bidi="ar-EG"/>
        </w:rPr>
        <w:t>العام الدراسي:</w:t>
      </w:r>
    </w:p>
    <w:p w14:paraId="6C1B18AD" w14:textId="77777777" w:rsidR="00307485" w:rsidRPr="00504B27" w:rsidRDefault="00307485" w:rsidP="00307485">
      <w:pPr>
        <w:jc w:val="center"/>
        <w:rPr>
          <w:rFonts w:ascii="Simplified Arabic" w:hAnsi="Simplified Arabic" w:cs="Simplified Arabic"/>
          <w:sz w:val="28"/>
          <w:szCs w:val="28"/>
          <w:rtl/>
          <w:lang w:bidi="ar-EG"/>
        </w:rPr>
      </w:pPr>
      <w:r w:rsidRPr="00504B27">
        <w:rPr>
          <w:rFonts w:ascii="Simplified Arabic" w:hAnsi="Simplified Arabic" w:cs="Simplified Arabic"/>
          <w:sz w:val="28"/>
          <w:szCs w:val="28"/>
          <w:rtl/>
          <w:lang w:bidi="ar-EG"/>
        </w:rPr>
        <w:t>202</w:t>
      </w:r>
      <w:r w:rsidRPr="00504B27">
        <w:rPr>
          <w:rFonts w:ascii="Simplified Arabic" w:hAnsi="Simplified Arabic" w:cs="Simplified Arabic" w:hint="cs"/>
          <w:sz w:val="28"/>
          <w:szCs w:val="28"/>
          <w:rtl/>
          <w:lang w:bidi="ar-EG"/>
        </w:rPr>
        <w:t>4</w:t>
      </w:r>
    </w:p>
    <w:p w14:paraId="016C39ED" w14:textId="77777777" w:rsidR="006D620C" w:rsidRDefault="006D620C" w:rsidP="007E1DF7">
      <w:pPr>
        <w:jc w:val="center"/>
        <w:rPr>
          <w:rFonts w:ascii="Calibri" w:eastAsia="Calibri" w:hAnsi="Calibri" w:cs="Calibri"/>
          <w:sz w:val="28"/>
          <w:szCs w:val="28"/>
          <w:lang w:val="en-US"/>
        </w:rPr>
        <w:sectPr w:rsidR="006D620C" w:rsidSect="007F2CEE">
          <w:footerReference w:type="default" r:id="rId10"/>
          <w:type w:val="continuous"/>
          <w:pgSz w:w="12240" w:h="15840" w:code="1"/>
          <w:pgMar w:top="1440" w:right="1440" w:bottom="1440" w:left="1440" w:header="720" w:footer="720" w:gutter="0"/>
          <w:cols w:space="720"/>
          <w:docGrid w:linePitch="360"/>
        </w:sectPr>
      </w:pPr>
    </w:p>
    <w:p w14:paraId="1C8AEEC7" w14:textId="77777777" w:rsidR="00116673" w:rsidRDefault="00116673" w:rsidP="00116673">
      <w:pPr>
        <w:jc w:val="center"/>
        <w:rPr>
          <w:rFonts w:ascii="Sakkal Majalla" w:hAnsi="Sakkal Majalla" w:cs="Sakkal Majalla"/>
          <w:b/>
          <w:bCs/>
          <w:sz w:val="48"/>
          <w:szCs w:val="48"/>
          <w:u w:val="single"/>
        </w:rPr>
      </w:pPr>
    </w:p>
    <w:p w14:paraId="57DD5273" w14:textId="77777777" w:rsidR="00116673" w:rsidRDefault="00116673" w:rsidP="00116673">
      <w:pPr>
        <w:jc w:val="center"/>
        <w:rPr>
          <w:rFonts w:ascii="Sakkal Majalla" w:hAnsi="Sakkal Majalla" w:cs="Sakkal Majalla"/>
          <w:b/>
          <w:bCs/>
          <w:sz w:val="48"/>
          <w:szCs w:val="48"/>
          <w:u w:val="single"/>
        </w:rPr>
      </w:pPr>
    </w:p>
    <w:p w14:paraId="7FACFD78" w14:textId="77777777" w:rsidR="00116673" w:rsidRDefault="00116673" w:rsidP="00116673">
      <w:pPr>
        <w:jc w:val="center"/>
        <w:rPr>
          <w:rFonts w:ascii="Sakkal Majalla" w:hAnsi="Sakkal Majalla" w:cs="Sakkal Majalla"/>
          <w:b/>
          <w:bCs/>
          <w:sz w:val="48"/>
          <w:szCs w:val="48"/>
          <w:u w:val="single"/>
        </w:rPr>
      </w:pPr>
    </w:p>
    <w:p w14:paraId="2F3A95A4" w14:textId="77777777" w:rsidR="00116673" w:rsidRDefault="00116673" w:rsidP="00116673">
      <w:pPr>
        <w:jc w:val="center"/>
        <w:rPr>
          <w:rFonts w:ascii="Sakkal Majalla" w:hAnsi="Sakkal Majalla" w:cs="Sakkal Majalla"/>
          <w:b/>
          <w:bCs/>
          <w:sz w:val="48"/>
          <w:szCs w:val="48"/>
          <w:u w:val="single"/>
        </w:rPr>
      </w:pPr>
    </w:p>
    <w:p w14:paraId="57495557" w14:textId="60B0F4D2" w:rsidR="00116673" w:rsidRPr="00116673" w:rsidRDefault="00116673" w:rsidP="00116673">
      <w:pPr>
        <w:jc w:val="center"/>
        <w:rPr>
          <w:rFonts w:asciiTheme="majorBidi" w:hAnsiTheme="majorBidi" w:cstheme="majorBidi"/>
          <w:b/>
          <w:bCs/>
          <w:sz w:val="52"/>
          <w:szCs w:val="52"/>
        </w:rPr>
      </w:pPr>
      <w:r w:rsidRPr="00116673">
        <w:rPr>
          <w:rFonts w:asciiTheme="majorBidi" w:hAnsiTheme="majorBidi" w:cstheme="majorBidi"/>
          <w:b/>
          <w:bCs/>
          <w:sz w:val="40"/>
          <w:szCs w:val="40"/>
        </w:rPr>
        <w:t>Chapter 1</w:t>
      </w:r>
    </w:p>
    <w:p w14:paraId="1E8B0BA1" w14:textId="77777777" w:rsidR="0017205A" w:rsidRDefault="00116673" w:rsidP="00116673">
      <w:pPr>
        <w:jc w:val="center"/>
        <w:rPr>
          <w:rFonts w:asciiTheme="majorBidi" w:hAnsiTheme="majorBidi" w:cstheme="majorBidi"/>
          <w:sz w:val="28"/>
          <w:szCs w:val="28"/>
          <w:lang w:val="en-US"/>
        </w:rPr>
      </w:pPr>
      <w:r w:rsidRPr="00116673">
        <w:rPr>
          <w:rFonts w:asciiTheme="majorBidi" w:hAnsiTheme="majorBidi" w:cstheme="majorBidi"/>
          <w:b/>
          <w:bCs/>
          <w:sz w:val="40"/>
          <w:szCs w:val="40"/>
        </w:rPr>
        <w:t xml:space="preserve">Introduction </w:t>
      </w:r>
    </w:p>
    <w:p w14:paraId="0D381B02" w14:textId="56AAD06C" w:rsidR="00116673" w:rsidRPr="00116673" w:rsidRDefault="00116673" w:rsidP="00116673">
      <w:pPr>
        <w:jc w:val="center"/>
        <w:rPr>
          <w:rFonts w:asciiTheme="majorBidi" w:hAnsiTheme="majorBidi" w:cstheme="majorBidi"/>
          <w:sz w:val="28"/>
          <w:szCs w:val="28"/>
          <w:lang w:val="en-US"/>
        </w:rPr>
        <w:sectPr w:rsidR="00116673" w:rsidRPr="00116673" w:rsidSect="00C56AEC">
          <w:footerReference w:type="default" r:id="rId11"/>
          <w:pgSz w:w="12240" w:h="15840" w:code="1"/>
          <w:pgMar w:top="1440" w:right="1440" w:bottom="1440" w:left="1440" w:header="720" w:footer="720" w:gutter="0"/>
          <w:pgNumType w:start="1"/>
          <w:cols w:space="720"/>
          <w:docGrid w:linePitch="360"/>
        </w:sectPr>
      </w:pPr>
    </w:p>
    <w:p w14:paraId="6F16E636" w14:textId="385E937D" w:rsidR="000A37D7" w:rsidRDefault="000A37D7" w:rsidP="004859DC"/>
    <w:p w14:paraId="572FFBE0" w14:textId="5C743034" w:rsidR="00A034D9" w:rsidRPr="003306F4" w:rsidRDefault="002707D1" w:rsidP="002707D1">
      <w:pPr>
        <w:pStyle w:val="Heading1"/>
        <w:numPr>
          <w:ilvl w:val="0"/>
          <w:numId w:val="0"/>
        </w:numPr>
        <w:ind w:left="720"/>
        <w:rPr>
          <w:rFonts w:asciiTheme="majorBidi" w:hAnsiTheme="majorBidi"/>
          <w:sz w:val="32"/>
          <w:rtl/>
          <w:lang w:val="en-US"/>
        </w:rPr>
      </w:pPr>
      <w:bookmarkStart w:id="0" w:name="_Toc173856210"/>
      <w:bookmarkStart w:id="1" w:name="_Toc173862465"/>
      <w:bookmarkStart w:id="2" w:name="_Toc173862964"/>
      <w:bookmarkStart w:id="3" w:name="_Toc173998179"/>
      <w:bookmarkStart w:id="4" w:name="_Toc174003128"/>
      <w:r w:rsidRPr="003306F4">
        <w:rPr>
          <w:rFonts w:asciiTheme="majorBidi" w:hAnsiTheme="majorBidi"/>
          <w:sz w:val="32"/>
          <w:lang w:val="en-US"/>
        </w:rPr>
        <w:t xml:space="preserve">1.1 </w:t>
      </w:r>
      <w:r w:rsidR="00A034D9" w:rsidRPr="003306F4">
        <w:rPr>
          <w:rFonts w:asciiTheme="majorBidi" w:hAnsiTheme="majorBidi"/>
          <w:sz w:val="32"/>
          <w:lang w:val="en-US"/>
        </w:rPr>
        <w:t>Introduction:</w:t>
      </w:r>
      <w:bookmarkEnd w:id="0"/>
      <w:bookmarkEnd w:id="1"/>
      <w:bookmarkEnd w:id="2"/>
      <w:bookmarkEnd w:id="3"/>
      <w:bookmarkEnd w:id="4"/>
    </w:p>
    <w:p w14:paraId="66DEACAF" w14:textId="63EEC148" w:rsidR="00A034D9" w:rsidRPr="00A034D9" w:rsidRDefault="00A034D9" w:rsidP="003306F4">
      <w:pPr>
        <w:ind w:firstLine="720"/>
        <w:jc w:val="both"/>
        <w:rPr>
          <w:rFonts w:eastAsia="Calibri" w:cstheme="minorHAnsi"/>
          <w:szCs w:val="24"/>
          <w:lang w:val="en-US"/>
        </w:rPr>
      </w:pPr>
      <w:r w:rsidRPr="00A034D9">
        <w:rPr>
          <w:rFonts w:eastAsia="Calibri" w:cstheme="minorHAnsi"/>
          <w:szCs w:val="24"/>
          <w:lang w:val="en-US"/>
        </w:rPr>
        <w:t>Telehealth has emerged as a transformative force in healthcare, leveraging technology to provide remote medical services. It offers a vital solution to the limitations of traditional healthcare delivery models, especially in regions with geographic, social</w:t>
      </w:r>
      <w:r w:rsidR="003A143C">
        <w:rPr>
          <w:rFonts w:eastAsia="Calibri" w:cstheme="minorHAnsi"/>
          <w:szCs w:val="24"/>
          <w:lang w:val="en-US"/>
        </w:rPr>
        <w:t xml:space="preserve"> or </w:t>
      </w:r>
      <w:r w:rsidRPr="00A034D9">
        <w:rPr>
          <w:rFonts w:eastAsia="Calibri" w:cstheme="minorHAnsi"/>
          <w:szCs w:val="24"/>
          <w:lang w:val="en-US"/>
        </w:rPr>
        <w:t>economic barriers (</w:t>
      </w:r>
      <w:proofErr w:type="spellStart"/>
      <w:r w:rsidRPr="00A034D9">
        <w:rPr>
          <w:rFonts w:eastAsia="Calibri" w:cstheme="minorHAnsi"/>
          <w:szCs w:val="24"/>
          <w:lang w:val="en-US"/>
        </w:rPr>
        <w:t>Anawade</w:t>
      </w:r>
      <w:proofErr w:type="spellEnd"/>
      <w:r w:rsidRPr="00A034D9">
        <w:rPr>
          <w:rFonts w:eastAsia="Calibri" w:cstheme="minorHAnsi"/>
          <w:szCs w:val="24"/>
          <w:lang w:val="en-US"/>
        </w:rPr>
        <w:t>, Sharma and Gahane, 2024). In the Riyadh second health cluster, telehealth presents an opportunity to bridge gaps in care for home healthcare patients, particularly those without primary caregivers, who are often excluded from comprehensive care due to stringent enrolment requirements</w:t>
      </w:r>
      <w:r w:rsidRPr="00A034D9">
        <w:rPr>
          <w:rFonts w:eastAsia="Calibri" w:cstheme="minorHAnsi"/>
          <w:szCs w:val="24"/>
          <w:rtl/>
          <w:lang w:val="en-US"/>
        </w:rPr>
        <w:t>.</w:t>
      </w:r>
    </w:p>
    <w:p w14:paraId="079391BD" w14:textId="77777777" w:rsidR="00A034D9" w:rsidRPr="00A034D9" w:rsidRDefault="00A034D9" w:rsidP="000541BB">
      <w:pPr>
        <w:ind w:firstLine="720"/>
        <w:jc w:val="both"/>
        <w:rPr>
          <w:rFonts w:eastAsia="Calibri" w:cstheme="minorHAnsi"/>
          <w:szCs w:val="24"/>
          <w:lang w:val="en-US"/>
        </w:rPr>
      </w:pPr>
      <w:r w:rsidRPr="00A034D9">
        <w:rPr>
          <w:rFonts w:eastAsia="Calibri" w:cstheme="minorHAnsi"/>
          <w:szCs w:val="24"/>
          <w:lang w:val="en-US"/>
        </w:rPr>
        <w:t>The Riyadh second health cluster represents a significant portion of the population in Saudi Arabia, with a diverse demographic that includes a substantial number of patients requiring home healthcare services. The integration of telehealth into this cluster aims to enhance patient access to medical and allied healthcare providers, offering continuous, coordinated care across various specialties (Haynes, et al., 2021). Despite the potential benefits, the adoption and implementation of telehealth services among allied healthcare providers have been notably slow, posing a significant challenge to the healthcare system's overall efficiency and effectiveness (Barrett, Howlett, Lal and McKinstry, 2024)</w:t>
      </w:r>
      <w:r w:rsidRPr="00A034D9">
        <w:rPr>
          <w:rFonts w:eastAsia="Calibri" w:cstheme="minorHAnsi"/>
          <w:szCs w:val="24"/>
          <w:rtl/>
          <w:lang w:val="en-US"/>
        </w:rPr>
        <w:t>.</w:t>
      </w:r>
    </w:p>
    <w:p w14:paraId="434AC32C" w14:textId="59DEC1BE" w:rsidR="00A034D9" w:rsidRPr="00A034D9" w:rsidRDefault="00A034D9" w:rsidP="000541BB">
      <w:pPr>
        <w:ind w:firstLine="720"/>
        <w:jc w:val="both"/>
        <w:rPr>
          <w:rFonts w:eastAsia="Calibri" w:cstheme="minorHAnsi"/>
          <w:szCs w:val="24"/>
          <w:rtl/>
          <w:lang w:val="en-US"/>
        </w:rPr>
      </w:pPr>
      <w:r w:rsidRPr="00A034D9">
        <w:rPr>
          <w:rFonts w:eastAsia="Calibri" w:cstheme="minorHAnsi"/>
          <w:szCs w:val="24"/>
          <w:lang w:val="en-US"/>
        </w:rPr>
        <w:t>Allied healthcare providers, including physical therapists, occupational therapists, speech therapists, dietitians</w:t>
      </w:r>
      <w:r w:rsidR="003A143C">
        <w:rPr>
          <w:rFonts w:eastAsia="Calibri" w:cstheme="minorHAnsi"/>
          <w:szCs w:val="24"/>
          <w:lang w:val="en-US"/>
        </w:rPr>
        <w:t xml:space="preserve"> and</w:t>
      </w:r>
      <w:r w:rsidRPr="00A034D9">
        <w:rPr>
          <w:rFonts w:eastAsia="Calibri" w:cstheme="minorHAnsi"/>
          <w:szCs w:val="24"/>
          <w:lang w:val="en-US"/>
        </w:rPr>
        <w:t xml:space="preserve"> social workers, play a crucial role in delivering holistic care. Their engagement in telehealth is essential for ensuring comprehensive patient management, yet their participation has </w:t>
      </w:r>
      <w:proofErr w:type="gramStart"/>
      <w:r w:rsidRPr="00A034D9">
        <w:rPr>
          <w:rFonts w:eastAsia="Calibri" w:cstheme="minorHAnsi"/>
          <w:szCs w:val="24"/>
          <w:lang w:val="en-US"/>
        </w:rPr>
        <w:t>lagged behind</w:t>
      </w:r>
      <w:proofErr w:type="gramEnd"/>
      <w:r w:rsidRPr="00A034D9">
        <w:rPr>
          <w:rFonts w:eastAsia="Calibri" w:cstheme="minorHAnsi"/>
          <w:szCs w:val="24"/>
          <w:lang w:val="en-US"/>
        </w:rPr>
        <w:t xml:space="preserve"> that of medical professionals such as nurses and physicians (Barrett, Howlett, Lal and McKinstry, 2024). This research seeks to investigate the reasons behind this slow uptake, aiming to identify barriers and propose solutions to enhance telehealth adoption among allied healthcare providers.</w:t>
      </w:r>
    </w:p>
    <w:p w14:paraId="262E3BB6" w14:textId="77777777" w:rsidR="00A034D9" w:rsidRPr="00A034D9" w:rsidRDefault="00A034D9" w:rsidP="00A034D9">
      <w:pPr>
        <w:jc w:val="both"/>
        <w:rPr>
          <w:rFonts w:eastAsia="Calibri" w:cstheme="minorHAnsi"/>
          <w:szCs w:val="24"/>
          <w:rtl/>
          <w:lang w:val="en-US"/>
        </w:rPr>
      </w:pPr>
    </w:p>
    <w:p w14:paraId="0E3A1EAE" w14:textId="12B73D25" w:rsidR="00A034D9" w:rsidRPr="00A034D9" w:rsidRDefault="00A034D9" w:rsidP="00A034D9">
      <w:pPr>
        <w:jc w:val="both"/>
        <w:rPr>
          <w:rFonts w:eastAsia="Calibri" w:cstheme="minorHAnsi"/>
          <w:szCs w:val="24"/>
          <w:rtl/>
          <w:lang w:val="en-US"/>
        </w:rPr>
      </w:pPr>
    </w:p>
    <w:p w14:paraId="66B7AC3C" w14:textId="20BAC1DA" w:rsidR="00A034D9" w:rsidRPr="00067B07" w:rsidRDefault="000A37D7" w:rsidP="00EB4FD7">
      <w:pPr>
        <w:pStyle w:val="Heading1"/>
        <w:numPr>
          <w:ilvl w:val="0"/>
          <w:numId w:val="0"/>
        </w:numPr>
        <w:ind w:left="720" w:hanging="360"/>
        <w:rPr>
          <w:rFonts w:asciiTheme="majorBidi" w:hAnsiTheme="majorBidi"/>
          <w:sz w:val="32"/>
          <w:rtl/>
          <w:lang w:val="en-US"/>
        </w:rPr>
      </w:pPr>
      <w:bookmarkStart w:id="5" w:name="_Toc173856211"/>
      <w:bookmarkStart w:id="6" w:name="_Toc173862466"/>
      <w:bookmarkStart w:id="7" w:name="_Toc173862965"/>
      <w:bookmarkStart w:id="8" w:name="_Toc173998180"/>
      <w:bookmarkStart w:id="9" w:name="_Toc174003129"/>
      <w:r w:rsidRPr="00067B07">
        <w:rPr>
          <w:rFonts w:asciiTheme="majorBidi" w:hAnsiTheme="majorBidi"/>
          <w:sz w:val="32"/>
          <w:lang w:val="en-US"/>
        </w:rPr>
        <w:lastRenderedPageBreak/>
        <w:t xml:space="preserve">1.2 </w:t>
      </w:r>
      <w:r w:rsidR="00A034D9" w:rsidRPr="00067B07">
        <w:rPr>
          <w:rFonts w:asciiTheme="majorBidi" w:hAnsiTheme="majorBidi"/>
          <w:sz w:val="32"/>
          <w:lang w:val="en-US"/>
        </w:rPr>
        <w:t>Problem Statement</w:t>
      </w:r>
      <w:bookmarkEnd w:id="5"/>
      <w:bookmarkEnd w:id="6"/>
      <w:bookmarkEnd w:id="7"/>
      <w:bookmarkEnd w:id="8"/>
      <w:bookmarkEnd w:id="9"/>
    </w:p>
    <w:p w14:paraId="6834B7E8" w14:textId="042E5505" w:rsidR="003A143C" w:rsidRPr="00A034D9" w:rsidRDefault="00A034D9" w:rsidP="00272857">
      <w:pPr>
        <w:ind w:firstLine="720"/>
        <w:jc w:val="both"/>
        <w:rPr>
          <w:rFonts w:eastAsia="Calibri" w:cstheme="minorHAnsi"/>
          <w:szCs w:val="24"/>
          <w:rtl/>
          <w:lang w:val="en-US"/>
        </w:rPr>
      </w:pPr>
      <w:r w:rsidRPr="00A034D9">
        <w:rPr>
          <w:rFonts w:eastAsia="Calibri" w:cstheme="minorHAnsi"/>
          <w:szCs w:val="24"/>
          <w:lang w:val="en-US"/>
        </w:rPr>
        <w:t>The slow implementation of telehealth among allied healthcare providers in the Riyadh second health cluster limits the ability of the healthcare system to deliver complete and integrated care to home healthcare patients, particularly those lacking primary caregivers. This research aims to address this issue by identifying the barriers to telehealth adoption within this group and exploring strategies to overcome these challenges.</w:t>
      </w:r>
    </w:p>
    <w:p w14:paraId="483297B8" w14:textId="493E40F3" w:rsidR="00A034D9" w:rsidRPr="00067B07" w:rsidRDefault="00A034D9" w:rsidP="00FB060C">
      <w:pPr>
        <w:pStyle w:val="ListParagraph"/>
        <w:keepNext/>
        <w:keepLines/>
        <w:numPr>
          <w:ilvl w:val="1"/>
          <w:numId w:val="27"/>
        </w:numPr>
        <w:bidi w:val="0"/>
        <w:spacing w:before="240" w:after="0"/>
        <w:jc w:val="left"/>
        <w:outlineLvl w:val="0"/>
        <w:rPr>
          <w:rFonts w:asciiTheme="majorBidi" w:eastAsia="Times New Roman" w:hAnsiTheme="majorBidi" w:cstheme="majorBidi"/>
          <w:b/>
          <w:bCs/>
          <w:sz w:val="32"/>
          <w:szCs w:val="32"/>
        </w:rPr>
      </w:pPr>
      <w:bookmarkStart w:id="10" w:name="_Toc173856212"/>
      <w:bookmarkStart w:id="11" w:name="_Toc173862467"/>
      <w:bookmarkStart w:id="12" w:name="_Toc173862966"/>
      <w:bookmarkStart w:id="13" w:name="_Toc173998181"/>
      <w:bookmarkStart w:id="14" w:name="_Toc174003130"/>
      <w:r w:rsidRPr="00067B07">
        <w:rPr>
          <w:rFonts w:asciiTheme="majorBidi" w:eastAsia="Times New Roman" w:hAnsiTheme="majorBidi" w:cstheme="majorBidi"/>
          <w:b/>
          <w:bCs/>
          <w:sz w:val="32"/>
          <w:szCs w:val="32"/>
        </w:rPr>
        <w:t>Study Importance</w:t>
      </w:r>
      <w:bookmarkEnd w:id="10"/>
      <w:bookmarkEnd w:id="11"/>
      <w:bookmarkEnd w:id="12"/>
      <w:bookmarkEnd w:id="13"/>
      <w:bookmarkEnd w:id="14"/>
    </w:p>
    <w:p w14:paraId="28FE0E2C" w14:textId="5348F448" w:rsidR="00A034D9" w:rsidRPr="00A034D9" w:rsidRDefault="00A034D9" w:rsidP="00272857">
      <w:pPr>
        <w:ind w:firstLine="720"/>
        <w:jc w:val="both"/>
        <w:rPr>
          <w:rFonts w:eastAsia="Calibri" w:cstheme="minorHAnsi"/>
          <w:szCs w:val="24"/>
          <w:u w:val="single"/>
          <w:rtl/>
          <w:lang w:val="en-US"/>
        </w:rPr>
      </w:pPr>
      <w:r w:rsidRPr="00A034D9">
        <w:rPr>
          <w:rFonts w:eastAsia="Calibri" w:cstheme="minorHAnsi"/>
          <w:szCs w:val="24"/>
          <w:lang w:val="en-US"/>
        </w:rPr>
        <w:t>This study is significant as it addresses a critical gap in the implementation of telehealth services, focusing on allied healthcare providers who are essential for comprehensive patient care. By identifying and addressing the barriers to telehealth adoption, this research can contribute to the improvement of healthcare delivery models in the Riyadh second health cluster. The findings will have implications for healthcare policy, organizational practices</w:t>
      </w:r>
      <w:r w:rsidR="003A143C">
        <w:rPr>
          <w:rFonts w:eastAsia="Calibri" w:cstheme="minorHAnsi"/>
          <w:szCs w:val="24"/>
          <w:lang w:val="en-US"/>
        </w:rPr>
        <w:t xml:space="preserve"> and</w:t>
      </w:r>
      <w:r w:rsidRPr="00A034D9">
        <w:rPr>
          <w:rFonts w:eastAsia="Calibri" w:cstheme="minorHAnsi"/>
          <w:szCs w:val="24"/>
          <w:lang w:val="en-US"/>
        </w:rPr>
        <w:t xml:space="preserve"> future research, potentially leading to more effective and inclusive telehealth services that benefit a broader patient population.</w:t>
      </w:r>
    </w:p>
    <w:p w14:paraId="35728281" w14:textId="524E5A03" w:rsidR="00A034D9" w:rsidRDefault="00A034D9" w:rsidP="00A7373F">
      <w:pPr>
        <w:pStyle w:val="ListParagraph"/>
        <w:keepNext/>
        <w:keepLines/>
        <w:numPr>
          <w:ilvl w:val="1"/>
          <w:numId w:val="27"/>
        </w:numPr>
        <w:bidi w:val="0"/>
        <w:spacing w:before="240" w:after="0"/>
        <w:outlineLvl w:val="0"/>
        <w:rPr>
          <w:rFonts w:asciiTheme="majorBidi" w:eastAsia="Times New Roman" w:hAnsiTheme="majorBidi" w:cstheme="majorBidi"/>
          <w:b/>
          <w:bCs/>
          <w:sz w:val="32"/>
          <w:szCs w:val="32"/>
        </w:rPr>
      </w:pPr>
      <w:bookmarkStart w:id="15" w:name="_Toc173856213"/>
      <w:bookmarkStart w:id="16" w:name="_Toc173862468"/>
      <w:bookmarkStart w:id="17" w:name="_Toc173862967"/>
      <w:bookmarkStart w:id="18" w:name="_Toc173998182"/>
      <w:bookmarkStart w:id="19" w:name="_Toc174003131"/>
      <w:r w:rsidRPr="00067B07">
        <w:rPr>
          <w:rFonts w:asciiTheme="majorBidi" w:eastAsia="Times New Roman" w:hAnsiTheme="majorBidi" w:cstheme="majorBidi"/>
          <w:b/>
          <w:bCs/>
          <w:sz w:val="32"/>
          <w:szCs w:val="32"/>
        </w:rPr>
        <w:t>Study Purposes</w:t>
      </w:r>
      <w:bookmarkEnd w:id="15"/>
      <w:bookmarkEnd w:id="16"/>
      <w:bookmarkEnd w:id="17"/>
      <w:bookmarkEnd w:id="18"/>
      <w:bookmarkEnd w:id="19"/>
    </w:p>
    <w:p w14:paraId="22E0115D" w14:textId="77777777" w:rsidR="002C1B2A" w:rsidRPr="00067B07" w:rsidRDefault="002C1B2A" w:rsidP="002C1B2A">
      <w:pPr>
        <w:pStyle w:val="ListParagraph"/>
        <w:keepNext/>
        <w:keepLines/>
        <w:bidi w:val="0"/>
        <w:spacing w:before="240" w:after="0"/>
        <w:outlineLvl w:val="0"/>
        <w:rPr>
          <w:rFonts w:asciiTheme="majorBidi" w:eastAsia="Times New Roman" w:hAnsiTheme="majorBidi" w:cstheme="majorBidi"/>
          <w:b/>
          <w:bCs/>
          <w:sz w:val="32"/>
          <w:szCs w:val="32"/>
          <w:rtl/>
        </w:rPr>
      </w:pPr>
    </w:p>
    <w:p w14:paraId="05056483" w14:textId="4F7C32B7" w:rsidR="00A034D9" w:rsidRPr="00D92D90" w:rsidRDefault="00A034D9" w:rsidP="00D92D90">
      <w:pPr>
        <w:pStyle w:val="ListParagraph"/>
        <w:keepNext/>
        <w:keepLines/>
        <w:numPr>
          <w:ilvl w:val="2"/>
          <w:numId w:val="4"/>
        </w:numPr>
        <w:bidi w:val="0"/>
        <w:spacing w:before="40" w:after="0"/>
        <w:outlineLvl w:val="1"/>
        <w:rPr>
          <w:rFonts w:asciiTheme="majorBidi" w:eastAsia="Times New Roman" w:hAnsiTheme="majorBidi" w:cstheme="majorBidi"/>
          <w:b/>
          <w:bCs/>
          <w:sz w:val="28"/>
          <w:szCs w:val="28"/>
        </w:rPr>
      </w:pPr>
      <w:bookmarkStart w:id="20" w:name="_Toc173856214"/>
      <w:bookmarkStart w:id="21" w:name="_Toc173862469"/>
      <w:bookmarkStart w:id="22" w:name="_Toc173862968"/>
      <w:bookmarkStart w:id="23" w:name="_Toc173998183"/>
      <w:bookmarkStart w:id="24" w:name="_Toc174003132"/>
      <w:r w:rsidRPr="00D92D90">
        <w:rPr>
          <w:rFonts w:asciiTheme="majorBidi" w:eastAsia="Times New Roman" w:hAnsiTheme="majorBidi" w:cstheme="majorBidi"/>
          <w:b/>
          <w:bCs/>
          <w:sz w:val="28"/>
          <w:szCs w:val="28"/>
        </w:rPr>
        <w:t>Primary Purpose</w:t>
      </w:r>
      <w:bookmarkEnd w:id="20"/>
      <w:bookmarkEnd w:id="21"/>
      <w:bookmarkEnd w:id="22"/>
      <w:bookmarkEnd w:id="23"/>
      <w:bookmarkEnd w:id="24"/>
    </w:p>
    <w:p w14:paraId="48457C53" w14:textId="2AD5D8A2" w:rsidR="00A034D9" w:rsidRPr="002C1B2A" w:rsidRDefault="00A034D9" w:rsidP="002C1B2A">
      <w:pPr>
        <w:numPr>
          <w:ilvl w:val="0"/>
          <w:numId w:val="4"/>
        </w:numPr>
        <w:contextualSpacing/>
        <w:jc w:val="both"/>
        <w:rPr>
          <w:rFonts w:eastAsia="Calibri" w:cstheme="minorHAnsi"/>
          <w:szCs w:val="24"/>
          <w:lang w:val="en-US"/>
        </w:rPr>
      </w:pPr>
      <w:r w:rsidRPr="00A034D9">
        <w:rPr>
          <w:rFonts w:eastAsia="Calibri" w:cstheme="minorHAnsi"/>
          <w:szCs w:val="24"/>
          <w:lang w:val="en-US"/>
        </w:rPr>
        <w:t>To assess the reasons for the slow adoption of telehealth services among allied healthcare providers in the Riyadh second health cluster</w:t>
      </w:r>
      <w:r w:rsidRPr="00A034D9">
        <w:rPr>
          <w:rFonts w:eastAsia="Calibri" w:cstheme="minorHAnsi"/>
          <w:szCs w:val="24"/>
          <w:rtl/>
          <w:lang w:val="en-US"/>
        </w:rPr>
        <w:t>.</w:t>
      </w:r>
    </w:p>
    <w:p w14:paraId="2CBF5BC3" w14:textId="1A8CD250" w:rsidR="00A034D9" w:rsidRPr="00D92D90" w:rsidRDefault="000541BB" w:rsidP="00D92D90">
      <w:pPr>
        <w:pStyle w:val="ListParagraph"/>
        <w:keepNext/>
        <w:keepLines/>
        <w:numPr>
          <w:ilvl w:val="2"/>
          <w:numId w:val="5"/>
        </w:numPr>
        <w:bidi w:val="0"/>
        <w:spacing w:before="40" w:after="0"/>
        <w:outlineLvl w:val="1"/>
        <w:rPr>
          <w:rFonts w:asciiTheme="majorBidi" w:eastAsia="Times New Roman" w:hAnsiTheme="majorBidi" w:cstheme="majorBidi"/>
          <w:b/>
          <w:bCs/>
          <w:sz w:val="28"/>
          <w:szCs w:val="28"/>
        </w:rPr>
      </w:pPr>
      <w:bookmarkStart w:id="25" w:name="_Toc173856215"/>
      <w:bookmarkStart w:id="26" w:name="_Toc173862470"/>
      <w:bookmarkStart w:id="27" w:name="_Toc173862969"/>
      <w:bookmarkStart w:id="28" w:name="_Toc173998184"/>
      <w:bookmarkStart w:id="29" w:name="_Toc174003133"/>
      <w:r>
        <w:rPr>
          <w:rFonts w:asciiTheme="majorBidi" w:eastAsia="Times New Roman" w:hAnsiTheme="majorBidi" w:cstheme="majorBidi"/>
          <w:b/>
          <w:bCs/>
          <w:sz w:val="28"/>
          <w:szCs w:val="28"/>
        </w:rPr>
        <w:t>Specific Purpose</w:t>
      </w:r>
      <w:r w:rsidR="00A034D9" w:rsidRPr="00D92D90">
        <w:rPr>
          <w:rFonts w:asciiTheme="majorBidi" w:eastAsia="Times New Roman" w:hAnsiTheme="majorBidi" w:cstheme="majorBidi"/>
          <w:b/>
          <w:bCs/>
          <w:sz w:val="28"/>
          <w:szCs w:val="28"/>
          <w:rtl/>
        </w:rPr>
        <w:t>:</w:t>
      </w:r>
      <w:bookmarkEnd w:id="25"/>
      <w:bookmarkEnd w:id="26"/>
      <w:bookmarkEnd w:id="27"/>
      <w:bookmarkEnd w:id="28"/>
      <w:bookmarkEnd w:id="29"/>
    </w:p>
    <w:p w14:paraId="443018FD" w14:textId="77777777" w:rsidR="00A034D9" w:rsidRPr="00A034D9" w:rsidRDefault="00A034D9" w:rsidP="00A034D9">
      <w:pPr>
        <w:numPr>
          <w:ilvl w:val="0"/>
          <w:numId w:val="5"/>
        </w:numPr>
        <w:contextualSpacing/>
        <w:jc w:val="both"/>
        <w:rPr>
          <w:rFonts w:eastAsia="Calibri" w:cstheme="minorHAnsi"/>
          <w:szCs w:val="24"/>
          <w:lang w:val="en-US"/>
        </w:rPr>
      </w:pPr>
      <w:r w:rsidRPr="00A034D9">
        <w:rPr>
          <w:rFonts w:eastAsia="Calibri" w:cstheme="minorHAnsi"/>
          <w:szCs w:val="24"/>
          <w:lang w:val="en-US"/>
        </w:rPr>
        <w:t>To identify technological barriers hindering telehealth implementation among allied healthcare providers</w:t>
      </w:r>
      <w:r w:rsidRPr="00A034D9">
        <w:rPr>
          <w:rFonts w:eastAsia="Calibri" w:cstheme="minorHAnsi"/>
          <w:szCs w:val="24"/>
          <w:rtl/>
          <w:lang w:val="en-US"/>
        </w:rPr>
        <w:t>.</w:t>
      </w:r>
    </w:p>
    <w:p w14:paraId="043B70E3" w14:textId="77777777" w:rsidR="00A034D9" w:rsidRPr="00A034D9" w:rsidRDefault="00A034D9" w:rsidP="00A034D9">
      <w:pPr>
        <w:numPr>
          <w:ilvl w:val="0"/>
          <w:numId w:val="5"/>
        </w:numPr>
        <w:contextualSpacing/>
        <w:jc w:val="both"/>
        <w:rPr>
          <w:rFonts w:eastAsia="Calibri" w:cstheme="minorHAnsi"/>
          <w:szCs w:val="24"/>
          <w:lang w:val="en-US"/>
        </w:rPr>
      </w:pPr>
      <w:r w:rsidRPr="00A034D9">
        <w:rPr>
          <w:rFonts w:eastAsia="Calibri" w:cstheme="minorHAnsi"/>
          <w:szCs w:val="24"/>
          <w:lang w:val="en-US"/>
        </w:rPr>
        <w:t>To explore organizational and policy-related barriers affecting telehealth adoption</w:t>
      </w:r>
      <w:r w:rsidRPr="00A034D9">
        <w:rPr>
          <w:rFonts w:eastAsia="Calibri" w:cstheme="minorHAnsi"/>
          <w:szCs w:val="24"/>
          <w:rtl/>
          <w:lang w:val="en-US"/>
        </w:rPr>
        <w:t>.</w:t>
      </w:r>
    </w:p>
    <w:p w14:paraId="7766792C" w14:textId="77777777" w:rsidR="00A034D9" w:rsidRPr="00A034D9" w:rsidRDefault="00A034D9" w:rsidP="00A034D9">
      <w:pPr>
        <w:numPr>
          <w:ilvl w:val="0"/>
          <w:numId w:val="5"/>
        </w:numPr>
        <w:contextualSpacing/>
        <w:jc w:val="both"/>
        <w:rPr>
          <w:rFonts w:eastAsia="Calibri" w:cstheme="minorHAnsi"/>
          <w:szCs w:val="24"/>
          <w:lang w:val="en-US"/>
        </w:rPr>
      </w:pPr>
      <w:r w:rsidRPr="00A034D9">
        <w:rPr>
          <w:rFonts w:eastAsia="Calibri" w:cstheme="minorHAnsi"/>
          <w:szCs w:val="24"/>
          <w:lang w:val="en-US"/>
        </w:rPr>
        <w:t>To examine socio-cultural factors contributing to the slow uptake of telehealth services</w:t>
      </w:r>
      <w:r w:rsidRPr="00A034D9">
        <w:rPr>
          <w:rFonts w:eastAsia="Calibri" w:cstheme="minorHAnsi"/>
          <w:szCs w:val="24"/>
          <w:rtl/>
          <w:lang w:val="en-US"/>
        </w:rPr>
        <w:t>.</w:t>
      </w:r>
    </w:p>
    <w:p w14:paraId="31437C7B" w14:textId="77777777" w:rsidR="00A034D9" w:rsidRPr="00A034D9" w:rsidRDefault="00A034D9" w:rsidP="00A034D9">
      <w:pPr>
        <w:numPr>
          <w:ilvl w:val="0"/>
          <w:numId w:val="5"/>
        </w:numPr>
        <w:contextualSpacing/>
        <w:jc w:val="both"/>
        <w:rPr>
          <w:rFonts w:eastAsia="Calibri" w:cstheme="minorHAnsi"/>
          <w:szCs w:val="24"/>
          <w:lang w:val="en-US"/>
        </w:rPr>
      </w:pPr>
      <w:r w:rsidRPr="00A034D9">
        <w:rPr>
          <w:rFonts w:eastAsia="Calibri" w:cstheme="minorHAnsi"/>
          <w:szCs w:val="24"/>
          <w:lang w:val="en-US"/>
        </w:rPr>
        <w:t>To propose actionable recommendations for improving telehealth adoption among allied healthcare providers</w:t>
      </w:r>
      <w:r w:rsidRPr="00A034D9">
        <w:rPr>
          <w:rFonts w:eastAsia="Calibri" w:cstheme="minorHAnsi"/>
          <w:szCs w:val="24"/>
          <w:rtl/>
          <w:lang w:val="en-US"/>
        </w:rPr>
        <w:t>.</w:t>
      </w:r>
    </w:p>
    <w:p w14:paraId="050B38F4" w14:textId="77777777" w:rsidR="00A034D9" w:rsidRPr="00A034D9" w:rsidRDefault="00A034D9" w:rsidP="00A034D9">
      <w:pPr>
        <w:jc w:val="both"/>
        <w:rPr>
          <w:rFonts w:eastAsia="Calibri" w:cstheme="minorHAnsi"/>
          <w:szCs w:val="24"/>
          <w:lang w:val="en-US"/>
        </w:rPr>
      </w:pPr>
    </w:p>
    <w:p w14:paraId="20F5E9C6" w14:textId="02380FB2" w:rsidR="00272857" w:rsidRPr="004859DC" w:rsidRDefault="00EB4FD7" w:rsidP="004859DC">
      <w:pPr>
        <w:keepNext/>
        <w:keepLines/>
        <w:numPr>
          <w:ilvl w:val="1"/>
          <w:numId w:val="27"/>
        </w:numPr>
        <w:spacing w:before="240" w:after="0"/>
        <w:jc w:val="both"/>
        <w:outlineLvl w:val="0"/>
        <w:rPr>
          <w:rFonts w:asciiTheme="majorBidi" w:eastAsia="Times New Roman" w:hAnsiTheme="majorBidi" w:cstheme="majorBidi"/>
          <w:b/>
          <w:bCs/>
          <w:sz w:val="32"/>
          <w:szCs w:val="32"/>
          <w:lang w:val="en-US"/>
        </w:rPr>
      </w:pPr>
      <w:bookmarkStart w:id="30" w:name="_Toc173856216"/>
      <w:bookmarkStart w:id="31" w:name="_Toc173862471"/>
      <w:bookmarkStart w:id="32" w:name="_Toc173862970"/>
      <w:r w:rsidRPr="00272857">
        <w:rPr>
          <w:rFonts w:asciiTheme="majorBidi" w:eastAsia="Times New Roman" w:hAnsiTheme="majorBidi" w:cstheme="majorBidi"/>
          <w:b/>
          <w:bCs/>
          <w:sz w:val="32"/>
          <w:szCs w:val="32"/>
          <w:lang w:val="en-US"/>
        </w:rPr>
        <w:lastRenderedPageBreak/>
        <w:t xml:space="preserve"> </w:t>
      </w:r>
      <w:bookmarkStart w:id="33" w:name="_Toc173998185"/>
      <w:bookmarkStart w:id="34" w:name="_Toc174003134"/>
      <w:r w:rsidR="00A034D9" w:rsidRPr="00272857">
        <w:rPr>
          <w:rFonts w:asciiTheme="majorBidi" w:eastAsia="Times New Roman" w:hAnsiTheme="majorBidi" w:cstheme="majorBidi"/>
          <w:b/>
          <w:bCs/>
          <w:sz w:val="32"/>
          <w:szCs w:val="32"/>
          <w:lang w:val="en-US"/>
        </w:rPr>
        <w:t>Study Questions</w:t>
      </w:r>
      <w:bookmarkEnd w:id="30"/>
      <w:bookmarkEnd w:id="31"/>
      <w:bookmarkEnd w:id="32"/>
      <w:bookmarkEnd w:id="33"/>
      <w:bookmarkEnd w:id="34"/>
    </w:p>
    <w:p w14:paraId="51E2A052" w14:textId="24044EC1" w:rsidR="00A034D9" w:rsidRPr="00272857" w:rsidRDefault="00A034D9" w:rsidP="00A7373F">
      <w:pPr>
        <w:keepNext/>
        <w:keepLines/>
        <w:numPr>
          <w:ilvl w:val="2"/>
          <w:numId w:val="27"/>
        </w:numPr>
        <w:spacing w:before="40" w:after="0"/>
        <w:jc w:val="both"/>
        <w:outlineLvl w:val="1"/>
        <w:rPr>
          <w:rFonts w:asciiTheme="majorBidi" w:eastAsia="Times New Roman" w:hAnsiTheme="majorBidi" w:cstheme="majorBidi"/>
          <w:b/>
          <w:bCs/>
          <w:sz w:val="28"/>
          <w:szCs w:val="28"/>
          <w:lang w:val="en-US"/>
        </w:rPr>
      </w:pPr>
      <w:bookmarkStart w:id="35" w:name="_Toc173856217"/>
      <w:bookmarkStart w:id="36" w:name="_Toc173862472"/>
      <w:bookmarkStart w:id="37" w:name="_Toc173862971"/>
      <w:bookmarkStart w:id="38" w:name="_Toc173998186"/>
      <w:bookmarkStart w:id="39" w:name="_Toc174003135"/>
      <w:r w:rsidRPr="00272857">
        <w:rPr>
          <w:rFonts w:asciiTheme="majorBidi" w:eastAsia="Times New Roman" w:hAnsiTheme="majorBidi" w:cstheme="majorBidi"/>
          <w:b/>
          <w:bCs/>
          <w:sz w:val="28"/>
          <w:szCs w:val="28"/>
          <w:lang w:val="en-US"/>
        </w:rPr>
        <w:t>Main Research Question</w:t>
      </w:r>
      <w:bookmarkEnd w:id="35"/>
      <w:bookmarkEnd w:id="36"/>
      <w:bookmarkEnd w:id="37"/>
      <w:bookmarkEnd w:id="38"/>
      <w:bookmarkEnd w:id="39"/>
    </w:p>
    <w:p w14:paraId="7E2D4799" w14:textId="77777777" w:rsidR="00A034D9" w:rsidRPr="00A034D9" w:rsidRDefault="00A034D9" w:rsidP="00A034D9">
      <w:pPr>
        <w:numPr>
          <w:ilvl w:val="0"/>
          <w:numId w:val="6"/>
        </w:numPr>
        <w:contextualSpacing/>
        <w:jc w:val="both"/>
        <w:rPr>
          <w:rFonts w:eastAsia="Calibri" w:cstheme="minorHAnsi"/>
          <w:szCs w:val="24"/>
          <w:lang w:val="en-US"/>
        </w:rPr>
      </w:pPr>
      <w:r w:rsidRPr="00A034D9">
        <w:rPr>
          <w:rFonts w:eastAsia="Calibri" w:cstheme="minorHAnsi"/>
          <w:szCs w:val="24"/>
          <w:lang w:val="en-US"/>
        </w:rPr>
        <w:t>What are the barriers to the adoption of telehealth services among allied healthcare providers in the Riyadh second health cluster</w:t>
      </w:r>
      <w:r w:rsidRPr="00A034D9">
        <w:rPr>
          <w:rFonts w:eastAsia="Calibri" w:cstheme="minorHAnsi"/>
          <w:szCs w:val="24"/>
          <w:rtl/>
          <w:lang w:val="en-US"/>
        </w:rPr>
        <w:t>?</w:t>
      </w:r>
    </w:p>
    <w:p w14:paraId="2A20A24F" w14:textId="4E8E4B1F" w:rsidR="00A034D9" w:rsidRPr="00272857" w:rsidRDefault="000541BB" w:rsidP="00A7373F">
      <w:pPr>
        <w:keepNext/>
        <w:keepLines/>
        <w:numPr>
          <w:ilvl w:val="2"/>
          <w:numId w:val="27"/>
        </w:numPr>
        <w:spacing w:before="40" w:after="0"/>
        <w:jc w:val="both"/>
        <w:outlineLvl w:val="1"/>
        <w:rPr>
          <w:rFonts w:asciiTheme="majorBidi" w:eastAsia="Times New Roman" w:hAnsiTheme="majorBidi" w:cstheme="majorBidi"/>
          <w:b/>
          <w:bCs/>
          <w:sz w:val="28"/>
          <w:szCs w:val="28"/>
          <w:lang w:val="en-US"/>
        </w:rPr>
      </w:pPr>
      <w:bookmarkStart w:id="40" w:name="_Toc173856218"/>
      <w:bookmarkStart w:id="41" w:name="_Toc173862473"/>
      <w:bookmarkStart w:id="42" w:name="_Toc173862972"/>
      <w:bookmarkStart w:id="43" w:name="_Toc173998187"/>
      <w:bookmarkStart w:id="44" w:name="_Toc174003136"/>
      <w:r>
        <w:rPr>
          <w:rFonts w:asciiTheme="majorBidi" w:eastAsia="Times New Roman" w:hAnsiTheme="majorBidi" w:cstheme="majorBidi"/>
          <w:b/>
          <w:bCs/>
          <w:sz w:val="28"/>
          <w:szCs w:val="28"/>
          <w:lang w:val="en-US"/>
        </w:rPr>
        <w:t>Sub-question</w:t>
      </w:r>
      <w:r w:rsidR="00A034D9" w:rsidRPr="00272857">
        <w:rPr>
          <w:rFonts w:asciiTheme="majorBidi" w:eastAsia="Times New Roman" w:hAnsiTheme="majorBidi" w:cstheme="majorBidi"/>
          <w:b/>
          <w:bCs/>
          <w:sz w:val="28"/>
          <w:szCs w:val="28"/>
          <w:rtl/>
          <w:lang w:val="en-US"/>
        </w:rPr>
        <w:t>:</w:t>
      </w:r>
      <w:bookmarkEnd w:id="40"/>
      <w:bookmarkEnd w:id="41"/>
      <w:bookmarkEnd w:id="42"/>
      <w:bookmarkEnd w:id="43"/>
      <w:bookmarkEnd w:id="44"/>
    </w:p>
    <w:p w14:paraId="40FF6F90" w14:textId="77777777" w:rsidR="00A034D9" w:rsidRPr="00A034D9" w:rsidRDefault="00A034D9" w:rsidP="00A034D9">
      <w:pPr>
        <w:numPr>
          <w:ilvl w:val="0"/>
          <w:numId w:val="7"/>
        </w:numPr>
        <w:contextualSpacing/>
        <w:jc w:val="both"/>
        <w:rPr>
          <w:rFonts w:eastAsia="Calibri" w:cstheme="minorHAnsi"/>
          <w:szCs w:val="24"/>
          <w:lang w:val="en-US"/>
        </w:rPr>
      </w:pPr>
      <w:r w:rsidRPr="00A034D9">
        <w:rPr>
          <w:rFonts w:eastAsia="Calibri" w:cstheme="minorHAnsi"/>
          <w:szCs w:val="24"/>
          <w:lang w:val="en-US"/>
        </w:rPr>
        <w:t>What technological barriers are faced by allied healthcare providers in implementing telehealth</w:t>
      </w:r>
      <w:r w:rsidRPr="00A034D9">
        <w:rPr>
          <w:rFonts w:eastAsia="Calibri" w:cstheme="minorHAnsi"/>
          <w:szCs w:val="24"/>
          <w:rtl/>
          <w:lang w:val="en-US"/>
        </w:rPr>
        <w:t>?</w:t>
      </w:r>
    </w:p>
    <w:p w14:paraId="2267D05D" w14:textId="77777777" w:rsidR="00A034D9" w:rsidRPr="00A034D9" w:rsidRDefault="00A034D9" w:rsidP="00A034D9">
      <w:pPr>
        <w:numPr>
          <w:ilvl w:val="0"/>
          <w:numId w:val="7"/>
        </w:numPr>
        <w:contextualSpacing/>
        <w:jc w:val="both"/>
        <w:rPr>
          <w:rFonts w:eastAsia="Calibri" w:cstheme="minorHAnsi"/>
          <w:szCs w:val="24"/>
          <w:lang w:val="en-US"/>
        </w:rPr>
      </w:pPr>
      <w:r w:rsidRPr="00A034D9">
        <w:rPr>
          <w:rFonts w:eastAsia="Calibri" w:cstheme="minorHAnsi"/>
          <w:szCs w:val="24"/>
          <w:lang w:val="en-US"/>
        </w:rPr>
        <w:t>How do organizational policies and structures impact the adoption of telehealth services</w:t>
      </w:r>
      <w:r w:rsidRPr="00A034D9">
        <w:rPr>
          <w:rFonts w:eastAsia="Calibri" w:cstheme="minorHAnsi"/>
          <w:szCs w:val="24"/>
          <w:rtl/>
          <w:lang w:val="en-US"/>
        </w:rPr>
        <w:t>?</w:t>
      </w:r>
    </w:p>
    <w:p w14:paraId="03B14C97" w14:textId="77777777" w:rsidR="00A034D9" w:rsidRPr="00A034D9" w:rsidRDefault="00A034D9" w:rsidP="00A034D9">
      <w:pPr>
        <w:numPr>
          <w:ilvl w:val="0"/>
          <w:numId w:val="7"/>
        </w:numPr>
        <w:contextualSpacing/>
        <w:jc w:val="both"/>
        <w:rPr>
          <w:rFonts w:eastAsia="Calibri" w:cstheme="minorHAnsi"/>
          <w:szCs w:val="24"/>
          <w:lang w:val="en-US"/>
        </w:rPr>
      </w:pPr>
      <w:r w:rsidRPr="00A034D9">
        <w:rPr>
          <w:rFonts w:eastAsia="Calibri" w:cstheme="minorHAnsi"/>
          <w:szCs w:val="24"/>
          <w:lang w:val="en-US"/>
        </w:rPr>
        <w:t>What socio-cultural factors influence the acceptance and use of telehealth among allied healthcare providers</w:t>
      </w:r>
      <w:r w:rsidRPr="00A034D9">
        <w:rPr>
          <w:rFonts w:eastAsia="Calibri" w:cstheme="minorHAnsi"/>
          <w:szCs w:val="24"/>
          <w:rtl/>
          <w:lang w:val="en-US"/>
        </w:rPr>
        <w:t>?</w:t>
      </w:r>
    </w:p>
    <w:p w14:paraId="35C31286" w14:textId="3BD56611" w:rsidR="00A034D9" w:rsidRDefault="00A034D9" w:rsidP="00272857">
      <w:pPr>
        <w:numPr>
          <w:ilvl w:val="0"/>
          <w:numId w:val="7"/>
        </w:numPr>
        <w:contextualSpacing/>
        <w:jc w:val="both"/>
        <w:rPr>
          <w:rFonts w:eastAsia="Calibri" w:cstheme="minorHAnsi"/>
          <w:szCs w:val="24"/>
          <w:lang w:val="en-US"/>
        </w:rPr>
      </w:pPr>
      <w:r w:rsidRPr="00A034D9">
        <w:rPr>
          <w:rFonts w:eastAsia="Calibri" w:cstheme="minorHAnsi"/>
          <w:szCs w:val="24"/>
          <w:lang w:val="en-US"/>
        </w:rPr>
        <w:t>What strategies can be recommended to enhance the adoption of telehealth services</w:t>
      </w:r>
      <w:r w:rsidRPr="00A034D9">
        <w:rPr>
          <w:rFonts w:eastAsia="Calibri" w:cstheme="minorHAnsi"/>
          <w:szCs w:val="24"/>
          <w:rtl/>
          <w:lang w:val="en-US"/>
        </w:rPr>
        <w:t>?</w:t>
      </w:r>
    </w:p>
    <w:p w14:paraId="04B974C5" w14:textId="77777777" w:rsidR="00272857" w:rsidRPr="00272857" w:rsidRDefault="00272857" w:rsidP="00272857">
      <w:pPr>
        <w:ind w:left="720"/>
        <w:contextualSpacing/>
        <w:jc w:val="both"/>
        <w:rPr>
          <w:rFonts w:eastAsia="Calibri" w:cstheme="minorHAnsi"/>
          <w:szCs w:val="24"/>
          <w:lang w:val="en-US"/>
        </w:rPr>
      </w:pPr>
    </w:p>
    <w:p w14:paraId="17AA7872" w14:textId="5C99D3CB" w:rsidR="00A034D9" w:rsidRPr="00272857" w:rsidRDefault="00A034D9" w:rsidP="00A7373F">
      <w:pPr>
        <w:keepNext/>
        <w:keepLines/>
        <w:numPr>
          <w:ilvl w:val="1"/>
          <w:numId w:val="27"/>
        </w:numPr>
        <w:spacing w:before="240" w:after="0"/>
        <w:jc w:val="both"/>
        <w:outlineLvl w:val="0"/>
        <w:rPr>
          <w:rFonts w:asciiTheme="majorBidi" w:eastAsia="Times New Roman" w:hAnsiTheme="majorBidi" w:cstheme="majorBidi"/>
          <w:b/>
          <w:bCs/>
          <w:sz w:val="32"/>
          <w:szCs w:val="32"/>
          <w:lang w:val="en-US"/>
        </w:rPr>
      </w:pPr>
      <w:bookmarkStart w:id="45" w:name="_Toc173856219"/>
      <w:bookmarkStart w:id="46" w:name="_Toc173862474"/>
      <w:bookmarkStart w:id="47" w:name="_Toc173862973"/>
      <w:bookmarkStart w:id="48" w:name="_Toc173998188"/>
      <w:bookmarkStart w:id="49" w:name="_Toc174003137"/>
      <w:r w:rsidRPr="00272857">
        <w:rPr>
          <w:rFonts w:asciiTheme="majorBidi" w:eastAsia="Times New Roman" w:hAnsiTheme="majorBidi" w:cstheme="majorBidi"/>
          <w:b/>
          <w:bCs/>
          <w:sz w:val="32"/>
          <w:szCs w:val="32"/>
          <w:lang w:val="en-US"/>
        </w:rPr>
        <w:t>Research Hypotheses</w:t>
      </w:r>
      <w:bookmarkEnd w:id="45"/>
      <w:bookmarkEnd w:id="46"/>
      <w:bookmarkEnd w:id="47"/>
      <w:bookmarkEnd w:id="48"/>
      <w:bookmarkEnd w:id="49"/>
    </w:p>
    <w:p w14:paraId="01DB781F" w14:textId="77777777" w:rsidR="00A034D9" w:rsidRPr="00A034D9" w:rsidRDefault="00A034D9" w:rsidP="00A034D9">
      <w:pPr>
        <w:numPr>
          <w:ilvl w:val="0"/>
          <w:numId w:val="8"/>
        </w:numPr>
        <w:contextualSpacing/>
        <w:jc w:val="both"/>
        <w:rPr>
          <w:rFonts w:eastAsia="Calibri" w:cstheme="minorHAnsi"/>
          <w:szCs w:val="24"/>
          <w:lang w:val="en-US"/>
        </w:rPr>
      </w:pPr>
      <w:r w:rsidRPr="00A034D9">
        <w:rPr>
          <w:rFonts w:eastAsia="Calibri" w:cstheme="minorHAnsi"/>
          <w:szCs w:val="24"/>
          <w:lang w:val="en-US"/>
        </w:rPr>
        <w:t>Technological barriers significantly hinder the adoption of telehealth among allied healthcare providers in the Riyadh second health cluster</w:t>
      </w:r>
      <w:r w:rsidRPr="00A034D9">
        <w:rPr>
          <w:rFonts w:eastAsia="Calibri" w:cstheme="minorHAnsi"/>
          <w:szCs w:val="24"/>
          <w:rtl/>
          <w:lang w:val="en-US"/>
        </w:rPr>
        <w:t>.</w:t>
      </w:r>
    </w:p>
    <w:p w14:paraId="5B9BF468" w14:textId="77777777" w:rsidR="00A034D9" w:rsidRPr="00A034D9" w:rsidRDefault="00A034D9" w:rsidP="00A034D9">
      <w:pPr>
        <w:numPr>
          <w:ilvl w:val="0"/>
          <w:numId w:val="8"/>
        </w:numPr>
        <w:contextualSpacing/>
        <w:jc w:val="both"/>
        <w:rPr>
          <w:rFonts w:eastAsia="Calibri" w:cstheme="minorHAnsi"/>
          <w:szCs w:val="24"/>
          <w:lang w:val="en-US"/>
        </w:rPr>
      </w:pPr>
      <w:r w:rsidRPr="00A034D9">
        <w:rPr>
          <w:rFonts w:eastAsia="Calibri" w:cstheme="minorHAnsi"/>
          <w:szCs w:val="24"/>
          <w:lang w:val="en-US"/>
        </w:rPr>
        <w:t>Organizational policies and structures negatively impact the adoption of telehealth services among allied healthcare providers</w:t>
      </w:r>
      <w:r w:rsidRPr="00A034D9">
        <w:rPr>
          <w:rFonts w:eastAsia="Calibri" w:cstheme="minorHAnsi"/>
          <w:szCs w:val="24"/>
          <w:rtl/>
          <w:lang w:val="en-US"/>
        </w:rPr>
        <w:t>.</w:t>
      </w:r>
    </w:p>
    <w:p w14:paraId="08FC2E00" w14:textId="77777777" w:rsidR="00A034D9" w:rsidRPr="00A034D9" w:rsidRDefault="00A034D9" w:rsidP="00A034D9">
      <w:pPr>
        <w:numPr>
          <w:ilvl w:val="0"/>
          <w:numId w:val="8"/>
        </w:numPr>
        <w:contextualSpacing/>
        <w:jc w:val="both"/>
        <w:rPr>
          <w:rFonts w:eastAsia="Calibri" w:cstheme="minorHAnsi"/>
          <w:szCs w:val="24"/>
          <w:lang w:val="en-US"/>
        </w:rPr>
      </w:pPr>
      <w:r w:rsidRPr="00A034D9">
        <w:rPr>
          <w:rFonts w:eastAsia="Calibri" w:cstheme="minorHAnsi"/>
          <w:szCs w:val="24"/>
          <w:lang w:val="en-US"/>
        </w:rPr>
        <w:t>Socio-cultural factors play a critical role in the acceptance and use of telehealth among allied healthcare providers</w:t>
      </w:r>
      <w:r w:rsidRPr="00A034D9">
        <w:rPr>
          <w:rFonts w:eastAsia="Calibri" w:cstheme="minorHAnsi"/>
          <w:szCs w:val="24"/>
          <w:rtl/>
          <w:lang w:val="en-US"/>
        </w:rPr>
        <w:t>.</w:t>
      </w:r>
    </w:p>
    <w:p w14:paraId="4D7D75EA" w14:textId="6DC86E2C" w:rsidR="00A034D9" w:rsidRDefault="00A034D9" w:rsidP="00A034D9">
      <w:pPr>
        <w:numPr>
          <w:ilvl w:val="0"/>
          <w:numId w:val="8"/>
        </w:numPr>
        <w:contextualSpacing/>
        <w:jc w:val="both"/>
        <w:rPr>
          <w:rFonts w:eastAsia="Calibri" w:cstheme="minorHAnsi"/>
          <w:szCs w:val="24"/>
          <w:lang w:val="en-US"/>
        </w:rPr>
      </w:pPr>
      <w:r w:rsidRPr="00A034D9">
        <w:rPr>
          <w:rFonts w:eastAsia="Calibri" w:cstheme="minorHAnsi"/>
          <w:szCs w:val="24"/>
          <w:lang w:val="en-US"/>
        </w:rPr>
        <w:t>Addressing identified barriers through targeted strategies will enhance the adoption of telehealth services</w:t>
      </w:r>
      <w:r w:rsidR="00DD67D4">
        <w:rPr>
          <w:rFonts w:eastAsia="Calibri" w:cstheme="minorHAnsi"/>
          <w:szCs w:val="24"/>
          <w:lang w:val="en-US"/>
        </w:rPr>
        <w:t>.</w:t>
      </w:r>
    </w:p>
    <w:p w14:paraId="137405EF" w14:textId="5740412E" w:rsidR="00DD67D4" w:rsidRDefault="00DD67D4">
      <w:pPr>
        <w:spacing w:line="259" w:lineRule="auto"/>
        <w:rPr>
          <w:rFonts w:eastAsia="Calibri" w:cstheme="minorHAnsi"/>
          <w:szCs w:val="24"/>
          <w:lang w:val="en-US"/>
        </w:rPr>
      </w:pPr>
      <w:r>
        <w:rPr>
          <w:rFonts w:eastAsia="Calibri" w:cstheme="minorHAnsi"/>
          <w:szCs w:val="24"/>
          <w:lang w:val="en-US"/>
        </w:rPr>
        <w:br w:type="page"/>
      </w:r>
    </w:p>
    <w:p w14:paraId="57117865" w14:textId="77777777" w:rsidR="00DD67D4" w:rsidRDefault="00DD67D4" w:rsidP="0069260E">
      <w:pPr>
        <w:ind w:left="720"/>
        <w:contextualSpacing/>
        <w:jc w:val="center"/>
        <w:rPr>
          <w:rFonts w:eastAsia="Calibri" w:cstheme="minorHAnsi"/>
          <w:szCs w:val="24"/>
          <w:lang w:val="en-US"/>
        </w:rPr>
      </w:pPr>
    </w:p>
    <w:p w14:paraId="2C8AC025" w14:textId="77777777" w:rsidR="0069260E" w:rsidRDefault="0069260E" w:rsidP="0069260E">
      <w:pPr>
        <w:ind w:left="720"/>
        <w:contextualSpacing/>
        <w:jc w:val="center"/>
        <w:rPr>
          <w:rFonts w:eastAsia="Calibri" w:cstheme="minorHAnsi"/>
          <w:szCs w:val="24"/>
          <w:lang w:val="en-US"/>
        </w:rPr>
      </w:pPr>
    </w:p>
    <w:p w14:paraId="6970A91C" w14:textId="77777777" w:rsidR="0069260E" w:rsidRDefault="0069260E" w:rsidP="0069260E">
      <w:pPr>
        <w:ind w:left="720"/>
        <w:contextualSpacing/>
        <w:jc w:val="center"/>
        <w:rPr>
          <w:rFonts w:eastAsia="Calibri" w:cstheme="minorHAnsi"/>
          <w:szCs w:val="24"/>
          <w:lang w:val="en-US"/>
        </w:rPr>
      </w:pPr>
    </w:p>
    <w:p w14:paraId="0859AE12" w14:textId="77777777" w:rsidR="0069260E" w:rsidRDefault="0069260E" w:rsidP="0069260E">
      <w:pPr>
        <w:ind w:left="720"/>
        <w:contextualSpacing/>
        <w:jc w:val="center"/>
        <w:rPr>
          <w:rFonts w:eastAsia="Calibri" w:cstheme="minorHAnsi"/>
          <w:szCs w:val="24"/>
          <w:lang w:val="en-US"/>
        </w:rPr>
      </w:pPr>
    </w:p>
    <w:p w14:paraId="509D409F" w14:textId="77777777" w:rsidR="0069260E" w:rsidRDefault="0069260E" w:rsidP="0069260E">
      <w:pPr>
        <w:ind w:left="720"/>
        <w:contextualSpacing/>
        <w:jc w:val="center"/>
        <w:rPr>
          <w:rFonts w:eastAsia="Calibri" w:cstheme="minorHAnsi"/>
          <w:szCs w:val="24"/>
          <w:lang w:val="en-US"/>
        </w:rPr>
      </w:pPr>
    </w:p>
    <w:p w14:paraId="0E90EAF7" w14:textId="77777777" w:rsidR="0069260E" w:rsidRDefault="0069260E" w:rsidP="0069260E">
      <w:pPr>
        <w:ind w:left="720"/>
        <w:contextualSpacing/>
        <w:jc w:val="center"/>
        <w:rPr>
          <w:rFonts w:eastAsia="Calibri" w:cstheme="minorHAnsi"/>
          <w:szCs w:val="24"/>
          <w:lang w:val="en-US"/>
        </w:rPr>
      </w:pPr>
    </w:p>
    <w:p w14:paraId="5DE3CE6D" w14:textId="77777777" w:rsidR="0069260E" w:rsidRDefault="0069260E" w:rsidP="0069260E">
      <w:pPr>
        <w:ind w:left="720"/>
        <w:contextualSpacing/>
        <w:jc w:val="center"/>
        <w:rPr>
          <w:rFonts w:eastAsia="Calibri" w:cstheme="minorHAnsi"/>
          <w:szCs w:val="24"/>
          <w:lang w:val="en-US"/>
        </w:rPr>
      </w:pPr>
    </w:p>
    <w:p w14:paraId="4AFA89DF" w14:textId="77777777" w:rsidR="00E7639E" w:rsidRDefault="00E7639E" w:rsidP="0069260E">
      <w:pPr>
        <w:ind w:left="720"/>
        <w:contextualSpacing/>
        <w:jc w:val="center"/>
        <w:rPr>
          <w:rFonts w:eastAsia="Calibri" w:cstheme="minorHAnsi"/>
          <w:szCs w:val="24"/>
          <w:lang w:val="en-US"/>
        </w:rPr>
      </w:pPr>
    </w:p>
    <w:p w14:paraId="668CBE5A" w14:textId="77777777" w:rsidR="0069260E" w:rsidRDefault="0069260E" w:rsidP="0069260E">
      <w:pPr>
        <w:ind w:left="720"/>
        <w:contextualSpacing/>
        <w:jc w:val="center"/>
        <w:rPr>
          <w:rFonts w:eastAsia="Calibri" w:cstheme="minorHAnsi"/>
          <w:szCs w:val="24"/>
          <w:lang w:val="en-US"/>
        </w:rPr>
      </w:pPr>
    </w:p>
    <w:p w14:paraId="54B449FB" w14:textId="77777777" w:rsidR="0069260E" w:rsidRDefault="0069260E" w:rsidP="0069260E">
      <w:pPr>
        <w:ind w:left="720"/>
        <w:contextualSpacing/>
        <w:jc w:val="center"/>
        <w:rPr>
          <w:rFonts w:eastAsia="Calibri" w:cstheme="minorHAnsi"/>
          <w:szCs w:val="24"/>
          <w:lang w:val="en-US"/>
        </w:rPr>
      </w:pPr>
    </w:p>
    <w:p w14:paraId="2AD311AF" w14:textId="6AA2B145" w:rsidR="0069260E" w:rsidRPr="00E057D1" w:rsidRDefault="0069260E" w:rsidP="0069260E">
      <w:pPr>
        <w:jc w:val="center"/>
        <w:rPr>
          <w:rFonts w:asciiTheme="majorBidi" w:hAnsiTheme="majorBidi" w:cstheme="majorBidi"/>
          <w:b/>
          <w:bCs/>
          <w:sz w:val="40"/>
          <w:szCs w:val="40"/>
          <w:rtl/>
        </w:rPr>
      </w:pPr>
      <w:r w:rsidRPr="00E057D1">
        <w:rPr>
          <w:rFonts w:asciiTheme="majorBidi" w:hAnsiTheme="majorBidi" w:cstheme="majorBidi"/>
          <w:b/>
          <w:bCs/>
          <w:sz w:val="40"/>
          <w:szCs w:val="40"/>
        </w:rPr>
        <w:t>Chapter 2</w:t>
      </w:r>
    </w:p>
    <w:p w14:paraId="7E5A3F5C" w14:textId="77777777" w:rsidR="0069260E" w:rsidRPr="00E057D1" w:rsidRDefault="0069260E" w:rsidP="0069260E">
      <w:pPr>
        <w:jc w:val="center"/>
        <w:rPr>
          <w:rFonts w:asciiTheme="majorBidi" w:hAnsiTheme="majorBidi" w:cstheme="majorBidi"/>
          <w:b/>
          <w:bCs/>
          <w:sz w:val="40"/>
          <w:szCs w:val="40"/>
          <w:rtl/>
        </w:rPr>
      </w:pPr>
      <w:r w:rsidRPr="00E057D1">
        <w:rPr>
          <w:rFonts w:asciiTheme="majorBidi" w:hAnsiTheme="majorBidi" w:cstheme="majorBidi"/>
          <w:b/>
          <w:bCs/>
          <w:sz w:val="40"/>
          <w:szCs w:val="40"/>
        </w:rPr>
        <w:t>Literature review</w:t>
      </w:r>
    </w:p>
    <w:p w14:paraId="10171A78" w14:textId="77777777" w:rsidR="0069260E" w:rsidRPr="00A034D9" w:rsidRDefault="0069260E" w:rsidP="0069260E">
      <w:pPr>
        <w:ind w:left="720"/>
        <w:contextualSpacing/>
        <w:jc w:val="center"/>
        <w:rPr>
          <w:rFonts w:eastAsia="Calibri" w:cstheme="minorHAnsi"/>
          <w:szCs w:val="24"/>
          <w:rtl/>
          <w:lang w:val="en-US"/>
        </w:rPr>
      </w:pPr>
    </w:p>
    <w:p w14:paraId="2D1047D2" w14:textId="77777777" w:rsidR="007E1DF7" w:rsidRPr="007E1DF7" w:rsidRDefault="007E1DF7" w:rsidP="007E1DF7">
      <w:pPr>
        <w:rPr>
          <w:lang w:val="en-US"/>
        </w:rPr>
      </w:pPr>
    </w:p>
    <w:p w14:paraId="41FDA639" w14:textId="323E5D8B" w:rsidR="00A034D9" w:rsidRDefault="00A034D9">
      <w:pPr>
        <w:spacing w:line="259" w:lineRule="auto"/>
        <w:rPr>
          <w:lang w:val="en-US"/>
        </w:rPr>
      </w:pPr>
      <w:r>
        <w:rPr>
          <w:lang w:val="en-US"/>
        </w:rPr>
        <w:br w:type="page"/>
      </w:r>
    </w:p>
    <w:p w14:paraId="156453FB" w14:textId="241057FE" w:rsidR="00A034D9" w:rsidRPr="00C01D27" w:rsidRDefault="00A034D9" w:rsidP="00A034D9">
      <w:pPr>
        <w:keepNext/>
        <w:keepLines/>
        <w:numPr>
          <w:ilvl w:val="1"/>
          <w:numId w:val="9"/>
        </w:numPr>
        <w:spacing w:before="240" w:after="0"/>
        <w:jc w:val="both"/>
        <w:outlineLvl w:val="0"/>
        <w:rPr>
          <w:rFonts w:asciiTheme="majorBidi" w:eastAsia="Times New Roman" w:hAnsiTheme="majorBidi" w:cstheme="majorBidi"/>
          <w:b/>
          <w:bCs/>
          <w:sz w:val="32"/>
          <w:szCs w:val="40"/>
          <w:lang w:val="en-US"/>
        </w:rPr>
      </w:pPr>
      <w:bookmarkStart w:id="50" w:name="_Toc173856221"/>
      <w:bookmarkStart w:id="51" w:name="_Toc173862476"/>
      <w:bookmarkStart w:id="52" w:name="_Toc173862975"/>
      <w:bookmarkStart w:id="53" w:name="_Toc173998190"/>
      <w:bookmarkStart w:id="54" w:name="_Toc174003139"/>
      <w:r w:rsidRPr="00C01D27">
        <w:rPr>
          <w:rFonts w:asciiTheme="majorBidi" w:eastAsia="Times New Roman" w:hAnsiTheme="majorBidi" w:cstheme="majorBidi"/>
          <w:b/>
          <w:bCs/>
          <w:sz w:val="32"/>
          <w:szCs w:val="40"/>
          <w:lang w:val="en-US"/>
        </w:rPr>
        <w:lastRenderedPageBreak/>
        <w:t>Introduction</w:t>
      </w:r>
      <w:bookmarkEnd w:id="50"/>
      <w:bookmarkEnd w:id="51"/>
      <w:bookmarkEnd w:id="52"/>
      <w:bookmarkEnd w:id="53"/>
      <w:bookmarkEnd w:id="54"/>
    </w:p>
    <w:p w14:paraId="40FA01CE" w14:textId="560C6F92" w:rsidR="00A034D9" w:rsidRPr="00A034D9" w:rsidRDefault="00A034D9" w:rsidP="00216E63">
      <w:pPr>
        <w:ind w:firstLine="720"/>
        <w:jc w:val="both"/>
        <w:rPr>
          <w:rFonts w:ascii="Calibri" w:eastAsia="Calibri" w:hAnsi="Calibri" w:cs="Arial"/>
          <w:lang w:val="en-US"/>
        </w:rPr>
      </w:pPr>
      <w:r w:rsidRPr="00A034D9">
        <w:rPr>
          <w:rFonts w:ascii="Calibri" w:eastAsia="Calibri" w:hAnsi="Calibri" w:cs="Arial"/>
          <w:lang w:val="en-US"/>
        </w:rPr>
        <w:t>The adoption of telehealth services has the potential to significantly enhance the accessibility and quality of healthcare, particularly for home healthcare patients who may lack primary caregivers (Pogorzelska-Maziarz, et al., 2021). However, the uptake of telehealth among allied healthcare providers in the Riyadh second health cluster has been notably slow, impeding the delivery of comprehensive care across the healthcare continuum. This literature review examines the existing body of research on telehealth adoption, focusing on the dependent variable of telehealth adoption itself and the independent variables influencing it, including technological barriers, organizational and policy-related barriers</w:t>
      </w:r>
      <w:r w:rsidR="003A143C">
        <w:rPr>
          <w:rFonts w:ascii="Calibri" w:eastAsia="Calibri" w:hAnsi="Calibri" w:cs="Arial"/>
          <w:lang w:val="en-US"/>
        </w:rPr>
        <w:t xml:space="preserve"> and</w:t>
      </w:r>
      <w:r w:rsidR="00601EA7">
        <w:rPr>
          <w:rFonts w:ascii="Calibri" w:eastAsia="Calibri" w:hAnsi="Calibri" w:cs="Arial"/>
          <w:lang w:val="en-US"/>
        </w:rPr>
        <w:t xml:space="preserve"> socio-cultural factors.</w:t>
      </w:r>
    </w:p>
    <w:p w14:paraId="52240FFB" w14:textId="5356127C" w:rsidR="00A034D9" w:rsidRPr="00C01D27" w:rsidRDefault="00A034D9" w:rsidP="00A034D9">
      <w:pPr>
        <w:keepNext/>
        <w:keepLines/>
        <w:numPr>
          <w:ilvl w:val="1"/>
          <w:numId w:val="9"/>
        </w:numPr>
        <w:spacing w:before="240" w:after="0"/>
        <w:jc w:val="both"/>
        <w:outlineLvl w:val="0"/>
        <w:rPr>
          <w:rFonts w:asciiTheme="majorBidi" w:eastAsia="Times New Roman" w:hAnsiTheme="majorBidi" w:cstheme="majorBidi"/>
          <w:b/>
          <w:bCs/>
          <w:sz w:val="32"/>
          <w:szCs w:val="40"/>
          <w:lang w:val="en-US"/>
        </w:rPr>
      </w:pPr>
      <w:bookmarkStart w:id="55" w:name="_Toc173856222"/>
      <w:bookmarkStart w:id="56" w:name="_Toc173862477"/>
      <w:bookmarkStart w:id="57" w:name="_Toc173862976"/>
      <w:bookmarkStart w:id="58" w:name="_Toc173998191"/>
      <w:bookmarkStart w:id="59" w:name="_Toc174003140"/>
      <w:r w:rsidRPr="00C01D27">
        <w:rPr>
          <w:rFonts w:asciiTheme="majorBidi" w:eastAsia="Times New Roman" w:hAnsiTheme="majorBidi" w:cstheme="majorBidi"/>
          <w:b/>
          <w:bCs/>
          <w:sz w:val="32"/>
          <w:szCs w:val="40"/>
          <w:lang w:val="en-US"/>
        </w:rPr>
        <w:t>Past studies</w:t>
      </w:r>
      <w:bookmarkEnd w:id="55"/>
      <w:bookmarkEnd w:id="56"/>
      <w:bookmarkEnd w:id="57"/>
      <w:bookmarkEnd w:id="58"/>
      <w:bookmarkEnd w:id="59"/>
    </w:p>
    <w:p w14:paraId="4C85E959" w14:textId="749B9843" w:rsidR="00A034D9" w:rsidRPr="00486E01" w:rsidRDefault="00A034D9" w:rsidP="00A034D9">
      <w:pPr>
        <w:keepNext/>
        <w:keepLines/>
        <w:numPr>
          <w:ilvl w:val="2"/>
          <w:numId w:val="9"/>
        </w:numPr>
        <w:spacing w:before="40" w:after="0"/>
        <w:jc w:val="both"/>
        <w:outlineLvl w:val="1"/>
        <w:rPr>
          <w:rFonts w:asciiTheme="majorBidi" w:eastAsia="Times New Roman" w:hAnsiTheme="majorBidi" w:cstheme="majorBidi"/>
          <w:b/>
          <w:bCs/>
          <w:sz w:val="28"/>
          <w:szCs w:val="28"/>
          <w:lang w:val="en-US"/>
        </w:rPr>
      </w:pPr>
      <w:bookmarkStart w:id="60" w:name="_Toc173856223"/>
      <w:bookmarkStart w:id="61" w:name="_Toc173862478"/>
      <w:bookmarkStart w:id="62" w:name="_Toc173862977"/>
      <w:bookmarkStart w:id="63" w:name="_Toc173998192"/>
      <w:bookmarkStart w:id="64" w:name="_Toc174003141"/>
      <w:r w:rsidRPr="00486E01">
        <w:rPr>
          <w:rFonts w:asciiTheme="majorBidi" w:eastAsia="Times New Roman" w:hAnsiTheme="majorBidi" w:cstheme="majorBidi"/>
          <w:b/>
          <w:bCs/>
          <w:sz w:val="28"/>
          <w:szCs w:val="28"/>
          <w:lang w:val="en-US"/>
        </w:rPr>
        <w:t>Dependent Variable - The Adoption of Telehealth Services by allied healthcare providers</w:t>
      </w:r>
      <w:bookmarkEnd w:id="60"/>
      <w:bookmarkEnd w:id="61"/>
      <w:bookmarkEnd w:id="62"/>
      <w:bookmarkEnd w:id="63"/>
      <w:bookmarkEnd w:id="64"/>
    </w:p>
    <w:p w14:paraId="4855DB04" w14:textId="056201B1" w:rsidR="00A034D9" w:rsidRPr="00A034D9" w:rsidRDefault="00A034D9" w:rsidP="00216E63">
      <w:pPr>
        <w:ind w:firstLine="720"/>
        <w:jc w:val="both"/>
        <w:rPr>
          <w:rFonts w:ascii="Calibri" w:eastAsia="Calibri" w:hAnsi="Calibri" w:cs="Arial"/>
          <w:lang w:val="en-US"/>
        </w:rPr>
      </w:pPr>
      <w:r w:rsidRPr="00A034D9">
        <w:rPr>
          <w:rFonts w:ascii="Calibri" w:eastAsia="Calibri" w:hAnsi="Calibri" w:cs="Arial"/>
          <w:lang w:val="en-US"/>
        </w:rPr>
        <w:t>The dependent variable in this study is the adoption of telehealth services by allied healthcare providers. Adoption refers to the extent to which these providers incorporate telehealth technologies into their routine practice. It encompasses various aspects, including the frequency of use, the range of services offered via telehealth</w:t>
      </w:r>
      <w:r w:rsidR="003A143C">
        <w:rPr>
          <w:rFonts w:ascii="Calibri" w:eastAsia="Calibri" w:hAnsi="Calibri" w:cs="Arial"/>
          <w:lang w:val="en-US"/>
        </w:rPr>
        <w:t xml:space="preserve"> and</w:t>
      </w:r>
      <w:r w:rsidRPr="00A034D9">
        <w:rPr>
          <w:rFonts w:ascii="Calibri" w:eastAsia="Calibri" w:hAnsi="Calibri" w:cs="Arial"/>
          <w:lang w:val="en-US"/>
        </w:rPr>
        <w:t xml:space="preserve"> the integration of telehealth into standard care protocols (Sharma, Pruthi and Sageena, 2022)</w:t>
      </w:r>
      <w:r w:rsidRPr="00A034D9">
        <w:rPr>
          <w:rFonts w:ascii="Calibri" w:eastAsia="Calibri" w:hAnsi="Calibri" w:cs="Arial"/>
          <w:rtl/>
          <w:lang w:val="en-US"/>
        </w:rPr>
        <w:t>.</w:t>
      </w:r>
    </w:p>
    <w:p w14:paraId="20C00092" w14:textId="1F7057E1" w:rsidR="00A034D9" w:rsidRPr="00A034D9" w:rsidRDefault="00A034D9" w:rsidP="00216E63">
      <w:pPr>
        <w:ind w:firstLine="720"/>
        <w:jc w:val="both"/>
        <w:rPr>
          <w:rFonts w:ascii="Calibri" w:eastAsia="Calibri" w:hAnsi="Calibri" w:cs="Arial"/>
          <w:lang w:val="en-US"/>
        </w:rPr>
      </w:pPr>
      <w:r w:rsidRPr="00A034D9">
        <w:rPr>
          <w:rFonts w:ascii="Calibri" w:eastAsia="Calibri" w:hAnsi="Calibri" w:cs="Arial"/>
          <w:lang w:val="en-US"/>
        </w:rPr>
        <w:t>Definition and Scope: Adoption of telehealth involves the use of digital communication tools to deliver healthcare services remotely. It includes video consultations, remote monitoring</w:t>
      </w:r>
      <w:r w:rsidR="003A143C">
        <w:rPr>
          <w:rFonts w:ascii="Calibri" w:eastAsia="Calibri" w:hAnsi="Calibri" w:cs="Arial"/>
          <w:lang w:val="en-US"/>
        </w:rPr>
        <w:t xml:space="preserve"> and</w:t>
      </w:r>
      <w:r w:rsidRPr="00A034D9">
        <w:rPr>
          <w:rFonts w:ascii="Calibri" w:eastAsia="Calibri" w:hAnsi="Calibri" w:cs="Arial"/>
          <w:lang w:val="en-US"/>
        </w:rPr>
        <w:t xml:space="preserve"> digital communication between providers and patients (</w:t>
      </w:r>
      <w:proofErr w:type="spellStart"/>
      <w:r w:rsidRPr="00A034D9">
        <w:rPr>
          <w:rFonts w:ascii="Calibri" w:eastAsia="Calibri" w:hAnsi="Calibri" w:cs="Arial"/>
          <w:lang w:val="en-US"/>
        </w:rPr>
        <w:t>Bokolo</w:t>
      </w:r>
      <w:proofErr w:type="spellEnd"/>
      <w:r w:rsidRPr="00A034D9">
        <w:rPr>
          <w:rFonts w:ascii="Calibri" w:eastAsia="Calibri" w:hAnsi="Calibri" w:cs="Arial"/>
          <w:lang w:val="en-US"/>
        </w:rPr>
        <w:t xml:space="preserve"> Jnr, 2021)</w:t>
      </w:r>
      <w:r w:rsidRPr="00A034D9">
        <w:rPr>
          <w:rFonts w:ascii="Calibri" w:eastAsia="Calibri" w:hAnsi="Calibri" w:cs="Arial"/>
          <w:rtl/>
          <w:lang w:val="en-US"/>
        </w:rPr>
        <w:t>.</w:t>
      </w:r>
    </w:p>
    <w:p w14:paraId="17ADAA68" w14:textId="4F4E91B4" w:rsidR="00A034D9" w:rsidRPr="00A034D9" w:rsidRDefault="00A034D9" w:rsidP="00216E63">
      <w:pPr>
        <w:ind w:firstLine="720"/>
        <w:jc w:val="both"/>
        <w:rPr>
          <w:rFonts w:ascii="Calibri" w:eastAsia="Calibri" w:hAnsi="Calibri" w:cs="Arial"/>
          <w:lang w:val="en-US"/>
        </w:rPr>
      </w:pPr>
      <w:r w:rsidRPr="00A034D9">
        <w:rPr>
          <w:rFonts w:ascii="Calibri" w:eastAsia="Calibri" w:hAnsi="Calibri" w:cs="Arial"/>
          <w:lang w:val="en-US"/>
        </w:rPr>
        <w:t>Significance: The successful adoption of telehealth can lead to improved patient outcomes, enhanced access to care</w:t>
      </w:r>
      <w:r w:rsidR="003A143C">
        <w:rPr>
          <w:rFonts w:ascii="Calibri" w:eastAsia="Calibri" w:hAnsi="Calibri" w:cs="Arial"/>
          <w:lang w:val="en-US"/>
        </w:rPr>
        <w:t xml:space="preserve"> and</w:t>
      </w:r>
      <w:r w:rsidRPr="00A034D9">
        <w:rPr>
          <w:rFonts w:ascii="Calibri" w:eastAsia="Calibri" w:hAnsi="Calibri" w:cs="Arial"/>
          <w:lang w:val="en-US"/>
        </w:rPr>
        <w:t xml:space="preserve"> more efficient healthcare delivery, particularly in home healthcare settings where patients may lack primary caregivers (Zhang and Saltman, 2022)</w:t>
      </w:r>
      <w:r w:rsidRPr="00A034D9">
        <w:rPr>
          <w:rFonts w:ascii="Calibri" w:eastAsia="Calibri" w:hAnsi="Calibri" w:cs="Arial"/>
          <w:rtl/>
          <w:lang w:val="en-US"/>
        </w:rPr>
        <w:t>.</w:t>
      </w:r>
    </w:p>
    <w:p w14:paraId="7C6F0CF1" w14:textId="29B35842" w:rsidR="00A034D9" w:rsidRPr="00486E01" w:rsidRDefault="00A034D9" w:rsidP="00A034D9">
      <w:pPr>
        <w:keepNext/>
        <w:keepLines/>
        <w:numPr>
          <w:ilvl w:val="2"/>
          <w:numId w:val="9"/>
        </w:numPr>
        <w:spacing w:before="40" w:after="0"/>
        <w:jc w:val="both"/>
        <w:outlineLvl w:val="1"/>
        <w:rPr>
          <w:rFonts w:asciiTheme="majorBidi" w:eastAsia="Times New Roman" w:hAnsiTheme="majorBidi" w:cstheme="majorBidi"/>
          <w:b/>
          <w:bCs/>
          <w:sz w:val="28"/>
          <w:szCs w:val="28"/>
          <w:lang w:val="en-US"/>
        </w:rPr>
      </w:pPr>
      <w:bookmarkStart w:id="65" w:name="_Toc173856224"/>
      <w:bookmarkStart w:id="66" w:name="_Toc173862479"/>
      <w:bookmarkStart w:id="67" w:name="_Toc173862978"/>
      <w:bookmarkStart w:id="68" w:name="_Toc173998193"/>
      <w:bookmarkStart w:id="69" w:name="_Toc174003142"/>
      <w:r w:rsidRPr="00486E01">
        <w:rPr>
          <w:rFonts w:asciiTheme="majorBidi" w:eastAsia="Times New Roman" w:hAnsiTheme="majorBidi" w:cstheme="majorBidi"/>
          <w:b/>
          <w:bCs/>
          <w:sz w:val="28"/>
          <w:szCs w:val="28"/>
          <w:lang w:val="en-US"/>
        </w:rPr>
        <w:t>Independent Variables</w:t>
      </w:r>
      <w:bookmarkEnd w:id="65"/>
      <w:bookmarkEnd w:id="66"/>
      <w:bookmarkEnd w:id="67"/>
      <w:bookmarkEnd w:id="68"/>
      <w:bookmarkEnd w:id="69"/>
    </w:p>
    <w:p w14:paraId="4B5061BD" w14:textId="77777777" w:rsidR="00A034D9" w:rsidRPr="00A034D9" w:rsidRDefault="00A034D9" w:rsidP="00216E63">
      <w:pPr>
        <w:ind w:firstLine="720"/>
        <w:jc w:val="both"/>
        <w:rPr>
          <w:rFonts w:ascii="Calibri" w:eastAsia="Calibri" w:hAnsi="Calibri" w:cs="Arial"/>
          <w:lang w:val="en-US"/>
        </w:rPr>
      </w:pPr>
      <w:r w:rsidRPr="00A034D9">
        <w:rPr>
          <w:rFonts w:ascii="Calibri" w:eastAsia="Calibri" w:hAnsi="Calibri" w:cs="Arial"/>
          <w:lang w:val="en-US"/>
        </w:rPr>
        <w:t xml:space="preserve">The independent variables influencing the adoption of telehealth services among allied healthcare providers in the Riyadh second health cluster include several key factors. This section </w:t>
      </w:r>
      <w:r w:rsidRPr="00A034D9">
        <w:rPr>
          <w:rFonts w:ascii="Calibri" w:eastAsia="Calibri" w:hAnsi="Calibri" w:cs="Arial"/>
          <w:lang w:val="en-US"/>
        </w:rPr>
        <w:lastRenderedPageBreak/>
        <w:t>discusses these factors comprehensively, with a focus on technological barriers, organizational and policy-related barriers and socio-cultural factors</w:t>
      </w:r>
      <w:r w:rsidRPr="00A034D9">
        <w:rPr>
          <w:rFonts w:ascii="Calibri" w:eastAsia="Calibri" w:hAnsi="Calibri" w:cs="Arial"/>
          <w:rtl/>
          <w:lang w:val="en-US"/>
        </w:rPr>
        <w:t>.</w:t>
      </w:r>
    </w:p>
    <w:p w14:paraId="65C26C58" w14:textId="77777777" w:rsidR="00A034D9" w:rsidRPr="00A034D9" w:rsidRDefault="00A034D9" w:rsidP="00A034D9">
      <w:pPr>
        <w:jc w:val="both"/>
        <w:rPr>
          <w:rFonts w:ascii="Calibri" w:eastAsia="Calibri" w:hAnsi="Calibri" w:cs="Arial"/>
          <w:lang w:val="en-US"/>
        </w:rPr>
      </w:pPr>
    </w:p>
    <w:p w14:paraId="6EC36041" w14:textId="351D0B1C" w:rsidR="00A034D9" w:rsidRPr="00486E01" w:rsidRDefault="00A034D9" w:rsidP="002C1B2A">
      <w:pPr>
        <w:keepNext/>
        <w:keepLines/>
        <w:numPr>
          <w:ilvl w:val="2"/>
          <w:numId w:val="9"/>
        </w:numPr>
        <w:spacing w:before="40" w:after="0"/>
        <w:outlineLvl w:val="1"/>
        <w:rPr>
          <w:rFonts w:asciiTheme="majorBidi" w:eastAsia="Times New Roman" w:hAnsiTheme="majorBidi" w:cstheme="majorBidi"/>
          <w:b/>
          <w:bCs/>
          <w:sz w:val="28"/>
          <w:szCs w:val="28"/>
          <w:lang w:val="en-US"/>
        </w:rPr>
      </w:pPr>
      <w:bookmarkStart w:id="70" w:name="_Toc173856225"/>
      <w:bookmarkStart w:id="71" w:name="_Toc173862480"/>
      <w:bookmarkStart w:id="72" w:name="_Toc173862979"/>
      <w:bookmarkStart w:id="73" w:name="_Toc173998194"/>
      <w:bookmarkStart w:id="74" w:name="_Toc174003143"/>
      <w:r w:rsidRPr="00486E01">
        <w:rPr>
          <w:rFonts w:asciiTheme="majorBidi" w:eastAsia="Times New Roman" w:hAnsiTheme="majorBidi" w:cstheme="majorBidi"/>
          <w:b/>
          <w:bCs/>
          <w:sz w:val="28"/>
          <w:szCs w:val="28"/>
          <w:lang w:val="en-US"/>
        </w:rPr>
        <w:t>Technological Barriers</w:t>
      </w:r>
      <w:bookmarkEnd w:id="70"/>
      <w:bookmarkEnd w:id="71"/>
      <w:bookmarkEnd w:id="72"/>
      <w:bookmarkEnd w:id="73"/>
      <w:bookmarkEnd w:id="74"/>
    </w:p>
    <w:p w14:paraId="58509A38" w14:textId="56E711F0" w:rsidR="00A034D9" w:rsidRPr="00A034D9" w:rsidRDefault="00A034D9" w:rsidP="00216E63">
      <w:pPr>
        <w:ind w:firstLine="720"/>
        <w:jc w:val="both"/>
        <w:rPr>
          <w:rFonts w:ascii="Calibri" w:eastAsia="Calibri" w:hAnsi="Calibri" w:cs="Arial"/>
          <w:lang w:val="en-US"/>
        </w:rPr>
      </w:pPr>
      <w:r w:rsidRPr="00A034D9">
        <w:rPr>
          <w:rFonts w:ascii="Calibri" w:eastAsia="Calibri" w:hAnsi="Calibri" w:cs="Arial"/>
          <w:lang w:val="en-US"/>
        </w:rPr>
        <w:t>Al-</w:t>
      </w:r>
      <w:proofErr w:type="spellStart"/>
      <w:r w:rsidRPr="00A034D9">
        <w:rPr>
          <w:rFonts w:ascii="Calibri" w:eastAsia="Calibri" w:hAnsi="Calibri" w:cs="Arial"/>
          <w:lang w:val="en-US"/>
        </w:rPr>
        <w:t>Samarraie</w:t>
      </w:r>
      <w:proofErr w:type="spellEnd"/>
      <w:r w:rsidRPr="00A034D9">
        <w:rPr>
          <w:rFonts w:ascii="Calibri" w:eastAsia="Calibri" w:hAnsi="Calibri" w:cs="Arial"/>
          <w:lang w:val="en-US"/>
        </w:rPr>
        <w:t>, Ghazal, Alzahrani and Moody (2020) eluded that technological barriers play a significant role in the adoption of telehealth services. These barriers encompass various aspects related to the infrastructure, technical skills</w:t>
      </w:r>
      <w:r w:rsidR="003A143C">
        <w:rPr>
          <w:rFonts w:ascii="Calibri" w:eastAsia="Calibri" w:hAnsi="Calibri" w:cs="Arial"/>
          <w:lang w:val="en-US"/>
        </w:rPr>
        <w:t xml:space="preserve"> and</w:t>
      </w:r>
      <w:r w:rsidRPr="00A034D9">
        <w:rPr>
          <w:rFonts w:ascii="Calibri" w:eastAsia="Calibri" w:hAnsi="Calibri" w:cs="Arial"/>
          <w:lang w:val="en-US"/>
        </w:rPr>
        <w:t xml:space="preserve"> usability of telehealth systems. Understanding these barriers is crucial for developing strategies to enhance telehealth adoption (Sharma, Pruthi and Sageena, 2022).</w:t>
      </w:r>
    </w:p>
    <w:p w14:paraId="273932E2" w14:textId="77777777" w:rsidR="00A034D9" w:rsidRPr="00A034D9" w:rsidRDefault="00A034D9" w:rsidP="00A034D9">
      <w:pPr>
        <w:jc w:val="both"/>
        <w:rPr>
          <w:rFonts w:ascii="Calibri" w:eastAsia="Calibri" w:hAnsi="Calibri" w:cs="Arial"/>
          <w:lang w:val="en-US"/>
        </w:rPr>
      </w:pPr>
    </w:p>
    <w:p w14:paraId="5861C817" w14:textId="1D43EED4" w:rsidR="00A034D9" w:rsidRPr="00486E01" w:rsidRDefault="00A034D9" w:rsidP="002C1B2A">
      <w:pPr>
        <w:keepNext/>
        <w:keepLines/>
        <w:numPr>
          <w:ilvl w:val="2"/>
          <w:numId w:val="9"/>
        </w:numPr>
        <w:spacing w:before="40" w:after="0"/>
        <w:jc w:val="both"/>
        <w:outlineLvl w:val="1"/>
        <w:rPr>
          <w:rFonts w:asciiTheme="majorBidi" w:eastAsia="Times New Roman" w:hAnsiTheme="majorBidi" w:cstheme="majorBidi"/>
          <w:b/>
          <w:bCs/>
          <w:sz w:val="28"/>
          <w:szCs w:val="28"/>
          <w:lang w:val="en-US"/>
        </w:rPr>
      </w:pPr>
      <w:bookmarkStart w:id="75" w:name="_Toc173856226"/>
      <w:bookmarkStart w:id="76" w:name="_Toc173862481"/>
      <w:bookmarkStart w:id="77" w:name="_Toc173862980"/>
      <w:bookmarkStart w:id="78" w:name="_Toc173998195"/>
      <w:bookmarkStart w:id="79" w:name="_Toc174003144"/>
      <w:r w:rsidRPr="00486E01">
        <w:rPr>
          <w:rFonts w:asciiTheme="majorBidi" w:eastAsia="Times New Roman" w:hAnsiTheme="majorBidi" w:cstheme="majorBidi"/>
          <w:b/>
          <w:bCs/>
          <w:sz w:val="28"/>
          <w:szCs w:val="28"/>
          <w:lang w:val="en-US"/>
        </w:rPr>
        <w:t>Infrastructure</w:t>
      </w:r>
      <w:bookmarkEnd w:id="75"/>
      <w:bookmarkEnd w:id="76"/>
      <w:bookmarkEnd w:id="77"/>
      <w:bookmarkEnd w:id="78"/>
      <w:bookmarkEnd w:id="79"/>
      <w:r w:rsidRPr="00486E01">
        <w:rPr>
          <w:rFonts w:asciiTheme="majorBidi" w:eastAsia="Times New Roman" w:hAnsiTheme="majorBidi" w:cstheme="majorBidi"/>
          <w:b/>
          <w:bCs/>
          <w:sz w:val="28"/>
          <w:szCs w:val="28"/>
          <w:rtl/>
          <w:lang w:val="en-US"/>
        </w:rPr>
        <w:t xml:space="preserve"> </w:t>
      </w:r>
    </w:p>
    <w:p w14:paraId="3A45F8D7" w14:textId="77777777" w:rsidR="00A034D9" w:rsidRPr="00A034D9" w:rsidRDefault="00A034D9" w:rsidP="00216E63">
      <w:pPr>
        <w:ind w:firstLine="720"/>
        <w:jc w:val="both"/>
        <w:rPr>
          <w:rFonts w:ascii="Calibri" w:eastAsia="Calibri" w:hAnsi="Calibri" w:cs="Arial"/>
          <w:lang w:val="en-US"/>
        </w:rPr>
      </w:pPr>
      <w:r w:rsidRPr="00A034D9">
        <w:rPr>
          <w:rFonts w:ascii="Calibri" w:eastAsia="Calibri" w:hAnsi="Calibri" w:cs="Arial"/>
          <w:lang w:val="en-US"/>
        </w:rPr>
        <w:t>According to Kobeissi and Hickey (2023), infrastructure is a fundamental requirement for the successful implementation of telehealth services. It includes the availability and reliability of internet connectivity and the quality of telehealth platforms (</w:t>
      </w:r>
      <w:proofErr w:type="spellStart"/>
      <w:r w:rsidRPr="00A034D9">
        <w:rPr>
          <w:rFonts w:ascii="Calibri" w:eastAsia="Calibri" w:hAnsi="Calibri" w:cs="Arial"/>
          <w:lang w:val="en-US"/>
        </w:rPr>
        <w:t>Omboni</w:t>
      </w:r>
      <w:proofErr w:type="spellEnd"/>
      <w:r w:rsidRPr="00A034D9">
        <w:rPr>
          <w:rFonts w:ascii="Calibri" w:eastAsia="Calibri" w:hAnsi="Calibri" w:cs="Arial"/>
          <w:lang w:val="en-US"/>
        </w:rPr>
        <w:t>, et al., 2022)</w:t>
      </w:r>
      <w:r w:rsidRPr="00A034D9">
        <w:rPr>
          <w:rFonts w:ascii="Calibri" w:eastAsia="Calibri" w:hAnsi="Calibri" w:cs="Arial"/>
          <w:rtl/>
          <w:lang w:val="en-US"/>
        </w:rPr>
        <w:t>.</w:t>
      </w:r>
    </w:p>
    <w:p w14:paraId="29682BD2" w14:textId="77777777" w:rsidR="00A034D9" w:rsidRPr="00A034D9" w:rsidRDefault="00A034D9" w:rsidP="00216E63">
      <w:pPr>
        <w:ind w:firstLine="720"/>
        <w:jc w:val="both"/>
        <w:rPr>
          <w:rFonts w:ascii="Calibri" w:eastAsia="Calibri" w:hAnsi="Calibri" w:cs="Arial"/>
          <w:lang w:val="en-US"/>
        </w:rPr>
      </w:pPr>
      <w:r w:rsidRPr="00A034D9">
        <w:rPr>
          <w:rFonts w:ascii="Calibri" w:eastAsia="Calibri" w:hAnsi="Calibri" w:cs="Arial"/>
          <w:lang w:val="en-US"/>
        </w:rPr>
        <w:t>Internet Connectivity: Reliable and high-speed internet connectivity is essential for effective telehealth services (Doaks, 2021). Studies have shown that poor internet infrastructure can significantly hinder the use of telehealth, particularly in rural or underserved areas (</w:t>
      </w:r>
      <w:proofErr w:type="spellStart"/>
      <w:r w:rsidRPr="00A034D9">
        <w:rPr>
          <w:rFonts w:ascii="Calibri" w:eastAsia="Calibri" w:hAnsi="Calibri" w:cs="Arial"/>
          <w:lang w:val="en-US"/>
        </w:rPr>
        <w:t>Siddiquee</w:t>
      </w:r>
      <w:proofErr w:type="spellEnd"/>
      <w:r w:rsidRPr="00A034D9">
        <w:rPr>
          <w:rFonts w:ascii="Calibri" w:eastAsia="Calibri" w:hAnsi="Calibri" w:cs="Arial"/>
          <w:lang w:val="en-US"/>
        </w:rPr>
        <w:t>, et al., 2020). For example, a study by Al-</w:t>
      </w:r>
      <w:proofErr w:type="spellStart"/>
      <w:r w:rsidRPr="00A034D9">
        <w:rPr>
          <w:rFonts w:ascii="Calibri" w:eastAsia="Calibri" w:hAnsi="Calibri" w:cs="Arial"/>
          <w:lang w:val="en-US"/>
        </w:rPr>
        <w:t>Samarraie</w:t>
      </w:r>
      <w:proofErr w:type="spellEnd"/>
      <w:r w:rsidRPr="00A034D9">
        <w:rPr>
          <w:rFonts w:ascii="Calibri" w:eastAsia="Calibri" w:hAnsi="Calibri" w:cs="Arial"/>
          <w:lang w:val="en-US"/>
        </w:rPr>
        <w:t>, Ghazal, Alzahrani and Moody (2020) highlighted that inadequate internet access is a major barrier to telehealth adoption in many regions. In the context of the Riyadh second health cluster, any deficiencies in internet connectivity could impede allied healthcare providers' ability to conduct virtual consultations and remote monitoring effectively</w:t>
      </w:r>
      <w:r w:rsidRPr="00A034D9">
        <w:rPr>
          <w:rFonts w:ascii="Calibri" w:eastAsia="Calibri" w:hAnsi="Calibri" w:cs="Arial"/>
          <w:rtl/>
          <w:lang w:val="en-US"/>
        </w:rPr>
        <w:t>.</w:t>
      </w:r>
    </w:p>
    <w:p w14:paraId="0A037D27" w14:textId="2F2F2A9E" w:rsidR="00A034D9" w:rsidRPr="00A034D9" w:rsidRDefault="00A034D9" w:rsidP="00216E63">
      <w:pPr>
        <w:ind w:firstLine="720"/>
        <w:jc w:val="both"/>
        <w:rPr>
          <w:rFonts w:ascii="Calibri" w:eastAsia="Calibri" w:hAnsi="Calibri" w:cs="Arial"/>
          <w:lang w:val="en-US"/>
        </w:rPr>
      </w:pPr>
      <w:r w:rsidRPr="00A034D9">
        <w:rPr>
          <w:rFonts w:ascii="Calibri" w:eastAsia="Calibri" w:hAnsi="Calibri" w:cs="Arial"/>
          <w:lang w:val="en-US"/>
        </w:rPr>
        <w:t>Telehealth Platforms: The functionality and performance of telehealth platforms also affect their adoption (Wang, Liu, Car and Zuckerman, 2020). A robust telehealth platform should support various features such as video conferencing, secure messaging, electronic health records (EHR) integration</w:t>
      </w:r>
      <w:r w:rsidR="003A143C">
        <w:rPr>
          <w:rFonts w:ascii="Calibri" w:eastAsia="Calibri" w:hAnsi="Calibri" w:cs="Arial"/>
          <w:lang w:val="en-US"/>
        </w:rPr>
        <w:t xml:space="preserve"> and</w:t>
      </w:r>
      <w:r w:rsidRPr="00A034D9">
        <w:rPr>
          <w:rFonts w:ascii="Calibri" w:eastAsia="Calibri" w:hAnsi="Calibri" w:cs="Arial"/>
          <w:lang w:val="en-US"/>
        </w:rPr>
        <w:t xml:space="preserve"> remote monitoring. Research indicates that telehealth platforms with poor functionality, frequent downtimes</w:t>
      </w:r>
      <w:r w:rsidR="003A143C">
        <w:rPr>
          <w:rFonts w:ascii="Calibri" w:eastAsia="Calibri" w:hAnsi="Calibri" w:cs="Arial"/>
          <w:lang w:val="en-US"/>
        </w:rPr>
        <w:t xml:space="preserve"> and</w:t>
      </w:r>
      <w:r w:rsidRPr="00A034D9">
        <w:rPr>
          <w:rFonts w:ascii="Calibri" w:eastAsia="Calibri" w:hAnsi="Calibri" w:cs="Arial"/>
          <w:lang w:val="en-US"/>
        </w:rPr>
        <w:t xml:space="preserve"> lack of integration with other healthcare systems can </w:t>
      </w:r>
      <w:r w:rsidRPr="00A034D9">
        <w:rPr>
          <w:rFonts w:ascii="Calibri" w:eastAsia="Calibri" w:hAnsi="Calibri" w:cs="Arial"/>
          <w:lang w:val="en-US"/>
        </w:rPr>
        <w:lastRenderedPageBreak/>
        <w:t>discourage healthcare providers from using them. For instance, Alghamdi et al. (2022) found that technical issues related to telehealth platforms were a common barrier among healthcare providers</w:t>
      </w:r>
      <w:r w:rsidRPr="00A034D9">
        <w:rPr>
          <w:rFonts w:ascii="Calibri" w:eastAsia="Calibri" w:hAnsi="Calibri" w:cs="Arial"/>
          <w:rtl/>
          <w:lang w:val="en-US"/>
        </w:rPr>
        <w:t>.</w:t>
      </w:r>
    </w:p>
    <w:p w14:paraId="42E4F265" w14:textId="6B7B0110" w:rsidR="00A034D9" w:rsidRPr="00486E01" w:rsidRDefault="00A034D9" w:rsidP="00A034D9">
      <w:pPr>
        <w:keepNext/>
        <w:keepLines/>
        <w:numPr>
          <w:ilvl w:val="2"/>
          <w:numId w:val="9"/>
        </w:numPr>
        <w:spacing w:before="40" w:after="0"/>
        <w:jc w:val="both"/>
        <w:outlineLvl w:val="1"/>
        <w:rPr>
          <w:rFonts w:asciiTheme="majorBidi" w:eastAsia="Times New Roman" w:hAnsiTheme="majorBidi" w:cstheme="majorBidi"/>
          <w:b/>
          <w:bCs/>
          <w:sz w:val="28"/>
          <w:szCs w:val="28"/>
          <w:lang w:val="en-US"/>
        </w:rPr>
      </w:pPr>
      <w:bookmarkStart w:id="80" w:name="_Toc173856227"/>
      <w:bookmarkStart w:id="81" w:name="_Toc173862482"/>
      <w:bookmarkStart w:id="82" w:name="_Toc173862981"/>
      <w:bookmarkStart w:id="83" w:name="_Toc173998196"/>
      <w:bookmarkStart w:id="84" w:name="_Toc174003145"/>
      <w:r w:rsidRPr="00486E01">
        <w:rPr>
          <w:rFonts w:asciiTheme="majorBidi" w:eastAsia="Times New Roman" w:hAnsiTheme="majorBidi" w:cstheme="majorBidi"/>
          <w:b/>
          <w:bCs/>
          <w:sz w:val="28"/>
          <w:szCs w:val="28"/>
          <w:lang w:val="en-US"/>
        </w:rPr>
        <w:t>Technical Skills</w:t>
      </w:r>
      <w:bookmarkEnd w:id="80"/>
      <w:bookmarkEnd w:id="81"/>
      <w:bookmarkEnd w:id="82"/>
      <w:bookmarkEnd w:id="83"/>
      <w:bookmarkEnd w:id="84"/>
      <w:r w:rsidRPr="00486E01">
        <w:rPr>
          <w:rFonts w:asciiTheme="majorBidi" w:eastAsia="Times New Roman" w:hAnsiTheme="majorBidi" w:cstheme="majorBidi"/>
          <w:b/>
          <w:bCs/>
          <w:sz w:val="28"/>
          <w:szCs w:val="28"/>
          <w:rtl/>
          <w:lang w:val="en-US"/>
        </w:rPr>
        <w:t xml:space="preserve"> </w:t>
      </w:r>
    </w:p>
    <w:p w14:paraId="6433F37E" w14:textId="77777777" w:rsidR="00A034D9" w:rsidRPr="00A034D9" w:rsidRDefault="00A034D9" w:rsidP="00216E63">
      <w:pPr>
        <w:ind w:firstLine="720"/>
        <w:jc w:val="both"/>
        <w:rPr>
          <w:rFonts w:ascii="Calibri" w:eastAsia="Calibri" w:hAnsi="Calibri" w:cs="Arial"/>
          <w:lang w:val="en-US"/>
        </w:rPr>
      </w:pPr>
      <w:r w:rsidRPr="00A034D9">
        <w:rPr>
          <w:rFonts w:ascii="Calibri" w:eastAsia="Calibri" w:hAnsi="Calibri" w:cs="Arial"/>
          <w:lang w:val="en-US"/>
        </w:rPr>
        <w:t>The technical competence of allied healthcare providers is another critical factor influencing the adoption of telehealth services (Thomas, et al., 2024)</w:t>
      </w:r>
      <w:r w:rsidRPr="00A034D9">
        <w:rPr>
          <w:rFonts w:ascii="Calibri" w:eastAsia="Calibri" w:hAnsi="Calibri" w:cs="Arial"/>
          <w:rtl/>
          <w:lang w:val="en-US"/>
        </w:rPr>
        <w:t>.</w:t>
      </w:r>
    </w:p>
    <w:p w14:paraId="38110AB5" w14:textId="77777777" w:rsidR="00A034D9" w:rsidRPr="00A034D9" w:rsidRDefault="00A034D9" w:rsidP="00216E63">
      <w:pPr>
        <w:ind w:firstLine="720"/>
        <w:jc w:val="both"/>
        <w:rPr>
          <w:rFonts w:ascii="Calibri" w:eastAsia="Calibri" w:hAnsi="Calibri" w:cs="Arial"/>
          <w:lang w:val="en-US"/>
        </w:rPr>
      </w:pPr>
      <w:r w:rsidRPr="00A034D9">
        <w:rPr>
          <w:rFonts w:ascii="Calibri" w:eastAsia="Calibri" w:hAnsi="Calibri" w:cs="Arial"/>
          <w:lang w:val="en-US"/>
        </w:rPr>
        <w:t>Training and Education: Jonasdottir, Thordardottir and Jonsdottir (2022) highlight that the ability of healthcare providers to effectively use telehealth technologies depends on their technical skills and training. Studies have shown that insufficient training and lack of familiarity with telehealth systems can deter providers from adopting these technologies. According to Calleja, Wilkes, Spencer and Woodbridge, (2022), continuous education and training programs are essential to equip healthcare providers with the necessary skills to utilize telehealth effectively. In the Riyadh second health cluster, ensuring that allied healthcare providers receive adequate training on telehealth platforms is vital for promoting adoption</w:t>
      </w:r>
      <w:r w:rsidRPr="00A034D9">
        <w:rPr>
          <w:rFonts w:ascii="Calibri" w:eastAsia="Calibri" w:hAnsi="Calibri" w:cs="Arial"/>
          <w:rtl/>
          <w:lang w:val="en-US"/>
        </w:rPr>
        <w:t>.</w:t>
      </w:r>
    </w:p>
    <w:p w14:paraId="2025C692" w14:textId="2620F649" w:rsidR="00A034D9" w:rsidRPr="00A034D9" w:rsidRDefault="00A034D9" w:rsidP="00C06B20">
      <w:pPr>
        <w:ind w:firstLine="720"/>
        <w:jc w:val="both"/>
        <w:rPr>
          <w:rFonts w:ascii="Calibri" w:eastAsia="Calibri" w:hAnsi="Calibri" w:cs="Arial"/>
          <w:lang w:val="en-US"/>
        </w:rPr>
      </w:pPr>
      <w:r w:rsidRPr="00A034D9">
        <w:rPr>
          <w:rFonts w:ascii="Calibri" w:eastAsia="Calibri" w:hAnsi="Calibri" w:cs="Arial"/>
          <w:lang w:val="en-US"/>
        </w:rPr>
        <w:t>Support and Resources: The availability of technical support and resources also plays a significant role. Providers need access to technical support to troubleshoot issues and maintain the functionality of telehealth systems (Wootton, et.al., 2020). A lack of technical support can lead to frustration and decreased use of telehealth services. Studies such as those by Tsai, et. al., (2019) have emphasized the importance of technical support in the successful adoption of telehealth</w:t>
      </w:r>
      <w:r w:rsidRPr="00A034D9">
        <w:rPr>
          <w:rFonts w:ascii="Calibri" w:eastAsia="Calibri" w:hAnsi="Calibri" w:cs="Arial"/>
          <w:rtl/>
          <w:lang w:val="en-US"/>
        </w:rPr>
        <w:t>.</w:t>
      </w:r>
    </w:p>
    <w:p w14:paraId="643F8343" w14:textId="553CD6C5" w:rsidR="00A034D9" w:rsidRPr="00486E01" w:rsidRDefault="00A034D9" w:rsidP="002C1B2A">
      <w:pPr>
        <w:keepNext/>
        <w:keepLines/>
        <w:numPr>
          <w:ilvl w:val="2"/>
          <w:numId w:val="9"/>
        </w:numPr>
        <w:spacing w:before="40" w:after="0"/>
        <w:jc w:val="both"/>
        <w:outlineLvl w:val="1"/>
        <w:rPr>
          <w:rFonts w:asciiTheme="majorBidi" w:eastAsia="Times New Roman" w:hAnsiTheme="majorBidi" w:cstheme="majorBidi"/>
          <w:b/>
          <w:bCs/>
          <w:sz w:val="28"/>
          <w:szCs w:val="28"/>
          <w:lang w:val="en-US"/>
        </w:rPr>
      </w:pPr>
      <w:bookmarkStart w:id="85" w:name="_Toc173856228"/>
      <w:bookmarkStart w:id="86" w:name="_Toc173862483"/>
      <w:bookmarkStart w:id="87" w:name="_Toc173862982"/>
      <w:bookmarkStart w:id="88" w:name="_Toc173998197"/>
      <w:bookmarkStart w:id="89" w:name="_Toc174003146"/>
      <w:r w:rsidRPr="00486E01">
        <w:rPr>
          <w:rFonts w:asciiTheme="majorBidi" w:eastAsia="Times New Roman" w:hAnsiTheme="majorBidi" w:cstheme="majorBidi"/>
          <w:b/>
          <w:bCs/>
          <w:sz w:val="28"/>
          <w:szCs w:val="28"/>
          <w:lang w:val="en-US"/>
        </w:rPr>
        <w:t>Usability</w:t>
      </w:r>
      <w:bookmarkEnd w:id="85"/>
      <w:bookmarkEnd w:id="86"/>
      <w:bookmarkEnd w:id="87"/>
      <w:bookmarkEnd w:id="88"/>
      <w:bookmarkEnd w:id="89"/>
      <w:r w:rsidRPr="00486E01">
        <w:rPr>
          <w:rFonts w:asciiTheme="majorBidi" w:eastAsia="Times New Roman" w:hAnsiTheme="majorBidi" w:cstheme="majorBidi"/>
          <w:b/>
          <w:bCs/>
          <w:sz w:val="28"/>
          <w:szCs w:val="28"/>
          <w:rtl/>
          <w:lang w:val="en-US"/>
        </w:rPr>
        <w:t xml:space="preserve"> </w:t>
      </w:r>
    </w:p>
    <w:p w14:paraId="739B9254" w14:textId="77777777" w:rsidR="00A034D9" w:rsidRPr="00A034D9" w:rsidRDefault="00A034D9" w:rsidP="00C06B20">
      <w:pPr>
        <w:ind w:firstLine="720"/>
        <w:jc w:val="both"/>
        <w:rPr>
          <w:rFonts w:ascii="Calibri" w:eastAsia="Calibri" w:hAnsi="Calibri" w:cs="Arial"/>
          <w:lang w:val="en-US"/>
        </w:rPr>
      </w:pPr>
      <w:proofErr w:type="spellStart"/>
      <w:r w:rsidRPr="00A034D9">
        <w:rPr>
          <w:rFonts w:ascii="Calibri" w:eastAsia="Calibri" w:hAnsi="Calibri" w:cs="Arial"/>
          <w:lang w:val="en-US"/>
        </w:rPr>
        <w:t>Soltanzadeh</w:t>
      </w:r>
      <w:proofErr w:type="spellEnd"/>
      <w:r w:rsidRPr="00A034D9">
        <w:rPr>
          <w:rFonts w:ascii="Calibri" w:eastAsia="Calibri" w:hAnsi="Calibri" w:cs="Arial"/>
          <w:lang w:val="en-US"/>
        </w:rPr>
        <w:t xml:space="preserve">, Sangar and </w:t>
      </w:r>
      <w:proofErr w:type="spellStart"/>
      <w:r w:rsidRPr="00A034D9">
        <w:rPr>
          <w:rFonts w:ascii="Calibri" w:eastAsia="Calibri" w:hAnsi="Calibri" w:cs="Arial"/>
          <w:lang w:val="en-US"/>
        </w:rPr>
        <w:t>Majidzadeh</w:t>
      </w:r>
      <w:proofErr w:type="spellEnd"/>
      <w:r w:rsidRPr="00A034D9">
        <w:rPr>
          <w:rFonts w:ascii="Calibri" w:eastAsia="Calibri" w:hAnsi="Calibri" w:cs="Arial"/>
          <w:lang w:val="en-US"/>
        </w:rPr>
        <w:t xml:space="preserve"> (2022) stated that usability refers to the perceived ease of use and user-friendliness of telehealth systems. It is a crucial determinant of telehealth adoption</w:t>
      </w:r>
      <w:r w:rsidRPr="00A034D9">
        <w:rPr>
          <w:rFonts w:ascii="Calibri" w:eastAsia="Calibri" w:hAnsi="Calibri" w:cs="Arial"/>
          <w:rtl/>
          <w:lang w:val="en-US"/>
        </w:rPr>
        <w:t>.</w:t>
      </w:r>
    </w:p>
    <w:p w14:paraId="32499D6C" w14:textId="2BDBCB0B" w:rsidR="00A034D9" w:rsidRPr="00A034D9" w:rsidRDefault="00A034D9" w:rsidP="00C06B20">
      <w:pPr>
        <w:ind w:firstLine="720"/>
        <w:jc w:val="both"/>
        <w:rPr>
          <w:rFonts w:ascii="Calibri" w:eastAsia="Calibri" w:hAnsi="Calibri" w:cs="Arial"/>
          <w:lang w:val="en-US"/>
        </w:rPr>
      </w:pPr>
      <w:r w:rsidRPr="00A034D9">
        <w:rPr>
          <w:rFonts w:ascii="Calibri" w:eastAsia="Calibri" w:hAnsi="Calibri" w:cs="Arial"/>
          <w:lang w:val="en-US"/>
        </w:rPr>
        <w:t>User Interface and Experience: Fouquet and Miranda, (2020) ad</w:t>
      </w:r>
      <w:r w:rsidR="00097EB4">
        <w:rPr>
          <w:rFonts w:ascii="Calibri" w:eastAsia="Calibri" w:hAnsi="Calibri" w:cs="Arial"/>
          <w:lang w:val="en-US"/>
        </w:rPr>
        <w:t>v</w:t>
      </w:r>
      <w:r w:rsidRPr="00A034D9">
        <w:rPr>
          <w:rFonts w:ascii="Calibri" w:eastAsia="Calibri" w:hAnsi="Calibri" w:cs="Arial"/>
          <w:lang w:val="en-US"/>
        </w:rPr>
        <w:t xml:space="preserve">ocate that the design and user interface of telehealth platforms should be intuitive and user-friendly. Healthcare providers are more likely to use systems that are easy to navigate and require minimal effort to operate. </w:t>
      </w:r>
      <w:r w:rsidRPr="00A034D9">
        <w:rPr>
          <w:rFonts w:ascii="Calibri" w:eastAsia="Calibri" w:hAnsi="Calibri" w:cs="Arial"/>
          <w:lang w:val="en-US"/>
        </w:rPr>
        <w:lastRenderedPageBreak/>
        <w:t xml:space="preserve">Research by </w:t>
      </w:r>
      <w:proofErr w:type="spellStart"/>
      <w:r w:rsidRPr="00A034D9">
        <w:rPr>
          <w:rFonts w:ascii="Calibri" w:eastAsia="Calibri" w:hAnsi="Calibri" w:cs="Arial"/>
          <w:lang w:val="en-US"/>
        </w:rPr>
        <w:t>Alduaij</w:t>
      </w:r>
      <w:proofErr w:type="spellEnd"/>
      <w:r w:rsidRPr="00A034D9">
        <w:rPr>
          <w:rFonts w:ascii="Calibri" w:eastAsia="Calibri" w:hAnsi="Calibri" w:cs="Arial"/>
          <w:lang w:val="en-US"/>
        </w:rPr>
        <w:t xml:space="preserve"> (2019) on the Technology Acceptance Model (TAM) suggests that perceived ease of use is a significant predictor of technology adoption. Telehealth platforms with complex interfaces can discourage use among healthcare providers, as highlighted in Wootton et al</w:t>
      </w:r>
      <w:r w:rsidRPr="00A034D9">
        <w:rPr>
          <w:rFonts w:ascii="Calibri" w:eastAsia="Calibri" w:hAnsi="Calibri" w:cs="Arial"/>
          <w:rtl/>
          <w:lang w:val="en-US"/>
        </w:rPr>
        <w:t>., (2020).</w:t>
      </w:r>
    </w:p>
    <w:p w14:paraId="4D290A48" w14:textId="77777777" w:rsidR="00A034D9" w:rsidRPr="00A034D9" w:rsidRDefault="00A034D9" w:rsidP="00C06B20">
      <w:pPr>
        <w:ind w:firstLine="720"/>
        <w:jc w:val="both"/>
        <w:rPr>
          <w:rFonts w:ascii="Calibri" w:eastAsia="Calibri" w:hAnsi="Calibri" w:cs="Arial"/>
          <w:lang w:val="en-US"/>
        </w:rPr>
      </w:pPr>
      <w:r w:rsidRPr="00A034D9">
        <w:rPr>
          <w:rFonts w:ascii="Calibri" w:eastAsia="Calibri" w:hAnsi="Calibri" w:cs="Arial"/>
          <w:lang w:val="en-US"/>
        </w:rPr>
        <w:t>Integration with Workflow: The integration of telehealth systems into existing clinical workflows is also important (</w:t>
      </w:r>
      <w:proofErr w:type="spellStart"/>
      <w:r w:rsidRPr="00A034D9">
        <w:rPr>
          <w:rFonts w:ascii="Calibri" w:eastAsia="Calibri" w:hAnsi="Calibri" w:cs="Arial"/>
          <w:lang w:val="en-US"/>
        </w:rPr>
        <w:t>Khoshrounejad</w:t>
      </w:r>
      <w:proofErr w:type="spellEnd"/>
      <w:r w:rsidRPr="00A034D9">
        <w:rPr>
          <w:rFonts w:ascii="Calibri" w:eastAsia="Calibri" w:hAnsi="Calibri" w:cs="Arial"/>
          <w:lang w:val="en-US"/>
        </w:rPr>
        <w:t>, et al., 2021). Telehealth platforms that align with the routine practices of healthcare providers are more likely to be adopted. For example, a study by Al Haydar, et al., (2023) highlighted that telehealth systems that seamlessly integrate with EHRs and other clinical tools facilitate smoother adoption. In the Riyadh second health cluster, ensuring that telehealth platforms are designed to complement the workflows of allied healthcare providers can enhance their usability and adoption</w:t>
      </w:r>
      <w:r w:rsidRPr="00A034D9">
        <w:rPr>
          <w:rFonts w:ascii="Calibri" w:eastAsia="Calibri" w:hAnsi="Calibri" w:cs="Arial"/>
          <w:rtl/>
          <w:lang w:val="en-US"/>
        </w:rPr>
        <w:t>.</w:t>
      </w:r>
    </w:p>
    <w:p w14:paraId="07AA36D6" w14:textId="3130DA44" w:rsidR="00A034D9" w:rsidRPr="00A034D9" w:rsidRDefault="00A034D9" w:rsidP="00C06B20">
      <w:pPr>
        <w:ind w:firstLine="720"/>
        <w:jc w:val="both"/>
        <w:rPr>
          <w:rFonts w:ascii="Calibri" w:eastAsia="Calibri" w:hAnsi="Calibri" w:cs="Arial"/>
          <w:lang w:val="en-US"/>
        </w:rPr>
      </w:pPr>
      <w:r w:rsidRPr="00A034D9">
        <w:rPr>
          <w:rFonts w:ascii="Calibri" w:eastAsia="Calibri" w:hAnsi="Calibri" w:cs="Arial"/>
          <w:lang w:val="en-US"/>
        </w:rPr>
        <w:t>Technological barriers such as infrastructure, technical skills</w:t>
      </w:r>
      <w:r w:rsidR="003A143C">
        <w:rPr>
          <w:rFonts w:ascii="Calibri" w:eastAsia="Calibri" w:hAnsi="Calibri" w:cs="Arial"/>
          <w:lang w:val="en-US"/>
        </w:rPr>
        <w:t xml:space="preserve"> and</w:t>
      </w:r>
      <w:r w:rsidRPr="00A034D9">
        <w:rPr>
          <w:rFonts w:ascii="Calibri" w:eastAsia="Calibri" w:hAnsi="Calibri" w:cs="Arial"/>
          <w:lang w:val="en-US"/>
        </w:rPr>
        <w:t xml:space="preserve"> usability significantly influence the adoption of telehealth services among allied healthcare providers (Rettinger, et al., 2024). Addressing these barriers through improved internet connectivity, robust telehealth platforms, comprehensive training programs and user-friendly system designs is crucial for promoting telehealth adoption in the Riyadh second health cluster, as highlighted in Bailey, et al., (2021). Understanding these factors provides a foundation for developing targeted interventions to enhance telehealth integration and utilization (Bailey, et al., 2021)</w:t>
      </w:r>
      <w:r w:rsidRPr="00A034D9">
        <w:rPr>
          <w:rFonts w:ascii="Calibri" w:eastAsia="Calibri" w:hAnsi="Calibri" w:cs="Arial"/>
          <w:rtl/>
          <w:lang w:val="en-US"/>
        </w:rPr>
        <w:t>.</w:t>
      </w:r>
    </w:p>
    <w:p w14:paraId="28067654" w14:textId="360DE47F" w:rsidR="00A034D9" w:rsidRPr="00486E01" w:rsidRDefault="00A034D9" w:rsidP="002C1B2A">
      <w:pPr>
        <w:keepNext/>
        <w:keepLines/>
        <w:numPr>
          <w:ilvl w:val="1"/>
          <w:numId w:val="9"/>
        </w:numPr>
        <w:spacing w:before="240" w:after="0"/>
        <w:jc w:val="both"/>
        <w:outlineLvl w:val="0"/>
        <w:rPr>
          <w:rFonts w:asciiTheme="majorBidi" w:eastAsia="Times New Roman" w:hAnsiTheme="majorBidi" w:cstheme="majorBidi"/>
          <w:b/>
          <w:bCs/>
          <w:sz w:val="32"/>
          <w:szCs w:val="32"/>
          <w:lang w:val="en-US"/>
        </w:rPr>
      </w:pPr>
      <w:bookmarkStart w:id="90" w:name="_Toc173856229"/>
      <w:bookmarkStart w:id="91" w:name="_Toc173862484"/>
      <w:bookmarkStart w:id="92" w:name="_Toc173862983"/>
      <w:bookmarkStart w:id="93" w:name="_Toc173998198"/>
      <w:bookmarkStart w:id="94" w:name="_Toc174003147"/>
      <w:r w:rsidRPr="00486E01">
        <w:rPr>
          <w:rFonts w:asciiTheme="majorBidi" w:eastAsia="Times New Roman" w:hAnsiTheme="majorBidi" w:cstheme="majorBidi"/>
          <w:b/>
          <w:bCs/>
          <w:sz w:val="32"/>
          <w:szCs w:val="32"/>
          <w:lang w:val="en-US"/>
        </w:rPr>
        <w:t>Organizational and Policy-Related Barriers</w:t>
      </w:r>
      <w:bookmarkEnd w:id="90"/>
      <w:bookmarkEnd w:id="91"/>
      <w:bookmarkEnd w:id="92"/>
      <w:bookmarkEnd w:id="93"/>
      <w:bookmarkEnd w:id="94"/>
    </w:p>
    <w:p w14:paraId="1AF62C0A" w14:textId="3329FF1A" w:rsidR="00A034D9" w:rsidRPr="00A034D9" w:rsidRDefault="00A034D9" w:rsidP="00C06B20">
      <w:pPr>
        <w:ind w:firstLine="720"/>
        <w:jc w:val="both"/>
        <w:rPr>
          <w:rFonts w:ascii="Calibri" w:eastAsia="Calibri" w:hAnsi="Calibri" w:cs="Arial"/>
          <w:lang w:val="en-US"/>
        </w:rPr>
      </w:pPr>
      <w:r w:rsidRPr="00A034D9">
        <w:rPr>
          <w:rFonts w:ascii="Calibri" w:eastAsia="Calibri" w:hAnsi="Calibri" w:cs="Arial"/>
          <w:lang w:val="en-US"/>
        </w:rPr>
        <w:t>Ganapathy, Clough and Casey (2021) found that organizational and policy-related barriers significantly impact the adoption of telehealth services. These barriers include organizational support and the regulatory framework governing telehealth practices, including licensing, reimbursement</w:t>
      </w:r>
      <w:r w:rsidR="003A143C">
        <w:rPr>
          <w:rFonts w:ascii="Calibri" w:eastAsia="Calibri" w:hAnsi="Calibri" w:cs="Arial"/>
          <w:lang w:val="en-US"/>
        </w:rPr>
        <w:t xml:space="preserve"> and</w:t>
      </w:r>
      <w:r w:rsidRPr="00A034D9">
        <w:rPr>
          <w:rFonts w:ascii="Calibri" w:eastAsia="Calibri" w:hAnsi="Calibri" w:cs="Arial"/>
          <w:lang w:val="en-US"/>
        </w:rPr>
        <w:t xml:space="preserve"> data security (</w:t>
      </w:r>
      <w:proofErr w:type="spellStart"/>
      <w:r w:rsidRPr="00A034D9">
        <w:rPr>
          <w:rFonts w:ascii="Calibri" w:eastAsia="Calibri" w:hAnsi="Calibri" w:cs="Arial"/>
          <w:lang w:val="en-US"/>
        </w:rPr>
        <w:t>Gajarawala</w:t>
      </w:r>
      <w:proofErr w:type="spellEnd"/>
      <w:r w:rsidRPr="00A034D9">
        <w:rPr>
          <w:rFonts w:ascii="Calibri" w:eastAsia="Calibri" w:hAnsi="Calibri" w:cs="Arial"/>
          <w:lang w:val="en-US"/>
        </w:rPr>
        <w:t xml:space="preserve"> and Pelkowski, 2021)</w:t>
      </w:r>
      <w:r w:rsidRPr="00A034D9">
        <w:rPr>
          <w:rFonts w:ascii="Calibri" w:eastAsia="Calibri" w:hAnsi="Calibri" w:cs="Arial"/>
          <w:rtl/>
          <w:lang w:val="en-US"/>
        </w:rPr>
        <w:t>.</w:t>
      </w:r>
    </w:p>
    <w:p w14:paraId="710445F6" w14:textId="77777777" w:rsidR="00A034D9" w:rsidRPr="00A034D9" w:rsidRDefault="00A034D9" w:rsidP="00A034D9">
      <w:pPr>
        <w:jc w:val="both"/>
        <w:rPr>
          <w:rFonts w:ascii="Calibri" w:eastAsia="Calibri" w:hAnsi="Calibri" w:cs="Arial"/>
          <w:lang w:val="en-US"/>
        </w:rPr>
      </w:pPr>
    </w:p>
    <w:p w14:paraId="4BFCCF66" w14:textId="154FF86A" w:rsidR="00A034D9" w:rsidRPr="008E7E92" w:rsidRDefault="00A034D9" w:rsidP="00A034D9">
      <w:pPr>
        <w:keepNext/>
        <w:keepLines/>
        <w:numPr>
          <w:ilvl w:val="2"/>
          <w:numId w:val="9"/>
        </w:numPr>
        <w:spacing w:before="40" w:after="0"/>
        <w:jc w:val="both"/>
        <w:outlineLvl w:val="1"/>
        <w:rPr>
          <w:rFonts w:asciiTheme="majorBidi" w:eastAsia="Times New Roman" w:hAnsiTheme="majorBidi" w:cstheme="majorBidi"/>
          <w:b/>
          <w:bCs/>
          <w:sz w:val="28"/>
          <w:szCs w:val="28"/>
          <w:lang w:val="en-US"/>
        </w:rPr>
      </w:pPr>
      <w:bookmarkStart w:id="95" w:name="_Toc173856230"/>
      <w:bookmarkStart w:id="96" w:name="_Toc173862485"/>
      <w:bookmarkStart w:id="97" w:name="_Toc173862984"/>
      <w:bookmarkStart w:id="98" w:name="_Toc173998199"/>
      <w:bookmarkStart w:id="99" w:name="_Toc174003148"/>
      <w:r w:rsidRPr="008E7E92">
        <w:rPr>
          <w:rFonts w:asciiTheme="majorBidi" w:eastAsia="Times New Roman" w:hAnsiTheme="majorBidi" w:cstheme="majorBidi"/>
          <w:b/>
          <w:bCs/>
          <w:sz w:val="28"/>
          <w:szCs w:val="28"/>
          <w:lang w:val="en-US"/>
        </w:rPr>
        <w:t>Organizational Support</w:t>
      </w:r>
      <w:bookmarkEnd w:id="95"/>
      <w:bookmarkEnd w:id="96"/>
      <w:bookmarkEnd w:id="97"/>
      <w:bookmarkEnd w:id="98"/>
      <w:bookmarkEnd w:id="99"/>
    </w:p>
    <w:p w14:paraId="3CAD5E96" w14:textId="5936AE0A"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The level of support provided by healthcare institutions is a crucial factor in telehealth adoption. Organizational support encompasses the availability of training, resources</w:t>
      </w:r>
      <w:r w:rsidR="003A143C">
        <w:rPr>
          <w:rFonts w:ascii="Calibri" w:eastAsia="Calibri" w:hAnsi="Calibri" w:cs="Arial"/>
          <w:lang w:val="en-US"/>
        </w:rPr>
        <w:t xml:space="preserve"> and</w:t>
      </w:r>
      <w:r w:rsidRPr="00A034D9">
        <w:rPr>
          <w:rFonts w:ascii="Calibri" w:eastAsia="Calibri" w:hAnsi="Calibri" w:cs="Arial"/>
          <w:lang w:val="en-US"/>
        </w:rPr>
        <w:t xml:space="preserve"> a </w:t>
      </w:r>
      <w:r w:rsidRPr="00A034D9">
        <w:rPr>
          <w:rFonts w:ascii="Calibri" w:eastAsia="Calibri" w:hAnsi="Calibri" w:cs="Arial"/>
          <w:lang w:val="en-US"/>
        </w:rPr>
        <w:lastRenderedPageBreak/>
        <w:t>supportive culture that encourages the use of telehealth technologies (Al-</w:t>
      </w:r>
      <w:proofErr w:type="spellStart"/>
      <w:r w:rsidRPr="00A034D9">
        <w:rPr>
          <w:rFonts w:ascii="Calibri" w:eastAsia="Calibri" w:hAnsi="Calibri" w:cs="Arial"/>
          <w:lang w:val="en-US"/>
        </w:rPr>
        <w:t>Samarraie</w:t>
      </w:r>
      <w:proofErr w:type="spellEnd"/>
      <w:r w:rsidRPr="00A034D9">
        <w:rPr>
          <w:rFonts w:ascii="Calibri" w:eastAsia="Calibri" w:hAnsi="Calibri" w:cs="Arial"/>
          <w:lang w:val="en-US"/>
        </w:rPr>
        <w:t>, Ghazal, Alzahrani and Moody, 2020)</w:t>
      </w:r>
      <w:r w:rsidRPr="00A034D9">
        <w:rPr>
          <w:rFonts w:ascii="Calibri" w:eastAsia="Calibri" w:hAnsi="Calibri" w:cs="Arial"/>
          <w:rtl/>
          <w:lang w:val="en-US"/>
        </w:rPr>
        <w:t>.</w:t>
      </w:r>
    </w:p>
    <w:p w14:paraId="621274DC" w14:textId="77777777"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Training and Resources: Effective telehealth adoption requires that healthcare institutions provide adequate training and resources to their staff. Training programs should cover not only the technical aspects of telehealth platforms but also clinical and communication skills necessary for remote care delivery (Thomas, et al., 2024). Research by Garber and Gustin (2022) underscores the importance of comprehensive training programs in facilitating telehealth adoption. In the Riyadh second health cluster, ensuring that allied healthcare providers have access to regular training sessions and updated resources can enhance their confidence and competence in using telehealth technologies</w:t>
      </w:r>
      <w:r w:rsidRPr="00A034D9">
        <w:rPr>
          <w:rFonts w:ascii="Calibri" w:eastAsia="Calibri" w:hAnsi="Calibri" w:cs="Arial"/>
          <w:rtl/>
          <w:lang w:val="en-US"/>
        </w:rPr>
        <w:t>.</w:t>
      </w:r>
    </w:p>
    <w:p w14:paraId="76FE2897" w14:textId="0891C70C"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Institutional Culture and Support: The organizational culture and the degree of support from management play a significant role in the adoption of telehealth services (</w:t>
      </w:r>
      <w:proofErr w:type="spellStart"/>
      <w:r w:rsidR="00097EB4" w:rsidRPr="00A034D9">
        <w:rPr>
          <w:rFonts w:ascii="Calibri" w:eastAsia="Calibri" w:hAnsi="Calibri" w:cs="Arial"/>
          <w:lang w:val="en-US"/>
        </w:rPr>
        <w:t>Binci</w:t>
      </w:r>
      <w:proofErr w:type="spellEnd"/>
      <w:r w:rsidR="00097EB4" w:rsidRPr="00A034D9">
        <w:rPr>
          <w:rFonts w:ascii="Calibri" w:eastAsia="Calibri" w:hAnsi="Calibri" w:cs="Arial"/>
          <w:lang w:val="en-US"/>
        </w:rPr>
        <w:t>,</w:t>
      </w:r>
      <w:r w:rsidRPr="00A034D9">
        <w:rPr>
          <w:rFonts w:ascii="Calibri" w:eastAsia="Calibri" w:hAnsi="Calibri" w:cs="Arial"/>
          <w:lang w:val="en-US"/>
        </w:rPr>
        <w:t xml:space="preserve"> Palozzi and </w:t>
      </w:r>
      <w:proofErr w:type="spellStart"/>
      <w:r w:rsidRPr="00A034D9">
        <w:rPr>
          <w:rFonts w:ascii="Calibri" w:eastAsia="Calibri" w:hAnsi="Calibri" w:cs="Arial"/>
          <w:lang w:val="en-US"/>
        </w:rPr>
        <w:t>Scafarto</w:t>
      </w:r>
      <w:proofErr w:type="spellEnd"/>
      <w:r w:rsidRPr="00A034D9">
        <w:rPr>
          <w:rFonts w:ascii="Calibri" w:eastAsia="Calibri" w:hAnsi="Calibri" w:cs="Arial"/>
          <w:lang w:val="en-US"/>
        </w:rPr>
        <w:t xml:space="preserve">, 2022). Institutions that foster a culture of innovation and provide strong leadership support for telehealth initiatives are more likely to see higher adoption rates. Studies by (Velayati, </w:t>
      </w:r>
      <w:proofErr w:type="spellStart"/>
      <w:r w:rsidRPr="00A034D9">
        <w:rPr>
          <w:rFonts w:ascii="Calibri" w:eastAsia="Calibri" w:hAnsi="Calibri" w:cs="Arial"/>
          <w:lang w:val="en-US"/>
        </w:rPr>
        <w:t>Ayatollahi</w:t>
      </w:r>
      <w:proofErr w:type="spellEnd"/>
      <w:r w:rsidRPr="00A034D9">
        <w:rPr>
          <w:rFonts w:ascii="Calibri" w:eastAsia="Calibri" w:hAnsi="Calibri" w:cs="Arial"/>
          <w:lang w:val="en-US"/>
        </w:rPr>
        <w:t>, Hemmat and Dehghan (2021) have shown that management support and a positive organizational attitude towards telehealth are critical for its successful implementation. In the context of the Riyadh second health cluster, creating a supportive environment that encourages the use of telehealth can significantly boost adoption rates among allied healthcare providers</w:t>
      </w:r>
      <w:r w:rsidRPr="00A034D9">
        <w:rPr>
          <w:rFonts w:ascii="Calibri" w:eastAsia="Calibri" w:hAnsi="Calibri" w:cs="Arial"/>
          <w:rtl/>
          <w:lang w:val="en-US"/>
        </w:rPr>
        <w:t>.</w:t>
      </w:r>
    </w:p>
    <w:p w14:paraId="0F682876" w14:textId="28501298" w:rsidR="00A034D9" w:rsidRPr="008E7E92" w:rsidRDefault="00A034D9" w:rsidP="00A034D9">
      <w:pPr>
        <w:keepNext/>
        <w:keepLines/>
        <w:numPr>
          <w:ilvl w:val="2"/>
          <w:numId w:val="9"/>
        </w:numPr>
        <w:spacing w:before="40" w:after="0"/>
        <w:jc w:val="both"/>
        <w:outlineLvl w:val="1"/>
        <w:rPr>
          <w:rFonts w:asciiTheme="majorBidi" w:eastAsia="Times New Roman" w:hAnsiTheme="majorBidi" w:cstheme="majorBidi"/>
          <w:b/>
          <w:bCs/>
          <w:sz w:val="28"/>
          <w:szCs w:val="28"/>
          <w:lang w:val="en-US"/>
        </w:rPr>
      </w:pPr>
      <w:bookmarkStart w:id="100" w:name="_Toc173856231"/>
      <w:bookmarkStart w:id="101" w:name="_Toc173862486"/>
      <w:bookmarkStart w:id="102" w:name="_Toc173862985"/>
      <w:bookmarkStart w:id="103" w:name="_Toc173998200"/>
      <w:bookmarkStart w:id="104" w:name="_Toc174003149"/>
      <w:r w:rsidRPr="008E7E92">
        <w:rPr>
          <w:rFonts w:asciiTheme="majorBidi" w:eastAsia="Times New Roman" w:hAnsiTheme="majorBidi" w:cstheme="majorBidi"/>
          <w:b/>
          <w:bCs/>
          <w:sz w:val="28"/>
          <w:szCs w:val="28"/>
          <w:lang w:val="en-US"/>
        </w:rPr>
        <w:t>Policies and Regulations</w:t>
      </w:r>
      <w:bookmarkEnd w:id="100"/>
      <w:bookmarkEnd w:id="101"/>
      <w:bookmarkEnd w:id="102"/>
      <w:bookmarkEnd w:id="103"/>
      <w:bookmarkEnd w:id="104"/>
    </w:p>
    <w:p w14:paraId="29E4F73B" w14:textId="4BDBF30B"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The regulatory framework governing telehealth practices is another critical determinant of telehealth adoption. Policies and regulations related to licensing, reimbursement</w:t>
      </w:r>
      <w:r w:rsidR="003A143C">
        <w:rPr>
          <w:rFonts w:ascii="Calibri" w:eastAsia="Calibri" w:hAnsi="Calibri" w:cs="Arial"/>
          <w:lang w:val="en-US"/>
        </w:rPr>
        <w:t xml:space="preserve"> and</w:t>
      </w:r>
      <w:r w:rsidRPr="00A034D9">
        <w:rPr>
          <w:rFonts w:ascii="Calibri" w:eastAsia="Calibri" w:hAnsi="Calibri" w:cs="Arial"/>
          <w:lang w:val="en-US"/>
        </w:rPr>
        <w:t xml:space="preserve"> data security can either facilitate or hinder the implementation of telehealth services (Rangachari, Mushiana and Herbert, 2021)</w:t>
      </w:r>
    </w:p>
    <w:p w14:paraId="4FED6D65" w14:textId="77777777"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 xml:space="preserve">Licensing: Regulatory requirements for licensing can be a barrier to telehealth adoption if they are overly stringent or not well-defined. Healthcare providers need clarity on the legal aspects of providing telehealth services, including cross-border practice (Santoso, Soares, Fauzi and Amallia, 2024). Research by (Timmons and Norris (2022) highlights that inconsistent licensing regulations across regions can impede the expansion of telehealth services. In the Riyadh second </w:t>
      </w:r>
      <w:r w:rsidRPr="00A034D9">
        <w:rPr>
          <w:rFonts w:ascii="Calibri" w:eastAsia="Calibri" w:hAnsi="Calibri" w:cs="Arial"/>
          <w:lang w:val="en-US"/>
        </w:rPr>
        <w:lastRenderedPageBreak/>
        <w:t>health cluster, clear and supportive licensing policies are essential to encourage allied healthcare providers to integrate telehealth into their practice</w:t>
      </w:r>
      <w:r w:rsidRPr="00A034D9">
        <w:rPr>
          <w:rFonts w:ascii="Calibri" w:eastAsia="Calibri" w:hAnsi="Calibri" w:cs="Arial"/>
          <w:rtl/>
          <w:lang w:val="en-US"/>
        </w:rPr>
        <w:t>.</w:t>
      </w:r>
    </w:p>
    <w:p w14:paraId="628AA929" w14:textId="77777777"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Reimbursement: The financial viability of telehealth services is largely dependent on reimbursement policies. Adequate reimbursement for telehealth services ensures that healthcare providers are compensated for their time and effort (Rangachari, Mushiana and Herbert, 2021). Studies have shown that uncertainty or inadequacy in reimbursement policies can deter providers from adopting telehealth. For instance, a study by Zhao, et al., (2020) found that reimbursement issues were a major concern among healthcare providers considering telehealth. In the Riyadh second health cluster, establishing clear and fair reimbursement policies for telehealth services is crucial for promoting its adoption</w:t>
      </w:r>
      <w:r w:rsidRPr="00A034D9">
        <w:rPr>
          <w:rFonts w:ascii="Calibri" w:eastAsia="Calibri" w:hAnsi="Calibri" w:cs="Arial"/>
          <w:rtl/>
          <w:lang w:val="en-US"/>
        </w:rPr>
        <w:t>.</w:t>
      </w:r>
    </w:p>
    <w:p w14:paraId="7C887231" w14:textId="77777777"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 xml:space="preserve">Data Security: Ensuring the security and privacy of patient data is paramount in telehealth practices. Regulatory frameworks need to address data protection issues to build trust among healthcare providers and patients (Wenhua, et al., 2024). According to research by Pool, </w:t>
      </w:r>
      <w:proofErr w:type="spellStart"/>
      <w:r w:rsidRPr="00A034D9">
        <w:rPr>
          <w:rFonts w:ascii="Calibri" w:eastAsia="Calibri" w:hAnsi="Calibri" w:cs="Arial"/>
          <w:lang w:val="en-US"/>
        </w:rPr>
        <w:t>Akhlaghpour</w:t>
      </w:r>
      <w:proofErr w:type="spellEnd"/>
      <w:r w:rsidRPr="00A034D9">
        <w:rPr>
          <w:rFonts w:ascii="Calibri" w:eastAsia="Calibri" w:hAnsi="Calibri" w:cs="Arial"/>
          <w:lang w:val="en-US"/>
        </w:rPr>
        <w:t>, Fatehi and Gray (2022), concerns about data security and privacy are significant barriers to telehealth adoption. Regulations should mandate robust security measures, such as encryption and secure data storage, to protect patient information. In the Riyadh second health cluster, implementing stringent data security policies can alleviate concerns and encourage the use of telehealth technologies</w:t>
      </w:r>
      <w:r w:rsidRPr="00A034D9">
        <w:rPr>
          <w:rFonts w:ascii="Calibri" w:eastAsia="Calibri" w:hAnsi="Calibri" w:cs="Arial"/>
          <w:rtl/>
          <w:lang w:val="en-US"/>
        </w:rPr>
        <w:t>.</w:t>
      </w:r>
    </w:p>
    <w:p w14:paraId="06E67C76" w14:textId="4C9925A6"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Organizational and policy-related barriers, including organizational support and regulatory frameworks, significantly influence the adoption of telehealth services among allied healthcare providers (</w:t>
      </w:r>
      <w:proofErr w:type="spellStart"/>
      <w:r w:rsidRPr="00A034D9">
        <w:rPr>
          <w:rFonts w:ascii="Calibri" w:eastAsia="Calibri" w:hAnsi="Calibri" w:cs="Arial"/>
          <w:lang w:val="en-US"/>
        </w:rPr>
        <w:t>Dicianno</w:t>
      </w:r>
      <w:proofErr w:type="spellEnd"/>
      <w:r w:rsidRPr="00A034D9">
        <w:rPr>
          <w:rFonts w:ascii="Calibri" w:eastAsia="Calibri" w:hAnsi="Calibri" w:cs="Arial"/>
          <w:lang w:val="en-US"/>
        </w:rPr>
        <w:t xml:space="preserve">, </w:t>
      </w:r>
      <w:proofErr w:type="spellStart"/>
      <w:r w:rsidRPr="00A034D9">
        <w:rPr>
          <w:rFonts w:ascii="Calibri" w:eastAsia="Calibri" w:hAnsi="Calibri" w:cs="Arial"/>
          <w:lang w:val="en-US"/>
        </w:rPr>
        <w:t>Salh</w:t>
      </w:r>
      <w:proofErr w:type="spellEnd"/>
      <w:r w:rsidRPr="00A034D9">
        <w:rPr>
          <w:rFonts w:ascii="Calibri" w:eastAsia="Calibri" w:hAnsi="Calibri" w:cs="Arial"/>
          <w:lang w:val="en-US"/>
        </w:rPr>
        <w:t>, Morris, Xiang and Ding, 2024). Addressing these barriers through comprehensive training programs, supportive institutional cultures, clear licensing regulations, adequate reimbursement policies</w:t>
      </w:r>
      <w:r w:rsidR="003A143C">
        <w:rPr>
          <w:rFonts w:ascii="Calibri" w:eastAsia="Calibri" w:hAnsi="Calibri" w:cs="Arial"/>
          <w:lang w:val="en-US"/>
        </w:rPr>
        <w:t xml:space="preserve"> and</w:t>
      </w:r>
      <w:r w:rsidRPr="00A034D9">
        <w:rPr>
          <w:rFonts w:ascii="Calibri" w:eastAsia="Calibri" w:hAnsi="Calibri" w:cs="Arial"/>
          <w:lang w:val="en-US"/>
        </w:rPr>
        <w:t xml:space="preserve"> robust data security measures is essential for promoting telehealth adoption in the Riyadh second health cluster, as highlighted in </w:t>
      </w:r>
      <w:proofErr w:type="spellStart"/>
      <w:r w:rsidRPr="00A034D9">
        <w:rPr>
          <w:rFonts w:ascii="Calibri" w:eastAsia="Calibri" w:hAnsi="Calibri" w:cs="Arial"/>
          <w:lang w:val="en-US"/>
        </w:rPr>
        <w:t>Mbunge</w:t>
      </w:r>
      <w:proofErr w:type="spellEnd"/>
      <w:r w:rsidRPr="00A034D9">
        <w:rPr>
          <w:rFonts w:ascii="Calibri" w:eastAsia="Calibri" w:hAnsi="Calibri" w:cs="Arial"/>
          <w:lang w:val="en-US"/>
        </w:rPr>
        <w:t xml:space="preserve">, Muchemwa and </w:t>
      </w:r>
      <w:proofErr w:type="spellStart"/>
      <w:r w:rsidRPr="00A034D9">
        <w:rPr>
          <w:rFonts w:ascii="Calibri" w:eastAsia="Calibri" w:hAnsi="Calibri" w:cs="Arial"/>
          <w:lang w:val="en-US"/>
        </w:rPr>
        <w:t>Batani</w:t>
      </w:r>
      <w:proofErr w:type="spellEnd"/>
      <w:r w:rsidRPr="00A034D9">
        <w:rPr>
          <w:rFonts w:ascii="Calibri" w:eastAsia="Calibri" w:hAnsi="Calibri" w:cs="Arial"/>
          <w:lang w:val="en-US"/>
        </w:rPr>
        <w:t xml:space="preserve"> (2022). Understanding these factors provides a foundation for developing targeted interventions to enhance telehealth integration and utilization (Rangachari, Mushiana and Herbert, 2021)</w:t>
      </w:r>
      <w:r w:rsidRPr="00A034D9">
        <w:rPr>
          <w:rFonts w:ascii="Calibri" w:eastAsia="Calibri" w:hAnsi="Calibri" w:cs="Arial"/>
          <w:rtl/>
          <w:lang w:val="en-US"/>
        </w:rPr>
        <w:t>.</w:t>
      </w:r>
    </w:p>
    <w:p w14:paraId="53416547" w14:textId="312900B7" w:rsidR="00A034D9" w:rsidRPr="00601EA7" w:rsidRDefault="00A034D9" w:rsidP="002C1B2A">
      <w:pPr>
        <w:keepNext/>
        <w:keepLines/>
        <w:numPr>
          <w:ilvl w:val="1"/>
          <w:numId w:val="9"/>
        </w:numPr>
        <w:spacing w:before="240" w:after="0"/>
        <w:jc w:val="both"/>
        <w:outlineLvl w:val="0"/>
        <w:rPr>
          <w:rFonts w:asciiTheme="majorBidi" w:eastAsia="Times New Roman" w:hAnsiTheme="majorBidi" w:cstheme="majorBidi"/>
          <w:b/>
          <w:bCs/>
          <w:sz w:val="32"/>
          <w:szCs w:val="32"/>
          <w:lang w:val="en-US"/>
        </w:rPr>
      </w:pPr>
      <w:bookmarkStart w:id="105" w:name="_Toc173856232"/>
      <w:bookmarkStart w:id="106" w:name="_Toc173862487"/>
      <w:bookmarkStart w:id="107" w:name="_Toc173862986"/>
      <w:bookmarkStart w:id="108" w:name="_Toc173998201"/>
      <w:bookmarkStart w:id="109" w:name="_Toc174003150"/>
      <w:r w:rsidRPr="00601EA7">
        <w:rPr>
          <w:rFonts w:asciiTheme="majorBidi" w:eastAsia="Times New Roman" w:hAnsiTheme="majorBidi" w:cstheme="majorBidi"/>
          <w:b/>
          <w:bCs/>
          <w:sz w:val="32"/>
          <w:szCs w:val="32"/>
          <w:lang w:val="en-US"/>
        </w:rPr>
        <w:lastRenderedPageBreak/>
        <w:t>Socio-Cultural Factors</w:t>
      </w:r>
      <w:bookmarkEnd w:id="105"/>
      <w:bookmarkEnd w:id="106"/>
      <w:bookmarkEnd w:id="107"/>
      <w:bookmarkEnd w:id="108"/>
      <w:bookmarkEnd w:id="109"/>
    </w:p>
    <w:p w14:paraId="6F0B1B32" w14:textId="73D86E9C"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Socio-cultural factors play a crucial role in the adoption of telehealth services. These factors encompass cultural acceptance, attitudes and perceptions</w:t>
      </w:r>
      <w:r w:rsidR="003A143C">
        <w:rPr>
          <w:rFonts w:ascii="Calibri" w:eastAsia="Calibri" w:hAnsi="Calibri" w:cs="Arial"/>
          <w:lang w:val="en-US"/>
        </w:rPr>
        <w:t xml:space="preserve"> and</w:t>
      </w:r>
      <w:r w:rsidRPr="00A034D9">
        <w:rPr>
          <w:rFonts w:ascii="Calibri" w:eastAsia="Calibri" w:hAnsi="Calibri" w:cs="Arial"/>
          <w:lang w:val="en-US"/>
        </w:rPr>
        <w:t xml:space="preserve"> patient engagement (Forbes and Chakraborty, 2023). Understanding these factors is essential for identifying barriers and facilitating the integration of telehealth into routine healthcare practice</w:t>
      </w:r>
      <w:r w:rsidRPr="00A034D9">
        <w:rPr>
          <w:rFonts w:ascii="Calibri" w:eastAsia="Calibri" w:hAnsi="Calibri" w:cs="Arial"/>
          <w:rtl/>
          <w:lang w:val="en-US"/>
        </w:rPr>
        <w:t>.</w:t>
      </w:r>
    </w:p>
    <w:p w14:paraId="181F3AC9" w14:textId="4C2432C9" w:rsidR="00A034D9" w:rsidRPr="00486E01" w:rsidRDefault="00A034D9" w:rsidP="002C1B2A">
      <w:pPr>
        <w:keepNext/>
        <w:keepLines/>
        <w:numPr>
          <w:ilvl w:val="1"/>
          <w:numId w:val="9"/>
        </w:numPr>
        <w:spacing w:before="240" w:after="0"/>
        <w:jc w:val="both"/>
        <w:outlineLvl w:val="0"/>
        <w:rPr>
          <w:rFonts w:asciiTheme="majorBidi" w:eastAsia="Times New Roman" w:hAnsiTheme="majorBidi" w:cstheme="majorBidi"/>
          <w:b/>
          <w:bCs/>
          <w:sz w:val="32"/>
          <w:szCs w:val="40"/>
          <w:lang w:val="en-US"/>
        </w:rPr>
      </w:pPr>
      <w:bookmarkStart w:id="110" w:name="_Toc173856233"/>
      <w:bookmarkStart w:id="111" w:name="_Toc173862488"/>
      <w:bookmarkStart w:id="112" w:name="_Toc173862987"/>
      <w:bookmarkStart w:id="113" w:name="_Toc173998202"/>
      <w:bookmarkStart w:id="114" w:name="_Toc174003151"/>
      <w:r w:rsidRPr="00486E01">
        <w:rPr>
          <w:rFonts w:asciiTheme="majorBidi" w:eastAsia="Times New Roman" w:hAnsiTheme="majorBidi" w:cstheme="majorBidi"/>
          <w:b/>
          <w:bCs/>
          <w:sz w:val="32"/>
          <w:szCs w:val="40"/>
          <w:lang w:val="en-US"/>
        </w:rPr>
        <w:t>Cultural Acceptance</w:t>
      </w:r>
      <w:bookmarkEnd w:id="110"/>
      <w:bookmarkEnd w:id="111"/>
      <w:bookmarkEnd w:id="112"/>
      <w:bookmarkEnd w:id="113"/>
      <w:bookmarkEnd w:id="114"/>
    </w:p>
    <w:p w14:paraId="011F00F9" w14:textId="77777777"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 xml:space="preserve">Cultural acceptance of telehealth technologies by both patients and providers is fundamental to the successful adoption of these services (Kamal, Shafiq and </w:t>
      </w:r>
      <w:proofErr w:type="spellStart"/>
      <w:r w:rsidRPr="00A034D9">
        <w:rPr>
          <w:rFonts w:ascii="Calibri" w:eastAsia="Calibri" w:hAnsi="Calibri" w:cs="Arial"/>
          <w:lang w:val="en-US"/>
        </w:rPr>
        <w:t>Kakria</w:t>
      </w:r>
      <w:proofErr w:type="spellEnd"/>
      <w:r w:rsidRPr="00A034D9">
        <w:rPr>
          <w:rFonts w:ascii="Calibri" w:eastAsia="Calibri" w:hAnsi="Calibri" w:cs="Arial"/>
          <w:lang w:val="en-US"/>
        </w:rPr>
        <w:t>, 2020)</w:t>
      </w:r>
      <w:r w:rsidRPr="00A034D9">
        <w:rPr>
          <w:rFonts w:ascii="Calibri" w:eastAsia="Calibri" w:hAnsi="Calibri" w:cs="Arial"/>
          <w:rtl/>
          <w:lang w:val="en-US"/>
        </w:rPr>
        <w:t>.</w:t>
      </w:r>
    </w:p>
    <w:p w14:paraId="1D74FCAB" w14:textId="77777777"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 xml:space="preserve">Patients: For telehealth to be effective, patients must be willing to engage with and accept these technologies. Cultural norms and beliefs can significantly influence this acceptance. For instance, in some cultures, face-to-face interactions with healthcare providers are preferred, which may hinder the acceptance of telehealth. Studies such as those by Harst, </w:t>
      </w:r>
      <w:proofErr w:type="spellStart"/>
      <w:r w:rsidRPr="00A034D9">
        <w:rPr>
          <w:rFonts w:ascii="Calibri" w:eastAsia="Calibri" w:hAnsi="Calibri" w:cs="Arial"/>
          <w:lang w:val="en-US"/>
        </w:rPr>
        <w:t>Lantzsch</w:t>
      </w:r>
      <w:proofErr w:type="spellEnd"/>
      <w:r w:rsidRPr="00A034D9">
        <w:rPr>
          <w:rFonts w:ascii="Calibri" w:eastAsia="Calibri" w:hAnsi="Calibri" w:cs="Arial"/>
          <w:lang w:val="en-US"/>
        </w:rPr>
        <w:t xml:space="preserve"> and Scheibe (2019) have shown that cultural beliefs about healthcare delivery can impact patients' willingness to use telehealth services. In the Riyadh second health cluster, addressing cultural reservations through education and demonstrating the benefits of telehealth could enhance patient acceptance</w:t>
      </w:r>
      <w:r w:rsidRPr="00A034D9">
        <w:rPr>
          <w:rFonts w:ascii="Calibri" w:eastAsia="Calibri" w:hAnsi="Calibri" w:cs="Arial"/>
          <w:rtl/>
          <w:lang w:val="en-US"/>
        </w:rPr>
        <w:t>.</w:t>
      </w:r>
    </w:p>
    <w:p w14:paraId="2C3F02A3" w14:textId="173DEC89"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 xml:space="preserve">Providers: Similarly, healthcare providers’ acceptance of telehealth is influenced by their cultural context. Providers may have preconceptions about the efficacy and appropriateness of telehealth compared to traditional in-person consultations (Lundereng, et al., 2023). Research by Kamal, Shafiq and </w:t>
      </w:r>
      <w:proofErr w:type="spellStart"/>
      <w:r w:rsidRPr="00A034D9">
        <w:rPr>
          <w:rFonts w:ascii="Calibri" w:eastAsia="Calibri" w:hAnsi="Calibri" w:cs="Arial"/>
          <w:lang w:val="en-US"/>
        </w:rPr>
        <w:t>Kakria</w:t>
      </w:r>
      <w:proofErr w:type="spellEnd"/>
      <w:r w:rsidRPr="00A034D9">
        <w:rPr>
          <w:rFonts w:ascii="Calibri" w:eastAsia="Calibri" w:hAnsi="Calibri" w:cs="Arial"/>
          <w:lang w:val="en-US"/>
        </w:rPr>
        <w:t xml:space="preserve"> (2020) indicates that cultural attitudes towards technology and innovation can affect healthcare providers' acceptance of telehealth. In the context of the Riyadh second health cluster, fostering a culture that values technological innovation in healthcare can encourage providers to adopt telehealth services</w:t>
      </w:r>
      <w:r w:rsidRPr="00A034D9">
        <w:rPr>
          <w:rFonts w:ascii="Calibri" w:eastAsia="Calibri" w:hAnsi="Calibri" w:cs="Arial"/>
          <w:rtl/>
          <w:lang w:val="en-US"/>
        </w:rPr>
        <w:t>.</w:t>
      </w:r>
    </w:p>
    <w:p w14:paraId="0854DFC1" w14:textId="409FEDC5" w:rsidR="00A034D9" w:rsidRPr="008E7E92" w:rsidRDefault="00A034D9" w:rsidP="00A034D9">
      <w:pPr>
        <w:keepNext/>
        <w:keepLines/>
        <w:numPr>
          <w:ilvl w:val="1"/>
          <w:numId w:val="9"/>
        </w:numPr>
        <w:spacing w:before="240" w:after="0"/>
        <w:jc w:val="both"/>
        <w:outlineLvl w:val="0"/>
        <w:rPr>
          <w:rFonts w:asciiTheme="majorBidi" w:eastAsia="Times New Roman" w:hAnsiTheme="majorBidi" w:cstheme="majorBidi"/>
          <w:b/>
          <w:bCs/>
          <w:sz w:val="32"/>
          <w:szCs w:val="40"/>
          <w:lang w:val="en-US"/>
        </w:rPr>
      </w:pPr>
      <w:bookmarkStart w:id="115" w:name="_Toc173856234"/>
      <w:bookmarkStart w:id="116" w:name="_Toc173862489"/>
      <w:bookmarkStart w:id="117" w:name="_Toc173862988"/>
      <w:bookmarkStart w:id="118" w:name="_Toc173998203"/>
      <w:bookmarkStart w:id="119" w:name="_Toc174003152"/>
      <w:r w:rsidRPr="008E7E92">
        <w:rPr>
          <w:rFonts w:asciiTheme="majorBidi" w:eastAsia="Times New Roman" w:hAnsiTheme="majorBidi" w:cstheme="majorBidi"/>
          <w:b/>
          <w:bCs/>
          <w:sz w:val="32"/>
          <w:szCs w:val="40"/>
          <w:lang w:val="en-US"/>
        </w:rPr>
        <w:t>Attitudes and Perceptions</w:t>
      </w:r>
      <w:bookmarkEnd w:id="115"/>
      <w:bookmarkEnd w:id="116"/>
      <w:bookmarkEnd w:id="117"/>
      <w:bookmarkEnd w:id="118"/>
      <w:bookmarkEnd w:id="119"/>
    </w:p>
    <w:p w14:paraId="3B18913E" w14:textId="77777777" w:rsidR="00A034D9" w:rsidRPr="00A034D9" w:rsidRDefault="00A034D9" w:rsidP="00AD3D08">
      <w:pPr>
        <w:ind w:firstLine="720"/>
        <w:jc w:val="both"/>
        <w:rPr>
          <w:rFonts w:ascii="Calibri" w:eastAsia="Calibri" w:hAnsi="Calibri" w:cs="Arial"/>
          <w:lang w:val="en-US"/>
        </w:rPr>
      </w:pPr>
      <w:r w:rsidRPr="00A034D9">
        <w:rPr>
          <w:rFonts w:ascii="Calibri" w:eastAsia="Calibri" w:hAnsi="Calibri" w:cs="Arial"/>
          <w:lang w:val="en-US"/>
        </w:rPr>
        <w:t>The attitudes and perceptions of allied healthcare providers regarding telehealth are critical determinants of its adoption. These include the perceived usefulness and trust in telehealth services (</w:t>
      </w:r>
      <w:proofErr w:type="spellStart"/>
      <w:r w:rsidRPr="00A034D9">
        <w:rPr>
          <w:rFonts w:ascii="Calibri" w:eastAsia="Calibri" w:hAnsi="Calibri" w:cs="Arial"/>
          <w:lang w:val="en-US"/>
        </w:rPr>
        <w:t>Pullyblank</w:t>
      </w:r>
      <w:proofErr w:type="spellEnd"/>
      <w:r w:rsidRPr="00A034D9">
        <w:rPr>
          <w:rFonts w:ascii="Calibri" w:eastAsia="Calibri" w:hAnsi="Calibri" w:cs="Arial"/>
          <w:lang w:val="en-US"/>
        </w:rPr>
        <w:t>, 2022)</w:t>
      </w:r>
      <w:r w:rsidRPr="00A034D9">
        <w:rPr>
          <w:rFonts w:ascii="Calibri" w:eastAsia="Calibri" w:hAnsi="Calibri" w:cs="Arial"/>
          <w:rtl/>
          <w:lang w:val="en-US"/>
        </w:rPr>
        <w:t>.</w:t>
      </w:r>
    </w:p>
    <w:p w14:paraId="3888DA78" w14:textId="338C70B7" w:rsidR="00A034D9" w:rsidRPr="00A034D9" w:rsidRDefault="00A034D9" w:rsidP="009A1DF5">
      <w:pPr>
        <w:ind w:firstLine="720"/>
        <w:jc w:val="both"/>
        <w:rPr>
          <w:rFonts w:ascii="Calibri" w:eastAsia="Calibri" w:hAnsi="Calibri" w:cs="Arial"/>
          <w:lang w:val="en-US"/>
        </w:rPr>
      </w:pPr>
      <w:r w:rsidRPr="00A034D9">
        <w:rPr>
          <w:rFonts w:ascii="Calibri" w:eastAsia="Calibri" w:hAnsi="Calibri" w:cs="Arial"/>
          <w:lang w:val="en-US"/>
        </w:rPr>
        <w:lastRenderedPageBreak/>
        <w:t>Perceived Usefulness: The extent to which healthcare providers believe that telehealth can enhance their practice influences its adoption. According to the Technology Acceptance Model (TAM) proposed by Holtz, Mitchell, Hirko and Ford, (2022), perceived usefulness is a key predictor of technology adoption. Providers are more likely to use telehealth if they believe it can improve patient outcomes, increase efficiency</w:t>
      </w:r>
      <w:r w:rsidR="003A143C">
        <w:rPr>
          <w:rFonts w:ascii="Calibri" w:eastAsia="Calibri" w:hAnsi="Calibri" w:cs="Arial"/>
          <w:lang w:val="en-US"/>
        </w:rPr>
        <w:t xml:space="preserve"> and</w:t>
      </w:r>
      <w:r w:rsidRPr="00A034D9">
        <w:rPr>
          <w:rFonts w:ascii="Calibri" w:eastAsia="Calibri" w:hAnsi="Calibri" w:cs="Arial"/>
          <w:lang w:val="en-US"/>
        </w:rPr>
        <w:t xml:space="preserve"> expand access to care. Studies such as those by Minen, et al., (2021) support this view, indicating that positive perceptions of telehealth's benefits can drive its adoption. In the Riyadh second health cluster, highlighting the tangible benefits of telehealth to allied healthcare providers can promote its use</w:t>
      </w:r>
      <w:r w:rsidRPr="00A034D9">
        <w:rPr>
          <w:rFonts w:ascii="Calibri" w:eastAsia="Calibri" w:hAnsi="Calibri" w:cs="Arial"/>
          <w:rtl/>
          <w:lang w:val="en-US"/>
        </w:rPr>
        <w:t>.</w:t>
      </w:r>
    </w:p>
    <w:p w14:paraId="2DC10170" w14:textId="29C125AA" w:rsidR="005270A7" w:rsidRPr="00A034D9" w:rsidRDefault="00A034D9" w:rsidP="009A1DF5">
      <w:pPr>
        <w:ind w:firstLine="720"/>
        <w:jc w:val="both"/>
        <w:rPr>
          <w:rFonts w:ascii="Calibri" w:eastAsia="Calibri" w:hAnsi="Calibri" w:cs="Arial"/>
          <w:lang w:val="en-US"/>
        </w:rPr>
      </w:pPr>
      <w:r w:rsidRPr="00A034D9">
        <w:rPr>
          <w:rFonts w:ascii="Calibri" w:eastAsia="Calibri" w:hAnsi="Calibri" w:cs="Arial"/>
          <w:lang w:val="en-US"/>
        </w:rPr>
        <w:t xml:space="preserve">Trust: Trust in the reliability and effectiveness of telehealth technologies is also vital. Providers need to trust that telehealth platforms will function correctly and provide accurate and secure patient information. Research by </w:t>
      </w:r>
      <w:proofErr w:type="spellStart"/>
      <w:r w:rsidRPr="00A034D9">
        <w:rPr>
          <w:rFonts w:ascii="Calibri" w:eastAsia="Calibri" w:hAnsi="Calibri" w:cs="Arial"/>
          <w:lang w:val="en-US"/>
        </w:rPr>
        <w:t>Garavand</w:t>
      </w:r>
      <w:proofErr w:type="spellEnd"/>
      <w:r w:rsidRPr="00A034D9">
        <w:rPr>
          <w:rFonts w:ascii="Calibri" w:eastAsia="Calibri" w:hAnsi="Calibri" w:cs="Arial"/>
          <w:lang w:val="en-US"/>
        </w:rPr>
        <w:t xml:space="preserve">, et. </w:t>
      </w:r>
      <w:r w:rsidR="00097EB4">
        <w:rPr>
          <w:rFonts w:ascii="Calibri" w:eastAsia="Calibri" w:hAnsi="Calibri" w:cs="Arial"/>
          <w:lang w:val="en-US"/>
        </w:rPr>
        <w:t>a</w:t>
      </w:r>
      <w:r w:rsidRPr="00A034D9">
        <w:rPr>
          <w:rFonts w:ascii="Calibri" w:eastAsia="Calibri" w:hAnsi="Calibri" w:cs="Arial"/>
          <w:lang w:val="en-US"/>
        </w:rPr>
        <w:t>l., (2022) shows that trust in technology is a significant factor influencing telehealth adoption. In the Riyadh second health cluster, building trust through evidence-based demonstrations of telehealth efficacy and robust data security measures can encourage providers to adopt these services</w:t>
      </w:r>
      <w:r w:rsidRPr="00A034D9">
        <w:rPr>
          <w:rFonts w:ascii="Calibri" w:eastAsia="Calibri" w:hAnsi="Calibri" w:cs="Arial"/>
          <w:rtl/>
          <w:lang w:val="en-US"/>
        </w:rPr>
        <w:t>.</w:t>
      </w:r>
    </w:p>
    <w:p w14:paraId="47EC4013" w14:textId="69DDE460" w:rsidR="00A034D9" w:rsidRPr="009F458B" w:rsidRDefault="00A034D9" w:rsidP="00A034D9">
      <w:pPr>
        <w:keepNext/>
        <w:keepLines/>
        <w:numPr>
          <w:ilvl w:val="1"/>
          <w:numId w:val="9"/>
        </w:numPr>
        <w:spacing w:before="240" w:after="0"/>
        <w:jc w:val="both"/>
        <w:outlineLvl w:val="0"/>
        <w:rPr>
          <w:rFonts w:asciiTheme="majorBidi" w:eastAsia="Times New Roman" w:hAnsiTheme="majorBidi" w:cstheme="majorBidi"/>
          <w:b/>
          <w:bCs/>
          <w:sz w:val="32"/>
          <w:szCs w:val="40"/>
          <w:lang w:val="en-US"/>
        </w:rPr>
      </w:pPr>
      <w:bookmarkStart w:id="120" w:name="_Toc173856235"/>
      <w:bookmarkStart w:id="121" w:name="_Toc173862490"/>
      <w:bookmarkStart w:id="122" w:name="_Toc173862989"/>
      <w:bookmarkStart w:id="123" w:name="_Toc173998204"/>
      <w:bookmarkStart w:id="124" w:name="_Toc174003153"/>
      <w:r w:rsidRPr="009F458B">
        <w:rPr>
          <w:rFonts w:asciiTheme="majorBidi" w:eastAsia="Times New Roman" w:hAnsiTheme="majorBidi" w:cstheme="majorBidi"/>
          <w:b/>
          <w:bCs/>
          <w:sz w:val="32"/>
          <w:szCs w:val="40"/>
          <w:lang w:val="en-US"/>
        </w:rPr>
        <w:t>Patient Engagement</w:t>
      </w:r>
      <w:bookmarkEnd w:id="120"/>
      <w:bookmarkEnd w:id="121"/>
      <w:bookmarkEnd w:id="122"/>
      <w:bookmarkEnd w:id="123"/>
      <w:bookmarkEnd w:id="124"/>
    </w:p>
    <w:p w14:paraId="4D62E5EE" w14:textId="77777777" w:rsidR="00A034D9" w:rsidRPr="00A034D9" w:rsidRDefault="00A034D9" w:rsidP="009A1DF5">
      <w:pPr>
        <w:ind w:firstLine="720"/>
        <w:jc w:val="both"/>
        <w:rPr>
          <w:rFonts w:ascii="Calibri" w:eastAsia="Calibri" w:hAnsi="Calibri" w:cs="Arial"/>
          <w:lang w:val="en-US"/>
        </w:rPr>
      </w:pPr>
      <w:r w:rsidRPr="00A034D9">
        <w:rPr>
          <w:rFonts w:ascii="Calibri" w:eastAsia="Calibri" w:hAnsi="Calibri" w:cs="Arial"/>
          <w:lang w:val="en-US"/>
        </w:rPr>
        <w:t>The willingness and ability of patients to engage with telehealth services are crucial for its successful adoption. Patient engagement involves both the technical ability to use telehealth platforms and the motivation to participate in remote healthcare interactions (Aalam, Osman and Martin, 2021)</w:t>
      </w:r>
      <w:r w:rsidRPr="00A034D9">
        <w:rPr>
          <w:rFonts w:ascii="Calibri" w:eastAsia="Calibri" w:hAnsi="Calibri" w:cs="Arial"/>
          <w:rtl/>
          <w:lang w:val="en-US"/>
        </w:rPr>
        <w:t>.</w:t>
      </w:r>
    </w:p>
    <w:p w14:paraId="661BAACF" w14:textId="77777777" w:rsidR="00A034D9" w:rsidRPr="00A034D9" w:rsidRDefault="00A034D9" w:rsidP="009A1DF5">
      <w:pPr>
        <w:ind w:firstLine="720"/>
        <w:jc w:val="both"/>
        <w:rPr>
          <w:rFonts w:ascii="Calibri" w:eastAsia="Calibri" w:hAnsi="Calibri" w:cs="Arial"/>
          <w:lang w:val="en-US"/>
        </w:rPr>
      </w:pPr>
      <w:r w:rsidRPr="00A034D9">
        <w:rPr>
          <w:rFonts w:ascii="Calibri" w:eastAsia="Calibri" w:hAnsi="Calibri" w:cs="Arial"/>
          <w:lang w:val="en-US"/>
        </w:rPr>
        <w:t xml:space="preserve">Technical Ability: Patients must have access to the necessary technology and the skills to use telehealth platforms. This includes having devices such as smartphones or computers and understanding how to navigate telehealth applications. A study by Sieck, Rastetter and </w:t>
      </w:r>
      <w:proofErr w:type="spellStart"/>
      <w:r w:rsidRPr="00A034D9">
        <w:rPr>
          <w:rFonts w:ascii="Calibri" w:eastAsia="Calibri" w:hAnsi="Calibri" w:cs="Arial"/>
          <w:lang w:val="en-US"/>
        </w:rPr>
        <w:t>McAlearney</w:t>
      </w:r>
      <w:proofErr w:type="spellEnd"/>
      <w:r w:rsidRPr="00A034D9">
        <w:rPr>
          <w:rFonts w:ascii="Calibri" w:eastAsia="Calibri" w:hAnsi="Calibri" w:cs="Arial"/>
          <w:lang w:val="en-US"/>
        </w:rPr>
        <w:t xml:space="preserve"> (2021) found that lack of technical literacy among patients is a barrier to telehealth adoption. In the Riyadh second health cluster, providing technical support and education to patients can help overcome this barrier</w:t>
      </w:r>
      <w:r w:rsidRPr="00A034D9">
        <w:rPr>
          <w:rFonts w:ascii="Calibri" w:eastAsia="Calibri" w:hAnsi="Calibri" w:cs="Arial"/>
          <w:rtl/>
          <w:lang w:val="en-US"/>
        </w:rPr>
        <w:t>.</w:t>
      </w:r>
    </w:p>
    <w:p w14:paraId="4E74AEC0" w14:textId="33254207" w:rsidR="00A034D9" w:rsidRPr="00A034D9" w:rsidRDefault="00A034D9" w:rsidP="009A1DF5">
      <w:pPr>
        <w:ind w:firstLine="720"/>
        <w:jc w:val="both"/>
        <w:rPr>
          <w:rFonts w:ascii="Calibri" w:eastAsia="Calibri" w:hAnsi="Calibri" w:cs="Arial"/>
          <w:lang w:val="en-US"/>
        </w:rPr>
      </w:pPr>
      <w:r w:rsidRPr="00A034D9">
        <w:rPr>
          <w:rFonts w:ascii="Calibri" w:eastAsia="Calibri" w:hAnsi="Calibri" w:cs="Arial"/>
          <w:lang w:val="en-US"/>
        </w:rPr>
        <w:t xml:space="preserve">Motivation and Willingness: Patients' motivation to use telehealth services is influenced by their health beliefs and previous experiences with healthcare technologies. Studies have </w:t>
      </w:r>
      <w:r w:rsidRPr="00A034D9">
        <w:rPr>
          <w:rFonts w:ascii="Calibri" w:eastAsia="Calibri" w:hAnsi="Calibri" w:cs="Arial"/>
          <w:lang w:val="en-US"/>
        </w:rPr>
        <w:lastRenderedPageBreak/>
        <w:t>shown that patients who perceive telehealth as convenient and beneficial are more likely to engage with it. Research by Jiang, et al., (2022) indicates that patient-</w:t>
      </w:r>
      <w:r w:rsidR="00097EB4" w:rsidRPr="00A034D9">
        <w:rPr>
          <w:rFonts w:ascii="Calibri" w:eastAsia="Calibri" w:hAnsi="Calibri" w:cs="Arial"/>
          <w:lang w:val="en-US"/>
        </w:rPr>
        <w:t>centered</w:t>
      </w:r>
      <w:r w:rsidRPr="00A034D9">
        <w:rPr>
          <w:rFonts w:ascii="Calibri" w:eastAsia="Calibri" w:hAnsi="Calibri" w:cs="Arial"/>
          <w:lang w:val="en-US"/>
        </w:rPr>
        <w:t xml:space="preserve"> approaches that address individual preferences and concerns can enhance engagement. In the Riyadh second health cluster, understanding patient preferences and tailoring telehealth services to meet their needs can improve engagement levels</w:t>
      </w:r>
      <w:r w:rsidRPr="00A034D9">
        <w:rPr>
          <w:rFonts w:ascii="Calibri" w:eastAsia="Calibri" w:hAnsi="Calibri" w:cs="Arial"/>
          <w:rtl/>
          <w:lang w:val="en-US"/>
        </w:rPr>
        <w:t>.</w:t>
      </w:r>
    </w:p>
    <w:p w14:paraId="371711B8" w14:textId="4579ECE8" w:rsidR="00A034D9" w:rsidRPr="00A034D9" w:rsidRDefault="00A034D9" w:rsidP="009A1DF5">
      <w:pPr>
        <w:ind w:firstLine="720"/>
        <w:jc w:val="both"/>
        <w:rPr>
          <w:rFonts w:ascii="Calibri" w:eastAsia="Calibri" w:hAnsi="Calibri" w:cs="Arial"/>
          <w:lang w:val="en-US"/>
        </w:rPr>
      </w:pPr>
      <w:r w:rsidRPr="00A034D9">
        <w:rPr>
          <w:rFonts w:ascii="Calibri" w:eastAsia="Calibri" w:hAnsi="Calibri" w:cs="Arial"/>
          <w:lang w:val="en-US"/>
        </w:rPr>
        <w:t>Socio-cultural factors such as cultural acceptance, attitudes and perceptions</w:t>
      </w:r>
      <w:r w:rsidR="003A143C">
        <w:rPr>
          <w:rFonts w:ascii="Calibri" w:eastAsia="Calibri" w:hAnsi="Calibri" w:cs="Arial"/>
          <w:lang w:val="en-US"/>
        </w:rPr>
        <w:t xml:space="preserve"> and</w:t>
      </w:r>
      <w:r w:rsidRPr="00A034D9">
        <w:rPr>
          <w:rFonts w:ascii="Calibri" w:eastAsia="Calibri" w:hAnsi="Calibri" w:cs="Arial"/>
          <w:lang w:val="en-US"/>
        </w:rPr>
        <w:t xml:space="preserve"> patient engagement significantly influence the adoption of telehealth services among allied healthcare providers. Addressing these factors through cultural sensitivity, building trust and positive perceptions of telehealth</w:t>
      </w:r>
      <w:r w:rsidR="003A143C">
        <w:rPr>
          <w:rFonts w:ascii="Calibri" w:eastAsia="Calibri" w:hAnsi="Calibri" w:cs="Arial"/>
          <w:lang w:val="en-US"/>
        </w:rPr>
        <w:t xml:space="preserve"> and</w:t>
      </w:r>
      <w:r w:rsidRPr="00A034D9">
        <w:rPr>
          <w:rFonts w:ascii="Calibri" w:eastAsia="Calibri" w:hAnsi="Calibri" w:cs="Arial"/>
          <w:lang w:val="en-US"/>
        </w:rPr>
        <w:t xml:space="preserve"> enhancing patient engagement through education and support is essential for promoting telehealth adoption in the Riyadh second health cluster. Understanding these socio-cultural dynamics provides a foundation for developing targeted interventions to facilitate the integration of telehealth into healthcare practice (</w:t>
      </w:r>
      <w:proofErr w:type="spellStart"/>
      <w:r w:rsidRPr="00A034D9">
        <w:rPr>
          <w:rFonts w:ascii="Calibri" w:eastAsia="Calibri" w:hAnsi="Calibri" w:cs="Arial"/>
          <w:lang w:val="en-US"/>
        </w:rPr>
        <w:t>Alrowaily</w:t>
      </w:r>
      <w:proofErr w:type="spellEnd"/>
      <w:r w:rsidRPr="00A034D9">
        <w:rPr>
          <w:rFonts w:ascii="Calibri" w:eastAsia="Calibri" w:hAnsi="Calibri" w:cs="Arial"/>
          <w:lang w:val="en-US"/>
        </w:rPr>
        <w:t xml:space="preserve"> et. al., 2024; AlBar and Hoque 2019)</w:t>
      </w:r>
      <w:r w:rsidRPr="00A034D9">
        <w:rPr>
          <w:rFonts w:ascii="Calibri" w:eastAsia="Calibri" w:hAnsi="Calibri" w:cs="Arial"/>
          <w:rtl/>
          <w:lang w:val="en-US"/>
        </w:rPr>
        <w:t>.</w:t>
      </w:r>
    </w:p>
    <w:p w14:paraId="0B0F85E8" w14:textId="53FE2F2C" w:rsidR="00A034D9" w:rsidRPr="009F458B" w:rsidRDefault="00A034D9" w:rsidP="00A034D9">
      <w:pPr>
        <w:keepNext/>
        <w:keepLines/>
        <w:numPr>
          <w:ilvl w:val="1"/>
          <w:numId w:val="9"/>
        </w:numPr>
        <w:spacing w:before="240" w:after="0"/>
        <w:jc w:val="both"/>
        <w:outlineLvl w:val="0"/>
        <w:rPr>
          <w:rFonts w:asciiTheme="majorBidi" w:eastAsia="Times New Roman" w:hAnsiTheme="majorBidi" w:cstheme="majorBidi"/>
          <w:b/>
          <w:bCs/>
          <w:sz w:val="32"/>
          <w:szCs w:val="40"/>
          <w:lang w:val="en-US"/>
        </w:rPr>
      </w:pPr>
      <w:bookmarkStart w:id="125" w:name="_Toc173856236"/>
      <w:bookmarkStart w:id="126" w:name="_Toc173862491"/>
      <w:bookmarkStart w:id="127" w:name="_Toc173862990"/>
      <w:bookmarkStart w:id="128" w:name="_Toc173998205"/>
      <w:bookmarkStart w:id="129" w:name="_Toc174003154"/>
      <w:r w:rsidRPr="009F458B">
        <w:rPr>
          <w:rFonts w:asciiTheme="majorBidi" w:eastAsia="Times New Roman" w:hAnsiTheme="majorBidi" w:cstheme="majorBidi"/>
          <w:b/>
          <w:bCs/>
          <w:sz w:val="32"/>
          <w:szCs w:val="40"/>
          <w:lang w:val="en-US"/>
        </w:rPr>
        <w:t>Theoretical Framework of the study</w:t>
      </w:r>
      <w:bookmarkEnd w:id="125"/>
      <w:bookmarkEnd w:id="126"/>
      <w:bookmarkEnd w:id="127"/>
      <w:bookmarkEnd w:id="128"/>
      <w:bookmarkEnd w:id="129"/>
    </w:p>
    <w:p w14:paraId="36163E90" w14:textId="68F54CFD" w:rsidR="00A034D9" w:rsidRPr="00A034D9" w:rsidRDefault="00A034D9" w:rsidP="009A1DF5">
      <w:pPr>
        <w:ind w:firstLine="720"/>
        <w:jc w:val="both"/>
        <w:rPr>
          <w:rFonts w:ascii="Calibri" w:eastAsia="Calibri" w:hAnsi="Calibri" w:cs="Arial"/>
          <w:lang w:val="en-US"/>
        </w:rPr>
      </w:pPr>
      <w:r w:rsidRPr="00A034D9">
        <w:rPr>
          <w:rFonts w:ascii="Calibri" w:eastAsia="Calibri" w:hAnsi="Calibri" w:cs="Arial"/>
          <w:lang w:val="en-US"/>
        </w:rPr>
        <w:t>This chapter outlines the theoretical framework guiding the study, integrating relevant theories and a model that explains the adoption and implementation of telehealth services</w:t>
      </w:r>
      <w:r w:rsidRPr="00A034D9">
        <w:rPr>
          <w:rFonts w:ascii="Calibri" w:eastAsia="Calibri" w:hAnsi="Calibri" w:cs="Arial"/>
          <w:rtl/>
          <w:lang w:val="en-US"/>
        </w:rPr>
        <w:t>.</w:t>
      </w:r>
    </w:p>
    <w:p w14:paraId="0E6AF607" w14:textId="07CFEC88" w:rsidR="00A034D9" w:rsidRPr="005270A7" w:rsidRDefault="00A034D9" w:rsidP="00804AF8">
      <w:pPr>
        <w:keepNext/>
        <w:keepLines/>
        <w:numPr>
          <w:ilvl w:val="2"/>
          <w:numId w:val="9"/>
        </w:numPr>
        <w:spacing w:before="40" w:after="0"/>
        <w:jc w:val="both"/>
        <w:outlineLvl w:val="1"/>
        <w:rPr>
          <w:rFonts w:asciiTheme="majorBidi" w:eastAsia="Times New Roman" w:hAnsiTheme="majorBidi" w:cstheme="majorBidi"/>
          <w:b/>
          <w:bCs/>
          <w:sz w:val="28"/>
          <w:szCs w:val="28"/>
          <w:lang w:val="en-US"/>
        </w:rPr>
      </w:pPr>
      <w:bookmarkStart w:id="130" w:name="_Toc173856237"/>
      <w:bookmarkStart w:id="131" w:name="_Toc173862492"/>
      <w:bookmarkStart w:id="132" w:name="_Toc173862991"/>
      <w:bookmarkStart w:id="133" w:name="_Toc173998206"/>
      <w:bookmarkStart w:id="134" w:name="_Toc174003155"/>
      <w:r w:rsidRPr="005270A7">
        <w:rPr>
          <w:rFonts w:asciiTheme="majorBidi" w:eastAsia="Times New Roman" w:hAnsiTheme="majorBidi" w:cstheme="majorBidi"/>
          <w:b/>
          <w:bCs/>
          <w:sz w:val="28"/>
          <w:szCs w:val="28"/>
          <w:lang w:val="en-US"/>
        </w:rPr>
        <w:t>Technology Acceptance Model (TAM)</w:t>
      </w:r>
      <w:bookmarkEnd w:id="130"/>
      <w:bookmarkEnd w:id="131"/>
      <w:bookmarkEnd w:id="132"/>
      <w:bookmarkEnd w:id="133"/>
      <w:bookmarkEnd w:id="134"/>
    </w:p>
    <w:p w14:paraId="386D2A9C" w14:textId="77777777" w:rsidR="00A034D9" w:rsidRPr="00A034D9" w:rsidRDefault="00A034D9" w:rsidP="00B63598">
      <w:pPr>
        <w:ind w:firstLine="720"/>
        <w:jc w:val="both"/>
        <w:rPr>
          <w:rFonts w:ascii="Calibri" w:eastAsia="Calibri" w:hAnsi="Calibri" w:cs="Arial"/>
          <w:lang w:val="en-US"/>
        </w:rPr>
      </w:pPr>
      <w:r w:rsidRPr="00A034D9">
        <w:rPr>
          <w:rFonts w:ascii="Calibri" w:eastAsia="Calibri" w:hAnsi="Calibri" w:cs="Arial"/>
          <w:lang w:val="en-US"/>
        </w:rPr>
        <w:t xml:space="preserve">The Technology Acceptance Model (TAM) is the theoretical framework guiding this study. TAM, developed by Davis in 1989, is a widely used model for understanding the adoption of new technologies. It posits that two main factors influence an individual's intention to use technology: perceived usefulness and perceived ease of use (Davis and </w:t>
      </w:r>
      <w:proofErr w:type="spellStart"/>
      <w:r w:rsidRPr="00A034D9">
        <w:rPr>
          <w:rFonts w:ascii="Calibri" w:eastAsia="Calibri" w:hAnsi="Calibri" w:cs="Arial"/>
          <w:lang w:val="en-US"/>
        </w:rPr>
        <w:t>Granić</w:t>
      </w:r>
      <w:proofErr w:type="spellEnd"/>
      <w:r w:rsidRPr="00A034D9">
        <w:rPr>
          <w:rFonts w:ascii="Calibri" w:eastAsia="Calibri" w:hAnsi="Calibri" w:cs="Arial"/>
          <w:lang w:val="en-US"/>
        </w:rPr>
        <w:t>, 2024)</w:t>
      </w:r>
      <w:r w:rsidRPr="00A034D9">
        <w:rPr>
          <w:rFonts w:ascii="Calibri" w:eastAsia="Calibri" w:hAnsi="Calibri" w:cs="Arial"/>
          <w:rtl/>
          <w:lang w:val="en-US"/>
        </w:rPr>
        <w:t>.</w:t>
      </w:r>
    </w:p>
    <w:p w14:paraId="4F0861C3" w14:textId="77777777" w:rsidR="00A034D9" w:rsidRPr="00A034D9" w:rsidRDefault="00A034D9" w:rsidP="00B63598">
      <w:pPr>
        <w:ind w:firstLine="720"/>
        <w:jc w:val="both"/>
        <w:rPr>
          <w:rFonts w:ascii="Calibri" w:eastAsia="Calibri" w:hAnsi="Calibri" w:cs="Arial"/>
          <w:lang w:val="en-US"/>
        </w:rPr>
      </w:pPr>
      <w:r w:rsidRPr="00A034D9">
        <w:rPr>
          <w:rFonts w:ascii="Calibri" w:eastAsia="Calibri" w:hAnsi="Calibri" w:cs="Arial"/>
          <w:lang w:val="en-US"/>
        </w:rPr>
        <w:t>Perceived Usefulness: The degree to which a person believes that using a particular technology will enhance their job performance. In the context of telehealth, perceived usefulness refers to the extent to which allied healthcare providers believe that telehealth will improve their ability to deliver care (Tsai, Cheng, Tsai, Hung and Chen, 2019)</w:t>
      </w:r>
      <w:r w:rsidRPr="00A034D9">
        <w:rPr>
          <w:rFonts w:ascii="Calibri" w:eastAsia="Calibri" w:hAnsi="Calibri" w:cs="Arial"/>
          <w:rtl/>
          <w:lang w:val="en-US"/>
        </w:rPr>
        <w:t>.</w:t>
      </w:r>
    </w:p>
    <w:p w14:paraId="53F65BC3" w14:textId="103D2F32" w:rsidR="00A034D9" w:rsidRPr="00A034D9" w:rsidRDefault="00A034D9" w:rsidP="00B63598">
      <w:pPr>
        <w:ind w:firstLine="720"/>
        <w:jc w:val="both"/>
        <w:rPr>
          <w:rFonts w:ascii="Calibri" w:eastAsia="Calibri" w:hAnsi="Calibri" w:cs="Arial"/>
          <w:lang w:val="en-US"/>
        </w:rPr>
      </w:pPr>
      <w:r w:rsidRPr="00A034D9">
        <w:rPr>
          <w:rFonts w:ascii="Calibri" w:eastAsia="Calibri" w:hAnsi="Calibri" w:cs="Arial"/>
          <w:lang w:val="en-US"/>
        </w:rPr>
        <w:t xml:space="preserve">Perceived Ease of Use: The degree to which a person believes that using a particular technology will be free of effort. For telehealth, this involves the ease with which allied healthcare </w:t>
      </w:r>
      <w:r w:rsidRPr="00A034D9">
        <w:rPr>
          <w:rFonts w:ascii="Calibri" w:eastAsia="Calibri" w:hAnsi="Calibri" w:cs="Arial"/>
          <w:lang w:val="en-US"/>
        </w:rPr>
        <w:lastRenderedPageBreak/>
        <w:t>providers can use telehealth platforms and integrate them into their practice (Yalcin and Kutlu, 2019)</w:t>
      </w:r>
      <w:r w:rsidRPr="00A034D9">
        <w:rPr>
          <w:rFonts w:ascii="Calibri" w:eastAsia="Calibri" w:hAnsi="Calibri" w:cs="Arial"/>
          <w:rtl/>
          <w:lang w:val="en-US"/>
        </w:rPr>
        <w:t>.</w:t>
      </w:r>
    </w:p>
    <w:p w14:paraId="2D2B29C6" w14:textId="539CB2C6" w:rsidR="00A034D9" w:rsidRPr="00601EA7" w:rsidRDefault="00A034D9" w:rsidP="00804AF8">
      <w:pPr>
        <w:keepNext/>
        <w:keepLines/>
        <w:numPr>
          <w:ilvl w:val="2"/>
          <w:numId w:val="9"/>
        </w:numPr>
        <w:spacing w:before="40" w:after="0"/>
        <w:jc w:val="both"/>
        <w:outlineLvl w:val="1"/>
        <w:rPr>
          <w:rFonts w:asciiTheme="majorBidi" w:eastAsia="Times New Roman" w:hAnsiTheme="majorBidi" w:cstheme="majorBidi"/>
          <w:b/>
          <w:bCs/>
          <w:sz w:val="28"/>
          <w:szCs w:val="28"/>
          <w:lang w:val="en-US"/>
        </w:rPr>
      </w:pPr>
      <w:bookmarkStart w:id="135" w:name="_Toc173856238"/>
      <w:bookmarkStart w:id="136" w:name="_Toc173862493"/>
      <w:bookmarkStart w:id="137" w:name="_Toc173862992"/>
      <w:bookmarkStart w:id="138" w:name="_Toc173998207"/>
      <w:bookmarkStart w:id="139" w:name="_Toc174003156"/>
      <w:r w:rsidRPr="00601EA7">
        <w:rPr>
          <w:rFonts w:asciiTheme="majorBidi" w:eastAsia="Times New Roman" w:hAnsiTheme="majorBidi" w:cstheme="majorBidi"/>
          <w:b/>
          <w:bCs/>
          <w:sz w:val="28"/>
          <w:szCs w:val="28"/>
          <w:lang w:val="en-US"/>
        </w:rPr>
        <w:t>Application of TAM to Telehealth Adoption</w:t>
      </w:r>
      <w:bookmarkEnd w:id="135"/>
      <w:bookmarkEnd w:id="136"/>
      <w:bookmarkEnd w:id="137"/>
      <w:bookmarkEnd w:id="138"/>
      <w:bookmarkEnd w:id="139"/>
    </w:p>
    <w:p w14:paraId="6BEE53EA" w14:textId="0A047D25" w:rsidR="00A034D9" w:rsidRPr="00A034D9" w:rsidRDefault="00A034D9" w:rsidP="00B63598">
      <w:pPr>
        <w:ind w:firstLine="720"/>
        <w:jc w:val="both"/>
        <w:rPr>
          <w:rFonts w:ascii="Calibri" w:eastAsia="Calibri" w:hAnsi="Calibri" w:cs="Arial"/>
          <w:lang w:val="en-US"/>
        </w:rPr>
      </w:pPr>
      <w:r w:rsidRPr="00A034D9">
        <w:rPr>
          <w:rFonts w:ascii="Calibri" w:eastAsia="Calibri" w:hAnsi="Calibri" w:cs="Arial"/>
          <w:lang w:val="en-US"/>
        </w:rPr>
        <w:t>Perceived Usefulness: Allied healthcare providers are more likely to adopt telehealth if they believe it will enhance their efficiency, improve patient outcomes</w:t>
      </w:r>
      <w:r w:rsidR="003A143C">
        <w:rPr>
          <w:rFonts w:ascii="Calibri" w:eastAsia="Calibri" w:hAnsi="Calibri" w:cs="Arial"/>
          <w:lang w:val="en-US"/>
        </w:rPr>
        <w:t xml:space="preserve"> and</w:t>
      </w:r>
      <w:r w:rsidRPr="00A034D9">
        <w:rPr>
          <w:rFonts w:ascii="Calibri" w:eastAsia="Calibri" w:hAnsi="Calibri" w:cs="Arial"/>
          <w:lang w:val="en-US"/>
        </w:rPr>
        <w:t xml:space="preserve"> provide better access to care</w:t>
      </w:r>
      <w:r w:rsidRPr="00A034D9">
        <w:rPr>
          <w:rFonts w:ascii="Calibri" w:eastAsia="Calibri" w:hAnsi="Calibri" w:cs="Arial"/>
          <w:rtl/>
          <w:lang w:val="en-US"/>
        </w:rPr>
        <w:t>.</w:t>
      </w:r>
    </w:p>
    <w:p w14:paraId="311620AF" w14:textId="77777777" w:rsidR="00A034D9" w:rsidRPr="00A034D9" w:rsidRDefault="00A034D9" w:rsidP="00B63598">
      <w:pPr>
        <w:ind w:firstLine="720"/>
        <w:jc w:val="both"/>
        <w:rPr>
          <w:rFonts w:ascii="Calibri" w:eastAsia="Calibri" w:hAnsi="Calibri" w:cs="Arial"/>
          <w:lang w:val="en-US"/>
        </w:rPr>
      </w:pPr>
      <w:r w:rsidRPr="00A034D9">
        <w:rPr>
          <w:rFonts w:ascii="Calibri" w:eastAsia="Calibri" w:hAnsi="Calibri" w:cs="Arial"/>
          <w:lang w:val="en-US"/>
        </w:rPr>
        <w:t>Perceived Ease of Use: If telehealth systems are user-friendly and providers feel confident in their ability to use them, adoption rates are likely to increase</w:t>
      </w:r>
      <w:r w:rsidRPr="00A034D9">
        <w:rPr>
          <w:rFonts w:ascii="Calibri" w:eastAsia="Calibri" w:hAnsi="Calibri" w:cs="Arial"/>
          <w:rtl/>
          <w:lang w:val="en-US"/>
        </w:rPr>
        <w:t>.</w:t>
      </w:r>
    </w:p>
    <w:p w14:paraId="38F0A9F9" w14:textId="77777777" w:rsidR="00A034D9" w:rsidRDefault="00A034D9" w:rsidP="00B63598">
      <w:pPr>
        <w:ind w:firstLine="720"/>
        <w:jc w:val="both"/>
        <w:rPr>
          <w:rFonts w:ascii="Calibri" w:eastAsia="Calibri" w:hAnsi="Calibri" w:cs="Arial"/>
          <w:lang w:val="en-US"/>
        </w:rPr>
      </w:pPr>
      <w:r w:rsidRPr="00A034D9">
        <w:rPr>
          <w:rFonts w:ascii="Calibri" w:eastAsia="Calibri" w:hAnsi="Calibri" w:cs="Arial"/>
          <w:lang w:val="en-US"/>
        </w:rPr>
        <w:t>The application of TAM in this study will help identify specific factors that influence the adoption of telehealth among allied healthcare providers in the Riyadh second health cluster. By understanding these factors, targeted strategies can be developed to enhance telehealth adoption and improve healthcare delivery in this region.</w:t>
      </w:r>
    </w:p>
    <w:p w14:paraId="4662D9DC" w14:textId="2184A26B" w:rsidR="00D628BB" w:rsidRPr="0000476B" w:rsidRDefault="00D628BB" w:rsidP="0000476B">
      <w:pPr>
        <w:spacing w:line="259" w:lineRule="auto"/>
        <w:rPr>
          <w:rFonts w:ascii="Calibri" w:eastAsia="Calibri" w:hAnsi="Calibri" w:cs="Arial"/>
          <w:lang w:val="en-US"/>
        </w:rPr>
        <w:sectPr w:rsidR="00D628BB" w:rsidRPr="0000476B" w:rsidSect="0017205A">
          <w:pgSz w:w="12240" w:h="15840" w:code="1"/>
          <w:pgMar w:top="1440" w:right="1440" w:bottom="1440" w:left="1440" w:header="720" w:footer="720" w:gutter="0"/>
          <w:cols w:space="720"/>
          <w:docGrid w:linePitch="360"/>
        </w:sectPr>
      </w:pPr>
    </w:p>
    <w:p w14:paraId="3BA3283F" w14:textId="77777777" w:rsidR="00997979" w:rsidRPr="007E1DF7" w:rsidRDefault="00997979">
      <w:pPr>
        <w:rPr>
          <w:lang w:val="en-US" w:bidi="ar-EG"/>
        </w:rPr>
      </w:pPr>
    </w:p>
    <w:sectPr w:rsidR="00997979" w:rsidRPr="007E1DF7" w:rsidSect="001F3F31">
      <w:type w:val="continuous"/>
      <w:pgSz w:w="12240" w:h="15840" w:code="1"/>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C781B5" w14:textId="77777777" w:rsidR="003F38FF" w:rsidRDefault="003F38FF" w:rsidP="00132C77">
      <w:pPr>
        <w:spacing w:after="0" w:line="240" w:lineRule="auto"/>
      </w:pPr>
      <w:r>
        <w:separator/>
      </w:r>
    </w:p>
  </w:endnote>
  <w:endnote w:type="continuationSeparator" w:id="0">
    <w:p w14:paraId="14A79019" w14:textId="77777777" w:rsidR="003F38FF" w:rsidRDefault="003F38FF" w:rsidP="00132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00347" w14:textId="3900D8B1" w:rsidR="00E243E0" w:rsidRDefault="00E243E0" w:rsidP="008C5C60">
    <w:pPr>
      <w:pStyle w:val="Footer"/>
    </w:pPr>
  </w:p>
  <w:p w14:paraId="15AE732D" w14:textId="77777777" w:rsidR="00A565DB" w:rsidRDefault="00A565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45721535"/>
      <w:docPartObj>
        <w:docPartGallery w:val="Page Numbers (Bottom of Page)"/>
        <w:docPartUnique/>
      </w:docPartObj>
    </w:sdtPr>
    <w:sdtEndPr>
      <w:rPr>
        <w:noProof/>
      </w:rPr>
    </w:sdtEndPr>
    <w:sdtContent>
      <w:p w14:paraId="7F7CFE63" w14:textId="77777777" w:rsidR="006D620C" w:rsidRDefault="006D62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382827" w14:textId="77777777" w:rsidR="006D620C" w:rsidRDefault="006D62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29A51E" w14:textId="77777777" w:rsidR="003F38FF" w:rsidRDefault="003F38FF" w:rsidP="00132C77">
      <w:pPr>
        <w:spacing w:after="0" w:line="240" w:lineRule="auto"/>
      </w:pPr>
      <w:r>
        <w:separator/>
      </w:r>
    </w:p>
  </w:footnote>
  <w:footnote w:type="continuationSeparator" w:id="0">
    <w:p w14:paraId="618D8C5C" w14:textId="77777777" w:rsidR="003F38FF" w:rsidRDefault="003F38FF" w:rsidP="00132C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339FC"/>
    <w:multiLevelType w:val="hybridMultilevel"/>
    <w:tmpl w:val="6FCA3BCA"/>
    <w:lvl w:ilvl="0" w:tplc="F3E098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3D2B74"/>
    <w:multiLevelType w:val="multilevel"/>
    <w:tmpl w:val="2C5C275A"/>
    <w:lvl w:ilvl="0">
      <w:start w:val="1"/>
      <w:numFmt w:val="decimal"/>
      <w:lvlText w:val="%1."/>
      <w:lvlJc w:val="left"/>
      <w:pPr>
        <w:ind w:left="720" w:hanging="360"/>
      </w:pPr>
      <w:rPr>
        <w:rFonts w:hint="default"/>
      </w:rPr>
    </w:lvl>
    <w:lvl w:ilvl="1">
      <w:start w:val="4"/>
      <w:numFmt w:val="decimal"/>
      <w:isLgl/>
      <w:lvlText w:val="%1.%2"/>
      <w:lvlJc w:val="left"/>
      <w:pPr>
        <w:ind w:left="1140" w:hanging="600"/>
      </w:pPr>
      <w:rPr>
        <w:rFonts w:hint="default"/>
      </w:rPr>
    </w:lvl>
    <w:lvl w:ilvl="2">
      <w:start w:val="2"/>
      <w:numFmt w:val="decimal"/>
      <w:isLgl/>
      <w:lvlText w:val="%1.%2.%3"/>
      <w:lvlJc w:val="left"/>
      <w:pPr>
        <w:ind w:left="117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 w15:restartNumberingAfterBreak="0">
    <w:nsid w:val="1EB778F2"/>
    <w:multiLevelType w:val="multilevel"/>
    <w:tmpl w:val="FC223A94"/>
    <w:lvl w:ilvl="0">
      <w:start w:val="1"/>
      <w:numFmt w:val="decimal"/>
      <w:lvlText w:val="%1"/>
      <w:lvlJc w:val="left"/>
      <w:pPr>
        <w:ind w:left="360" w:hanging="360"/>
      </w:pPr>
      <w:rPr>
        <w:rFonts w:hint="default"/>
      </w:rPr>
    </w:lvl>
    <w:lvl w:ilvl="1">
      <w:start w:val="3"/>
      <w:numFmt w:val="decimal"/>
      <w:lvlText w:val="%1.%2"/>
      <w:lvlJc w:val="left"/>
      <w:pPr>
        <w:ind w:left="720" w:hanging="360"/>
      </w:pPr>
      <w:rPr>
        <w:rFonts w:asciiTheme="majorBidi" w:hAnsiTheme="majorBidi" w:cstheme="majorBidi" w:hint="default"/>
        <w:sz w:val="32"/>
        <w:szCs w:val="32"/>
      </w:rPr>
    </w:lvl>
    <w:lvl w:ilvl="2">
      <w:start w:val="1"/>
      <w:numFmt w:val="decimal"/>
      <w:lvlText w:val="%1.%2.%3"/>
      <w:lvlJc w:val="left"/>
      <w:pPr>
        <w:ind w:left="1080" w:hanging="720"/>
      </w:pPr>
      <w:rPr>
        <w:rFonts w:asciiTheme="majorBidi" w:hAnsiTheme="majorBidi" w:cstheme="majorBidi" w:hint="default"/>
        <w:sz w:val="28"/>
        <w:szCs w:val="28"/>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0337A3F"/>
    <w:multiLevelType w:val="hybridMultilevel"/>
    <w:tmpl w:val="D940FACA"/>
    <w:lvl w:ilvl="0" w:tplc="9AF0769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E777C4"/>
    <w:multiLevelType w:val="multilevel"/>
    <w:tmpl w:val="020AAA0C"/>
    <w:lvl w:ilvl="0">
      <w:start w:val="1"/>
      <w:numFmt w:val="decimal"/>
      <w:lvlText w:val="%1."/>
      <w:lvlJc w:val="left"/>
      <w:pPr>
        <w:ind w:left="720" w:hanging="360"/>
      </w:pPr>
      <w:rPr>
        <w:rFonts w:hint="default"/>
      </w:rPr>
    </w:lvl>
    <w:lvl w:ilvl="1">
      <w:start w:val="4"/>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1C2238B"/>
    <w:multiLevelType w:val="multilevel"/>
    <w:tmpl w:val="12A238D4"/>
    <w:lvl w:ilvl="0">
      <w:start w:val="1"/>
      <w:numFmt w:val="decimal"/>
      <w:lvlText w:val="%1"/>
      <w:lvlJc w:val="left"/>
      <w:pPr>
        <w:ind w:left="360" w:hanging="360"/>
      </w:pPr>
      <w:rPr>
        <w:rFonts w:hint="default"/>
        <w:sz w:val="24"/>
      </w:rPr>
    </w:lvl>
    <w:lvl w:ilvl="1">
      <w:start w:val="2"/>
      <w:numFmt w:val="decimal"/>
      <w:lvlText w:val="%1.%2"/>
      <w:lvlJc w:val="left"/>
      <w:pPr>
        <w:ind w:left="1080" w:hanging="720"/>
      </w:pPr>
      <w:rPr>
        <w:rFonts w:asciiTheme="minorHAnsi" w:hAnsiTheme="minorHAnsi" w:cstheme="minorHAnsi"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2160" w:hanging="1080"/>
      </w:pPr>
      <w:rPr>
        <w:rFonts w:hint="default"/>
        <w:sz w:val="24"/>
      </w:rPr>
    </w:lvl>
    <w:lvl w:ilvl="4">
      <w:start w:val="1"/>
      <w:numFmt w:val="decimal"/>
      <w:lvlText w:val="%1.%2.%3.%4.%5"/>
      <w:lvlJc w:val="left"/>
      <w:pPr>
        <w:ind w:left="2880" w:hanging="1440"/>
      </w:pPr>
      <w:rPr>
        <w:rFonts w:hint="default"/>
        <w:sz w:val="24"/>
      </w:rPr>
    </w:lvl>
    <w:lvl w:ilvl="5">
      <w:start w:val="1"/>
      <w:numFmt w:val="decimal"/>
      <w:lvlText w:val="%1.%2.%3.%4.%5.%6"/>
      <w:lvlJc w:val="left"/>
      <w:pPr>
        <w:ind w:left="3240" w:hanging="1440"/>
      </w:pPr>
      <w:rPr>
        <w:rFonts w:hint="default"/>
        <w:sz w:val="24"/>
      </w:rPr>
    </w:lvl>
    <w:lvl w:ilvl="6">
      <w:start w:val="1"/>
      <w:numFmt w:val="decimal"/>
      <w:lvlText w:val="%1.%2.%3.%4.%5.%6.%7"/>
      <w:lvlJc w:val="left"/>
      <w:pPr>
        <w:ind w:left="3960" w:hanging="1800"/>
      </w:pPr>
      <w:rPr>
        <w:rFonts w:hint="default"/>
        <w:sz w:val="24"/>
      </w:rPr>
    </w:lvl>
    <w:lvl w:ilvl="7">
      <w:start w:val="1"/>
      <w:numFmt w:val="decimal"/>
      <w:lvlText w:val="%1.%2.%3.%4.%5.%6.%7.%8"/>
      <w:lvlJc w:val="left"/>
      <w:pPr>
        <w:ind w:left="4680" w:hanging="2160"/>
      </w:pPr>
      <w:rPr>
        <w:rFonts w:hint="default"/>
        <w:sz w:val="24"/>
      </w:rPr>
    </w:lvl>
    <w:lvl w:ilvl="8">
      <w:start w:val="1"/>
      <w:numFmt w:val="decimal"/>
      <w:lvlText w:val="%1.%2.%3.%4.%5.%6.%7.%8.%9"/>
      <w:lvlJc w:val="left"/>
      <w:pPr>
        <w:ind w:left="5040" w:hanging="2160"/>
      </w:pPr>
      <w:rPr>
        <w:rFonts w:hint="default"/>
        <w:sz w:val="24"/>
      </w:rPr>
    </w:lvl>
  </w:abstractNum>
  <w:abstractNum w:abstractNumId="6" w15:restartNumberingAfterBreak="0">
    <w:nsid w:val="334C376E"/>
    <w:multiLevelType w:val="hybridMultilevel"/>
    <w:tmpl w:val="93824E72"/>
    <w:lvl w:ilvl="0" w:tplc="51B03F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573DF6"/>
    <w:multiLevelType w:val="multilevel"/>
    <w:tmpl w:val="494C44C2"/>
    <w:lvl w:ilvl="0">
      <w:start w:val="4"/>
      <w:numFmt w:val="decimal"/>
      <w:lvlText w:val="%1"/>
      <w:lvlJc w:val="left"/>
      <w:pPr>
        <w:ind w:left="840" w:hanging="840"/>
      </w:pPr>
      <w:rPr>
        <w:rFonts w:hint="default"/>
      </w:rPr>
    </w:lvl>
    <w:lvl w:ilvl="1">
      <w:start w:val="2"/>
      <w:numFmt w:val="decimal"/>
      <w:lvlText w:val="%1.%2"/>
      <w:lvlJc w:val="left"/>
      <w:pPr>
        <w:ind w:left="930" w:hanging="840"/>
      </w:pPr>
      <w:rPr>
        <w:rFonts w:hint="default"/>
      </w:rPr>
    </w:lvl>
    <w:lvl w:ilvl="2">
      <w:start w:val="4"/>
      <w:numFmt w:val="decimal"/>
      <w:lvlText w:val="%1.%2.%3"/>
      <w:lvlJc w:val="left"/>
      <w:pPr>
        <w:ind w:left="1020" w:hanging="840"/>
      </w:pPr>
      <w:rPr>
        <w:rFonts w:hint="default"/>
        <w:sz w:val="28"/>
        <w:szCs w:val="28"/>
      </w:rPr>
    </w:lvl>
    <w:lvl w:ilvl="3">
      <w:start w:val="2"/>
      <w:numFmt w:val="decimal"/>
      <w:lvlText w:val="%1.%2.%3.%4"/>
      <w:lvlJc w:val="left"/>
      <w:pPr>
        <w:ind w:left="1020" w:hanging="840"/>
      </w:pPr>
      <w:rPr>
        <w:rFonts w:hint="default"/>
      </w:rPr>
    </w:lvl>
    <w:lvl w:ilvl="4">
      <w:start w:val="1"/>
      <w:numFmt w:val="decimal"/>
      <w:lvlText w:val="%1.%2.%3.%4.%5"/>
      <w:lvlJc w:val="left"/>
      <w:pPr>
        <w:ind w:left="1440" w:hanging="1080"/>
      </w:pPr>
      <w:rPr>
        <w:rFonts w:asciiTheme="majorBidi" w:hAnsiTheme="majorBidi" w:cstheme="majorBidi" w:hint="default"/>
        <w:b/>
        <w:bCs/>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8" w15:restartNumberingAfterBreak="0">
    <w:nsid w:val="38DB576D"/>
    <w:multiLevelType w:val="hybridMultilevel"/>
    <w:tmpl w:val="F580F5E4"/>
    <w:lvl w:ilvl="0" w:tplc="5D8AF2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533DB8"/>
    <w:multiLevelType w:val="hybridMultilevel"/>
    <w:tmpl w:val="D6784AAA"/>
    <w:lvl w:ilvl="0" w:tplc="CEE0FC12">
      <w:start w:val="1"/>
      <w:numFmt w:val="decimal"/>
      <w:lvlText w:val="%1."/>
      <w:lvlJc w:val="left"/>
      <w:pPr>
        <w:ind w:left="720" w:hanging="360"/>
      </w:pPr>
      <w:rPr>
        <w:rFonts w:eastAsia="Times New Roman" w:hint="default"/>
        <w:color w:val="0563C1" w:themeColor="hyperlink"/>
        <w:sz w:val="24"/>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9C1CD6"/>
    <w:multiLevelType w:val="multilevel"/>
    <w:tmpl w:val="ACC8F4A4"/>
    <w:lvl w:ilvl="0">
      <w:start w:val="1"/>
      <w:numFmt w:val="decimal"/>
      <w:lvlText w:val="%1."/>
      <w:lvlJc w:val="left"/>
      <w:pPr>
        <w:ind w:left="720" w:hanging="360"/>
      </w:pPr>
      <w:rPr>
        <w:rFonts w:hint="default"/>
      </w:rPr>
    </w:lvl>
    <w:lvl w:ilvl="1">
      <w:start w:val="3"/>
      <w:numFmt w:val="decimal"/>
      <w:isLgl/>
      <w:lvlText w:val="%1.%2"/>
      <w:lvlJc w:val="left"/>
      <w:pPr>
        <w:ind w:left="1056" w:hanging="51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1" w15:restartNumberingAfterBreak="0">
    <w:nsid w:val="42FA2702"/>
    <w:multiLevelType w:val="multilevel"/>
    <w:tmpl w:val="840089E6"/>
    <w:lvl w:ilvl="0">
      <w:start w:val="1"/>
      <w:numFmt w:val="decimal"/>
      <w:lvlText w:val="%1"/>
      <w:lvlJc w:val="left"/>
      <w:pPr>
        <w:ind w:left="360" w:hanging="360"/>
      </w:pPr>
      <w:rPr>
        <w:rFonts w:hint="default"/>
        <w:sz w:val="24"/>
      </w:rPr>
    </w:lvl>
    <w:lvl w:ilvl="1">
      <w:start w:val="1"/>
      <w:numFmt w:val="decimal"/>
      <w:lvlText w:val="%1.%2"/>
      <w:lvlJc w:val="left"/>
      <w:pPr>
        <w:ind w:left="1080" w:hanging="72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2160" w:hanging="1080"/>
      </w:pPr>
      <w:rPr>
        <w:rFonts w:hint="default"/>
        <w:sz w:val="24"/>
      </w:rPr>
    </w:lvl>
    <w:lvl w:ilvl="4">
      <w:start w:val="1"/>
      <w:numFmt w:val="decimal"/>
      <w:lvlText w:val="%1.%2.%3.%4.%5"/>
      <w:lvlJc w:val="left"/>
      <w:pPr>
        <w:ind w:left="2880" w:hanging="1440"/>
      </w:pPr>
      <w:rPr>
        <w:rFonts w:hint="default"/>
        <w:sz w:val="24"/>
      </w:rPr>
    </w:lvl>
    <w:lvl w:ilvl="5">
      <w:start w:val="1"/>
      <w:numFmt w:val="decimal"/>
      <w:lvlText w:val="%1.%2.%3.%4.%5.%6"/>
      <w:lvlJc w:val="left"/>
      <w:pPr>
        <w:ind w:left="3240" w:hanging="1440"/>
      </w:pPr>
      <w:rPr>
        <w:rFonts w:hint="default"/>
        <w:sz w:val="24"/>
      </w:rPr>
    </w:lvl>
    <w:lvl w:ilvl="6">
      <w:start w:val="1"/>
      <w:numFmt w:val="decimal"/>
      <w:lvlText w:val="%1.%2.%3.%4.%5.%6.%7"/>
      <w:lvlJc w:val="left"/>
      <w:pPr>
        <w:ind w:left="3960" w:hanging="1800"/>
      </w:pPr>
      <w:rPr>
        <w:rFonts w:hint="default"/>
        <w:sz w:val="24"/>
      </w:rPr>
    </w:lvl>
    <w:lvl w:ilvl="7">
      <w:start w:val="1"/>
      <w:numFmt w:val="decimal"/>
      <w:lvlText w:val="%1.%2.%3.%4.%5.%6.%7.%8"/>
      <w:lvlJc w:val="left"/>
      <w:pPr>
        <w:ind w:left="4680" w:hanging="2160"/>
      </w:pPr>
      <w:rPr>
        <w:rFonts w:hint="default"/>
        <w:sz w:val="24"/>
      </w:rPr>
    </w:lvl>
    <w:lvl w:ilvl="8">
      <w:start w:val="1"/>
      <w:numFmt w:val="decimal"/>
      <w:lvlText w:val="%1.%2.%3.%4.%5.%6.%7.%8.%9"/>
      <w:lvlJc w:val="left"/>
      <w:pPr>
        <w:ind w:left="5040" w:hanging="2160"/>
      </w:pPr>
      <w:rPr>
        <w:rFonts w:hint="default"/>
        <w:sz w:val="24"/>
      </w:rPr>
    </w:lvl>
  </w:abstractNum>
  <w:abstractNum w:abstractNumId="12" w15:restartNumberingAfterBreak="0">
    <w:nsid w:val="437773DB"/>
    <w:multiLevelType w:val="multilevel"/>
    <w:tmpl w:val="19984508"/>
    <w:lvl w:ilvl="0">
      <w:start w:val="1"/>
      <w:numFmt w:val="decimal"/>
      <w:lvlText w:val="%1."/>
      <w:lvlJc w:val="left"/>
      <w:pPr>
        <w:ind w:left="720" w:hanging="360"/>
      </w:pPr>
      <w:rPr>
        <w:rFonts w:hint="default"/>
      </w:rPr>
    </w:lvl>
    <w:lvl w:ilvl="1">
      <w:start w:val="2"/>
      <w:numFmt w:val="decimal"/>
      <w:isLgl/>
      <w:lvlText w:val="%1.%2"/>
      <w:lvlJc w:val="left"/>
      <w:pPr>
        <w:ind w:left="1200" w:hanging="840"/>
      </w:pPr>
      <w:rPr>
        <w:rFonts w:hint="default"/>
      </w:rPr>
    </w:lvl>
    <w:lvl w:ilvl="2">
      <w:start w:val="4"/>
      <w:numFmt w:val="decimal"/>
      <w:isLgl/>
      <w:lvlText w:val="%1.%2.%3"/>
      <w:lvlJc w:val="left"/>
      <w:pPr>
        <w:ind w:left="1200" w:hanging="840"/>
      </w:pPr>
      <w:rPr>
        <w:rFonts w:hint="default"/>
      </w:rPr>
    </w:lvl>
    <w:lvl w:ilvl="3">
      <w:start w:val="1"/>
      <w:numFmt w:val="decimal"/>
      <w:isLgl/>
      <w:lvlText w:val="%1.%2.%3.%4"/>
      <w:lvlJc w:val="left"/>
      <w:pPr>
        <w:ind w:left="1200" w:hanging="840"/>
      </w:pPr>
      <w:rPr>
        <w:rFonts w:hint="default"/>
      </w:rPr>
    </w:lvl>
    <w:lvl w:ilvl="4">
      <w:start w:val="5"/>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F61137E"/>
    <w:multiLevelType w:val="multilevel"/>
    <w:tmpl w:val="9EF81AA6"/>
    <w:lvl w:ilvl="0">
      <w:start w:val="2"/>
      <w:numFmt w:val="decimal"/>
      <w:lvlText w:val="%1"/>
      <w:lvlJc w:val="left"/>
      <w:pPr>
        <w:ind w:left="360" w:hanging="360"/>
      </w:pPr>
      <w:rPr>
        <w:rFonts w:hint="default"/>
        <w:sz w:val="24"/>
      </w:rPr>
    </w:lvl>
    <w:lvl w:ilvl="1">
      <w:start w:val="1"/>
      <w:numFmt w:val="decimal"/>
      <w:lvlText w:val="%1.%2"/>
      <w:lvlJc w:val="left"/>
      <w:pPr>
        <w:ind w:left="1080" w:hanging="720"/>
      </w:pPr>
      <w:rPr>
        <w:rFonts w:asciiTheme="majorBidi" w:hAnsiTheme="majorBidi" w:cstheme="majorBidi" w:hint="default"/>
        <w:sz w:val="32"/>
        <w:szCs w:val="48"/>
      </w:rPr>
    </w:lvl>
    <w:lvl w:ilvl="2">
      <w:start w:val="1"/>
      <w:numFmt w:val="decimal"/>
      <w:lvlText w:val="%1.%2.%3"/>
      <w:lvlJc w:val="left"/>
      <w:pPr>
        <w:ind w:left="1080" w:hanging="720"/>
      </w:pPr>
      <w:rPr>
        <w:rFonts w:hint="default"/>
        <w:sz w:val="28"/>
        <w:szCs w:val="32"/>
      </w:rPr>
    </w:lvl>
    <w:lvl w:ilvl="3">
      <w:start w:val="1"/>
      <w:numFmt w:val="decimal"/>
      <w:lvlText w:val="%1.%2.%3.%4"/>
      <w:lvlJc w:val="left"/>
      <w:pPr>
        <w:ind w:left="2160" w:hanging="1080"/>
      </w:pPr>
      <w:rPr>
        <w:rFonts w:hint="default"/>
        <w:sz w:val="24"/>
      </w:rPr>
    </w:lvl>
    <w:lvl w:ilvl="4">
      <w:start w:val="1"/>
      <w:numFmt w:val="decimal"/>
      <w:lvlText w:val="%1.%2.%3.%4.%5"/>
      <w:lvlJc w:val="left"/>
      <w:pPr>
        <w:ind w:left="2880" w:hanging="1440"/>
      </w:pPr>
      <w:rPr>
        <w:rFonts w:hint="default"/>
        <w:sz w:val="24"/>
      </w:rPr>
    </w:lvl>
    <w:lvl w:ilvl="5">
      <w:start w:val="1"/>
      <w:numFmt w:val="decimal"/>
      <w:lvlText w:val="%1.%2.%3.%4.%5.%6"/>
      <w:lvlJc w:val="left"/>
      <w:pPr>
        <w:ind w:left="3240" w:hanging="1440"/>
      </w:pPr>
      <w:rPr>
        <w:rFonts w:hint="default"/>
        <w:sz w:val="24"/>
      </w:rPr>
    </w:lvl>
    <w:lvl w:ilvl="6">
      <w:start w:val="1"/>
      <w:numFmt w:val="decimal"/>
      <w:lvlText w:val="%1.%2.%3.%4.%5.%6.%7"/>
      <w:lvlJc w:val="left"/>
      <w:pPr>
        <w:ind w:left="3960" w:hanging="1800"/>
      </w:pPr>
      <w:rPr>
        <w:rFonts w:hint="default"/>
        <w:sz w:val="24"/>
      </w:rPr>
    </w:lvl>
    <w:lvl w:ilvl="7">
      <w:start w:val="1"/>
      <w:numFmt w:val="decimal"/>
      <w:lvlText w:val="%1.%2.%3.%4.%5.%6.%7.%8"/>
      <w:lvlJc w:val="left"/>
      <w:pPr>
        <w:ind w:left="4680" w:hanging="2160"/>
      </w:pPr>
      <w:rPr>
        <w:rFonts w:hint="default"/>
        <w:sz w:val="24"/>
      </w:rPr>
    </w:lvl>
    <w:lvl w:ilvl="8">
      <w:start w:val="1"/>
      <w:numFmt w:val="decimal"/>
      <w:lvlText w:val="%1.%2.%3.%4.%5.%6.%7.%8.%9"/>
      <w:lvlJc w:val="left"/>
      <w:pPr>
        <w:ind w:left="5040" w:hanging="2160"/>
      </w:pPr>
      <w:rPr>
        <w:rFonts w:hint="default"/>
        <w:sz w:val="24"/>
      </w:rPr>
    </w:lvl>
  </w:abstractNum>
  <w:abstractNum w:abstractNumId="14" w15:restartNumberingAfterBreak="0">
    <w:nsid w:val="4F787FFB"/>
    <w:multiLevelType w:val="multilevel"/>
    <w:tmpl w:val="3EFCC5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asciiTheme="majorBidi" w:hAnsiTheme="majorBidi" w:cstheme="majorBidi" w:hint="default"/>
        <w:sz w:val="24"/>
        <w:szCs w:val="28"/>
      </w:rPr>
    </w:lvl>
    <w:lvl w:ilvl="4">
      <w:start w:val="1"/>
      <w:numFmt w:val="decimal"/>
      <w:isLgl/>
      <w:lvlText w:val="%4%1.%2.%3..%5"/>
      <w:lvlJc w:val="left"/>
      <w:pPr>
        <w:ind w:left="1800" w:hanging="1440"/>
      </w:pPr>
      <w:rPr>
        <w:rFonts w:asciiTheme="majorBidi" w:hAnsiTheme="majorBidi" w:cstheme="majorBidi"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520" w:hanging="2160"/>
      </w:pPr>
      <w:rPr>
        <w:rFonts w:hint="default"/>
        <w:sz w:val="24"/>
      </w:rPr>
    </w:lvl>
    <w:lvl w:ilvl="8">
      <w:start w:val="1"/>
      <w:numFmt w:val="decimal"/>
      <w:isLgl/>
      <w:lvlText w:val="%1.%2.%3.%4.%5.%6.%7.%8.%9"/>
      <w:lvlJc w:val="left"/>
      <w:pPr>
        <w:ind w:left="2520" w:hanging="2160"/>
      </w:pPr>
      <w:rPr>
        <w:rFonts w:hint="default"/>
        <w:sz w:val="24"/>
      </w:rPr>
    </w:lvl>
  </w:abstractNum>
  <w:abstractNum w:abstractNumId="15" w15:restartNumberingAfterBreak="0">
    <w:nsid w:val="5E7D22D5"/>
    <w:multiLevelType w:val="hybridMultilevel"/>
    <w:tmpl w:val="B4DE23DA"/>
    <w:lvl w:ilvl="0" w:tplc="6204C5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68727E"/>
    <w:multiLevelType w:val="multilevel"/>
    <w:tmpl w:val="F11204A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asciiTheme="majorBidi" w:hAnsiTheme="majorBidi" w:cstheme="majorBidi" w:hint="default"/>
        <w:sz w:val="24"/>
        <w:szCs w:val="28"/>
      </w:rPr>
    </w:lvl>
    <w:lvl w:ilvl="4">
      <w:start w:val="1"/>
      <w:numFmt w:val="decimal"/>
      <w:isLgl/>
      <w:lvlText w:val="%1.%2.%3.%4.%5"/>
      <w:lvlJc w:val="left"/>
      <w:pPr>
        <w:ind w:left="1800" w:hanging="144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520" w:hanging="2160"/>
      </w:pPr>
      <w:rPr>
        <w:rFonts w:hint="default"/>
        <w:sz w:val="24"/>
      </w:rPr>
    </w:lvl>
    <w:lvl w:ilvl="8">
      <w:start w:val="1"/>
      <w:numFmt w:val="decimal"/>
      <w:isLgl/>
      <w:lvlText w:val="%1.%2.%3.%4.%5.%6.%7.%8.%9"/>
      <w:lvlJc w:val="left"/>
      <w:pPr>
        <w:ind w:left="2520" w:hanging="2160"/>
      </w:pPr>
      <w:rPr>
        <w:rFonts w:hint="default"/>
        <w:sz w:val="24"/>
      </w:rPr>
    </w:lvl>
  </w:abstractNum>
  <w:abstractNum w:abstractNumId="17" w15:restartNumberingAfterBreak="0">
    <w:nsid w:val="73B1278D"/>
    <w:multiLevelType w:val="multilevel"/>
    <w:tmpl w:val="52BEDE10"/>
    <w:lvl w:ilvl="0">
      <w:start w:val="3"/>
      <w:numFmt w:val="decimal"/>
      <w:lvlText w:val="%1"/>
      <w:lvlJc w:val="left"/>
      <w:pPr>
        <w:ind w:left="360" w:hanging="360"/>
      </w:pPr>
      <w:rPr>
        <w:rFonts w:hint="default"/>
        <w:sz w:val="24"/>
      </w:rPr>
    </w:lvl>
    <w:lvl w:ilvl="1">
      <w:start w:val="1"/>
      <w:numFmt w:val="decimal"/>
      <w:lvlText w:val="%1.%2"/>
      <w:lvlJc w:val="left"/>
      <w:pPr>
        <w:ind w:left="1080" w:hanging="720"/>
      </w:pPr>
      <w:rPr>
        <w:rFonts w:asciiTheme="majorBidi" w:hAnsiTheme="majorBidi" w:cstheme="majorBidi" w:hint="default"/>
        <w:sz w:val="32"/>
        <w:szCs w:val="32"/>
      </w:rPr>
    </w:lvl>
    <w:lvl w:ilvl="2">
      <w:start w:val="1"/>
      <w:numFmt w:val="decimal"/>
      <w:lvlText w:val="%1.%2.%3"/>
      <w:lvlJc w:val="left"/>
      <w:pPr>
        <w:ind w:left="1080" w:hanging="720"/>
      </w:pPr>
      <w:rPr>
        <w:rFonts w:hint="default"/>
        <w:sz w:val="28"/>
        <w:szCs w:val="32"/>
      </w:rPr>
    </w:lvl>
    <w:lvl w:ilvl="3">
      <w:start w:val="1"/>
      <w:numFmt w:val="decimal"/>
      <w:lvlText w:val="%1.%2.%3.%4"/>
      <w:lvlJc w:val="left"/>
      <w:pPr>
        <w:ind w:left="1440" w:hanging="1080"/>
      </w:pPr>
      <w:rPr>
        <w:rFonts w:hint="default"/>
        <w:sz w:val="24"/>
      </w:rPr>
    </w:lvl>
    <w:lvl w:ilvl="4">
      <w:start w:val="1"/>
      <w:numFmt w:val="decimal"/>
      <w:lvlText w:val="%1.%2.%3.%4.%5"/>
      <w:lvlJc w:val="left"/>
      <w:pPr>
        <w:ind w:left="2880" w:hanging="1440"/>
      </w:pPr>
      <w:rPr>
        <w:rFonts w:hint="default"/>
        <w:sz w:val="24"/>
      </w:rPr>
    </w:lvl>
    <w:lvl w:ilvl="5">
      <w:start w:val="1"/>
      <w:numFmt w:val="decimal"/>
      <w:lvlText w:val="%1.%2.%3.%4.%5.%6"/>
      <w:lvlJc w:val="left"/>
      <w:pPr>
        <w:ind w:left="3240" w:hanging="1440"/>
      </w:pPr>
      <w:rPr>
        <w:rFonts w:hint="default"/>
        <w:sz w:val="24"/>
      </w:rPr>
    </w:lvl>
    <w:lvl w:ilvl="6">
      <w:start w:val="1"/>
      <w:numFmt w:val="decimal"/>
      <w:lvlText w:val="%1.%2.%3.%4.%5.%6.%7"/>
      <w:lvlJc w:val="left"/>
      <w:pPr>
        <w:ind w:left="3960" w:hanging="1800"/>
      </w:pPr>
      <w:rPr>
        <w:rFonts w:hint="default"/>
        <w:sz w:val="24"/>
      </w:rPr>
    </w:lvl>
    <w:lvl w:ilvl="7">
      <w:start w:val="1"/>
      <w:numFmt w:val="decimal"/>
      <w:lvlText w:val="%1.%2.%3.%4.%5.%6.%7.%8"/>
      <w:lvlJc w:val="left"/>
      <w:pPr>
        <w:ind w:left="4680" w:hanging="2160"/>
      </w:pPr>
      <w:rPr>
        <w:rFonts w:hint="default"/>
        <w:sz w:val="24"/>
      </w:rPr>
    </w:lvl>
    <w:lvl w:ilvl="8">
      <w:start w:val="1"/>
      <w:numFmt w:val="decimal"/>
      <w:lvlText w:val="%1.%2.%3.%4.%5.%6.%7.%8.%9"/>
      <w:lvlJc w:val="left"/>
      <w:pPr>
        <w:ind w:left="5040" w:hanging="2160"/>
      </w:pPr>
      <w:rPr>
        <w:rFonts w:hint="default"/>
        <w:sz w:val="24"/>
      </w:rPr>
    </w:lvl>
  </w:abstractNum>
  <w:abstractNum w:abstractNumId="18" w15:restartNumberingAfterBreak="0">
    <w:nsid w:val="74B34CD1"/>
    <w:multiLevelType w:val="hybridMultilevel"/>
    <w:tmpl w:val="796A3384"/>
    <w:lvl w:ilvl="0" w:tplc="BBDA1FF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5165328">
    <w:abstractNumId w:val="18"/>
  </w:num>
  <w:num w:numId="2" w16cid:durableId="413817722">
    <w:abstractNumId w:val="5"/>
  </w:num>
  <w:num w:numId="3" w16cid:durableId="832797718">
    <w:abstractNumId w:val="11"/>
  </w:num>
  <w:num w:numId="4" w16cid:durableId="338193649">
    <w:abstractNumId w:val="4"/>
  </w:num>
  <w:num w:numId="5" w16cid:durableId="172693998">
    <w:abstractNumId w:val="1"/>
  </w:num>
  <w:num w:numId="6" w16cid:durableId="873729854">
    <w:abstractNumId w:val="8"/>
  </w:num>
  <w:num w:numId="7" w16cid:durableId="582491557">
    <w:abstractNumId w:val="12"/>
  </w:num>
  <w:num w:numId="8" w16cid:durableId="1910455523">
    <w:abstractNumId w:val="14"/>
  </w:num>
  <w:num w:numId="9" w16cid:durableId="167448060">
    <w:abstractNumId w:val="13"/>
  </w:num>
  <w:num w:numId="10" w16cid:durableId="998801380">
    <w:abstractNumId w:val="17"/>
  </w:num>
  <w:num w:numId="11" w16cid:durableId="1671978772">
    <w:abstractNumId w:val="6"/>
  </w:num>
  <w:num w:numId="12" w16cid:durableId="884677252">
    <w:abstractNumId w:val="0"/>
  </w:num>
  <w:num w:numId="13" w16cid:durableId="638728567">
    <w:abstractNumId w:val="15"/>
  </w:num>
  <w:num w:numId="14" w16cid:durableId="583346183">
    <w:abstractNumId w:val="3"/>
  </w:num>
  <w:num w:numId="15" w16cid:durableId="722099710">
    <w:abstractNumId w:val="10"/>
  </w:num>
  <w:num w:numId="16" w16cid:durableId="1310555563">
    <w:abstractNumId w:val="9"/>
  </w:num>
  <w:num w:numId="17" w16cid:durableId="1228298151">
    <w:abstractNumId w:val="18"/>
  </w:num>
  <w:num w:numId="18" w16cid:durableId="1037193869">
    <w:abstractNumId w:val="18"/>
  </w:num>
  <w:num w:numId="19" w16cid:durableId="267349620">
    <w:abstractNumId w:val="18"/>
  </w:num>
  <w:num w:numId="20" w16cid:durableId="1799689823">
    <w:abstractNumId w:val="18"/>
  </w:num>
  <w:num w:numId="21" w16cid:durableId="1696882364">
    <w:abstractNumId w:val="18"/>
  </w:num>
  <w:num w:numId="22" w16cid:durableId="349527217">
    <w:abstractNumId w:val="18"/>
  </w:num>
  <w:num w:numId="23" w16cid:durableId="1373000705">
    <w:abstractNumId w:val="18"/>
  </w:num>
  <w:num w:numId="24" w16cid:durableId="1429623412">
    <w:abstractNumId w:val="18"/>
  </w:num>
  <w:num w:numId="25" w16cid:durableId="1827471624">
    <w:abstractNumId w:val="18"/>
  </w:num>
  <w:num w:numId="26" w16cid:durableId="1356149784">
    <w:abstractNumId w:val="18"/>
  </w:num>
  <w:num w:numId="27" w16cid:durableId="1830362542">
    <w:abstractNumId w:val="2"/>
  </w:num>
  <w:num w:numId="28" w16cid:durableId="1983267445">
    <w:abstractNumId w:val="18"/>
  </w:num>
  <w:num w:numId="29" w16cid:durableId="383524976">
    <w:abstractNumId w:val="16"/>
  </w:num>
  <w:num w:numId="30" w16cid:durableId="1893884043">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720"/>
        </w:pPr>
        <w:rPr>
          <w:rFonts w:hint="default"/>
          <w:sz w:val="32"/>
          <w:szCs w:val="32"/>
        </w:rPr>
      </w:lvl>
    </w:lvlOverride>
    <w:lvlOverride w:ilvl="2">
      <w:lvl w:ilvl="2">
        <w:start w:val="1"/>
        <w:numFmt w:val="decimal"/>
        <w:isLgl/>
        <w:lvlText w:val="%1.%2.%3"/>
        <w:lvlJc w:val="left"/>
        <w:pPr>
          <w:ind w:left="1080" w:hanging="720"/>
        </w:pPr>
        <w:rPr>
          <w:rFonts w:hint="default"/>
          <w:sz w:val="24"/>
        </w:rPr>
      </w:lvl>
    </w:lvlOverride>
    <w:lvlOverride w:ilvl="3">
      <w:lvl w:ilvl="3">
        <w:start w:val="1"/>
        <w:numFmt w:val="decimal"/>
        <w:isLgl/>
        <w:lvlText w:val="%1.%2.%3.%4"/>
        <w:lvlJc w:val="left"/>
        <w:pPr>
          <w:ind w:left="1440" w:hanging="1080"/>
        </w:pPr>
        <w:rPr>
          <w:rFonts w:asciiTheme="majorBidi" w:hAnsiTheme="majorBidi" w:cstheme="majorBidi" w:hint="default"/>
          <w:sz w:val="24"/>
          <w:szCs w:val="28"/>
        </w:rPr>
      </w:lvl>
    </w:lvlOverride>
    <w:lvlOverride w:ilvl="4">
      <w:lvl w:ilvl="4">
        <w:start w:val="1"/>
        <w:numFmt w:val="decimal"/>
        <w:isLgl/>
        <w:lvlText w:val="%1.%2.%3.%4.%5"/>
        <w:lvlJc w:val="left"/>
        <w:pPr>
          <w:ind w:left="1800" w:hanging="1512"/>
        </w:pPr>
        <w:rPr>
          <w:rFonts w:asciiTheme="majorBidi" w:hAnsiTheme="majorBidi" w:cstheme="majorBidi" w:hint="default"/>
          <w:sz w:val="24"/>
        </w:rPr>
      </w:lvl>
    </w:lvlOverride>
    <w:lvlOverride w:ilvl="5">
      <w:lvl w:ilvl="5">
        <w:start w:val="1"/>
        <w:numFmt w:val="decimal"/>
        <w:isLgl/>
        <w:lvlText w:val="%1.%2.%3.%4.%5.%6"/>
        <w:lvlJc w:val="left"/>
        <w:pPr>
          <w:ind w:left="1800" w:hanging="1440"/>
        </w:pPr>
        <w:rPr>
          <w:rFonts w:hint="default"/>
          <w:sz w:val="24"/>
        </w:rPr>
      </w:lvl>
    </w:lvlOverride>
    <w:lvlOverride w:ilvl="6">
      <w:lvl w:ilvl="6">
        <w:start w:val="1"/>
        <w:numFmt w:val="decimal"/>
        <w:isLgl/>
        <w:lvlText w:val="%1.%2.%3.%4.%5.%6.%7"/>
        <w:lvlJc w:val="left"/>
        <w:pPr>
          <w:ind w:left="2160" w:hanging="1800"/>
        </w:pPr>
        <w:rPr>
          <w:rFonts w:hint="default"/>
          <w:sz w:val="24"/>
        </w:rPr>
      </w:lvl>
    </w:lvlOverride>
    <w:lvlOverride w:ilvl="7">
      <w:lvl w:ilvl="7">
        <w:start w:val="1"/>
        <w:numFmt w:val="decimal"/>
        <w:isLgl/>
        <w:lvlText w:val="%1.%2.%3.%4.%5.%6.%7.%8"/>
        <w:lvlJc w:val="left"/>
        <w:pPr>
          <w:ind w:left="2520" w:hanging="2160"/>
        </w:pPr>
        <w:rPr>
          <w:rFonts w:hint="default"/>
          <w:sz w:val="24"/>
        </w:rPr>
      </w:lvl>
    </w:lvlOverride>
    <w:lvlOverride w:ilvl="8">
      <w:lvl w:ilvl="8">
        <w:start w:val="1"/>
        <w:numFmt w:val="decimal"/>
        <w:isLgl/>
        <w:lvlText w:val="%1.%2.%3.%4.%5.%6.%7.%8.%9"/>
        <w:lvlJc w:val="left"/>
        <w:pPr>
          <w:ind w:left="2520" w:hanging="2160"/>
        </w:pPr>
        <w:rPr>
          <w:rFonts w:hint="default"/>
          <w:sz w:val="24"/>
        </w:rPr>
      </w:lvl>
    </w:lvlOverride>
  </w:num>
  <w:num w:numId="31" w16cid:durableId="199631272">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720"/>
        </w:pPr>
        <w:rPr>
          <w:rFonts w:hint="default"/>
          <w:sz w:val="32"/>
          <w:szCs w:val="32"/>
        </w:rPr>
      </w:lvl>
    </w:lvlOverride>
    <w:lvlOverride w:ilvl="2">
      <w:lvl w:ilvl="2">
        <w:start w:val="1"/>
        <w:numFmt w:val="decimal"/>
        <w:isLgl/>
        <w:lvlText w:val="%1.%2.%3"/>
        <w:lvlJc w:val="left"/>
        <w:pPr>
          <w:ind w:left="1080" w:hanging="720"/>
        </w:pPr>
        <w:rPr>
          <w:rFonts w:hint="default"/>
          <w:sz w:val="24"/>
        </w:rPr>
      </w:lvl>
    </w:lvlOverride>
    <w:lvlOverride w:ilvl="3">
      <w:lvl w:ilvl="3">
        <w:start w:val="1"/>
        <w:numFmt w:val="decimal"/>
        <w:isLgl/>
        <w:lvlText w:val="%1.%2.%3.%4"/>
        <w:lvlJc w:val="left"/>
        <w:pPr>
          <w:ind w:left="1440" w:hanging="1080"/>
        </w:pPr>
        <w:rPr>
          <w:rFonts w:asciiTheme="majorBidi" w:hAnsiTheme="majorBidi" w:cstheme="majorBidi" w:hint="default"/>
          <w:sz w:val="24"/>
          <w:szCs w:val="28"/>
        </w:rPr>
      </w:lvl>
    </w:lvlOverride>
    <w:lvlOverride w:ilvl="4">
      <w:lvl w:ilvl="4">
        <w:start w:val="1"/>
        <w:numFmt w:val="decimal"/>
        <w:isLgl/>
        <w:lvlText w:val="%1.%2.%3.%4.%5"/>
        <w:lvlJc w:val="left"/>
        <w:pPr>
          <w:ind w:left="1728" w:hanging="1440"/>
        </w:pPr>
        <w:rPr>
          <w:rFonts w:asciiTheme="majorBidi" w:hAnsiTheme="majorBidi" w:cstheme="majorBidi" w:hint="default"/>
          <w:sz w:val="24"/>
        </w:rPr>
      </w:lvl>
    </w:lvlOverride>
    <w:lvlOverride w:ilvl="5">
      <w:lvl w:ilvl="5">
        <w:start w:val="1"/>
        <w:numFmt w:val="decimal"/>
        <w:isLgl/>
        <w:lvlText w:val="%1.%2.%3.%4.%5.%6"/>
        <w:lvlJc w:val="left"/>
        <w:pPr>
          <w:ind w:left="1800" w:hanging="1440"/>
        </w:pPr>
        <w:rPr>
          <w:rFonts w:hint="default"/>
          <w:sz w:val="24"/>
        </w:rPr>
      </w:lvl>
    </w:lvlOverride>
    <w:lvlOverride w:ilvl="6">
      <w:lvl w:ilvl="6">
        <w:start w:val="1"/>
        <w:numFmt w:val="decimal"/>
        <w:isLgl/>
        <w:lvlText w:val="%1.%2.%3.%4.%5.%6.%7"/>
        <w:lvlJc w:val="left"/>
        <w:pPr>
          <w:ind w:left="2160" w:hanging="1800"/>
        </w:pPr>
        <w:rPr>
          <w:rFonts w:hint="default"/>
          <w:sz w:val="24"/>
        </w:rPr>
      </w:lvl>
    </w:lvlOverride>
    <w:lvlOverride w:ilvl="7">
      <w:lvl w:ilvl="7">
        <w:start w:val="1"/>
        <w:numFmt w:val="decimal"/>
        <w:isLgl/>
        <w:lvlText w:val="%1.%2.%3.%4.%5.%6.%7.%8"/>
        <w:lvlJc w:val="left"/>
        <w:pPr>
          <w:ind w:left="2520" w:hanging="2160"/>
        </w:pPr>
        <w:rPr>
          <w:rFonts w:hint="default"/>
          <w:sz w:val="24"/>
        </w:rPr>
      </w:lvl>
    </w:lvlOverride>
    <w:lvlOverride w:ilvl="8">
      <w:lvl w:ilvl="8">
        <w:start w:val="1"/>
        <w:numFmt w:val="decimal"/>
        <w:isLgl/>
        <w:lvlText w:val="%1.%2.%3.%4.%5.%6.%7.%8.%9"/>
        <w:lvlJc w:val="left"/>
        <w:pPr>
          <w:ind w:left="2520" w:hanging="2160"/>
        </w:pPr>
        <w:rPr>
          <w:rFonts w:hint="default"/>
          <w:sz w:val="24"/>
        </w:rPr>
      </w:lvl>
    </w:lvlOverride>
  </w:num>
  <w:num w:numId="32" w16cid:durableId="1759059834">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720"/>
        </w:pPr>
        <w:rPr>
          <w:rFonts w:hint="default"/>
          <w:sz w:val="32"/>
          <w:szCs w:val="32"/>
        </w:rPr>
      </w:lvl>
    </w:lvlOverride>
    <w:lvlOverride w:ilvl="2">
      <w:lvl w:ilvl="2">
        <w:start w:val="1"/>
        <w:numFmt w:val="decimal"/>
        <w:isLgl/>
        <w:lvlText w:val="%1.%2.%3"/>
        <w:lvlJc w:val="left"/>
        <w:pPr>
          <w:ind w:left="1080" w:hanging="720"/>
        </w:pPr>
        <w:rPr>
          <w:rFonts w:hint="default"/>
          <w:sz w:val="24"/>
        </w:rPr>
      </w:lvl>
    </w:lvlOverride>
    <w:lvlOverride w:ilvl="3">
      <w:lvl w:ilvl="3">
        <w:start w:val="1"/>
        <w:numFmt w:val="decimal"/>
        <w:isLgl/>
        <w:lvlText w:val="%1.%2.%3.%4"/>
        <w:lvlJc w:val="left"/>
        <w:pPr>
          <w:ind w:left="1440" w:hanging="1080"/>
        </w:pPr>
        <w:rPr>
          <w:rFonts w:asciiTheme="majorBidi" w:hAnsiTheme="majorBidi" w:cstheme="majorBidi" w:hint="default"/>
          <w:sz w:val="24"/>
          <w:szCs w:val="28"/>
        </w:rPr>
      </w:lvl>
    </w:lvlOverride>
    <w:lvlOverride w:ilvl="4">
      <w:lvl w:ilvl="4">
        <w:start w:val="1"/>
        <w:numFmt w:val="decimal"/>
        <w:isLgl/>
        <w:lvlText w:val="%1.%2.%3.%4.%5"/>
        <w:lvlJc w:val="left"/>
        <w:pPr>
          <w:ind w:left="1440" w:hanging="1152"/>
        </w:pPr>
        <w:rPr>
          <w:rFonts w:asciiTheme="majorBidi" w:hAnsiTheme="majorBidi" w:cstheme="majorBidi" w:hint="default"/>
          <w:sz w:val="24"/>
        </w:rPr>
      </w:lvl>
    </w:lvlOverride>
    <w:lvlOverride w:ilvl="5">
      <w:lvl w:ilvl="5">
        <w:start w:val="1"/>
        <w:numFmt w:val="decimal"/>
        <w:isLgl/>
        <w:lvlText w:val="%1.%2.%3.%4.%5.%6"/>
        <w:lvlJc w:val="left"/>
        <w:pPr>
          <w:ind w:left="1800" w:hanging="1440"/>
        </w:pPr>
        <w:rPr>
          <w:rFonts w:hint="default"/>
          <w:sz w:val="24"/>
        </w:rPr>
      </w:lvl>
    </w:lvlOverride>
    <w:lvlOverride w:ilvl="6">
      <w:lvl w:ilvl="6">
        <w:start w:val="1"/>
        <w:numFmt w:val="decimal"/>
        <w:isLgl/>
        <w:lvlText w:val="%1.%2.%3.%4.%5.%6.%7"/>
        <w:lvlJc w:val="left"/>
        <w:pPr>
          <w:ind w:left="2160" w:hanging="1800"/>
        </w:pPr>
        <w:rPr>
          <w:rFonts w:hint="default"/>
          <w:sz w:val="24"/>
        </w:rPr>
      </w:lvl>
    </w:lvlOverride>
    <w:lvlOverride w:ilvl="7">
      <w:lvl w:ilvl="7">
        <w:start w:val="1"/>
        <w:numFmt w:val="decimal"/>
        <w:isLgl/>
        <w:lvlText w:val="%1.%2.%3.%4.%5.%6.%7.%8"/>
        <w:lvlJc w:val="left"/>
        <w:pPr>
          <w:ind w:left="2520" w:hanging="2160"/>
        </w:pPr>
        <w:rPr>
          <w:rFonts w:hint="default"/>
          <w:sz w:val="24"/>
        </w:rPr>
      </w:lvl>
    </w:lvlOverride>
    <w:lvlOverride w:ilvl="8">
      <w:lvl w:ilvl="8">
        <w:start w:val="1"/>
        <w:numFmt w:val="decimal"/>
        <w:isLgl/>
        <w:lvlText w:val="%1.%2.%3.%4.%5.%6.%7.%8.%9"/>
        <w:lvlJc w:val="left"/>
        <w:pPr>
          <w:ind w:left="2520" w:hanging="2160"/>
        </w:pPr>
        <w:rPr>
          <w:rFonts w:hint="default"/>
          <w:sz w:val="24"/>
        </w:rPr>
      </w:lvl>
    </w:lvlOverride>
  </w:num>
  <w:num w:numId="33" w16cid:durableId="21324759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DF7"/>
    <w:rsid w:val="0000476B"/>
    <w:rsid w:val="0001456E"/>
    <w:rsid w:val="00014F3D"/>
    <w:rsid w:val="00036FAF"/>
    <w:rsid w:val="00040678"/>
    <w:rsid w:val="000412F5"/>
    <w:rsid w:val="00042491"/>
    <w:rsid w:val="000445A8"/>
    <w:rsid w:val="00053E7B"/>
    <w:rsid w:val="000541BB"/>
    <w:rsid w:val="00067B07"/>
    <w:rsid w:val="00081A2B"/>
    <w:rsid w:val="0008312D"/>
    <w:rsid w:val="000850DD"/>
    <w:rsid w:val="000937CC"/>
    <w:rsid w:val="0009402D"/>
    <w:rsid w:val="00097EB4"/>
    <w:rsid w:val="000A37D7"/>
    <w:rsid w:val="000B2124"/>
    <w:rsid w:val="000C3B1C"/>
    <w:rsid w:val="000D74A2"/>
    <w:rsid w:val="000D7968"/>
    <w:rsid w:val="000E34E1"/>
    <w:rsid w:val="000F2337"/>
    <w:rsid w:val="0010092E"/>
    <w:rsid w:val="00100972"/>
    <w:rsid w:val="00101866"/>
    <w:rsid w:val="00106152"/>
    <w:rsid w:val="00116673"/>
    <w:rsid w:val="00121C45"/>
    <w:rsid w:val="00130BFD"/>
    <w:rsid w:val="00132C77"/>
    <w:rsid w:val="00140DBB"/>
    <w:rsid w:val="00163310"/>
    <w:rsid w:val="0017205A"/>
    <w:rsid w:val="001917A9"/>
    <w:rsid w:val="001A0CA9"/>
    <w:rsid w:val="001D4242"/>
    <w:rsid w:val="001D571D"/>
    <w:rsid w:val="001E1A99"/>
    <w:rsid w:val="001E6126"/>
    <w:rsid w:val="001E6E16"/>
    <w:rsid w:val="001F2FB0"/>
    <w:rsid w:val="001F3F31"/>
    <w:rsid w:val="001F47F4"/>
    <w:rsid w:val="002043E6"/>
    <w:rsid w:val="002058B2"/>
    <w:rsid w:val="0020797F"/>
    <w:rsid w:val="002114D2"/>
    <w:rsid w:val="00216E63"/>
    <w:rsid w:val="00221193"/>
    <w:rsid w:val="00221843"/>
    <w:rsid w:val="00223290"/>
    <w:rsid w:val="00225E73"/>
    <w:rsid w:val="0024240C"/>
    <w:rsid w:val="002707D1"/>
    <w:rsid w:val="00272857"/>
    <w:rsid w:val="0027467B"/>
    <w:rsid w:val="00282D68"/>
    <w:rsid w:val="002871AA"/>
    <w:rsid w:val="0028763A"/>
    <w:rsid w:val="00295119"/>
    <w:rsid w:val="002C1B2A"/>
    <w:rsid w:val="002E2795"/>
    <w:rsid w:val="00305C5A"/>
    <w:rsid w:val="00307485"/>
    <w:rsid w:val="00307A78"/>
    <w:rsid w:val="00311FD8"/>
    <w:rsid w:val="003140E1"/>
    <w:rsid w:val="00315927"/>
    <w:rsid w:val="00317BE8"/>
    <w:rsid w:val="00323909"/>
    <w:rsid w:val="003306F4"/>
    <w:rsid w:val="00335A5C"/>
    <w:rsid w:val="00335AC5"/>
    <w:rsid w:val="00336792"/>
    <w:rsid w:val="0035650C"/>
    <w:rsid w:val="00357D1A"/>
    <w:rsid w:val="00363BD5"/>
    <w:rsid w:val="00364A8D"/>
    <w:rsid w:val="00376772"/>
    <w:rsid w:val="003769EC"/>
    <w:rsid w:val="003847E7"/>
    <w:rsid w:val="00391172"/>
    <w:rsid w:val="003A143C"/>
    <w:rsid w:val="003A67A1"/>
    <w:rsid w:val="003B6D6A"/>
    <w:rsid w:val="003C12D0"/>
    <w:rsid w:val="003C211F"/>
    <w:rsid w:val="003D02B9"/>
    <w:rsid w:val="003F38FF"/>
    <w:rsid w:val="003F3D8B"/>
    <w:rsid w:val="003F608D"/>
    <w:rsid w:val="004019DB"/>
    <w:rsid w:val="00401FA8"/>
    <w:rsid w:val="00402D61"/>
    <w:rsid w:val="00416D03"/>
    <w:rsid w:val="00423AAC"/>
    <w:rsid w:val="00426E8F"/>
    <w:rsid w:val="00434909"/>
    <w:rsid w:val="004813C1"/>
    <w:rsid w:val="00482790"/>
    <w:rsid w:val="004859DC"/>
    <w:rsid w:val="00486E01"/>
    <w:rsid w:val="004874A1"/>
    <w:rsid w:val="004A48F9"/>
    <w:rsid w:val="004A513D"/>
    <w:rsid w:val="004A748C"/>
    <w:rsid w:val="004B6279"/>
    <w:rsid w:val="004C1D3E"/>
    <w:rsid w:val="004C73CF"/>
    <w:rsid w:val="004D1F5B"/>
    <w:rsid w:val="004D4403"/>
    <w:rsid w:val="004D6B0F"/>
    <w:rsid w:val="004F4544"/>
    <w:rsid w:val="00504B27"/>
    <w:rsid w:val="00507A99"/>
    <w:rsid w:val="00511AB5"/>
    <w:rsid w:val="00512464"/>
    <w:rsid w:val="00512887"/>
    <w:rsid w:val="0051434C"/>
    <w:rsid w:val="00516686"/>
    <w:rsid w:val="005270A7"/>
    <w:rsid w:val="00530D27"/>
    <w:rsid w:val="005329AB"/>
    <w:rsid w:val="0053381E"/>
    <w:rsid w:val="005414CA"/>
    <w:rsid w:val="005435D8"/>
    <w:rsid w:val="005474AE"/>
    <w:rsid w:val="00577C1E"/>
    <w:rsid w:val="0058091F"/>
    <w:rsid w:val="00582958"/>
    <w:rsid w:val="00590DF0"/>
    <w:rsid w:val="00597828"/>
    <w:rsid w:val="005A0A31"/>
    <w:rsid w:val="005A2123"/>
    <w:rsid w:val="005A2DF9"/>
    <w:rsid w:val="005A7B87"/>
    <w:rsid w:val="005B5A10"/>
    <w:rsid w:val="005C1650"/>
    <w:rsid w:val="005C16F6"/>
    <w:rsid w:val="005E1514"/>
    <w:rsid w:val="005E55C8"/>
    <w:rsid w:val="005E5884"/>
    <w:rsid w:val="005F3860"/>
    <w:rsid w:val="005F428D"/>
    <w:rsid w:val="005F79F0"/>
    <w:rsid w:val="00601EA7"/>
    <w:rsid w:val="0060691B"/>
    <w:rsid w:val="00626849"/>
    <w:rsid w:val="00632FCF"/>
    <w:rsid w:val="00634258"/>
    <w:rsid w:val="00640415"/>
    <w:rsid w:val="00642F11"/>
    <w:rsid w:val="0065202F"/>
    <w:rsid w:val="00660B69"/>
    <w:rsid w:val="0066375A"/>
    <w:rsid w:val="00665BE2"/>
    <w:rsid w:val="00666352"/>
    <w:rsid w:val="0066740A"/>
    <w:rsid w:val="00671A5B"/>
    <w:rsid w:val="0069260E"/>
    <w:rsid w:val="00695B83"/>
    <w:rsid w:val="006A23BF"/>
    <w:rsid w:val="006C0F40"/>
    <w:rsid w:val="006D5FD0"/>
    <w:rsid w:val="006D620C"/>
    <w:rsid w:val="006E2155"/>
    <w:rsid w:val="006E4474"/>
    <w:rsid w:val="006F1478"/>
    <w:rsid w:val="006F28EE"/>
    <w:rsid w:val="006F3690"/>
    <w:rsid w:val="007034E0"/>
    <w:rsid w:val="00711EDA"/>
    <w:rsid w:val="007150DF"/>
    <w:rsid w:val="00716604"/>
    <w:rsid w:val="00716D90"/>
    <w:rsid w:val="007350D5"/>
    <w:rsid w:val="007351D8"/>
    <w:rsid w:val="00765AF0"/>
    <w:rsid w:val="00774C38"/>
    <w:rsid w:val="00782D04"/>
    <w:rsid w:val="0078693D"/>
    <w:rsid w:val="00792063"/>
    <w:rsid w:val="00794B2E"/>
    <w:rsid w:val="007A3F17"/>
    <w:rsid w:val="007A4157"/>
    <w:rsid w:val="007B54A5"/>
    <w:rsid w:val="007B5647"/>
    <w:rsid w:val="007B69F3"/>
    <w:rsid w:val="007C0E85"/>
    <w:rsid w:val="007D2657"/>
    <w:rsid w:val="007E1DF7"/>
    <w:rsid w:val="007E7FC1"/>
    <w:rsid w:val="007F15B3"/>
    <w:rsid w:val="007F2CEE"/>
    <w:rsid w:val="007F5918"/>
    <w:rsid w:val="008036B0"/>
    <w:rsid w:val="00804AF8"/>
    <w:rsid w:val="00817AF3"/>
    <w:rsid w:val="00832D6C"/>
    <w:rsid w:val="00837DD2"/>
    <w:rsid w:val="00847400"/>
    <w:rsid w:val="00866D34"/>
    <w:rsid w:val="008869A6"/>
    <w:rsid w:val="00894D2E"/>
    <w:rsid w:val="00894FA8"/>
    <w:rsid w:val="008977D4"/>
    <w:rsid w:val="008B36FC"/>
    <w:rsid w:val="008C5C60"/>
    <w:rsid w:val="008D0B75"/>
    <w:rsid w:val="008E2E4B"/>
    <w:rsid w:val="008E5C70"/>
    <w:rsid w:val="008E7E92"/>
    <w:rsid w:val="008F75EA"/>
    <w:rsid w:val="00900E9E"/>
    <w:rsid w:val="00901897"/>
    <w:rsid w:val="00905312"/>
    <w:rsid w:val="00925CE1"/>
    <w:rsid w:val="0093169F"/>
    <w:rsid w:val="009456D9"/>
    <w:rsid w:val="00951218"/>
    <w:rsid w:val="00953270"/>
    <w:rsid w:val="00970797"/>
    <w:rsid w:val="00974D35"/>
    <w:rsid w:val="009851A0"/>
    <w:rsid w:val="009900A2"/>
    <w:rsid w:val="00992B2F"/>
    <w:rsid w:val="009972AD"/>
    <w:rsid w:val="00997979"/>
    <w:rsid w:val="009A1DF5"/>
    <w:rsid w:val="009C58C6"/>
    <w:rsid w:val="009C7923"/>
    <w:rsid w:val="009D61EE"/>
    <w:rsid w:val="009E0E4E"/>
    <w:rsid w:val="009E613B"/>
    <w:rsid w:val="009F2FAB"/>
    <w:rsid w:val="009F458B"/>
    <w:rsid w:val="00A034D9"/>
    <w:rsid w:val="00A16685"/>
    <w:rsid w:val="00A24979"/>
    <w:rsid w:val="00A47AB0"/>
    <w:rsid w:val="00A51702"/>
    <w:rsid w:val="00A535C1"/>
    <w:rsid w:val="00A565DB"/>
    <w:rsid w:val="00A6044E"/>
    <w:rsid w:val="00A6466B"/>
    <w:rsid w:val="00A67FB2"/>
    <w:rsid w:val="00A72F88"/>
    <w:rsid w:val="00A7373F"/>
    <w:rsid w:val="00A73900"/>
    <w:rsid w:val="00A77809"/>
    <w:rsid w:val="00A82674"/>
    <w:rsid w:val="00A854CF"/>
    <w:rsid w:val="00A922A3"/>
    <w:rsid w:val="00A96957"/>
    <w:rsid w:val="00AA6C03"/>
    <w:rsid w:val="00AA6F12"/>
    <w:rsid w:val="00AB17BC"/>
    <w:rsid w:val="00AB6714"/>
    <w:rsid w:val="00AC1852"/>
    <w:rsid w:val="00AD3D08"/>
    <w:rsid w:val="00AD7B65"/>
    <w:rsid w:val="00AE24ED"/>
    <w:rsid w:val="00AE5A95"/>
    <w:rsid w:val="00AE726B"/>
    <w:rsid w:val="00B10F22"/>
    <w:rsid w:val="00B408F9"/>
    <w:rsid w:val="00B50500"/>
    <w:rsid w:val="00B5183B"/>
    <w:rsid w:val="00B54D37"/>
    <w:rsid w:val="00B617D1"/>
    <w:rsid w:val="00B63598"/>
    <w:rsid w:val="00B66BEC"/>
    <w:rsid w:val="00B914E8"/>
    <w:rsid w:val="00B947FB"/>
    <w:rsid w:val="00B95FCF"/>
    <w:rsid w:val="00BA23A5"/>
    <w:rsid w:val="00BA797B"/>
    <w:rsid w:val="00BB3764"/>
    <w:rsid w:val="00BB69C0"/>
    <w:rsid w:val="00BC04FF"/>
    <w:rsid w:val="00BC6233"/>
    <w:rsid w:val="00BD5387"/>
    <w:rsid w:val="00BE72FA"/>
    <w:rsid w:val="00BE794D"/>
    <w:rsid w:val="00BF3DAE"/>
    <w:rsid w:val="00C01D27"/>
    <w:rsid w:val="00C05C2F"/>
    <w:rsid w:val="00C06B20"/>
    <w:rsid w:val="00C3051D"/>
    <w:rsid w:val="00C42038"/>
    <w:rsid w:val="00C45C4B"/>
    <w:rsid w:val="00C56AEC"/>
    <w:rsid w:val="00C61870"/>
    <w:rsid w:val="00C660CE"/>
    <w:rsid w:val="00C754E2"/>
    <w:rsid w:val="00C86673"/>
    <w:rsid w:val="00CA1C73"/>
    <w:rsid w:val="00CA62BF"/>
    <w:rsid w:val="00CB1978"/>
    <w:rsid w:val="00CC2103"/>
    <w:rsid w:val="00CD1802"/>
    <w:rsid w:val="00CD54E0"/>
    <w:rsid w:val="00CE29CF"/>
    <w:rsid w:val="00CE69FC"/>
    <w:rsid w:val="00CE6E4D"/>
    <w:rsid w:val="00CF72C2"/>
    <w:rsid w:val="00D01D86"/>
    <w:rsid w:val="00D2615A"/>
    <w:rsid w:val="00D26ED0"/>
    <w:rsid w:val="00D3741D"/>
    <w:rsid w:val="00D37CA9"/>
    <w:rsid w:val="00D46F6F"/>
    <w:rsid w:val="00D50E9B"/>
    <w:rsid w:val="00D628BB"/>
    <w:rsid w:val="00D83D99"/>
    <w:rsid w:val="00D8507D"/>
    <w:rsid w:val="00D871FA"/>
    <w:rsid w:val="00D92D90"/>
    <w:rsid w:val="00D97A6F"/>
    <w:rsid w:val="00DA1F7D"/>
    <w:rsid w:val="00DB2DE0"/>
    <w:rsid w:val="00DB4F2D"/>
    <w:rsid w:val="00DB5847"/>
    <w:rsid w:val="00DC390E"/>
    <w:rsid w:val="00DC4433"/>
    <w:rsid w:val="00DD195F"/>
    <w:rsid w:val="00DD5DAA"/>
    <w:rsid w:val="00DD67D4"/>
    <w:rsid w:val="00DD7A95"/>
    <w:rsid w:val="00DE0E87"/>
    <w:rsid w:val="00DE1AB1"/>
    <w:rsid w:val="00DE1C8E"/>
    <w:rsid w:val="00DE482F"/>
    <w:rsid w:val="00DE6BA0"/>
    <w:rsid w:val="00DF5E63"/>
    <w:rsid w:val="00E057D1"/>
    <w:rsid w:val="00E118FA"/>
    <w:rsid w:val="00E11DB2"/>
    <w:rsid w:val="00E16EF9"/>
    <w:rsid w:val="00E243E0"/>
    <w:rsid w:val="00E264F8"/>
    <w:rsid w:val="00E27AE5"/>
    <w:rsid w:val="00E41E1B"/>
    <w:rsid w:val="00E51149"/>
    <w:rsid w:val="00E51B1A"/>
    <w:rsid w:val="00E6017B"/>
    <w:rsid w:val="00E61C69"/>
    <w:rsid w:val="00E6309E"/>
    <w:rsid w:val="00E7639E"/>
    <w:rsid w:val="00E76EB4"/>
    <w:rsid w:val="00E84556"/>
    <w:rsid w:val="00E85E41"/>
    <w:rsid w:val="00EA7785"/>
    <w:rsid w:val="00EB310F"/>
    <w:rsid w:val="00EB4FD7"/>
    <w:rsid w:val="00EB6398"/>
    <w:rsid w:val="00EC567D"/>
    <w:rsid w:val="00EC7A5C"/>
    <w:rsid w:val="00EC7D01"/>
    <w:rsid w:val="00EC7D7B"/>
    <w:rsid w:val="00ED0BA4"/>
    <w:rsid w:val="00EE095D"/>
    <w:rsid w:val="00EE4094"/>
    <w:rsid w:val="00EE74F5"/>
    <w:rsid w:val="00F034CA"/>
    <w:rsid w:val="00F07B17"/>
    <w:rsid w:val="00F1062D"/>
    <w:rsid w:val="00F151B4"/>
    <w:rsid w:val="00F338F4"/>
    <w:rsid w:val="00F35B33"/>
    <w:rsid w:val="00F4583A"/>
    <w:rsid w:val="00F46B9F"/>
    <w:rsid w:val="00F51F84"/>
    <w:rsid w:val="00F569DB"/>
    <w:rsid w:val="00F64694"/>
    <w:rsid w:val="00F731DE"/>
    <w:rsid w:val="00F73DD0"/>
    <w:rsid w:val="00F77839"/>
    <w:rsid w:val="00F9342C"/>
    <w:rsid w:val="00FA1847"/>
    <w:rsid w:val="00FA6B4E"/>
    <w:rsid w:val="00FB060C"/>
    <w:rsid w:val="00FB4587"/>
    <w:rsid w:val="00FC1FDE"/>
    <w:rsid w:val="00FC332E"/>
    <w:rsid w:val="00FC4E7F"/>
    <w:rsid w:val="00FD04BD"/>
    <w:rsid w:val="00FD4C5C"/>
    <w:rsid w:val="00FD70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007B90"/>
  <w15:chartTrackingRefBased/>
  <w15:docId w15:val="{03660A06-86D0-4350-9D96-DE884EFCE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4D9"/>
    <w:pPr>
      <w:spacing w:line="360" w:lineRule="auto"/>
    </w:pPr>
    <w:rPr>
      <w:sz w:val="24"/>
    </w:rPr>
  </w:style>
  <w:style w:type="paragraph" w:styleId="Heading1">
    <w:name w:val="heading 1"/>
    <w:basedOn w:val="Normal"/>
    <w:next w:val="Normal"/>
    <w:link w:val="Heading1Char"/>
    <w:uiPriority w:val="9"/>
    <w:qFormat/>
    <w:rsid w:val="000A37D7"/>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034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34D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7D7"/>
    <w:rPr>
      <w:rFonts w:eastAsiaTheme="majorEastAsia" w:cstheme="majorBidi"/>
      <w:b/>
      <w:sz w:val="24"/>
      <w:szCs w:val="32"/>
    </w:rPr>
  </w:style>
  <w:style w:type="character" w:customStyle="1" w:styleId="Heading2Char">
    <w:name w:val="Heading 2 Char"/>
    <w:basedOn w:val="DefaultParagraphFont"/>
    <w:link w:val="Heading2"/>
    <w:uiPriority w:val="9"/>
    <w:rsid w:val="00A034D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034D9"/>
    <w:rPr>
      <w:rFonts w:asciiTheme="majorHAnsi" w:eastAsiaTheme="majorEastAsia" w:hAnsiTheme="majorHAnsi" w:cstheme="majorBidi"/>
      <w:color w:val="1F3763" w:themeColor="accent1" w:themeShade="7F"/>
      <w:sz w:val="24"/>
      <w:szCs w:val="24"/>
    </w:rPr>
  </w:style>
  <w:style w:type="numbering" w:customStyle="1" w:styleId="NoList1">
    <w:name w:val="No List1"/>
    <w:next w:val="NoList"/>
    <w:uiPriority w:val="99"/>
    <w:semiHidden/>
    <w:unhideWhenUsed/>
    <w:rsid w:val="00A034D9"/>
  </w:style>
  <w:style w:type="paragraph" w:styleId="Header">
    <w:name w:val="header"/>
    <w:basedOn w:val="Normal"/>
    <w:link w:val="HeaderChar"/>
    <w:uiPriority w:val="99"/>
    <w:unhideWhenUsed/>
    <w:rsid w:val="00A034D9"/>
    <w:pPr>
      <w:tabs>
        <w:tab w:val="center" w:pos="4153"/>
        <w:tab w:val="right" w:pos="8306"/>
      </w:tabs>
      <w:bidi/>
      <w:spacing w:after="0" w:line="240" w:lineRule="auto"/>
      <w:jc w:val="both"/>
    </w:pPr>
    <w:rPr>
      <w:lang w:val="en-US"/>
    </w:rPr>
  </w:style>
  <w:style w:type="character" w:customStyle="1" w:styleId="HeaderChar">
    <w:name w:val="Header Char"/>
    <w:basedOn w:val="DefaultParagraphFont"/>
    <w:link w:val="Header"/>
    <w:uiPriority w:val="99"/>
    <w:rsid w:val="00A034D9"/>
    <w:rPr>
      <w:sz w:val="24"/>
      <w:lang w:val="en-US"/>
    </w:rPr>
  </w:style>
  <w:style w:type="paragraph" w:styleId="Footer">
    <w:name w:val="footer"/>
    <w:basedOn w:val="Normal"/>
    <w:link w:val="FooterChar"/>
    <w:uiPriority w:val="99"/>
    <w:unhideWhenUsed/>
    <w:rsid w:val="00A034D9"/>
    <w:pPr>
      <w:tabs>
        <w:tab w:val="center" w:pos="4153"/>
        <w:tab w:val="right" w:pos="8306"/>
      </w:tabs>
      <w:bidi/>
      <w:spacing w:after="0" w:line="240" w:lineRule="auto"/>
      <w:jc w:val="both"/>
    </w:pPr>
    <w:rPr>
      <w:lang w:val="en-US"/>
    </w:rPr>
  </w:style>
  <w:style w:type="character" w:customStyle="1" w:styleId="FooterChar">
    <w:name w:val="Footer Char"/>
    <w:basedOn w:val="DefaultParagraphFont"/>
    <w:link w:val="Footer"/>
    <w:uiPriority w:val="99"/>
    <w:rsid w:val="00A034D9"/>
    <w:rPr>
      <w:sz w:val="24"/>
      <w:lang w:val="en-US"/>
    </w:rPr>
  </w:style>
  <w:style w:type="paragraph" w:styleId="ListParagraph">
    <w:name w:val="List Paragraph"/>
    <w:basedOn w:val="Normal"/>
    <w:uiPriority w:val="34"/>
    <w:qFormat/>
    <w:rsid w:val="00A034D9"/>
    <w:pPr>
      <w:bidi/>
      <w:ind w:left="720"/>
      <w:contextualSpacing/>
      <w:jc w:val="both"/>
    </w:pPr>
    <w:rPr>
      <w:lang w:val="en-US"/>
    </w:rPr>
  </w:style>
  <w:style w:type="paragraph" w:styleId="NoSpacing">
    <w:name w:val="No Spacing"/>
    <w:uiPriority w:val="1"/>
    <w:qFormat/>
    <w:rsid w:val="00A034D9"/>
    <w:pPr>
      <w:bidi/>
      <w:spacing w:after="0" w:line="240" w:lineRule="auto"/>
      <w:jc w:val="both"/>
    </w:pPr>
    <w:rPr>
      <w:sz w:val="24"/>
      <w:lang w:val="en-US"/>
    </w:rPr>
  </w:style>
  <w:style w:type="paragraph" w:customStyle="1" w:styleId="Caption1">
    <w:name w:val="Caption1"/>
    <w:basedOn w:val="Normal"/>
    <w:next w:val="Normal"/>
    <w:uiPriority w:val="35"/>
    <w:unhideWhenUsed/>
    <w:qFormat/>
    <w:rsid w:val="00A034D9"/>
    <w:pPr>
      <w:spacing w:after="200" w:line="240" w:lineRule="auto"/>
    </w:pPr>
    <w:rPr>
      <w:i/>
      <w:iCs/>
      <w:color w:val="44546A"/>
      <w:sz w:val="18"/>
      <w:szCs w:val="18"/>
    </w:rPr>
  </w:style>
  <w:style w:type="paragraph" w:styleId="Bibliography">
    <w:name w:val="Bibliography"/>
    <w:basedOn w:val="Normal"/>
    <w:next w:val="Normal"/>
    <w:uiPriority w:val="37"/>
    <w:unhideWhenUsed/>
    <w:rsid w:val="00A034D9"/>
    <w:pPr>
      <w:bidi/>
      <w:jc w:val="both"/>
    </w:pPr>
    <w:rPr>
      <w:lang w:val="en-US"/>
    </w:rPr>
  </w:style>
  <w:style w:type="paragraph" w:customStyle="1" w:styleId="TOCHeading1">
    <w:name w:val="TOC Heading1"/>
    <w:basedOn w:val="Heading1"/>
    <w:next w:val="Normal"/>
    <w:uiPriority w:val="39"/>
    <w:unhideWhenUsed/>
    <w:qFormat/>
    <w:rsid w:val="00A034D9"/>
    <w:pPr>
      <w:numPr>
        <w:numId w:val="0"/>
      </w:numPr>
      <w:spacing w:line="259" w:lineRule="auto"/>
      <w:outlineLvl w:val="9"/>
    </w:pPr>
    <w:rPr>
      <w:rFonts w:ascii="Calibri Light" w:hAnsi="Calibri Light"/>
      <w:b w:val="0"/>
      <w:color w:val="2F5496"/>
      <w:kern w:val="0"/>
      <w:sz w:val="32"/>
      <w:lang w:val="en-US"/>
    </w:rPr>
  </w:style>
  <w:style w:type="paragraph" w:styleId="TOC1">
    <w:name w:val="toc 1"/>
    <w:basedOn w:val="Normal"/>
    <w:next w:val="Normal"/>
    <w:autoRedefine/>
    <w:uiPriority w:val="39"/>
    <w:unhideWhenUsed/>
    <w:rsid w:val="000A37D7"/>
    <w:pPr>
      <w:spacing w:before="120" w:after="120"/>
    </w:pPr>
    <w:rPr>
      <w:rFonts w:cs="Times New Roman"/>
      <w:b/>
      <w:bCs/>
      <w:caps/>
      <w:sz w:val="20"/>
      <w:szCs w:val="24"/>
    </w:rPr>
  </w:style>
  <w:style w:type="paragraph" w:styleId="TOC2">
    <w:name w:val="toc 2"/>
    <w:basedOn w:val="Normal"/>
    <w:next w:val="Normal"/>
    <w:autoRedefine/>
    <w:uiPriority w:val="39"/>
    <w:unhideWhenUsed/>
    <w:rsid w:val="00A034D9"/>
    <w:pPr>
      <w:spacing w:after="0"/>
      <w:ind w:left="240"/>
    </w:pPr>
    <w:rPr>
      <w:rFonts w:cs="Times New Roman"/>
      <w:smallCaps/>
      <w:sz w:val="20"/>
      <w:szCs w:val="24"/>
    </w:rPr>
  </w:style>
  <w:style w:type="paragraph" w:styleId="TOC3">
    <w:name w:val="toc 3"/>
    <w:basedOn w:val="Normal"/>
    <w:next w:val="Normal"/>
    <w:autoRedefine/>
    <w:uiPriority w:val="39"/>
    <w:unhideWhenUsed/>
    <w:rsid w:val="001D571D"/>
    <w:pPr>
      <w:tabs>
        <w:tab w:val="left" w:pos="1440"/>
        <w:tab w:val="right" w:leader="dot" w:pos="9350"/>
      </w:tabs>
      <w:spacing w:after="0"/>
      <w:ind w:left="480"/>
    </w:pPr>
    <w:rPr>
      <w:rFonts w:asciiTheme="majorBidi" w:eastAsia="Times New Roman" w:hAnsiTheme="majorBidi" w:cstheme="majorBidi"/>
      <w:b/>
      <w:bCs/>
      <w:i/>
      <w:iCs/>
      <w:noProof/>
      <w:sz w:val="20"/>
      <w:szCs w:val="24"/>
      <w:lang w:val="en-US"/>
    </w:rPr>
  </w:style>
  <w:style w:type="paragraph" w:customStyle="1" w:styleId="TOC41">
    <w:name w:val="TOC 41"/>
    <w:basedOn w:val="Normal"/>
    <w:next w:val="Normal"/>
    <w:autoRedefine/>
    <w:uiPriority w:val="39"/>
    <w:unhideWhenUsed/>
    <w:rsid w:val="00A034D9"/>
    <w:pPr>
      <w:spacing w:after="100" w:line="259" w:lineRule="auto"/>
      <w:ind w:left="660"/>
    </w:pPr>
    <w:rPr>
      <w:rFonts w:eastAsia="Times New Roman"/>
      <w:sz w:val="22"/>
      <w:lang w:eastAsia="en-GB"/>
    </w:rPr>
  </w:style>
  <w:style w:type="paragraph" w:customStyle="1" w:styleId="TOC51">
    <w:name w:val="TOC 51"/>
    <w:basedOn w:val="Normal"/>
    <w:next w:val="Normal"/>
    <w:autoRedefine/>
    <w:uiPriority w:val="39"/>
    <w:unhideWhenUsed/>
    <w:rsid w:val="00A034D9"/>
    <w:pPr>
      <w:spacing w:after="100" w:line="259" w:lineRule="auto"/>
      <w:ind w:left="880"/>
    </w:pPr>
    <w:rPr>
      <w:rFonts w:eastAsia="Times New Roman"/>
      <w:sz w:val="22"/>
      <w:lang w:eastAsia="en-GB"/>
    </w:rPr>
  </w:style>
  <w:style w:type="paragraph" w:customStyle="1" w:styleId="TOC61">
    <w:name w:val="TOC 61"/>
    <w:basedOn w:val="Normal"/>
    <w:next w:val="Normal"/>
    <w:autoRedefine/>
    <w:uiPriority w:val="39"/>
    <w:unhideWhenUsed/>
    <w:rsid w:val="00A034D9"/>
    <w:pPr>
      <w:spacing w:after="100" w:line="259" w:lineRule="auto"/>
      <w:ind w:left="1100"/>
    </w:pPr>
    <w:rPr>
      <w:rFonts w:eastAsia="Times New Roman"/>
      <w:sz w:val="22"/>
      <w:lang w:eastAsia="en-GB"/>
    </w:rPr>
  </w:style>
  <w:style w:type="paragraph" w:customStyle="1" w:styleId="TOC71">
    <w:name w:val="TOC 71"/>
    <w:basedOn w:val="Normal"/>
    <w:next w:val="Normal"/>
    <w:autoRedefine/>
    <w:uiPriority w:val="39"/>
    <w:unhideWhenUsed/>
    <w:rsid w:val="00A034D9"/>
    <w:pPr>
      <w:spacing w:after="100" w:line="259" w:lineRule="auto"/>
      <w:ind w:left="1320"/>
    </w:pPr>
    <w:rPr>
      <w:rFonts w:eastAsia="Times New Roman"/>
      <w:sz w:val="22"/>
      <w:lang w:eastAsia="en-GB"/>
    </w:rPr>
  </w:style>
  <w:style w:type="paragraph" w:customStyle="1" w:styleId="TOC81">
    <w:name w:val="TOC 81"/>
    <w:basedOn w:val="Normal"/>
    <w:next w:val="Normal"/>
    <w:autoRedefine/>
    <w:uiPriority w:val="39"/>
    <w:unhideWhenUsed/>
    <w:rsid w:val="00A034D9"/>
    <w:pPr>
      <w:spacing w:after="100" w:line="259" w:lineRule="auto"/>
      <w:ind w:left="1540"/>
    </w:pPr>
    <w:rPr>
      <w:rFonts w:eastAsia="Times New Roman"/>
      <w:sz w:val="22"/>
      <w:lang w:eastAsia="en-GB"/>
    </w:rPr>
  </w:style>
  <w:style w:type="paragraph" w:customStyle="1" w:styleId="TOC91">
    <w:name w:val="TOC 91"/>
    <w:basedOn w:val="Normal"/>
    <w:next w:val="Normal"/>
    <w:autoRedefine/>
    <w:uiPriority w:val="39"/>
    <w:unhideWhenUsed/>
    <w:rsid w:val="00A034D9"/>
    <w:pPr>
      <w:spacing w:after="100" w:line="259" w:lineRule="auto"/>
      <w:ind w:left="1760"/>
    </w:pPr>
    <w:rPr>
      <w:rFonts w:eastAsia="Times New Roman"/>
      <w:sz w:val="22"/>
      <w:lang w:eastAsia="en-GB"/>
    </w:rPr>
  </w:style>
  <w:style w:type="character" w:customStyle="1" w:styleId="Hyperlink1">
    <w:name w:val="Hyperlink1"/>
    <w:basedOn w:val="DefaultParagraphFont"/>
    <w:uiPriority w:val="99"/>
    <w:unhideWhenUsed/>
    <w:rsid w:val="00A034D9"/>
    <w:rPr>
      <w:color w:val="0563C1"/>
      <w:u w:val="single"/>
    </w:rPr>
  </w:style>
  <w:style w:type="character" w:customStyle="1" w:styleId="UnresolvedMention1">
    <w:name w:val="Unresolved Mention1"/>
    <w:basedOn w:val="DefaultParagraphFont"/>
    <w:uiPriority w:val="99"/>
    <w:semiHidden/>
    <w:unhideWhenUsed/>
    <w:rsid w:val="00A034D9"/>
    <w:rPr>
      <w:color w:val="605E5C"/>
      <w:shd w:val="clear" w:color="auto" w:fill="E1DFDD"/>
    </w:rPr>
  </w:style>
  <w:style w:type="paragraph" w:styleId="TableofFigures">
    <w:name w:val="table of figures"/>
    <w:basedOn w:val="Normal"/>
    <w:next w:val="Normal"/>
    <w:uiPriority w:val="99"/>
    <w:unhideWhenUsed/>
    <w:rsid w:val="00A034D9"/>
    <w:pPr>
      <w:bidi/>
      <w:spacing w:after="0"/>
      <w:jc w:val="both"/>
    </w:pPr>
    <w:rPr>
      <w:lang w:val="en-US"/>
    </w:rPr>
  </w:style>
  <w:style w:type="character" w:styleId="Hyperlink">
    <w:name w:val="Hyperlink"/>
    <w:basedOn w:val="DefaultParagraphFont"/>
    <w:uiPriority w:val="99"/>
    <w:unhideWhenUsed/>
    <w:rsid w:val="00A034D9"/>
    <w:rPr>
      <w:color w:val="0563C1" w:themeColor="hyperlink"/>
      <w:u w:val="single"/>
    </w:rPr>
  </w:style>
  <w:style w:type="paragraph" w:styleId="TOCHeading">
    <w:name w:val="TOC Heading"/>
    <w:basedOn w:val="Heading1"/>
    <w:next w:val="Normal"/>
    <w:uiPriority w:val="39"/>
    <w:unhideWhenUsed/>
    <w:qFormat/>
    <w:rsid w:val="00097EB4"/>
    <w:pPr>
      <w:numPr>
        <w:numId w:val="0"/>
      </w:numPr>
      <w:spacing w:line="259" w:lineRule="auto"/>
      <w:outlineLvl w:val="9"/>
    </w:pPr>
    <w:rPr>
      <w:rFonts w:asciiTheme="majorHAnsi" w:hAnsiTheme="majorHAnsi"/>
      <w:b w:val="0"/>
      <w:color w:val="2F5496" w:themeColor="accent1" w:themeShade="BF"/>
      <w:kern w:val="0"/>
      <w:sz w:val="32"/>
      <w:lang w:val="en-US"/>
    </w:rPr>
  </w:style>
  <w:style w:type="paragraph" w:styleId="TOC4">
    <w:name w:val="toc 4"/>
    <w:basedOn w:val="Normal"/>
    <w:next w:val="Normal"/>
    <w:autoRedefine/>
    <w:uiPriority w:val="39"/>
    <w:unhideWhenUsed/>
    <w:rsid w:val="00097EB4"/>
    <w:pPr>
      <w:spacing w:after="0"/>
      <w:ind w:left="720"/>
    </w:pPr>
    <w:rPr>
      <w:rFonts w:cs="Times New Roman"/>
      <w:sz w:val="18"/>
      <w:szCs w:val="21"/>
    </w:rPr>
  </w:style>
  <w:style w:type="paragraph" w:styleId="TOC5">
    <w:name w:val="toc 5"/>
    <w:basedOn w:val="Normal"/>
    <w:next w:val="Normal"/>
    <w:autoRedefine/>
    <w:uiPriority w:val="39"/>
    <w:unhideWhenUsed/>
    <w:rsid w:val="00097EB4"/>
    <w:pPr>
      <w:spacing w:after="0"/>
      <w:ind w:left="960"/>
    </w:pPr>
    <w:rPr>
      <w:rFonts w:cs="Times New Roman"/>
      <w:sz w:val="18"/>
      <w:szCs w:val="21"/>
    </w:rPr>
  </w:style>
  <w:style w:type="paragraph" w:styleId="TOC6">
    <w:name w:val="toc 6"/>
    <w:basedOn w:val="Normal"/>
    <w:next w:val="Normal"/>
    <w:autoRedefine/>
    <w:uiPriority w:val="39"/>
    <w:unhideWhenUsed/>
    <w:rsid w:val="00097EB4"/>
    <w:pPr>
      <w:spacing w:after="0"/>
      <w:ind w:left="1200"/>
    </w:pPr>
    <w:rPr>
      <w:rFonts w:cs="Times New Roman"/>
      <w:sz w:val="18"/>
      <w:szCs w:val="21"/>
    </w:rPr>
  </w:style>
  <w:style w:type="paragraph" w:styleId="TOC7">
    <w:name w:val="toc 7"/>
    <w:basedOn w:val="Normal"/>
    <w:next w:val="Normal"/>
    <w:autoRedefine/>
    <w:uiPriority w:val="39"/>
    <w:unhideWhenUsed/>
    <w:rsid w:val="00097EB4"/>
    <w:pPr>
      <w:spacing w:after="0"/>
      <w:ind w:left="1440"/>
    </w:pPr>
    <w:rPr>
      <w:rFonts w:cs="Times New Roman"/>
      <w:sz w:val="18"/>
      <w:szCs w:val="21"/>
    </w:rPr>
  </w:style>
  <w:style w:type="paragraph" w:styleId="TOC8">
    <w:name w:val="toc 8"/>
    <w:basedOn w:val="Normal"/>
    <w:next w:val="Normal"/>
    <w:autoRedefine/>
    <w:uiPriority w:val="39"/>
    <w:unhideWhenUsed/>
    <w:rsid w:val="00097EB4"/>
    <w:pPr>
      <w:spacing w:after="0"/>
      <w:ind w:left="1680"/>
    </w:pPr>
    <w:rPr>
      <w:rFonts w:cs="Times New Roman"/>
      <w:sz w:val="18"/>
      <w:szCs w:val="21"/>
    </w:rPr>
  </w:style>
  <w:style w:type="paragraph" w:styleId="TOC9">
    <w:name w:val="toc 9"/>
    <w:basedOn w:val="Normal"/>
    <w:next w:val="Normal"/>
    <w:autoRedefine/>
    <w:uiPriority w:val="39"/>
    <w:unhideWhenUsed/>
    <w:rsid w:val="00097EB4"/>
    <w:pPr>
      <w:spacing w:after="0"/>
      <w:ind w:left="1920"/>
    </w:pPr>
    <w:rPr>
      <w:rFonts w:cs="Times New Roman"/>
      <w:sz w:val="18"/>
      <w:szCs w:val="21"/>
    </w:rPr>
  </w:style>
  <w:style w:type="paragraph" w:styleId="Caption">
    <w:name w:val="caption"/>
    <w:basedOn w:val="Normal"/>
    <w:next w:val="Normal"/>
    <w:uiPriority w:val="35"/>
    <w:unhideWhenUsed/>
    <w:qFormat/>
    <w:rsid w:val="00D97A6F"/>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AE726B"/>
    <w:rPr>
      <w:color w:val="1155CC"/>
      <w:u w:val="single"/>
    </w:rPr>
  </w:style>
  <w:style w:type="paragraph" w:customStyle="1" w:styleId="msonormal0">
    <w:name w:val="msonormal"/>
    <w:basedOn w:val="Normal"/>
    <w:rsid w:val="00AE726B"/>
    <w:pPr>
      <w:spacing w:before="100" w:beforeAutospacing="1" w:after="100" w:afterAutospacing="1" w:line="240" w:lineRule="auto"/>
    </w:pPr>
    <w:rPr>
      <w:rFonts w:ascii="Times New Roman" w:eastAsia="Times New Roman" w:hAnsi="Times New Roman" w:cs="Times New Roman"/>
      <w:kern w:val="0"/>
      <w:szCs w:val="24"/>
      <w:lang w:val="en-US"/>
      <w14:ligatures w14:val="none"/>
    </w:rPr>
  </w:style>
  <w:style w:type="paragraph" w:customStyle="1" w:styleId="xl63">
    <w:name w:val="xl63"/>
    <w:basedOn w:val="Normal"/>
    <w:rsid w:val="00AE726B"/>
    <w:pPr>
      <w:spacing w:before="100" w:beforeAutospacing="1" w:after="100" w:afterAutospacing="1" w:line="240" w:lineRule="auto"/>
    </w:pPr>
    <w:rPr>
      <w:rFonts w:ascii="Times New Roman" w:eastAsia="Times New Roman" w:hAnsi="Times New Roman" w:cs="Times New Roman"/>
      <w:color w:val="000000"/>
      <w:kern w:val="0"/>
      <w:szCs w:val="24"/>
      <w:lang w:val="en-US"/>
      <w14:ligatures w14:val="none"/>
    </w:rPr>
  </w:style>
  <w:style w:type="paragraph" w:customStyle="1" w:styleId="xl64">
    <w:name w:val="xl64"/>
    <w:basedOn w:val="Normal"/>
    <w:rsid w:val="00AE726B"/>
    <w:pPr>
      <w:spacing w:before="100" w:beforeAutospacing="1" w:after="100" w:afterAutospacing="1" w:line="240" w:lineRule="auto"/>
    </w:pPr>
    <w:rPr>
      <w:rFonts w:ascii="Times New Roman" w:eastAsia="Times New Roman" w:hAnsi="Times New Roman" w:cs="Times New Roman"/>
      <w:color w:val="000000"/>
      <w:kern w:val="0"/>
      <w:szCs w:val="24"/>
      <w:lang w:val="en-US"/>
      <w14:ligatures w14:val="none"/>
    </w:rPr>
  </w:style>
  <w:style w:type="paragraph" w:customStyle="1" w:styleId="xl65">
    <w:name w:val="xl65"/>
    <w:basedOn w:val="Normal"/>
    <w:rsid w:val="00AE726B"/>
    <w:pPr>
      <w:spacing w:before="100" w:beforeAutospacing="1" w:after="100" w:afterAutospacing="1" w:line="240" w:lineRule="auto"/>
    </w:pPr>
    <w:rPr>
      <w:rFonts w:ascii="Times New Roman" w:eastAsia="Times New Roman" w:hAnsi="Times New Roman" w:cs="Times New Roman"/>
      <w:color w:val="000000"/>
      <w:kern w:val="0"/>
      <w:szCs w:val="24"/>
      <w:lang w:val="en-US"/>
      <w14:ligatures w14:val="none"/>
    </w:rPr>
  </w:style>
  <w:style w:type="paragraph" w:customStyle="1" w:styleId="xl66">
    <w:name w:val="xl66"/>
    <w:basedOn w:val="Normal"/>
    <w:rsid w:val="00AE726B"/>
    <w:pPr>
      <w:spacing w:before="100" w:beforeAutospacing="1" w:after="100" w:afterAutospacing="1" w:line="240" w:lineRule="auto"/>
    </w:pPr>
    <w:rPr>
      <w:rFonts w:ascii="Times New Roman" w:eastAsia="Times New Roman" w:hAnsi="Times New Roman" w:cs="Times New Roman"/>
      <w:kern w:val="0"/>
      <w:szCs w:val="24"/>
      <w:lang w:val="en-US"/>
      <w14:ligatures w14:val="none"/>
    </w:rPr>
  </w:style>
  <w:style w:type="table" w:styleId="TableGrid">
    <w:name w:val="Table Grid"/>
    <w:basedOn w:val="TableNormal"/>
    <w:uiPriority w:val="39"/>
    <w:rsid w:val="00A72F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7">
    <w:name w:val="xl67"/>
    <w:basedOn w:val="Normal"/>
    <w:rsid w:val="00DE1AB1"/>
    <w:pPr>
      <w:spacing w:before="100" w:beforeAutospacing="1" w:after="100" w:afterAutospacing="1" w:line="240" w:lineRule="auto"/>
    </w:pPr>
    <w:rPr>
      <w:rFonts w:ascii="Times New Roman" w:eastAsia="Times New Roman" w:hAnsi="Times New Roman" w:cs="Times New Roman"/>
      <w:color w:val="000000"/>
      <w:kern w:val="0"/>
      <w:szCs w:val="24"/>
      <w:lang w:val="en-US"/>
      <w14:ligatures w14:val="none"/>
    </w:rPr>
  </w:style>
  <w:style w:type="paragraph" w:customStyle="1" w:styleId="xl68">
    <w:name w:val="xl68"/>
    <w:basedOn w:val="Normal"/>
    <w:rsid w:val="00DE1AB1"/>
    <w:pPr>
      <w:spacing w:before="100" w:beforeAutospacing="1" w:after="100" w:afterAutospacing="1" w:line="240" w:lineRule="auto"/>
    </w:pPr>
    <w:rPr>
      <w:rFonts w:ascii="Times New Roman" w:eastAsia="Times New Roman" w:hAnsi="Times New Roman" w:cs="Times New Roman"/>
      <w:kern w:val="0"/>
      <w:szCs w:val="24"/>
      <w:lang w:val="en-US"/>
      <w14:ligatures w14:val="none"/>
    </w:rPr>
  </w:style>
  <w:style w:type="paragraph" w:customStyle="1" w:styleId="xl69">
    <w:name w:val="xl69"/>
    <w:basedOn w:val="Normal"/>
    <w:rsid w:val="00B10F22"/>
    <w:pPr>
      <w:spacing w:before="100" w:beforeAutospacing="1" w:after="100" w:afterAutospacing="1" w:line="240" w:lineRule="auto"/>
      <w:textAlignment w:val="center"/>
    </w:pPr>
    <w:rPr>
      <w:rFonts w:ascii="Arial" w:eastAsia="Times New Roman" w:hAnsi="Arial" w:cs="Arial"/>
      <w:b/>
      <w:bCs/>
      <w:color w:val="000000"/>
      <w:kern w:val="0"/>
      <w:szCs w:val="24"/>
      <w:lang w:val="en-US"/>
      <w14:ligatures w14:val="none"/>
    </w:rPr>
  </w:style>
  <w:style w:type="paragraph" w:customStyle="1" w:styleId="xl70">
    <w:name w:val="xl70"/>
    <w:basedOn w:val="Normal"/>
    <w:rsid w:val="00B10F22"/>
    <w:pPr>
      <w:spacing w:before="100" w:beforeAutospacing="1" w:after="100" w:afterAutospacing="1" w:line="240" w:lineRule="auto"/>
      <w:textAlignment w:val="center"/>
    </w:pPr>
    <w:rPr>
      <w:rFonts w:ascii="Arial" w:eastAsia="Times New Roman" w:hAnsi="Arial" w:cs="Arial"/>
      <w:b/>
      <w:bCs/>
      <w:color w:val="000000"/>
      <w:kern w:val="0"/>
      <w:szCs w:val="24"/>
      <w:lang w:val="en-US"/>
      <w14:ligatures w14:val="none"/>
    </w:rPr>
  </w:style>
  <w:style w:type="paragraph" w:customStyle="1" w:styleId="xl71">
    <w:name w:val="xl71"/>
    <w:basedOn w:val="Normal"/>
    <w:rsid w:val="00B10F22"/>
    <w:pPr>
      <w:spacing w:before="100" w:beforeAutospacing="1" w:after="100" w:afterAutospacing="1" w:line="240" w:lineRule="auto"/>
      <w:textAlignment w:val="center"/>
    </w:pPr>
    <w:rPr>
      <w:rFonts w:ascii="Arial" w:eastAsia="Times New Roman" w:hAnsi="Arial" w:cs="Arial"/>
      <w:b/>
      <w:bCs/>
      <w:color w:val="000000"/>
      <w:kern w:val="0"/>
      <w:szCs w:val="24"/>
      <w:lang w:val="en-US"/>
      <w14:ligatures w14:val="none"/>
    </w:rPr>
  </w:style>
  <w:style w:type="paragraph" w:customStyle="1" w:styleId="xl72">
    <w:name w:val="xl72"/>
    <w:basedOn w:val="Normal"/>
    <w:rsid w:val="00BE794D"/>
    <w:pPr>
      <w:spacing w:before="100" w:beforeAutospacing="1" w:after="100" w:afterAutospacing="1" w:line="240" w:lineRule="auto"/>
      <w:textAlignment w:val="center"/>
    </w:pPr>
    <w:rPr>
      <w:rFonts w:ascii="Arial" w:eastAsia="Times New Roman" w:hAnsi="Arial" w:cs="Arial"/>
      <w:b/>
      <w:bCs/>
      <w:kern w:val="0"/>
      <w:szCs w:val="24"/>
      <w:lang w:val="en-US"/>
      <w14:ligatures w14:val="none"/>
    </w:rPr>
  </w:style>
  <w:style w:type="paragraph" w:styleId="HTMLPreformatted">
    <w:name w:val="HTML Preformatted"/>
    <w:basedOn w:val="Normal"/>
    <w:link w:val="HTMLPreformattedChar"/>
    <w:uiPriority w:val="99"/>
    <w:semiHidden/>
    <w:unhideWhenUsed/>
    <w:rsid w:val="001E6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14:ligatures w14:val="none"/>
    </w:rPr>
  </w:style>
  <w:style w:type="character" w:customStyle="1" w:styleId="HTMLPreformattedChar">
    <w:name w:val="HTML Preformatted Char"/>
    <w:basedOn w:val="DefaultParagraphFont"/>
    <w:link w:val="HTMLPreformatted"/>
    <w:uiPriority w:val="99"/>
    <w:semiHidden/>
    <w:rsid w:val="001E6126"/>
    <w:rPr>
      <w:rFonts w:ascii="Courier New" w:eastAsia="Times New Roman" w:hAnsi="Courier New" w:cs="Courier New"/>
      <w:kern w:val="0"/>
      <w:sz w:val="20"/>
      <w:szCs w:val="20"/>
      <w:lang w:val="en-US"/>
      <w14:ligatures w14:val="none"/>
    </w:rPr>
  </w:style>
  <w:style w:type="character" w:customStyle="1" w:styleId="y2iqfc">
    <w:name w:val="y2iqfc"/>
    <w:basedOn w:val="DefaultParagraphFont"/>
    <w:rsid w:val="004019DB"/>
  </w:style>
  <w:style w:type="character" w:styleId="UnresolvedMention">
    <w:name w:val="Unresolved Mention"/>
    <w:basedOn w:val="DefaultParagraphFont"/>
    <w:uiPriority w:val="99"/>
    <w:semiHidden/>
    <w:unhideWhenUsed/>
    <w:rsid w:val="00511A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642697">
      <w:bodyDiv w:val="1"/>
      <w:marLeft w:val="0"/>
      <w:marRight w:val="0"/>
      <w:marTop w:val="0"/>
      <w:marBottom w:val="0"/>
      <w:divBdr>
        <w:top w:val="none" w:sz="0" w:space="0" w:color="auto"/>
        <w:left w:val="none" w:sz="0" w:space="0" w:color="auto"/>
        <w:bottom w:val="none" w:sz="0" w:space="0" w:color="auto"/>
        <w:right w:val="none" w:sz="0" w:space="0" w:color="auto"/>
      </w:divBdr>
    </w:div>
    <w:div w:id="552349915">
      <w:bodyDiv w:val="1"/>
      <w:marLeft w:val="0"/>
      <w:marRight w:val="0"/>
      <w:marTop w:val="0"/>
      <w:marBottom w:val="0"/>
      <w:divBdr>
        <w:top w:val="none" w:sz="0" w:space="0" w:color="auto"/>
        <w:left w:val="none" w:sz="0" w:space="0" w:color="auto"/>
        <w:bottom w:val="none" w:sz="0" w:space="0" w:color="auto"/>
        <w:right w:val="none" w:sz="0" w:space="0" w:color="auto"/>
      </w:divBdr>
    </w:div>
    <w:div w:id="563372248">
      <w:bodyDiv w:val="1"/>
      <w:marLeft w:val="0"/>
      <w:marRight w:val="0"/>
      <w:marTop w:val="0"/>
      <w:marBottom w:val="0"/>
      <w:divBdr>
        <w:top w:val="none" w:sz="0" w:space="0" w:color="auto"/>
        <w:left w:val="none" w:sz="0" w:space="0" w:color="auto"/>
        <w:bottom w:val="none" w:sz="0" w:space="0" w:color="auto"/>
        <w:right w:val="none" w:sz="0" w:space="0" w:color="auto"/>
      </w:divBdr>
    </w:div>
    <w:div w:id="646781321">
      <w:bodyDiv w:val="1"/>
      <w:marLeft w:val="0"/>
      <w:marRight w:val="0"/>
      <w:marTop w:val="0"/>
      <w:marBottom w:val="0"/>
      <w:divBdr>
        <w:top w:val="none" w:sz="0" w:space="0" w:color="auto"/>
        <w:left w:val="none" w:sz="0" w:space="0" w:color="auto"/>
        <w:bottom w:val="none" w:sz="0" w:space="0" w:color="auto"/>
        <w:right w:val="none" w:sz="0" w:space="0" w:color="auto"/>
      </w:divBdr>
    </w:div>
    <w:div w:id="1395272751">
      <w:bodyDiv w:val="1"/>
      <w:marLeft w:val="0"/>
      <w:marRight w:val="0"/>
      <w:marTop w:val="0"/>
      <w:marBottom w:val="0"/>
      <w:divBdr>
        <w:top w:val="none" w:sz="0" w:space="0" w:color="auto"/>
        <w:left w:val="none" w:sz="0" w:space="0" w:color="auto"/>
        <w:bottom w:val="none" w:sz="0" w:space="0" w:color="auto"/>
        <w:right w:val="none" w:sz="0" w:space="0" w:color="auto"/>
      </w:divBdr>
    </w:div>
    <w:div w:id="1405369786">
      <w:bodyDiv w:val="1"/>
      <w:marLeft w:val="0"/>
      <w:marRight w:val="0"/>
      <w:marTop w:val="0"/>
      <w:marBottom w:val="0"/>
      <w:divBdr>
        <w:top w:val="none" w:sz="0" w:space="0" w:color="auto"/>
        <w:left w:val="none" w:sz="0" w:space="0" w:color="auto"/>
        <w:bottom w:val="none" w:sz="0" w:space="0" w:color="auto"/>
        <w:right w:val="none" w:sz="0" w:space="0" w:color="auto"/>
      </w:divBdr>
    </w:div>
    <w:div w:id="1443762106">
      <w:bodyDiv w:val="1"/>
      <w:marLeft w:val="0"/>
      <w:marRight w:val="0"/>
      <w:marTop w:val="0"/>
      <w:marBottom w:val="0"/>
      <w:divBdr>
        <w:top w:val="none" w:sz="0" w:space="0" w:color="auto"/>
        <w:left w:val="none" w:sz="0" w:space="0" w:color="auto"/>
        <w:bottom w:val="none" w:sz="0" w:space="0" w:color="auto"/>
        <w:right w:val="none" w:sz="0" w:space="0" w:color="auto"/>
      </w:divBdr>
    </w:div>
    <w:div w:id="1469931231">
      <w:bodyDiv w:val="1"/>
      <w:marLeft w:val="0"/>
      <w:marRight w:val="0"/>
      <w:marTop w:val="0"/>
      <w:marBottom w:val="0"/>
      <w:divBdr>
        <w:top w:val="none" w:sz="0" w:space="0" w:color="auto"/>
        <w:left w:val="none" w:sz="0" w:space="0" w:color="auto"/>
        <w:bottom w:val="none" w:sz="0" w:space="0" w:color="auto"/>
        <w:right w:val="none" w:sz="0" w:space="0" w:color="auto"/>
      </w:divBdr>
    </w:div>
    <w:div w:id="1524854012">
      <w:bodyDiv w:val="1"/>
      <w:marLeft w:val="0"/>
      <w:marRight w:val="0"/>
      <w:marTop w:val="0"/>
      <w:marBottom w:val="0"/>
      <w:divBdr>
        <w:top w:val="none" w:sz="0" w:space="0" w:color="auto"/>
        <w:left w:val="none" w:sz="0" w:space="0" w:color="auto"/>
        <w:bottom w:val="none" w:sz="0" w:space="0" w:color="auto"/>
        <w:right w:val="none" w:sz="0" w:space="0" w:color="auto"/>
      </w:divBdr>
    </w:div>
    <w:div w:id="1804158858">
      <w:bodyDiv w:val="1"/>
      <w:marLeft w:val="0"/>
      <w:marRight w:val="0"/>
      <w:marTop w:val="0"/>
      <w:marBottom w:val="0"/>
      <w:divBdr>
        <w:top w:val="none" w:sz="0" w:space="0" w:color="auto"/>
        <w:left w:val="none" w:sz="0" w:space="0" w:color="auto"/>
        <w:bottom w:val="none" w:sz="0" w:space="0" w:color="auto"/>
        <w:right w:val="none" w:sz="0" w:space="0" w:color="auto"/>
      </w:divBdr>
    </w:div>
    <w:div w:id="1970475007">
      <w:bodyDiv w:val="1"/>
      <w:marLeft w:val="0"/>
      <w:marRight w:val="0"/>
      <w:marTop w:val="0"/>
      <w:marBottom w:val="0"/>
      <w:divBdr>
        <w:top w:val="none" w:sz="0" w:space="0" w:color="auto"/>
        <w:left w:val="none" w:sz="0" w:space="0" w:color="auto"/>
        <w:bottom w:val="none" w:sz="0" w:space="0" w:color="auto"/>
        <w:right w:val="none" w:sz="0" w:space="0" w:color="auto"/>
      </w:divBdr>
    </w:div>
    <w:div w:id="210052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Hai19</b:Tag>
    <b:SourceType>Book</b:SourceType>
    <b:Guid>{98DCD3BF-B36F-422F-8396-5033908A60D3}</b:Guid>
    <b:Title>Multivariate Data Analysis</b:Title>
    <b:Year>2019</b:Year>
    <b:City>Hampshire, United Kingdom</b:City>
    <b:Publisher>Cengage</b:Publisher>
    <b:Author>
      <b:Author>
        <b:NameList>
          <b:Person>
            <b:Last>Hair</b:Last>
            <b:Middle>F.</b:Middle>
            <b:First>Joseph</b:First>
          </b:Person>
          <b:Person>
            <b:Last>Black</b:Last>
            <b:Middle>C.</b:Middle>
            <b:First>‎William</b:First>
          </b:Person>
          <b:Person>
            <b:Last>Babin</b:Last>
            <b:Middle>J.</b:Middle>
            <b:First> Barry</b:First>
          </b:Person>
        </b:NameList>
      </b:Author>
    </b:Author>
    <b:Edition>8th</b:Edition>
    <b:RefOrder>1</b:RefOrder>
  </b:Source>
  <b:Source>
    <b:Tag>Ana24</b:Tag>
    <b:SourceType>JournalArticle</b:SourceType>
    <b:Guid>{894CC5B5-1506-46A3-AA5D-7B2F24BE093B}</b:Guid>
    <b:Title>A Comprehensive Review on Exploring the Impact of Telemedicine on Healthcare Accessibility</b:Title>
    <b:Year>2024</b:Year>
    <b:Publisher>16</b:Publisher>
    <b:JournalName>Cureus</b:JournalName>
    <b:Pages>e55996</b:Pages>
    <b:Volume>3</b:Volume>
    <b:DOI>10.7759/cureus.55996</b:DOI>
    <b:Author>
      <b:Author>
        <b:NameList>
          <b:Person>
            <b:Last>Anawade</b:Last>
            <b:First>Pankajkumar A.</b:First>
          </b:Person>
          <b:Person>
            <b:Last>Sharma</b:Last>
            <b:First>Deepak</b:First>
          </b:Person>
          <b:Person>
            <b:Last>Gahane</b:Last>
            <b:First>Shailesh</b:First>
          </b:Person>
        </b:NameList>
      </b:Author>
    </b:Author>
    <b:RefOrder>2</b:RefOrder>
  </b:Source>
  <b:Source>
    <b:Tag>Hay21</b:Tag>
    <b:SourceType>JournalArticle</b:SourceType>
    <b:Guid>{C35CC0C1-4B27-47A8-A753-12EE8113E326}</b:Guid>
    <b:Title>“Can you see my screen?” Addressing Racial and Ethnic Disparities in Telehealth.</b:Title>
    <b:JournalName>Current Cardiovascular Risk Reports</b:JournalName>
    <b:Year>2021</b:Year>
    <b:Publisher>15</b:Publisher>
    <b:Volume>23</b:Volume>
    <b:DOI>10.1007/s12170-021-00685-5</b:DOI>
    <b:Author>
      <b:Author>
        <b:NameList>
          <b:Person>
            <b:Last>Haynes</b:Last>
            <b:First>Norrisa</b:First>
          </b:Person>
          <b:Person>
            <b:Last>Ezekwesili</b:Last>
            <b:First>Agnes</b:First>
          </b:Person>
          <b:Person>
            <b:Last>Nunes</b:Last>
            <b:First>Kathryn</b:First>
          </b:Person>
          <b:Person>
            <b:Last>Gumbs</b:Last>
            <b:First>Edvard</b:First>
          </b:Person>
          <b:Person>
            <b:Last>Haynes</b:Last>
            <b:First>Monique</b:First>
          </b:Person>
          <b:Person>
            <b:Last>Swain </b:Last>
            <b:First>JaBaris</b:First>
          </b:Person>
        </b:NameList>
      </b:Author>
    </b:Author>
    <b:RefOrder>3</b:RefOrder>
  </b:Source>
  <b:Source>
    <b:Tag>Bar24</b:Tag>
    <b:SourceType>JournalArticle</b:SourceType>
    <b:Guid>{FDF57787-9442-4A4A-BB8E-BB29FBE6E853}</b:Guid>
    <b:Title>Telehealth-Delivered Allied Health Interventions: A Rapid Umbrella Review of Systematic Reviews.</b:Title>
    <b:JournalName>Telemedicine journal and e-health</b:JournalName>
    <b:Year>2024</b:Year>
    <b:Pages>e1649-e1666</b:Pages>
    <b:Publisher>30</b:Publisher>
    <b:Volume>6</b:Volume>
    <b:DOI>10.1089/tmj.2023.0546.</b:DOI>
    <b:Author>
      <b:Author>
        <b:NameList>
          <b:Person>
            <b:Last>Barrett</b:Last>
            <b:First>Stephen</b:First>
          </b:Person>
          <b:Person>
            <b:Last>Howlett</b:Last>
            <b:First>Owen</b:First>
          </b:Person>
          <b:Person>
            <b:Last>Lal</b:Last>
            <b:First>Nalini</b:First>
          </b:Person>
          <b:Person>
            <b:Last>McKinstry</b:Last>
            <b:First>Carol</b:First>
          </b:Person>
        </b:NameList>
      </b:Author>
    </b:Author>
    <b:RefOrder>4</b:RefOrder>
  </b:Source>
  <b:Source>
    <b:Tag>Pog21</b:Tag>
    <b:SourceType>JournalArticle</b:SourceType>
    <b:Guid>{201F1668-A4C1-467B-963E-822EAE535025}</b:Guid>
    <b:Title>Home healthcare patient, caregiver and provider perspectives on use of unscheduled acute care and the usability and acceptability of on-demand telehealth solutions</b:Title>
    <b:JournalName>Geriatric Nursing</b:JournalName>
    <b:Year>2021</b:Year>
    <b:Pages>1029-1034</b:Pages>
    <b:Publisher>42</b:Publisher>
    <b:Volume>5</b:Volume>
    <b:DOI>10.1016/j.gerinurse.2021.06.009</b:DOI>
    <b:Author>
      <b:Author>
        <b:NameList>
          <b:Person>
            <b:Last>Pogorzelska-Maziarz</b:Last>
            <b:First>M.</b:First>
          </b:Person>
          <b:Person>
            <b:Last>Rising </b:Last>
            <b:First>K. L.</b:First>
          </b:Person>
          <b:Person>
            <b:Last>Gentsch</b:Last>
            <b:First>A. T.</b:First>
          </b:Person>
          <b:Person>
            <b:Last>Traczuk </b:Last>
            <b:First>A.</b:First>
          </b:Person>
          <b:Person>
            <b:Last>Hsiao</b:Last>
            <b:First>T.</b:First>
          </b:Person>
          <b:Person>
            <b:Last>Amadio</b:Last>
            <b:First>G.</b:First>
          </b:Person>
          <b:Person>
            <b:Last>Haddad</b:Last>
            <b:First>T.</b:First>
          </b:Person>
          <b:Person>
            <b:Last>Gerolamo</b:Last>
            <b:First>A. M.</b:First>
          </b:Person>
        </b:NameList>
      </b:Author>
    </b:Author>
    <b:RefOrder>5</b:RefOrder>
  </b:Source>
  <b:Source>
    <b:Tag>Sha22</b:Tag>
    <b:SourceType>JournalArticle</b:SourceType>
    <b:Guid>{C6BCDA14-D59B-4298-B619-50506E61904D}</b:Guid>
    <b:Title>Adoption of telehealth technologies: an approach to improving healthcare system</b:Title>
    <b:JournalName>Translational Medicine Communications</b:JournalName>
    <b:Year>2022</b:Year>
    <b:Volume>7</b:Volume>
    <b:Issue>20</b:Issue>
    <b:DOI>10.1186/s41231-022-00125-5</b:DOI>
    <b:Author>
      <b:Author>
        <b:NameList>
          <b:Person>
            <b:Last>Sharma</b:Last>
            <b:First>Arpana</b:First>
          </b:Person>
          <b:Person>
            <b:Last>Pruthi</b:Last>
            <b:First>Madhu</b:First>
          </b:Person>
          <b:Person>
            <b:Last>Sageena</b:Last>
            <b:First>Geetanjali</b:First>
          </b:Person>
        </b:NameList>
      </b:Author>
    </b:Author>
    <b:RefOrder>6</b:RefOrder>
  </b:Source>
  <b:Source>
    <b:Tag>Bok21</b:Tag>
    <b:SourceType>JournalArticle</b:SourceType>
    <b:Guid>{95162E28-0CB3-41A5-8BD7-A51B03E4908F}</b:Guid>
    <b:Title>Implications of telehealth and digital care solutions during COVID-19 pandemic: a qualitative literature review</b:Title>
    <b:JournalName>Informatics for Health and Social Care</b:JournalName>
    <b:Year>2021</b:Year>
    <b:Pages>68-83 </b:Pages>
    <b:Author>
      <b:Author>
        <b:NameList>
          <b:Person>
            <b:Last>Bokolo Jnr</b:Last>
            <b:First>Anthony</b:First>
          </b:Person>
        </b:NameList>
      </b:Author>
    </b:Author>
    <b:Volume>46</b:Volume>
    <b:Issue>1</b:Issue>
    <b:DOI>10.1080/17538157.2020.1839467</b:DOI>
    <b:RefOrder>7</b:RefOrder>
  </b:Source>
  <b:Source>
    <b:Tag>Zha22</b:Tag>
    <b:SourceType>JournalArticle</b:SourceType>
    <b:Guid>{82B7A2C5-E4CE-4A5E-AC4F-95D0D5C04FF0}</b:Guid>
    <b:Title>Impact of Electronic Health Record Interoperability on Telehealth Service Outcomes</b:Title>
    <b:JournalName>JMIR Medical Informatics</b:JournalName>
    <b:Year>2022</b:Year>
    <b:Pages>e31837</b:Pages>
    <b:Volume>10</b:Volume>
    <b:Issue>1</b:Issue>
    <b:DOI>10.2196/31837</b:DOI>
    <b:Author>
      <b:Author>
        <b:NameList>
          <b:Person>
            <b:Last>Zhang</b:Last>
            <b:First>Xinyue</b:First>
          </b:Person>
          <b:Person>
            <b:Last>Saltman</b:Last>
            <b:First>Richard</b:First>
          </b:Person>
        </b:NameList>
      </b:Author>
    </b:Author>
    <b:RefOrder>8</b:RefOrder>
  </b:Source>
  <b:Source>
    <b:Tag>AlS20</b:Tag>
    <b:SourceType>JournalArticle</b:SourceType>
    <b:Guid>{063F52D7-E6B0-48BE-9BEE-96A9D5DEF416}</b:Guid>
    <b:Title>Telemedicine in Middle Eastern countries: Progress, barriers, and policy recommendations</b:Title>
    <b:JournalName>International Journal of Medical Informatics</b:JournalName>
    <b:Year>2020</b:Year>
    <b:Pages>104232</b:Pages>
    <b:Volume>141</b:Volume>
    <b:DOI>10.1016/j.ijmedinf.2020.104232</b:DOI>
    <b:Author>
      <b:Author>
        <b:NameList>
          <b:Person>
            <b:Last>Al-Samarraie</b:Last>
            <b:First>Hosam</b:First>
          </b:Person>
          <b:Person>
            <b:Last>Ghazal</b:Last>
            <b:First>Samar</b:First>
          </b:Person>
          <b:Person>
            <b:Last>Alzahrani</b:Last>
            <b:First>Ahmed Ibrahim</b:First>
          </b:Person>
          <b:Person>
            <b:Last>Moody</b:Last>
            <b:First>Louise</b:First>
          </b:Person>
        </b:NameList>
      </b:Author>
    </b:Author>
    <b:RefOrder>9</b:RefOrder>
  </b:Source>
  <b:Source>
    <b:Tag>Kob23</b:Tag>
    <b:SourceType>JournalArticle</b:SourceType>
    <b:Guid>{F6F40951-340F-47A7-A51F-8E6C1CBB15A8}</b:Guid>
    <b:Title>An Infrastructure to Provide Safer, Higher-Quality, and More Equitable Telehealth</b:Title>
    <b:JournalName>The Joint Commission Journal on Quality and Patient Safety</b:JournalName>
    <b:Year>2023</b:Year>
    <b:Pages>213-222</b:Pages>
    <b:Volume>49</b:Volume>
    <b:Issue>4</b:Issue>
    <b:DOI>10.1016/j.jcjq.2023.01.006</b:DOI>
    <b:Author>
      <b:Author>
        <b:NameList>
          <b:Person>
            <b:Last>Kobeissi</b:Last>
            <b:First>Mahrokh</b:First>
            <b:Middle>M.</b:Middle>
          </b:Person>
          <b:Person>
            <b:Last>Hickey</b:Last>
            <b:First>Joanne</b:First>
            <b:Middle>V.</b:Middle>
          </b:Person>
        </b:NameList>
      </b:Author>
    </b:Author>
    <b:RefOrder>10</b:RefOrder>
  </b:Source>
  <b:Source>
    <b:Tag>Omb22</b:Tag>
    <b:SourceType>JournalArticle</b:SourceType>
    <b:Guid>{3EA3CD17-1E76-485C-A9AD-69B55689882F}</b:Guid>
    <b:Title>The worldwide impact of telemedicine during COVID-19: current evidence and recommendations for the future</b:Title>
    <b:JournalName>Connected Health And Telemedicine</b:JournalName>
    <b:Year>2022</b:Year>
    <b:Pages>7-35</b:Pages>
    <b:Volume>1</b:Volume>
    <b:Issue>1</b:Issue>
    <b:DOI>10.20517/ch.2021.03</b:DOI>
    <b:Author>
      <b:Author>
        <b:NameList>
          <b:Person>
            <b:Last>Omboni</b:Last>
            <b:First>Stefano</b:First>
          </b:Person>
          <b:Person>
            <b:Last>Padwa</b:Last>
            <b:First>Raj S.</b:First>
          </b:Person>
          <b:Person>
            <b:Last>Alessa</b:Last>
            <b:First>Tourkiah</b:First>
          </b:Person>
          <b:Person>
            <b:Last>Benczúr</b:Last>
            <b:First>Béla</b:First>
          </b:Person>
          <b:Person>
            <b:Last>Green</b:Last>
            <b:First>Beverly B.</b:First>
          </b:Person>
          <b:Person>
            <b:Last>Hubbard</b:Last>
            <b:First>Ilona</b:First>
          </b:Person>
          <b:Person>
            <b:Last>Kario</b:Last>
            <b:First>Kazuomi</b:First>
          </b:Person>
          <b:Person>
            <b:Last>Khan</b:Last>
            <b:First>Nadia A.</b:First>
          </b:Person>
          <b:Person>
            <b:Last>Konradi</b:Last>
            <b:First>Alexandra</b:First>
          </b:Person>
          <b:Person>
            <b:Last>Logan</b:Last>
            <b:First>Alexander G.</b:First>
          </b:Person>
          <b:Person>
            <b:Last>Lu</b:Last>
            <b:First>Yuan</b:First>
          </b:Person>
          <b:Person>
            <b:Last>Mars</b:Last>
            <b:First>Maurice</b:First>
          </b:Person>
          <b:Person>
            <b:Last>McManus</b:Last>
            <b:First>Richard J.</b:First>
          </b:Person>
          <b:Person>
            <b:Last>Melville</b:Last>
            <b:First>Sarah</b:First>
          </b:Person>
          <b:Person>
            <b:Last>Neumann</b:Last>
            <b:First>Claas L.</b:First>
          </b:Person>
          <b:Person>
            <b:Last>Parati</b:Last>
            <b:First>Gianfranco</b:First>
          </b:Person>
          <b:Person>
            <b:Last>Renna</b:Last>
            <b:First>Nicolas F.</b:First>
          </b:Person>
          <b:Person>
            <b:Last>Ryvlin</b:Last>
            <b:First>Philippe</b:First>
          </b:Person>
          <b:Person>
            <b:Last>Saner</b:Last>
            <b:First>Hugo</b:First>
          </b:Person>
          <b:Person>
            <b:Last>Schutte</b:Last>
            <b:First>Aletta E.</b:First>
          </b:Person>
          <b:Person>
            <b:Last>Wang</b:Last>
            <b:First>Jiguang</b:First>
          </b:Person>
        </b:NameList>
      </b:Author>
    </b:Author>
    <b:RefOrder>11</b:RefOrder>
  </b:Source>
  <b:Source>
    <b:Tag>Doa21</b:Tag>
    <b:SourceType>JournalArticle</b:SourceType>
    <b:Guid>{E48D0FFE-DD72-436A-BB79-8018481E30DA}</b:Guid>
    <b:Title>Digital equity and high-speed health born from the COVID-19 Crisis</b:Title>
    <b:JournalName>North Carolina Medical Journal,</b:JournalName>
    <b:Year>2021</b:Year>
    <b:Pages>266-270</b:Pages>
    <b:Volume>82</b:Volume>
    <b:Issue>4</b:Issue>
    <b:Author>
      <b:Author>
        <b:NameList>
          <b:Person>
            <b:Last>Doaks</b:Last>
            <b:First>Tracy</b:First>
          </b:Person>
        </b:NameList>
      </b:Author>
    </b:Author>
    <b:RefOrder>12</b:RefOrder>
  </b:Source>
  <b:Source>
    <b:Tag>Sid20</b:Tag>
    <b:SourceType>JournalArticle</b:SourceType>
    <b:Guid>{99A46DC2-0C1F-4D1A-A1D2-96A3A70EA11A}</b:Guid>
    <b:Title>Telemedicine in Resource-Limited Setting: Narrative Synthesis of Evidence in Nepalese Context</b:Title>
    <b:JournalName>Smart Homecare Technology and TeleHealth</b:JournalName>
    <b:Year>2020</b:Year>
    <b:Pages>1-14</b:Pages>
    <b:Volume>6</b:Volume>
    <b:DOI>10.2147/SHTT.S227854</b:DOI>
    <b:Author>
      <b:Author>
        <b:NameList>
          <b:Person>
            <b:Last>Siddiquee</b:Last>
            <b:First>Noor Kutubul Alam</b:First>
          </b:Person>
          <b:Person>
            <b:Last>Poudyal</b:Last>
            <b:First>Anil</b:First>
          </b:Person>
          <b:Person>
            <b:Last>Pandey</b:Last>
            <b:First>Ashok</b:First>
          </b:Person>
          <b:Person>
            <b:Last>Shrestha</b:Last>
            <b:First>Namuna</b:First>
          </b:Person>
          <b:Person>
            <b:Last>Karki</b:Last>
            <b:First>Shristi</b:First>
          </b:Person>
          <b:Person>
            <b:Last>Subedi</b:Last>
            <b:First>Ranjeeta</b:First>
          </b:Person>
          <b:Person>
            <b:Last>Sah</b:Last>
            <b:First>Arun Kumar</b:First>
          </b:Person>
          <b:Person>
            <b:Last>Dirghayu</b:Last>
            <b:First>K. C.</b:First>
          </b:Person>
        </b:NameList>
      </b:Author>
    </b:Author>
    <b:RefOrder>13</b:RefOrder>
  </b:Source>
  <b:Source>
    <b:Tag>Wan20</b:Tag>
    <b:SourceType>JournalArticle</b:SourceType>
    <b:Guid>{04B87294-9084-4C55-99A1-66B700F3F414}</b:Guid>
    <b:Title>Design, Adoption, Implementation, Scalability, and Sustainability of Telehealth Programs</b:Title>
    <b:JournalName>Pediatric Clinics of North America</b:JournalName>
    <b:Year>2020</b:Year>
    <b:Pages>675-682</b:Pages>
    <b:Volume>67</b:Volume>
    <b:Issue>4</b:Issue>
    <b:DOI>10.1016/j.pcl.2020.04.011</b:DOI>
    <b:Author>
      <b:Author>
        <b:NameList>
          <b:Person>
            <b:Last>Wang </b:Last>
            <b:First>C. Jason</b:First>
          </b:Person>
          <b:Person>
            <b:Last>Liu</b:Last>
            <b:First>Tiffany T.</b:First>
          </b:Person>
          <b:Person>
            <b:Last>Car</b:Last>
            <b:First>Josip</b:First>
          </b:Person>
          <b:Person>
            <b:Last>Zuckerman</b:Last>
            <b:First>Barry</b:First>
          </b:Person>
        </b:NameList>
      </b:Author>
    </b:Author>
    <b:RefOrder>14</b:RefOrder>
  </b:Source>
  <b:Source>
    <b:Tag>Alg22</b:Tag>
    <b:SourceType>JournalArticle</b:SourceType>
    <b:Guid>{F0742E97-FBC8-4FD7-ADA1-8D8D509120D6}</b:Guid>
    <b:Title>Healthcare Providers’ Perception and Barriers Concerning the Use of Telehealth Applications in Saudi Arabia: A Cross-Sectional Study</b:Title>
    <b:JournalName>Healthcare </b:JournalName>
    <b:Year>2022</b:Year>
    <b:Pages>1527</b:Pages>
    <b:Volume>10</b:Volume>
    <b:Issue>8</b:Issue>
    <b:DOI>10.3390/healthcare10081527</b:DOI>
    <b:Author>
      <b:Author>
        <b:NameList>
          <b:Person>
            <b:Last>Alghamdi</b:Last>
            <b:First>Saeed M.</b:First>
          </b:Person>
          <b:Person>
            <b:Last>Aldhahir</b:Last>
            <b:First>Abdulelah M.</b:First>
          </b:Person>
          <b:Person>
            <b:Last>Alqahtani</b:Last>
            <b:First>Jaber S.</b:First>
          </b:Person>
          <b:Person>
            <b:Last>Siraj</b:Last>
            <b:First>Rayan A.</b:First>
          </b:Person>
          <b:Person>
            <b:Last>Alsulayyim</b:Last>
            <b:First>Abdullah S.</b:First>
          </b:Person>
          <b:Person>
            <b:Last>Almojaibel</b:Last>
            <b:First>Abdullah A.</b:First>
          </b:Person>
          <b:Person>
            <b:Last>Alhotye</b:Last>
            <b:First>Munyra</b:First>
          </b:Person>
          <b:Person>
            <b:Last>Alanazi</b:Last>
            <b:First>Abdullah M.</b:First>
          </b:Person>
          <b:Person>
            <b:Last>Alqarni</b:Last>
            <b:First>Abdullah A.</b:First>
          </b:Person>
        </b:NameList>
      </b:Author>
    </b:Author>
    <b:RefOrder>15</b:RefOrder>
  </b:Source>
  <b:Source>
    <b:Tag>Tho24</b:Tag>
    <b:SourceType>JournalArticle</b:SourceType>
    <b:Guid>{AA63827A-B101-4506-8AAA-CF927D48F3A3}</b:Guid>
    <b:Title>Beyond forced telehealth adoption: A framework to sustain telehealth among allied health services</b:Title>
    <b:JournalName>Journal of Telemedicine and Telecare</b:JournalName>
    <b:Year>2024</b:Year>
    <b:Pages>559-569</b:Pages>
    <b:Volume>30</b:Volume>
    <b:Issue>3</b:Issue>
    <b:DOI>10.1177/1357633X221074499</b:DOI>
    <b:Author>
      <b:Author>
        <b:NameList>
          <b:Person>
            <b:Last>Thomas</b:Last>
            <b:First>Emma E.</b:First>
          </b:Person>
          <b:Person>
            <b:Last>Taylor</b:Last>
            <b:First>Monica L.</b:First>
          </b:Person>
          <b:Person>
            <b:Last>Ward</b:Last>
            <b:First>Elizabeth C.</b:First>
          </b:Person>
          <b:Person>
            <b:Last>Hwang</b:Last>
            <b:First>Rita</b:First>
          </b:Person>
          <b:Person>
            <b:Last>Cook</b:Last>
            <b:First>Renee</b:First>
          </b:Person>
          <b:Person>
            <b:Last>Ross</b:Last>
            <b:First>Julie-Anne</b:First>
          </b:Person>
          <b:Person>
            <b:Last>Webb</b:Last>
            <b:First>Clare</b:First>
          </b:Person>
          <b:Person>
            <b:Last>Harris</b:Last>
            <b:First>Michael</b:First>
          </b:Person>
          <b:Person>
            <b:Last>Hartley</b:Last>
            <b:First>Carina</b:First>
          </b:Person>
          <b:Person>
            <b:Last>Carswell</b:Last>
            <b:First>Phillip</b:First>
          </b:Person>
          <b:Person>
            <b:Last>Burns</b:Last>
            <b:First>Clare L.</b:First>
          </b:Person>
          <b:Person>
            <b:Last>Caffery</b:Last>
            <b:First>Liam J.</b:First>
          </b:Person>
        </b:NameList>
      </b:Author>
    </b:Author>
    <b:RefOrder>16</b:RefOrder>
  </b:Source>
  <b:Source>
    <b:Tag>Jon22</b:Tag>
    <b:SourceType>JournalArticle</b:SourceType>
    <b:Guid>{869D27D4-D9A5-4B62-8C0F-601A3127CE3C}</b:Guid>
    <b:Title>Health professionals’ perspective towards challenges and opportunities of telehealth service provision: A scoping review</b:Title>
    <b:JournalName>International Journal of Medical Informatics</b:JournalName>
    <b:Year>2022</b:Year>
    <b:Pages>104862</b:Pages>
    <b:Volume>167</b:Volume>
    <b:DOI>10.1016/j.ijmedinf.2022.104862</b:DOI>
    <b:Author>
      <b:Author>
        <b:NameList>
          <b:Person>
            <b:Last>Jonasdottir</b:Last>
            <b:First>Sigrun Kristin</b:First>
          </b:Person>
          <b:Person>
            <b:Last>Thordardottir</b:Last>
            <b:First>Ingibjorg</b:First>
          </b:Person>
          <b:Person>
            <b:Last>Jonsdottir</b:Last>
            <b:First>Thorbjorg</b:First>
          </b:Person>
        </b:NameList>
      </b:Author>
    </b:Author>
    <b:RefOrder>17</b:RefOrder>
  </b:Source>
  <b:Source>
    <b:Tag>Cal22</b:Tag>
    <b:SourceType>JournalArticle</b:SourceType>
    <b:Guid>{21AC4583-C19F-4C7E-A5B6-10146EEC2205}</b:Guid>
    <b:Title>Telehealth use in rural and remote health practitioner education: An integrative review</b:Title>
    <b:JournalName>Informit</b:JournalName>
    <b:Year>2022</b:Year>
    <b:Pages>1-13</b:Pages>
    <b:Volume>22</b:Volume>
    <b:Issue>1</b:Issue>
    <b:DOI>10.22605/RRH6467</b:DOI>
    <b:Author>
      <b:Author>
        <b:NameList>
          <b:Person>
            <b:Last>Calleja</b:Last>
            <b:First>Pauline</b:First>
          </b:Person>
          <b:Person>
            <b:Last>Wilkes</b:Last>
            <b:First>Susan</b:First>
          </b:Person>
          <b:Person>
            <b:Last>Spencer</b:Last>
            <b:First>Melinda</b:First>
          </b:Person>
          <b:Person>
            <b:Last>Woodbridge</b:Last>
            <b:First>Steven</b:First>
          </b:Person>
        </b:NameList>
      </b:Author>
    </b:Author>
    <b:RefOrder>18</b:RefOrder>
  </b:Source>
  <b:Source>
    <b:Tag>Tsa19</b:Tag>
    <b:SourceType>JournalArticle</b:SourceType>
    <b:Guid>{AB2DD966-6823-401B-BFBE-B3DF425C6EDA}</b:Guid>
    <b:Title>Acceptance and resistance of telehealth: The perspective of dual-factor concepts in technology adoption</b:Title>
    <b:JournalName>International Journal of Information Management</b:JournalName>
    <b:Year>2019</b:Year>
    <b:Pages>34-44</b:Pages>
    <b:Volume>49</b:Volume>
    <b:DOI>10.1016/j.ijinfomgt.2019.03.003</b:DOI>
    <b:Author>
      <b:Author>
        <b:NameList>
          <b:Person>
            <b:Last>Tsai</b:Last>
            <b:First>Juin-Ming</b:First>
          </b:Person>
          <b:Person>
            <b:Last>Cheng</b:Last>
            <b:First>Min-Jhih</b:First>
          </b:Person>
          <b:Person>
            <b:Last>Tsai</b:Last>
            <b:First>Her-Her</b:First>
          </b:Person>
          <b:Person>
            <b:Last>Hung</b:Last>
            <b:First>Shiu-Wan</b:First>
          </b:Person>
          <b:Person>
            <b:Last>Chen</b:Last>
            <b:First>Ya-Ling</b:First>
          </b:Person>
        </b:NameList>
      </b:Author>
    </b:Author>
    <b:RefOrder>19</b:RefOrder>
  </b:Source>
  <b:Source>
    <b:Tag>Sol22</b:Tag>
    <b:SourceType>JournalArticle</b:SourceType>
    <b:Guid>{3EF2EFE9-9554-4229-AE46-0DC8F5509F44}</b:Guid>
    <b:Title>The Review of Usability Evaluation Methods on Tele health or Telemedicine Systems</b:Title>
    <b:JournalName>Frontiers in Health Informatics</b:JournalName>
    <b:Year>2022</b:Year>
    <b:Volume>11</b:Volume>
    <b:Issue>112</b:Issue>
    <b:DOI>10.30699/fhi.v11i1.357</b:DOI>
    <b:Author>
      <b:Author>
        <b:NameList>
          <b:Person>
            <b:Last>Soltanzadeh</b:Last>
            <b:First>Ladan</b:First>
          </b:Person>
          <b:Person>
            <b:Last>Sangar</b:Last>
            <b:First>Amin Babazadeh</b:First>
          </b:Person>
          <b:Person>
            <b:Last>Majidzadeh</b:Last>
            <b:First>Kambiz</b:First>
          </b:Person>
        </b:NameList>
      </b:Author>
    </b:Author>
    <b:RefOrder>20</b:RefOrder>
  </b:Source>
  <b:Source>
    <b:Tag>Fou20</b:Tag>
    <b:SourceType>JournalArticle</b:SourceType>
    <b:Guid>{1973AF5C-861F-43DD-B058-F706A0224EF4}</b:Guid>
    <b:Title>Asking the Right Questions—Human Factors Considerations for Telemedicine Design</b:Title>
    <b:JournalName>Current Allergy and Asthma Reports</b:JournalName>
    <b:Year>2020</b:Year>
    <b:Volume>20</b:Volume>
    <b:Issue>66</b:Issue>
    <b:DOI>10.1007/s11882-020-00965-x</b:DOI>
    <b:Author>
      <b:Author>
        <b:NameList>
          <b:Person>
            <b:Last>Fouquet</b:Last>
            <b:First>Sarah</b:First>
            <b:Middle>D.</b:Middle>
          </b:Person>
          <b:Person>
            <b:Last>Miranda</b:Last>
            <b:First>Andrew</b:First>
            <b:Middle>T.</b:Middle>
          </b:Person>
        </b:NameList>
      </b:Author>
    </b:Author>
    <b:RefOrder>21</b:RefOrder>
  </b:Source>
  <b:Source>
    <b:Tag>Ald19</b:Tag>
    <b:SourceType>JournalArticle</b:SourceType>
    <b:Guid>{A8BC178B-B65E-4B43-B992-C98CDA8211A7}</b:Guid>
    <b:Title>Employing the Technology Acceptance Model to Explore the Trends of Social Media Adoption and its Effect on Perceived Usefulness and Perceived Ease of Use</b:Title>
    <b:JournalName>Journal of Information Technology Management</b:JournalName>
    <b:Year>2019</b:Year>
    <b:Pages>129-143</b:Pages>
    <b:Volume>11</b:Volume>
    <b:Issue>2</b:Issue>
    <b:DOI>10.22059/jitm.2019.290075.2405</b:DOI>
    <b:Author>
      <b:Author>
        <b:NameList>
          <b:Person>
            <b:Last>Alduaij</b:Last>
            <b:First>Manal</b:First>
          </b:Person>
        </b:NameList>
      </b:Author>
    </b:Author>
    <b:RefOrder>22</b:RefOrder>
  </b:Source>
  <b:Source>
    <b:Tag>Woo20</b:Tag>
    <b:SourceType>JournalArticle</b:SourceType>
    <b:Guid>{ED9231F2-3B69-4CAE-81C9-DCC7DA5E01D3}</b:Guid>
    <b:Title>Overcoming Technological Challenges: Lessons Learned from a Telehealth Counseling Study</b:Title>
    <b:JournalName>Telemedicine and e-Health</b:JournalName>
    <b:Year>2020</b:Year>
    <b:Pages>1278-1283</b:Pages>
    <b:Volume>26</b:Volume>
    <b:Issue>10</b:Issue>
    <b:DOI>10.1089/tmj.2019.0191</b:DOI>
    <b:Author>
      <b:Author>
        <b:NameList>
          <b:Person>
            <b:Last>Wootton</b:Last>
            <b:First>Angie</b:First>
            <b:Middle>R.</b:Middle>
          </b:Person>
          <b:Person>
            <b:Last>McCuistian</b:Last>
            <b:First>Caravella</b:First>
          </b:Person>
          <b:Person>
            <b:Last>Packard</b:Last>
            <b:First>Dominique</b:First>
            <b:Middle>A. Legnitto</b:Middle>
          </b:Person>
          <b:Person>
            <b:Last>Gruber</b:Last>
            <b:First>Valerie</b:First>
            <b:Middle>A.</b:Middle>
          </b:Person>
          <b:Person>
            <b:Last>Saberi</b:Last>
            <b:First>Parya</b:First>
          </b:Person>
        </b:NameList>
      </b:Author>
    </b:Author>
    <b:RefOrder>23</b:RefOrder>
  </b:Source>
  <b:Source>
    <b:Tag>Kho21</b:Tag>
    <b:SourceType>JournalArticle</b:SourceType>
    <b:Guid>{3F32354A-4FDF-42C7-B1E6-C310C53797B7}</b:Guid>
    <b:Title>Telehealth-Based Services During the COVID-19 Pandemic: A Systematic Review of Features and Challenges</b:Title>
    <b:JournalName>Frontiers Public Health</b:JournalName>
    <b:Year>2021</b:Year>
    <b:Volume>9</b:Volume>
    <b:Issue>711762</b:Issue>
    <b:DOI>10.3389/fpubh.2021.711762</b:DOI>
    <b:Author>
      <b:Author>
        <b:NameList>
          <b:Person>
            <b:Last>Khoshrounejad</b:Last>
            <b:First>Farnaz</b:First>
          </b:Person>
          <b:Person>
            <b:Last>Hamednia</b:Last>
            <b:First>Mahsa</b:First>
          </b:Person>
          <b:Person>
            <b:Last>Mehrjerd</b:Last>
            <b:First>Ameneh</b:First>
          </b:Person>
          <b:Person>
            <b:Last>Pichaghsaz</b:Last>
            <b:First>Shima</b:First>
          </b:Person>
          <b:Person>
            <b:Last>Jamalirad</b:Last>
            <b:First>Hossein</b:First>
          </b:Person>
          <b:Person>
            <b:Last>Sargolzaei</b:Last>
            <b:First>Mahdi</b:First>
          </b:Person>
          <b:Person>
            <b:Last>Hoseini</b:Last>
            <b:First>Benyamin</b:First>
          </b:Person>
          <b:Person>
            <b:Last>Aalaei</b:Last>
            <b:First>Shokoufeh</b:First>
          </b:Person>
        </b:NameList>
      </b:Author>
    </b:Author>
    <b:RefOrder>24</b:RefOrder>
  </b:Source>
  <b:Source>
    <b:Tag>AlH23</b:Tag>
    <b:SourceType>JournalArticle</b:SourceType>
    <b:Guid>{EC07E678-5DDE-4C4F-8EFA-7E6E711A304F}</b:Guid>
    <b:Title>A CRITICAL ANALYSIS ON INTEGRATING OPERATIONS IN MEDICAL CLINICS TO ENHANCE SERVICE QUALITY</b:Title>
    <b:JournalName>Chelonian Research Foundation</b:JournalName>
    <b:Year>2023</b:Year>
    <b:Pages>191–204</b:Pages>
    <b:Author>
      <b:Author>
        <b:NameList>
          <b:Person>
            <b:Last>Al Haydar</b:Last>
            <b:First>Fayez Abdullah</b:First>
          </b:Person>
          <b:Person>
            <b:Last>Al Sharif</b:Last>
            <b:First>Mohammed Hamis Ahmed</b:First>
          </b:Person>
          <b:Person>
            <b:Last>AL ALshahi</b:Last>
            <b:First>Mahdi Salem Mahdi</b:First>
          </b:Person>
          <b:Person>
            <b:Last>Al Alshahi</b:Last>
            <b:First>Tariq Salem Mahdi</b:First>
          </b:Person>
          <b:Person>
            <b:Last>Al Shahi</b:Last>
            <b:First>Saleh Salem Mahdi</b:First>
          </b:Person>
          <b:Person>
            <b:Last>Al Saab</b:Last>
            <b:First>Ali Saleh</b:First>
          </b:Person>
        </b:NameList>
      </b:Author>
    </b:Author>
    <b:Volume>18</b:Volume>
    <b:Issue>1</b:Issue>
    <b:RefOrder>25</b:RefOrder>
  </b:Source>
  <b:Source>
    <b:Tag>Ret24</b:Tag>
    <b:SourceType>JournalArticle</b:SourceType>
    <b:Guid>{2D600201-C0D7-42A2-B8BB-BCE80EFFACDE}</b:Guid>
    <b:Title>Telehealth Education in Allied Health Care and Nursing: Web-Based Cross-Sectional Survey of Students’ Perceived Knowledge, Skills, Attitudes, and Experience</b:Title>
    <b:JournalName>JMIR Medical Education</b:JournalName>
    <b:Year>2024</b:Year>
    <b:Pages>e51112</b:Pages>
    <b:Volume>10</b:Volume>
    <b:DOI>10.2196/51112</b:DOI>
    <b:Author>
      <b:Author>
        <b:NameList>
          <b:Person>
            <b:Last>Rettinger</b:Last>
            <b:First>Lena</b:First>
          </b:Person>
          <b:Person>
            <b:Last>Putz</b:Last>
            <b:First>Peter</b:First>
          </b:Person>
          <b:Person>
            <b:Last>Aichinger</b:Last>
            <b:First>Lea</b:First>
          </b:Person>
          <b:Person>
            <b:Last>Javorszky</b:Last>
            <b:First>Susanne Maria</b:First>
          </b:Person>
          <b:Person>
            <b:Last>Widhalm</b:Last>
            <b:First>Klaus</b:First>
          </b:Person>
          <b:Person>
            <b:Last>Ertelt-Bach</b:Last>
            <b:First>Veronika</b:First>
          </b:Person>
          <b:Person>
            <b:Last>Huber</b:Last>
            <b:First>Andreas</b:First>
          </b:Person>
          <b:Person>
            <b:Last>Sargis</b:Last>
            <b:First>Sevan</b:First>
          </b:Person>
          <b:Person>
            <b:Last>Maul</b:Last>
            <b:First>Lukas</b:First>
          </b:Person>
          <b:Person>
            <b:Last>Radinger</b:Last>
            <b:First>Oliver</b:First>
          </b:Person>
          <b:Person>
            <b:Last>Werner</b:Last>
            <b:First>Franz</b:First>
          </b:Person>
          <b:Person>
            <b:Last>Kuhn</b:Last>
            <b:First>Sebastian</b:First>
          </b:Person>
        </b:NameList>
      </b:Author>
    </b:Author>
    <b:RefOrder>26</b:RefOrder>
  </b:Source>
  <b:Source>
    <b:Tag>Bai21</b:Tag>
    <b:SourceType>JournalArticle</b:SourceType>
    <b:Guid>{50EF9581-2F00-4EBB-AE18-0F499B94C42E}</b:Guid>
    <b:Title>Early Patient-Centered Outcomes Research Experience With the Use of Telehealth to Address Disparities: Scoping Review</b:Title>
    <b:JournalName>Journal of Medical Internet Research</b:JournalName>
    <b:Year>2021</b:Year>
    <b:Pages>e28503</b:Pages>
    <b:Volume>23</b:Volume>
    <b:Issue>12</b:Issue>
    <b:DOI>10.2196/28503</b:DOI>
    <b:Author>
      <b:Author>
        <b:NameList>
          <b:Person>
            <b:Last>Bailey</b:Last>
            <b:First>James E.</b:First>
          </b:Person>
          <b:Person>
            <b:Last>Gurgol</b:Last>
            <b:First>Cathy</b:First>
          </b:Person>
          <b:Person>
            <b:Last>Pan</b:Last>
            <b:First>Eric</b:First>
          </b:Person>
          <b:Person>
            <b:Last>Njie</b:Last>
            <b:First>Shirilyn</b:First>
          </b:Person>
          <b:Person>
            <b:Last>Emmett</b:Last>
            <b:First>Susan</b:First>
          </b:Person>
          <b:Person>
            <b:Last>Gatwood</b:Last>
            <b:First>Justin</b:First>
          </b:Person>
          <b:Person>
            <b:Last>Gauthier</b:Last>
            <b:First>Lynne</b:First>
          </b:Person>
          <b:Person>
            <b:Last>Rosas</b:Last>
            <b:First>Lisa G.</b:First>
          </b:Person>
          <b:Person>
            <b:Last>Kearney</b:Last>
            <b:First>Shannon M.</b:First>
          </b:Person>
          <b:Person>
            <b:Last>Robler</b:Last>
            <b:First>Samantha Kleindienst</b:First>
          </b:Person>
          <b:Person>
            <b:Last>Lawrence</b:Last>
            <b:First>Raymona H.</b:First>
          </b:Person>
          <b:Person>
            <b:Last>Margolis</b:Last>
            <b:First>Karen L.</b:First>
          </b:Person>
          <b:Person>
            <b:Last>Osunkwo</b:Last>
            <b:First>Ifeyinwa</b:First>
          </b:Person>
          <b:Person>
            <b:Last>Wilfley</b:Last>
            <b:First>Denise</b:First>
          </b:Person>
          <b:Person>
            <b:Last>Shah</b:Last>
            <b:First>Vallabh O.</b:First>
          </b:Person>
        </b:NameList>
      </b:Author>
    </b:Author>
    <b:RefOrder>27</b:RefOrder>
  </b:Source>
  <b:Source>
    <b:Tag>Gan21</b:Tag>
    <b:SourceType>JournalArticle</b:SourceType>
    <b:Guid>{003C0E1C-B8B4-40CE-B2E6-E90DA402A11E}</b:Guid>
    <b:Title>Organizational and Policy Barriers to the Use of Digital Mental Health by Mental Health Professionals</b:Title>
    <b:JournalName>Telemedicine and e-Health</b:JournalName>
    <b:Year>2021</b:Year>
    <b:Pages>1332-1343</b:Pages>
    <b:Volume>27</b:Volume>
    <b:Issue>12</b:Issue>
    <b:DOI>10.1089/tmj.2020.0455</b:DOI>
    <b:Author>
      <b:Author>
        <b:NameList>
          <b:Person>
            <b:Last>Ganapathy</b:Last>
            <b:First>Aarthi</b:First>
          </b:Person>
          <b:Person>
            <b:Last>Clough</b:Last>
            <b:First>Bonnie A.</b:First>
          </b:Person>
          <b:Person>
            <b:Last>Casey</b:Last>
            <b:First>Leanne M.</b:First>
          </b:Person>
        </b:NameList>
      </b:Author>
    </b:Author>
    <b:RefOrder>28</b:RefOrder>
  </b:Source>
  <b:Source>
    <b:Tag>Gaj21</b:Tag>
    <b:SourceType>JournalArticle</b:SourceType>
    <b:Guid>{5BCE658A-3BAA-4FA4-8D63-2529947EB395}</b:Guid>
    <b:Title>Telehealth Benefits and Barriers</b:Title>
    <b:JournalName>The Journal for Nurse Practitioners</b:JournalName>
    <b:Year>2021</b:Year>
    <b:Pages>218-221</b:Pages>
    <b:Volume>17</b:Volume>
    <b:Issue>2</b:Issue>
    <b:DOI>10.1016/j.nurpra.2020.09.013</b:DOI>
    <b:Author>
      <b:Author>
        <b:NameList>
          <b:Person>
            <b:Last>Gajarawala</b:Last>
            <b:First>Shilpa N.</b:First>
          </b:Person>
          <b:Person>
            <b:Last>Pelkowski</b:Last>
            <b:First>Jessica N.</b:First>
          </b:Person>
        </b:NameList>
      </b:Author>
    </b:Author>
    <b:RefOrder>29</b:RefOrder>
  </b:Source>
  <b:Source>
    <b:Tag>Gar22</b:Tag>
    <b:SourceType>JournalArticle</b:SourceType>
    <b:Guid>{7F7F3F19-196C-42CF-B685-C32EEFC7BDCE}</b:Guid>
    <b:Title>Telehealth Education Impact on Provider Experience and Adoption</b:Title>
    <b:JournalName>Nurse Educator</b:JournalName>
    <b:Year>2022</b:Year>
    <b:Pages>75-80</b:Pages>
    <b:Volume>42</b:Volume>
    <b:Issue>2</b:Issue>
    <b:DOI>10.1097/NNE.0000000000001103</b:DOI>
    <b:Author>
      <b:Author>
        <b:NameList>
          <b:Person>
            <b:Last>Garber</b:Last>
            <b:First>Kelli</b:First>
          </b:Person>
          <b:Person>
            <b:Last>Gustin</b:Last>
            <b:First>Tina</b:First>
          </b:Person>
        </b:NameList>
      </b:Author>
    </b:Author>
    <b:RefOrder>30</b:RefOrder>
  </b:Source>
  <b:Source>
    <b:Tag>Bin22</b:Tag>
    <b:SourceType>JournalArticle</b:SourceType>
    <b:Guid>{E597DDB9-674E-49BC-AAA1-651B012F16C8}</b:Guid>
    <b:Title>Toward digital transformation in healthcare: a framework for remote monitoring adoption</b:Title>
    <b:JournalName>The TQM Journal</b:JournalName>
    <b:Year>2022</b:Year>
    <b:Pages>1772-1799</b:Pages>
    <b:Volume>34</b:Volume>
    <b:Issue>6</b:Issue>
    <b:DOI>10.1108/TQM-04-2021-0109</b:DOI>
    <b:Author>
      <b:Author>
        <b:NameList>
          <b:Person>
            <b:Last>Binci </b:Last>
            <b:First>Daniele</b:First>
          </b:Person>
          <b:Person>
            <b:Last>Palozzi</b:Last>
            <b:First>Gabriele</b:First>
          </b:Person>
          <b:Person>
            <b:Last>Scafarto</b:Last>
            <b:First>Francesco</b:First>
          </b:Person>
        </b:NameList>
      </b:Author>
    </b:Author>
    <b:RefOrder>31</b:RefOrder>
  </b:Source>
  <b:Source>
    <b:Tag>Vel21</b:Tag>
    <b:SourceType>JournalArticle</b:SourceType>
    <b:Guid>{1E3A294E-6883-4343-8536-C7004EA64338}</b:Guid>
    <b:Title>Key components and critical factors for developing a telehealth business framework: a qualitative study</b:Title>
    <b:JournalName>BMC Medical Informatics and Decision Making</b:JournalName>
    <b:Year>2021</b:Year>
    <b:Volume>21</b:Volume>
    <b:Issue>339</b:Issue>
    <b:DOI>10.1186/s12911-021-01707-3</b:DOI>
    <b:Author>
      <b:Author>
        <b:NameList>
          <b:Person>
            <b:Last>Velayati</b:Last>
            <b:First>Farnia</b:First>
          </b:Person>
          <b:Person>
            <b:Last>Ayatollahi</b:Last>
            <b:First>Haleh</b:First>
          </b:Person>
          <b:Person>
            <b:Last>Hemmat</b:Last>
            <b:First>Morteza</b:First>
          </b:Person>
          <b:Person>
            <b:Last>Dehghan</b:Last>
            <b:First>Reza</b:First>
          </b:Person>
        </b:NameList>
      </b:Author>
    </b:Author>
    <b:RefOrder>32</b:RefOrder>
  </b:Source>
  <b:Source>
    <b:Tag>Ran</b:Tag>
    <b:SourceType>JournalArticle</b:SourceType>
    <b:Guid>{A2B6851D-6B33-4D56-B849-0DE2EFBB7882}</b:Guid>
    <b:Title>A Narrative Review of Factors Historically Influencing Telehealth Use across Six Medical Specialties in the United States</b:Title>
    <b:JournalName>International Journal of Environmental. Research and Public Health</b:JournalName>
    <b:Pages>4995</b:Pages>
    <b:Volume>18</b:Volume>
    <b:Issue>9</b:Issue>
    <b:DOI>10.3390/ijerph18094995</b:DOI>
    <b:Author>
      <b:Author>
        <b:NameList>
          <b:Person>
            <b:Last>Rangachari</b:Last>
            <b:First>Pavani</b:First>
          </b:Person>
          <b:Person>
            <b:Last>Mushiana</b:Last>
            <b:First>Swapandeep S.</b:First>
          </b:Person>
          <b:Person>
            <b:Last>Herbert</b:Last>
            <b:First>Krista</b:First>
          </b:Person>
        </b:NameList>
      </b:Author>
    </b:Author>
    <b:Year>2021</b:Year>
    <b:RefOrder>33</b:RefOrder>
  </b:Source>
  <b:Source>
    <b:Tag>San24</b:Tag>
    <b:SourceType>JournalArticle</b:SourceType>
    <b:Guid>{2744042A-AA43-4C62-A4A7-C39931E5851E}</b:Guid>
    <b:Title>Telemedicine: International Law Comparison</b:Title>
    <b:JournalName>The Easta Journal Law and Human Rights (ESLHR)</b:JournalName>
    <b:Year>2024</b:Year>
    <b:Pages>116–126</b:Pages>
    <b:Volume>2</b:Volume>
    <b:Issue>3</b:Issue>
    <b:DOI>10.58812/eslhr.v2i03.286</b:DOI>
    <b:Author>
      <b:Author>
        <b:NameList>
          <b:Person>
            <b:Last>Santoso</b:Last>
            <b:First>Aris Prio Agus</b:First>
          </b:Person>
          <b:Person>
            <b:Last>Soares</b:Last>
            <b:First>Domingos</b:First>
          </b:Person>
          <b:Person>
            <b:Last>Fauzi</b:Last>
            <b:First>Fazlin</b:First>
          </b:Person>
          <b:Person>
            <b:Last>Amallia</b:Last>
            <b:First>Sabrina Difa</b:First>
          </b:Person>
        </b:NameList>
      </b:Author>
    </b:Author>
    <b:RefOrder>34</b:RefOrder>
  </b:Source>
  <b:Source>
    <b:Tag>Tim22</b:Tag>
    <b:SourceType>JournalArticle</b:SourceType>
    <b:Guid>{6DE2E150-8196-4AC8-A71E-F6AEE2DB484E}</b:Guid>
    <b:Title>Potential licensing reforms in light of COVID-19</b:Title>
    <b:JournalName>Health Policy OPEN</b:JournalName>
    <b:Year>2022</b:Year>
    <b:Pages>100062</b:Pages>
    <b:Volume>3</b:Volume>
    <b:DOI>10.1016/j.hpopen.2021.100062</b:DOI>
    <b:Author>
      <b:Author>
        <b:NameList>
          <b:Person>
            <b:Last>Timmons</b:Last>
            <b:First>Edward</b:First>
          </b:Person>
          <b:Person>
            <b:Last>Norris</b:Last>
            <b:First>Conor</b:First>
          </b:Person>
        </b:NameList>
      </b:Author>
    </b:Author>
    <b:RefOrder>35</b:RefOrder>
  </b:Source>
  <b:Source>
    <b:Tag>Zha20</b:Tag>
    <b:SourceType>JournalArticle</b:SourceType>
    <b:Guid>{8FE40453-6942-4F03-957F-3341F2C8061E}</b:Guid>
    <b:Title>Telehealth: Advances in Alternative Payment Models</b:Title>
    <b:JournalName>Telemedicine and e-Health</b:JournalName>
    <b:Year>2020</b:Year>
    <b:Pages>1492-1499</b:Pages>
    <b:Volume>26</b:Volume>
    <b:Issue>12</b:Issue>
    <b:DOI>10.1089/tmj.2019.0294</b:DOI>
    <b:Author>
      <b:Author>
        <b:NameList>
          <b:Person>
            <b:Last>Zhao</b:Last>
            <b:First>Mei</b:First>
          </b:Person>
          <b:Person>
            <b:Last>Hamadi</b:Last>
            <b:First>Hanadi</b:First>
          </b:Person>
          <b:Person>
            <b:Last>Haley</b:Last>
            <b:First>D. Rob</b:First>
          </b:Person>
          <b:Person>
            <b:Last>Xu</b:Last>
            <b:First>Jing</b:First>
          </b:Person>
          <b:Person>
            <b:Last>White-Williams</b:Last>
            <b:First>Cynthia</b:First>
          </b:Person>
          <b:Person>
            <b:Last>Park</b:Last>
            <b:First>Sinyoung</b:First>
          </b:Person>
        </b:NameList>
      </b:Author>
    </b:Author>
    <b:RefOrder>36</b:RefOrder>
  </b:Source>
  <b:Source>
    <b:Tag>Wen24</b:Tag>
    <b:SourceType>JournalArticle</b:SourceType>
    <b:Guid>{9EEB763B-6225-42E6-91C0-90CF0E05AF23}</b:Guid>
    <b:Title>A lightweight security model for ensuring patient privacy and confidentiality in telehealth applications</b:Title>
    <b:JournalName>Computers in Human Behavior</b:JournalName>
    <b:Year>2024</b:Year>
    <b:Pages>108134</b:Pages>
    <b:Volume>153</b:Volume>
    <b:DOI>10.1016/j.chb.2024.108134</b:DOI>
    <b:Author>
      <b:Author>
        <b:NameList>
          <b:Person>
            <b:Last>Wenhua</b:Last>
            <b:First>Zhang</b:First>
          </b:Person>
          <b:Person>
            <b:Last>Hasan</b:Last>
            <b:First>Mohammad Kamrul</b:First>
          </b:Person>
          <b:Person>
            <b:Last>Jailani</b:Last>
            <b:First>Norleyza Binti</b:First>
          </b:Person>
          <b:Person>
            <b:Last>Islam</b:Last>
            <b:First>Shayla</b:First>
          </b:Person>
          <b:Person>
            <b:Last>Safie</b:Last>
            <b:First>Nurhizam</b:First>
          </b:Person>
          <b:Person>
            <b:Last>Albarakati</b:Last>
            <b:First>Hussain Mobarak</b:First>
          </b:Person>
          <b:Person>
            <b:Last>Aljohani</b:Last>
            <b:First>Abeer</b:First>
          </b:Person>
          <b:Person>
            <b:Last>Khan</b:Last>
            <b:First>Muhammad Attique</b:First>
          </b:Person>
        </b:NameList>
      </b:Author>
    </b:Author>
    <b:RefOrder>37</b:RefOrder>
  </b:Source>
  <b:Source>
    <b:Tag>Poo22</b:Tag>
    <b:SourceType>JournalArticle</b:SourceType>
    <b:Guid>{B8B2BAC6-E66E-471A-8466-CD984C3CEE66}</b:Guid>
    <b:Title>Data privacy concerns and use of telehealth in the aged care context: An integrative review and research agenda</b:Title>
    <b:JournalName>International Journal of Medical Informatics</b:JournalName>
    <b:Year>2022</b:Year>
    <b:Pages>104707</b:Pages>
    <b:Volume>160</b:Volume>
    <b:Author>
      <b:Author>
        <b:NameList>
          <b:Person>
            <b:Last>Pool</b:Last>
            <b:First>Javad</b:First>
          </b:Person>
          <b:Person>
            <b:Last>Akhlaghpour</b:Last>
            <b:First>Saeed</b:First>
          </b:Person>
          <b:Person>
            <b:Last>Fatehi</b:Last>
            <b:First>Farhad</b:First>
          </b:Person>
          <b:Person>
            <b:Last>Gray</b:Last>
            <b:First>Leonard C.</b:First>
          </b:Person>
        </b:NameList>
      </b:Author>
    </b:Author>
    <b:RefOrder>38</b:RefOrder>
  </b:Source>
  <b:Source>
    <b:Tag>Dic24</b:Tag>
    <b:SourceType>JournalArticle</b:SourceType>
    <b:Guid>{1F8CBAB4-496F-47F3-8209-C615D26351C1}</b:Guid>
    <b:Title>Rehabilitation clinicians’ use of mainstream wireless technologies in practice: a scoping review</b:Title>
    <b:JournalName>Disability and Rehabilitation: Assistive Technology</b:JournalName>
    <b:Year>2024</b:Year>
    <b:Pages>1–19</b:Pages>
    <b:DOI>10.1080/17483107.2024.2316891</b:DOI>
    <b:Author>
      <b:Author>
        <b:NameList>
          <b:Person>
            <b:Last>Dicianno</b:Last>
            <b:First>Brad E.</b:First>
          </b:Person>
          <b:Person>
            <b:Last>Salh</b:Last>
            <b:First>Angad</b:First>
          </b:Person>
          <b:Person>
            <b:Last>Morris</b:Last>
            <b:First>Lindsey</b:First>
          </b:Person>
          <b:Person>
            <b:Last>Xiang</b:Last>
            <b:First>Yifan</b:First>
          </b:Person>
          <b:Person>
            <b:Last>Ding</b:Last>
            <b:First>Dan</b:First>
          </b:Person>
        </b:NameList>
      </b:Author>
    </b:Author>
    <b:RefOrder>39</b:RefOrder>
  </b:Source>
  <b:Source>
    <b:Tag>Mbu22</b:Tag>
    <b:SourceType>JournalArticle</b:SourceType>
    <b:Guid>{04DC73E4-A5AA-4D7A-8B69-E3E1FA794027}</b:Guid>
    <b:Title>Are we there yet? Unbundling the potential adoption and integration of telemedicine to improve virtual healthcare services in African health systems</b:Title>
    <b:JournalName>Sensors International</b:JournalName>
    <b:Year>2022</b:Year>
    <b:Pages>100152</b:Pages>
    <b:Volume>3</b:Volume>
    <b:DOI>10.1016/j.sintl.2021.100152</b:DOI>
    <b:Author>
      <b:Author>
        <b:NameList>
          <b:Person>
            <b:Last>Mbunge</b:Last>
            <b:First>Elliot</b:First>
          </b:Person>
          <b:Person>
            <b:Last>Muchemwa</b:Last>
            <b:First>Benhildah</b:First>
          </b:Person>
          <b:Person>
            <b:Last>Batani</b:Last>
            <b:First>John</b:First>
          </b:Person>
        </b:NameList>
      </b:Author>
    </b:Author>
    <b:RefOrder>40</b:RefOrder>
  </b:Source>
  <b:Source>
    <b:Tag>For23</b:Tag>
    <b:SourceType>ConferenceProceedings</b:SourceType>
    <b:Guid>{2DB7900F-5D1E-412A-B6BF-C7B1BA7AE810}</b:Guid>
    <b:Title>The Effect of Socio-cultural Determinants on Designing Inclusive Telemedicine Tools for the Aging Population</b:Title>
    <b:JournalName>Design for Sustainable Inclusion</b:JournalName>
    <b:Year>2023</b:Year>
    <b:Pages>50--58</b:Pages>
    <b:Publisher>Springer International Publishing</b:Publisher>
    <b:ConferenceName>Cambridge Workshop on Universal Access and Assistive Technology</b:ConferenceName>
    <b:Author>
      <b:Author>
        <b:NameList>
          <b:Person>
            <b:Last>Forbes</b:Last>
            <b:First>M.</b:First>
          </b:Person>
          <b:Person>
            <b:Last>Chakraborty</b:Last>
            <b:First>J.</b:First>
          </b:Person>
        </b:NameList>
      </b:Author>
    </b:Author>
    <b:RefOrder>41</b:RefOrder>
  </b:Source>
  <b:Source>
    <b:Tag>Kam20</b:Tag>
    <b:SourceType>JournalArticle</b:SourceType>
    <b:Guid>{EED27C1F-AA1A-4D94-BCDE-63227C933518}</b:Guid>
    <b:Title>Investigating acceptance of telemedicine services through an extended technology acceptance model (TAM)</b:Title>
    <b:Pages>101212</b:Pages>
    <b:Year>2020</b:Year>
    <b:JournalName>Technology in Society</b:JournalName>
    <b:Volume>60</b:Volume>
    <b:DOI>10.1016/j.techsoc.2019.101212</b:DOI>
    <b:Author>
      <b:Author>
        <b:NameList>
          <b:Person>
            <b:Last>Kamal</b:Last>
            <b:First>Syeda Ayesha</b:First>
          </b:Person>
          <b:Person>
            <b:Last>Shafiq</b:Last>
            <b:First>Muhammad</b:First>
          </b:Person>
          <b:Person>
            <b:Last>Kakria</b:Last>
            <b:First>Priyanka</b:First>
          </b:Person>
        </b:NameList>
      </b:Author>
    </b:Author>
    <b:RefOrder>42</b:RefOrder>
  </b:Source>
  <b:Source>
    <b:Tag>Har19</b:Tag>
    <b:SourceType>JournalArticle</b:SourceType>
    <b:Guid>{C1B6400C-25E4-48EB-83A0-453C2DC31F8C}</b:Guid>
    <b:Title>Theories Predicting End-User Acceptance of Telemedicine Use: Systematic Review</b:Title>
    <b:JournalName>Journal of Medical Internet Research</b:JournalName>
    <b:Year>2019</b:Year>
    <b:Pages>e13117</b:Pages>
    <b:Author>
      <b:Author>
        <b:NameList>
          <b:Person>
            <b:Last>Harst</b:Last>
            <b:First>Lorenz</b:First>
          </b:Person>
          <b:Person>
            <b:Last>Lantzsch</b:Last>
            <b:First>Hendrikje</b:First>
          </b:Person>
          <b:Person>
            <b:Last>Scheibe</b:Last>
            <b:First>Madlen</b:First>
          </b:Person>
        </b:NameList>
      </b:Author>
    </b:Author>
    <b:Volume>21</b:Volume>
    <b:Issue>5</b:Issue>
    <b:DOI>10.2196/13117</b:DOI>
    <b:RefOrder>43</b:RefOrder>
  </b:Source>
  <b:Source>
    <b:Tag>Lun23</b:Tag>
    <b:SourceType>JournalArticle</b:SourceType>
    <b:Guid>{877B83B8-4654-4F03-BF31-2203DC9B61AF}</b:Guid>
    <b:Title>Health Care Professionals’ Experiences and Perspectives on Using Telehealth for Home-based Palliative Care: Scoping Review</b:Title>
    <b:JournalName>Journal of Medical Internet Research</b:JournalName>
    <b:Year>2023</b:Year>
    <b:Pages>e43429</b:Pages>
    <b:Volume>25</b:Volume>
    <b:DOI>10.2196/43429</b:DOI>
    <b:Author>
      <b:Author>
        <b:NameList>
          <b:Person>
            <b:Last>Lundereng</b:Last>
            <b:First>Elias David</b:First>
          </b:Person>
          <b:Person>
            <b:Last>Gonçalves Nes</b:Last>
            <b:First>Andréa Aparecida</b:First>
          </b:Person>
          <b:Person>
            <b:Last>Holmen</b:Last>
            <b:First>Heidi</b:First>
          </b:Person>
          <b:Person>
            <b:Last>Winger</b:Last>
            <b:First>Anette</b:First>
          </b:Person>
          <b:Person>
            <b:Last>Thygesen</b:Last>
            <b:First>Hilde</b:First>
          </b:Person>
          <b:Person>
            <b:Last>Jøranson</b:Last>
            <b:First>Nina</b:First>
          </b:Person>
          <b:Person>
            <b:Last>Borge</b:Last>
            <b:First>Christine Råheim</b:First>
          </b:Person>
          <b:Person>
            <b:Last>Dajani</b:Last>
            <b:First>Olav</b:First>
          </b:Person>
          <b:Person>
            <b:Last>Mariussen</b:Last>
            <b:First>Kari L.</b:First>
          </b:Person>
          <b:Person>
            <b:Last>Steindal</b:Last>
            <b:First>Simen A.</b:First>
          </b:Person>
        </b:NameList>
      </b:Author>
    </b:Author>
    <b:RefOrder>44</b:RefOrder>
  </b:Source>
  <b:Source>
    <b:Tag>Pul22</b:Tag>
    <b:SourceType>JournalArticle</b:SourceType>
    <b:Guid>{413C9ABC-4AB7-4C98-812B-5A46DBEC70B6}</b:Guid>
    <b:Title>A Scoping Literature Review of Rural Beliefs and Attitudes toward Telehealth Utilization</b:Title>
    <b:JournalName>Western Journal of Nursing Research</b:JournalName>
    <b:Year>2022</b:Year>
    <b:Pages>375-384</b:Pages>
    <b:Author>
      <b:Author>
        <b:NameList>
          <b:Person>
            <b:Last>Pullyblank</b:Last>
            <b:First>Kristin</b:First>
          </b:Person>
        </b:NameList>
      </b:Author>
    </b:Author>
    <b:Volume>45</b:Volume>
    <b:Issue>4</b:Issue>
    <b:DOI>10.1177/01939459221134374</b:DOI>
    <b:RefOrder>45</b:RefOrder>
  </b:Source>
  <b:Source>
    <b:Tag>Hol</b:Tag>
    <b:SourceType>JournalArticle</b:SourceType>
    <b:Guid>{7BB3BEB1-685D-4B30-B561-76A599BF7188}</b:Guid>
    <b:Title>Using the Technology Acceptance Model to characterize barriers and opportunities of telehealth in rural populations: A mixed methods study</b:Title>
    <b:JournalName>JMIR Formative Research</b:JournalName>
    <b:Pages>e35130</b:Pages>
    <b:Volume>6</b:Volume>
    <b:Issue>4</b:Issue>
    <b:DOI>10.2196/preprints.35130</b:DOI>
    <b:Author>
      <b:Author>
        <b:NameList>
          <b:Person>
            <b:Last>Holtz</b:Last>
            <b:First>Bree</b:First>
          </b:Person>
          <b:Person>
            <b:Last>Mitchell</b:Last>
            <b:First>Katharine</b:First>
          </b:Person>
          <b:Person>
            <b:Last>Hirko</b:Last>
            <b:First>Kelly</b:First>
          </b:Person>
          <b:Person>
            <b:Last>Ford</b:Last>
            <b:First>Sabrina</b:First>
          </b:Person>
        </b:NameList>
      </b:Author>
    </b:Author>
    <b:Year>2022</b:Year>
    <b:RefOrder>46</b:RefOrder>
  </b:Source>
  <b:Source>
    <b:Tag>Min21</b:Tag>
    <b:SourceType>JournalArticle</b:SourceType>
    <b:Guid>{54E53244-29DA-4B78-8969-7C2E2B572EDD}</b:Guid>
    <b:Title>Telehealth as a new care delivery model: The headache provider experience</b:Title>
    <b:JournalName>Headache: The Journal of Head and Face Pain</b:JournalName>
    <b:Year>2021</b:Year>
    <b:Pages>1123-1131</b:Pages>
    <b:Volume>61</b:Volume>
    <b:Issue>7</b:Issue>
    <b:DOI>10.1111/head.14150</b:DOI>
    <b:Author>
      <b:Author>
        <b:NameList>
          <b:Person>
            <b:Last>Minen</b:Last>
            <b:First>Mia T.</b:First>
          </b:Person>
          <b:Person>
            <b:Last>Szperka</b:Last>
            <b:First>Christina L.</b:First>
          </b:Person>
          <b:Person>
            <b:Last>Kaplan</b:Last>
            <b:First>Kayla</b:First>
          </b:Person>
          <b:Person>
            <b:Last>Ehrlich</b:Last>
            <b:First>Annika</b:First>
          </b:Person>
          <b:Person>
            <b:Last>Riggins</b:Last>
            <b:First>Nina</b:First>
          </b:Person>
          <b:Person>
            <b:Last>Rizzoli</b:Last>
            <b:First>Paul</b:First>
          </b:Person>
          <b:Person>
            <b:Last>Strauss</b:Last>
            <b:First>Lauren Doyle</b:First>
          </b:Person>
        </b:NameList>
      </b:Author>
    </b:Author>
    <b:RefOrder>47</b:RefOrder>
  </b:Source>
  <b:Source>
    <b:Tag>Gar221</b:Tag>
    <b:SourceType>JournalArticle</b:SourceType>
    <b:Guid>{AC7BFAE3-A048-4163-A52F-CA483F0D09B6}</b:Guid>
    <b:Title>Acceptance of telemedicine technology among physicians: A systematic review</b:Title>
    <b:JournalName>Informatics in Medicine Unlocked</b:JournalName>
    <b:Year>2022</b:Year>
    <b:Pages>100943</b:Pages>
    <b:Volume>30</b:Volume>
    <b:DOI>10.1016/j.imu.2022.100943</b:DOI>
    <b:Author>
      <b:Author>
        <b:NameList>
          <b:Person>
            <b:Last>Garavand</b:Last>
            <b:First>Ali</b:First>
          </b:Person>
          <b:Person>
            <b:Last>Aslani</b:Last>
            <b:First>Nasim</b:First>
          </b:Person>
          <b:Person>
            <b:Last>Nadri</b:Last>
            <b:First>Hamed</b:First>
          </b:Person>
          <b:Person>
            <b:Last>Abedini</b:Last>
            <b:First>Saeideh</b:First>
          </b:Person>
          <b:Person>
            <b:Last>Dehghan</b:Last>
            <b:First>Shirin</b:First>
          </b:Person>
        </b:NameList>
      </b:Author>
    </b:Author>
    <b:RefOrder>48</b:RefOrder>
  </b:Source>
  <b:Source>
    <b:Tag>Aal21</b:Tag>
    <b:SourceType>BookSection</b:SourceType>
    <b:Guid>{D20BB147-CE1A-4893-980A-5CFD39A0A329}</b:Guid>
    <b:Title>Telehealth Adoption and Patient Engagement</b:Title>
    <b:Year>2021</b:Year>
    <b:Pages>39–50</b:Pages>
    <b:City>New York</b:City>
    <b:Publisher>Oxford Academic</b:Publisher>
    <b:DOI>10.1093/med/9780190066475.003.0004</b:DOI>
    <b:BookTitle>A Practical Guide to Emergency Telehealth</b:BookTitle>
    <b:Author>
      <b:Author>
        <b:NameList>
          <b:Person>
            <b:Last>Aalam</b:Last>
            <b:First>Ahmad</b:First>
            <b:Middle>A.</b:Middle>
          </b:Person>
          <b:Person>
            <b:Last>Osman</b:Last>
            <b:First>Kareem</b:First>
            <b:Middle>A.</b:Middle>
          </b:Person>
          <b:Person>
            <b:Last>Martin</b:Last>
            <b:First>Aaron</b:First>
          </b:Person>
        </b:NameList>
      </b:Author>
      <b:Editor>
        <b:NameList>
          <b:Person>
            <b:Last>Sikka</b:Last>
            <b:First>Neal</b:First>
          </b:Person>
        </b:NameList>
      </b:Editor>
    </b:Author>
    <b:RefOrder>49</b:RefOrder>
  </b:Source>
  <b:Source>
    <b:Tag>Sie21</b:Tag>
    <b:SourceType>JournalArticle</b:SourceType>
    <b:Guid>{A6148FC1-271B-48F6-A7C1-6E9102D610BC}</b:Guid>
    <b:Title>Could Telehealth Improve Equity During the COVID-19 Pandemic?</b:Title>
    <b:Year>2021</b:Year>
    <b:Pages>S225-S228</b:Pages>
    <b:JournalName>The Journal of the American Board of Family Medicine</b:JournalName>
    <b:Volume>34</b:Volume>
    <b:DOI>10.3122/jabfm.2021.S1.200229</b:DOI>
    <b:Author>
      <b:Author>
        <b:NameList>
          <b:Person>
            <b:Last>Sieck</b:Last>
            <b:First>Cynthia J.</b:First>
          </b:Person>
          <b:Person>
            <b:Last>Rastetter</b:Last>
            <b:First>Mark</b:First>
          </b:Person>
          <b:Person>
            <b:Last>McAlearney</b:Last>
            <b:First>Ann Scheck</b:First>
          </b:Person>
        </b:NameList>
      </b:Author>
    </b:Author>
    <b:RefOrder>50</b:RefOrder>
  </b:Source>
  <b:Source>
    <b:Tag>Jia22</b:Tag>
    <b:SourceType>JournalArticle</b:SourceType>
    <b:Guid>{DCA3DB6A-5C3C-4DEC-AA9A-DB26A59D3C26}</b:Guid>
    <b:Title>Patients’ and healthcare providers’ perceptions and experiences of telehealth use and online health information use in chronic disease management for older patients with chronic obstructive pulmonary disease: a qualitative study</b:Title>
    <b:JournalName>BMC Geriatrics</b:JournalName>
    <b:Year>2022</b:Year>
    <b:Volume>22</b:Volume>
    <b:Issue>9</b:Issue>
    <b:Author>
      <b:Author>
        <b:NameList>
          <b:Person>
            <b:Last>Jiang</b:Last>
            <b:First>Yuyu</b:First>
          </b:Person>
          <b:Person>
            <b:Last>Sun</b:Last>
            <b:First>Pingping</b:First>
          </b:Person>
          <b:Person>
            <b:Last>Chen</b:Last>
            <b:First>Zhongyi</b:First>
          </b:Person>
          <b:Person>
            <b:Last>Guo</b:Last>
            <b:First>Jianlan</b:First>
          </b:Person>
          <b:Person>
            <b:Last>Wang</b:Last>
            <b:First>Shanshan</b:First>
          </b:Person>
          <b:Person>
            <b:Last>Liu</b:Last>
            <b:First>Fenglan</b:First>
          </b:Person>
          <b:Person>
            <b:Last>Li</b:Last>
            <b:First>Jinping</b:First>
          </b:Person>
        </b:NameList>
      </b:Author>
    </b:Author>
    <b:RefOrder>51</b:RefOrder>
  </b:Source>
  <b:Source>
    <b:Tag>Alr24</b:Tag>
    <b:SourceType>JournalArticle</b:SourceType>
    <b:Guid>{F8FADD6A-D607-48F5-BF2F-0544AC210D3C}</b:Guid>
    <b:Title>Telemedicine Practice and Perceived Skills Among Primary Healthcare Physicians in the Riyadh Second Health Cluster, Saudi Arabia</b:Title>
    <b:JournalName>Majmaah Journal of Health Sciences</b:JournalName>
    <b:Year>2024</b:Year>
    <b:Pages>94-107</b:Pages>
    <b:Volume>12</b:Volume>
    <b:Issue>2</b:Issue>
    <b:DOI>10.5455/mjhs.2024.02.010</b:DOI>
    <b:Author>
      <b:Author>
        <b:NameList>
          <b:Person>
            <b:Last>Alrowaily</b:Last>
            <b:First>Mohammed Awad</b:First>
          </b:Person>
          <b:Person>
            <b:Last>Mustafa</b:Last>
            <b:First>Sara Hassan</b:First>
          </b:Person>
          <b:Person>
            <b:Last>Mohammed</b:Last>
            <b:First>Elsir Abdel Mutaal</b:First>
          </b:Person>
          <b:Person>
            <b:Last>Makkawi</b:Last>
            <b:First>Salma Taha</b:First>
          </b:Person>
          <b:Person>
            <b:Last>Palani</b:Last>
            <b:First>Kanagarajan</b:First>
          </b:Person>
        </b:NameList>
      </b:Author>
    </b:Author>
    <b:RefOrder>52</b:RefOrder>
  </b:Source>
  <b:Source>
    <b:Tag>AlB19</b:Tag>
    <b:SourceType>JournalArticle</b:SourceType>
    <b:Guid>{BA255964-159A-4B9B-B73C-9C36F599C5AD}</b:Guid>
    <b:Title>Patient Acceptance of e-Health Services in Saudi Arabia: An Integrative Perspective.</b:Title>
    <b:JournalName>Telemedicine journal and e-health</b:JournalName>
    <b:Year>2019</b:Year>
    <b:Pages>847-852</b:Pages>
    <b:Volume>25</b:Volume>
    <b:Issue>9</b:Issue>
    <b:DOI>10.1089/tmj.2018.0107</b:DOI>
    <b:Author>
      <b:Author>
        <b:NameList>
          <b:Person>
            <b:Last>AlBar</b:Last>
            <b:First>Adnan Mustafa</b:First>
          </b:Person>
          <b:Person>
            <b:Last> Hoque</b:Last>
            <b:First>Md Rakibul</b:First>
          </b:Person>
        </b:NameList>
      </b:Author>
    </b:Author>
    <b:RefOrder>53</b:RefOrder>
  </b:Source>
  <b:Source>
    <b:Tag>Dav24</b:Tag>
    <b:SourceType>Book</b:SourceType>
    <b:Guid>{7C1F8167-40D1-43AE-8095-FA5A6D89C20C}</b:Guid>
    <b:Title>The Technology Acceptance Model 30 Years of TAM</b:Title>
    <b:JournalName>Human–Computer Interaction Series</b:JournalName>
    <b:Year>2024</b:Year>
    <b:Publisher>Springer Cham</b:Publisher>
    <b:DOI>10.1007/978-3-030-45274-2</b:DOI>
    <b:Edition>1st</b:Edition>
    <b:Author>
      <b:Author>
        <b:NameList>
          <b:Person>
            <b:Last>Davis</b:Last>
            <b:First>Fred D.</b:First>
          </b:Person>
          <b:Person>
            <b:Last>Granić</b:Last>
            <b:First>Andrina</b:First>
          </b:Person>
        </b:NameList>
      </b:Author>
    </b:Author>
    <b:RefOrder>54</b:RefOrder>
  </b:Source>
  <b:Source>
    <b:Tag>Yal19</b:Tag>
    <b:SourceType>JournalArticle</b:SourceType>
    <b:Guid>{73247156-6623-4B30-9A35-6C482D840E91}</b:Guid>
    <b:Title>Examination of students' acceptance of and intention to use learning management systems using extended TAM</b:Title>
    <b:JournalName>British Journal of Educational Technology</b:JournalName>
    <b:Year>2019</b:Year>
    <b:Pages>2414-2432</b:Pages>
    <b:Volume>50</b:Volume>
    <b:Issue>5</b:Issue>
    <b:DOI>10.1111/bjet.12798</b:DOI>
    <b:Author>
      <b:Author>
        <b:NameList>
          <b:Person>
            <b:Last>Yalcin</b:Last>
            <b:First>Muyesser Eraslan</b:First>
          </b:Person>
          <b:Person>
            <b:Last>Kutlu</b:Last>
            <b:First>Birgul</b:First>
          </b:Person>
        </b:NameList>
      </b:Author>
    </b:Author>
    <b:RefOrder>55</b:RefOrder>
  </b:Source>
  <b:Source>
    <b:Tag>Mis17</b:Tag>
    <b:SourceType>Book</b:SourceType>
    <b:Guid>{9B258401-0E75-452D-AED9-416FAFB40DA3}</b:Guid>
    <b:Title>Handbook of Research Methodology: A Compendium for Scholars &amp; Researchers</b:Title>
    <b:Year>2017</b:Year>
    <b:City>New Delhi</b:City>
    <b:Publisher>EDUCREATION PUBLISHING</b:Publisher>
    <b:Author>
      <b:Author>
        <b:NameList>
          <b:Person>
            <b:Last>Mishra</b:Last>
            <b:Middle>Bhushan</b:Middle>
            <b:First>Shanti</b:First>
          </b:Person>
          <b:Person>
            <b:Last>Alok</b:Last>
            <b:First>Shashi</b:First>
          </b:Person>
        </b:NameList>
      </b:Author>
    </b:Author>
    <b:RefOrder>56</b:RefOrder>
  </b:Source>
  <b:Source>
    <b:Tag>Bab20</b:Tag>
    <b:SourceType>Book</b:SourceType>
    <b:Guid>{F27D7F91-F4FA-4E1B-91D5-7D6F2BA916D9}</b:Guid>
    <b:Title>The Practice of Social Research</b:Title>
    <b:Year>2020</b:Year>
    <b:City>Boston, USA</b:City>
    <b:Publisher>Cengage</b:Publisher>
    <b:Author>
      <b:Author>
        <b:NameList>
          <b:Person>
            <b:Last>Babbie</b:Last>
            <b:Middle>R.</b:Middle>
            <b:First>Earl</b:First>
          </b:Person>
        </b:NameList>
      </b:Author>
    </b:Author>
    <b:Edition>15th</b:Edition>
    <b:RefOrder>57</b:RefOrder>
  </b:Source>
  <b:Source>
    <b:Tag>Fie17</b:Tag>
    <b:SourceType>Book</b:SourceType>
    <b:Guid>{67DE39DC-0F2D-4AC6-B3EF-0378682368B5}</b:Guid>
    <b:Title>Discovering statistics using IBM SPSS statistics</b:Title>
    <b:Year>2017</b:Year>
    <b:Publisher>Sage</b:Publisher>
    <b:Edition>5th</b:Edition>
    <b:Author>
      <b:Author>
        <b:NameList>
          <b:Person>
            <b:Last>Field</b:Last>
            <b:First>Andy</b:First>
          </b:Person>
        </b:NameList>
      </b:Author>
    </b:Author>
    <b:RefOrder>58</b:RefOrder>
  </b:Source>
  <b:Source>
    <b:Tag>Bou20</b:Tag>
    <b:SourceType>Book</b:SourceType>
    <b:Guid>{20B17E94-861A-4B09-9D5B-CAA12C828D0C}</b:Guid>
    <b:Title>Research Methods For Business: A Skill Building Approach</b:Title>
    <b:Year>2020</b:Year>
    <b:Publisher>Wiley</b:Publisher>
    <b:Author>
      <b:Author>
        <b:NameList>
          <b:Person>
            <b:Last>Bougie</b:Last>
            <b:First>Roger</b:First>
          </b:Person>
          <b:Person>
            <b:Last>Sekaran</b:Last>
            <b:First>Uma</b:First>
          </b:Person>
        </b:NameList>
      </b:Author>
    </b:Author>
    <b:Edition>8th</b:Edition>
    <b:RefOrder>59</b:RefOrder>
  </b:Source>
  <b:Source>
    <b:Tag>Andrew19</b:Tag>
    <b:SourceType>Book</b:SourceType>
    <b:Guid>{FA57BED2-2C04-4662-B4BB-D955977D0B3E}</b:Guid>
    <b:Title>Research Methods and Design in Sport Management</b:Title>
    <b:Year>2019</b:Year>
    <b:City>Champaign</b:City>
    <b:Publisher>Human Kinetics</b:Publisher>
    <b:Author>
      <b:Author>
        <b:NameList>
          <b:Person>
            <b:Last>Andrew</b:Last>
            <b:Middle>P.S.</b:Middle>
            <b:First>Damon</b:First>
          </b:Person>
          <b:Person>
            <b:Last>Pedersen</b:Last>
            <b:Middle>M.</b:Middle>
            <b:First>Paul</b:First>
          </b:Person>
          <b:Person>
            <b:Last>McEvoy</b:Last>
            <b:Middle>D.</b:Middle>
            <b:First>Chad</b:First>
          </b:Person>
        </b:NameList>
      </b:Author>
    </b:Author>
    <b:RefOrder>60</b:RefOrder>
  </b:Source>
  <b:Source>
    <b:Tag>Har22</b:Tag>
    <b:SourceType>Book</b:SourceType>
    <b:Guid>{B5030374-AA3E-4DC7-9200-EAE89B471262}</b:Guid>
    <b:Title>Integrated Research Methods In Public Health</b:Title>
    <b:Year>2022</b:Year>
    <b:City>Hoboken, New Jersey, USA</b:City>
    <b:Publisher>Wiley</b:Publisher>
    <b:Author>
      <b:Author>
        <b:NameList>
          <b:Person>
            <b:Last>Harris</b:Last>
            <b:Middle>J.</b:Middle>
            <b:First>Muriel</b:First>
          </b:Person>
          <b:Person>
            <b:Last>Muvuka</b:Last>
            <b:First>Baraka</b:First>
          </b:Person>
        </b:NameList>
      </b:Author>
    </b:Author>
    <b:RefOrder>61</b:RefOrder>
  </b:Source>
  <b:Source>
    <b:Tag>Nan211</b:Tag>
    <b:SourceType>JournalArticle</b:SourceType>
    <b:Guid>{61535AA6-94DC-4DC6-91FE-BA32990458F3}</b:Guid>
    <b:Title>DETERMINATION OF SAMPLE SIZE AND SAMPLING METHODS IN APPLIED RESEARCH</b:Title>
    <b:Year>2021</b:Year>
    <b:JournalName>Proceedings on Engineering Sciences</b:JournalName>
    <b:Pages>25-32</b:Pages>
    <b:Author>
      <b:Author>
        <b:NameList>
          <b:Person>
            <b:Last>Nanjundeswaraswamy</b:Last>
            <b:First>T. S.</b:First>
          </b:Person>
          <b:Person>
            <b:Last>Divakar</b:Last>
            <b:First>Shilpa</b:First>
          </b:Person>
        </b:NameList>
      </b:Author>
    </b:Author>
    <b:Volume>3</b:Volume>
    <b:Issue>1</b:Issue>
    <b:DOI>10.24874/PES03.01.003</b:DOI>
    <b:RefOrder>62</b:RefOrder>
  </b:Source>
  <b:Source>
    <b:Tag>Har222</b:Tag>
    <b:SourceType>Book</b:SourceType>
    <b:Guid>{14BEE09B-0876-4748-B129-A2D69B0D1225}</b:Guid>
    <b:Title>Business Research Methods</b:Title>
    <b:Year>2022</b:Year>
    <b:Publisher>OXFORD UNIV PRESS</b:Publisher>
    <b:Edition>6th</b:Edition>
    <b:Author>
      <b:Author>
        <b:NameList>
          <b:Person>
            <b:Last>Harley</b:Last>
            <b:First>Emma</b:First>
          </b:Person>
          <b:Person>
            <b:Last>Bryman</b:Last>
            <b:First>Bill</b:First>
          </b:Person>
          <b:Person>
            <b:Last>Bell</b:Last>
            <b:First>Alan</b:First>
          </b:Person>
        </b:NameList>
      </b:Author>
    </b:Author>
    <b:RefOrder>63</b:RefOrder>
  </b:Source>
  <b:Source>
    <b:Tag>Sau191</b:Tag>
    <b:SourceType>Book</b:SourceType>
    <b:Guid>{4C3D9FB1-9BE1-4656-B697-EF01964DDFE9}</b:Guid>
    <b:Title>Research Methods for Business Students (UK Version)</b:Title>
    <b:Year>2019</b:Year>
    <b:City>Harlow</b:City>
    <b:Publisher>Pearson Education Limited</b:Publisher>
    <b:Author>
      <b:Author>
        <b:NameList>
          <b:Person>
            <b:Last>Saunders</b:Last>
            <b:First>Mark</b:First>
          </b:Person>
          <b:Person>
            <b:Last>Lewis</b:Last>
            <b:First>Philip</b:First>
          </b:Person>
          <b:Person>
            <b:Last>Thornhill</b:Last>
            <b:First>Adrian</b:First>
          </b:Person>
        </b:NameList>
      </b:Author>
    </b:Author>
    <b:Edition>Revel Edition</b:Edition>
    <b:RefOrder>64</b:RefOrder>
  </b:Source>
  <b:Source>
    <b:Tag>Ban18</b:Tag>
    <b:SourceType>Book</b:SourceType>
    <b:Guid>{5EF682AB-2191-4361-BA41-2717B56000E4}</b:Guid>
    <b:Title>Measurement Theory and Applications for the Social Sciences</b:Title>
    <b:Year>2018</b:Year>
    <b:City>New York, United States of America</b:City>
    <b:Publisher>The Guilford Press</b:Publisher>
    <b:Author>
      <b:Author>
        <b:NameList>
          <b:Person>
            <b:Last>Bandalos</b:Last>
            <b:Middle>L. </b:Middle>
            <b:First>Deborah</b:First>
          </b:Person>
        </b:NameList>
      </b:Author>
    </b:Author>
    <b:RefOrder>65</b:RefOrder>
  </b:Source>
</b:Sources>
</file>

<file path=customXml/itemProps1.xml><?xml version="1.0" encoding="utf-8"?>
<ds:datastoreItem xmlns:ds="http://schemas.openxmlformats.org/officeDocument/2006/customXml" ds:itemID="{9B688A83-D428-4F18-A5A7-2D3B18317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17</Pages>
  <Words>3861</Words>
  <Characters>22008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Thelma Tonny</dc:creator>
  <cp:keywords/>
  <dc:description/>
  <cp:lastModifiedBy>Ohouad Alotaibi</cp:lastModifiedBy>
  <cp:revision>309</cp:revision>
  <dcterms:created xsi:type="dcterms:W3CDTF">2024-08-07T08:05:00Z</dcterms:created>
  <dcterms:modified xsi:type="dcterms:W3CDTF">2024-08-08T20:30:00Z</dcterms:modified>
</cp:coreProperties>
</file>