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8B5FF9D" w:rsidR="009125CE" w:rsidRPr="006A3D94" w:rsidRDefault="00A76E59" w:rsidP="00A76E5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6A3D94">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D5AD5F2">
            <wp:simplePos x="0" y="0"/>
            <wp:positionH relativeFrom="margin">
              <wp:posOffset>88900</wp:posOffset>
            </wp:positionH>
            <wp:positionV relativeFrom="margin">
              <wp:posOffset>-300990</wp:posOffset>
            </wp:positionV>
            <wp:extent cx="1805940" cy="16764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5940" cy="1676400"/>
                    </a:xfrm>
                    <a:prstGeom prst="rect">
                      <a:avLst/>
                    </a:prstGeom>
                  </pic:spPr>
                </pic:pic>
              </a:graphicData>
            </a:graphic>
            <wp14:sizeRelH relativeFrom="margin">
              <wp14:pctWidth>0</wp14:pctWidth>
            </wp14:sizeRelH>
            <wp14:sizeRelV relativeFrom="margin">
              <wp14:pctHeight>0</wp14:pctHeight>
            </wp14:sizeRelV>
          </wp:anchor>
        </w:drawing>
      </w:r>
      <w:r w:rsidR="009125CE" w:rsidRPr="006A3D94">
        <w:rPr>
          <w:rFonts w:ascii="Simplified Arabic" w:hAnsi="Simplified Arabic" w:cs="Simplified Arabic"/>
          <w:b/>
          <w:bCs/>
          <w:color w:val="000000" w:themeColor="text1"/>
          <w:sz w:val="32"/>
          <w:szCs w:val="32"/>
          <w:rtl/>
          <w:lang w:bidi="ar-EG"/>
        </w:rPr>
        <w:t xml:space="preserve">جامعة ميدأوشن </w:t>
      </w:r>
    </w:p>
    <w:p w14:paraId="1E957002" w14:textId="514E6CEF" w:rsidR="00F546CE" w:rsidRPr="006A3D94" w:rsidRDefault="009125CE" w:rsidP="00A76E5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A3D94">
        <w:rPr>
          <w:rFonts w:ascii="Simplified Arabic" w:hAnsi="Simplified Arabic" w:cs="Simplified Arabic"/>
          <w:b/>
          <w:bCs/>
          <w:color w:val="000000" w:themeColor="text1"/>
          <w:sz w:val="32"/>
          <w:szCs w:val="32"/>
          <w:lang w:bidi="ar-EG"/>
        </w:rPr>
        <w:t xml:space="preserve"> </w:t>
      </w:r>
      <w:r w:rsidRPr="006A3D94">
        <w:rPr>
          <w:rFonts w:ascii="Simplified Arabic" w:hAnsi="Simplified Arabic" w:cs="Simplified Arabic"/>
          <w:b/>
          <w:bCs/>
          <w:color w:val="000000" w:themeColor="text1"/>
          <w:sz w:val="32"/>
          <w:szCs w:val="32"/>
          <w:rtl/>
          <w:lang w:bidi="ar-EG"/>
        </w:rPr>
        <w:t xml:space="preserve">كلية </w:t>
      </w:r>
      <w:r w:rsidR="008C42C1" w:rsidRPr="006A3D94">
        <w:rPr>
          <w:rFonts w:ascii="Simplified Arabic" w:hAnsi="Simplified Arabic" w:cs="Simplified Arabic"/>
          <w:b/>
          <w:bCs/>
          <w:color w:val="000000" w:themeColor="text1"/>
          <w:sz w:val="32"/>
          <w:szCs w:val="32"/>
          <w:rtl/>
          <w:lang w:bidi="ar-EG"/>
        </w:rPr>
        <w:t>الإدارة</w:t>
      </w:r>
      <w:r w:rsidRPr="006A3D94">
        <w:rPr>
          <w:rFonts w:ascii="Simplified Arabic" w:hAnsi="Simplified Arabic" w:cs="Simplified Arabic"/>
          <w:b/>
          <w:bCs/>
          <w:color w:val="000000" w:themeColor="text1"/>
          <w:sz w:val="32"/>
          <w:szCs w:val="32"/>
          <w:rtl/>
          <w:lang w:bidi="ar-EG"/>
        </w:rPr>
        <w:t xml:space="preserve"> </w:t>
      </w:r>
    </w:p>
    <w:p w14:paraId="0A25F43C" w14:textId="6EA6F9E9" w:rsidR="008C7BB4" w:rsidRPr="006A3D94" w:rsidRDefault="005A72B7" w:rsidP="00A76E5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6A3D94">
        <w:rPr>
          <w:rFonts w:ascii="Simplified Arabic" w:hAnsi="Simplified Arabic" w:cs="Simplified Arabic"/>
          <w:b/>
          <w:bCs/>
          <w:color w:val="000000" w:themeColor="text1"/>
          <w:sz w:val="32"/>
          <w:szCs w:val="32"/>
          <w:rtl/>
          <w:lang w:bidi="ar-EG"/>
        </w:rPr>
        <w:t>ماجستير الإدارة العقارية</w:t>
      </w:r>
    </w:p>
    <w:p w14:paraId="5F6542BF" w14:textId="77777777" w:rsidR="009125CE" w:rsidRPr="006A3D94" w:rsidRDefault="009125CE" w:rsidP="00A76E5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69FF5A2" w14:textId="745FFE4A" w:rsidR="00A63A69" w:rsidRPr="006A3D94" w:rsidRDefault="00A63A69" w:rsidP="00A76E59">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6A3D94">
        <w:rPr>
          <w:rFonts w:ascii="Simplified Arabic" w:hAnsi="Simplified Arabic" w:cs="Simplified Arabic"/>
          <w:b/>
          <w:bCs/>
          <w:color w:val="000000" w:themeColor="text1"/>
          <w:sz w:val="40"/>
          <w:szCs w:val="40"/>
          <w:rtl/>
        </w:rPr>
        <w:t>دور منصة إيجار في تعزيز الشفافية وحماية حقوق أطراف العلاقة الإيجارية وانعكاسه على الثقة بالسوق: دراسة ميدانية على المستفيدين في مدينة الرياض</w:t>
      </w:r>
    </w:p>
    <w:p w14:paraId="751A7E65" w14:textId="07883E80" w:rsidR="009125CE" w:rsidRPr="006A3D94" w:rsidRDefault="009125CE" w:rsidP="00A76E5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A3D94">
        <w:rPr>
          <w:rFonts w:ascii="Simplified Arabic" w:hAnsi="Simplified Arabic" w:cs="Simplified Arabic"/>
          <w:b/>
          <w:bCs/>
          <w:color w:val="000000" w:themeColor="text1"/>
          <w:sz w:val="36"/>
          <w:szCs w:val="36"/>
          <w:rtl/>
          <w:lang w:bidi="ar-EG"/>
        </w:rPr>
        <w:t>إعداد الطالب/</w:t>
      </w:r>
    </w:p>
    <w:p w14:paraId="505F11C3" w14:textId="77777777" w:rsidR="005A72B7" w:rsidRPr="006A3D94" w:rsidRDefault="005A72B7" w:rsidP="00A76E5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6A3D94">
        <w:rPr>
          <w:rFonts w:ascii="Simplified Arabic" w:hAnsi="Simplified Arabic" w:cs="Simplified Arabic"/>
          <w:color w:val="000000" w:themeColor="text1"/>
          <w:sz w:val="36"/>
          <w:szCs w:val="36"/>
          <w:rtl/>
          <w:lang w:bidi="ar-EG"/>
        </w:rPr>
        <w:t>بندر خالد عبدالله الشثري</w:t>
      </w:r>
    </w:p>
    <w:p w14:paraId="091AC079" w14:textId="6CEE5630" w:rsidR="00A63A69" w:rsidRPr="006A3D94" w:rsidRDefault="005A72B7" w:rsidP="00A76E59">
      <w:pPr>
        <w:spacing w:before="100" w:beforeAutospacing="1" w:after="100" w:afterAutospacing="1" w:line="276" w:lineRule="auto"/>
        <w:jc w:val="center"/>
        <w:rPr>
          <w:rFonts w:ascii="Simplified Arabic" w:hAnsi="Simplified Arabic" w:cs="Simplified Arabic"/>
          <w:color w:val="000000" w:themeColor="text1"/>
          <w:sz w:val="36"/>
          <w:szCs w:val="36"/>
          <w:lang w:bidi="ar-EG"/>
        </w:rPr>
      </w:pPr>
      <w:r w:rsidRPr="006A3D94">
        <w:rPr>
          <w:rFonts w:ascii="Simplified Arabic" w:hAnsi="Simplified Arabic" w:cs="Simplified Arabic"/>
          <w:color w:val="000000" w:themeColor="text1"/>
          <w:sz w:val="36"/>
          <w:szCs w:val="36"/>
          <w:rtl/>
          <w:lang w:bidi="ar-EG"/>
        </w:rPr>
        <w:t>2021202130</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76E59" w:rsidRPr="006A3D94" w14:paraId="277D4ED7" w14:textId="77777777" w:rsidTr="00066435">
        <w:tc>
          <w:tcPr>
            <w:tcW w:w="4530" w:type="dxa"/>
          </w:tcPr>
          <w:p w14:paraId="5A458FD9" w14:textId="77777777" w:rsidR="00A76E59" w:rsidRPr="006A3D94" w:rsidRDefault="00A76E59" w:rsidP="0006643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A3D94">
              <w:rPr>
                <w:rFonts w:ascii="Simplified Arabic" w:hAnsi="Simplified Arabic" w:cs="Simplified Arabic" w:hint="cs"/>
                <w:b/>
                <w:bCs/>
                <w:color w:val="000000" w:themeColor="text1"/>
                <w:sz w:val="36"/>
                <w:szCs w:val="36"/>
                <w:rtl/>
                <w:lang w:bidi="ar-EG"/>
              </w:rPr>
              <w:t>المشرف الرئيسي/</w:t>
            </w:r>
          </w:p>
        </w:tc>
        <w:tc>
          <w:tcPr>
            <w:tcW w:w="4531" w:type="dxa"/>
          </w:tcPr>
          <w:p w14:paraId="39AC7124" w14:textId="77777777" w:rsidR="00A76E59" w:rsidRPr="006A3D94" w:rsidRDefault="00A76E59" w:rsidP="0006643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A3D94">
              <w:rPr>
                <w:rFonts w:ascii="Simplified Arabic" w:hAnsi="Simplified Arabic" w:cs="Simplified Arabic" w:hint="cs"/>
                <w:b/>
                <w:bCs/>
                <w:color w:val="000000" w:themeColor="text1"/>
                <w:sz w:val="36"/>
                <w:szCs w:val="36"/>
                <w:rtl/>
                <w:lang w:bidi="ar-EG"/>
              </w:rPr>
              <w:t>المشرف الثاني/</w:t>
            </w:r>
          </w:p>
        </w:tc>
      </w:tr>
      <w:tr w:rsidR="00A76E59" w:rsidRPr="006A3D94" w14:paraId="1640871A" w14:textId="77777777" w:rsidTr="00066435">
        <w:tc>
          <w:tcPr>
            <w:tcW w:w="4530" w:type="dxa"/>
          </w:tcPr>
          <w:p w14:paraId="0D466301" w14:textId="77777777" w:rsidR="00A76E59" w:rsidRPr="006A3D94" w:rsidRDefault="00A76E59" w:rsidP="0006643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A3D94">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6050C91F" w14:textId="77777777" w:rsidR="00A76E59" w:rsidRPr="006A3D94" w:rsidRDefault="00A76E59" w:rsidP="0006643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A3D94">
              <w:rPr>
                <w:rFonts w:ascii="Simplified Arabic" w:eastAsia="Calibri" w:hAnsi="Simplified Arabic" w:cs="Simplified Arabic"/>
                <w:color w:val="000000" w:themeColor="text1"/>
                <w:kern w:val="0"/>
                <w:sz w:val="36"/>
                <w:szCs w:val="36"/>
                <w:rtl/>
                <w:lang w:bidi="ar-EG"/>
                <w14:ligatures w14:val="none"/>
              </w:rPr>
              <w:t>د.فايز جراد</w:t>
            </w:r>
          </w:p>
        </w:tc>
      </w:tr>
    </w:tbl>
    <w:p w14:paraId="448BA5F2" w14:textId="77777777" w:rsidR="00A76E59" w:rsidRPr="006A3D94" w:rsidRDefault="00A76E59" w:rsidP="00A76E5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6A3D94">
        <w:rPr>
          <w:rFonts w:ascii="Simplified Arabic" w:hAnsi="Simplified Arabic" w:cs="Simplified Arabic"/>
          <w:b/>
          <w:bCs/>
          <w:color w:val="000000" w:themeColor="text1"/>
          <w:sz w:val="36"/>
          <w:szCs w:val="36"/>
          <w:rtl/>
          <w:lang w:bidi="ar-EG"/>
        </w:rPr>
        <w:t>العام الدراسي:</w:t>
      </w:r>
    </w:p>
    <w:p w14:paraId="3C6A02EA" w14:textId="77777777" w:rsidR="00A76E59" w:rsidRPr="006A3D94" w:rsidRDefault="00A76E59" w:rsidP="00A76E5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6A3D94">
        <w:rPr>
          <w:rFonts w:ascii="Simplified Arabic" w:hAnsi="Simplified Arabic" w:cs="Simplified Arabic" w:hint="cs"/>
          <w:color w:val="000000" w:themeColor="text1"/>
          <w:sz w:val="36"/>
          <w:szCs w:val="36"/>
          <w:rtl/>
          <w:lang w:bidi="ar-EG"/>
        </w:rPr>
        <w:t xml:space="preserve">1448 </w:t>
      </w:r>
      <w:r w:rsidRPr="006A3D94">
        <w:rPr>
          <w:rFonts w:ascii="Simplified Arabic" w:hAnsi="Simplified Arabic" w:cs="Simplified Arabic"/>
          <w:color w:val="000000" w:themeColor="text1"/>
          <w:sz w:val="36"/>
          <w:szCs w:val="36"/>
          <w:rtl/>
          <w:lang w:bidi="ar-EG"/>
        </w:rPr>
        <w:t>–</w:t>
      </w:r>
      <w:r w:rsidRPr="006A3D94">
        <w:rPr>
          <w:rFonts w:ascii="Simplified Arabic" w:hAnsi="Simplified Arabic" w:cs="Simplified Arabic" w:hint="cs"/>
          <w:color w:val="000000" w:themeColor="text1"/>
          <w:sz w:val="36"/>
          <w:szCs w:val="36"/>
          <w:rtl/>
          <w:lang w:bidi="ar-EG"/>
        </w:rPr>
        <w:t xml:space="preserve"> 2026</w:t>
      </w:r>
    </w:p>
    <w:p w14:paraId="32B049B2" w14:textId="77777777" w:rsidR="00A76E59" w:rsidRPr="006A3D94" w:rsidRDefault="00A76E59" w:rsidP="00A76E59">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A76E59" w:rsidRPr="006A3D94" w:rsidSect="00A76E59">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3C362DBA" w14:textId="1C1E9B84" w:rsidR="00A76E59" w:rsidRPr="006A3D94" w:rsidRDefault="00A76E59" w:rsidP="00A76E59">
      <w:pPr>
        <w:pStyle w:val="NormalWeb"/>
        <w:bidi/>
        <w:spacing w:line="276" w:lineRule="auto"/>
        <w:jc w:val="center"/>
        <w:outlineLvl w:val="0"/>
        <w:rPr>
          <w:rFonts w:ascii="Simplified Arabic" w:hAnsi="Simplified Arabic" w:cs="Simplified Arabic"/>
          <w:b/>
          <w:bCs/>
          <w:color w:val="000000" w:themeColor="text1"/>
          <w:sz w:val="40"/>
          <w:szCs w:val="40"/>
        </w:rPr>
      </w:pPr>
      <w:bookmarkStart w:id="0" w:name="_Toc169790489"/>
      <w:bookmarkStart w:id="1" w:name="_Hlk172151144"/>
      <w:bookmarkStart w:id="2" w:name="_Toc233465035"/>
      <w:r w:rsidRPr="006A3D94">
        <w:rPr>
          <w:rFonts w:ascii="Simplified Arabic" w:hAnsi="Simplified Arabic" w:cs="Simplified Arabic" w:hint="cs"/>
          <w:b/>
          <w:bCs/>
          <w:color w:val="000000" w:themeColor="text1"/>
          <w:sz w:val="40"/>
          <w:szCs w:val="40"/>
          <w:rtl/>
        </w:rPr>
        <w:lastRenderedPageBreak/>
        <w:t>الفصل الأول: الإطار العام للدراسة</w:t>
      </w:r>
      <w:bookmarkEnd w:id="2"/>
    </w:p>
    <w:p w14:paraId="05851B2E" w14:textId="0C91C0F7" w:rsidR="00A76E59" w:rsidRPr="006A3D94" w:rsidRDefault="00A76E59" w:rsidP="00A76E59">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3465036"/>
      <w:r w:rsidRPr="006A3D94">
        <w:rPr>
          <w:rFonts w:ascii="Simplified Arabic" w:hAnsi="Simplified Arabic" w:cs="Simplified Arabic" w:hint="cs"/>
          <w:b/>
          <w:bCs/>
          <w:color w:val="000000" w:themeColor="text1"/>
          <w:sz w:val="36"/>
          <w:szCs w:val="36"/>
          <w:rtl/>
        </w:rPr>
        <w:t>1.1 المقدمة</w:t>
      </w:r>
      <w:bookmarkEnd w:id="3"/>
    </w:p>
    <w:p w14:paraId="6140E952" w14:textId="4D73302A"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يشهد العالم المعاصر موجة تحول رقمي واسعة أعادت تشكيل العلاقة بين المؤسسات والأفراد في شتى القطاعات، حيث تجاوزت التقنية الرقمية كونها أداة تشغيلية لتصبح بنية تحتية تنظيمية تُعيد صياغة مفاهيم الإفصاح والمساءلة والثقة. وقد أضحت الشفافية في البيئات الرقمية مفهومًا منظوميًا يتخطى العلاقة الثنائية التقليدية بين طرفين ليشمل منظومة متكاملة من الأُطر التقنية والتنظيمية والقانونية التي تتضافر لإنتاج بيئة رقمية جديرة بالثقة</w:t>
      </w:r>
      <w:r w:rsidRPr="006A3D94">
        <w:rPr>
          <w:rFonts w:ascii="Simplified Arabic" w:hAnsi="Simplified Arabic" w:cs="Simplified Arabic"/>
          <w:color w:val="000000" w:themeColor="text1"/>
          <w:sz w:val="28"/>
          <w:szCs w:val="28"/>
        </w:rPr>
        <w:t xml:space="preserve"> (Prifti etal., 2023).</w:t>
      </w:r>
    </w:p>
    <w:p w14:paraId="1243CD80" w14:textId="07F355FD"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وفي قطاع العقارات تحديدًا، أفرز هذا التحول نمطًا جديدًا من المنصات الرقمية التي لا تقتصر على الوساطة بين الأطراف بل تتصرف بوصفها أنظمة حوكمة خاصة تضع القواعد التعاقدية وتُنفّذها وتفصل في المنازعات، مما يُعيد هيكلة العلاقة الإيجارية من جذورها ويُدخلها في إطار مؤسسي رقمي مُنظّم. وقد تناولت الأدبيات القانونية هذا التحول من خلال تحليل نماذج دولية كمنصة</w:t>
      </w:r>
      <w:r w:rsidRPr="006A3D94">
        <w:rPr>
          <w:rFonts w:ascii="Simplified Arabic" w:hAnsi="Simplified Arabic" w:cs="Simplified Arabic"/>
          <w:color w:val="000000" w:themeColor="text1"/>
          <w:sz w:val="28"/>
          <w:szCs w:val="28"/>
        </w:rPr>
        <w:t xml:space="preserve"> Airbnb </w:t>
      </w:r>
      <w:r w:rsidRPr="006A3D94">
        <w:rPr>
          <w:rFonts w:ascii="Simplified Arabic" w:hAnsi="Simplified Arabic" w:cs="Simplified Arabic"/>
          <w:color w:val="000000" w:themeColor="text1"/>
          <w:sz w:val="28"/>
          <w:szCs w:val="28"/>
          <w:rtl/>
        </w:rPr>
        <w:t>التي أصبحت تمارس وظائف تشريعية وتنفيذية وقضائية بشكل مستقل عن الأنظمة القانونية التقليدية</w:t>
      </w:r>
      <w:r w:rsidRPr="006A3D94">
        <w:rPr>
          <w:rFonts w:ascii="Simplified Arabic" w:hAnsi="Simplified Arabic" w:cs="Simplified Arabic"/>
          <w:color w:val="000000" w:themeColor="text1"/>
          <w:sz w:val="28"/>
          <w:szCs w:val="28"/>
        </w:rPr>
        <w:t xml:space="preserve"> (Ulfbeck etal., 2018).</w:t>
      </w:r>
    </w:p>
    <w:p w14:paraId="4E2F71C1" w14:textId="3F25F11A"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وتُضيف التقنيات الناشئة بُعدًا إضافيًا لهذا التحول، إذ تُظهر الدراسات أن توظيف تقنية البلوك تشين والعقود الذكية في قطاع الإيجار السكني يُتيح توثيقًا لامركزيًا للعقود وتنفيذًا آليًا للالتزامات، مما يُعزّز مصداقية المعاملات ويُقلّص فجوة المعلومات بين المؤجرين والمستأجرين. كما أن شفافية العمليات والخوارزميات في المنصات الرقمية تُعدّ شرطًا جوهريًا لحماية حقوق الأطراف وضمان عدالة القرارات التنظيمية(</w:t>
      </w:r>
      <w:r w:rsidRPr="006A3D94">
        <w:rPr>
          <w:rFonts w:ascii="Simplified Arabic" w:hAnsi="Simplified Arabic" w:cs="Simplified Arabic"/>
          <w:color w:val="000000" w:themeColor="text1"/>
          <w:sz w:val="28"/>
          <w:szCs w:val="28"/>
        </w:rPr>
        <w:t xml:space="preserve"> (Tseng etal., 2025</w:t>
      </w:r>
    </w:p>
    <w:p w14:paraId="0D2BD32E" w14:textId="5EE87693"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وتُشير الأدبيات إلى أن الشفافية تُمثّل ركيزة جوهرية في تحسين الأداء المؤسسي، إذ تُسهم شفافية المعلومات والعمليات والقرارات في تعزيز الكفاءة التنظيمية والمصداقية المؤسسية وبناء علاقات أكثر عدالة بين الأطراف ذات العلاقة. وقد أثبتت دراسات عدة أن التطبيقات الرقمية الحكومية تؤدي دورًا محوريًا في تعزيز سلاسل الإفصاح والشفافية في قطاعات متنوعة كالمجتمع المدني والخدمات الصحية وسلاسل التوريد (كاظم والنجار، 2020</w:t>
      </w:r>
      <w:r w:rsidRPr="006A3D94">
        <w:rPr>
          <w:rFonts w:ascii="Simplified Arabic" w:hAnsi="Simplified Arabic" w:cs="Simplified Arabic"/>
          <w:color w:val="000000" w:themeColor="text1"/>
          <w:sz w:val="28"/>
          <w:szCs w:val="28"/>
        </w:rPr>
        <w:t>(</w:t>
      </w:r>
    </w:p>
    <w:p w14:paraId="65514BEC" w14:textId="5221CDE5"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lastRenderedPageBreak/>
        <w:t>و يحتل سوق الإيجار العقاري موقعًا استراتيجيًا ضمن منظومة رؤية 2030 التي تستهدف رفع نسبة تملك المساكن إلى 70% وتحديث البنية التشريعية والرقمية للقطاع العقاري. ومن أبرز أدوات هذا التحديث منصة "إيجار" الإلكترونية التي أطلقتها الهيئة العامة للعقار عام 2017، والتي وثّقت حتى اليوم أكثر من 13 مليون عقد بمتوسط يومي يبلغ 4,200 عقد وأكثر من 40 مليون معاملة رقمية، وتُقدّم خدمات تشمل التوثيق الإلكتروني للعقود وإتاحة مؤشرات سوقية وآليات لفض النزاعات وتقييم السلوك الإيجاري (الهيئة العامة للعقار، 2025)</w:t>
      </w:r>
    </w:p>
    <w:p w14:paraId="7ADA901F" w14:textId="5EC36098"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وانطلاقًا مما سبق، تأتي هذه الدراسة لتقييم أثر منصة "إيجار" بوصفها متغيرًا مستقلًا أحادي المحور على تعزيز الشفافية وحماية حقوق أطراف العلاقة الإيجارية بأبعادها الأربعة — الشفافية المعلوماتية، والتوثيق الإلكتروني للعقود، وآليات فض النزاعات وحماية الحقوق، ومؤشر السلوك الإيجاري — في سوق الإيجار العقاري بمدينة الرياض من وجهة نظر المستفيدين.</w:t>
      </w:r>
    </w:p>
    <w:p w14:paraId="74DA1C7E" w14:textId="2C545017" w:rsidR="00A76E59" w:rsidRPr="006A3D94" w:rsidRDefault="00A76E59" w:rsidP="00A76E5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465037"/>
      <w:bookmarkEnd w:id="1"/>
      <w:r w:rsidRPr="006A3D94">
        <w:rPr>
          <w:rFonts w:ascii="Simplified Arabic" w:hAnsi="Simplified Arabic" w:cs="Simplified Arabic"/>
          <w:b/>
          <w:bCs/>
          <w:color w:val="000000" w:themeColor="text1"/>
          <w:sz w:val="36"/>
          <w:szCs w:val="36"/>
          <w:rtl/>
        </w:rPr>
        <w:t>2.1 مشكلة الدراسة</w:t>
      </w:r>
      <w:bookmarkEnd w:id="4"/>
    </w:p>
    <w:p w14:paraId="7707A548" w14:textId="09E74330" w:rsidR="005A72B7" w:rsidRPr="006A3D94" w:rsidRDefault="005A72B7"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يحتل سوق الإيجار العقاري مكانةً محوريةً في البنية الاقتصادية والاجتماعية للمملكة العربية السعودية، ولا سيما في مدينة الرياض التي تستحوذ وحدها على ما يزيد عن 22% من إجمالي الصفقات الإيجارية على مستوى المملكة وفقًا لبيانات المؤشر الإيجاري، وتضم نحو 8.59 مليون نسمة وفق تعداد السعودية 2022 يمثّل المستأجرون شريحةً كبيرة منهم</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وقد شهد هذا السوق خلال السنوات الأخيرة ارتفاعًا حادًّا في أسعار الإيجارات بلغ 25% بين مارس 2022 ونهاية سبتمبر 2024 وفق بيانات الهيئة العامة للإحصاء، وتجاوز في الرياض وحدها 60% خلال أربع سنوات، وهو ما فرض ضغوطًا متصاعدة على جميع أطراف العلاقة الإيجارية وأثار تساؤلاتٍ جوهرية حول مدى شفافية السوق وقدرته على حماية حقوق المتعاملين فيه (الهيئة العامة للإحصاء، 2024</w:t>
      </w:r>
      <w:r w:rsidR="0046177C" w:rsidRPr="006A3D94">
        <w:rPr>
          <w:rFonts w:ascii="Simplified Arabic" w:hAnsi="Simplified Arabic" w:cs="Simplified Arabic"/>
          <w:color w:val="000000" w:themeColor="text1"/>
          <w:sz w:val="28"/>
          <w:szCs w:val="28"/>
          <w:rtl/>
        </w:rPr>
        <w:t>)</w:t>
      </w:r>
    </w:p>
    <w:p w14:paraId="7B5CB210" w14:textId="77777777" w:rsidR="005A72B7" w:rsidRPr="006A3D94" w:rsidRDefault="005A72B7"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 xml:space="preserve">وقد عانى سوق الإيجار في المملكة تاريخيًّا من إشكالياتٍ هيكلية أسهمت في إضعاف الشفافية والإخلال بحماية الحقوق، تمثّلت في انتشار العقود غير الموثّقة التي يصعب معها إثبات العلاقة التعاقدية أمام الجهات الرسمية، والزيادات العشوائية في الأسعار دون سندٍ تعاقدي واضح، فضلًا عن بطء آليات فض النزاعات الإيجارية وغياب مؤشرات موضوعية لتقييم التزام الأطراف. وهذه الإشكاليات تتّسق مع ما </w:t>
      </w:r>
      <w:r w:rsidRPr="006A3D94">
        <w:rPr>
          <w:rFonts w:ascii="Simplified Arabic" w:hAnsi="Simplified Arabic" w:cs="Simplified Arabic"/>
          <w:color w:val="000000" w:themeColor="text1"/>
          <w:sz w:val="28"/>
          <w:szCs w:val="28"/>
          <w:rtl/>
        </w:rPr>
        <w:lastRenderedPageBreak/>
        <w:t>أكّدته الأدبيات من أن غياب الشفافية المعلوماتية والتوثيق المؤسسي يُفضي إلى تفاقم مشكلة عدم تماثل المعلومات بين الأطراف المتعاقدة ويُضعف قدرة السوق على حفظ التوازن التعاقدي (كاظم والنجار، 2020)</w:t>
      </w:r>
      <w:r w:rsidRPr="006A3D94">
        <w:rPr>
          <w:rFonts w:ascii="Simplified Arabic" w:hAnsi="Simplified Arabic" w:cs="Simplified Arabic"/>
          <w:color w:val="000000" w:themeColor="text1"/>
          <w:sz w:val="28"/>
          <w:szCs w:val="28"/>
        </w:rPr>
        <w:t>.</w:t>
      </w:r>
    </w:p>
    <w:p w14:paraId="2E281A35" w14:textId="5D6E9BBC" w:rsidR="005A72B7" w:rsidRPr="006A3D94" w:rsidRDefault="005A72B7"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وفي هذا السياق، أُطلقت منصة "إيجار</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الإلكترونية عام 2017 تحت إشراف الهيئة العامة للعقار لتكون المنظومة الرقمية المتكاملة لتنظيم قطاع الإيجار وحوكمته، حيث وثّقت أكثر من ثلاثة عشر مليون عقد بمتوسط يومي يبلغ 4,200 عقد وتجاوزت معاملاتها الرقمية أربعين مليون معاملة، مُقدّمةً خدماتٍ تشمل التوثيق الإلكتروني للعقود والمؤشر الإيجاري وبرنامج التسوية الودية ومؤشر السلوك الإيجاري. وقد تعزّز دورها التنظيمي بصدور الأحكام النظامية في سبتمبر 2025 التي تضمّنت تجميد الإيجارات في الرياض لخمس سنوات وإلزام تسجيل جميع العقود إلكترونيًّا وإقرار التجديد التلقائي، مما حوّل المنصة من أداة خدمية اختيارية إلى مؤسسة تنظيمية إلزامية</w:t>
      </w:r>
      <w:r w:rsidRPr="006A3D94">
        <w:rPr>
          <w:rFonts w:ascii="Simplified Arabic" w:hAnsi="Simplified Arabic" w:cs="Simplified Arabic"/>
          <w:color w:val="000000" w:themeColor="text1"/>
          <w:sz w:val="28"/>
          <w:szCs w:val="28"/>
        </w:rPr>
        <w:t xml:space="preserve"> (Saudi Gazette, 2025</w:t>
      </w:r>
      <w:r w:rsidR="0046177C" w:rsidRPr="006A3D94">
        <w:rPr>
          <w:rFonts w:ascii="Simplified Arabic" w:hAnsi="Simplified Arabic" w:cs="Simplified Arabic"/>
          <w:color w:val="000000" w:themeColor="text1"/>
          <w:sz w:val="28"/>
          <w:szCs w:val="28"/>
        </w:rPr>
        <w:t>)</w:t>
      </w:r>
      <w:r w:rsidRPr="006A3D94">
        <w:rPr>
          <w:rFonts w:ascii="Simplified Arabic" w:hAnsi="Simplified Arabic" w:cs="Simplified Arabic"/>
          <w:color w:val="000000" w:themeColor="text1"/>
          <w:sz w:val="28"/>
          <w:szCs w:val="28"/>
        </w:rPr>
        <w:t xml:space="preserve"> </w:t>
      </w:r>
    </w:p>
    <w:p w14:paraId="43833504" w14:textId="3CFDE507" w:rsidR="005A72B7" w:rsidRPr="006A3D94" w:rsidRDefault="005A72B7"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 xml:space="preserve">وعليه، تتبلور مشكلة الدراسة الحالية في الفجوة البحثية الواضحة المتمثلة في غياب دراسة ميدانية متخصصة تقيس أثر منصة إيجار بوصفها منصة رقمية حكومية  على تعزيز الشفافية وحماية حقوق أطراف العلاقة الإيجارية بأبعادها الأربعة (الشفافية المعلوماتية، التوثيق الإلكتروني للعقود، آليات فض النزاعات وحماية الحقوق، مؤشر السلوك الإيجاري) في سوق الإيجار العقاري بمدينة الرياض، ولا سيما في ظل التحوّلات التنظيمية الجوهرية التي أحدثتها الأحكام النظامية الصادرة في سبتمبر </w:t>
      </w:r>
      <w:r w:rsidRPr="006A3D94">
        <w:rPr>
          <w:rFonts w:ascii="Simplified Arabic" w:hAnsi="Simplified Arabic" w:cs="Simplified Arabic"/>
          <w:color w:val="000000" w:themeColor="text1"/>
          <w:sz w:val="28"/>
          <w:szCs w:val="28"/>
        </w:rPr>
        <w:t xml:space="preserve">2025. </w:t>
      </w:r>
      <w:r w:rsidRPr="006A3D94">
        <w:rPr>
          <w:rFonts w:ascii="Simplified Arabic" w:hAnsi="Simplified Arabic" w:cs="Simplified Arabic"/>
          <w:color w:val="000000" w:themeColor="text1"/>
          <w:sz w:val="28"/>
          <w:szCs w:val="28"/>
          <w:rtl/>
        </w:rPr>
        <w:t>ومن ثمّ يمكن صياغة المشكلة في التساؤل الرئيسي التالي</w:t>
      </w:r>
      <w:r w:rsidRPr="006A3D94">
        <w:rPr>
          <w:rFonts w:ascii="Simplified Arabic" w:hAnsi="Simplified Arabic" w:cs="Simplified Arabic"/>
          <w:color w:val="000000" w:themeColor="text1"/>
          <w:sz w:val="28"/>
          <w:szCs w:val="28"/>
        </w:rPr>
        <w:t xml:space="preserve">: </w:t>
      </w:r>
      <w:r w:rsidRPr="006A3D94">
        <w:rPr>
          <w:rStyle w:val="Strong"/>
          <w:rFonts w:ascii="Simplified Arabic" w:hAnsi="Simplified Arabic" w:cs="Simplified Arabic"/>
          <w:b w:val="0"/>
          <w:bCs w:val="0"/>
          <w:color w:val="000000" w:themeColor="text1"/>
          <w:sz w:val="28"/>
          <w:szCs w:val="28"/>
          <w:rtl/>
        </w:rPr>
        <w:t>ما أثر منصة إيجار على تعزيز الشفافية وحماية حقوق أطراف العلاقة الإيجارية بأبعادها الأربعة في سوق الإيجار العقاري بمدينة الرياض من وجهة نظر المستفيدين؟</w:t>
      </w:r>
    </w:p>
    <w:p w14:paraId="7E9EEDB3" w14:textId="77777777" w:rsidR="00A76E59" w:rsidRPr="006A3D94" w:rsidRDefault="00A76E59" w:rsidP="00A76E5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169790490"/>
      <w:bookmarkStart w:id="6" w:name="_Toc233465038"/>
      <w:bookmarkEnd w:id="0"/>
      <w:r w:rsidRPr="006A3D94">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0385BE64" w14:textId="3211F9B8" w:rsidR="00A76E59" w:rsidRPr="006A3D94" w:rsidRDefault="00A76E59" w:rsidP="00A76E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6A3D94">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6057DF0" w14:textId="4F2ADEBA"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تستمد الدراسة الحالية أهميتها العلمية من كونها تُسهم في سد فجوة واضحة في الأدبيات العربية المتخصصة، إذ لا تتوافر</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 xml:space="preserve">في حدود اطّلاع الباحث  دراسة ميدانية عربية تناولت أثر منصة رقمية حكومية إيجارية على تعزيز الشفافية وحماية حقوق أطراف العلاقة الإيجارية في سوق عقاري محلي. كما تُثري الدراسة الإطار النظري من خلال توظيف منظومة متكاملة من النظريات — نظرية الثقة المؤسسية ونظرية الوكالة ونظرية الإشارات ونظرية الحوكمة الخاصة للمنصات — في سياقٍ تطبيقي جديد يتمثل في قطاع </w:t>
      </w:r>
      <w:r w:rsidRPr="006A3D94">
        <w:rPr>
          <w:rFonts w:ascii="Simplified Arabic" w:eastAsia="Times New Roman" w:hAnsi="Simplified Arabic" w:cs="Simplified Arabic"/>
          <w:color w:val="000000" w:themeColor="text1"/>
          <w:kern w:val="0"/>
          <w:sz w:val="28"/>
          <w:szCs w:val="28"/>
          <w:rtl/>
          <w14:ligatures w14:val="none"/>
        </w:rPr>
        <w:lastRenderedPageBreak/>
        <w:t>الإيجار العقاري السعودي، مما يُتيح اختبار مدى صلاحية هذه النظريات في بيئة عربية ذات خصوصية تشريعية وثقافية مختلفة عن البيئات الغربية التي نشأت فيها. فضلًا عن ذلك، تُقدّم الدراسة أداة قياس علمية (استبانة) مُحكّمة وموثوقة تقيس أبعاد الشفافية وحماية الحقوق في المنصات الرقمية الإيجارية، وهي أداة يمكن أن يستفيد منها الباحثون في دراساتٍ مستقبلية مماثلة. كما تُسهم في بناء نموذج مفاهيمي يربط بين المنصة الرقمية الحكومية بوصفها متغيرًا مستقلًا وبين أبعاد الشفافية وحماية الحقوق بوصفها متغيرًا تابعًا متعدد الأبعاد، وهو نموذج قابل للاختبار والتعميم على منصات حكومية رقمية أخرى في قطاعات مختلفة</w:t>
      </w:r>
      <w:r w:rsidRPr="006A3D94">
        <w:rPr>
          <w:rFonts w:ascii="Simplified Arabic" w:eastAsia="Times New Roman" w:hAnsi="Simplified Arabic" w:cs="Simplified Arabic"/>
          <w:color w:val="000000" w:themeColor="text1"/>
          <w:kern w:val="0"/>
          <w:sz w:val="28"/>
          <w:szCs w:val="28"/>
          <w14:ligatures w14:val="none"/>
        </w:rPr>
        <w:t>.</w:t>
      </w:r>
    </w:p>
    <w:p w14:paraId="6BBD0F3D" w14:textId="1701343B" w:rsidR="005A72B7" w:rsidRPr="006A3D94" w:rsidRDefault="005A72B7" w:rsidP="00A76E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795677"/>
      <w:r w:rsidRPr="006A3D94">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7"/>
    </w:p>
    <w:p w14:paraId="52C67C3F" w14:textId="77777777" w:rsidR="0046177C"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A3D94">
        <w:rPr>
          <w:rFonts w:ascii="Simplified Arabic" w:eastAsia="Times New Roman" w:hAnsi="Simplified Arabic" w:cs="Simplified Arabic"/>
          <w:color w:val="000000" w:themeColor="text1"/>
          <w:kern w:val="0"/>
          <w:sz w:val="28"/>
          <w:szCs w:val="28"/>
          <w:rtl/>
          <w14:ligatures w14:val="none"/>
        </w:rPr>
        <w:t xml:space="preserve">تنبع الأهمية العملية للدراسة من ارتباطها المباشر بواقع سوق الإيجار العقاري في مدينة الرياض الذي يُعدّ أكبر أسواق الإيجار في المملكة العربية السعودية بأكثر من 22% من إجمالي الصفقات الإيجارية على مستوى المملكة. </w:t>
      </w:r>
    </w:p>
    <w:p w14:paraId="77561502" w14:textId="3C70E9CF" w:rsidR="0046177C"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A3D94">
        <w:rPr>
          <w:rFonts w:ascii="Simplified Arabic" w:eastAsia="Times New Roman" w:hAnsi="Simplified Arabic" w:cs="Simplified Arabic"/>
          <w:color w:val="000000" w:themeColor="text1"/>
          <w:kern w:val="0"/>
          <w:sz w:val="28"/>
          <w:szCs w:val="28"/>
          <w:rtl/>
          <w14:ligatures w14:val="none"/>
        </w:rPr>
        <w:t xml:space="preserve">وتكتسب الدراسة أهمية تطبيقية خاصة في ظل الأحكام النظامية الجديدة الصادرة في سبتمبر 2025 والتي أحدثت تحوّلًا جوهريًّا في تنظيم العلاقة الإيجارية، مما يجعل نتائجها ذات قيمة آنية لصانعي القرار في الهيئة العامة للعقار ووزارة البلديات والإسكان. </w:t>
      </w:r>
    </w:p>
    <w:p w14:paraId="4EFE9A0F" w14:textId="3AAF6F85"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كما تُوفّر الدراسة رؤى ميدانية مستقاة من المستفيدين الفعليين للمنصة يمكن توظيفها في تطوير خدمات منصة إيجار وتحسين واجهاتها وآلياتها بما يُعزّز شفافية السوق ويرفع مستوى حماية الحقوق. وتُفيد الدراسة كذلك المستثمرين العقاريين وشركات الوساطة في فهم دور المنصة في تحسين بيئة الأعمال الإيجارية واتخاذ قراراتٍ استثمارية أكثر استنارة، فضلًا عن إسهامها في دعم مستهدفات رؤية المملكة 2030 في التحول الرقمي وحوكمة القطاع العقاري ورفع مساهمته في الناتج المحلي الإجمالي</w:t>
      </w:r>
      <w:r w:rsidRPr="006A3D94">
        <w:rPr>
          <w:rFonts w:ascii="Simplified Arabic" w:eastAsia="Times New Roman" w:hAnsi="Simplified Arabic" w:cs="Simplified Arabic"/>
          <w:color w:val="000000" w:themeColor="text1"/>
          <w:kern w:val="0"/>
          <w:sz w:val="28"/>
          <w:szCs w:val="28"/>
          <w14:ligatures w14:val="none"/>
        </w:rPr>
        <w:t>.</w:t>
      </w:r>
    </w:p>
    <w:p w14:paraId="1444EABB" w14:textId="46D651A4" w:rsidR="00A76E59" w:rsidRPr="006A3D94" w:rsidRDefault="00A76E59" w:rsidP="00A76E5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8" w:name="_Toc169790491"/>
      <w:bookmarkStart w:id="9" w:name="_Toc233465039"/>
      <w:bookmarkEnd w:id="5"/>
      <w:r w:rsidRPr="006A3D94">
        <w:rPr>
          <w:rFonts w:ascii="Simplified Arabic" w:hAnsi="Simplified Arabic" w:cs="Simplified Arabic"/>
          <w:b/>
          <w:bCs/>
          <w:color w:val="000000" w:themeColor="text1"/>
          <w:sz w:val="36"/>
          <w:szCs w:val="36"/>
          <w:rtl/>
        </w:rPr>
        <w:t>4.1 أهداف الدراسة:</w:t>
      </w:r>
      <w:bookmarkEnd w:id="9"/>
    </w:p>
    <w:p w14:paraId="1A735AE2" w14:textId="590FF13B" w:rsidR="005A72B7" w:rsidRPr="006A3D94" w:rsidRDefault="005A72B7"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 xml:space="preserve">تهدف الدراسة الحالية إلى قياس أثر منصة إيجار على تعزيز الشفافية وحماية حقوق أطراف العلاقة الإيجارية بأبعادها الأربعة </w:t>
      </w:r>
      <w:r w:rsidR="001C3442" w:rsidRPr="006A3D94">
        <w:rPr>
          <w:rFonts w:ascii="Simplified Arabic" w:hAnsi="Simplified Arabic" w:cs="Simplified Arabic"/>
          <w:color w:val="000000" w:themeColor="text1"/>
          <w:sz w:val="28"/>
          <w:szCs w:val="28"/>
          <w:rtl/>
        </w:rPr>
        <w:t>(</w:t>
      </w:r>
      <w:r w:rsidRPr="006A3D94">
        <w:rPr>
          <w:rFonts w:ascii="Simplified Arabic" w:hAnsi="Simplified Arabic" w:cs="Simplified Arabic"/>
          <w:color w:val="000000" w:themeColor="text1"/>
          <w:sz w:val="28"/>
          <w:szCs w:val="28"/>
          <w:rtl/>
        </w:rPr>
        <w:t>الشفافية المعلوماتية، التوثيق الإلكتروني للعقود، آليات فض النزاعات وحماية الحقوق، مؤشر السلوك الإيجاري) في سوق الإيجار العقاري بمدينة الرياض</w:t>
      </w:r>
      <w:r w:rsidRPr="006A3D94">
        <w:rPr>
          <w:rFonts w:ascii="Simplified Arabic" w:hAnsi="Simplified Arabic" w:cs="Simplified Arabic"/>
          <w:color w:val="000000" w:themeColor="text1"/>
          <w:sz w:val="28"/>
          <w:szCs w:val="28"/>
        </w:rPr>
        <w:t>.</w:t>
      </w:r>
    </w:p>
    <w:p w14:paraId="7C4BEBC2" w14:textId="4F249E24" w:rsidR="005A72B7" w:rsidRPr="006A3D94" w:rsidRDefault="005A72B7" w:rsidP="00A76E59">
      <w:pPr>
        <w:pStyle w:val="NormalWeb"/>
        <w:bidi/>
        <w:spacing w:line="276" w:lineRule="auto"/>
        <w:jc w:val="both"/>
        <w:rPr>
          <w:rFonts w:ascii="Simplified Arabic" w:hAnsi="Simplified Arabic" w:cs="Simplified Arabic"/>
          <w:b/>
          <w:bCs/>
          <w:color w:val="000000" w:themeColor="text1"/>
          <w:sz w:val="28"/>
          <w:szCs w:val="28"/>
        </w:rPr>
      </w:pPr>
      <w:r w:rsidRPr="006A3D94">
        <w:rPr>
          <w:rFonts w:ascii="Simplified Arabic" w:hAnsi="Simplified Arabic" w:cs="Simplified Arabic"/>
          <w:b/>
          <w:bCs/>
          <w:color w:val="000000" w:themeColor="text1"/>
          <w:sz w:val="28"/>
          <w:szCs w:val="28"/>
          <w:rtl/>
        </w:rPr>
        <w:lastRenderedPageBreak/>
        <w:t>يتفرع من الهدف الرئيسي الأهداف الفرعية التالية</w:t>
      </w:r>
      <w:r w:rsidRPr="006A3D94">
        <w:rPr>
          <w:rFonts w:ascii="Simplified Arabic" w:hAnsi="Simplified Arabic" w:cs="Simplified Arabic"/>
          <w:b/>
          <w:bCs/>
          <w:color w:val="000000" w:themeColor="text1"/>
          <w:sz w:val="28"/>
          <w:szCs w:val="28"/>
        </w:rPr>
        <w:t>:</w:t>
      </w:r>
    </w:p>
    <w:p w14:paraId="07A06000" w14:textId="77777777" w:rsidR="005A72B7" w:rsidRPr="006A3D94" w:rsidRDefault="005A72B7" w:rsidP="00A76E59">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التعرّف على مستوى فاعلية منصة إيجار بخدماتها وآلياتها المختلفة من وجهة نظر المستفيدين (المؤجرين والمستأجرين والوسطاء العقاريين) في مدينة الرياض</w:t>
      </w:r>
      <w:r w:rsidRPr="006A3D94">
        <w:rPr>
          <w:rFonts w:ascii="Simplified Arabic" w:hAnsi="Simplified Arabic" w:cs="Simplified Arabic"/>
          <w:color w:val="000000" w:themeColor="text1"/>
          <w:sz w:val="28"/>
          <w:szCs w:val="28"/>
        </w:rPr>
        <w:t>.</w:t>
      </w:r>
    </w:p>
    <w:p w14:paraId="2E8F907B" w14:textId="77777777" w:rsidR="005A72B7" w:rsidRPr="006A3D94" w:rsidRDefault="005A72B7" w:rsidP="00A76E59">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قياس أثر منصة إيجار على تعزيز الشفافية المعلوماتية في سوق الإيجار العقاري بمدينة الرياض من حيث إتاحة البيانات السوقية والمؤشرات الإيجارية ومعلومات العقارات والأسعار</w:t>
      </w:r>
      <w:r w:rsidRPr="006A3D94">
        <w:rPr>
          <w:rFonts w:ascii="Simplified Arabic" w:hAnsi="Simplified Arabic" w:cs="Simplified Arabic"/>
          <w:color w:val="000000" w:themeColor="text1"/>
          <w:sz w:val="28"/>
          <w:szCs w:val="28"/>
        </w:rPr>
        <w:t>.</w:t>
      </w:r>
    </w:p>
    <w:p w14:paraId="54A6862A" w14:textId="77777777" w:rsidR="005A72B7" w:rsidRPr="006A3D94" w:rsidRDefault="005A72B7" w:rsidP="00A76E59">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قياس أثر منصة إيجار على تحسين التوثيق الإلكتروني للعقود الإيجارية من حيث توحيد صيغ العقود واعتمادها قانونيًّا وحفظها رقميًّا وسهولة الوصول إليها والتحقق منها</w:t>
      </w:r>
      <w:r w:rsidRPr="006A3D94">
        <w:rPr>
          <w:rFonts w:ascii="Simplified Arabic" w:hAnsi="Simplified Arabic" w:cs="Simplified Arabic"/>
          <w:color w:val="000000" w:themeColor="text1"/>
          <w:sz w:val="28"/>
          <w:szCs w:val="28"/>
        </w:rPr>
        <w:t>.</w:t>
      </w:r>
    </w:p>
    <w:p w14:paraId="1375DE0A" w14:textId="77777777" w:rsidR="005A72B7" w:rsidRPr="006A3D94" w:rsidRDefault="005A72B7" w:rsidP="00A76E59">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قياس أثر منصة إيجار على تطوير آليات فض النزاعات وحماية حقوق أطراف العلاقة الإيجارية من حيث توفير قنوات التسوية الودية والإبلاغ عن المخالفات وإنفاذ الالتزامات التعاقدية</w:t>
      </w:r>
      <w:r w:rsidRPr="006A3D94">
        <w:rPr>
          <w:rFonts w:ascii="Simplified Arabic" w:hAnsi="Simplified Arabic" w:cs="Simplified Arabic"/>
          <w:color w:val="000000" w:themeColor="text1"/>
          <w:sz w:val="28"/>
          <w:szCs w:val="28"/>
        </w:rPr>
        <w:t>.</w:t>
      </w:r>
    </w:p>
    <w:p w14:paraId="2BD3E4E0" w14:textId="77777777" w:rsidR="005A72B7" w:rsidRPr="006A3D94" w:rsidRDefault="005A72B7" w:rsidP="00A76E59">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قياس أثر منصة إيجار على فاعلية مؤشر السلوك الإيجاري في تقييم التزام أطراف العلاقة الإيجارية وتعزيز المساءلة المتبادلة بين المؤجر والمستأجر</w:t>
      </w:r>
      <w:r w:rsidRPr="006A3D94">
        <w:rPr>
          <w:rFonts w:ascii="Simplified Arabic" w:hAnsi="Simplified Arabic" w:cs="Simplified Arabic"/>
          <w:color w:val="000000" w:themeColor="text1"/>
          <w:sz w:val="28"/>
          <w:szCs w:val="28"/>
        </w:rPr>
        <w:t>.</w:t>
      </w:r>
    </w:p>
    <w:p w14:paraId="4F86A0B1" w14:textId="77777777" w:rsidR="005A72B7" w:rsidRPr="006A3D94" w:rsidRDefault="005A72B7" w:rsidP="00A76E59">
      <w:pPr>
        <w:pStyle w:val="NormalWeb"/>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تقديم توصيات علمية وعملية قابلة للتطبيق تُسهم في تعزيز دور منصة إيجار في حماية حقوق الأطراف ورفع مستوى الشفافية في سوق الإيجار العقاري بالمملكة العربية السعودية</w:t>
      </w:r>
    </w:p>
    <w:p w14:paraId="1F55A64B" w14:textId="77777777" w:rsidR="00A76E59" w:rsidRPr="006A3D94" w:rsidRDefault="00A76E59" w:rsidP="00A76E5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465040"/>
      <w:bookmarkEnd w:id="8"/>
      <w:r w:rsidRPr="006A3D94">
        <w:rPr>
          <w:rFonts w:ascii="Simplified Arabic" w:eastAsia="Times New Roman" w:hAnsi="Simplified Arabic" w:cs="Simplified Arabic"/>
          <w:b/>
          <w:bCs/>
          <w:color w:val="000000" w:themeColor="text1"/>
          <w:kern w:val="0"/>
          <w:sz w:val="36"/>
          <w:szCs w:val="36"/>
          <w:rtl/>
          <w14:ligatures w14:val="none"/>
        </w:rPr>
        <w:t>5.1 تساؤلات الدراسة</w:t>
      </w:r>
      <w:bookmarkEnd w:id="10"/>
    </w:p>
    <w:p w14:paraId="33D9605E" w14:textId="77777777" w:rsidR="00A76E59" w:rsidRPr="006A3D94" w:rsidRDefault="00A76E59"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A3D94">
        <w:rPr>
          <w:rFonts w:ascii="Simplified Arabic" w:eastAsia="Times New Roman" w:hAnsi="Simplified Arabic" w:cs="Simplified Arabic"/>
          <w:color w:val="000000" w:themeColor="text1"/>
          <w:kern w:val="0"/>
          <w:sz w:val="28"/>
          <w:szCs w:val="28"/>
          <w:rtl/>
          <w14:ligatures w14:val="none"/>
        </w:rPr>
        <w:t>السؤال الرئيسي : ما أثر منصة إيجار على تعزيز الشفافية وحماية حقوق أطراف العلاقة الإيجارية بأبعادها (الشفافية المعلوماتية، التوثيق الإلكتروني للعقود، آليات فض النزاعات وحماية الحقوق، مؤشر السلوك الإيجاري) في سوق الإيجار العقاري بمدينة الرياض من وجهة نظر المستفيدين؟</w:t>
      </w:r>
    </w:p>
    <w:p w14:paraId="4B3C26A4" w14:textId="3552B6D0" w:rsidR="00A76E59" w:rsidRPr="006A3D94" w:rsidRDefault="00A76E59" w:rsidP="00A76E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6A3D94">
        <w:rPr>
          <w:rFonts w:ascii="Simplified Arabic" w:eastAsia="Times New Roman" w:hAnsi="Simplified Arabic" w:cs="Simplified Arabic"/>
          <w:b/>
          <w:bCs/>
          <w:color w:val="000000" w:themeColor="text1"/>
          <w:kern w:val="0"/>
          <w:sz w:val="32"/>
          <w:szCs w:val="32"/>
          <w:rtl/>
          <w14:ligatures w14:val="none"/>
        </w:rPr>
        <w:t>الأسئلة الفرعية</w:t>
      </w:r>
    </w:p>
    <w:p w14:paraId="410A94C9" w14:textId="77777777" w:rsidR="005A72B7" w:rsidRPr="006A3D94" w:rsidRDefault="005A72B7" w:rsidP="00A76E59">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ما مستوى فاعلية منصة إيجار بخدماتها وآلياتها المختلفة من وجهة نظر المستفيدين في مدينة الرياض؟</w:t>
      </w:r>
    </w:p>
    <w:p w14:paraId="4DFAAA47" w14:textId="77777777" w:rsidR="005A72B7" w:rsidRPr="006A3D94" w:rsidRDefault="005A72B7" w:rsidP="00A76E59">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ما أثر منصة إيجار على تعزيز الشفافية المعلوماتية في سوق الإيجار العقاري بمدينة الرياض؟</w:t>
      </w:r>
    </w:p>
    <w:p w14:paraId="246335AB" w14:textId="77777777" w:rsidR="005A72B7" w:rsidRPr="006A3D94" w:rsidRDefault="005A72B7" w:rsidP="00A76E59">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ما أثر منصة إيجار على تحسين التوثيق الإلكتروني للعقود الإيجارية في مدينة الرياض؟</w:t>
      </w:r>
    </w:p>
    <w:p w14:paraId="0D0EACBA" w14:textId="77777777" w:rsidR="005A72B7" w:rsidRPr="006A3D94" w:rsidRDefault="005A72B7" w:rsidP="00A76E59">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ما أثر منصة إيجار على تطوير آليات فض النزاعات وحماية حقوق أطراف العلاقة الإيجارية في مدينة الرياض؟</w:t>
      </w:r>
    </w:p>
    <w:p w14:paraId="0705199D" w14:textId="77777777" w:rsidR="005A72B7" w:rsidRPr="006A3D94" w:rsidRDefault="005A72B7" w:rsidP="00A76E59">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ما أثر منصة إيجار على فاعلية مؤشر السلوك الإيجاري في تقييم التزام أطراف العلاقة الإيجارية في مدينة الرياض؟</w:t>
      </w:r>
    </w:p>
    <w:p w14:paraId="352FB27D" w14:textId="4314B53E" w:rsidR="00A76E59" w:rsidRPr="006A3D94" w:rsidRDefault="00A76E59" w:rsidP="00A76E5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1" w:name="_Toc169790499"/>
      <w:bookmarkStart w:id="12" w:name="_Toc233465041"/>
      <w:r w:rsidRPr="006A3D94">
        <w:rPr>
          <w:rFonts w:ascii="Simplified Arabic" w:hAnsi="Simplified Arabic" w:cs="Simplified Arabic"/>
          <w:b/>
          <w:bCs/>
          <w:color w:val="000000" w:themeColor="text1"/>
          <w:sz w:val="36"/>
          <w:szCs w:val="36"/>
          <w:rtl/>
        </w:rPr>
        <w:t>6.1 فروض الدراسة:</w:t>
      </w:r>
      <w:bookmarkEnd w:id="12"/>
    </w:p>
    <w:p w14:paraId="5634E221" w14:textId="342CDEB8" w:rsidR="005A72B7" w:rsidRPr="006A3D94" w:rsidRDefault="005A72B7" w:rsidP="00A76E59">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الفرضية الرئيسة</w:t>
      </w:r>
      <w:r w:rsidR="001C3442" w:rsidRPr="006A3D94">
        <w:rPr>
          <w:rFonts w:ascii="Simplified Arabic" w:hAnsi="Simplified Arabic" w:cs="Simplified Arabic"/>
          <w:color w:val="000000" w:themeColor="text1"/>
          <w:sz w:val="28"/>
          <w:szCs w:val="28"/>
          <w:rtl/>
        </w:rPr>
        <w:t>:</w:t>
      </w:r>
      <w:r w:rsidR="001C3442" w:rsidRPr="006A3D94">
        <w:rPr>
          <w:rStyle w:val="Strong"/>
          <w:rFonts w:ascii="Simplified Arabic" w:hAnsi="Simplified Arabic" w:cs="Simplified Arabic"/>
          <w:b w:val="0"/>
          <w:bCs w:val="0"/>
          <w:color w:val="000000" w:themeColor="text1"/>
          <w:sz w:val="28"/>
          <w:szCs w:val="28"/>
          <w:rtl/>
        </w:rPr>
        <w:t xml:space="preserve"> </w:t>
      </w:r>
      <w:r w:rsidRPr="006A3D94">
        <w:rPr>
          <w:rStyle w:val="Strong"/>
          <w:rFonts w:ascii="Simplified Arabic" w:hAnsi="Simplified Arabic" w:cs="Simplified Arabic"/>
          <w:b w:val="0"/>
          <w:bCs w:val="0"/>
          <w:color w:val="000000" w:themeColor="text1"/>
          <w:sz w:val="28"/>
          <w:szCs w:val="28"/>
        </w:rPr>
        <w:t>H1:</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يوجد أثر ذو دلالة إحصائية عند مستوى معنوية</w:t>
      </w:r>
      <w:r w:rsidRPr="006A3D94">
        <w:rPr>
          <w:rFonts w:ascii="Simplified Arabic" w:hAnsi="Simplified Arabic" w:cs="Simplified Arabic"/>
          <w:color w:val="000000" w:themeColor="text1"/>
          <w:sz w:val="28"/>
          <w:szCs w:val="28"/>
        </w:rPr>
        <w:t xml:space="preserve"> (</w:t>
      </w:r>
      <w:r w:rsidRPr="006A3D94">
        <w:rPr>
          <w:rFonts w:ascii="Cambria" w:hAnsi="Cambria" w:cs="Cambria"/>
          <w:color w:val="000000" w:themeColor="text1"/>
          <w:sz w:val="28"/>
          <w:szCs w:val="28"/>
        </w:rPr>
        <w:t>α</w:t>
      </w:r>
      <w:r w:rsidRPr="006A3D94">
        <w:rPr>
          <w:rFonts w:ascii="Simplified Arabic" w:hAnsi="Simplified Arabic" w:cs="Simplified Arabic"/>
          <w:color w:val="000000" w:themeColor="text1"/>
          <w:sz w:val="28"/>
          <w:szCs w:val="28"/>
        </w:rPr>
        <w:t xml:space="preserve"> </w:t>
      </w:r>
      <w:r w:rsidRPr="006A3D94">
        <w:rPr>
          <w:rFonts w:ascii="Times New Roman" w:hAnsi="Times New Roman" w:cs="Times New Roman"/>
          <w:color w:val="000000" w:themeColor="text1"/>
          <w:sz w:val="28"/>
          <w:szCs w:val="28"/>
        </w:rPr>
        <w:t>≤</w:t>
      </w:r>
      <w:r w:rsidRPr="006A3D94">
        <w:rPr>
          <w:rFonts w:ascii="Simplified Arabic" w:hAnsi="Simplified Arabic" w:cs="Simplified Arabic"/>
          <w:color w:val="000000" w:themeColor="text1"/>
          <w:sz w:val="28"/>
          <w:szCs w:val="28"/>
        </w:rPr>
        <w:t xml:space="preserve"> 0.05) </w:t>
      </w:r>
      <w:r w:rsidRPr="006A3D94">
        <w:rPr>
          <w:rFonts w:ascii="Simplified Arabic" w:hAnsi="Simplified Arabic" w:cs="Simplified Arabic"/>
          <w:color w:val="000000" w:themeColor="text1"/>
          <w:sz w:val="28"/>
          <w:szCs w:val="28"/>
          <w:rtl/>
        </w:rPr>
        <w:t>لمنصة إيجار على تعزيز الشفافية وحماية حقوق أطراف العلاقة الإيجارية بأبعادها مجتمعةً في سوق الإيجار العقاري بمدينة الرياض</w:t>
      </w:r>
      <w:r w:rsidRPr="006A3D94">
        <w:rPr>
          <w:rFonts w:ascii="Simplified Arabic" w:hAnsi="Simplified Arabic" w:cs="Simplified Arabic"/>
          <w:color w:val="000000" w:themeColor="text1"/>
          <w:sz w:val="28"/>
          <w:szCs w:val="28"/>
        </w:rPr>
        <w:t>.</w:t>
      </w:r>
    </w:p>
    <w:p w14:paraId="45D3EAEC" w14:textId="77777777" w:rsidR="005A72B7" w:rsidRPr="006A3D94" w:rsidRDefault="005A72B7" w:rsidP="00A76E59">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6A3D94">
        <w:rPr>
          <w:rFonts w:ascii="Simplified Arabic" w:hAnsi="Simplified Arabic" w:cs="Simplified Arabic"/>
          <w:b/>
          <w:bCs/>
          <w:color w:val="000000" w:themeColor="text1"/>
          <w:sz w:val="28"/>
          <w:szCs w:val="28"/>
          <w:rtl/>
        </w:rPr>
        <w:t>الفرضيات الفرعية المنبثقة من الفرضية الرئيسة</w:t>
      </w:r>
    </w:p>
    <w:p w14:paraId="6DE83EE4" w14:textId="77777777" w:rsidR="005A72B7" w:rsidRPr="006A3D94" w:rsidRDefault="005A72B7" w:rsidP="00A76E59">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b w:val="0"/>
          <w:bCs w:val="0"/>
          <w:color w:val="000000" w:themeColor="text1"/>
          <w:sz w:val="28"/>
          <w:szCs w:val="28"/>
        </w:rPr>
        <w:t>H1-1:</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يوجد أثر ذو دلالة إحصائية عند مستوى معنوية</w:t>
      </w:r>
      <w:r w:rsidRPr="006A3D94">
        <w:rPr>
          <w:rFonts w:ascii="Simplified Arabic" w:hAnsi="Simplified Arabic" w:cs="Simplified Arabic"/>
          <w:color w:val="000000" w:themeColor="text1"/>
          <w:sz w:val="28"/>
          <w:szCs w:val="28"/>
        </w:rPr>
        <w:t xml:space="preserve"> (</w:t>
      </w:r>
      <w:r w:rsidRPr="006A3D94">
        <w:rPr>
          <w:rFonts w:ascii="Cambria" w:hAnsi="Cambria" w:cs="Cambria"/>
          <w:color w:val="000000" w:themeColor="text1"/>
          <w:sz w:val="28"/>
          <w:szCs w:val="28"/>
        </w:rPr>
        <w:t>α</w:t>
      </w:r>
      <w:r w:rsidRPr="006A3D94">
        <w:rPr>
          <w:rFonts w:ascii="Simplified Arabic" w:hAnsi="Simplified Arabic" w:cs="Simplified Arabic"/>
          <w:color w:val="000000" w:themeColor="text1"/>
          <w:sz w:val="28"/>
          <w:szCs w:val="28"/>
        </w:rPr>
        <w:t xml:space="preserve"> </w:t>
      </w:r>
      <w:r w:rsidRPr="006A3D94">
        <w:rPr>
          <w:color w:val="000000" w:themeColor="text1"/>
          <w:sz w:val="28"/>
          <w:szCs w:val="28"/>
        </w:rPr>
        <w:t>≤</w:t>
      </w:r>
      <w:r w:rsidRPr="006A3D94">
        <w:rPr>
          <w:rFonts w:ascii="Simplified Arabic" w:hAnsi="Simplified Arabic" w:cs="Simplified Arabic"/>
          <w:color w:val="000000" w:themeColor="text1"/>
          <w:sz w:val="28"/>
          <w:szCs w:val="28"/>
        </w:rPr>
        <w:t xml:space="preserve"> 0.05) </w:t>
      </w:r>
      <w:r w:rsidRPr="006A3D94">
        <w:rPr>
          <w:rFonts w:ascii="Simplified Arabic" w:hAnsi="Simplified Arabic" w:cs="Simplified Arabic"/>
          <w:color w:val="000000" w:themeColor="text1"/>
          <w:sz w:val="28"/>
          <w:szCs w:val="28"/>
          <w:rtl/>
        </w:rPr>
        <w:t>لمنصة إيجار على تعزيز الشفافية المعلوماتية في سوق الإيجار العقاري بمدينة الرياض</w:t>
      </w:r>
      <w:r w:rsidRPr="006A3D94">
        <w:rPr>
          <w:rFonts w:ascii="Simplified Arabic" w:hAnsi="Simplified Arabic" w:cs="Simplified Arabic"/>
          <w:color w:val="000000" w:themeColor="text1"/>
          <w:sz w:val="28"/>
          <w:szCs w:val="28"/>
        </w:rPr>
        <w:t>.</w:t>
      </w:r>
    </w:p>
    <w:p w14:paraId="01C1A4E5" w14:textId="77777777" w:rsidR="005A72B7" w:rsidRPr="006A3D94" w:rsidRDefault="005A72B7" w:rsidP="00A76E59">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b w:val="0"/>
          <w:bCs w:val="0"/>
          <w:color w:val="000000" w:themeColor="text1"/>
          <w:sz w:val="28"/>
          <w:szCs w:val="28"/>
        </w:rPr>
        <w:t>H1-2:</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يوجد أثر ذو دلالة إحصائية عند مستوى معنوية</w:t>
      </w:r>
      <w:r w:rsidRPr="006A3D94">
        <w:rPr>
          <w:rFonts w:ascii="Simplified Arabic" w:hAnsi="Simplified Arabic" w:cs="Simplified Arabic"/>
          <w:color w:val="000000" w:themeColor="text1"/>
          <w:sz w:val="28"/>
          <w:szCs w:val="28"/>
        </w:rPr>
        <w:t xml:space="preserve"> (</w:t>
      </w:r>
      <w:r w:rsidRPr="006A3D94">
        <w:rPr>
          <w:rFonts w:ascii="Cambria" w:hAnsi="Cambria" w:cs="Cambria"/>
          <w:color w:val="000000" w:themeColor="text1"/>
          <w:sz w:val="28"/>
          <w:szCs w:val="28"/>
        </w:rPr>
        <w:t>α</w:t>
      </w:r>
      <w:r w:rsidRPr="006A3D94">
        <w:rPr>
          <w:rFonts w:ascii="Simplified Arabic" w:hAnsi="Simplified Arabic" w:cs="Simplified Arabic"/>
          <w:color w:val="000000" w:themeColor="text1"/>
          <w:sz w:val="28"/>
          <w:szCs w:val="28"/>
        </w:rPr>
        <w:t xml:space="preserve"> </w:t>
      </w:r>
      <w:r w:rsidRPr="006A3D94">
        <w:rPr>
          <w:color w:val="000000" w:themeColor="text1"/>
          <w:sz w:val="28"/>
          <w:szCs w:val="28"/>
        </w:rPr>
        <w:t>≤</w:t>
      </w:r>
      <w:r w:rsidRPr="006A3D94">
        <w:rPr>
          <w:rFonts w:ascii="Simplified Arabic" w:hAnsi="Simplified Arabic" w:cs="Simplified Arabic"/>
          <w:color w:val="000000" w:themeColor="text1"/>
          <w:sz w:val="28"/>
          <w:szCs w:val="28"/>
        </w:rPr>
        <w:t xml:space="preserve"> 0.05) </w:t>
      </w:r>
      <w:r w:rsidRPr="006A3D94">
        <w:rPr>
          <w:rFonts w:ascii="Simplified Arabic" w:hAnsi="Simplified Arabic" w:cs="Simplified Arabic"/>
          <w:color w:val="000000" w:themeColor="text1"/>
          <w:sz w:val="28"/>
          <w:szCs w:val="28"/>
          <w:rtl/>
        </w:rPr>
        <w:t>لمنصة إيجار على تحسين التوثيق الإلكتروني للعقود الإيجارية في مدينة الرياض</w:t>
      </w:r>
      <w:r w:rsidRPr="006A3D94">
        <w:rPr>
          <w:rFonts w:ascii="Simplified Arabic" w:hAnsi="Simplified Arabic" w:cs="Simplified Arabic"/>
          <w:color w:val="000000" w:themeColor="text1"/>
          <w:sz w:val="28"/>
          <w:szCs w:val="28"/>
        </w:rPr>
        <w:t>.</w:t>
      </w:r>
    </w:p>
    <w:p w14:paraId="7CDFA69A" w14:textId="77777777" w:rsidR="005A72B7" w:rsidRPr="006A3D94" w:rsidRDefault="005A72B7" w:rsidP="00A76E59">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b w:val="0"/>
          <w:bCs w:val="0"/>
          <w:color w:val="000000" w:themeColor="text1"/>
          <w:sz w:val="28"/>
          <w:szCs w:val="28"/>
        </w:rPr>
        <w:t>H1-3:</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يوجد أثر ذو دلالة إحصائية عند مستوى معنوية</w:t>
      </w:r>
      <w:r w:rsidRPr="006A3D94">
        <w:rPr>
          <w:rFonts w:ascii="Simplified Arabic" w:hAnsi="Simplified Arabic" w:cs="Simplified Arabic"/>
          <w:color w:val="000000" w:themeColor="text1"/>
          <w:sz w:val="28"/>
          <w:szCs w:val="28"/>
        </w:rPr>
        <w:t xml:space="preserve"> (</w:t>
      </w:r>
      <w:r w:rsidRPr="006A3D94">
        <w:rPr>
          <w:rFonts w:ascii="Cambria" w:hAnsi="Cambria" w:cs="Cambria"/>
          <w:color w:val="000000" w:themeColor="text1"/>
          <w:sz w:val="28"/>
          <w:szCs w:val="28"/>
        </w:rPr>
        <w:t>α</w:t>
      </w:r>
      <w:r w:rsidRPr="006A3D94">
        <w:rPr>
          <w:rFonts w:ascii="Simplified Arabic" w:hAnsi="Simplified Arabic" w:cs="Simplified Arabic"/>
          <w:color w:val="000000" w:themeColor="text1"/>
          <w:sz w:val="28"/>
          <w:szCs w:val="28"/>
        </w:rPr>
        <w:t xml:space="preserve"> </w:t>
      </w:r>
      <w:r w:rsidRPr="006A3D94">
        <w:rPr>
          <w:color w:val="000000" w:themeColor="text1"/>
          <w:sz w:val="28"/>
          <w:szCs w:val="28"/>
        </w:rPr>
        <w:t>≤</w:t>
      </w:r>
      <w:r w:rsidRPr="006A3D94">
        <w:rPr>
          <w:rFonts w:ascii="Simplified Arabic" w:hAnsi="Simplified Arabic" w:cs="Simplified Arabic"/>
          <w:color w:val="000000" w:themeColor="text1"/>
          <w:sz w:val="28"/>
          <w:szCs w:val="28"/>
        </w:rPr>
        <w:t xml:space="preserve"> 0.05) </w:t>
      </w:r>
      <w:r w:rsidRPr="006A3D94">
        <w:rPr>
          <w:rFonts w:ascii="Simplified Arabic" w:hAnsi="Simplified Arabic" w:cs="Simplified Arabic"/>
          <w:color w:val="000000" w:themeColor="text1"/>
          <w:sz w:val="28"/>
          <w:szCs w:val="28"/>
          <w:rtl/>
        </w:rPr>
        <w:t>لمنصة إيجار على تطوير آليات فض النزاعات وحماية حقوق أطراف العلاقة الإيجارية في مدينة الرياض</w:t>
      </w:r>
      <w:r w:rsidRPr="006A3D94">
        <w:rPr>
          <w:rFonts w:ascii="Simplified Arabic" w:hAnsi="Simplified Arabic" w:cs="Simplified Arabic"/>
          <w:color w:val="000000" w:themeColor="text1"/>
          <w:sz w:val="28"/>
          <w:szCs w:val="28"/>
        </w:rPr>
        <w:t>.</w:t>
      </w:r>
    </w:p>
    <w:p w14:paraId="2B0751BE" w14:textId="77777777" w:rsidR="005A72B7" w:rsidRPr="006A3D94" w:rsidRDefault="005A72B7" w:rsidP="00A76E59">
      <w:pPr>
        <w:pStyle w:val="NormalWeb"/>
        <w:numPr>
          <w:ilvl w:val="0"/>
          <w:numId w:val="1"/>
        </w:numPr>
        <w:bidi/>
        <w:spacing w:line="276" w:lineRule="auto"/>
        <w:ind w:left="424"/>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b w:val="0"/>
          <w:bCs w:val="0"/>
          <w:color w:val="000000" w:themeColor="text1"/>
          <w:sz w:val="28"/>
          <w:szCs w:val="28"/>
        </w:rPr>
        <w:t>H1-4:</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يوجد أثر ذو دلالة إحصائية عند مستوى معنوية</w:t>
      </w:r>
      <w:r w:rsidRPr="006A3D94">
        <w:rPr>
          <w:rFonts w:ascii="Simplified Arabic" w:hAnsi="Simplified Arabic" w:cs="Simplified Arabic"/>
          <w:color w:val="000000" w:themeColor="text1"/>
          <w:sz w:val="28"/>
          <w:szCs w:val="28"/>
        </w:rPr>
        <w:t xml:space="preserve"> (</w:t>
      </w:r>
      <w:r w:rsidRPr="006A3D94">
        <w:rPr>
          <w:rFonts w:ascii="Cambria" w:hAnsi="Cambria" w:cs="Cambria"/>
          <w:color w:val="000000" w:themeColor="text1"/>
          <w:sz w:val="28"/>
          <w:szCs w:val="28"/>
        </w:rPr>
        <w:t>α</w:t>
      </w:r>
      <w:r w:rsidRPr="006A3D94">
        <w:rPr>
          <w:rFonts w:ascii="Simplified Arabic" w:hAnsi="Simplified Arabic" w:cs="Simplified Arabic"/>
          <w:color w:val="000000" w:themeColor="text1"/>
          <w:sz w:val="28"/>
          <w:szCs w:val="28"/>
        </w:rPr>
        <w:t xml:space="preserve"> </w:t>
      </w:r>
      <w:r w:rsidRPr="006A3D94">
        <w:rPr>
          <w:color w:val="000000" w:themeColor="text1"/>
          <w:sz w:val="28"/>
          <w:szCs w:val="28"/>
        </w:rPr>
        <w:t>≤</w:t>
      </w:r>
      <w:r w:rsidRPr="006A3D94">
        <w:rPr>
          <w:rFonts w:ascii="Simplified Arabic" w:hAnsi="Simplified Arabic" w:cs="Simplified Arabic"/>
          <w:color w:val="000000" w:themeColor="text1"/>
          <w:sz w:val="28"/>
          <w:szCs w:val="28"/>
        </w:rPr>
        <w:t xml:space="preserve"> 0.05) </w:t>
      </w:r>
      <w:r w:rsidRPr="006A3D94">
        <w:rPr>
          <w:rFonts w:ascii="Simplified Arabic" w:hAnsi="Simplified Arabic" w:cs="Simplified Arabic"/>
          <w:color w:val="000000" w:themeColor="text1"/>
          <w:sz w:val="28"/>
          <w:szCs w:val="28"/>
          <w:rtl/>
        </w:rPr>
        <w:t>لمنصة إيجار على فاعلية مؤشر السلوك الإيجاري في تقييم التزام أطراف العلاقة الإيجارية في مدينة الرياض</w:t>
      </w:r>
      <w:r w:rsidRPr="006A3D94">
        <w:rPr>
          <w:rFonts w:ascii="Simplified Arabic" w:hAnsi="Simplified Arabic" w:cs="Simplified Arabic"/>
          <w:color w:val="000000" w:themeColor="text1"/>
          <w:sz w:val="28"/>
          <w:szCs w:val="28"/>
        </w:rPr>
        <w:t>.</w:t>
      </w:r>
    </w:p>
    <w:p w14:paraId="33F81E18" w14:textId="77777777" w:rsidR="00A76E59" w:rsidRPr="006A3D94" w:rsidRDefault="00A76E59" w:rsidP="00A76E59">
      <w:pPr>
        <w:pStyle w:val="NormalWeb"/>
        <w:bidi/>
        <w:spacing w:line="276" w:lineRule="auto"/>
        <w:outlineLvl w:val="1"/>
        <w:rPr>
          <w:rFonts w:ascii="Simplified Arabic" w:eastAsiaTheme="majorEastAsia" w:hAnsi="Simplified Arabic" w:cs="Simplified Arabic"/>
          <w:b/>
          <w:bCs/>
          <w:color w:val="000000" w:themeColor="text1"/>
          <w:sz w:val="36"/>
          <w:szCs w:val="36"/>
          <w:rtl/>
        </w:rPr>
      </w:pPr>
      <w:bookmarkStart w:id="13" w:name="_Toc233465042"/>
      <w:r w:rsidRPr="006A3D94">
        <w:rPr>
          <w:rFonts w:ascii="Simplified Arabic" w:eastAsiaTheme="majorEastAsia" w:hAnsi="Simplified Arabic" w:cs="Simplified Arabic"/>
          <w:b/>
          <w:bCs/>
          <w:color w:val="000000" w:themeColor="text1"/>
          <w:sz w:val="36"/>
          <w:szCs w:val="36"/>
        </w:rPr>
        <w:t xml:space="preserve">7.1 </w:t>
      </w:r>
      <w:r w:rsidRPr="006A3D94">
        <w:rPr>
          <w:rFonts w:ascii="Simplified Arabic" w:eastAsiaTheme="majorEastAsia" w:hAnsi="Simplified Arabic" w:cs="Simplified Arabic"/>
          <w:b/>
          <w:bCs/>
          <w:color w:val="000000" w:themeColor="text1"/>
          <w:sz w:val="36"/>
          <w:szCs w:val="36"/>
          <w:rtl/>
        </w:rPr>
        <w:t>الدراسات السابقة</w:t>
      </w:r>
      <w:r w:rsidRPr="006A3D94">
        <w:rPr>
          <w:rFonts w:ascii="Simplified Arabic" w:eastAsiaTheme="majorEastAsia" w:hAnsi="Simplified Arabic" w:cs="Simplified Arabic"/>
          <w:b/>
          <w:bCs/>
          <w:color w:val="000000" w:themeColor="text1"/>
          <w:sz w:val="36"/>
          <w:szCs w:val="36"/>
        </w:rPr>
        <w:t>:</w:t>
      </w:r>
      <w:bookmarkEnd w:id="13"/>
    </w:p>
    <w:p w14:paraId="57E574EB" w14:textId="50A75BEE" w:rsidR="0058591B" w:rsidRPr="006A3D94" w:rsidRDefault="00A76E59" w:rsidP="00A76E59">
      <w:pPr>
        <w:pStyle w:val="NormalWeb"/>
        <w:bidi/>
        <w:spacing w:line="276" w:lineRule="auto"/>
        <w:jc w:val="both"/>
        <w:rPr>
          <w:rFonts w:ascii="Simplified Arabic" w:eastAsiaTheme="majorEastAsia" w:hAnsi="Simplified Arabic" w:cs="Simplified Arabic"/>
          <w:b/>
          <w:bCs/>
          <w:color w:val="000000" w:themeColor="text1"/>
          <w:sz w:val="32"/>
          <w:szCs w:val="32"/>
        </w:rPr>
      </w:pPr>
      <w:r w:rsidRPr="006A3D94">
        <w:rPr>
          <w:rFonts w:ascii="Simplified Arabic" w:eastAsiaTheme="majorEastAsia" w:hAnsi="Simplified Arabic" w:cs="Simplified Arabic"/>
          <w:b/>
          <w:bCs/>
          <w:color w:val="000000" w:themeColor="text1"/>
          <w:sz w:val="32"/>
          <w:szCs w:val="32"/>
          <w:rtl/>
        </w:rPr>
        <w:t>المحور الأول: المتغير المستقل (المنصات الرقمية) وعلاقته بمتغيرات أخرى</w:t>
      </w:r>
    </w:p>
    <w:p w14:paraId="7EF8181C" w14:textId="77777777" w:rsidR="005A72B7" w:rsidRPr="006A3D94" w:rsidRDefault="005A72B7" w:rsidP="00A76E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14" w:name="_Toc170243312"/>
      <w:bookmarkEnd w:id="11"/>
      <w:r w:rsidRPr="006A3D94">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40F5137B" w14:textId="77777777" w:rsidR="00A76E59" w:rsidRPr="006A3D94" w:rsidRDefault="00A76E59"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w:t>
      </w:r>
      <w:r w:rsidRPr="006A3D94">
        <w:rPr>
          <w:rFonts w:ascii="Simplified Arabic" w:eastAsia="Times New Roman" w:hAnsi="Simplified Arabic" w:cs="Simplified Arabic"/>
          <w:b/>
          <w:bCs/>
          <w:color w:val="000000" w:themeColor="text1"/>
          <w:kern w:val="0"/>
          <w:sz w:val="28"/>
          <w:szCs w:val="28"/>
          <w14:ligatures w14:val="none"/>
        </w:rPr>
        <w:t xml:space="preserve"> Ulfbeck, Petersen, and Hansen (2018): </w:t>
      </w:r>
    </w:p>
    <w:p w14:paraId="3244BCBC" w14:textId="14F933DF" w:rsidR="00A76E59" w:rsidRPr="006A3D94" w:rsidRDefault="00A76E59"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A3D94">
        <w:rPr>
          <w:rFonts w:ascii="Simplified Arabic" w:eastAsia="Times New Roman" w:hAnsi="Simplified Arabic" w:cs="Simplified Arabic"/>
          <w:color w:val="000000" w:themeColor="text1"/>
          <w:kern w:val="0"/>
          <w:sz w:val="28"/>
          <w:szCs w:val="28"/>
          <w:rtl/>
          <w14:ligatures w14:val="none"/>
        </w:rPr>
        <w:t>تناولت هذه الدراسة المنصات الرقمية بوصفها أنظمة حوكمة خاصة، مستخدمةً منصة</w:t>
      </w:r>
      <w:r w:rsidRPr="006A3D94">
        <w:rPr>
          <w:rFonts w:ascii="Simplified Arabic" w:eastAsia="Times New Roman" w:hAnsi="Simplified Arabic" w:cs="Simplified Arabic"/>
          <w:color w:val="000000" w:themeColor="text1"/>
          <w:kern w:val="0"/>
          <w:sz w:val="28"/>
          <w:szCs w:val="28"/>
          <w14:ligatures w14:val="none"/>
        </w:rPr>
        <w:t xml:space="preserve"> Airbnb </w:t>
      </w:r>
      <w:r w:rsidRPr="006A3D94">
        <w:rPr>
          <w:rFonts w:ascii="Simplified Arabic" w:eastAsia="Times New Roman" w:hAnsi="Simplified Arabic" w:cs="Simplified Arabic"/>
          <w:color w:val="000000" w:themeColor="text1"/>
          <w:kern w:val="0"/>
          <w:sz w:val="28"/>
          <w:szCs w:val="28"/>
          <w:rtl/>
          <w14:ligatures w14:val="none"/>
        </w:rPr>
        <w:t xml:space="preserve">نموذجًا تحليليًّا، واعتمدت المنهج التحليلي القانوني. وبحثت في كيفية قيام المنصة بوضع القواعد التعاقدية </w:t>
      </w:r>
      <w:r w:rsidRPr="006A3D94">
        <w:rPr>
          <w:rFonts w:ascii="Simplified Arabic" w:eastAsia="Times New Roman" w:hAnsi="Simplified Arabic" w:cs="Simplified Arabic"/>
          <w:color w:val="000000" w:themeColor="text1"/>
          <w:kern w:val="0"/>
          <w:sz w:val="28"/>
          <w:szCs w:val="28"/>
          <w:rtl/>
          <w14:ligatures w14:val="none"/>
        </w:rPr>
        <w:lastRenderedPageBreak/>
        <w:t>وإنفاذها وإدارة النزاعات بين المستخدمين، مؤكّدةً أن المنصات الرقمية في قطاع الإيجار تتجاوز دور الوسيط التقني لتُصبح منظوماتٍ حوكمية تؤثر في حقوق الأطراف وتوازن العلاقة التعاقدية. وتتّسق مع الدراسة الحالية في تحليل دور المنصة الرقمية في تنظيم العلاقة الإيجارية، وتختلف في أنها دراسة قانونية تحليلية طُبّقت في السياق الأوروبي على منصة خاصة لا حكومية</w:t>
      </w:r>
      <w:r w:rsidRPr="006A3D94">
        <w:rPr>
          <w:rFonts w:ascii="Simplified Arabic" w:eastAsia="Times New Roman" w:hAnsi="Simplified Arabic" w:cs="Simplified Arabic"/>
          <w:color w:val="000000" w:themeColor="text1"/>
          <w:kern w:val="0"/>
          <w:sz w:val="28"/>
          <w:szCs w:val="28"/>
          <w14:ligatures w14:val="none"/>
        </w:rPr>
        <w:t xml:space="preserve"> (Ulfbeck, Petersen, &amp; Hansen, 2018).</w:t>
      </w:r>
    </w:p>
    <w:p w14:paraId="0A17154B"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راشد والجمل</w:t>
      </w:r>
      <w:r w:rsidRPr="006A3D94">
        <w:rPr>
          <w:rFonts w:ascii="Simplified Arabic" w:eastAsia="Times New Roman" w:hAnsi="Simplified Arabic" w:cs="Simplified Arabic"/>
          <w:b/>
          <w:bCs/>
          <w:color w:val="000000" w:themeColor="text1"/>
          <w:kern w:val="0"/>
          <w:sz w:val="28"/>
          <w:szCs w:val="28"/>
          <w14:ligatures w14:val="none"/>
        </w:rPr>
        <w:t xml:space="preserve"> (2022): </w:t>
      </w:r>
    </w:p>
    <w:p w14:paraId="0EC1E3EF" w14:textId="32989AF1"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 xml:space="preserve">هدفت هذه الدراسة إلى تحديد مدى فاعلية التحول الرقمي في تعزيز الشفافية بمنظمات المجتمع المدني، واعتمدت المنهج الوصفي التحليلي على عينة قوامها </w:t>
      </w:r>
      <w:r w:rsidRPr="006A3D94">
        <w:rPr>
          <w:rFonts w:ascii="Simplified Arabic" w:eastAsia="Times New Roman" w:hAnsi="Simplified Arabic" w:cs="Simplified Arabic"/>
          <w:color w:val="000000" w:themeColor="text1"/>
          <w:kern w:val="0"/>
          <w:sz w:val="28"/>
          <w:szCs w:val="28"/>
          <w14:ligatures w14:val="none"/>
        </w:rPr>
        <w:t xml:space="preserve">250 </w:t>
      </w:r>
      <w:r w:rsidRPr="006A3D94">
        <w:rPr>
          <w:rFonts w:ascii="Simplified Arabic" w:eastAsia="Times New Roman" w:hAnsi="Simplified Arabic" w:cs="Simplified Arabic"/>
          <w:color w:val="000000" w:themeColor="text1"/>
          <w:kern w:val="0"/>
          <w:sz w:val="28"/>
          <w:szCs w:val="28"/>
          <w:rtl/>
          <w14:ligatures w14:val="none"/>
        </w:rPr>
        <w:t>مفردة من العاملين في هذه المنظمات. وقد تناولت الدراسة المنصات والأدوات الرقمية بوصفها متغيرًا مستقلًا وأثرها في تعزيز الشفافية الإدارية والمالية. وتوصّلت إلى وجود علاقة ذات دلالة إحصائية بين توظيف البنية التحتية الرقمية والخدمات الإلكترونية من جهة ومستوى الشفافية في هذه المنظمات من جهة أخرى. وتتّفق هذه الدراسة مع الدراسة الحالية في تناول المنصات الرقمية كمتغير مستقل مؤثر في الشفافية، وتختلف عنها في بيئة التطبيق التي ركّزت على منظمات المجتمع المدني بدلًا من سوق الإيجار العقاري (راشد والجمل، 2022)</w:t>
      </w:r>
      <w:r w:rsidRPr="006A3D94">
        <w:rPr>
          <w:rFonts w:ascii="Simplified Arabic" w:eastAsia="Times New Roman" w:hAnsi="Simplified Arabic" w:cs="Simplified Arabic"/>
          <w:color w:val="000000" w:themeColor="text1"/>
          <w:kern w:val="0"/>
          <w:sz w:val="28"/>
          <w:szCs w:val="28"/>
          <w14:ligatures w14:val="none"/>
        </w:rPr>
        <w:t>.</w:t>
      </w:r>
    </w:p>
    <w:p w14:paraId="3CD5B0AE"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خؤشناو وعلي</w:t>
      </w:r>
      <w:r w:rsidRPr="006A3D94">
        <w:rPr>
          <w:rFonts w:ascii="Simplified Arabic" w:eastAsia="Times New Roman" w:hAnsi="Simplified Arabic" w:cs="Simplified Arabic"/>
          <w:b/>
          <w:bCs/>
          <w:color w:val="000000" w:themeColor="text1"/>
          <w:kern w:val="0"/>
          <w:sz w:val="28"/>
          <w:szCs w:val="28"/>
          <w14:ligatures w14:val="none"/>
        </w:rPr>
        <w:t xml:space="preserve"> (2023): </w:t>
      </w:r>
    </w:p>
    <w:p w14:paraId="3F5201BF" w14:textId="6CE7E53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سعت هذه الدراسة إلى بيان دور الشفافية الاستراتيجية — بأبعادها المتعلقة بنظم المعلومات والعمليات والقرارات — في تعزيز الصحة التنظيمية، وطُبّقت على عينة من 87 مديرًا في المنظمات الصحية بمحافظة السليمانية باستخدام المنهج الوصفي التحليلي. وقد عالجت الدراسة المنصات الرقمية لنظم المعلومات بوصفها جزءًا من آليات الشفافية، وبيّنت وجود ارتباط معنوي بين شفافية نظم المعلومات الرقمية والصحة التنظيمية. وتتقاطع مع الدراسة الحالية في تأكيد الدور المحوري للمنظومات الرقمية في تعزيز الشفافية، وتختلف في أنها ركّزت على القطاع الصحي (خؤشناو وعلي، 2023)</w:t>
      </w:r>
      <w:r w:rsidRPr="006A3D94">
        <w:rPr>
          <w:rFonts w:ascii="Simplified Arabic" w:eastAsia="Times New Roman" w:hAnsi="Simplified Arabic" w:cs="Simplified Arabic"/>
          <w:color w:val="000000" w:themeColor="text1"/>
          <w:kern w:val="0"/>
          <w:sz w:val="28"/>
          <w:szCs w:val="28"/>
          <w14:ligatures w14:val="none"/>
        </w:rPr>
        <w:t>.</w:t>
      </w:r>
    </w:p>
    <w:p w14:paraId="5449D6B8"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بخاوة وطيبي</w:t>
      </w:r>
      <w:r w:rsidRPr="006A3D94">
        <w:rPr>
          <w:rFonts w:ascii="Simplified Arabic" w:eastAsia="Times New Roman" w:hAnsi="Simplified Arabic" w:cs="Simplified Arabic"/>
          <w:b/>
          <w:bCs/>
          <w:color w:val="000000" w:themeColor="text1"/>
          <w:kern w:val="0"/>
          <w:sz w:val="28"/>
          <w:szCs w:val="28"/>
          <w14:ligatures w14:val="none"/>
        </w:rPr>
        <w:t xml:space="preserve"> (2023): </w:t>
      </w:r>
    </w:p>
    <w:p w14:paraId="4819BF86" w14:textId="2FBF3600"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 xml:space="preserve">استهدفت تقييم فاعلية تطبيقات البلوك تشين — بوصفها منصات رقمية لا مركزية </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 xml:space="preserve">في تعزيز شفافية إفصاح سلاسل التوريد، وذلك بتحليل بيانات 45 شركة مدرجة في بورصة نيويورك. واعتمدت المنهج </w:t>
      </w:r>
      <w:r w:rsidRPr="006A3D94">
        <w:rPr>
          <w:rFonts w:ascii="Simplified Arabic" w:eastAsia="Times New Roman" w:hAnsi="Simplified Arabic" w:cs="Simplified Arabic"/>
          <w:color w:val="000000" w:themeColor="text1"/>
          <w:kern w:val="0"/>
          <w:sz w:val="28"/>
          <w:szCs w:val="28"/>
          <w:rtl/>
          <w14:ligatures w14:val="none"/>
        </w:rPr>
        <w:lastRenderedPageBreak/>
        <w:t>الوصفي التحليلي، وتناولت المنصة الرقمية (البلوك تشين) متغيرًا مستقلًا وأثرها في شفافية الإفصاح. وأكّدت الدراسة فاعلية هذه المنصات في رفع مستوى الشفافية وتقليص فجوة المعلومات بين أطراف سلسلة التوريد. وتلتقي مع الدراسة الحالية في فحص دور المنصات الرقمية في تعزيز الشفافية، لكنها تبتعد من حيث القطاع المستهدف وطبيعة المنصة المدروسة (بخاوة وطيبي، 2023)</w:t>
      </w:r>
      <w:r w:rsidRPr="006A3D94">
        <w:rPr>
          <w:rFonts w:ascii="Simplified Arabic" w:eastAsia="Times New Roman" w:hAnsi="Simplified Arabic" w:cs="Simplified Arabic"/>
          <w:color w:val="000000" w:themeColor="text1"/>
          <w:kern w:val="0"/>
          <w:sz w:val="28"/>
          <w:szCs w:val="28"/>
          <w14:ligatures w14:val="none"/>
        </w:rPr>
        <w:t>.</w:t>
      </w:r>
    </w:p>
    <w:p w14:paraId="116F119E"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الغامدي</w:t>
      </w:r>
      <w:r w:rsidRPr="006A3D94">
        <w:rPr>
          <w:rFonts w:ascii="Simplified Arabic" w:eastAsia="Times New Roman" w:hAnsi="Simplified Arabic" w:cs="Simplified Arabic"/>
          <w:b/>
          <w:bCs/>
          <w:color w:val="000000" w:themeColor="text1"/>
          <w:kern w:val="0"/>
          <w:sz w:val="28"/>
          <w:szCs w:val="28"/>
          <w14:ligatures w14:val="none"/>
        </w:rPr>
        <w:t xml:space="preserve"> (2024): </w:t>
      </w:r>
    </w:p>
    <w:p w14:paraId="1ED547EE" w14:textId="6D039D02"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بحثت أثر شفافية الإدارة في تعزيز الولاء التنظيمي لدى العاملين في جامعة الباحة، على عينة قوامها 153 مفردة باستخدام المنهج الوصفي التحليلي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وتناولت المنظومة الإدارية الرقمية بوصفها إطارًا يُمكّن من ممارسة الشفافية في الاتصال والقرارات والمعلومات. وخلصت إلى أن شفافية الاتصال عبر القنوات الرقمية الرسمية كانت الأكثر تأثيرًا في الولاء التنظيمي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وتتشابه مع الدراسة الحالية في التعامل مع المنظومة الرقمية المؤسسية كإطار للشفافية، وتختلف في أن المتغير التابع كان الولاء التنظيمي لا حماية الحقوق والشفافية في العلاقة الإيجارية (الغامدي، 2024)</w:t>
      </w:r>
      <w:r w:rsidRPr="006A3D94">
        <w:rPr>
          <w:rFonts w:ascii="Simplified Arabic" w:eastAsia="Times New Roman" w:hAnsi="Simplified Arabic" w:cs="Simplified Arabic"/>
          <w:color w:val="000000" w:themeColor="text1"/>
          <w:kern w:val="0"/>
          <w:sz w:val="28"/>
          <w:szCs w:val="28"/>
          <w14:ligatures w14:val="none"/>
        </w:rPr>
        <w:t>.</w:t>
      </w:r>
    </w:p>
    <w:p w14:paraId="3EAB41EC"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w:t>
      </w:r>
      <w:r w:rsidRPr="006A3D94">
        <w:rPr>
          <w:rFonts w:ascii="Simplified Arabic" w:eastAsia="Times New Roman" w:hAnsi="Simplified Arabic" w:cs="Simplified Arabic"/>
          <w:b/>
          <w:bCs/>
          <w:color w:val="000000" w:themeColor="text1"/>
          <w:kern w:val="0"/>
          <w:sz w:val="28"/>
          <w:szCs w:val="28"/>
          <w14:ligatures w14:val="none"/>
        </w:rPr>
        <w:t xml:space="preserve"> Pallavi, Rishika, Sai Sree, Ruthwik, and Yashaswini (2025): </w:t>
      </w:r>
    </w:p>
    <w:p w14:paraId="5086CD4B" w14:textId="4B0CDFAA"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قدّمت هذه الدراسة نموذج</w:t>
      </w:r>
      <w:r w:rsidRPr="006A3D94">
        <w:rPr>
          <w:rFonts w:ascii="Simplified Arabic" w:eastAsia="Times New Roman" w:hAnsi="Simplified Arabic" w:cs="Simplified Arabic"/>
          <w:color w:val="000000" w:themeColor="text1"/>
          <w:kern w:val="0"/>
          <w:sz w:val="28"/>
          <w:szCs w:val="28"/>
          <w14:ligatures w14:val="none"/>
        </w:rPr>
        <w:t xml:space="preserve"> "SmartRent" </w:t>
      </w:r>
      <w:r w:rsidRPr="006A3D94">
        <w:rPr>
          <w:rFonts w:ascii="Simplified Arabic" w:eastAsia="Times New Roman" w:hAnsi="Simplified Arabic" w:cs="Simplified Arabic"/>
          <w:color w:val="000000" w:themeColor="text1"/>
          <w:kern w:val="0"/>
          <w:sz w:val="28"/>
          <w:szCs w:val="28"/>
          <w:rtl/>
          <w14:ligatures w14:val="none"/>
        </w:rPr>
        <w:t>وهو منصة رقمية لتأجير المساكن تعتمد على الذكاء الاصطناعي، واستعرضت بنيتها التقنية وآليات عملها في تسهيل عمليات البحث والتوثيق والتعاقد بين المؤجرين والمستأجرين. وركّزت الدراسة على المنصة الرقمية بوصفها أداة لتحسين كفاءة سوق الإيجار وتقليل التكاليف التشغيلية. وتتقاطع مع الدراسة الحالية في تناول المنصات الرقمية الإيجارية كمتغير مستقل، وتختلف في أنها ركّزت على الجانب التقني والتصميمي دون التعمّق في قياس أثر المنصة على الشفافية وحماية الحقوق ميدانيًّا</w:t>
      </w:r>
      <w:r w:rsidRPr="006A3D94">
        <w:rPr>
          <w:rFonts w:ascii="Simplified Arabic" w:eastAsia="Times New Roman" w:hAnsi="Simplified Arabic" w:cs="Simplified Arabic"/>
          <w:color w:val="000000" w:themeColor="text1"/>
          <w:kern w:val="0"/>
          <w:sz w:val="28"/>
          <w:szCs w:val="28"/>
          <w14:ligatures w14:val="none"/>
        </w:rPr>
        <w:t xml:space="preserve"> (Pallavi et al., 2025).</w:t>
      </w:r>
    </w:p>
    <w:p w14:paraId="79410EFF" w14:textId="77777777" w:rsidR="005A72B7" w:rsidRPr="006A3D94" w:rsidRDefault="005A72B7" w:rsidP="00A76E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2795685"/>
      <w:r w:rsidRPr="006A3D94">
        <w:rPr>
          <w:rFonts w:ascii="Simplified Arabic" w:eastAsia="Times New Roman" w:hAnsi="Simplified Arabic" w:cs="Simplified Arabic"/>
          <w:b/>
          <w:bCs/>
          <w:color w:val="000000" w:themeColor="text1"/>
          <w:kern w:val="0"/>
          <w:sz w:val="32"/>
          <w:szCs w:val="32"/>
          <w:rtl/>
          <w14:ligatures w14:val="none"/>
        </w:rPr>
        <w:t>المحور الثاني: المتغير التابع (تعزيز الشفافية وحماية حقوق أطراف العلاقة التعاقدية) وعلاقته بمتغيرات أخرى</w:t>
      </w:r>
      <w:bookmarkEnd w:id="15"/>
    </w:p>
    <w:p w14:paraId="0BA3C5E1" w14:textId="6AD234DB" w:rsidR="00A76E59" w:rsidRPr="006A3D94" w:rsidRDefault="005A72B7" w:rsidP="00A76E59">
      <w:pPr>
        <w:pStyle w:val="ListParagraph"/>
        <w:numPr>
          <w:ilvl w:val="0"/>
          <w:numId w:val="13"/>
        </w:numPr>
        <w:spacing w:before="100" w:beforeAutospacing="1" w:after="100" w:afterAutospacing="1" w:line="276" w:lineRule="auto"/>
        <w:ind w:left="282"/>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كاظم والنجار</w:t>
      </w:r>
      <w:r w:rsidRPr="006A3D94">
        <w:rPr>
          <w:rFonts w:ascii="Simplified Arabic" w:eastAsia="Times New Roman" w:hAnsi="Simplified Arabic" w:cs="Simplified Arabic"/>
          <w:b/>
          <w:bCs/>
          <w:color w:val="000000" w:themeColor="text1"/>
          <w:kern w:val="0"/>
          <w:sz w:val="28"/>
          <w:szCs w:val="28"/>
          <w14:ligatures w14:val="none"/>
        </w:rPr>
        <w:t xml:space="preserve"> (2020): </w:t>
      </w:r>
    </w:p>
    <w:p w14:paraId="43E249AD" w14:textId="24EAFF70"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هدفت إلى الكشف عن تأثير الشفافية الاستراتيجية — بأبعاد شفافية المعلومات والعمليات والقرارات — في تعزيز التكوينات التنافسية للمنظمات الصناعية، وطُبّقت على عينة من 120 مديرًا في الشركة العامة للصناعات الكهربائية بالعراق. واعتمدت المنهج الوصفي التحليلي، وتناولت الشفافية بأبعادها متغيرًا تابعًا يتأثر بالبيئة التنظيمية والإدارية. وتوصّلت إلى وجود تأثير معنوي لشفافية المعلومات بدرجة أكبر من شفافية العمليات والقرارات في التكوينات التنافسية. وتتّفق مع الدراسة الحالية في تبنّي الشفافية بأبعاد متعددة، وتختلف في أن الشفافية كانت متغيرًا مستقلًا لديها بينما هي متغير تابع في الدراسة الحالية (كاظم والنجار، 2020)</w:t>
      </w:r>
      <w:r w:rsidRPr="006A3D94">
        <w:rPr>
          <w:rFonts w:ascii="Simplified Arabic" w:eastAsia="Times New Roman" w:hAnsi="Simplified Arabic" w:cs="Simplified Arabic"/>
          <w:color w:val="000000" w:themeColor="text1"/>
          <w:kern w:val="0"/>
          <w:sz w:val="28"/>
          <w:szCs w:val="28"/>
          <w14:ligatures w14:val="none"/>
        </w:rPr>
        <w:t>.</w:t>
      </w:r>
    </w:p>
    <w:p w14:paraId="601B0E0F"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راشد والجمل</w:t>
      </w:r>
      <w:r w:rsidRPr="006A3D94">
        <w:rPr>
          <w:rFonts w:ascii="Simplified Arabic" w:eastAsia="Times New Roman" w:hAnsi="Simplified Arabic" w:cs="Simplified Arabic"/>
          <w:b/>
          <w:bCs/>
          <w:color w:val="000000" w:themeColor="text1"/>
          <w:kern w:val="0"/>
          <w:sz w:val="28"/>
          <w:szCs w:val="28"/>
          <w14:ligatures w14:val="none"/>
        </w:rPr>
        <w:t xml:space="preserve"> (2022): </w:t>
      </w:r>
    </w:p>
    <w:p w14:paraId="2ADD3B8B" w14:textId="08F73FDA" w:rsidR="001C3442"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بالإضافة إلى ما سبق عرضه في المحور الأول، فإن هذه الدراسة تناولت الشفافية بوصفها متغيرًا تابعًا يتأثر بالتحول الرقمي، وبيّنت أن رقمنة العمليات الإدارية والمالية تُسهم في تعزيز شفافية الإفصاح وحماية حقوق أصحاب المصلحة من خلال توفير بيئة رقابية أكثر انضباطًا. وتلتقي مع الدراسة الحالية في معالجة الشفافية وحماية الحقوق كمتغير تابع يتأثر بالأدوات الرقمية (راشد والجمل، 2022)</w:t>
      </w:r>
      <w:r w:rsidRPr="006A3D94">
        <w:rPr>
          <w:rFonts w:ascii="Simplified Arabic" w:eastAsia="Times New Roman" w:hAnsi="Simplified Arabic" w:cs="Simplified Arabic"/>
          <w:color w:val="000000" w:themeColor="text1"/>
          <w:kern w:val="0"/>
          <w:sz w:val="28"/>
          <w:szCs w:val="28"/>
          <w14:ligatures w14:val="none"/>
        </w:rPr>
        <w:t>.</w:t>
      </w:r>
    </w:p>
    <w:p w14:paraId="38EDD45F" w14:textId="67F71F52"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بخاوة وطيبي</w:t>
      </w:r>
      <w:r w:rsidRPr="006A3D94">
        <w:rPr>
          <w:rFonts w:ascii="Simplified Arabic" w:eastAsia="Times New Roman" w:hAnsi="Simplified Arabic" w:cs="Simplified Arabic"/>
          <w:b/>
          <w:bCs/>
          <w:color w:val="000000" w:themeColor="text1"/>
          <w:kern w:val="0"/>
          <w:sz w:val="28"/>
          <w:szCs w:val="28"/>
          <w14:ligatures w14:val="none"/>
        </w:rPr>
        <w:t xml:space="preserve"> (2023): </w:t>
      </w:r>
    </w:p>
    <w:p w14:paraId="0FE071B4" w14:textId="16F900F5"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إلى جانب ما عُرض سابقًا، ركّزت هذه الدراسة على بُعد الشفافية المعلوماتية وشفافية الإفصاح في سلاسل التوريد بوصفهما متغيرًا تابعًا يتحسّن بفعل التقنيات الرقمية اللا مركزية. وأكّدت أن التوثيق الإلكتروني غير القابل للتعديل يُعزّز حماية حقوق الأطراف المتعاقدة ويرفع مستوى المساءلة. وتتقاطع مع الدراسة الحالية في بُعدَي الشفافية المعلوماتية والتوثيق الإلكتروني من أبعاد المتغير التابع (بخاوة وطيبي، 2023)</w:t>
      </w:r>
      <w:r w:rsidRPr="006A3D94">
        <w:rPr>
          <w:rFonts w:ascii="Simplified Arabic" w:eastAsia="Times New Roman" w:hAnsi="Simplified Arabic" w:cs="Simplified Arabic"/>
          <w:color w:val="000000" w:themeColor="text1"/>
          <w:kern w:val="0"/>
          <w:sz w:val="28"/>
          <w:szCs w:val="28"/>
          <w14:ligatures w14:val="none"/>
        </w:rPr>
        <w:t>.</w:t>
      </w:r>
    </w:p>
    <w:p w14:paraId="69A66336" w14:textId="77777777" w:rsidR="00A76E59" w:rsidRPr="006A3D94" w:rsidRDefault="005A72B7" w:rsidP="00A76E59">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 خؤشناو وعلي</w:t>
      </w:r>
      <w:r w:rsidRPr="006A3D94">
        <w:rPr>
          <w:rFonts w:ascii="Simplified Arabic" w:eastAsia="Times New Roman" w:hAnsi="Simplified Arabic" w:cs="Simplified Arabic"/>
          <w:b/>
          <w:bCs/>
          <w:color w:val="000000" w:themeColor="text1"/>
          <w:kern w:val="0"/>
          <w:sz w:val="28"/>
          <w:szCs w:val="28"/>
          <w14:ligatures w14:val="none"/>
        </w:rPr>
        <w:t xml:space="preserve"> (2023): </w:t>
      </w:r>
    </w:p>
    <w:p w14:paraId="3076C5EE" w14:textId="2F38EEE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عالجت الشفافية الاستراتيجية بوصفها متغيرًا مستقلًا يؤثر في الصحة التنظيمية، إلا أنها قدّمت تحليلًا معمّقًا لأبعاد الشفافية — ولا سيما شفافية نظم المعلومات — وعلاقتها بحماية حقوق العاملين في بيئة العمل</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وتُفيد الدراسة الحالية من تصنيف أبعاد الشفافية الذي اعتمدته، وتختلف عنها في أن الشفافية هنا متغير تابع لا مستقل، وفي بيئة التطبيق الموجّهة لسوق الإيجار لا القطاع الصحي (خؤشناو وعلي، 2023)</w:t>
      </w:r>
      <w:r w:rsidRPr="006A3D94">
        <w:rPr>
          <w:rFonts w:ascii="Simplified Arabic" w:eastAsia="Times New Roman" w:hAnsi="Simplified Arabic" w:cs="Simplified Arabic"/>
          <w:color w:val="000000" w:themeColor="text1"/>
          <w:kern w:val="0"/>
          <w:sz w:val="28"/>
          <w:szCs w:val="28"/>
          <w14:ligatures w14:val="none"/>
        </w:rPr>
        <w:t>.</w:t>
      </w:r>
    </w:p>
    <w:p w14:paraId="0F899152" w14:textId="77777777" w:rsidR="00A76E59" w:rsidRPr="006A3D94" w:rsidRDefault="005A72B7" w:rsidP="00A76E59">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lastRenderedPageBreak/>
        <w:t>دراسة</w:t>
      </w:r>
      <w:r w:rsidRPr="006A3D94">
        <w:rPr>
          <w:rFonts w:ascii="Simplified Arabic" w:eastAsia="Times New Roman" w:hAnsi="Simplified Arabic" w:cs="Simplified Arabic"/>
          <w:b/>
          <w:bCs/>
          <w:color w:val="000000" w:themeColor="text1"/>
          <w:kern w:val="0"/>
          <w:sz w:val="28"/>
          <w:szCs w:val="28"/>
          <w14:ligatures w14:val="none"/>
        </w:rPr>
        <w:t xml:space="preserve"> Prifti, Krijger, Thuis, and Stamhuis (2023): </w:t>
      </w:r>
    </w:p>
    <w:p w14:paraId="672FFA93" w14:textId="2B98B5CE"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تناولت هذه الدراسة الشفافية في المنظومات الرقمية من منظور تحليلي قانوني، وبحثت في ضرورة الانتقال من الشفافية الثنائية التقليدية إلى شفافية منظومية شاملة تتوافق مع تعقّد البيئات الرقمية المتعددة الأطراف في إطار اللائحة الأوروبية لحماية البيانات</w:t>
      </w:r>
      <w:r w:rsidRPr="006A3D94">
        <w:rPr>
          <w:rFonts w:ascii="Simplified Arabic" w:eastAsia="Times New Roman" w:hAnsi="Simplified Arabic" w:cs="Simplified Arabic"/>
          <w:color w:val="000000" w:themeColor="text1"/>
          <w:kern w:val="0"/>
          <w:sz w:val="28"/>
          <w:szCs w:val="28"/>
          <w14:ligatures w14:val="none"/>
        </w:rPr>
        <w:t xml:space="preserve"> (GDPR). </w:t>
      </w:r>
      <w:r w:rsidRPr="006A3D94">
        <w:rPr>
          <w:rFonts w:ascii="Simplified Arabic" w:eastAsia="Times New Roman" w:hAnsi="Simplified Arabic" w:cs="Simplified Arabic"/>
          <w:color w:val="000000" w:themeColor="text1"/>
          <w:kern w:val="0"/>
          <w:sz w:val="28"/>
          <w:szCs w:val="28"/>
          <w:rtl/>
          <w14:ligatures w14:val="none"/>
        </w:rPr>
        <w:t xml:space="preserve">وعالجت الشفافية بأبعادها </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شفافية المعلومات وشفافية العمليات الخوارزمية وحماية حقوق المستخدمين</w:t>
      </w:r>
      <w:r w:rsidRPr="006A3D94">
        <w:rPr>
          <w:rFonts w:ascii="Simplified Arabic" w:eastAsia="Times New Roman" w:hAnsi="Simplified Arabic" w:cs="Simplified Arabic"/>
          <w:color w:val="000000" w:themeColor="text1"/>
          <w:kern w:val="0"/>
          <w:sz w:val="28"/>
          <w:szCs w:val="28"/>
          <w14:ligatures w14:val="none"/>
        </w:rPr>
        <w:t xml:space="preserve"> — </w:t>
      </w:r>
      <w:r w:rsidRPr="006A3D94">
        <w:rPr>
          <w:rFonts w:ascii="Simplified Arabic" w:eastAsia="Times New Roman" w:hAnsi="Simplified Arabic" w:cs="Simplified Arabic"/>
          <w:color w:val="000000" w:themeColor="text1"/>
          <w:kern w:val="0"/>
          <w:sz w:val="28"/>
          <w:szCs w:val="28"/>
          <w:rtl/>
          <w14:ligatures w14:val="none"/>
        </w:rPr>
        <w:t xml:space="preserve">بوصفها هدفًا تنظيميًّا ينبغي تحقيقه في المنصات الرقمية. وتتّسق مع الدراسة الحالية في التركيز على أبعاد الشفافية وحماية الحقوق في سياق المنصات الرقمية، وتختلف في المنهج القانوني التحليلي والسياق الأوروبي </w:t>
      </w:r>
      <w:r w:rsidRPr="006A3D94">
        <w:rPr>
          <w:rFonts w:ascii="Simplified Arabic" w:eastAsia="Times New Roman" w:hAnsi="Simplified Arabic" w:cs="Simplified Arabic"/>
          <w:color w:val="000000" w:themeColor="text1"/>
          <w:kern w:val="0"/>
          <w:sz w:val="28"/>
          <w:szCs w:val="28"/>
          <w14:ligatures w14:val="none"/>
        </w:rPr>
        <w:t>(Prifti et al., 2023).</w:t>
      </w:r>
    </w:p>
    <w:p w14:paraId="1C837076" w14:textId="3A6C1A77" w:rsidR="00A76E59" w:rsidRPr="006A3D94" w:rsidRDefault="005A72B7" w:rsidP="00A76E59">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6A3D94">
        <w:rPr>
          <w:rFonts w:ascii="Simplified Arabic" w:eastAsia="Times New Roman" w:hAnsi="Simplified Arabic" w:cs="Simplified Arabic"/>
          <w:b/>
          <w:bCs/>
          <w:color w:val="000000" w:themeColor="text1"/>
          <w:kern w:val="0"/>
          <w:sz w:val="28"/>
          <w:szCs w:val="28"/>
          <w:rtl/>
          <w14:ligatures w14:val="none"/>
        </w:rPr>
        <w:t>دراسة</w:t>
      </w:r>
      <w:r w:rsidRPr="006A3D94">
        <w:rPr>
          <w:rFonts w:ascii="Simplified Arabic" w:eastAsia="Times New Roman" w:hAnsi="Simplified Arabic" w:cs="Simplified Arabic"/>
          <w:b/>
          <w:bCs/>
          <w:color w:val="000000" w:themeColor="text1"/>
          <w:kern w:val="0"/>
          <w:sz w:val="28"/>
          <w:szCs w:val="28"/>
          <w14:ligatures w14:val="none"/>
        </w:rPr>
        <w:t xml:space="preserve"> Tseng, Hsieh, Chang, and Yuan (2025): </w:t>
      </w:r>
    </w:p>
    <w:p w14:paraId="36ACBD95" w14:textId="797E236C"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هدفت إلى تصميم بنية معمارية لنظام إسكان إيجاري قائم على تقنية البلوك تشين يُعزّز الشفافية ويحمي حقوق أطراف العلاقة الإيجارية، وطُبّقت تجريبيًّا على 500 معاملة و50 مستخدمًا. وتناولت الدراسة أبعاد الشفافية في المعاملات الإيجارية والتوثيق الإلكتروني للعقود وآليات فض النزاعات عبر العقود الذكية بوصفها أهدافًا يسعى النظام الرقمي إلى تحقيقها. وبيّنت أن البنية الرقمية المقترحة ترفع مستوى شفافية المعاملات وتُقلّص فرص التلاعب وتُعزّز حماية حقوق المؤجرين والمستأجرين. وتُعدّ هذه الدراسة الأقرب إلى الدراسة الحالية من حيث تناولها لأبعاد الشفافية والتوثيق وفض النزاعات في سوق الإيجار تحديدًا، وتختلف في أنها تجريبية تقنية بينما الدراسة الحالية ميدانية وصفية تحليلية</w:t>
      </w:r>
      <w:r w:rsidRPr="006A3D94">
        <w:rPr>
          <w:rFonts w:ascii="Simplified Arabic" w:eastAsia="Times New Roman" w:hAnsi="Simplified Arabic" w:cs="Simplified Arabic"/>
          <w:color w:val="000000" w:themeColor="text1"/>
          <w:kern w:val="0"/>
          <w:sz w:val="28"/>
          <w:szCs w:val="28"/>
          <w14:ligatures w14:val="none"/>
        </w:rPr>
        <w:t xml:space="preserve"> (Tseng et al., 2025).</w:t>
      </w:r>
    </w:p>
    <w:p w14:paraId="109FBBD7" w14:textId="47B1A08F" w:rsidR="00A76E59" w:rsidRPr="006A3D94" w:rsidRDefault="00A76E59" w:rsidP="00A76E59">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6" w:name="_Toc169790501"/>
      <w:bookmarkStart w:id="17" w:name="_Toc233465043"/>
      <w:bookmarkEnd w:id="14"/>
      <w:r w:rsidRPr="006A3D94">
        <w:rPr>
          <w:rFonts w:ascii="Simplified Arabic" w:hAnsi="Simplified Arabic" w:cs="Simplified Arabic"/>
          <w:b/>
          <w:bCs/>
          <w:color w:val="000000" w:themeColor="text1"/>
          <w:sz w:val="36"/>
          <w:szCs w:val="36"/>
          <w:rtl/>
        </w:rPr>
        <w:t>8.1 الفجوة البحثية:</w:t>
      </w:r>
      <w:bookmarkEnd w:id="17"/>
    </w:p>
    <w:p w14:paraId="6FAA1C97"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تتفق الدراسة الحالية مع الدراسات السابقة العربية والأجنبية في الاهتمام بمحور الشفافية بوصفه متغيرًا محوريًا في تحسين الأداء المؤسسي وبناء الثقة، إذ تناولت دراسة كاظم والنجار</w:t>
      </w:r>
      <w:r w:rsidRPr="006A3D94">
        <w:rPr>
          <w:rFonts w:ascii="Simplified Arabic" w:hAnsi="Simplified Arabic" w:cs="Simplified Arabic"/>
          <w:color w:val="000000" w:themeColor="text1"/>
          <w:sz w:val="28"/>
          <w:szCs w:val="28"/>
        </w:rPr>
        <w:t xml:space="preserve"> (2020) </w:t>
      </w:r>
      <w:r w:rsidRPr="006A3D94">
        <w:rPr>
          <w:rFonts w:ascii="Simplified Arabic" w:hAnsi="Simplified Arabic" w:cs="Simplified Arabic"/>
          <w:color w:val="000000" w:themeColor="text1"/>
          <w:sz w:val="28"/>
          <w:szCs w:val="28"/>
          <w:rtl/>
        </w:rPr>
        <w:t>الشفافية الاستراتيجية وأثرها في التكوينات التنافسية، وبحثت دراسة راشد والجمل (2022) فاعلية التحول الرقمي في تعزيز الشفافية بمنظمات المجتمع المدني، فيما ركّزت دراسة بخاوة وطيبي (2023) على دور تطبيقات البلوك تشين في تعزيز شفافية إفصاح سلاسل التوريد، واستكشفت دراسة خوشناو وعلي</w:t>
      </w:r>
      <w:r w:rsidRPr="006A3D94">
        <w:rPr>
          <w:rFonts w:ascii="Simplified Arabic" w:hAnsi="Simplified Arabic" w:cs="Simplified Arabic"/>
          <w:color w:val="000000" w:themeColor="text1"/>
          <w:sz w:val="28"/>
          <w:szCs w:val="28"/>
        </w:rPr>
        <w:t xml:space="preserve"> (2023) </w:t>
      </w:r>
      <w:r w:rsidRPr="006A3D94">
        <w:rPr>
          <w:rFonts w:ascii="Simplified Arabic" w:hAnsi="Simplified Arabic" w:cs="Simplified Arabic"/>
          <w:color w:val="000000" w:themeColor="text1"/>
          <w:sz w:val="28"/>
          <w:szCs w:val="28"/>
          <w:rtl/>
        </w:rPr>
        <w:t>دور الشفافية الاستراتيجية في تعزيز الصحة التنظيمية بالقطاع الجامعي، كما تناولت دراسة الغامدي (2024) أثر شفافية الإدارة في الولاء التنظيمي. أما على الصعيد الأجنبي، فقد اتفقت الدراسة الحالية مع دراسة</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Pr>
        <w:lastRenderedPageBreak/>
        <w:t xml:space="preserve">Ulfbeck, Petersen &amp; Hansen (2018) </w:t>
      </w:r>
      <w:r w:rsidRPr="006A3D94">
        <w:rPr>
          <w:rFonts w:ascii="Simplified Arabic" w:hAnsi="Simplified Arabic" w:cs="Simplified Arabic"/>
          <w:color w:val="000000" w:themeColor="text1"/>
          <w:sz w:val="28"/>
          <w:szCs w:val="28"/>
          <w:rtl/>
        </w:rPr>
        <w:t xml:space="preserve">في تناول المنصات الرقمية كأنظمة حوكمة، ومع دراسة </w:t>
      </w:r>
      <w:r w:rsidRPr="006A3D94">
        <w:rPr>
          <w:rFonts w:ascii="Simplified Arabic" w:hAnsi="Simplified Arabic" w:cs="Simplified Arabic"/>
          <w:color w:val="000000" w:themeColor="text1"/>
          <w:sz w:val="28"/>
          <w:szCs w:val="28"/>
        </w:rPr>
        <w:t xml:space="preserve">Prifti et al. (2023) </w:t>
      </w:r>
      <w:r w:rsidRPr="006A3D94">
        <w:rPr>
          <w:rFonts w:ascii="Simplified Arabic" w:hAnsi="Simplified Arabic" w:cs="Simplified Arabic"/>
          <w:color w:val="000000" w:themeColor="text1"/>
          <w:sz w:val="28"/>
          <w:szCs w:val="28"/>
          <w:rtl/>
        </w:rPr>
        <w:t>في التأسيس لمفهوم الشفافية المنظومية في البيئات الرقمية، ومع دراسة</w:t>
      </w:r>
      <w:r w:rsidRPr="006A3D94">
        <w:rPr>
          <w:rFonts w:ascii="Simplified Arabic" w:hAnsi="Simplified Arabic" w:cs="Simplified Arabic"/>
          <w:color w:val="000000" w:themeColor="text1"/>
          <w:sz w:val="28"/>
          <w:szCs w:val="28"/>
        </w:rPr>
        <w:t xml:space="preserve"> Tseng et al. (2025) </w:t>
      </w:r>
      <w:r w:rsidRPr="006A3D94">
        <w:rPr>
          <w:rFonts w:ascii="Simplified Arabic" w:hAnsi="Simplified Arabic" w:cs="Simplified Arabic"/>
          <w:color w:val="000000" w:themeColor="text1"/>
          <w:sz w:val="28"/>
          <w:szCs w:val="28"/>
          <w:rtl/>
        </w:rPr>
        <w:t>في ربط التقنية بسوق الإيجار السكني، ومع دراسة</w:t>
      </w:r>
      <w:r w:rsidRPr="006A3D94">
        <w:rPr>
          <w:rFonts w:ascii="Simplified Arabic" w:hAnsi="Simplified Arabic" w:cs="Simplified Arabic"/>
          <w:color w:val="000000" w:themeColor="text1"/>
          <w:sz w:val="28"/>
          <w:szCs w:val="28"/>
        </w:rPr>
        <w:t xml:space="preserve"> Pallavi et al. (2025) </w:t>
      </w:r>
      <w:r w:rsidRPr="006A3D94">
        <w:rPr>
          <w:rFonts w:ascii="Simplified Arabic" w:hAnsi="Simplified Arabic" w:cs="Simplified Arabic"/>
          <w:color w:val="000000" w:themeColor="text1"/>
          <w:sz w:val="28"/>
          <w:szCs w:val="28"/>
          <w:rtl/>
        </w:rPr>
        <w:t>في تصميم منصة إيجار ذكية قائمة على الذكاء الاصطناعي، ومع دراسة</w:t>
      </w:r>
      <w:r w:rsidRPr="006A3D94">
        <w:rPr>
          <w:rFonts w:ascii="Simplified Arabic" w:hAnsi="Simplified Arabic" w:cs="Simplified Arabic"/>
          <w:color w:val="000000" w:themeColor="text1"/>
          <w:sz w:val="28"/>
          <w:szCs w:val="28"/>
        </w:rPr>
        <w:t xml:space="preserve"> Rosin &amp; Parviainen (2025) </w:t>
      </w:r>
      <w:r w:rsidRPr="006A3D94">
        <w:rPr>
          <w:rFonts w:ascii="Simplified Arabic" w:hAnsi="Simplified Arabic" w:cs="Simplified Arabic"/>
          <w:color w:val="000000" w:themeColor="text1"/>
          <w:sz w:val="28"/>
          <w:szCs w:val="28"/>
          <w:rtl/>
        </w:rPr>
        <w:t>في التأكيد على أن شفافية العمليات الرقمية شرط لحماية حقوق الأطراف. وبذلك تشترك جميع هذه الدراسات مع البحث الحالي في الإطار المفاهيمي العام القائم على العلاقة بين الرقمنة والشفافية وحماية الحقوق</w:t>
      </w:r>
      <w:r w:rsidRPr="006A3D94">
        <w:rPr>
          <w:rFonts w:ascii="Simplified Arabic" w:hAnsi="Simplified Arabic" w:cs="Simplified Arabic"/>
          <w:color w:val="000000" w:themeColor="text1"/>
          <w:sz w:val="28"/>
          <w:szCs w:val="28"/>
        </w:rPr>
        <w:t>.</w:t>
      </w:r>
    </w:p>
    <w:p w14:paraId="6C17CE8E"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 xml:space="preserve">غير أن الدراسة الحالية تختلف جوهريًا عن الدراسات السابقة في أربعة أبعاد رئيسية. من حيث </w:t>
      </w:r>
      <w:r w:rsidRPr="006A3D94">
        <w:rPr>
          <w:rStyle w:val="Strong"/>
          <w:rFonts w:ascii="Simplified Arabic" w:hAnsi="Simplified Arabic" w:cs="Simplified Arabic"/>
          <w:b w:val="0"/>
          <w:bCs w:val="0"/>
          <w:color w:val="000000" w:themeColor="text1"/>
          <w:sz w:val="28"/>
          <w:szCs w:val="28"/>
          <w:rtl/>
        </w:rPr>
        <w:t>الهدف</w:t>
      </w:r>
      <w:r w:rsidRPr="006A3D94">
        <w:rPr>
          <w:rFonts w:ascii="Simplified Arabic" w:hAnsi="Simplified Arabic" w:cs="Simplified Arabic"/>
          <w:color w:val="000000" w:themeColor="text1"/>
          <w:sz w:val="28"/>
          <w:szCs w:val="28"/>
          <w:rtl/>
        </w:rPr>
        <w:t xml:space="preserve">، لم تسعَ أيٌّ من الدراسات المذكورة إلى قياس أثر منصة حكومية رقمية متكاملة على تعزيز الشفافية وحماية الحقوق في سوق الإيجار العقاري تحديدًا، بل ركّزت على قطاعات مغايرة كالمجتمع المدني وسلاسل التوريد والقطاع الجامعي والبيئي. من حيث </w:t>
      </w:r>
      <w:r w:rsidRPr="006A3D94">
        <w:rPr>
          <w:rStyle w:val="Strong"/>
          <w:rFonts w:ascii="Simplified Arabic" w:hAnsi="Simplified Arabic" w:cs="Simplified Arabic"/>
          <w:b w:val="0"/>
          <w:bCs w:val="0"/>
          <w:color w:val="000000" w:themeColor="text1"/>
          <w:sz w:val="28"/>
          <w:szCs w:val="28"/>
          <w:rtl/>
        </w:rPr>
        <w:t>الأبعاد</w:t>
      </w:r>
      <w:r w:rsidRPr="006A3D94">
        <w:rPr>
          <w:rFonts w:ascii="Simplified Arabic" w:hAnsi="Simplified Arabic" w:cs="Simplified Arabic"/>
          <w:color w:val="000000" w:themeColor="text1"/>
          <w:sz w:val="28"/>
          <w:szCs w:val="28"/>
          <w:rtl/>
        </w:rPr>
        <w:t xml:space="preserve">، تتميز الدراسة الحالية بتبنّي أربعة أبعاد للمتغير التابع — الشفافية المعلوماتية، التوثيق الإلكتروني للعقود، آليات فض النزاعات وحماية الحقوق، ومؤشر السلوك الإيجاري — وهي أبعاد لم تُجمع مع بعضها في أي دراسة سابقة، حيث اقتصرت الدراسات العربية على أبعاد عامة كشفافية المعلومات والعمليات والقرارات، بينما تناولت الدراسات الأجنبية الشفافية الخوارزمية أو التعاقدية بشكل منفصل. من حيث </w:t>
      </w:r>
      <w:r w:rsidRPr="006A3D94">
        <w:rPr>
          <w:rStyle w:val="Strong"/>
          <w:rFonts w:ascii="Simplified Arabic" w:hAnsi="Simplified Arabic" w:cs="Simplified Arabic"/>
          <w:b w:val="0"/>
          <w:bCs w:val="0"/>
          <w:color w:val="000000" w:themeColor="text1"/>
          <w:sz w:val="28"/>
          <w:szCs w:val="28"/>
          <w:rtl/>
        </w:rPr>
        <w:t>المنهج</w:t>
      </w:r>
      <w:r w:rsidRPr="006A3D94">
        <w:rPr>
          <w:rFonts w:ascii="Simplified Arabic" w:hAnsi="Simplified Arabic" w:cs="Simplified Arabic"/>
          <w:color w:val="000000" w:themeColor="text1"/>
          <w:sz w:val="28"/>
          <w:szCs w:val="28"/>
          <w:rtl/>
        </w:rPr>
        <w:t>، اعتمدت معظم الدراسات الأجنبية مناهج تحليلية قانونية أو تجريبية تقنية</w:t>
      </w:r>
      <w:r w:rsidRPr="006A3D94">
        <w:rPr>
          <w:rFonts w:ascii="Simplified Arabic" w:hAnsi="Simplified Arabic" w:cs="Simplified Arabic"/>
          <w:color w:val="000000" w:themeColor="text1"/>
          <w:sz w:val="28"/>
          <w:szCs w:val="28"/>
        </w:rPr>
        <w:t xml:space="preserve"> (Ulfbeck et al., 2018; Tseng et al., 2025</w:t>
      </w:r>
      <w:proofErr w:type="gramStart"/>
      <w:r w:rsidRPr="006A3D94">
        <w:rPr>
          <w:rFonts w:ascii="Simplified Arabic" w:hAnsi="Simplified Arabic" w:cs="Simplified Arabic"/>
          <w:color w:val="000000" w:themeColor="text1"/>
          <w:sz w:val="28"/>
          <w:szCs w:val="28"/>
        </w:rPr>
        <w:t>)</w:t>
      </w:r>
      <w:r w:rsidRPr="006A3D94">
        <w:rPr>
          <w:rFonts w:ascii="Simplified Arabic" w:hAnsi="Simplified Arabic" w:cs="Simplified Arabic"/>
          <w:color w:val="000000" w:themeColor="text1"/>
          <w:sz w:val="28"/>
          <w:szCs w:val="28"/>
          <w:rtl/>
        </w:rPr>
        <w:t>،</w:t>
      </w:r>
      <w:proofErr w:type="gramEnd"/>
      <w:r w:rsidRPr="006A3D94">
        <w:rPr>
          <w:rFonts w:ascii="Simplified Arabic" w:hAnsi="Simplified Arabic" w:cs="Simplified Arabic"/>
          <w:color w:val="000000" w:themeColor="text1"/>
          <w:sz w:val="28"/>
          <w:szCs w:val="28"/>
          <w:rtl/>
        </w:rPr>
        <w:t xml:space="preserve"> في حين تتبنّى الدراسة الحالية المنهج الوصفي التحليلي القائم على استبانة ميدانية تستهدف المستفيدين الفعليين من المنصة. ومن حيث </w:t>
      </w:r>
      <w:r w:rsidRPr="006A3D94">
        <w:rPr>
          <w:rStyle w:val="Strong"/>
          <w:rFonts w:ascii="Simplified Arabic" w:hAnsi="Simplified Arabic" w:cs="Simplified Arabic"/>
          <w:b w:val="0"/>
          <w:bCs w:val="0"/>
          <w:color w:val="000000" w:themeColor="text1"/>
          <w:sz w:val="28"/>
          <w:szCs w:val="28"/>
          <w:rtl/>
        </w:rPr>
        <w:t>بيئة التطبيق</w:t>
      </w:r>
      <w:r w:rsidRPr="006A3D94">
        <w:rPr>
          <w:rFonts w:ascii="Simplified Arabic" w:hAnsi="Simplified Arabic" w:cs="Simplified Arabic"/>
          <w:color w:val="000000" w:themeColor="text1"/>
          <w:sz w:val="28"/>
          <w:szCs w:val="28"/>
          <w:rtl/>
        </w:rPr>
        <w:t>، لم تُطبّق أيٌّ من الدراسات السابقة على سوق الإيجار العقاري في مدينة الرياض، ولم تُراعِ السياق التنظيمي الجديد بعد صدور الأحكام النظامية في سبتمبر 2025 التي شملت تجميد الإيجارات وإلزام التسجيل الإلكتروني، مما يجعل الدراسة الحالية الأولى من نوعها التي تسد هذه الفجوة في الأدبيات العربية والأجنبية على حدٍّ سواء</w:t>
      </w:r>
      <w:r w:rsidRPr="006A3D94">
        <w:rPr>
          <w:rFonts w:ascii="Simplified Arabic" w:hAnsi="Simplified Arabic" w:cs="Simplified Arabic"/>
          <w:color w:val="000000" w:themeColor="text1"/>
          <w:sz w:val="28"/>
          <w:szCs w:val="28"/>
        </w:rPr>
        <w:t>.</w:t>
      </w:r>
    </w:p>
    <w:p w14:paraId="37C9E72E" w14:textId="77777777" w:rsidR="00A76E59" w:rsidRPr="006A3D94" w:rsidRDefault="00A76E59" w:rsidP="00A76E59">
      <w:pPr>
        <w:pStyle w:val="NormalWeb"/>
        <w:bidi/>
        <w:spacing w:line="276" w:lineRule="auto"/>
        <w:outlineLvl w:val="1"/>
        <w:rPr>
          <w:rFonts w:ascii="Simplified Arabic" w:hAnsi="Simplified Arabic" w:cs="Simplified Arabic"/>
          <w:b/>
          <w:bCs/>
          <w:color w:val="000000" w:themeColor="text1"/>
          <w:sz w:val="36"/>
          <w:szCs w:val="36"/>
          <w:rtl/>
        </w:rPr>
      </w:pPr>
      <w:bookmarkStart w:id="18" w:name="_Toc169790502"/>
      <w:bookmarkStart w:id="19" w:name="_Toc233465044"/>
      <w:bookmarkEnd w:id="16"/>
      <w:r w:rsidRPr="006A3D94">
        <w:rPr>
          <w:rFonts w:ascii="Simplified Arabic" w:hAnsi="Simplified Arabic" w:cs="Simplified Arabic"/>
          <w:b/>
          <w:bCs/>
          <w:color w:val="000000" w:themeColor="text1"/>
          <w:sz w:val="36"/>
          <w:szCs w:val="36"/>
        </w:rPr>
        <w:t xml:space="preserve">9.1 </w:t>
      </w:r>
      <w:r w:rsidRPr="006A3D94">
        <w:rPr>
          <w:rFonts w:ascii="Simplified Arabic" w:hAnsi="Simplified Arabic" w:cs="Simplified Arabic"/>
          <w:b/>
          <w:bCs/>
          <w:color w:val="000000" w:themeColor="text1"/>
          <w:sz w:val="36"/>
          <w:szCs w:val="36"/>
          <w:rtl/>
        </w:rPr>
        <w:t>المنطلقات النظرية للدراسة</w:t>
      </w:r>
      <w:r w:rsidRPr="006A3D94">
        <w:rPr>
          <w:rFonts w:ascii="Simplified Arabic" w:hAnsi="Simplified Arabic" w:cs="Simplified Arabic"/>
          <w:b/>
          <w:bCs/>
          <w:color w:val="000000" w:themeColor="text1"/>
          <w:sz w:val="36"/>
          <w:szCs w:val="36"/>
        </w:rPr>
        <w:t>:</w:t>
      </w:r>
      <w:bookmarkEnd w:id="19"/>
    </w:p>
    <w:p w14:paraId="1DAF9F34" w14:textId="57B6AEB8" w:rsidR="00A76E59" w:rsidRPr="006A3D94" w:rsidRDefault="00A76E59" w:rsidP="00A76E59">
      <w:pPr>
        <w:pStyle w:val="NormalWeb"/>
        <w:bidi/>
        <w:spacing w:line="276" w:lineRule="auto"/>
        <w:jc w:val="both"/>
        <w:rPr>
          <w:rFonts w:ascii="Simplified Arabic" w:hAnsi="Simplified Arabic" w:cs="Simplified Arabic"/>
          <w:b/>
          <w:bCs/>
          <w:color w:val="000000" w:themeColor="text1"/>
          <w:sz w:val="32"/>
          <w:szCs w:val="32"/>
          <w:rtl/>
        </w:rPr>
      </w:pPr>
      <w:r w:rsidRPr="006A3D94">
        <w:rPr>
          <w:rFonts w:ascii="Simplified Arabic" w:hAnsi="Simplified Arabic" w:cs="Simplified Arabic"/>
          <w:b/>
          <w:bCs/>
          <w:color w:val="000000" w:themeColor="text1"/>
          <w:sz w:val="32"/>
          <w:szCs w:val="32"/>
          <w:rtl/>
        </w:rPr>
        <w:t>أولًا: المتغير المستقل — منصة "إيجار</w:t>
      </w:r>
    </w:p>
    <w:p w14:paraId="7A77C425" w14:textId="3E926628"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 xml:space="preserve">تُعرَّف منصة "إيجار" بأنها شبكة إلكترونية متكاملة أطلقتها الهيئة العامة للعقار عام 2017، تهدف إلى تنظيم قطاع الإيجار العقاري في المملكة العربية السعودية وحفظ حقوق أطراف العملية الإيجارية  </w:t>
      </w:r>
      <w:r w:rsidRPr="006A3D94">
        <w:rPr>
          <w:rFonts w:ascii="Simplified Arabic" w:hAnsi="Simplified Arabic" w:cs="Simplified Arabic"/>
          <w:color w:val="000000" w:themeColor="text1"/>
          <w:sz w:val="28"/>
          <w:szCs w:val="28"/>
          <w:rtl/>
        </w:rPr>
        <w:lastRenderedPageBreak/>
        <w:t>المستأجر والمؤجر والوسيط العقاري عبر تقديم مجموعة من الحلول والخدمات الإلكترونية التي تشمل توثيق العقود رقميًا وإتاحة مؤشرات سوقية وتوفير آليات لفض النزاعات وتقييم السلوك الإيجاري (الهيئة العامة للعقار، 2025). وتُعرَّف إجرائيًا في هذه الدراسة بأنها المنصة الحكومية الرقمية بكامل خدماتها وآلياتها التي يتفاعل معها المستفيدون المسجلون في مدينة الرياض، وتُقاس من خلال استجابات عينة الدراسة على فقرات محور المتغير المستقل في الاستبانة البالغة عشر فقرات تتناول مدى استخدام المنصة وفاعلية خدماتها وسهولة إجراءاتها ومدى الاعتماد عليها في إدارة العلاقة الإيجارية</w:t>
      </w:r>
      <w:r w:rsidRPr="006A3D94">
        <w:rPr>
          <w:rFonts w:ascii="Simplified Arabic" w:hAnsi="Simplified Arabic" w:cs="Simplified Arabic"/>
          <w:color w:val="000000" w:themeColor="text1"/>
          <w:sz w:val="28"/>
          <w:szCs w:val="28"/>
        </w:rPr>
        <w:t>.</w:t>
      </w:r>
    </w:p>
    <w:p w14:paraId="5FACC8A2" w14:textId="4DB0A06D" w:rsidR="0046177C" w:rsidRPr="006A3D94" w:rsidRDefault="0046177C" w:rsidP="00A76E59">
      <w:pPr>
        <w:pStyle w:val="NormalWeb"/>
        <w:bidi/>
        <w:spacing w:line="276" w:lineRule="auto"/>
        <w:jc w:val="both"/>
        <w:rPr>
          <w:rFonts w:ascii="Simplified Arabic" w:hAnsi="Simplified Arabic" w:cs="Simplified Arabic"/>
          <w:color w:val="000000" w:themeColor="text1"/>
          <w:sz w:val="32"/>
          <w:szCs w:val="32"/>
        </w:rPr>
      </w:pPr>
      <w:r w:rsidRPr="006A3D94">
        <w:rPr>
          <w:rStyle w:val="Strong"/>
          <w:rFonts w:ascii="Simplified Arabic" w:hAnsi="Simplified Arabic" w:cs="Simplified Arabic"/>
          <w:color w:val="000000" w:themeColor="text1"/>
          <w:sz w:val="32"/>
          <w:szCs w:val="32"/>
          <w:rtl/>
        </w:rPr>
        <w:t>ثانيًا: المتغير التابع — تعزيز الشفافية وحماية حقوق أطراف العلاقة الإيجارية</w:t>
      </w:r>
    </w:p>
    <w:p w14:paraId="0299DF2C"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يُعرَّف هذا المتغير بأنه الدرجة التي تُسهم بها منصة "إيجار" في تحقيق الوضوح والإفصاح في المعلومات والإجراءات المتعلقة بسوق الإيجار العقاري، وفي صون الحقوق المادية والقانونية لجميع أطراف العلاقة الإيجارية من مؤجرين ومستأجرين ووسطاء عقاريين. ويتكون هذا المتغير من أربعة أبعاد يُقاس كل منها بأربع فقرات في أداة الدراسة، وفيما يلي تعريف كل بُعد</w:t>
      </w:r>
      <w:r w:rsidRPr="006A3D94">
        <w:rPr>
          <w:rFonts w:ascii="Simplified Arabic" w:hAnsi="Simplified Arabic" w:cs="Simplified Arabic"/>
          <w:color w:val="000000" w:themeColor="text1"/>
          <w:sz w:val="28"/>
          <w:szCs w:val="28"/>
        </w:rPr>
        <w:t>:</w:t>
      </w:r>
    </w:p>
    <w:p w14:paraId="6413592C" w14:textId="77777777" w:rsidR="0046177C" w:rsidRPr="006A3D94" w:rsidRDefault="0046177C" w:rsidP="00A76E59">
      <w:pPr>
        <w:pStyle w:val="NormalWeb"/>
        <w:bidi/>
        <w:spacing w:line="276" w:lineRule="auto"/>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color w:val="000000" w:themeColor="text1"/>
          <w:sz w:val="28"/>
          <w:szCs w:val="28"/>
          <w:rtl/>
        </w:rPr>
        <w:t>البُعد الأول: الشفافية المعلوماتية</w:t>
      </w:r>
    </w:p>
    <w:p w14:paraId="5550E40C"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تُعرَّف الشفافية المعلوماتية بأنها إتاحة المعلومات والبيانات المتعلقة بسوق الإيجار العقاري بشكل واضح ودقيق وفي الوقت المناسب لجميع الأطراف ذات العلاقة، بما يُمكّنهم من اتخاذ قرارات إيجارية مستنيرة مبنية على معطيات موضوعية لا على تقديرات شخصية أو معلومات مضلّلة. وتشمل هذه الشفافية إتاحة بيانات أسعار الإيجار السائدة في الأحياء والمناطق المختلفة من خلال المؤشر الإيجاري، والإفصاح عن شروط العقود ومعايير التقييم، وتوفير معلومات عن حركة السوق وحجم الصفقات الإيجارية. وقد أكدت الأدبيات أن الشفافية المعلوماتية تُعدّ البُعد الأول والأساسي في أي منظومة شفافية رقمية، إذ تُقلّص فجوة اللاتماثل المعلوماتي بين الأطراف وتحدّ من ظواهر الاختيار العكسي والتلاعب بالأسعار (كاظم والنجار، 2020؛</w:t>
      </w:r>
      <w:r w:rsidRPr="006A3D94">
        <w:rPr>
          <w:rFonts w:ascii="Simplified Arabic" w:hAnsi="Simplified Arabic" w:cs="Simplified Arabic"/>
          <w:color w:val="000000" w:themeColor="text1"/>
          <w:sz w:val="28"/>
          <w:szCs w:val="28"/>
        </w:rPr>
        <w:t xml:space="preserve"> Prifti et al., 2023). </w:t>
      </w:r>
      <w:r w:rsidRPr="006A3D94">
        <w:rPr>
          <w:rFonts w:ascii="Simplified Arabic" w:hAnsi="Simplified Arabic" w:cs="Simplified Arabic"/>
          <w:color w:val="000000" w:themeColor="text1"/>
          <w:sz w:val="28"/>
          <w:szCs w:val="28"/>
          <w:rtl/>
        </w:rPr>
        <w:t>وتُقاس إجرائيًا من خلال أربع فقرات تتناول مدى توفر المعلومات السوقية ووضوحها وحداثتها وقدرتها على دعم قرارات الأطراف</w:t>
      </w:r>
      <w:r w:rsidRPr="006A3D94">
        <w:rPr>
          <w:rFonts w:ascii="Simplified Arabic" w:hAnsi="Simplified Arabic" w:cs="Simplified Arabic"/>
          <w:color w:val="000000" w:themeColor="text1"/>
          <w:sz w:val="28"/>
          <w:szCs w:val="28"/>
        </w:rPr>
        <w:t>.</w:t>
      </w:r>
    </w:p>
    <w:p w14:paraId="1B4982E5" w14:textId="77777777" w:rsidR="0046177C" w:rsidRPr="006A3D94" w:rsidRDefault="0046177C" w:rsidP="00A76E59">
      <w:pPr>
        <w:pStyle w:val="NormalWeb"/>
        <w:bidi/>
        <w:spacing w:line="276" w:lineRule="auto"/>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color w:val="000000" w:themeColor="text1"/>
          <w:sz w:val="28"/>
          <w:szCs w:val="28"/>
          <w:rtl/>
        </w:rPr>
        <w:t>البُعد الثاني: التوثيق الإلكتروني للعقود</w:t>
      </w:r>
    </w:p>
    <w:p w14:paraId="6E2F3932"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lastRenderedPageBreak/>
        <w:t>يُعرَّف التوثيق الإلكتروني للعقود بأنه العملية التي يتم بموجبها تسجيل عقد الإيجار وإثباته رقميًا عبر الشبكة الإلكترونية لمنصة "إيجار" بحيث يكتسب العقد صفته الرسمية والحجية القانونية التي تُمكّن أطرافه من الاحتجاج به أمام الجهات الحكومية والقضائية. ويتضمن هذا التوثيق تحديد هوية الأطراف إلكترونيًا عبر منصة النفاذ الوطني، وتسجيل بنود العقد وشروطه وقيمته ومدته بشكل موحّد ومعياري، والحصول على موافقة الطرفين الإلكترونية، وأرشفة العقد رقميًا بما يُسهّل الرجوع إليه عند الحاجة. وقد أصبح هذا التوثيق شرطًا نظاميًا بموجب الأحكام النظامية الصادرة في سبتمبر 2025 التي اشترطت تسجيل العقد في شبكة "إيجار</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 xml:space="preserve">لاعتباره عقدًا صحيحًا ومنتجًا لآثاره القانونية (الهيئة العامة للعقار، </w:t>
      </w:r>
      <w:r w:rsidRPr="006A3D94">
        <w:rPr>
          <w:rFonts w:ascii="Simplified Arabic" w:hAnsi="Simplified Arabic" w:cs="Simplified Arabic"/>
          <w:color w:val="000000" w:themeColor="text1"/>
          <w:sz w:val="28"/>
          <w:szCs w:val="28"/>
        </w:rPr>
        <w:t xml:space="preserve">2025). </w:t>
      </w:r>
      <w:r w:rsidRPr="006A3D94">
        <w:rPr>
          <w:rFonts w:ascii="Simplified Arabic" w:hAnsi="Simplified Arabic" w:cs="Simplified Arabic"/>
          <w:color w:val="000000" w:themeColor="text1"/>
          <w:sz w:val="28"/>
          <w:szCs w:val="28"/>
          <w:rtl/>
        </w:rPr>
        <w:t>وقد أثبتت الدراسات أن التوثيق الرقمي للعقود يُسهم في الحد من النزاعات وحماية حقوق الأطراف من خلال توحيد الالتزامات وإزالة الغموض التعاقدي</w:t>
      </w:r>
      <w:r w:rsidRPr="006A3D94">
        <w:rPr>
          <w:rFonts w:ascii="Simplified Arabic" w:hAnsi="Simplified Arabic" w:cs="Simplified Arabic"/>
          <w:color w:val="000000" w:themeColor="text1"/>
          <w:sz w:val="28"/>
          <w:szCs w:val="28"/>
        </w:rPr>
        <w:t xml:space="preserve"> (Tseng et al., 2025</w:t>
      </w:r>
      <w:r w:rsidRPr="006A3D94">
        <w:rPr>
          <w:rFonts w:ascii="Simplified Arabic" w:hAnsi="Simplified Arabic" w:cs="Simplified Arabic"/>
          <w:color w:val="000000" w:themeColor="text1"/>
          <w:sz w:val="28"/>
          <w:szCs w:val="28"/>
          <w:rtl/>
        </w:rPr>
        <w:t>؛ راشد والجمل، 2022</w:t>
      </w:r>
      <w:r w:rsidRPr="006A3D94">
        <w:rPr>
          <w:rFonts w:ascii="Simplified Arabic" w:hAnsi="Simplified Arabic" w:cs="Simplified Arabic"/>
          <w:color w:val="000000" w:themeColor="text1"/>
          <w:sz w:val="28"/>
          <w:szCs w:val="28"/>
        </w:rPr>
        <w:t xml:space="preserve">). </w:t>
      </w:r>
      <w:r w:rsidRPr="006A3D94">
        <w:rPr>
          <w:rFonts w:ascii="Simplified Arabic" w:hAnsi="Simplified Arabic" w:cs="Simplified Arabic"/>
          <w:color w:val="000000" w:themeColor="text1"/>
          <w:sz w:val="28"/>
          <w:szCs w:val="28"/>
          <w:rtl/>
        </w:rPr>
        <w:t>ويُقاس إجرائيًا من خلال أربع فقرات تتناول سهولة إجراءات التوثيق ودقتها وحجيتها القانونية ودورها في حفظ الحقوق</w:t>
      </w:r>
      <w:r w:rsidRPr="006A3D94">
        <w:rPr>
          <w:rFonts w:ascii="Simplified Arabic" w:hAnsi="Simplified Arabic" w:cs="Simplified Arabic"/>
          <w:color w:val="000000" w:themeColor="text1"/>
          <w:sz w:val="28"/>
          <w:szCs w:val="28"/>
        </w:rPr>
        <w:t>.</w:t>
      </w:r>
    </w:p>
    <w:p w14:paraId="24B2213C" w14:textId="77777777" w:rsidR="0046177C" w:rsidRPr="006A3D94" w:rsidRDefault="0046177C" w:rsidP="00A76E59">
      <w:pPr>
        <w:pStyle w:val="NormalWeb"/>
        <w:bidi/>
        <w:spacing w:line="276" w:lineRule="auto"/>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color w:val="000000" w:themeColor="text1"/>
          <w:sz w:val="28"/>
          <w:szCs w:val="28"/>
          <w:rtl/>
        </w:rPr>
        <w:t>البُعد الثالث: آليات فض النزاعات وحماية الحقوق</w:t>
      </w:r>
    </w:p>
    <w:p w14:paraId="60B1CE31"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 xml:space="preserve">تُعرَّف آليات فض النزاعات وحماية الحقوق بأنها مجموعة الإجراءات والأدوات الرقمية والتنظيمية التي توفرها منصة </w:t>
      </w:r>
      <w:r w:rsidRPr="006A3D94">
        <w:rPr>
          <w:rFonts w:ascii="Simplified Arabic" w:hAnsi="Simplified Arabic" w:cs="Simplified Arabic"/>
          <w:color w:val="000000" w:themeColor="text1"/>
          <w:sz w:val="28"/>
          <w:szCs w:val="28"/>
        </w:rPr>
        <w:t>"</w:t>
      </w:r>
      <w:r w:rsidRPr="006A3D94">
        <w:rPr>
          <w:rFonts w:ascii="Simplified Arabic" w:hAnsi="Simplified Arabic" w:cs="Simplified Arabic"/>
          <w:color w:val="000000" w:themeColor="text1"/>
          <w:sz w:val="28"/>
          <w:szCs w:val="28"/>
          <w:rtl/>
        </w:rPr>
        <w:t>إيجار" لمعالجة الخلافات التي تنشأ بين أطراف العلاقة الإيجارية وصون حقوقهم المادية والقانونية. وتشمل هذه الآليات تقديم الشكاوى إلكترونيًا عبر المنصة، وإحالة النزاعات إلى الجهات المختصة وفق إجراءات محددة وموثقة، وتفعيل بنود العقد الموحّد كمرجعية قانونية في حال الإخلال بالالتزامات، فضلًا عن آليات الإخطار والإنذار الإلكتروني وخدمة التسوية الودية قبل اللجوء إلى القضاء. وقد أكدت الأدبيات أن وجود آليات فض نزاعات فعّالة ومدمجة في المنصات الرقمية يُعدّ ركيزة أساسية لبناء الثقة بين الأطراف المتعاقدة، لأنها تُقلّل من تكلفة التقاضي وتُسرّع إجراءاته وتُعزّز شعور الأطراف بأن حقوقهم محمية مؤسسيًا</w:t>
      </w:r>
      <w:r w:rsidRPr="006A3D94">
        <w:rPr>
          <w:rFonts w:ascii="Simplified Arabic" w:hAnsi="Simplified Arabic" w:cs="Simplified Arabic"/>
          <w:color w:val="000000" w:themeColor="text1"/>
          <w:sz w:val="28"/>
          <w:szCs w:val="28"/>
        </w:rPr>
        <w:t xml:space="preserve"> (Ulfbeck et al., 2018</w:t>
      </w:r>
      <w:r w:rsidRPr="006A3D94">
        <w:rPr>
          <w:rFonts w:ascii="Simplified Arabic" w:hAnsi="Simplified Arabic" w:cs="Simplified Arabic"/>
          <w:color w:val="000000" w:themeColor="text1"/>
          <w:sz w:val="28"/>
          <w:szCs w:val="28"/>
          <w:rtl/>
        </w:rPr>
        <w:t>؛</w:t>
      </w:r>
      <w:r w:rsidRPr="006A3D94">
        <w:rPr>
          <w:rFonts w:ascii="Simplified Arabic" w:hAnsi="Simplified Arabic" w:cs="Simplified Arabic"/>
          <w:color w:val="000000" w:themeColor="text1"/>
          <w:sz w:val="28"/>
          <w:szCs w:val="28"/>
        </w:rPr>
        <w:t xml:space="preserve"> Christidis et al., 2023). </w:t>
      </w:r>
      <w:r w:rsidRPr="006A3D94">
        <w:rPr>
          <w:rFonts w:ascii="Simplified Arabic" w:hAnsi="Simplified Arabic" w:cs="Simplified Arabic"/>
          <w:color w:val="000000" w:themeColor="text1"/>
          <w:sz w:val="28"/>
          <w:szCs w:val="28"/>
          <w:rtl/>
        </w:rPr>
        <w:t>ويُقاس هذا البُعد إجرائيًا من خلال أربع فقرات تتناول فاعلية آليات الشكاوى وسرعة معالجتها وعدالتها ودورها في حماية حقوق الأطراف</w:t>
      </w:r>
      <w:r w:rsidRPr="006A3D94">
        <w:rPr>
          <w:rFonts w:ascii="Simplified Arabic" w:hAnsi="Simplified Arabic" w:cs="Simplified Arabic"/>
          <w:color w:val="000000" w:themeColor="text1"/>
          <w:sz w:val="28"/>
          <w:szCs w:val="28"/>
        </w:rPr>
        <w:t>.</w:t>
      </w:r>
    </w:p>
    <w:p w14:paraId="20400E03" w14:textId="77777777" w:rsidR="0046177C" w:rsidRPr="006A3D94" w:rsidRDefault="0046177C" w:rsidP="00A76E59">
      <w:pPr>
        <w:pStyle w:val="NormalWeb"/>
        <w:bidi/>
        <w:spacing w:line="276" w:lineRule="auto"/>
        <w:jc w:val="both"/>
        <w:rPr>
          <w:rFonts w:ascii="Simplified Arabic" w:hAnsi="Simplified Arabic" w:cs="Simplified Arabic"/>
          <w:color w:val="000000" w:themeColor="text1"/>
          <w:sz w:val="28"/>
          <w:szCs w:val="28"/>
        </w:rPr>
      </w:pPr>
      <w:r w:rsidRPr="006A3D94">
        <w:rPr>
          <w:rStyle w:val="Strong"/>
          <w:rFonts w:ascii="Simplified Arabic" w:hAnsi="Simplified Arabic" w:cs="Simplified Arabic"/>
          <w:b w:val="0"/>
          <w:bCs w:val="0"/>
          <w:color w:val="000000" w:themeColor="text1"/>
          <w:sz w:val="28"/>
          <w:szCs w:val="28"/>
          <w:rtl/>
        </w:rPr>
        <w:t>البُعد الرابع: مؤشر السلوك الإيجاري</w:t>
      </w:r>
    </w:p>
    <w:p w14:paraId="54664542" w14:textId="77777777" w:rsidR="0046177C" w:rsidRPr="006A3D94" w:rsidRDefault="0046177C" w:rsidP="00A76E59">
      <w:pPr>
        <w:pStyle w:val="NormalWeb"/>
        <w:bidi/>
        <w:spacing w:line="276" w:lineRule="auto"/>
        <w:ind w:firstLine="424"/>
        <w:jc w:val="both"/>
        <w:rPr>
          <w:rFonts w:ascii="Simplified Arabic" w:hAnsi="Simplified Arabic" w:cs="Simplified Arabic"/>
          <w:color w:val="000000" w:themeColor="text1"/>
          <w:sz w:val="28"/>
          <w:szCs w:val="28"/>
        </w:rPr>
      </w:pPr>
      <w:r w:rsidRPr="006A3D94">
        <w:rPr>
          <w:rFonts w:ascii="Simplified Arabic" w:hAnsi="Simplified Arabic" w:cs="Simplified Arabic"/>
          <w:color w:val="000000" w:themeColor="text1"/>
          <w:sz w:val="28"/>
          <w:szCs w:val="28"/>
          <w:rtl/>
        </w:rPr>
        <w:t>يُعرَّف مؤشر السلوك الإيجاري بأنه أداة تنظيمية رقمية تهدف إلى قياس وتقييم السلوكيات الإيجارية والمالية لأطراف العلاقة الإيجارية من خلال وضع معايير محددة لتقييم مستفيدي شبكة "إيجار</w:t>
      </w:r>
      <w:r w:rsidRPr="006A3D94">
        <w:rPr>
          <w:rFonts w:ascii="Simplified Arabic" w:hAnsi="Simplified Arabic" w:cs="Simplified Arabic"/>
          <w:color w:val="000000" w:themeColor="text1"/>
          <w:sz w:val="28"/>
          <w:szCs w:val="28"/>
        </w:rPr>
        <w:t>"</w:t>
      </w:r>
      <w:r w:rsidRPr="006A3D94">
        <w:rPr>
          <w:rFonts w:ascii="Simplified Arabic" w:hAnsi="Simplified Arabic" w:cs="Simplified Arabic"/>
          <w:color w:val="000000" w:themeColor="text1"/>
          <w:sz w:val="28"/>
          <w:szCs w:val="28"/>
          <w:rtl/>
        </w:rPr>
        <w:t xml:space="preserve">، وذلك بهدف رفع مستوى الوعي وحماية حقوق الأطراف وتعزيز الشفافية والثقة في السوق الإيجاري (منصة إيجار، </w:t>
      </w:r>
      <w:r w:rsidRPr="006A3D94">
        <w:rPr>
          <w:rFonts w:ascii="Simplified Arabic" w:hAnsi="Simplified Arabic" w:cs="Simplified Arabic"/>
          <w:color w:val="000000" w:themeColor="text1"/>
          <w:sz w:val="28"/>
          <w:szCs w:val="28"/>
          <w:rtl/>
        </w:rPr>
        <w:lastRenderedPageBreak/>
        <w:t>2025). ويعتمد هذا المؤشر على خمسة محاور رئيسية تشمل الانتظام في سداد الدفعات الإيجارية، واستمرارية العلاقة التعاقدية، والالتزام ببنود العقد، والتفاعل مع إجراءات المنصة، والسجل التاريخي للمستأجر أو المؤجر عبر الشبكة. ويُقدّم المؤشر قيمة رقمية مبنية على البيانات تُحوّل التاريخ الإيجاري المعقّد إلى درجة واضحة يمكن للطرف الآخر الاعتماد عليها في اتخاذ قراره، مما يُقلّل من الخطر الأخلاقي ويعزّز المسؤولية التعاقدية (وزارة البلديات والإسكان، 2025). وتتسق هذه الأداة نظريًا مع نظرية الإشارات حيث يُمثّل المؤشر إشارة موثوقة ومكلفة عن جودة الطرف المتعاقد</w:t>
      </w:r>
      <w:r w:rsidRPr="006A3D94">
        <w:rPr>
          <w:rFonts w:ascii="Simplified Arabic" w:hAnsi="Simplified Arabic" w:cs="Simplified Arabic"/>
          <w:color w:val="000000" w:themeColor="text1"/>
          <w:sz w:val="28"/>
          <w:szCs w:val="28"/>
        </w:rPr>
        <w:t xml:space="preserve"> (Spence, 1973; Connelly et al., 2011). </w:t>
      </w:r>
      <w:r w:rsidRPr="006A3D94">
        <w:rPr>
          <w:rFonts w:ascii="Simplified Arabic" w:hAnsi="Simplified Arabic" w:cs="Simplified Arabic"/>
          <w:color w:val="000000" w:themeColor="text1"/>
          <w:sz w:val="28"/>
          <w:szCs w:val="28"/>
          <w:rtl/>
        </w:rPr>
        <w:t>ويُقاس إجرائيًا من خلال أربع فقرات تتناول وعي المستفيدين بالمؤشر وموضوعيته وتأثيره على قرارات التأجير ودوره في تحسين السلوك الإيجاري</w:t>
      </w:r>
      <w:r w:rsidRPr="006A3D94">
        <w:rPr>
          <w:rFonts w:ascii="Simplified Arabic" w:hAnsi="Simplified Arabic" w:cs="Simplified Arabic"/>
          <w:color w:val="000000" w:themeColor="text1"/>
          <w:sz w:val="28"/>
          <w:szCs w:val="28"/>
        </w:rPr>
        <w:t>.</w:t>
      </w:r>
    </w:p>
    <w:p w14:paraId="2A6199DE" w14:textId="2E180F0D" w:rsidR="00A76E59" w:rsidRPr="006A3D94" w:rsidRDefault="00A76E59" w:rsidP="00A76E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0" w:name="_Toc169790506"/>
      <w:bookmarkStart w:id="21" w:name="_Toc233465045"/>
      <w:bookmarkEnd w:id="18"/>
      <w:r w:rsidRPr="006A3D94">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1"/>
    </w:p>
    <w:p w14:paraId="7F1A9B1E" w14:textId="7777777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بوصفه المنهج الأكثر ملاءمةً لطبيعة الموضوع وأهدافه، إذ يُتيح هذا المنهج وصف الظاهرة المدروسة وتحليلها كمّيًّا من خلال جمع البيانات الأولية من المبحوثين وتفسيرها إحصائيًّا للوصول إلى استنتاجات علمية قابلة للتعميم. وسيُوظَّف هذا المنهج في رصد واقع استخدام منصة إيجار وقياس أثرها على تعزيز الشفافية وحماية حقوق أطراف العلاقة الإيجارية بأبعادها الأربعة من وجهة نظر المستفيدين المسجّلين في المنصة بمدينة الرياض</w:t>
      </w:r>
      <w:r w:rsidRPr="006A3D94">
        <w:rPr>
          <w:rFonts w:ascii="Simplified Arabic" w:eastAsia="Times New Roman" w:hAnsi="Simplified Arabic" w:cs="Simplified Arabic"/>
          <w:color w:val="000000" w:themeColor="text1"/>
          <w:kern w:val="0"/>
          <w:sz w:val="28"/>
          <w:szCs w:val="28"/>
          <w14:ligatures w14:val="none"/>
        </w:rPr>
        <w:t>.</w:t>
      </w:r>
    </w:p>
    <w:p w14:paraId="2089D6BF" w14:textId="0B69518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وسيجمع الباحث بين أسلوبين متكاملين في البحث</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الأسلوب المكتبي الذي سيُستخدم في بناء الإطار النظري ومراجعة الأدبيات والدراسات السابقة من خلال الكتب والدوريات العلمية والتقارير الرسمية والوثائق المنشورة، والأسلوب الميداني الذي سيعتمد على تصميم استبانة إلكترونية وتوزيعها على عينة الدراسة لجمع البيانات الأولية ومعالجتها إحصائيًّا باستخدام برنامج الحزمة الإحصائية للعلوم الاجتماعية</w:t>
      </w:r>
      <w:r w:rsidRPr="006A3D94">
        <w:rPr>
          <w:rFonts w:ascii="Simplified Arabic" w:eastAsia="Times New Roman" w:hAnsi="Simplified Arabic" w:cs="Simplified Arabic"/>
          <w:color w:val="000000" w:themeColor="text1"/>
          <w:kern w:val="0"/>
          <w:sz w:val="28"/>
          <w:szCs w:val="28"/>
          <w14:ligatures w14:val="none"/>
        </w:rPr>
        <w:t xml:space="preserve"> (SPSS) </w:t>
      </w:r>
      <w:r w:rsidRPr="006A3D94">
        <w:rPr>
          <w:rFonts w:ascii="Simplified Arabic" w:eastAsia="Times New Roman" w:hAnsi="Simplified Arabic" w:cs="Simplified Arabic"/>
          <w:color w:val="000000" w:themeColor="text1"/>
          <w:kern w:val="0"/>
          <w:sz w:val="28"/>
          <w:szCs w:val="28"/>
          <w:rtl/>
          <w14:ligatures w14:val="none"/>
        </w:rPr>
        <w:t>بهدف اختبار فرضيات الدراسة والإجابة عن أسئلتها</w:t>
      </w:r>
      <w:r w:rsidRPr="006A3D94">
        <w:rPr>
          <w:rFonts w:ascii="Simplified Arabic" w:eastAsia="Times New Roman" w:hAnsi="Simplified Arabic" w:cs="Simplified Arabic"/>
          <w:color w:val="000000" w:themeColor="text1"/>
          <w:kern w:val="0"/>
          <w:sz w:val="28"/>
          <w:szCs w:val="28"/>
          <w14:ligatures w14:val="none"/>
        </w:rPr>
        <w:t>.</w:t>
      </w:r>
    </w:p>
    <w:p w14:paraId="6300205F" w14:textId="204EE951" w:rsidR="005A72B7" w:rsidRPr="006A3D94" w:rsidRDefault="00A76E59" w:rsidP="00A76E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22795689"/>
      <w:bookmarkStart w:id="23" w:name="_Toc233465046"/>
      <w:r w:rsidRPr="006A3D94">
        <w:rPr>
          <w:rFonts w:ascii="Simplified Arabic" w:eastAsia="Times New Roman" w:hAnsi="Simplified Arabic" w:cs="Simplified Arabic" w:hint="cs"/>
          <w:b/>
          <w:bCs/>
          <w:color w:val="000000" w:themeColor="text1"/>
          <w:kern w:val="0"/>
          <w:sz w:val="36"/>
          <w:szCs w:val="36"/>
          <w:rtl/>
          <w14:ligatures w14:val="none"/>
        </w:rPr>
        <w:t xml:space="preserve">11.1 </w:t>
      </w:r>
      <w:r w:rsidR="005A72B7" w:rsidRPr="006A3D94">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2"/>
      <w:bookmarkEnd w:id="23"/>
    </w:p>
    <w:p w14:paraId="16E6C530" w14:textId="7777777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المستفيدين المسجّلين على منصة إيجار في مدينة الرياض من مؤجرين ومستأجرين ووسطاء عقاريين. ووفقًا لأحدث الإحصاءات الرسمية الصادرة عن الهيئة العامة للعقار، فقد تجاوز عدد المستخدمين النشطين للمنصة على مستوى المملكة 4,254,046 مستفيدًا، وبلغ عدد العقود </w:t>
      </w:r>
      <w:r w:rsidRPr="006A3D94">
        <w:rPr>
          <w:rFonts w:ascii="Simplified Arabic" w:eastAsia="Times New Roman" w:hAnsi="Simplified Arabic" w:cs="Simplified Arabic"/>
          <w:color w:val="000000" w:themeColor="text1"/>
          <w:kern w:val="0"/>
          <w:sz w:val="28"/>
          <w:szCs w:val="28"/>
          <w:rtl/>
          <w14:ligatures w14:val="none"/>
        </w:rPr>
        <w:lastRenderedPageBreak/>
        <w:t>الموثّقة أكثر من 13 مليون عقد بمتوسط يومي يقارب 4,200 عقد. وبما أن مدينة الرياض تستحوذ على نحو 22% من إجمالي الصفقات الإيجارية على مستوى المملكة وفقًا لبيانات المؤشر الإيجاري، فإن العدد التقديري للمستفيدين الفعليين في الرياض يبلغ نحو 935,890 مستفيدًا، وهو ما يُشكّل مجتمع الدراسة المستهدف</w:t>
      </w:r>
      <w:r w:rsidRPr="006A3D94">
        <w:rPr>
          <w:rFonts w:ascii="Simplified Arabic" w:eastAsia="Times New Roman" w:hAnsi="Simplified Arabic" w:cs="Simplified Arabic"/>
          <w:color w:val="000000" w:themeColor="text1"/>
          <w:kern w:val="0"/>
          <w:sz w:val="28"/>
          <w:szCs w:val="28"/>
          <w14:ligatures w14:val="none"/>
        </w:rPr>
        <w:t>.</w:t>
      </w:r>
    </w:p>
    <w:p w14:paraId="3F3611E4" w14:textId="7D4241FF"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وستُسحب عيّنة الدراسة بأسلوب العيّنة العشوائية الطبقية النسبية وفقًا لنوع المستفيد (مؤجر، مستأجر، وسيط عقاري) لضمان تمثيل جميع فئات مجتمع الدراسة تمثيلًا متوازنًا. وبتطبيق معادلة ستيفن ثامبسون</w:t>
      </w:r>
      <w:r w:rsidRPr="006A3D94">
        <w:rPr>
          <w:rFonts w:ascii="Simplified Arabic" w:eastAsia="Times New Roman" w:hAnsi="Simplified Arabic" w:cs="Simplified Arabic"/>
          <w:color w:val="000000" w:themeColor="text1"/>
          <w:kern w:val="0"/>
          <w:sz w:val="28"/>
          <w:szCs w:val="28"/>
          <w14:ligatures w14:val="none"/>
        </w:rPr>
        <w:t xml:space="preserve"> (Steven Thompson) </w:t>
      </w:r>
      <w:r w:rsidRPr="006A3D94">
        <w:rPr>
          <w:rFonts w:ascii="Simplified Arabic" w:eastAsia="Times New Roman" w:hAnsi="Simplified Arabic" w:cs="Simplified Arabic"/>
          <w:color w:val="000000" w:themeColor="text1"/>
          <w:kern w:val="0"/>
          <w:sz w:val="28"/>
          <w:szCs w:val="28"/>
          <w:rtl/>
          <w14:ligatures w14:val="none"/>
        </w:rPr>
        <w:t>لتحديد حجم العيّنة عند مستوى ثقة 95</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وهامش خطأ 5%، فإن الحد الأدنى المطلوب للعيّنة سيبلغ 384 مفردة. وسيحرص الباحث على توزيع 450 استبانة إلكترونية عبر الروابط الرقمية المتاحة على المنصة وقنوات التواصل المرتبطة بها، وذلك لتعويض حالات عدم الاستجابة أو الاستبانات غير المكتملة وضمان الحصول على عدد كافٍ من الردود الصالحة للتحليل الإحصائي</w:t>
      </w:r>
      <w:r w:rsidRPr="006A3D94">
        <w:rPr>
          <w:rFonts w:ascii="Simplified Arabic" w:eastAsia="Times New Roman" w:hAnsi="Simplified Arabic" w:cs="Simplified Arabic"/>
          <w:color w:val="000000" w:themeColor="text1"/>
          <w:kern w:val="0"/>
          <w:sz w:val="28"/>
          <w:szCs w:val="28"/>
          <w14:ligatures w14:val="none"/>
        </w:rPr>
        <w:t>.</w:t>
      </w:r>
    </w:p>
    <w:p w14:paraId="18592382" w14:textId="6DDB2CE6" w:rsidR="005A72B7" w:rsidRPr="006A3D94" w:rsidRDefault="00A76E59" w:rsidP="00A76E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2795690"/>
      <w:bookmarkStart w:id="25" w:name="_Toc233465047"/>
      <w:r w:rsidRPr="006A3D94">
        <w:rPr>
          <w:rFonts w:ascii="Simplified Arabic" w:eastAsia="Times New Roman" w:hAnsi="Simplified Arabic" w:cs="Simplified Arabic" w:hint="cs"/>
          <w:b/>
          <w:bCs/>
          <w:color w:val="000000" w:themeColor="text1"/>
          <w:kern w:val="0"/>
          <w:sz w:val="36"/>
          <w:szCs w:val="36"/>
          <w:rtl/>
          <w14:ligatures w14:val="none"/>
        </w:rPr>
        <w:t xml:space="preserve">12.1 </w:t>
      </w:r>
      <w:r w:rsidR="005A72B7" w:rsidRPr="006A3D94">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4"/>
      <w:bookmarkEnd w:id="25"/>
    </w:p>
    <w:p w14:paraId="49209DCD" w14:textId="5788DF8A"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ستعتمد الدراسة على نوعين من مصادر البيانات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المصادر الثانوية التي تشمل الكتب والمراجع العلمية والدوريات المحكّمة والرسائل الجامعية والتقارير الرسمية الصادرة عن الهيئة العامة للعقار ووزارة البلديات والإسكان والهيئة العامة للإحصاء، إضافةً إلى الوثائق والأنظمة المنشورة على منصة إيجار، وذلك لبناء الإطار النظري ومراجعة الأدبيات. والمصادر الأولية التي ستُجمع ميدانيًّا من خلال استبانة إلكترونية مُصمّمة وفق مقياس ليكرت الخماسي (موافق بشدة، موافق، محايد، غير موافق، غير موافق بشدة) وستُوزّع على عيّنة الدراسة لجمع آرائهم وتصوراتهم حول متغيرات الدراسة</w:t>
      </w:r>
      <w:r w:rsidRPr="006A3D94">
        <w:rPr>
          <w:rFonts w:ascii="Simplified Arabic" w:eastAsia="Times New Roman" w:hAnsi="Simplified Arabic" w:cs="Simplified Arabic"/>
          <w:color w:val="000000" w:themeColor="text1"/>
          <w:kern w:val="0"/>
          <w:sz w:val="28"/>
          <w:szCs w:val="28"/>
          <w14:ligatures w14:val="none"/>
        </w:rPr>
        <w:t>.</w:t>
      </w:r>
    </w:p>
    <w:p w14:paraId="0352959F" w14:textId="10B909A5" w:rsidR="005A72B7" w:rsidRPr="006A3D94" w:rsidRDefault="00A76E59" w:rsidP="00A76E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2795691"/>
      <w:bookmarkStart w:id="27" w:name="_Toc233465048"/>
      <w:r w:rsidRPr="006A3D94">
        <w:rPr>
          <w:rFonts w:ascii="Simplified Arabic" w:eastAsia="Times New Roman" w:hAnsi="Simplified Arabic" w:cs="Simplified Arabic" w:hint="cs"/>
          <w:b/>
          <w:bCs/>
          <w:color w:val="000000" w:themeColor="text1"/>
          <w:kern w:val="0"/>
          <w:sz w:val="36"/>
          <w:szCs w:val="36"/>
          <w:rtl/>
          <w14:ligatures w14:val="none"/>
        </w:rPr>
        <w:t xml:space="preserve">13.1 </w:t>
      </w:r>
      <w:r w:rsidR="005A72B7" w:rsidRPr="006A3D94">
        <w:rPr>
          <w:rFonts w:ascii="Simplified Arabic" w:eastAsia="Times New Roman" w:hAnsi="Simplified Arabic" w:cs="Simplified Arabic"/>
          <w:b/>
          <w:bCs/>
          <w:color w:val="000000" w:themeColor="text1"/>
          <w:kern w:val="0"/>
          <w:sz w:val="36"/>
          <w:szCs w:val="36"/>
          <w:rtl/>
          <w14:ligatures w14:val="none"/>
        </w:rPr>
        <w:t>أداة الدراسة</w:t>
      </w:r>
      <w:bookmarkEnd w:id="26"/>
      <w:bookmarkEnd w:id="27"/>
    </w:p>
    <w:p w14:paraId="1242A791" w14:textId="77777777" w:rsidR="005A72B7" w:rsidRPr="006A3D94" w:rsidRDefault="005A72B7" w:rsidP="00A76E5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6A3D94">
        <w:rPr>
          <w:rFonts w:ascii="Simplified Arabic" w:eastAsia="Times New Roman" w:hAnsi="Simplified Arabic" w:cs="Simplified Arabic"/>
          <w:b/>
          <w:bCs/>
          <w:color w:val="000000" w:themeColor="text1"/>
          <w:kern w:val="0"/>
          <w:sz w:val="28"/>
          <w:szCs w:val="28"/>
          <w:rtl/>
          <w14:ligatures w14:val="none"/>
        </w:rPr>
        <w:t>ستتكوّن أداة الدراسة (الاستبانة) من ثلاثة أقسام رئيسة على النحو التالي</w:t>
      </w:r>
      <w:r w:rsidRPr="006A3D94">
        <w:rPr>
          <w:rFonts w:ascii="Simplified Arabic" w:eastAsia="Times New Roman" w:hAnsi="Simplified Arabic" w:cs="Simplified Arabic"/>
          <w:b/>
          <w:bCs/>
          <w:color w:val="000000" w:themeColor="text1"/>
          <w:kern w:val="0"/>
          <w:sz w:val="28"/>
          <w:szCs w:val="28"/>
          <w14:ligatures w14:val="none"/>
        </w:rPr>
        <w:t>:</w:t>
      </w:r>
    </w:p>
    <w:p w14:paraId="22231F00" w14:textId="7777777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b/>
          <w:bCs/>
          <w:color w:val="000000" w:themeColor="text1"/>
          <w:kern w:val="0"/>
          <w:sz w:val="28"/>
          <w:szCs w:val="28"/>
          <w:rtl/>
          <w14:ligatures w14:val="none"/>
        </w:rPr>
        <w:t>القسم الأول</w:t>
      </w:r>
      <w:r w:rsidRPr="006A3D94">
        <w:rPr>
          <w:rFonts w:ascii="Simplified Arabic" w:eastAsia="Times New Roman" w:hAnsi="Simplified Arabic" w:cs="Simplified Arabic"/>
          <w:color w:val="000000" w:themeColor="text1"/>
          <w:kern w:val="0"/>
          <w:sz w:val="28"/>
          <w:szCs w:val="28"/>
          <w:rtl/>
          <w14:ligatures w14:val="none"/>
        </w:rPr>
        <w:t>: البيانات الديموغرافية ويتضمّن (5) فقرات تشمل: نوع المستفيد (مؤجر، مستأجر، وسيط عقاري)، الجنس، الفئة العمرية، المؤهل العلمي، وسنوات الخبرة في استخدام منصة إيجار</w:t>
      </w:r>
      <w:r w:rsidRPr="006A3D94">
        <w:rPr>
          <w:rFonts w:ascii="Simplified Arabic" w:eastAsia="Times New Roman" w:hAnsi="Simplified Arabic" w:cs="Simplified Arabic"/>
          <w:color w:val="000000" w:themeColor="text1"/>
          <w:kern w:val="0"/>
          <w:sz w:val="28"/>
          <w:szCs w:val="28"/>
          <w14:ligatures w14:val="none"/>
        </w:rPr>
        <w:t>.</w:t>
      </w:r>
    </w:p>
    <w:p w14:paraId="38690BC2" w14:textId="7777777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b/>
          <w:bCs/>
          <w:color w:val="000000" w:themeColor="text1"/>
          <w:kern w:val="0"/>
          <w:sz w:val="28"/>
          <w:szCs w:val="28"/>
          <w:rtl/>
          <w14:ligatures w14:val="none"/>
        </w:rPr>
        <w:lastRenderedPageBreak/>
        <w:t>القسم الثاني</w:t>
      </w:r>
      <w:r w:rsidRPr="006A3D94">
        <w:rPr>
          <w:rFonts w:ascii="Simplified Arabic" w:eastAsia="Times New Roman" w:hAnsi="Simplified Arabic" w:cs="Simplified Arabic"/>
          <w:color w:val="000000" w:themeColor="text1"/>
          <w:kern w:val="0"/>
          <w:sz w:val="28"/>
          <w:szCs w:val="28"/>
          <w:rtl/>
          <w14:ligatures w14:val="none"/>
        </w:rPr>
        <w:t>: المتغير المستقل (منصة إيجار) وهو أحادي المحور ويتضمّن (10) فقرات تقيس مستوى فاعلية المنصة بخدماتها وآلياتها المختلفة من وجهة نظر المستفيدين</w:t>
      </w:r>
      <w:r w:rsidRPr="006A3D94">
        <w:rPr>
          <w:rFonts w:ascii="Simplified Arabic" w:eastAsia="Times New Roman" w:hAnsi="Simplified Arabic" w:cs="Simplified Arabic"/>
          <w:color w:val="000000" w:themeColor="text1"/>
          <w:kern w:val="0"/>
          <w:sz w:val="28"/>
          <w:szCs w:val="28"/>
          <w14:ligatures w14:val="none"/>
        </w:rPr>
        <w:t>.</w:t>
      </w:r>
    </w:p>
    <w:p w14:paraId="30F4D344" w14:textId="77777777"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b/>
          <w:bCs/>
          <w:color w:val="000000" w:themeColor="text1"/>
          <w:kern w:val="0"/>
          <w:sz w:val="28"/>
          <w:szCs w:val="28"/>
          <w:rtl/>
          <w14:ligatures w14:val="none"/>
        </w:rPr>
        <w:t>القسم الثالث</w:t>
      </w:r>
      <w:r w:rsidRPr="006A3D94">
        <w:rPr>
          <w:rFonts w:ascii="Simplified Arabic" w:eastAsia="Times New Roman" w:hAnsi="Simplified Arabic" w:cs="Simplified Arabic"/>
          <w:color w:val="000000" w:themeColor="text1"/>
          <w:kern w:val="0"/>
          <w:sz w:val="28"/>
          <w:szCs w:val="28"/>
          <w:rtl/>
          <w14:ligatures w14:val="none"/>
        </w:rPr>
        <w:t>: المتغير التابع (تعزيز الشفافية وحماية حقوق أطراف العلاقة الإيجارية) ويتضمّن (16) فقرة موزّعة على أربعة أبعاد بواقع (4) فقرات لكل بُعد، وذلك على النحو التالي</w:t>
      </w:r>
      <w:r w:rsidRPr="006A3D94">
        <w:rPr>
          <w:rFonts w:ascii="Simplified Arabic" w:eastAsia="Times New Roman" w:hAnsi="Simplified Arabic" w:cs="Simplified Arabic"/>
          <w:color w:val="000000" w:themeColor="text1"/>
          <w:kern w:val="0"/>
          <w:sz w:val="28"/>
          <w:szCs w:val="28"/>
          <w14:ligatures w14:val="none"/>
        </w:rPr>
        <w:t>:</w:t>
      </w:r>
    </w:p>
    <w:p w14:paraId="3B599D9D" w14:textId="77777777" w:rsidR="005A72B7" w:rsidRPr="006A3D94" w:rsidRDefault="005A72B7" w:rsidP="00A76E59">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الأول</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الشفافية المعلوماتية — (4) فقرات</w:t>
      </w:r>
      <w:r w:rsidRPr="006A3D94">
        <w:rPr>
          <w:rFonts w:ascii="Simplified Arabic" w:eastAsia="Times New Roman" w:hAnsi="Simplified Arabic" w:cs="Simplified Arabic"/>
          <w:color w:val="000000" w:themeColor="text1"/>
          <w:kern w:val="0"/>
          <w:sz w:val="28"/>
          <w:szCs w:val="28"/>
          <w14:ligatures w14:val="none"/>
        </w:rPr>
        <w:t>.</w:t>
      </w:r>
    </w:p>
    <w:p w14:paraId="78005591" w14:textId="77777777" w:rsidR="005A72B7" w:rsidRPr="006A3D94" w:rsidRDefault="005A72B7" w:rsidP="00A76E59">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الثاني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التوثيق الإلكتروني للعقود — (4) فقرات</w:t>
      </w:r>
      <w:r w:rsidRPr="006A3D94">
        <w:rPr>
          <w:rFonts w:ascii="Simplified Arabic" w:eastAsia="Times New Roman" w:hAnsi="Simplified Arabic" w:cs="Simplified Arabic"/>
          <w:color w:val="000000" w:themeColor="text1"/>
          <w:kern w:val="0"/>
          <w:sz w:val="28"/>
          <w:szCs w:val="28"/>
          <w14:ligatures w14:val="none"/>
        </w:rPr>
        <w:t>.</w:t>
      </w:r>
    </w:p>
    <w:p w14:paraId="3FDF8B18" w14:textId="77777777" w:rsidR="005A72B7" w:rsidRPr="006A3D94" w:rsidRDefault="005A72B7" w:rsidP="00A76E59">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الثالث</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آليات فض النزاعات وحماية الحقوق — (4) فقرات</w:t>
      </w:r>
      <w:r w:rsidRPr="006A3D94">
        <w:rPr>
          <w:rFonts w:ascii="Simplified Arabic" w:eastAsia="Times New Roman" w:hAnsi="Simplified Arabic" w:cs="Simplified Arabic"/>
          <w:color w:val="000000" w:themeColor="text1"/>
          <w:kern w:val="0"/>
          <w:sz w:val="28"/>
          <w:szCs w:val="28"/>
          <w14:ligatures w14:val="none"/>
        </w:rPr>
        <w:t>.</w:t>
      </w:r>
    </w:p>
    <w:p w14:paraId="7DE7F573" w14:textId="77777777" w:rsidR="005A72B7" w:rsidRPr="006A3D94" w:rsidRDefault="005A72B7" w:rsidP="00A76E59">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الرابع</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مؤشر السلوك الإيجاري — (4) فقرات</w:t>
      </w:r>
      <w:r w:rsidRPr="006A3D94">
        <w:rPr>
          <w:rFonts w:ascii="Simplified Arabic" w:eastAsia="Times New Roman" w:hAnsi="Simplified Arabic" w:cs="Simplified Arabic"/>
          <w:color w:val="000000" w:themeColor="text1"/>
          <w:kern w:val="0"/>
          <w:sz w:val="28"/>
          <w:szCs w:val="28"/>
          <w14:ligatures w14:val="none"/>
        </w:rPr>
        <w:t>.</w:t>
      </w:r>
    </w:p>
    <w:p w14:paraId="59464B9D" w14:textId="1B58A38B"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وبذلك يبلغ إجمالي فقرات الاستبانة (31) فقرة، منها (5) فقرات للبيانات الديموغرافية و(26) فقرة لمحاور الدراسة</w:t>
      </w:r>
      <w:r w:rsidRPr="006A3D94">
        <w:rPr>
          <w:rFonts w:ascii="Simplified Arabic" w:eastAsia="Times New Roman" w:hAnsi="Simplified Arabic" w:cs="Simplified Arabic"/>
          <w:color w:val="000000" w:themeColor="text1"/>
          <w:kern w:val="0"/>
          <w:sz w:val="28"/>
          <w:szCs w:val="28"/>
          <w14:ligatures w14:val="none"/>
        </w:rPr>
        <w:t>.</w:t>
      </w:r>
    </w:p>
    <w:p w14:paraId="78CFB5AD" w14:textId="753CF25D" w:rsidR="005A72B7" w:rsidRPr="006A3D94" w:rsidRDefault="00A76E59" w:rsidP="00A76E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2795692"/>
      <w:bookmarkStart w:id="29" w:name="_Toc233465049"/>
      <w:r w:rsidRPr="006A3D94">
        <w:rPr>
          <w:rFonts w:ascii="Simplified Arabic" w:eastAsia="Times New Roman" w:hAnsi="Simplified Arabic" w:cs="Simplified Arabic" w:hint="cs"/>
          <w:b/>
          <w:bCs/>
          <w:color w:val="000000" w:themeColor="text1"/>
          <w:kern w:val="0"/>
          <w:sz w:val="36"/>
          <w:szCs w:val="36"/>
          <w:rtl/>
          <w14:ligatures w14:val="none"/>
        </w:rPr>
        <w:t xml:space="preserve">14.1 </w:t>
      </w:r>
      <w:r w:rsidR="005A72B7" w:rsidRPr="006A3D94">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8"/>
      <w:bookmarkEnd w:id="29"/>
    </w:p>
    <w:p w14:paraId="7C0BD201" w14:textId="3DD7F3F8" w:rsidR="005A72B7" w:rsidRPr="006A3D94" w:rsidRDefault="005A72B7" w:rsidP="00A76E5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6A3D94">
        <w:rPr>
          <w:rFonts w:ascii="Simplified Arabic" w:eastAsia="Times New Roman" w:hAnsi="Simplified Arabic" w:cs="Simplified Arabic"/>
          <w:color w:val="000000" w:themeColor="text1"/>
          <w:kern w:val="0"/>
          <w:sz w:val="28"/>
          <w:szCs w:val="28"/>
          <w:rtl/>
          <w14:ligatures w14:val="none"/>
        </w:rPr>
        <w:t>سيستخدم الباحث مجموعة من الأساليب الإحصائية الوصفية والاستدلالية لتحليل بيانات الدراسة عبر برنامج</w:t>
      </w:r>
      <w:r w:rsidRPr="006A3D94">
        <w:rPr>
          <w:rFonts w:ascii="Simplified Arabic" w:eastAsia="Times New Roman" w:hAnsi="Simplified Arabic" w:cs="Simplified Arabic"/>
          <w:color w:val="000000" w:themeColor="text1"/>
          <w:kern w:val="0"/>
          <w:sz w:val="28"/>
          <w:szCs w:val="28"/>
          <w14:ligatures w14:val="none"/>
        </w:rPr>
        <w:t xml:space="preserve"> (SPSS)</w:t>
      </w:r>
      <w:r w:rsidRPr="006A3D94">
        <w:rPr>
          <w:rFonts w:ascii="Simplified Arabic" w:eastAsia="Times New Roman" w:hAnsi="Simplified Arabic" w:cs="Simplified Arabic"/>
          <w:color w:val="000000" w:themeColor="text1"/>
          <w:kern w:val="0"/>
          <w:sz w:val="28"/>
          <w:szCs w:val="28"/>
          <w:rtl/>
          <w14:ligatures w14:val="none"/>
        </w:rPr>
        <w:t>، وتشمل</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معامل ألفا كرونباخ</w:t>
      </w:r>
      <w:r w:rsidRPr="006A3D94">
        <w:rPr>
          <w:rFonts w:ascii="Simplified Arabic" w:eastAsia="Times New Roman" w:hAnsi="Simplified Arabic" w:cs="Simplified Arabic"/>
          <w:color w:val="000000" w:themeColor="text1"/>
          <w:kern w:val="0"/>
          <w:sz w:val="28"/>
          <w:szCs w:val="28"/>
          <w14:ligatures w14:val="none"/>
        </w:rPr>
        <w:t xml:space="preserve"> (Cronbach's Alpha) </w:t>
      </w:r>
      <w:r w:rsidRPr="006A3D94">
        <w:rPr>
          <w:rFonts w:ascii="Simplified Arabic" w:eastAsia="Times New Roman" w:hAnsi="Simplified Arabic" w:cs="Simplified Arabic"/>
          <w:color w:val="000000" w:themeColor="text1"/>
          <w:kern w:val="0"/>
          <w:sz w:val="28"/>
          <w:szCs w:val="28"/>
          <w:rtl/>
          <w14:ligatures w14:val="none"/>
        </w:rPr>
        <w:t>لقياس ثبات أداة الدراسة، ومعامل ارتباط بيرسون</w:t>
      </w:r>
      <w:r w:rsidRPr="006A3D94">
        <w:rPr>
          <w:rFonts w:ascii="Simplified Arabic" w:eastAsia="Times New Roman" w:hAnsi="Simplified Arabic" w:cs="Simplified Arabic"/>
          <w:color w:val="000000" w:themeColor="text1"/>
          <w:kern w:val="0"/>
          <w:sz w:val="28"/>
          <w:szCs w:val="28"/>
          <w14:ligatures w14:val="none"/>
        </w:rPr>
        <w:t xml:space="preserve"> (Pearson Correlation) </w:t>
      </w:r>
      <w:r w:rsidRPr="006A3D94">
        <w:rPr>
          <w:rFonts w:ascii="Simplified Arabic" w:eastAsia="Times New Roman" w:hAnsi="Simplified Arabic" w:cs="Simplified Arabic"/>
          <w:color w:val="000000" w:themeColor="text1"/>
          <w:kern w:val="0"/>
          <w:sz w:val="28"/>
          <w:szCs w:val="28"/>
          <w:rtl/>
          <w14:ligatures w14:val="none"/>
        </w:rPr>
        <w:t>للتحقق من صدق الاتساق الداخلي للاستبانة. وسيُستخدم التحليل الوصفي المتمثل في التكرارات والنسب المئوية والمتوسطات الحسابية والانحرافات المعيارية لوصف خصائص العيّنة ومستوى استجابات المبحوثين على محاور الدراسة. أما على صعيد التحليل الاستدلالي، فسيُوظَّف تحليل الانحدار الخطي البسيط</w:t>
      </w:r>
      <w:r w:rsidRPr="006A3D94">
        <w:rPr>
          <w:rFonts w:ascii="Simplified Arabic" w:eastAsia="Times New Roman" w:hAnsi="Simplified Arabic" w:cs="Simplified Arabic"/>
          <w:color w:val="000000" w:themeColor="text1"/>
          <w:kern w:val="0"/>
          <w:sz w:val="28"/>
          <w:szCs w:val="28"/>
          <w14:ligatures w14:val="none"/>
        </w:rPr>
        <w:t xml:space="preserve"> (Simple Linear Regression) </w:t>
      </w:r>
      <w:r w:rsidRPr="006A3D94">
        <w:rPr>
          <w:rFonts w:ascii="Simplified Arabic" w:eastAsia="Times New Roman" w:hAnsi="Simplified Arabic" w:cs="Simplified Arabic"/>
          <w:color w:val="000000" w:themeColor="text1"/>
          <w:kern w:val="0"/>
          <w:sz w:val="28"/>
          <w:szCs w:val="28"/>
          <w:rtl/>
          <w14:ligatures w14:val="none"/>
        </w:rPr>
        <w:t>لاختبار أثر المتغير المستقل على كل بُعد من أبعاد المتغير التابع، وتحليل الانحدار الخطي المتعدد</w:t>
      </w:r>
      <w:r w:rsidRPr="006A3D94">
        <w:rPr>
          <w:rFonts w:ascii="Simplified Arabic" w:eastAsia="Times New Roman" w:hAnsi="Simplified Arabic" w:cs="Simplified Arabic"/>
          <w:color w:val="000000" w:themeColor="text1"/>
          <w:kern w:val="0"/>
          <w:sz w:val="28"/>
          <w:szCs w:val="28"/>
          <w14:ligatures w14:val="none"/>
        </w:rPr>
        <w:t xml:space="preserve"> (Multiple Linear Regression) </w:t>
      </w:r>
    </w:p>
    <w:p w14:paraId="6C8465D9" w14:textId="5157DFD9" w:rsidR="005A72B7" w:rsidRPr="006A3D94" w:rsidRDefault="00A76E59" w:rsidP="00A76E5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2795693"/>
      <w:bookmarkStart w:id="31" w:name="_Toc233465050"/>
      <w:r w:rsidRPr="006A3D94">
        <w:rPr>
          <w:rFonts w:ascii="Simplified Arabic" w:eastAsia="Times New Roman" w:hAnsi="Simplified Arabic" w:cs="Simplified Arabic" w:hint="cs"/>
          <w:b/>
          <w:bCs/>
          <w:color w:val="000000" w:themeColor="text1"/>
          <w:kern w:val="0"/>
          <w:sz w:val="36"/>
          <w:szCs w:val="36"/>
          <w:rtl/>
          <w14:ligatures w14:val="none"/>
        </w:rPr>
        <w:t xml:space="preserve">15.1 </w:t>
      </w:r>
      <w:r w:rsidR="005A72B7" w:rsidRPr="006A3D94">
        <w:rPr>
          <w:rFonts w:ascii="Simplified Arabic" w:eastAsia="Times New Roman" w:hAnsi="Simplified Arabic" w:cs="Simplified Arabic"/>
          <w:b/>
          <w:bCs/>
          <w:color w:val="000000" w:themeColor="text1"/>
          <w:kern w:val="0"/>
          <w:sz w:val="36"/>
          <w:szCs w:val="36"/>
          <w:rtl/>
          <w14:ligatures w14:val="none"/>
        </w:rPr>
        <w:t>حدود الدراسة</w:t>
      </w:r>
      <w:bookmarkEnd w:id="30"/>
      <w:bookmarkEnd w:id="31"/>
    </w:p>
    <w:p w14:paraId="2E442ED8" w14:textId="77777777" w:rsidR="005A72B7" w:rsidRPr="006A3D94" w:rsidRDefault="005A72B7" w:rsidP="00A76E5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الحدود الموضوعية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ستقتصر الدراسة على قياس أثر منصة إيجار (متغير مستقل أحادي المحور) على تعزيز الشفافية وحماية حقوق أطراف العلاقة الإيجارية (متغير تابع) بأبعاده الأربعة: الشفافية المعلوماتية، التوثيق الإلكتروني للعقود، آليات فض النزاعات وحماية الحقوق، ومؤشر السلوك الإيجاري</w:t>
      </w:r>
      <w:r w:rsidRPr="006A3D94">
        <w:rPr>
          <w:rFonts w:ascii="Simplified Arabic" w:eastAsia="Times New Roman" w:hAnsi="Simplified Arabic" w:cs="Simplified Arabic"/>
          <w:color w:val="000000" w:themeColor="text1"/>
          <w:kern w:val="0"/>
          <w:sz w:val="28"/>
          <w:szCs w:val="28"/>
          <w14:ligatures w14:val="none"/>
        </w:rPr>
        <w:t>.</w:t>
      </w:r>
    </w:p>
    <w:p w14:paraId="08C5D56F" w14:textId="0B67C848" w:rsidR="005A72B7" w:rsidRPr="006A3D94" w:rsidRDefault="005A72B7" w:rsidP="00A76E5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الحدود المكانية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ستُطبَّق الدراسة في مدينة الرياض</w:t>
      </w:r>
      <w:r w:rsidR="001C3442" w:rsidRPr="006A3D94">
        <w:rPr>
          <w:rFonts w:ascii="Simplified Arabic" w:eastAsia="Times New Roman" w:hAnsi="Simplified Arabic" w:cs="Simplified Arabic"/>
          <w:color w:val="000000" w:themeColor="text1"/>
          <w:kern w:val="0"/>
          <w:sz w:val="28"/>
          <w:szCs w:val="28"/>
          <w:rtl/>
          <w14:ligatures w14:val="none"/>
        </w:rPr>
        <w:t>.</w:t>
      </w:r>
    </w:p>
    <w:p w14:paraId="2899C94F" w14:textId="77777777" w:rsidR="005A72B7" w:rsidRPr="006A3D94" w:rsidRDefault="005A72B7" w:rsidP="00A76E5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الحدود البشرية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ستشمل الدراسة المستفيدين المسجّلين على منصة إيجار في مدينة الرياض من مؤجرين ومستأجرين ووسطاء عقاريين</w:t>
      </w:r>
      <w:r w:rsidRPr="006A3D94">
        <w:rPr>
          <w:rFonts w:ascii="Simplified Arabic" w:eastAsia="Times New Roman" w:hAnsi="Simplified Arabic" w:cs="Simplified Arabic"/>
          <w:color w:val="000000" w:themeColor="text1"/>
          <w:kern w:val="0"/>
          <w:sz w:val="28"/>
          <w:szCs w:val="28"/>
          <w14:ligatures w14:val="none"/>
        </w:rPr>
        <w:t>.</w:t>
      </w:r>
    </w:p>
    <w:p w14:paraId="2ECCA834" w14:textId="77777777" w:rsidR="005A72B7" w:rsidRPr="006A3D94" w:rsidRDefault="005A72B7" w:rsidP="00A76E59">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الحدود الزمنية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 xml:space="preserve">سيُجمع البيانات خلال الفصل الدراسي الثاني من العام الجامعي 1447هـ / 2026م، وهي فترة تلي صدور الأحكام النظامية الجديدة لضبط العلاقة الإيجارية الصادرة في </w:t>
      </w:r>
      <w:r w:rsidRPr="006A3D94">
        <w:rPr>
          <w:rFonts w:ascii="Simplified Arabic" w:eastAsia="Times New Roman" w:hAnsi="Simplified Arabic" w:cs="Simplified Arabic"/>
          <w:color w:val="000000" w:themeColor="text1"/>
          <w:kern w:val="0"/>
          <w:sz w:val="28"/>
          <w:szCs w:val="28"/>
          <w14:ligatures w14:val="none"/>
        </w:rPr>
        <w:t xml:space="preserve">25 </w:t>
      </w:r>
      <w:r w:rsidRPr="006A3D94">
        <w:rPr>
          <w:rFonts w:ascii="Simplified Arabic" w:eastAsia="Times New Roman" w:hAnsi="Simplified Arabic" w:cs="Simplified Arabic"/>
          <w:color w:val="000000" w:themeColor="text1"/>
          <w:kern w:val="0"/>
          <w:sz w:val="28"/>
          <w:szCs w:val="28"/>
          <w:rtl/>
          <w14:ligatures w14:val="none"/>
        </w:rPr>
        <w:t>سبتمبر 2025م، مما يُتيح قياس أثر المنصة في ضوء التحوّلات التنظيمية الأخيرة</w:t>
      </w:r>
      <w:r w:rsidRPr="006A3D94">
        <w:rPr>
          <w:rFonts w:ascii="Simplified Arabic" w:eastAsia="Times New Roman" w:hAnsi="Simplified Arabic" w:cs="Simplified Arabic"/>
          <w:color w:val="000000" w:themeColor="text1"/>
          <w:kern w:val="0"/>
          <w:sz w:val="28"/>
          <w:szCs w:val="28"/>
          <w14:ligatures w14:val="none"/>
        </w:rPr>
        <w:t>.</w:t>
      </w:r>
    </w:p>
    <w:p w14:paraId="56B6BE17" w14:textId="470A229D" w:rsidR="007A702C" w:rsidRPr="006A3D94" w:rsidRDefault="00A76E59" w:rsidP="00B70C11">
      <w:pPr>
        <w:jc w:val="center"/>
        <w:outlineLvl w:val="0"/>
        <w:rPr>
          <w:rFonts w:ascii="Simplified Arabic" w:eastAsia="Times New Roman" w:hAnsi="Simplified Arabic" w:cs="Simplified Arabic"/>
          <w:b/>
          <w:bCs/>
          <w:color w:val="000000" w:themeColor="text1"/>
          <w:kern w:val="0"/>
          <w:sz w:val="40"/>
          <w:szCs w:val="40"/>
          <w14:ligatures w14:val="none"/>
        </w:rPr>
      </w:pPr>
      <w:r w:rsidRPr="006A3D94">
        <w:rPr>
          <w:rFonts w:ascii="Simplified Arabic" w:eastAsia="Times New Roman" w:hAnsi="Simplified Arabic" w:cs="Simplified Arabic"/>
          <w:b/>
          <w:bCs/>
          <w:color w:val="000000" w:themeColor="text1"/>
          <w:kern w:val="0"/>
          <w:sz w:val="40"/>
          <w:szCs w:val="40"/>
          <w:rtl/>
          <w14:ligatures w14:val="none"/>
        </w:rPr>
        <w:br w:type="page"/>
      </w:r>
      <w:bookmarkStart w:id="32" w:name="_Toc233465051"/>
      <w:r w:rsidRPr="006A3D94">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2"/>
    </w:p>
    <w:p w14:paraId="3BA76D8B" w14:textId="1FD4F661" w:rsidR="007A702C" w:rsidRPr="006A3D94" w:rsidRDefault="007A702C" w:rsidP="00B70C1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3" w:name="_Toc233465052"/>
      <w:r w:rsidRPr="006A3D94">
        <w:rPr>
          <w:rFonts w:ascii="Simplified Arabic" w:eastAsia="Times New Roman" w:hAnsi="Simplified Arabic" w:cs="Simplified Arabic"/>
          <w:b/>
          <w:bCs/>
          <w:color w:val="000000" w:themeColor="text1"/>
          <w:kern w:val="0"/>
          <w:sz w:val="36"/>
          <w:szCs w:val="36"/>
          <w:rtl/>
          <w14:ligatures w14:val="none"/>
        </w:rPr>
        <w:t>المبحث الأول: منصة إيجار بوصفها منصةً رقميةً لتنظيم السوق العقاري الإيجاري</w:t>
      </w:r>
      <w:bookmarkEnd w:id="33"/>
    </w:p>
    <w:p w14:paraId="21224AA2" w14:textId="4491DD3F"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465053"/>
      <w:r w:rsidRPr="006A3D94">
        <w:rPr>
          <w:rFonts w:ascii="Simplified Arabic" w:eastAsia="Times New Roman" w:hAnsi="Simplified Arabic" w:cs="Simplified Arabic" w:hint="cs"/>
          <w:b/>
          <w:bCs/>
          <w:color w:val="000000" w:themeColor="text1"/>
          <w:kern w:val="0"/>
          <w:sz w:val="32"/>
          <w:szCs w:val="32"/>
          <w:rtl/>
          <w14:ligatures w14:val="none"/>
        </w:rPr>
        <w:t xml:space="preserve">1.1.2 </w:t>
      </w:r>
      <w:r w:rsidR="007A702C" w:rsidRPr="006A3D94">
        <w:rPr>
          <w:rFonts w:ascii="Simplified Arabic" w:eastAsia="Times New Roman" w:hAnsi="Simplified Arabic" w:cs="Simplified Arabic"/>
          <w:b/>
          <w:bCs/>
          <w:color w:val="000000" w:themeColor="text1"/>
          <w:kern w:val="0"/>
          <w:sz w:val="32"/>
          <w:szCs w:val="32"/>
          <w:rtl/>
          <w14:ligatures w14:val="none"/>
        </w:rPr>
        <w:t>تمهيد</w:t>
      </w:r>
      <w:bookmarkEnd w:id="34"/>
    </w:p>
    <w:p w14:paraId="3B95FA39"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شَهدت العقود الأخيرة تحوّلاتٍ جوهريةً في بنية الأسواق وآليات تنظيمها، إذ انتقلت كثير من القطاعات الاقتصادية من نمط الوساطة التقليدية القائمة على العلاقات الثنائية المباشرة إلى نمط الوساطة الرقمية القائمة على منصاتٍ إلكترونيةٍ تُعيد ترتيب الأدوار بين الأطراف المتعاملة، وتُعيد تعريف مفاهيم الثقة والإفصاح والمساءلة في فضاء الأعمال. وفي هذا السياق برزت المنصات الرقمية بوصفها بنيةً تحتيةً معلوماتيةً وتنظيميةً، لا مجرد قنواتٍ للتسويق أو الإعلان، تمارس أدوارًا حوكميةً تتجاوز التوسيط المحايد إلى التأثير في قواعد التعامل ذاتها</w:t>
      </w:r>
      <w:r w:rsidRPr="006A3D94">
        <w:rPr>
          <w:rFonts w:ascii="Simplified Arabic" w:eastAsia="Times New Roman" w:hAnsi="Simplified Arabic" w:cs="Simplified Arabic"/>
          <w:color w:val="000000" w:themeColor="text1"/>
          <w:kern w:val="0"/>
          <w:sz w:val="28"/>
          <w:szCs w:val="28"/>
          <w14:ligatures w14:val="none"/>
        </w:rPr>
        <w:t xml:space="preserve"> (Arcila, 2025). </w:t>
      </w:r>
      <w:r w:rsidRPr="006A3D94">
        <w:rPr>
          <w:rFonts w:ascii="Simplified Arabic" w:eastAsia="Times New Roman" w:hAnsi="Simplified Arabic" w:cs="Simplified Arabic"/>
          <w:color w:val="000000" w:themeColor="text1"/>
          <w:kern w:val="0"/>
          <w:sz w:val="28"/>
          <w:szCs w:val="28"/>
          <w:rtl/>
          <w14:ligatures w14:val="none"/>
        </w:rPr>
        <w:t>ولم يَعُد القطاع العقاري بمنأى عن هذا التحوّل، بل غدا أحد أبرز الميادين التي تتجلّى فيها قدرة المنصات الرقمية على إعادة هندسة العلاقة بين المُؤجِّر والمستأجر، وضبط آليات التوثيق والإفصاح، وتوفير بيئةٍ أكثر انضباطًا لإدارة العقود الإيجارية وما يتفرّع عنها من حقوقٍ والتزامات</w:t>
      </w:r>
      <w:r w:rsidRPr="006A3D94">
        <w:rPr>
          <w:rFonts w:ascii="Simplified Arabic" w:eastAsia="Times New Roman" w:hAnsi="Simplified Arabic" w:cs="Simplified Arabic"/>
          <w:color w:val="000000" w:themeColor="text1"/>
          <w:kern w:val="0"/>
          <w:sz w:val="28"/>
          <w:szCs w:val="28"/>
          <w14:ligatures w14:val="none"/>
        </w:rPr>
        <w:t>.</w:t>
      </w:r>
    </w:p>
    <w:p w14:paraId="03AD409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وتأتي منصة “إيجار” في المملكة العربية السعودية بوصفها نموذجًا تطبيقيًا متقدّمًا لهذا التحوّل في القطاع العقاري الإيجاري، إذ تُمثّل منظومةً رقميةً متكاملةً تُعيد تنظيم سوق الإيجار وفق أُطر مؤسسيةٍ واضحة، وتُوفّر بيئةً موحّدةً للتوثيق وإدارة العقود ومتابعة الالتزامات المالية والتعاقدية لأطراف العلاقة الإيجارية. ويستدعي تحليل هذه المنصة بوصفها متغيرًا مستقلًا في الدراسة الراهنة تأطيرها نظريًا ضمن أدبيات المنصات الرقمية الأوسع، مع استجلاء خصائصها وأبعادها ومرتكزاتها الإستراتيجية، حتى يتسنى لاحقًا فهم أثرها في المتغير التابع المتمثّل في تعزيز الشفافية وحماية حقوق أطراف العلاقة الإيجارية</w:t>
      </w:r>
      <w:r w:rsidRPr="006A3D94">
        <w:rPr>
          <w:rFonts w:ascii="Simplified Arabic" w:eastAsia="Times New Roman" w:hAnsi="Simplified Arabic" w:cs="Simplified Arabic"/>
          <w:color w:val="000000" w:themeColor="text1"/>
          <w:kern w:val="0"/>
          <w:sz w:val="28"/>
          <w:szCs w:val="28"/>
          <w14:ligatures w14:val="none"/>
        </w:rPr>
        <w:t>.</w:t>
      </w:r>
    </w:p>
    <w:p w14:paraId="2893993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ويتناول هذا المبحث المنصات الرقمية عمومًا ومنصة إيجار خصوصًا، انطلاقًا من تحرير المفهوم وبيان تطوّره، مرورًا بأهميته العلمية والتطبيقية، فأهدافه وغاياته، ووصولًا إلى أبعاده التشغيلية وإستراتيجيات تفعيله، بأسلوبٍ يربط بين البناء النظري والسياق التطبيقي السعودي</w:t>
      </w:r>
      <w:r w:rsidRPr="006A3D94">
        <w:rPr>
          <w:rFonts w:ascii="Simplified Arabic" w:eastAsia="Times New Roman" w:hAnsi="Simplified Arabic" w:cs="Simplified Arabic"/>
          <w:color w:val="000000" w:themeColor="text1"/>
          <w:kern w:val="0"/>
          <w:sz w:val="28"/>
          <w:szCs w:val="28"/>
          <w14:ligatures w14:val="none"/>
        </w:rPr>
        <w:t>.</w:t>
      </w:r>
    </w:p>
    <w:p w14:paraId="41692A25" w14:textId="0B3BD2E4"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465054"/>
      <w:r w:rsidRPr="006A3D94">
        <w:rPr>
          <w:rFonts w:ascii="Simplified Arabic" w:eastAsia="Times New Roman" w:hAnsi="Simplified Arabic" w:cs="Simplified Arabic" w:hint="cs"/>
          <w:b/>
          <w:bCs/>
          <w:color w:val="000000" w:themeColor="text1"/>
          <w:kern w:val="0"/>
          <w:sz w:val="32"/>
          <w:szCs w:val="32"/>
          <w:rtl/>
          <w14:ligatures w14:val="none"/>
        </w:rPr>
        <w:lastRenderedPageBreak/>
        <w:t>2.1.2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مفهوم المنصات الرقمية ومنصة إيجار</w:t>
      </w:r>
      <w:bookmarkEnd w:id="35"/>
    </w:p>
    <w:p w14:paraId="7A82A781"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تنوّعت تعريفات الباحثين للمنصات الرقمية تبعًا لاختلاف زوايا النظر وطبيعة الحقول المعرفية التي انطلقوا منها؛ فمنهم من قاربها من زاوية تكنولوجيا الاتصال ووسائط الإنتاج الإعلامي، ومنهم من تناولها بوصفها أدواتٍ اقتصاديةً ووسائط للتبادل، فيما اقترب فريق ثالث منها من زاوية تنظيميةٍ وقانونيةٍ تُبرز دورها الحوكمي في إدارة العلاقات بين الأطراف</w:t>
      </w:r>
      <w:r w:rsidRPr="006A3D94">
        <w:rPr>
          <w:rFonts w:ascii="Simplified Arabic" w:eastAsia="Times New Roman" w:hAnsi="Simplified Arabic" w:cs="Simplified Arabic"/>
          <w:color w:val="000000" w:themeColor="text1"/>
          <w:kern w:val="0"/>
          <w:sz w:val="28"/>
          <w:szCs w:val="28"/>
          <w14:ligatures w14:val="none"/>
        </w:rPr>
        <w:t>.</w:t>
      </w:r>
    </w:p>
    <w:p w14:paraId="0160E672"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ومن المنظور الإعلامي والاتصالي، تُعرَّف المنصات الرقمية بأنها فضاءاتٌ إلكترونيةٌ مُتعدّدة الوسائط تُتيح إنتاج المحتوى وتوزيعه واستهلاكه عبر شبكة الإنترنت، بما يُعيد تشكيل علاقة المُنتج بالمتلقي ويُذيب الحدود التقليدية بين أدوارهما (إبراهيم، 2022). وفي صياغةٍ موازيةٍ تُبرز البُعد الوظيفي للمحتوى المُقدَّم، تُوصف المنصات الرقمية بأنها بيئاتٌ تفاعليةٌ ذات قدرةٍ على بثّ القيم وتوجيه السلوك من خلال ما تُقدّمه من خدماتٍ ومحتوياتٍ موجَّهةٍ لجمهورٍ واسع (محمد، 2022). ويُضيف فريقٌ آخر بُعدًا اجتماعيًا وثقافيًا للمفهوم، إذ تُعدّ المنصات الرقمية بنياتٍ سوسيو-تقنيةٍ تُعيد تشكيل الفرص الاقتصادية وأنماط المشاركة، خصوصًا للفئات التي ظلّت على هامش الأسواق التقليدية (مصطفى، 2025)</w:t>
      </w:r>
      <w:r w:rsidRPr="006A3D94">
        <w:rPr>
          <w:rFonts w:ascii="Simplified Arabic" w:eastAsia="Times New Roman" w:hAnsi="Simplified Arabic" w:cs="Simplified Arabic"/>
          <w:color w:val="000000" w:themeColor="text1"/>
          <w:kern w:val="0"/>
          <w:sz w:val="28"/>
          <w:szCs w:val="28"/>
          <w14:ligatures w14:val="none"/>
        </w:rPr>
        <w:t>.</w:t>
      </w:r>
    </w:p>
    <w:p w14:paraId="7D754A26"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أمّا من المنظور الاقتصادي والإداري، فتُقدَّم المنصات الرقمية بوصفها بنياتٍ وسيطةٍ تجمع بين عارضي الخدمات وطالبيها في فضاءٍ موحّدٍ يخضع لقواعد تشغيلٍ مُحدّدة، وتُتيح أتمتة المعاملات وتسريع دورة التبادل وخفض تكلفته (مداني وكريبش، 2023). كما تُوصف بأنها منظوماتٌ تكنولوجيةٌ تُسهم في تنظيم القطاعات الإنتاجية والتسويقية، عبر إعادة هندسة سلاسل القيمة بحيث يُتاح للمُنتجين والمستهلكين التفاعل المباشر دون الحاجة إلى وسطاء تقليديين</w:t>
      </w:r>
      <w:r w:rsidRPr="006A3D94">
        <w:rPr>
          <w:rFonts w:ascii="Simplified Arabic" w:eastAsia="Times New Roman" w:hAnsi="Simplified Arabic" w:cs="Simplified Arabic"/>
          <w:color w:val="000000" w:themeColor="text1"/>
          <w:kern w:val="0"/>
          <w:sz w:val="28"/>
          <w:szCs w:val="28"/>
          <w14:ligatures w14:val="none"/>
        </w:rPr>
        <w:t xml:space="preserve"> (Mohammad et al., 2025).</w:t>
      </w:r>
    </w:p>
    <w:p w14:paraId="17AA907D"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ومن منظورٍ قانونيٍ وتنظيمي، يُنظر إلى المنصات الرقمية بوصفها أنظمة حوكمةٍ خاصةٍ تُمارس وظائف شبيهةً بوظائف السلطات العامة، من خلال ما تضعه من قواعدَ وما تفرضه من إجراءاتٍ وما تُديره من آليات فضّ النزاعات بين مستخدميها</w:t>
      </w:r>
      <w:r w:rsidRPr="006A3D94">
        <w:rPr>
          <w:rFonts w:ascii="Simplified Arabic" w:eastAsia="Times New Roman" w:hAnsi="Simplified Arabic" w:cs="Simplified Arabic"/>
          <w:color w:val="000000" w:themeColor="text1"/>
          <w:kern w:val="0"/>
          <w:sz w:val="28"/>
          <w:szCs w:val="28"/>
          <w14:ligatures w14:val="none"/>
        </w:rPr>
        <w:t xml:space="preserve"> (Ulfbeck, Petersen, &amp; Hansen, n.d.). </w:t>
      </w:r>
      <w:r w:rsidRPr="006A3D94">
        <w:rPr>
          <w:rFonts w:ascii="Simplified Arabic" w:eastAsia="Times New Roman" w:hAnsi="Simplified Arabic" w:cs="Simplified Arabic"/>
          <w:color w:val="000000" w:themeColor="text1"/>
          <w:kern w:val="0"/>
          <w:sz w:val="28"/>
          <w:szCs w:val="28"/>
          <w:rtl/>
          <w14:ligatures w14:val="none"/>
        </w:rPr>
        <w:t>وفي المقاربة ذاتها تُصاغ المنصات بوصفها بنياتٍ تنظيميةٍ يتداخل فيها التشريع العام مع القواعد الذاتية للمنصة، بما يجعلها أداةً لإعادة توزيع السلطة التنظيمية بين الفاعلين العموميين والخواص</w:t>
      </w:r>
      <w:r w:rsidRPr="006A3D94">
        <w:rPr>
          <w:rFonts w:ascii="Simplified Arabic" w:eastAsia="Times New Roman" w:hAnsi="Simplified Arabic" w:cs="Simplified Arabic"/>
          <w:color w:val="000000" w:themeColor="text1"/>
          <w:kern w:val="0"/>
          <w:sz w:val="28"/>
          <w:szCs w:val="28"/>
          <w14:ligatures w14:val="none"/>
        </w:rPr>
        <w:t xml:space="preserve"> (Palmieri, 2025).</w:t>
      </w:r>
    </w:p>
    <w:p w14:paraId="0575D40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وفي السياق العقاري تحديدًا، تتّجه التعريفات إلى التركيز على قدرة المنصة على إعادة هيكلة سوق الإيجار من خلال توفير بنيةٍ موثوقةٍ للتعاقد والتوثيق وإدارة المدفوعات، بما يُقلّل من عدم تماثل المعلومات بين المُؤجِّر والمستأجر ويرفع مستوى الانضباط في السوق</w:t>
      </w:r>
      <w:r w:rsidRPr="006A3D94">
        <w:rPr>
          <w:rFonts w:ascii="Simplified Arabic" w:eastAsia="Times New Roman" w:hAnsi="Simplified Arabic" w:cs="Simplified Arabic"/>
          <w:color w:val="000000" w:themeColor="text1"/>
          <w:kern w:val="0"/>
          <w:sz w:val="28"/>
          <w:szCs w:val="28"/>
          <w14:ligatures w14:val="none"/>
        </w:rPr>
        <w:t xml:space="preserve"> (Tseng, Hsieh, Chang, &amp; Yuan, 2025). </w:t>
      </w:r>
      <w:r w:rsidRPr="006A3D94">
        <w:rPr>
          <w:rFonts w:ascii="Simplified Arabic" w:eastAsia="Times New Roman" w:hAnsi="Simplified Arabic" w:cs="Simplified Arabic"/>
          <w:color w:val="000000" w:themeColor="text1"/>
          <w:kern w:val="0"/>
          <w:sz w:val="28"/>
          <w:szCs w:val="28"/>
          <w:rtl/>
          <w14:ligatures w14:val="none"/>
        </w:rPr>
        <w:t>ويُؤطَّر هذا التصور ضمن منظومةٍ أوسع تُعرَف بالاقتصاد الرقمي للإسكان، تُعيد فيها المنصات تعريف العلاقة الإيجارية من علاقةٍ ثنائيةٍ غير مُهيكلةٍ إلى علاقةٍ ثلاثيةٍ تتوسّطها بنيةٌ رقميةٌ تضمن التوثيق وتُتيح الرقابة</w:t>
      </w:r>
      <w:r w:rsidRPr="006A3D94">
        <w:rPr>
          <w:rFonts w:ascii="Simplified Arabic" w:eastAsia="Times New Roman" w:hAnsi="Simplified Arabic" w:cs="Simplified Arabic"/>
          <w:color w:val="000000" w:themeColor="text1"/>
          <w:kern w:val="0"/>
          <w:sz w:val="28"/>
          <w:szCs w:val="28"/>
          <w14:ligatures w14:val="none"/>
        </w:rPr>
        <w:t xml:space="preserve"> (Pallavi, Rishika, Sai Sree, Ruthwik, &amp; Yashaswini, 2025).</w:t>
      </w:r>
    </w:p>
    <w:p w14:paraId="145377AB"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ويُلاحظ من استعراض هذه التعريفات أنّ ثمّة قاسمًا مشتركًا يربطها رغم تنوّع مداخلها، يتمثّل في كون المنصات الرقمية بنياتٍ وسيطةً تتسم بالتفاعلية والأتمتة وتوحيد الإجراءات، وتنطوي على وظائف تتجاوز التوسيط إلى الحوكمة والتنظيم. غير أنّ هذه التعريفات تتفاوت في درجة إبراز البُعد الحوكمي مقابل البُعد الخدمي، وفي درجة الانفتاح على القطاع الذي تعمل فيه المنصة</w:t>
      </w:r>
      <w:r w:rsidRPr="006A3D94">
        <w:rPr>
          <w:rFonts w:ascii="Simplified Arabic" w:eastAsia="Times New Roman" w:hAnsi="Simplified Arabic" w:cs="Simplified Arabic"/>
          <w:color w:val="000000" w:themeColor="text1"/>
          <w:kern w:val="0"/>
          <w:sz w:val="28"/>
          <w:szCs w:val="28"/>
          <w14:ligatures w14:val="none"/>
        </w:rPr>
        <w:t>.</w:t>
      </w:r>
    </w:p>
    <w:p w14:paraId="6122A94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ويرى الباحث أنّ منصة إيجار يمكن تعريفها إجرائيًا بأنها منظومةٌ رقميةٌ مؤسسيةٌ متكاملةٌ تعمل في القطاع العقاري الإيجاري بالمملكة العربية السعودية، تجمع بين الوظائف الخدمية والوظائف الحوكمية، وتُقدّم بنيةً موحّدةً لتوثيق العقود الإيجارية وإدارتها إلكترونيًا، وتوفّر آلياتٍ للإفصاح المعلوماتي وضبط الالتزامات المالية بين أطراف العلاقة الإيجارية، فضلًا عن توفيرها قنواتٍ لفضّ النزاعات وقياس السلوك التعاقدي. وبذلك تتجاوز منصة إيجار حدود الوسيط الإلكتروني التقليدي لتُمثّل بنيةً تحتيةً للسوق الإيجاري ذات طابعٍ تنظيمي</w:t>
      </w:r>
      <w:r w:rsidRPr="006A3D94">
        <w:rPr>
          <w:rFonts w:ascii="Simplified Arabic" w:eastAsia="Times New Roman" w:hAnsi="Simplified Arabic" w:cs="Simplified Arabic"/>
          <w:color w:val="000000" w:themeColor="text1"/>
          <w:kern w:val="0"/>
          <w:sz w:val="28"/>
          <w:szCs w:val="28"/>
          <w14:ligatures w14:val="none"/>
        </w:rPr>
        <w:t>.</w:t>
      </w:r>
    </w:p>
    <w:p w14:paraId="09C4A738" w14:textId="2C561997"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465055"/>
      <w:r w:rsidRPr="006A3D94">
        <w:rPr>
          <w:rFonts w:ascii="Simplified Arabic" w:eastAsia="Times New Roman" w:hAnsi="Simplified Arabic" w:cs="Simplified Arabic" w:hint="cs"/>
          <w:b/>
          <w:bCs/>
          <w:color w:val="000000" w:themeColor="text1"/>
          <w:kern w:val="0"/>
          <w:sz w:val="32"/>
          <w:szCs w:val="32"/>
          <w:rtl/>
          <w14:ligatures w14:val="none"/>
        </w:rPr>
        <w:t>3.1.2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أهمية المنصات الرقمية ومنصة إيجار</w:t>
      </w:r>
      <w:bookmarkEnd w:id="36"/>
    </w:p>
    <w:p w14:paraId="584FB91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تنبع أهمية المنصات الرقمية في الفكر الإداري المعاصر من كونها لم تَعُد مجرّد أدواتٍ تشغيليةٍ مكمّلةٍ للأنشطة التقليدية، بل غدت بنيةً تحتيةً جوهريةً تُعيد تشكيل الأسواق وتُغيّر منطق المعاملات وتنظيم العلاقات الاقتصادية. وقد ترتّب على ذلك تحوّلٌ في النظرة الأكاديمية إلى المنصات من كونها موضوعًا تقنيًا ضيقًا إلى كونها ظاهرةً متعدّدة الأبعاد تستدعي مقارباتٍ من حقول الإدارة والاقتصاد والقانون والاجتماع. ويتّفق الباحثون على أنّ تنامي حضور المنصات الرقمية في القطاعات الإنتاجية والخدمية بات يُمثّل أحد أبرز مظاهر التحوّل الرقمي الراهن، بما يستوجب تأمّل أهميتها على المستويات الاقتصادية والإدارية والاجتماعية والتنظيمية</w:t>
      </w:r>
      <w:r w:rsidRPr="006A3D94">
        <w:rPr>
          <w:rFonts w:ascii="Simplified Arabic" w:eastAsia="Times New Roman" w:hAnsi="Simplified Arabic" w:cs="Simplified Arabic"/>
          <w:color w:val="000000" w:themeColor="text1"/>
          <w:kern w:val="0"/>
          <w:sz w:val="28"/>
          <w:szCs w:val="28"/>
          <w14:ligatures w14:val="none"/>
        </w:rPr>
        <w:t>.</w:t>
      </w:r>
    </w:p>
    <w:p w14:paraId="057C14C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ويشير راشد والجمل (2022) إلى أنّ المنصات الرقمية تستمدّ أهميتها من عدّة اعتبارات يمكن إجمالها في الآتي: أولها أنّها تُمثّل أداةً مركزيةً للتحوّل الرقمي في المنظمات، إذ تُتيح إعادة هندسة العمليات وتوحيد قنوات التعامل مع المستفيدين ضمن بيئةٍ إلكترونيةٍ موحّدة؛ وثانيها أنّها تُسهم في تجاوز القيود الجغرافية والزمنية التي كانت تحدّ من كفاءة الأداء التقليدي، بما يرفع من قدرة المنظمات على الوصول إلى شرائح أوسع من المستفيدين؛ وثالثها أنّها تُوفّر آلياتٍ للقياس والتوثيق تُتيح متابعة الأداء وتقييمه بصورةٍ موضوعيةٍ مستندةٍ إلى بياناتٍ رقمية؛ ورابعها أنّها تُسهم في إعادة بناء الثقة بين المؤسسات وجمهورها من خلال ما تُتيحه من إفصاحٍ وما تفرضه من انضباطٍ في الإجراءات</w:t>
      </w:r>
      <w:r w:rsidRPr="006A3D94">
        <w:rPr>
          <w:rFonts w:ascii="Simplified Arabic" w:eastAsia="Times New Roman" w:hAnsi="Simplified Arabic" w:cs="Simplified Arabic"/>
          <w:color w:val="000000" w:themeColor="text1"/>
          <w:kern w:val="0"/>
          <w:sz w:val="28"/>
          <w:szCs w:val="28"/>
          <w14:ligatures w14:val="none"/>
        </w:rPr>
        <w:t>.</w:t>
      </w:r>
    </w:p>
    <w:p w14:paraId="0435C7F9"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ويرى مداني وكريبش (2023) أنّ أهمية المنصات الإلكترونية تتجلّى في كونها رافدًا أساسيًا لتطوير الخدمات العمومية وتحديث أساليب إدارتها؛ إذ تُمثّل قناةً مُهيكَلةً للتفاعل بين الجهات المُقدِّمة للخدمة والمستفيدين منها، وتُسهم في توحيد الإجراءات وضبط دورتها الزمنية وتقليص الفجوات الإدارية. كما تنطوي أهميتها على بُعدٍ تنمويٍ يتمثّل في رفع مستوى التنافسية وتحفيز الابتكار في تقديم الخدمات، فضلًا عن بعدٍ مؤسسيٍ يتمثّل في تعزيز قدرة الجهات الحكومية على ممارسة وظائفها بكفاءةٍ أعلى</w:t>
      </w:r>
      <w:r w:rsidRPr="006A3D94">
        <w:rPr>
          <w:rFonts w:ascii="Simplified Arabic" w:eastAsia="Times New Roman" w:hAnsi="Simplified Arabic" w:cs="Simplified Arabic"/>
          <w:color w:val="000000" w:themeColor="text1"/>
          <w:kern w:val="0"/>
          <w:sz w:val="28"/>
          <w:szCs w:val="28"/>
          <w14:ligatures w14:val="none"/>
        </w:rPr>
        <w:t>.</w:t>
      </w:r>
    </w:p>
    <w:p w14:paraId="1E455F58"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ويُضيف</w:t>
      </w:r>
      <w:r w:rsidRPr="006A3D94">
        <w:rPr>
          <w:rFonts w:ascii="Simplified Arabic" w:eastAsia="Times New Roman" w:hAnsi="Simplified Arabic" w:cs="Simplified Arabic"/>
          <w:color w:val="000000" w:themeColor="text1"/>
          <w:kern w:val="0"/>
          <w:sz w:val="28"/>
          <w:szCs w:val="28"/>
          <w14:ligatures w14:val="none"/>
        </w:rPr>
        <w:t xml:space="preserve"> Mohammad </w:t>
      </w:r>
      <w:r w:rsidRPr="006A3D94">
        <w:rPr>
          <w:rFonts w:ascii="Simplified Arabic" w:eastAsia="Times New Roman" w:hAnsi="Simplified Arabic" w:cs="Simplified Arabic"/>
          <w:color w:val="000000" w:themeColor="text1"/>
          <w:kern w:val="0"/>
          <w:sz w:val="28"/>
          <w:szCs w:val="28"/>
          <w:rtl/>
          <w14:ligatures w14:val="none"/>
        </w:rPr>
        <w:t>وآخرون (2025) أنّ أهمية المنصات الرقمية تتعزّز في الأسواق التي تعاني من ضعف الوساطة المنظَّمة أو من تشتّت الفاعلين، إذ تعمل بوصفها بنيةً تجميعيةً تُقلّل التكاليف الإدارية للمعاملات، وتُعيد توزيع القيمة بين الأطراف بطريقةٍ أكثر عدلًا، وتُتيح للفاعلين الصغار النفاذ إلى أسواقٍ كانت حكرًا على الكبار. ويُعزّز ذلك ما يذهب إليه</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من أنّ المنصات الرقمية في الأسواق العقارية الإيجارية تكتسب أهميةً خاصةً نظرًا لما يتّسم به هذا السوق من حساسيةٍ تجاه قضايا الثقة والتوثيق وحماية الحقوق، حيث تُسهم المنصة في توفير بنيةٍ موثوقةٍ تُقلّل من المخاطر التعاقدية وتُتيح متابعةً مستمرةً لتنفيذ الالتزامات</w:t>
      </w:r>
      <w:r w:rsidRPr="006A3D94">
        <w:rPr>
          <w:rFonts w:ascii="Simplified Arabic" w:eastAsia="Times New Roman" w:hAnsi="Simplified Arabic" w:cs="Simplified Arabic"/>
          <w:color w:val="000000" w:themeColor="text1"/>
          <w:kern w:val="0"/>
          <w:sz w:val="28"/>
          <w:szCs w:val="28"/>
          <w14:ligatures w14:val="none"/>
        </w:rPr>
        <w:t>.</w:t>
      </w:r>
    </w:p>
    <w:p w14:paraId="66677C2C"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ويذهب</w:t>
      </w:r>
      <w:r w:rsidRPr="006A3D94">
        <w:rPr>
          <w:rFonts w:ascii="Simplified Arabic" w:eastAsia="Times New Roman" w:hAnsi="Simplified Arabic" w:cs="Simplified Arabic"/>
          <w:color w:val="000000" w:themeColor="text1"/>
          <w:kern w:val="0"/>
          <w:sz w:val="28"/>
          <w:szCs w:val="28"/>
          <w14:ligatures w14:val="none"/>
        </w:rPr>
        <w:t xml:space="preserve"> Pallavi </w:t>
      </w:r>
      <w:r w:rsidRPr="006A3D94">
        <w:rPr>
          <w:rFonts w:ascii="Simplified Arabic" w:eastAsia="Times New Roman" w:hAnsi="Simplified Arabic" w:cs="Simplified Arabic"/>
          <w:color w:val="000000" w:themeColor="text1"/>
          <w:kern w:val="0"/>
          <w:sz w:val="28"/>
          <w:szCs w:val="28"/>
          <w:rtl/>
          <w14:ligatures w14:val="none"/>
        </w:rPr>
        <w:t>وآخرون (2025) إلى أنّ أهمية منصات الإيجار العقاري تتمثّل في قدرتها على دمج الذكاء الاصطناعي وتقنيات معالجة البيانات في إدارة العلاقة الإيجارية، بما يُتيح تخصيص العروض، وتقييم ملاءمتها لاحتياجات المستفيدين، وتوفير تجربةٍ تعاقديةٍ أكثر سلاسةً وانضباطًا. ويُكمل</w:t>
      </w:r>
      <w:r w:rsidRPr="006A3D94">
        <w:rPr>
          <w:rFonts w:ascii="Simplified Arabic" w:eastAsia="Times New Roman" w:hAnsi="Simplified Arabic" w:cs="Simplified Arabic"/>
          <w:color w:val="000000" w:themeColor="text1"/>
          <w:kern w:val="0"/>
          <w:sz w:val="28"/>
          <w:szCs w:val="28"/>
          <w14:ligatures w14:val="none"/>
        </w:rPr>
        <w:t xml:space="preserve"> Arcila (2025) </w:t>
      </w:r>
      <w:r w:rsidRPr="006A3D94">
        <w:rPr>
          <w:rFonts w:ascii="Simplified Arabic" w:eastAsia="Times New Roman" w:hAnsi="Simplified Arabic" w:cs="Simplified Arabic"/>
          <w:color w:val="000000" w:themeColor="text1"/>
          <w:kern w:val="0"/>
          <w:sz w:val="28"/>
          <w:szCs w:val="28"/>
          <w:rtl/>
          <w14:ligatures w14:val="none"/>
        </w:rPr>
        <w:t>هذا التصور بالإشارة إلى أنّ المنصات الرقمية اكتسبت أهميةً تنظيميةً متناميةً بوصفها أدواتٍ تُعزّز قدرة السلطات العامة على ممارسة وظائفها في الفضاء الرقمي، وتُتيح لها تنفيذ سياساتها بكفاءةٍ أعلى من خلال البنية الرقمية ذاتها</w:t>
      </w:r>
      <w:r w:rsidRPr="006A3D94">
        <w:rPr>
          <w:rFonts w:ascii="Simplified Arabic" w:eastAsia="Times New Roman" w:hAnsi="Simplified Arabic" w:cs="Simplified Arabic"/>
          <w:color w:val="000000" w:themeColor="text1"/>
          <w:kern w:val="0"/>
          <w:sz w:val="28"/>
          <w:szCs w:val="28"/>
          <w14:ligatures w14:val="none"/>
        </w:rPr>
        <w:t>.</w:t>
      </w:r>
    </w:p>
    <w:p w14:paraId="2B138F9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ويُؤكّد عثمان (2023) أنّ أهمية المنصات الرقمية في السياق العربي تتزايد بوصفها أدواتٍ تُعيد تشكيل الصناعات والخدمات، وتفرض على المؤسسات المحلية إعادة النظر في نماذج عملها التقليدية، بما يستلزم تطوير قدراتها التنظيمية والتقنية حتى تتمكّن من التكيّف مع المنطق الجديد للسوق الرقمي. كما يُشير</w:t>
      </w:r>
      <w:r w:rsidRPr="006A3D94">
        <w:rPr>
          <w:rFonts w:ascii="Simplified Arabic" w:eastAsia="Times New Roman" w:hAnsi="Simplified Arabic" w:cs="Simplified Arabic"/>
          <w:color w:val="000000" w:themeColor="text1"/>
          <w:kern w:val="0"/>
          <w:sz w:val="28"/>
          <w:szCs w:val="28"/>
          <w14:ligatures w14:val="none"/>
        </w:rPr>
        <w:t xml:space="preserve"> Palmieri (2025) </w:t>
      </w:r>
      <w:r w:rsidRPr="006A3D94">
        <w:rPr>
          <w:rFonts w:ascii="Simplified Arabic" w:eastAsia="Times New Roman" w:hAnsi="Simplified Arabic" w:cs="Simplified Arabic"/>
          <w:color w:val="000000" w:themeColor="text1"/>
          <w:kern w:val="0"/>
          <w:sz w:val="28"/>
          <w:szCs w:val="28"/>
          <w:rtl/>
          <w14:ligatures w14:val="none"/>
        </w:rPr>
        <w:t>إلى أنّ أهمية المنصات تتعدّى البُعد التشغيلي إلى البُعد الإستراتيجي، إذ باتت تُمثّل ميدانًا للتنظيم العام والتنظيم الذاتي معًا، ومحلًّا للاجتهاد التشريعي في كيفية ضبط ممارساتها بما يحقّق التوازن بين كفاءة السوق وحماية الحقوق</w:t>
      </w:r>
      <w:r w:rsidRPr="006A3D94">
        <w:rPr>
          <w:rFonts w:ascii="Simplified Arabic" w:eastAsia="Times New Roman" w:hAnsi="Simplified Arabic" w:cs="Simplified Arabic"/>
          <w:color w:val="000000" w:themeColor="text1"/>
          <w:kern w:val="0"/>
          <w:sz w:val="28"/>
          <w:szCs w:val="28"/>
          <w14:ligatures w14:val="none"/>
        </w:rPr>
        <w:t>.</w:t>
      </w:r>
    </w:p>
    <w:p w14:paraId="28781AAD"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وعلى المستوى التطبيقي، تكتسب منصة إيجار أهميتها بوصفها أحد المحاور المركزية في رؤية المملكة العربية السعودية لتنظيم القطاع العقاري الإيجاري؛ فهي تُمثّل بنيةً تحتيةً وطنيةً لإدارة العقود الإيجارية، وتُسهم في تحقيق أهدافٍ عدّةٍ مترابطةٍ تشمل ضبط السوق وحماية أطرافه، وتوفير بياناتٍ موثوقةٍ لصنّاع القرار، ورفع مستوى الكفاءة في تقديم الخدمات العقارية، فضلًا عن دورها في تعزيز الثقة بين المُؤجِّرين والمستأجرين والمؤسسات المالية والتنظيمية ذات العلاقة</w:t>
      </w:r>
      <w:r w:rsidRPr="006A3D94">
        <w:rPr>
          <w:rFonts w:ascii="Simplified Arabic" w:eastAsia="Times New Roman" w:hAnsi="Simplified Arabic" w:cs="Simplified Arabic"/>
          <w:color w:val="000000" w:themeColor="text1"/>
          <w:kern w:val="0"/>
          <w:sz w:val="28"/>
          <w:szCs w:val="28"/>
          <w14:ligatures w14:val="none"/>
        </w:rPr>
        <w:t>.</w:t>
      </w:r>
    </w:p>
    <w:p w14:paraId="22A426A2" w14:textId="48059398"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465056"/>
      <w:r w:rsidRPr="006A3D94">
        <w:rPr>
          <w:rFonts w:ascii="Simplified Arabic" w:eastAsia="Times New Roman" w:hAnsi="Simplified Arabic" w:cs="Simplified Arabic" w:hint="cs"/>
          <w:b/>
          <w:bCs/>
          <w:color w:val="000000" w:themeColor="text1"/>
          <w:kern w:val="0"/>
          <w:sz w:val="32"/>
          <w:szCs w:val="32"/>
          <w:rtl/>
          <w14:ligatures w14:val="none"/>
        </w:rPr>
        <w:t>4.1.2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أهداف المنصات الرقمية ومنصة إيجار</w:t>
      </w:r>
      <w:bookmarkEnd w:id="37"/>
    </w:p>
    <w:p w14:paraId="0E6AC8C8"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تتعدّد أهداف المنصات الرقمية بتعدّد الحقول التي تعمل فيها وطبيعة الوظائف التي تُؤدّيها، غير أنّ ثمّة غاياتٍ عامةً يمكن استخلاصها من أدبيات المنصات بوصفها قاسمًا مشتركًا بين تطبيقاتها المختلفة، مع تكييفها وفق طبيعة المنصة موضع الدراسة، وهي منصة إيجار في السوق العقاري السعودي</w:t>
      </w:r>
      <w:r w:rsidRPr="006A3D94">
        <w:rPr>
          <w:rFonts w:ascii="Simplified Arabic" w:eastAsia="Times New Roman" w:hAnsi="Simplified Arabic" w:cs="Simplified Arabic"/>
          <w:color w:val="000000" w:themeColor="text1"/>
          <w:kern w:val="0"/>
          <w:sz w:val="28"/>
          <w:szCs w:val="28"/>
          <w14:ligatures w14:val="none"/>
        </w:rPr>
        <w:t>.</w:t>
      </w:r>
    </w:p>
    <w:p w14:paraId="31A54F6A"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وقد عرض الباحثون جملةً من الأهداف التي تسعى المنصات الرقمية إلى تحقيقها، يمكن ترتيبها على النحو الآتي</w:t>
      </w:r>
      <w:r w:rsidRPr="006A3D94">
        <w:rPr>
          <w:rFonts w:ascii="Simplified Arabic" w:eastAsia="Times New Roman" w:hAnsi="Simplified Arabic" w:cs="Simplified Arabic"/>
          <w:color w:val="000000" w:themeColor="text1"/>
          <w:kern w:val="0"/>
          <w:sz w:val="28"/>
          <w:szCs w:val="28"/>
          <w14:ligatures w14:val="none"/>
        </w:rPr>
        <w:t>:</w:t>
      </w:r>
    </w:p>
    <w:p w14:paraId="2DE4562C"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أولًا: الأهداف التنظيمية والحوكمية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يُؤكّد</w:t>
      </w:r>
      <w:r w:rsidRPr="006A3D94">
        <w:rPr>
          <w:rFonts w:ascii="Simplified Arabic" w:eastAsia="Times New Roman" w:hAnsi="Simplified Arabic" w:cs="Simplified Arabic"/>
          <w:color w:val="000000" w:themeColor="text1"/>
          <w:kern w:val="0"/>
          <w:sz w:val="28"/>
          <w:szCs w:val="28"/>
          <w14:ligatures w14:val="none"/>
        </w:rPr>
        <w:t xml:space="preserve"> Arcila (2025) </w:t>
      </w:r>
      <w:r w:rsidRPr="006A3D94">
        <w:rPr>
          <w:rFonts w:ascii="Simplified Arabic" w:eastAsia="Times New Roman" w:hAnsi="Simplified Arabic" w:cs="Simplified Arabic"/>
          <w:color w:val="000000" w:themeColor="text1"/>
          <w:kern w:val="0"/>
          <w:sz w:val="28"/>
          <w:szCs w:val="28"/>
          <w:rtl/>
          <w14:ligatures w14:val="none"/>
        </w:rPr>
        <w:t>أنّ المنصات الرقمية تستهدف توسيع نطاق الحوكمة من خلال توفير بنيةٍ تنظيميةٍ موازيةٍ تُكمّل عمل السلطات العامة، عبر ما تضعه من قواعدَ تشغيليةٍ وما تُديره من إجراءاتٍ تضبط سلوك الفاعلين داخلها. ويتقاطع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Ulfbeck </w:t>
      </w:r>
      <w:r w:rsidRPr="006A3D94">
        <w:rPr>
          <w:rFonts w:ascii="Simplified Arabic" w:eastAsia="Times New Roman" w:hAnsi="Simplified Arabic" w:cs="Simplified Arabic"/>
          <w:color w:val="000000" w:themeColor="text1"/>
          <w:kern w:val="0"/>
          <w:sz w:val="28"/>
          <w:szCs w:val="28"/>
          <w:rtl/>
          <w14:ligatures w14:val="none"/>
        </w:rPr>
        <w:t>وآخرون</w:t>
      </w:r>
      <w:r w:rsidRPr="006A3D94">
        <w:rPr>
          <w:rFonts w:ascii="Simplified Arabic" w:eastAsia="Times New Roman" w:hAnsi="Simplified Arabic" w:cs="Simplified Arabic"/>
          <w:color w:val="000000" w:themeColor="text1"/>
          <w:kern w:val="0"/>
          <w:sz w:val="28"/>
          <w:szCs w:val="28"/>
          <w14:ligatures w14:val="none"/>
        </w:rPr>
        <w:t xml:space="preserve"> (n.d.) </w:t>
      </w:r>
      <w:r w:rsidRPr="006A3D94">
        <w:rPr>
          <w:rFonts w:ascii="Simplified Arabic" w:eastAsia="Times New Roman" w:hAnsi="Simplified Arabic" w:cs="Simplified Arabic"/>
          <w:color w:val="000000" w:themeColor="text1"/>
          <w:kern w:val="0"/>
          <w:sz w:val="28"/>
          <w:szCs w:val="28"/>
          <w:rtl/>
          <w14:ligatures w14:val="none"/>
        </w:rPr>
        <w:t>من أنّ المنصات تستهدف بناء نظامٍ خاصٍ للحوكمة الذاتية يُمارس وظائف شبه عامةٍ في تنظيم العلاقات بين أطرافها، بما يجعلها بنيةً ذات طابعٍ هجينٍ تجمع بين الخاص والعام</w:t>
      </w:r>
      <w:r w:rsidRPr="006A3D94">
        <w:rPr>
          <w:rFonts w:ascii="Simplified Arabic" w:eastAsia="Times New Roman" w:hAnsi="Simplified Arabic" w:cs="Simplified Arabic"/>
          <w:color w:val="000000" w:themeColor="text1"/>
          <w:kern w:val="0"/>
          <w:sz w:val="28"/>
          <w:szCs w:val="28"/>
          <w14:ligatures w14:val="none"/>
        </w:rPr>
        <w:t>.</w:t>
      </w:r>
    </w:p>
    <w:p w14:paraId="2BCAA67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ثانيًا: الأهداف الخدمية والكفائية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يذهب مداني وكريبش (2023) إلى أنّ المنصات الإلكترونية تستهدف تطوير منظومة تقديم الخدمات من خلال أتمتة الإجراءات وتوحيد قنوات التواصل وتقليص الزمن اللازم لإنجاز المعاملات، بما ينعكس على مستوى الكفاءة المؤسسية والرضا لدى المستفيدين. ويُعزّز ذلك ما يُشير إليه راشد والجمل (2022) من أنّ التحوّل الرقمي من خلال المنصات يستهدف تحديث الأدوات الإدارية وتعزيز قدرة المؤسسات على الاستجابة لمتطلبات المرحلة الراهنة</w:t>
      </w:r>
      <w:r w:rsidRPr="006A3D94">
        <w:rPr>
          <w:rFonts w:ascii="Simplified Arabic" w:eastAsia="Times New Roman" w:hAnsi="Simplified Arabic" w:cs="Simplified Arabic"/>
          <w:color w:val="000000" w:themeColor="text1"/>
          <w:kern w:val="0"/>
          <w:sz w:val="28"/>
          <w:szCs w:val="28"/>
          <w14:ligatures w14:val="none"/>
        </w:rPr>
        <w:t>.</w:t>
      </w:r>
    </w:p>
    <w:p w14:paraId="1860B37E"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ثالثًا: الأهداف الاقتصادية والتنموية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يرى</w:t>
      </w:r>
      <w:r w:rsidRPr="006A3D94">
        <w:rPr>
          <w:rFonts w:ascii="Simplified Arabic" w:eastAsia="Times New Roman" w:hAnsi="Simplified Arabic" w:cs="Simplified Arabic"/>
          <w:color w:val="000000" w:themeColor="text1"/>
          <w:kern w:val="0"/>
          <w:sz w:val="28"/>
          <w:szCs w:val="28"/>
          <w14:ligatures w14:val="none"/>
        </w:rPr>
        <w:t xml:space="preserve"> Mohammad </w:t>
      </w:r>
      <w:r w:rsidRPr="006A3D94">
        <w:rPr>
          <w:rFonts w:ascii="Simplified Arabic" w:eastAsia="Times New Roman" w:hAnsi="Simplified Arabic" w:cs="Simplified Arabic"/>
          <w:color w:val="000000" w:themeColor="text1"/>
          <w:kern w:val="0"/>
          <w:sz w:val="28"/>
          <w:szCs w:val="28"/>
          <w:rtl/>
          <w14:ligatures w14:val="none"/>
        </w:rPr>
        <w:t>وآخرون (2025) أنّ المنصات الرقمية تستهدف إعادة هيكلة سلاسل القيمة في الأسواق التي تعمل فيها، عبر تقريب المسافة بين المُنتجين والمستهلكين، وتوفير قنواتٍ مباشرةٍ للتبادل تُقلّل من تكاليف الوساطة. وفي السياق ذاته، يطرح</w:t>
      </w:r>
      <w:r w:rsidRPr="006A3D94">
        <w:rPr>
          <w:rFonts w:ascii="Simplified Arabic" w:eastAsia="Times New Roman" w:hAnsi="Simplified Arabic" w:cs="Simplified Arabic"/>
          <w:color w:val="000000" w:themeColor="text1"/>
          <w:kern w:val="0"/>
          <w:sz w:val="28"/>
          <w:szCs w:val="28"/>
          <w14:ligatures w14:val="none"/>
        </w:rPr>
        <w:t xml:space="preserve"> Pallavi </w:t>
      </w:r>
      <w:r w:rsidRPr="006A3D94">
        <w:rPr>
          <w:rFonts w:ascii="Simplified Arabic" w:eastAsia="Times New Roman" w:hAnsi="Simplified Arabic" w:cs="Simplified Arabic"/>
          <w:color w:val="000000" w:themeColor="text1"/>
          <w:kern w:val="0"/>
          <w:sz w:val="28"/>
          <w:szCs w:val="28"/>
          <w:rtl/>
          <w14:ligatures w14:val="none"/>
        </w:rPr>
        <w:t>وآخرون (2025) أنّ منصات الإيجار العقاري تستهدف توفير تجربةٍ تعاقديةٍ موحّدةٍ وذات قيمةٍ مضافة، تُتيح لكلٍّ من المُؤجِّر والمستأجر اتخاذ قراراتٍ مبنيةٍ على معلوماتٍ كاملةٍ ومُحدَّثة</w:t>
      </w:r>
      <w:r w:rsidRPr="006A3D94">
        <w:rPr>
          <w:rFonts w:ascii="Simplified Arabic" w:eastAsia="Times New Roman" w:hAnsi="Simplified Arabic" w:cs="Simplified Arabic"/>
          <w:color w:val="000000" w:themeColor="text1"/>
          <w:kern w:val="0"/>
          <w:sz w:val="28"/>
          <w:szCs w:val="28"/>
          <w14:ligatures w14:val="none"/>
        </w:rPr>
        <w:t>.</w:t>
      </w:r>
    </w:p>
    <w:p w14:paraId="50D2AC3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رابعًا: الأهداف المتعلقة بالشفافية والثقة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يُؤكّد</w:t>
      </w:r>
      <w:r w:rsidRPr="006A3D94">
        <w:rPr>
          <w:rFonts w:ascii="Simplified Arabic" w:eastAsia="Times New Roman" w:hAnsi="Simplified Arabic" w:cs="Simplified Arabic"/>
          <w:color w:val="000000" w:themeColor="text1"/>
          <w:kern w:val="0"/>
          <w:sz w:val="28"/>
          <w:szCs w:val="28"/>
          <w14:ligatures w14:val="none"/>
        </w:rPr>
        <w:t xml:space="preserve"> Prifti, Krijger, Thuis,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Stamhuis (2023) </w:t>
      </w:r>
      <w:r w:rsidRPr="006A3D94">
        <w:rPr>
          <w:rFonts w:ascii="Simplified Arabic" w:eastAsia="Times New Roman" w:hAnsi="Simplified Arabic" w:cs="Simplified Arabic"/>
          <w:color w:val="000000" w:themeColor="text1"/>
          <w:kern w:val="0"/>
          <w:sz w:val="28"/>
          <w:szCs w:val="28"/>
          <w:rtl/>
          <w14:ligatures w14:val="none"/>
        </w:rPr>
        <w:t>أنّ المنصات الرقمية تستهدف تعزيز الشفافية بوصفها قيمةً جوهريةً تُؤسّس للثقة بين الأطراف المتعاملة، وذلك من خلال ما توفّره من إفصاحٍ منهجيٍّ يُقلّل من عدم تماثل المعلومات بين الفاعلين. ويتلاقى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Uche-Soria, Mart</w:t>
      </w:r>
      <w:r w:rsidRPr="006A3D94">
        <w:rPr>
          <w:rFonts w:ascii="Cambria" w:eastAsia="Times New Roman" w:hAnsi="Cambria" w:cs="Cambria"/>
          <w:color w:val="000000" w:themeColor="text1"/>
          <w:kern w:val="0"/>
          <w:sz w:val="28"/>
          <w:szCs w:val="28"/>
          <w14:ligatures w14:val="none"/>
        </w:rPr>
        <w:t>í</w:t>
      </w:r>
      <w:r w:rsidRPr="006A3D94">
        <w:rPr>
          <w:rFonts w:ascii="Simplified Arabic" w:eastAsia="Times New Roman" w:hAnsi="Simplified Arabic" w:cs="Simplified Arabic"/>
          <w:color w:val="000000" w:themeColor="text1"/>
          <w:kern w:val="0"/>
          <w:sz w:val="28"/>
          <w:szCs w:val="28"/>
          <w14:ligatures w14:val="none"/>
        </w:rPr>
        <w:t>nez Raya, Mu</w:t>
      </w:r>
      <w:r w:rsidRPr="006A3D94">
        <w:rPr>
          <w:rFonts w:ascii="Cambria" w:eastAsia="Times New Roman" w:hAnsi="Cambria" w:cs="Cambria"/>
          <w:color w:val="000000" w:themeColor="text1"/>
          <w:kern w:val="0"/>
          <w:sz w:val="28"/>
          <w:szCs w:val="28"/>
          <w14:ligatures w14:val="none"/>
        </w:rPr>
        <w:t>ñ</w:t>
      </w:r>
      <w:r w:rsidRPr="006A3D94">
        <w:rPr>
          <w:rFonts w:ascii="Simplified Arabic" w:eastAsia="Times New Roman" w:hAnsi="Simplified Arabic" w:cs="Simplified Arabic"/>
          <w:color w:val="000000" w:themeColor="text1"/>
          <w:kern w:val="0"/>
          <w:sz w:val="28"/>
          <w:szCs w:val="28"/>
          <w14:ligatures w14:val="none"/>
        </w:rPr>
        <w:t xml:space="preserve">oz Cabanes,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Moya Velasco (2025) </w:t>
      </w:r>
      <w:r w:rsidRPr="006A3D94">
        <w:rPr>
          <w:rFonts w:ascii="Simplified Arabic" w:eastAsia="Times New Roman" w:hAnsi="Simplified Arabic" w:cs="Simplified Arabic"/>
          <w:color w:val="000000" w:themeColor="text1"/>
          <w:kern w:val="0"/>
          <w:sz w:val="28"/>
          <w:szCs w:val="28"/>
          <w:rtl/>
          <w14:ligatures w14:val="none"/>
        </w:rPr>
        <w:t>من أنّ المنصات الرقمية القائمة على تقنيات حديثةٍ تستهدف إعادة تعريف الثقة في الأسواق من خلال بناء بنيةٍ تقنيةٍ موثوقةٍ تُتيح التحقّق من المعاملات والإفصاح عنها بصورةٍ آنية</w:t>
      </w:r>
      <w:r w:rsidRPr="006A3D94">
        <w:rPr>
          <w:rFonts w:ascii="Simplified Arabic" w:eastAsia="Times New Roman" w:hAnsi="Simplified Arabic" w:cs="Simplified Arabic"/>
          <w:color w:val="000000" w:themeColor="text1"/>
          <w:kern w:val="0"/>
          <w:sz w:val="28"/>
          <w:szCs w:val="28"/>
          <w14:ligatures w14:val="none"/>
        </w:rPr>
        <w:t>.</w:t>
      </w:r>
    </w:p>
    <w:p w14:paraId="3D25596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خامسًا: الأهداف الإجرائية المتعلقة بالتوثيق وفضّ النزاعات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إلى أنّ منصات الإيجار الرقمي تستهدف توفير بنيةٍ موحّدةٍ لتوثيق العقود وإدارة النزاعات التي قد تنشأ بين أطرافها، وذلك من خلال ما تُوفّره من قنواتٍ إلكترونيةٍ مُهيكَلةٍ تضمن سرعة الاستجابة وعدالة المعالجة. ويُكمل ذلك ما طرحه</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من أنّ منصات الإيجار العقاري تستهدف بناء سوقٍ موثوقٍ تتقلّص فيه فرص النزاع، ويُتاح فيه للأطراف اللجوء إلى آلياتٍ معياريةٍ لمعالجة الخلافات حال وقوعها</w:t>
      </w:r>
      <w:r w:rsidRPr="006A3D94">
        <w:rPr>
          <w:rFonts w:ascii="Simplified Arabic" w:eastAsia="Times New Roman" w:hAnsi="Simplified Arabic" w:cs="Simplified Arabic"/>
          <w:color w:val="000000" w:themeColor="text1"/>
          <w:kern w:val="0"/>
          <w:sz w:val="28"/>
          <w:szCs w:val="28"/>
          <w14:ligatures w14:val="none"/>
        </w:rPr>
        <w:t>.</w:t>
      </w:r>
    </w:p>
    <w:p w14:paraId="5CE295D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سادسًا: الأهداف الاجتماعية والمشاركاتية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 xml:space="preserve">تطرح مصطفى (2025) أنّ المنصات الرقمية تستهدف توسيع نطاق المشاركة الاقتصادية وإتاحة الفرصة لفئاتٍ كانت تواجه عوائق هيكليةً في النفاذ إلى الأسواق، </w:t>
      </w:r>
      <w:r w:rsidRPr="006A3D94">
        <w:rPr>
          <w:rFonts w:ascii="Simplified Arabic" w:eastAsia="Times New Roman" w:hAnsi="Simplified Arabic" w:cs="Simplified Arabic"/>
          <w:color w:val="000000" w:themeColor="text1"/>
          <w:kern w:val="0"/>
          <w:sz w:val="28"/>
          <w:szCs w:val="28"/>
          <w:rtl/>
          <w14:ligatures w14:val="none"/>
        </w:rPr>
        <w:lastRenderedPageBreak/>
        <w:t>بما يجعل المنصات أداةً لإعادة توزيع الفرص والقدرات. ويتقاطع مع ذلك ما يُؤكّده عثمان (2023) من أنّ المنصات تستهدف تجاوز المنطق الأحادي للإنتاج التقليدي نحو منطقٍ تشاركيٍّ يُتيح تفاعلًا أوسع بين المُنتجين والمتلقّين</w:t>
      </w:r>
      <w:r w:rsidRPr="006A3D94">
        <w:rPr>
          <w:rFonts w:ascii="Simplified Arabic" w:eastAsia="Times New Roman" w:hAnsi="Simplified Arabic" w:cs="Simplified Arabic"/>
          <w:color w:val="000000" w:themeColor="text1"/>
          <w:kern w:val="0"/>
          <w:sz w:val="28"/>
          <w:szCs w:val="28"/>
          <w14:ligatures w14:val="none"/>
        </w:rPr>
        <w:t>.</w:t>
      </w:r>
    </w:p>
    <w:p w14:paraId="7B9B0409"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وبتكييف هذه الأهداف العامة على السياق التطبيقي لمنصة إيجار، يمكن القول إنّها تستهدف بناء بنيةٍ وطنيةٍ موحّدةٍ لتوثيق العقود الإيجارية، وضبط السوق العقاري الإيجاري وفق قواعدَ تنظيميةٍ واضحة، وتوفير إفصاحٍ معلوماتيٍّ موثوقٍ لأطراف العلاقة الإيجارية، وتمكينهم من اللجوء إلى آلياتٍ إلكترونيةٍ لفضّ النزاعات، فضلًا عن قياس السلوك التعاقدي وبناء سجلاتٍ موثوقةٍ تُسهم في تعزيز المساءلة في السوق</w:t>
      </w:r>
      <w:r w:rsidRPr="006A3D94">
        <w:rPr>
          <w:rFonts w:ascii="Simplified Arabic" w:eastAsia="Times New Roman" w:hAnsi="Simplified Arabic" w:cs="Simplified Arabic"/>
          <w:color w:val="000000" w:themeColor="text1"/>
          <w:kern w:val="0"/>
          <w:sz w:val="28"/>
          <w:szCs w:val="28"/>
          <w14:ligatures w14:val="none"/>
        </w:rPr>
        <w:t>.</w:t>
      </w:r>
    </w:p>
    <w:p w14:paraId="04F6D08C" w14:textId="5B0CE581"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465057"/>
      <w:r w:rsidRPr="006A3D94">
        <w:rPr>
          <w:rFonts w:ascii="Simplified Arabic" w:eastAsia="Times New Roman" w:hAnsi="Simplified Arabic" w:cs="Simplified Arabic" w:hint="cs"/>
          <w:b/>
          <w:bCs/>
          <w:color w:val="000000" w:themeColor="text1"/>
          <w:kern w:val="0"/>
          <w:sz w:val="32"/>
          <w:szCs w:val="32"/>
          <w:rtl/>
          <w14:ligatures w14:val="none"/>
        </w:rPr>
        <w:t>5.1.2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أبعاد المنصات الرقمية ومنصة إيجار</w:t>
      </w:r>
      <w:bookmarkEnd w:id="38"/>
    </w:p>
    <w:p w14:paraId="0BAB475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تتنوّع المداخل التي اعتمدها الباحثون في تحديد أبعاد المنصات الرقمية تبعًا لاختلاف الزوايا التحليلية وطبيعة المنصات موضع الدراسة. وبناءً على ما طرحه</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في تحليلهم لبنية منصات الإيجار العقاري، وما قدّمه</w:t>
      </w:r>
      <w:r w:rsidRPr="006A3D94">
        <w:rPr>
          <w:rFonts w:ascii="Simplified Arabic" w:eastAsia="Times New Roman" w:hAnsi="Simplified Arabic" w:cs="Simplified Arabic"/>
          <w:color w:val="000000" w:themeColor="text1"/>
          <w:kern w:val="0"/>
          <w:sz w:val="28"/>
          <w:szCs w:val="28"/>
          <w14:ligatures w14:val="none"/>
        </w:rPr>
        <w:t xml:space="preserve"> Pallavi </w:t>
      </w:r>
      <w:r w:rsidRPr="006A3D94">
        <w:rPr>
          <w:rFonts w:ascii="Simplified Arabic" w:eastAsia="Times New Roman" w:hAnsi="Simplified Arabic" w:cs="Simplified Arabic"/>
          <w:color w:val="000000" w:themeColor="text1"/>
          <w:kern w:val="0"/>
          <w:sz w:val="28"/>
          <w:szCs w:val="28"/>
          <w:rtl/>
          <w14:ligatures w14:val="none"/>
        </w:rPr>
        <w:t>وآخرون (2025) في نمذجتهم لمنصات الإيجار المُعزّزة بالذكاء الاصطناعي، فضلًا عمّا أشار إليه</w:t>
      </w:r>
      <w:r w:rsidRPr="006A3D94">
        <w:rPr>
          <w:rFonts w:ascii="Simplified Arabic" w:eastAsia="Times New Roman" w:hAnsi="Simplified Arabic" w:cs="Simplified Arabic"/>
          <w:color w:val="000000" w:themeColor="text1"/>
          <w:kern w:val="0"/>
          <w:sz w:val="28"/>
          <w:szCs w:val="28"/>
          <w14:ligatures w14:val="none"/>
        </w:rPr>
        <w:t xml:space="preserve"> Mohammad </w:t>
      </w:r>
      <w:r w:rsidRPr="006A3D94">
        <w:rPr>
          <w:rFonts w:ascii="Simplified Arabic" w:eastAsia="Times New Roman" w:hAnsi="Simplified Arabic" w:cs="Simplified Arabic"/>
          <w:color w:val="000000" w:themeColor="text1"/>
          <w:kern w:val="0"/>
          <w:sz w:val="28"/>
          <w:szCs w:val="28"/>
          <w:rtl/>
          <w14:ligatures w14:val="none"/>
        </w:rPr>
        <w:t>وآخرون (2025) في تأطير الأبعاد التشغيلية للمنصات الرقمية في الأسواق المنظَّمة، يمكن صياغة أبعاد منصة إيجار في أربعة أبعادٍ رئيسةٍ على النحو الآتي</w:t>
      </w:r>
      <w:r w:rsidRPr="006A3D94">
        <w:rPr>
          <w:rFonts w:ascii="Simplified Arabic" w:eastAsia="Times New Roman" w:hAnsi="Simplified Arabic" w:cs="Simplified Arabic"/>
          <w:color w:val="000000" w:themeColor="text1"/>
          <w:kern w:val="0"/>
          <w:sz w:val="28"/>
          <w:szCs w:val="28"/>
          <w14:ligatures w14:val="none"/>
        </w:rPr>
        <w:t>:</w:t>
      </w:r>
    </w:p>
    <w:p w14:paraId="44DC2B6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الأول: البُعد المعلوماتي والإفصاحي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يُمثّل هذا البُعد الركيزة الأساسية لعمل المنصات الرقمية، إذ يُشير إلى قدرة المنصة على جمع البيانات المتعلقة بالعروض الإيجارية والوحدات والمُلّاك والمستأجرين، ومعالجتها وعرضها بصورةٍ منهجيةٍ تُتيح لأطراف العلاقة الإيجارية اتخاذ قراراتٍ مبنيةٍ على معلوماتٍ كافيةٍ وموثوقة. ويرتبط هذا البُعد بمفهوم تقليص عدم تماثل المعلومات بين الأطراف، وهو ما يُعدّ من أبرز مظاهر القيمة المُضافة التي تُقدّمها المنصات في الأسواق التي تعاني تاريخيًا من اختلالاتٍ معلوماتية. ويُتيح هذا البُعد للمستفيدين النفاذ إلى بياناتٍ مُحدَّثةٍ عن العقارات وشروط التعاقد والتاريخ التعاقدي للأطراف، بما يُسهم في رفع مستوى الانضباط في السوق</w:t>
      </w:r>
      <w:r w:rsidRPr="006A3D94">
        <w:rPr>
          <w:rFonts w:ascii="Simplified Arabic" w:eastAsia="Times New Roman" w:hAnsi="Simplified Arabic" w:cs="Simplified Arabic"/>
          <w:color w:val="000000" w:themeColor="text1"/>
          <w:kern w:val="0"/>
          <w:sz w:val="28"/>
          <w:szCs w:val="28"/>
          <w14:ligatures w14:val="none"/>
        </w:rPr>
        <w:t>.</w:t>
      </w:r>
    </w:p>
    <w:p w14:paraId="4D799F4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الثاني: البُعد التعاقدي والتوثيقي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 xml:space="preserve">يتعلّق هذا البُعد بوظيفة المنصة في إدارة الدورة التعاقدية الكاملة بدءًا من إنشاء العقد وإلى انقضائه، مرورًا بتوثيقه وتسجيله في سجلاتٍ إلكترونيةٍ معتمدة، وضبط دفعاته </w:t>
      </w:r>
      <w:r w:rsidRPr="006A3D94">
        <w:rPr>
          <w:rFonts w:ascii="Simplified Arabic" w:eastAsia="Times New Roman" w:hAnsi="Simplified Arabic" w:cs="Simplified Arabic"/>
          <w:color w:val="000000" w:themeColor="text1"/>
          <w:kern w:val="0"/>
          <w:sz w:val="28"/>
          <w:szCs w:val="28"/>
          <w:rtl/>
          <w14:ligatures w14:val="none"/>
        </w:rPr>
        <w:lastRenderedPageBreak/>
        <w:t>الماليةٍ وتجديده. ويستند هذا البُعد إلى ما تُتيحه التقنيات الرقمية من قدرةٍ على أتمتة الإجراءات التعاقدية، وضمان تطابق العقود مع المتطلبات التنظيمية، وتوفير سجلٍّ إلكترونيٍّ موثوقٍ يُتيح الرجوع إليه عند الحاجة. ويُمثّل هذا البُعد تجسيدًا عمليًا لانتقال السوق العقاري الإيجاري من نمط التوثيق الورقي غير المُهيكل إلى نمط التوثيق الرقمي المعياري، بما يفرضه ذلك من انضباطٍ في الصياغة وضمانٍ في الحفظ وسهولةٍ في الاسترجاع</w:t>
      </w:r>
      <w:r w:rsidRPr="006A3D94">
        <w:rPr>
          <w:rFonts w:ascii="Simplified Arabic" w:eastAsia="Times New Roman" w:hAnsi="Simplified Arabic" w:cs="Simplified Arabic"/>
          <w:color w:val="000000" w:themeColor="text1"/>
          <w:kern w:val="0"/>
          <w:sz w:val="28"/>
          <w:szCs w:val="28"/>
          <w14:ligatures w14:val="none"/>
        </w:rPr>
        <w:t>.</w:t>
      </w:r>
    </w:p>
    <w:p w14:paraId="4DE03B9C"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الثالث: البُعد الحوكمي وآليات فضّ النزاعات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يُجسّد هذا البُعد الوظيفة التنظيمية للمنصة بوصفها بنيةً تتجاوز التوسيط الخدمي إلى ممارسة دورٍ شبه تنظيميٍّ في ضبط سلوك الأطراف وفضّ ما قد ينشأ بينهم من خلافات. ويتضمّن هذا البُعد ما تُوفّره المنصة من قنواتٍ إلكترونيةٍ لتقديم الشكاوى ومعالجتها، وآلياتٍ للوساطة بين الأطراف، وضوابطَ للالتزام بالقرارات الصادرة عن جهات فضّ النزاعات. ويرتبط هذا البُعد بالتطوّر العام في النظرة إلى المنصات الرقمية بوصفها أنظمة حوكمةٍ خاصةٍ تُمارس وظائفَ تكميليةً للجهات التنظيمية الرسمية. ويكتسب هذا البُعد أهميةً خاصةً في السوق العقاري الإيجاري الذي تشيع فيه النزاعات التعاقدية، حيث تُتيح المنصة بنيةً موحّدةً لمعالجتها بكفاءةٍ أعلى من القنوات التقليدية</w:t>
      </w:r>
      <w:r w:rsidRPr="006A3D94">
        <w:rPr>
          <w:rFonts w:ascii="Simplified Arabic" w:eastAsia="Times New Roman" w:hAnsi="Simplified Arabic" w:cs="Simplified Arabic"/>
          <w:color w:val="000000" w:themeColor="text1"/>
          <w:kern w:val="0"/>
          <w:sz w:val="28"/>
          <w:szCs w:val="28"/>
          <w14:ligatures w14:val="none"/>
        </w:rPr>
        <w:t>.</w:t>
      </w:r>
    </w:p>
    <w:p w14:paraId="2E5BC131"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الرابع: البُعد السلوكي والتقييمي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 هذا البُعد إلى قدرة المنصة على رصد سلوك أطراف العلاقة الإيجارية وتقييمه عبر مؤشراتٍ كميةٍ ونوعيةٍ، بما يُتيح بناء سجلاتٍ سلوكيةٍ تعكس مستوى التزام كلٍّ من المُؤجِّر والمستأجر بالشروط التعاقدية والمالية. ويستند هذا البُعد إلى ما تُتيحه البيئة الرقمية من قدرةٍ على جمع البيانات السلوكية ومعالجتها وتحويلها إلى مؤشراتٍ قابلةٍ للقياس والمقارنة، بما يُسهم في توجيه القرارات التعاقدية المستقبلية ورفع مستوى المساءلة المتبادلة بين الأطراف. ويُمثّل هذا البُعد أحد أبرز مظاهر التطوّر الذي شهدته منصات الإيجار العقاري في السنوات الأخيرة، إذ انتقلت من توفير الخدمة إلى تقييم أطرافها وبناء بنيةٍ معلوماتيةٍ تعكس سلوكهم التعاقدي</w:t>
      </w:r>
      <w:r w:rsidRPr="006A3D94">
        <w:rPr>
          <w:rFonts w:ascii="Simplified Arabic" w:eastAsia="Times New Roman" w:hAnsi="Simplified Arabic" w:cs="Simplified Arabic"/>
          <w:color w:val="000000" w:themeColor="text1"/>
          <w:kern w:val="0"/>
          <w:sz w:val="28"/>
          <w:szCs w:val="28"/>
          <w14:ligatures w14:val="none"/>
        </w:rPr>
        <w:t>.</w:t>
      </w:r>
    </w:p>
    <w:p w14:paraId="110F2F66"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ويمكن أن يُضاف إلى هذه الأبعاد الأربعة عناصرُ مكمّلةٌ ترفد بنية المنصة وتُعزّز فاعليتها، أبرزها البُعد التكاملي الذي يُشير إلى قدرة المنصة على الاتصال البَيْني مع منظوماتٍ رقميةٍ أخرى ذات علاقةٍ بالقطاع، والبُعد الأمني الذي يتعلّق بحماية بيانات المستفيدين وضمان سلامة المعاملات، والبُعد التجريبي الذي يُعنى بجودة تجربة المستخدم وسهولة استخدام المنصة وملاءمتها لمختلف فئات المستفيدين</w:t>
      </w:r>
      <w:r w:rsidRPr="006A3D94">
        <w:rPr>
          <w:rFonts w:ascii="Simplified Arabic" w:eastAsia="Times New Roman" w:hAnsi="Simplified Arabic" w:cs="Simplified Arabic"/>
          <w:color w:val="000000" w:themeColor="text1"/>
          <w:kern w:val="0"/>
          <w:sz w:val="28"/>
          <w:szCs w:val="28"/>
          <w14:ligatures w14:val="none"/>
        </w:rPr>
        <w:t>.</w:t>
      </w:r>
    </w:p>
    <w:p w14:paraId="0E9A112F" w14:textId="6A43E3DE"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465058"/>
      <w:r w:rsidRPr="006A3D94">
        <w:rPr>
          <w:rFonts w:ascii="Simplified Arabic" w:eastAsia="Times New Roman" w:hAnsi="Simplified Arabic" w:cs="Simplified Arabic" w:hint="cs"/>
          <w:b/>
          <w:bCs/>
          <w:color w:val="000000" w:themeColor="text1"/>
          <w:kern w:val="0"/>
          <w:sz w:val="32"/>
          <w:szCs w:val="32"/>
          <w:rtl/>
          <w14:ligatures w14:val="none"/>
        </w:rPr>
        <w:t>6.1.2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إستراتيجيات تفعيل المنصات الرقمية ومنصة إيجار</w:t>
      </w:r>
      <w:bookmarkEnd w:id="39"/>
    </w:p>
    <w:p w14:paraId="4791E33C"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لا يكفي توفّر البنية التحتية للمنصات الرقمية لضمان فاعليتها، بل يستلزم ذلك تبنّي إستراتيجياتٍ متكاملةٍ تُؤطّر تشغيلها وتُوجّه مسار تطويرها وفق مقتضيات السوق والبيئة التنظيمية. وقد تنوّعت المداخل الإستراتيجية التي طُرحت في الأدبيات لتفعيل المنصات الرقمية، ويمكن استعراض أبرزها على النحو الآتي</w:t>
      </w:r>
      <w:r w:rsidRPr="006A3D94">
        <w:rPr>
          <w:rFonts w:ascii="Simplified Arabic" w:eastAsia="Times New Roman" w:hAnsi="Simplified Arabic" w:cs="Simplified Arabic"/>
          <w:color w:val="000000" w:themeColor="text1"/>
          <w:kern w:val="0"/>
          <w:sz w:val="28"/>
          <w:szCs w:val="28"/>
          <w14:ligatures w14:val="none"/>
        </w:rPr>
        <w:t>:</w:t>
      </w:r>
    </w:p>
    <w:p w14:paraId="42C7404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الأولى: إستراتيجية البنية التحتية التقنية الموثوقة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Uche-Soria </w:t>
      </w:r>
      <w:r w:rsidRPr="006A3D94">
        <w:rPr>
          <w:rFonts w:ascii="Simplified Arabic" w:eastAsia="Times New Roman" w:hAnsi="Simplified Arabic" w:cs="Simplified Arabic"/>
          <w:color w:val="000000" w:themeColor="text1"/>
          <w:kern w:val="0"/>
          <w:sz w:val="28"/>
          <w:szCs w:val="28"/>
          <w:rtl/>
          <w14:ligatures w14:val="none"/>
        </w:rPr>
        <w:t>وآخرون (2025) أنّ تفعيل المنصات الرقمية يستدعي بناء بنيةٍ تحتيةٍ تقنيةٍ متينةٍ تستند إلى تقنياتٍ حديثةٍ تضمن موثوقية المعاملات وقابليتها للتحقّق. وتنطلق هذه الإستراتيجية من أنّ ثقة المستخدمين في المنصة لا تتحقّق إلا بقدر ما توفّره من ضماناتٍ تقنيةٍ تجعل المعاملات قابلةً للتدقيق ومحميةً من التلاعب. وفي السياق ذاته، يُشير</w:t>
      </w:r>
      <w:r w:rsidRPr="006A3D94">
        <w:rPr>
          <w:rFonts w:ascii="Simplified Arabic" w:eastAsia="Times New Roman" w:hAnsi="Simplified Arabic" w:cs="Simplified Arabic"/>
          <w:color w:val="000000" w:themeColor="text1"/>
          <w:kern w:val="0"/>
          <w:sz w:val="28"/>
          <w:szCs w:val="28"/>
          <w14:ligatures w14:val="none"/>
        </w:rPr>
        <w:t xml:space="preserve"> Christidis, Leligou,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Papadopoulos (n.d.) </w:t>
      </w:r>
      <w:r w:rsidRPr="006A3D94">
        <w:rPr>
          <w:rFonts w:ascii="Simplified Arabic" w:eastAsia="Times New Roman" w:hAnsi="Simplified Arabic" w:cs="Simplified Arabic"/>
          <w:color w:val="000000" w:themeColor="text1"/>
          <w:kern w:val="0"/>
          <w:sz w:val="28"/>
          <w:szCs w:val="28"/>
          <w:rtl/>
          <w14:ligatures w14:val="none"/>
        </w:rPr>
        <w:t>إلى أنّ تبنّي تقنياتٍ موزّعةٍ في تصميم المنصات يُسهم في تعزيز قدرتها على ضمان الشفافية وحماية الأطراف من الممارسات غير المنضبطة</w:t>
      </w:r>
      <w:r w:rsidRPr="006A3D94">
        <w:rPr>
          <w:rFonts w:ascii="Simplified Arabic" w:eastAsia="Times New Roman" w:hAnsi="Simplified Arabic" w:cs="Simplified Arabic"/>
          <w:color w:val="000000" w:themeColor="text1"/>
          <w:kern w:val="0"/>
          <w:sz w:val="28"/>
          <w:szCs w:val="28"/>
          <w14:ligatures w14:val="none"/>
        </w:rPr>
        <w:t>.</w:t>
      </w:r>
    </w:p>
    <w:p w14:paraId="70F8ADB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الثانية: إستراتيجية التكامل بين التنظيم العام والتنظيم الذاتي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يذهب</w:t>
      </w:r>
      <w:r w:rsidRPr="006A3D94">
        <w:rPr>
          <w:rFonts w:ascii="Simplified Arabic" w:eastAsia="Times New Roman" w:hAnsi="Simplified Arabic" w:cs="Simplified Arabic"/>
          <w:color w:val="000000" w:themeColor="text1"/>
          <w:kern w:val="0"/>
          <w:sz w:val="28"/>
          <w:szCs w:val="28"/>
          <w14:ligatures w14:val="none"/>
        </w:rPr>
        <w:t xml:space="preserve"> Palmieri (2025) </w:t>
      </w:r>
      <w:r w:rsidRPr="006A3D94">
        <w:rPr>
          <w:rFonts w:ascii="Simplified Arabic" w:eastAsia="Times New Roman" w:hAnsi="Simplified Arabic" w:cs="Simplified Arabic"/>
          <w:color w:val="000000" w:themeColor="text1"/>
          <w:kern w:val="0"/>
          <w:sz w:val="28"/>
          <w:szCs w:val="28"/>
          <w:rtl/>
          <w14:ligatures w14:val="none"/>
        </w:rPr>
        <w:t>إلى أنّ تفعيل المنصات الرقمية في الأسواق المنظَّمة يتطلّب صياغة تكاملٍ ذكيٍّ بين التشريع العام الذي تضعه الجهات التنظيمية الرسمية، والتنظيم الذاتي الذي تتبنّاه المنصة في إدارة علاقاتها مع مستخدميها. ويُكمل ذلك ما طرحه</w:t>
      </w:r>
      <w:r w:rsidRPr="006A3D94">
        <w:rPr>
          <w:rFonts w:ascii="Simplified Arabic" w:eastAsia="Times New Roman" w:hAnsi="Simplified Arabic" w:cs="Simplified Arabic"/>
          <w:color w:val="000000" w:themeColor="text1"/>
          <w:kern w:val="0"/>
          <w:sz w:val="28"/>
          <w:szCs w:val="28"/>
          <w14:ligatures w14:val="none"/>
        </w:rPr>
        <w:t xml:space="preserve"> Arcila (2025) </w:t>
      </w:r>
      <w:r w:rsidRPr="006A3D94">
        <w:rPr>
          <w:rFonts w:ascii="Simplified Arabic" w:eastAsia="Times New Roman" w:hAnsi="Simplified Arabic" w:cs="Simplified Arabic"/>
          <w:color w:val="000000" w:themeColor="text1"/>
          <w:kern w:val="0"/>
          <w:sz w:val="28"/>
          <w:szCs w:val="28"/>
          <w:rtl/>
          <w14:ligatures w14:val="none"/>
        </w:rPr>
        <w:t>من أنّ المنصات تكتسب فاعليتها حين تعمل ضمن منظومةٍ قانونيةٍ مُحكمةٍ تُحدّد صلاحياتها ومسؤولياتها وعلاقتها بالسلطات العامة، بما يجعلها بنيةً مُتممةً للمنظومة التنظيمية لا بديلًا عنها</w:t>
      </w:r>
      <w:r w:rsidRPr="006A3D94">
        <w:rPr>
          <w:rFonts w:ascii="Simplified Arabic" w:eastAsia="Times New Roman" w:hAnsi="Simplified Arabic" w:cs="Simplified Arabic"/>
          <w:color w:val="000000" w:themeColor="text1"/>
          <w:kern w:val="0"/>
          <w:sz w:val="28"/>
          <w:szCs w:val="28"/>
          <w14:ligatures w14:val="none"/>
        </w:rPr>
        <w:t>.</w:t>
      </w:r>
    </w:p>
    <w:p w14:paraId="0F2D36DA"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الثالثة: إستراتيجية الإفصاح المُهيكل وإدارة المعلومات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Steils, Martin,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Toti (2022) </w:t>
      </w:r>
      <w:r w:rsidRPr="006A3D94">
        <w:rPr>
          <w:rFonts w:ascii="Simplified Arabic" w:eastAsia="Times New Roman" w:hAnsi="Simplified Arabic" w:cs="Simplified Arabic"/>
          <w:color w:val="000000" w:themeColor="text1"/>
          <w:kern w:val="0"/>
          <w:sz w:val="28"/>
          <w:szCs w:val="28"/>
          <w:rtl/>
          <w14:ligatures w14:val="none"/>
        </w:rPr>
        <w:t>أنّ إستراتيجيات إدارة الإفصاح في المنصات الرقمية تستلزم معالجةً واعيةً لما يُسمّى بمفارقة الشفافية، حيث لا يكفي مجرّد توفير المعلومات بل يجب هندستها بطريقةٍ تُحقّق التوازن بين الكشف الكافي والتركيز على ما يُفيد المستخدم فعلًا. ويتقاطع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Prifti </w:t>
      </w:r>
      <w:r w:rsidRPr="006A3D94">
        <w:rPr>
          <w:rFonts w:ascii="Simplified Arabic" w:eastAsia="Times New Roman" w:hAnsi="Simplified Arabic" w:cs="Simplified Arabic"/>
          <w:color w:val="000000" w:themeColor="text1"/>
          <w:kern w:val="0"/>
          <w:sz w:val="28"/>
          <w:szCs w:val="28"/>
          <w:rtl/>
          <w14:ligatures w14:val="none"/>
        </w:rPr>
        <w:t>وآخرون (2023) من أنّ إستراتيجيات الشفافية في المنصات تستدعي الانتقال من نموذجٍ ثنائيٍّ بين المنصة والمستخدم إلى نموذجٍ منظوميٍّ يضع الإفصاح ضمن سياقٍ بيئيٍّ رقميٍّ أوسع</w:t>
      </w:r>
      <w:r w:rsidRPr="006A3D94">
        <w:rPr>
          <w:rFonts w:ascii="Simplified Arabic" w:eastAsia="Times New Roman" w:hAnsi="Simplified Arabic" w:cs="Simplified Arabic"/>
          <w:color w:val="000000" w:themeColor="text1"/>
          <w:kern w:val="0"/>
          <w:sz w:val="28"/>
          <w:szCs w:val="28"/>
          <w14:ligatures w14:val="none"/>
        </w:rPr>
        <w:t>.</w:t>
      </w:r>
    </w:p>
    <w:p w14:paraId="549DF5ED"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الرابعة: إستراتيجية تطوير آليات المعالجة الرقمية للنزاعات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يُؤكّد</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 xml:space="preserve">أنّ من أبرز الإستراتيجيات الناجعة في تفعيل منصات الإيجار الرقمي تبنّي آلياتٍ مُهيكَلةٍ لمعالجة النزاعات تستفيد من البنية الرقمية للمنصة في تسريع الإجراءات وتوفير الأدلة وضبط المخرجات. ويتلاقى </w:t>
      </w:r>
      <w:r w:rsidRPr="006A3D94">
        <w:rPr>
          <w:rFonts w:ascii="Simplified Arabic" w:eastAsia="Times New Roman" w:hAnsi="Simplified Arabic" w:cs="Simplified Arabic"/>
          <w:color w:val="000000" w:themeColor="text1"/>
          <w:kern w:val="0"/>
          <w:sz w:val="28"/>
          <w:szCs w:val="28"/>
          <w:rtl/>
          <w14:ligatures w14:val="none"/>
        </w:rPr>
        <w:lastRenderedPageBreak/>
        <w:t>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Rosin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Parviainen (2025) </w:t>
      </w:r>
      <w:r w:rsidRPr="006A3D94">
        <w:rPr>
          <w:rFonts w:ascii="Simplified Arabic" w:eastAsia="Times New Roman" w:hAnsi="Simplified Arabic" w:cs="Simplified Arabic"/>
          <w:color w:val="000000" w:themeColor="text1"/>
          <w:kern w:val="0"/>
          <w:sz w:val="28"/>
          <w:szCs w:val="28"/>
          <w:rtl/>
          <w14:ligatures w14:val="none"/>
        </w:rPr>
        <w:t>من أنّ إستراتيجيات تنظيم العمل عبر المنصات تستدعي إخضاع الخوارزميات المُستخدمة في إدارة العلاقات للشفافية والمساءلة، بما يضمن عدالة المعالجة الآلية للمعاملات والنزاعات</w:t>
      </w:r>
      <w:r w:rsidRPr="006A3D94">
        <w:rPr>
          <w:rFonts w:ascii="Simplified Arabic" w:eastAsia="Times New Roman" w:hAnsi="Simplified Arabic" w:cs="Simplified Arabic"/>
          <w:color w:val="000000" w:themeColor="text1"/>
          <w:kern w:val="0"/>
          <w:sz w:val="28"/>
          <w:szCs w:val="28"/>
          <w14:ligatures w14:val="none"/>
        </w:rPr>
        <w:t>.</w:t>
      </w:r>
    </w:p>
    <w:p w14:paraId="4AF06FCC"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الخامسة: إستراتيجية التوظيف الذكي للبيانات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Pallavi </w:t>
      </w:r>
      <w:r w:rsidRPr="006A3D94">
        <w:rPr>
          <w:rFonts w:ascii="Simplified Arabic" w:eastAsia="Times New Roman" w:hAnsi="Simplified Arabic" w:cs="Simplified Arabic"/>
          <w:color w:val="000000" w:themeColor="text1"/>
          <w:kern w:val="0"/>
          <w:sz w:val="28"/>
          <w:szCs w:val="28"/>
          <w:rtl/>
          <w14:ligatures w14:val="none"/>
        </w:rPr>
        <w:t>وآخرون (2025) أنّ إستراتيجيات تفعيل منصات الإيجار العقاري في المرحلة الراهنة تستند بشكلٍ متزايدٍ إلى توظيف الذكاء الاصطناعي وتقنيات معالجة البيانات الضخمة في تحسين تجربة المستخدم وتخصيص العروض وتقييم ملاءمتها. وتنطلق هذه الإستراتيجية من أنّ القيمة المُضافة للمنصة في الجيل الراهن لا تتحقّق فقط بتوفير قاعدة بياناتٍ، بل بقدرتها على تحويل هذه البيانات إلى قراراتٍ ذكيةٍ ومعرفةٍ قابلةٍ للتطبيق</w:t>
      </w:r>
      <w:r w:rsidRPr="006A3D94">
        <w:rPr>
          <w:rFonts w:ascii="Simplified Arabic" w:eastAsia="Times New Roman" w:hAnsi="Simplified Arabic" w:cs="Simplified Arabic"/>
          <w:color w:val="000000" w:themeColor="text1"/>
          <w:kern w:val="0"/>
          <w:sz w:val="28"/>
          <w:szCs w:val="28"/>
          <w14:ligatures w14:val="none"/>
        </w:rPr>
        <w:t>.</w:t>
      </w:r>
    </w:p>
    <w:p w14:paraId="04FDB1C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السادسة: إستراتيجية تطوير القدرات المؤسسية للمستفيدين</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 عمر (2024) إلى أنّ نجاح توظيف التكنولوجيا في تعزيز الأداء المؤسسي يستلزم تطوير القدرات البشرية والتنظيمية للمستخدمين، بما يُتيح لهم الإفادة الكاملة من إمكانات المنظومة الرقمية. ويتقاطع مع ذلك ما تُؤكّده دراسات المنصات الإلكترونية في السياق العربي، حيث يُعدّ بناء وعي المستخدمين وتأهيلهم للتفاعل مع البنية الرقمية أحد أبرز محدّدات نجاحها (مداني وكريبش، 2023، عند تناولهم تحديات تفعيل المنصات)</w:t>
      </w:r>
      <w:r w:rsidRPr="006A3D94">
        <w:rPr>
          <w:rFonts w:ascii="Simplified Arabic" w:eastAsia="Times New Roman" w:hAnsi="Simplified Arabic" w:cs="Simplified Arabic"/>
          <w:color w:val="000000" w:themeColor="text1"/>
          <w:kern w:val="0"/>
          <w:sz w:val="28"/>
          <w:szCs w:val="28"/>
          <w14:ligatures w14:val="none"/>
        </w:rPr>
        <w:t>.</w:t>
      </w:r>
    </w:p>
    <w:p w14:paraId="139958B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ويمكن استكمال هذه الإستراتيجيات بإستراتيجياتٍ مكمّلةٍ تُسهم في رفع كفاءة المنصة، أبرزها إستراتيجية الحوكمة التشاركية التي تُتيح إشراك أطراف العلاقة في تطوير قواعد المنصة، وإستراتيجية التحسين المستمر القائمة على التغذية الراجعة من المستخدمين، وإستراتيجية التكامل القطاعي التي تربط المنصة بمنظوماتٍ أخرى ذات علاقةٍ بالقطاع العقاري والمالي والقضائي</w:t>
      </w:r>
      <w:r w:rsidRPr="006A3D94">
        <w:rPr>
          <w:rFonts w:ascii="Simplified Arabic" w:eastAsia="Times New Roman" w:hAnsi="Simplified Arabic" w:cs="Simplified Arabic"/>
          <w:color w:val="000000" w:themeColor="text1"/>
          <w:kern w:val="0"/>
          <w:sz w:val="28"/>
          <w:szCs w:val="28"/>
          <w14:ligatures w14:val="none"/>
        </w:rPr>
        <w:t>.</w:t>
      </w:r>
    </w:p>
    <w:p w14:paraId="3527A909" w14:textId="78F04806" w:rsidR="007A702C" w:rsidRPr="006A3D94" w:rsidRDefault="00B70C11" w:rsidP="00B70C11">
      <w:pPr>
        <w:jc w:val="center"/>
        <w:outlineLvl w:val="1"/>
        <w:rPr>
          <w:rFonts w:ascii="Simplified Arabic" w:eastAsia="Times New Roman" w:hAnsi="Simplified Arabic" w:cs="Simplified Arabic"/>
          <w:b/>
          <w:bCs/>
          <w:color w:val="000000" w:themeColor="text1"/>
          <w:kern w:val="0"/>
          <w:sz w:val="36"/>
          <w:szCs w:val="36"/>
          <w14:ligatures w14:val="none"/>
        </w:rPr>
      </w:pPr>
      <w:r w:rsidRPr="006A3D94">
        <w:rPr>
          <w:rFonts w:ascii="Simplified Arabic" w:eastAsia="Times New Roman" w:hAnsi="Simplified Arabic" w:cs="Simplified Arabic"/>
          <w:b/>
          <w:bCs/>
          <w:color w:val="000000" w:themeColor="text1"/>
          <w:kern w:val="0"/>
          <w:sz w:val="36"/>
          <w:szCs w:val="36"/>
          <w:rtl/>
          <w14:ligatures w14:val="none"/>
        </w:rPr>
        <w:br w:type="page"/>
      </w:r>
      <w:bookmarkStart w:id="40" w:name="_Toc233465059"/>
      <w:r w:rsidR="007A702C" w:rsidRPr="006A3D94">
        <w:rPr>
          <w:rFonts w:ascii="Simplified Arabic" w:eastAsia="Times New Roman" w:hAnsi="Simplified Arabic" w:cs="Simplified Arabic"/>
          <w:b/>
          <w:bCs/>
          <w:color w:val="000000" w:themeColor="text1"/>
          <w:kern w:val="0"/>
          <w:sz w:val="36"/>
          <w:szCs w:val="36"/>
          <w:rtl/>
          <w14:ligatures w14:val="none"/>
        </w:rPr>
        <w:lastRenderedPageBreak/>
        <w:t>المبحث الثاني: تعزيز الشفافية وحماية حقوق أطراف العلاقة الإيجارية</w:t>
      </w:r>
      <w:bookmarkEnd w:id="40"/>
    </w:p>
    <w:p w14:paraId="4D8CA06D" w14:textId="05F7B718"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465060"/>
      <w:r w:rsidRPr="006A3D94">
        <w:rPr>
          <w:rFonts w:ascii="Simplified Arabic" w:eastAsia="Times New Roman" w:hAnsi="Simplified Arabic" w:cs="Simplified Arabic" w:hint="cs"/>
          <w:b/>
          <w:bCs/>
          <w:color w:val="000000" w:themeColor="text1"/>
          <w:kern w:val="0"/>
          <w:sz w:val="32"/>
          <w:szCs w:val="32"/>
          <w:rtl/>
          <w14:ligatures w14:val="none"/>
        </w:rPr>
        <w:t xml:space="preserve">1.2.2 </w:t>
      </w:r>
      <w:r w:rsidR="007A702C" w:rsidRPr="006A3D94">
        <w:rPr>
          <w:rFonts w:ascii="Simplified Arabic" w:eastAsia="Times New Roman" w:hAnsi="Simplified Arabic" w:cs="Simplified Arabic"/>
          <w:b/>
          <w:bCs/>
          <w:color w:val="000000" w:themeColor="text1"/>
          <w:kern w:val="0"/>
          <w:sz w:val="32"/>
          <w:szCs w:val="32"/>
          <w:rtl/>
          <w14:ligatures w14:val="none"/>
        </w:rPr>
        <w:t>تمهيد</w:t>
      </w:r>
      <w:bookmarkEnd w:id="41"/>
    </w:p>
    <w:p w14:paraId="26F34D7E"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تُمثّل الشفافية أحد المفاهيم المحورية التي استقطبت اهتمام الفكر الإداري المعاصر، باعتبارها قيمةً تنظيميةً وإداريةً تتقاطع مع منظوماتٍ مفاهيميةٍ أخرى كالحوكمة الرشيدة والمساءلة والنزاهة. وقد تنامى الاهتمام بهذا المفهوم في ظلّ التحوّلات الاقتصادية والتقنية المتسارعة التي فرضت على المنظمات إعادة النظر في علاقتها بمحيطها الخارجي وأصحاب المصلحة المتعدّدين، بحيث لم تَعُد الشفافية ترفًا إداريًا اختياريًا، بل غدت متطلبًا جوهريًا لكسب الثقة وبناء الشرعية وتحقيق الاستدامة. وقد رافق هذا التطوّر تحوّلٌ موازٍ في النظرة إلى حماية الحقوق التعاقدية، إذ انتقلت من مقاربةٍ قانونيةٍ تقليديةٍ تُعنى بالنصوص والإجراءات إلى مقاربةٍ منظوميةٍ تُدمج البُعد التنظيمي والتقني في بناء بيئةٍ تعاقديةٍ موثوقة</w:t>
      </w:r>
      <w:r w:rsidRPr="006A3D94">
        <w:rPr>
          <w:rFonts w:ascii="Simplified Arabic" w:eastAsia="Times New Roman" w:hAnsi="Simplified Arabic" w:cs="Simplified Arabic"/>
          <w:color w:val="000000" w:themeColor="text1"/>
          <w:kern w:val="0"/>
          <w:sz w:val="28"/>
          <w:szCs w:val="28"/>
          <w14:ligatures w14:val="none"/>
        </w:rPr>
        <w:t>.</w:t>
      </w:r>
    </w:p>
    <w:p w14:paraId="5EF090B8"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ويكتسب هذا التحوّل أهميةً مضاعفةً في سياق سوق الإيجار العقاري، الذي يُعدّ من الأسواق التي تاريخيًا عانت من اختلالاتٍ معلوماتيةٍ بين أطرافها، ومن ضعفٍ في التوثيق، ومن طول دورة فضّ النزاعات. ومن هنا جاءت الحاجة إلى صياغةٍ أكثر شموليةً لمفهوم تعزيز الشفافية وحماية حقوق أطراف العلاقة الإيجارية، تستوعب الأبعاد المعلوماتية والتعاقدية والإجرائية والسلوكية معًا، وتُترجم إلى منظومةٍ متكاملةٍ يمكن قياسها وتقييمها</w:t>
      </w:r>
      <w:r w:rsidRPr="006A3D94">
        <w:rPr>
          <w:rFonts w:ascii="Simplified Arabic" w:eastAsia="Times New Roman" w:hAnsi="Simplified Arabic" w:cs="Simplified Arabic"/>
          <w:color w:val="000000" w:themeColor="text1"/>
          <w:kern w:val="0"/>
          <w:sz w:val="28"/>
          <w:szCs w:val="28"/>
          <w14:ligatures w14:val="none"/>
        </w:rPr>
        <w:t>.</w:t>
      </w:r>
    </w:p>
    <w:p w14:paraId="4DECDAA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ويتناول هذا المبحث المتغيّر التابع للدراسة من خلال تحرير مفهومه، وبيان أهميته العلمية والتطبيقية، واستجلاء أهدافه، ثم عرض أبعاده الأربعة المعتمدة في الدراسة الحالية، فإستراتيجيات تعزيزه، بأسلوبٍ يربط بين البناء النظري والسياق التطبيقي لمنصة إيجار في سوق الإيجار العقاري بمدينة الرياض</w:t>
      </w:r>
      <w:r w:rsidRPr="006A3D94">
        <w:rPr>
          <w:rFonts w:ascii="Simplified Arabic" w:eastAsia="Times New Roman" w:hAnsi="Simplified Arabic" w:cs="Simplified Arabic"/>
          <w:color w:val="000000" w:themeColor="text1"/>
          <w:kern w:val="0"/>
          <w:sz w:val="28"/>
          <w:szCs w:val="28"/>
          <w14:ligatures w14:val="none"/>
        </w:rPr>
        <w:t>.</w:t>
      </w:r>
    </w:p>
    <w:p w14:paraId="128D2385" w14:textId="238D8BDA"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465061"/>
      <w:r w:rsidRPr="006A3D94">
        <w:rPr>
          <w:rFonts w:ascii="Simplified Arabic" w:eastAsia="Times New Roman" w:hAnsi="Simplified Arabic" w:cs="Simplified Arabic" w:hint="cs"/>
          <w:b/>
          <w:bCs/>
          <w:color w:val="000000" w:themeColor="text1"/>
          <w:kern w:val="0"/>
          <w:sz w:val="32"/>
          <w:szCs w:val="32"/>
          <w:rtl/>
          <w14:ligatures w14:val="none"/>
        </w:rPr>
        <w:t xml:space="preserve">2.2.2 </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مفهوم تعزيز الشفافية وحماية حقوق أطراف العلاقة الإيجارية</w:t>
      </w:r>
      <w:bookmarkEnd w:id="42"/>
    </w:p>
    <w:p w14:paraId="4B98598B"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تنوّعت تعريفات الباحثين للشفافية بتنوّع مداخلهم المعرفية ومجالات اشتغالهم، وتراوحت بين تعريفاتٍ تُركّز على البُعد المعلوماتي بوصفه جوهر المفهوم، وأخرى تُوسّع نطاقه ليشمل البُعد الإجرائي والتنظيمي، وثالثةٍ تُؤطّره ضمن منظومة الحوكمة الأوسع</w:t>
      </w:r>
      <w:r w:rsidRPr="006A3D94">
        <w:rPr>
          <w:rFonts w:ascii="Simplified Arabic" w:eastAsia="Times New Roman" w:hAnsi="Simplified Arabic" w:cs="Simplified Arabic"/>
          <w:color w:val="000000" w:themeColor="text1"/>
          <w:kern w:val="0"/>
          <w:sz w:val="28"/>
          <w:szCs w:val="28"/>
          <w14:ligatures w14:val="none"/>
        </w:rPr>
        <w:t>.</w:t>
      </w:r>
    </w:p>
    <w:p w14:paraId="2EAFF42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ومن المداخل الإداريّة التقليدية، تُعرَّف الشفافية بأنها إتاحة المعلومات المتعلقة بالقرارات والإجراءات والممارسات الإدارية لأصحاب الشأن في وقتها المناسب وبشكلٍ يُتيح لهم فهمها واستيعابها واستخدامها (العمودي وزكي، 2021). ويُكمل هذا التصور ما تطرحه التيتي وسرحان (2021) من أنّ الشفافية تتجاوز كونها مجرّد إفصاحٍ عن المعلومات لتشمل وضوح القواعد والمعايير التي تحكم الأداء المؤسسي، بما يُتيح متابعته وتقييمه من قِبل الأطراف المعنية</w:t>
      </w:r>
      <w:r w:rsidRPr="006A3D94">
        <w:rPr>
          <w:rFonts w:ascii="Simplified Arabic" w:eastAsia="Times New Roman" w:hAnsi="Simplified Arabic" w:cs="Simplified Arabic"/>
          <w:color w:val="000000" w:themeColor="text1"/>
          <w:kern w:val="0"/>
          <w:sz w:val="28"/>
          <w:szCs w:val="28"/>
          <w14:ligatures w14:val="none"/>
        </w:rPr>
        <w:t>.</w:t>
      </w:r>
    </w:p>
    <w:p w14:paraId="2F35462B"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ومن المداخل الإستراتيجية، يُقدِّم كاظم والنجار (2020) تأطيرًا مختلفًا للمفهوم بوصفه قيمةً إستراتيجيةً تُؤسّس لقدرة المنظمة على بناء تكويناتها التنافسية في بيئاتٍ تتسم بعدم اليقين، حيث تُمثّل الشفافية الإستراتيجية مدخلًا لإعادة تشكيل علاقة المنظمة بمحيطها وفق منطقٍ أكثر انفتاحًا وموثوقية. ويتقاطع مع ذلك ما يطرحه خؤشناو وعلي (2023) من أنّ الشفافية الإستراتيجية تُمثّل ركيزةً لبناء الصحة التنظيمية، إذ تُسهم في خلق بيئةٍ مؤسسيةٍ قائمةٍ على الوضوح والمصداقية والقدرة على التكيّف</w:t>
      </w:r>
      <w:r w:rsidRPr="006A3D94">
        <w:rPr>
          <w:rFonts w:ascii="Simplified Arabic" w:eastAsia="Times New Roman" w:hAnsi="Simplified Arabic" w:cs="Simplified Arabic"/>
          <w:color w:val="000000" w:themeColor="text1"/>
          <w:kern w:val="0"/>
          <w:sz w:val="28"/>
          <w:szCs w:val="28"/>
          <w14:ligatures w14:val="none"/>
        </w:rPr>
        <w:t>.</w:t>
      </w:r>
    </w:p>
    <w:p w14:paraId="29D1B198"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ومن المداخل الحوكمية، يطرح العبار (2026) أنّ الشفافية الإدارية تُمثّل أحد الأركان الجوهرية للحوكمة الرشيدة، إذ تتضافر مع المساءلة وسيادة القانون والمشاركة في تشكيل منظومةٍ متكاملةٍ تضمن جودة الأداء المؤسسي. ويُكمل ذلك ما يُشير إليه الغامدي (2024) من أنّ شفافية الإدارة تتجلّى في وضوح السياسات والإجراءات وانفتاح القنوات بين الإدارة والعاملين، بما يُسهم في بناء بيئةٍ مؤسسيةٍ قائمةٍ على الثقة</w:t>
      </w:r>
      <w:r w:rsidRPr="006A3D94">
        <w:rPr>
          <w:rFonts w:ascii="Simplified Arabic" w:eastAsia="Times New Roman" w:hAnsi="Simplified Arabic" w:cs="Simplified Arabic"/>
          <w:color w:val="000000" w:themeColor="text1"/>
          <w:kern w:val="0"/>
          <w:sz w:val="28"/>
          <w:szCs w:val="28"/>
          <w14:ligatures w14:val="none"/>
        </w:rPr>
        <w:t>.</w:t>
      </w:r>
    </w:p>
    <w:p w14:paraId="6C96E31E"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ومن المداخل التقنية والرقمية، يُعرِّف</w:t>
      </w:r>
      <w:r w:rsidRPr="006A3D94">
        <w:rPr>
          <w:rFonts w:ascii="Simplified Arabic" w:eastAsia="Times New Roman" w:hAnsi="Simplified Arabic" w:cs="Simplified Arabic"/>
          <w:color w:val="000000" w:themeColor="text1"/>
          <w:kern w:val="0"/>
          <w:sz w:val="28"/>
          <w:szCs w:val="28"/>
          <w14:ligatures w14:val="none"/>
        </w:rPr>
        <w:t xml:space="preserve"> Prifti </w:t>
      </w:r>
      <w:r w:rsidRPr="006A3D94">
        <w:rPr>
          <w:rFonts w:ascii="Simplified Arabic" w:eastAsia="Times New Roman" w:hAnsi="Simplified Arabic" w:cs="Simplified Arabic"/>
          <w:color w:val="000000" w:themeColor="text1"/>
          <w:kern w:val="0"/>
          <w:sz w:val="28"/>
          <w:szCs w:val="28"/>
          <w:rtl/>
          <w14:ligatures w14:val="none"/>
        </w:rPr>
        <w:t>وآخرون (2023) الشفافية في الفضاء الرقمي بأنها بنيةٌ منظوميةٌ تتجاوز العلاقة الثنائية التقليدية بين مُقدِّم الخدمة والمستخدم نحو علاقةٍ بيئيةٍ تشمل مختلف الفاعلين في المنظومة الرقمية، بما يستوجب إعادة صياغة مفهوم الإفصاح ليُلائم هذا السياق الجديد. ويتقاطع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Steils </w:t>
      </w:r>
      <w:r w:rsidRPr="006A3D94">
        <w:rPr>
          <w:rFonts w:ascii="Simplified Arabic" w:eastAsia="Times New Roman" w:hAnsi="Simplified Arabic" w:cs="Simplified Arabic"/>
          <w:color w:val="000000" w:themeColor="text1"/>
          <w:kern w:val="0"/>
          <w:sz w:val="28"/>
          <w:szCs w:val="28"/>
          <w:rtl/>
          <w14:ligatures w14:val="none"/>
        </w:rPr>
        <w:t>وآخرون (2022) من أنّ الشفافية في البيئات الرقمية تنطوي على مفارقةٍ بنيويةٍ تستلزم معالجةً إداريةً واعيةً، حيث يتطلّب تحقيقها هندسةً دقيقةً للإفصاح بحيث يكون كافيًا دون أن يفقد المتلقّي القدرة على معالجته. ويُؤكّد</w:t>
      </w:r>
      <w:r w:rsidRPr="006A3D94">
        <w:rPr>
          <w:rFonts w:ascii="Simplified Arabic" w:eastAsia="Times New Roman" w:hAnsi="Simplified Arabic" w:cs="Simplified Arabic"/>
          <w:color w:val="000000" w:themeColor="text1"/>
          <w:kern w:val="0"/>
          <w:sz w:val="28"/>
          <w:szCs w:val="28"/>
          <w14:ligatures w14:val="none"/>
        </w:rPr>
        <w:t xml:space="preserve"> Rosin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Parviainen (2025) </w:t>
      </w:r>
      <w:r w:rsidRPr="006A3D94">
        <w:rPr>
          <w:rFonts w:ascii="Simplified Arabic" w:eastAsia="Times New Roman" w:hAnsi="Simplified Arabic" w:cs="Simplified Arabic"/>
          <w:color w:val="000000" w:themeColor="text1"/>
          <w:kern w:val="0"/>
          <w:sz w:val="28"/>
          <w:szCs w:val="28"/>
          <w:rtl/>
          <w14:ligatures w14:val="none"/>
        </w:rPr>
        <w:t>أنّ مفهوم الشفافية في سياق المنصات الرقمية يكتسب بُعدًا خاصًا يتعلّق بالكشف عن الخوارزميات والقواعد الآلية التي تُدير العلاقات بين الأطراف، بما يفتح بابًا جديدًا لإعادة تعريف الإفصاح في الفضاء الرقمي</w:t>
      </w:r>
      <w:r w:rsidRPr="006A3D94">
        <w:rPr>
          <w:rFonts w:ascii="Simplified Arabic" w:eastAsia="Times New Roman" w:hAnsi="Simplified Arabic" w:cs="Simplified Arabic"/>
          <w:color w:val="000000" w:themeColor="text1"/>
          <w:kern w:val="0"/>
          <w:sz w:val="28"/>
          <w:szCs w:val="28"/>
          <w14:ligatures w14:val="none"/>
        </w:rPr>
        <w:t>.</w:t>
      </w:r>
    </w:p>
    <w:p w14:paraId="7393DA0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ومن مداخل حماية الحقوق التعاقدية، يُقدِّم</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تأطيرًا للشفافية في سوق الإيجار العقاري بوصفها مكوّنًا جوهريًا في بناء سوقٍ موثوقٍ يقوم على بنيةٍ رقميةٍ تضمن حقوق الأطراف وتُتيح التحقّق من الالتزامات. وفي المقاربة ذاتها، يُؤكّد</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أنّ تعزيز الشفافية في العقود الإيجارية يستلزم بنيةً تقنيةً تُتيح توثيق الالتزامات وإدارة النزاعات بشكلٍ لامركزيٍّ يضمن عدالة المعالجة. ويُكمل</w:t>
      </w:r>
      <w:r w:rsidRPr="006A3D94">
        <w:rPr>
          <w:rFonts w:ascii="Simplified Arabic" w:eastAsia="Times New Roman" w:hAnsi="Simplified Arabic" w:cs="Simplified Arabic"/>
          <w:color w:val="000000" w:themeColor="text1"/>
          <w:kern w:val="0"/>
          <w:sz w:val="28"/>
          <w:szCs w:val="28"/>
          <w14:ligatures w14:val="none"/>
        </w:rPr>
        <w:t xml:space="preserve"> Christidis </w:t>
      </w:r>
      <w:r w:rsidRPr="006A3D94">
        <w:rPr>
          <w:rFonts w:ascii="Simplified Arabic" w:eastAsia="Times New Roman" w:hAnsi="Simplified Arabic" w:cs="Simplified Arabic"/>
          <w:color w:val="000000" w:themeColor="text1"/>
          <w:kern w:val="0"/>
          <w:sz w:val="28"/>
          <w:szCs w:val="28"/>
          <w:rtl/>
          <w14:ligatures w14:val="none"/>
        </w:rPr>
        <w:t>وآخرون</w:t>
      </w:r>
      <w:r w:rsidRPr="006A3D94">
        <w:rPr>
          <w:rFonts w:ascii="Simplified Arabic" w:eastAsia="Times New Roman" w:hAnsi="Simplified Arabic" w:cs="Simplified Arabic"/>
          <w:color w:val="000000" w:themeColor="text1"/>
          <w:kern w:val="0"/>
          <w:sz w:val="28"/>
          <w:szCs w:val="28"/>
          <w14:ligatures w14:val="none"/>
        </w:rPr>
        <w:t xml:space="preserve"> (n.d.) </w:t>
      </w:r>
      <w:r w:rsidRPr="006A3D94">
        <w:rPr>
          <w:rFonts w:ascii="Simplified Arabic" w:eastAsia="Times New Roman" w:hAnsi="Simplified Arabic" w:cs="Simplified Arabic"/>
          <w:color w:val="000000" w:themeColor="text1"/>
          <w:kern w:val="0"/>
          <w:sz w:val="28"/>
          <w:szCs w:val="28"/>
          <w:rtl/>
          <w14:ligatures w14:val="none"/>
        </w:rPr>
        <w:t>ذلك بأنّ منصات الحماية القائمة على تقنياتٍ موزّعةٍ تُمثّل نقلةً نوعيةً في تعزيز شفافية الالتزامات وضمان حقوق الأطراف الأضعف في العلاقات التعاقدية</w:t>
      </w:r>
      <w:r w:rsidRPr="006A3D94">
        <w:rPr>
          <w:rFonts w:ascii="Simplified Arabic" w:eastAsia="Times New Roman" w:hAnsi="Simplified Arabic" w:cs="Simplified Arabic"/>
          <w:color w:val="000000" w:themeColor="text1"/>
          <w:kern w:val="0"/>
          <w:sz w:val="28"/>
          <w:szCs w:val="28"/>
          <w14:ligatures w14:val="none"/>
        </w:rPr>
        <w:t>.</w:t>
      </w:r>
    </w:p>
    <w:p w14:paraId="0A1F259E"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ويُلاحظ من استعراض هذه التعريفات أنّ مفهوم الشفافية قد تطوّر عبر مراحلَ متتاليةٍ، من كونه مفهومًا إداريًا تقليديًا يُعنى بالإفصاح، إلى مفهومٍ إستراتيجيٍّ يرتبط ببناء التنافسية، إلى مفهومٍ حوكميٍّ يتكامل مع منظومة المساءلة، وصولًا إلى مفهومٍ تقنيٍّ رقميٍّ يتمحور حول هندسة الإفصاح في المنصات الرقمية. وتتباين هذه المداخل في درجة شموليتها، غير أنّها تتقاطع في الإقرار بأنّ الشفافية ليست مجرّد إجراءٍ تقنيٍّ بل قيمةٌ تنظيميةٌ ذات أبعادٍ متعدّدة</w:t>
      </w:r>
      <w:r w:rsidRPr="006A3D94">
        <w:rPr>
          <w:rFonts w:ascii="Simplified Arabic" w:eastAsia="Times New Roman" w:hAnsi="Simplified Arabic" w:cs="Simplified Arabic"/>
          <w:color w:val="000000" w:themeColor="text1"/>
          <w:kern w:val="0"/>
          <w:sz w:val="28"/>
          <w:szCs w:val="28"/>
          <w14:ligatures w14:val="none"/>
        </w:rPr>
        <w:t>.</w:t>
      </w:r>
    </w:p>
    <w:p w14:paraId="67F2DC5D"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ويرى الباحث أنّ مفهوم تعزيز الشفافية وحماية حقوق أطراف العلاقة الإيجارية في سياق الدراسة الراهنة يمكن تعريفه إجرائيًا بأنه منظومةٌ متكاملةٌ من الممارسات والإجراءات والآليات الرقمية التي تُتيح إفصاحًا منهجيًا عن المعلومات المتعلقة بالعقارات والعقود والأطراف، وتضمن توثيق الالتزامات التعاقدية بصورةٍ موثوقةٍ، وتوفّر قنواتٍ مُهيكَلةً لمعالجة النزاعات، وترصد السلوك التعاقدي لأطراف العلاقة الإيجارية ضمن مؤشراتٍ قابلةٍ للقياس، بما يُحقّق التوازن في العلاقة بين المُؤجِّر والمستأجر ويُعزّز الثقة في السوق العقاري الإيجاري</w:t>
      </w:r>
      <w:r w:rsidRPr="006A3D94">
        <w:rPr>
          <w:rFonts w:ascii="Simplified Arabic" w:eastAsia="Times New Roman" w:hAnsi="Simplified Arabic" w:cs="Simplified Arabic"/>
          <w:color w:val="000000" w:themeColor="text1"/>
          <w:kern w:val="0"/>
          <w:sz w:val="28"/>
          <w:szCs w:val="28"/>
          <w14:ligatures w14:val="none"/>
        </w:rPr>
        <w:t>.</w:t>
      </w:r>
    </w:p>
    <w:p w14:paraId="6AFCBDF0" w14:textId="096ED94D"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465062"/>
      <w:r w:rsidRPr="006A3D94">
        <w:rPr>
          <w:rFonts w:ascii="Simplified Arabic" w:eastAsia="Times New Roman" w:hAnsi="Simplified Arabic" w:cs="Simplified Arabic" w:hint="cs"/>
          <w:b/>
          <w:bCs/>
          <w:color w:val="000000" w:themeColor="text1"/>
          <w:kern w:val="0"/>
          <w:sz w:val="32"/>
          <w:szCs w:val="32"/>
          <w:rtl/>
          <w14:ligatures w14:val="none"/>
        </w:rPr>
        <w:t xml:space="preserve">3.2.2 </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أهمية تعزيز الشفافية وحماية حقوق أطراف العلاقة الإيجارية</w:t>
      </w:r>
      <w:bookmarkEnd w:id="43"/>
    </w:p>
    <w:p w14:paraId="7D0F9E7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تنبع أهمية تعزيز الشفافية وحماية حقوق أطراف العلاقة الإيجارية من كون الشفافية باتت تُمثّل في الفكر الإداري المعاصر قيمةً مركزيةً تتقاطع مع منظوماتٍ متعدّدةٍ كالحوكمة الرشيدة والثقة المؤسسية والاستدامة. وقد تنامى الاهتمام الأكاديمي والمؤسسي بهذا المفهوم في ظلّ التحوّلات التي شهدتها الأسواق والمنظمات، حيث لم يَعُد ممكنًا الفصل بين كفاءة الأداء التنظيمي ومستوى الإفصاح والوضوح في ممارساته. ويكتسب هذا الاهتمام أهميةً مضاعفةً في الأسواق التي تتسم باختلالاتٍ معلوماتيةٍ بين أطرافها، كسوق الإيجار العقاري، حيث تُمثّل الشفافية أداةً جوهريةً لإعادة التوازن وضمان الحقوق</w:t>
      </w:r>
      <w:r w:rsidRPr="006A3D94">
        <w:rPr>
          <w:rFonts w:ascii="Simplified Arabic" w:eastAsia="Times New Roman" w:hAnsi="Simplified Arabic" w:cs="Simplified Arabic"/>
          <w:color w:val="000000" w:themeColor="text1"/>
          <w:kern w:val="0"/>
          <w:sz w:val="28"/>
          <w:szCs w:val="28"/>
          <w14:ligatures w14:val="none"/>
        </w:rPr>
        <w:t>.</w:t>
      </w:r>
    </w:p>
    <w:p w14:paraId="5B3E317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ويُشير العبار (2026) إلى أنّ أهمية الشفافية الإدارية تتجلّى في جملةٍ من الاعتبارات، يمكن إجمالها على النحو الآتي: أولها أنّها تُمثّل أحد الأركان الجوهرية للحوكمة الرشيدة، إذ لا يُمكن الحديث عن حوكمةٍ فعّالةٍ في غياب آلياتٍ واضحةٍ للإفصاح والمساءلة؛ وثانيها أنّها تُسهم في بناء الثقة بين المؤسسة والمتعاملين معها من خلال ما تُتيحه من وضوحٍ في القرارات والإجراءات؛ وثالثها أنّها تُعزّز قدرة المؤسسات على مكافحة الممارسات السلبية كالفساد والمحاباة، بما يرفع من مستوى النزاهة في الأداء المؤسسي؛ ورابعها أنّها تُسهم في تحسين جودة القرارات الإدارية من خلال ما تُتيحه من تدفّقٍ معلوماتيٍّ منتظمٍ بين المستويات التنظيمية المختلفة</w:t>
      </w:r>
      <w:r w:rsidRPr="006A3D94">
        <w:rPr>
          <w:rFonts w:ascii="Simplified Arabic" w:eastAsia="Times New Roman" w:hAnsi="Simplified Arabic" w:cs="Simplified Arabic"/>
          <w:color w:val="000000" w:themeColor="text1"/>
          <w:kern w:val="0"/>
          <w:sz w:val="28"/>
          <w:szCs w:val="28"/>
          <w14:ligatures w14:val="none"/>
        </w:rPr>
        <w:t>.</w:t>
      </w:r>
    </w:p>
    <w:p w14:paraId="7BFB6E2D"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ويرى العمودي وزكي (2021) أنّ أهمية شفافية الإدارة تتعدّى البُعد التشغيلي إلى البُعد السلوكي، إذ تنعكس على سلوك العاملين والمتعاملين مع المؤسسة، وتُسهم في بناء بيئةٍ مؤسسيةٍ قائمةٍ على الانتماء والمواطنة التنظيمية. كما تُمثّل الشفافية ركيزةً لتوطيد العلاقة بين القيادة الإدارية والعاملين، إذ تُتيح فهمًا مشتركًا للأهداف والإستراتيجيات، وتُعزّز شعور العاملين بأنّهم جزءٌ من منظومةٍ يُحترم فيها حقّهم في المعرفة</w:t>
      </w:r>
      <w:r w:rsidRPr="006A3D94">
        <w:rPr>
          <w:rFonts w:ascii="Simplified Arabic" w:eastAsia="Times New Roman" w:hAnsi="Simplified Arabic" w:cs="Simplified Arabic"/>
          <w:color w:val="000000" w:themeColor="text1"/>
          <w:kern w:val="0"/>
          <w:sz w:val="28"/>
          <w:szCs w:val="28"/>
          <w14:ligatures w14:val="none"/>
        </w:rPr>
        <w:t>.</w:t>
      </w:r>
    </w:p>
    <w:p w14:paraId="77BEA20A"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ويُضيف خؤشناو وعلي (2023) أنّ أهمية الشفافية الإستراتيجية تتمثّل في كونها مدخلًا لبناء الصحة التنظيمية، حيث تُسهم في خلق بيئةٍ مؤسسيةٍ تتسم بالوضوح والمرونة والقدرة على التكيّف مع المتغيّرات. كما تُعزّز الشفافية الإستراتيجية قدرة المنظمة على بناء الثقة الداخلية بين مستوياتها التنظيمية، وقدرتها على الانفتاح على محيطها الخارجي بثقةٍ ومسؤولية</w:t>
      </w:r>
      <w:r w:rsidRPr="006A3D94">
        <w:rPr>
          <w:rFonts w:ascii="Simplified Arabic" w:eastAsia="Times New Roman" w:hAnsi="Simplified Arabic" w:cs="Simplified Arabic"/>
          <w:color w:val="000000" w:themeColor="text1"/>
          <w:kern w:val="0"/>
          <w:sz w:val="28"/>
          <w:szCs w:val="28"/>
          <w14:ligatures w14:val="none"/>
        </w:rPr>
        <w:t>.</w:t>
      </w:r>
    </w:p>
    <w:p w14:paraId="675B56D6"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ويذهب كاظم والنجار (2020) إلى أنّ الشفافية تكتسب أهميةً إستراتيجيةً في بناء التكوينات التنافسية للمنظمات، إذ تُمثّل أحد المداخل التي تُتيح للمنظمة تمييز نفسها في بيئةٍ تتسم بالتنافسية، وتُعزّز قدرتها على بناء سمعةٍ مؤسسيةٍ تُسهم في استقطاب أصحاب المصلحة وكسب ثقتهم. وتنطوي هذه الأهمية على بُعدٍ تنافسيٍّ يتمثّل في كون الشفافية باتت أحد محدّدات الجدارة المؤسسية في الأسواق المعاصرة</w:t>
      </w:r>
      <w:r w:rsidRPr="006A3D94">
        <w:rPr>
          <w:rFonts w:ascii="Simplified Arabic" w:eastAsia="Times New Roman" w:hAnsi="Simplified Arabic" w:cs="Simplified Arabic"/>
          <w:color w:val="000000" w:themeColor="text1"/>
          <w:kern w:val="0"/>
          <w:sz w:val="28"/>
          <w:szCs w:val="28"/>
          <w14:ligatures w14:val="none"/>
        </w:rPr>
        <w:t>.</w:t>
      </w:r>
    </w:p>
    <w:p w14:paraId="361F3DAA"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ويُؤكّد عمر (2024) أنّ توظيف تكنولوجيا المعلومات في تعزيز الشفافية الإدارية يُسهم في رفع كفاءة الأداء المؤسسي، إذ تُتيح التقنيات الحديثة بنيةً موضوعيةً للإفصاح تتجاوز محدوديات الإفصاح التقليدي القائم على الإجراءات اليدوية. وتكتسب هذه الأهمية بُعدًا متناميًا في المرحلة الراهنة، حيث باتت التقنية أداةً جوهريةً لإعادة هندسة منظومة الشفافية في المؤسسات</w:t>
      </w:r>
      <w:r w:rsidRPr="006A3D94">
        <w:rPr>
          <w:rFonts w:ascii="Simplified Arabic" w:eastAsia="Times New Roman" w:hAnsi="Simplified Arabic" w:cs="Simplified Arabic"/>
          <w:color w:val="000000" w:themeColor="text1"/>
          <w:kern w:val="0"/>
          <w:sz w:val="28"/>
          <w:szCs w:val="28"/>
          <w14:ligatures w14:val="none"/>
        </w:rPr>
        <w:t>.</w:t>
      </w:r>
    </w:p>
    <w:p w14:paraId="678D682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ويرى الغامدي (2024) أنّ أهمية الشفافية تتجلّى في انعكاساتها السلوكية على المنتسبين إلى المؤسسة، حيث تُسهم في بناء الولاء التنظيمي وتعزيز الارتباط النفسي بالمؤسسة. وتُمثّل هذه الانعكاسات السلوكية أحد أبرز المخرجات غير المباشرة لتعزيز الشفافية، بما يجعلها استثمارًا مؤسسيًا متعدّد العائد</w:t>
      </w:r>
      <w:r w:rsidRPr="006A3D94">
        <w:rPr>
          <w:rFonts w:ascii="Simplified Arabic" w:eastAsia="Times New Roman" w:hAnsi="Simplified Arabic" w:cs="Simplified Arabic"/>
          <w:color w:val="000000" w:themeColor="text1"/>
          <w:kern w:val="0"/>
          <w:sz w:val="28"/>
          <w:szCs w:val="28"/>
          <w14:ligatures w14:val="none"/>
        </w:rPr>
        <w:t>.</w:t>
      </w:r>
    </w:p>
    <w:p w14:paraId="36E10E9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ومن منظورٍ تقنيٍّ ورقميٍّ، يطرح</w:t>
      </w:r>
      <w:r w:rsidRPr="006A3D94">
        <w:rPr>
          <w:rFonts w:ascii="Simplified Arabic" w:eastAsia="Times New Roman" w:hAnsi="Simplified Arabic" w:cs="Simplified Arabic"/>
          <w:color w:val="000000" w:themeColor="text1"/>
          <w:kern w:val="0"/>
          <w:sz w:val="28"/>
          <w:szCs w:val="28"/>
          <w14:ligatures w14:val="none"/>
        </w:rPr>
        <w:t xml:space="preserve"> Uche-Soria </w:t>
      </w:r>
      <w:r w:rsidRPr="006A3D94">
        <w:rPr>
          <w:rFonts w:ascii="Simplified Arabic" w:eastAsia="Times New Roman" w:hAnsi="Simplified Arabic" w:cs="Simplified Arabic"/>
          <w:color w:val="000000" w:themeColor="text1"/>
          <w:kern w:val="0"/>
          <w:sz w:val="28"/>
          <w:szCs w:val="28"/>
          <w:rtl/>
          <w14:ligatures w14:val="none"/>
        </w:rPr>
        <w:t>وآخرون (2025) أنّ أهمية الشفافية في الأسواق الرقمية تتجلّى في كونها مدخلًا لإعادة تعريف الثقة بين الأطراف، حيث تُتيح التقنيات الحديثة بنيةً موثوقةً للإفصاح والتحقّق تُسهم في إعادة هندسة منظومة المعاملات. ويتقاطع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Christidis </w:t>
      </w:r>
      <w:r w:rsidRPr="006A3D94">
        <w:rPr>
          <w:rFonts w:ascii="Simplified Arabic" w:eastAsia="Times New Roman" w:hAnsi="Simplified Arabic" w:cs="Simplified Arabic"/>
          <w:color w:val="000000" w:themeColor="text1"/>
          <w:kern w:val="0"/>
          <w:sz w:val="28"/>
          <w:szCs w:val="28"/>
          <w:rtl/>
          <w14:ligatures w14:val="none"/>
        </w:rPr>
        <w:t>وآخرون</w:t>
      </w:r>
      <w:r w:rsidRPr="006A3D94">
        <w:rPr>
          <w:rFonts w:ascii="Simplified Arabic" w:eastAsia="Times New Roman" w:hAnsi="Simplified Arabic" w:cs="Simplified Arabic"/>
          <w:color w:val="000000" w:themeColor="text1"/>
          <w:kern w:val="0"/>
          <w:sz w:val="28"/>
          <w:szCs w:val="28"/>
          <w14:ligatures w14:val="none"/>
        </w:rPr>
        <w:t xml:space="preserve"> (n.d.) </w:t>
      </w:r>
      <w:r w:rsidRPr="006A3D94">
        <w:rPr>
          <w:rFonts w:ascii="Simplified Arabic" w:eastAsia="Times New Roman" w:hAnsi="Simplified Arabic" w:cs="Simplified Arabic"/>
          <w:color w:val="000000" w:themeColor="text1"/>
          <w:kern w:val="0"/>
          <w:sz w:val="28"/>
          <w:szCs w:val="28"/>
          <w:rtl/>
          <w14:ligatures w14:val="none"/>
        </w:rPr>
        <w:t>من أنّ منصات الحماية القائمة على تقنياتٍ موزّعةٍ تُمثّل أداةً متقدّمةً لتعزيز شفافية الالتزامات وضمان الحقوق في العلاقات التي تتسم باختلالاتٍ في موازين القوة بين أطرافها</w:t>
      </w:r>
      <w:r w:rsidRPr="006A3D94">
        <w:rPr>
          <w:rFonts w:ascii="Simplified Arabic" w:eastAsia="Times New Roman" w:hAnsi="Simplified Arabic" w:cs="Simplified Arabic"/>
          <w:color w:val="000000" w:themeColor="text1"/>
          <w:kern w:val="0"/>
          <w:sz w:val="28"/>
          <w:szCs w:val="28"/>
          <w14:ligatures w14:val="none"/>
        </w:rPr>
        <w:t>.</w:t>
      </w:r>
    </w:p>
    <w:p w14:paraId="72F869D9"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وعلى المستوى التطبيقي في سوق الإيجار العقاري، تكتسب أهمية تعزيز الشفافية وحماية الحقوق طابعًا خاصًا، إذ يُمثّل هذا السوق أحد القطاعات التي تتسم بكثافة المعاملات وتعدّد الأطراف وتنوّع المخاطر التعاقدية. ومن هنا تُسهم منظومة الشفافية في تقليص النزاعات وتسريع معالجتها، وتوفير بيئةٍ تعاقديةٍ موثوقةٍ تُشجّع على الاستثمار في القطاع، فضلًا عن دعم قدرة الجهات التنظيمية على صناعة سياساتٍ مبنيةٍ على بياناتٍ موثوقةٍ تعكس واقع السوق</w:t>
      </w:r>
      <w:r w:rsidRPr="006A3D94">
        <w:rPr>
          <w:rFonts w:ascii="Simplified Arabic" w:eastAsia="Times New Roman" w:hAnsi="Simplified Arabic" w:cs="Simplified Arabic"/>
          <w:color w:val="000000" w:themeColor="text1"/>
          <w:kern w:val="0"/>
          <w:sz w:val="28"/>
          <w:szCs w:val="28"/>
          <w14:ligatures w14:val="none"/>
        </w:rPr>
        <w:t>.</w:t>
      </w:r>
    </w:p>
    <w:p w14:paraId="3F01AB3C" w14:textId="320F6D24"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465063"/>
      <w:r w:rsidRPr="006A3D94">
        <w:rPr>
          <w:rFonts w:ascii="Simplified Arabic" w:eastAsia="Times New Roman" w:hAnsi="Simplified Arabic" w:cs="Simplified Arabic" w:hint="cs"/>
          <w:b/>
          <w:bCs/>
          <w:color w:val="000000" w:themeColor="text1"/>
          <w:kern w:val="0"/>
          <w:sz w:val="32"/>
          <w:szCs w:val="32"/>
          <w:rtl/>
          <w14:ligatures w14:val="none"/>
        </w:rPr>
        <w:t>4.2.2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أهداف تعزيز الشفافية وحماية حقوق أطراف العلاقة الإيجارية</w:t>
      </w:r>
      <w:bookmarkEnd w:id="44"/>
    </w:p>
    <w:p w14:paraId="3E12EAF3"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يستهدف تعزيز الشفافية وحماية حقوق أطراف العلاقة الإيجارية جملةً من الغايات المترابطة التي تنطلق من تصوّرٍ شاملٍ لدور الشفافية في إعادة هندسة العلاقات التعاقدية والمؤسسية. وقد تنوّعت الأهداف التي طرحها الباحثون في هذا الشأن، ويمكن استعراض أبرزها على النحو الآتي</w:t>
      </w:r>
      <w:r w:rsidRPr="006A3D94">
        <w:rPr>
          <w:rFonts w:ascii="Simplified Arabic" w:eastAsia="Times New Roman" w:hAnsi="Simplified Arabic" w:cs="Simplified Arabic"/>
          <w:color w:val="000000" w:themeColor="text1"/>
          <w:kern w:val="0"/>
          <w:sz w:val="28"/>
          <w:szCs w:val="28"/>
          <w14:ligatures w14:val="none"/>
        </w:rPr>
        <w:t>:</w:t>
      </w:r>
    </w:p>
    <w:p w14:paraId="76CC310F"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الهدف الأول: تعزيز الحوكمة الرشيدة وترسيخ المساءلة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 العبار (2026) أنّ تعزيز الشفافية يستهدف بصورةٍ أساسيةٍ ترسيخ منظومة الحوكمة الرشيدة في المؤسسات، عبر بناء بنيةٍ من الإفصاح والمساءلة تضمن انضباط الأداء وفق المعايير المعتمدة. ويُكمل ذلك ما يطرحه العمودي وزكي (2021) من أنّ الشفافية تستهدف تجاوز نمط الإدارة المغلق نحو نمطٍ منفتحٍ يُتيح للأطراف ذات العلاقة متابعة الأداء وتقييمه</w:t>
      </w:r>
      <w:r w:rsidRPr="006A3D94">
        <w:rPr>
          <w:rFonts w:ascii="Simplified Arabic" w:eastAsia="Times New Roman" w:hAnsi="Simplified Arabic" w:cs="Simplified Arabic"/>
          <w:color w:val="000000" w:themeColor="text1"/>
          <w:kern w:val="0"/>
          <w:sz w:val="28"/>
          <w:szCs w:val="28"/>
          <w14:ligatures w14:val="none"/>
        </w:rPr>
        <w:t>.</w:t>
      </w:r>
    </w:p>
    <w:p w14:paraId="128302EA"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الهدف الثاني: بناء الثقة بين الأطراف وتقليص فجوة المعلومات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 التيتي وسرحان (2021) إلى أنّ تعزيز الشفافية يستهدف بناء جسرٍ من الثقة بين المؤسسات وجمهورها، عبر تقليص الفجوة المعلوماتية التي قد تُولّد سوء الفهم أو الشكّ في الممارسات المؤسسية. ويتقاطع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Prifti </w:t>
      </w:r>
      <w:r w:rsidRPr="006A3D94">
        <w:rPr>
          <w:rFonts w:ascii="Simplified Arabic" w:eastAsia="Times New Roman" w:hAnsi="Simplified Arabic" w:cs="Simplified Arabic"/>
          <w:color w:val="000000" w:themeColor="text1"/>
          <w:kern w:val="0"/>
          <w:sz w:val="28"/>
          <w:szCs w:val="28"/>
          <w:rtl/>
          <w14:ligatures w14:val="none"/>
        </w:rPr>
        <w:t>وآخرون (2023) من أنّ الشفافية تستهدف إعادة بناء منظومة الثقة في الفضاء الرقمي عبر هندسةٍ منهجيةٍ للإفصاح تُلائم طبيعة هذا الفضاء</w:t>
      </w:r>
      <w:r w:rsidRPr="006A3D94">
        <w:rPr>
          <w:rFonts w:ascii="Simplified Arabic" w:eastAsia="Times New Roman" w:hAnsi="Simplified Arabic" w:cs="Simplified Arabic"/>
          <w:color w:val="000000" w:themeColor="text1"/>
          <w:kern w:val="0"/>
          <w:sz w:val="28"/>
          <w:szCs w:val="28"/>
          <w14:ligatures w14:val="none"/>
        </w:rPr>
        <w:t>.</w:t>
      </w:r>
    </w:p>
    <w:p w14:paraId="4713853A"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الهدف الثالث: تحقيق التوازن في العلاقات التعاقدية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Rosin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Parviainen (2025) </w:t>
      </w:r>
      <w:r w:rsidRPr="006A3D94">
        <w:rPr>
          <w:rFonts w:ascii="Simplified Arabic" w:eastAsia="Times New Roman" w:hAnsi="Simplified Arabic" w:cs="Simplified Arabic"/>
          <w:color w:val="000000" w:themeColor="text1"/>
          <w:kern w:val="0"/>
          <w:sz w:val="28"/>
          <w:szCs w:val="28"/>
          <w:rtl/>
          <w14:ligatures w14:val="none"/>
        </w:rPr>
        <w:t>أنّ الشفافية في المنصات الرقمية تستهدف إعادة التوازن في العلاقات التي تتسم بعدم التماثل في القوة بين أطرافها، عبر إخضاع الخوارزميات والقواعد الآلية للإفصاح والمساءلة. ويُكمل ذلك ما يُؤكّده</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من أنّ منظومات التوثيق الرقمي في سوق الإيجار العقاري تستهدف بناء توازنٍ تعاقديٍّ يحفظ حقوق الأطراف ويمنع استغلال أحدهما للآخر</w:t>
      </w:r>
      <w:r w:rsidRPr="006A3D94">
        <w:rPr>
          <w:rFonts w:ascii="Simplified Arabic" w:eastAsia="Times New Roman" w:hAnsi="Simplified Arabic" w:cs="Simplified Arabic"/>
          <w:color w:val="000000" w:themeColor="text1"/>
          <w:kern w:val="0"/>
          <w:sz w:val="28"/>
          <w:szCs w:val="28"/>
          <w14:ligatures w14:val="none"/>
        </w:rPr>
        <w:t>.</w:t>
      </w:r>
    </w:p>
    <w:p w14:paraId="52EAE11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الهدف الرابع: توفير بنية حماية الحقوق وفضّ النزاعات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إلى أنّ منظومات الشفافية في الأسواق الإيجارية تستهدف توفير بنيةٍ مُهيكَلةٍ لحماية الحقوق وفضّ النزاعات بصورةٍ تتسم بالكفاءة والعدالة، بحيث يُتاح للأطراف اللجوء إلى آلياتٍ موثوقةٍ لمعالجة الخلافات. ويتقاطع ذلك مع ما يطرحه</w:t>
      </w:r>
      <w:r w:rsidRPr="006A3D94">
        <w:rPr>
          <w:rFonts w:ascii="Simplified Arabic" w:eastAsia="Times New Roman" w:hAnsi="Simplified Arabic" w:cs="Simplified Arabic"/>
          <w:color w:val="000000" w:themeColor="text1"/>
          <w:kern w:val="0"/>
          <w:sz w:val="28"/>
          <w:szCs w:val="28"/>
          <w14:ligatures w14:val="none"/>
        </w:rPr>
        <w:t xml:space="preserve"> Ulfbeck </w:t>
      </w:r>
      <w:r w:rsidRPr="006A3D94">
        <w:rPr>
          <w:rFonts w:ascii="Simplified Arabic" w:eastAsia="Times New Roman" w:hAnsi="Simplified Arabic" w:cs="Simplified Arabic"/>
          <w:color w:val="000000" w:themeColor="text1"/>
          <w:kern w:val="0"/>
          <w:sz w:val="28"/>
          <w:szCs w:val="28"/>
          <w:rtl/>
          <w14:ligatures w14:val="none"/>
        </w:rPr>
        <w:t>وآخرون</w:t>
      </w:r>
      <w:r w:rsidRPr="006A3D94">
        <w:rPr>
          <w:rFonts w:ascii="Simplified Arabic" w:eastAsia="Times New Roman" w:hAnsi="Simplified Arabic" w:cs="Simplified Arabic"/>
          <w:color w:val="000000" w:themeColor="text1"/>
          <w:kern w:val="0"/>
          <w:sz w:val="28"/>
          <w:szCs w:val="28"/>
          <w14:ligatures w14:val="none"/>
        </w:rPr>
        <w:t xml:space="preserve"> (n.d.) </w:t>
      </w:r>
      <w:r w:rsidRPr="006A3D94">
        <w:rPr>
          <w:rFonts w:ascii="Simplified Arabic" w:eastAsia="Times New Roman" w:hAnsi="Simplified Arabic" w:cs="Simplified Arabic"/>
          <w:color w:val="000000" w:themeColor="text1"/>
          <w:kern w:val="0"/>
          <w:sz w:val="28"/>
          <w:szCs w:val="28"/>
          <w:rtl/>
          <w14:ligatures w14:val="none"/>
        </w:rPr>
        <w:t>من أنّ المنصات تستهدف توفير منظومةٍ خاصةٍ للحوكمة تُكمّل عمل المنظومات العامة في حماية الحقوق</w:t>
      </w:r>
      <w:r w:rsidRPr="006A3D94">
        <w:rPr>
          <w:rFonts w:ascii="Simplified Arabic" w:eastAsia="Times New Roman" w:hAnsi="Simplified Arabic" w:cs="Simplified Arabic"/>
          <w:color w:val="000000" w:themeColor="text1"/>
          <w:kern w:val="0"/>
          <w:sz w:val="28"/>
          <w:szCs w:val="28"/>
          <w14:ligatures w14:val="none"/>
        </w:rPr>
        <w:t>.</w:t>
      </w:r>
    </w:p>
    <w:p w14:paraId="17C9A26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الهدف الخامس: تطوير القدرة المؤسسية على صنع القرار</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 راشد والجمل (2022) إلى أنّ التحوّل الرقمي وما يصاحبه من تعزيزٍ للشفافية يستهدف رفع قدرة المؤسسات على صنع القرار وفق بياناتٍ موثوقةٍ ومُحدَّثة، بما يُعزّز رشد القرارات وموضوعيتها. ويُكمل ذلك ما يطرحه بخاوة وطيبي (2023) من أنّ تعزيز شفافية الإفصاح في سلاسل المعاملات يستهدف توفير منظومة بياناتٍ موثوقةٍ تُسهم في تطوير القدرة الإستراتيجية للمنظمات</w:t>
      </w:r>
      <w:r w:rsidRPr="006A3D94">
        <w:rPr>
          <w:rFonts w:ascii="Simplified Arabic" w:eastAsia="Times New Roman" w:hAnsi="Simplified Arabic" w:cs="Simplified Arabic"/>
          <w:color w:val="000000" w:themeColor="text1"/>
          <w:kern w:val="0"/>
          <w:sz w:val="28"/>
          <w:szCs w:val="28"/>
          <w14:ligatures w14:val="none"/>
        </w:rPr>
        <w:t>.</w:t>
      </w:r>
    </w:p>
    <w:p w14:paraId="2D67C646"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الهدف السادس: ترسيخ السلوك المؤسسي القائم على النزاهة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يُؤكّد الغامدي (2024) أنّ تعزيز الشفافية يستهدف بناء ثقافةٍ مؤسسيةٍ قائمةٍ على النزاهة والمسؤولية، تنعكس على سلوك المنتسبين إلى المؤسسة وعلاقتهم بمحيطها. ويتلاقى مع ذلك ما يُشير إليه خؤشناو وعلي (2023) من أنّ الشفافية الإستراتيجية تستهدف بناء صحةٍ تنظيميةٍ قائمةٍ على الوضوح والمصداقية</w:t>
      </w:r>
      <w:r w:rsidRPr="006A3D94">
        <w:rPr>
          <w:rFonts w:ascii="Simplified Arabic" w:eastAsia="Times New Roman" w:hAnsi="Simplified Arabic" w:cs="Simplified Arabic"/>
          <w:color w:val="000000" w:themeColor="text1"/>
          <w:kern w:val="0"/>
          <w:sz w:val="28"/>
          <w:szCs w:val="28"/>
          <w14:ligatures w14:val="none"/>
        </w:rPr>
        <w:t>.</w:t>
      </w:r>
    </w:p>
    <w:p w14:paraId="012E2D25"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الهدف السابع: دعم القدرة التنافسية وبناء السمعة المؤسسية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 كاظم والنجار (2020) أنّ تعزيز الشفافية يستهدف بناء تكويناتٍ تنافسيةٍ تُميّز المنظمة في بيئة أعمالها، عبر استثمار الشفافية بوصفها رصيدًا سمعيًا يُسهم في كسب ثقة أصحاب المصلحة وتعزيز موقعها التنافسي</w:t>
      </w:r>
      <w:r w:rsidRPr="006A3D94">
        <w:rPr>
          <w:rFonts w:ascii="Simplified Arabic" w:eastAsia="Times New Roman" w:hAnsi="Simplified Arabic" w:cs="Simplified Arabic"/>
          <w:color w:val="000000" w:themeColor="text1"/>
          <w:kern w:val="0"/>
          <w:sz w:val="28"/>
          <w:szCs w:val="28"/>
          <w14:ligatures w14:val="none"/>
        </w:rPr>
        <w:t>.</w:t>
      </w:r>
    </w:p>
    <w:p w14:paraId="6386A361"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وعلى مستوى السياق التطبيقي للدراسة، تستهدف منظومة تعزيز الشفافية وحماية حقوق أطراف العلاقة الإيجارية في سوق الإيجار العقاري بمدينة الرياض بناء بنيةٍ إيجاريةٍ موثوقةٍ تتكامل فيها أربعة محاورَ مترابطة: إفصاحٌ معلوماتيٌّ كافٍ، وتوثيقٌ إلكترونيٌّ منضبط، وآلياتٌ مُهيكَلةٌ لفضّ النزاعات، ومؤشراتٌ سلوكيةٌ قابلةٌ للقياس تعكس التزام الأطراف</w:t>
      </w:r>
      <w:r w:rsidRPr="006A3D94">
        <w:rPr>
          <w:rFonts w:ascii="Simplified Arabic" w:eastAsia="Times New Roman" w:hAnsi="Simplified Arabic" w:cs="Simplified Arabic"/>
          <w:color w:val="000000" w:themeColor="text1"/>
          <w:kern w:val="0"/>
          <w:sz w:val="28"/>
          <w:szCs w:val="28"/>
          <w14:ligatures w14:val="none"/>
        </w:rPr>
        <w:t>.</w:t>
      </w:r>
    </w:p>
    <w:p w14:paraId="3F36B042" w14:textId="3E9234DB"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465064"/>
      <w:r w:rsidRPr="006A3D94">
        <w:rPr>
          <w:rFonts w:ascii="Simplified Arabic" w:eastAsia="Times New Roman" w:hAnsi="Simplified Arabic" w:cs="Simplified Arabic" w:hint="cs"/>
          <w:b/>
          <w:bCs/>
          <w:color w:val="000000" w:themeColor="text1"/>
          <w:kern w:val="0"/>
          <w:sz w:val="32"/>
          <w:szCs w:val="32"/>
          <w:rtl/>
          <w14:ligatures w14:val="none"/>
        </w:rPr>
        <w:t>5.2.2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أبعاد تعزيز الشفافية وحماية حقوق أطراف العلاقة الإيجارية</w:t>
      </w:r>
      <w:bookmarkEnd w:id="45"/>
    </w:p>
    <w:p w14:paraId="3014A81F"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بناءً على ما طرحه</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في تحليلهم لبنية أنظمة الإيجار العقاري الموثوقة، وما تناوله</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في تأطيرهم لمنظومات الإيجار اللامركزية، فضلًا عمّا قدّمه عمر (2024) في تأطيره لدور التكنولوجيا في تعزيز الشفافية الإدارية، وما تناوله بخاوة وطيبي (2023) في تحليلهم لشفافية الإفصاح في سلاسل المعاملات. وقد جرى توطين هذه المداخل ضمن طبيعة منصة إيجار والسوق العقاري الإيجاري السعودي، بحيث تتشكّل أبعاد المتغيّر التابع في أربعة أبعادٍ رئيسة، تستوعب كلّ منها مظهرًا من مظاهر تعزيز الشفافية وحماية الحقوق</w:t>
      </w:r>
      <w:r w:rsidRPr="006A3D94">
        <w:rPr>
          <w:rFonts w:ascii="Simplified Arabic" w:eastAsia="Times New Roman" w:hAnsi="Simplified Arabic" w:cs="Simplified Arabic"/>
          <w:color w:val="000000" w:themeColor="text1"/>
          <w:kern w:val="0"/>
          <w:sz w:val="28"/>
          <w:szCs w:val="28"/>
          <w14:ligatures w14:val="none"/>
        </w:rPr>
        <w:t>.</w:t>
      </w:r>
    </w:p>
    <w:p w14:paraId="2382866E"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الأول: الشفافية المعلوماتية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يُمثّل هذا البُعد الركيزة الأولى لمنظومة الشفافية، إذ يتعلّق بمدى توفّر المعلومات المتعلقة بالسوق العقاري الإيجاري وإتاحتها لأطراف العلاقة بصورةٍ كافيةٍ وموثوقةٍ ومُحدَّثة. ويشمل هذا البُعد جوانبَ متعدّدةً تتضمّن الإفصاح عن خصائص الوحدات السكنية، وشروط التعاقد، والأسعار المرجعية، والتاريخ التعاقدي للعقارات، ومعايير التقييم المعتمدة في السوق. وتنطلق أهمية هذا البُعد من كون سوق الإيجار العقاري ظلّ تاريخيًا يُعاني من اختلالاتٍ معلوماتيةٍ بين أطرافه، حيث يمتلك أحدهم عادةً معلوماتٍ أوفر من الآخر، بما يُؤدّي إلى اختلالٍ في موازين التفاوض وقد يُفضي إلى ممارساتٍ غير عادلة. ويُسهم هذا البُعد في تجاوز هذه الاختلالات من خلال توفير بنيةٍ معلوماتيةٍ موحّدةٍ يُتاح لجميع الأطراف النفاذ إليها وفق آلياتٍ منضبطة، بما يرفع مستوى الانضباط في السوق ويُتيح اتخاذ قراراتٍ تعاقديةٍ مبنيةٍ على معرفةٍ كافية. ويتقاطع هذا البُعد مع ما طرحه</w:t>
      </w:r>
      <w:r w:rsidRPr="006A3D94">
        <w:rPr>
          <w:rFonts w:ascii="Simplified Arabic" w:eastAsia="Times New Roman" w:hAnsi="Simplified Arabic" w:cs="Simplified Arabic"/>
          <w:color w:val="000000" w:themeColor="text1"/>
          <w:kern w:val="0"/>
          <w:sz w:val="28"/>
          <w:szCs w:val="28"/>
          <w14:ligatures w14:val="none"/>
        </w:rPr>
        <w:t xml:space="preserve"> Steils </w:t>
      </w:r>
      <w:r w:rsidRPr="006A3D94">
        <w:rPr>
          <w:rFonts w:ascii="Simplified Arabic" w:eastAsia="Times New Roman" w:hAnsi="Simplified Arabic" w:cs="Simplified Arabic"/>
          <w:color w:val="000000" w:themeColor="text1"/>
          <w:kern w:val="0"/>
          <w:sz w:val="28"/>
          <w:szCs w:val="28"/>
          <w:rtl/>
          <w14:ligatures w14:val="none"/>
        </w:rPr>
        <w:t xml:space="preserve">وآخرون (2022) من أنّ إدارة الإفصاح </w:t>
      </w:r>
      <w:r w:rsidRPr="006A3D94">
        <w:rPr>
          <w:rFonts w:ascii="Simplified Arabic" w:eastAsia="Times New Roman" w:hAnsi="Simplified Arabic" w:cs="Simplified Arabic"/>
          <w:color w:val="000000" w:themeColor="text1"/>
          <w:kern w:val="0"/>
          <w:sz w:val="28"/>
          <w:szCs w:val="28"/>
          <w:rtl/>
          <w14:ligatures w14:val="none"/>
        </w:rPr>
        <w:lastRenderedPageBreak/>
        <w:t>في البيئات الرقمية تستلزم هندسةً واعيةً للمعلومة بحيث تُحقّق الإفادة الكاملة للمتلقّي دون أن تُفقد قدرتها التوجيهية</w:t>
      </w:r>
      <w:r w:rsidRPr="006A3D94">
        <w:rPr>
          <w:rFonts w:ascii="Simplified Arabic" w:eastAsia="Times New Roman" w:hAnsi="Simplified Arabic" w:cs="Simplified Arabic"/>
          <w:color w:val="000000" w:themeColor="text1"/>
          <w:kern w:val="0"/>
          <w:sz w:val="28"/>
          <w:szCs w:val="28"/>
          <w14:ligatures w14:val="none"/>
        </w:rPr>
        <w:t>.</w:t>
      </w:r>
    </w:p>
    <w:p w14:paraId="616BE348"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الثاني: التوثيق الإلكتروني للعقود</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يتعلّق هذا البُعد بالبنية الإجرائية التي تُتيح إنشاء العقود الإيجارية وتسجيلها وتوثيقها بصورةٍ إلكترونيةٍ معتمدة، بما يضمن انضباط الصياغة وتطابق العقد مع المتطلبات التنظيمية، ويُوفّر سجلًا موثوقًا يُتاح الرجوع إليه عند الحاجة. ويستند هذا البُعد إلى تحوّلٍ جوهريٍّ في فلسفة التوثيق العقاري من نمطٍ ورقيٍّ غير مُهيكلٍ قد يتسم بقصورٍ في الصياغة وثغراتٍ في الصلاحية، إلى نمطٍ رقميٍّ معياريٍّ تُحكمه قواعدُ موحّدةٌ وتُتيحه بنيةٌ تحتيةٌ تكنولوجيةٌ متقدّمة. ويُمثّل هذا البُعد أحد أبرز مظاهر التحديث في القطاع العقاري الإيجاري، إذ ينقل عملية التوثيق من كونها إجراءً ثانويًا يلجأ إليه الأطراف عند الحاجة إلى كونها ركنًا أصيلًا في بنية التعاقد ذاتها. وفي هذا السياق، يُؤكّد بخاوة وطيبي (2023) أنّ التقنيات الرقمية الموزّعة باتت تُتيح بنيةً متقدّمةً للإفصاح والتوثيق، تتسم بالموثوقية وقابلية التحقّق، بما يُغيّر جوهر العلاقة بين أطراف المعاملات. ويتقاطع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من أنّ منصات الإيجار الرقمي القائمة على بنيةٍ تقنيةٍ متينةٍ تُتيح توثيقًا للعقود يتسم بالأمان والشفافية ويُقلّل من فرص النزاع</w:t>
      </w:r>
      <w:r w:rsidRPr="006A3D94">
        <w:rPr>
          <w:rFonts w:ascii="Simplified Arabic" w:eastAsia="Times New Roman" w:hAnsi="Simplified Arabic" w:cs="Simplified Arabic"/>
          <w:color w:val="000000" w:themeColor="text1"/>
          <w:kern w:val="0"/>
          <w:sz w:val="28"/>
          <w:szCs w:val="28"/>
          <w14:ligatures w14:val="none"/>
        </w:rPr>
        <w:t>.</w:t>
      </w:r>
    </w:p>
    <w:p w14:paraId="02FB1947"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البُعد الثالث: آليات فضّ النزاعات وحماية الحقوق</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يتعلّق هذا البُعد بالبنية الإجرائية التي تُتيح لأطراف العلاقة الإيجارية اللجوء إلى آلياتٍ مُهيكَلةٍ لمعالجة الخلافات التي قد تنشأ بينهم، سواءٌ أكان ذلك عبر آلياتٍ للوساطة أم عبر قنواتٍ رسميةٍ لرفع الشكاوى ومتابعتها. ويستند هذا البُعد إلى الإقرار بأنّ النزاعات جزءٌ بنيويٌّ من العلاقات التعاقدية لا يمكن إلغاؤها، غير أنّ ما يمكن تطويره هو الكيفية التي تُعالج بها هذه النزاعات بحيث تتسم بالكفاءة والعدالة وسرعة الاستجابة. ويُمثّل هذا البُعد تجسيدًا عمليًا لتحوّلٍ في فلسفة إدارة النزاعات في القطاع العقاري الإيجاري من نمطٍ تقليديٍّ قد يستغرق وقتًا طويلًا ويستنزف موارد الأطراف، إلى نمطٍ رقميٍّ مُهيكَلٍ يستفيد من البنية التحتية للمنصة في تسريع الإجراءات وتوفير الأدلة وضبط المخرجات. وفي هذا الإطار، يُؤكّد</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أنّ المنظومات الرقمية للإيجار العقاري تُتيح بنيةً متقدّمةً لإدارة النزاعات تستند إلى منطقٍ لامركزيٍّ يضمن عدالة المعالجة وموثوقيتها. ويتلاقى مع ذلك ما يطرحه</w:t>
      </w:r>
      <w:r w:rsidRPr="006A3D94">
        <w:rPr>
          <w:rFonts w:ascii="Simplified Arabic" w:eastAsia="Times New Roman" w:hAnsi="Simplified Arabic" w:cs="Simplified Arabic"/>
          <w:color w:val="000000" w:themeColor="text1"/>
          <w:kern w:val="0"/>
          <w:sz w:val="28"/>
          <w:szCs w:val="28"/>
          <w14:ligatures w14:val="none"/>
        </w:rPr>
        <w:t xml:space="preserve"> Christidis </w:t>
      </w:r>
      <w:r w:rsidRPr="006A3D94">
        <w:rPr>
          <w:rFonts w:ascii="Simplified Arabic" w:eastAsia="Times New Roman" w:hAnsi="Simplified Arabic" w:cs="Simplified Arabic"/>
          <w:color w:val="000000" w:themeColor="text1"/>
          <w:kern w:val="0"/>
          <w:sz w:val="28"/>
          <w:szCs w:val="28"/>
          <w:rtl/>
          <w14:ligatures w14:val="none"/>
        </w:rPr>
        <w:t>وآخرون</w:t>
      </w:r>
      <w:r w:rsidRPr="006A3D94">
        <w:rPr>
          <w:rFonts w:ascii="Simplified Arabic" w:eastAsia="Times New Roman" w:hAnsi="Simplified Arabic" w:cs="Simplified Arabic"/>
          <w:color w:val="000000" w:themeColor="text1"/>
          <w:kern w:val="0"/>
          <w:sz w:val="28"/>
          <w:szCs w:val="28"/>
          <w14:ligatures w14:val="none"/>
        </w:rPr>
        <w:t xml:space="preserve"> (n.d.) </w:t>
      </w:r>
      <w:r w:rsidRPr="006A3D94">
        <w:rPr>
          <w:rFonts w:ascii="Simplified Arabic" w:eastAsia="Times New Roman" w:hAnsi="Simplified Arabic" w:cs="Simplified Arabic"/>
          <w:color w:val="000000" w:themeColor="text1"/>
          <w:kern w:val="0"/>
          <w:sz w:val="28"/>
          <w:szCs w:val="28"/>
          <w:rtl/>
          <w14:ligatures w14:val="none"/>
        </w:rPr>
        <w:t>من أنّ منصات الحماية القائمة على تقنياتٍ موزّعةٍ تُتيح بنيةً متقدّمةً لمعالجة الشكاوى تتسم بالحياد والشفافية، بما يُعزّز ثقة الأطراف فيها</w:t>
      </w:r>
      <w:r w:rsidRPr="006A3D94">
        <w:rPr>
          <w:rFonts w:ascii="Simplified Arabic" w:eastAsia="Times New Roman" w:hAnsi="Simplified Arabic" w:cs="Simplified Arabic"/>
          <w:color w:val="000000" w:themeColor="text1"/>
          <w:kern w:val="0"/>
          <w:sz w:val="28"/>
          <w:szCs w:val="28"/>
          <w14:ligatures w14:val="none"/>
        </w:rPr>
        <w:t>.</w:t>
      </w:r>
    </w:p>
    <w:p w14:paraId="76055D48"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البُعد الرابع: مؤشر السلوك الإيجاري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يتعلّق هذا البُعد ببناء منظومةٍ من المؤشرات الكميةٍ والنوعيةٍ التي تعكس مستوى التزام أطراف العلاقة الإيجارية بالشروط التعاقدية والمالية، بما يُتيح بناء سجلاتٍ سلوكيةٍ موثوقةٍ تُسهم في توجيه القرارات التعاقدية المستقبلية. ويستند هذا البُعد إلى ما تُتيحه البيئة الرقمية للمنصة من قدرةٍ على رصد البيانات السلوكية للأطراف ومعالجتها وتحويلها إلى مؤشراتٍ قابلةٍ للقياس والمقارنة. ويُمثّل هذا البُعد نقلةً نوعيةً في فلسفة تنظيم السوق الإيجاري، إذ ينقل العلاقة من علاقةٍ تعاقديةٍ ظرفيةٍ تنتهي بانتهاء العقد إلى علاقةٍ تراكميةٍ تُبنى فيها سمعةٌ تعاقديةٌ للأطراف عبر الزمن، بما يُعزّز المساءلة المتبادلة ويرفع مستوى الانضباط في السوق. ويرتبط هذا البُعد بمنطقٍ متطوّرٍ في إدارة الأسواق يقوم على تحويل البيانات السلوكية إلى أصلٍ تنظيميٍّ يُتيح ضبط السوق وفق آلياتٍ ذاتيةٍ مبنيةٍ على السمعة والتاريخ التعاقدي. ويتقاطع هذا البُعد مع ما يطرحه عمر (2024) من أنّ توظيف تكنولوجيا المعلومات في تعزيز الشفافية يُتيح بناء منظومةٍ من المؤشرات الموضوعية لتقييم الأداء والالتزام</w:t>
      </w:r>
      <w:r w:rsidRPr="006A3D94">
        <w:rPr>
          <w:rFonts w:ascii="Simplified Arabic" w:eastAsia="Times New Roman" w:hAnsi="Simplified Arabic" w:cs="Simplified Arabic"/>
          <w:color w:val="000000" w:themeColor="text1"/>
          <w:kern w:val="0"/>
          <w:sz w:val="28"/>
          <w:szCs w:val="28"/>
          <w14:ligatures w14:val="none"/>
        </w:rPr>
        <w:t>.</w:t>
      </w:r>
    </w:p>
    <w:p w14:paraId="46D87E9B"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ويمكن إضافة عناصر مكمّلة ترفد هذه الأبعاد الأربعة وتُعزّز فاعليتها، أبرزها البُعد الأمني الذي يتعلّق بحماية بيانات الأطراف وضمان سلامة المعاملات، والبُعد التكاملي الذي يُشير إلى ترابط منظومة الشفافية مع المنظومات الرقمية الأخرى ذات العلاقة بالقطاع العقاري والمالي والقضائي، والبُعد التوعوي الذي يُعنى بنشر الوعي بين أطراف السوق بحقوقهم والتزاماتهم وكيفية الاستفادة من منظومة الشفافية المتاحة</w:t>
      </w:r>
      <w:r w:rsidRPr="006A3D94">
        <w:rPr>
          <w:rFonts w:ascii="Simplified Arabic" w:eastAsia="Times New Roman" w:hAnsi="Simplified Arabic" w:cs="Simplified Arabic"/>
          <w:color w:val="000000" w:themeColor="text1"/>
          <w:kern w:val="0"/>
          <w:sz w:val="28"/>
          <w:szCs w:val="28"/>
          <w14:ligatures w14:val="none"/>
        </w:rPr>
        <w:t>.</w:t>
      </w:r>
    </w:p>
    <w:p w14:paraId="7A7DDCFE" w14:textId="66126D2A" w:rsidR="007A702C" w:rsidRPr="006A3D94" w:rsidRDefault="00B70C11" w:rsidP="00B70C1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465065"/>
      <w:r w:rsidRPr="006A3D94">
        <w:rPr>
          <w:rFonts w:ascii="Simplified Arabic" w:eastAsia="Times New Roman" w:hAnsi="Simplified Arabic" w:cs="Simplified Arabic" w:hint="cs"/>
          <w:b/>
          <w:bCs/>
          <w:color w:val="000000" w:themeColor="text1"/>
          <w:kern w:val="0"/>
          <w:sz w:val="32"/>
          <w:szCs w:val="32"/>
          <w:rtl/>
          <w14:ligatures w14:val="none"/>
        </w:rPr>
        <w:t>6.2.2</w:t>
      </w:r>
      <w:r w:rsidR="007A702C" w:rsidRPr="006A3D94">
        <w:rPr>
          <w:rFonts w:ascii="Simplified Arabic" w:eastAsia="Times New Roman" w:hAnsi="Simplified Arabic" w:cs="Simplified Arabic"/>
          <w:b/>
          <w:bCs/>
          <w:color w:val="000000" w:themeColor="text1"/>
          <w:kern w:val="0"/>
          <w:sz w:val="32"/>
          <w:szCs w:val="32"/>
          <w:rtl/>
          <w14:ligatures w14:val="none"/>
        </w:rPr>
        <w:t xml:space="preserve"> إستراتيجيات تعزيز الشفافية وحماية حقوق أطراف العلاقة الإيجارية</w:t>
      </w:r>
      <w:bookmarkEnd w:id="46"/>
    </w:p>
    <w:p w14:paraId="4993F090"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تستلزم منظومة تعزيز الشفافية وحماية حقوق أطراف العلاقة الإيجارية تبنّي إستراتيجياتٍ متكاملةٍ تُؤطّر تشغيلها وتُوجّه مسار تطويرها، بحيث لا تبقى مجرّد بنيةٍ تقنيةٍ بل تتحوّل إلى منظومةٍ فاعلةٍ تُحقّق غاياتها على أرض الواقع. وقد تنوّعت المداخل الإستراتيجية التي طُرحت في هذا الشأن، ويمكن استعراض أبرزها على النحو الآتي</w:t>
      </w:r>
      <w:r w:rsidRPr="006A3D94">
        <w:rPr>
          <w:rFonts w:ascii="Simplified Arabic" w:eastAsia="Times New Roman" w:hAnsi="Simplified Arabic" w:cs="Simplified Arabic"/>
          <w:color w:val="000000" w:themeColor="text1"/>
          <w:kern w:val="0"/>
          <w:sz w:val="28"/>
          <w:szCs w:val="28"/>
          <w14:ligatures w14:val="none"/>
        </w:rPr>
        <w:t>:</w:t>
      </w:r>
    </w:p>
    <w:p w14:paraId="4B809A8E"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الأولى: إستراتيجية الإفصاح المُهيكل والمنظومي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Prifti </w:t>
      </w:r>
      <w:r w:rsidRPr="006A3D94">
        <w:rPr>
          <w:rFonts w:ascii="Simplified Arabic" w:eastAsia="Times New Roman" w:hAnsi="Simplified Arabic" w:cs="Simplified Arabic"/>
          <w:color w:val="000000" w:themeColor="text1"/>
          <w:kern w:val="0"/>
          <w:sz w:val="28"/>
          <w:szCs w:val="28"/>
          <w:rtl/>
          <w14:ligatures w14:val="none"/>
        </w:rPr>
        <w:t>وآخرون (2023) أنّ تعزيز الشفافية في الفضاء الرقمي يستلزم تجاوز نموذج الإفصاح الثنائي التقليدي بين مُقدِّم الخدمة والمستخدم نحو نموذجٍ منظوميٍّ يضع الإفصاح ضمن سياقٍ بيئيٍّ رقميٍّ أوسع، يستوعب مختلف الفاعلين في المنظومة. وتنطلق هذه الإستراتيجية من أنّ الشفافية الفاعلة لا تتحقّق بالإفصاح المعزول، بل بمنظومةٍ متكاملةٍ تُتيح لكلّ طرفٍ الوصول إلى ما يحتاجه من معلوماتٍ ضمن سياقٍ يفهمه ويستطيع توظيفه</w:t>
      </w:r>
      <w:r w:rsidRPr="006A3D94">
        <w:rPr>
          <w:rFonts w:ascii="Simplified Arabic" w:eastAsia="Times New Roman" w:hAnsi="Simplified Arabic" w:cs="Simplified Arabic"/>
          <w:color w:val="000000" w:themeColor="text1"/>
          <w:kern w:val="0"/>
          <w:sz w:val="28"/>
          <w:szCs w:val="28"/>
          <w14:ligatures w14:val="none"/>
        </w:rPr>
        <w:t>.</w:t>
      </w:r>
    </w:p>
    <w:p w14:paraId="1FB6160D"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الإستراتيجية الثانية: إستراتيجية معالجة مفارقة الشفافية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w:t>
      </w:r>
      <w:r w:rsidRPr="006A3D94">
        <w:rPr>
          <w:rFonts w:ascii="Simplified Arabic" w:eastAsia="Times New Roman" w:hAnsi="Simplified Arabic" w:cs="Simplified Arabic"/>
          <w:color w:val="000000" w:themeColor="text1"/>
          <w:kern w:val="0"/>
          <w:sz w:val="28"/>
          <w:szCs w:val="28"/>
          <w14:ligatures w14:val="none"/>
        </w:rPr>
        <w:t xml:space="preserve"> Steils </w:t>
      </w:r>
      <w:r w:rsidRPr="006A3D94">
        <w:rPr>
          <w:rFonts w:ascii="Simplified Arabic" w:eastAsia="Times New Roman" w:hAnsi="Simplified Arabic" w:cs="Simplified Arabic"/>
          <w:color w:val="000000" w:themeColor="text1"/>
          <w:kern w:val="0"/>
          <w:sz w:val="28"/>
          <w:szCs w:val="28"/>
          <w:rtl/>
          <w14:ligatures w14:val="none"/>
        </w:rPr>
        <w:t>وآخرون (2022) إلى أنّ تعزيز الشفافية في البيئات الرقمية ينطوي على مفارقةٍ بنيويةٍ، إذ قد يُؤدّي الإفصاح المُفرط إلى نتائج معاكسةٍ تتمثّل في إغراق المتلقّي بالمعلومات وإفقاد الإفصاح قدرته التوجيهية. وتقتضي معالجة هذه المفارقة تبنّي إستراتيجيةٍ هندسيةٍ للإفصاح تُحقّق التوازن بين الكشف الكافي والتركيز على المعلومات الجوهرية، بما يُحوّل الشفافية من مجرّد كميةٍ من المعلومات إلى قيمةٍ توجيهيةٍ فعلية</w:t>
      </w:r>
      <w:r w:rsidRPr="006A3D94">
        <w:rPr>
          <w:rFonts w:ascii="Simplified Arabic" w:eastAsia="Times New Roman" w:hAnsi="Simplified Arabic" w:cs="Simplified Arabic"/>
          <w:color w:val="000000" w:themeColor="text1"/>
          <w:kern w:val="0"/>
          <w:sz w:val="28"/>
          <w:szCs w:val="28"/>
          <w14:ligatures w14:val="none"/>
        </w:rPr>
        <w:t>.</w:t>
      </w:r>
    </w:p>
    <w:p w14:paraId="2778A9BF"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الثالثة: إستراتيجية البنية التقنية اللامركزية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Jaodun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Bouafia (2025) </w:t>
      </w:r>
      <w:r w:rsidRPr="006A3D94">
        <w:rPr>
          <w:rFonts w:ascii="Simplified Arabic" w:eastAsia="Times New Roman" w:hAnsi="Simplified Arabic" w:cs="Simplified Arabic"/>
          <w:color w:val="000000" w:themeColor="text1"/>
          <w:kern w:val="0"/>
          <w:sz w:val="28"/>
          <w:szCs w:val="28"/>
          <w:rtl/>
          <w14:ligatures w14:val="none"/>
        </w:rPr>
        <w:t>أنّ تعزيز الشفافية وحماية الحقوق في الأسواق الإيجارية يستلزم تبنّي بنيةٍ تقنيةٍ لامركزيةٍ تستند إلى تقنياتٍ موزّعةٍ تضمن موثوقية المعاملات وقابليتها للتحقّق دون الاعتماد على طرفٍ مركزيٍّ وحيدٍ يُحتمل تحيّزه. ويُكمل ذلك ما طرحه</w:t>
      </w:r>
      <w:r w:rsidRPr="006A3D94">
        <w:rPr>
          <w:rFonts w:ascii="Simplified Arabic" w:eastAsia="Times New Roman" w:hAnsi="Simplified Arabic" w:cs="Simplified Arabic"/>
          <w:color w:val="000000" w:themeColor="text1"/>
          <w:kern w:val="0"/>
          <w:sz w:val="28"/>
          <w:szCs w:val="28"/>
          <w14:ligatures w14:val="none"/>
        </w:rPr>
        <w:t xml:space="preserve"> Uche-Soria </w:t>
      </w:r>
      <w:r w:rsidRPr="006A3D94">
        <w:rPr>
          <w:rFonts w:ascii="Simplified Arabic" w:eastAsia="Times New Roman" w:hAnsi="Simplified Arabic" w:cs="Simplified Arabic"/>
          <w:color w:val="000000" w:themeColor="text1"/>
          <w:kern w:val="0"/>
          <w:sz w:val="28"/>
          <w:szCs w:val="28"/>
          <w:rtl/>
          <w14:ligatures w14:val="none"/>
        </w:rPr>
        <w:t>وآخرون (2025) من أنّ التقنيات الموزّعة تُعيد تعريف منظومة الثقة في الأسواق عبر بناء بنيةٍ تقنيةٍ موثوقةٍ تُتيح التحقّق من المعاملات والإفصاح عنها بصورةٍ آنية</w:t>
      </w:r>
      <w:r w:rsidRPr="006A3D94">
        <w:rPr>
          <w:rFonts w:ascii="Simplified Arabic" w:eastAsia="Times New Roman" w:hAnsi="Simplified Arabic" w:cs="Simplified Arabic"/>
          <w:color w:val="000000" w:themeColor="text1"/>
          <w:kern w:val="0"/>
          <w:sz w:val="28"/>
          <w:szCs w:val="28"/>
          <w14:ligatures w14:val="none"/>
        </w:rPr>
        <w:t>.</w:t>
      </w:r>
    </w:p>
    <w:p w14:paraId="5B14C0A1"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الرابعة: إستراتيجية المعالجة الرقمية للنزاعات</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يُؤكّد</w:t>
      </w:r>
      <w:r w:rsidRPr="006A3D94">
        <w:rPr>
          <w:rFonts w:ascii="Simplified Arabic" w:eastAsia="Times New Roman" w:hAnsi="Simplified Arabic" w:cs="Simplified Arabic"/>
          <w:color w:val="000000" w:themeColor="text1"/>
          <w:kern w:val="0"/>
          <w:sz w:val="28"/>
          <w:szCs w:val="28"/>
          <w14:ligatures w14:val="none"/>
        </w:rPr>
        <w:t xml:space="preserve"> Tseng </w:t>
      </w:r>
      <w:r w:rsidRPr="006A3D94">
        <w:rPr>
          <w:rFonts w:ascii="Simplified Arabic" w:eastAsia="Times New Roman" w:hAnsi="Simplified Arabic" w:cs="Simplified Arabic"/>
          <w:color w:val="000000" w:themeColor="text1"/>
          <w:kern w:val="0"/>
          <w:sz w:val="28"/>
          <w:szCs w:val="28"/>
          <w:rtl/>
          <w14:ligatures w14:val="none"/>
        </w:rPr>
        <w:t>وآخرون (2025) أنّ تطوير منظومات معالجة النزاعات في سوق الإيجار العقاري يستلزم تبنّي إستراتيجيةٍ رقميةٍ تستفيد من البنية التحتية للمنصة في تسريع الإجراءات وتوفير الأدلة وضبط المخرجات. وتنطلق هذه الإستراتيجية من أنّ الكفاءة في معالجة النزاعات تُمثّل أحد محدّدات نجاح منظومة الشفافية ككل، إذ لا قيمة لمنظومةٍ من الإفصاح والتوثيق إن لم تُترجم إلى آلياتٍ فعّالةٍ لحماية الحقوق عند الإخلال بها</w:t>
      </w:r>
      <w:r w:rsidRPr="006A3D94">
        <w:rPr>
          <w:rFonts w:ascii="Simplified Arabic" w:eastAsia="Times New Roman" w:hAnsi="Simplified Arabic" w:cs="Simplified Arabic"/>
          <w:color w:val="000000" w:themeColor="text1"/>
          <w:kern w:val="0"/>
          <w:sz w:val="28"/>
          <w:szCs w:val="28"/>
          <w14:ligatures w14:val="none"/>
        </w:rPr>
        <w:t>.</w:t>
      </w:r>
    </w:p>
    <w:p w14:paraId="462EBBD3"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الخامسة: إستراتيجية شفافية الخوارزميات والقواعد الآلية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Rosin </w:t>
      </w:r>
      <w:r w:rsidRPr="006A3D94">
        <w:rPr>
          <w:rFonts w:ascii="Simplified Arabic" w:eastAsia="Times New Roman" w:hAnsi="Simplified Arabic" w:cs="Simplified Arabic"/>
          <w:color w:val="000000" w:themeColor="text1"/>
          <w:kern w:val="0"/>
          <w:sz w:val="28"/>
          <w:szCs w:val="28"/>
          <w:rtl/>
          <w14:ligatures w14:val="none"/>
        </w:rPr>
        <w:t>و</w:t>
      </w:r>
      <w:r w:rsidRPr="006A3D94">
        <w:rPr>
          <w:rFonts w:ascii="Simplified Arabic" w:eastAsia="Times New Roman" w:hAnsi="Simplified Arabic" w:cs="Simplified Arabic"/>
          <w:color w:val="000000" w:themeColor="text1"/>
          <w:kern w:val="0"/>
          <w:sz w:val="28"/>
          <w:szCs w:val="28"/>
          <w14:ligatures w14:val="none"/>
        </w:rPr>
        <w:t xml:space="preserve">Parviainen (2025) </w:t>
      </w:r>
      <w:r w:rsidRPr="006A3D94">
        <w:rPr>
          <w:rFonts w:ascii="Simplified Arabic" w:eastAsia="Times New Roman" w:hAnsi="Simplified Arabic" w:cs="Simplified Arabic"/>
          <w:color w:val="000000" w:themeColor="text1"/>
          <w:kern w:val="0"/>
          <w:sz w:val="28"/>
          <w:szCs w:val="28"/>
          <w:rtl/>
          <w14:ligatures w14:val="none"/>
        </w:rPr>
        <w:t>أنّ تعزيز الشفافية في المنصات الرقمية يستلزم تبنّي إستراتيجيةٍ لإخضاع الخوارزميات والقواعد الآلية للإفصاح والمساءلة، بحيث لا تبقى صندوقًا أسودَ يتحكّم في مصير الأطراف دون قدرتهم على فهم منطقه أو الاعتراض عليه. وتكتسب هذه الإستراتيجية أهميةً متناميةً في ظلّ توسّع توظيف الذكاء الاصطناعي وتقنيات معالجة البيانات في إدارة المنصات</w:t>
      </w:r>
      <w:r w:rsidRPr="006A3D94">
        <w:rPr>
          <w:rFonts w:ascii="Simplified Arabic" w:eastAsia="Times New Roman" w:hAnsi="Simplified Arabic" w:cs="Simplified Arabic"/>
          <w:color w:val="000000" w:themeColor="text1"/>
          <w:kern w:val="0"/>
          <w:sz w:val="28"/>
          <w:szCs w:val="28"/>
          <w14:ligatures w14:val="none"/>
        </w:rPr>
        <w:t>.</w:t>
      </w:r>
    </w:p>
    <w:p w14:paraId="09E8779B"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السادسة: إستراتيجية بناء القدرات والوعي المؤسسي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 عمر (2024) إلى أنّ نجاح توظيف التكنولوجيا في تعزيز الشفافية يستلزم تطوير القدرات البشرية والتنظيمية للمستفيدين منها، بما يُتيح لهم الإفادة الكاملة من إمكانات المنظومة الرقمية المتاحة. وتنطلق هذه الإستراتيجية من أنّ الشفافية بُنية اجتماعيةٌ-تقنيةٌ لا يكفي توفّر شقّها التقني، بل يستلزم تطوير الوعي والقدرات لدى الأطراف المعنيين بها</w:t>
      </w:r>
      <w:r w:rsidRPr="006A3D94">
        <w:rPr>
          <w:rFonts w:ascii="Simplified Arabic" w:eastAsia="Times New Roman" w:hAnsi="Simplified Arabic" w:cs="Simplified Arabic"/>
          <w:color w:val="000000" w:themeColor="text1"/>
          <w:kern w:val="0"/>
          <w:sz w:val="28"/>
          <w:szCs w:val="28"/>
          <w14:ligatures w14:val="none"/>
        </w:rPr>
        <w:t>.</w:t>
      </w:r>
    </w:p>
    <w:p w14:paraId="364122A4"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lastRenderedPageBreak/>
        <w:t>الإستراتيجية السابعة: إستراتيجية تطوير الإطار التنظيمي والقانوني</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يطرح</w:t>
      </w:r>
      <w:r w:rsidRPr="006A3D94">
        <w:rPr>
          <w:rFonts w:ascii="Simplified Arabic" w:eastAsia="Times New Roman" w:hAnsi="Simplified Arabic" w:cs="Simplified Arabic"/>
          <w:color w:val="000000" w:themeColor="text1"/>
          <w:kern w:val="0"/>
          <w:sz w:val="28"/>
          <w:szCs w:val="28"/>
          <w14:ligatures w14:val="none"/>
        </w:rPr>
        <w:t xml:space="preserve"> Palmieri (2025) </w:t>
      </w:r>
      <w:r w:rsidRPr="006A3D94">
        <w:rPr>
          <w:rFonts w:ascii="Simplified Arabic" w:eastAsia="Times New Roman" w:hAnsi="Simplified Arabic" w:cs="Simplified Arabic"/>
          <w:color w:val="000000" w:themeColor="text1"/>
          <w:kern w:val="0"/>
          <w:sz w:val="28"/>
          <w:szCs w:val="28"/>
          <w:rtl/>
          <w14:ligatures w14:val="none"/>
        </w:rPr>
        <w:t>أنّ تعزيز الشفافية في الأسواق الرقمية يستلزم تطوير إطارٍ تنظيميٍّ وقانونيٍّ يُلائم خصوصية هذه الأسواق، ويضع قواعدَ واضحةً لممارسات المنصات وعلاقتها بأطرافها. ويُكمل ذلك ما يطرحه</w:t>
      </w:r>
      <w:r w:rsidRPr="006A3D94">
        <w:rPr>
          <w:rFonts w:ascii="Simplified Arabic" w:eastAsia="Times New Roman" w:hAnsi="Simplified Arabic" w:cs="Simplified Arabic"/>
          <w:color w:val="000000" w:themeColor="text1"/>
          <w:kern w:val="0"/>
          <w:sz w:val="28"/>
          <w:szCs w:val="28"/>
          <w14:ligatures w14:val="none"/>
        </w:rPr>
        <w:t xml:space="preserve"> Arcila (2025) </w:t>
      </w:r>
      <w:r w:rsidRPr="006A3D94">
        <w:rPr>
          <w:rFonts w:ascii="Simplified Arabic" w:eastAsia="Times New Roman" w:hAnsi="Simplified Arabic" w:cs="Simplified Arabic"/>
          <w:color w:val="000000" w:themeColor="text1"/>
          <w:kern w:val="0"/>
          <w:sz w:val="28"/>
          <w:szCs w:val="28"/>
          <w:rtl/>
          <w14:ligatures w14:val="none"/>
        </w:rPr>
        <w:t>من أنّ الشفافية الفاعلة تستلزم تكاملًا بين الإطار القانوني العام الذي تضعه الجهات التنظيمية والقواعد الذاتية التي تعتمدها المنصة في إدارة علاقاتها</w:t>
      </w:r>
      <w:r w:rsidRPr="006A3D94">
        <w:rPr>
          <w:rFonts w:ascii="Simplified Arabic" w:eastAsia="Times New Roman" w:hAnsi="Simplified Arabic" w:cs="Simplified Arabic"/>
          <w:color w:val="000000" w:themeColor="text1"/>
          <w:kern w:val="0"/>
          <w:sz w:val="28"/>
          <w:szCs w:val="28"/>
          <w14:ligatures w14:val="none"/>
        </w:rPr>
        <w:t>.</w:t>
      </w:r>
    </w:p>
    <w:p w14:paraId="7BDAC34B" w14:textId="77777777" w:rsidR="007A702C" w:rsidRPr="006A3D94" w:rsidRDefault="007A702C" w:rsidP="00B70C1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6A3D94">
        <w:rPr>
          <w:rFonts w:ascii="Simplified Arabic" w:eastAsia="Times New Roman" w:hAnsi="Simplified Arabic" w:cs="Simplified Arabic"/>
          <w:color w:val="000000" w:themeColor="text1"/>
          <w:kern w:val="0"/>
          <w:sz w:val="28"/>
          <w:szCs w:val="28"/>
          <w:rtl/>
          <w14:ligatures w14:val="none"/>
        </w:rPr>
        <w:t>الإستراتيجية الثامنة: إستراتيجية بناء السلوك المؤسسي القائم على الشفافية</w:t>
      </w:r>
      <w:r w:rsidRPr="006A3D94">
        <w:rPr>
          <w:rFonts w:ascii="Simplified Arabic" w:eastAsia="Times New Roman" w:hAnsi="Simplified Arabic" w:cs="Simplified Arabic"/>
          <w:color w:val="000000" w:themeColor="text1"/>
          <w:kern w:val="0"/>
          <w:sz w:val="28"/>
          <w:szCs w:val="28"/>
          <w14:ligatures w14:val="none"/>
        </w:rPr>
        <w:t xml:space="preserve">. </w:t>
      </w:r>
      <w:r w:rsidRPr="006A3D94">
        <w:rPr>
          <w:rFonts w:ascii="Simplified Arabic" w:eastAsia="Times New Roman" w:hAnsi="Simplified Arabic" w:cs="Simplified Arabic"/>
          <w:color w:val="000000" w:themeColor="text1"/>
          <w:kern w:val="0"/>
          <w:sz w:val="28"/>
          <w:szCs w:val="28"/>
          <w:rtl/>
          <w14:ligatures w14:val="none"/>
        </w:rPr>
        <w:t>يُشير الغامدي (2024) إلى أنّ ترسيخ الشفافية يستلزم تجاوز البُعد الإجرائي إلى البُعد الثقافي، عبر بناء سلوكٍ مؤسسيٍّ يجعل الشفافية قيمةً يومية تنعكس على ممارسات المنتسبين إلى المؤسسة وعلاقتهم بمحيطها. ويتقاطع مع ذلك ما يطرحه العمودي وزكي (2021) من أنّ الشفافية تتجلّى في سلوك العاملين والمتعاملين، وتستلزم بيئةً مؤسسيةً داعمةً لها</w:t>
      </w:r>
      <w:r w:rsidRPr="006A3D94">
        <w:rPr>
          <w:rFonts w:ascii="Simplified Arabic" w:eastAsia="Times New Roman" w:hAnsi="Simplified Arabic" w:cs="Simplified Arabic"/>
          <w:color w:val="000000" w:themeColor="text1"/>
          <w:kern w:val="0"/>
          <w:sz w:val="28"/>
          <w:szCs w:val="28"/>
          <w14:ligatures w14:val="none"/>
        </w:rPr>
        <w:t>.</w:t>
      </w:r>
    </w:p>
    <w:p w14:paraId="4A546A6E" w14:textId="7E90DF98" w:rsidR="006A3D94" w:rsidRPr="006A3D94" w:rsidRDefault="001215CD" w:rsidP="001215CD">
      <w:pPr>
        <w:outlineLvl w:val="0"/>
        <w:rPr>
          <w:rFonts w:ascii="Simplified Arabic" w:hAnsi="Simplified Arabic" w:cs="Simplified Arabic"/>
          <w:b/>
          <w:bCs/>
          <w:color w:val="000000" w:themeColor="text1"/>
          <w:szCs w:val="28"/>
          <w:rtl/>
        </w:rPr>
        <w:sectPr w:rsidR="006A3D94" w:rsidRPr="006A3D94" w:rsidSect="00A76E59">
          <w:footerReference w:type="default" r:id="rId10"/>
          <w:pgSz w:w="11906" w:h="16838" w:code="9"/>
          <w:pgMar w:top="1134" w:right="1701" w:bottom="1134" w:left="1134" w:header="720" w:footer="720" w:gutter="0"/>
          <w:pgNumType w:start="1"/>
          <w:cols w:space="708"/>
          <w:bidi/>
          <w:rtlGutter/>
          <w:docGrid w:linePitch="360"/>
        </w:sectPr>
      </w:pPr>
      <w:bookmarkStart w:id="47" w:name="_Hlk162329489"/>
      <w:bookmarkEnd w:id="20"/>
      <w:r w:rsidRPr="006A3D94">
        <w:rPr>
          <w:rFonts w:ascii="Simplified Arabic" w:hAnsi="Simplified Arabic" w:cs="Simplified Arabic"/>
          <w:b/>
          <w:bCs/>
          <w:color w:val="000000" w:themeColor="text1"/>
          <w:szCs w:val="28"/>
          <w:rtl/>
        </w:rPr>
        <w:t xml:space="preserve"> </w:t>
      </w:r>
      <w:bookmarkStart w:id="48" w:name="_GoBack"/>
      <w:bookmarkEnd w:id="47"/>
      <w:bookmarkEnd w:id="48"/>
    </w:p>
    <w:p w14:paraId="29D4231B" w14:textId="00452E38" w:rsidR="0081623B" w:rsidRPr="006A3D94" w:rsidRDefault="00E27D3B" w:rsidP="00A76E5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A3D94">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31A67505">
            <wp:simplePos x="0" y="0"/>
            <wp:positionH relativeFrom="column">
              <wp:posOffset>4050030</wp:posOffset>
            </wp:positionH>
            <wp:positionV relativeFrom="paragraph">
              <wp:posOffset>0</wp:posOffset>
            </wp:positionV>
            <wp:extent cx="1590675" cy="1473200"/>
            <wp:effectExtent l="0" t="0" r="9525" b="0"/>
            <wp:wrapTight wrapText="bothSides">
              <wp:wrapPolygon edited="0">
                <wp:start x="0" y="0"/>
                <wp:lineTo x="0" y="21228"/>
                <wp:lineTo x="21471" y="21228"/>
                <wp:lineTo x="2147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90675" cy="1473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A3D94">
        <w:rPr>
          <w:rFonts w:asciiTheme="majorBidi" w:eastAsia="Calibri" w:hAnsiTheme="majorBidi" w:cstheme="majorBidi"/>
          <w:b/>
          <w:bCs/>
          <w:color w:val="000000" w:themeColor="text1"/>
          <w:kern w:val="0"/>
          <w:sz w:val="32"/>
          <w:szCs w:val="32"/>
          <w:lang w:bidi="ar-EG"/>
          <w14:ligatures w14:val="none"/>
        </w:rPr>
        <w:t>Mid</w:t>
      </w:r>
      <w:r w:rsidR="000D353F" w:rsidRPr="006A3D94">
        <w:rPr>
          <w:rFonts w:asciiTheme="majorBidi" w:eastAsia="Calibri" w:hAnsiTheme="majorBidi" w:cstheme="majorBidi"/>
          <w:b/>
          <w:bCs/>
          <w:color w:val="000000" w:themeColor="text1"/>
          <w:kern w:val="0"/>
          <w:sz w:val="32"/>
          <w:szCs w:val="32"/>
          <w:lang w:bidi="ar-EG"/>
          <w14:ligatures w14:val="none"/>
        </w:rPr>
        <w:t xml:space="preserve"> </w:t>
      </w:r>
      <w:r w:rsidR="0081623B" w:rsidRPr="006A3D94">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6A3D94" w:rsidRDefault="0081623B" w:rsidP="00A76E5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6A3D94">
        <w:rPr>
          <w:rFonts w:asciiTheme="majorBidi" w:eastAsia="Calibri" w:hAnsiTheme="majorBidi" w:cstheme="majorBidi"/>
          <w:b/>
          <w:bCs/>
          <w:color w:val="000000" w:themeColor="text1"/>
          <w:kern w:val="0"/>
          <w:sz w:val="32"/>
          <w:szCs w:val="32"/>
          <w:lang w:bidi="ar-EG"/>
          <w14:ligatures w14:val="none"/>
        </w:rPr>
        <w:t>College of Management</w:t>
      </w:r>
    </w:p>
    <w:p w14:paraId="04411127" w14:textId="371F63A1" w:rsidR="00E27D3B" w:rsidRPr="006A3D94" w:rsidRDefault="005A72B7" w:rsidP="00A76E5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6A3D94">
        <w:rPr>
          <w:rFonts w:asciiTheme="majorBidi" w:eastAsia="Calibri" w:hAnsiTheme="majorBidi" w:cstheme="majorBidi"/>
          <w:b/>
          <w:bCs/>
          <w:color w:val="000000" w:themeColor="text1"/>
          <w:kern w:val="0"/>
          <w:sz w:val="32"/>
          <w:szCs w:val="32"/>
          <w:lang w:bidi="ar-EG"/>
          <w14:ligatures w14:val="none"/>
        </w:rPr>
        <w:t>Master of Real Estate Management</w:t>
      </w:r>
    </w:p>
    <w:p w14:paraId="2C000010" w14:textId="77777777" w:rsidR="001C3442" w:rsidRPr="006A3D94" w:rsidRDefault="001C3442" w:rsidP="00A76E5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90EA225" w14:textId="790ABCF5" w:rsidR="005A72B7" w:rsidRPr="006A3D94" w:rsidRDefault="005A72B7" w:rsidP="006A3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6A3D94">
        <w:rPr>
          <w:rFonts w:asciiTheme="majorBidi" w:eastAsia="Calibri" w:hAnsiTheme="majorBidi" w:cstheme="majorBidi"/>
          <w:b/>
          <w:bCs/>
          <w:color w:val="000000" w:themeColor="text1"/>
          <w:kern w:val="0"/>
          <w:sz w:val="40"/>
          <w:szCs w:val="40"/>
          <w:lang w:bidi="ar-EG"/>
          <w14:ligatures w14:val="none"/>
        </w:rPr>
        <w:t>The role of the Ejar platform in enhancing transparency and protecting the rights of the parties to the rental relationship and its reflection on confidence in the market: a field study on beneficiaries in the city of Riyadh</w:t>
      </w:r>
    </w:p>
    <w:p w14:paraId="6F422700" w14:textId="77777777" w:rsidR="006A3D94" w:rsidRPr="006A3D94" w:rsidRDefault="006A3D94" w:rsidP="006A3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E979A7F" w:rsidR="000D353F" w:rsidRPr="006A3D94" w:rsidRDefault="000D353F" w:rsidP="006A3D9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A3D94">
        <w:rPr>
          <w:rFonts w:asciiTheme="majorBidi" w:eastAsia="Calibri" w:hAnsiTheme="majorBidi" w:cstheme="majorBidi"/>
          <w:b/>
          <w:bCs/>
          <w:color w:val="000000" w:themeColor="text1"/>
          <w:kern w:val="0"/>
          <w:sz w:val="36"/>
          <w:szCs w:val="36"/>
          <w:lang w:bidi="ar-EG"/>
          <w14:ligatures w14:val="none"/>
        </w:rPr>
        <w:t>Prepared by:</w:t>
      </w:r>
    </w:p>
    <w:p w14:paraId="40340917" w14:textId="77777777" w:rsidR="005A72B7" w:rsidRPr="006A3D94" w:rsidRDefault="005A72B7" w:rsidP="006A3D9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6A3D94">
        <w:rPr>
          <w:rFonts w:asciiTheme="majorBidi" w:eastAsia="Calibri" w:hAnsiTheme="majorBidi" w:cstheme="majorBidi"/>
          <w:color w:val="000000" w:themeColor="text1"/>
          <w:kern w:val="0"/>
          <w:sz w:val="36"/>
          <w:szCs w:val="36"/>
          <w:lang w:bidi="ar-EG"/>
          <w14:ligatures w14:val="none"/>
        </w:rPr>
        <w:t xml:space="preserve">Bandar </w:t>
      </w:r>
      <w:proofErr w:type="gramStart"/>
      <w:r w:rsidRPr="006A3D94">
        <w:rPr>
          <w:rFonts w:asciiTheme="majorBidi" w:eastAsia="Calibri" w:hAnsiTheme="majorBidi" w:cstheme="majorBidi"/>
          <w:color w:val="000000" w:themeColor="text1"/>
          <w:kern w:val="0"/>
          <w:sz w:val="36"/>
          <w:szCs w:val="36"/>
          <w:lang w:bidi="ar-EG"/>
          <w14:ligatures w14:val="none"/>
        </w:rPr>
        <w:t>khalid</w:t>
      </w:r>
      <w:proofErr w:type="gramEnd"/>
      <w:r w:rsidRPr="006A3D94">
        <w:rPr>
          <w:rFonts w:asciiTheme="majorBidi" w:eastAsia="Calibri" w:hAnsiTheme="majorBidi" w:cstheme="majorBidi"/>
          <w:color w:val="000000" w:themeColor="text1"/>
          <w:kern w:val="0"/>
          <w:sz w:val="36"/>
          <w:szCs w:val="36"/>
          <w:lang w:bidi="ar-EG"/>
          <w14:ligatures w14:val="none"/>
        </w:rPr>
        <w:t xml:space="preserve"> alshathri</w:t>
      </w:r>
    </w:p>
    <w:p w14:paraId="342E308E" w14:textId="66E1B029" w:rsidR="00E27D3B" w:rsidRPr="006A3D94" w:rsidRDefault="005A72B7" w:rsidP="006A3D9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6A3D94">
        <w:rPr>
          <w:rFonts w:asciiTheme="majorBidi" w:eastAsia="Calibri" w:hAnsiTheme="majorBidi" w:cstheme="majorBidi"/>
          <w:color w:val="000000" w:themeColor="text1"/>
          <w:kern w:val="0"/>
          <w:sz w:val="36"/>
          <w:szCs w:val="36"/>
          <w:lang w:bidi="ar-EG"/>
          <w14:ligatures w14:val="none"/>
        </w:rPr>
        <w:t>2021202130</w:t>
      </w:r>
    </w:p>
    <w:p w14:paraId="57DF244F" w14:textId="77777777" w:rsidR="006A3D94" w:rsidRPr="006A3D94" w:rsidRDefault="006A3D94" w:rsidP="006A3D9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A3D94" w:rsidRPr="006A3D94" w14:paraId="4887D8AD" w14:textId="77777777" w:rsidTr="006F7A15">
        <w:tc>
          <w:tcPr>
            <w:tcW w:w="4530" w:type="dxa"/>
          </w:tcPr>
          <w:p w14:paraId="1A3913E1" w14:textId="77777777" w:rsidR="006A3D94" w:rsidRPr="006A3D94" w:rsidRDefault="006A3D94" w:rsidP="006F7A1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A3D94">
              <w:rPr>
                <w:rFonts w:asciiTheme="majorBidi" w:eastAsia="Calibri" w:hAnsiTheme="majorBidi" w:cstheme="majorBidi"/>
                <w:b/>
                <w:bCs/>
                <w:color w:val="000000" w:themeColor="text1"/>
                <w:kern w:val="0"/>
                <w:sz w:val="36"/>
                <w:szCs w:val="36"/>
                <w:lang w:bidi="ar-EG"/>
                <w14:ligatures w14:val="none"/>
              </w:rPr>
              <w:t>Main supervisor</w:t>
            </w:r>
            <w:r w:rsidRPr="006A3D94">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ABC6553" w14:textId="77777777" w:rsidR="006A3D94" w:rsidRPr="006A3D94" w:rsidRDefault="006A3D94" w:rsidP="006F7A1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A3D94">
              <w:rPr>
                <w:rFonts w:asciiTheme="majorBidi" w:eastAsia="Calibri" w:hAnsiTheme="majorBidi" w:cstheme="majorBidi"/>
                <w:b/>
                <w:bCs/>
                <w:color w:val="000000" w:themeColor="text1"/>
                <w:kern w:val="0"/>
                <w:sz w:val="36"/>
                <w:szCs w:val="36"/>
                <w:lang w:bidi="ar-EG"/>
                <w14:ligatures w14:val="none"/>
              </w:rPr>
              <w:t>Second supervisor</w:t>
            </w:r>
            <w:r w:rsidRPr="006A3D94">
              <w:rPr>
                <w:rFonts w:asciiTheme="majorBidi" w:eastAsia="Calibri" w:hAnsiTheme="majorBidi" w:cstheme="majorBidi"/>
                <w:b/>
                <w:bCs/>
                <w:color w:val="000000" w:themeColor="text1"/>
                <w:kern w:val="0"/>
                <w:sz w:val="36"/>
                <w:szCs w:val="36"/>
                <w:rtl/>
                <w:lang w:bidi="ar-EG"/>
                <w14:ligatures w14:val="none"/>
              </w:rPr>
              <w:t>/</w:t>
            </w:r>
          </w:p>
        </w:tc>
      </w:tr>
      <w:tr w:rsidR="006A3D94" w:rsidRPr="006A3D94" w14:paraId="5DBE15B1" w14:textId="77777777" w:rsidTr="006F7A15">
        <w:tc>
          <w:tcPr>
            <w:tcW w:w="4530" w:type="dxa"/>
          </w:tcPr>
          <w:p w14:paraId="1E902F2E" w14:textId="77777777" w:rsidR="006A3D94" w:rsidRPr="006A3D94" w:rsidRDefault="006A3D94" w:rsidP="006F7A1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A3D94">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C6EB262" w14:textId="77777777" w:rsidR="006A3D94" w:rsidRPr="006A3D94" w:rsidRDefault="006A3D94" w:rsidP="006F7A1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6A3D94">
              <w:rPr>
                <w:rFonts w:asciiTheme="majorBidi" w:eastAsia="Calibri" w:hAnsiTheme="majorBidi" w:cstheme="majorBidi"/>
                <w:color w:val="000000" w:themeColor="text1"/>
                <w:kern w:val="0"/>
                <w:sz w:val="36"/>
                <w:szCs w:val="36"/>
                <w:lang w:bidi="ar-EG"/>
                <w14:ligatures w14:val="none"/>
              </w:rPr>
              <w:t>Dr. Fayez Jarad</w:t>
            </w:r>
          </w:p>
        </w:tc>
      </w:tr>
    </w:tbl>
    <w:p w14:paraId="60531B10" w14:textId="77777777" w:rsidR="006A3D94" w:rsidRPr="006A3D94" w:rsidRDefault="006A3D94" w:rsidP="006A3D9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6A3D94">
        <w:rPr>
          <w:rFonts w:asciiTheme="majorBidi" w:eastAsia="Calibri" w:hAnsiTheme="majorBidi" w:cstheme="majorBidi"/>
          <w:color w:val="000000" w:themeColor="text1"/>
          <w:kern w:val="0"/>
          <w:sz w:val="36"/>
          <w:szCs w:val="36"/>
          <w:rtl/>
          <w:lang w:bidi="ar-EG"/>
          <w14:ligatures w14:val="none"/>
        </w:rPr>
        <w:t>1448 – 2026</w:t>
      </w:r>
    </w:p>
    <w:p w14:paraId="4FF8E369" w14:textId="77777777" w:rsidR="006A3D94" w:rsidRPr="006A3D94" w:rsidRDefault="006A3D94" w:rsidP="006A3D94">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27307412" w14:textId="77777777" w:rsidR="00EA15E2" w:rsidRPr="006A3D94" w:rsidRDefault="00EA15E2" w:rsidP="00A76E5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4A21572" w14:textId="77777777" w:rsidR="00A76E59" w:rsidRPr="006A3D94" w:rsidRDefault="00A76E59">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A76E59" w:rsidRPr="006A3D94" w:rsidSect="00A76E59">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A7587B" w14:textId="77777777" w:rsidR="00126C93" w:rsidRDefault="00126C93" w:rsidP="009125CE">
      <w:pPr>
        <w:spacing w:after="0" w:line="240" w:lineRule="auto"/>
      </w:pPr>
      <w:r>
        <w:separator/>
      </w:r>
    </w:p>
  </w:endnote>
  <w:endnote w:type="continuationSeparator" w:id="0">
    <w:p w14:paraId="6D8DDFC5" w14:textId="77777777" w:rsidR="00126C93" w:rsidRDefault="00126C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236315081"/>
      <w:docPartObj>
        <w:docPartGallery w:val="Page Numbers (Bottom of Page)"/>
        <w:docPartUnique/>
      </w:docPartObj>
    </w:sdtPr>
    <w:sdtEndPr>
      <w:rPr>
        <w:noProof/>
      </w:rPr>
    </w:sdtEndPr>
    <w:sdtContent>
      <w:p w14:paraId="23F1FC77" w14:textId="2061154A" w:rsidR="006F7A15" w:rsidRPr="00A76E59" w:rsidRDefault="006F7A15">
        <w:pPr>
          <w:pStyle w:val="Footer"/>
          <w:jc w:val="center"/>
          <w:rPr>
            <w:rFonts w:ascii="Simplified Arabic" w:hAnsi="Simplified Arabic" w:cs="Simplified Arabic"/>
            <w:b/>
            <w:bCs/>
            <w:sz w:val="24"/>
            <w:szCs w:val="24"/>
          </w:rPr>
        </w:pPr>
      </w:p>
      <w:p w14:paraId="13047AE1" w14:textId="65BECB2C" w:rsidR="006F7A15" w:rsidRPr="00A76E59" w:rsidRDefault="006F7A15" w:rsidP="00A76E59">
        <w:pPr>
          <w:pStyle w:val="Footer"/>
          <w:jc w:val="center"/>
          <w:rPr>
            <w:rFonts w:ascii="Simplified Arabic" w:hAnsi="Simplified Arabic" w:cs="Simplified Arabic"/>
            <w:b/>
            <w:bCs/>
            <w:sz w:val="24"/>
            <w:szCs w:val="24"/>
          </w:rPr>
        </w:pPr>
        <w:r w:rsidRPr="00A76E59">
          <w:rPr>
            <w:rFonts w:ascii="Simplified Arabic" w:hAnsi="Simplified Arabic" w:cs="Simplified Arabic"/>
            <w:b/>
            <w:bCs/>
            <w:sz w:val="24"/>
            <w:szCs w:val="24"/>
          </w:rPr>
          <w:fldChar w:fldCharType="begin"/>
        </w:r>
        <w:r w:rsidRPr="00A76E59">
          <w:rPr>
            <w:rFonts w:ascii="Simplified Arabic" w:hAnsi="Simplified Arabic" w:cs="Simplified Arabic"/>
            <w:b/>
            <w:bCs/>
            <w:sz w:val="24"/>
            <w:szCs w:val="24"/>
          </w:rPr>
          <w:instrText xml:space="preserve"> PAGE    \* MERGEFORMAT </w:instrText>
        </w:r>
        <w:r w:rsidRPr="00A76E59">
          <w:rPr>
            <w:rFonts w:ascii="Simplified Arabic" w:hAnsi="Simplified Arabic" w:cs="Simplified Arabic"/>
            <w:b/>
            <w:bCs/>
            <w:sz w:val="24"/>
            <w:szCs w:val="24"/>
          </w:rPr>
          <w:fldChar w:fldCharType="separate"/>
        </w:r>
        <w:r w:rsidR="001215CD">
          <w:rPr>
            <w:rFonts w:ascii="Simplified Arabic" w:hAnsi="Simplified Arabic" w:cs="Simplified Arabic" w:hint="eastAsia"/>
            <w:b/>
            <w:bCs/>
            <w:noProof/>
            <w:sz w:val="24"/>
            <w:szCs w:val="24"/>
            <w:rtl/>
          </w:rPr>
          <w:t>‌أ</w:t>
        </w:r>
        <w:r w:rsidRPr="00A76E59">
          <w:rPr>
            <w:rFonts w:ascii="Simplified Arabic" w:hAnsi="Simplified Arabic" w:cs="Simplified Arabic"/>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1523060746"/>
      <w:docPartObj>
        <w:docPartGallery w:val="Page Numbers (Bottom of Page)"/>
        <w:docPartUnique/>
      </w:docPartObj>
    </w:sdtPr>
    <w:sdtEndPr>
      <w:rPr>
        <w:noProof/>
      </w:rPr>
    </w:sdtEndPr>
    <w:sdtContent>
      <w:p w14:paraId="52C54C7A" w14:textId="77777777" w:rsidR="006F7A15" w:rsidRPr="00A76E59" w:rsidRDefault="006F7A15">
        <w:pPr>
          <w:pStyle w:val="Footer"/>
          <w:jc w:val="center"/>
          <w:rPr>
            <w:rFonts w:ascii="Simplified Arabic" w:hAnsi="Simplified Arabic" w:cs="Simplified Arabic"/>
            <w:b/>
            <w:bCs/>
            <w:sz w:val="24"/>
            <w:szCs w:val="24"/>
          </w:rPr>
        </w:pPr>
        <w:r w:rsidRPr="00A76E59">
          <w:rPr>
            <w:rFonts w:ascii="Simplified Arabic" w:hAnsi="Simplified Arabic" w:cs="Simplified Arabic"/>
            <w:b/>
            <w:bCs/>
            <w:noProof/>
            <w:sz w:val="24"/>
            <w:szCs w:val="24"/>
          </w:rPr>
          <mc:AlternateContent>
            <mc:Choice Requires="wps">
              <w:drawing>
                <wp:inline distT="0" distB="0" distL="0" distR="0" wp14:anchorId="716CBA4B" wp14:editId="7333BD2A">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444217B"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7613D203" w14:textId="77777777" w:rsidR="006F7A15" w:rsidRPr="00A76E59" w:rsidRDefault="006F7A15" w:rsidP="00A76E59">
        <w:pPr>
          <w:pStyle w:val="Footer"/>
          <w:jc w:val="center"/>
          <w:rPr>
            <w:rFonts w:ascii="Simplified Arabic" w:hAnsi="Simplified Arabic" w:cs="Simplified Arabic"/>
            <w:b/>
            <w:bCs/>
            <w:sz w:val="24"/>
            <w:szCs w:val="24"/>
          </w:rPr>
        </w:pPr>
        <w:r w:rsidRPr="00A76E59">
          <w:rPr>
            <w:rFonts w:ascii="Simplified Arabic" w:hAnsi="Simplified Arabic" w:cs="Simplified Arabic"/>
            <w:b/>
            <w:bCs/>
            <w:sz w:val="24"/>
            <w:szCs w:val="24"/>
          </w:rPr>
          <w:fldChar w:fldCharType="begin"/>
        </w:r>
        <w:r w:rsidRPr="00A76E59">
          <w:rPr>
            <w:rFonts w:ascii="Simplified Arabic" w:hAnsi="Simplified Arabic" w:cs="Simplified Arabic"/>
            <w:b/>
            <w:bCs/>
            <w:sz w:val="24"/>
            <w:szCs w:val="24"/>
          </w:rPr>
          <w:instrText xml:space="preserve"> PAGE    \* MERGEFORMAT </w:instrText>
        </w:r>
        <w:r w:rsidRPr="00A76E59">
          <w:rPr>
            <w:rFonts w:ascii="Simplified Arabic" w:hAnsi="Simplified Arabic" w:cs="Simplified Arabic"/>
            <w:b/>
            <w:bCs/>
            <w:sz w:val="24"/>
            <w:szCs w:val="24"/>
          </w:rPr>
          <w:fldChar w:fldCharType="separate"/>
        </w:r>
        <w:r w:rsidR="001215CD">
          <w:rPr>
            <w:rFonts w:ascii="Simplified Arabic" w:hAnsi="Simplified Arabic" w:cs="Simplified Arabic"/>
            <w:b/>
            <w:bCs/>
            <w:noProof/>
            <w:sz w:val="24"/>
            <w:szCs w:val="24"/>
            <w:rtl/>
          </w:rPr>
          <w:t>38</w:t>
        </w:r>
        <w:r w:rsidRPr="00A76E59">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030062033"/>
      <w:docPartObj>
        <w:docPartGallery w:val="Page Numbers (Bottom of Page)"/>
        <w:docPartUnique/>
      </w:docPartObj>
    </w:sdtPr>
    <w:sdtEndPr>
      <w:rPr>
        <w:noProof/>
      </w:rPr>
    </w:sdtEndPr>
    <w:sdtContent>
      <w:p w14:paraId="0F7A7582" w14:textId="5923D091" w:rsidR="006F7A15" w:rsidRPr="00A76E59" w:rsidRDefault="006F7A15">
        <w:pPr>
          <w:pStyle w:val="Footer"/>
          <w:jc w:val="center"/>
          <w:rPr>
            <w:rFonts w:ascii="Simplified Arabic" w:hAnsi="Simplified Arabic" w:cs="Simplified Arabic"/>
            <w:b/>
            <w:bCs/>
            <w:sz w:val="24"/>
            <w:szCs w:val="24"/>
          </w:rPr>
        </w:pPr>
      </w:p>
      <w:p w14:paraId="67FAA642" w14:textId="2ADA48C3" w:rsidR="006F7A15" w:rsidRPr="00A76E59" w:rsidRDefault="006F7A15" w:rsidP="00A76E59">
        <w:pPr>
          <w:pStyle w:val="Footer"/>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1F9B6" w14:textId="77777777" w:rsidR="00126C93" w:rsidRDefault="00126C93" w:rsidP="009125CE">
      <w:pPr>
        <w:spacing w:after="0" w:line="240" w:lineRule="auto"/>
      </w:pPr>
      <w:r>
        <w:separator/>
      </w:r>
    </w:p>
  </w:footnote>
  <w:footnote w:type="continuationSeparator" w:id="0">
    <w:p w14:paraId="04B06DCA" w14:textId="77777777" w:rsidR="00126C93" w:rsidRDefault="00126C9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22543"/>
    <w:multiLevelType w:val="multilevel"/>
    <w:tmpl w:val="7C1E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5F432F"/>
    <w:multiLevelType w:val="hybridMultilevel"/>
    <w:tmpl w:val="287EB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132954"/>
    <w:multiLevelType w:val="hybridMultilevel"/>
    <w:tmpl w:val="8DFC9D7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003958"/>
    <w:multiLevelType w:val="multilevel"/>
    <w:tmpl w:val="2AC2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292FB4"/>
    <w:multiLevelType w:val="hybridMultilevel"/>
    <w:tmpl w:val="6C62622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E52B39"/>
    <w:multiLevelType w:val="multilevel"/>
    <w:tmpl w:val="DA3CD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22584C"/>
    <w:multiLevelType w:val="hybridMultilevel"/>
    <w:tmpl w:val="5E0C598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9A5490F"/>
    <w:multiLevelType w:val="multilevel"/>
    <w:tmpl w:val="2AC2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1823BB"/>
    <w:multiLevelType w:val="hybridMultilevel"/>
    <w:tmpl w:val="E87EA6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755545"/>
    <w:multiLevelType w:val="multilevel"/>
    <w:tmpl w:val="FD040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1652B3"/>
    <w:multiLevelType w:val="multilevel"/>
    <w:tmpl w:val="B626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8811DE"/>
    <w:multiLevelType w:val="multilevel"/>
    <w:tmpl w:val="57E4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752173"/>
    <w:multiLevelType w:val="multilevel"/>
    <w:tmpl w:val="D32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9D0776B"/>
    <w:multiLevelType w:val="multilevel"/>
    <w:tmpl w:val="2AC2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F74E66"/>
    <w:multiLevelType w:val="multilevel"/>
    <w:tmpl w:val="D326D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E57AD4"/>
    <w:multiLevelType w:val="hybridMultilevel"/>
    <w:tmpl w:val="D3A05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0BF7A5D"/>
    <w:multiLevelType w:val="hybridMultilevel"/>
    <w:tmpl w:val="202A30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73B33E8"/>
    <w:multiLevelType w:val="hybridMultilevel"/>
    <w:tmpl w:val="2B6C1E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2192FB3"/>
    <w:multiLevelType w:val="hybridMultilevel"/>
    <w:tmpl w:val="3B70A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0D44AC"/>
    <w:multiLevelType w:val="hybridMultilevel"/>
    <w:tmpl w:val="96C68EB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A8D384B"/>
    <w:multiLevelType w:val="hybridMultilevel"/>
    <w:tmpl w:val="90A8263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1"/>
  </w:num>
  <w:num w:numId="2">
    <w:abstractNumId w:val="23"/>
  </w:num>
  <w:num w:numId="3">
    <w:abstractNumId w:val="6"/>
  </w:num>
  <w:num w:numId="4">
    <w:abstractNumId w:val="0"/>
  </w:num>
  <w:num w:numId="5">
    <w:abstractNumId w:val="11"/>
  </w:num>
  <w:num w:numId="6">
    <w:abstractNumId w:val="1"/>
  </w:num>
  <w:num w:numId="7">
    <w:abstractNumId w:val="19"/>
  </w:num>
  <w:num w:numId="8">
    <w:abstractNumId w:val="12"/>
  </w:num>
  <w:num w:numId="9">
    <w:abstractNumId w:val="13"/>
  </w:num>
  <w:num w:numId="10">
    <w:abstractNumId w:val="3"/>
  </w:num>
  <w:num w:numId="11">
    <w:abstractNumId w:val="10"/>
  </w:num>
  <w:num w:numId="12">
    <w:abstractNumId w:val="9"/>
  </w:num>
  <w:num w:numId="13">
    <w:abstractNumId w:val="4"/>
  </w:num>
  <w:num w:numId="14">
    <w:abstractNumId w:val="2"/>
  </w:num>
  <w:num w:numId="15">
    <w:abstractNumId w:val="7"/>
  </w:num>
  <w:num w:numId="16">
    <w:abstractNumId w:val="18"/>
  </w:num>
  <w:num w:numId="17">
    <w:abstractNumId w:val="20"/>
  </w:num>
  <w:num w:numId="18">
    <w:abstractNumId w:val="15"/>
  </w:num>
  <w:num w:numId="19">
    <w:abstractNumId w:val="16"/>
  </w:num>
  <w:num w:numId="20">
    <w:abstractNumId w:val="14"/>
  </w:num>
  <w:num w:numId="21">
    <w:abstractNumId w:val="8"/>
  </w:num>
  <w:num w:numId="22">
    <w:abstractNumId w:val="24"/>
  </w:num>
  <w:num w:numId="23">
    <w:abstractNumId w:val="17"/>
  </w:num>
  <w:num w:numId="24">
    <w:abstractNumId w:val="5"/>
  </w:num>
  <w:num w:numId="25">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55C9"/>
    <w:rsid w:val="00037B0D"/>
    <w:rsid w:val="0004554E"/>
    <w:rsid w:val="00052AB0"/>
    <w:rsid w:val="00053122"/>
    <w:rsid w:val="000543EF"/>
    <w:rsid w:val="000602CA"/>
    <w:rsid w:val="000610C9"/>
    <w:rsid w:val="00061FA2"/>
    <w:rsid w:val="00064FF1"/>
    <w:rsid w:val="00066435"/>
    <w:rsid w:val="00066764"/>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15CD"/>
    <w:rsid w:val="0012342D"/>
    <w:rsid w:val="00126C93"/>
    <w:rsid w:val="001306F3"/>
    <w:rsid w:val="00131E44"/>
    <w:rsid w:val="00143989"/>
    <w:rsid w:val="00145157"/>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3442"/>
    <w:rsid w:val="001C42F9"/>
    <w:rsid w:val="001D4406"/>
    <w:rsid w:val="001E7B16"/>
    <w:rsid w:val="001F0034"/>
    <w:rsid w:val="001F159D"/>
    <w:rsid w:val="001F46A5"/>
    <w:rsid w:val="00214C00"/>
    <w:rsid w:val="0021718D"/>
    <w:rsid w:val="00217ADA"/>
    <w:rsid w:val="00223AE0"/>
    <w:rsid w:val="002304C2"/>
    <w:rsid w:val="00232A96"/>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47FE"/>
    <w:rsid w:val="002D5C0C"/>
    <w:rsid w:val="002E36BC"/>
    <w:rsid w:val="002E4629"/>
    <w:rsid w:val="002F54F4"/>
    <w:rsid w:val="002F5FA3"/>
    <w:rsid w:val="00301731"/>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1F41"/>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77C"/>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01D5"/>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2B7"/>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3D94"/>
    <w:rsid w:val="006A6C3D"/>
    <w:rsid w:val="006B07CD"/>
    <w:rsid w:val="006B3A4B"/>
    <w:rsid w:val="006B40EF"/>
    <w:rsid w:val="006B4F02"/>
    <w:rsid w:val="006D0A16"/>
    <w:rsid w:val="006D4C88"/>
    <w:rsid w:val="006E4126"/>
    <w:rsid w:val="006E41F3"/>
    <w:rsid w:val="006E65A3"/>
    <w:rsid w:val="006F162C"/>
    <w:rsid w:val="006F29F1"/>
    <w:rsid w:val="006F7A15"/>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02C"/>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E7C4E"/>
    <w:rsid w:val="008F1EAE"/>
    <w:rsid w:val="008F6829"/>
    <w:rsid w:val="008F6B36"/>
    <w:rsid w:val="0090105B"/>
    <w:rsid w:val="0090438F"/>
    <w:rsid w:val="00905FD8"/>
    <w:rsid w:val="0091196C"/>
    <w:rsid w:val="009125CE"/>
    <w:rsid w:val="00914D5B"/>
    <w:rsid w:val="0092088B"/>
    <w:rsid w:val="009216A4"/>
    <w:rsid w:val="00927901"/>
    <w:rsid w:val="009307B0"/>
    <w:rsid w:val="00930A79"/>
    <w:rsid w:val="00932A89"/>
    <w:rsid w:val="00937CA3"/>
    <w:rsid w:val="0094753B"/>
    <w:rsid w:val="00951F48"/>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3A69"/>
    <w:rsid w:val="00A71BCE"/>
    <w:rsid w:val="00A74F76"/>
    <w:rsid w:val="00A76E59"/>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3B0F"/>
    <w:rsid w:val="00B653F7"/>
    <w:rsid w:val="00B70C11"/>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1177"/>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32C83"/>
    <w:rsid w:val="00D417B5"/>
    <w:rsid w:val="00D44D80"/>
    <w:rsid w:val="00D5653F"/>
    <w:rsid w:val="00D56FCA"/>
    <w:rsid w:val="00D60743"/>
    <w:rsid w:val="00D92BC0"/>
    <w:rsid w:val="00D92F77"/>
    <w:rsid w:val="00D965B5"/>
    <w:rsid w:val="00DA0EBA"/>
    <w:rsid w:val="00DA1C1B"/>
    <w:rsid w:val="00DA3C05"/>
    <w:rsid w:val="00DA48D0"/>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56690"/>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4F1B"/>
    <w:rsid w:val="00F1646F"/>
    <w:rsid w:val="00F30BD7"/>
    <w:rsid w:val="00F310F2"/>
    <w:rsid w:val="00F33937"/>
    <w:rsid w:val="00F3442D"/>
    <w:rsid w:val="00F4304F"/>
    <w:rsid w:val="00F450D5"/>
    <w:rsid w:val="00F5290F"/>
    <w:rsid w:val="00F540A1"/>
    <w:rsid w:val="00F546CE"/>
    <w:rsid w:val="00F563E2"/>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1C3442"/>
    <w:pPr>
      <w:spacing w:after="100"/>
      <w:ind w:left="440"/>
    </w:pPr>
  </w:style>
  <w:style w:type="table" w:styleId="GridTable4-Accent1">
    <w:name w:val="Grid Table 4 Accent 1"/>
    <w:basedOn w:val="TableNormal"/>
    <w:uiPriority w:val="49"/>
    <w:rsid w:val="00A76E59"/>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3-Accent1">
    <w:name w:val="Grid Table 3 Accent 1"/>
    <w:basedOn w:val="TableNormal"/>
    <w:uiPriority w:val="48"/>
    <w:rsid w:val="00066435"/>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6Colorful-Accent3">
    <w:name w:val="Grid Table 6 Colorful Accent 3"/>
    <w:basedOn w:val="TableNormal"/>
    <w:uiPriority w:val="51"/>
    <w:rsid w:val="0006643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194245">
      <w:bodyDiv w:val="1"/>
      <w:marLeft w:val="0"/>
      <w:marRight w:val="0"/>
      <w:marTop w:val="0"/>
      <w:marBottom w:val="0"/>
      <w:divBdr>
        <w:top w:val="none" w:sz="0" w:space="0" w:color="auto"/>
        <w:left w:val="none" w:sz="0" w:space="0" w:color="auto"/>
        <w:bottom w:val="none" w:sz="0" w:space="0" w:color="auto"/>
        <w:right w:val="none" w:sz="0" w:space="0" w:color="auto"/>
      </w:divBdr>
      <w:divsChild>
        <w:div w:id="676880785">
          <w:marLeft w:val="0"/>
          <w:marRight w:val="0"/>
          <w:marTop w:val="0"/>
          <w:marBottom w:val="0"/>
          <w:divBdr>
            <w:top w:val="none" w:sz="0" w:space="0" w:color="auto"/>
            <w:left w:val="none" w:sz="0" w:space="0" w:color="auto"/>
            <w:bottom w:val="none" w:sz="0" w:space="0" w:color="auto"/>
            <w:right w:val="none" w:sz="0" w:space="0" w:color="auto"/>
          </w:divBdr>
        </w:div>
      </w:divsChild>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44460470">
      <w:bodyDiv w:val="1"/>
      <w:marLeft w:val="0"/>
      <w:marRight w:val="0"/>
      <w:marTop w:val="0"/>
      <w:marBottom w:val="0"/>
      <w:divBdr>
        <w:top w:val="none" w:sz="0" w:space="0" w:color="auto"/>
        <w:left w:val="none" w:sz="0" w:space="0" w:color="auto"/>
        <w:bottom w:val="none" w:sz="0" w:space="0" w:color="auto"/>
        <w:right w:val="none" w:sz="0" w:space="0" w:color="auto"/>
      </w:divBdr>
    </w:div>
    <w:div w:id="271717268">
      <w:bodyDiv w:val="1"/>
      <w:marLeft w:val="0"/>
      <w:marRight w:val="0"/>
      <w:marTop w:val="0"/>
      <w:marBottom w:val="0"/>
      <w:divBdr>
        <w:top w:val="none" w:sz="0" w:space="0" w:color="auto"/>
        <w:left w:val="none" w:sz="0" w:space="0" w:color="auto"/>
        <w:bottom w:val="none" w:sz="0" w:space="0" w:color="auto"/>
        <w:right w:val="none" w:sz="0" w:space="0" w:color="auto"/>
      </w:divBdr>
      <w:divsChild>
        <w:div w:id="944729953">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1625902">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14761304">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75970350">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407320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5478319">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5807261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0447966">
      <w:bodyDiv w:val="1"/>
      <w:marLeft w:val="0"/>
      <w:marRight w:val="0"/>
      <w:marTop w:val="0"/>
      <w:marBottom w:val="0"/>
      <w:divBdr>
        <w:top w:val="none" w:sz="0" w:space="0" w:color="auto"/>
        <w:left w:val="none" w:sz="0" w:space="0" w:color="auto"/>
        <w:bottom w:val="none" w:sz="0" w:space="0" w:color="auto"/>
        <w:right w:val="none" w:sz="0" w:space="0" w:color="auto"/>
      </w:divBdr>
      <w:divsChild>
        <w:div w:id="1000889232">
          <w:marLeft w:val="0"/>
          <w:marRight w:val="0"/>
          <w:marTop w:val="0"/>
          <w:marBottom w:val="0"/>
          <w:divBdr>
            <w:top w:val="none" w:sz="0" w:space="0" w:color="auto"/>
            <w:left w:val="none" w:sz="0" w:space="0" w:color="auto"/>
            <w:bottom w:val="none" w:sz="0" w:space="0" w:color="auto"/>
            <w:right w:val="none" w:sz="0" w:space="0" w:color="auto"/>
          </w:divBdr>
        </w:div>
      </w:divsChild>
    </w:div>
    <w:div w:id="1034774736">
      <w:bodyDiv w:val="1"/>
      <w:marLeft w:val="0"/>
      <w:marRight w:val="0"/>
      <w:marTop w:val="0"/>
      <w:marBottom w:val="0"/>
      <w:divBdr>
        <w:top w:val="none" w:sz="0" w:space="0" w:color="auto"/>
        <w:left w:val="none" w:sz="0" w:space="0" w:color="auto"/>
        <w:bottom w:val="none" w:sz="0" w:space="0" w:color="auto"/>
        <w:right w:val="none" w:sz="0" w:space="0" w:color="auto"/>
      </w:divBdr>
    </w:div>
    <w:div w:id="1039087203">
      <w:bodyDiv w:val="1"/>
      <w:marLeft w:val="0"/>
      <w:marRight w:val="0"/>
      <w:marTop w:val="0"/>
      <w:marBottom w:val="0"/>
      <w:divBdr>
        <w:top w:val="none" w:sz="0" w:space="0" w:color="auto"/>
        <w:left w:val="none" w:sz="0" w:space="0" w:color="auto"/>
        <w:bottom w:val="none" w:sz="0" w:space="0" w:color="auto"/>
        <w:right w:val="none" w:sz="0" w:space="0" w:color="auto"/>
      </w:divBdr>
      <w:divsChild>
        <w:div w:id="254288179">
          <w:marLeft w:val="0"/>
          <w:marRight w:val="0"/>
          <w:marTop w:val="0"/>
          <w:marBottom w:val="0"/>
          <w:divBdr>
            <w:top w:val="none" w:sz="0" w:space="0" w:color="auto"/>
            <w:left w:val="none" w:sz="0" w:space="0" w:color="auto"/>
            <w:bottom w:val="none" w:sz="0" w:space="0" w:color="auto"/>
            <w:right w:val="none" w:sz="0" w:space="0" w:color="auto"/>
          </w:divBdr>
        </w:div>
      </w:divsChild>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709058">
      <w:bodyDiv w:val="1"/>
      <w:marLeft w:val="0"/>
      <w:marRight w:val="0"/>
      <w:marTop w:val="0"/>
      <w:marBottom w:val="0"/>
      <w:divBdr>
        <w:top w:val="none" w:sz="0" w:space="0" w:color="auto"/>
        <w:left w:val="none" w:sz="0" w:space="0" w:color="auto"/>
        <w:bottom w:val="none" w:sz="0" w:space="0" w:color="auto"/>
        <w:right w:val="none" w:sz="0" w:space="0" w:color="auto"/>
      </w:divBdr>
      <w:divsChild>
        <w:div w:id="1946575841">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54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814377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263237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5645E2-104C-4DE7-9D8C-93E6B838B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10742</Words>
  <Characters>61230</Characters>
  <Application>Microsoft Office Word</Application>
  <DocSecurity>0</DocSecurity>
  <Lines>510</Lines>
  <Paragraphs>143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71829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2026-06-27T12:11:00Z</cp:lastPrinted>
  <dcterms:created xsi:type="dcterms:W3CDTF">2026-06-27T12:10:00Z</dcterms:created>
  <dcterms:modified xsi:type="dcterms:W3CDTF">2026-06-27T12:11:00Z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