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3346E" w14:textId="77777777" w:rsidR="00042B9F" w:rsidRPr="007B4750" w:rsidRDefault="0013389F" w:rsidP="007B4750">
      <w:pPr>
        <w:bidi/>
        <w:jc w:val="center"/>
        <w:rPr>
          <w:bCs/>
        </w:rPr>
      </w:pPr>
      <w:r w:rsidRPr="007B4750">
        <w:rPr>
          <w:bCs/>
          <w:sz w:val="30"/>
          <w:rtl/>
        </w:rPr>
        <w:t>التقرير النهائي لمراجعة الفصل الثاني</w:t>
      </w:r>
    </w:p>
    <w:p w14:paraId="7B2F3C6B" w14:textId="77777777" w:rsidR="00042B9F" w:rsidRPr="007B4750" w:rsidRDefault="0013389F" w:rsidP="007B4750">
      <w:pPr>
        <w:bidi/>
        <w:jc w:val="center"/>
        <w:rPr>
          <w:bCs/>
        </w:rPr>
      </w:pPr>
      <w:r w:rsidRPr="007B4750">
        <w:rPr>
          <w:bCs/>
          <w:sz w:val="26"/>
          <w:rtl/>
        </w:rPr>
        <w:t>الإطار النظري والدراسات السابقة</w:t>
      </w:r>
    </w:p>
    <w:p w14:paraId="5E2DDA9E" w14:textId="77777777" w:rsidR="00042B9F" w:rsidRDefault="00042B9F" w:rsidP="007B4750">
      <w:pPr>
        <w:bidi/>
      </w:pPr>
    </w:p>
    <w:tbl>
      <w:tblPr>
        <w:tblStyle w:val="TableGrid"/>
        <w:bidiVisual/>
        <w:tblW w:w="0" w:type="auto"/>
        <w:jc w:val="center"/>
        <w:tblLook w:val="04A0" w:firstRow="1" w:lastRow="0" w:firstColumn="1" w:lastColumn="0" w:noHBand="0" w:noVBand="1"/>
      </w:tblPr>
      <w:tblGrid>
        <w:gridCol w:w="2381"/>
        <w:gridCol w:w="6690"/>
      </w:tblGrid>
      <w:tr w:rsidR="00042B9F" w14:paraId="6087D5DD" w14:textId="77777777" w:rsidTr="007B4750">
        <w:trPr>
          <w:jc w:val="center"/>
        </w:trPr>
        <w:tc>
          <w:tcPr>
            <w:tcW w:w="2381" w:type="dxa"/>
            <w:shd w:val="clear" w:color="auto" w:fill="D9EAF7"/>
            <w:tcMar>
              <w:top w:w="120" w:type="dxa"/>
              <w:left w:w="120" w:type="dxa"/>
              <w:bottom w:w="120" w:type="dxa"/>
              <w:right w:w="120" w:type="dxa"/>
            </w:tcMar>
            <w:vAlign w:val="center"/>
          </w:tcPr>
          <w:p w14:paraId="2028C215" w14:textId="77777777" w:rsidR="00042B9F" w:rsidRPr="007B4750" w:rsidRDefault="0013389F" w:rsidP="007B4750">
            <w:pPr>
              <w:bidi/>
              <w:jc w:val="center"/>
              <w:rPr>
                <w:bCs/>
              </w:rPr>
            </w:pPr>
            <w:r w:rsidRPr="007B4750">
              <w:rPr>
                <w:bCs/>
                <w:rtl/>
              </w:rPr>
              <w:t>اسم الطالب</w:t>
            </w:r>
          </w:p>
        </w:tc>
        <w:tc>
          <w:tcPr>
            <w:tcW w:w="6690" w:type="dxa"/>
            <w:tcMar>
              <w:top w:w="120" w:type="dxa"/>
              <w:left w:w="120" w:type="dxa"/>
              <w:bottom w:w="120" w:type="dxa"/>
              <w:right w:w="120" w:type="dxa"/>
            </w:tcMar>
            <w:vAlign w:val="center"/>
          </w:tcPr>
          <w:p w14:paraId="56AA5B92" w14:textId="77777777" w:rsidR="00042B9F" w:rsidRPr="0070063B" w:rsidRDefault="0013389F" w:rsidP="007B4750">
            <w:pPr>
              <w:bidi/>
              <w:jc w:val="center"/>
              <w:rPr>
                <w:b/>
                <w:bCs/>
              </w:rPr>
            </w:pPr>
            <w:proofErr w:type="gramStart"/>
            <w:r w:rsidRPr="0070063B">
              <w:rPr>
                <w:b/>
                <w:bCs/>
                <w:rtl/>
              </w:rPr>
              <w:t>عبدالعزيز</w:t>
            </w:r>
            <w:proofErr w:type="gramEnd"/>
            <w:r w:rsidRPr="0070063B">
              <w:rPr>
                <w:b/>
                <w:bCs/>
                <w:rtl/>
              </w:rPr>
              <w:t xml:space="preserve"> الحربي</w:t>
            </w:r>
          </w:p>
        </w:tc>
      </w:tr>
      <w:tr w:rsidR="00042B9F" w14:paraId="4EB11570" w14:textId="77777777" w:rsidTr="007B4750">
        <w:trPr>
          <w:jc w:val="center"/>
        </w:trPr>
        <w:tc>
          <w:tcPr>
            <w:tcW w:w="2381" w:type="dxa"/>
            <w:shd w:val="clear" w:color="auto" w:fill="D9EAF7"/>
            <w:tcMar>
              <w:top w:w="120" w:type="dxa"/>
              <w:left w:w="120" w:type="dxa"/>
              <w:bottom w:w="120" w:type="dxa"/>
              <w:right w:w="120" w:type="dxa"/>
            </w:tcMar>
            <w:vAlign w:val="center"/>
          </w:tcPr>
          <w:p w14:paraId="562479B8" w14:textId="77777777" w:rsidR="00042B9F" w:rsidRPr="007B4750" w:rsidRDefault="0013389F" w:rsidP="007B4750">
            <w:pPr>
              <w:bidi/>
              <w:jc w:val="center"/>
              <w:rPr>
                <w:bCs/>
              </w:rPr>
            </w:pPr>
            <w:r w:rsidRPr="007B4750">
              <w:rPr>
                <w:bCs/>
                <w:rtl/>
              </w:rPr>
              <w:t>موضوع الرسالة</w:t>
            </w:r>
          </w:p>
        </w:tc>
        <w:tc>
          <w:tcPr>
            <w:tcW w:w="6690" w:type="dxa"/>
            <w:tcMar>
              <w:top w:w="120" w:type="dxa"/>
              <w:left w:w="120" w:type="dxa"/>
              <w:bottom w:w="120" w:type="dxa"/>
              <w:right w:w="120" w:type="dxa"/>
            </w:tcMar>
            <w:vAlign w:val="center"/>
          </w:tcPr>
          <w:p w14:paraId="505E5A0A" w14:textId="77777777" w:rsidR="00042B9F" w:rsidRPr="0070063B" w:rsidRDefault="0013389F" w:rsidP="007B4750">
            <w:pPr>
              <w:bidi/>
              <w:jc w:val="center"/>
              <w:rPr>
                <w:b/>
                <w:bCs/>
              </w:rPr>
            </w:pPr>
            <w:r w:rsidRPr="0070063B">
              <w:rPr>
                <w:b/>
                <w:bCs/>
                <w:rtl/>
              </w:rPr>
              <w:t>دور الذكاء الاصطناعي في تعزيز فعالية نظم المراقبة الأمنية الذكية في المدن السعودية الكبرى – دراسة تطبيقية على مدينة الرياض</w:t>
            </w:r>
          </w:p>
        </w:tc>
      </w:tr>
      <w:tr w:rsidR="00042B9F" w14:paraId="07F9A816" w14:textId="77777777" w:rsidTr="007B4750">
        <w:trPr>
          <w:jc w:val="center"/>
        </w:trPr>
        <w:tc>
          <w:tcPr>
            <w:tcW w:w="2381" w:type="dxa"/>
            <w:shd w:val="clear" w:color="auto" w:fill="D9EAF7"/>
            <w:tcMar>
              <w:top w:w="120" w:type="dxa"/>
              <w:left w:w="120" w:type="dxa"/>
              <w:bottom w:w="120" w:type="dxa"/>
              <w:right w:w="120" w:type="dxa"/>
            </w:tcMar>
            <w:vAlign w:val="center"/>
          </w:tcPr>
          <w:p w14:paraId="7A90416D" w14:textId="77777777" w:rsidR="00042B9F" w:rsidRPr="007B4750" w:rsidRDefault="0013389F" w:rsidP="007B4750">
            <w:pPr>
              <w:bidi/>
              <w:jc w:val="center"/>
              <w:rPr>
                <w:bCs/>
              </w:rPr>
            </w:pPr>
            <w:r w:rsidRPr="007B4750">
              <w:rPr>
                <w:bCs/>
                <w:rtl/>
              </w:rPr>
              <w:t>نوع المراجعة</w:t>
            </w:r>
          </w:p>
        </w:tc>
        <w:tc>
          <w:tcPr>
            <w:tcW w:w="6690" w:type="dxa"/>
            <w:tcMar>
              <w:top w:w="120" w:type="dxa"/>
              <w:left w:w="120" w:type="dxa"/>
              <w:bottom w:w="120" w:type="dxa"/>
              <w:right w:w="120" w:type="dxa"/>
            </w:tcMar>
            <w:vAlign w:val="center"/>
          </w:tcPr>
          <w:p w14:paraId="0B2AE757" w14:textId="77777777" w:rsidR="00042B9F" w:rsidRPr="0070063B" w:rsidRDefault="0013389F" w:rsidP="007B4750">
            <w:pPr>
              <w:bidi/>
              <w:jc w:val="center"/>
              <w:rPr>
                <w:b/>
                <w:bCs/>
              </w:rPr>
            </w:pPr>
            <w:r w:rsidRPr="0070063B">
              <w:rPr>
                <w:b/>
                <w:bCs/>
                <w:rtl/>
              </w:rPr>
              <w:t>مقارنة بين تقرير المراجعة السابق والنسخة الحالية للفصل الثاني</w:t>
            </w:r>
          </w:p>
        </w:tc>
      </w:tr>
      <w:tr w:rsidR="00042B9F" w14:paraId="0EACEC03" w14:textId="77777777" w:rsidTr="007B4750">
        <w:trPr>
          <w:jc w:val="center"/>
        </w:trPr>
        <w:tc>
          <w:tcPr>
            <w:tcW w:w="2381" w:type="dxa"/>
            <w:shd w:val="clear" w:color="auto" w:fill="D9EAF7"/>
            <w:tcMar>
              <w:top w:w="120" w:type="dxa"/>
              <w:left w:w="120" w:type="dxa"/>
              <w:bottom w:w="120" w:type="dxa"/>
              <w:right w:w="120" w:type="dxa"/>
            </w:tcMar>
            <w:vAlign w:val="center"/>
          </w:tcPr>
          <w:p w14:paraId="0FB1FF4E" w14:textId="77777777" w:rsidR="00042B9F" w:rsidRPr="007B4750" w:rsidRDefault="0013389F" w:rsidP="007B4750">
            <w:pPr>
              <w:bidi/>
              <w:jc w:val="center"/>
              <w:rPr>
                <w:bCs/>
              </w:rPr>
            </w:pPr>
            <w:r w:rsidRPr="007B4750">
              <w:rPr>
                <w:bCs/>
                <w:rtl/>
              </w:rPr>
              <w:t>قرار المراجعة</w:t>
            </w:r>
          </w:p>
        </w:tc>
        <w:tc>
          <w:tcPr>
            <w:tcW w:w="6690" w:type="dxa"/>
            <w:tcMar>
              <w:top w:w="120" w:type="dxa"/>
              <w:left w:w="120" w:type="dxa"/>
              <w:bottom w:w="120" w:type="dxa"/>
              <w:right w:w="120" w:type="dxa"/>
            </w:tcMar>
            <w:vAlign w:val="center"/>
          </w:tcPr>
          <w:p w14:paraId="3A9C065D" w14:textId="77777777" w:rsidR="00042B9F" w:rsidRPr="0070063B" w:rsidRDefault="0013389F" w:rsidP="007B4750">
            <w:pPr>
              <w:bidi/>
              <w:jc w:val="center"/>
              <w:rPr>
                <w:b/>
                <w:bCs/>
              </w:rPr>
            </w:pPr>
            <w:r w:rsidRPr="0070063B">
              <w:rPr>
                <w:b/>
                <w:bCs/>
                <w:rtl/>
              </w:rPr>
              <w:t>تعديلات جوهرية مطلوبة (Major Revision)</w:t>
            </w:r>
          </w:p>
        </w:tc>
      </w:tr>
    </w:tbl>
    <w:p w14:paraId="1AE6FAD8" w14:textId="77777777" w:rsidR="00042B9F" w:rsidRDefault="00042B9F" w:rsidP="007B4750">
      <w:pPr>
        <w:bidi/>
      </w:pPr>
    </w:p>
    <w:p w14:paraId="2A31FC73" w14:textId="77777777" w:rsidR="00042B9F" w:rsidRPr="007B4750" w:rsidRDefault="0013389F" w:rsidP="007B4750">
      <w:pPr>
        <w:bidi/>
        <w:rPr>
          <w:bCs/>
        </w:rPr>
      </w:pPr>
      <w:r w:rsidRPr="007B4750">
        <w:rPr>
          <w:bCs/>
          <w:sz w:val="24"/>
          <w:rtl/>
        </w:rPr>
        <w:t>أولًا: التقدير العام</w:t>
      </w:r>
    </w:p>
    <w:p w14:paraId="5AAE824C" w14:textId="77777777" w:rsidR="00042B9F" w:rsidRDefault="0013389F" w:rsidP="007B4750">
      <w:pPr>
        <w:bidi/>
        <w:jc w:val="both"/>
      </w:pPr>
      <w:r>
        <w:rPr>
          <w:rtl/>
        </w:rPr>
        <w:t>تُظهر النسخة الحالية تحسنًا ملحوظًا مقارنة بتقرير المراجعة السابق؛ إذ أضيف تمهيد أوضح للفصل، وذُكرت معايير عامة لمراجعة الأدبيات، كما أُدرجت تعريفات تشغيلية وأبعاد للمتغيرات مع أمثلة على القياس. ومع ذلك، فإن هذا التحسن ما يزال جزئيًا؛ لأن عددًا من الملاحظات الجوهرية السابقة لم يُغلق بصورة كافية، ولا يزال الفصل بحاجة إلى مزيد من الإحكام النظري والمنهجي والتحريري قبل اعتماده.</w:t>
      </w:r>
    </w:p>
    <w:p w14:paraId="73C97220" w14:textId="77777777" w:rsidR="00042B9F" w:rsidRPr="007B4750" w:rsidRDefault="0013389F" w:rsidP="007B4750">
      <w:pPr>
        <w:bidi/>
        <w:rPr>
          <w:bCs/>
        </w:rPr>
      </w:pPr>
      <w:r w:rsidRPr="007B4750">
        <w:rPr>
          <w:bCs/>
          <w:sz w:val="24"/>
          <w:rtl/>
        </w:rPr>
        <w:t>ثانيًا: الملاحظات الجوهرية التي ما تزال قائمة</w:t>
      </w:r>
    </w:p>
    <w:tbl>
      <w:tblPr>
        <w:tblStyle w:val="TableGrid"/>
        <w:bidiVisual/>
        <w:tblW w:w="0" w:type="auto"/>
        <w:jc w:val="center"/>
        <w:tblLook w:val="04A0" w:firstRow="1" w:lastRow="0" w:firstColumn="1" w:lastColumn="0" w:noHBand="0" w:noVBand="1"/>
      </w:tblPr>
      <w:tblGrid>
        <w:gridCol w:w="511"/>
        <w:gridCol w:w="2226"/>
        <w:gridCol w:w="6999"/>
      </w:tblGrid>
      <w:tr w:rsidR="00042B9F" w14:paraId="3E68C747" w14:textId="77777777" w:rsidTr="0070063B">
        <w:trPr>
          <w:jc w:val="center"/>
        </w:trPr>
        <w:tc>
          <w:tcPr>
            <w:tcW w:w="516" w:type="dxa"/>
            <w:shd w:val="clear" w:color="auto" w:fill="D9EAF7"/>
            <w:tcMar>
              <w:top w:w="120" w:type="dxa"/>
              <w:left w:w="120" w:type="dxa"/>
              <w:bottom w:w="120" w:type="dxa"/>
              <w:right w:w="120" w:type="dxa"/>
            </w:tcMar>
            <w:vAlign w:val="center"/>
          </w:tcPr>
          <w:p w14:paraId="122C31A2" w14:textId="77777777" w:rsidR="00042B9F" w:rsidRPr="0070063B" w:rsidRDefault="0013389F" w:rsidP="007B4750">
            <w:pPr>
              <w:bidi/>
              <w:jc w:val="center"/>
              <w:rPr>
                <w:bCs/>
              </w:rPr>
            </w:pPr>
            <w:r w:rsidRPr="0070063B">
              <w:rPr>
                <w:bCs/>
                <w:rtl/>
              </w:rPr>
              <w:t>م</w:t>
            </w:r>
          </w:p>
        </w:tc>
        <w:tc>
          <w:tcPr>
            <w:tcW w:w="2268" w:type="dxa"/>
            <w:shd w:val="clear" w:color="auto" w:fill="D9EAF7"/>
            <w:tcMar>
              <w:top w:w="120" w:type="dxa"/>
              <w:left w:w="120" w:type="dxa"/>
              <w:bottom w:w="120" w:type="dxa"/>
              <w:right w:w="120" w:type="dxa"/>
            </w:tcMar>
            <w:vAlign w:val="center"/>
          </w:tcPr>
          <w:p w14:paraId="4478DF01" w14:textId="77777777" w:rsidR="00042B9F" w:rsidRPr="0070063B" w:rsidRDefault="0013389F" w:rsidP="007B4750">
            <w:pPr>
              <w:bidi/>
              <w:jc w:val="center"/>
              <w:rPr>
                <w:bCs/>
              </w:rPr>
            </w:pPr>
            <w:r w:rsidRPr="0070063B">
              <w:rPr>
                <w:bCs/>
                <w:rtl/>
              </w:rPr>
              <w:t>الملاحظة الجوهرية</w:t>
            </w:r>
          </w:p>
        </w:tc>
        <w:tc>
          <w:tcPr>
            <w:tcW w:w="7202" w:type="dxa"/>
            <w:shd w:val="clear" w:color="auto" w:fill="D9EAF7"/>
            <w:tcMar>
              <w:top w:w="120" w:type="dxa"/>
              <w:left w:w="120" w:type="dxa"/>
              <w:bottom w:w="120" w:type="dxa"/>
              <w:right w:w="120" w:type="dxa"/>
            </w:tcMar>
            <w:vAlign w:val="center"/>
          </w:tcPr>
          <w:p w14:paraId="6C100A51" w14:textId="77777777" w:rsidR="00042B9F" w:rsidRPr="0070063B" w:rsidRDefault="0013389F" w:rsidP="007B4750">
            <w:pPr>
              <w:bidi/>
              <w:jc w:val="center"/>
              <w:rPr>
                <w:bCs/>
              </w:rPr>
            </w:pPr>
            <w:r w:rsidRPr="0070063B">
              <w:rPr>
                <w:bCs/>
                <w:rtl/>
              </w:rPr>
              <w:t>الحكم المختصر</w:t>
            </w:r>
          </w:p>
        </w:tc>
      </w:tr>
      <w:tr w:rsidR="00042B9F" w14:paraId="6D204075" w14:textId="77777777" w:rsidTr="0070063B">
        <w:trPr>
          <w:jc w:val="center"/>
        </w:trPr>
        <w:tc>
          <w:tcPr>
            <w:tcW w:w="516" w:type="dxa"/>
            <w:tcMar>
              <w:top w:w="120" w:type="dxa"/>
              <w:left w:w="120" w:type="dxa"/>
              <w:bottom w:w="120" w:type="dxa"/>
              <w:right w:w="120" w:type="dxa"/>
            </w:tcMar>
            <w:vAlign w:val="center"/>
          </w:tcPr>
          <w:p w14:paraId="54B1C064" w14:textId="77777777" w:rsidR="00042B9F" w:rsidRPr="0070063B" w:rsidRDefault="0013389F" w:rsidP="007B4750">
            <w:pPr>
              <w:bidi/>
              <w:jc w:val="center"/>
              <w:rPr>
                <w:b/>
                <w:bCs/>
              </w:rPr>
            </w:pPr>
            <w:r w:rsidRPr="0070063B">
              <w:rPr>
                <w:b/>
                <w:bCs/>
                <w:rtl/>
              </w:rPr>
              <w:t>1</w:t>
            </w:r>
          </w:p>
        </w:tc>
        <w:tc>
          <w:tcPr>
            <w:tcW w:w="2268" w:type="dxa"/>
            <w:tcMar>
              <w:top w:w="120" w:type="dxa"/>
              <w:left w:w="120" w:type="dxa"/>
              <w:bottom w:w="120" w:type="dxa"/>
              <w:right w:w="120" w:type="dxa"/>
            </w:tcMar>
            <w:vAlign w:val="center"/>
          </w:tcPr>
          <w:p w14:paraId="422E8EC0" w14:textId="77777777" w:rsidR="00042B9F" w:rsidRPr="0070063B" w:rsidRDefault="0013389F" w:rsidP="007B4750">
            <w:pPr>
              <w:bidi/>
              <w:jc w:val="center"/>
              <w:rPr>
                <w:b/>
                <w:bCs/>
              </w:rPr>
            </w:pPr>
            <w:r w:rsidRPr="0070063B">
              <w:rPr>
                <w:b/>
                <w:bCs/>
                <w:rtl/>
              </w:rPr>
              <w:t>الإطار النظري القائد</w:t>
            </w:r>
          </w:p>
        </w:tc>
        <w:tc>
          <w:tcPr>
            <w:tcW w:w="7202" w:type="dxa"/>
            <w:tcMar>
              <w:top w:w="120" w:type="dxa"/>
              <w:left w:w="120" w:type="dxa"/>
              <w:bottom w:w="120" w:type="dxa"/>
              <w:right w:w="120" w:type="dxa"/>
            </w:tcMar>
            <w:vAlign w:val="center"/>
          </w:tcPr>
          <w:p w14:paraId="0F272E19" w14:textId="77777777" w:rsidR="00042B9F" w:rsidRDefault="0013389F" w:rsidP="00BA1DBB">
            <w:pPr>
              <w:bidi/>
              <w:jc w:val="both"/>
            </w:pPr>
            <w:r>
              <w:rPr>
                <w:rtl/>
              </w:rPr>
              <w:t>رغم تحسن بناء الفصل، ما يزال الإطار النظري القائد غير محكم بما يكفي؛ إذ لا يظهر منظور تفسيري مركزي قوي يقود العلاقات بين الذكاء الاصطناعي، وتكامل البنية التحتية، وكفاءة الموارد البشرية، والأداء الأمني، بل يغلب على العرض الطابع المفاهيمي العام أكثر من البناء النظري الموجه للنموذج.</w:t>
            </w:r>
          </w:p>
        </w:tc>
      </w:tr>
      <w:tr w:rsidR="00042B9F" w14:paraId="19F9BD0C" w14:textId="77777777" w:rsidTr="0070063B">
        <w:trPr>
          <w:jc w:val="center"/>
        </w:trPr>
        <w:tc>
          <w:tcPr>
            <w:tcW w:w="516" w:type="dxa"/>
            <w:tcMar>
              <w:top w:w="120" w:type="dxa"/>
              <w:left w:w="120" w:type="dxa"/>
              <w:bottom w:w="120" w:type="dxa"/>
              <w:right w:w="120" w:type="dxa"/>
            </w:tcMar>
            <w:vAlign w:val="center"/>
          </w:tcPr>
          <w:p w14:paraId="0955BE5F" w14:textId="77777777" w:rsidR="00042B9F" w:rsidRPr="0070063B" w:rsidRDefault="0013389F" w:rsidP="007B4750">
            <w:pPr>
              <w:bidi/>
              <w:jc w:val="center"/>
              <w:rPr>
                <w:b/>
                <w:bCs/>
              </w:rPr>
            </w:pPr>
            <w:r w:rsidRPr="0070063B">
              <w:rPr>
                <w:b/>
                <w:bCs/>
                <w:rtl/>
              </w:rPr>
              <w:t>2</w:t>
            </w:r>
          </w:p>
        </w:tc>
        <w:tc>
          <w:tcPr>
            <w:tcW w:w="2268" w:type="dxa"/>
            <w:tcMar>
              <w:top w:w="120" w:type="dxa"/>
              <w:left w:w="120" w:type="dxa"/>
              <w:bottom w:w="120" w:type="dxa"/>
              <w:right w:w="120" w:type="dxa"/>
            </w:tcMar>
            <w:vAlign w:val="center"/>
          </w:tcPr>
          <w:p w14:paraId="3974EB59" w14:textId="77777777" w:rsidR="00042B9F" w:rsidRPr="0070063B" w:rsidRDefault="0013389F" w:rsidP="007B4750">
            <w:pPr>
              <w:bidi/>
              <w:jc w:val="center"/>
              <w:rPr>
                <w:b/>
                <w:bCs/>
              </w:rPr>
            </w:pPr>
            <w:r w:rsidRPr="0070063B">
              <w:rPr>
                <w:b/>
                <w:bCs/>
                <w:rtl/>
              </w:rPr>
              <w:t>تركيز الدراسات السابقة وملاءمتها للنموذج</w:t>
            </w:r>
          </w:p>
        </w:tc>
        <w:tc>
          <w:tcPr>
            <w:tcW w:w="7202" w:type="dxa"/>
            <w:tcMar>
              <w:top w:w="120" w:type="dxa"/>
              <w:left w:w="120" w:type="dxa"/>
              <w:bottom w:w="120" w:type="dxa"/>
              <w:right w:w="120" w:type="dxa"/>
            </w:tcMar>
            <w:vAlign w:val="center"/>
          </w:tcPr>
          <w:p w14:paraId="55758EF2" w14:textId="77777777" w:rsidR="00042B9F" w:rsidRDefault="0013389F" w:rsidP="00BA1DBB">
            <w:pPr>
              <w:bidi/>
              <w:jc w:val="both"/>
            </w:pPr>
            <w:r>
              <w:rPr>
                <w:rtl/>
              </w:rPr>
              <w:t>لا تزال الدراسات السابقة واسعة ومتشعبة نسبيًا، ويظهر في بعضها انتقال إلى موضوعات المدن الذكية أو البلديات أو الموارد البشرية بصورة لا تخدم العلاقة المباشرة بين متغيرات الدراسة الأساسية بالقدر الكافي. المطلوب مزيد من التركيز على الدراسات التي تختبر أو تفسر العلاقة بين متغيرات النموذج نفسه.</w:t>
            </w:r>
          </w:p>
        </w:tc>
      </w:tr>
      <w:tr w:rsidR="00042B9F" w14:paraId="730B0804" w14:textId="77777777" w:rsidTr="0070063B">
        <w:trPr>
          <w:jc w:val="center"/>
        </w:trPr>
        <w:tc>
          <w:tcPr>
            <w:tcW w:w="516" w:type="dxa"/>
            <w:tcMar>
              <w:top w:w="120" w:type="dxa"/>
              <w:left w:w="120" w:type="dxa"/>
              <w:bottom w:w="120" w:type="dxa"/>
              <w:right w:w="120" w:type="dxa"/>
            </w:tcMar>
            <w:vAlign w:val="center"/>
          </w:tcPr>
          <w:p w14:paraId="1CD634C0" w14:textId="77777777" w:rsidR="00042B9F" w:rsidRPr="0070063B" w:rsidRDefault="0013389F" w:rsidP="007B4750">
            <w:pPr>
              <w:bidi/>
              <w:jc w:val="center"/>
              <w:rPr>
                <w:b/>
                <w:bCs/>
              </w:rPr>
            </w:pPr>
            <w:r w:rsidRPr="0070063B">
              <w:rPr>
                <w:b/>
                <w:bCs/>
                <w:rtl/>
              </w:rPr>
              <w:t>3</w:t>
            </w:r>
          </w:p>
        </w:tc>
        <w:tc>
          <w:tcPr>
            <w:tcW w:w="2268" w:type="dxa"/>
            <w:tcMar>
              <w:top w:w="120" w:type="dxa"/>
              <w:left w:w="120" w:type="dxa"/>
              <w:bottom w:w="120" w:type="dxa"/>
              <w:right w:w="120" w:type="dxa"/>
            </w:tcMar>
            <w:vAlign w:val="center"/>
          </w:tcPr>
          <w:p w14:paraId="60B276D9" w14:textId="77777777" w:rsidR="00042B9F" w:rsidRPr="0070063B" w:rsidRDefault="0013389F" w:rsidP="007B4750">
            <w:pPr>
              <w:bidi/>
              <w:jc w:val="center"/>
              <w:rPr>
                <w:b/>
                <w:bCs/>
              </w:rPr>
            </w:pPr>
            <w:r w:rsidRPr="0070063B">
              <w:rPr>
                <w:b/>
                <w:bCs/>
                <w:rtl/>
              </w:rPr>
              <w:t>التوليف النقدي والربط بالنموذج</w:t>
            </w:r>
          </w:p>
        </w:tc>
        <w:tc>
          <w:tcPr>
            <w:tcW w:w="7202" w:type="dxa"/>
            <w:tcMar>
              <w:top w:w="120" w:type="dxa"/>
              <w:left w:w="120" w:type="dxa"/>
              <w:bottom w:w="120" w:type="dxa"/>
              <w:right w:w="120" w:type="dxa"/>
            </w:tcMar>
            <w:vAlign w:val="center"/>
          </w:tcPr>
          <w:p w14:paraId="39865F83" w14:textId="77777777" w:rsidR="00042B9F" w:rsidRDefault="0013389F" w:rsidP="00BA1DBB">
            <w:pPr>
              <w:bidi/>
              <w:jc w:val="both"/>
            </w:pPr>
            <w:r>
              <w:rPr>
                <w:rtl/>
              </w:rPr>
              <w:t>تحسن تنظيم الدراسات، لكن التوليف النقدي ما يزال غير كافٍ في مواضع عدة؛ إذ لم يتحول العرض بالكامل إلى مناقشة مقارنة تُبرز بوضوح ما اتفقت عليه الأدبيات وما اختلفت فيه، وكيف تقود هذه الخلاصات مباشرة إلى الفجوة البحثية ومسارات النموذج المقترح.</w:t>
            </w:r>
          </w:p>
        </w:tc>
      </w:tr>
      <w:tr w:rsidR="00042B9F" w14:paraId="7A64CB83" w14:textId="77777777" w:rsidTr="0070063B">
        <w:trPr>
          <w:jc w:val="center"/>
        </w:trPr>
        <w:tc>
          <w:tcPr>
            <w:tcW w:w="516" w:type="dxa"/>
            <w:tcMar>
              <w:top w:w="120" w:type="dxa"/>
              <w:left w:w="120" w:type="dxa"/>
              <w:bottom w:w="120" w:type="dxa"/>
              <w:right w:w="120" w:type="dxa"/>
            </w:tcMar>
            <w:vAlign w:val="center"/>
          </w:tcPr>
          <w:p w14:paraId="093F8315" w14:textId="77777777" w:rsidR="00042B9F" w:rsidRPr="0070063B" w:rsidRDefault="0013389F" w:rsidP="007B4750">
            <w:pPr>
              <w:bidi/>
              <w:jc w:val="center"/>
              <w:rPr>
                <w:b/>
                <w:bCs/>
              </w:rPr>
            </w:pPr>
            <w:r w:rsidRPr="0070063B">
              <w:rPr>
                <w:b/>
                <w:bCs/>
                <w:rtl/>
              </w:rPr>
              <w:t>4</w:t>
            </w:r>
          </w:p>
        </w:tc>
        <w:tc>
          <w:tcPr>
            <w:tcW w:w="2268" w:type="dxa"/>
            <w:tcMar>
              <w:top w:w="120" w:type="dxa"/>
              <w:left w:w="120" w:type="dxa"/>
              <w:bottom w:w="120" w:type="dxa"/>
              <w:right w:w="120" w:type="dxa"/>
            </w:tcMar>
            <w:vAlign w:val="center"/>
          </w:tcPr>
          <w:p w14:paraId="64947965" w14:textId="77777777" w:rsidR="00042B9F" w:rsidRPr="0070063B" w:rsidRDefault="0013389F" w:rsidP="007B4750">
            <w:pPr>
              <w:bidi/>
              <w:jc w:val="center"/>
              <w:rPr>
                <w:b/>
                <w:bCs/>
              </w:rPr>
            </w:pPr>
            <w:r w:rsidRPr="0070063B">
              <w:rPr>
                <w:b/>
                <w:bCs/>
                <w:rtl/>
              </w:rPr>
              <w:t>الضبط المنهجي والتحريري</w:t>
            </w:r>
          </w:p>
        </w:tc>
        <w:tc>
          <w:tcPr>
            <w:tcW w:w="7202" w:type="dxa"/>
            <w:tcMar>
              <w:top w:w="120" w:type="dxa"/>
              <w:left w:w="120" w:type="dxa"/>
              <w:bottom w:w="120" w:type="dxa"/>
              <w:right w:w="120" w:type="dxa"/>
            </w:tcMar>
            <w:vAlign w:val="center"/>
          </w:tcPr>
          <w:p w14:paraId="2F01FD72" w14:textId="77777777" w:rsidR="00042B9F" w:rsidRDefault="0013389F" w:rsidP="00BA1DBB">
            <w:pPr>
              <w:bidi/>
              <w:jc w:val="both"/>
            </w:pPr>
            <w:r>
              <w:rPr>
                <w:rtl/>
              </w:rPr>
              <w:t>لا تزال النسخة الحالية تتضمن ملاحظات تحريرية ومنهجية مؤثرة، مثل عدم اتساق بعض صياغات الفرضيات، ووجود خطأ زمني في الهدف الرئيس، إضافة إلى حاجة قائمة المراجع إلى تنقية أكبر من المصادر غير المحكمة أو الأقل ملاءمة، ومراجعة نهائية للغة والتوثيق واتساق المصطلحات.</w:t>
            </w:r>
          </w:p>
        </w:tc>
      </w:tr>
    </w:tbl>
    <w:p w14:paraId="07E05D46" w14:textId="77777777" w:rsidR="00042B9F" w:rsidRDefault="00042B9F" w:rsidP="007B4750">
      <w:pPr>
        <w:bidi/>
      </w:pPr>
    </w:p>
    <w:p w14:paraId="4567037F" w14:textId="77777777" w:rsidR="00042B9F" w:rsidRPr="00BA1DBB" w:rsidRDefault="0013389F" w:rsidP="00BA1DBB">
      <w:pPr>
        <w:bidi/>
        <w:jc w:val="both"/>
        <w:rPr>
          <w:bCs/>
        </w:rPr>
      </w:pPr>
      <w:r w:rsidRPr="00BA1DBB">
        <w:rPr>
          <w:bCs/>
          <w:sz w:val="24"/>
          <w:rtl/>
        </w:rPr>
        <w:t>ثالثًا: إرشادات الإغلاق</w:t>
      </w:r>
    </w:p>
    <w:p w14:paraId="1BFDFA67" w14:textId="77777777" w:rsidR="00042B9F" w:rsidRDefault="0013389F" w:rsidP="00BA1DBB">
      <w:pPr>
        <w:pStyle w:val="ListBullet"/>
        <w:bidi/>
        <w:jc w:val="both"/>
      </w:pPr>
      <w:r>
        <w:rPr>
          <w:rtl/>
        </w:rPr>
        <w:t>إعادة صياغة الإطار النظري بحيث يقوم على نظرية رئيسة واحدة واضحة، مع استخدام منظور مساند فقط عند الحاجة، وشرح الآلية التفسيرية لكل علاقة في النموذج.</w:t>
      </w:r>
    </w:p>
    <w:p w14:paraId="797BFE08" w14:textId="77777777" w:rsidR="00042B9F" w:rsidRDefault="0013389F" w:rsidP="00BA1DBB">
      <w:pPr>
        <w:pStyle w:val="ListBullet"/>
        <w:bidi/>
        <w:jc w:val="both"/>
      </w:pPr>
      <w:r>
        <w:rPr>
          <w:rtl/>
        </w:rPr>
        <w:t>إعادة فرز الدراسات السابقة والإبقاء على الأدبيات الأكثر صلة مباشرة بالمراقبة الأمنية الذكية والأداء الأمني الحضري، مع تقليص الدراسات البعيدة عن موضوع الدراسة.</w:t>
      </w:r>
    </w:p>
    <w:p w14:paraId="24CD7716" w14:textId="77777777" w:rsidR="00042B9F" w:rsidRDefault="0013389F" w:rsidP="00BA1DBB">
      <w:pPr>
        <w:pStyle w:val="ListBullet"/>
        <w:bidi/>
        <w:jc w:val="both"/>
      </w:pPr>
      <w:r>
        <w:rPr>
          <w:rtl/>
        </w:rPr>
        <w:lastRenderedPageBreak/>
        <w:t>إعادة كتابة خاتمة الأدبيات بصيغة توليفية مقارنة تُظهر الاتفاق والتعارض والحدود، وتربطها صراحة بالفجوة البحثية وبفرضيات الدراسة.</w:t>
      </w:r>
    </w:p>
    <w:p w14:paraId="795E5C55" w14:textId="77777777" w:rsidR="00042B9F" w:rsidRDefault="0013389F" w:rsidP="00BA1DBB">
      <w:pPr>
        <w:pStyle w:val="ListBullet"/>
        <w:bidi/>
        <w:jc w:val="both"/>
      </w:pPr>
      <w:r>
        <w:rPr>
          <w:rtl/>
        </w:rPr>
        <w:t>تصحيح صياغة الهدف والفروض، ومراجعة التواريخ، وتنقية قائمة المراجع، وتنفيذ تدقيق نهائي شامل للغة والتوثيق وفق APA.</w:t>
      </w:r>
    </w:p>
    <w:p w14:paraId="340924D0" w14:textId="77777777" w:rsidR="00042B9F" w:rsidRPr="00BA1DBB" w:rsidRDefault="0013389F" w:rsidP="00BA1DBB">
      <w:pPr>
        <w:bidi/>
        <w:jc w:val="both"/>
        <w:rPr>
          <w:bCs/>
        </w:rPr>
      </w:pPr>
      <w:r w:rsidRPr="00BA1DBB">
        <w:rPr>
          <w:bCs/>
          <w:sz w:val="24"/>
          <w:rtl/>
        </w:rPr>
        <w:t>رابعًا: الخلاصة التقويمية</w:t>
      </w:r>
    </w:p>
    <w:p w14:paraId="5DD603D2" w14:textId="77777777" w:rsidR="00042B9F" w:rsidRDefault="0013389F" w:rsidP="00BA1DBB">
      <w:pPr>
        <w:bidi/>
        <w:jc w:val="both"/>
      </w:pPr>
      <w:r>
        <w:rPr>
          <w:rtl/>
        </w:rPr>
        <w:t>استنادًا إلى المقارنة بين تقرير المراجعة السابق والنسخة الحالية، يتبين أن الباحث استجاب لعدد من الملاحظات المهمة وحقق تقدمًا ملموسًا في تنظيم الفصل وضبط بعض عناصره. إلا أن الفصل ما يزال يحتاج إلى تعديلات جوهرية أخيرة تتعلق بتركيز الإطار النظري، وملاءمة الأدبيات، وقوة التوليف النقدي، وسلامة الصياغة المنهجية والتحريرية. وعليه، أوصي بإعادة تقديم الفصل بعد استكمال هذه التعديلات قبل اعتماده النهائي.</w:t>
      </w:r>
    </w:p>
    <w:p w14:paraId="765D7B55" w14:textId="77777777" w:rsidR="00042B9F" w:rsidRPr="0070063B" w:rsidRDefault="0013389F" w:rsidP="0070063B">
      <w:pPr>
        <w:bidi/>
        <w:jc w:val="center"/>
        <w:rPr>
          <w:bCs/>
        </w:rPr>
      </w:pPr>
      <w:r w:rsidRPr="0070063B">
        <w:rPr>
          <w:bCs/>
          <w:rtl/>
        </w:rPr>
        <w:t>انتهى التقرير</w:t>
      </w:r>
    </w:p>
    <w:sectPr w:rsidR="00042B9F" w:rsidRPr="0070063B" w:rsidSect="00034616">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75140250">
    <w:abstractNumId w:val="8"/>
  </w:num>
  <w:num w:numId="2" w16cid:durableId="875242644">
    <w:abstractNumId w:val="6"/>
  </w:num>
  <w:num w:numId="3" w16cid:durableId="1166244249">
    <w:abstractNumId w:val="5"/>
  </w:num>
  <w:num w:numId="4" w16cid:durableId="296227014">
    <w:abstractNumId w:val="4"/>
  </w:num>
  <w:num w:numId="5" w16cid:durableId="466824405">
    <w:abstractNumId w:val="7"/>
  </w:num>
  <w:num w:numId="6" w16cid:durableId="877161291">
    <w:abstractNumId w:val="3"/>
  </w:num>
  <w:num w:numId="7" w16cid:durableId="170875031">
    <w:abstractNumId w:val="2"/>
  </w:num>
  <w:num w:numId="8" w16cid:durableId="188374412">
    <w:abstractNumId w:val="1"/>
  </w:num>
  <w:num w:numId="9" w16cid:durableId="146750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AwMTYztTSyNDS1NDVR0lEKTi0uzszPAykwrAUAdqSACCwAAAA="/>
  </w:docVars>
  <w:rsids>
    <w:rsidRoot w:val="00B47730"/>
    <w:rsid w:val="00034616"/>
    <w:rsid w:val="00042B9F"/>
    <w:rsid w:val="0006063C"/>
    <w:rsid w:val="000F0F80"/>
    <w:rsid w:val="0013389F"/>
    <w:rsid w:val="0015074B"/>
    <w:rsid w:val="0029639D"/>
    <w:rsid w:val="00326F90"/>
    <w:rsid w:val="0070063B"/>
    <w:rsid w:val="007B4750"/>
    <w:rsid w:val="00AA1D8D"/>
    <w:rsid w:val="00B47730"/>
    <w:rsid w:val="00BA1DBB"/>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792224"/>
  <w14:defaultImageDpi w14:val="300"/>
  <w15:docId w15:val="{F03EDB8C-A804-440F-B6D0-405730006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456</Words>
  <Characters>2601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2026-04-16T20:10:00Z</dcterms:created>
  <dcterms:modified xsi:type="dcterms:W3CDTF">2026-04-16T20:10:00Z</dcterms:modified>
  <cp:category/>
</cp:coreProperties>
</file>