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both"/>
        <w:spacing w:before="100" w:after="100"/>
      </w:pPr>
      <w:r>
        <w:rPr>
          <w:rFonts w:ascii="Times" w:hAnsi="Times" w:cs="Times"/>
          <w:sz w:val="32"/>
          <w:sz-cs w:val="32"/>
          <w:b/>
        </w:rPr>
        <w:t xml:space="preserve">جامعة ميدأوشن </w:t>
      </w:r>
    </w:p>
    <w:p>
      <w:pPr>
        <w:jc w:val="both"/>
        <w:spacing w:before="100" w:after="100"/>
      </w:pPr>
      <w:r>
        <w:rPr>
          <w:rFonts w:ascii="Times" w:hAnsi="Times" w:cs="Times"/>
          <w:sz w:val="32"/>
          <w:sz-cs w:val="32"/>
          <w:b/>
        </w:rPr>
        <w:t xml:space="preserve">كلية الإدارة </w:t>
      </w:r>
    </w:p>
    <w:p>
      <w:pPr>
        <w:jc w:val="both"/>
        <w:spacing w:before="100" w:after="100"/>
      </w:pPr>
      <w:r>
        <w:rPr>
          <w:rFonts w:ascii="Times" w:hAnsi="Times" w:cs="Times"/>
          <w:sz w:val="32"/>
          <w:sz-cs w:val="32"/>
          <w:b/>
        </w:rPr>
        <w:t xml:space="preserve">ماجستير إدارة الاعمال   </w:t>
      </w:r>
    </w:p>
    <w:p>
      <w:pPr>
        <w:jc w:val="center"/>
        <w:spacing w:before="100" w:after="100"/>
      </w:pPr>
      <w:r>
        <w:rPr>
          <w:rFonts w:ascii="Times" w:hAnsi="Times" w:cs="Times"/>
          <w:sz w:val="40"/>
          <w:sz-cs w:val="40"/>
          <w:b/>
        </w:rPr>
        <w:t xml:space="preserve">أثر تجربة الزائر على نجاح الفعاليات والمعارض دراسة ميدانية على قطاع الفعاليات في المملكة العربية السعودية</w:t>
      </w:r>
    </w:p>
    <w:p>
      <w:pPr>
        <w:jc w:val="center"/>
        <w:spacing w:before="100" w:after="100"/>
      </w:pPr>
      <w:r>
        <w:rPr>
          <w:rFonts w:ascii="Times" w:hAnsi="Times" w:cs="Times"/>
          <w:sz w:val="36"/>
          <w:sz-cs w:val="36"/>
          <w:b/>
        </w:rPr>
        <w:t xml:space="preserve">إعداد الطالب/</w:t>
      </w:r>
    </w:p>
    <w:p>
      <w:pPr>
        <w:jc w:val="center"/>
        <w:spacing w:before="100" w:after="100"/>
      </w:pPr>
      <w:r>
        <w:rPr>
          <w:rFonts w:ascii="Times" w:hAnsi="Times" w:cs="Times"/>
          <w:sz w:val="36"/>
          <w:sz-cs w:val="36"/>
        </w:rPr>
        <w:t xml:space="preserve">ربى صالح المريس</w:t>
      </w:r>
    </w:p>
    <w:p>
      <w:pPr>
        <w:jc w:val="center"/>
        <w:spacing w:before="100" w:after="100"/>
      </w:pPr>
      <w:r>
        <w:rPr>
          <w:rFonts w:ascii="Times" w:hAnsi="Times" w:cs="Times"/>
          <w:sz w:val="36"/>
          <w:sz-cs w:val="36"/>
          <w:b/>
        </w:rPr>
        <w:t xml:space="preserve">إشراف/</w:t>
      </w:r>
    </w:p>
    <w:p>
      <w:pPr>
        <w:jc w:val="center"/>
        <w:spacing w:before="100" w:after="100"/>
      </w:pPr>
      <w:r>
        <w:rPr>
          <w:rFonts w:ascii="Times" w:hAnsi="Times" w:cs="Times"/>
          <w:sz w:val="36"/>
          <w:sz-cs w:val="36"/>
        </w:rPr>
        <w:t xml:space="preserve">د. الفيصل عبد الحميد محمد حسن</w:t>
      </w:r>
    </w:p>
    <w:p>
      <w:pPr>
        <w:jc w:val="center"/>
        <w:spacing w:before="100" w:after="100"/>
      </w:pPr>
      <w:r>
        <w:rPr>
          <w:rFonts w:ascii="Times" w:hAnsi="Times" w:cs="Times"/>
          <w:sz w:val="36"/>
          <w:sz-cs w:val="36"/>
        </w:rPr>
        <w:t xml:space="preserve">د.فايز جراد</w:t>
      </w:r>
    </w:p>
    <w:p>
      <w:pPr>
        <w:jc w:val="center"/>
        <w:spacing w:before="100" w:after="100"/>
      </w:pPr>
      <w:r>
        <w:rPr>
          <w:rFonts w:ascii="Times" w:hAnsi="Times" w:cs="Times"/>
          <w:sz w:val="36"/>
          <w:sz-cs w:val="36"/>
          <w:b/>
        </w:rPr>
        <w:t xml:space="preserve">العام الدراسي:</w:t>
      </w:r>
    </w:p>
    <w:p>
      <w:pPr>
        <w:jc w:val="center"/>
        <w:bidi/>
        <w:spacing w:before="100" w:after="100"/>
      </w:pPr>
      <w:r>
        <w:rPr>
          <w:rFonts w:ascii="Times" w:hAnsi="Times" w:cs="Times"/>
          <w:sz w:val="36"/>
          <w:sz-cs w:val="36"/>
        </w:rPr>
        <w:t xml:space="preserve">1447 – 2026</w:t>
      </w:r>
    </w:p>
    <w:p>
      <w:pPr>
        <w:jc w:val="center"/>
        <w:spacing w:before="100" w:after="100"/>
      </w:pPr>
      <w:r>
        <w:rPr>
          <w:rFonts w:ascii="Times" w:hAnsi="Times" w:cs="Times"/>
          <w:sz w:val="40"/>
          <w:sz-cs w:val="40"/>
          <w:b/>
        </w:rPr>
        <w:t xml:space="preserve">الفصل الأول: الإطار العام للدراسة</w:t>
      </w:r>
    </w:p>
    <w:p>
      <w:pPr>
        <w:jc w:val="both"/>
        <w:spacing w:before="100" w:after="100"/>
      </w:pPr>
      <w:r>
        <w:rPr>
          <w:rFonts w:ascii="Times" w:hAnsi="Times" w:cs="Times"/>
          <w:sz w:val="36"/>
          <w:sz-cs w:val="36"/>
          <w:b/>
        </w:rPr>
        <w:t xml:space="preserve">1.1 المقدمة</w:t>
      </w:r>
    </w:p>
    <w:p>
      <w:pPr>
        <w:jc w:val="both"/>
        <w:spacing w:before="100" w:after="100"/>
      </w:pPr>
      <w:r>
        <w:rPr>
          <w:rFonts w:ascii="Times" w:hAnsi="Times" w:cs="Times"/>
          <w:sz w:val="28"/>
          <w:sz-cs w:val="28"/>
        </w:rPr>
        <w:t xml:space="preserve">تُبرز الأدبيات الحديثة تنامي الاهتمام بتجربة الزائر باعتبارها أحد المحركات الأساسية لنجاح الفعاليات والمعارض، حيث يُنظر إليها اليوم كعنصر استراتيجي قادر على رفع مستوى التفاعل، وتحسين الانطباعات، وزيادة فرص المشاركة المستمرة، وقد أظهرت العديد من الدراسات أن جودة التجربة تُعدّ عاملاً حاسماً في تشكيل رضا الزائر وقرارات العودة والتوصية، خصوصاً في القطاعات الثقافية والفنية والتراثية التي تعتمد على التفاعل الحسي والمعرفي في التواصل مع الجمهور، وقد بينت دراسة (المومني وآخرون ،2024) أن التصميم الجرافيكي وعناصر العرض المتحفي قادرة على إحداث فرق جوهري في مستوى التفاعل وجودة التجربة من خلال تعزيز الجاذبية البصرية وتكامل الهوية البصرية للمكان. (المومني وآخرون، 2024)</w:t>
      </w:r>
    </w:p>
    <w:p>
      <w:pPr>
        <w:jc w:val="both"/>
        <w:spacing w:before="100" w:after="100"/>
      </w:pPr>
      <w:r>
        <w:rPr>
          <w:rFonts w:ascii="Times" w:hAnsi="Times" w:cs="Times"/>
          <w:sz w:val="28"/>
          <w:sz-cs w:val="28"/>
        </w:rPr>
        <w:t xml:space="preserve">أن نجاح الفعاليات والمعارض يعتمد على مجموعة من الاعتبارات التصميمية والتنظيمية التي تتجاوز مجرد تقديم محتوى جيد، إذ تؤثر هوية الحدث، ورحلة الزائر، والتواصل الرقمي، وإدارة الحركة والتنظيم، في تشكيل تجربة متكاملة، وقد أبرزت دراسة الزهراني وعطية (2024) أن الاعتبارات التصميمية الدقيقة ترفع من مستوى الجاذبية وتسهّل حركة الزائر وتضمن تفاعلًا أفضل، بينما بينت دراسة Cheng et al. (2023) أن عوامل مثل جودة المعروضات، البيئة المادية، الخدمات، والمشاركة التفاعلية تشكّل منظومة متكاملة تؤثر على تقييم الزائر للحدث. (الزهراني وعطية، 2024)</w:t>
      </w:r>
    </w:p>
    <w:p>
      <w:pPr>
        <w:jc w:val="both"/>
        <w:spacing w:before="100" w:after="100"/>
      </w:pPr>
      <w:r>
        <w:rPr>
          <w:rFonts w:ascii="Times" w:hAnsi="Times" w:cs="Times"/>
          <w:sz w:val="28"/>
          <w:sz-cs w:val="28"/>
        </w:rPr>
        <w:t xml:space="preserve">تكشف هذه الدراسات مجتمعة أن تجربة الزائر ليست عنصرًا جانبيًا بل تُعد محور نجاح الفعاليات والمعارض، وأن تحسينها في قطاع الفعاليات السعودي ضرورة تتماشى مع التحولات الثقافية والترفيهية ورؤية المملكة 2030، مما يجعل دراسة أثر تجربة الزائر على نجاح الفعاليات خطوة علمية مهمة ذات قيمة تطبيقية عالية.</w:t>
      </w:r>
    </w:p>
    <w:p>
      <w:pPr/>
      <w:r>
        <w:rPr>
          <w:rFonts w:ascii="Times" w:hAnsi="Times" w:cs="Times"/>
          <w:sz w:val="36"/>
          <w:sz-cs w:val="36"/>
          <w:b/>
        </w:rPr>
        <w:t xml:space="preserve"/>
        <w:br w:type="page"/>
        <w:t xml:space="preserve">2.1 مشكلة الدراسة</w:t>
      </w:r>
    </w:p>
    <w:p>
      <w:pPr>
        <w:jc w:val="both"/>
        <w:spacing w:before="100" w:after="100"/>
      </w:pPr>
      <w:r>
        <w:rPr>
          <w:rFonts w:ascii="Times" w:hAnsi="Times" w:cs="Times"/>
          <w:sz w:val="28"/>
          <w:sz-cs w:val="28"/>
        </w:rPr>
        <w:t xml:space="preserve">تُعَدّ تجربة الزائر أحد المرتكزات الجوهرية التي يُبنى عليها نجاح الفعاليات والمعارض، إذ تُظهر الأدبيات الحديثة وجود تباين ملحوظ في جودة التجارب المقدَّمة للزوار مقارنة بتوقعاتهم المتزايدة، وقد كشفت دراسة (المومني وآخرون ،2024) أنّ عناصر التصميم الجرافيكي مثل الهوية البصرية والألوان والتكوينات تشكّل عاملاً مؤثراً في إدراك الزائر ورضاه، إلا أنّ ضعف توظيف هذه العناصر أو عدم تكاملها يؤدي إلى انخفاض جودة التجربة، مما يبرز الحاجة إلى مقاربات تصميمية أكثر نضجاً).المومني وآخرون، 2024)</w:t>
      </w:r>
    </w:p>
    <w:p>
      <w:pPr>
        <w:jc w:val="both"/>
        <w:spacing w:before="100" w:after="100"/>
      </w:pPr>
      <w:r>
        <w:rPr>
          <w:rFonts w:ascii="Times" w:hAnsi="Times" w:cs="Times"/>
          <w:sz w:val="28"/>
          <w:sz-cs w:val="28"/>
        </w:rPr>
        <w:t xml:space="preserve">و أظهرت دراسة( الزهراني وعطية، 2024) أنّ الاعتبارات التصميمية للأحداث الثقافية—مثل تصميم رحلة الزائر، التواصل الرقمي، واستهداف الفئات لا تزال تتباين في مستوى تطبيقها بين الفعاليات، وأن هذا التباين يؤثر مباشرة على قدرة الفعالية على جذب الجمهور وتحقيق جودة التجربة المنشودة، وهو ما يشير إلى تحديات في توحيد المعايير التصميمية والتنظيمية داخل القطاع. (الزهراني وعطية، 2024)</w:t>
      </w:r>
    </w:p>
    <w:p>
      <w:pPr>
        <w:jc w:val="both"/>
        <w:spacing w:before="100" w:after="100"/>
      </w:pPr>
      <w:r>
        <w:rPr>
          <w:rFonts w:ascii="Times" w:hAnsi="Times" w:cs="Times"/>
          <w:sz w:val="28"/>
          <w:sz-cs w:val="28"/>
        </w:rPr>
        <w:t xml:space="preserve">كما تؤكد دراسات أخرى، مثل Cheng et al. (2023) وMackay (2023)، أنّ نجاح الفعاليات يعتمد على منظومة متكاملة تشمل جودة المعروضات، البيئة المكانية، الخدمات المساندة، والتفاعل المباشر؛ وأن أي قصور في أحد هذه الأبعاد ينعكس على رضا الزائر ونية العودة والتوصية، مما يجعل التجربة الكلية هشّة أمام متغيرات التنظيم أو العرض. (Cheng et al., 2023؛ Mackay، 2023)</w:t>
      </w:r>
    </w:p>
    <w:p>
      <w:pPr>
        <w:jc w:val="both"/>
        <w:spacing w:before="100" w:after="100"/>
      </w:pPr>
      <w:r>
        <w:rPr>
          <w:rFonts w:ascii="Times" w:hAnsi="Times" w:cs="Times"/>
          <w:sz w:val="28"/>
          <w:sz-cs w:val="28"/>
        </w:rPr>
        <w:t xml:space="preserve">وفي ظل التحولات الكبرى التي يشهدها قطاع الفعاليات في المملكة العربية السعودية ضمن إطار رؤية 2030، تبدو الحاجة ماسّة إلى فهم أعمق للعوامل المؤثرة في تجربة الزائر، ومدى انعكاسها على نجاح الفعاليات والمعارض، خاصة مع التوسع في إقامة الفعاليات الثقافية والفنية والترفيهية وتنوع جمهورها، ومن هذا المنطلق تتحدد مشكلة الدراسة في السؤال الآتي: ما أثر تجربة الزائر بأبعادها المختلفة على نجاح الفعاليات والمعارض في المملكة العربية السعودية؟</w:t>
      </w:r>
    </w:p>
    <w:p>
      <w:pPr/>
      <w:r>
        <w:rPr>
          <w:rFonts w:ascii="Times" w:hAnsi="Times" w:cs="Times"/>
          <w:sz w:val="36"/>
          <w:sz-cs w:val="36"/>
          <w:b/>
        </w:rPr>
        <w:t xml:space="preserve"/>
        <w:br w:type="page"/>
        <w:t xml:space="preserve">3.1 أهمية الدراسة:</w:t>
      </w:r>
    </w:p>
    <w:p>
      <w:pPr>
        <w:jc w:val="both"/>
        <w:spacing w:before="100" w:after="100"/>
      </w:pPr>
      <w:r>
        <w:rPr>
          <w:rFonts w:ascii="Times" w:hAnsi="Times" w:cs="Times"/>
          <w:sz w:val="28"/>
          <w:sz-cs w:val="28"/>
          <w:b/>
        </w:rPr>
        <w:t xml:space="preserve">تعتمد أهمية هذه الدراسة على إسهاماتها النظرية والتطبيقية فيما يلي:</w:t>
      </w:r>
    </w:p>
    <w:p>
      <w:pPr>
        <w:jc w:val="both"/>
        <w:spacing w:before="100" w:after="100"/>
      </w:pPr>
      <w:r>
        <w:rPr>
          <w:rFonts w:ascii="Times" w:hAnsi="Times" w:cs="Times"/>
          <w:sz w:val="32"/>
          <w:sz-cs w:val="32"/>
          <w:b/>
        </w:rPr>
        <w:t xml:space="preserve">أولًا: الأهمية العلمية:</w:t>
      </w:r>
    </w:p>
    <w:p>
      <w:pPr>
        <w:jc w:val="both"/>
        <w:ind w:left="720" w:first-line="-720"/>
        <w:spacing w:before="100" w:after="100"/>
      </w:pPr>
      <w:r>
        <w:rPr>
          <w:rFonts w:ascii="Times" w:hAnsi="Times" w:cs="Times"/>
          <w:sz w:val="28"/>
          <w:sz-cs w:val="28"/>
        </w:rPr>
        <w:t xml:space="preserve"/>
        <w:tab/>
        <w:t xml:space="preserve">•</w:t>
        <w:tab/>
        <w:t xml:space="preserve">تُسهم الدراسة في بناء فهم نظري أعمق حول دور تجربة الزائر كمتغير رئيسي مؤثر في نجاح الفعاليات والمعارض، باعتبارها محوراً متنامي الأهمية في أدبيات إدارة الفعاليات.</w:t>
      </w:r>
    </w:p>
    <w:p>
      <w:pPr>
        <w:jc w:val="both"/>
        <w:ind w:left="720" w:first-line="-720"/>
        <w:spacing w:before="100" w:after="100"/>
      </w:pPr>
      <w:r>
        <w:rPr>
          <w:rFonts w:ascii="Times" w:hAnsi="Times" w:cs="Times"/>
          <w:sz w:val="28"/>
          <w:sz-cs w:val="28"/>
        </w:rPr>
        <w:t xml:space="preserve"/>
        <w:tab/>
        <w:t xml:space="preserve">•</w:t>
        <w:tab/>
        <w:t xml:space="preserve">تُضيف الدراسة إطاراً علمياً يربط بين أبعاد تجربة الزائر ومؤشرات النجاح، مما يساعد في تطوير نماذج تفسيرية يمكن الاستفادة منها في الأبحاث المستقبلية.</w:t>
      </w:r>
    </w:p>
    <w:p>
      <w:pPr>
        <w:jc w:val="both"/>
        <w:ind w:left="720" w:first-line="-720"/>
        <w:spacing w:before="100" w:after="100"/>
      </w:pPr>
      <w:r>
        <w:rPr>
          <w:rFonts w:ascii="Times" w:hAnsi="Times" w:cs="Times"/>
          <w:sz w:val="28"/>
          <w:sz-cs w:val="28"/>
        </w:rPr>
        <w:t xml:space="preserve"/>
        <w:tab/>
        <w:t xml:space="preserve">•</w:t>
        <w:tab/>
        <w:t xml:space="preserve">تُعالج الدراسة فجوة بحثية تتعلق بقلة الدراسات التي تناولت تجربة الزائر في سياق قطاع الفعاليات في المملكة العربية السعودية مقارنةً بقطاعات المتاحف والتراث والمعارض الفنية.</w:t>
      </w:r>
    </w:p>
    <w:p>
      <w:pPr>
        <w:jc w:val="both"/>
        <w:ind w:left="720" w:first-line="-720"/>
        <w:spacing w:before="100" w:after="100"/>
      </w:pPr>
      <w:r>
        <w:rPr>
          <w:rFonts w:ascii="Times" w:hAnsi="Times" w:cs="Times"/>
          <w:sz w:val="28"/>
          <w:sz-cs w:val="28"/>
        </w:rPr>
        <w:t xml:space="preserve"/>
        <w:tab/>
        <w:t xml:space="preserve">•</w:t>
        <w:tab/>
        <w:t xml:space="preserve">تُسهم في إثراء الأدبيات المتعلقة بإدارة التجربة، عبر تسليط الضوء على التفاعل البصري، التكنولوجي، والسلوكي في بيئة تنظيمية متغيرة ومتسارعة النمو.</w:t>
      </w:r>
    </w:p>
    <w:p>
      <w:pPr>
        <w:jc w:val="both"/>
        <w:spacing w:before="100" w:after="100"/>
      </w:pPr>
      <w:r>
        <w:rPr>
          <w:rFonts w:ascii="Times" w:hAnsi="Times" w:cs="Times"/>
          <w:sz w:val="32"/>
          <w:sz-cs w:val="32"/>
          <w:b/>
        </w:rPr>
        <w:t xml:space="preserve">ثانيًا: الأهمية العملية:</w:t>
      </w:r>
    </w:p>
    <w:p>
      <w:pPr>
        <w:jc w:val="both"/>
        <w:ind w:left="720" w:first-line="-720"/>
        <w:spacing w:before="100" w:after="100"/>
      </w:pPr>
      <w:r>
        <w:rPr>
          <w:rFonts w:ascii="Times" w:hAnsi="Times" w:cs="Times"/>
          <w:sz w:val="28"/>
          <w:sz-cs w:val="28"/>
        </w:rPr>
        <w:t xml:space="preserve"/>
        <w:tab/>
        <w:t xml:space="preserve">•</w:t>
        <w:tab/>
        <w:t xml:space="preserve">تساعد نتائج الدراسة الجهات المنظمة للفعاليات والمعارض على تحسين تصميم تجربة الزائر بما يعزز جودة المشاركة والرضا، ويرفع من مستوى نجاح الفعاليات.</w:t>
      </w:r>
    </w:p>
    <w:p>
      <w:pPr>
        <w:jc w:val="both"/>
        <w:ind w:left="720" w:first-line="-720"/>
        <w:spacing w:before="100" w:after="100"/>
      </w:pPr>
      <w:r>
        <w:rPr>
          <w:rFonts w:ascii="Times" w:hAnsi="Times" w:cs="Times"/>
          <w:sz w:val="28"/>
          <w:sz-cs w:val="28"/>
        </w:rPr>
        <w:t xml:space="preserve"/>
        <w:tab/>
        <w:t xml:space="preserve">•</w:t>
        <w:tab/>
        <w:t xml:space="preserve">تقدم الدراسة إطاراً عملياً يمكن لصناع القرار الاستفادة منه في تطوير سياسات ومعايير تنظيم الفعاليات بما يتوافق مع توجهات التنمية الثقافية والترفيهية.</w:t>
      </w:r>
    </w:p>
    <w:p>
      <w:pPr>
        <w:jc w:val="both"/>
        <w:ind w:left="720" w:first-line="-720"/>
        <w:spacing w:before="100" w:after="100"/>
      </w:pPr>
      <w:r>
        <w:rPr>
          <w:rFonts w:ascii="Times" w:hAnsi="Times" w:cs="Times"/>
          <w:sz w:val="28"/>
          <w:sz-cs w:val="28"/>
        </w:rPr>
        <w:t xml:space="preserve"/>
        <w:tab/>
        <w:t xml:space="preserve">•</w:t>
        <w:tab/>
        <w:t xml:space="preserve">تُمكّن الجهات المختصة من تحديد نقاط القوة والقصور في تجربة الزائر، مما يسهم في تحسين رحلة الزائر داخل الفعالية ومعالجة العقبات التي تؤثر على الانطباع العام.</w:t>
      </w:r>
    </w:p>
    <w:p>
      <w:pPr>
        <w:jc w:val="both"/>
        <w:ind w:left="720" w:first-line="-720"/>
        <w:spacing w:before="100" w:after="100"/>
      </w:pPr>
      <w:r>
        <w:rPr>
          <w:rFonts w:ascii="Times" w:hAnsi="Times" w:cs="Times"/>
          <w:sz w:val="28"/>
          <w:sz-cs w:val="28"/>
        </w:rPr>
        <w:t xml:space="preserve"/>
        <w:tab/>
        <w:t xml:space="preserve">•</w:t>
        <w:tab/>
        <w:t xml:space="preserve">تدعم الدراسة التوجه الوطني لتعزيز قطاع الفعاليات ضمن رؤية المملكة 2030، من خلال توفير نتائج قابلة للتطبيق تساعد في رفع التنافسية وجذب الزوار محلياً ودولياً.</w:t>
      </w:r>
    </w:p>
    <w:p>
      <w:pPr>
        <w:jc w:val="both"/>
        <w:spacing w:before="100" w:after="100"/>
      </w:pPr>
      <w:r>
        <w:rPr>
          <w:rFonts w:ascii="Times" w:hAnsi="Times" w:cs="Times"/>
          <w:sz w:val="36"/>
          <w:sz-cs w:val="36"/>
          <w:b/>
        </w:rPr>
        <w:t xml:space="preserve">4.1 أهداف الدراسة:</w:t>
      </w:r>
    </w:p>
    <w:p>
      <w:pPr>
        <w:jc w:val="both"/>
        <w:spacing w:before="100" w:after="100"/>
      </w:pPr>
      <w:r>
        <w:rPr>
          <w:rFonts w:ascii="Times" w:hAnsi="Times" w:cs="Times"/>
          <w:sz w:val="28"/>
          <w:sz-cs w:val="28"/>
        </w:rPr>
        <w:t xml:space="preserve">هدفت هذه الدراسة إلى التعرّف على أثر تجربة الزائر بأبعادها المختلفة على نجاح الفعاليات والمعارض في المملكة العربية السعودية، وتتفرع من هذا الهدف العام عدة أهداف فرعية، وهي:</w:t>
      </w:r>
    </w:p>
    <w:p>
      <w:pPr>
        <w:jc w:val="both"/>
        <w:ind w:left="720" w:first-line="-720"/>
        <w:spacing w:before="100" w:after="100"/>
      </w:pPr>
      <w:r>
        <w:rPr>
          <w:rFonts w:ascii="Times" w:hAnsi="Times" w:cs="Times"/>
          <w:sz w:val="28"/>
          <w:sz-cs w:val="28"/>
        </w:rPr>
        <w:t xml:space="preserve"/>
        <w:tab/>
        <w:t xml:space="preserve">•</w:t>
        <w:tab/>
        <w:t xml:space="preserve">تحديد مستوى تطبيق أبعاد تجربة الزائر (التفاعل، الجاذبية البصرية، التفاعل التكنولوجي، جودة الخدمات) في الفعاليات والمعارض.</w:t>
      </w:r>
    </w:p>
    <w:p>
      <w:pPr>
        <w:jc w:val="both"/>
        <w:ind w:left="720" w:first-line="-720"/>
        <w:spacing w:before="100" w:after="100"/>
      </w:pPr>
      <w:r>
        <w:rPr>
          <w:rFonts w:ascii="Times" w:hAnsi="Times" w:cs="Times"/>
          <w:sz w:val="28"/>
          <w:sz-cs w:val="28"/>
        </w:rPr>
        <w:t xml:space="preserve"/>
        <w:tab/>
        <w:t xml:space="preserve">•</w:t>
        <w:tab/>
        <w:t xml:space="preserve">قياس أثر كل بُعد من أبعاد تجربة الزائر على رضا الزائر في الفعاليات والمعارض.</w:t>
      </w:r>
    </w:p>
    <w:p>
      <w:pPr>
        <w:jc w:val="both"/>
        <w:ind w:left="720" w:first-line="-720"/>
        <w:spacing w:before="100" w:after="100"/>
      </w:pPr>
      <w:r>
        <w:rPr>
          <w:rFonts w:ascii="Times" w:hAnsi="Times" w:cs="Times"/>
          <w:sz w:val="28"/>
          <w:sz-cs w:val="28"/>
        </w:rPr>
        <w:t xml:space="preserve"/>
        <w:tab/>
        <w:t xml:space="preserve">•</w:t>
        <w:tab/>
        <w:t xml:space="preserve">تحليل العلاقة بين تجربة الزائر وانطباعاته ونية العودة أو التوصية بالفعالية.</w:t>
      </w:r>
    </w:p>
    <w:p>
      <w:pPr>
        <w:jc w:val="both"/>
        <w:ind w:left="720" w:first-line="-720"/>
        <w:spacing w:before="100" w:after="100"/>
      </w:pPr>
      <w:r>
        <w:rPr>
          <w:rFonts w:ascii="Times" w:hAnsi="Times" w:cs="Times"/>
          <w:sz w:val="28"/>
          <w:sz-cs w:val="28"/>
        </w:rPr>
        <w:t xml:space="preserve"/>
        <w:tab/>
        <w:t xml:space="preserve">•</w:t>
        <w:tab/>
        <w:t xml:space="preserve">التعرف على مستوى نجاح الفعاليات والمعارض ومدى ارتباطه بجودة التجربة المقدمة للزوار.</w:t>
      </w:r>
    </w:p>
    <w:p>
      <w:pPr>
        <w:jc w:val="both"/>
        <w:spacing w:before="100" w:after="100"/>
      </w:pPr>
      <w:r>
        <w:rPr>
          <w:rFonts w:ascii="Times" w:hAnsi="Times" w:cs="Times"/>
          <w:sz w:val="36"/>
          <w:sz-cs w:val="36"/>
          <w:b/>
        </w:rPr>
        <w:t xml:space="preserve">5.1 تساؤلات الدراسة</w:t>
      </w:r>
    </w:p>
    <w:p>
      <w:pPr>
        <w:jc w:val="both"/>
        <w:spacing w:before="100" w:after="100"/>
      </w:pPr>
      <w:r>
        <w:rPr>
          <w:rFonts w:ascii="Times" w:hAnsi="Times" w:cs="Times"/>
          <w:sz w:val="28"/>
          <w:sz-cs w:val="28"/>
        </w:rPr>
        <w:t xml:space="preserve">السؤال الدراسة الرئيسي: ما أثر تجربة الزائر بأبعادها المختلفة على نجاح الفعاليات والمعارض في المملكة العربية السعودية؟ وتتفرع منه عدة أسئلة فرعية:</w:t>
      </w:r>
    </w:p>
    <w:p>
      <w:pPr>
        <w:jc w:val="both"/>
        <w:ind w:left="720" w:first-line="-720"/>
        <w:spacing w:before="100" w:after="100"/>
      </w:pPr>
      <w:r>
        <w:rPr>
          <w:rFonts w:ascii="Times" w:hAnsi="Times" w:cs="Times"/>
          <w:sz w:val="28"/>
          <w:sz-cs w:val="28"/>
        </w:rPr>
        <w:t xml:space="preserve"/>
        <w:tab/>
        <w:t xml:space="preserve">•</w:t>
        <w:tab/>
        <w:t xml:space="preserve">ما مستوى تطبيق أبعاد تجربة الزائر في الفعاليات والمعارض؟</w:t>
      </w:r>
    </w:p>
    <w:p>
      <w:pPr>
        <w:jc w:val="both"/>
        <w:ind w:left="720" w:first-line="-720"/>
        <w:spacing w:before="100" w:after="100"/>
      </w:pPr>
      <w:r>
        <w:rPr>
          <w:rFonts w:ascii="Times" w:hAnsi="Times" w:cs="Times"/>
          <w:sz w:val="28"/>
          <w:sz-cs w:val="28"/>
        </w:rPr>
        <w:t xml:space="preserve"/>
        <w:tab/>
        <w:t xml:space="preserve">•</w:t>
        <w:tab/>
        <w:t xml:space="preserve">ما أثر كل بُعد من أبعاد تجربة الزائر على رضا الزائر داخل الفعاليات والمعارض؟</w:t>
      </w:r>
    </w:p>
    <w:p>
      <w:pPr>
        <w:jc w:val="both"/>
        <w:ind w:left="720" w:first-line="-720"/>
        <w:spacing w:before="100" w:after="100"/>
      </w:pPr>
      <w:r>
        <w:rPr>
          <w:rFonts w:ascii="Times" w:hAnsi="Times" w:cs="Times"/>
          <w:sz w:val="28"/>
          <w:sz-cs w:val="28"/>
        </w:rPr>
        <w:t xml:space="preserve"/>
        <w:tab/>
        <w:t xml:space="preserve">•</w:t>
        <w:tab/>
        <w:t xml:space="preserve">ما العلاقة بين تجربة الزائر وانطباعاته ونية العودة للفعالية أو التوصية بها؟</w:t>
      </w:r>
    </w:p>
    <w:p>
      <w:pPr>
        <w:jc w:val="both"/>
        <w:ind w:left="720" w:first-line="-720"/>
        <w:spacing w:before="100" w:after="100"/>
      </w:pPr>
      <w:r>
        <w:rPr>
          <w:rFonts w:ascii="Times" w:hAnsi="Times" w:cs="Times"/>
          <w:sz w:val="28"/>
          <w:sz-cs w:val="28"/>
        </w:rPr>
        <w:t xml:space="preserve"/>
        <w:tab/>
        <w:t xml:space="preserve">•</w:t>
        <w:tab/>
        <w:t xml:space="preserve">ما مستوى نجاح الفعاليات والمعارض وما مدى ارتباط هذا النجاح بجودة تجربة الزائر؟</w:t>
      </w:r>
    </w:p>
    <w:p>
      <w:pPr>
        <w:jc w:val="both"/>
        <w:spacing w:before="100" w:after="100"/>
      </w:pPr>
      <w:r>
        <w:rPr>
          <w:rFonts w:ascii="Times" w:hAnsi="Times" w:cs="Times"/>
          <w:sz w:val="36"/>
          <w:sz-cs w:val="36"/>
          <w:b/>
        </w:rPr>
        <w:t xml:space="preserve">6.1 فروض الدراسة:</w:t>
      </w:r>
    </w:p>
    <w:p>
      <w:pPr>
        <w:jc w:val="both"/>
        <w:spacing w:before="100" w:after="100"/>
      </w:pPr>
      <w:r>
        <w:rPr>
          <w:rFonts w:ascii="Times" w:hAnsi="Times" w:cs="Times"/>
          <w:sz w:val="28"/>
          <w:sz-cs w:val="28"/>
          <w:b/>
        </w:rPr>
        <w:t xml:space="preserve">لتحقيق أهداف الدراسة والإجابة على تساؤلاتها يمكن  صياغة الفرضيات التالية:</w:t>
      </w:r>
    </w:p>
    <w:p>
      <w:pPr>
        <w:jc w:val="both"/>
        <w:spacing w:before="100" w:after="100"/>
      </w:pPr>
      <w:r>
        <w:rPr>
          <w:rFonts w:ascii="Times" w:hAnsi="Times" w:cs="Times"/>
          <w:sz w:val="28"/>
          <w:sz-cs w:val="28"/>
          <w:b/>
        </w:rPr>
        <w:t xml:space="preserve">الفرضية الرئيسة:</w:t>
      </w:r>
      <w:r>
        <w:rPr>
          <w:rFonts w:ascii="Times" w:hAnsi="Times" w:cs="Times"/>
          <w:sz w:val="28"/>
          <w:sz-cs w:val="28"/>
        </w:rPr>
        <w:t xml:space="preserve"> لا يوجد أثر ذو دلالة إحصائية عند مستوى دلالة (α ≤ 0.05) لتجربة الزائر بأبعادها المختلفة على نجاح الفعاليات والمعارض في المملكة العربية السعودية.</w:t>
      </w:r>
    </w:p>
    <w:p>
      <w:pPr>
        <w:jc w:val="both"/>
        <w:spacing w:before="100" w:after="100"/>
      </w:pPr>
      <w:r>
        <w:rPr>
          <w:rFonts w:ascii="Times" w:hAnsi="Times" w:cs="Times"/>
          <w:sz w:val="32"/>
          <w:sz-cs w:val="32"/>
        </w:rPr>
        <w:t xml:space="preserve">الفرضيات الفرعية:</w:t>
      </w:r>
    </w:p>
    <w:p>
      <w:pPr>
        <w:jc w:val="both"/>
        <w:ind w:left="720" w:first-line="-720"/>
        <w:spacing w:before="100" w:after="100"/>
      </w:pPr>
      <w:r>
        <w:rPr>
          <w:rFonts w:ascii="Times" w:hAnsi="Times" w:cs="Times"/>
          <w:sz w:val="28"/>
          <w:sz-cs w:val="28"/>
        </w:rPr>
        <w:t xml:space="preserve"/>
        <w:tab/>
        <w:t xml:space="preserve">•</w:t>
        <w:tab/>
        <w:t xml:space="preserve">لا يوجد أثر ذو دلالة إحصائية عند مستوى دلالة (α ≤ 0.05) لبُعد التفاعل على نجاح الفعاليات والمعارض.</w:t>
      </w:r>
    </w:p>
    <w:p>
      <w:pPr>
        <w:jc w:val="both"/>
        <w:ind w:left="720" w:first-line="-720"/>
        <w:spacing w:before="100" w:after="100"/>
      </w:pPr>
      <w:r>
        <w:rPr>
          <w:rFonts w:ascii="Times" w:hAnsi="Times" w:cs="Times"/>
          <w:sz w:val="28"/>
          <w:sz-cs w:val="28"/>
        </w:rPr>
        <w:t xml:space="preserve"/>
        <w:tab/>
        <w:t xml:space="preserve">•</w:t>
        <w:tab/>
        <w:t xml:space="preserve">لا يوجد أثر ذو دلالة إحصائية عند مستوى دلالة (α ≤ 0.05) لبُعد الجاذبية البصرية على نجاح الفعاليات والمعارض.</w:t>
      </w:r>
    </w:p>
    <w:p>
      <w:pPr>
        <w:jc w:val="both"/>
        <w:ind w:left="720" w:first-line="-720"/>
        <w:spacing w:before="100" w:after="100"/>
      </w:pPr>
      <w:r>
        <w:rPr>
          <w:rFonts w:ascii="Times" w:hAnsi="Times" w:cs="Times"/>
          <w:sz w:val="28"/>
          <w:sz-cs w:val="28"/>
        </w:rPr>
        <w:t xml:space="preserve"/>
        <w:tab/>
        <w:t xml:space="preserve">•</w:t>
        <w:tab/>
        <w:t xml:space="preserve">لا يوجد أثر ذو دلالة إحصائية عند مستوى دلالة (α ≤ 0.05) لبُعد التفاعل التكنولوجي على نجاح الفعاليات والمعارض.</w:t>
      </w:r>
    </w:p>
    <w:p>
      <w:pPr>
        <w:jc w:val="both"/>
        <w:ind w:left="720" w:first-line="-720"/>
        <w:spacing w:before="100" w:after="100"/>
      </w:pPr>
      <w:r>
        <w:rPr>
          <w:rFonts w:ascii="Times" w:hAnsi="Times" w:cs="Times"/>
          <w:sz w:val="28"/>
          <w:sz-cs w:val="28"/>
        </w:rPr>
        <w:t xml:space="preserve"/>
        <w:tab/>
        <w:t xml:space="preserve">•</w:t>
        <w:tab/>
        <w:t xml:space="preserve">لا يوجد أثر ذو دلالة إحصائية عند مستوى دلالة (α ≤ 0.05) لبُعد جودة الخدمات على نجاح الفعاليات والمعارض.</w:t>
      </w:r>
    </w:p>
    <w:p>
      <w:pPr>
        <w:jc w:val="both"/>
        <w:spacing w:before="100" w:after="100"/>
      </w:pPr>
      <w:r>
        <w:rPr>
          <w:rFonts w:ascii="Times" w:hAnsi="Times" w:cs="Times"/>
          <w:sz w:val="36"/>
          <w:sz-cs w:val="36"/>
          <w:b/>
        </w:rPr>
        <w:t xml:space="preserve">7.1 الدراسات السابقة:</w:t>
      </w:r>
    </w:p>
    <w:p>
      <w:pPr>
        <w:jc w:val="both"/>
        <w:ind w:left="720" w:first-line="-720"/>
        <w:spacing w:before="100" w:after="100"/>
      </w:pPr>
      <w:r>
        <w:rPr>
          <w:rFonts w:ascii="Times" w:hAnsi="Times" w:cs="Times"/>
          <w:sz w:val="28"/>
          <w:sz-cs w:val="28"/>
          <w:b/>
        </w:rPr>
        <w:t xml:space="preserve"/>
        <w:tab/>
        <w:t xml:space="preserve">•</w:t>
        <w:tab/>
        <w:t xml:space="preserve">دراسة  (Nurulloh et al., 2025)</w:t>
      </w:r>
    </w:p>
    <w:p>
      <w:pPr>
        <w:jc w:val="both"/>
        <w:spacing w:before="100" w:after="100"/>
      </w:pPr>
      <w:r>
        <w:rPr>
          <w:rFonts w:ascii="Times" w:hAnsi="Times" w:cs="Times"/>
          <w:sz w:val="28"/>
          <w:sz-cs w:val="28"/>
        </w:rPr>
        <w:t xml:space="preserve">هدفت الدراسة إلى التعرّف على أثر التقنيات التفاعلية بأبعادها (القدرة على التكيّف، التمكين التقني، التفاعل الشبيه بالبشر، الكفاءة النظامية، التكامل التكنولوجي) على رضا الزائر في معرض Ourchetype التفاعلي. </w:t>
      </w:r>
    </w:p>
    <w:p>
      <w:pPr>
        <w:jc w:val="both"/>
        <w:spacing w:before="100" w:after="100"/>
      </w:pPr>
      <w:r>
        <w:rPr>
          <w:rFonts w:ascii="Times" w:hAnsi="Times" w:cs="Times"/>
          <w:sz w:val="28"/>
          <w:sz-cs w:val="28"/>
        </w:rPr>
        <w:t xml:space="preserve">استخدمت الدراسة المنهج الكمي من خلال تحليل وصفي إحصائي، حيث تم اختيار (109) مشاركاً باستخدام العينة القصدية، وتم تحليل البيانات باستخدام أسلوب الدرجات (Scoring) وتحليل شبكة العنكبوت (Spider Web Analysis).</w:t>
      </w:r>
    </w:p>
    <w:p>
      <w:pPr>
        <w:jc w:val="both"/>
        <w:spacing w:before="100" w:after="100"/>
      </w:pPr>
      <w:r>
        <w:rPr>
          <w:rFonts w:ascii="Times" w:hAnsi="Times" w:cs="Times"/>
          <w:sz w:val="28"/>
          <w:sz-cs w:val="28"/>
        </w:rPr>
        <w:t xml:space="preserve">وأظهرت النتائج وجود أثر ذو دلالة إحصائية للتقنيات المستخدمة على رضا الزوار، حيث تبين أن بُعد القدرة على التكيّف هو الوحيد الذي لبّى توقعات الزوار وحقق مستوى رضا مقبول، مما يشير إلى نجاح المعرض في تقديم تقنيات تفاعلية متكيّفة وسريعة الاستجابة. بينما لم تحقق بقية الأبعاد—التمكين التقني، التفاعل الشبيه بالبشر، الكفاءة النظامية، التكامل التكنولوجي—توقعات الزوار، مما يشير إلى الحاجة إلى تحسينات في سهولة الاستخدام، جودة التفاعل، كفاءة الأنظمة، وتكامل التقنيات لتعزيز جودة التجربة.</w:t>
      </w:r>
    </w:p>
    <w:p>
      <w:pPr>
        <w:jc w:val="both"/>
        <w:spacing w:before="100" w:after="100"/>
      </w:pPr>
      <w:r>
        <w:rPr>
          <w:rFonts w:ascii="Times" w:hAnsi="Times" w:cs="Times"/>
          <w:sz w:val="28"/>
          <w:sz-cs w:val="28"/>
        </w:rPr>
        <w:t xml:space="preserve">وأوصت الدراسة بضرورة تطوير الخصائص التكنولوجية للمعارض التفاعلية، وتحسين أنظمة التفاعل والكفاءة، وتعزيز دمج التقنيات بشكل أكثر سلاسة، بما يسهم في رفع رضا الزائر وتقديم تجربة أكثر جاذبية وفعالية.</w:t>
      </w:r>
    </w:p>
    <w:p>
      <w:pPr>
        <w:jc w:val="both"/>
        <w:ind w:left="720" w:first-line="-720"/>
        <w:spacing w:before="100" w:after="100"/>
      </w:pPr>
      <w:r>
        <w:rPr>
          <w:rFonts w:ascii="Times" w:hAnsi="Times" w:cs="Times"/>
          <w:sz w:val="28"/>
          <w:sz-cs w:val="28"/>
          <w:b/>
        </w:rPr>
        <w:t xml:space="preserve"/>
        <w:tab/>
        <w:t xml:space="preserve">•</w:t>
        <w:tab/>
        <w:t xml:space="preserve">دراسة (Wu et al., 2025)</w:t>
      </w:r>
    </w:p>
    <w:p>
      <w:pPr>
        <w:jc w:val="both"/>
        <w:spacing w:before="100" w:after="100"/>
      </w:pPr>
      <w:r>
        <w:rPr>
          <w:rFonts w:ascii="Times" w:hAnsi="Times" w:cs="Times"/>
          <w:sz w:val="28"/>
          <w:sz-cs w:val="28"/>
        </w:rPr>
        <w:t xml:space="preserve">هدفت الدراسة إلى التعرّف على أثر محفزات المعارض المتحفية في الميتافيرس بأبعادها (الجاذبية التعليمية المدركة، الترفيه التفاعلي، تجربة الهروب، والجاذبية البصرية المدركة( على الاستجابات النفسية للزائر بأبعادها (الانغماس النفسي، الاستثارة العاطفية، المشاركة المعرفية)، وعلى الرضا عن تجربة الزيارة والنوايا السلوكية المتمثلة في نية المشاركة الاجتماعية في معارض المتاحف بالميتافيرس. استخدمت الدراسة المنهج الكمي .</w:t>
      </w:r>
    </w:p>
    <w:p>
      <w:pPr>
        <w:jc w:val="both"/>
        <w:spacing w:before="100" w:after="100"/>
      </w:pPr>
      <w:r>
        <w:rPr>
          <w:rFonts w:ascii="Times" w:hAnsi="Times" w:cs="Times"/>
          <w:sz w:val="28"/>
          <w:sz-cs w:val="28"/>
        </w:rPr>
        <w:t xml:space="preserve">وأظهرت النتائج وجود أثر ذو دلالة إحصائية إيجابية لكل من الترفيه التفاعلي وتجربة الهروب على المتغيرات النفسية للزائر، حيث يمثّلان المحركين الرئيسيين للانغماس العميق والمشاركة الوجدانية والمعرفية. كما أظهرت النتائج أن الاستثارة العاطفية تؤدي دور الوسيط المؤثر بين المحفزات المختلفة ورضا الزائر، وأن الرضا عن تجربة الزيارة يؤثر إيجابياً بشكل دالّ على نية المشاركة الاجتماعية. وفي المقابل، بيّنت النتائج أن الجاذبية التعليمية المدركة والجاذبية البصرية المدركة لهما تأثيرات أضعف وغير دالّة في بعض المسارات الإدراكية والسلوكية.</w:t>
      </w:r>
    </w:p>
    <w:p>
      <w:pPr>
        <w:jc w:val="both"/>
        <w:spacing w:before="100" w:after="100"/>
      </w:pPr>
      <w:r>
        <w:rPr>
          <w:rFonts w:ascii="Times" w:hAnsi="Times" w:cs="Times"/>
          <w:sz w:val="28"/>
          <w:sz-cs w:val="28"/>
        </w:rPr>
        <w:t xml:space="preserve">وأوصت الدراسة بضرورة تعزيز تصميم التجارب الغامرة في معارض الميتافيرس عبر التركيز على الترفيه التفاعلي وتجربة الهروب، وتفعيل الاستجابات العاطفية، مع رفع فاعلية العناصر التعليمية والبصرية من خلال التكامل بين التصميم المعرفي والوجداني. كما أوصت بالتحول من نموذج “المحتوى الموجّه” إلى “التجربة الموجّهة”، بما يسهم في تعظيم المشاركة، وزيادة الارتباط الثقافي، ورفع فعالية التواصل المعرفي في المتاحف القائمة على تقنيات الميتافيرس.</w:t>
      </w:r>
    </w:p>
    <w:p>
      <w:pPr>
        <w:jc w:val="both"/>
        <w:ind w:left="720" w:first-line="-720"/>
        <w:spacing w:before="100" w:after="100"/>
      </w:pPr>
      <w:r>
        <w:rPr>
          <w:rFonts w:ascii="Times" w:hAnsi="Times" w:cs="Times"/>
          <w:sz w:val="28"/>
          <w:sz-cs w:val="28"/>
          <w:b/>
        </w:rPr>
        <w:t xml:space="preserve"/>
        <w:tab/>
        <w:t xml:space="preserve">•</w:t>
        <w:tab/>
        <w:t xml:space="preserve">دراسة(المومنى  واخرون،2024)</w:t>
      </w:r>
    </w:p>
    <w:p>
      <w:pPr>
        <w:jc w:val="both"/>
        <w:spacing w:before="100" w:after="100"/>
      </w:pPr>
      <w:r>
        <w:rPr>
          <w:rFonts w:ascii="Times" w:hAnsi="Times" w:cs="Times"/>
          <w:sz w:val="28"/>
          <w:sz-cs w:val="28"/>
        </w:rPr>
        <w:t xml:space="preserve">هدفت الدراسة إلى التعرّف على أثر عناصر التصميم الجرافيكي بأبعادها (الهوية البصرية، الألوان، التكوينات، العلامات الإرشادية، الصور، التكنولوجيات والخامات المستخدمة) على تجربة الزائر وإدراكه ورضاه وانطباعاته نحو متحف الأردن، وذلك في إطار سعي المتحف لتعزيز جودة العرض المتحفي وتقديم تجربة أكثر جاذبية وتفاعلية للزوار،و  استخدمت الدراسة المنهج الوصفي التحليلي .</w:t>
      </w:r>
    </w:p>
    <w:p>
      <w:pPr>
        <w:jc w:val="both"/>
        <w:spacing w:before="100" w:after="100"/>
      </w:pPr>
      <w:r>
        <w:rPr>
          <w:rFonts w:ascii="Times" w:hAnsi="Times" w:cs="Times"/>
          <w:sz w:val="28"/>
          <w:sz-cs w:val="28"/>
        </w:rPr>
        <w:t xml:space="preserve">وأظهرت النتائج وجود أثر ذو دلالة إحصائية لعناصر التصميم الجرافيكي بأبعادها المختلفة على تجربة الزائر ورضاه وانطباعاته الإيجابية تجاه المتحف، مما يؤكد الدور المحوري للتصميم الجرافيكي في تعزيز التفاعل البصري ورفع جودة التجربة المتحفية.</w:t>
      </w:r>
    </w:p>
    <w:p>
      <w:pPr>
        <w:jc w:val="both"/>
        <w:spacing w:before="100" w:after="100"/>
      </w:pPr>
      <w:r>
        <w:rPr>
          <w:rFonts w:ascii="Times" w:hAnsi="Times" w:cs="Times"/>
          <w:sz w:val="28"/>
          <w:sz-cs w:val="28"/>
        </w:rPr>
        <w:t xml:space="preserve">وانتهت الدراسة إلى مجموعة من التوصيات، أبرزها: ضرورة تطوير الهوية البصرية للمتحف، تحسين استخدام الألوان والتكوينات بما يعزز الجاذبية البصرية، تحديث العلامات الإرشادية، توظيف التكنولوجيا التفاعلية الحديثة، وتحسين الخامات وطرق العرض بما يضمن تجربة أكثر غنى واندماجاً للزائر، وبما يسهم في نقل التراث الثقافي الغني للأردن بشكل فعّال وجاذب.</w:t>
      </w:r>
    </w:p>
    <w:p>
      <w:pPr>
        <w:jc w:val="both"/>
        <w:ind w:left="720" w:first-line="-720"/>
        <w:spacing w:before="100" w:after="100"/>
      </w:pPr>
      <w:r>
        <w:rPr>
          <w:rFonts w:ascii="Times" w:hAnsi="Times" w:cs="Times"/>
          <w:sz w:val="28"/>
          <w:sz-cs w:val="28"/>
          <w:b/>
        </w:rPr>
        <w:t xml:space="preserve"/>
        <w:tab/>
        <w:t xml:space="preserve">•</w:t>
        <w:tab/>
        <w:t xml:space="preserve">دراسة (King et al., 2024)</w:t>
      </w:r>
    </w:p>
    <w:p>
      <w:pPr>
        <w:jc w:val="both"/>
        <w:spacing w:before="100" w:after="100"/>
      </w:pPr>
      <w:r>
        <w:rPr>
          <w:rFonts w:ascii="Times" w:hAnsi="Times" w:cs="Times"/>
          <w:sz w:val="28"/>
          <w:sz-cs w:val="28"/>
        </w:rPr>
        <w:t xml:space="preserve">هدفت الدراسة إلى التعرّف على أثر نموذج تجربة مستخدم المعارض المتحفية (MEUX) بأبعاده ) التفاعل، الإدراك، القيمة المعرفية، التجربة الحسية، المشاركة، جودة العرض، ونتائج التجربة( على تقييم تجربة الزائر في معارض المتاحف، وذلك من خلال تطوير منهجية تقييم تعتمد على أدوات قطاع تجربة المستخدم وتكييفها بما يتناسب مع بيئة المتاحف والتراث الثقافي.</w:t>
      </w:r>
    </w:p>
    <w:p>
      <w:pPr>
        <w:jc w:val="both"/>
        <w:spacing w:before="100" w:after="100"/>
      </w:pPr>
      <w:r>
        <w:rPr>
          <w:rFonts w:ascii="Times" w:hAnsi="Times" w:cs="Times"/>
          <w:sz w:val="28"/>
          <w:sz-cs w:val="28"/>
        </w:rPr>
        <w:t xml:space="preserve"> استخدمت الدراسة المنهج المختلط (الكمي–النوعي) لتحليل تجارب الزوار عبر ثلاثة معارض مختلفة.</w:t>
      </w:r>
    </w:p>
    <w:p>
      <w:pPr>
        <w:jc w:val="both"/>
        <w:spacing w:before="100" w:after="100"/>
      </w:pPr>
      <w:r>
        <w:rPr>
          <w:rFonts w:ascii="Times" w:hAnsi="Times" w:cs="Times"/>
          <w:sz w:val="28"/>
          <w:sz-cs w:val="28"/>
        </w:rPr>
        <w:t xml:space="preserve">وأظهرت النتائج وجود أثر ذو دلالة إحصائية إيجابية لأبعاد نموذج MEUX على تقييم تجربة الزائر، حيث أوضحت البيانات أن اختلاف بناء وتصميم كل معرض أدى إلى تباين ملحوظ في مستوى التفاعل والقيمة المعرفية والتجربة الحسية والنتائج النهائية المدركة لدى الزوار، دون الإشارة إلى تفوق معرض على آخر، وإنما إلى اختلاف طبيعة التجربة التي يقدمها كل منها.</w:t>
      </w:r>
    </w:p>
    <w:p>
      <w:pPr>
        <w:jc w:val="both"/>
        <w:spacing w:before="100" w:after="100"/>
      </w:pPr>
      <w:r>
        <w:rPr>
          <w:rFonts w:ascii="Times" w:hAnsi="Times" w:cs="Times"/>
          <w:sz w:val="28"/>
          <w:sz-cs w:val="28"/>
        </w:rPr>
        <w:t xml:space="preserve">وأوصت الدراسة بضرورة تطبيق منهجية MEUX بشكل موسع في تقييم المعارض لكونها منهجية قياسية دقيقة تسهم في جمع بيانات معمّقة حول تجربة الزائر، مع تعزيز التكامل بين منهجيات تقييم تجربة المستخدم والقطاع المتحفي، بما يساعد في رفع جودة تصميم المعارض وتطويرها مستقبلاً، وتحسين التجربة العامة للزوار بما يلائم التغيرات والتوقعات المتزايدة في القطاع الثقافي.</w:t>
      </w:r>
    </w:p>
    <w:p>
      <w:pPr>
        <w:jc w:val="both"/>
        <w:ind w:left="720" w:first-line="-720"/>
        <w:spacing w:before="100" w:after="100"/>
      </w:pPr>
      <w:r>
        <w:rPr>
          <w:rFonts w:ascii="Times" w:hAnsi="Times" w:cs="Times"/>
          <w:sz w:val="28"/>
          <w:sz-cs w:val="28"/>
          <w:b/>
        </w:rPr>
        <w:t xml:space="preserve"/>
        <w:tab/>
        <w:t xml:space="preserve">•</w:t>
        <w:tab/>
        <w:t xml:space="preserve">دراسة(الزهرانى وعطيه،2024) </w:t>
      </w:r>
    </w:p>
    <w:p>
      <w:pPr>
        <w:jc w:val="both"/>
        <w:spacing w:before="100" w:after="100"/>
      </w:pPr>
      <w:r>
        <w:rPr>
          <w:rFonts w:ascii="Times" w:hAnsi="Times" w:cs="Times"/>
          <w:sz w:val="28"/>
          <w:sz-cs w:val="28"/>
        </w:rPr>
        <w:t xml:space="preserve">هدفت الدراسة إلى التعرّف على الاعتبارات التصميمية للأحداث الثقافية بأبعادها(الهوية البصرية، تصميم رحلة الزائر، التواصل الرقمي، استهداف فئات الزوار، الإجراءات الوقائية) وعلى مستوى تطبيق هذه الاعتبارات في الأحداث الثقافية بالمملكة العربية السعودية، وذلك في ظل دور الأحداث الثقافية في تعزيز جودة الحياة ومواكبة توجهات رؤية المملكة 2030، استخدمت الدراسة المنهج الوصفي التحليلي .</w:t>
      </w:r>
    </w:p>
    <w:p>
      <w:pPr>
        <w:jc w:val="both"/>
        <w:spacing w:before="100" w:after="100"/>
      </w:pPr>
      <w:r>
        <w:rPr>
          <w:rFonts w:ascii="Times" w:hAnsi="Times" w:cs="Times"/>
          <w:sz w:val="28"/>
          <w:sz-cs w:val="28"/>
        </w:rPr>
        <w:t xml:space="preserve">وأظهرت النتائج وجود أثر ذو دلالة إحصائية لتطبيق الاعتبارات التصميمية على نجاح الأحداث الثقافية، حيث حققت الفعاليات نجاحاً ملحوظاً في بناء هوية بصرية متكاملة، وتصميم خريطة رحلة زائر واضحة تسهّل الحركة والوصول، إضافة إلى الاستخدام الفعّال لوسائل التواصل الاجتماعي والمواقع الرسمية، وأوصت الدراسة بضرورة تحسين الخدمات المحيطة بالمعارض والصالات الثقافية، وتبنّي تصميم الخدمة وتصميم تجربة المستخدم من قبل متخصصين، مع تطوير وسائل النقل للفعاليات متعددة المواقع، بما يسهم في تعزيز تجربة الزائر ورفع جودة الأحداث الثقافية في المملكة العربية السعودية.</w:t>
      </w:r>
    </w:p>
    <w:p>
      <w:pPr>
        <w:jc w:val="both"/>
        <w:ind w:left="720" w:first-line="-720"/>
        <w:spacing w:before="100" w:after="100"/>
      </w:pPr>
      <w:r>
        <w:rPr>
          <w:rFonts w:ascii="Times" w:hAnsi="Times" w:cs="Times"/>
          <w:sz w:val="28"/>
          <w:sz-cs w:val="28"/>
          <w:b/>
        </w:rPr>
        <w:t xml:space="preserve"/>
        <w:tab/>
        <w:t xml:space="preserve">•</w:t>
        <w:tab/>
        <w:t xml:space="preserve">دراسة ( El-Meniawy، (2023. </w:t>
      </w:r>
    </w:p>
    <w:p>
      <w:pPr>
        <w:jc w:val="both"/>
        <w:spacing w:before="100" w:after="100"/>
      </w:pPr>
      <w:r>
        <w:rPr>
          <w:rFonts w:ascii="Times" w:hAnsi="Times" w:cs="Times"/>
          <w:sz w:val="28"/>
          <w:sz-cs w:val="28"/>
        </w:rPr>
        <w:t xml:space="preserve">هدفت الدراسة إلى التعرّف على أثر التقنيات التكنولوجية المستخدمة في المتاحف بأبعادها (التجربة التعليمية، التجربة الترفيهية، تجربة الهروب، التجربة الجمالية)على تجربة زوار المتحف الوطني للحضارة المصرية، وذلك في إطار دور المتحف في عرض التراث المادي وغير المادي للحضارة المصرية واستمراريتها عبر العصور،و استخدمت الدراسة المنهج الكمي.</w:t>
      </w:r>
    </w:p>
    <w:p>
      <w:pPr>
        <w:jc w:val="both"/>
        <w:spacing w:before="100" w:after="100"/>
      </w:pPr>
      <w:r>
        <w:rPr>
          <w:rFonts w:ascii="Times" w:hAnsi="Times" w:cs="Times"/>
          <w:sz w:val="28"/>
          <w:sz-cs w:val="28"/>
        </w:rPr>
        <w:t xml:space="preserve">وأظهرت النتائج وجود أثر ذو دلالة إحصائية للتقنيات التكنولوجية المستخدمة في المتحف على أبعاد تجربة الزائر التعليمية والترفيهية والجمالية، باستثناء بعد تجربة الهروب الذي لم يظهر تأثيراً ذا دلالة إحصائية. تعكس هذه النتائج أهمية دمج التكنولوجيا في المتاحف لتعزيز التفاعل وتطوير تجربة الزائر.</w:t>
      </w:r>
    </w:p>
    <w:p>
      <w:pPr>
        <w:jc w:val="both"/>
        <w:spacing w:before="100" w:after="100"/>
      </w:pPr>
      <w:r>
        <w:rPr>
          <w:rFonts w:ascii="Times" w:hAnsi="Times" w:cs="Times"/>
          <w:sz w:val="28"/>
          <w:sz-cs w:val="28"/>
        </w:rPr>
        <w:t xml:space="preserve">وأوصت الدراسة بضرورة توسيع استخدام التقنيات الحديثة مثل الذكاء الاصطناعي، والواقع المعزز، والوسائط التفاعلية، بهدف خلق تجارب مبتكرة وأكثر جاذبية، وتعزيز القيمة التعليمية والترفيهية والجمالية لزوار المتحف الوطني للحضارة المصرية في المستقبل.</w:t>
      </w:r>
    </w:p>
    <w:p>
      <w:pPr>
        <w:jc w:val="both"/>
        <w:ind w:left="720" w:first-line="-720"/>
        <w:spacing w:before="100" w:after="100"/>
      </w:pPr>
      <w:r>
        <w:rPr>
          <w:rFonts w:ascii="Times" w:hAnsi="Times" w:cs="Times"/>
          <w:sz w:val="28"/>
          <w:sz-cs w:val="28"/>
          <w:b/>
        </w:rPr>
        <w:t xml:space="preserve"/>
        <w:tab/>
        <w:t xml:space="preserve">•</w:t>
        <w:tab/>
        <w:t xml:space="preserve">دراسة (العودة ،2023)</w:t>
      </w:r>
    </w:p>
    <w:p>
      <w:pPr>
        <w:jc w:val="both"/>
        <w:spacing w:before="100" w:after="100"/>
      </w:pPr>
      <w:r>
        <w:rPr>
          <w:rFonts w:ascii="Times" w:hAnsi="Times" w:cs="Times"/>
          <w:sz w:val="28"/>
          <w:sz-cs w:val="28"/>
        </w:rPr>
        <w:t xml:space="preserve">هدفت الدراسة إلى التعرّف على أثر برنامج الزائر الدولي بأبعاده (البعد الثقافي، البعد المهني، البعد المجتمعي، والبعد التبادلي بين الثقافات) على تنمية الخبرات الشخصية والمهنية للمشاركين في برنامج الزائر الدولي للولايات المتحدة،  واستخدمت الدراسة المنهج الوصفي التحليلي .</w:t>
      </w:r>
    </w:p>
    <w:p>
      <w:pPr>
        <w:jc w:val="both"/>
        <w:spacing w:before="100" w:after="100"/>
      </w:pPr>
      <w:r>
        <w:rPr>
          <w:rFonts w:ascii="Times" w:hAnsi="Times" w:cs="Times"/>
          <w:sz w:val="28"/>
          <w:sz-cs w:val="28"/>
        </w:rPr>
        <w:t xml:space="preserve">وأظهرت النتائج وجود أثر ذو دلالة إحصائية لأبعاد البرنامج المختلفة على تطوير معرفة المشاركين بالنظام الفيدرالي الأمريكي، وتعزيز فهمهم للقيم المجتمعية، وإثراء خبراتهم المهنية من خلال الاطلاع على أنظمة التعليم والصحة والتكنولوجيا، بالإضافة إلى تعزيز التبادل الثقافي عبر الأنشطة المتحفية واللقاءات مع المختصين الأمريكيين.</w:t>
      </w:r>
    </w:p>
    <w:p>
      <w:pPr>
        <w:jc w:val="both"/>
        <w:spacing w:before="100" w:after="100"/>
      </w:pPr>
      <w:r>
        <w:rPr>
          <w:rFonts w:ascii="Times" w:hAnsi="Times" w:cs="Times"/>
          <w:sz w:val="28"/>
          <w:sz-cs w:val="28"/>
        </w:rPr>
        <w:t xml:space="preserve">وأوصت الدراسة بضرورة توسيع فرص المشاركة في برامج التبادل الثقافي، وتفعيل الشراكات بين المؤسسات الأكاديمية والمهنية لزيادة الاستفادة من الخبرات الدولية، وتعزيز دور البرامج الثقافية في بناء جسور الحوار والتفاهم بين الشعوب، بما يسهم في تطوير القدرات الفردية والمجتمعية للمشاركين مستقبلاً.</w:t>
      </w:r>
    </w:p>
    <w:p>
      <w:pPr>
        <w:jc w:val="both"/>
        <w:ind w:left="720" w:first-line="-720"/>
        <w:spacing w:before="100" w:after="100"/>
      </w:pPr>
      <w:r>
        <w:rPr>
          <w:rFonts w:ascii="Times" w:hAnsi="Times" w:cs="Times"/>
          <w:sz w:val="28"/>
          <w:sz-cs w:val="28"/>
          <w:b/>
        </w:rPr>
        <w:t xml:space="preserve"/>
        <w:tab/>
        <w:t xml:space="preserve">•</w:t>
        <w:tab/>
        <w:t xml:space="preserve">دراسة (الذنون،2023)</w:t>
      </w:r>
    </w:p>
    <w:p>
      <w:pPr>
        <w:jc w:val="both"/>
        <w:spacing w:before="100" w:after="100"/>
      </w:pPr>
      <w:r>
        <w:rPr>
          <w:rFonts w:ascii="Times" w:hAnsi="Times" w:cs="Times"/>
          <w:sz w:val="28"/>
          <w:sz-cs w:val="28"/>
        </w:rPr>
        <w:t xml:space="preserve">هدفت الدراسة إلى التعرّف على تاريخ وتطور مهرجان الربيع في الموصل بأبعاده (السياق التاريخي والإداري، الفعاليات الثقافية والفنية، الجوانب التراثية والشعبية) وعلى مدى تأثير هذه الأبعاد في تعزيز الهوية الثقافية والاندماج الوطني في مدينة الموصل، واستخدمت الدراسة المنهج الوصفي التحليلي.</w:t>
      </w:r>
    </w:p>
    <w:p>
      <w:pPr>
        <w:jc w:val="both"/>
        <w:spacing w:before="100" w:after="100"/>
      </w:pPr>
      <w:r>
        <w:rPr>
          <w:rFonts w:ascii="Times" w:hAnsi="Times" w:cs="Times"/>
          <w:sz w:val="28"/>
          <w:sz-cs w:val="28"/>
        </w:rPr>
        <w:t xml:space="preserve">وأظهرت النتائج وجود أثر ذو دلالة إحصائية لأبعاد المهرجان التاريخية والثقافية والتراثية على تعزيز التفاعل المجتمعي، وتقوية الهوية الثقافية للمدينة، وإبراز دور الموصل كمركز ثقافي عراقي. كما بينت النتائج نجاح المهرجان في تحقيق مشاركة واسعة بين مختلف المحافظات العراقية، مما أسهم في ترسيخ الاندماج الوطني.</w:t>
      </w:r>
    </w:p>
    <w:p>
      <w:pPr>
        <w:jc w:val="both"/>
        <w:spacing w:before="100" w:after="100"/>
      </w:pPr>
      <w:r>
        <w:rPr>
          <w:rFonts w:ascii="Times" w:hAnsi="Times" w:cs="Times"/>
          <w:sz w:val="28"/>
          <w:sz-cs w:val="28"/>
        </w:rPr>
        <w:t xml:space="preserve">وأوصت الدراسة بضرورة الاهتمام بتطوير مرافق المدينة والبنى التحتية السياحية، وتعزيز الدعم المالي والتنظيمي للمهرجان، وتوسيع الأنشطة التراثية والثقافية بما يساهم في رفع جاذبية الموصل السياحية واستدامة المهرجان كحدث وطني وثقافي بارز.</w:t>
      </w:r>
    </w:p>
    <w:p>
      <w:pPr>
        <w:jc w:val="both"/>
        <w:ind w:left="720" w:first-line="-720"/>
        <w:spacing w:before="100" w:after="100"/>
      </w:pPr>
      <w:r>
        <w:rPr>
          <w:rFonts w:ascii="Times" w:hAnsi="Times" w:cs="Times"/>
          <w:sz w:val="28"/>
          <w:sz-cs w:val="28"/>
          <w:b/>
        </w:rPr>
        <w:t xml:space="preserve"/>
        <w:tab/>
        <w:t xml:space="preserve">•</w:t>
        <w:tab/>
        <w:t xml:space="preserve">دراسة (أيوب ،2023)</w:t>
      </w:r>
    </w:p>
    <w:p>
      <w:pPr>
        <w:jc w:val="both"/>
        <w:spacing w:before="100" w:after="100"/>
      </w:pPr>
      <w:r>
        <w:rPr>
          <w:rFonts w:ascii="Times" w:hAnsi="Times" w:cs="Times"/>
          <w:sz w:val="28"/>
          <w:sz-cs w:val="28"/>
        </w:rPr>
        <w:t xml:space="preserve">هدفت الدراسة إلى التعرّف على تجربة السعودية الرياضية بأبعادها (التنظيم الرياضي، الدعم الحكومي والإعلامي، البعد الاقتصادي والسياحي، وتنوع الألعاب الرياضية) وعلى أثر هذه الأبعاد في تعزيز الصورة الدولية للمملكة وتطوير القطاع الرياضي في ضوء رؤية السعودية 2030، واستخدمت الدراسة المنهج الوصفي التحليلي.</w:t>
      </w:r>
    </w:p>
    <w:p>
      <w:pPr>
        <w:jc w:val="both"/>
        <w:spacing w:before="100" w:after="100"/>
      </w:pPr>
      <w:r>
        <w:rPr>
          <w:rFonts w:ascii="Times" w:hAnsi="Times" w:cs="Times"/>
          <w:sz w:val="28"/>
          <w:sz-cs w:val="28"/>
        </w:rPr>
        <w:t xml:space="preserve">وأظهرت النتائج وجود أثر ذو دلالة إحصائية لأبعاد التجربة الرياضية السعودية على تحسين مكانة المملكة دولياً، ودعم جهود التنويع الاقتصادي، وجذب السياحة الرياضية، إضافةً إلى إبراز قدرة المملكة على تنظيم فعاليات كبرى بمشاركة واسعة بلغت (8000) لاعب ولاعبة من أكثر من (200) نادٍ في (53) لعبة، منها ألعاب بارالمبية وألعاب جديدة أضيفت حديثاً. كما بيّنت النتائج نجاح المملكة في توظيف الرياضة لمعالجة الانتقادات المتعلقة بحقوق الإنسان والعدالة الاجتماعية، وفي تعزيز مكانتها كمركز دولي للأعمال والفعاليات العالمية.</w:t>
      </w:r>
    </w:p>
    <w:p>
      <w:pPr>
        <w:jc w:val="both"/>
        <w:spacing w:before="100" w:after="100"/>
      </w:pPr>
      <w:r>
        <w:rPr>
          <w:rFonts w:ascii="Times" w:hAnsi="Times" w:cs="Times"/>
          <w:sz w:val="28"/>
          <w:sz-cs w:val="28"/>
        </w:rPr>
        <w:t xml:space="preserve">وأوصت الدراسة بضرورة مواصلة تطوير البنية التحتية الرياضية، وتوسيع الاستثمارات في الرياضات المتنوعة، وتعزيز البرامج التنافسية المحلية والدولية، إضافة إلى تكثيف الجهود الإعلامية الدولية لتسليط الضوء على التحول الرياضي السعودي، بما يسهم في ترسيخ مكانة المملكة كقوة رياضية إقليمية وعالمية مستقبلاً.</w:t>
      </w:r>
    </w:p>
    <w:p>
      <w:pPr>
        <w:jc w:val="both"/>
        <w:ind w:left="720" w:first-line="-720"/>
        <w:spacing w:before="100" w:after="100"/>
      </w:pPr>
      <w:r>
        <w:rPr>
          <w:rFonts w:ascii="Times" w:hAnsi="Times" w:cs="Times"/>
          <w:sz w:val="28"/>
          <w:sz-cs w:val="28"/>
          <w:b/>
        </w:rPr>
        <w:t xml:space="preserve"/>
        <w:tab/>
        <w:t xml:space="preserve">•</w:t>
        <w:tab/>
        <w:t xml:space="preserve">دراسة ( معاد ،2023)</w:t>
      </w:r>
    </w:p>
    <w:p>
      <w:pPr>
        <w:jc w:val="both"/>
        <w:spacing w:before="100" w:after="100"/>
      </w:pPr>
      <w:r>
        <w:rPr>
          <w:rFonts w:ascii="Times" w:hAnsi="Times" w:cs="Times"/>
          <w:sz w:val="28"/>
          <w:sz-cs w:val="28"/>
        </w:rPr>
        <w:t xml:space="preserve">هدفت الدراسة إلى التعرّف على عوامل نجاح دولة قطر في تنظيم بطولة كأس العالم FIFA 2022 بأبعادها )الإدارة والتنظيم، البنية التحتية، الاستدامة المستقبلية، والدعم المؤسسي) وعلى انعكاس هذه الأبعاد في تعزيز الصورة العالمية لدولة قطر وقدرتها التنظيمية في حدث هو الأكبر في تاريخ الرياضة العالمية، واستخدمت الدراسة المنهج الوصفي التحليلي.</w:t>
      </w:r>
    </w:p>
    <w:p>
      <w:pPr>
        <w:jc w:val="both"/>
        <w:spacing w:before="100" w:after="100"/>
      </w:pPr>
      <w:r>
        <w:rPr>
          <w:rFonts w:ascii="Times" w:hAnsi="Times" w:cs="Times"/>
          <w:sz w:val="28"/>
          <w:sz-cs w:val="28"/>
        </w:rPr>
        <w:t xml:space="preserve">وأظهرت النتائج وجود أثر ذو دلالة إحصائية للأبعاد التنظيمية والداعمة لكأس العالم 2022 على نجاح الحدث، حيث حققت قطر إنجازاً عالمياً مبهراً من خلال تقديم نسخة متميزة جمعت العالم تحت شعار الإنسانية والاحترام والتنوع. كما بيّنت النتائج أن مستويات الإنفاق والبنية التحتية المتطورة والتخطيط الاستراتيجي أسهمت في نجاح البطولة ورفع مكانة قطر على الساحة الدولية. وأكدت النتائج الدور البارز لمجموعة بنك قطر الوطني باعتباره الداعم الرسمي للبطولة في الشرق الأوسط وإفريقيا، وما حققته من إبراز قوي لعلامتها التجارية ودعم شامل للبنية المالية للحدث، بما في ذلك توفير أجهزة الصراف الآلي للمشجعين خلال البطولة.</w:t>
      </w:r>
    </w:p>
    <w:p>
      <w:pPr>
        <w:jc w:val="both"/>
        <w:spacing w:before="100" w:after="100"/>
      </w:pPr>
      <w:r>
        <w:rPr>
          <w:rFonts w:ascii="Times" w:hAnsi="Times" w:cs="Times"/>
          <w:sz w:val="28"/>
          <w:sz-cs w:val="28"/>
        </w:rPr>
        <w:t xml:space="preserve">وأوصت الدراسة بضرورة الاستمرار في تعزيز مبادئ الاستدامة في الفعاليات الرياضية المستقبلية، وتطوير الشراكات بين الجهات الحكومية والمصرفية، والاستفادة من الخبرة المكتسبة في استضافة بطولات دولية قادمة، بما يعزز مكانة قطر كدولة رائدة في تنظيم الأحداث الرياضية العالمية.</w:t>
      </w:r>
    </w:p>
    <w:p>
      <w:pPr>
        <w:jc w:val="both"/>
        <w:ind w:left="720" w:first-line="-720"/>
        <w:spacing w:before="100" w:after="100"/>
      </w:pPr>
      <w:r>
        <w:rPr>
          <w:rFonts w:ascii="Times" w:hAnsi="Times" w:cs="Times"/>
          <w:sz w:val="28"/>
          <w:sz-cs w:val="28"/>
          <w:b/>
        </w:rPr>
        <w:t xml:space="preserve"/>
        <w:tab/>
        <w:t xml:space="preserve">•</w:t>
        <w:tab/>
        <w:t xml:space="preserve">دراسة ( ابو الفتوح ،2023)</w:t>
      </w:r>
    </w:p>
    <w:p>
      <w:pPr>
        <w:jc w:val="both"/>
        <w:spacing w:before="100" w:after="100"/>
      </w:pPr>
      <w:r>
        <w:rPr>
          <w:rFonts w:ascii="Times" w:hAnsi="Times" w:cs="Times"/>
          <w:sz w:val="28"/>
          <w:sz-cs w:val="28"/>
        </w:rPr>
        <w:t xml:space="preserve">هدفت الدراسة إلى التعرّف على أثر التصميم والإخراج الفني للمهرجانات الطلابية بأبعاده (التوظيف التقني الحديث، اللوحات الفنية، إبراز التراث والفنون الشعبية، وتعزيز الهوية الوطنية)على جودة التجربة الفنية وقيم الولاء والانتماء لدى المشاركين في مهرجان العيد الوطني الأربعين لسلطنة عمان بالمنطقة الشرقية. </w:t>
      </w:r>
    </w:p>
    <w:p>
      <w:pPr>
        <w:jc w:val="both"/>
        <w:spacing w:before="100" w:after="100"/>
      </w:pPr>
      <w:r>
        <w:rPr>
          <w:rFonts w:ascii="Times" w:hAnsi="Times" w:cs="Times"/>
          <w:sz w:val="28"/>
          <w:sz-cs w:val="28"/>
        </w:rPr>
        <w:t xml:space="preserve">استخدمت الدراسة المنهج التجريبي في تصميم وتنفيذ اللوحات الفنية، والمنهج الإثنوغرافي الوصفي في دراسة الفنون والعادات العمانية وربطها بالمحتوى الفني للمهرجان.</w:t>
      </w:r>
    </w:p>
    <w:p>
      <w:pPr>
        <w:jc w:val="both"/>
        <w:spacing w:before="100" w:after="100"/>
      </w:pPr>
      <w:r>
        <w:rPr>
          <w:rFonts w:ascii="Times" w:hAnsi="Times" w:cs="Times"/>
          <w:sz w:val="28"/>
          <w:sz-cs w:val="28"/>
        </w:rPr>
        <w:t xml:space="preserve">وأظهرت النتائج وجود أثر ذو دلالة إحصائية لاستخدام التقنيات الحديثة (الإضاءة، الليزر، الألعاب النارية) والتصميم الفني المتقن في تعزيز التأثير البصري للعروض، وإبراز التراث والمقامات الموسيقية، إضافة إلى رفع مستوى التفاعل، وترسيخ قيم الولاء والانتماء لدى الطلاب المشاركين، البالغ عددهم 3000 مشارك تم توزيعهم على خمس لوحات رئيسية تعكس الترحيب والحضارة والإنسان والمستقبل والختام.</w:t>
      </w:r>
    </w:p>
    <w:p>
      <w:pPr>
        <w:jc w:val="both"/>
        <w:spacing w:before="100" w:after="100"/>
      </w:pPr>
      <w:r>
        <w:rPr>
          <w:rFonts w:ascii="Times" w:hAnsi="Times" w:cs="Times"/>
          <w:sz w:val="28"/>
          <w:sz-cs w:val="28"/>
        </w:rPr>
        <w:t xml:space="preserve">وأوصت الدراسة بضرورة تعميم إقامة مهرجانات فنية مماثلة في مختلف مناطق السلطنة، وتكثيف ورش التدريب المتخصصة في مجال التصميم والإخراج الفني، إلى جانب التوثيق العلمي المستمر للفنون العمانية، وتعزيز الاستثمار في التقنيات الحديثة، وتشجيع مشاركة المجتمع المحلي في هذه الفعاليات لضمان استدامة التطوير الفني والثقافي. </w:t>
      </w:r>
    </w:p>
    <w:p>
      <w:pPr>
        <w:jc w:val="both"/>
        <w:ind w:left="720" w:first-line="-720"/>
        <w:spacing w:before="100" w:after="100"/>
      </w:pPr>
      <w:r>
        <w:rPr>
          <w:rFonts w:ascii="Times" w:hAnsi="Times" w:cs="Times"/>
          <w:sz w:val="28"/>
          <w:sz-cs w:val="28"/>
          <w:b/>
        </w:rPr>
        <w:t xml:space="preserve"/>
        <w:tab/>
        <w:t xml:space="preserve">•</w:t>
        <w:tab/>
        <w:t xml:space="preserve">دراسة (Gunadi &amp; Erfinda, 2023)</w:t>
      </w:r>
    </w:p>
    <w:p>
      <w:pPr>
        <w:jc w:val="both"/>
        <w:spacing w:before="100" w:after="100"/>
      </w:pPr>
      <w:r>
        <w:rPr>
          <w:rFonts w:ascii="Times" w:hAnsi="Times" w:cs="Times"/>
          <w:sz w:val="28"/>
          <w:sz-cs w:val="28"/>
        </w:rPr>
        <w:t xml:space="preserve">هدفت الدراسة إلى التعرّف على أثر تطبيق بروتوكول الصحة والسلامة CHSE بأبعاده (الوقاية الصحية، إدارة الحركة داخل الحدث، التباعد والتنظيم، إجراءات التعقيم، متابعة الالتزام، إدارة الزوار، التواصل الإرشادي) على جودة تجربة الزائر في فعالية بينالي جاكرتا 2021 باعتبارها أول معرض فني كبير يُعقد حضورياً بعد جائحة كوفيد–19، واستخدمت الدراسة المنهج الوصفي التحليلي .</w:t>
      </w:r>
    </w:p>
    <w:p>
      <w:pPr>
        <w:jc w:val="both"/>
        <w:spacing w:before="100" w:after="100"/>
      </w:pPr>
      <w:r>
        <w:rPr>
          <w:rFonts w:ascii="Times" w:hAnsi="Times" w:cs="Times"/>
          <w:sz w:val="28"/>
          <w:sz-cs w:val="28"/>
        </w:rPr>
        <w:t xml:space="preserve">وأظهرت النتائج وجود أثر ذو دلالة إحصائية لتطبيق بروتوكول CHSE على تجربة الزائر، حيث تسببت الإجراءات الصحية في ظهور فجوات واضحة في بعدي الاندماج (Involvement) والتجديد والانتعاش (Refreshment)، إلا أنّ البروتوكول لم يؤثر سلباً بشكل عام على جودة تجربة الزائر في المعرض، بل ساعد في تحقيق مستوى مقبول من الأمان والطمأنينة لدى الحضور خلال فترة ما بعد الجائحة.</w:t>
      </w:r>
    </w:p>
    <w:p>
      <w:pPr>
        <w:jc w:val="both"/>
        <w:spacing w:before="100" w:after="100"/>
      </w:pPr>
      <w:r>
        <w:rPr>
          <w:rFonts w:ascii="Times" w:hAnsi="Times" w:cs="Times"/>
          <w:sz w:val="28"/>
          <w:sz-cs w:val="28"/>
        </w:rPr>
        <w:t xml:space="preserve">وأوصت الدراسة بضرورة الاستمرار في تطبيق بروتوكول CHSE في الفعاليات المستقبلية، مع إجراء تحسينات تقلل من تأثيره على تفاعل الزوار واندماجهم، وزيادة حلول التوجيه المرئي، وتحسين تدفقات الحركة، بما يسهم في رفع جودة التجربة السياحية وتنظيم فعاليات أكثر أماناً وجاذبية في مرحلة ما بعد الجائحة.</w:t>
      </w:r>
    </w:p>
    <w:p>
      <w:pPr>
        <w:jc w:val="both"/>
        <w:ind w:left="720" w:first-line="-720"/>
        <w:spacing w:before="100" w:after="100"/>
      </w:pPr>
      <w:r>
        <w:rPr>
          <w:rFonts w:ascii="Times" w:hAnsi="Times" w:cs="Times"/>
          <w:sz w:val="28"/>
          <w:sz-cs w:val="28"/>
          <w:b/>
        </w:rPr>
        <w:t xml:space="preserve"/>
        <w:tab/>
        <w:t xml:space="preserve">•</w:t>
        <w:tab/>
        <w:t xml:space="preserve">دراسة (Mackay, 2023)</w:t>
      </w:r>
    </w:p>
    <w:p>
      <w:pPr>
        <w:jc w:val="both"/>
        <w:spacing w:before="100" w:after="100"/>
      </w:pPr>
      <w:r>
        <w:rPr>
          <w:rFonts w:ascii="Times" w:hAnsi="Times" w:cs="Times"/>
          <w:sz w:val="28"/>
          <w:sz-cs w:val="28"/>
        </w:rPr>
        <w:t xml:space="preserve">هدفت الدراسة إلى التعرّف على أثر تطوير تجربة الزائر في المتاحف بأبعادها ( الدافعية والاهتمام، التفاعل والمشاركة، كفاءة فرق العمل، جودة العرض المتحفي) على تحسين رضا الزوار وزيادة نية العودة والتوصية بالزيارة في المتاحف الحديثة،و استخدمت الدراسة المنهج الوصفي التحليلي .</w:t>
      </w:r>
    </w:p>
    <w:p>
      <w:pPr>
        <w:jc w:val="both"/>
        <w:spacing w:before="100" w:after="100"/>
      </w:pPr>
      <w:r>
        <w:rPr>
          <w:rFonts w:ascii="Times" w:hAnsi="Times" w:cs="Times"/>
          <w:sz w:val="28"/>
          <w:sz-cs w:val="28"/>
        </w:rPr>
        <w:t xml:space="preserve">وأظهرت النتائج وجود أثر ذو دلالة إحصائية لأبعاد تجربة الزائر المطوّرة على تعزيز تفاعل الجمهور، ورفع مستوى الرضا، وتحسين الانطباع العام عن المتحف، حيث انتقلت المتاحف من نموذج الحارس الصارم إلى نموذج الفريق التفاعلي الودود القادر على إشراك الزائر وتحفيزه، مما جعل توقعات الجمهور أعلى من أي وقت مضى.</w:t>
      </w:r>
    </w:p>
    <w:p>
      <w:pPr>
        <w:jc w:val="both"/>
        <w:spacing w:before="100" w:after="100"/>
      </w:pPr>
      <w:r>
        <w:rPr>
          <w:rFonts w:ascii="Times" w:hAnsi="Times" w:cs="Times"/>
          <w:sz w:val="28"/>
          <w:sz-cs w:val="28"/>
        </w:rPr>
        <w:t xml:space="preserve">وأوصت الدراسة بضرورة تبني استراتيجيات تطوير مستمرة لتجربة الزائر تشمل تدريب فرق العمل على مهارات التفاعل، وتحديث أساليب العرض المتحفي، وتعزيز المشاركة التفاعلية، إضافة إلى التخطيط المستقبلي لتطوير البرامج والأنشطة بما يضمن تقديم تجارب مؤثرة ولا تُنسى، ويعزز بقاء المتاحف في دائرة اهتمام الزوار بشكل مستدام.</w:t>
      </w:r>
    </w:p>
    <w:p>
      <w:pPr>
        <w:jc w:val="both"/>
        <w:ind w:left="720" w:first-line="-720"/>
        <w:spacing w:before="100" w:after="100"/>
      </w:pPr>
      <w:r>
        <w:rPr>
          <w:rFonts w:ascii="Times" w:hAnsi="Times" w:cs="Times"/>
          <w:sz w:val="28"/>
          <w:sz-cs w:val="28"/>
          <w:b/>
        </w:rPr>
        <w:t xml:space="preserve"/>
        <w:tab/>
        <w:t xml:space="preserve">•</w:t>
        <w:tab/>
        <w:t xml:space="preserve">دراسة (Cheng et al., 2023)</w:t>
      </w:r>
    </w:p>
    <w:p>
      <w:pPr>
        <w:jc w:val="both"/>
        <w:spacing w:before="100" w:after="100"/>
      </w:pPr>
      <w:r>
        <w:rPr>
          <w:rFonts w:ascii="Times" w:hAnsi="Times" w:cs="Times"/>
          <w:sz w:val="28"/>
          <w:sz-cs w:val="28"/>
        </w:rPr>
        <w:t xml:space="preserve">هدفت الدراسة إلى التعرف على أثر العوامل المؤثرة في تجربة الزائر للمعارض الفنية بأبعادها (التسويق، الدافعية، البيئة المادية، جودة المعروضات، المشاركة، التكنولوجيا، والخدمات والمرافق) على تحسين جودة تجربة الزائر في المعارض الفنية التقليدية (Offline Art Exhibitions). ،واستخدمت الدراسة المنهج المختلط (Mixed Methods) .</w:t>
      </w:r>
    </w:p>
    <w:p>
      <w:pPr>
        <w:jc w:val="both"/>
        <w:spacing w:before="100" w:after="100"/>
      </w:pPr>
      <w:r>
        <w:rPr>
          <w:rFonts w:ascii="Times" w:hAnsi="Times" w:cs="Times"/>
          <w:sz w:val="28"/>
          <w:sz-cs w:val="28"/>
        </w:rPr>
        <w:t xml:space="preserve">وأظهرت النتائج وجود أثر ذو دلالة إحصائية لجميع الأبعاد السبعة المستخلصة على جودة تجربة الزائر في المعارض الفنية، مما يؤكد أن التسويق الفعّال، والدافعية، وبيئة العرض المادية، وجودة المعروضات، والمشاركة التفاعلية، والتكنولوجيا، والخدمات المتاحة تشكل منظومة متكاملة تؤثر إيجابياً على تجربة الزوار.</w:t>
      </w:r>
    </w:p>
    <w:p>
      <w:pPr>
        <w:jc w:val="both"/>
        <w:spacing w:before="100" w:after="100"/>
      </w:pPr>
      <w:r>
        <w:rPr>
          <w:rFonts w:ascii="Times" w:hAnsi="Times" w:cs="Times"/>
          <w:sz w:val="28"/>
          <w:sz-cs w:val="28"/>
        </w:rPr>
        <w:t xml:space="preserve">وأوصت الدراسة بضرورة اعتماد مقياس التقييم المطوّر في التخطيط وتصميم المعارض الفنية، وتفعيل العناصر السبعة في استراتيجيات إدارة المعارض، وتعزيز التفاعل والتكنولوجيا والخدمات الداعمة، بما يسهم في تحسين تجربة الزائر وتعظيم الأثر الفني والثقافي للمعارض.</w:t>
      </w:r>
    </w:p>
    <w:p>
      <w:pPr>
        <w:jc w:val="both"/>
        <w:spacing w:before="100" w:after="100"/>
      </w:pPr>
      <w:r>
        <w:rPr>
          <w:rFonts w:ascii="Times" w:hAnsi="Times" w:cs="Times"/>
          <w:sz w:val="28"/>
          <w:sz-cs w:val="28"/>
        </w:rPr>
        <w:t xml:space="preserve">وأوصت الدراسة بضرورة الاستمرار في تطبيق بروتوكول CHSE في الفعاليات المستقبلية مع إدخال تحسينات تقلل من أثره على تفاعل الزائر واندماجه، وتطوير آليات الإرشاد وإدارة الحركة، وتعزيز الحلول التكنولوجية الداعمة، بما يسهم في رفع جودة التجربة وتعزيز جاذبية الفعاليات في مرحلة ما بعد الجائحة.</w:t>
      </w:r>
    </w:p>
    <w:p>
      <w:pPr>
        <w:jc w:val="both"/>
        <w:spacing w:before="100" w:after="100"/>
      </w:pPr>
      <w:r>
        <w:rPr>
          <w:rFonts w:ascii="Times" w:hAnsi="Times" w:cs="Times"/>
          <w:sz w:val="36"/>
          <w:sz-cs w:val="36"/>
          <w:b/>
        </w:rPr>
        <w:t xml:space="preserve">8.1 الفجوة البحثية:</w:t>
      </w:r>
    </w:p>
    <w:p>
      <w:pPr>
        <w:jc w:val="both"/>
        <w:spacing w:before="100" w:after="100"/>
      </w:pPr>
      <w:r>
        <w:rPr>
          <w:rFonts w:ascii="Times" w:hAnsi="Times" w:cs="Times"/>
          <w:sz w:val="28"/>
          <w:sz-cs w:val="28"/>
        </w:rPr>
        <w:t xml:space="preserve">تتفق الدراسات السابقة بوجه عام على أهمية تجربة الزائر في تشكيل الانطباعات والرضا داخل البيئات الثقافية والمتاحف، حيث أكدت دراسة المومني وآخرون (2024) دور العناصر التصميمية والبصرية في تحسين التجربة، وتلاقت نتائجها مع اتجاهات عدة دراسات تشير إلى أن الجاذبية البصرية تُعد مدخلاً أساسياً للتفاعل الإيجابي، و أن هذه الدراسة اختلفت عن الدراسة الحالية في تركيزها على المتاحف فقط دون التطرق إلى الفعاليات والمعارض، كما لم تربط بين التجربة ومفهوم النجاح التشغيلي، مما يُظهر اختلافاً في نطاق التطبيق.(المومني وآخرون، 2024)</w:t>
      </w:r>
    </w:p>
    <w:p>
      <w:pPr>
        <w:jc w:val="both"/>
        <w:spacing w:before="100" w:after="100"/>
      </w:pPr>
      <w:r>
        <w:rPr>
          <w:rFonts w:ascii="Times" w:hAnsi="Times" w:cs="Times"/>
          <w:sz w:val="28"/>
          <w:sz-cs w:val="28"/>
        </w:rPr>
        <w:t xml:space="preserve">كما أبرزت دراسة El-Meniawy (2023) اتفاقاً مع الدراسات الأخرى فيما يتعلق بأهمية التكنولوجيا في تعزيز التجربة التعليمية والترفيهية، إلا أن اختلافها يكمن في اقتصار نطاقها على المتاحف وعدم استكشاف انعكاس جودة التجربة على نجاح الحدث ذاته. وقد أكدت الدراسة الحالية الحاجة إلى تجاوز التقييم الجزئي للتجربة إلى تقييم علاقتها بالنجاح الكلي للفعالية، وهو ما لم تتطرق إليه الدراسات السابقة (El-Meniawy، 2023).</w:t>
      </w:r>
    </w:p>
    <w:p>
      <w:pPr>
        <w:jc w:val="both"/>
        <w:spacing w:before="100" w:after="100"/>
      </w:pPr>
      <w:r>
        <w:rPr>
          <w:rFonts w:ascii="Times" w:hAnsi="Times" w:cs="Times"/>
          <w:sz w:val="28"/>
          <w:sz-cs w:val="28"/>
        </w:rPr>
        <w:t xml:space="preserve">تلتقي دراسة الزهراني وعطية (2024) مع الدراسة الحالية في تناولها لسياق الفعاليات داخل المملكة العربية السعودية، كما اتفقت في تسليط الضوء على أهمية الاعتبارات التصميمية ورحلة الزائر، و أن الاختلاف الجوهري يتمثل في أن دراستهم ركّزت على تقييم مستوى تطبيق التصميم دون قياس مباشر لأثر تجربة الزائر على نجاح الفعاليات، وهو ما تركز عليه الدراسة الحالية بوصفه متغيراً تابعاً رئيسياً(الزهراني وعطية، 2024).</w:t>
      </w:r>
    </w:p>
    <w:p>
      <w:pPr>
        <w:jc w:val="both"/>
        <w:spacing w:before="100" w:after="100"/>
      </w:pPr>
      <w:r>
        <w:rPr>
          <w:rFonts w:ascii="Times" w:hAnsi="Times" w:cs="Times"/>
          <w:sz w:val="28"/>
          <w:sz-cs w:val="28"/>
        </w:rPr>
        <w:t xml:space="preserve">وتتفق دراسة Cheng et al. (2023) مع التوجه العام للأدبيات في التركيز على العوامل المؤثرة في تجربة الزائر، مثل جودة المعروضات والبيئة المادية والتفاعل، إلا أن نطاقها اقتصر على المعارض الفنية التقليدية، مما يختلف عن الدراسة الحالية التي تستهدف قطاع الفعاليات في السعودية بوصفه قطاعاً أكثر تنوعاً وتداخلاً، و أن الدراسة السابقة لم تربط تلك التجارب بمؤشرات النجاح التنظيمي، مما يبرز اختلافاً في الهدف والعينة. (Cheng et al., 2023)</w:t>
      </w:r>
    </w:p>
    <w:p>
      <w:pPr>
        <w:jc w:val="both"/>
        <w:spacing w:before="100" w:after="100"/>
      </w:pPr>
      <w:r>
        <w:rPr>
          <w:rFonts w:ascii="Times" w:hAnsi="Times" w:cs="Times"/>
          <w:sz w:val="28"/>
          <w:sz-cs w:val="28"/>
        </w:rPr>
        <w:t xml:space="preserve">أما الدراسات التي تناولت التجارب الغامرة والتفاعلية مثل Wu et al. (2025)، فقد اتفقت مع الدراسة الحالية في أهمية الأبعاد النفسية والسلوكية للتجربة، لكنها اختلفت من حيث تركيزها على المعارض في الميتافيرس، بينما تسعى الدراسة الحالية لتطبيق المفهوم في سياق واقعي مباشر هو فعاليات المملكة ، و أن أغلب الدراسات ركزت على وصف التجربة دون الربط بين جودة التجربة ونجاح الفعالية، مما يترك فراغاً بحثياً يتمثل في الحاجة إلى دراسة تكاملية تربط تجربة الزائر بـ نجاح الفعاليات والمعارض في السياق السعودي، وهو ما تسعى الدراسة الحالية لمعالجته بشكل مباشر. (Wu et al., 2025)</w:t>
      </w:r>
    </w:p>
    <w:p>
      <w:pPr>
        <w:jc w:val="both"/>
        <w:spacing w:before="100" w:after="100"/>
      </w:pPr>
      <w:r>
        <w:rPr>
          <w:rFonts w:ascii="Times" w:hAnsi="Times" w:cs="Times"/>
          <w:sz w:val="36"/>
          <w:sz-cs w:val="36"/>
          <w:b/>
        </w:rPr>
        <w:t xml:space="preserve">9.1 المنطلقات النظرية للدراسة:</w:t>
      </w:r>
    </w:p>
    <w:p>
      <w:pPr>
        <w:jc w:val="both"/>
        <w:spacing w:before="100" w:after="100"/>
      </w:pPr>
      <w:r>
        <w:rPr>
          <w:rFonts w:ascii="Times" w:hAnsi="Times" w:cs="Times"/>
          <w:sz w:val="32"/>
          <w:sz-cs w:val="32"/>
          <w:b/>
        </w:rPr>
        <w:t xml:space="preserve">أولاً: مفهوم تجربة الزائر Visitor Experience</w:t>
      </w:r>
    </w:p>
    <w:p>
      <w:pPr>
        <w:jc w:val="both"/>
        <w:spacing w:before="100" w:after="100"/>
      </w:pPr>
      <w:r>
        <w:rPr>
          <w:rFonts w:ascii="Times" w:hAnsi="Times" w:cs="Times"/>
          <w:sz w:val="28"/>
          <w:sz-cs w:val="28"/>
        </w:rPr>
        <w:t xml:space="preserve">تُعد تجربة الزائر مفهوماً متعدد الأبعاد يشمل جميع التفاعلات والانطباعات التي يمر بها الزائر منذ لحظة وصوله إلى الفعالية وحتى مغادرته، وتشمل التجربة جوانب معرفية، وجدانية، وسلوكية، وحسية، تجعل من الزيارة حدثاً متكاملاً يتجاوز مجرد استهلاك محتوى الفعالية إلى تكوين تجربة ذات معنى. وتشير الأدبيات إلى أن تجربة الزائر أصبحت محوراً أساسياً في تصميم الفعاليات الحديثة، إذ تعتمد فعاليات ومعارض اليوم على توفير رحلات تفاعلية ومخطط بصري وتكنولوجي يعكس توقعات الجمهور. وقد أكدت دراسة Mackay (2023) أن الجمهور المعاصر يتوقع مستويات أعلى من التفاعل، وأن مفهوم تجربة الزائر تغير جذرياً من التركيز على عرض المحتوى إلى إشراك الزائر بفاعلية في التجربة(  Mackay، 2023)</w:t>
      </w:r>
    </w:p>
    <w:p>
      <w:pPr>
        <w:jc w:val="both"/>
        <w:spacing w:before="100" w:after="100"/>
      </w:pPr>
      <w:r>
        <w:rPr>
          <w:rFonts w:ascii="Times" w:hAnsi="Times" w:cs="Times"/>
          <w:sz w:val="32"/>
          <w:sz-cs w:val="32"/>
          <w:b/>
        </w:rPr>
        <w:t xml:space="preserve">ثانياً: أبعاد تجربة الزائر</w:t>
      </w:r>
    </w:p>
    <w:p>
      <w:pPr>
        <w:jc w:val="both"/>
        <w:ind w:left="720" w:first-line="-720"/>
        <w:spacing w:before="100" w:after="100"/>
      </w:pPr>
      <w:r>
        <w:rPr>
          <w:rFonts w:ascii="Times" w:hAnsi="Times" w:cs="Times"/>
          <w:sz w:val="28"/>
          <w:sz-cs w:val="28"/>
          <w:b/>
        </w:rPr>
        <w:t xml:space="preserve"/>
        <w:tab/>
        <w:t xml:space="preserve">•</w:t>
        <w:tab/>
        <w:t xml:space="preserve">البعد التفاعلي Interaction</w:t>
      </w:r>
    </w:p>
    <w:p>
      <w:pPr>
        <w:jc w:val="both"/>
        <w:spacing w:before="100" w:after="100"/>
      </w:pPr>
      <w:r>
        <w:rPr>
          <w:rFonts w:ascii="Times" w:hAnsi="Times" w:cs="Times"/>
          <w:sz w:val="28"/>
          <w:sz-cs w:val="28"/>
        </w:rPr>
        <w:t xml:space="preserve">يمثل التفاعل أحد أبرز مكونات التجربة، حيث يتضمن حجم ونوعية التفاعل بين الزائر والعناصر المعروضة أو الأنشطة المقدمة داخل الفعالية. وقد أوضحت دراسة( Cheng et al (2023 أنّ المشاركة التفاعلية تعمل على تعزيز الانغماس وزيادة مستوى الرضا، وأنها جزء لا يتجزأ من تقييم التجربة. (Cheng et al., 2023)</w:t>
      </w:r>
    </w:p>
    <w:p>
      <w:pPr>
        <w:jc w:val="both"/>
        <w:ind w:left="720" w:first-line="-720"/>
        <w:spacing w:before="100" w:after="100"/>
      </w:pPr>
      <w:r>
        <w:rPr>
          <w:rFonts w:ascii="Times" w:hAnsi="Times" w:cs="Times"/>
          <w:sz w:val="28"/>
          <w:sz-cs w:val="28"/>
          <w:b/>
        </w:rPr>
        <w:t xml:space="preserve"/>
        <w:tab/>
        <w:t xml:space="preserve">•</w:t>
        <w:tab/>
        <w:t xml:space="preserve">البعد البصري والجمالي Visual Appeal</w:t>
      </w:r>
    </w:p>
    <w:p>
      <w:pPr>
        <w:jc w:val="both"/>
        <w:spacing w:before="100" w:after="100"/>
      </w:pPr>
      <w:r>
        <w:rPr>
          <w:rFonts w:ascii="Times" w:hAnsi="Times" w:cs="Times"/>
          <w:sz w:val="28"/>
          <w:sz-cs w:val="28"/>
        </w:rPr>
        <w:t xml:space="preserve">تؤثر العناصر البصرية مثل الهوية البصرية، الألوان، التكوينات—في الانطباع الأولي للزائر. وأظهرت دراسة المومني وآخرون (2024) أن العناصر الجرافيكية والتصميمية تلعب دوراً حاسماً في تشكيل الإدراك البصري ورفع مستوى الجاذبية(المومني وآخرون، 2024).</w:t>
      </w:r>
    </w:p>
    <w:p>
      <w:pPr>
        <w:jc w:val="both"/>
        <w:ind w:left="720" w:first-line="-720"/>
        <w:spacing w:before="100" w:after="100"/>
      </w:pPr>
      <w:r>
        <w:rPr>
          <w:rFonts w:ascii="Times" w:hAnsi="Times" w:cs="Times"/>
          <w:sz w:val="28"/>
          <w:sz-cs w:val="28"/>
          <w:b/>
        </w:rPr>
        <w:t xml:space="preserve"/>
        <w:tab/>
        <w:t xml:space="preserve">•</w:t>
        <w:tab/>
        <w:t xml:space="preserve">البعد التكنولوجي Technological Experience</w:t>
      </w:r>
    </w:p>
    <w:p>
      <w:pPr>
        <w:jc w:val="both"/>
        <w:spacing w:before="100" w:after="100"/>
      </w:pPr>
      <w:r>
        <w:rPr>
          <w:rFonts w:ascii="Times" w:hAnsi="Times" w:cs="Times"/>
          <w:sz w:val="28"/>
          <w:sz-cs w:val="28"/>
        </w:rPr>
        <w:t xml:space="preserve">تؤثر التكنولوجيا في الارتقاء بتجربة الفعاليات من خلال توظيف الوسائط التفاعلية، والواقع المعزز، والتقنيات الرقمية، وهو ما تعزز في متاحف ومعارض حديثة، وبيّنت دراسة El-Meniawy (2023) أنّ التقنيات الرقمية تحسّن التجربة التعليمية والترفيهية، وتسهم في توسيع نطاق تفاعل الزائر(El-Meniawy، 2023)</w:t>
      </w:r>
    </w:p>
    <w:p>
      <w:pPr>
        <w:jc w:val="both"/>
        <w:ind w:left="720" w:first-line="-720"/>
        <w:spacing w:before="100" w:after="100"/>
      </w:pPr>
      <w:r>
        <w:rPr>
          <w:rFonts w:ascii="Times" w:hAnsi="Times" w:cs="Times"/>
          <w:sz w:val="28"/>
          <w:sz-cs w:val="28"/>
          <w:b/>
        </w:rPr>
        <w:t xml:space="preserve"/>
        <w:tab/>
        <w:t xml:space="preserve">•</w:t>
        <w:tab/>
        <w:t xml:space="preserve">البعد الحسي Sensory Experience</w:t>
      </w:r>
    </w:p>
    <w:p>
      <w:pPr>
        <w:jc w:val="both"/>
        <w:spacing w:before="100" w:after="100"/>
      </w:pPr>
      <w:r>
        <w:rPr>
          <w:rFonts w:ascii="Times" w:hAnsi="Times" w:cs="Times"/>
          <w:sz w:val="28"/>
          <w:sz-cs w:val="28"/>
        </w:rPr>
        <w:t xml:space="preserve">يتضمن هذا البعد التفاعل مع المؤثرات الحسية مثل الإضاءة والصوت والبيئة المكانية، وهو ما يعد عاملاً مهماً في الفعاليات ذات الطابع الفني والثقافي. وخلصت دراسة أبو الفتوح (2023) إلى أن المؤثرات الحسية الحديثة—مثل الليزر والإضاءة والألعاب النارية—تخلق تجربة أقوى وتعزز الانتماء )أبو الفتوح، 2023) .</w:t>
      </w:r>
    </w:p>
    <w:p>
      <w:pPr>
        <w:jc w:val="both"/>
        <w:ind w:left="720" w:first-line="-720"/>
        <w:spacing w:before="100" w:after="100"/>
      </w:pPr>
      <w:r>
        <w:rPr>
          <w:rFonts w:ascii="Times" w:hAnsi="Times" w:cs="Times"/>
          <w:sz w:val="28"/>
          <w:sz-cs w:val="28"/>
          <w:b/>
        </w:rPr>
        <w:t xml:space="preserve"/>
        <w:tab/>
        <w:t xml:space="preserve">•</w:t>
        <w:tab/>
        <w:t xml:space="preserve">البعد المعرفي Cognitive Value</w:t>
      </w:r>
    </w:p>
    <w:p>
      <w:pPr>
        <w:jc w:val="both"/>
        <w:spacing w:before="100" w:after="100"/>
      </w:pPr>
      <w:r>
        <w:rPr>
          <w:rFonts w:ascii="Times" w:hAnsi="Times" w:cs="Times"/>
          <w:sz w:val="28"/>
          <w:sz-cs w:val="28"/>
        </w:rPr>
        <w:t xml:space="preserve">تشمل القيمة المعرفية ما يكسبه الزائر من معرفة أو خبرة أو تعلم، وقد تناولت دراسة Wu et al. (2025) العلاقة بين المحفزات التعليمية والانغماس والاستجابات النفسية، وأكدت دور المحتوى المعرفي في تعميق التجربة. (Wu et al., 2025)</w:t>
      </w:r>
    </w:p>
    <w:p>
      <w:pPr>
        <w:jc w:val="both"/>
        <w:spacing w:before="100" w:after="100"/>
      </w:pPr>
      <w:r>
        <w:rPr>
          <w:rFonts w:ascii="Times" w:hAnsi="Times" w:cs="Times"/>
          <w:sz w:val="32"/>
          <w:sz-cs w:val="32"/>
          <w:b/>
        </w:rPr>
        <w:t xml:space="preserve">ثالثاً: العوامل المؤثرة في تشكيل تجربة الزائر</w:t>
      </w:r>
    </w:p>
    <w:p>
      <w:pPr>
        <w:jc w:val="both"/>
        <w:ind w:left="720" w:first-line="-720"/>
        <w:spacing w:before="100" w:after="100"/>
      </w:pPr>
      <w:r>
        <w:rPr>
          <w:rFonts w:ascii="Times" w:hAnsi="Times" w:cs="Times"/>
          <w:sz w:val="28"/>
          <w:sz-cs w:val="28"/>
          <w:b/>
        </w:rPr>
        <w:t xml:space="preserve"/>
        <w:tab/>
        <w:t xml:space="preserve">•</w:t>
        <w:tab/>
        <w:t xml:space="preserve">جودة التصميم الجرافيكي والهوية البصرية</w:t>
      </w:r>
    </w:p>
    <w:p>
      <w:pPr>
        <w:jc w:val="both"/>
        <w:spacing w:before="100" w:after="100"/>
      </w:pPr>
      <w:r>
        <w:rPr>
          <w:rFonts w:ascii="Times" w:hAnsi="Times" w:cs="Times"/>
          <w:sz w:val="28"/>
          <w:sz-cs w:val="28"/>
        </w:rPr>
        <w:t xml:space="preserve">أظهرت الأدبيات أنّ التصميم الجرافيكي المتكامل يسهم في تعزيز رحلات الزائر داخل الفعالية، بدءاً من العلامات الإرشادية إلى الهوية البصرية. وأكدت دراسة المومني وآخرون (2024) أن غنى العناصر الجرافيكية يؤثر إيجابياً في الإدراك البصري والتفاعل. (المومني وآخرون، 2024)</w:t>
      </w:r>
    </w:p>
    <w:p>
      <w:pPr>
        <w:jc w:val="both"/>
        <w:ind w:left="720" w:first-line="-720"/>
        <w:spacing w:before="100" w:after="100"/>
      </w:pPr>
      <w:r>
        <w:rPr>
          <w:rFonts w:ascii="Times" w:hAnsi="Times" w:cs="Times"/>
          <w:sz w:val="28"/>
          <w:sz-cs w:val="28"/>
          <w:b/>
        </w:rPr>
        <w:t xml:space="preserve"/>
        <w:tab/>
        <w:t xml:space="preserve">•</w:t>
        <w:tab/>
        <w:t xml:space="preserve">جودة التنظيم وإدارة الفعالية</w:t>
      </w:r>
    </w:p>
    <w:p>
      <w:pPr>
        <w:jc w:val="both"/>
        <w:spacing w:before="100" w:after="100"/>
      </w:pPr>
      <w:r>
        <w:rPr>
          <w:rFonts w:ascii="Times" w:hAnsi="Times" w:cs="Times"/>
          <w:sz w:val="28"/>
          <w:sz-cs w:val="28"/>
        </w:rPr>
        <w:t xml:space="preserve">تشمل جودة التنظيم عناصر مثل إدارة الحركة، التوجيه، وإدارة الجمهور. وقد ناقشت دراسة الزهراني وعطية (2024) أهمية تطبيق الاعتبارات التنظيمية لضمان سهولة الوصول وتفاعل الجمهور بكفاءة. (الزهراني وعطية، 2024).</w:t>
      </w:r>
    </w:p>
    <w:p>
      <w:pPr>
        <w:jc w:val="both"/>
        <w:ind w:left="720" w:first-line="-720"/>
        <w:spacing w:before="100" w:after="100"/>
      </w:pPr>
      <w:r>
        <w:rPr>
          <w:rFonts w:ascii="Times" w:hAnsi="Times" w:cs="Times"/>
          <w:sz w:val="28"/>
          <w:sz-cs w:val="28"/>
          <w:b/>
        </w:rPr>
        <w:t xml:space="preserve"/>
        <w:tab/>
        <w:t xml:space="preserve">•</w:t>
        <w:tab/>
        <w:t xml:space="preserve">الخدمات الداعمة وراحة الزائر</w:t>
      </w:r>
    </w:p>
    <w:p>
      <w:pPr>
        <w:jc w:val="both"/>
        <w:spacing w:before="100" w:after="100"/>
      </w:pPr>
      <w:r>
        <w:rPr>
          <w:rFonts w:ascii="Times" w:hAnsi="Times" w:cs="Times"/>
          <w:sz w:val="28"/>
          <w:sz-cs w:val="28"/>
        </w:rPr>
        <w:t xml:space="preserve">تؤثر جودة الخدمات مثل المرافق، الاستعلامات، المسارات في انطباعات الزوار ورضاهم. وأكدت دراسة Cheng et al. (2023) أن الخدمات تُعد أحد محركات جودة التجربة. (Cheng et al., 2023)</w:t>
      </w:r>
    </w:p>
    <w:p>
      <w:pPr>
        <w:jc w:val="both"/>
        <w:ind w:left="720" w:first-line="-720"/>
        <w:spacing w:before="100" w:after="100"/>
      </w:pPr>
      <w:r>
        <w:rPr>
          <w:rFonts w:ascii="Times" w:hAnsi="Times" w:cs="Times"/>
          <w:sz w:val="28"/>
          <w:sz-cs w:val="28"/>
          <w:b/>
        </w:rPr>
        <w:t xml:space="preserve"/>
        <w:tab/>
        <w:t xml:space="preserve">•</w:t>
        <w:tab/>
        <w:t xml:space="preserve">توظيف التقنية التفاعلية</w:t>
      </w:r>
    </w:p>
    <w:p>
      <w:pPr>
        <w:jc w:val="both"/>
        <w:spacing w:before="100" w:after="100"/>
      </w:pPr>
      <w:r>
        <w:rPr>
          <w:rFonts w:ascii="Times" w:hAnsi="Times" w:cs="Times"/>
          <w:sz w:val="28"/>
          <w:sz-cs w:val="28"/>
        </w:rPr>
        <w:t xml:space="preserve">بيّن Gunadi &amp; Erfinda (2023) أن توظيف بروتوكولات الصحة والسلامة والتقنيات الإرشادية يؤثر في تجربة الزائر، ولا سيما في مرحلة ما بعد الجائحة، حيث تشكل إجراءات السلامة جزءاً أساسياً من تقييم الزوار للحدث. (Gunadi &amp; Erfinda, 2023)</w:t>
      </w:r>
    </w:p>
    <w:p>
      <w:pPr>
        <w:jc w:val="both"/>
        <w:spacing w:before="100" w:after="100"/>
      </w:pPr>
      <w:r>
        <w:rPr>
          <w:rFonts w:ascii="Times" w:hAnsi="Times" w:cs="Times"/>
          <w:sz w:val="32"/>
          <w:sz-cs w:val="32"/>
          <w:b/>
        </w:rPr>
        <w:t xml:space="preserve">رابعاً: مفهوم نجاح الفعاليات والمعارض</w:t>
      </w:r>
    </w:p>
    <w:p>
      <w:pPr>
        <w:jc w:val="both"/>
        <w:ind w:left="720" w:first-line="-720"/>
        <w:spacing w:before="100" w:after="100"/>
      </w:pPr>
      <w:r>
        <w:rPr>
          <w:rFonts w:ascii="Times" w:hAnsi="Times" w:cs="Times"/>
          <w:sz w:val="28"/>
          <w:sz-cs w:val="28"/>
          <w:b/>
        </w:rPr>
        <w:t xml:space="preserve"/>
        <w:tab/>
        <w:t xml:space="preserve">•</w:t>
        <w:tab/>
        <w:t xml:space="preserve">رضا الزائر Visitor Satisfaction</w:t>
      </w:r>
    </w:p>
    <w:p>
      <w:pPr>
        <w:jc w:val="both"/>
        <w:spacing w:before="100" w:after="100"/>
      </w:pPr>
      <w:r>
        <w:rPr>
          <w:rFonts w:ascii="Times" w:hAnsi="Times" w:cs="Times"/>
          <w:sz w:val="28"/>
          <w:sz-cs w:val="28"/>
        </w:rPr>
        <w:t xml:space="preserve">يمثل رضا الزائر أحد أبرز مؤشرات النجاح في الفعاليات. وقد أوضحت الدراسات أن التجربة الجيدة تؤدي إلى رفع معدلات الرضا والنية في العودة. وأكد Mackay (2023) أن رضا الزائر يرتبط ارتباطاً وثيقاً بجودة التفاعل والمشاركة(  Mackay، 2023).</w:t>
      </w:r>
    </w:p>
    <w:p>
      <w:pPr>
        <w:jc w:val="both"/>
        <w:ind w:left="720" w:first-line="-720"/>
        <w:spacing w:before="100" w:after="100"/>
      </w:pPr>
      <w:r>
        <w:rPr>
          <w:rFonts w:ascii="Times" w:hAnsi="Times" w:cs="Times"/>
          <w:sz w:val="28"/>
          <w:sz-cs w:val="28"/>
          <w:b/>
        </w:rPr>
        <w:t xml:space="preserve"/>
        <w:tab/>
        <w:t xml:space="preserve">•</w:t>
        <w:tab/>
        <w:t xml:space="preserve">نية العودة والتوصية Revisit &amp; Recommendation</w:t>
      </w:r>
    </w:p>
    <w:p>
      <w:pPr>
        <w:jc w:val="both"/>
        <w:spacing w:before="100" w:after="100"/>
      </w:pPr>
      <w:r>
        <w:rPr>
          <w:rFonts w:ascii="Times" w:hAnsi="Times" w:cs="Times"/>
          <w:sz w:val="28"/>
          <w:sz-cs w:val="28"/>
        </w:rPr>
        <w:t xml:space="preserve">ترتبط نية العودة بمدى جودة التجربة، حيث يعدّ ذلك مؤشراً عملياً لنجاح الفعالية. وبيّنت Cheng et al. (2023) أن التفاعل وجودة البيئة يعززان نية العودة. (Cheng et al., (2023.</w:t>
      </w:r>
    </w:p>
    <w:p>
      <w:pPr>
        <w:jc w:val="both"/>
        <w:ind w:left="720" w:first-line="-720"/>
        <w:spacing w:before="100" w:after="100"/>
      </w:pPr>
      <w:r>
        <w:rPr>
          <w:rFonts w:ascii="Times" w:hAnsi="Times" w:cs="Times"/>
          <w:sz w:val="28"/>
          <w:sz-cs w:val="28"/>
          <w:b/>
        </w:rPr>
        <w:t xml:space="preserve"/>
        <w:tab/>
        <w:t xml:space="preserve">•</w:t>
        <w:tab/>
        <w:t xml:space="preserve">السمعة والجاذبية Branding &amp; Appeal</w:t>
      </w:r>
    </w:p>
    <w:p>
      <w:pPr>
        <w:jc w:val="both"/>
        <w:spacing w:before="100" w:after="100"/>
      </w:pPr>
      <w:r>
        <w:rPr>
          <w:rFonts w:ascii="Times" w:hAnsi="Times" w:cs="Times"/>
          <w:sz w:val="28"/>
          <w:sz-cs w:val="28"/>
        </w:rPr>
        <w:t xml:space="preserve">تسهم التجربة الجيدة في تعزيز سمعة الفعالية وجذب جمهور أوسع، كما أكدت دراسة أيوب (2023) في سياق التجربة الرياضية السعودية، حيث ارتبط نجاح الفعاليات الرياضية بجذب الزوار وتعزيز الصورة الدولية) أيوب، 2023).</w:t>
      </w:r>
    </w:p>
    <w:p>
      <w:pPr>
        <w:jc w:val="both"/>
        <w:ind w:left="720" w:first-line="-720"/>
        <w:spacing w:before="100" w:after="100"/>
      </w:pPr>
      <w:r>
        <w:rPr>
          <w:rFonts w:ascii="Times" w:hAnsi="Times" w:cs="Times"/>
          <w:sz w:val="28"/>
          <w:sz-cs w:val="28"/>
          <w:b/>
        </w:rPr>
        <w:t xml:space="preserve"/>
        <w:tab/>
        <w:t xml:space="preserve">•</w:t>
        <w:tab/>
        <w:t xml:space="preserve">التكامل المؤسسي وجودة التنفيذ</w:t>
      </w:r>
    </w:p>
    <w:p>
      <w:pPr>
        <w:jc w:val="both"/>
        <w:spacing w:before="100" w:after="100"/>
      </w:pPr>
      <w:r>
        <w:rPr>
          <w:rFonts w:ascii="Times" w:hAnsi="Times" w:cs="Times"/>
          <w:sz w:val="28"/>
          <w:sz-cs w:val="28"/>
        </w:rPr>
        <w:t xml:space="preserve">أظهرت دراسة معاد (2023) حول تنظيم كأس العالم أن جودة التنظيم والتكامل المؤسسي تؤدي إلى نجاح الحدث على المستويين المحلي والعالمي، مما يعزز أهمية الإدارة المهنية للفعاليات. (معاد، 2023).</w:t>
      </w:r>
    </w:p>
    <w:p>
      <w:pPr/>
      <w:r>
        <w:rPr>
          <w:rFonts w:ascii="Times" w:hAnsi="Times" w:cs="Times"/>
          <w:sz w:val="32"/>
          <w:sz-cs w:val="32"/>
          <w:b/>
        </w:rPr>
        <w:t xml:space="preserve"/>
        <w:br w:type="page"/>
        <w:t xml:space="preserve">خامساً: العلاقة بين تجربة الزائر ونجاح الفعاليات</w:t>
      </w:r>
    </w:p>
    <w:p>
      <w:pPr>
        <w:jc w:val="both"/>
        <w:spacing w:before="100" w:after="100"/>
      </w:pPr>
      <w:r>
        <w:rPr>
          <w:rFonts w:ascii="Times" w:hAnsi="Times" w:cs="Times"/>
          <w:sz w:val="28"/>
          <w:sz-cs w:val="28"/>
        </w:rPr>
        <w:t xml:space="preserve">تشير الأدبيات مجتمعة إلى وجود علاقة مباشرة بين جودة تجربة الزائر ومستوى نجاح الفعالية، حيث تتطلب الفعاليات الحديثة منظومة متكاملة من التصميم الجمالي، والتفاعل التكنولوجي، وجودة الخدمات، وإدارة الحركة. وتؤكد الدراسات السابقة أنّ التجربة الشاملة التي تشمل البعد الحسي، المعرفي، والتفاعلي تؤثر بشكل جوهري في رضا الزائر وانطباعاته، ومن ثم في نجاح الفعالية. وفي سياق الفعاليات في السعودية، يزداد هذا الارتباط أهمية نظراً لتوسع القطاع وتنوع الفعاليات ضمن رؤية المملكة 2030، مما يجعل التجربة المتكاملة عاملاً استراتيجياً في رفع التنافسية وجودة التنفيذ( (Cheng et al., 2023؛ Mackay)، 2023) (الزهراني وعطية، 2024)</w:t>
      </w:r>
    </w:p>
    <w:p>
      <w:pPr>
        <w:jc w:val="both"/>
        <w:spacing w:before="100" w:after="100"/>
      </w:pPr>
      <w:r>
        <w:rPr>
          <w:rFonts w:ascii="Times" w:hAnsi="Times" w:cs="Times"/>
          <w:sz w:val="36"/>
          <w:sz-cs w:val="36"/>
          <w:b/>
        </w:rPr>
        <w:t xml:space="preserve">10.1 المنهجية وطرق البحث:</w:t>
      </w:r>
    </w:p>
    <w:p>
      <w:pPr>
        <w:jc w:val="both"/>
        <w:spacing w:before="100" w:after="100"/>
      </w:pPr>
      <w:r>
        <w:rPr>
          <w:rFonts w:ascii="Times" w:hAnsi="Times" w:cs="Times"/>
          <w:sz w:val="28"/>
          <w:sz-cs w:val="28"/>
        </w:rPr>
        <w:t xml:space="preserve">سوف تعتمد الدراسة على المنهج الوصفي التحليلي، حيث سيُستخدم هذا المنهج في وصف واقع تجربة الزائر في الفعاليات والمعارض بالمملكة العربية السعودية، وتحليل العلاقة بين أبعاد التجربة ومتغير نجاح الفعاليات. وسيُسهِم هذا المنهج في تفسير النتائج والوصول إلى استنتاجات علمية دقيقة حول طبيعة التأثير.</w:t>
      </w:r>
    </w:p>
    <w:p>
      <w:pPr>
        <w:jc w:val="both"/>
        <w:spacing w:before="100" w:after="100"/>
      </w:pPr>
      <w:r>
        <w:rPr>
          <w:rFonts w:ascii="Times" w:hAnsi="Times" w:cs="Times"/>
          <w:sz w:val="32"/>
          <w:sz-cs w:val="32"/>
          <w:b/>
        </w:rPr>
        <w:t xml:space="preserve">1. مجتمع الدراسة</w:t>
      </w:r>
    </w:p>
    <w:p>
      <w:pPr>
        <w:jc w:val="both"/>
        <w:spacing w:before="100" w:after="100"/>
      </w:pPr>
      <w:r>
        <w:rPr>
          <w:rFonts w:ascii="Times" w:hAnsi="Times" w:cs="Times"/>
          <w:sz w:val="28"/>
          <w:sz-cs w:val="28"/>
        </w:rPr>
        <w:t xml:space="preserve">سوف يتكون مجتمع الدراسة من جميع زوار الفعاليات والمعارض في المملكة العربية السعودية، بما يشمل الفعاليات الثقافية والترفيهية والفنية التي تستقطب شرائح متنوعة من الجمهور.</w:t>
      </w:r>
    </w:p>
    <w:p>
      <w:pPr>
        <w:jc w:val="both"/>
        <w:spacing w:before="100" w:after="100"/>
      </w:pPr>
      <w:r>
        <w:rPr>
          <w:rFonts w:ascii="Times" w:hAnsi="Times" w:cs="Times"/>
          <w:sz w:val="32"/>
          <w:sz-cs w:val="32"/>
          <w:b/>
        </w:rPr>
        <w:t xml:space="preserve">2. عينة الدراسة</w:t>
      </w:r>
    </w:p>
    <w:p>
      <w:pPr>
        <w:jc w:val="both"/>
        <w:spacing w:before="100" w:after="100"/>
      </w:pPr>
      <w:r>
        <w:rPr>
          <w:rFonts w:ascii="Times" w:hAnsi="Times" w:cs="Times"/>
          <w:sz w:val="28"/>
          <w:sz-cs w:val="28"/>
        </w:rPr>
        <w:t xml:space="preserve">سوف تعتمد الدراسة على العينة العشوائية البسيطة في اختيار المشاركين من الزوار، وذلك لضمان تمثيل المجتمع بدقة وتحقيق مستوى مقبول من الموضوعية في النتائج.</w:t>
      </w:r>
    </w:p>
    <w:p>
      <w:pPr>
        <w:jc w:val="both"/>
        <w:spacing w:before="100" w:after="100"/>
      </w:pPr>
      <w:r>
        <w:rPr>
          <w:rFonts w:ascii="Times" w:hAnsi="Times" w:cs="Times"/>
          <w:sz w:val="32"/>
          <w:sz-cs w:val="32"/>
          <w:b/>
        </w:rPr>
        <w:t xml:space="preserve">3. أداة الدراسة</w:t>
      </w:r>
    </w:p>
    <w:p>
      <w:pPr>
        <w:jc w:val="both"/>
        <w:spacing w:before="100" w:after="100"/>
      </w:pPr>
      <w:r>
        <w:rPr>
          <w:rFonts w:ascii="Times" w:hAnsi="Times" w:cs="Times"/>
          <w:sz w:val="28"/>
          <w:sz-cs w:val="28"/>
        </w:rPr>
        <w:t xml:space="preserve">سوف تستخدم الدراسة الاستبانة الإلكترونية كأداة رئيسية لجمع البيانات، وسيتم تصميمها بصورة علمية وفق متطلبات أهداف الدراسة. وستتضمن الاستبانة المحاور التالية ، لتغطية أبعاد المتغيرين الأساسيين على النحو الآتي:</w:t>
      </w:r>
    </w:p>
    <w:p>
      <w:pPr>
        <w:jc w:val="both"/>
        <w:spacing w:before="100" w:after="100"/>
      </w:pPr>
      <w:r>
        <w:rPr>
          <w:rFonts w:ascii="Times" w:hAnsi="Times" w:cs="Times"/>
          <w:sz w:val="36"/>
          <w:sz-cs w:val="36"/>
          <w:b/>
        </w:rPr>
        <w:t xml:space="preserve">11.1 الأساليب الإحصائية المستخدمة</w:t>
      </w:r>
    </w:p>
    <w:p>
      <w:pPr>
        <w:jc w:val="both"/>
        <w:spacing w:before="100" w:after="100"/>
      </w:pPr>
      <w:r>
        <w:rPr>
          <w:rFonts w:ascii="Times" w:hAnsi="Times" w:cs="Times"/>
          <w:sz w:val="28"/>
          <w:sz-cs w:val="28"/>
          <w:b/>
        </w:rPr>
        <w:t xml:space="preserve">سوف يتم تحليل البيانات باستخدام برنامج SPSS عبر الأساليب الآتية:</w:t>
      </w:r>
    </w:p>
    <w:p>
      <w:pPr>
        <w:jc w:val="both"/>
        <w:ind w:left="720" w:first-line="-720"/>
        <w:spacing w:before="100" w:after="100"/>
      </w:pPr>
      <w:r>
        <w:rPr>
          <w:rFonts w:ascii="Times" w:hAnsi="Times" w:cs="Times"/>
          <w:sz w:val="28"/>
          <w:sz-cs w:val="28"/>
        </w:rPr>
        <w:t xml:space="preserve"/>
        <w:tab/>
        <w:t xml:space="preserve">•</w:t>
        <w:tab/>
        <w:t xml:space="preserve">الإحصاءات الوصفية للمتغيرات.</w:t>
      </w:r>
    </w:p>
    <w:p>
      <w:pPr>
        <w:jc w:val="both"/>
        <w:ind w:left="720" w:first-line="-720"/>
        <w:spacing w:before="100" w:after="100"/>
      </w:pPr>
      <w:r>
        <w:rPr>
          <w:rFonts w:ascii="Times" w:hAnsi="Times" w:cs="Times"/>
          <w:sz w:val="28"/>
          <w:sz-cs w:val="28"/>
        </w:rPr>
        <w:t xml:space="preserve"/>
        <w:tab/>
        <w:t xml:space="preserve">•</w:t>
        <w:tab/>
        <w:t xml:space="preserve">معامل الارتباط لقياس العلاقات الأولية.</w:t>
      </w:r>
    </w:p>
    <w:p>
      <w:pPr>
        <w:jc w:val="both"/>
        <w:ind w:left="720" w:first-line="-720"/>
        <w:spacing w:before="100" w:after="100"/>
      </w:pPr>
      <w:r>
        <w:rPr>
          <w:rFonts w:ascii="Times" w:hAnsi="Times" w:cs="Times"/>
          <w:sz w:val="28"/>
          <w:sz-cs w:val="28"/>
        </w:rPr>
        <w:t xml:space="preserve"/>
        <w:tab/>
        <w:t xml:space="preserve">•</w:t>
        <w:tab/>
        <w:t xml:space="preserve">تحليل الانحدار المتعدد لقياس أثر أبعاد تجربة الزائر على نجاح الفعاليات.</w:t>
      </w:r>
    </w:p>
    <w:p>
      <w:pPr>
        <w:jc w:val="both"/>
        <w:ind w:left="720" w:first-line="-720"/>
        <w:spacing w:before="100" w:after="100"/>
      </w:pPr>
      <w:r>
        <w:rPr>
          <w:rFonts w:ascii="Times" w:hAnsi="Times" w:cs="Times"/>
          <w:sz w:val="28"/>
          <w:sz-cs w:val="28"/>
        </w:rPr>
        <w:t xml:space="preserve"/>
        <w:tab/>
        <w:t xml:space="preserve">•</w:t>
        <w:tab/>
        <w:t xml:space="preserve">اختبار الفرضيات باستخدام مستوى الدلالة (α ≤ 0.05).</w:t>
      </w:r>
    </w:p>
    <w:p>
      <w:pPr>
        <w:jc w:val="both"/>
        <w:spacing w:before="100" w:after="100"/>
      </w:pPr>
      <w:r>
        <w:rPr>
          <w:rFonts w:ascii="Times" w:hAnsi="Times" w:cs="Times"/>
          <w:sz w:val="36"/>
          <w:sz-cs w:val="36"/>
          <w:b/>
        </w:rPr>
        <w:t xml:space="preserve">12.1 حدود الدراسة:</w:t>
      </w:r>
    </w:p>
    <w:p>
      <w:pPr>
        <w:jc w:val="both"/>
        <w:ind w:left="720" w:first-line="-720"/>
        <w:spacing w:before="100" w:after="100"/>
      </w:pPr>
      <w:r>
        <w:rPr>
          <w:rFonts w:ascii="Times" w:hAnsi="Times" w:cs="Times"/>
          <w:sz w:val="28"/>
          <w:sz-cs w:val="28"/>
          <w:b/>
        </w:rPr>
        <w:t xml:space="preserve"/>
        <w:tab/>
        <w:t xml:space="preserve">•</w:t>
        <w:tab/>
        <w:t xml:space="preserve">حدود موضوعية</w:t>
      </w:r>
      <w:r>
        <w:rPr>
          <w:rFonts w:ascii="Times" w:hAnsi="Times" w:cs="Times"/>
          <w:sz w:val="28"/>
          <w:sz-cs w:val="28"/>
        </w:rPr>
        <w:t xml:space="preserve">: سوف تركّز الدراسة على قياس أثر تجربة الزائر فقط دون التطرق إلى الجوانب التنظيمية أو التشغيلية خارج نطاق التجربة. </w:t>
      </w:r>
    </w:p>
    <w:p>
      <w:pPr>
        <w:jc w:val="both"/>
        <w:ind w:left="720" w:first-line="-720"/>
        <w:spacing w:before="100" w:after="100"/>
      </w:pPr>
      <w:r>
        <w:rPr>
          <w:rFonts w:ascii="Times" w:hAnsi="Times" w:cs="Times"/>
          <w:sz w:val="28"/>
          <w:sz-cs w:val="28"/>
          <w:b/>
        </w:rPr>
        <w:t xml:space="preserve"/>
        <w:tab/>
        <w:t xml:space="preserve">•</w:t>
        <w:tab/>
        <w:t xml:space="preserve">حدود مكانية</w:t>
      </w:r>
      <w:r>
        <w:rPr>
          <w:rFonts w:ascii="Times" w:hAnsi="Times" w:cs="Times"/>
          <w:sz w:val="28"/>
          <w:sz-cs w:val="28"/>
        </w:rPr>
        <w:t xml:space="preserve">: سوف تشمل فعاليات تُقام داخل المملكة العربية السعودية.</w:t>
      </w:r>
    </w:p>
    <w:p>
      <w:pPr>
        <w:jc w:val="both"/>
        <w:ind w:left="720" w:first-line="-720"/>
        <w:spacing w:before="100" w:after="100"/>
      </w:pPr>
      <w:r>
        <w:rPr>
          <w:rFonts w:ascii="Times" w:hAnsi="Times" w:cs="Times"/>
          <w:sz w:val="28"/>
          <w:sz-cs w:val="28"/>
          <w:b/>
        </w:rPr>
        <w:t xml:space="preserve"/>
        <w:tab/>
        <w:t xml:space="preserve">•</w:t>
        <w:tab/>
        <w:t xml:space="preserve">حدود زمانية</w:t>
      </w:r>
      <w:r>
        <w:rPr>
          <w:rFonts w:ascii="Times" w:hAnsi="Times" w:cs="Times"/>
          <w:sz w:val="28"/>
          <w:sz-cs w:val="28"/>
        </w:rPr>
        <w:t xml:space="preserve">: سيتم إجراء الدراسة خلال العام الأكاديمي 2025.</w:t>
      </w:r>
    </w:p>
    <w:p>
      <w:pPr>
        <w:jc w:val="both"/>
        <w:ind w:left="720" w:first-line="-720"/>
        <w:spacing w:before="100" w:after="100"/>
      </w:pPr>
      <w:r>
        <w:rPr>
          <w:rFonts w:ascii="Times" w:hAnsi="Times" w:cs="Times"/>
          <w:sz w:val="28"/>
          <w:sz-cs w:val="28"/>
          <w:b/>
        </w:rPr>
        <w:t xml:space="preserve"/>
        <w:tab/>
        <w:t xml:space="preserve">•</w:t>
        <w:tab/>
        <w:t xml:space="preserve">حدود بشرية</w:t>
      </w:r>
      <w:r>
        <w:rPr>
          <w:rFonts w:ascii="Times" w:hAnsi="Times" w:cs="Times"/>
          <w:sz w:val="28"/>
          <w:sz-cs w:val="28"/>
        </w:rPr>
        <w:t xml:space="preserve">:   سوف تقتصر على الزوار المشاركين في الفعاليات والمعارض.</w:t>
      </w:r>
    </w:p>
    <w:p>
      <w:pPr>
        <w:jc w:val="both"/>
        <w:spacing w:before="100" w:after="100"/>
      </w:pPr>
      <w:r>
        <w:rPr>
          <w:rFonts w:ascii="Times" w:hAnsi="Times" w:cs="Times"/>
          <w:sz w:val="28"/>
          <w:sz-cs w:val="28"/>
        </w:rPr>
        <w:t xml:space="preserve"/>
      </w:r>
    </w:p>
    <w:p>
      <w:pPr>
        <w:jc w:val="center"/>
        <w:spacing w:before="100" w:after="100"/>
      </w:pPr>
      <w:r>
        <w:rPr>
          <w:rFonts w:ascii="Times" w:hAnsi="Times" w:cs="Times"/>
          <w:sz w:val="40"/>
          <w:sz-cs w:val="40"/>
          <w:b/>
        </w:rPr>
        <w:t xml:space="preserve"/>
        <w:br w:type="page"/>
        <w:t xml:space="preserve">الفصل الثاني: الإطار النظري</w:t>
      </w:r>
    </w:p>
    <w:p>
      <w:pPr>
        <w:jc w:val="center"/>
        <w:spacing w:before="100" w:after="100"/>
      </w:pPr>
      <w:r>
        <w:rPr>
          <w:rFonts w:ascii="Times" w:hAnsi="Times" w:cs="Times"/>
          <w:sz w:val="36"/>
          <w:sz-cs w:val="36"/>
          <w:b/>
        </w:rPr>
        <w:t xml:space="preserve">المبحث الأول: تجربة الزائر</w:t>
      </w:r>
    </w:p>
    <w:p>
      <w:pPr>
        <w:jc w:val="both"/>
        <w:spacing w:before="100" w:after="100"/>
      </w:pPr>
      <w:r>
        <w:rPr>
          <w:rFonts w:ascii="Times" w:hAnsi="Times" w:cs="Times"/>
          <w:sz w:val="32"/>
          <w:sz-cs w:val="32"/>
          <w:b/>
        </w:rPr>
        <w:t xml:space="preserve">1.1.2 تمهيد</w:t>
      </w:r>
    </w:p>
    <w:p>
      <w:pPr>
        <w:jc w:val="both"/>
        <w:spacing w:before="100" w:after="100"/>
      </w:pPr>
      <w:r>
        <w:rPr>
          <w:rFonts w:ascii="Times" w:hAnsi="Times" w:cs="Times"/>
          <w:sz w:val="28"/>
          <w:sz-cs w:val="28"/>
        </w:rPr>
        <w:t xml:space="preserve">احتلّ مفهوم تجربة الزائر مكانة متقدّمة في حقول التسويق وإدارة الأحداث والسياحة الثقافية، لا سيّما بعد أن تحوّل الاهتمام الأكاديمي والمهني من التركيز على جودة المنتج أو الخدمة بمعزل عن سياقها إلى التركيز على التجربة الكلية التي يعيشها الفرد أثناء تعامله مع بيئة الحدث. وتتّسم الفعاليات والمعارض بخصوصية واضحة في هذا السياق، إذ لا يحصل الزائر على سلعة ملموسة يأخذها معه بقدر ما يبني مجموعة من الانطباعات والمدركات والمشاعر التي تتراكم عبر تفاعله مع المحتوى والبيئة المادية والبشرية والتقنية للحدث. وفي المملكة العربية السعودية التي تشهد توسّعاً متسارعاً في صناعة الفعاليات والمعارض ضمن مستهدفات رؤية 2030، يغدو فهم مكوّنات تجربة الزائر وآليات تشكّلها مطلباً بحثياً وإدارياً في الوقت ذاته. ويتناول هذا المبحث مفهوم تجربة الزائر وأبرز تعريفاته، ثم أهميته، وأهدافه، وأبعاده الأربعة المعتمدة في الدراسة الحالية، وصولاً إلى استراتيجيات تعزيزه.</w:t>
      </w:r>
    </w:p>
    <w:p>
      <w:pPr>
        <w:jc w:val="both"/>
        <w:spacing w:before="100" w:after="100"/>
      </w:pPr>
      <w:r>
        <w:rPr>
          <w:rFonts w:ascii="Times" w:hAnsi="Times" w:cs="Times"/>
          <w:sz w:val="32"/>
          <w:sz-cs w:val="32"/>
          <w:b/>
        </w:rPr>
        <w:t xml:space="preserve">2.1.2 مفهوم تجربة الزائر</w:t>
      </w:r>
    </w:p>
    <w:p>
      <w:pPr>
        <w:jc w:val="both"/>
        <w:spacing w:before="100" w:after="100"/>
      </w:pPr>
      <w:r>
        <w:rPr>
          <w:rFonts w:ascii="Times" w:hAnsi="Times" w:cs="Times"/>
          <w:sz w:val="28"/>
          <w:sz-cs w:val="28"/>
        </w:rPr>
        <w:t xml:space="preserve">شهد مصطلح "تجربة الزائر" تطوّراً دلالياً ملحوظاً عبر الحقول المعرفية التي تناولته، فقد نشأ في أدبيات إدارة المتاحف والمعارض قبل أن ينتقل إلى ميادين السياحة والتسويق التجريبي وصناعة الأحداث، وحمل في كلّ ميدان تعريفاً يعكس زاوية المعالجة الخاصة به. وقد عرّف Mackay (2023) تجربة الزائر بأنها البناء الشامل الذي ينتج عن تفاعل الفرد مع جميع نقاط الاتصال المرتبطة بالمكان أو الحدث، بدءاً من مرحلة التخطيط للزيارة واكتساب المعلومات الأولية، مروراً بالتجربة الميدانية داخل الموقع، وانتهاءً بالانطباعات والذكريات التي يحتفظ بها بعد المغادرة، وهو بذلك يعالج المفهوم من منظور إداري عملي يركّز على تصميم رحلة الزائر وإدارتها عبر مراحلها الثلاث.</w:t>
      </w:r>
    </w:p>
    <w:p>
      <w:pPr>
        <w:jc w:val="both"/>
        <w:spacing w:before="100" w:after="100"/>
      </w:pPr>
      <w:r>
        <w:rPr>
          <w:rFonts w:ascii="Times" w:hAnsi="Times" w:cs="Times"/>
          <w:sz w:val="28"/>
          <w:sz-cs w:val="28"/>
        </w:rPr>
        <w:t xml:space="preserve">وانطلاقاً من مدخل مغاير، تناولت دراسة عبدالخالق وعبدالحميد والسطوحي (2023أ) المفهوم تحت مسمّى "تجربة العميل" من زاوية التسويق التجريبي، حيث عرّفتها بأنها حصيلة الاستجابات الحسّية والعاطفية والإدراكية والسلوكية والاجتماعية التي يكوّنها الفرد نتيجة تعامله مع العلامة التجارية أو مقدّم الخدمة، وهو تعريف يتّسق مع التصنيف الخماسي للتجربة ويضع البُعد العلائقي-الاجتماعي في صلب المفهوم. أمّا Cheng et al. (2023) فقد عرّفوا تجربة الزائر في المعارض الفنية بأنها الاستجابة الذاتية المتعددة الأوجه التي يشكّلها الزائر عبر ثلاث مراحل زمنية: ما قبل الزيارة (التسويق والدافعية)، وأثناء الزيارة (البيئة المادية وجودة المعروضات والمشاركة والتكنولوجيا)، وما بعد الزيارة (المرافق والخدمات المساندة)، ممّا يُدخل البُعد الزمني العملياتي في صلب التعريف.</w:t>
      </w:r>
    </w:p>
    <w:p>
      <w:pPr>
        <w:jc w:val="both"/>
        <w:spacing w:before="100" w:after="100"/>
      </w:pPr>
      <w:r>
        <w:rPr>
          <w:rFonts w:ascii="Times" w:hAnsi="Times" w:cs="Times"/>
          <w:sz w:val="28"/>
          <w:sz-cs w:val="28"/>
        </w:rPr>
        <w:t xml:space="preserve">ومن منظور اقتصاد التجربة، عالجت Wadie و El-Meniawy (2023) المفهوم في سياق المتحف القومي للحضارة المصرية من خلال تصنيفه إلى أربعة أبعاد: التجربة التعليمية، والترفيهية، والجمالية، والانغماسية (الهروب من الواقع)، وهو تصنيف يركّز على طبيعة القيمة التي يستخلصها الزائر لا على مصادر التجربة ذاتها. وفي اتجاه تكاملي، دمجت دراسة Wu et al. (2025) بين نموذج اقتصاد التجربة ونموذج المثير-الكائن-الاستجابة SOR لدراسة تجربة الزائر في معارض الميتافيرس، معرّفة التجربة بأنها الناتج المعرفي والوجداني والسلوكي الذي يتشكّل حين يتعرّض الفرد لمثيرات بيئية (مادية أو رقمية) تُحدث لديه حالة داخلية تتحوّل بدورها إلى استجابات قابلة للرصد والقياس.</w:t>
      </w:r>
    </w:p>
    <w:p>
      <w:pPr>
        <w:jc w:val="both"/>
        <w:spacing w:before="100" w:after="100"/>
      </w:pPr>
      <w:r>
        <w:rPr>
          <w:rFonts w:ascii="Times" w:hAnsi="Times" w:cs="Times"/>
          <w:sz w:val="28"/>
          <w:sz-cs w:val="28"/>
        </w:rPr>
        <w:t xml:space="preserve">وقد قدّم قندوز (2024) رؤية معاصرة للمفهوم ربطها بالتحوّل الرقمي، حيث عرّف تجربة العميل المعزّزة بالذكاء الاصطناعي بأنها التجربة المخصّصة التي تُبنى على تحليل البيانات الضخمة وخوارزميات التعلّم الآلي لتقديم محتوى وخدمات مفصّلة وفق تفضيلات كلّ فرد، ممّا يُضيف بُعد التخصيص الآلي إلى مفهوم التجربة التقليدي.</w:t>
      </w:r>
    </w:p>
    <w:p>
      <w:pPr>
        <w:jc w:val="both"/>
        <w:spacing w:before="100" w:after="100"/>
      </w:pPr>
      <w:r>
        <w:rPr>
          <w:rFonts w:ascii="Times" w:hAnsi="Times" w:cs="Times"/>
          <w:sz w:val="28"/>
          <w:sz-cs w:val="28"/>
        </w:rPr>
        <w:t xml:space="preserve">يتبنّى الباحث تعريفاً إجرائياً لتجربة الزائر في الفعاليات والمعارض بوصفها: المحصّلة الكلية للاستجابات المعرفية والوجدانية والسلوكية التي يكوّنها الزائر نتيجة تفاعله مع أبعاد التجربة الأربعة (التفاعل البشري، والجاذبية البصرية، والتفاعل التكنولوجي، وجودة الخدمات) عبر مراحل الزيارة المختلفة، والتي تتبلور في صورة انطباع شامل يوجّه سلوكه اللاحق تجاه الفعالية أو المعرض. </w:t>
      </w:r>
    </w:p>
    <w:p>
      <w:pPr>
        <w:jc w:val="both"/>
        <w:spacing w:before="100" w:after="100"/>
      </w:pPr>
      <w:r>
        <w:rPr>
          <w:rFonts w:ascii="Times" w:hAnsi="Times" w:cs="Times"/>
          <w:sz w:val="32"/>
          <w:sz-cs w:val="32"/>
          <w:b/>
        </w:rPr>
        <w:t xml:space="preserve">3.1.2  أهمية تجربة الزائر</w:t>
      </w:r>
    </w:p>
    <w:p>
      <w:pPr>
        <w:jc w:val="both"/>
        <w:spacing w:before="100" w:after="100"/>
      </w:pPr>
      <w:r>
        <w:rPr>
          <w:rFonts w:ascii="Times" w:hAnsi="Times" w:cs="Times"/>
          <w:sz w:val="28"/>
          <w:sz-cs w:val="28"/>
        </w:rPr>
        <w:t xml:space="preserve">تنبع أهمية تجربة الزائر من كونها المحدّد الرئيس للقيمة التي يدركها الفرد تجاه الحدث، والمحرّك الأساسي لسلوكياته اللاحقة من رضا وولاء وتوصية. وفي ظلّ بيئة تنافسية تتزاحم فيها الفعاليات والمعارض على استقطاب الجمهور، لم تعد جودة المحتوى وحدها كافية لضمان النجاح، بل أصبح تصميم تجربة متكاملة ومتمايزة الشرط الحاسم للاستمرارية والتفوّق. ويمكن استعراض أبرز أوجه هذه الأهمية على النحو التالي.</w:t>
      </w:r>
    </w:p>
    <w:p>
      <w:pPr>
        <w:jc w:val="both"/>
        <w:spacing w:before="100" w:after="100"/>
      </w:pPr>
      <w:r>
        <w:rPr>
          <w:rFonts w:ascii="Times" w:hAnsi="Times" w:cs="Times"/>
          <w:sz w:val="28"/>
          <w:sz-cs w:val="28"/>
        </w:rPr>
        <w:t xml:space="preserve">يشير Addis et al. (2024) إلى أن أهمية تجربة الزائر في بيئة المتاحف والمعارض تتبدّى في عدة مستويات: </w:t>
      </w:r>
    </w:p>
    <w:p>
      <w:pPr>
        <w:jc w:val="both"/>
        <w:ind w:left="720" w:first-line="-720"/>
        <w:spacing w:before="100" w:after="100"/>
      </w:pPr>
      <w:r>
        <w:rPr>
          <w:rFonts w:ascii="Times" w:hAnsi="Times" w:cs="Times"/>
          <w:sz w:val="28"/>
          <w:sz-cs w:val="28"/>
        </w:rPr>
        <w:t xml:space="preserve"/>
        <w:tab/>
        <w:t xml:space="preserve">•</w:t>
        <w:tab/>
        <w:t xml:space="preserve">أنها تحوّل الزائر من متلقٍّ سلبي إلى مشارك فاعل في بناء المعنى، ممّا يعزّز ارتباطه العاطفي بالحدث ويجعل التجربة ذاتية وغير قابلة للتكرار بالصورة نفسها، وهو ما يخلق قيمة مضافة لا يستطيع المنافسون نسخها بسهولة. </w:t>
      </w:r>
    </w:p>
    <w:p>
      <w:pPr>
        <w:jc w:val="both"/>
        <w:ind w:left="720" w:first-line="-720"/>
        <w:spacing w:before="100" w:after="100"/>
      </w:pPr>
      <w:r>
        <w:rPr>
          <w:rFonts w:ascii="Times" w:hAnsi="Times" w:cs="Times"/>
          <w:sz w:val="28"/>
          <w:sz-cs w:val="28"/>
        </w:rPr>
        <w:t xml:space="preserve"/>
        <w:tab/>
        <w:t xml:space="preserve">•</w:t>
        <w:tab/>
        <w:t xml:space="preserve">أنها تمثّل الجسر الرابط بين الخصائص الموضوعية للمعرض (جودة المعروضات وتصميم البيئة وكفاءة الخدمات) وردود فعل الزائر السلوكية (نية العودة والتوصية والكلمة المنقولة)، بحيث لا يمكن فهم العلاقة بين المدخلات والمخرجات دون المرور بطبقة التجربة. </w:t>
      </w:r>
    </w:p>
    <w:p>
      <w:pPr>
        <w:jc w:val="both"/>
        <w:ind w:left="720" w:first-line="-720"/>
        <w:spacing w:before="100" w:after="100"/>
      </w:pPr>
      <w:r>
        <w:rPr>
          <w:rFonts w:ascii="Times" w:hAnsi="Times" w:cs="Times"/>
          <w:sz w:val="28"/>
          <w:sz-cs w:val="28"/>
        </w:rPr>
        <w:t xml:space="preserve"/>
        <w:tab/>
        <w:t xml:space="preserve">•</w:t>
        <w:tab/>
        <w:t xml:space="preserve">أنها تعمل بوصفها آلية للتمايز الاستراتيجي في سوق تتشابه فيه المنتجات والخدمات، إذ تُتيح للفعالية أو المعرض أن يبني موقعاً ذهنياً فريداً لدى الزائر يصعب محاكاته.</w:t>
      </w:r>
    </w:p>
    <w:p>
      <w:pPr>
        <w:jc w:val="both"/>
        <w:spacing w:before="100" w:after="100"/>
      </w:pPr>
      <w:r>
        <w:rPr>
          <w:rFonts w:ascii="Times" w:hAnsi="Times" w:cs="Times"/>
          <w:sz w:val="28"/>
          <w:sz-cs w:val="28"/>
        </w:rPr>
        <w:t xml:space="preserve">ويرى Cheng et al. (2023) أن أهمية تجربة الزائر تمتدّ لتشمل ثلاثة مستويات إضافية: </w:t>
      </w:r>
    </w:p>
    <w:p>
      <w:pPr>
        <w:jc w:val="both"/>
        <w:ind w:left="720" w:first-line="-720"/>
        <w:spacing w:before="100" w:after="100"/>
      </w:pPr>
      <w:r>
        <w:rPr>
          <w:rFonts w:ascii="Times" w:hAnsi="Times" w:cs="Times"/>
          <w:sz w:val="28"/>
          <w:sz-cs w:val="28"/>
        </w:rPr>
        <w:t xml:space="preserve"/>
        <w:tab/>
        <w:t xml:space="preserve">•</w:t>
        <w:tab/>
        <w:t xml:space="preserve">على المستوى الإداري، تمنح المنظّمين مؤشرات تشخيصية دقيقة حول نقاط القوة والضعف في كلّ مرحلة من مراحل الزيارة (ما قبل، وأثناء، وما بعد)، ممّا يُمكّنهم من توجيه الموارد نحو الجوانب الأكثر تأثيراً. </w:t>
      </w:r>
    </w:p>
    <w:p>
      <w:pPr>
        <w:jc w:val="both"/>
        <w:ind w:left="720" w:first-line="-720"/>
        <w:spacing w:before="100" w:after="100"/>
      </w:pPr>
      <w:r>
        <w:rPr>
          <w:rFonts w:ascii="Times" w:hAnsi="Times" w:cs="Times"/>
          <w:sz w:val="28"/>
          <w:sz-cs w:val="28"/>
        </w:rPr>
        <w:t xml:space="preserve"/>
        <w:tab/>
        <w:t xml:space="preserve">•</w:t>
        <w:tab/>
        <w:t xml:space="preserve">على المستوى التسويقي، تتحوّل التجربة الإيجابية إلى محتوى يُنتجه الزائر طوعياً عبر وسائل التواصل الاجتماعي، فيصبح سفيراً غير رسمي للحدث يؤدّي وظيفة تسويقية بتكلفة شبه معدومة. </w:t>
      </w:r>
    </w:p>
    <w:p>
      <w:pPr>
        <w:jc w:val="both"/>
        <w:ind w:left="720" w:first-line="-720"/>
        <w:spacing w:before="100" w:after="100"/>
      </w:pPr>
      <w:r>
        <w:rPr>
          <w:rFonts w:ascii="Times" w:hAnsi="Times" w:cs="Times"/>
          <w:sz w:val="28"/>
          <w:sz-cs w:val="28"/>
        </w:rPr>
        <w:t xml:space="preserve"/>
        <w:tab/>
        <w:t xml:space="preserve">•</w:t>
        <w:tab/>
        <w:t xml:space="preserve">على المستوى الأكاديمي، يُسهم فهم مكوّنات التجربة في بناء أدوات قياس أكثر صدقاً تتجاوز مؤشرات الحضور العددي إلى مؤشرات نوعية تعكس عمق التفاعل وجودة الانطباعات.</w:t>
      </w:r>
    </w:p>
    <w:p>
      <w:pPr>
        <w:jc w:val="both"/>
        <w:spacing w:before="100" w:after="100"/>
      </w:pPr>
      <w:r>
        <w:rPr>
          <w:rFonts w:ascii="Times" w:hAnsi="Times" w:cs="Times"/>
          <w:sz w:val="28"/>
          <w:sz-cs w:val="28"/>
        </w:rPr>
        <w:t xml:space="preserve">أمّا الزهراني وعطية (2024) فتضيفان بُعداً سياقياً خاصاً بالمملكة العربية السعودية، حيث تُبرزان أن أهمية تجربة الزائر تتعاظم في ضوء مستهدفات رؤية 2030 التي جعلت من تحسين جودة حياة الفرد وتنويع المعروض الثقافي والترفيهي أولويات استراتيجية. فالأحداث الثقافية باتت أدوات لتحقيق أهداف وطنية تتعلّق بالهوية والاقتصاد والسياحة معاً، ممّا يجعل تصميم تجربة الزائر ليس مجرّد خيار تسويقي بل ضرورة تنموية.</w:t>
      </w:r>
    </w:p>
    <w:p>
      <w:pPr>
        <w:jc w:val="both"/>
        <w:spacing w:before="100" w:after="100"/>
      </w:pPr>
      <w:r>
        <w:rPr>
          <w:rFonts w:ascii="Times" w:hAnsi="Times" w:cs="Times"/>
          <w:sz w:val="32"/>
          <w:sz-cs w:val="32"/>
          <w:b/>
        </w:rPr>
        <w:t xml:space="preserve">4.1.2  أهداف تجربة الزائر</w:t>
      </w:r>
    </w:p>
    <w:p>
      <w:pPr>
        <w:jc w:val="both"/>
        <w:spacing w:before="100" w:after="100"/>
      </w:pPr>
      <w:r>
        <w:rPr>
          <w:rFonts w:ascii="Times" w:hAnsi="Times" w:cs="Times"/>
          <w:sz w:val="28"/>
          <w:sz-cs w:val="28"/>
        </w:rPr>
        <w:t xml:space="preserve">يتّجه تصميم تجربة الزائر نحو تحقيق مجموعة من الأهداف المترابطة التي تتباين في مستوياتها بين أهداف تتعلّق بالزائر ذاته وأخرى تتعلّق بالجهة المنظّمة وثالثة تتعلّق بالسياق الأوسع للصناعة والمجتمع. وقد تناولت الأدبيات المستعرضة هذه الأهداف من زوايا متعددة يمكن عرضها في النقاط التالية.</w:t>
      </w:r>
    </w:p>
    <w:p>
      <w:pPr>
        <w:jc w:val="both"/>
        <w:spacing w:before="100" w:after="100"/>
      </w:pPr>
      <w:r>
        <w:rPr>
          <w:rFonts w:ascii="Times" w:hAnsi="Times" w:cs="Times"/>
          <w:sz w:val="28"/>
          <w:sz-cs w:val="28"/>
        </w:rPr>
        <w:t xml:space="preserve">يرى Mackay (2023) أن الهدف الجوهري من تصميم تجربة الزائر هو خلق لحظات ذات قيمة عاطفية ومعرفية يتذكّرها الزائر ويربطها بالمكان أو الحدث، بحيث تتحوّل الزيارة من حدث عابر إلى ذاكرة مؤسِّسة لعلاقة طويلة الأمد. ويُضيف أن تحقيق هذا الهدف يمرّ عبر ثلاثة أهداف فرعية: تسهيل الوصول إلى المعلومات والمكان قبل الزيارة، وتوفير بيئة محفّزة للاكتشاف والتفاعل أثناء الزيارة، وتمكين الزائر من استمرار ارتباطه بالحدث بعد المغادرة.</w:t>
      </w:r>
    </w:p>
    <w:p>
      <w:pPr>
        <w:jc w:val="both"/>
        <w:spacing w:before="100" w:after="100"/>
      </w:pPr>
      <w:r>
        <w:rPr>
          <w:rFonts w:ascii="Times" w:hAnsi="Times" w:cs="Times"/>
          <w:sz w:val="28"/>
          <w:sz-cs w:val="28"/>
        </w:rPr>
        <w:t xml:space="preserve">ويتّفق Philippopoulos et al. (2024) مع هذا التوجّه لكنهم يتوسّعون في الأهداف المؤسسية، فيرون أن تصميم تجربة الزائر يسعى إلى: </w:t>
      </w:r>
    </w:p>
    <w:p>
      <w:pPr>
        <w:jc w:val="both"/>
        <w:ind w:left="720" w:first-line="-720"/>
        <w:spacing w:before="100" w:after="100"/>
      </w:pPr>
      <w:r>
        <w:rPr>
          <w:rFonts w:ascii="Times" w:hAnsi="Times" w:cs="Times"/>
          <w:sz w:val="28"/>
          <w:sz-cs w:val="28"/>
        </w:rPr>
        <w:t xml:space="preserve"/>
        <w:tab/>
        <w:t xml:space="preserve">•</w:t>
        <w:tab/>
        <w:t xml:space="preserve">رفع كفاءة أداء المؤسسة المنظّمة من خلال دمج مؤشرات التجربة في منظومة التقييم الشامل. </w:t>
      </w:r>
    </w:p>
    <w:p>
      <w:pPr>
        <w:jc w:val="both"/>
        <w:ind w:left="720" w:first-line="-720"/>
        <w:spacing w:before="100" w:after="100"/>
      </w:pPr>
      <w:r>
        <w:rPr>
          <w:rFonts w:ascii="Times" w:hAnsi="Times" w:cs="Times"/>
          <w:sz w:val="28"/>
          <w:sz-cs w:val="28"/>
        </w:rPr>
        <w:t xml:space="preserve"/>
        <w:tab/>
        <w:t xml:space="preserve">•</w:t>
        <w:tab/>
        <w:t xml:space="preserve"> تعزيز الأثر التعليمي والثقافي للحدث بما يتجاوز المتعة الآنية إلى بناء معرفة ووعي دائمين. </w:t>
      </w:r>
    </w:p>
    <w:p>
      <w:pPr>
        <w:jc w:val="both"/>
        <w:ind w:left="720" w:first-line="-720"/>
        <w:spacing w:before="100" w:after="100"/>
      </w:pPr>
      <w:r>
        <w:rPr>
          <w:rFonts w:ascii="Times" w:hAnsi="Times" w:cs="Times"/>
          <w:sz w:val="28"/>
          <w:sz-cs w:val="28"/>
        </w:rPr>
        <w:t xml:space="preserve"/>
        <w:tab/>
        <w:t xml:space="preserve">•</w:t>
        <w:tab/>
        <w:t xml:space="preserve">توسيع قاعدة الجمهور عبر تصميم تجارب تستوعب فئات متنوعة من الزوار تختلف في أعمارها واهتماماتها وقدراتها.</w:t>
      </w:r>
    </w:p>
    <w:p>
      <w:pPr>
        <w:jc w:val="both"/>
        <w:spacing w:before="100" w:after="100"/>
      </w:pPr>
      <w:r>
        <w:rPr>
          <w:rFonts w:ascii="Times" w:hAnsi="Times" w:cs="Times"/>
          <w:sz w:val="28"/>
          <w:sz-cs w:val="28"/>
        </w:rPr>
        <w:t xml:space="preserve">وتضيف الصالح (2022) هدفاً تنموياً سياقياً حين تربط بين الفعاليات والمعارض وأهداف التنمية المكانية في المملكة العربية السعودية، إذ يمكن لتجربة الزائر المتميّزة أن تسهم في توزيع الحركة السياحية بين المناطق الإدارية المختلفة ومعالجة التباين في مستوى السياحة الترفيهية بين المناطق المتقدّمة والمناطق التي تعاني نقصاً في هذا المجال.</w:t>
      </w:r>
    </w:p>
    <w:p>
      <w:pPr>
        <w:jc w:val="both"/>
        <w:spacing w:before="100" w:after="100"/>
      </w:pPr>
      <w:r>
        <w:rPr>
          <w:rFonts w:ascii="Times" w:hAnsi="Times" w:cs="Times"/>
          <w:sz w:val="32"/>
          <w:sz-cs w:val="32"/>
          <w:b/>
        </w:rPr>
        <w:t xml:space="preserve">5.1.2 أبعاد تجربة الزائر</w:t>
      </w:r>
    </w:p>
    <w:p>
      <w:pPr>
        <w:jc w:val="both"/>
        <w:spacing w:before="100" w:after="100"/>
      </w:pPr>
      <w:r>
        <w:rPr>
          <w:rFonts w:ascii="Times" w:hAnsi="Times" w:cs="Times"/>
          <w:sz w:val="28"/>
          <w:sz-cs w:val="28"/>
        </w:rPr>
        <w:t xml:space="preserve">تمّ تحديد أبعاد تجربة الزائر المعتمدة في هذه الدراسة بناءً على مراجعة تحليلية لعدد من الأدبيات ذات الصلة، وفي مقدّمتها دراسة Cheng et al. (2023) التي استخلصت سبعة عوامل مؤثرة في تجربة زائر المعارض الفنية عبر منهجية مختلطة (نوعية وكمية) شملت مراحل ما قبل الزيارة وأثناءها وما بعدها، ودراسة King et al. (2024) التي قدّمت نموذجاً لتجربة مستخدم المعارض المتحفية MEUX يقوم على دمج عوامل الزائر وعوامل البيئة والتكنولوجيا، فضلاً عن دراسة الزهراني وعطية (2024) التي حدّدت الاعتبارات التصميمية الأساسية للأحداث الثقافية في المملكة بما يشمل الهوية البصرية ورحلة العميل والخدمات والمنصات الرقمية. واستناداً إلى هذه الأدبيات وإلى طبيعة سياق الفعاليات والمعارض في المملكة العربية السعودية، تتبنّى الدراسة الحالية أربعة أبعاد رئيسة لتجربة الزائر هي: التفاعل، والجاذبية البصرية، والتفاعل التكنولوجي، وجودة الخدمات.</w:t>
      </w:r>
    </w:p>
    <w:p>
      <w:pPr/>
      <w:r>
        <w:rPr>
          <w:rFonts w:ascii="Times" w:hAnsi="Times" w:cs="Times"/>
          <w:sz w:val="28"/>
          <w:sz-cs w:val="28"/>
          <w:b/>
        </w:rPr>
        <w:t xml:space="preserve"/>
        <w:br w:type="page"/>
        <w:t xml:space="preserve">1. بُعد التفاعل Interaction</w:t>
      </w:r>
    </w:p>
    <w:p>
      <w:pPr>
        <w:jc w:val="both"/>
        <w:spacing w:before="100" w:after="100"/>
      </w:pPr>
      <w:r>
        <w:rPr>
          <w:rFonts w:ascii="Times" w:hAnsi="Times" w:cs="Times"/>
          <w:sz w:val="28"/>
          <w:sz-cs w:val="28"/>
        </w:rPr>
        <w:t xml:space="preserve">يُقصد بالتفاعل في سياق الفعاليات والمعارض العملية الديناميكية ثنائية الاتجاه التي تنشأ بين الزائر من جهة وعناصر الحدث البشرية والمادية والمعرفية من جهة أخرى، بحيث ينتقل الزائر من وضع المتفرّج السلبي إلى وضع المشارك الذي يُسهم في صناعة تجربته بنفسه. ويتضمّن هذا البُعد مستويات متعددة: التفاعل مع المحتوى المعروض من خلال الاستكشاف والتجريب والنقاش، والتفاعل مع الطاقم البشري للحدث من موظفين ومنظّمين وعارضين، والتفاعل بين الزوار أنفسهم من خلال مشاركة الانطباعات وتبادل الآراء وبناء الذكريات الجماعية.</w:t>
      </w:r>
    </w:p>
    <w:p>
      <w:pPr>
        <w:jc w:val="both"/>
        <w:spacing w:before="100" w:after="100"/>
      </w:pPr>
      <w:r>
        <w:rPr>
          <w:rFonts w:ascii="Times" w:hAnsi="Times" w:cs="Times"/>
          <w:sz w:val="28"/>
          <w:sz-cs w:val="28"/>
        </w:rPr>
        <w:t xml:space="preserve">وقد عالج Nowacki و Kruczek (2021) هذا البُعد من زاوية المشاركة الإبداعية Co-creation في المتاحف والمعالم السياحية البولندية، منطلقَيْن من فرضية أن الزائر حين يُتاح له المساهمة الفعلية في تشكيل تجربته – عبر أنشطة تشاركية أو اختيارات شخصية – يتعمّق ارتباطه الوجداني بالحدث وتتعزّز ذاكرته تجاهه. واستخدما في ذلك مقاييس تتّصل بدرجة المشاركة ونوعها وعلاقتها بالمشاعر والرضا، وهو ما يُفيد الدراسة الحالية في تأطير بُعد التفاعل بوصفه عملية إبداعية مشتركة لا مجرّد تواصل بسيط بين أطراف.</w:t>
      </w:r>
    </w:p>
    <w:p>
      <w:pPr>
        <w:jc w:val="both"/>
        <w:spacing w:before="100" w:after="100"/>
      </w:pPr>
      <w:r>
        <w:rPr>
          <w:rFonts w:ascii="Times" w:hAnsi="Times" w:cs="Times"/>
          <w:sz w:val="28"/>
          <w:sz-cs w:val="28"/>
        </w:rPr>
        <w:t xml:space="preserve">ومن زاوية مختلفة، تناولت دراسة الحازمي وباعشن وراجخان (2025) بُعد التفاعل مع الموظفين بوصفه مكوّناً مستقلاً ضمن تجربة المعتمرين في المملكة العربية السعودية، حيث أفردت له محوراً خاصاً إلى جانب البيئة المادية والخدمات التكميلية. ويستفاد من هذا الطرح في الدراسة الحالية أن التفاعل البشري يحتفظ بخصوصيته حتى في ظلّ انتشار الحلول التكنولوجية، ولا يمكن تعويضه بالكامل عبر الوسائل الرقمية.</w:t>
      </w:r>
    </w:p>
    <w:p>
      <w:pPr>
        <w:jc w:val="both"/>
        <w:spacing w:before="100" w:after="100"/>
      </w:pPr>
      <w:r>
        <w:rPr>
          <w:rFonts w:ascii="Times" w:hAnsi="Times" w:cs="Times"/>
          <w:sz w:val="28"/>
          <w:sz-cs w:val="28"/>
        </w:rPr>
        <w:t xml:space="preserve">كما عالج أبو الفتوح (2023) التفاعل من زاوية المهرجانات الطلابية، حيث صُمّم المهرجان بلوحات فنية تشاركية أشرك فيها ثلاثة آلاف طالب وطالبة في عروض حيّة تراوحت بين الترحيب والحضارة وآفاق المستقبل. ويقدّم هذا النموذج مثالاً على التفاعل واسع النطاق الذي يتجاوز التفاعل الفردي ليأخذ طابعاً جماعياً احتفالياً يعزّز الشعور بالانتماء والمشاركة في صنع الحدث.</w:t>
      </w:r>
    </w:p>
    <w:p>
      <w:pPr>
        <w:jc w:val="both"/>
        <w:spacing w:before="100" w:after="100"/>
      </w:pPr>
      <w:r>
        <w:rPr>
          <w:rFonts w:ascii="Times" w:hAnsi="Times" w:cs="Times"/>
          <w:sz w:val="28"/>
          <w:sz-cs w:val="28"/>
        </w:rPr>
        <w:t xml:space="preserve">ولا يمكن إغفال التفاعل الاجتماعي بين الزوار أنفسهم بوصفه مكوّناً جوهرياً لهذا البُعد. فقد أوضحت الصالح (2022) أن العائلات تمثّل النسبة الأكبر من حضور الفعاليات الترفيهية في المملكة، ممّا يعني أن التفاعل داخل هذه الفعاليات يأخذ بُعداً أسرياً واجتماعياً يُثري التجربة ويمنحها عمقاً عاطفياً لا يتحقّق في بيئة فردية محضة.</w:t>
      </w:r>
    </w:p>
    <w:p>
      <w:pPr>
        <w:jc w:val="both"/>
        <w:spacing w:before="100" w:after="100"/>
      </w:pPr>
      <w:r>
        <w:rPr>
          <w:rFonts w:ascii="Times" w:hAnsi="Times" w:cs="Times"/>
          <w:sz w:val="28"/>
          <w:sz-cs w:val="28"/>
          <w:b/>
        </w:rPr>
        <w:t xml:space="preserve">2. بُعد الجاذبية البصرية Visual Attractiveness</w:t>
      </w:r>
    </w:p>
    <w:p>
      <w:pPr>
        <w:jc w:val="both"/>
        <w:spacing w:before="100" w:after="100"/>
      </w:pPr>
      <w:r>
        <w:rPr>
          <w:rFonts w:ascii="Times" w:hAnsi="Times" w:cs="Times"/>
          <w:sz w:val="28"/>
          <w:sz-cs w:val="28"/>
        </w:rPr>
        <w:t xml:space="preserve">يشير بُعد الجاذبية البصرية إلى مجموع العناصر المرئية التي يتعرّض لها الزائر ويتفاعل معها بصرياً من لحظة اقترابه من موقع الحدث حتى مغادرته، وتشمل الهوية البصرية للفعالية (الشعار والألوان والخطوط والأنماط)، وتصميم المساحات الداخلية والخارجية، والإضاءة بمختلف أنماطها وشدّتها، ونظام الإرشاد والتوجيه (اللافتات والعلامات والخرائط)، وطريقة عرض المحتوى والمعروضات، والتكوينات الفنية والجمالية التي تُضفي طابعاً مميّزاً على المكان. وتستمدّ الجاذبية البصرية أهميتها من كونها القناة الحسّية الأولى التي يستقبل من خلالها الزائر انطباعاته عن الحدث، فالانطباع البصري الأول يُهيّئ الإطار الذهني الذي يُفسَّر من خلاله كلّ ما يليه من تفاعلات وخبرات.</w:t>
      </w:r>
    </w:p>
    <w:p>
      <w:pPr>
        <w:jc w:val="both"/>
        <w:spacing w:before="100" w:after="100"/>
      </w:pPr>
      <w:r>
        <w:rPr>
          <w:rFonts w:ascii="Times" w:hAnsi="Times" w:cs="Times"/>
          <w:sz w:val="28"/>
          <w:sz-cs w:val="28"/>
        </w:rPr>
        <w:t xml:space="preserve">وقد تناولت المومني وقنديل وأحمد (2024) هذا البُعد من خلال تحليل عناصر التصميم الجرافيكي في متحف الأردن، حيث اعتمدوا على تحليل مكوّنات الهوية البصرية والألوان والتكوينات والعلامات الإرشادية والصور والتقنيات والخامات المستخدمة، منطلقين من إطار يرى أن هذه العناصر لا تؤدّي وظيفة تجميلية فحسب بل وظيفة اتصالية ومعرفية تتعلّق بقدرة البيئة على نقل الرسائل وبناء المعنى لدى الزائر. وتُفيد الدراسة الحالية من هذا الطرح في التأكيد على أن الجاذبية البصرية مفهوم متعدّد الطبقات يتجاوز المظهر الجمالي الخارجي إلى البنية الاتصالية للتصميم.</w:t>
      </w:r>
    </w:p>
    <w:p>
      <w:pPr>
        <w:jc w:val="both"/>
        <w:spacing w:before="100" w:after="100"/>
      </w:pPr>
      <w:r>
        <w:rPr>
          <w:rFonts w:ascii="Times" w:hAnsi="Times" w:cs="Times"/>
          <w:sz w:val="28"/>
          <w:sz-cs w:val="28"/>
        </w:rPr>
        <w:t xml:space="preserve">وفي سياق مغاير، عالجت هرموش والعبود والحزامي (2024) الجاذبية البصرية على مستوى الفعاليات الكبرى من خلال دراسة حالة معرض إكسبو 2020 دبي، حيث حلّلن الأدوات البصرية المستخدمة في التمثيل الثقافي بما يشمل الشعار والشخصيات الرمزية وتصميم الأجنحة والفعاليات المرافقة. ويقدّم هذا الطرح بُعداً جديداً للجاذبية البصرية يتّصل بقدرتها على صناعة "الصورة الذهنية" للدولة أو الجهة المنظّمة، أي أن التصميم البصري لا يخدم تجربة الزائر فحسب بل يخدم أيضاً أهداف الدبلوماسية الثقافية الناعمة.</w:t>
      </w:r>
    </w:p>
    <w:p>
      <w:pPr>
        <w:jc w:val="both"/>
        <w:spacing w:before="100" w:after="100"/>
      </w:pPr>
      <w:r>
        <w:rPr>
          <w:rFonts w:ascii="Times" w:hAnsi="Times" w:cs="Times"/>
          <w:sz w:val="28"/>
          <w:sz-cs w:val="28"/>
        </w:rPr>
        <w:t xml:space="preserve">ومن الجوانب التي لا تُستوفى مناقشة الجاذبية البصرية دون الإشارة إليها: تصميم الإضاءة الذي يمثّل عنصراً حرجاً في توجيه انتباه الزائر وخلق الأجواء المناسبة لكلّ منطقة من مناطق الحدث. وقد أشار أبو الفتوح (2023) إلى أن توظيف تقنيات الإضاءة والليزر في المهرجانات الطلابية أسهم في منح العروض طابعاً بصرياً مؤثّراً عزّز من قدرة اللوحات الفنية على إيصال رسائلها للجمهور. كما يندرج تحت هذا البُعد نظام الإرشاد والتوجيه Wayfinding الذي يُسهّل حركة الزائر ويقلّل من مشاعر الارتباك والتوتر، وهو ما أكّدت الزهراني وعطية (2024) أن الأحداث الثقافية الناجحة في المملكة اهتمّت به من خلال تصميم خريطة رحلة العميل التي توفّر سهولة الوصول والحركة.</w:t>
      </w:r>
    </w:p>
    <w:p>
      <w:pPr>
        <w:jc w:val="both"/>
        <w:spacing w:before="100" w:after="100"/>
      </w:pPr>
      <w:r>
        <w:rPr>
          <w:rFonts w:ascii="Times" w:hAnsi="Times" w:cs="Times"/>
          <w:sz w:val="28"/>
          <w:sz-cs w:val="28"/>
        </w:rPr>
        <w:t xml:space="preserve">وينبغي الإشارة إلى أن الجاذبية البصرية في عصر وسائل التواصل الاجتماعي اكتسبت بُعداً تسويقياً إضافياً، إذ أصبح الزائر يلتقط الصور ويشاركها رقمياً، ممّا يحوّل كلّ عنصر بصري جذّاب إلى محتوى تسويقي مجّاني ينتشر عبر شبكات الزائر الاجتماعية. وقد لاحظت Saoualih et al. (2024) من خلال تحليل مشاعر الزوار على منصة TripAdvisor أن الجوانب الجمالية والبصرية تحتلّ مكانة بارزة في التقييمات المنشورة، ممّا يجعل الاستثمار في التصميم البصري استثماراً في السمعة الرقمية للحدث.</w:t>
      </w:r>
    </w:p>
    <w:p>
      <w:pPr>
        <w:jc w:val="both"/>
        <w:spacing w:before="100" w:after="100"/>
      </w:pPr>
      <w:r>
        <w:rPr>
          <w:rFonts w:ascii="Times" w:hAnsi="Times" w:cs="Times"/>
          <w:sz w:val="28"/>
          <w:sz-cs w:val="28"/>
          <w:b/>
        </w:rPr>
        <w:t xml:space="preserve">3. بُعد التفاعل التكنولوجي Technological Interaction</w:t>
      </w:r>
    </w:p>
    <w:p>
      <w:pPr>
        <w:jc w:val="both"/>
        <w:spacing w:before="100" w:after="100"/>
      </w:pPr>
      <w:r>
        <w:rPr>
          <w:rFonts w:ascii="Times" w:hAnsi="Times" w:cs="Times"/>
          <w:sz w:val="28"/>
          <w:sz-cs w:val="28"/>
        </w:rPr>
        <w:t xml:space="preserve">يُعبّر بُعد التفاعل التكنولوجي عن مجمل أشكال الاستخدام والتواصل والانغماس التي تتمّ بين الزائر والأدوات والمنصات والتطبيقات التكنولوجية المدمجة في بيئة الحدث. ويتراوح طيف هذه التقنيات بين التطبيقات الذكية والشاشات التفاعلية وتقنيات الواقع المعزّز والافتراضي وأنظمة الإرشاد الإلكتروني وأدوات الذكاء الاصطناعي وإنترنت الأشياء. ولا يقتصر دور التكنولوجيا على تقديم المحتوى بطرق مبتكرة، بل يمتدّ إلى تمكين الزائر من تخصيص تجربته وفق اهتماماته، وتسهيل التنقّل داخل الحدث، وبناء قنوات تواصل تفاعلية مع المنظّمين، وإتاحة مشاركة التجربة لحظياً مع الآخرين.</w:t>
      </w:r>
    </w:p>
    <w:p>
      <w:pPr>
        <w:jc w:val="both"/>
        <w:spacing w:before="100" w:after="100"/>
      </w:pPr>
      <w:r>
        <w:rPr>
          <w:rFonts w:ascii="Times" w:hAnsi="Times" w:cs="Times"/>
          <w:sz w:val="28"/>
          <w:sz-cs w:val="28"/>
        </w:rPr>
        <w:t xml:space="preserve">وقد عالجت دراسة Wadie و El-Meniawy (2023) هذا البُعد في إطار المتحف القومي للحضارة المصرية من خلال دراسة العلاقة بين التقنيات المتحفية المستخدمة (كالشاشات التفاعلية والعروض متعددة الوسائط) وأبعاد تجربة الزائر الأربعة وفق نموذج اقتصاد التجربة. وتستفيد الدراسة الحالية من هذه المعالجة في فهم أن التكنولوجيا تؤثّر على التجربة عبر مسارات متعددة ومتباينة، وليس عبر مسار واحد متجانس.</w:t>
      </w:r>
    </w:p>
    <w:p>
      <w:pPr>
        <w:jc w:val="both"/>
        <w:spacing w:before="100" w:after="100"/>
      </w:pPr>
      <w:r>
        <w:rPr>
          <w:rFonts w:ascii="Times" w:hAnsi="Times" w:cs="Times"/>
          <w:sz w:val="28"/>
          <w:sz-cs w:val="28"/>
        </w:rPr>
        <w:t xml:space="preserve">ومن منظور أكثر تقدّماً، تناولت دراسة Cheng et al. (2024) تقنيات الواقع المعزّز Augmented Reality في المتاحف باستخدام نموذج قبول التكنولوجيا TAM ومتغيّر الانغماس بوصفه وسيطاً، حيث درسوا العلاقات بين جودة الواقع المعزّز والانغماس والفائدة المدركة وسهولة الاستخدام ونية الاستمرار. ويُفيد هذا الطرح الدراسة الحالية في إدراك أن مجرّد وجود التكنولوجيا لا يكفي، بل إن جودتها وقدرتها على تحقيق الانغماس هي المعيار الحقيقي لتأثيرها في التجربة.</w:t>
      </w:r>
    </w:p>
    <w:p>
      <w:pPr>
        <w:jc w:val="both"/>
        <w:spacing w:before="100" w:after="100"/>
      </w:pPr>
      <w:r>
        <w:rPr>
          <w:rFonts w:ascii="Times" w:hAnsi="Times" w:cs="Times"/>
          <w:sz w:val="28"/>
          <w:sz-cs w:val="28"/>
        </w:rPr>
        <w:t xml:space="preserve">وقد فتحت أزمة كوفيد-19 آفاقاً جديدة للتفاعل التكنولوجي في بيئة المعارض. فقد تناولت دراسة Resta et al. (2021) الجولات الافتراضية في المتاحف بعد فرض قيود الجائحة، منطلقة من إشكالية مدى قدرة التجربة الرقمية على استبدال التجربة المادية أو تكميلها. وقد استخدمت الدراسة مؤشرات تفاعل الزوار مع المحتوى الافتراضي بوصفها مقياساً للأثر. وتستفيد الدراسة الحالية من هذا المنظور في فهم أن التفاعل التكنولوجي يتّخذ أشكالاً متدرّجة تتراوح بين التكميل والإحلال وفقاً لطبيعة الحدث والجمهور المستهدف.</w:t>
      </w:r>
    </w:p>
    <w:p>
      <w:pPr>
        <w:jc w:val="both"/>
        <w:spacing w:before="100" w:after="100"/>
      </w:pPr>
      <w:r>
        <w:rPr>
          <w:rFonts w:ascii="Times" w:hAnsi="Times" w:cs="Times"/>
          <w:sz w:val="28"/>
          <w:sz-cs w:val="28"/>
        </w:rPr>
        <w:t xml:space="preserve">ومن الجوانب المعاصرة لهذا البُعد ما أشار إليه قندوز (2024) بشأن توظيف الذكاء الاصطناعي في تخصيص التجربة، حيث تتيح خوارزميات التعلّم الآلي وتحليل البيانات الضخمة إمكانية تقديم محتوى وخدمات مصمّمة خصّيصاً لكلّ زائر بناءً على تفضيلاته وسلوكه، ممّا يُحدث نقلة نوعية من التجربة النمطية الموحّدة إلى التجربة المخصّصة التي تُشعر كلّ زائر بأنه محور اهتمام الحدث. كما أسهمت دراسة Kamariotou et al. (2021) في إثراء هذا البُعد من خلال التأكيد على ضرورة أن يُبنى التخطيط الاستراتيجي للمعارض الافتراضية على مقاربة متعددة التخصصات تجمع بين تصميم تجربة المستخدم والقدرات التكنولوجية والأهداف المؤسسية، وليس على اعتبارات تقنية محضة.</w:t>
      </w:r>
    </w:p>
    <w:p>
      <w:pPr>
        <w:jc w:val="both"/>
        <w:spacing w:before="100" w:after="100"/>
      </w:pPr>
      <w:r>
        <w:rPr>
          <w:rFonts w:ascii="Times" w:hAnsi="Times" w:cs="Times"/>
          <w:sz w:val="28"/>
          <w:sz-cs w:val="28"/>
          <w:b/>
        </w:rPr>
        <w:t xml:space="preserve">4. بُعد جودة الخدمات Service Quality</w:t>
      </w:r>
    </w:p>
    <w:p>
      <w:pPr>
        <w:jc w:val="both"/>
        <w:spacing w:before="100" w:after="100"/>
      </w:pPr>
      <w:r>
        <w:rPr>
          <w:rFonts w:ascii="Times" w:hAnsi="Times" w:cs="Times"/>
          <w:sz w:val="28"/>
          <w:sz-cs w:val="28"/>
        </w:rPr>
        <w:t xml:space="preserve">يشير بُعد جودة الخدمات إلى المستوى الشامل للتميّز في كلّ الخدمات المادية وغير المادية المقدّمة للزائر عبر مراحل الزيارة الثلاث، وتشمل خدمات ما قبل الزيارة (كسهولة الحجز والحصول على المعلومات والوصول إلى الموقع)، وخدمات أثناء الزيارة (كالاستقبال والتوجيه والمرافق العامة من دورات المياه ومناطق الاستراحة والمطاعم)، وخدمات ما بعد الزيارة (كالمتاجر والهدايا التذكارية وقنوات التغذية الراجعة). كما يتضمّن هذا البُعد عناصر غير ملموسة كلطف الموظفين وسرعة استجابتهم وقدرتهم على التعامل مع الاستفسارات والشكاوى بمهنية ومرونة.</w:t>
      </w:r>
    </w:p>
    <w:p>
      <w:pPr>
        <w:jc w:val="both"/>
        <w:spacing w:before="100" w:after="100"/>
      </w:pPr>
      <w:r>
        <w:rPr>
          <w:rFonts w:ascii="Times" w:hAnsi="Times" w:cs="Times"/>
          <w:sz w:val="28"/>
          <w:sz-cs w:val="28"/>
        </w:rPr>
        <w:t xml:space="preserve">وقد تناولت دراسة عبدالخالق وآخرون (2023ب) العلاقة بين تجربة العميل وسلوك ما بعد الشراء في قطاع الطيران المصري، مستخدمةً أبعاد التجربة الحسّية والعاطفية والإدراكية والسلوكية والاجتماعية لقياس أثرها على الرضا والتوصية ونية إعادة الشراء. ورغم اختلاف السياق التطبيقي عن الفعاليات والمعارض، فإن المبدأ المنهجي المستفاد هو أن جودة الخدمات لا تُقاس بمعيار واحد بل بمجموعة مؤشرات متكاملة تعكس مختلف جوانب التفاعل الخدمي.</w:t>
      </w:r>
    </w:p>
    <w:p>
      <w:pPr>
        <w:jc w:val="both"/>
        <w:spacing w:before="100" w:after="100"/>
      </w:pPr>
      <w:r>
        <w:rPr>
          <w:rFonts w:ascii="Times" w:hAnsi="Times" w:cs="Times"/>
          <w:sz w:val="28"/>
          <w:sz-cs w:val="28"/>
        </w:rPr>
        <w:t xml:space="preserve">ومن زاوية تطبيقية خاصة بالمملكة العربية السعودية، عالجت دراسة الحازمي وباعشن وراجخان (2025) جودة الخدمات ضمن تجربة المعتمرين، حيث قسّمتها إلى ثلاثة محاور: البيئة المادية (النقل والفنادق والمرافق)، والتفاعل مع الموظفين، والخدمات التكميلية. ويُفيد هذا التقسيم الدراسة الحالية في إدراك أن جودة الخدمات في الفعاليات والمعارض تتضمّن طبقات متعددة يمكن أن تتأثّر بعوامل مختلفة، وأن التحسين الشامل يتطلّب معالجة كلّ طبقة على حدة دون الافتراض بأن تحسين إحداها يُحسّن الأخرى تلقائياً.</w:t>
      </w:r>
    </w:p>
    <w:p>
      <w:pPr>
        <w:jc w:val="both"/>
        <w:spacing w:before="100" w:after="100"/>
      </w:pPr>
      <w:r>
        <w:rPr>
          <w:rFonts w:ascii="Times" w:hAnsi="Times" w:cs="Times"/>
          <w:sz w:val="28"/>
          <w:sz-cs w:val="28"/>
        </w:rPr>
        <w:t xml:space="preserve">وتجدر الإشارة إلى أن جودة الخدمات في بيئة الفعاليات الكبرى تواجه تحدّيات خاصة ترتبط بالكثافة العددية للزوار والضغط الزمني على البنية التحتية. وقد تناولت معاد (2023) هذا التحدّي في سياق تنظيم قطر لكأس العالم 2022، حيث استلزم الحدث بنية تحتية خدمية ضخمة تتكامل فيها خدمات النقل والإيواء والمرافق والأمن ضمن منظومة واحدة. ويُفيد هذا المنظور في فهم أن جودة الخدمات في الفعاليات الكبرى لا تقبل المعالجة الجزئية، بل تتطلّب تخطيطاً منظومياً يأخذ في الاعتبار الترابط بين جميع عناصر سلسلة الخدمة.</w:t>
      </w:r>
    </w:p>
    <w:p>
      <w:pPr>
        <w:jc w:val="both"/>
        <w:spacing w:before="100" w:after="100"/>
      </w:pPr>
      <w:r>
        <w:rPr>
          <w:rFonts w:ascii="Times" w:hAnsi="Times" w:cs="Times"/>
          <w:sz w:val="28"/>
          <w:sz-cs w:val="28"/>
        </w:rPr>
        <w:t xml:space="preserve">كذلك أشارت الزهراني وعطية (2024) إلى أن من أبرز جوانب القصور في بعض الأحداث الثقافية السعودية ضعف الخدمات المحيطة بصالات العرض وضعف الربط في وسائل النقل للأحداث ذات المواقع المتعددة، وأوصتا بأن يتولّى تصميم الخدمة متخصّصون محترفون لتفادي الأخطاء التي تبدو بسيطة لكنها تؤثّر على مسار رحلة الزائر الكلية. ويؤكد هذا الطرح أن جودة الخدمات ليست مجرد بُعد مساند بل هي الأساس الذي تُبنى عليه بقية أبعاد التجربة.</w:t>
      </w:r>
    </w:p>
    <w:p>
      <w:pPr>
        <w:jc w:val="both"/>
        <w:spacing w:before="100" w:after="100"/>
      </w:pPr>
      <w:r>
        <w:rPr>
          <w:rFonts w:ascii="Times" w:hAnsi="Times" w:cs="Times"/>
          <w:sz w:val="32"/>
          <w:sz-cs w:val="32"/>
          <w:b/>
        </w:rPr>
        <w:t xml:space="preserve">6.1.2 استراتيجيات تعزيز تجربة الزائر</w:t>
      </w:r>
    </w:p>
    <w:p>
      <w:pPr>
        <w:jc w:val="both"/>
        <w:spacing w:before="100" w:after="100"/>
      </w:pPr>
      <w:r>
        <w:rPr>
          <w:rFonts w:ascii="Times" w:hAnsi="Times" w:cs="Times"/>
          <w:sz w:val="28"/>
          <w:sz-cs w:val="28"/>
        </w:rPr>
        <w:t xml:space="preserve">تتعدّد الاستراتيجيات التي يمكن للجهات المنظّمة للفعاليات والمعارض تبنّيها لتعزيز تجربة الزائر وتحسين مستواها، وتتمايز هذه الاستراتيجيات بحسب البُعد المستهدف من أبعاد التجربة ومرحلة الزيارة التي تُطبّق خلالها. ويمكن استخلاص أبرز هذه الاستراتيجيات من الأدبيات المستعرضة على النحو التالي.</w:t>
      </w:r>
    </w:p>
    <w:p>
      <w:pPr>
        <w:jc w:val="both"/>
        <w:spacing w:before="100" w:after="100"/>
      </w:pPr>
      <w:r>
        <w:rPr>
          <w:rFonts w:ascii="Times" w:hAnsi="Times" w:cs="Times"/>
          <w:sz w:val="28"/>
          <w:sz-cs w:val="28"/>
        </w:rPr>
        <w:t xml:space="preserve">تتمثّل الاستراتيجية الأولى في تبنّي مقاربة "تصميم رحلة الزائر" التي تُعيد تنظيم جميع عناصر الحدث حول المسار الذي يسلكه الزائر من لحظة وعيه بالحدث إلى ما بعد مغادرته. وقد أكّدت الزهراني وعطية (2024) أن الأحداث الثقافية الناجحة في المملكة هي التي تصمّم خريطة رحلة عميل متكاملة تضمن سلاسة الانتقال بين المراحل وتراعي احتياجات الفئات المختلفة. وتقتضي هذه الاستراتيجية رسم خريطة تفصيلية لكلّ نقطة اتصال بين الزائر والحدث وتحديد الفجوات المحتملة في كلّ نقطة والعمل على معالجتها بشكل استباقي.</w:t>
      </w:r>
    </w:p>
    <w:p>
      <w:pPr>
        <w:jc w:val="both"/>
        <w:spacing w:before="100" w:after="100"/>
      </w:pPr>
      <w:r>
        <w:rPr>
          <w:rFonts w:ascii="Times" w:hAnsi="Times" w:cs="Times"/>
          <w:sz w:val="28"/>
          <w:sz-cs w:val="28"/>
        </w:rPr>
        <w:t xml:space="preserve">وتتصل الاستراتيجية الثانية بالتخصيص Personalization الذي يهدف إلى تقديم تجربة مصمّمة وفق الخصائص الفردية لكلّ زائر أو لكلّ شريحة من شرائح الجمهور. وقد تناول قندوز (2024) هذه الاستراتيجية من منظور تسويقي حين عالج تخصيص تجربة العميل المعزّز بالذكاء الاصطناعي، مبيّناً أن الأتمتة والروبوتات وتحليل البيانات تُوفّر أدوات ذات كفاءة عالية لتحقيق هذا التخصيص على نطاق واسع.</w:t>
      </w:r>
    </w:p>
    <w:p>
      <w:pPr>
        <w:jc w:val="both"/>
        <w:spacing w:before="100" w:after="100"/>
      </w:pPr>
      <w:r>
        <w:rPr>
          <w:rFonts w:ascii="Times" w:hAnsi="Times" w:cs="Times"/>
          <w:sz w:val="28"/>
          <w:sz-cs w:val="28"/>
        </w:rPr>
        <w:t xml:space="preserve">أمّا الاستراتيجية الثالثة فتتعلّق بالتكامل بين التجربة المادية والرقمية، وهو ما يُعرف بالتجربة الهجينة Hybrid Experience. وقد عالجت Resta et al. (2021) هذا التوجّه في سياق الجولات الافتراضية المتحفية، حيث أكّدت أن التجربة الرقمية تعمل بوصفها أداة مكمّلة للتجربة المادية وليست بديلاً عنها، وأن الجمع الذكي بين القناتين يُوسّع قاعدة الجمهور ويُثري عمق التجربة.</w:t>
      </w:r>
    </w:p>
    <w:p>
      <w:pPr>
        <w:jc w:val="both"/>
        <w:spacing w:before="100" w:after="100"/>
      </w:pPr>
      <w:r>
        <w:rPr>
          <w:rFonts w:ascii="Times" w:hAnsi="Times" w:cs="Times"/>
          <w:sz w:val="28"/>
          <w:sz-cs w:val="28"/>
        </w:rPr>
        <w:t xml:space="preserve">وترتبط الاستراتيجية الرابعة ببناء منظومة تغذية راجعة مستمرة تتيح رصد مشاعر الزوار وتقييماتهم في الوقت الفعلي واتخاذ إجراءات تصحيحية فورية. وقد استخدمت Saoualih et al. (2024) تقنيات تحليل المشاعر المعتمدة على الذكاء الاصطناعي لرصد تجارب الزوار من خلال المراجعات المنشورة على المنصات الرقمية، مقدّمين نموذجاً لكيفية تحويل البيانات غير المهيكلة إلى مؤشرات تشخيصية قابلة للاستخدام الإداري. وهذا يفتح أفقاً لاستراتيجيات رصد ذكية يمكن توظيفها أثناء الحدث لا بعد انتهائه فحسب.</w:t>
      </w:r>
    </w:p>
    <w:p>
      <w:pPr>
        <w:jc w:val="both"/>
        <w:spacing w:before="100" w:after="100"/>
      </w:pPr>
      <w:r>
        <w:rPr>
          <w:rFonts w:ascii="Times" w:hAnsi="Times" w:cs="Times"/>
          <w:sz w:val="28"/>
          <w:sz-cs w:val="28"/>
        </w:rPr>
        <w:t xml:space="preserve">وتتمثّل الاستراتيجية الخامسة في بناء شراكات متعددة التخصصات تجمع بين خبراء تصميم التجربة ومتخصّصي التكنولوجيا ومديري العمليات والمسوّقين ضمن فريق تكاملي واحد. وقد أكّدت Kamariotou et al. (2021) أن التخطيط للمعارض في العصر الرقمي يستلزم مقاربة متعددة التخصصات تدمج فهم احتياجات الزائر مع القدرات التكنولوجية والأهداف المؤسسية، وأن غياب هذا التكامل يؤدّي إلى تجارب مفكّكة لا تحقّق أثرها الكامل.</w:t>
      </w:r>
    </w:p>
    <w:p>
      <w:pPr>
        <w:jc w:val="both"/>
        <w:spacing w:before="100" w:after="100"/>
      </w:pPr>
      <w:r>
        <w:rPr>
          <w:rFonts w:ascii="Times" w:hAnsi="Times" w:cs="Times"/>
          <w:sz w:val="28"/>
          <w:sz-cs w:val="28"/>
        </w:rPr>
        <w:t xml:space="preserve">أخيراً، تبرز استراتيجية التعلّم من التجارب المقارنة والمرجعية Benchmarking، وهو ما تتيحه دراسة الفعاليات الكبرى الناجحة إقليمياً ودولياً. فقد قدّمت هرموش والعبود والحزامي (2024) تحليلاً لمعرض إكسبو 2020 دبي بوصفه حالة مرجعية يمكن أن تستفيد منها الجهات المنظّمة في المملكة العربية السعودية، حيث خلصت إلى مجموعة من الدروس المتعلّقة بالتمثيل الثقافي والإدارة الإعلامية والاستعداد لإدارة الأزمات. كما تُوفّر التجربة القطرية في تنظيم كأس العالم 2022 التي عالجتها معاد (2023) نموذجاً للربط بين التميّز التنظيمي الآني وخطط الاستدامة المستقبلية.</w:t>
      </w:r>
    </w:p>
    <w:p>
      <w:pPr>
        <w:jc w:val="both"/>
        <w:spacing w:before="100" w:after="100"/>
      </w:pPr>
      <w:r>
        <w:rPr>
          <w:rFonts w:ascii="Times" w:hAnsi="Times" w:cs="Times"/>
          <w:sz w:val="28"/>
          <w:sz-cs w:val="28"/>
        </w:rPr>
        <w:t xml:space="preserve"/>
      </w:r>
    </w:p>
    <w:p>
      <w:pPr>
        <w:jc w:val="center"/>
      </w:pPr>
      <w:r>
        <w:rPr>
          <w:rFonts w:ascii="Times" w:hAnsi="Times" w:cs="Times"/>
          <w:sz w:val="36"/>
          <w:sz-cs w:val="36"/>
          <w:b/>
        </w:rPr>
        <w:t xml:space="preserve"/>
        <w:br w:type="page"/>
        <w:t xml:space="preserve">المبحث الثاني: نجاح الفعاليات والمعارض</w:t>
      </w:r>
    </w:p>
    <w:p>
      <w:pPr>
        <w:jc w:val="both"/>
        <w:spacing w:before="100" w:after="100"/>
      </w:pPr>
      <w:r>
        <w:rPr>
          <w:rFonts w:ascii="Times" w:hAnsi="Times" w:cs="Times"/>
          <w:sz w:val="32"/>
          <w:sz-cs w:val="32"/>
          <w:b/>
        </w:rPr>
        <w:t xml:space="preserve">1.2.2 تمهيد</w:t>
      </w:r>
    </w:p>
    <w:p>
      <w:pPr>
        <w:jc w:val="both"/>
        <w:spacing w:before="100" w:after="100"/>
      </w:pPr>
      <w:r>
        <w:rPr>
          <w:rFonts w:ascii="Times" w:hAnsi="Times" w:cs="Times"/>
          <w:sz w:val="28"/>
          <w:sz-cs w:val="28"/>
        </w:rPr>
        <w:t xml:space="preserve">يمثّل قطاع الفعاليات والمعارض أحد أكثر القطاعات ديناميكية في الاقتصادات المعاصرة، إذ يقع عند نقطة تقاطع بين صناعات السياحة والثقافة والترفيه والتسويق والعلاقات العامة، ويستمدّ قيمته من قدرته على جمع أعداد كبيرة من الأفراد في مكان وزمان محدّدين حول محتوى أو موضوع مشترك. وقد اكتسب هذا القطاع أهمية استراتيجية متصاعدة في المملكة العربية السعودية خلال السنوات الأخيرة، حيث أصبح أداة رئيسة لتحقيق مستهدفات رؤية 2030 في مجالات تنويع مصادر الدخل وتحسين جودة الحياة وتعزيز الحضور الدولي للمملكة. غير أن التوسّع الكمّي في عدد الفعاليات والمعارض يستوجب بالضرورة إرساء معايير واضحة ومتعددة الأبعاد للحكم على نجاحها، تتجاوز المؤشرات العددية التقليدية إلى مؤشرات نوعية تعكس عمق الأثر وجودة المخرجات. ويتناول هذا المبحث مفهوم نجاح الفعاليات والمعارض، وأهميته، وأهدافه، وأبعاده ومؤشراته، والاستراتيجيات الكفيلة بتحقيقه، مع إبراز خصوصية السياق السعودي.</w:t>
      </w:r>
    </w:p>
    <w:p>
      <w:pPr>
        <w:jc w:val="both"/>
        <w:spacing w:before="100" w:after="100"/>
      </w:pPr>
      <w:r>
        <w:rPr>
          <w:rFonts w:ascii="Times" w:hAnsi="Times" w:cs="Times"/>
          <w:sz w:val="32"/>
          <w:sz-cs w:val="32"/>
          <w:b/>
        </w:rPr>
        <w:t xml:space="preserve">2.2.2 مفهوم نجاح الفعاليات والمعارض</w:t>
      </w:r>
    </w:p>
    <w:p>
      <w:pPr>
        <w:jc w:val="both"/>
        <w:spacing w:before="100" w:after="100"/>
      </w:pPr>
      <w:r>
        <w:rPr>
          <w:rFonts w:ascii="Times" w:hAnsi="Times" w:cs="Times"/>
          <w:sz w:val="28"/>
          <w:sz-cs w:val="28"/>
        </w:rPr>
        <w:t xml:space="preserve">تباينت تعريفات الباحثين لمفهوم نجاح الفعاليات والمعارض تبعاً للحقل المعرفي الذي ينتمون إليه ولزاوية المعالجة التي يتبنّونها، غير أن ثمة خيطاً مشتركاً يربط بين هذه التعريفات يتمثّل في فكرة تحقيق الأهداف المرسومة وإرضاء أصحاب المصلحة المتعددين. فقد عالجت هرموش والعبود والحزامي (2024) نجاح الفعاليات الكبرى من منظور الدبلوماسية الثقافية والإعلامية، حيث يتحدّد النجاح بمدى قدرة الحدث على تحقيق أهدافه في بناء الصورة الذهنية للدولة المستضيفة وتعزيز حضورها الدولي، إلى جانب إدارة التغطية الإعلامية بما يضمن تغليب الإشادة على الانتقاد، وهو تعريف يُوسّع مفهوم النجاح ليتجاوز حدود الحدث ذاته إلى تأثيراته في السمعة الوطنية.</w:t>
      </w:r>
    </w:p>
    <w:p>
      <w:pPr>
        <w:jc w:val="both"/>
        <w:spacing w:before="100" w:after="100"/>
      </w:pPr>
      <w:r>
        <w:rPr>
          <w:rFonts w:ascii="Times" w:hAnsi="Times" w:cs="Times"/>
          <w:sz w:val="28"/>
          <w:sz-cs w:val="28"/>
        </w:rPr>
        <w:t xml:space="preserve">وقد تناول أيوب (2023) المفهوم من زاوية الأحداث الرياضية الكبرى في المملكة العربية السعودية، حيث يتحدّد نجاح التجربة الرياضية بمدى إسهامها في تحويل المملكة إلى مركز دولي للأعمال ومزار سياحي عالمي وتنويع الاقتصاد، أي أن النجاح لا يُقاس بجودة الحدث الرياضي بمعزل عن سياقه، بل بمدى خدمته للأهداف الاستراتيجية الأوسع التي أُقيم من أجلها. أمّا معاد (2023) فقد عالجت المفهوم في سياق تنظيم قطر لكأس العالم 2022 من منظور يجمع بين التميّز التنظيمي الآني والاستدامة المستقبلية، حيث يتحدّد النجاح ليس فقط بسلاسة التنظيم أثناء الحدث بل بقدرة الإرث المادي والمعنوي الذي يتركه على خدمة المجتمع والاقتصاد بعد انتهائه.</w:t>
      </w:r>
    </w:p>
    <w:p>
      <w:pPr>
        <w:jc w:val="both"/>
        <w:spacing w:before="100" w:after="100"/>
      </w:pPr>
      <w:r>
        <w:rPr>
          <w:rFonts w:ascii="Times" w:hAnsi="Times" w:cs="Times"/>
          <w:sz w:val="28"/>
          <w:sz-cs w:val="28"/>
        </w:rPr>
        <w:t xml:space="preserve">ومن منظور أكاديمي مختلف، عالجت King et al. (2024) نجاح المعارض المتحفية من خلال تقييم كمّي لأثر المعرض وتجربة الزائر باستخدام منهجيات تجربة المستخدم UX، حيث يتحدّد النجاح بمدى تحقيق المعرض لأثره التعليمي والثقافي والترفيهي المرجوّ، مقاساً بمؤشرات سلوكية ونفسية دقيقة تتعلّق بمستوى الانتباه والتفاعل والاستيعاب والرضا. وقد عالجت Gunadi و Erfinda (2023) المفهوم في سياق الأحداث الفنية ما بعد الجائحة، من خلال التركيز على جودة تجربة الزائر بوصفها المحدّد الأساسي لنجاح الحدث في ظروف استثنائية تفرض قيوداً على التفاعل والحضور.</w:t>
      </w:r>
    </w:p>
    <w:p>
      <w:pPr>
        <w:jc w:val="both"/>
        <w:spacing w:before="100" w:after="100"/>
      </w:pPr>
      <w:r>
        <w:rPr>
          <w:rFonts w:ascii="Times" w:hAnsi="Times" w:cs="Times"/>
          <w:sz w:val="28"/>
          <w:sz-cs w:val="28"/>
        </w:rPr>
        <w:t xml:space="preserve">أمّا على صعيد المعارض السياحية، فقد عرّف السيد وعيد وعباس (2024) النجاح بأنه قدرة المعرض على تحقيق أهدافه الترويجية في تنشيط حركة السياحة الوافدة وتقديم المقوّمات السياحية بصورة مشوّقة ومقنعة للجمهور المستهدف، مع استثمار الموارد المتاحة (كالسفارات والمنصات الرقمية) بأقصى كفاءة ممكنة.</w:t>
      </w:r>
    </w:p>
    <w:p>
      <w:pPr>
        <w:jc w:val="both"/>
        <w:spacing w:before="100" w:after="100"/>
      </w:pPr>
      <w:r>
        <w:rPr>
          <w:rFonts w:ascii="Times" w:hAnsi="Times" w:cs="Times"/>
          <w:sz w:val="28"/>
          <w:sz-cs w:val="28"/>
        </w:rPr>
        <w:t xml:space="preserve">رأي الباحث: بناءً على استعراض التعريفات السابقة، يتبنّى الباحث تعريفاً إجرائياً لنجاح الفعاليات والمعارض بوصفه: الدرجة التي يحقّق عندها الحدث أو المعرض أهدافه المخطّط لها على مستويات متعددة تشمل رضا الزوار وتفاعلهم، والأثر الاقتصادي المباشر وغير المباشر، والسمعة الإعلامية والصورة الذهنية، وقدرة الحدث على توليد سلوكيات إيجابية لاحقة (كالعودة والتوصية)، فضلاً عن الإرث المستدام الذي يتركه بعد انتهائه. ويتميّز هذا التعريف بشموليته واستيعابه لتعدّد أصحاب المصلحة ولامتداد النجاح زمنياً إلى ما بعد الحدث.</w:t>
      </w:r>
    </w:p>
    <w:p>
      <w:pPr>
        <w:jc w:val="both"/>
        <w:spacing w:before="100" w:after="100"/>
      </w:pPr>
      <w:r>
        <w:rPr>
          <w:rFonts w:ascii="Times" w:hAnsi="Times" w:cs="Times"/>
          <w:sz w:val="32"/>
          <w:sz-cs w:val="32"/>
          <w:b/>
        </w:rPr>
        <w:t xml:space="preserve">3.2.2 أهمية نجاح الفعاليات والمعارض</w:t>
      </w:r>
    </w:p>
    <w:p>
      <w:pPr>
        <w:jc w:val="both"/>
        <w:spacing w:before="100" w:after="100"/>
      </w:pPr>
      <w:r>
        <w:rPr>
          <w:rFonts w:ascii="Times" w:hAnsi="Times" w:cs="Times"/>
          <w:sz w:val="28"/>
          <w:sz-cs w:val="28"/>
        </w:rPr>
        <w:t xml:space="preserve">تنبثق أهمية دراسة نجاح الفعاليات والمعارض من تعدّد المستويات التي يؤثّر فيها هذا النجاح، بدءاً من المستوى الفردي للزائر ومروراً بالمستوى المؤسسي للجهة المنظّمة ووصولاً إلى المستوى الوطني والاستراتيجي. وفي بيئة تشهد نمواً متسارعاً في عدد الفعاليات وتنافساً حادّاً على استقطاب الجمهور والرعاة والتغطية الإعلامية، يصبح فهم مقوّمات النجاح وآليات قياسه مطلباً إدارياً وأكاديمياً لا غنى عنه.</w:t>
      </w:r>
    </w:p>
    <w:p>
      <w:pPr>
        <w:jc w:val="both"/>
        <w:spacing w:before="100" w:after="100"/>
      </w:pPr>
      <w:r>
        <w:rPr>
          <w:rFonts w:ascii="Times" w:hAnsi="Times" w:cs="Times"/>
          <w:sz w:val="28"/>
          <w:sz-cs w:val="28"/>
        </w:rPr>
        <w:t xml:space="preserve">يشير أيوب (2023) إلى أن أهمية نجاح الفعاليات والأحداث الرياضية الكبرى في المملكة العربية السعودية تتجلّى في ثلاثة مستويات: </w:t>
      </w:r>
    </w:p>
    <w:p>
      <w:pPr>
        <w:jc w:val="both"/>
        <w:ind w:left="720" w:first-line="-720"/>
        <w:spacing w:before="100" w:after="100"/>
      </w:pPr>
      <w:r>
        <w:rPr>
          <w:rFonts w:ascii="Times" w:hAnsi="Times" w:cs="Times"/>
          <w:sz w:val="28"/>
          <w:sz-cs w:val="28"/>
        </w:rPr>
        <w:t xml:space="preserve"/>
        <w:tab/>
        <w:t xml:space="preserve">•</w:t>
        <w:tab/>
        <w:t xml:space="preserve">المستوى الاقتصادي، حيث يُسهم النجاح في تنويع مصادر الدخل الوطني وتقليل الاعتماد على النفط من خلال تحريك عجلة الإنفاق السياحي والخدمي المصاحب للحدث. </w:t>
      </w:r>
    </w:p>
    <w:p>
      <w:pPr>
        <w:jc w:val="both"/>
        <w:ind w:left="720" w:first-line="-720"/>
        <w:spacing w:before="100" w:after="100"/>
      </w:pPr>
      <w:r>
        <w:rPr>
          <w:rFonts w:ascii="Times" w:hAnsi="Times" w:cs="Times"/>
          <w:sz w:val="28"/>
          <w:sz-cs w:val="28"/>
        </w:rPr>
        <w:t xml:space="preserve"/>
        <w:tab/>
        <w:t xml:space="preserve">•</w:t>
        <w:tab/>
        <w:t xml:space="preserve">المستوى الجيوسياسي، إذ يعمل النجاح بوصفه أداة لتحسين صورة المملكة في العالم والردّ على التحفّظات الدولية من خلال تقديم نموذج حيّ للانفتاح والتحديث. </w:t>
      </w:r>
    </w:p>
    <w:p>
      <w:pPr>
        <w:jc w:val="both"/>
        <w:ind w:left="720" w:first-line="-720"/>
        <w:spacing w:before="100" w:after="100"/>
      </w:pPr>
      <w:r>
        <w:rPr>
          <w:rFonts w:ascii="Times" w:hAnsi="Times" w:cs="Times"/>
          <w:sz w:val="28"/>
          <w:sz-cs w:val="28"/>
        </w:rPr>
        <w:t xml:space="preserve"/>
        <w:tab/>
        <w:t xml:space="preserve">•</w:t>
        <w:tab/>
        <w:t xml:space="preserve">المستوى المجتمعي، حيث يُسهم في تحويل الرياضة والترفيه من هامش الحياة اليومية إلى مكوّن أساسي في جودة حياة المواطن، وهو ما لا يقتصر أثره على المملكة وحدها بل يمتدّ إلى المنطقة العربية بأسرها.</w:t>
      </w:r>
    </w:p>
    <w:p>
      <w:pPr>
        <w:jc w:val="both"/>
        <w:spacing w:before="100" w:after="100"/>
      </w:pPr>
      <w:r>
        <w:rPr>
          <w:rFonts w:ascii="Times" w:hAnsi="Times" w:cs="Times"/>
          <w:sz w:val="28"/>
          <w:sz-cs w:val="28"/>
        </w:rPr>
        <w:t xml:space="preserve">وتضيف الصالح (2022) بُعداً مكانياً وتنموياً حين تُبرز أن أهمية نجاح الفعاليات تتجاوز حدود الحدث ذاته لتشمل: </w:t>
      </w:r>
    </w:p>
    <w:p>
      <w:pPr>
        <w:jc w:val="both"/>
        <w:ind w:left="720" w:first-line="-720"/>
        <w:spacing w:before="100" w:after="100"/>
      </w:pPr>
      <w:r>
        <w:rPr>
          <w:rFonts w:ascii="Times" w:hAnsi="Times" w:cs="Times"/>
          <w:sz w:val="28"/>
          <w:sz-cs w:val="28"/>
        </w:rPr>
        <w:t xml:space="preserve"/>
        <w:tab/>
        <w:t xml:space="preserve">•</w:t>
        <w:tab/>
        <w:t xml:space="preserve">تحريك الاقتصاد المحلّي في المناطق المستضيفة من خلال الإنفاق المباشر وغير المباشر للزوار. </w:t>
      </w:r>
    </w:p>
    <w:p>
      <w:pPr>
        <w:jc w:val="both"/>
        <w:ind w:left="720" w:first-line="-720"/>
        <w:spacing w:before="100" w:after="100"/>
      </w:pPr>
      <w:r>
        <w:rPr>
          <w:rFonts w:ascii="Times" w:hAnsi="Times" w:cs="Times"/>
          <w:sz w:val="28"/>
          <w:sz-cs w:val="28"/>
        </w:rPr>
        <w:t xml:space="preserve"/>
        <w:tab/>
        <w:t xml:space="preserve">•</w:t>
        <w:tab/>
        <w:t xml:space="preserve">تقليص الفجوة التنموية بين المناطق الإدارية في المملكة عبر توزيع الفعاليات جغرافياً بما يُحقّق عدالة في توزيع العوائد السياحية. </w:t>
      </w:r>
    </w:p>
    <w:p>
      <w:pPr>
        <w:jc w:val="both"/>
        <w:ind w:left="720" w:first-line="-720"/>
        <w:spacing w:before="100" w:after="100"/>
      </w:pPr>
      <w:r>
        <w:rPr>
          <w:rFonts w:ascii="Times" w:hAnsi="Times" w:cs="Times"/>
          <w:sz w:val="28"/>
          <w:sz-cs w:val="28"/>
        </w:rPr>
        <w:t xml:space="preserve"/>
        <w:tab/>
        <w:t xml:space="preserve">•</w:t>
        <w:tab/>
        <w:t xml:space="preserve">خلق فرص عمل مؤقتة ودائمة تستوعب فئات متنوّعة من القوى العاملة المحلية وتُسهم في تحقيق أهداف السعودة.</w:t>
      </w:r>
    </w:p>
    <w:p>
      <w:pPr>
        <w:jc w:val="both"/>
        <w:spacing w:before="100" w:after="100"/>
      </w:pPr>
      <w:r>
        <w:rPr>
          <w:rFonts w:ascii="Times" w:hAnsi="Times" w:cs="Times"/>
          <w:sz w:val="28"/>
          <w:sz-cs w:val="28"/>
        </w:rPr>
        <w:t xml:space="preserve">ويرى الذنون (2023) أن أهمية نجاح المهرجانات الثقافية تكمن في قدرتها على تعزيز الهوية الثقافية المحلية وجذب السياحة من خلال إحياء الموروث الشعبي والتراثي وربطه بالحاضر، فالمهرجان الناجح يُحوّل المدينة المستضيفة من مجرّد نقطة جغرافية إلى وجهة ثقافية ذات خصوصية يرتبط اسمها في ذهن الزائر بتجربة فريدة.</w:t>
      </w:r>
    </w:p>
    <w:p>
      <w:pPr>
        <w:jc w:val="both"/>
        <w:spacing w:before="100" w:after="100"/>
      </w:pPr>
      <w:r>
        <w:rPr>
          <w:rFonts w:ascii="Times" w:hAnsi="Times" w:cs="Times"/>
          <w:sz w:val="32"/>
          <w:sz-cs w:val="32"/>
          <w:b/>
        </w:rPr>
        <w:t xml:space="preserve">4.2.2 أهداف نجاح الفعاليات والمعارض</w:t>
      </w:r>
    </w:p>
    <w:p>
      <w:pPr>
        <w:jc w:val="both"/>
        <w:spacing w:before="100" w:after="100"/>
      </w:pPr>
      <w:r>
        <w:rPr>
          <w:rFonts w:ascii="Times" w:hAnsi="Times" w:cs="Times"/>
          <w:sz w:val="28"/>
          <w:sz-cs w:val="28"/>
        </w:rPr>
        <w:t xml:space="preserve">يسعى تحقيق النجاح في الفعاليات والمعارض إلى غايات متعددة المستويات تتراوح بين الأهداف التشغيلية قصيرة المدى والأهداف الاستراتيجية بعيدة المدى. وقد تناولت الأدبيات المستعرضة هذه الأهداف من زوايا متنوعة يمكن عرض أبرزها فيما يلي.</w:t>
      </w:r>
    </w:p>
    <w:p>
      <w:pPr>
        <w:jc w:val="both"/>
        <w:spacing w:before="100" w:after="100"/>
      </w:pPr>
      <w:r>
        <w:rPr>
          <w:rFonts w:ascii="Times" w:hAnsi="Times" w:cs="Times"/>
          <w:sz w:val="28"/>
          <w:sz-cs w:val="28"/>
        </w:rPr>
        <w:t xml:space="preserve">ترى هرموش والعبود والحزامي (2024) أن أهداف نجاح الفعاليات الكبرى تتمحور حول ثلاثة محاور: </w:t>
      </w:r>
    </w:p>
    <w:p>
      <w:pPr>
        <w:jc w:val="both"/>
        <w:ind w:left="720" w:first-line="-720"/>
        <w:spacing w:before="100" w:after="100"/>
      </w:pPr>
      <w:r>
        <w:rPr>
          <w:rFonts w:ascii="Times" w:hAnsi="Times" w:cs="Times"/>
          <w:sz w:val="28"/>
          <w:sz-cs w:val="28"/>
        </w:rPr>
        <w:t xml:space="preserve"/>
        <w:tab/>
        <w:t xml:space="preserve">•</w:t>
        <w:tab/>
        <w:t xml:space="preserve">بناء صورة ذهنية إيجابية ومستدامة للدولة أو الجهة المستضيفة على المستوى الدولي من خلال توظيف أدوات التمثيل الثقافي والإعلامي. </w:t>
      </w:r>
    </w:p>
    <w:p>
      <w:pPr>
        <w:jc w:val="both"/>
        <w:ind w:left="720" w:first-line="-720"/>
        <w:spacing w:before="100" w:after="100"/>
      </w:pPr>
      <w:r>
        <w:rPr>
          <w:rFonts w:ascii="Times" w:hAnsi="Times" w:cs="Times"/>
          <w:sz w:val="28"/>
          <w:sz-cs w:val="28"/>
        </w:rPr>
        <w:t xml:space="preserve"/>
        <w:tab/>
        <w:t xml:space="preserve">•</w:t>
        <w:tab/>
        <w:t xml:space="preserve">تحقيق تغطية إعلامية واسعة ومتوازنة تُبرز الجوانب الإيجابية للحدث وتُعالج التحفّظات والانتقادات بشكل بنّاء واستباقي. </w:t>
      </w:r>
    </w:p>
    <w:p>
      <w:pPr>
        <w:jc w:val="both"/>
        <w:ind w:left="720" w:first-line="-720"/>
        <w:spacing w:before="100" w:after="100"/>
      </w:pPr>
      <w:r>
        <w:rPr>
          <w:rFonts w:ascii="Times" w:hAnsi="Times" w:cs="Times"/>
          <w:sz w:val="28"/>
          <w:sz-cs w:val="28"/>
        </w:rPr>
        <w:t xml:space="preserve"/>
        <w:tab/>
        <w:t xml:space="preserve">•</w:t>
        <w:tab/>
        <w:t xml:space="preserve">استخلاص دروس مستفادة قابلة للتحويل إلى خطط استراتيجية تُحسّن من أداء الفعاليات المستقبلية.</w:t>
      </w:r>
    </w:p>
    <w:p>
      <w:pPr>
        <w:jc w:val="both"/>
        <w:spacing w:before="100" w:after="100"/>
      </w:pPr>
      <w:r>
        <w:rPr>
          <w:rFonts w:ascii="Times" w:hAnsi="Times" w:cs="Times"/>
          <w:sz w:val="28"/>
          <w:sz-cs w:val="28"/>
        </w:rPr>
        <w:t xml:space="preserve">ويُضيف السيد وعيد وعباس (2024) أهدافاً ترويجية وتسويقية حين يربطان نجاح المعارض السياحية بقدرتها على: </w:t>
      </w:r>
    </w:p>
    <w:p>
      <w:pPr>
        <w:jc w:val="both"/>
        <w:ind w:left="720" w:first-line="-720"/>
        <w:spacing w:before="100" w:after="100"/>
      </w:pPr>
      <w:r>
        <w:rPr>
          <w:rFonts w:ascii="Times" w:hAnsi="Times" w:cs="Times"/>
          <w:sz w:val="28"/>
          <w:sz-cs w:val="28"/>
        </w:rPr>
        <w:t xml:space="preserve"/>
        <w:tab/>
        <w:t xml:space="preserve">•</w:t>
        <w:tab/>
        <w:t xml:space="preserve">إيصال الرسالة الترويجية للوجهة السياحية بطريقة مشوّقة ومقنعة تُحفّز الجمهور المستهدف على الزيارة. </w:t>
      </w:r>
    </w:p>
    <w:p>
      <w:pPr>
        <w:jc w:val="both"/>
        <w:ind w:left="720" w:first-line="-720"/>
        <w:spacing w:before="100" w:after="100"/>
      </w:pPr>
      <w:r>
        <w:rPr>
          <w:rFonts w:ascii="Times" w:hAnsi="Times" w:cs="Times"/>
          <w:sz w:val="28"/>
          <w:sz-cs w:val="28"/>
        </w:rPr>
        <w:t xml:space="preserve"/>
        <w:tab/>
        <w:t xml:space="preserve">•</w:t>
        <w:tab/>
        <w:t xml:space="preserve"> بناء علاقات تواصل مستدامة مع الأسواق المصدِّرة للسياح عبر آليات غير تقليدية كالمعارض الثابتة داخل السفارات. </w:t>
      </w:r>
    </w:p>
    <w:p>
      <w:pPr>
        <w:jc w:val="both"/>
        <w:ind w:left="720" w:first-line="-720"/>
        <w:spacing w:before="100" w:after="100"/>
      </w:pPr>
      <w:r>
        <w:rPr>
          <w:rFonts w:ascii="Times" w:hAnsi="Times" w:cs="Times"/>
          <w:sz w:val="28"/>
          <w:sz-cs w:val="28"/>
        </w:rPr>
        <w:t xml:space="preserve"/>
        <w:tab/>
        <w:t xml:space="preserve">•</w:t>
        <w:tab/>
        <w:t xml:space="preserve">استثمار التكنولوجيا والمنصات الرقمية في تعزيز الحضور الترويجي بتكاليف مُثلى.</w:t>
      </w:r>
    </w:p>
    <w:p>
      <w:pPr>
        <w:jc w:val="both"/>
        <w:spacing w:before="100" w:after="100"/>
      </w:pPr>
      <w:r>
        <w:rPr>
          <w:rFonts w:ascii="Times" w:hAnsi="Times" w:cs="Times"/>
          <w:sz w:val="28"/>
          <w:sz-cs w:val="28"/>
        </w:rPr>
        <w:t xml:space="preserve">أمّا أبو الفتوح (2023) فيُبرز أهدافاً تربوية وهويّاتية للمهرجانات الطلابية تتمثّل في: </w:t>
      </w:r>
    </w:p>
    <w:p>
      <w:pPr>
        <w:jc w:val="both"/>
        <w:ind w:left="720" w:first-line="-720"/>
        <w:spacing w:before="100" w:after="100"/>
      </w:pPr>
      <w:r>
        <w:rPr>
          <w:rFonts w:ascii="Times" w:hAnsi="Times" w:cs="Times"/>
          <w:sz w:val="28"/>
          <w:sz-cs w:val="28"/>
        </w:rPr>
        <w:t xml:space="preserve"/>
        <w:tab/>
        <w:t xml:space="preserve">•</w:t>
        <w:tab/>
        <w:t xml:space="preserve">تعزيز قيم الولاء والانتماء الوطني لدى الأجيال الناشئة من خلال ربطهم بالموروث الثقافي والفنّي. </w:t>
      </w:r>
    </w:p>
    <w:p>
      <w:pPr>
        <w:jc w:val="both"/>
        <w:ind w:left="720" w:first-line="-720"/>
        <w:spacing w:before="100" w:after="100"/>
      </w:pPr>
      <w:r>
        <w:rPr>
          <w:rFonts w:ascii="Times" w:hAnsi="Times" w:cs="Times"/>
          <w:sz w:val="28"/>
          <w:sz-cs w:val="28"/>
        </w:rPr>
        <w:t xml:space="preserve"/>
        <w:tab/>
        <w:t xml:space="preserve">•</w:t>
        <w:tab/>
        <w:t xml:space="preserve">توثيق الفنون الشعبية وإعادة تقديمها بأساليب معاصرة تُحافظ على جوهرها وتُجدّد في طرائق عرضها. </w:t>
      </w:r>
    </w:p>
    <w:p>
      <w:pPr>
        <w:jc w:val="both"/>
        <w:ind w:left="720" w:first-line="-720"/>
        <w:spacing w:before="100" w:after="100"/>
      </w:pPr>
      <w:r>
        <w:rPr>
          <w:rFonts w:ascii="Times" w:hAnsi="Times" w:cs="Times"/>
          <w:sz w:val="28"/>
          <w:sz-cs w:val="28"/>
        </w:rPr>
        <w:t xml:space="preserve"/>
        <w:tab/>
        <w:t xml:space="preserve">•</w:t>
        <w:tab/>
        <w:t xml:space="preserve">بناء قدرات الشباب في مجالات التنظيم والأداء والعمل الجماعي من خلال إشراكهم الفعلي في مراحل التخطيط والتنفيذ.</w:t>
      </w:r>
    </w:p>
    <w:p>
      <w:pPr>
        <w:jc w:val="both"/>
        <w:spacing w:before="100" w:after="100"/>
      </w:pPr>
      <w:r>
        <w:rPr>
          <w:rFonts w:ascii="Times" w:hAnsi="Times" w:cs="Times"/>
          <w:sz w:val="32"/>
          <w:sz-cs w:val="32"/>
          <w:b/>
        </w:rPr>
        <w:t xml:space="preserve">5.2.2 أبعاد ومؤشرات نجاح الفعاليات والمعارض</w:t>
      </w:r>
    </w:p>
    <w:p>
      <w:pPr>
        <w:jc w:val="both"/>
        <w:spacing w:before="100" w:after="100"/>
      </w:pPr>
      <w:r>
        <w:rPr>
          <w:rFonts w:ascii="Times" w:hAnsi="Times" w:cs="Times"/>
          <w:sz w:val="28"/>
          <w:sz-cs w:val="28"/>
        </w:rPr>
        <w:t xml:space="preserve">يتّسم مفهوم نجاح الفعاليات والمعارض بطبيعته متعددة الأبعاد التي لا يمكن اختزالها في مؤشّر واحد، بل تستوجب منظومة متكاملة من المؤشرات الكمية والنوعية التي تعكس جودة الأداء على مختلف الأصعدة. وقد تمّ تحديد هذه الأبعاد بناءً على مراجعة دراسات King et al. (2024) التي قدّمت مقاربة منهجية لقياس أثر المعارض وتجربة الزائر باستخدام أدوات تجربة المستخدم، ودراسة Philippopoulos et al. (2024) التي اقترحت مقاربة شاملة لتعزيز أداء المتحف عبر دمج مؤشرات متنوعة تتجاوز الحضور العددي، ودراسة Nowacki و Kruczek (2021) التي عالجت العلاقة بين المشاركة الإبداعية والاستجابات العاطفية والرضا في بيئة المتاحف. وفيما يلي استعراض تفصيلي لأبرز هذه الأبعاد.</w:t>
      </w:r>
    </w:p>
    <w:p>
      <w:pPr/>
      <w:r>
        <w:rPr>
          <w:rFonts w:ascii="Times" w:hAnsi="Times" w:cs="Times"/>
          <w:sz w:val="28"/>
          <w:sz-cs w:val="28"/>
          <w:b/>
        </w:rPr>
        <w:t xml:space="preserve"/>
        <w:br w:type="page"/>
        <w:t xml:space="preserve">1. بُعد رضا الزوار Visitor Satisfaction</w:t>
      </w:r>
    </w:p>
    <w:p>
      <w:pPr>
        <w:jc w:val="both"/>
        <w:spacing w:before="100" w:after="100"/>
      </w:pPr>
      <w:r>
        <w:rPr>
          <w:rFonts w:ascii="Times" w:hAnsi="Times" w:cs="Times"/>
          <w:sz w:val="28"/>
          <w:sz-cs w:val="28"/>
        </w:rPr>
        <w:t xml:space="preserve">يُعدّ رضا الزوار من أكثر مؤشرات النجاح مباشرة وصدقاً، إذ يعكس تقييم المستفيد الأوّل من الحدث لتجربته الشاملة. ويتجاوز الرضا في سياق الفعاليات والمعارض المفهوم البسيط للتطابق بين التوقعات والأداء ليشمل حالة نفسية مركّبة تتأثّر بعوامل معرفية وعاطفية واجتماعية. وقد تناولت Nurulloh et al. (2025) هذا البُعد في سياق المعارض التفاعلية من خلال تحليل رضا الزوار عبر مؤشرات تتّصل بجودة المعروضات وسهولة التنقّل وطبيعة التفاعل وسلوك الموظفين، مستخدمين منهجية تقوم على قياس الفجوة بين الجودة المتوقّعة والفعلية. ويُفيد هذا الطرح الدراسة الحالية في إدراك أن رضا الزائر حُكم تقييمي مركّب يتطلّب قياسه أدوات متعدّدة الأبعاد تتجاوز السؤال المباشر "هل أنت راضٍ؟" إلى استكشاف مصادر الرضا ومستوياته عبر مراحل الزيارة المختلفة.</w:t>
      </w:r>
    </w:p>
    <w:p>
      <w:pPr>
        <w:jc w:val="both"/>
        <w:spacing w:before="100" w:after="100"/>
      </w:pPr>
      <w:r>
        <w:rPr>
          <w:rFonts w:ascii="Times" w:hAnsi="Times" w:cs="Times"/>
          <w:sz w:val="28"/>
          <w:sz-cs w:val="28"/>
        </w:rPr>
        <w:t xml:space="preserve">ومن المنظور التسويقي، تناولت دراسة يحيى وآخرون (2025) العلاقة بين تجربة العميل ونية التحوّل في قطاع الاتصالات السوداني، مؤطِّرين الرضا بوصفه متغيّراً حاسماً يتوسّط العلاقة بين جودة التجربة والسلوك اللاحق للعميل. وتستفيد الدراسة الحالية من هذا الإطار في فهم أن الرضا لا يُعدّ هدفاً نهائياً في ذاته، بل هو محطة وسيطة في سلسلة سببية أطول تمتدّ من جودة التجربة إلى الولاء أو التحوّل.</w:t>
      </w:r>
    </w:p>
    <w:p>
      <w:pPr>
        <w:jc w:val="both"/>
        <w:spacing w:before="100" w:after="100"/>
      </w:pPr>
      <w:r>
        <w:rPr>
          <w:rFonts w:ascii="Times" w:hAnsi="Times" w:cs="Times"/>
          <w:sz w:val="28"/>
          <w:sz-cs w:val="28"/>
        </w:rPr>
        <w:t xml:space="preserve">كما أن قياس الرضا في بيئة الفعاليات المعاصرة لم يعد يقتصر على الأدوات التقليدية كالاستبيانات، بل امتدّ ليشمل أدوات رقمية متقدّمة. فقد استخدمت Saoualih et al. (2024) تقنية تحليل المشاعر المعتمدة على خوارزمية VADER وخوارزمية توزيع ديريكليه الكامن LDA لتحليل مراجعات الزوار على منصة TripAdvisor، ممّا أتاح رصد مستوى الرضا والمشاعر المرتبطة بالتجربة على نطاق واسع دون الحاجة إلى جمع بيانات أولية من كلّ زائر على حدة. ويفتح هذا التوجّه المنهجي آفاقاً جديدة لقياس الرضا في الفعاليات والمعارض السعودية التي تستقطب أعداداً ضخمة من الزوار يصعب مسحهم بالطرق التقليدية.</w:t>
      </w:r>
    </w:p>
    <w:p>
      <w:pPr/>
      <w:r>
        <w:rPr>
          <w:rFonts w:ascii="Times" w:hAnsi="Times" w:cs="Times"/>
          <w:sz w:val="28"/>
          <w:sz-cs w:val="28"/>
          <w:b/>
        </w:rPr>
        <w:t xml:space="preserve"/>
        <w:br w:type="page"/>
        <w:t xml:space="preserve">2. بُعد التفاعل والمشاركة Engagement and Participation</w:t>
      </w:r>
    </w:p>
    <w:p>
      <w:pPr>
        <w:jc w:val="both"/>
        <w:spacing w:before="100" w:after="100"/>
      </w:pPr>
      <w:r>
        <w:rPr>
          <w:rFonts w:ascii="Times" w:hAnsi="Times" w:cs="Times"/>
          <w:sz w:val="28"/>
          <w:sz-cs w:val="28"/>
        </w:rPr>
        <w:t xml:space="preserve">يُقاس نجاح الفعالية أو المعرض أيضاً بمدى تفاعل الزوار ومشاركتهم الفعّالة في الأنشطة والبرامج المقدّمة، إذ يعكس هذا البُعد عمق الارتباط بين الزائر والحدث ويتجاوز مجرّد الحضور الجسدي إلى الحضور الذهني والوجداني. ويتضمّن هذا البُعد مؤشرات متعدّدة تشمل الوقت الذي يقضيه الزائر في مناطق الحدث المختلفة، ومستوى مشاركته في الأنشطة التفاعلية والورش وحلقات النقاش، وحجم المحتوى الذي يُنتجه الزائر على وسائل التواصل الاجتماعي من صور وفيديوهات ومنشورات مرتبطة بالحدث.</w:t>
      </w:r>
    </w:p>
    <w:p>
      <w:pPr>
        <w:jc w:val="both"/>
        <w:spacing w:before="100" w:after="100"/>
      </w:pPr>
      <w:r>
        <w:rPr>
          <w:rFonts w:ascii="Times" w:hAnsi="Times" w:cs="Times"/>
          <w:sz w:val="28"/>
          <w:sz-cs w:val="28"/>
        </w:rPr>
        <w:t xml:space="preserve">وقد عالجت Addis et al. (2024) هذا البُعد من خلال دراسة تجربة المتحف وأثرها على ردود فعل الزائر، حيث حدّدوا ثلاث خصائص للتجربة المتحفية هي: الذاتية والتعدّدية والإبداع المشترك، وربطوا كلاً منها بمستوى تفاعل الزائر واستجاباته السلوكية. ويُفيد هذا الإطار الدراسة الحالية في فهم أن التفاعل ليس متغيّراً واحداً بل بناء متعدّد الطبقات يتّصل بطبيعة التجربة المقدّمة ومدى إتاحتها لفرص المشاركة الحقيقية.</w:t>
      </w:r>
    </w:p>
    <w:p>
      <w:pPr>
        <w:jc w:val="both"/>
        <w:spacing w:before="100" w:after="100"/>
      </w:pPr>
      <w:r>
        <w:rPr>
          <w:rFonts w:ascii="Times" w:hAnsi="Times" w:cs="Times"/>
          <w:sz w:val="28"/>
          <w:sz-cs w:val="28"/>
        </w:rPr>
        <w:t xml:space="preserve">ومن الزاوية الرقمية، تناولت Resta et al. (2021) مؤشرات تفاعل الزوار مع المحتوى المتحفي الافتراضي بعد قيود كوفيد-19، مستخدمين معايير تتّصل بمدّة الزيارة الافتراضية والصفحات المستعرَضة والأقسام الأكثر جذباً. وتُضيف هذه المقاربة بُعداً رقمياً لقياس التفاعل يتكامل مع القياس الميداني التقليدي ويُوسّع نطاق الرصد ليشمل الزوار الذين يتفاعلون مع الحدث عن بُعد.</w:t>
      </w:r>
    </w:p>
    <w:p>
      <w:pPr>
        <w:jc w:val="both"/>
        <w:spacing w:before="100" w:after="100"/>
      </w:pPr>
      <w:r>
        <w:rPr>
          <w:rFonts w:ascii="Times" w:hAnsi="Times" w:cs="Times"/>
          <w:sz w:val="28"/>
          <w:sz-cs w:val="28"/>
          <w:b/>
        </w:rPr>
        <w:t xml:space="preserve">3. بُعد الأثر الاقتصادي Economic Impact</w:t>
      </w:r>
    </w:p>
    <w:p>
      <w:pPr>
        <w:jc w:val="both"/>
        <w:spacing w:before="100" w:after="100"/>
      </w:pPr>
      <w:r>
        <w:rPr>
          <w:rFonts w:ascii="Times" w:hAnsi="Times" w:cs="Times"/>
          <w:sz w:val="28"/>
          <w:sz-cs w:val="28"/>
        </w:rPr>
        <w:t xml:space="preserve">يُمثّل الأثر الاقتصادي أحد الأبعاد التقليدية والمهمّة في تقييم نجاح الفعاليات والمعارض، ويتضمّن مستويين: المستوى المباشر الذي يشمل إيرادات مبيعات التذاكر والرعايات والخدمات التجارية داخل الحدث، والمستوى غير المباشر الذي يشمل الإنفاق المتولّد في القطاعات المرتبطة كالفنادق والمطاعم والنقل والتجزئة. ويمتدّ هذا البُعد ليشمل الأثر الاقتصادي طويل المدى المتمثّل في الإرث الذي يتركه الحدث من بنية تحتية قابلة لإعادة الاستخدام وكوادر بشرية مؤهّلة وسمعة وجهة جاذبة للاستثمار.</w:t>
      </w:r>
    </w:p>
    <w:p>
      <w:pPr>
        <w:jc w:val="both"/>
        <w:spacing w:before="100" w:after="100"/>
      </w:pPr>
      <w:r>
        <w:rPr>
          <w:rFonts w:ascii="Times" w:hAnsi="Times" w:cs="Times"/>
          <w:sz w:val="28"/>
          <w:sz-cs w:val="28"/>
        </w:rPr>
        <w:t xml:space="preserve">وقد عالجت معاد (2023) هذا البُعد في سياق كأس العالم 2022 في قطر من منظور يجمع بين الميزانية التنظيمية الضخمة والعائد الاستثماري المباشر وخطط الاستدامة المستقبلية، حيث استُخدمت الميزانية الأعلى في تاريخ البطولة لبناء بنية تحتية صُمّمت لتخدم الاقتصاد القطري لعقود بعد انتهاء الحدث. ويُفيد هذا المنظور الدراسة الحالية في التأكيد على أن الأثر الاقتصادي للفعاليات لا ينبغي أن يُقاس بالعائد الفوري فحسب بل بالقيمة المضافة المستدامة.</w:t>
      </w:r>
    </w:p>
    <w:p>
      <w:pPr>
        <w:jc w:val="both"/>
        <w:spacing w:before="100" w:after="100"/>
      </w:pPr>
      <w:r>
        <w:rPr>
          <w:rFonts w:ascii="Times" w:hAnsi="Times" w:cs="Times"/>
          <w:sz w:val="28"/>
          <w:sz-cs w:val="28"/>
        </w:rPr>
        <w:t xml:space="preserve">أمّا الصالح (2022) فقد عالجت الأثر الاقتصادي من زاوية التوزيع المكاني، حيث رصدت تركّز الفعاليات الترفيهية في ثلاث مناطق إدارية رئيسة (مكة المكرمة والرياض والمنطقة الشرقية) مقابل شحّ ملحوظ في مناطق أخرى، ممّا يعني أن العائد الاقتصادي يتوزّع بشكل غير متوازن. وتُفيد هذه الملاحظة في إدراك أن الأثر الاقتصادي لا يرتبط بنجاح الحدث بمعزل عن محيطه الجغرافي، بل يتأثّر بموقعه وبنيته التحتية والبيئة الاستثمارية المحيطة.</w:t>
      </w:r>
    </w:p>
    <w:p>
      <w:pPr>
        <w:jc w:val="both"/>
        <w:spacing w:before="100" w:after="100"/>
      </w:pPr>
      <w:r>
        <w:rPr>
          <w:rFonts w:ascii="Times" w:hAnsi="Times" w:cs="Times"/>
          <w:sz w:val="28"/>
          <w:sz-cs w:val="28"/>
          <w:b/>
        </w:rPr>
        <w:t xml:space="preserve">4. بُعد السمعة والصورة الذهنية Reputation and Image</w:t>
      </w:r>
    </w:p>
    <w:p>
      <w:pPr>
        <w:jc w:val="both"/>
        <w:spacing w:before="100" w:after="100"/>
      </w:pPr>
      <w:r>
        <w:rPr>
          <w:rFonts w:ascii="Times" w:hAnsi="Times" w:cs="Times"/>
          <w:sz w:val="28"/>
          <w:sz-cs w:val="28"/>
        </w:rPr>
        <w:t xml:space="preserve">يعكس هذا البُعد مدى نجاح الحدث في بناء صورة ذهنية إيجابية ومتمايزة لدى الجمهور والرأي العام والأوساط المهنية، سواء على المستوى المحلّي أو الدولي. وتتشكّل هذه الصورة من خلال التغطية الإعلامية والمحتوى الذي يُنتجه الزوار والانطباعات المتداولة شفهياً ورقمياً، وتُعدّ من أكثر مؤشرات النجاح تأثيراً على المدى الطويل لأنها تتجاوز الحدث الراهن لتشمل استعداد الجمهور لحضور الفعاليات المستقبلية للجهة المنظّمة ذاتها.</w:t>
      </w:r>
    </w:p>
    <w:p>
      <w:pPr>
        <w:jc w:val="both"/>
        <w:spacing w:before="100" w:after="100"/>
      </w:pPr>
      <w:r>
        <w:rPr>
          <w:rFonts w:ascii="Times" w:hAnsi="Times" w:cs="Times"/>
          <w:sz w:val="28"/>
          <w:sz-cs w:val="28"/>
        </w:rPr>
        <w:t xml:space="preserve">وقد قدّمت هرموش والعبود والحزامي (2024) تحليلاً معمّقاً لهذا البُعد من خلال دراسة إكسبو 2020 دبي، حيث رصدن كيفية توظيف الأدوات الثقافية والإعلامية في صياغة صورة ذهنية لدولة الإمارات بوصفها حاضنة للابتكار والتواصل العالمي، وكيف تراوحت التغطية الإعلامية الدولية بين الإشادة والانتقاد. ويُبرز هذا الطرح أن السمعة ليست نتاجاً تلقائياً للنجاح التنظيمي بل تتطلّب إدارة واعية ومستمرة تشمل الرصد الإعلامي والاستجابة البنّاءة للانتقادات وتطوير خطط استباقية لإدارة الأزمات.</w:t>
      </w:r>
    </w:p>
    <w:p>
      <w:pPr>
        <w:jc w:val="both"/>
        <w:spacing w:before="100" w:after="100"/>
      </w:pPr>
      <w:r>
        <w:rPr>
          <w:rFonts w:ascii="Times" w:hAnsi="Times" w:cs="Times"/>
          <w:sz w:val="28"/>
          <w:sz-cs w:val="28"/>
        </w:rPr>
        <w:t xml:space="preserve">ومن منظور برامج التبادل الثقافي، أشار العودة (2023) إلى أن نجاح برنامج الزائر الدولي يتحدّد جزئياً بقدرته على بناء صورة إيجابية عن البلد المُضيف لدى المشاركين، وهو ما ينطبق على الفعاليات والمعارض التي يزورها ضيوف وزوار من خلفيات ثقافية متنوّعة يحملون معهم انطباعاتهم إلى بلدانهم الأصلية.</w:t>
      </w:r>
    </w:p>
    <w:p>
      <w:pPr>
        <w:jc w:val="both"/>
        <w:spacing w:before="100" w:after="100"/>
      </w:pPr>
      <w:r>
        <w:rPr>
          <w:rFonts w:ascii="Times" w:hAnsi="Times" w:cs="Times"/>
          <w:sz w:val="28"/>
          <w:sz-cs w:val="28"/>
          <w:b/>
        </w:rPr>
        <w:t xml:space="preserve">5. بُعد نية العودة والتوصية Return Intention and Recommendation</w:t>
      </w:r>
    </w:p>
    <w:p>
      <w:pPr>
        <w:jc w:val="both"/>
        <w:spacing w:before="100" w:after="100"/>
      </w:pPr>
      <w:r>
        <w:rPr>
          <w:rFonts w:ascii="Times" w:hAnsi="Times" w:cs="Times"/>
          <w:sz w:val="28"/>
          <w:sz-cs w:val="28"/>
        </w:rPr>
        <w:t xml:space="preserve">يُعدّ هذا البُعد مؤشراً استشرافياً لنجاح الحدث على المدى البعيد، إذ يعكس مستوى الولاء الذي كوّنه الزائر تجاه الفعالية ورغبته في تكرار التجربة ودعوة الآخرين إليها. ويتجاوز هذا البُعد حدود الرضا اللحظي إلى مستوى أعمق من الارتباط يتحوّل فيه الزائر إلى مُناصر فعلي للحدث يروّج له طوعياً.</w:t>
      </w:r>
    </w:p>
    <w:p>
      <w:pPr>
        <w:jc w:val="both"/>
        <w:spacing w:before="100" w:after="100"/>
      </w:pPr>
      <w:r>
        <w:rPr>
          <w:rFonts w:ascii="Times" w:hAnsi="Times" w:cs="Times"/>
          <w:sz w:val="28"/>
          <w:sz-cs w:val="28"/>
        </w:rPr>
        <w:t xml:space="preserve">وقد أطّرت دراسة عبدالخالق وآخرون (2023ب) هذا البُعد من خلال دراسة أثر تجربة العميل على سلوك ما بعد الشراء في قطاع الطيران المصري، حيث صنّفت السلوك اللاحق إلى ثلاثة مكوّنات: الرضا، والتوصية للغير، ونية إعادة الشراء. ورغم اختلاف السياق، فإن المبدأ المنهجي المستفاد هو أن نية العودة والتوصية يُمكن قياسهما بوصفهما متغيّرين مستقلّين لكلّ منهما محدّداته، وأن التجربة الإيجابية هي الرافد الأساسي لكليهما.</w:t>
      </w:r>
    </w:p>
    <w:p>
      <w:pPr>
        <w:jc w:val="both"/>
        <w:spacing w:before="100" w:after="100"/>
      </w:pPr>
      <w:r>
        <w:rPr>
          <w:rFonts w:ascii="Times" w:hAnsi="Times" w:cs="Times"/>
          <w:sz w:val="28"/>
          <w:sz-cs w:val="28"/>
        </w:rPr>
        <w:t xml:space="preserve">كما عالجت دراسة Ju (2021) هذا البُعد في سياق المعارض (الواقعية والافتراضية) من خلال دراسة العلاقة بين رضا الزائر عن التجربة ونية الشراء، مستخدماً تصميماً بحثياً يميّز بين التجربة الفعلية والافتراضية ويقارن بين أثر كلّ منهما على السلوك اللاحق. ويُفيد هذا الطرح في إدراك أن نية العودة والتوصية قد تتأثّران بنوع التجربة (مادية أم رقمية) وليس فقط بجودتها.</w:t>
      </w:r>
    </w:p>
    <w:p>
      <w:pPr/>
      <w:r>
        <w:rPr>
          <w:rFonts w:ascii="Times" w:hAnsi="Times" w:cs="Times"/>
          <w:sz w:val="32"/>
          <w:sz-cs w:val="32"/>
          <w:b/>
        </w:rPr>
        <w:t xml:space="preserve"/>
        <w:br w:type="page"/>
        <w:t xml:space="preserve">6.2.2 استراتيجيات تحقيق نجاح الفعاليات والمعارض</w:t>
      </w:r>
    </w:p>
    <w:p>
      <w:pPr>
        <w:jc w:val="both"/>
        <w:spacing w:before="100" w:after="100"/>
      </w:pPr>
      <w:r>
        <w:rPr>
          <w:rFonts w:ascii="Times" w:hAnsi="Times" w:cs="Times"/>
          <w:sz w:val="28"/>
          <w:sz-cs w:val="28"/>
        </w:rPr>
        <w:t xml:space="preserve">يتطلّب تحقيق النجاح في الفعاليات والمعارض تبنّي منظومة من الاستراتيجيات المتكاملة التي تتعامل مع الحدث بوصفه نظاماً مترابطاً لا مجموعة عناصر منفصلة. وقد تناولت الأدبيات المستعرضة عدداً من هذه الاستراتيجيات يمكن تصنيفها وعرضها على النحو التالي.</w:t>
      </w:r>
    </w:p>
    <w:p>
      <w:pPr>
        <w:jc w:val="both"/>
        <w:spacing w:before="100" w:after="100"/>
      </w:pPr>
      <w:r>
        <w:rPr>
          <w:rFonts w:ascii="Times" w:hAnsi="Times" w:cs="Times"/>
          <w:sz w:val="28"/>
          <w:sz-cs w:val="28"/>
        </w:rPr>
        <w:t xml:space="preserve">تتمثّل الاستراتيجية الأولى في التخطيط الاستراتيجي المتكامل الذي ينطلق من تحليل شامل للبيئة الداخلية والخارجية للحدث. وقد استخدم السيد وعيد وعباس (2024) أداة التحليل الرباعي SWOT في تقييم إمكانية تفعيل المعارض السياحية الثابتة داخل السفارات المصرية، حيث حدّدوا نقاط القوة (كالبنية التكنولوجية القوية والإرث الحضاري الثريّ) ونقاط الضعف (كمحدودية التمويل) والفرص (كتوسّع الأسواق السياحية) والتهديدات (كالمنافسة الدولية). وتستفيد الدراسة الحالية من هذا الأسلوب في التأكيد على أن نجاح الفعاليات يبدأ من مرحلة التحليل الاستراتيجي المسبق التي تُحدّد الإطار الذي يعمل ضمنه التخطيط التفصيلي.</w:t>
      </w:r>
    </w:p>
    <w:p>
      <w:pPr>
        <w:jc w:val="both"/>
        <w:spacing w:before="100" w:after="100"/>
      </w:pPr>
      <w:r>
        <w:rPr>
          <w:rFonts w:ascii="Times" w:hAnsi="Times" w:cs="Times"/>
          <w:sz w:val="28"/>
          <w:sz-cs w:val="28"/>
        </w:rPr>
        <w:t xml:space="preserve">وتتّصل الاستراتيجية الثانية بالاستثمار في البنية التحتية المتكاملة التي تتضمّن الجوانب المادية واللوجستية والتكنولوجية. وقد أكّدت الصالح (2022) أن نجاح الفعاليات الترفيهية في المملكة العربية السعودية يرتبط ارتباطاً وثيقاً بمستوى البنية التحتية المتاحة من طرقات وخدمات إيواء سياحي ومرافق عامة، وأن المناطق التي تفتقر إلى هذه البنية تُحقّق مستويات أدنى من النجاح بصرف النظر عن جودة المحتوى المقدّم. وهذا يؤكّد أن البنية التحتية ليست شرطاً كافياً للنجاح لكنها شرط لازم لا يُغني عنه أيّ عنصر آخر.</w:t>
      </w:r>
    </w:p>
    <w:p>
      <w:pPr>
        <w:jc w:val="both"/>
        <w:spacing w:before="100" w:after="100"/>
      </w:pPr>
      <w:r>
        <w:rPr>
          <w:rFonts w:ascii="Times" w:hAnsi="Times" w:cs="Times"/>
          <w:sz w:val="28"/>
          <w:sz-cs w:val="28"/>
        </w:rPr>
        <w:t xml:space="preserve">أمّا الاستراتيجية الثالثة فتتعلّق بالتكامل بين المحتوى والهوية الثقافية، حيث تنجح الفعاليات التي تربط محتواها بالموروث الثقافي المحلّي بطريقة أصيلة ومعاصرة في آن واحد. وقد عالج الذنون (2023) هذه الاستراتيجية في سياق مهرجان الربيع بالموصل الذي تضمّن أنشطة متنوّعة كالمعارض الفنية للخطّ العربي والسيراميك والنحاس والحفلات الغنائية والمواكب الشعبية والأزياء التقليدية، ممّا ربط المهرجان بالهوية الثقافية للمدينة وجعله تجسيداً حيّاً لتراثها. وينطبق هذا المبدأ على الفعاليات السعودية التي يمكنها الاستثمار في التراث الثقافي الغنيّ والمتنوّع للمملكة لتمييز فعالياتها عن الفعاليات الدولية المنافسة.</w:t>
      </w:r>
    </w:p>
    <w:p>
      <w:pPr>
        <w:jc w:val="both"/>
        <w:spacing w:before="100" w:after="100"/>
      </w:pPr>
      <w:r>
        <w:rPr>
          <w:rFonts w:ascii="Times" w:hAnsi="Times" w:cs="Times"/>
          <w:sz w:val="28"/>
          <w:sz-cs w:val="28"/>
        </w:rPr>
        <w:t xml:space="preserve">وترتبط الاستراتيجية الرابعة بتبنّي مقاربة تركّز على الزائر Visitor-Centric Approach، بحيث يكون تصميم كلّ عنصر من عناصر الحدث منطلقاً من فهم عميق لاحتياجات الزائر وتوقّعاته وسلوكياته. وقد أكّد Philippopoulos et al. (2024) أن المقاربة الشاملة لتعزيز أداء المتحف تبدأ من فهم الزائر ووضعه في مركز عملية التصميم والتقييم. وتتقاطع هذه الاستراتيجية مع ما طرحته Cheng et al. (2024) حول ضرورة أن تُبنى تطبيقات الواقع المعزّز على فهم حقيقي لطريقة تفاعل الزائر مع التكنولوجيا وليس على اعتبارات تقنية مجرّدة.</w:t>
      </w:r>
    </w:p>
    <w:p>
      <w:pPr>
        <w:jc w:val="both"/>
        <w:spacing w:before="100" w:after="100"/>
      </w:pPr>
      <w:r>
        <w:rPr>
          <w:rFonts w:ascii="Times" w:hAnsi="Times" w:cs="Times"/>
          <w:sz w:val="28"/>
          <w:sz-cs w:val="28"/>
        </w:rPr>
        <w:t xml:space="preserve">وتتمثّل الاستراتيجية الخامسة في التسويق الرقمي المتكامل الذي يستثمر المنصات الإلكترونية ووسائل التواصل الاجتماعي في بناء الوعي بالحدث وإدارة سمعته والتفاعل مع الجمهور عبر مراحل الزيارة الثلاث. وقد تناولت دراسة الحازمي وباعشن وراجخان (2025) أثر التسويق الإلكتروني على تجربة المعتمر من خلال دراسة ثلاثة أبعاد (البيئة المادية والتفاعل مع الموظفين والخدمات التكميلية)، وبيّنت أن التطبيقات الإلكترونية باتت الأداة الأكثر استخداماً بين أدوات التسويق الإلكتروني. وتستفيد الدراسة الحالية من هذه المعالجة في التأكيد على أن التسويق الرقمي لا يخدم فقط مرحلة ما قبل الزيارة بل يؤثّر على أبعاد التجربة ذاتها أثناء الزيارة وبعدها.</w:t>
      </w:r>
    </w:p>
    <w:p>
      <w:pPr>
        <w:jc w:val="both"/>
        <w:spacing w:before="100" w:after="100"/>
      </w:pPr>
      <w:r>
        <w:rPr>
          <w:rFonts w:ascii="Times" w:hAnsi="Times" w:cs="Times"/>
          <w:sz w:val="28"/>
          <w:sz-cs w:val="28"/>
        </w:rPr>
        <w:t xml:space="preserve">أخيراً، تبرز استراتيجية التقييم المستمر والتحسين التراكمي التي تُحوّل كلّ فعالية من تجربة منعزلة إلى حلقة في سلسلة من التعلّم المنهجي. وقد أوصت هرموش والعبود والحزامي (2024) بضرورة تطوير خطط استراتيجية مبنية على الدروس المستفادة من الفعاليات السابقة لتحسين تنظيم الفعاليات الكبرى مستقبلاً، مؤكّدات أن الرصد الإعلامي المستمر وسرعة الاستجابة للانتقادات يُعدّان جزءاً لا يتجزّأ من عملية التحسين. وتعني هذه الاستراتيجية أن النجاح ليس حالة ثابتة تتحقّق في حدث واحد، بل عملية ديناميكية تتراكم عبر دورات متتالية من التخطيط والتنفيذ والتقييم والتطوير.</w:t>
      </w:r>
    </w:p>
    <w:p>
      <w:pPr/>
      <w:r>
        <w:rPr>
          <w:rFonts w:ascii="Times" w:hAnsi="Times" w:cs="Times"/>
          <w:sz w:val="32"/>
          <w:sz-cs w:val="32"/>
          <w:b/>
        </w:rPr>
        <w:t xml:space="preserve"/>
        <w:br w:type="page"/>
        <w:t xml:space="preserve">7.2.2 نجاح الفعاليات والمعارض في السياق السعودي</w:t>
      </w:r>
    </w:p>
    <w:p>
      <w:pPr>
        <w:jc w:val="both"/>
        <w:spacing w:before="100" w:after="100"/>
      </w:pPr>
      <w:r>
        <w:rPr>
          <w:rFonts w:ascii="Times" w:hAnsi="Times" w:cs="Times"/>
          <w:sz w:val="28"/>
          <w:sz-cs w:val="28"/>
        </w:rPr>
        <w:t xml:space="preserve">يحتلّ السياق السعودي مكانة خاصة في دراسة نجاح الفعاليات والمعارض نظراً لعدة اعتبارات تجعل منه حالة بحثية فريدة. فمن ناحية، تعيش المملكة تحوّلاً هيكلياً شاملاً في إطار رؤية 2030 حوّل قطاع الترفيه والفعاليات من قطاع هامشي إلى قطاع استراتيجي يُنظر إليه بوصفه أداة لتنويع الاقتصاد وتحسين جودة الحياة وتعزيز الحضور الدولي. ومن ناحية أخرى، تتميّز المملكة بخصوصيات ثقافية واجتماعية تؤثّر في تصميم الفعاليات وتجربة الزائر فيها، كالتركيبة الديموغرافية الشابة والتنوّع الثقافي الناتج عن استضافة ملايين الحجّاج والمعتمرين والعمالة الوافدة.</w:t>
      </w:r>
    </w:p>
    <w:p>
      <w:pPr>
        <w:jc w:val="both"/>
        <w:spacing w:before="100" w:after="100"/>
      </w:pPr>
      <w:r>
        <w:rPr>
          <w:rFonts w:ascii="Times" w:hAnsi="Times" w:cs="Times"/>
          <w:sz w:val="28"/>
          <w:sz-cs w:val="28"/>
        </w:rPr>
        <w:t xml:space="preserve">وقد رصدت الصالح (2022) ملامح هذا التحوّل من خلال تحليل المهرجانات والفعاليات الترفيهية خلال الفترة 2017-2019، حيث وثّقت تعدّد أنواعها بين الفعاليات الحية والمهرجانات والمسارح والرياضة الترفيهية والألعاب الإلكترونية والمعارض، مع تنوّعها بين ما هو محلّي وما هو دولي. وقد كشفت الدراسة عن تفاوت جغرافي ملحوظ في توزيع هذه الفعاليات وأعداد حضورها بين المناطق الإدارية المختلفة، ممّا يطرح تساؤلات حول عدالة التوزيع ومتطلّبات البنية التحتية اللازمة لتوسيع نطاق النجاح ليشمل جميع مناطق المملكة.</w:t>
      </w:r>
    </w:p>
    <w:p>
      <w:pPr>
        <w:jc w:val="both"/>
        <w:spacing w:before="100" w:after="100"/>
      </w:pPr>
      <w:r>
        <w:rPr>
          <w:rFonts w:ascii="Times" w:hAnsi="Times" w:cs="Times"/>
          <w:sz w:val="28"/>
          <w:sz-cs w:val="28"/>
        </w:rPr>
        <w:t xml:space="preserve">وتقدّم التجربة السعودية الرياضية نموذجاً على استخدام الفعاليات بوصفها أداة استراتيجية متعدّدة الأهداف. فقد وثّق أيوب (2023) إطلاق الدورة الثانية للألعاب السعودية التي شارك فيها ثمانية آلاف لاعبة ولاعب من مئتي نادٍ في ثلاث وخمسين لعبة، وطافت شعلتها أرجاء المملكة لمسافة تزيد عن ثلاثة آلاف وخمسمئة كيلومتر. ويكشف هذا النموذج عن أن الفعاليات في المملكة لا تسعى إلى النجاح التنظيمي فحسب بل تُوظّف في خدمة أهداف أوسع تتّصل بالتحوّل المجتمعي وبناء القدرات الرياضية وإبراز الهوية الوطنية.</w:t>
      </w:r>
    </w:p>
    <w:p>
      <w:pPr>
        <w:jc w:val="both"/>
        <w:spacing w:before="100" w:after="100"/>
      </w:pPr>
      <w:r>
        <w:rPr>
          <w:rFonts w:ascii="Times" w:hAnsi="Times" w:cs="Times"/>
          <w:sz w:val="28"/>
          <w:sz-cs w:val="28"/>
        </w:rPr>
        <w:t xml:space="preserve">أمّا على صعيد الأحداث الثقافية، فقد وثّقت الزهراني وعطية (2024) عدداً من الاعتبارات التصميمية التي تميّزت بها هذه الأحداث في المملكة، ومنها بناء هويات بصرية متكاملة ومتناغمة مع محتوى الحدث، وتصميم خرائط رحلة العميل، والتفعيل الجيد للمنصات الرقمية، والاستهداف الدقيق لفئات الزوار المختلفة. غير أنهما رصدتا أيضاً جوانب قصور تتعلّق بالخدمات المحيطة وضعف الربط في وسائل النقل والحاجة إلى متخصّصين في تصميم الخدمة وتجربة المستخدم، ممّا يشير إلى أن مسيرة النجاح لا تزال في طور البناء والتطوير.</w:t>
      </w:r>
    </w:p>
    <w:p>
      <w:pPr>
        <w:jc w:val="both"/>
        <w:spacing w:before="100" w:after="100"/>
      </w:pPr>
      <w:r>
        <w:rPr>
          <w:rFonts w:ascii="Times" w:hAnsi="Times" w:cs="Times"/>
          <w:sz w:val="28"/>
          <w:sz-cs w:val="28"/>
        </w:rPr>
        <w:t xml:space="preserve">وتُوفّر التجارب الإقليمية المماثلة فرصاً للتعلّم والاستلهام. فقد عالجت معاد (2023) تجربة قطر في تنظيم كأس العالم من منظور الاستدامة والإرث، وهو ما يتّصل مباشرة بطموحات المملكة في استضافة فعاليات عالمية كبرى. كما قدّمت هرموش والعبود والحزامي (2024) دروساً مستخلصة من إكسبو 2020 دبي تتّصل بالتمثيل الثقافي والإدارة الإعلامية وإدارة التوقعات، وهي دروس ذات صلة مباشرة بالفعاليات السعودية الكبرى المقبلة. ويتّضح أن نجاح الفعاليات والمعارض في المملكة لا يرتبط بالأداء التنظيمي الداخلي فحسب، بل يتأثّر بالسياق الجيوسياسي والثقافي والاقتصادي الأوسع الذي يعمل ضمنه.</w:t>
      </w:r>
    </w:p>
    <w:p>
      <w:pPr>
        <w:jc w:val="both"/>
        <w:spacing w:before="100" w:after="100"/>
      </w:pPr>
      <w:r>
        <w:rPr>
          <w:rFonts w:ascii="Times" w:hAnsi="Times" w:cs="Times"/>
          <w:sz w:val="32"/>
          <w:sz-cs w:val="32"/>
          <w:b/>
        </w:rPr>
        <w:t xml:space="preserve">8.2.2 العلاقة النظرية بين تجربة الزائر ونجاح الفعاليات والمعارض</w:t>
      </w:r>
    </w:p>
    <w:p>
      <w:pPr>
        <w:jc w:val="both"/>
        <w:spacing w:before="100" w:after="100"/>
      </w:pPr>
      <w:r>
        <w:rPr>
          <w:rFonts w:ascii="Times" w:hAnsi="Times" w:cs="Times"/>
          <w:sz w:val="28"/>
          <w:sz-cs w:val="28"/>
        </w:rPr>
        <w:t xml:space="preserve">تؤسّس الأدبيات المستعرضة في هذا المبحث والمبحث السابق لوجود علاقة نظرية وثيقة بين تجربة الزائر بأبعادها الأربعة ونجاح الفعاليات والمعارض بمؤشراته المتعدّدة. وتسير هذه العلاقة عبر عدة مسارات نظرية يمكن تأطيرها على النحو التالي.</w:t>
      </w:r>
    </w:p>
    <w:p>
      <w:pPr>
        <w:jc w:val="both"/>
        <w:spacing w:before="100" w:after="100"/>
      </w:pPr>
      <w:r>
        <w:rPr>
          <w:rFonts w:ascii="Times" w:hAnsi="Times" w:cs="Times"/>
          <w:sz w:val="28"/>
          <w:sz-cs w:val="28"/>
        </w:rPr>
        <w:t xml:space="preserve">يتمثّل المسار الأول في أن أبعاد تجربة الزائر (التفاعل، الجاذبية البصرية، التفاعل التكنولوجي، جودة الخدمات) تعمل بوصفها مثيرات بيئية Stimuli وفق نموذج SOR تُحدث حالات داخلية لدى الزائر (معرفية وعاطفية) تتحوّل إلى استجابات سلوكية قابلة للرصد (كالرضا ونية العودة والتوصية والتفاعل الإيجابي على وسائل التواصل). وقد أكّدت Wu et al. (2025) صلاحية هذا الإطار في تفسير العلاقة بين مدخلات التجربة ومخرجاتها في سياق المعارض الافتراضية، ممّا يدعم قابليته للتطبيق في سياق الفعاليات والمعارض المادية بشكل أقوى.</w:t>
      </w:r>
    </w:p>
    <w:p>
      <w:pPr>
        <w:jc w:val="both"/>
        <w:spacing w:before="100" w:after="100"/>
      </w:pPr>
      <w:r>
        <w:rPr>
          <w:rFonts w:ascii="Times" w:hAnsi="Times" w:cs="Times"/>
          <w:sz w:val="28"/>
          <w:sz-cs w:val="28"/>
        </w:rPr>
        <w:t xml:space="preserve">ويتمثّل المسار الثاني في أن التجربة الإيجابية تُولّد سلسلة من السلوكيات الداعمة لنجاح الحدث. فقد أطّرت عبدالخالق وآخرون (2023أ) العلاقة بين أبعاد تجربة العميل وشخصية العلامة التجارية، مبيّنة أن التجربة المتميّزة لا تؤثّر على السلوك المباشر فحسب بل على إدراك العميل للعلامة التجارية ذاتها. وحين يُسقَط هذا الإطار على الفعاليات والمعارض، يمكن القول إن التجربة الإيجابية لا تُحسّن فقط مؤشرات الحدث الراهن بل تُعزّز من قوة العلامة التجارية للجهة المنظّمة ممّا يخدم فعالياتها المستقبلية.</w:t>
      </w:r>
    </w:p>
    <w:p>
      <w:pPr>
        <w:jc w:val="both"/>
        <w:spacing w:before="100" w:after="100"/>
      </w:pPr>
      <w:r>
        <w:rPr>
          <w:rFonts w:ascii="Times" w:hAnsi="Times" w:cs="Times"/>
          <w:sz w:val="28"/>
          <w:sz-cs w:val="28"/>
        </w:rPr>
        <w:t xml:space="preserve">ويتمثّل المسار الثالث في العلاقة التبادلية بين التجربة والنجاح، إذ لا تسير العلاقة في اتجاه واحد فحسب. فالفعالية الناجحة توفّر الموارد والسمعة اللازمة لتطوير تجربة الزائر في الدورات المقبلة، وتجربة الزائر المتطوّرة تُسهم بدورها في تعزيز مؤشرات النجاح. وقد عزّزت دراسة يحيى وآخرون (2025) هذا الفهم حين بيّنت أن تجربة العميل تؤثّر على نية التحوّل، ممّا يعني أن إهمال التجربة لا يقف عند حدود فقدان الرضا بل قد يمتدّ إلى فقدان الزائر كلياً لصالح البدائل المنافسة.</w:t>
      </w:r>
    </w:p>
    <w:p>
      <w:pPr>
        <w:jc w:val="both"/>
        <w:spacing w:before="100" w:after="100"/>
      </w:pPr>
      <w:r>
        <w:rPr>
          <w:rFonts w:ascii="Times" w:hAnsi="Times" w:cs="Times"/>
          <w:sz w:val="28"/>
          <w:sz-cs w:val="28"/>
        </w:rPr>
        <w:t xml:space="preserve">وبناءً على هذه المسارات النظرية، تتّضح المبرّرات العلمية لاختبار الفرضية الرئيسة للدراسة الحالية التي تسعى إلى قياس أثر تجربة الزائر بأبعادها الأربعة على نجاح الفعاليات والمعارض في المملكة العربية السعودية، وكذلك الفرضيات الفرعية التي تختبر أثر كلّ بُعد على حدة (التفاعل، الجاذبية البصرية، التفاعل التكنولوجي، جودة الخدمات) على هذا النجاح.</w:t>
      </w:r>
    </w:p>
    <w:p>
      <w:pPr>
        <w:jc w:val="both"/>
        <w:spacing w:before="100" w:after="100"/>
      </w:pPr>
      <w:r>
        <w:rPr>
          <w:rFonts w:ascii="Times" w:hAnsi="Times" w:cs="Times"/>
          <w:sz w:val="28"/>
          <w:sz-cs w:val="28"/>
        </w:rPr>
        <w:t xml:space="preserve"/>
      </w:r>
    </w:p>
    <w:p>
      <w:pPr>
        <w:jc w:val="center"/>
        <w:bidi/>
      </w:pPr>
      <w:r>
        <w:rPr>
          <w:rFonts w:ascii="Times" w:hAnsi="Times" w:cs="Times"/>
          <w:sz w:val="40"/>
          <w:sz-cs w:val="40"/>
          <w:b/>
        </w:rPr>
        <w:t xml:space="preserve"/>
        <w:br w:type="page"/>
        <w:t xml:space="preserve"/>
      </w:r>
    </w:p>
    <w:p>
      <w:pPr>
        <w:jc w:val="both"/>
        <w:bidi/>
        <w:spacing w:before="100" w:after="100"/>
      </w:pPr>
      <w:r>
        <w:rPr>
          <w:rFonts w:ascii="Times" w:hAnsi="Times" w:cs="Times"/>
          <w:sz w:val="32"/>
          <w:sz-cs w:val="32"/>
          <w:b/>
        </w:rPr>
        <w:t xml:space="preserve">Mid Ocean University</w:t>
      </w:r>
    </w:p>
    <w:p>
      <w:pPr>
        <w:jc w:val="both"/>
        <w:bidi/>
        <w:spacing w:before="100" w:after="100"/>
      </w:pPr>
      <w:r>
        <w:rPr>
          <w:rFonts w:ascii="Times" w:hAnsi="Times" w:cs="Times"/>
          <w:sz w:val="32"/>
          <w:sz-cs w:val="32"/>
          <w:b/>
        </w:rPr>
        <w:t xml:space="preserve">College of Management</w:t>
      </w:r>
    </w:p>
    <w:p>
      <w:pPr>
        <w:jc w:val="both"/>
        <w:bidi/>
        <w:spacing w:before="100" w:after="100"/>
      </w:pPr>
      <w:r>
        <w:rPr>
          <w:rFonts w:ascii="Times" w:hAnsi="Times" w:cs="Times"/>
          <w:sz w:val="32"/>
          <w:sz-cs w:val="32"/>
          <w:b/>
        </w:rPr>
        <w:t xml:space="preserve">Master of business administration</w:t>
      </w:r>
    </w:p>
    <w:p>
      <w:pPr>
        <w:jc w:val="center"/>
        <w:bidi/>
        <w:spacing w:before="100" w:after="100"/>
      </w:pPr>
      <w:r>
        <w:rPr>
          <w:rFonts w:ascii="Times" w:hAnsi="Times" w:cs="Times"/>
          <w:sz w:val="40"/>
          <w:sz-cs w:val="40"/>
          <w:b/>
        </w:rPr>
        <w:t xml:space="preserve">The Impact of Visitor Experience on the Success of Events and Exhibitions: A Field Study on the Events Sector in the Kingdom of Saudi Arabia</w:t>
      </w:r>
    </w:p>
    <w:p>
      <w:pPr>
        <w:jc w:val="center"/>
        <w:bidi/>
        <w:spacing w:before="100" w:after="100"/>
      </w:pPr>
      <w:r>
        <w:rPr>
          <w:rFonts w:ascii="Times" w:hAnsi="Times" w:cs="Times"/>
          <w:sz w:val="36"/>
          <w:sz-cs w:val="36"/>
          <w:b/>
        </w:rPr>
        <w:t xml:space="preserve">Prepared by:</w:t>
      </w:r>
    </w:p>
    <w:p>
      <w:pPr>
        <w:jc w:val="center"/>
        <w:bidi/>
        <w:spacing w:before="100" w:after="100"/>
      </w:pPr>
      <w:r>
        <w:rPr>
          <w:rFonts w:ascii="Times" w:hAnsi="Times" w:cs="Times"/>
          <w:sz w:val="36"/>
          <w:sz-cs w:val="36"/>
        </w:rPr>
        <w:t xml:space="preserve">Ruba Saleh Almurays</w:t>
      </w:r>
    </w:p>
    <w:p>
      <w:pPr>
        <w:jc w:val="center"/>
        <w:bidi/>
        <w:spacing w:before="100" w:after="100"/>
      </w:pPr>
      <w:r>
        <w:rPr>
          <w:rFonts w:ascii="Times" w:hAnsi="Times" w:cs="Times"/>
          <w:sz w:val="36"/>
          <w:sz-cs w:val="36"/>
          <w:b/>
        </w:rPr>
        <w:t xml:space="preserve">Supervision:</w:t>
      </w:r>
    </w:p>
    <w:p>
      <w:pPr>
        <w:jc w:val="center"/>
        <w:bidi/>
        <w:spacing w:before="100" w:after="100"/>
      </w:pPr>
      <w:r>
        <w:rPr>
          <w:rFonts w:ascii="Times" w:hAnsi="Times" w:cs="Times"/>
          <w:sz w:val="36"/>
          <w:sz-cs w:val="36"/>
        </w:rPr>
        <w:t xml:space="preserve">Dr. Al-Faisal Abdelhamid Mohamed Hassan</w:t>
      </w:r>
    </w:p>
    <w:p>
      <w:pPr>
        <w:jc w:val="center"/>
        <w:bidi/>
        <w:spacing w:before="100" w:after="100"/>
      </w:pPr>
      <w:r>
        <w:rPr>
          <w:rFonts w:ascii="Times" w:hAnsi="Times" w:cs="Times"/>
          <w:sz w:val="36"/>
          <w:sz-cs w:val="36"/>
        </w:rPr>
        <w:t xml:space="preserve">Dr. Fayez Jarad</w:t>
      </w:r>
    </w:p>
    <w:p>
      <w:pPr>
        <w:jc w:val="center"/>
        <w:bidi/>
        <w:spacing w:before="100" w:after="100"/>
      </w:pPr>
      <w:r>
        <w:rPr>
          <w:rFonts w:ascii="Times" w:hAnsi="Times" w:cs="Times"/>
          <w:sz w:val="36"/>
          <w:sz-cs w:val="36"/>
        </w:rPr>
        <w:t xml:space="preserve">1447 – 2026</w:t>
      </w:r>
    </w:p>
    <w:sectPr>
      <w:pgSz w:w="11905" w:h="16837"/>
      <w:pgMar w:top="1440" w:right="1985" w:bottom="1440" w:left="1418"/>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coreProperties>
</file>

<file path=docProps/meta.xml><?xml version="1.0" encoding="utf-8"?>
<meta xmlns="http://schemas.apple.com/cocoa/2006/metadata">
  <generator>CocoaOOXMLWriter/2685.3</generator>
</meta>
</file>