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0F480" w14:textId="77777777" w:rsidR="00156125" w:rsidRPr="006F5F20" w:rsidRDefault="004A12FE" w:rsidP="006F5F20">
      <w:pPr>
        <w:bidi/>
        <w:spacing w:after="40"/>
        <w:jc w:val="center"/>
        <w:rPr>
          <w:rFonts w:ascii="Simplified Arabic" w:hAnsi="Simplified Arabic" w:cs="Simplified Arabic"/>
          <w:szCs w:val="24"/>
        </w:rPr>
      </w:pPr>
      <w:r w:rsidRPr="006F5F20">
        <w:rPr>
          <w:rFonts w:ascii="Simplified Arabic" w:hAnsi="Simplified Arabic" w:cs="Simplified Arabic"/>
          <w:b/>
          <w:color w:val="1F4E78"/>
          <w:szCs w:val="24"/>
        </w:rPr>
        <w:t>التقرير</w:t>
      </w:r>
      <w:r w:rsidRPr="006F5F20">
        <w:rPr>
          <w:rFonts w:ascii="Simplified Arabic" w:hAnsi="Simplified Arabic" w:cs="Simplified Arabic"/>
          <w:b/>
          <w:color w:val="1F4E78"/>
          <w:szCs w:val="24"/>
        </w:rPr>
        <w:t xml:space="preserve"> </w:t>
      </w:r>
      <w:r w:rsidRPr="006F5F20">
        <w:rPr>
          <w:rFonts w:ascii="Simplified Arabic" w:hAnsi="Simplified Arabic" w:cs="Simplified Arabic"/>
          <w:b/>
          <w:color w:val="1F4E78"/>
          <w:szCs w:val="24"/>
        </w:rPr>
        <w:t>النهائي</w:t>
      </w:r>
      <w:r w:rsidRPr="006F5F20">
        <w:rPr>
          <w:rFonts w:ascii="Simplified Arabic" w:hAnsi="Simplified Arabic" w:cs="Simplified Arabic"/>
          <w:b/>
          <w:color w:val="1F4E78"/>
          <w:szCs w:val="24"/>
        </w:rPr>
        <w:t xml:space="preserve"> </w:t>
      </w:r>
      <w:r w:rsidRPr="006F5F20">
        <w:rPr>
          <w:rFonts w:ascii="Simplified Arabic" w:hAnsi="Simplified Arabic" w:cs="Simplified Arabic"/>
          <w:b/>
          <w:color w:val="1F4E78"/>
          <w:szCs w:val="24"/>
        </w:rPr>
        <w:t>لمراجعة</w:t>
      </w:r>
      <w:r w:rsidRPr="006F5F20">
        <w:rPr>
          <w:rFonts w:ascii="Simplified Arabic" w:hAnsi="Simplified Arabic" w:cs="Simplified Arabic"/>
          <w:b/>
          <w:color w:val="1F4E78"/>
          <w:szCs w:val="24"/>
        </w:rPr>
        <w:t xml:space="preserve"> </w:t>
      </w:r>
      <w:r w:rsidRPr="006F5F20">
        <w:rPr>
          <w:rFonts w:ascii="Simplified Arabic" w:hAnsi="Simplified Arabic" w:cs="Simplified Arabic"/>
          <w:b/>
          <w:color w:val="1F4E78"/>
          <w:szCs w:val="24"/>
        </w:rPr>
        <w:t>الفصل</w:t>
      </w:r>
      <w:r w:rsidRPr="006F5F20">
        <w:rPr>
          <w:rFonts w:ascii="Simplified Arabic" w:hAnsi="Simplified Arabic" w:cs="Simplified Arabic"/>
          <w:b/>
          <w:color w:val="1F4E78"/>
          <w:szCs w:val="24"/>
        </w:rPr>
        <w:t xml:space="preserve"> </w:t>
      </w:r>
      <w:r w:rsidRPr="006F5F20">
        <w:rPr>
          <w:rFonts w:ascii="Simplified Arabic" w:hAnsi="Simplified Arabic" w:cs="Simplified Arabic"/>
          <w:b/>
          <w:color w:val="1F4E78"/>
          <w:szCs w:val="24"/>
        </w:rPr>
        <w:t>الثاني</w:t>
      </w:r>
    </w:p>
    <w:p w14:paraId="1B60927E" w14:textId="77777777" w:rsidR="00156125" w:rsidRPr="006F5F20" w:rsidRDefault="004A12FE" w:rsidP="006F5F20">
      <w:pPr>
        <w:bidi/>
        <w:jc w:val="center"/>
        <w:rPr>
          <w:rFonts w:ascii="Simplified Arabic" w:hAnsi="Simplified Arabic" w:cs="Simplified Arabic"/>
          <w:szCs w:val="24"/>
        </w:rPr>
      </w:pPr>
      <w:r w:rsidRPr="006F5F20">
        <w:rPr>
          <w:rFonts w:ascii="Simplified Arabic" w:hAnsi="Simplified Arabic" w:cs="Simplified Arabic"/>
          <w:b/>
          <w:color w:val="1F4E78"/>
          <w:szCs w:val="24"/>
        </w:rPr>
        <w:t>الإطار</w:t>
      </w:r>
      <w:r w:rsidRPr="006F5F20">
        <w:rPr>
          <w:rFonts w:ascii="Simplified Arabic" w:hAnsi="Simplified Arabic" w:cs="Simplified Arabic"/>
          <w:b/>
          <w:color w:val="1F4E78"/>
          <w:szCs w:val="24"/>
        </w:rPr>
        <w:t xml:space="preserve"> </w:t>
      </w:r>
      <w:r w:rsidRPr="006F5F20">
        <w:rPr>
          <w:rFonts w:ascii="Simplified Arabic" w:hAnsi="Simplified Arabic" w:cs="Simplified Arabic"/>
          <w:b/>
          <w:color w:val="1F4E78"/>
          <w:szCs w:val="24"/>
        </w:rPr>
        <w:t>النظري</w:t>
      </w:r>
      <w:r w:rsidRPr="006F5F20">
        <w:rPr>
          <w:rFonts w:ascii="Simplified Arabic" w:hAnsi="Simplified Arabic" w:cs="Simplified Arabic"/>
          <w:b/>
          <w:color w:val="1F4E78"/>
          <w:szCs w:val="24"/>
        </w:rPr>
        <w:t xml:space="preserve"> </w:t>
      </w:r>
      <w:r w:rsidRPr="006F5F20">
        <w:rPr>
          <w:rFonts w:ascii="Simplified Arabic" w:hAnsi="Simplified Arabic" w:cs="Simplified Arabic"/>
          <w:b/>
          <w:color w:val="1F4E78"/>
          <w:szCs w:val="24"/>
        </w:rPr>
        <w:t>والدراسات</w:t>
      </w:r>
      <w:r w:rsidRPr="006F5F20">
        <w:rPr>
          <w:rFonts w:ascii="Simplified Arabic" w:hAnsi="Simplified Arabic" w:cs="Simplified Arabic"/>
          <w:b/>
          <w:color w:val="1F4E78"/>
          <w:szCs w:val="24"/>
        </w:rPr>
        <w:t xml:space="preserve"> </w:t>
      </w:r>
      <w:r w:rsidRPr="006F5F20">
        <w:rPr>
          <w:rFonts w:ascii="Simplified Arabic" w:hAnsi="Simplified Arabic" w:cs="Simplified Arabic"/>
          <w:b/>
          <w:color w:val="1F4E78"/>
          <w:szCs w:val="24"/>
        </w:rPr>
        <w:t>السابقة</w:t>
      </w:r>
    </w:p>
    <w:tbl>
      <w:tblPr>
        <w:tblStyle w:val="TableGrid"/>
        <w:bidiVisual/>
        <w:tblW w:w="0" w:type="auto"/>
        <w:jc w:val="center"/>
        <w:tblLayout w:type="fixed"/>
        <w:tblLook w:val="04A0" w:firstRow="1" w:lastRow="0" w:firstColumn="1" w:lastColumn="0" w:noHBand="0" w:noVBand="1"/>
      </w:tblPr>
      <w:tblGrid>
        <w:gridCol w:w="2381"/>
        <w:gridCol w:w="6690"/>
      </w:tblGrid>
      <w:tr w:rsidR="00E5382B" w:rsidRPr="006F5F20" w14:paraId="13917B59" w14:textId="77777777" w:rsidTr="00E5382B">
        <w:trPr>
          <w:jc w:val="center"/>
        </w:trPr>
        <w:tc>
          <w:tcPr>
            <w:tcW w:w="2381" w:type="dxa"/>
            <w:shd w:val="clear" w:color="auto" w:fill="D9EAF7"/>
            <w:tcMar>
              <w:top w:w="90" w:type="dxa"/>
              <w:left w:w="110" w:type="dxa"/>
              <w:bottom w:w="90" w:type="dxa"/>
              <w:right w:w="110" w:type="dxa"/>
            </w:tcMar>
            <w:vAlign w:val="center"/>
          </w:tcPr>
          <w:p w14:paraId="62E0A3E5" w14:textId="77777777" w:rsidR="00E5382B" w:rsidRPr="006F5F20" w:rsidRDefault="00E5382B" w:rsidP="00E5382B">
            <w:pPr>
              <w:bidi/>
              <w:jc w:val="both"/>
              <w:rPr>
                <w:rFonts w:ascii="Simplified Arabic" w:hAnsi="Simplified Arabic" w:cs="Simplified Arabic"/>
                <w:szCs w:val="24"/>
              </w:rPr>
            </w:pPr>
            <w:proofErr w:type="spellStart"/>
            <w:r w:rsidRPr="006F5F20">
              <w:rPr>
                <w:rFonts w:ascii="Simplified Arabic" w:hAnsi="Simplified Arabic" w:cs="Simplified Arabic"/>
                <w:b/>
                <w:szCs w:val="24"/>
              </w:rPr>
              <w:t>اسم</w:t>
            </w:r>
            <w:proofErr w:type="spellEnd"/>
            <w:r w:rsidRPr="006F5F20">
              <w:rPr>
                <w:rFonts w:ascii="Simplified Arabic" w:hAnsi="Simplified Arabic" w:cs="Simplified Arabic"/>
                <w:b/>
                <w:szCs w:val="24"/>
              </w:rPr>
              <w:t xml:space="preserve"> </w:t>
            </w:r>
            <w:proofErr w:type="spellStart"/>
            <w:r w:rsidRPr="006F5F20">
              <w:rPr>
                <w:rFonts w:ascii="Simplified Arabic" w:hAnsi="Simplified Arabic" w:cs="Simplified Arabic"/>
                <w:b/>
                <w:szCs w:val="24"/>
              </w:rPr>
              <w:t>الطالب</w:t>
            </w:r>
            <w:proofErr w:type="spellEnd"/>
          </w:p>
        </w:tc>
        <w:tc>
          <w:tcPr>
            <w:tcW w:w="6690" w:type="dxa"/>
            <w:tcMar>
              <w:top w:w="90" w:type="dxa"/>
              <w:left w:w="110" w:type="dxa"/>
              <w:bottom w:w="90" w:type="dxa"/>
              <w:right w:w="110" w:type="dxa"/>
            </w:tcMar>
            <w:vAlign w:val="center"/>
          </w:tcPr>
          <w:p w14:paraId="5EFC63E7" w14:textId="712A2532" w:rsidR="00E5382B" w:rsidRPr="006F5F20" w:rsidRDefault="00E5382B" w:rsidP="00E5382B">
            <w:pPr>
              <w:bidi/>
              <w:jc w:val="center"/>
              <w:rPr>
                <w:rFonts w:ascii="Simplified Arabic" w:hAnsi="Simplified Arabic" w:cs="Simplified Arabic"/>
                <w:szCs w:val="24"/>
              </w:rPr>
            </w:pPr>
            <w:proofErr w:type="gramStart"/>
            <w:r w:rsidRPr="00716B3A">
              <w:rPr>
                <w:rtl/>
              </w:rPr>
              <w:t>عبدالعزيز</w:t>
            </w:r>
            <w:proofErr w:type="gramEnd"/>
            <w:r w:rsidRPr="00716B3A">
              <w:rPr>
                <w:rtl/>
              </w:rPr>
              <w:t xml:space="preserve"> بن مصلح الحربي</w:t>
            </w:r>
          </w:p>
        </w:tc>
      </w:tr>
      <w:tr w:rsidR="00E5382B" w:rsidRPr="006F5F20" w14:paraId="62869774" w14:textId="77777777" w:rsidTr="00E5382B">
        <w:trPr>
          <w:jc w:val="center"/>
        </w:trPr>
        <w:tc>
          <w:tcPr>
            <w:tcW w:w="2381" w:type="dxa"/>
            <w:shd w:val="clear" w:color="auto" w:fill="D9EAF7"/>
            <w:tcMar>
              <w:top w:w="90" w:type="dxa"/>
              <w:left w:w="110" w:type="dxa"/>
              <w:bottom w:w="90" w:type="dxa"/>
              <w:right w:w="110" w:type="dxa"/>
            </w:tcMar>
            <w:vAlign w:val="center"/>
          </w:tcPr>
          <w:p w14:paraId="4F35C46C" w14:textId="77777777" w:rsidR="00E5382B" w:rsidRPr="006F5F20" w:rsidRDefault="00E5382B" w:rsidP="00E5382B">
            <w:pPr>
              <w:bidi/>
              <w:jc w:val="both"/>
              <w:rPr>
                <w:rFonts w:ascii="Simplified Arabic" w:hAnsi="Simplified Arabic" w:cs="Simplified Arabic"/>
                <w:szCs w:val="24"/>
              </w:rPr>
            </w:pPr>
            <w:proofErr w:type="spellStart"/>
            <w:r w:rsidRPr="006F5F20">
              <w:rPr>
                <w:rFonts w:ascii="Simplified Arabic" w:hAnsi="Simplified Arabic" w:cs="Simplified Arabic"/>
                <w:b/>
                <w:szCs w:val="24"/>
              </w:rPr>
              <w:t>موضوع</w:t>
            </w:r>
            <w:proofErr w:type="spellEnd"/>
            <w:r w:rsidRPr="006F5F20">
              <w:rPr>
                <w:rFonts w:ascii="Simplified Arabic" w:hAnsi="Simplified Arabic" w:cs="Simplified Arabic"/>
                <w:b/>
                <w:szCs w:val="24"/>
              </w:rPr>
              <w:t xml:space="preserve"> </w:t>
            </w:r>
            <w:proofErr w:type="spellStart"/>
            <w:r w:rsidRPr="006F5F20">
              <w:rPr>
                <w:rFonts w:ascii="Simplified Arabic" w:hAnsi="Simplified Arabic" w:cs="Simplified Arabic"/>
                <w:b/>
                <w:szCs w:val="24"/>
              </w:rPr>
              <w:t>الرسالة</w:t>
            </w:r>
            <w:proofErr w:type="spellEnd"/>
          </w:p>
        </w:tc>
        <w:tc>
          <w:tcPr>
            <w:tcW w:w="6690" w:type="dxa"/>
            <w:tcMar>
              <w:top w:w="90" w:type="dxa"/>
              <w:left w:w="110" w:type="dxa"/>
              <w:bottom w:w="90" w:type="dxa"/>
              <w:right w:w="110" w:type="dxa"/>
            </w:tcMar>
            <w:vAlign w:val="center"/>
          </w:tcPr>
          <w:p w14:paraId="5CBD3AD3" w14:textId="0C727473" w:rsidR="00E5382B" w:rsidRPr="006F5F20" w:rsidRDefault="00E5382B" w:rsidP="00E5382B">
            <w:pPr>
              <w:bidi/>
              <w:jc w:val="center"/>
              <w:rPr>
                <w:rFonts w:ascii="Simplified Arabic" w:hAnsi="Simplified Arabic" w:cs="Simplified Arabic"/>
                <w:szCs w:val="24"/>
              </w:rPr>
            </w:pPr>
            <w:r w:rsidRPr="00716B3A">
              <w:rPr>
                <w:rtl/>
              </w:rPr>
              <w:t>دور الذكاء الاصطناعي في تعزيز فعالية نظم المراقبة الأمنية الذكية في المدن السعودية الكبرى – دراسة تطبيقية على مدينة الرياض</w:t>
            </w:r>
          </w:p>
        </w:tc>
      </w:tr>
      <w:tr w:rsidR="00E5382B" w:rsidRPr="006F5F20" w14:paraId="276C9324" w14:textId="77777777" w:rsidTr="00E5382B">
        <w:trPr>
          <w:jc w:val="center"/>
        </w:trPr>
        <w:tc>
          <w:tcPr>
            <w:tcW w:w="2381" w:type="dxa"/>
            <w:shd w:val="clear" w:color="auto" w:fill="D9EAF7"/>
            <w:tcMar>
              <w:top w:w="90" w:type="dxa"/>
              <w:left w:w="110" w:type="dxa"/>
              <w:bottom w:w="90" w:type="dxa"/>
              <w:right w:w="110" w:type="dxa"/>
            </w:tcMar>
            <w:vAlign w:val="center"/>
          </w:tcPr>
          <w:p w14:paraId="606D1F12" w14:textId="77777777" w:rsidR="00E5382B" w:rsidRPr="006F5F20" w:rsidRDefault="00E5382B" w:rsidP="00E5382B">
            <w:pPr>
              <w:bidi/>
              <w:jc w:val="both"/>
              <w:rPr>
                <w:rFonts w:ascii="Simplified Arabic" w:hAnsi="Simplified Arabic" w:cs="Simplified Arabic"/>
                <w:szCs w:val="24"/>
              </w:rPr>
            </w:pPr>
            <w:r w:rsidRPr="006F5F20">
              <w:rPr>
                <w:rFonts w:ascii="Simplified Arabic" w:hAnsi="Simplified Arabic" w:cs="Simplified Arabic"/>
                <w:b/>
                <w:szCs w:val="24"/>
              </w:rPr>
              <w:t>نوع المراجعة</w:t>
            </w:r>
          </w:p>
        </w:tc>
        <w:tc>
          <w:tcPr>
            <w:tcW w:w="6690" w:type="dxa"/>
            <w:tcMar>
              <w:top w:w="90" w:type="dxa"/>
              <w:left w:w="110" w:type="dxa"/>
              <w:bottom w:w="90" w:type="dxa"/>
              <w:right w:w="110" w:type="dxa"/>
            </w:tcMar>
            <w:vAlign w:val="center"/>
          </w:tcPr>
          <w:p w14:paraId="554DDEE3" w14:textId="3AE85425" w:rsidR="00E5382B" w:rsidRPr="006F5F20" w:rsidRDefault="00E5382B" w:rsidP="00E5382B">
            <w:pPr>
              <w:bidi/>
              <w:jc w:val="center"/>
              <w:rPr>
                <w:rFonts w:ascii="Simplified Arabic" w:hAnsi="Simplified Arabic" w:cs="Simplified Arabic"/>
                <w:szCs w:val="24"/>
              </w:rPr>
            </w:pPr>
            <w:r w:rsidRPr="00716B3A">
              <w:rPr>
                <w:rtl/>
              </w:rPr>
              <w:t>مقارنة بين تقرير المراجعة السابق والنسخة الحالية للفصل الثاني</w:t>
            </w:r>
          </w:p>
        </w:tc>
      </w:tr>
      <w:tr w:rsidR="00E5382B" w:rsidRPr="006F5F20" w14:paraId="23F8C946" w14:textId="77777777" w:rsidTr="00E5382B">
        <w:trPr>
          <w:jc w:val="center"/>
        </w:trPr>
        <w:tc>
          <w:tcPr>
            <w:tcW w:w="2381" w:type="dxa"/>
            <w:shd w:val="clear" w:color="auto" w:fill="D9EAF7"/>
            <w:tcMar>
              <w:top w:w="90" w:type="dxa"/>
              <w:left w:w="110" w:type="dxa"/>
              <w:bottom w:w="90" w:type="dxa"/>
              <w:right w:w="110" w:type="dxa"/>
            </w:tcMar>
            <w:vAlign w:val="center"/>
          </w:tcPr>
          <w:p w14:paraId="0B559C68" w14:textId="77777777" w:rsidR="00E5382B" w:rsidRPr="006F5F20" w:rsidRDefault="00E5382B" w:rsidP="00E5382B">
            <w:pPr>
              <w:bidi/>
              <w:jc w:val="both"/>
              <w:rPr>
                <w:rFonts w:ascii="Simplified Arabic" w:hAnsi="Simplified Arabic" w:cs="Simplified Arabic"/>
                <w:szCs w:val="24"/>
              </w:rPr>
            </w:pPr>
            <w:r w:rsidRPr="006F5F20">
              <w:rPr>
                <w:rFonts w:ascii="Simplified Arabic" w:hAnsi="Simplified Arabic" w:cs="Simplified Arabic"/>
                <w:b/>
                <w:szCs w:val="24"/>
              </w:rPr>
              <w:t>قرار المراجعة</w:t>
            </w:r>
          </w:p>
        </w:tc>
        <w:tc>
          <w:tcPr>
            <w:tcW w:w="6690" w:type="dxa"/>
            <w:tcMar>
              <w:top w:w="90" w:type="dxa"/>
              <w:left w:w="110" w:type="dxa"/>
              <w:bottom w:w="90" w:type="dxa"/>
              <w:right w:w="110" w:type="dxa"/>
            </w:tcMar>
            <w:vAlign w:val="center"/>
          </w:tcPr>
          <w:p w14:paraId="6E5DEA77" w14:textId="1C101967" w:rsidR="00E5382B" w:rsidRPr="006F5F20" w:rsidRDefault="00E5382B" w:rsidP="00E5382B">
            <w:pPr>
              <w:bidi/>
              <w:jc w:val="center"/>
              <w:rPr>
                <w:rFonts w:ascii="Simplified Arabic" w:hAnsi="Simplified Arabic" w:cs="Simplified Arabic"/>
                <w:szCs w:val="24"/>
              </w:rPr>
            </w:pPr>
            <w:r w:rsidRPr="00716B3A">
              <w:rPr>
                <w:rtl/>
              </w:rPr>
              <w:t>تعديلات جوهرية مطلوبة</w:t>
            </w:r>
            <w:r w:rsidRPr="00716B3A">
              <w:t xml:space="preserve"> (Major Revision)</w:t>
            </w:r>
          </w:p>
        </w:tc>
      </w:tr>
    </w:tbl>
    <w:p w14:paraId="1A4E4797" w14:textId="77777777" w:rsidR="00156125" w:rsidRPr="006F5F20" w:rsidRDefault="004A12FE" w:rsidP="006F5F20">
      <w:pPr>
        <w:bidi/>
        <w:spacing w:before="160" w:after="100"/>
        <w:jc w:val="both"/>
        <w:rPr>
          <w:rFonts w:ascii="Simplified Arabic" w:hAnsi="Simplified Arabic" w:cs="Simplified Arabic"/>
          <w:szCs w:val="24"/>
        </w:rPr>
      </w:pPr>
      <w:proofErr w:type="spellStart"/>
      <w:r w:rsidRPr="006F5F20">
        <w:rPr>
          <w:rFonts w:ascii="Simplified Arabic" w:hAnsi="Simplified Arabic" w:cs="Simplified Arabic"/>
          <w:b/>
          <w:color w:val="1F4E78"/>
          <w:szCs w:val="24"/>
        </w:rPr>
        <w:t>أولًا</w:t>
      </w:r>
      <w:proofErr w:type="spellEnd"/>
      <w:r w:rsidRPr="006F5F20">
        <w:rPr>
          <w:rFonts w:ascii="Simplified Arabic" w:hAnsi="Simplified Arabic" w:cs="Simplified Arabic"/>
          <w:b/>
          <w:color w:val="1F4E78"/>
          <w:szCs w:val="24"/>
        </w:rPr>
        <w:t xml:space="preserve">: </w:t>
      </w:r>
      <w:proofErr w:type="spellStart"/>
      <w:r w:rsidRPr="006F5F20">
        <w:rPr>
          <w:rFonts w:ascii="Simplified Arabic" w:hAnsi="Simplified Arabic" w:cs="Simplified Arabic"/>
          <w:b/>
          <w:color w:val="1F4E78"/>
          <w:szCs w:val="24"/>
        </w:rPr>
        <w:t>التقدير</w:t>
      </w:r>
      <w:proofErr w:type="spellEnd"/>
      <w:r w:rsidRPr="006F5F20">
        <w:rPr>
          <w:rFonts w:ascii="Simplified Arabic" w:hAnsi="Simplified Arabic" w:cs="Simplified Arabic"/>
          <w:b/>
          <w:color w:val="1F4E78"/>
          <w:szCs w:val="24"/>
        </w:rPr>
        <w:t xml:space="preserve"> </w:t>
      </w:r>
      <w:proofErr w:type="spellStart"/>
      <w:r w:rsidRPr="006F5F20">
        <w:rPr>
          <w:rFonts w:ascii="Simplified Arabic" w:hAnsi="Simplified Arabic" w:cs="Simplified Arabic"/>
          <w:b/>
          <w:color w:val="1F4E78"/>
          <w:szCs w:val="24"/>
        </w:rPr>
        <w:t>العام</w:t>
      </w:r>
      <w:proofErr w:type="spellEnd"/>
    </w:p>
    <w:p w14:paraId="0D5D507E" w14:textId="77777777" w:rsidR="006F5F20" w:rsidRPr="00E5382B" w:rsidRDefault="006F5F20" w:rsidP="006F5F20">
      <w:pPr>
        <w:bidi/>
        <w:spacing w:before="160" w:after="100"/>
        <w:jc w:val="both"/>
        <w:rPr>
          <w:rFonts w:ascii="Simplified Arabic" w:hAnsi="Simplified Arabic" w:cs="Simplified Arabic"/>
          <w:b/>
          <w:szCs w:val="24"/>
        </w:rPr>
      </w:pPr>
      <w:r w:rsidRPr="00E5382B">
        <w:rPr>
          <w:rFonts w:ascii="Simplified Arabic" w:hAnsi="Simplified Arabic" w:cs="Simplified Arabic"/>
          <w:b/>
          <w:szCs w:val="24"/>
          <w:rtl/>
        </w:rPr>
        <w:t>تُظهر النسخة الحالية تحسنًا جزئيًا مقارنة بتقرير المراجعة السابق؛ إذ أصبح عرض متغيرات الدراسة أوضح من خلال جدول مفاهيم يتضمن تعريفات نظرية وإجرائية وأبعادًا أولية للقياس، كما ظهرت محاولة أفضل لتحديد العلاقات المباشرة بين استخدام تقنيات الذكاء الاصطناعي، وتكامل البنية التحتية الذكية، والموارد البشرية والتشغيلية من جهة، وأداء نظم المراقبة الذكية من جهة أخرى. ومع ذلك، فإن هذا التحسن ما يزال محدودًا، لأن عددًا من الملاحظات الجوهرية السابقة لم يُغلق بصورة كافية في النسخة الحالية، وبخاصة ما يتعلق بالإطار النظري القائد، ومنهج مراجعة الأدبيات، والتوليف المقارن للدراسات، واتساق النموذج المفاهيمي مع الفجوة والفرضيات.</w:t>
      </w:r>
    </w:p>
    <w:p w14:paraId="4FE5A5EC" w14:textId="77777777" w:rsidR="006F5F20" w:rsidRPr="006F5F20" w:rsidRDefault="006F5F20" w:rsidP="006F5F20">
      <w:pPr>
        <w:bidi/>
        <w:spacing w:before="160" w:after="100"/>
        <w:jc w:val="both"/>
        <w:rPr>
          <w:rFonts w:ascii="Simplified Arabic" w:hAnsi="Simplified Arabic" w:cs="Simplified Arabic"/>
          <w:b/>
          <w:color w:val="1F4E78"/>
          <w:szCs w:val="24"/>
        </w:rPr>
        <w:sectPr w:rsidR="006F5F20" w:rsidRPr="006F5F20" w:rsidSect="00034616">
          <w:pgSz w:w="12240" w:h="15840"/>
          <w:pgMar w:top="1134" w:right="1247" w:bottom="1134" w:left="1247" w:header="720" w:footer="720" w:gutter="0"/>
          <w:cols w:space="720"/>
          <w:docGrid w:linePitch="360"/>
        </w:sectPr>
      </w:pPr>
    </w:p>
    <w:p w14:paraId="240AC63B" w14:textId="2CA9E906" w:rsidR="00156125" w:rsidRPr="006F5F20" w:rsidRDefault="004A12FE" w:rsidP="006F5F20">
      <w:pPr>
        <w:bidi/>
        <w:spacing w:before="160" w:after="0"/>
        <w:jc w:val="both"/>
        <w:rPr>
          <w:rFonts w:ascii="Simplified Arabic" w:hAnsi="Simplified Arabic" w:cs="Simplified Arabic"/>
          <w:szCs w:val="24"/>
        </w:rPr>
      </w:pPr>
      <w:proofErr w:type="spellStart"/>
      <w:r w:rsidRPr="006F5F20">
        <w:rPr>
          <w:rFonts w:ascii="Simplified Arabic" w:hAnsi="Simplified Arabic" w:cs="Simplified Arabic"/>
          <w:b/>
          <w:color w:val="1F4E78"/>
          <w:szCs w:val="24"/>
        </w:rPr>
        <w:lastRenderedPageBreak/>
        <w:t>ثانيًا</w:t>
      </w:r>
      <w:proofErr w:type="spellEnd"/>
      <w:r w:rsidRPr="006F5F20">
        <w:rPr>
          <w:rFonts w:ascii="Simplified Arabic" w:hAnsi="Simplified Arabic" w:cs="Simplified Arabic"/>
          <w:b/>
          <w:color w:val="1F4E78"/>
          <w:szCs w:val="24"/>
        </w:rPr>
        <w:t xml:space="preserve">: </w:t>
      </w:r>
      <w:proofErr w:type="spellStart"/>
      <w:r w:rsidRPr="006F5F20">
        <w:rPr>
          <w:rFonts w:ascii="Simplified Arabic" w:hAnsi="Simplified Arabic" w:cs="Simplified Arabic"/>
          <w:b/>
          <w:color w:val="1F4E78"/>
          <w:szCs w:val="24"/>
        </w:rPr>
        <w:t>الملاحظات</w:t>
      </w:r>
      <w:proofErr w:type="spellEnd"/>
      <w:r w:rsidRPr="006F5F20">
        <w:rPr>
          <w:rFonts w:ascii="Simplified Arabic" w:hAnsi="Simplified Arabic" w:cs="Simplified Arabic"/>
          <w:b/>
          <w:color w:val="1F4E78"/>
          <w:szCs w:val="24"/>
        </w:rPr>
        <w:t xml:space="preserve"> </w:t>
      </w:r>
      <w:proofErr w:type="spellStart"/>
      <w:r w:rsidRPr="006F5F20">
        <w:rPr>
          <w:rFonts w:ascii="Simplified Arabic" w:hAnsi="Simplified Arabic" w:cs="Simplified Arabic"/>
          <w:b/>
          <w:color w:val="1F4E78"/>
          <w:szCs w:val="24"/>
        </w:rPr>
        <w:t>الجوهرية</w:t>
      </w:r>
      <w:proofErr w:type="spellEnd"/>
      <w:r w:rsidRPr="006F5F20">
        <w:rPr>
          <w:rFonts w:ascii="Simplified Arabic" w:hAnsi="Simplified Arabic" w:cs="Simplified Arabic"/>
          <w:b/>
          <w:color w:val="1F4E78"/>
          <w:szCs w:val="24"/>
        </w:rPr>
        <w:t xml:space="preserve"> </w:t>
      </w:r>
      <w:proofErr w:type="spellStart"/>
      <w:r w:rsidRPr="006F5F20">
        <w:rPr>
          <w:rFonts w:ascii="Simplified Arabic" w:hAnsi="Simplified Arabic" w:cs="Simplified Arabic"/>
          <w:b/>
          <w:color w:val="1F4E78"/>
          <w:szCs w:val="24"/>
        </w:rPr>
        <w:t>التي</w:t>
      </w:r>
      <w:proofErr w:type="spellEnd"/>
      <w:r w:rsidRPr="006F5F20">
        <w:rPr>
          <w:rFonts w:ascii="Simplified Arabic" w:hAnsi="Simplified Arabic" w:cs="Simplified Arabic"/>
          <w:b/>
          <w:color w:val="1F4E78"/>
          <w:szCs w:val="24"/>
        </w:rPr>
        <w:t xml:space="preserve"> </w:t>
      </w:r>
      <w:r w:rsidRPr="006F5F20">
        <w:rPr>
          <w:rFonts w:ascii="Simplified Arabic" w:hAnsi="Simplified Arabic" w:cs="Simplified Arabic"/>
          <w:b/>
          <w:color w:val="1F4E78"/>
          <w:szCs w:val="24"/>
        </w:rPr>
        <w:t>ما</w:t>
      </w:r>
      <w:r w:rsidRPr="006F5F20">
        <w:rPr>
          <w:rFonts w:ascii="Simplified Arabic" w:hAnsi="Simplified Arabic" w:cs="Simplified Arabic"/>
          <w:b/>
          <w:color w:val="1F4E78"/>
          <w:szCs w:val="24"/>
        </w:rPr>
        <w:t xml:space="preserve"> </w:t>
      </w:r>
      <w:r w:rsidRPr="006F5F20">
        <w:rPr>
          <w:rFonts w:ascii="Simplified Arabic" w:hAnsi="Simplified Arabic" w:cs="Simplified Arabic"/>
          <w:b/>
          <w:color w:val="1F4E78"/>
          <w:szCs w:val="24"/>
        </w:rPr>
        <w:t>تزال</w:t>
      </w:r>
      <w:r w:rsidRPr="006F5F20">
        <w:rPr>
          <w:rFonts w:ascii="Simplified Arabic" w:hAnsi="Simplified Arabic" w:cs="Simplified Arabic"/>
          <w:b/>
          <w:color w:val="1F4E78"/>
          <w:szCs w:val="24"/>
        </w:rPr>
        <w:t xml:space="preserve"> </w:t>
      </w:r>
      <w:r w:rsidRPr="006F5F20">
        <w:rPr>
          <w:rFonts w:ascii="Simplified Arabic" w:hAnsi="Simplified Arabic" w:cs="Simplified Arabic"/>
          <w:b/>
          <w:color w:val="1F4E78"/>
          <w:szCs w:val="24"/>
        </w:rPr>
        <w:t>قائمة</w:t>
      </w:r>
    </w:p>
    <w:tbl>
      <w:tblPr>
        <w:tblStyle w:val="TableGrid"/>
        <w:bidiVisual/>
        <w:tblW w:w="0" w:type="auto"/>
        <w:jc w:val="center"/>
        <w:tblLayout w:type="fixed"/>
        <w:tblLook w:val="04A0" w:firstRow="1" w:lastRow="0" w:firstColumn="1" w:lastColumn="0" w:noHBand="0" w:noVBand="1"/>
      </w:tblPr>
      <w:tblGrid>
        <w:gridCol w:w="764"/>
        <w:gridCol w:w="2233"/>
        <w:gridCol w:w="10357"/>
      </w:tblGrid>
      <w:tr w:rsidR="006F5F20" w:rsidRPr="006F5F20" w14:paraId="21EBF05B" w14:textId="77777777" w:rsidTr="00E5382B">
        <w:trPr>
          <w:jc w:val="center"/>
        </w:trPr>
        <w:tc>
          <w:tcPr>
            <w:tcW w:w="764" w:type="dxa"/>
            <w:shd w:val="clear" w:color="auto" w:fill="D9EAF7"/>
            <w:tcMar>
              <w:top w:w="90" w:type="dxa"/>
              <w:left w:w="110" w:type="dxa"/>
              <w:bottom w:w="90" w:type="dxa"/>
              <w:right w:w="110" w:type="dxa"/>
            </w:tcMar>
          </w:tcPr>
          <w:p w14:paraId="4C6378FC" w14:textId="61279FDE" w:rsidR="006F5F20" w:rsidRPr="006F5F20" w:rsidRDefault="006F5F20" w:rsidP="006F5F20">
            <w:pPr>
              <w:bidi/>
              <w:jc w:val="center"/>
              <w:rPr>
                <w:rFonts w:ascii="Simplified Arabic" w:hAnsi="Simplified Arabic" w:cs="Simplified Arabic"/>
                <w:b/>
                <w:bCs/>
                <w:szCs w:val="24"/>
              </w:rPr>
            </w:pPr>
            <w:r w:rsidRPr="006F5F20">
              <w:rPr>
                <w:rFonts w:ascii="Simplified Arabic" w:hAnsi="Simplified Arabic" w:cs="Simplified Arabic"/>
                <w:b/>
                <w:bCs/>
                <w:szCs w:val="24"/>
                <w:rtl/>
              </w:rPr>
              <w:t>م</w:t>
            </w:r>
          </w:p>
        </w:tc>
        <w:tc>
          <w:tcPr>
            <w:tcW w:w="2233" w:type="dxa"/>
            <w:shd w:val="clear" w:color="auto" w:fill="D9EAF7"/>
            <w:tcMar>
              <w:top w:w="90" w:type="dxa"/>
              <w:left w:w="110" w:type="dxa"/>
              <w:bottom w:w="90" w:type="dxa"/>
              <w:right w:w="110" w:type="dxa"/>
            </w:tcMar>
          </w:tcPr>
          <w:p w14:paraId="1F253430" w14:textId="482CEF80" w:rsidR="006F5F20" w:rsidRPr="006F5F20" w:rsidRDefault="006F5F20" w:rsidP="006F5F20">
            <w:pPr>
              <w:bidi/>
              <w:jc w:val="center"/>
              <w:rPr>
                <w:rFonts w:ascii="Simplified Arabic" w:hAnsi="Simplified Arabic" w:cs="Simplified Arabic"/>
                <w:b/>
                <w:bCs/>
                <w:szCs w:val="24"/>
              </w:rPr>
            </w:pPr>
            <w:r w:rsidRPr="006F5F20">
              <w:rPr>
                <w:rFonts w:ascii="Simplified Arabic" w:hAnsi="Simplified Arabic" w:cs="Simplified Arabic"/>
                <w:b/>
                <w:bCs/>
                <w:szCs w:val="24"/>
                <w:rtl/>
              </w:rPr>
              <w:t>الملاحظة الجوهرية</w:t>
            </w:r>
          </w:p>
        </w:tc>
        <w:tc>
          <w:tcPr>
            <w:tcW w:w="10357" w:type="dxa"/>
            <w:shd w:val="clear" w:color="auto" w:fill="D9EAF7"/>
            <w:tcMar>
              <w:top w:w="90" w:type="dxa"/>
              <w:left w:w="110" w:type="dxa"/>
              <w:bottom w:w="90" w:type="dxa"/>
              <w:right w:w="110" w:type="dxa"/>
            </w:tcMar>
            <w:vAlign w:val="center"/>
          </w:tcPr>
          <w:p w14:paraId="714FEAB4" w14:textId="4346EABF" w:rsidR="006F5F20" w:rsidRPr="006F5F20" w:rsidRDefault="006F5F20" w:rsidP="006F5F20">
            <w:pPr>
              <w:bidi/>
              <w:jc w:val="center"/>
              <w:rPr>
                <w:rFonts w:ascii="Simplified Arabic" w:hAnsi="Simplified Arabic" w:cs="Simplified Arabic"/>
                <w:b/>
                <w:bCs/>
                <w:szCs w:val="24"/>
                <w:rtl/>
              </w:rPr>
            </w:pPr>
            <w:r w:rsidRPr="006F5F20">
              <w:rPr>
                <w:rFonts w:ascii="Simplified Arabic" w:hAnsi="Simplified Arabic" w:cs="Simplified Arabic"/>
                <w:b/>
                <w:bCs/>
                <w:szCs w:val="24"/>
                <w:rtl/>
              </w:rPr>
              <w:t>التعليق</w:t>
            </w:r>
          </w:p>
        </w:tc>
      </w:tr>
      <w:tr w:rsidR="006F5F20" w:rsidRPr="006F5F20" w14:paraId="6444FCA5" w14:textId="77777777" w:rsidTr="00E5382B">
        <w:trPr>
          <w:jc w:val="center"/>
        </w:trPr>
        <w:tc>
          <w:tcPr>
            <w:tcW w:w="764" w:type="dxa"/>
            <w:tcMar>
              <w:top w:w="90" w:type="dxa"/>
              <w:left w:w="110" w:type="dxa"/>
              <w:bottom w:w="90" w:type="dxa"/>
              <w:right w:w="110" w:type="dxa"/>
            </w:tcMar>
          </w:tcPr>
          <w:p w14:paraId="73709B5D" w14:textId="7BBB1A9A"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Pr>
              <w:t>1</w:t>
            </w:r>
          </w:p>
        </w:tc>
        <w:tc>
          <w:tcPr>
            <w:tcW w:w="2233" w:type="dxa"/>
            <w:tcMar>
              <w:top w:w="90" w:type="dxa"/>
              <w:left w:w="110" w:type="dxa"/>
              <w:bottom w:w="90" w:type="dxa"/>
              <w:right w:w="110" w:type="dxa"/>
            </w:tcMar>
            <w:vAlign w:val="center"/>
          </w:tcPr>
          <w:p w14:paraId="4205237D" w14:textId="00A681DE" w:rsidR="006F5F20" w:rsidRPr="006F5F20" w:rsidRDefault="006F5F20" w:rsidP="006F5F20">
            <w:pPr>
              <w:bidi/>
              <w:jc w:val="center"/>
              <w:rPr>
                <w:rFonts w:ascii="Simplified Arabic" w:hAnsi="Simplified Arabic" w:cs="Simplified Arabic"/>
                <w:b/>
                <w:bCs/>
                <w:szCs w:val="24"/>
              </w:rPr>
            </w:pPr>
            <w:r w:rsidRPr="006F5F20">
              <w:rPr>
                <w:rFonts w:ascii="Simplified Arabic" w:hAnsi="Simplified Arabic" w:cs="Simplified Arabic"/>
                <w:b/>
                <w:bCs/>
                <w:szCs w:val="24"/>
                <w:rtl/>
              </w:rPr>
              <w:t>منهجية مراجعة الأدبيات</w:t>
            </w:r>
          </w:p>
        </w:tc>
        <w:tc>
          <w:tcPr>
            <w:tcW w:w="10357" w:type="dxa"/>
            <w:tcMar>
              <w:top w:w="90" w:type="dxa"/>
              <w:left w:w="110" w:type="dxa"/>
              <w:bottom w:w="90" w:type="dxa"/>
              <w:right w:w="110" w:type="dxa"/>
            </w:tcMar>
          </w:tcPr>
          <w:p w14:paraId="5A2F510B" w14:textId="14C7B799"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tl/>
              </w:rPr>
              <w:t>لا يظهر في الفصل الثاني تمهيد منهجي مستقل يوضح طريقة البحث عن الأدبيات ومعايير الاختيار والاستبعاد وحدود المراجعة، بل يظل الاعتماد على عرض عام غير كافٍ لمستوى الدكتوراه</w:t>
            </w:r>
            <w:r w:rsidRPr="006F5F20">
              <w:rPr>
                <w:rFonts w:ascii="Simplified Arabic" w:hAnsi="Simplified Arabic" w:cs="Simplified Arabic"/>
                <w:szCs w:val="24"/>
              </w:rPr>
              <w:t>.</w:t>
            </w:r>
          </w:p>
        </w:tc>
      </w:tr>
      <w:tr w:rsidR="006F5F20" w:rsidRPr="006F5F20" w14:paraId="44354644" w14:textId="77777777" w:rsidTr="00E5382B">
        <w:trPr>
          <w:jc w:val="center"/>
        </w:trPr>
        <w:tc>
          <w:tcPr>
            <w:tcW w:w="764" w:type="dxa"/>
            <w:tcMar>
              <w:top w:w="90" w:type="dxa"/>
              <w:left w:w="110" w:type="dxa"/>
              <w:bottom w:w="90" w:type="dxa"/>
              <w:right w:w="110" w:type="dxa"/>
            </w:tcMar>
          </w:tcPr>
          <w:p w14:paraId="459D2420" w14:textId="53F86F85"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Pr>
              <w:t>2</w:t>
            </w:r>
          </w:p>
        </w:tc>
        <w:tc>
          <w:tcPr>
            <w:tcW w:w="2233" w:type="dxa"/>
            <w:tcMar>
              <w:top w:w="90" w:type="dxa"/>
              <w:left w:w="110" w:type="dxa"/>
              <w:bottom w:w="90" w:type="dxa"/>
              <w:right w:w="110" w:type="dxa"/>
            </w:tcMar>
            <w:vAlign w:val="center"/>
          </w:tcPr>
          <w:p w14:paraId="387FC5D4" w14:textId="0ED0D0A2" w:rsidR="006F5F20" w:rsidRPr="006F5F20" w:rsidRDefault="006F5F20" w:rsidP="006F5F20">
            <w:pPr>
              <w:bidi/>
              <w:jc w:val="center"/>
              <w:rPr>
                <w:rFonts w:ascii="Simplified Arabic" w:hAnsi="Simplified Arabic" w:cs="Simplified Arabic"/>
                <w:b/>
                <w:bCs/>
                <w:szCs w:val="24"/>
              </w:rPr>
            </w:pPr>
            <w:r w:rsidRPr="006F5F20">
              <w:rPr>
                <w:rFonts w:ascii="Simplified Arabic" w:hAnsi="Simplified Arabic" w:cs="Simplified Arabic"/>
                <w:b/>
                <w:bCs/>
                <w:szCs w:val="24"/>
                <w:rtl/>
              </w:rPr>
              <w:t>الإطار النظري القائد والآليات التفسيرية</w:t>
            </w:r>
          </w:p>
        </w:tc>
        <w:tc>
          <w:tcPr>
            <w:tcW w:w="10357" w:type="dxa"/>
            <w:tcMar>
              <w:top w:w="90" w:type="dxa"/>
              <w:left w:w="110" w:type="dxa"/>
              <w:bottom w:w="90" w:type="dxa"/>
              <w:right w:w="110" w:type="dxa"/>
            </w:tcMar>
          </w:tcPr>
          <w:p w14:paraId="18D52691" w14:textId="4CDB2D97"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tl/>
              </w:rPr>
              <w:t>ما يزال الفصل يفتقر إلى نظرية أو منظور تفسيري محوري يقود الحجة العلمية؛ إذ عُرضت العلاقات بين المتغيرات بصيغة وصفية مباشرة من غير تأسيس نظري محكم يفسر كيف ولماذا تؤثر المتغيرات المستقلة في الأداء الأمني</w:t>
            </w:r>
            <w:r w:rsidRPr="006F5F20">
              <w:rPr>
                <w:rFonts w:ascii="Simplified Arabic" w:hAnsi="Simplified Arabic" w:cs="Simplified Arabic"/>
                <w:szCs w:val="24"/>
              </w:rPr>
              <w:t>.</w:t>
            </w:r>
          </w:p>
        </w:tc>
      </w:tr>
      <w:tr w:rsidR="006F5F20" w:rsidRPr="006F5F20" w14:paraId="7A2FAE6C" w14:textId="77777777" w:rsidTr="00E5382B">
        <w:trPr>
          <w:jc w:val="center"/>
        </w:trPr>
        <w:tc>
          <w:tcPr>
            <w:tcW w:w="764" w:type="dxa"/>
            <w:tcMar>
              <w:top w:w="90" w:type="dxa"/>
              <w:left w:w="110" w:type="dxa"/>
              <w:bottom w:w="90" w:type="dxa"/>
              <w:right w:w="110" w:type="dxa"/>
            </w:tcMar>
          </w:tcPr>
          <w:p w14:paraId="4AD58461" w14:textId="7CDB189B"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Pr>
              <w:t>3</w:t>
            </w:r>
          </w:p>
        </w:tc>
        <w:tc>
          <w:tcPr>
            <w:tcW w:w="2233" w:type="dxa"/>
            <w:tcMar>
              <w:top w:w="90" w:type="dxa"/>
              <w:left w:w="110" w:type="dxa"/>
              <w:bottom w:w="90" w:type="dxa"/>
              <w:right w:w="110" w:type="dxa"/>
            </w:tcMar>
            <w:vAlign w:val="center"/>
          </w:tcPr>
          <w:p w14:paraId="7C4469BB" w14:textId="7BE0860E" w:rsidR="006F5F20" w:rsidRPr="006F5F20" w:rsidRDefault="006F5F20" w:rsidP="006F5F20">
            <w:pPr>
              <w:bidi/>
              <w:jc w:val="center"/>
              <w:rPr>
                <w:rFonts w:ascii="Simplified Arabic" w:hAnsi="Simplified Arabic" w:cs="Simplified Arabic"/>
                <w:b/>
                <w:bCs/>
                <w:szCs w:val="24"/>
              </w:rPr>
            </w:pPr>
            <w:r w:rsidRPr="006F5F20">
              <w:rPr>
                <w:rFonts w:ascii="Simplified Arabic" w:hAnsi="Simplified Arabic" w:cs="Simplified Arabic"/>
                <w:b/>
                <w:bCs/>
                <w:szCs w:val="24"/>
                <w:rtl/>
              </w:rPr>
              <w:t>اتساق النموذج المفاهيمي مع الفجوة والفرضيات</w:t>
            </w:r>
          </w:p>
        </w:tc>
        <w:tc>
          <w:tcPr>
            <w:tcW w:w="10357" w:type="dxa"/>
            <w:tcMar>
              <w:top w:w="90" w:type="dxa"/>
              <w:left w:w="110" w:type="dxa"/>
              <w:bottom w:w="90" w:type="dxa"/>
              <w:right w:w="110" w:type="dxa"/>
            </w:tcMar>
          </w:tcPr>
          <w:p w14:paraId="67992BBC" w14:textId="0F70DEDD"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tl/>
              </w:rPr>
              <w:t>يوجد عدم اتساق واضح بين مكونات النموذج؛ إذ ذُكرت التحديات التقنية والبشرية كمتغير وسيط في بعض المواضع، بينما عُرض نموذج الدراسة والفرضيات بوصفها علاقات مباشرة فقط، وهو ما يضعف البناء المفاهيمي للفصل</w:t>
            </w:r>
            <w:r w:rsidRPr="006F5F20">
              <w:rPr>
                <w:rFonts w:ascii="Simplified Arabic" w:hAnsi="Simplified Arabic" w:cs="Simplified Arabic"/>
                <w:szCs w:val="24"/>
              </w:rPr>
              <w:t>.</w:t>
            </w:r>
          </w:p>
        </w:tc>
      </w:tr>
      <w:tr w:rsidR="006F5F20" w:rsidRPr="006F5F20" w14:paraId="1D005AD0" w14:textId="77777777" w:rsidTr="00E5382B">
        <w:trPr>
          <w:jc w:val="center"/>
        </w:trPr>
        <w:tc>
          <w:tcPr>
            <w:tcW w:w="764" w:type="dxa"/>
            <w:tcMar>
              <w:top w:w="90" w:type="dxa"/>
              <w:left w:w="110" w:type="dxa"/>
              <w:bottom w:w="90" w:type="dxa"/>
              <w:right w:w="110" w:type="dxa"/>
            </w:tcMar>
          </w:tcPr>
          <w:p w14:paraId="1243715A" w14:textId="7C4BE399"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Pr>
              <w:t>4</w:t>
            </w:r>
          </w:p>
        </w:tc>
        <w:tc>
          <w:tcPr>
            <w:tcW w:w="2233" w:type="dxa"/>
            <w:tcMar>
              <w:top w:w="90" w:type="dxa"/>
              <w:left w:w="110" w:type="dxa"/>
              <w:bottom w:w="90" w:type="dxa"/>
              <w:right w:w="110" w:type="dxa"/>
            </w:tcMar>
            <w:vAlign w:val="center"/>
          </w:tcPr>
          <w:p w14:paraId="406056F2" w14:textId="6F83BD0F" w:rsidR="006F5F20" w:rsidRPr="006F5F20" w:rsidRDefault="006F5F20" w:rsidP="006F5F20">
            <w:pPr>
              <w:bidi/>
              <w:jc w:val="center"/>
              <w:rPr>
                <w:rFonts w:ascii="Simplified Arabic" w:hAnsi="Simplified Arabic" w:cs="Simplified Arabic"/>
                <w:b/>
                <w:bCs/>
                <w:szCs w:val="24"/>
              </w:rPr>
            </w:pPr>
            <w:r w:rsidRPr="006F5F20">
              <w:rPr>
                <w:rFonts w:ascii="Simplified Arabic" w:hAnsi="Simplified Arabic" w:cs="Simplified Arabic"/>
                <w:b/>
                <w:bCs/>
                <w:szCs w:val="24"/>
                <w:rtl/>
              </w:rPr>
              <w:t>التوليف النقدي للدراسات السابقة</w:t>
            </w:r>
          </w:p>
        </w:tc>
        <w:tc>
          <w:tcPr>
            <w:tcW w:w="10357" w:type="dxa"/>
            <w:tcMar>
              <w:top w:w="90" w:type="dxa"/>
              <w:left w:w="110" w:type="dxa"/>
              <w:bottom w:w="90" w:type="dxa"/>
              <w:right w:w="110" w:type="dxa"/>
            </w:tcMar>
          </w:tcPr>
          <w:p w14:paraId="4AF4662B" w14:textId="78227210"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tl/>
              </w:rPr>
              <w:t>لا يزال عرض الدراسات السابقة أقرب إلى التلخيص الفردي والجداول الوصفية، ولم يتحول بعد إلى توليف تحليلي يبرز النتائج المتسقة والمتعارضة والحدود المنهجية والسياقية، كما أن بعض الدراسات ما تزال بعيدة نسبيًا عن جوهر نموذج الدراسة</w:t>
            </w:r>
            <w:r w:rsidRPr="006F5F20">
              <w:rPr>
                <w:rFonts w:ascii="Simplified Arabic" w:hAnsi="Simplified Arabic" w:cs="Simplified Arabic"/>
                <w:szCs w:val="24"/>
              </w:rPr>
              <w:t>.</w:t>
            </w:r>
          </w:p>
        </w:tc>
      </w:tr>
      <w:tr w:rsidR="006F5F20" w:rsidRPr="006F5F20" w14:paraId="62AAF6AD" w14:textId="77777777" w:rsidTr="00E5382B">
        <w:trPr>
          <w:jc w:val="center"/>
        </w:trPr>
        <w:tc>
          <w:tcPr>
            <w:tcW w:w="764" w:type="dxa"/>
            <w:tcMar>
              <w:top w:w="90" w:type="dxa"/>
              <w:left w:w="110" w:type="dxa"/>
              <w:bottom w:w="90" w:type="dxa"/>
              <w:right w:w="110" w:type="dxa"/>
            </w:tcMar>
          </w:tcPr>
          <w:p w14:paraId="31A89336" w14:textId="06675700"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Pr>
              <w:t>5</w:t>
            </w:r>
          </w:p>
        </w:tc>
        <w:tc>
          <w:tcPr>
            <w:tcW w:w="2233" w:type="dxa"/>
            <w:tcMar>
              <w:top w:w="90" w:type="dxa"/>
              <w:left w:w="110" w:type="dxa"/>
              <w:bottom w:w="90" w:type="dxa"/>
              <w:right w:w="110" w:type="dxa"/>
            </w:tcMar>
            <w:vAlign w:val="center"/>
          </w:tcPr>
          <w:p w14:paraId="2B245A8E" w14:textId="2BF8D552" w:rsidR="006F5F20" w:rsidRPr="006F5F20" w:rsidRDefault="006F5F20" w:rsidP="006F5F20">
            <w:pPr>
              <w:bidi/>
              <w:jc w:val="center"/>
              <w:rPr>
                <w:rFonts w:ascii="Simplified Arabic" w:hAnsi="Simplified Arabic" w:cs="Simplified Arabic"/>
                <w:b/>
                <w:bCs/>
                <w:szCs w:val="24"/>
              </w:rPr>
            </w:pPr>
            <w:r w:rsidRPr="006F5F20">
              <w:rPr>
                <w:rFonts w:ascii="Simplified Arabic" w:hAnsi="Simplified Arabic" w:cs="Simplified Arabic"/>
                <w:b/>
                <w:bCs/>
                <w:szCs w:val="24"/>
                <w:rtl/>
              </w:rPr>
              <w:t>تنظيم الدراسات وفق محاور العلاقة</w:t>
            </w:r>
          </w:p>
        </w:tc>
        <w:tc>
          <w:tcPr>
            <w:tcW w:w="10357" w:type="dxa"/>
            <w:tcMar>
              <w:top w:w="90" w:type="dxa"/>
              <w:left w:w="110" w:type="dxa"/>
              <w:bottom w:w="90" w:type="dxa"/>
              <w:right w:w="110" w:type="dxa"/>
            </w:tcMar>
          </w:tcPr>
          <w:p w14:paraId="2CB2CE8E" w14:textId="5C7ECF57"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tl/>
              </w:rPr>
              <w:t>لم يُحسم تنظيم الدراسات السابقة بصورة كافية حول علاقات النموذج الأساسية، مثل: الذكاء الاصطناعي والأداء الأمني، البنية التحتية والأداء، الموارد البشرية والأداء، ثم الدراسات التي تجمع هذه المتغيرات في سياق أمني حضري</w:t>
            </w:r>
            <w:r w:rsidRPr="006F5F20">
              <w:rPr>
                <w:rFonts w:ascii="Simplified Arabic" w:hAnsi="Simplified Arabic" w:cs="Simplified Arabic"/>
                <w:szCs w:val="24"/>
              </w:rPr>
              <w:t>.</w:t>
            </w:r>
          </w:p>
        </w:tc>
      </w:tr>
      <w:tr w:rsidR="006F5F20" w:rsidRPr="006F5F20" w14:paraId="114CC026" w14:textId="77777777" w:rsidTr="00E5382B">
        <w:trPr>
          <w:jc w:val="center"/>
        </w:trPr>
        <w:tc>
          <w:tcPr>
            <w:tcW w:w="764" w:type="dxa"/>
            <w:tcMar>
              <w:top w:w="90" w:type="dxa"/>
              <w:left w:w="110" w:type="dxa"/>
              <w:bottom w:w="90" w:type="dxa"/>
              <w:right w:w="110" w:type="dxa"/>
            </w:tcMar>
          </w:tcPr>
          <w:p w14:paraId="53C62390" w14:textId="45815C90"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Pr>
              <w:t>6</w:t>
            </w:r>
          </w:p>
        </w:tc>
        <w:tc>
          <w:tcPr>
            <w:tcW w:w="2233" w:type="dxa"/>
            <w:tcMar>
              <w:top w:w="90" w:type="dxa"/>
              <w:left w:w="110" w:type="dxa"/>
              <w:bottom w:w="90" w:type="dxa"/>
              <w:right w:w="110" w:type="dxa"/>
            </w:tcMar>
            <w:vAlign w:val="center"/>
          </w:tcPr>
          <w:p w14:paraId="734F278C" w14:textId="041C81C9" w:rsidR="006F5F20" w:rsidRPr="006F5F20" w:rsidRDefault="006F5F20" w:rsidP="006F5F20">
            <w:pPr>
              <w:bidi/>
              <w:jc w:val="center"/>
              <w:rPr>
                <w:rFonts w:ascii="Simplified Arabic" w:hAnsi="Simplified Arabic" w:cs="Simplified Arabic"/>
                <w:b/>
                <w:bCs/>
                <w:szCs w:val="24"/>
              </w:rPr>
            </w:pPr>
            <w:r w:rsidRPr="006F5F20">
              <w:rPr>
                <w:rFonts w:ascii="Simplified Arabic" w:hAnsi="Simplified Arabic" w:cs="Simplified Arabic"/>
                <w:b/>
                <w:bCs/>
                <w:szCs w:val="24"/>
                <w:rtl/>
              </w:rPr>
              <w:t>الحدود المفاهيمية والقياس</w:t>
            </w:r>
          </w:p>
        </w:tc>
        <w:tc>
          <w:tcPr>
            <w:tcW w:w="10357" w:type="dxa"/>
            <w:tcMar>
              <w:top w:w="90" w:type="dxa"/>
              <w:left w:w="110" w:type="dxa"/>
              <w:bottom w:w="90" w:type="dxa"/>
              <w:right w:w="110" w:type="dxa"/>
            </w:tcMar>
          </w:tcPr>
          <w:p w14:paraId="3EAD16B4" w14:textId="07E51C71"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tl/>
              </w:rPr>
              <w:t>رغم تحسن جانب التعريفات والقياس مقارنة بالمراجعة السابقة، فإن بعض الحدود المفاهيمية ما تزال بحاجة إلى ضبط أكاديمي أوضح، ولا سيما التمييز بين الذكاء الاصطناعي، ونظم المراقبة الذكية، والأمن الحضري، مع مراجعة صياغة بعض البنود والمصطلحات الفنية</w:t>
            </w:r>
            <w:r w:rsidRPr="006F5F20">
              <w:rPr>
                <w:rFonts w:ascii="Simplified Arabic" w:hAnsi="Simplified Arabic" w:cs="Simplified Arabic"/>
                <w:szCs w:val="24"/>
              </w:rPr>
              <w:t>.</w:t>
            </w:r>
          </w:p>
        </w:tc>
      </w:tr>
      <w:tr w:rsidR="006F5F20" w:rsidRPr="006F5F20" w14:paraId="0DDA0CBD" w14:textId="77777777" w:rsidTr="00E5382B">
        <w:trPr>
          <w:jc w:val="center"/>
        </w:trPr>
        <w:tc>
          <w:tcPr>
            <w:tcW w:w="764" w:type="dxa"/>
            <w:tcMar>
              <w:top w:w="90" w:type="dxa"/>
              <w:left w:w="110" w:type="dxa"/>
              <w:bottom w:w="90" w:type="dxa"/>
              <w:right w:w="110" w:type="dxa"/>
            </w:tcMar>
          </w:tcPr>
          <w:p w14:paraId="48743397" w14:textId="0EC8D7AF"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Pr>
              <w:t>7</w:t>
            </w:r>
          </w:p>
        </w:tc>
        <w:tc>
          <w:tcPr>
            <w:tcW w:w="2233" w:type="dxa"/>
            <w:tcMar>
              <w:top w:w="90" w:type="dxa"/>
              <w:left w:w="110" w:type="dxa"/>
              <w:bottom w:w="90" w:type="dxa"/>
              <w:right w:w="110" w:type="dxa"/>
            </w:tcMar>
            <w:vAlign w:val="center"/>
          </w:tcPr>
          <w:p w14:paraId="2CEC1421" w14:textId="54ABAB13" w:rsidR="006F5F20" w:rsidRPr="006F5F20" w:rsidRDefault="006F5F20" w:rsidP="006F5F20">
            <w:pPr>
              <w:bidi/>
              <w:jc w:val="center"/>
              <w:rPr>
                <w:rFonts w:ascii="Simplified Arabic" w:hAnsi="Simplified Arabic" w:cs="Simplified Arabic"/>
                <w:b/>
                <w:bCs/>
                <w:szCs w:val="24"/>
              </w:rPr>
            </w:pPr>
            <w:r w:rsidRPr="006F5F20">
              <w:rPr>
                <w:rFonts w:ascii="Simplified Arabic" w:hAnsi="Simplified Arabic" w:cs="Simplified Arabic"/>
                <w:b/>
                <w:bCs/>
                <w:szCs w:val="24"/>
                <w:rtl/>
              </w:rPr>
              <w:t>الفجوة البحثية والربط بالأسئلة والفرضيات</w:t>
            </w:r>
          </w:p>
        </w:tc>
        <w:tc>
          <w:tcPr>
            <w:tcW w:w="10357" w:type="dxa"/>
            <w:tcMar>
              <w:top w:w="90" w:type="dxa"/>
              <w:left w:w="110" w:type="dxa"/>
              <w:bottom w:w="90" w:type="dxa"/>
              <w:right w:w="110" w:type="dxa"/>
            </w:tcMar>
          </w:tcPr>
          <w:p w14:paraId="77CCFB85" w14:textId="7B80DABD"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tl/>
              </w:rPr>
              <w:t>تحسنت الإشارة إلى الفجوة البحثية، لكنها ما تزال عامة وغير مصاغة على نحو مباشر يميز بين الفجوة السياقية والتجريبية والنموذجية، كما أن الربط بينها وبين الفرضيات النهائية لا يزال غير محكم</w:t>
            </w:r>
            <w:r w:rsidRPr="006F5F20">
              <w:rPr>
                <w:rFonts w:ascii="Simplified Arabic" w:hAnsi="Simplified Arabic" w:cs="Simplified Arabic"/>
                <w:szCs w:val="24"/>
              </w:rPr>
              <w:t>.</w:t>
            </w:r>
          </w:p>
        </w:tc>
      </w:tr>
      <w:tr w:rsidR="006F5F20" w:rsidRPr="006F5F20" w14:paraId="52F6D44A" w14:textId="77777777" w:rsidTr="00E5382B">
        <w:trPr>
          <w:jc w:val="center"/>
        </w:trPr>
        <w:tc>
          <w:tcPr>
            <w:tcW w:w="764" w:type="dxa"/>
            <w:tcMar>
              <w:top w:w="90" w:type="dxa"/>
              <w:left w:w="110" w:type="dxa"/>
              <w:bottom w:w="90" w:type="dxa"/>
              <w:right w:w="110" w:type="dxa"/>
            </w:tcMar>
          </w:tcPr>
          <w:p w14:paraId="01276609" w14:textId="4A07001B"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Pr>
              <w:t>8</w:t>
            </w:r>
          </w:p>
        </w:tc>
        <w:tc>
          <w:tcPr>
            <w:tcW w:w="2233" w:type="dxa"/>
            <w:tcMar>
              <w:top w:w="90" w:type="dxa"/>
              <w:left w:w="110" w:type="dxa"/>
              <w:bottom w:w="90" w:type="dxa"/>
              <w:right w:w="110" w:type="dxa"/>
            </w:tcMar>
            <w:vAlign w:val="center"/>
          </w:tcPr>
          <w:p w14:paraId="5F8223A9" w14:textId="58CED470" w:rsidR="006F5F20" w:rsidRPr="006F5F20" w:rsidRDefault="006F5F20" w:rsidP="006F5F20">
            <w:pPr>
              <w:bidi/>
              <w:jc w:val="center"/>
              <w:rPr>
                <w:rFonts w:ascii="Simplified Arabic" w:hAnsi="Simplified Arabic" w:cs="Simplified Arabic"/>
                <w:b/>
                <w:bCs/>
                <w:szCs w:val="24"/>
              </w:rPr>
            </w:pPr>
            <w:r w:rsidRPr="006F5F20">
              <w:rPr>
                <w:rFonts w:ascii="Simplified Arabic" w:hAnsi="Simplified Arabic" w:cs="Simplified Arabic"/>
                <w:b/>
                <w:bCs/>
                <w:szCs w:val="24"/>
                <w:rtl/>
              </w:rPr>
              <w:t>الضبط اللغوي والتوثيقي</w:t>
            </w:r>
          </w:p>
        </w:tc>
        <w:tc>
          <w:tcPr>
            <w:tcW w:w="10357" w:type="dxa"/>
            <w:tcMar>
              <w:top w:w="90" w:type="dxa"/>
              <w:left w:w="110" w:type="dxa"/>
              <w:bottom w:w="90" w:type="dxa"/>
              <w:right w:w="110" w:type="dxa"/>
            </w:tcMar>
          </w:tcPr>
          <w:p w14:paraId="1E9EF3AC" w14:textId="19546DA3" w:rsidR="006F5F20" w:rsidRPr="006F5F20" w:rsidRDefault="006F5F20" w:rsidP="006F5F20">
            <w:pPr>
              <w:bidi/>
              <w:jc w:val="both"/>
              <w:rPr>
                <w:rFonts w:ascii="Simplified Arabic" w:hAnsi="Simplified Arabic" w:cs="Simplified Arabic"/>
                <w:szCs w:val="24"/>
              </w:rPr>
            </w:pPr>
            <w:r w:rsidRPr="006F5F20">
              <w:rPr>
                <w:rFonts w:ascii="Simplified Arabic" w:hAnsi="Simplified Arabic" w:cs="Simplified Arabic"/>
                <w:szCs w:val="24"/>
                <w:rtl/>
              </w:rPr>
              <w:t>لا تزال النسخة بحاجة إلى تدقيق نهائي في اللغة والتوثيق والاتساق الداخلي، وخصوصًا في الصياغات المكررة، وبعض المصطلحات الإنجليزية المدرجة داخل النص، والتوافق بين الفرضيات وترقيمها ووصفها الإحصائي</w:t>
            </w:r>
            <w:r w:rsidRPr="006F5F20">
              <w:rPr>
                <w:rFonts w:ascii="Simplified Arabic" w:hAnsi="Simplified Arabic" w:cs="Simplified Arabic"/>
                <w:szCs w:val="24"/>
              </w:rPr>
              <w:t>.</w:t>
            </w:r>
          </w:p>
        </w:tc>
      </w:tr>
    </w:tbl>
    <w:p w14:paraId="381B38C2" w14:textId="77777777" w:rsidR="006F5F20" w:rsidRPr="006F5F20" w:rsidRDefault="006F5F20" w:rsidP="006F5F20">
      <w:pPr>
        <w:bidi/>
        <w:spacing w:before="160" w:after="100"/>
        <w:jc w:val="both"/>
        <w:rPr>
          <w:rFonts w:ascii="Simplified Arabic" w:hAnsi="Simplified Arabic" w:cs="Simplified Arabic"/>
          <w:b/>
          <w:color w:val="1F4E78"/>
          <w:szCs w:val="24"/>
        </w:rPr>
        <w:sectPr w:rsidR="006F5F20" w:rsidRPr="006F5F20" w:rsidSect="00E5382B">
          <w:pgSz w:w="15840" w:h="12240" w:orient="landscape"/>
          <w:pgMar w:top="1247" w:right="1134" w:bottom="1247" w:left="567" w:header="720" w:footer="720" w:gutter="0"/>
          <w:cols w:space="720"/>
          <w:docGrid w:linePitch="360"/>
        </w:sectPr>
      </w:pPr>
    </w:p>
    <w:p w14:paraId="623B0DAC" w14:textId="77777777" w:rsidR="00156125" w:rsidRPr="006F5F20" w:rsidRDefault="004A12FE" w:rsidP="006F5F20">
      <w:pPr>
        <w:bidi/>
        <w:spacing w:before="160" w:after="100"/>
        <w:jc w:val="both"/>
        <w:rPr>
          <w:rFonts w:ascii="Simplified Arabic" w:hAnsi="Simplified Arabic" w:cs="Simplified Arabic"/>
          <w:szCs w:val="24"/>
        </w:rPr>
      </w:pPr>
      <w:proofErr w:type="spellStart"/>
      <w:r w:rsidRPr="006F5F20">
        <w:rPr>
          <w:rFonts w:ascii="Simplified Arabic" w:hAnsi="Simplified Arabic" w:cs="Simplified Arabic"/>
          <w:b/>
          <w:color w:val="1F4E78"/>
          <w:szCs w:val="24"/>
        </w:rPr>
        <w:lastRenderedPageBreak/>
        <w:t>ثالثًا</w:t>
      </w:r>
      <w:proofErr w:type="spellEnd"/>
      <w:r w:rsidRPr="006F5F20">
        <w:rPr>
          <w:rFonts w:ascii="Simplified Arabic" w:hAnsi="Simplified Arabic" w:cs="Simplified Arabic"/>
          <w:b/>
          <w:color w:val="1F4E78"/>
          <w:szCs w:val="24"/>
        </w:rPr>
        <w:t xml:space="preserve">: </w:t>
      </w:r>
      <w:proofErr w:type="spellStart"/>
      <w:r w:rsidRPr="006F5F20">
        <w:rPr>
          <w:rFonts w:ascii="Simplified Arabic" w:hAnsi="Simplified Arabic" w:cs="Simplified Arabic"/>
          <w:b/>
          <w:color w:val="1F4E78"/>
          <w:szCs w:val="24"/>
        </w:rPr>
        <w:t>إرشادات</w:t>
      </w:r>
      <w:proofErr w:type="spellEnd"/>
      <w:r w:rsidRPr="006F5F20">
        <w:rPr>
          <w:rFonts w:ascii="Simplified Arabic" w:hAnsi="Simplified Arabic" w:cs="Simplified Arabic"/>
          <w:b/>
          <w:color w:val="1F4E78"/>
          <w:szCs w:val="24"/>
        </w:rPr>
        <w:t xml:space="preserve"> </w:t>
      </w:r>
      <w:proofErr w:type="spellStart"/>
      <w:r w:rsidRPr="006F5F20">
        <w:rPr>
          <w:rFonts w:ascii="Simplified Arabic" w:hAnsi="Simplified Arabic" w:cs="Simplified Arabic"/>
          <w:b/>
          <w:color w:val="1F4E78"/>
          <w:szCs w:val="24"/>
        </w:rPr>
        <w:t>الإغلاق</w:t>
      </w:r>
      <w:proofErr w:type="spellEnd"/>
    </w:p>
    <w:p w14:paraId="089F7340" w14:textId="3BE62ABD" w:rsidR="00E5382B" w:rsidRPr="00E5382B" w:rsidRDefault="00E5382B" w:rsidP="00E5382B">
      <w:pPr>
        <w:pStyle w:val="ListParagraph"/>
        <w:numPr>
          <w:ilvl w:val="0"/>
          <w:numId w:val="11"/>
        </w:numPr>
        <w:bidi/>
        <w:spacing w:after="60"/>
        <w:jc w:val="both"/>
        <w:rPr>
          <w:rFonts w:ascii="Simplified Arabic" w:hAnsi="Simplified Arabic" w:cs="Simplified Arabic"/>
          <w:szCs w:val="24"/>
        </w:rPr>
      </w:pPr>
      <w:r w:rsidRPr="00E5382B">
        <w:rPr>
          <w:rFonts w:ascii="Simplified Arabic" w:hAnsi="Simplified Arabic" w:cs="Simplified Arabic"/>
          <w:szCs w:val="24"/>
          <w:rtl/>
        </w:rPr>
        <w:t>إضافة تمهيد مستقل في بداية الفصل الثاني يوضح منهج مراجعة الأدبيات، وقواعد البحث، والكلمات المفتاحية، ومعايير الإدراج والاستبعاد، وحدود المراجعة.</w:t>
      </w:r>
    </w:p>
    <w:p w14:paraId="6815129F" w14:textId="39FC4931" w:rsidR="00E5382B" w:rsidRPr="00E5382B" w:rsidRDefault="00E5382B" w:rsidP="00E5382B">
      <w:pPr>
        <w:pStyle w:val="ListParagraph"/>
        <w:numPr>
          <w:ilvl w:val="0"/>
          <w:numId w:val="11"/>
        </w:numPr>
        <w:bidi/>
        <w:spacing w:after="60"/>
        <w:jc w:val="both"/>
        <w:rPr>
          <w:rFonts w:ascii="Simplified Arabic" w:hAnsi="Simplified Arabic" w:cs="Simplified Arabic"/>
          <w:szCs w:val="24"/>
        </w:rPr>
      </w:pPr>
      <w:r w:rsidRPr="00E5382B">
        <w:rPr>
          <w:rFonts w:ascii="Simplified Arabic" w:hAnsi="Simplified Arabic" w:cs="Simplified Arabic"/>
          <w:szCs w:val="24"/>
          <w:rtl/>
        </w:rPr>
        <w:t>اختيار إطار نظري رئيس واحد – أو إطارين بحد أقصى – يفسر العلاقات المقترحة بين متغيرات الدراسة، ثم بيان الآليات التفسيرية بوضوح داخل متن الفصل.</w:t>
      </w:r>
    </w:p>
    <w:p w14:paraId="0B785CB2" w14:textId="7CA7940D" w:rsidR="00E5382B" w:rsidRPr="00E5382B" w:rsidRDefault="00E5382B" w:rsidP="00E5382B">
      <w:pPr>
        <w:pStyle w:val="ListParagraph"/>
        <w:numPr>
          <w:ilvl w:val="0"/>
          <w:numId w:val="11"/>
        </w:numPr>
        <w:bidi/>
        <w:spacing w:after="60"/>
        <w:jc w:val="both"/>
        <w:rPr>
          <w:rFonts w:ascii="Simplified Arabic" w:hAnsi="Simplified Arabic" w:cs="Simplified Arabic"/>
          <w:szCs w:val="24"/>
        </w:rPr>
      </w:pPr>
      <w:r w:rsidRPr="00E5382B">
        <w:rPr>
          <w:rFonts w:ascii="Simplified Arabic" w:hAnsi="Simplified Arabic" w:cs="Simplified Arabic"/>
          <w:szCs w:val="24"/>
          <w:rtl/>
        </w:rPr>
        <w:t>حسم النموذج المفاهيمي نهائيًا من حيث المتغيرات المباشرة والوسيطة، ثم مواءمته مع الأسئلة والفرضيات والجداول التفسيرية دون تناقض داخلي.</w:t>
      </w:r>
    </w:p>
    <w:p w14:paraId="2388C09A" w14:textId="29F2AC0D" w:rsidR="00E5382B" w:rsidRPr="00E5382B" w:rsidRDefault="00E5382B" w:rsidP="00E5382B">
      <w:pPr>
        <w:pStyle w:val="ListParagraph"/>
        <w:numPr>
          <w:ilvl w:val="0"/>
          <w:numId w:val="11"/>
        </w:numPr>
        <w:bidi/>
        <w:spacing w:after="60"/>
        <w:jc w:val="both"/>
        <w:rPr>
          <w:rFonts w:ascii="Simplified Arabic" w:hAnsi="Simplified Arabic" w:cs="Simplified Arabic"/>
          <w:szCs w:val="24"/>
        </w:rPr>
      </w:pPr>
      <w:r w:rsidRPr="00E5382B">
        <w:rPr>
          <w:rFonts w:ascii="Simplified Arabic" w:hAnsi="Simplified Arabic" w:cs="Simplified Arabic"/>
          <w:szCs w:val="24"/>
          <w:rtl/>
        </w:rPr>
        <w:t>إعادة تنظيم الدراسات السابقة في محاور تحليلية ترتبط بعلاقات النموذج، مع إبراز أوجه الاتفاق والتعارض والحدود المنهجية والفروق السياقية.</w:t>
      </w:r>
    </w:p>
    <w:p w14:paraId="5051A6AA" w14:textId="0EA96834" w:rsidR="00E5382B" w:rsidRPr="00E5382B" w:rsidRDefault="00E5382B" w:rsidP="00E5382B">
      <w:pPr>
        <w:pStyle w:val="ListParagraph"/>
        <w:numPr>
          <w:ilvl w:val="0"/>
          <w:numId w:val="11"/>
        </w:numPr>
        <w:bidi/>
        <w:spacing w:after="60"/>
        <w:jc w:val="both"/>
        <w:rPr>
          <w:rFonts w:ascii="Simplified Arabic" w:hAnsi="Simplified Arabic" w:cs="Simplified Arabic"/>
          <w:szCs w:val="24"/>
        </w:rPr>
      </w:pPr>
      <w:r w:rsidRPr="00E5382B">
        <w:rPr>
          <w:rFonts w:ascii="Simplified Arabic" w:hAnsi="Simplified Arabic" w:cs="Simplified Arabic"/>
          <w:szCs w:val="24"/>
          <w:rtl/>
        </w:rPr>
        <w:t>الاحتفاظ بجدول التعريفات والقياس مع مراجعته علميًا ولغويًا، وإحكام التمييز المفاهيمي بين الذكاء الاصطناعي، ونظم المراقبة الذكية، والأمن الحضري، ومؤشرات الأداء الأمني.</w:t>
      </w:r>
    </w:p>
    <w:p w14:paraId="6773B5FA" w14:textId="182E20F9" w:rsidR="00E5382B" w:rsidRPr="00E5382B" w:rsidRDefault="00E5382B" w:rsidP="00E5382B">
      <w:pPr>
        <w:pStyle w:val="ListParagraph"/>
        <w:numPr>
          <w:ilvl w:val="0"/>
          <w:numId w:val="11"/>
        </w:numPr>
        <w:bidi/>
        <w:spacing w:after="60"/>
        <w:jc w:val="both"/>
        <w:rPr>
          <w:rFonts w:ascii="Simplified Arabic" w:hAnsi="Simplified Arabic" w:cs="Simplified Arabic"/>
          <w:szCs w:val="24"/>
        </w:rPr>
      </w:pPr>
      <w:r w:rsidRPr="00E5382B">
        <w:rPr>
          <w:rFonts w:ascii="Simplified Arabic" w:hAnsi="Simplified Arabic" w:cs="Simplified Arabic"/>
          <w:szCs w:val="24"/>
          <w:rtl/>
        </w:rPr>
        <w:t>صياغة الفجوة البحثية في نهاية الفصل بصورة مباشرة، وربط كل جزء منها بالسؤال أو الفرضية المقابلة، مع تقديم نموذج مفاهيمي محدث ومتسق.</w:t>
      </w:r>
    </w:p>
    <w:p w14:paraId="0FDF22BF" w14:textId="623EA546" w:rsidR="00E5382B" w:rsidRPr="00E5382B" w:rsidRDefault="00E5382B" w:rsidP="00E5382B">
      <w:pPr>
        <w:pStyle w:val="ListParagraph"/>
        <w:numPr>
          <w:ilvl w:val="0"/>
          <w:numId w:val="11"/>
        </w:numPr>
        <w:bidi/>
        <w:spacing w:after="60"/>
        <w:jc w:val="both"/>
        <w:rPr>
          <w:rFonts w:ascii="Simplified Arabic" w:hAnsi="Simplified Arabic" w:cs="Simplified Arabic"/>
          <w:szCs w:val="24"/>
          <w:rtl/>
        </w:rPr>
      </w:pPr>
      <w:r w:rsidRPr="00E5382B">
        <w:rPr>
          <w:rFonts w:ascii="Simplified Arabic" w:hAnsi="Simplified Arabic" w:cs="Simplified Arabic"/>
          <w:szCs w:val="24"/>
          <w:rtl/>
        </w:rPr>
        <w:t xml:space="preserve">إجراء تدقيق لغوي وتوثيقي نهائي يشمل الاتساق الداخلي، وضبط المصطلحات، وتصحيح الصياغات المكررة، ومراجعة أسلوب </w:t>
      </w:r>
      <w:proofErr w:type="spellStart"/>
      <w:r w:rsidRPr="00E5382B">
        <w:rPr>
          <w:rFonts w:ascii="Simplified Arabic" w:hAnsi="Simplified Arabic" w:cs="Simplified Arabic"/>
          <w:szCs w:val="24"/>
        </w:rPr>
        <w:t>APA.</w:t>
      </w:r>
      <w:proofErr w:type="spellEnd"/>
    </w:p>
    <w:p w14:paraId="0E091958" w14:textId="26E3E544" w:rsidR="00156125" w:rsidRPr="006F5F20" w:rsidRDefault="004A12FE" w:rsidP="00E5382B">
      <w:pPr>
        <w:bidi/>
        <w:spacing w:after="60"/>
        <w:jc w:val="both"/>
        <w:rPr>
          <w:rFonts w:ascii="Simplified Arabic" w:hAnsi="Simplified Arabic" w:cs="Simplified Arabic"/>
          <w:szCs w:val="24"/>
        </w:rPr>
      </w:pPr>
      <w:proofErr w:type="spellStart"/>
      <w:r w:rsidRPr="006F5F20">
        <w:rPr>
          <w:rFonts w:ascii="Simplified Arabic" w:hAnsi="Simplified Arabic" w:cs="Simplified Arabic"/>
          <w:b/>
          <w:color w:val="1F4E78"/>
          <w:szCs w:val="24"/>
        </w:rPr>
        <w:t>رابعًا</w:t>
      </w:r>
      <w:proofErr w:type="spellEnd"/>
      <w:r w:rsidRPr="006F5F20">
        <w:rPr>
          <w:rFonts w:ascii="Simplified Arabic" w:hAnsi="Simplified Arabic" w:cs="Simplified Arabic"/>
          <w:b/>
          <w:color w:val="1F4E78"/>
          <w:szCs w:val="24"/>
        </w:rPr>
        <w:t xml:space="preserve">: </w:t>
      </w:r>
      <w:proofErr w:type="spellStart"/>
      <w:r w:rsidRPr="006F5F20">
        <w:rPr>
          <w:rFonts w:ascii="Simplified Arabic" w:hAnsi="Simplified Arabic" w:cs="Simplified Arabic"/>
          <w:b/>
          <w:color w:val="1F4E78"/>
          <w:szCs w:val="24"/>
        </w:rPr>
        <w:t>الخلاصة</w:t>
      </w:r>
      <w:proofErr w:type="spellEnd"/>
      <w:r w:rsidRPr="006F5F20">
        <w:rPr>
          <w:rFonts w:ascii="Simplified Arabic" w:hAnsi="Simplified Arabic" w:cs="Simplified Arabic"/>
          <w:b/>
          <w:color w:val="1F4E78"/>
          <w:szCs w:val="24"/>
        </w:rPr>
        <w:t xml:space="preserve"> </w:t>
      </w:r>
      <w:proofErr w:type="spellStart"/>
      <w:r w:rsidRPr="006F5F20">
        <w:rPr>
          <w:rFonts w:ascii="Simplified Arabic" w:hAnsi="Simplified Arabic" w:cs="Simplified Arabic"/>
          <w:b/>
          <w:color w:val="1F4E78"/>
          <w:szCs w:val="24"/>
        </w:rPr>
        <w:t>التقويمية</w:t>
      </w:r>
      <w:proofErr w:type="spellEnd"/>
    </w:p>
    <w:p w14:paraId="3FAB1F27" w14:textId="77777777" w:rsidR="00E5382B" w:rsidRDefault="00E5382B" w:rsidP="006F5F20">
      <w:pPr>
        <w:bidi/>
        <w:spacing w:before="160" w:after="80"/>
        <w:jc w:val="both"/>
        <w:rPr>
          <w:rFonts w:ascii="Simplified Arabic" w:hAnsi="Simplified Arabic" w:cs="Simplified Arabic"/>
          <w:szCs w:val="24"/>
          <w:rtl/>
        </w:rPr>
      </w:pPr>
      <w:r w:rsidRPr="00E5382B">
        <w:rPr>
          <w:rFonts w:ascii="Simplified Arabic" w:hAnsi="Simplified Arabic" w:cs="Simplified Arabic"/>
          <w:szCs w:val="24"/>
          <w:rtl/>
        </w:rPr>
        <w:t>استنادًا إلى المقارنة بين تقرير المراجعة السابق والنسخة الحالية، يتبين أن الطالب أجرى بعض التحسينات المهمة، وبخاصة في ضبط المتغيرات وتعريفاتها الأولية، إلا أن الفصل الثاني لم يصل بعد إلى مستوى الإغلاق الأكاديمي المطلوب في أطروحة دكتوراه. وعليه، أوصي بإعادة تقديم الفصل بعد استكمال التعديلات الجوهرية المشار إليها أعلاه، مع التركيز على إعادة بناء المنطق النظري، وتحقيق الاتساق بين الفجوة والفرضيات والنموذج، وتحويل الدراسات السابقة من عرض وصفي إلى مراجعة تحليلية محكمة.</w:t>
      </w:r>
    </w:p>
    <w:p w14:paraId="29883629" w14:textId="77777777" w:rsidR="00E5382B" w:rsidRDefault="00E5382B" w:rsidP="00E5382B">
      <w:pPr>
        <w:bidi/>
        <w:spacing w:before="160" w:after="80"/>
        <w:jc w:val="both"/>
        <w:rPr>
          <w:rFonts w:ascii="Simplified Arabic" w:hAnsi="Simplified Arabic" w:cs="Simplified Arabic"/>
          <w:szCs w:val="24"/>
          <w:rtl/>
        </w:rPr>
      </w:pPr>
    </w:p>
    <w:p w14:paraId="2E60E422" w14:textId="22D6E7D2" w:rsidR="00156125" w:rsidRPr="00E5382B" w:rsidRDefault="004A12FE" w:rsidP="00E5382B">
      <w:pPr>
        <w:bidi/>
        <w:spacing w:before="160" w:after="80"/>
        <w:jc w:val="center"/>
        <w:rPr>
          <w:rFonts w:ascii="Simplified Arabic" w:hAnsi="Simplified Arabic" w:cs="Simplified Arabic"/>
          <w:b/>
          <w:bCs/>
          <w:szCs w:val="24"/>
        </w:rPr>
      </w:pPr>
      <w:proofErr w:type="spellStart"/>
      <w:r w:rsidRPr="00E5382B">
        <w:rPr>
          <w:rFonts w:ascii="Simplified Arabic" w:hAnsi="Simplified Arabic" w:cs="Simplified Arabic"/>
          <w:b/>
          <w:bCs/>
          <w:szCs w:val="24"/>
        </w:rPr>
        <w:t>انتهى</w:t>
      </w:r>
      <w:proofErr w:type="spellEnd"/>
      <w:r w:rsidRPr="00E5382B">
        <w:rPr>
          <w:rFonts w:ascii="Simplified Arabic" w:hAnsi="Simplified Arabic" w:cs="Simplified Arabic"/>
          <w:b/>
          <w:bCs/>
          <w:szCs w:val="24"/>
        </w:rPr>
        <w:t xml:space="preserve"> </w:t>
      </w:r>
      <w:proofErr w:type="spellStart"/>
      <w:r w:rsidRPr="00E5382B">
        <w:rPr>
          <w:rFonts w:ascii="Simplified Arabic" w:hAnsi="Simplified Arabic" w:cs="Simplified Arabic"/>
          <w:b/>
          <w:bCs/>
          <w:szCs w:val="24"/>
        </w:rPr>
        <w:t>التقرير</w:t>
      </w:r>
      <w:proofErr w:type="spellEnd"/>
    </w:p>
    <w:sectPr w:rsidR="00156125" w:rsidRPr="00E5382B"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7260D2E"/>
    <w:multiLevelType w:val="hybridMultilevel"/>
    <w:tmpl w:val="8A00A3D2"/>
    <w:lvl w:ilvl="0" w:tplc="473EA15A">
      <w:numFmt w:val="bullet"/>
      <w:lvlText w:val="•"/>
      <w:lvlJc w:val="left"/>
      <w:pPr>
        <w:ind w:left="720" w:hanging="360"/>
      </w:pPr>
      <w:rPr>
        <w:rFonts w:ascii="Simplified Arabic" w:eastAsia="Arial"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0F1A17"/>
    <w:multiLevelType w:val="hybridMultilevel"/>
    <w:tmpl w:val="3B129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371039">
    <w:abstractNumId w:val="8"/>
  </w:num>
  <w:num w:numId="2" w16cid:durableId="1891839391">
    <w:abstractNumId w:val="6"/>
  </w:num>
  <w:num w:numId="3" w16cid:durableId="179396707">
    <w:abstractNumId w:val="5"/>
  </w:num>
  <w:num w:numId="4" w16cid:durableId="1331180723">
    <w:abstractNumId w:val="4"/>
  </w:num>
  <w:num w:numId="5" w16cid:durableId="820464673">
    <w:abstractNumId w:val="7"/>
  </w:num>
  <w:num w:numId="6" w16cid:durableId="2077974861">
    <w:abstractNumId w:val="3"/>
  </w:num>
  <w:num w:numId="7" w16cid:durableId="210502639">
    <w:abstractNumId w:val="2"/>
  </w:num>
  <w:num w:numId="8" w16cid:durableId="1930040935">
    <w:abstractNumId w:val="1"/>
  </w:num>
  <w:num w:numId="9" w16cid:durableId="1392656907">
    <w:abstractNumId w:val="0"/>
  </w:num>
  <w:num w:numId="10" w16cid:durableId="171144475">
    <w:abstractNumId w:val="10"/>
  </w:num>
  <w:num w:numId="11" w16cid:durableId="4080411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QztjAyNLAwMjUwMDNW0lEKTi0uzszPAykwrAUATgstlywAAAA="/>
  </w:docVars>
  <w:rsids>
    <w:rsidRoot w:val="00B47730"/>
    <w:rsid w:val="00034616"/>
    <w:rsid w:val="0006063C"/>
    <w:rsid w:val="0015074B"/>
    <w:rsid w:val="00156125"/>
    <w:rsid w:val="0029639D"/>
    <w:rsid w:val="00326F90"/>
    <w:rsid w:val="00391866"/>
    <w:rsid w:val="004A12FE"/>
    <w:rsid w:val="006F5F20"/>
    <w:rsid w:val="00AA1D8D"/>
    <w:rsid w:val="00B47730"/>
    <w:rsid w:val="00CB0664"/>
    <w:rsid w:val="00E5382B"/>
    <w:rsid w:val="00E7059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767D31"/>
  <w14:defaultImageDpi w14:val="300"/>
  <w15:docId w15:val="{F088B403-C41E-450B-870E-3E29DCD7F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3827</Characters>
  <Application>Microsoft Office Word</Application>
  <DocSecurity>0</DocSecurity>
  <Lines>93</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2026-04-02T21:23:00Z</dcterms:created>
  <dcterms:modified xsi:type="dcterms:W3CDTF">2026-04-02T21:23:00Z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76d85913-e0c8-427a-834c-09df40c37c2e</vt:lpwstr>
  </property>
</Properties>
</file>