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9955B6" w14:textId="77777777" w:rsidR="00C852D0" w:rsidRDefault="00C852D0" w:rsidP="000A5590">
      <w:pPr>
        <w:bidi/>
        <w:spacing w:before="100" w:beforeAutospacing="1" w:after="100" w:afterAutospacing="1" w:line="360" w:lineRule="auto"/>
        <w:ind w:left="-2"/>
        <w:jc w:val="both"/>
        <w:rPr>
          <w:rFonts w:ascii="Times New Roman" w:hAnsi="Times New Roman" w:cs="Traditional Arabic"/>
          <w:b/>
          <w:bCs/>
          <w:sz w:val="40"/>
          <w:szCs w:val="40"/>
          <w:rtl/>
          <w:lang w:bidi="ar-EG"/>
        </w:rPr>
      </w:pPr>
      <w:r w:rsidRPr="00C852D0">
        <w:rPr>
          <w:rFonts w:ascii="Times New Roman" w:hAnsi="Times New Roman" w:cs="Traditional Arabic"/>
          <w:b/>
          <w:noProof/>
          <w:sz w:val="28"/>
          <w:szCs w:val="28"/>
        </w:rPr>
        <w:drawing>
          <wp:anchor distT="0" distB="0" distL="114300" distR="114300" simplePos="0" relativeHeight="251655680" behindDoc="0" locked="0" layoutInCell="1" allowOverlap="1" wp14:anchorId="20E6F61A" wp14:editId="7C5CADDA">
            <wp:simplePos x="0" y="0"/>
            <wp:positionH relativeFrom="margin">
              <wp:posOffset>1642745</wp:posOffset>
            </wp:positionH>
            <wp:positionV relativeFrom="margin">
              <wp:posOffset>4445</wp:posOffset>
            </wp:positionV>
            <wp:extent cx="2209800" cy="970280"/>
            <wp:effectExtent l="0" t="0" r="0" b="1270"/>
            <wp:wrapTopAndBottom/>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09800" cy="970280"/>
                    </a:xfrm>
                    <a:prstGeom prst="rect">
                      <a:avLst/>
                    </a:prstGeom>
                  </pic:spPr>
                </pic:pic>
              </a:graphicData>
            </a:graphic>
            <wp14:sizeRelH relativeFrom="margin">
              <wp14:pctWidth>0</wp14:pctWidth>
            </wp14:sizeRelH>
            <wp14:sizeRelV relativeFrom="margin">
              <wp14:pctHeight>0</wp14:pctHeight>
            </wp14:sizeRelV>
          </wp:anchor>
        </w:drawing>
      </w:r>
      <w:r w:rsidRPr="00C852D0">
        <w:rPr>
          <w:rFonts w:ascii="Times New Roman" w:hAnsi="Times New Roman" w:cs="Traditional Arabic" w:hint="cs"/>
          <w:b/>
          <w:bCs/>
          <w:sz w:val="28"/>
          <w:szCs w:val="28"/>
          <w:rtl/>
          <w:lang w:bidi="ar-EG"/>
        </w:rPr>
        <w:t>جامعة ميد اوشن</w:t>
      </w:r>
    </w:p>
    <w:p w14:paraId="610B806D" w14:textId="095D4E3E" w:rsidR="001B2F19" w:rsidRPr="00A1113E" w:rsidRDefault="00C852D0" w:rsidP="00A1113E">
      <w:pPr>
        <w:bidi/>
        <w:spacing w:before="100" w:beforeAutospacing="1" w:after="100" w:afterAutospacing="1" w:line="360" w:lineRule="auto"/>
        <w:ind w:left="-2"/>
        <w:jc w:val="both"/>
        <w:rPr>
          <w:rFonts w:ascii="Times New Roman" w:hAnsi="Times New Roman" w:cs="Traditional Arabic"/>
          <w:b/>
          <w:bCs/>
          <w:sz w:val="28"/>
          <w:szCs w:val="28"/>
          <w:rtl/>
          <w:lang w:bidi="ar-EG"/>
        </w:rPr>
      </w:pPr>
      <w:r w:rsidRPr="00C852D0">
        <w:rPr>
          <w:rFonts w:ascii="Times New Roman" w:hAnsi="Times New Roman" w:cs="Traditional Arabic" w:hint="cs"/>
          <w:b/>
          <w:bCs/>
          <w:sz w:val="28"/>
          <w:szCs w:val="28"/>
          <w:rtl/>
          <w:lang w:bidi="ar-EG"/>
        </w:rPr>
        <w:t xml:space="preserve">كلية </w:t>
      </w:r>
      <w:r>
        <w:rPr>
          <w:rFonts w:ascii="Times New Roman" w:hAnsi="Times New Roman" w:cs="Traditional Arabic" w:hint="cs"/>
          <w:b/>
          <w:bCs/>
          <w:sz w:val="28"/>
          <w:szCs w:val="28"/>
          <w:rtl/>
          <w:lang w:bidi="ar-EG"/>
        </w:rPr>
        <w:t>الإدارة</w:t>
      </w:r>
    </w:p>
    <w:p w14:paraId="78A9A121" w14:textId="77777777" w:rsidR="00A1113E" w:rsidRPr="00F93203" w:rsidRDefault="00A1113E" w:rsidP="00A1113E">
      <w:pPr>
        <w:bidi/>
        <w:spacing w:before="100" w:beforeAutospacing="1" w:after="100" w:afterAutospacing="1" w:line="360" w:lineRule="auto"/>
        <w:ind w:left="-2"/>
        <w:jc w:val="center"/>
        <w:rPr>
          <w:rFonts w:ascii="Times New Roman" w:hAnsi="Times New Roman" w:cs="Traditional Arabic"/>
          <w:b/>
          <w:bCs/>
          <w:sz w:val="24"/>
          <w:szCs w:val="24"/>
        </w:rPr>
      </w:pPr>
      <w:r w:rsidRPr="00F93203">
        <w:rPr>
          <w:rFonts w:ascii="Times New Roman" w:hAnsi="Times New Roman" w:cs="Traditional Arabic" w:hint="cs"/>
          <w:b/>
          <w:bCs/>
          <w:noProof/>
          <w:sz w:val="36"/>
          <w:szCs w:val="36"/>
          <w:rtl/>
        </w:rPr>
        <w:t xml:space="preserve">دور </w:t>
      </w:r>
      <w:r w:rsidRPr="00F93203">
        <w:rPr>
          <w:rFonts w:ascii="Times New Roman" w:hAnsi="Times New Roman" w:cs="Traditional Arabic"/>
          <w:b/>
          <w:bCs/>
          <w:noProof/>
          <w:sz w:val="36"/>
          <w:szCs w:val="36"/>
          <w:rtl/>
        </w:rPr>
        <w:t>الشفافية المعلوماتية كمتغير وسيط في العلاقة بين التحول الرقمي وفاعلية اتخاذ القرار الاستراتيجي: دراسة ميدانية في وزارات الصناعة بدول مجلس التعاون الخليجي</w:t>
      </w:r>
    </w:p>
    <w:p w14:paraId="1E976A66" w14:textId="77777777" w:rsidR="00A1113E" w:rsidRPr="00C852D0" w:rsidRDefault="00A1113E" w:rsidP="00A1113E">
      <w:pPr>
        <w:bidi/>
        <w:spacing w:before="100" w:beforeAutospacing="1" w:after="100" w:afterAutospacing="1" w:line="360" w:lineRule="auto"/>
        <w:ind w:left="-2"/>
        <w:jc w:val="center"/>
        <w:rPr>
          <w:rFonts w:ascii="Times New Roman" w:hAnsi="Times New Roman" w:cs="Traditional Arabic"/>
          <w:b/>
          <w:bCs/>
          <w:sz w:val="24"/>
          <w:szCs w:val="24"/>
          <w:rtl/>
          <w:lang w:bidi="ar-EG"/>
        </w:rPr>
      </w:pPr>
      <w:r w:rsidRPr="00C852D0">
        <w:rPr>
          <w:rFonts w:ascii="Times New Roman" w:hAnsi="Times New Roman" w:cs="Traditional Arabic" w:hint="cs"/>
          <w:b/>
          <w:bCs/>
          <w:sz w:val="24"/>
          <w:szCs w:val="24"/>
          <w:rtl/>
        </w:rPr>
        <w:t>مشروع خطة أطروحة للتسجيل لدرجة الدكتوراه</w:t>
      </w:r>
    </w:p>
    <w:p w14:paraId="31D984D3" w14:textId="1D0766DA" w:rsidR="00A1113E" w:rsidRPr="00104422" w:rsidRDefault="00A1113E" w:rsidP="00A1113E">
      <w:pPr>
        <w:pStyle w:val="NormalWeb"/>
        <w:bidi/>
        <w:spacing w:line="360" w:lineRule="auto"/>
        <w:ind w:left="-2"/>
        <w:jc w:val="center"/>
        <w:rPr>
          <w:rFonts w:cs="Traditional Arabic"/>
          <w:b/>
          <w:bCs/>
          <w:noProof/>
          <w:sz w:val="36"/>
          <w:szCs w:val="36"/>
          <w:lang w:bidi="ar-EG"/>
        </w:rPr>
      </w:pPr>
      <w:r>
        <w:rPr>
          <w:rFonts w:cs="Traditional Arabic"/>
          <w:b/>
          <w:bCs/>
          <w:noProof/>
          <w:sz w:val="36"/>
          <w:szCs w:val="36"/>
          <w:lang w:bidi="ar-EG"/>
        </w:rPr>
        <w:t xml:space="preserve">The role of </w:t>
      </w:r>
      <w:r w:rsidR="008E7CFB">
        <w:rPr>
          <w:rFonts w:cs="Traditional Arabic"/>
          <w:b/>
          <w:bCs/>
          <w:noProof/>
          <w:sz w:val="36"/>
          <w:szCs w:val="36"/>
          <w:lang w:val="en" w:bidi="ar-EG"/>
        </w:rPr>
        <w:t>i</w:t>
      </w:r>
      <w:r w:rsidRPr="00104422">
        <w:rPr>
          <w:rFonts w:cs="Traditional Arabic"/>
          <w:b/>
          <w:bCs/>
          <w:noProof/>
          <w:sz w:val="36"/>
          <w:szCs w:val="36"/>
          <w:lang w:val="en" w:bidi="ar-EG"/>
        </w:rPr>
        <w:t>nformation Transparency as a Mediating Variable in the Relationship between Digital Transformation and Effective Strategic Decision-Making: A Field Study in Ministries of Industry in the Gulf Cooperation Council Countries</w:t>
      </w:r>
    </w:p>
    <w:p w14:paraId="00C96E38" w14:textId="77777777" w:rsidR="00A1113E" w:rsidRDefault="00A1113E" w:rsidP="00A1113E">
      <w:pPr>
        <w:pStyle w:val="NormalWeb"/>
        <w:bidi/>
        <w:spacing w:line="360" w:lineRule="auto"/>
        <w:ind w:left="-2"/>
        <w:jc w:val="center"/>
        <w:rPr>
          <w:rFonts w:eastAsiaTheme="minorHAnsi" w:cs="Traditional Arabic"/>
          <w:b/>
          <w:bCs/>
          <w:noProof/>
          <w:sz w:val="36"/>
          <w:szCs w:val="36"/>
          <w:rtl/>
        </w:rPr>
      </w:pPr>
      <w:r w:rsidRPr="00104422">
        <w:rPr>
          <w:rFonts w:cs="Traditional Arabic" w:hint="cs"/>
          <w:b/>
          <w:bCs/>
          <w:noProof/>
          <w:sz w:val="36"/>
          <w:szCs w:val="36"/>
          <w:rtl/>
        </w:rPr>
        <w:t xml:space="preserve"> </w:t>
      </w:r>
      <w:r>
        <w:rPr>
          <w:rFonts w:eastAsiaTheme="minorHAnsi" w:cs="Traditional Arabic" w:hint="cs"/>
          <w:b/>
          <w:bCs/>
          <w:noProof/>
          <w:sz w:val="36"/>
          <w:szCs w:val="36"/>
          <w:rtl/>
        </w:rPr>
        <w:t>إعداد الباحث:</w:t>
      </w:r>
    </w:p>
    <w:p w14:paraId="4A960C78" w14:textId="77777777" w:rsidR="00A1113E" w:rsidRDefault="00A1113E" w:rsidP="00A1113E">
      <w:pPr>
        <w:pStyle w:val="NormalWeb"/>
        <w:bidi/>
        <w:spacing w:line="360" w:lineRule="auto"/>
        <w:ind w:left="-2"/>
        <w:jc w:val="center"/>
        <w:rPr>
          <w:rFonts w:eastAsiaTheme="minorHAnsi" w:cs="Traditional Arabic"/>
          <w:b/>
          <w:bCs/>
          <w:noProof/>
          <w:sz w:val="36"/>
          <w:szCs w:val="36"/>
          <w:rtl/>
        </w:rPr>
      </w:pPr>
      <w:r>
        <w:rPr>
          <w:rFonts w:eastAsiaTheme="minorHAnsi" w:cs="Traditional Arabic" w:hint="cs"/>
          <w:b/>
          <w:bCs/>
          <w:noProof/>
          <w:sz w:val="36"/>
          <w:szCs w:val="36"/>
          <w:rtl/>
        </w:rPr>
        <w:t>م. نايف زويد المطيري</w:t>
      </w:r>
    </w:p>
    <w:p w14:paraId="79694549" w14:textId="77777777" w:rsidR="00A1113E" w:rsidRPr="005B1534" w:rsidRDefault="00A1113E" w:rsidP="00A1113E">
      <w:pPr>
        <w:pStyle w:val="NormalWeb"/>
        <w:bidi/>
        <w:spacing w:line="360" w:lineRule="auto"/>
        <w:ind w:left="-2"/>
        <w:jc w:val="center"/>
        <w:rPr>
          <w:rFonts w:eastAsiaTheme="minorHAnsi" w:cs="Traditional Arabic"/>
          <w:b/>
          <w:bCs/>
          <w:noProof/>
          <w:sz w:val="36"/>
          <w:szCs w:val="36"/>
          <w:rtl/>
        </w:rPr>
      </w:pPr>
      <w:r>
        <w:rPr>
          <w:rFonts w:eastAsiaTheme="minorHAnsi" w:cs="Traditional Arabic" w:hint="cs"/>
          <w:b/>
          <w:bCs/>
          <w:noProof/>
          <w:sz w:val="36"/>
          <w:szCs w:val="36"/>
          <w:rtl/>
        </w:rPr>
        <w:t>232000736</w:t>
      </w:r>
    </w:p>
    <w:p w14:paraId="56940A30" w14:textId="77777777" w:rsidR="00A1113E" w:rsidRDefault="00A1113E" w:rsidP="00A1113E">
      <w:pPr>
        <w:pStyle w:val="NormalWeb"/>
        <w:spacing w:line="360" w:lineRule="auto"/>
        <w:ind w:left="-2"/>
        <w:jc w:val="center"/>
        <w:rPr>
          <w:rFonts w:cs="Traditional Arabic"/>
          <w:b/>
          <w:bCs/>
        </w:rPr>
      </w:pPr>
      <w:r>
        <w:rPr>
          <w:rFonts w:cs="Traditional Arabic" w:hint="cs"/>
          <w:b/>
          <w:bCs/>
          <w:rtl/>
        </w:rPr>
        <w:t>1447</w:t>
      </w:r>
      <w:r w:rsidRPr="000A5590">
        <w:rPr>
          <w:rFonts w:cs="Traditional Arabic" w:hint="cs"/>
          <w:b/>
          <w:bCs/>
          <w:rtl/>
        </w:rPr>
        <w:t xml:space="preserve">هـ/ </w:t>
      </w:r>
      <w:r>
        <w:rPr>
          <w:rFonts w:cs="Traditional Arabic" w:hint="cs"/>
          <w:b/>
          <w:bCs/>
          <w:rtl/>
        </w:rPr>
        <w:t>2025م</w:t>
      </w:r>
    </w:p>
    <w:p w14:paraId="44C80D72" w14:textId="77777777" w:rsidR="00312766" w:rsidRDefault="00312766" w:rsidP="000A5590">
      <w:pPr>
        <w:pStyle w:val="NormalWeb"/>
        <w:spacing w:line="360" w:lineRule="auto"/>
        <w:ind w:left="-2"/>
        <w:jc w:val="center"/>
        <w:rPr>
          <w:rFonts w:cs="Traditional Arabic"/>
          <w:b/>
          <w:bCs/>
        </w:rPr>
      </w:pPr>
    </w:p>
    <w:p w14:paraId="4A38AD03" w14:textId="77777777" w:rsidR="00312766" w:rsidRDefault="00312766" w:rsidP="000A5590">
      <w:pPr>
        <w:pStyle w:val="NormalWeb"/>
        <w:spacing w:line="360" w:lineRule="auto"/>
        <w:ind w:left="-2"/>
        <w:jc w:val="center"/>
        <w:rPr>
          <w:rFonts w:cs="Traditional Arabic"/>
          <w:b/>
          <w:bCs/>
        </w:rPr>
      </w:pPr>
    </w:p>
    <w:p w14:paraId="19B9AACF" w14:textId="77777777" w:rsidR="00312766" w:rsidRDefault="00312766" w:rsidP="000A5590">
      <w:pPr>
        <w:pStyle w:val="NormalWeb"/>
        <w:spacing w:line="360" w:lineRule="auto"/>
        <w:ind w:left="-2"/>
        <w:jc w:val="center"/>
        <w:rPr>
          <w:rFonts w:cs="Traditional Arabic"/>
          <w:b/>
          <w:bCs/>
        </w:rPr>
      </w:pPr>
    </w:p>
    <w:p w14:paraId="04A9346B" w14:textId="57B72CA5" w:rsidR="000A5590" w:rsidRPr="000A5590" w:rsidRDefault="000A5590">
      <w:pPr>
        <w:spacing w:after="200" w:line="276" w:lineRule="auto"/>
        <w:rPr>
          <w:rFonts w:ascii="Times New Roman" w:hAnsi="Times New Roman" w:cs="Traditional Arabic"/>
          <w:b/>
          <w:bCs/>
          <w:sz w:val="2"/>
          <w:szCs w:val="2"/>
          <w:rtl/>
        </w:rPr>
      </w:pPr>
    </w:p>
    <w:p w14:paraId="3E4D7FE1" w14:textId="138C1533" w:rsidR="00BC1BB4" w:rsidRDefault="00312766" w:rsidP="000A5590">
      <w:pPr>
        <w:bidi/>
        <w:spacing w:after="200" w:line="276" w:lineRule="auto"/>
        <w:rPr>
          <w:rFonts w:ascii="Times New Roman" w:hAnsi="Times New Roman" w:cs="Traditional Arabic"/>
          <w:b/>
          <w:bCs/>
          <w:sz w:val="36"/>
          <w:szCs w:val="36"/>
          <w:rtl/>
        </w:rPr>
      </w:pPr>
      <w:r>
        <w:rPr>
          <w:noProof/>
        </w:rPr>
        <w:drawing>
          <wp:inline distT="0" distB="0" distL="0" distR="0" wp14:anchorId="00160286" wp14:editId="5E59D69E">
            <wp:extent cx="5783580" cy="3710940"/>
            <wp:effectExtent l="0" t="0" r="7620" b="3810"/>
            <wp:docPr id="1" name="صورة 1" descr="بسم الله الرحمن الرحي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بسم الله الرحمن الرحيم"/>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83580" cy="3710940"/>
                    </a:xfrm>
                    <a:prstGeom prst="rect">
                      <a:avLst/>
                    </a:prstGeom>
                    <a:noFill/>
                    <a:ln>
                      <a:noFill/>
                    </a:ln>
                  </pic:spPr>
                </pic:pic>
              </a:graphicData>
            </a:graphic>
          </wp:inline>
        </w:drawing>
      </w:r>
    </w:p>
    <w:p w14:paraId="363DC3C1" w14:textId="77777777" w:rsidR="00283AD4" w:rsidRDefault="00283AD4" w:rsidP="00283AD4">
      <w:pPr>
        <w:bidi/>
        <w:spacing w:after="200" w:line="276" w:lineRule="auto"/>
        <w:rPr>
          <w:rFonts w:ascii="Times New Roman" w:hAnsi="Times New Roman" w:cs="Traditional Arabic"/>
          <w:b/>
          <w:bCs/>
          <w:sz w:val="36"/>
          <w:szCs w:val="36"/>
          <w:rtl/>
        </w:rPr>
      </w:pPr>
    </w:p>
    <w:p w14:paraId="7D381790" w14:textId="77777777" w:rsidR="00312766" w:rsidRDefault="00312766" w:rsidP="00312766">
      <w:pPr>
        <w:bidi/>
        <w:spacing w:after="200" w:line="276" w:lineRule="auto"/>
        <w:rPr>
          <w:rFonts w:ascii="Times New Roman" w:hAnsi="Times New Roman" w:cs="Traditional Arabic"/>
          <w:b/>
          <w:bCs/>
          <w:sz w:val="36"/>
          <w:szCs w:val="36"/>
          <w:rtl/>
        </w:rPr>
      </w:pPr>
    </w:p>
    <w:p w14:paraId="797FC5C9" w14:textId="77777777" w:rsidR="00312766" w:rsidRDefault="00312766" w:rsidP="00312766">
      <w:pPr>
        <w:bidi/>
        <w:spacing w:after="200" w:line="276" w:lineRule="auto"/>
        <w:rPr>
          <w:rFonts w:ascii="Times New Roman" w:hAnsi="Times New Roman" w:cs="Traditional Arabic"/>
          <w:b/>
          <w:bCs/>
          <w:sz w:val="36"/>
          <w:szCs w:val="36"/>
          <w:rtl/>
        </w:rPr>
      </w:pPr>
    </w:p>
    <w:p w14:paraId="152D8BAE" w14:textId="77777777" w:rsidR="00312766" w:rsidRDefault="00312766" w:rsidP="00312766">
      <w:pPr>
        <w:bidi/>
        <w:spacing w:after="200" w:line="276" w:lineRule="auto"/>
        <w:rPr>
          <w:rFonts w:ascii="Times New Roman" w:hAnsi="Times New Roman" w:cs="Traditional Arabic"/>
          <w:b/>
          <w:bCs/>
          <w:sz w:val="36"/>
          <w:szCs w:val="36"/>
          <w:rtl/>
        </w:rPr>
      </w:pPr>
    </w:p>
    <w:p w14:paraId="32077FD2" w14:textId="77777777" w:rsidR="00312766" w:rsidRDefault="00312766" w:rsidP="00312766">
      <w:pPr>
        <w:bidi/>
        <w:spacing w:after="200" w:line="276" w:lineRule="auto"/>
        <w:rPr>
          <w:rFonts w:ascii="Times New Roman" w:hAnsi="Times New Roman" w:cs="Traditional Arabic"/>
          <w:b/>
          <w:bCs/>
          <w:sz w:val="36"/>
          <w:szCs w:val="36"/>
          <w:rtl/>
        </w:rPr>
      </w:pPr>
    </w:p>
    <w:p w14:paraId="20845E96" w14:textId="77777777" w:rsidR="00312766" w:rsidRDefault="00312766" w:rsidP="00312766">
      <w:pPr>
        <w:bidi/>
        <w:spacing w:after="200" w:line="276" w:lineRule="auto"/>
        <w:rPr>
          <w:rFonts w:ascii="Times New Roman" w:hAnsi="Times New Roman" w:cs="Traditional Arabic"/>
          <w:b/>
          <w:bCs/>
          <w:sz w:val="36"/>
          <w:szCs w:val="36"/>
          <w:rtl/>
        </w:rPr>
      </w:pPr>
    </w:p>
    <w:p w14:paraId="12A206C7" w14:textId="77777777" w:rsidR="00312766" w:rsidRDefault="00312766" w:rsidP="00312766">
      <w:pPr>
        <w:bidi/>
        <w:spacing w:after="200" w:line="276" w:lineRule="auto"/>
        <w:rPr>
          <w:rFonts w:ascii="Times New Roman" w:hAnsi="Times New Roman" w:cs="Traditional Arabic"/>
          <w:b/>
          <w:bCs/>
          <w:sz w:val="36"/>
          <w:szCs w:val="36"/>
          <w:rtl/>
        </w:rPr>
      </w:pPr>
    </w:p>
    <w:p w14:paraId="1EB7034A" w14:textId="698A2982" w:rsidR="00476CBD" w:rsidRDefault="00476CBD" w:rsidP="00081722">
      <w:pPr>
        <w:bidi/>
        <w:spacing w:before="100" w:beforeAutospacing="1" w:after="0" w:line="360" w:lineRule="auto"/>
        <w:ind w:left="284"/>
        <w:jc w:val="center"/>
        <w:outlineLvl w:val="0"/>
        <w:rPr>
          <w:rFonts w:ascii="Times New Roman" w:hAnsi="Times New Roman" w:cs="Traditional Arabic"/>
          <w:b/>
          <w:bCs/>
          <w:sz w:val="36"/>
          <w:szCs w:val="36"/>
          <w:rtl/>
        </w:rPr>
      </w:pPr>
      <w:bookmarkStart w:id="0" w:name="_Toc202225998"/>
      <w:r>
        <w:rPr>
          <w:rFonts w:ascii="Times New Roman" w:hAnsi="Times New Roman" w:cs="Traditional Arabic" w:hint="cs"/>
          <w:b/>
          <w:bCs/>
          <w:sz w:val="36"/>
          <w:szCs w:val="36"/>
          <w:rtl/>
        </w:rPr>
        <w:lastRenderedPageBreak/>
        <w:t>قائمة المحتويات</w:t>
      </w:r>
      <w:bookmarkEnd w:id="0"/>
    </w:p>
    <w:sdt>
      <w:sdtPr>
        <w:rPr>
          <w:rFonts w:asciiTheme="minorHAnsi" w:eastAsiaTheme="minorHAnsi" w:hAnsiTheme="minorHAnsi" w:cs="Traditional Arabic"/>
          <w:color w:val="auto"/>
          <w:sz w:val="28"/>
          <w:szCs w:val="28"/>
          <w:rtl/>
        </w:rPr>
        <w:id w:val="-87780616"/>
        <w:docPartObj>
          <w:docPartGallery w:val="Table of Contents"/>
          <w:docPartUnique/>
        </w:docPartObj>
      </w:sdtPr>
      <w:sdtEndPr>
        <w:rPr>
          <w:b/>
          <w:bCs/>
          <w:noProof/>
        </w:rPr>
      </w:sdtEndPr>
      <w:sdtContent>
        <w:p w14:paraId="2DC69491" w14:textId="243522BB" w:rsidR="00476CBD" w:rsidRPr="00081722" w:rsidRDefault="00476CBD" w:rsidP="007810E9">
          <w:pPr>
            <w:pStyle w:val="TOCHeading"/>
            <w:bidi/>
            <w:spacing w:line="360" w:lineRule="auto"/>
            <w:rPr>
              <w:rFonts w:cs="Traditional Arabic"/>
              <w:sz w:val="2"/>
              <w:szCs w:val="2"/>
            </w:rPr>
          </w:pPr>
        </w:p>
        <w:p w14:paraId="07A39171" w14:textId="3F2481BB" w:rsidR="00DF30CE" w:rsidRDefault="00476CBD">
          <w:pPr>
            <w:pStyle w:val="TOC1"/>
            <w:tabs>
              <w:tab w:val="right" w:leader="dot" w:pos="8493"/>
            </w:tabs>
            <w:bidi/>
            <w:rPr>
              <w:rFonts w:eastAsiaTheme="minorEastAsia"/>
              <w:noProof/>
              <w:kern w:val="2"/>
              <w:sz w:val="24"/>
              <w:szCs w:val="24"/>
              <w:rtl/>
              <w14:ligatures w14:val="standardContextual"/>
            </w:rPr>
          </w:pPr>
          <w:r w:rsidRPr="007810E9">
            <w:rPr>
              <w:rFonts w:cs="Traditional Arabic"/>
              <w:sz w:val="28"/>
              <w:szCs w:val="28"/>
            </w:rPr>
            <w:fldChar w:fldCharType="begin"/>
          </w:r>
          <w:r w:rsidRPr="007810E9">
            <w:rPr>
              <w:rFonts w:cs="Traditional Arabic"/>
              <w:sz w:val="28"/>
              <w:szCs w:val="28"/>
            </w:rPr>
            <w:instrText xml:space="preserve"> TOC \o "1-3" \h \z \u </w:instrText>
          </w:r>
          <w:r w:rsidRPr="007810E9">
            <w:rPr>
              <w:rFonts w:cs="Traditional Arabic"/>
              <w:sz w:val="28"/>
              <w:szCs w:val="28"/>
            </w:rPr>
            <w:fldChar w:fldCharType="separate"/>
          </w:r>
          <w:hyperlink w:anchor="_Toc202225998" w:history="1">
            <w:r w:rsidR="00DF30CE" w:rsidRPr="005E4ABC">
              <w:rPr>
                <w:rStyle w:val="Hyperlink"/>
                <w:rFonts w:ascii="Times New Roman" w:hAnsi="Times New Roman" w:cs="Traditional Arabic"/>
                <w:b/>
                <w:bCs/>
                <w:noProof/>
                <w:rtl/>
              </w:rPr>
              <w:t>قائمة المحتويات</w:t>
            </w:r>
            <w:r w:rsidR="00DF30CE">
              <w:rPr>
                <w:noProof/>
                <w:webHidden/>
                <w:rtl/>
              </w:rPr>
              <w:tab/>
            </w:r>
            <w:r w:rsidR="00DF30CE">
              <w:rPr>
                <w:rStyle w:val="Hyperlink"/>
                <w:noProof/>
                <w:rtl/>
              </w:rPr>
              <w:fldChar w:fldCharType="begin"/>
            </w:r>
            <w:r w:rsidR="00DF30CE">
              <w:rPr>
                <w:noProof/>
                <w:webHidden/>
                <w:rtl/>
              </w:rPr>
              <w:instrText xml:space="preserve"> </w:instrText>
            </w:r>
            <w:r w:rsidR="00DF30CE">
              <w:rPr>
                <w:noProof/>
                <w:webHidden/>
              </w:rPr>
              <w:instrText>PAGEREF</w:instrText>
            </w:r>
            <w:r w:rsidR="00DF30CE">
              <w:rPr>
                <w:noProof/>
                <w:webHidden/>
                <w:rtl/>
              </w:rPr>
              <w:instrText xml:space="preserve"> _</w:instrText>
            </w:r>
            <w:r w:rsidR="00DF30CE">
              <w:rPr>
                <w:noProof/>
                <w:webHidden/>
              </w:rPr>
              <w:instrText>Toc202225998 \h</w:instrText>
            </w:r>
            <w:r w:rsidR="00DF30CE">
              <w:rPr>
                <w:noProof/>
                <w:webHidden/>
                <w:rtl/>
              </w:rPr>
              <w:instrText xml:space="preserve"> </w:instrText>
            </w:r>
            <w:r w:rsidR="00DF30CE">
              <w:rPr>
                <w:rStyle w:val="Hyperlink"/>
                <w:noProof/>
                <w:rtl/>
              </w:rPr>
            </w:r>
            <w:r w:rsidR="00DF30CE">
              <w:rPr>
                <w:rStyle w:val="Hyperlink"/>
                <w:noProof/>
                <w:rtl/>
              </w:rPr>
              <w:fldChar w:fldCharType="separate"/>
            </w:r>
            <w:r w:rsidR="00BA7641">
              <w:rPr>
                <w:rFonts w:hint="eastAsia"/>
                <w:noProof/>
                <w:webHidden/>
                <w:rtl/>
              </w:rPr>
              <w:t>‌ج</w:t>
            </w:r>
            <w:r w:rsidR="00DF30CE">
              <w:rPr>
                <w:rStyle w:val="Hyperlink"/>
                <w:noProof/>
                <w:rtl/>
              </w:rPr>
              <w:fldChar w:fldCharType="end"/>
            </w:r>
          </w:hyperlink>
        </w:p>
        <w:p w14:paraId="290F58A2" w14:textId="1A74637A" w:rsidR="00DF30CE" w:rsidRPr="00DF30CE" w:rsidRDefault="007B68BD">
          <w:pPr>
            <w:pStyle w:val="TOC1"/>
            <w:tabs>
              <w:tab w:val="right" w:leader="dot" w:pos="8493"/>
            </w:tabs>
            <w:bidi/>
            <w:rPr>
              <w:rFonts w:eastAsiaTheme="minorEastAsia"/>
              <w:noProof/>
              <w:kern w:val="2"/>
              <w:sz w:val="28"/>
              <w:szCs w:val="28"/>
              <w:rtl/>
              <w14:ligatures w14:val="standardContextual"/>
            </w:rPr>
          </w:pPr>
          <w:hyperlink w:anchor="_Toc202225999" w:history="1">
            <w:r w:rsidR="00DF30CE" w:rsidRPr="00DF30CE">
              <w:rPr>
                <w:rStyle w:val="Hyperlink"/>
                <w:rFonts w:ascii="Times New Roman" w:hAnsi="Times New Roman" w:cs="Traditional Arabic"/>
                <w:b/>
                <w:bCs/>
                <w:noProof/>
                <w:sz w:val="28"/>
                <w:szCs w:val="28"/>
                <w:rtl/>
                <w:lang w:bidi="ar-EG"/>
              </w:rPr>
              <w:t>الفصل الأول: المقدمة والإطار النظري</w:t>
            </w:r>
            <w:r w:rsidR="00DF30CE" w:rsidRPr="00DF30CE">
              <w:rPr>
                <w:noProof/>
                <w:webHidden/>
                <w:sz w:val="28"/>
                <w:szCs w:val="28"/>
                <w:rtl/>
              </w:rPr>
              <w:tab/>
            </w:r>
            <w:r w:rsidR="00DF30CE" w:rsidRPr="00DF30CE">
              <w:rPr>
                <w:rStyle w:val="Hyperlink"/>
                <w:noProof/>
                <w:sz w:val="28"/>
                <w:szCs w:val="28"/>
                <w:rtl/>
              </w:rPr>
              <w:fldChar w:fldCharType="begin"/>
            </w:r>
            <w:r w:rsidR="00DF30CE" w:rsidRPr="00DF30CE">
              <w:rPr>
                <w:noProof/>
                <w:webHidden/>
                <w:sz w:val="28"/>
                <w:szCs w:val="28"/>
                <w:rtl/>
              </w:rPr>
              <w:instrText xml:space="preserve"> </w:instrText>
            </w:r>
            <w:r w:rsidR="00DF30CE" w:rsidRPr="00DF30CE">
              <w:rPr>
                <w:noProof/>
                <w:webHidden/>
                <w:sz w:val="28"/>
                <w:szCs w:val="28"/>
              </w:rPr>
              <w:instrText>PAGEREF</w:instrText>
            </w:r>
            <w:r w:rsidR="00DF30CE" w:rsidRPr="00DF30CE">
              <w:rPr>
                <w:noProof/>
                <w:webHidden/>
                <w:sz w:val="28"/>
                <w:szCs w:val="28"/>
                <w:rtl/>
              </w:rPr>
              <w:instrText xml:space="preserve"> _</w:instrText>
            </w:r>
            <w:r w:rsidR="00DF30CE" w:rsidRPr="00DF30CE">
              <w:rPr>
                <w:noProof/>
                <w:webHidden/>
                <w:sz w:val="28"/>
                <w:szCs w:val="28"/>
              </w:rPr>
              <w:instrText>Toc202225999 \h</w:instrText>
            </w:r>
            <w:r w:rsidR="00DF30CE" w:rsidRPr="00DF30CE">
              <w:rPr>
                <w:noProof/>
                <w:webHidden/>
                <w:sz w:val="28"/>
                <w:szCs w:val="28"/>
                <w:rtl/>
              </w:rPr>
              <w:instrText xml:space="preserve"> </w:instrText>
            </w:r>
            <w:r w:rsidR="00DF30CE" w:rsidRPr="00DF30CE">
              <w:rPr>
                <w:rStyle w:val="Hyperlink"/>
                <w:noProof/>
                <w:sz w:val="28"/>
                <w:szCs w:val="28"/>
                <w:rtl/>
              </w:rPr>
            </w:r>
            <w:r w:rsidR="00DF30CE" w:rsidRPr="00DF30CE">
              <w:rPr>
                <w:rStyle w:val="Hyperlink"/>
                <w:noProof/>
                <w:sz w:val="28"/>
                <w:szCs w:val="28"/>
                <w:rtl/>
              </w:rPr>
              <w:fldChar w:fldCharType="separate"/>
            </w:r>
            <w:r w:rsidR="00BA7641">
              <w:rPr>
                <w:noProof/>
                <w:webHidden/>
                <w:sz w:val="28"/>
                <w:szCs w:val="28"/>
                <w:rtl/>
              </w:rPr>
              <w:t>1</w:t>
            </w:r>
            <w:r w:rsidR="00DF30CE" w:rsidRPr="00DF30CE">
              <w:rPr>
                <w:rStyle w:val="Hyperlink"/>
                <w:noProof/>
                <w:sz w:val="28"/>
                <w:szCs w:val="28"/>
                <w:rtl/>
              </w:rPr>
              <w:fldChar w:fldCharType="end"/>
            </w:r>
          </w:hyperlink>
        </w:p>
        <w:p w14:paraId="4CC80000" w14:textId="22601D28" w:rsidR="00DF30CE" w:rsidRPr="00DF30CE" w:rsidRDefault="007B68BD">
          <w:pPr>
            <w:pStyle w:val="TOC2"/>
            <w:tabs>
              <w:tab w:val="right" w:leader="dot" w:pos="8493"/>
            </w:tabs>
            <w:bidi/>
            <w:rPr>
              <w:rFonts w:eastAsiaTheme="minorEastAsia"/>
              <w:noProof/>
              <w:kern w:val="2"/>
              <w:sz w:val="28"/>
              <w:szCs w:val="28"/>
              <w:rtl/>
              <w14:ligatures w14:val="standardContextual"/>
            </w:rPr>
          </w:pPr>
          <w:hyperlink w:anchor="_Toc202226000" w:history="1">
            <w:r w:rsidR="00DF30CE" w:rsidRPr="00DF30CE">
              <w:rPr>
                <w:rStyle w:val="Hyperlink"/>
                <w:rFonts w:ascii="Times New Roman" w:hAnsi="Times New Roman" w:cs="Traditional Arabic"/>
                <w:b/>
                <w:bCs/>
                <w:noProof/>
                <w:sz w:val="28"/>
                <w:szCs w:val="28"/>
                <w:rtl/>
              </w:rPr>
              <w:t>1.1 مقدمة الدراسة</w:t>
            </w:r>
            <w:r w:rsidR="00DF30CE" w:rsidRPr="00DF30CE">
              <w:rPr>
                <w:noProof/>
                <w:webHidden/>
                <w:sz w:val="28"/>
                <w:szCs w:val="28"/>
                <w:rtl/>
              </w:rPr>
              <w:tab/>
            </w:r>
            <w:r w:rsidR="00DF30CE" w:rsidRPr="00DF30CE">
              <w:rPr>
                <w:rStyle w:val="Hyperlink"/>
                <w:noProof/>
                <w:sz w:val="28"/>
                <w:szCs w:val="28"/>
                <w:rtl/>
              </w:rPr>
              <w:fldChar w:fldCharType="begin"/>
            </w:r>
            <w:r w:rsidR="00DF30CE" w:rsidRPr="00DF30CE">
              <w:rPr>
                <w:noProof/>
                <w:webHidden/>
                <w:sz w:val="28"/>
                <w:szCs w:val="28"/>
                <w:rtl/>
              </w:rPr>
              <w:instrText xml:space="preserve"> </w:instrText>
            </w:r>
            <w:r w:rsidR="00DF30CE" w:rsidRPr="00DF30CE">
              <w:rPr>
                <w:noProof/>
                <w:webHidden/>
                <w:sz w:val="28"/>
                <w:szCs w:val="28"/>
              </w:rPr>
              <w:instrText>PAGEREF</w:instrText>
            </w:r>
            <w:r w:rsidR="00DF30CE" w:rsidRPr="00DF30CE">
              <w:rPr>
                <w:noProof/>
                <w:webHidden/>
                <w:sz w:val="28"/>
                <w:szCs w:val="28"/>
                <w:rtl/>
              </w:rPr>
              <w:instrText xml:space="preserve"> _</w:instrText>
            </w:r>
            <w:r w:rsidR="00DF30CE" w:rsidRPr="00DF30CE">
              <w:rPr>
                <w:noProof/>
                <w:webHidden/>
                <w:sz w:val="28"/>
                <w:szCs w:val="28"/>
              </w:rPr>
              <w:instrText>Toc202226000 \h</w:instrText>
            </w:r>
            <w:r w:rsidR="00DF30CE" w:rsidRPr="00DF30CE">
              <w:rPr>
                <w:noProof/>
                <w:webHidden/>
                <w:sz w:val="28"/>
                <w:szCs w:val="28"/>
                <w:rtl/>
              </w:rPr>
              <w:instrText xml:space="preserve"> </w:instrText>
            </w:r>
            <w:r w:rsidR="00DF30CE" w:rsidRPr="00DF30CE">
              <w:rPr>
                <w:rStyle w:val="Hyperlink"/>
                <w:noProof/>
                <w:sz w:val="28"/>
                <w:szCs w:val="28"/>
                <w:rtl/>
              </w:rPr>
            </w:r>
            <w:r w:rsidR="00DF30CE" w:rsidRPr="00DF30CE">
              <w:rPr>
                <w:rStyle w:val="Hyperlink"/>
                <w:noProof/>
                <w:sz w:val="28"/>
                <w:szCs w:val="28"/>
                <w:rtl/>
              </w:rPr>
              <w:fldChar w:fldCharType="separate"/>
            </w:r>
            <w:r w:rsidR="00BA7641">
              <w:rPr>
                <w:noProof/>
                <w:webHidden/>
                <w:sz w:val="28"/>
                <w:szCs w:val="28"/>
                <w:rtl/>
              </w:rPr>
              <w:t>1</w:t>
            </w:r>
            <w:r w:rsidR="00DF30CE" w:rsidRPr="00DF30CE">
              <w:rPr>
                <w:rStyle w:val="Hyperlink"/>
                <w:noProof/>
                <w:sz w:val="28"/>
                <w:szCs w:val="28"/>
                <w:rtl/>
              </w:rPr>
              <w:fldChar w:fldCharType="end"/>
            </w:r>
          </w:hyperlink>
        </w:p>
        <w:p w14:paraId="2FB4EA96" w14:textId="5098E591" w:rsidR="00DF30CE" w:rsidRPr="00DF30CE" w:rsidRDefault="007B68BD">
          <w:pPr>
            <w:pStyle w:val="TOC2"/>
            <w:tabs>
              <w:tab w:val="right" w:leader="dot" w:pos="8493"/>
            </w:tabs>
            <w:bidi/>
            <w:rPr>
              <w:rFonts w:eastAsiaTheme="minorEastAsia"/>
              <w:noProof/>
              <w:kern w:val="2"/>
              <w:sz w:val="28"/>
              <w:szCs w:val="28"/>
              <w:rtl/>
              <w14:ligatures w14:val="standardContextual"/>
            </w:rPr>
          </w:pPr>
          <w:hyperlink w:anchor="_Toc202226001" w:history="1">
            <w:r w:rsidR="00DF30CE" w:rsidRPr="00DF30CE">
              <w:rPr>
                <w:rStyle w:val="Hyperlink"/>
                <w:rFonts w:ascii="Times New Roman" w:hAnsi="Times New Roman" w:cs="Traditional Arabic"/>
                <w:b/>
                <w:bCs/>
                <w:noProof/>
                <w:sz w:val="28"/>
                <w:szCs w:val="28"/>
                <w:rtl/>
              </w:rPr>
              <w:t>2.1 مشكلة الدراسة وأسئلتها:</w:t>
            </w:r>
            <w:r w:rsidR="00DF30CE" w:rsidRPr="00DF30CE">
              <w:rPr>
                <w:noProof/>
                <w:webHidden/>
                <w:sz w:val="28"/>
                <w:szCs w:val="28"/>
                <w:rtl/>
              </w:rPr>
              <w:tab/>
            </w:r>
            <w:r w:rsidR="00DF30CE" w:rsidRPr="00DF30CE">
              <w:rPr>
                <w:rStyle w:val="Hyperlink"/>
                <w:noProof/>
                <w:sz w:val="28"/>
                <w:szCs w:val="28"/>
                <w:rtl/>
              </w:rPr>
              <w:fldChar w:fldCharType="begin"/>
            </w:r>
            <w:r w:rsidR="00DF30CE" w:rsidRPr="00DF30CE">
              <w:rPr>
                <w:noProof/>
                <w:webHidden/>
                <w:sz w:val="28"/>
                <w:szCs w:val="28"/>
                <w:rtl/>
              </w:rPr>
              <w:instrText xml:space="preserve"> </w:instrText>
            </w:r>
            <w:r w:rsidR="00DF30CE" w:rsidRPr="00DF30CE">
              <w:rPr>
                <w:noProof/>
                <w:webHidden/>
                <w:sz w:val="28"/>
                <w:szCs w:val="28"/>
              </w:rPr>
              <w:instrText>PAGEREF</w:instrText>
            </w:r>
            <w:r w:rsidR="00DF30CE" w:rsidRPr="00DF30CE">
              <w:rPr>
                <w:noProof/>
                <w:webHidden/>
                <w:sz w:val="28"/>
                <w:szCs w:val="28"/>
                <w:rtl/>
              </w:rPr>
              <w:instrText xml:space="preserve"> _</w:instrText>
            </w:r>
            <w:r w:rsidR="00DF30CE" w:rsidRPr="00DF30CE">
              <w:rPr>
                <w:noProof/>
                <w:webHidden/>
                <w:sz w:val="28"/>
                <w:szCs w:val="28"/>
              </w:rPr>
              <w:instrText>Toc202226001 \h</w:instrText>
            </w:r>
            <w:r w:rsidR="00DF30CE" w:rsidRPr="00DF30CE">
              <w:rPr>
                <w:noProof/>
                <w:webHidden/>
                <w:sz w:val="28"/>
                <w:szCs w:val="28"/>
                <w:rtl/>
              </w:rPr>
              <w:instrText xml:space="preserve"> </w:instrText>
            </w:r>
            <w:r w:rsidR="00DF30CE" w:rsidRPr="00DF30CE">
              <w:rPr>
                <w:rStyle w:val="Hyperlink"/>
                <w:noProof/>
                <w:sz w:val="28"/>
                <w:szCs w:val="28"/>
                <w:rtl/>
              </w:rPr>
            </w:r>
            <w:r w:rsidR="00DF30CE" w:rsidRPr="00DF30CE">
              <w:rPr>
                <w:rStyle w:val="Hyperlink"/>
                <w:noProof/>
                <w:sz w:val="28"/>
                <w:szCs w:val="28"/>
                <w:rtl/>
              </w:rPr>
              <w:fldChar w:fldCharType="separate"/>
            </w:r>
            <w:r w:rsidR="00BA7641">
              <w:rPr>
                <w:noProof/>
                <w:webHidden/>
                <w:sz w:val="28"/>
                <w:szCs w:val="28"/>
                <w:rtl/>
              </w:rPr>
              <w:t>2</w:t>
            </w:r>
            <w:r w:rsidR="00DF30CE" w:rsidRPr="00DF30CE">
              <w:rPr>
                <w:rStyle w:val="Hyperlink"/>
                <w:noProof/>
                <w:sz w:val="28"/>
                <w:szCs w:val="28"/>
                <w:rtl/>
              </w:rPr>
              <w:fldChar w:fldCharType="end"/>
            </w:r>
          </w:hyperlink>
        </w:p>
        <w:p w14:paraId="4A9851E9" w14:textId="1C357118" w:rsidR="00DF30CE" w:rsidRPr="00DF30CE" w:rsidRDefault="007B68BD">
          <w:pPr>
            <w:pStyle w:val="TOC2"/>
            <w:tabs>
              <w:tab w:val="right" w:leader="dot" w:pos="8493"/>
            </w:tabs>
            <w:bidi/>
            <w:rPr>
              <w:rFonts w:eastAsiaTheme="minorEastAsia"/>
              <w:noProof/>
              <w:kern w:val="2"/>
              <w:sz w:val="28"/>
              <w:szCs w:val="28"/>
              <w:rtl/>
              <w14:ligatures w14:val="standardContextual"/>
            </w:rPr>
          </w:pPr>
          <w:hyperlink w:anchor="_Toc202226002" w:history="1">
            <w:r w:rsidR="00DF30CE" w:rsidRPr="00DF30CE">
              <w:rPr>
                <w:rStyle w:val="Hyperlink"/>
                <w:rFonts w:ascii="Times New Roman" w:hAnsi="Times New Roman" w:cs="Traditional Arabic"/>
                <w:b/>
                <w:bCs/>
                <w:noProof/>
                <w:sz w:val="28"/>
                <w:szCs w:val="28"/>
                <w:rtl/>
              </w:rPr>
              <w:t>3.1 أهمية الدراسة (النظرية والتطبيقية):</w:t>
            </w:r>
            <w:r w:rsidR="00DF30CE" w:rsidRPr="00DF30CE">
              <w:rPr>
                <w:noProof/>
                <w:webHidden/>
                <w:sz w:val="28"/>
                <w:szCs w:val="28"/>
                <w:rtl/>
              </w:rPr>
              <w:tab/>
            </w:r>
            <w:r w:rsidR="00DF30CE" w:rsidRPr="00DF30CE">
              <w:rPr>
                <w:rStyle w:val="Hyperlink"/>
                <w:noProof/>
                <w:sz w:val="28"/>
                <w:szCs w:val="28"/>
                <w:rtl/>
              </w:rPr>
              <w:fldChar w:fldCharType="begin"/>
            </w:r>
            <w:r w:rsidR="00DF30CE" w:rsidRPr="00DF30CE">
              <w:rPr>
                <w:noProof/>
                <w:webHidden/>
                <w:sz w:val="28"/>
                <w:szCs w:val="28"/>
                <w:rtl/>
              </w:rPr>
              <w:instrText xml:space="preserve"> </w:instrText>
            </w:r>
            <w:r w:rsidR="00DF30CE" w:rsidRPr="00DF30CE">
              <w:rPr>
                <w:noProof/>
                <w:webHidden/>
                <w:sz w:val="28"/>
                <w:szCs w:val="28"/>
              </w:rPr>
              <w:instrText>PAGEREF</w:instrText>
            </w:r>
            <w:r w:rsidR="00DF30CE" w:rsidRPr="00DF30CE">
              <w:rPr>
                <w:noProof/>
                <w:webHidden/>
                <w:sz w:val="28"/>
                <w:szCs w:val="28"/>
                <w:rtl/>
              </w:rPr>
              <w:instrText xml:space="preserve"> _</w:instrText>
            </w:r>
            <w:r w:rsidR="00DF30CE" w:rsidRPr="00DF30CE">
              <w:rPr>
                <w:noProof/>
                <w:webHidden/>
                <w:sz w:val="28"/>
                <w:szCs w:val="28"/>
              </w:rPr>
              <w:instrText>Toc202226002 \h</w:instrText>
            </w:r>
            <w:r w:rsidR="00DF30CE" w:rsidRPr="00DF30CE">
              <w:rPr>
                <w:noProof/>
                <w:webHidden/>
                <w:sz w:val="28"/>
                <w:szCs w:val="28"/>
                <w:rtl/>
              </w:rPr>
              <w:instrText xml:space="preserve"> </w:instrText>
            </w:r>
            <w:r w:rsidR="00DF30CE" w:rsidRPr="00DF30CE">
              <w:rPr>
                <w:rStyle w:val="Hyperlink"/>
                <w:noProof/>
                <w:sz w:val="28"/>
                <w:szCs w:val="28"/>
                <w:rtl/>
              </w:rPr>
            </w:r>
            <w:r w:rsidR="00DF30CE" w:rsidRPr="00DF30CE">
              <w:rPr>
                <w:rStyle w:val="Hyperlink"/>
                <w:noProof/>
                <w:sz w:val="28"/>
                <w:szCs w:val="28"/>
                <w:rtl/>
              </w:rPr>
              <w:fldChar w:fldCharType="separate"/>
            </w:r>
            <w:r w:rsidR="00BA7641">
              <w:rPr>
                <w:noProof/>
                <w:webHidden/>
                <w:sz w:val="28"/>
                <w:szCs w:val="28"/>
                <w:rtl/>
              </w:rPr>
              <w:t>4</w:t>
            </w:r>
            <w:r w:rsidR="00DF30CE" w:rsidRPr="00DF30CE">
              <w:rPr>
                <w:rStyle w:val="Hyperlink"/>
                <w:noProof/>
                <w:sz w:val="28"/>
                <w:szCs w:val="28"/>
                <w:rtl/>
              </w:rPr>
              <w:fldChar w:fldCharType="end"/>
            </w:r>
          </w:hyperlink>
        </w:p>
        <w:p w14:paraId="508B342E" w14:textId="46BB8D0A" w:rsidR="00DF30CE" w:rsidRPr="00DF30CE" w:rsidRDefault="007B68BD">
          <w:pPr>
            <w:pStyle w:val="TOC3"/>
            <w:tabs>
              <w:tab w:val="right" w:leader="dot" w:pos="8493"/>
            </w:tabs>
            <w:bidi/>
            <w:rPr>
              <w:rFonts w:eastAsiaTheme="minorEastAsia"/>
              <w:noProof/>
              <w:kern w:val="2"/>
              <w:sz w:val="28"/>
              <w:szCs w:val="28"/>
              <w:rtl/>
              <w14:ligatures w14:val="standardContextual"/>
            </w:rPr>
          </w:pPr>
          <w:hyperlink w:anchor="_Toc202226003" w:history="1">
            <w:r w:rsidR="00DF30CE" w:rsidRPr="00DF30CE">
              <w:rPr>
                <w:rStyle w:val="Hyperlink"/>
                <w:rFonts w:ascii="Times New Roman" w:hAnsi="Times New Roman" w:cs="Traditional Arabic"/>
                <w:b/>
                <w:bCs/>
                <w:noProof/>
                <w:sz w:val="28"/>
                <w:szCs w:val="28"/>
                <w:rtl/>
              </w:rPr>
              <w:t>1.3.1 أهمية الدراسة النظرية</w:t>
            </w:r>
            <w:r w:rsidR="00DF30CE" w:rsidRPr="00DF30CE">
              <w:rPr>
                <w:noProof/>
                <w:webHidden/>
                <w:sz w:val="28"/>
                <w:szCs w:val="28"/>
                <w:rtl/>
              </w:rPr>
              <w:tab/>
            </w:r>
            <w:r w:rsidR="00DF30CE" w:rsidRPr="00DF30CE">
              <w:rPr>
                <w:rStyle w:val="Hyperlink"/>
                <w:noProof/>
                <w:sz w:val="28"/>
                <w:szCs w:val="28"/>
                <w:rtl/>
              </w:rPr>
              <w:fldChar w:fldCharType="begin"/>
            </w:r>
            <w:r w:rsidR="00DF30CE" w:rsidRPr="00DF30CE">
              <w:rPr>
                <w:noProof/>
                <w:webHidden/>
                <w:sz w:val="28"/>
                <w:szCs w:val="28"/>
                <w:rtl/>
              </w:rPr>
              <w:instrText xml:space="preserve"> </w:instrText>
            </w:r>
            <w:r w:rsidR="00DF30CE" w:rsidRPr="00DF30CE">
              <w:rPr>
                <w:noProof/>
                <w:webHidden/>
                <w:sz w:val="28"/>
                <w:szCs w:val="28"/>
              </w:rPr>
              <w:instrText>PAGEREF</w:instrText>
            </w:r>
            <w:r w:rsidR="00DF30CE" w:rsidRPr="00DF30CE">
              <w:rPr>
                <w:noProof/>
                <w:webHidden/>
                <w:sz w:val="28"/>
                <w:szCs w:val="28"/>
                <w:rtl/>
              </w:rPr>
              <w:instrText xml:space="preserve"> _</w:instrText>
            </w:r>
            <w:r w:rsidR="00DF30CE" w:rsidRPr="00DF30CE">
              <w:rPr>
                <w:noProof/>
                <w:webHidden/>
                <w:sz w:val="28"/>
                <w:szCs w:val="28"/>
              </w:rPr>
              <w:instrText>Toc202226003 \h</w:instrText>
            </w:r>
            <w:r w:rsidR="00DF30CE" w:rsidRPr="00DF30CE">
              <w:rPr>
                <w:noProof/>
                <w:webHidden/>
                <w:sz w:val="28"/>
                <w:szCs w:val="28"/>
                <w:rtl/>
              </w:rPr>
              <w:instrText xml:space="preserve"> </w:instrText>
            </w:r>
            <w:r w:rsidR="00DF30CE" w:rsidRPr="00DF30CE">
              <w:rPr>
                <w:rStyle w:val="Hyperlink"/>
                <w:noProof/>
                <w:sz w:val="28"/>
                <w:szCs w:val="28"/>
                <w:rtl/>
              </w:rPr>
            </w:r>
            <w:r w:rsidR="00DF30CE" w:rsidRPr="00DF30CE">
              <w:rPr>
                <w:rStyle w:val="Hyperlink"/>
                <w:noProof/>
                <w:sz w:val="28"/>
                <w:szCs w:val="28"/>
                <w:rtl/>
              </w:rPr>
              <w:fldChar w:fldCharType="separate"/>
            </w:r>
            <w:r w:rsidR="00BA7641">
              <w:rPr>
                <w:noProof/>
                <w:webHidden/>
                <w:sz w:val="28"/>
                <w:szCs w:val="28"/>
                <w:rtl/>
              </w:rPr>
              <w:t>5</w:t>
            </w:r>
            <w:r w:rsidR="00DF30CE" w:rsidRPr="00DF30CE">
              <w:rPr>
                <w:rStyle w:val="Hyperlink"/>
                <w:noProof/>
                <w:sz w:val="28"/>
                <w:szCs w:val="28"/>
                <w:rtl/>
              </w:rPr>
              <w:fldChar w:fldCharType="end"/>
            </w:r>
          </w:hyperlink>
        </w:p>
        <w:p w14:paraId="075DAF11" w14:textId="452DAEE3" w:rsidR="00DF30CE" w:rsidRPr="00DF30CE" w:rsidRDefault="007B68BD">
          <w:pPr>
            <w:pStyle w:val="TOC3"/>
            <w:tabs>
              <w:tab w:val="right" w:leader="dot" w:pos="8493"/>
            </w:tabs>
            <w:bidi/>
            <w:rPr>
              <w:rFonts w:eastAsiaTheme="minorEastAsia"/>
              <w:noProof/>
              <w:kern w:val="2"/>
              <w:sz w:val="28"/>
              <w:szCs w:val="28"/>
              <w:rtl/>
              <w14:ligatures w14:val="standardContextual"/>
            </w:rPr>
          </w:pPr>
          <w:hyperlink w:anchor="_Toc202226004" w:history="1">
            <w:r w:rsidR="00DF30CE" w:rsidRPr="00DF30CE">
              <w:rPr>
                <w:rStyle w:val="Hyperlink"/>
                <w:rFonts w:ascii="Times New Roman" w:hAnsi="Times New Roman" w:cs="Traditional Arabic"/>
                <w:b/>
                <w:bCs/>
                <w:noProof/>
                <w:sz w:val="28"/>
                <w:szCs w:val="28"/>
                <w:rtl/>
              </w:rPr>
              <w:t>2.3.1 أهمية الدراسة التطبيقية:</w:t>
            </w:r>
            <w:r w:rsidR="00DF30CE" w:rsidRPr="00DF30CE">
              <w:rPr>
                <w:noProof/>
                <w:webHidden/>
                <w:sz w:val="28"/>
                <w:szCs w:val="28"/>
                <w:rtl/>
              </w:rPr>
              <w:tab/>
            </w:r>
            <w:r w:rsidR="00DF30CE" w:rsidRPr="00DF30CE">
              <w:rPr>
                <w:rStyle w:val="Hyperlink"/>
                <w:noProof/>
                <w:sz w:val="28"/>
                <w:szCs w:val="28"/>
                <w:rtl/>
              </w:rPr>
              <w:fldChar w:fldCharType="begin"/>
            </w:r>
            <w:r w:rsidR="00DF30CE" w:rsidRPr="00DF30CE">
              <w:rPr>
                <w:noProof/>
                <w:webHidden/>
                <w:sz w:val="28"/>
                <w:szCs w:val="28"/>
                <w:rtl/>
              </w:rPr>
              <w:instrText xml:space="preserve"> </w:instrText>
            </w:r>
            <w:r w:rsidR="00DF30CE" w:rsidRPr="00DF30CE">
              <w:rPr>
                <w:noProof/>
                <w:webHidden/>
                <w:sz w:val="28"/>
                <w:szCs w:val="28"/>
              </w:rPr>
              <w:instrText>PAGEREF</w:instrText>
            </w:r>
            <w:r w:rsidR="00DF30CE" w:rsidRPr="00DF30CE">
              <w:rPr>
                <w:noProof/>
                <w:webHidden/>
                <w:sz w:val="28"/>
                <w:szCs w:val="28"/>
                <w:rtl/>
              </w:rPr>
              <w:instrText xml:space="preserve"> _</w:instrText>
            </w:r>
            <w:r w:rsidR="00DF30CE" w:rsidRPr="00DF30CE">
              <w:rPr>
                <w:noProof/>
                <w:webHidden/>
                <w:sz w:val="28"/>
                <w:szCs w:val="28"/>
              </w:rPr>
              <w:instrText>Toc202226004 \h</w:instrText>
            </w:r>
            <w:r w:rsidR="00DF30CE" w:rsidRPr="00DF30CE">
              <w:rPr>
                <w:noProof/>
                <w:webHidden/>
                <w:sz w:val="28"/>
                <w:szCs w:val="28"/>
                <w:rtl/>
              </w:rPr>
              <w:instrText xml:space="preserve"> </w:instrText>
            </w:r>
            <w:r w:rsidR="00DF30CE" w:rsidRPr="00DF30CE">
              <w:rPr>
                <w:rStyle w:val="Hyperlink"/>
                <w:noProof/>
                <w:sz w:val="28"/>
                <w:szCs w:val="28"/>
                <w:rtl/>
              </w:rPr>
            </w:r>
            <w:r w:rsidR="00DF30CE" w:rsidRPr="00DF30CE">
              <w:rPr>
                <w:rStyle w:val="Hyperlink"/>
                <w:noProof/>
                <w:sz w:val="28"/>
                <w:szCs w:val="28"/>
                <w:rtl/>
              </w:rPr>
              <w:fldChar w:fldCharType="separate"/>
            </w:r>
            <w:r w:rsidR="00BA7641">
              <w:rPr>
                <w:noProof/>
                <w:webHidden/>
                <w:sz w:val="28"/>
                <w:szCs w:val="28"/>
                <w:rtl/>
              </w:rPr>
              <w:t>5</w:t>
            </w:r>
            <w:r w:rsidR="00DF30CE" w:rsidRPr="00DF30CE">
              <w:rPr>
                <w:rStyle w:val="Hyperlink"/>
                <w:noProof/>
                <w:sz w:val="28"/>
                <w:szCs w:val="28"/>
                <w:rtl/>
              </w:rPr>
              <w:fldChar w:fldCharType="end"/>
            </w:r>
          </w:hyperlink>
        </w:p>
        <w:p w14:paraId="3011D74C" w14:textId="4AEB5714" w:rsidR="00DF30CE" w:rsidRPr="00DF30CE" w:rsidRDefault="007B68BD">
          <w:pPr>
            <w:pStyle w:val="TOC2"/>
            <w:tabs>
              <w:tab w:val="right" w:leader="dot" w:pos="8493"/>
            </w:tabs>
            <w:bidi/>
            <w:rPr>
              <w:rFonts w:eastAsiaTheme="minorEastAsia"/>
              <w:noProof/>
              <w:kern w:val="2"/>
              <w:sz w:val="28"/>
              <w:szCs w:val="28"/>
              <w:rtl/>
              <w14:ligatures w14:val="standardContextual"/>
            </w:rPr>
          </w:pPr>
          <w:hyperlink w:anchor="_Toc202226005" w:history="1">
            <w:r w:rsidR="00DF30CE" w:rsidRPr="00DF30CE">
              <w:rPr>
                <w:rStyle w:val="Hyperlink"/>
                <w:rFonts w:ascii="Times New Roman" w:hAnsi="Times New Roman" w:cs="Traditional Arabic"/>
                <w:b/>
                <w:bCs/>
                <w:noProof/>
                <w:sz w:val="28"/>
                <w:szCs w:val="28"/>
                <w:rtl/>
              </w:rPr>
              <w:t>4.1 أهداف الدراسة:</w:t>
            </w:r>
            <w:r w:rsidR="00DF30CE" w:rsidRPr="00DF30CE">
              <w:rPr>
                <w:noProof/>
                <w:webHidden/>
                <w:sz w:val="28"/>
                <w:szCs w:val="28"/>
                <w:rtl/>
              </w:rPr>
              <w:tab/>
            </w:r>
            <w:r w:rsidR="00DF30CE" w:rsidRPr="00DF30CE">
              <w:rPr>
                <w:rStyle w:val="Hyperlink"/>
                <w:noProof/>
                <w:sz w:val="28"/>
                <w:szCs w:val="28"/>
                <w:rtl/>
              </w:rPr>
              <w:fldChar w:fldCharType="begin"/>
            </w:r>
            <w:r w:rsidR="00DF30CE" w:rsidRPr="00DF30CE">
              <w:rPr>
                <w:noProof/>
                <w:webHidden/>
                <w:sz w:val="28"/>
                <w:szCs w:val="28"/>
                <w:rtl/>
              </w:rPr>
              <w:instrText xml:space="preserve"> </w:instrText>
            </w:r>
            <w:r w:rsidR="00DF30CE" w:rsidRPr="00DF30CE">
              <w:rPr>
                <w:noProof/>
                <w:webHidden/>
                <w:sz w:val="28"/>
                <w:szCs w:val="28"/>
              </w:rPr>
              <w:instrText>PAGEREF</w:instrText>
            </w:r>
            <w:r w:rsidR="00DF30CE" w:rsidRPr="00DF30CE">
              <w:rPr>
                <w:noProof/>
                <w:webHidden/>
                <w:sz w:val="28"/>
                <w:szCs w:val="28"/>
                <w:rtl/>
              </w:rPr>
              <w:instrText xml:space="preserve"> _</w:instrText>
            </w:r>
            <w:r w:rsidR="00DF30CE" w:rsidRPr="00DF30CE">
              <w:rPr>
                <w:noProof/>
                <w:webHidden/>
                <w:sz w:val="28"/>
                <w:szCs w:val="28"/>
              </w:rPr>
              <w:instrText>Toc202226005 \h</w:instrText>
            </w:r>
            <w:r w:rsidR="00DF30CE" w:rsidRPr="00DF30CE">
              <w:rPr>
                <w:noProof/>
                <w:webHidden/>
                <w:sz w:val="28"/>
                <w:szCs w:val="28"/>
                <w:rtl/>
              </w:rPr>
              <w:instrText xml:space="preserve"> </w:instrText>
            </w:r>
            <w:r w:rsidR="00DF30CE" w:rsidRPr="00DF30CE">
              <w:rPr>
                <w:rStyle w:val="Hyperlink"/>
                <w:noProof/>
                <w:sz w:val="28"/>
                <w:szCs w:val="28"/>
                <w:rtl/>
              </w:rPr>
            </w:r>
            <w:r w:rsidR="00DF30CE" w:rsidRPr="00DF30CE">
              <w:rPr>
                <w:rStyle w:val="Hyperlink"/>
                <w:noProof/>
                <w:sz w:val="28"/>
                <w:szCs w:val="28"/>
                <w:rtl/>
              </w:rPr>
              <w:fldChar w:fldCharType="separate"/>
            </w:r>
            <w:r w:rsidR="00BA7641">
              <w:rPr>
                <w:noProof/>
                <w:webHidden/>
                <w:sz w:val="28"/>
                <w:szCs w:val="28"/>
                <w:rtl/>
              </w:rPr>
              <w:t>6</w:t>
            </w:r>
            <w:r w:rsidR="00DF30CE" w:rsidRPr="00DF30CE">
              <w:rPr>
                <w:rStyle w:val="Hyperlink"/>
                <w:noProof/>
                <w:sz w:val="28"/>
                <w:szCs w:val="28"/>
                <w:rtl/>
              </w:rPr>
              <w:fldChar w:fldCharType="end"/>
            </w:r>
          </w:hyperlink>
        </w:p>
        <w:p w14:paraId="377D5A53" w14:textId="4602365C" w:rsidR="00DF30CE" w:rsidRPr="00DF30CE" w:rsidRDefault="007B68BD">
          <w:pPr>
            <w:pStyle w:val="TOC2"/>
            <w:tabs>
              <w:tab w:val="right" w:leader="dot" w:pos="8493"/>
            </w:tabs>
            <w:bidi/>
            <w:rPr>
              <w:rFonts w:eastAsiaTheme="minorEastAsia"/>
              <w:noProof/>
              <w:kern w:val="2"/>
              <w:sz w:val="28"/>
              <w:szCs w:val="28"/>
              <w:rtl/>
              <w14:ligatures w14:val="standardContextual"/>
            </w:rPr>
          </w:pPr>
          <w:hyperlink w:anchor="_Toc202226006" w:history="1">
            <w:r w:rsidR="00DF30CE" w:rsidRPr="00DF30CE">
              <w:rPr>
                <w:rStyle w:val="Hyperlink"/>
                <w:rFonts w:ascii="Times New Roman" w:hAnsi="Times New Roman" w:cs="Traditional Arabic"/>
                <w:b/>
                <w:bCs/>
                <w:noProof/>
                <w:sz w:val="28"/>
                <w:szCs w:val="28"/>
                <w:rtl/>
              </w:rPr>
              <w:t>5.1 فرضيات الدراسة:</w:t>
            </w:r>
            <w:r w:rsidR="00DF30CE" w:rsidRPr="00DF30CE">
              <w:rPr>
                <w:noProof/>
                <w:webHidden/>
                <w:sz w:val="28"/>
                <w:szCs w:val="28"/>
                <w:rtl/>
              </w:rPr>
              <w:tab/>
            </w:r>
            <w:r w:rsidR="00DF30CE" w:rsidRPr="00DF30CE">
              <w:rPr>
                <w:rStyle w:val="Hyperlink"/>
                <w:noProof/>
                <w:sz w:val="28"/>
                <w:szCs w:val="28"/>
                <w:rtl/>
              </w:rPr>
              <w:fldChar w:fldCharType="begin"/>
            </w:r>
            <w:r w:rsidR="00DF30CE" w:rsidRPr="00DF30CE">
              <w:rPr>
                <w:noProof/>
                <w:webHidden/>
                <w:sz w:val="28"/>
                <w:szCs w:val="28"/>
                <w:rtl/>
              </w:rPr>
              <w:instrText xml:space="preserve"> </w:instrText>
            </w:r>
            <w:r w:rsidR="00DF30CE" w:rsidRPr="00DF30CE">
              <w:rPr>
                <w:noProof/>
                <w:webHidden/>
                <w:sz w:val="28"/>
                <w:szCs w:val="28"/>
              </w:rPr>
              <w:instrText>PAGEREF</w:instrText>
            </w:r>
            <w:r w:rsidR="00DF30CE" w:rsidRPr="00DF30CE">
              <w:rPr>
                <w:noProof/>
                <w:webHidden/>
                <w:sz w:val="28"/>
                <w:szCs w:val="28"/>
                <w:rtl/>
              </w:rPr>
              <w:instrText xml:space="preserve"> _</w:instrText>
            </w:r>
            <w:r w:rsidR="00DF30CE" w:rsidRPr="00DF30CE">
              <w:rPr>
                <w:noProof/>
                <w:webHidden/>
                <w:sz w:val="28"/>
                <w:szCs w:val="28"/>
              </w:rPr>
              <w:instrText>Toc202226006 \h</w:instrText>
            </w:r>
            <w:r w:rsidR="00DF30CE" w:rsidRPr="00DF30CE">
              <w:rPr>
                <w:noProof/>
                <w:webHidden/>
                <w:sz w:val="28"/>
                <w:szCs w:val="28"/>
                <w:rtl/>
              </w:rPr>
              <w:instrText xml:space="preserve"> </w:instrText>
            </w:r>
            <w:r w:rsidR="00DF30CE" w:rsidRPr="00DF30CE">
              <w:rPr>
                <w:rStyle w:val="Hyperlink"/>
                <w:noProof/>
                <w:sz w:val="28"/>
                <w:szCs w:val="28"/>
                <w:rtl/>
              </w:rPr>
            </w:r>
            <w:r w:rsidR="00DF30CE" w:rsidRPr="00DF30CE">
              <w:rPr>
                <w:rStyle w:val="Hyperlink"/>
                <w:noProof/>
                <w:sz w:val="28"/>
                <w:szCs w:val="28"/>
                <w:rtl/>
              </w:rPr>
              <w:fldChar w:fldCharType="separate"/>
            </w:r>
            <w:r w:rsidR="00BA7641">
              <w:rPr>
                <w:noProof/>
                <w:webHidden/>
                <w:sz w:val="28"/>
                <w:szCs w:val="28"/>
                <w:rtl/>
              </w:rPr>
              <w:t>7</w:t>
            </w:r>
            <w:r w:rsidR="00DF30CE" w:rsidRPr="00DF30CE">
              <w:rPr>
                <w:rStyle w:val="Hyperlink"/>
                <w:noProof/>
                <w:sz w:val="28"/>
                <w:szCs w:val="28"/>
                <w:rtl/>
              </w:rPr>
              <w:fldChar w:fldCharType="end"/>
            </w:r>
          </w:hyperlink>
        </w:p>
        <w:p w14:paraId="5EFEE237" w14:textId="06D7BFF5" w:rsidR="00DF30CE" w:rsidRPr="00DF30CE" w:rsidRDefault="007B68BD">
          <w:pPr>
            <w:pStyle w:val="TOC2"/>
            <w:tabs>
              <w:tab w:val="right" w:leader="dot" w:pos="8493"/>
            </w:tabs>
            <w:bidi/>
            <w:rPr>
              <w:rFonts w:eastAsiaTheme="minorEastAsia"/>
              <w:noProof/>
              <w:kern w:val="2"/>
              <w:sz w:val="28"/>
              <w:szCs w:val="28"/>
              <w:rtl/>
              <w14:ligatures w14:val="standardContextual"/>
            </w:rPr>
          </w:pPr>
          <w:hyperlink w:anchor="_Toc202226007" w:history="1">
            <w:r w:rsidR="00DF30CE" w:rsidRPr="00DF30CE">
              <w:rPr>
                <w:rStyle w:val="Hyperlink"/>
                <w:rFonts w:ascii="Times New Roman" w:hAnsi="Times New Roman" w:cs="Traditional Arabic"/>
                <w:b/>
                <w:bCs/>
                <w:noProof/>
                <w:sz w:val="28"/>
                <w:szCs w:val="28"/>
                <w:rtl/>
              </w:rPr>
              <w:t>6.1 نموذج الدراسة</w:t>
            </w:r>
            <w:r w:rsidR="00DF30CE" w:rsidRPr="00DF30CE">
              <w:rPr>
                <w:noProof/>
                <w:webHidden/>
                <w:sz w:val="28"/>
                <w:szCs w:val="28"/>
                <w:rtl/>
              </w:rPr>
              <w:tab/>
            </w:r>
            <w:r w:rsidR="00DF30CE" w:rsidRPr="00DF30CE">
              <w:rPr>
                <w:rStyle w:val="Hyperlink"/>
                <w:noProof/>
                <w:sz w:val="28"/>
                <w:szCs w:val="28"/>
                <w:rtl/>
              </w:rPr>
              <w:fldChar w:fldCharType="begin"/>
            </w:r>
            <w:r w:rsidR="00DF30CE" w:rsidRPr="00DF30CE">
              <w:rPr>
                <w:noProof/>
                <w:webHidden/>
                <w:sz w:val="28"/>
                <w:szCs w:val="28"/>
                <w:rtl/>
              </w:rPr>
              <w:instrText xml:space="preserve"> </w:instrText>
            </w:r>
            <w:r w:rsidR="00DF30CE" w:rsidRPr="00DF30CE">
              <w:rPr>
                <w:noProof/>
                <w:webHidden/>
                <w:sz w:val="28"/>
                <w:szCs w:val="28"/>
              </w:rPr>
              <w:instrText>PAGEREF</w:instrText>
            </w:r>
            <w:r w:rsidR="00DF30CE" w:rsidRPr="00DF30CE">
              <w:rPr>
                <w:noProof/>
                <w:webHidden/>
                <w:sz w:val="28"/>
                <w:szCs w:val="28"/>
                <w:rtl/>
              </w:rPr>
              <w:instrText xml:space="preserve"> _</w:instrText>
            </w:r>
            <w:r w:rsidR="00DF30CE" w:rsidRPr="00DF30CE">
              <w:rPr>
                <w:noProof/>
                <w:webHidden/>
                <w:sz w:val="28"/>
                <w:szCs w:val="28"/>
              </w:rPr>
              <w:instrText>Toc202226007 \h</w:instrText>
            </w:r>
            <w:r w:rsidR="00DF30CE" w:rsidRPr="00DF30CE">
              <w:rPr>
                <w:noProof/>
                <w:webHidden/>
                <w:sz w:val="28"/>
                <w:szCs w:val="28"/>
                <w:rtl/>
              </w:rPr>
              <w:instrText xml:space="preserve"> </w:instrText>
            </w:r>
            <w:r w:rsidR="00DF30CE" w:rsidRPr="00DF30CE">
              <w:rPr>
                <w:rStyle w:val="Hyperlink"/>
                <w:noProof/>
                <w:sz w:val="28"/>
                <w:szCs w:val="28"/>
                <w:rtl/>
              </w:rPr>
            </w:r>
            <w:r w:rsidR="00DF30CE" w:rsidRPr="00DF30CE">
              <w:rPr>
                <w:rStyle w:val="Hyperlink"/>
                <w:noProof/>
                <w:sz w:val="28"/>
                <w:szCs w:val="28"/>
                <w:rtl/>
              </w:rPr>
              <w:fldChar w:fldCharType="separate"/>
            </w:r>
            <w:r w:rsidR="00BA7641">
              <w:rPr>
                <w:rFonts w:hint="cs"/>
                <w:b/>
                <w:bCs/>
                <w:noProof/>
                <w:webHidden/>
                <w:sz w:val="28"/>
                <w:szCs w:val="28"/>
                <w:rtl/>
              </w:rPr>
              <w:t>خطأ! الإشارة المرجعية غير معرّفة.</w:t>
            </w:r>
            <w:r w:rsidR="00DF30CE" w:rsidRPr="00DF30CE">
              <w:rPr>
                <w:rStyle w:val="Hyperlink"/>
                <w:noProof/>
                <w:sz w:val="28"/>
                <w:szCs w:val="28"/>
                <w:rtl/>
              </w:rPr>
              <w:fldChar w:fldCharType="end"/>
            </w:r>
          </w:hyperlink>
        </w:p>
        <w:p w14:paraId="73393D6E" w14:textId="4B1EBED2" w:rsidR="00DF30CE" w:rsidRPr="00DF30CE" w:rsidRDefault="007B68BD">
          <w:pPr>
            <w:pStyle w:val="TOC2"/>
            <w:tabs>
              <w:tab w:val="right" w:leader="dot" w:pos="8493"/>
            </w:tabs>
            <w:bidi/>
            <w:rPr>
              <w:rFonts w:eastAsiaTheme="minorEastAsia"/>
              <w:noProof/>
              <w:kern w:val="2"/>
              <w:sz w:val="28"/>
              <w:szCs w:val="28"/>
              <w:rtl/>
              <w14:ligatures w14:val="standardContextual"/>
            </w:rPr>
          </w:pPr>
          <w:hyperlink w:anchor="_Toc202226008" w:history="1">
            <w:r w:rsidR="00DF30CE" w:rsidRPr="00DF30CE">
              <w:rPr>
                <w:rStyle w:val="Hyperlink"/>
                <w:rFonts w:ascii="Times New Roman" w:hAnsi="Times New Roman" w:cs="Traditional Arabic"/>
                <w:b/>
                <w:bCs/>
                <w:noProof/>
                <w:sz w:val="28"/>
                <w:szCs w:val="28"/>
                <w:rtl/>
              </w:rPr>
              <w:t>7,1 الدراسات المرجعية:</w:t>
            </w:r>
            <w:r w:rsidR="00DF30CE" w:rsidRPr="00DF30CE">
              <w:rPr>
                <w:noProof/>
                <w:webHidden/>
                <w:sz w:val="28"/>
                <w:szCs w:val="28"/>
                <w:rtl/>
              </w:rPr>
              <w:tab/>
            </w:r>
            <w:r w:rsidR="00DF30CE" w:rsidRPr="00DF30CE">
              <w:rPr>
                <w:rStyle w:val="Hyperlink"/>
                <w:noProof/>
                <w:sz w:val="28"/>
                <w:szCs w:val="28"/>
                <w:rtl/>
              </w:rPr>
              <w:fldChar w:fldCharType="begin"/>
            </w:r>
            <w:r w:rsidR="00DF30CE" w:rsidRPr="00DF30CE">
              <w:rPr>
                <w:noProof/>
                <w:webHidden/>
                <w:sz w:val="28"/>
                <w:szCs w:val="28"/>
                <w:rtl/>
              </w:rPr>
              <w:instrText xml:space="preserve"> </w:instrText>
            </w:r>
            <w:r w:rsidR="00DF30CE" w:rsidRPr="00DF30CE">
              <w:rPr>
                <w:noProof/>
                <w:webHidden/>
                <w:sz w:val="28"/>
                <w:szCs w:val="28"/>
              </w:rPr>
              <w:instrText>PAGEREF</w:instrText>
            </w:r>
            <w:r w:rsidR="00DF30CE" w:rsidRPr="00DF30CE">
              <w:rPr>
                <w:noProof/>
                <w:webHidden/>
                <w:sz w:val="28"/>
                <w:szCs w:val="28"/>
                <w:rtl/>
              </w:rPr>
              <w:instrText xml:space="preserve"> _</w:instrText>
            </w:r>
            <w:r w:rsidR="00DF30CE" w:rsidRPr="00DF30CE">
              <w:rPr>
                <w:noProof/>
                <w:webHidden/>
                <w:sz w:val="28"/>
                <w:szCs w:val="28"/>
              </w:rPr>
              <w:instrText>Toc202226008 \h</w:instrText>
            </w:r>
            <w:r w:rsidR="00DF30CE" w:rsidRPr="00DF30CE">
              <w:rPr>
                <w:noProof/>
                <w:webHidden/>
                <w:sz w:val="28"/>
                <w:szCs w:val="28"/>
                <w:rtl/>
              </w:rPr>
              <w:instrText xml:space="preserve"> </w:instrText>
            </w:r>
            <w:r w:rsidR="00DF30CE" w:rsidRPr="00DF30CE">
              <w:rPr>
                <w:rStyle w:val="Hyperlink"/>
                <w:noProof/>
                <w:sz w:val="28"/>
                <w:szCs w:val="28"/>
                <w:rtl/>
              </w:rPr>
            </w:r>
            <w:r w:rsidR="00DF30CE" w:rsidRPr="00DF30CE">
              <w:rPr>
                <w:rStyle w:val="Hyperlink"/>
                <w:noProof/>
                <w:sz w:val="28"/>
                <w:szCs w:val="28"/>
                <w:rtl/>
              </w:rPr>
              <w:fldChar w:fldCharType="separate"/>
            </w:r>
            <w:r w:rsidR="00BA7641">
              <w:rPr>
                <w:rFonts w:hint="cs"/>
                <w:b/>
                <w:bCs/>
                <w:noProof/>
                <w:webHidden/>
                <w:sz w:val="28"/>
                <w:szCs w:val="28"/>
                <w:rtl/>
              </w:rPr>
              <w:t>خطأ! الإشارة المرجعية غير معرّفة.</w:t>
            </w:r>
            <w:r w:rsidR="00DF30CE" w:rsidRPr="00DF30CE">
              <w:rPr>
                <w:rStyle w:val="Hyperlink"/>
                <w:noProof/>
                <w:sz w:val="28"/>
                <w:szCs w:val="28"/>
                <w:rtl/>
              </w:rPr>
              <w:fldChar w:fldCharType="end"/>
            </w:r>
          </w:hyperlink>
        </w:p>
        <w:p w14:paraId="75F6A2EA" w14:textId="7CBB276D" w:rsidR="00DF30CE" w:rsidRPr="00DF30CE" w:rsidRDefault="007B68BD">
          <w:pPr>
            <w:pStyle w:val="TOC2"/>
            <w:tabs>
              <w:tab w:val="right" w:leader="dot" w:pos="8493"/>
            </w:tabs>
            <w:bidi/>
            <w:rPr>
              <w:rFonts w:eastAsiaTheme="minorEastAsia"/>
              <w:noProof/>
              <w:kern w:val="2"/>
              <w:sz w:val="28"/>
              <w:szCs w:val="28"/>
              <w:rtl/>
              <w14:ligatures w14:val="standardContextual"/>
            </w:rPr>
          </w:pPr>
          <w:hyperlink w:anchor="_Toc202226009" w:history="1">
            <w:r w:rsidR="00DF30CE" w:rsidRPr="00DF30CE">
              <w:rPr>
                <w:rStyle w:val="Hyperlink"/>
                <w:rFonts w:ascii="Times New Roman" w:hAnsi="Times New Roman" w:cs="Traditional Arabic"/>
                <w:b/>
                <w:bCs/>
                <w:noProof/>
                <w:sz w:val="28"/>
                <w:szCs w:val="28"/>
                <w:rtl/>
              </w:rPr>
              <w:t>9.1 اهم ما يميز تلك الدراسة</w:t>
            </w:r>
            <w:r w:rsidR="00DF30CE" w:rsidRPr="00DF30CE">
              <w:rPr>
                <w:noProof/>
                <w:webHidden/>
                <w:sz w:val="28"/>
                <w:szCs w:val="28"/>
                <w:rtl/>
              </w:rPr>
              <w:tab/>
            </w:r>
            <w:r w:rsidR="00DF30CE" w:rsidRPr="00DF30CE">
              <w:rPr>
                <w:rStyle w:val="Hyperlink"/>
                <w:noProof/>
                <w:sz w:val="28"/>
                <w:szCs w:val="28"/>
                <w:rtl/>
              </w:rPr>
              <w:fldChar w:fldCharType="begin"/>
            </w:r>
            <w:r w:rsidR="00DF30CE" w:rsidRPr="00DF30CE">
              <w:rPr>
                <w:noProof/>
                <w:webHidden/>
                <w:sz w:val="28"/>
                <w:szCs w:val="28"/>
                <w:rtl/>
              </w:rPr>
              <w:instrText xml:space="preserve"> </w:instrText>
            </w:r>
            <w:r w:rsidR="00DF30CE" w:rsidRPr="00DF30CE">
              <w:rPr>
                <w:noProof/>
                <w:webHidden/>
                <w:sz w:val="28"/>
                <w:szCs w:val="28"/>
              </w:rPr>
              <w:instrText>PAGEREF</w:instrText>
            </w:r>
            <w:r w:rsidR="00DF30CE" w:rsidRPr="00DF30CE">
              <w:rPr>
                <w:noProof/>
                <w:webHidden/>
                <w:sz w:val="28"/>
                <w:szCs w:val="28"/>
                <w:rtl/>
              </w:rPr>
              <w:instrText xml:space="preserve"> _</w:instrText>
            </w:r>
            <w:r w:rsidR="00DF30CE" w:rsidRPr="00DF30CE">
              <w:rPr>
                <w:noProof/>
                <w:webHidden/>
                <w:sz w:val="28"/>
                <w:szCs w:val="28"/>
              </w:rPr>
              <w:instrText>Toc202226009 \h</w:instrText>
            </w:r>
            <w:r w:rsidR="00DF30CE" w:rsidRPr="00DF30CE">
              <w:rPr>
                <w:noProof/>
                <w:webHidden/>
                <w:sz w:val="28"/>
                <w:szCs w:val="28"/>
                <w:rtl/>
              </w:rPr>
              <w:instrText xml:space="preserve"> </w:instrText>
            </w:r>
            <w:r w:rsidR="00DF30CE" w:rsidRPr="00DF30CE">
              <w:rPr>
                <w:rStyle w:val="Hyperlink"/>
                <w:noProof/>
                <w:sz w:val="28"/>
                <w:szCs w:val="28"/>
                <w:rtl/>
              </w:rPr>
            </w:r>
            <w:r w:rsidR="00DF30CE" w:rsidRPr="00DF30CE">
              <w:rPr>
                <w:rStyle w:val="Hyperlink"/>
                <w:noProof/>
                <w:sz w:val="28"/>
                <w:szCs w:val="28"/>
                <w:rtl/>
              </w:rPr>
              <w:fldChar w:fldCharType="separate"/>
            </w:r>
            <w:r w:rsidR="00BA7641">
              <w:rPr>
                <w:noProof/>
                <w:webHidden/>
                <w:sz w:val="28"/>
                <w:szCs w:val="28"/>
                <w:rtl/>
              </w:rPr>
              <w:t>74</w:t>
            </w:r>
            <w:r w:rsidR="00DF30CE" w:rsidRPr="00DF30CE">
              <w:rPr>
                <w:rStyle w:val="Hyperlink"/>
                <w:noProof/>
                <w:sz w:val="28"/>
                <w:szCs w:val="28"/>
                <w:rtl/>
              </w:rPr>
              <w:fldChar w:fldCharType="end"/>
            </w:r>
          </w:hyperlink>
        </w:p>
        <w:p w14:paraId="11D4D1E3" w14:textId="01D519BE" w:rsidR="00DF30CE" w:rsidRPr="00DF30CE" w:rsidRDefault="007B68BD">
          <w:pPr>
            <w:pStyle w:val="TOC2"/>
            <w:tabs>
              <w:tab w:val="right" w:leader="dot" w:pos="8493"/>
            </w:tabs>
            <w:bidi/>
            <w:rPr>
              <w:rFonts w:eastAsiaTheme="minorEastAsia"/>
              <w:noProof/>
              <w:kern w:val="2"/>
              <w:sz w:val="28"/>
              <w:szCs w:val="28"/>
              <w:rtl/>
              <w14:ligatures w14:val="standardContextual"/>
            </w:rPr>
          </w:pPr>
          <w:hyperlink w:anchor="_Toc202226010" w:history="1">
            <w:r w:rsidR="00DF30CE" w:rsidRPr="00DF30CE">
              <w:rPr>
                <w:rStyle w:val="Hyperlink"/>
                <w:rFonts w:ascii="Times New Roman" w:hAnsi="Times New Roman" w:cs="Traditional Arabic"/>
                <w:b/>
                <w:bCs/>
                <w:noProof/>
                <w:sz w:val="28"/>
                <w:szCs w:val="28"/>
                <w:rtl/>
              </w:rPr>
              <w:t>10.1 مصطلحات الدراسة وتعريفاتها الإجرائية</w:t>
            </w:r>
            <w:r w:rsidR="00DF30CE" w:rsidRPr="00DF30CE">
              <w:rPr>
                <w:noProof/>
                <w:webHidden/>
                <w:sz w:val="28"/>
                <w:szCs w:val="28"/>
                <w:rtl/>
              </w:rPr>
              <w:tab/>
            </w:r>
            <w:r w:rsidR="00DF30CE" w:rsidRPr="00DF30CE">
              <w:rPr>
                <w:rStyle w:val="Hyperlink"/>
                <w:noProof/>
                <w:sz w:val="28"/>
                <w:szCs w:val="28"/>
                <w:rtl/>
              </w:rPr>
              <w:fldChar w:fldCharType="begin"/>
            </w:r>
            <w:r w:rsidR="00DF30CE" w:rsidRPr="00DF30CE">
              <w:rPr>
                <w:noProof/>
                <w:webHidden/>
                <w:sz w:val="28"/>
                <w:szCs w:val="28"/>
                <w:rtl/>
              </w:rPr>
              <w:instrText xml:space="preserve"> </w:instrText>
            </w:r>
            <w:r w:rsidR="00DF30CE" w:rsidRPr="00DF30CE">
              <w:rPr>
                <w:noProof/>
                <w:webHidden/>
                <w:sz w:val="28"/>
                <w:szCs w:val="28"/>
              </w:rPr>
              <w:instrText>PAGEREF</w:instrText>
            </w:r>
            <w:r w:rsidR="00DF30CE" w:rsidRPr="00DF30CE">
              <w:rPr>
                <w:noProof/>
                <w:webHidden/>
                <w:sz w:val="28"/>
                <w:szCs w:val="28"/>
                <w:rtl/>
              </w:rPr>
              <w:instrText xml:space="preserve"> _</w:instrText>
            </w:r>
            <w:r w:rsidR="00DF30CE" w:rsidRPr="00DF30CE">
              <w:rPr>
                <w:noProof/>
                <w:webHidden/>
                <w:sz w:val="28"/>
                <w:szCs w:val="28"/>
              </w:rPr>
              <w:instrText>Toc202226010 \h</w:instrText>
            </w:r>
            <w:r w:rsidR="00DF30CE" w:rsidRPr="00DF30CE">
              <w:rPr>
                <w:noProof/>
                <w:webHidden/>
                <w:sz w:val="28"/>
                <w:szCs w:val="28"/>
                <w:rtl/>
              </w:rPr>
              <w:instrText xml:space="preserve"> </w:instrText>
            </w:r>
            <w:r w:rsidR="00DF30CE" w:rsidRPr="00DF30CE">
              <w:rPr>
                <w:rStyle w:val="Hyperlink"/>
                <w:noProof/>
                <w:sz w:val="28"/>
                <w:szCs w:val="28"/>
                <w:rtl/>
              </w:rPr>
            </w:r>
            <w:r w:rsidR="00DF30CE" w:rsidRPr="00DF30CE">
              <w:rPr>
                <w:rStyle w:val="Hyperlink"/>
                <w:noProof/>
                <w:sz w:val="28"/>
                <w:szCs w:val="28"/>
                <w:rtl/>
              </w:rPr>
              <w:fldChar w:fldCharType="separate"/>
            </w:r>
            <w:r w:rsidR="00BA7641">
              <w:rPr>
                <w:noProof/>
                <w:webHidden/>
                <w:sz w:val="28"/>
                <w:szCs w:val="28"/>
                <w:rtl/>
              </w:rPr>
              <w:t>8</w:t>
            </w:r>
            <w:r w:rsidR="00DF30CE" w:rsidRPr="00DF30CE">
              <w:rPr>
                <w:rStyle w:val="Hyperlink"/>
                <w:noProof/>
                <w:sz w:val="28"/>
                <w:szCs w:val="28"/>
                <w:rtl/>
              </w:rPr>
              <w:fldChar w:fldCharType="end"/>
            </w:r>
          </w:hyperlink>
        </w:p>
        <w:p w14:paraId="2C84B414" w14:textId="00BBB92B" w:rsidR="00DF30CE" w:rsidRPr="00DF30CE" w:rsidRDefault="007B68BD">
          <w:pPr>
            <w:pStyle w:val="TOC2"/>
            <w:tabs>
              <w:tab w:val="right" w:leader="dot" w:pos="8493"/>
            </w:tabs>
            <w:bidi/>
            <w:rPr>
              <w:rFonts w:eastAsiaTheme="minorEastAsia"/>
              <w:noProof/>
              <w:kern w:val="2"/>
              <w:sz w:val="28"/>
              <w:szCs w:val="28"/>
              <w:rtl/>
              <w14:ligatures w14:val="standardContextual"/>
            </w:rPr>
          </w:pPr>
          <w:hyperlink w:anchor="_Toc202226011" w:history="1">
            <w:r w:rsidR="00DF30CE" w:rsidRPr="00DF30CE">
              <w:rPr>
                <w:rStyle w:val="Hyperlink"/>
                <w:rFonts w:ascii="Times New Roman" w:hAnsi="Times New Roman" w:cs="Traditional Arabic"/>
                <w:b/>
                <w:bCs/>
                <w:noProof/>
                <w:sz w:val="28"/>
                <w:szCs w:val="28"/>
                <w:rtl/>
              </w:rPr>
              <w:t>11,1 منهج الدراسة:</w:t>
            </w:r>
            <w:r w:rsidR="00DF30CE" w:rsidRPr="00DF30CE">
              <w:rPr>
                <w:noProof/>
                <w:webHidden/>
                <w:sz w:val="28"/>
                <w:szCs w:val="28"/>
                <w:rtl/>
              </w:rPr>
              <w:tab/>
            </w:r>
            <w:r w:rsidR="00DF30CE" w:rsidRPr="00DF30CE">
              <w:rPr>
                <w:rStyle w:val="Hyperlink"/>
                <w:noProof/>
                <w:sz w:val="28"/>
                <w:szCs w:val="28"/>
                <w:rtl/>
              </w:rPr>
              <w:fldChar w:fldCharType="begin"/>
            </w:r>
            <w:r w:rsidR="00DF30CE" w:rsidRPr="00DF30CE">
              <w:rPr>
                <w:noProof/>
                <w:webHidden/>
                <w:sz w:val="28"/>
                <w:szCs w:val="28"/>
                <w:rtl/>
              </w:rPr>
              <w:instrText xml:space="preserve"> </w:instrText>
            </w:r>
            <w:r w:rsidR="00DF30CE" w:rsidRPr="00DF30CE">
              <w:rPr>
                <w:noProof/>
                <w:webHidden/>
                <w:sz w:val="28"/>
                <w:szCs w:val="28"/>
              </w:rPr>
              <w:instrText>PAGEREF</w:instrText>
            </w:r>
            <w:r w:rsidR="00DF30CE" w:rsidRPr="00DF30CE">
              <w:rPr>
                <w:noProof/>
                <w:webHidden/>
                <w:sz w:val="28"/>
                <w:szCs w:val="28"/>
                <w:rtl/>
              </w:rPr>
              <w:instrText xml:space="preserve"> _</w:instrText>
            </w:r>
            <w:r w:rsidR="00DF30CE" w:rsidRPr="00DF30CE">
              <w:rPr>
                <w:noProof/>
                <w:webHidden/>
                <w:sz w:val="28"/>
                <w:szCs w:val="28"/>
              </w:rPr>
              <w:instrText>Toc202226011 \h</w:instrText>
            </w:r>
            <w:r w:rsidR="00DF30CE" w:rsidRPr="00DF30CE">
              <w:rPr>
                <w:noProof/>
                <w:webHidden/>
                <w:sz w:val="28"/>
                <w:szCs w:val="28"/>
                <w:rtl/>
              </w:rPr>
              <w:instrText xml:space="preserve"> </w:instrText>
            </w:r>
            <w:r w:rsidR="00DF30CE" w:rsidRPr="00DF30CE">
              <w:rPr>
                <w:rStyle w:val="Hyperlink"/>
                <w:noProof/>
                <w:sz w:val="28"/>
                <w:szCs w:val="28"/>
                <w:rtl/>
              </w:rPr>
            </w:r>
            <w:r w:rsidR="00DF30CE" w:rsidRPr="00DF30CE">
              <w:rPr>
                <w:rStyle w:val="Hyperlink"/>
                <w:noProof/>
                <w:sz w:val="28"/>
                <w:szCs w:val="28"/>
                <w:rtl/>
              </w:rPr>
              <w:fldChar w:fldCharType="separate"/>
            </w:r>
            <w:r w:rsidR="00BA7641">
              <w:rPr>
                <w:noProof/>
                <w:webHidden/>
                <w:sz w:val="28"/>
                <w:szCs w:val="28"/>
                <w:rtl/>
              </w:rPr>
              <w:t>12</w:t>
            </w:r>
            <w:r w:rsidR="00DF30CE" w:rsidRPr="00DF30CE">
              <w:rPr>
                <w:rStyle w:val="Hyperlink"/>
                <w:noProof/>
                <w:sz w:val="28"/>
                <w:szCs w:val="28"/>
                <w:rtl/>
              </w:rPr>
              <w:fldChar w:fldCharType="end"/>
            </w:r>
          </w:hyperlink>
        </w:p>
        <w:p w14:paraId="79FD2918" w14:textId="7BF7B1AE" w:rsidR="00DF30CE" w:rsidRPr="00DF30CE" w:rsidRDefault="007B68BD">
          <w:pPr>
            <w:pStyle w:val="TOC2"/>
            <w:tabs>
              <w:tab w:val="right" w:leader="dot" w:pos="8493"/>
            </w:tabs>
            <w:bidi/>
            <w:rPr>
              <w:rFonts w:eastAsiaTheme="minorEastAsia"/>
              <w:noProof/>
              <w:kern w:val="2"/>
              <w:sz w:val="28"/>
              <w:szCs w:val="28"/>
              <w:rtl/>
              <w14:ligatures w14:val="standardContextual"/>
            </w:rPr>
          </w:pPr>
          <w:hyperlink w:anchor="_Toc202226012" w:history="1">
            <w:r w:rsidR="00DF30CE" w:rsidRPr="00DF30CE">
              <w:rPr>
                <w:rStyle w:val="Hyperlink"/>
                <w:rFonts w:ascii="Times New Roman" w:hAnsi="Times New Roman" w:cs="Traditional Arabic"/>
                <w:b/>
                <w:bCs/>
                <w:noProof/>
                <w:sz w:val="28"/>
                <w:szCs w:val="28"/>
                <w:rtl/>
              </w:rPr>
              <w:t>12,1 مجتمع وعينة الدراسة:</w:t>
            </w:r>
            <w:r w:rsidR="00DF30CE" w:rsidRPr="00DF30CE">
              <w:rPr>
                <w:noProof/>
                <w:webHidden/>
                <w:sz w:val="28"/>
                <w:szCs w:val="28"/>
                <w:rtl/>
              </w:rPr>
              <w:tab/>
            </w:r>
            <w:r w:rsidR="00DF30CE" w:rsidRPr="00DF30CE">
              <w:rPr>
                <w:rStyle w:val="Hyperlink"/>
                <w:noProof/>
                <w:sz w:val="28"/>
                <w:szCs w:val="28"/>
                <w:rtl/>
              </w:rPr>
              <w:fldChar w:fldCharType="begin"/>
            </w:r>
            <w:r w:rsidR="00DF30CE" w:rsidRPr="00DF30CE">
              <w:rPr>
                <w:noProof/>
                <w:webHidden/>
                <w:sz w:val="28"/>
                <w:szCs w:val="28"/>
                <w:rtl/>
              </w:rPr>
              <w:instrText xml:space="preserve"> </w:instrText>
            </w:r>
            <w:r w:rsidR="00DF30CE" w:rsidRPr="00DF30CE">
              <w:rPr>
                <w:noProof/>
                <w:webHidden/>
                <w:sz w:val="28"/>
                <w:szCs w:val="28"/>
              </w:rPr>
              <w:instrText>PAGEREF</w:instrText>
            </w:r>
            <w:r w:rsidR="00DF30CE" w:rsidRPr="00DF30CE">
              <w:rPr>
                <w:noProof/>
                <w:webHidden/>
                <w:sz w:val="28"/>
                <w:szCs w:val="28"/>
                <w:rtl/>
              </w:rPr>
              <w:instrText xml:space="preserve"> _</w:instrText>
            </w:r>
            <w:r w:rsidR="00DF30CE" w:rsidRPr="00DF30CE">
              <w:rPr>
                <w:noProof/>
                <w:webHidden/>
                <w:sz w:val="28"/>
                <w:szCs w:val="28"/>
              </w:rPr>
              <w:instrText>Toc202226012 \h</w:instrText>
            </w:r>
            <w:r w:rsidR="00DF30CE" w:rsidRPr="00DF30CE">
              <w:rPr>
                <w:noProof/>
                <w:webHidden/>
                <w:sz w:val="28"/>
                <w:szCs w:val="28"/>
                <w:rtl/>
              </w:rPr>
              <w:instrText xml:space="preserve"> </w:instrText>
            </w:r>
            <w:r w:rsidR="00DF30CE" w:rsidRPr="00DF30CE">
              <w:rPr>
                <w:rStyle w:val="Hyperlink"/>
                <w:noProof/>
                <w:sz w:val="28"/>
                <w:szCs w:val="28"/>
                <w:rtl/>
              </w:rPr>
            </w:r>
            <w:r w:rsidR="00DF30CE" w:rsidRPr="00DF30CE">
              <w:rPr>
                <w:rStyle w:val="Hyperlink"/>
                <w:noProof/>
                <w:sz w:val="28"/>
                <w:szCs w:val="28"/>
                <w:rtl/>
              </w:rPr>
              <w:fldChar w:fldCharType="separate"/>
            </w:r>
            <w:r w:rsidR="00BA7641">
              <w:rPr>
                <w:noProof/>
                <w:webHidden/>
                <w:sz w:val="28"/>
                <w:szCs w:val="28"/>
                <w:rtl/>
              </w:rPr>
              <w:t>15</w:t>
            </w:r>
            <w:r w:rsidR="00DF30CE" w:rsidRPr="00DF30CE">
              <w:rPr>
                <w:rStyle w:val="Hyperlink"/>
                <w:noProof/>
                <w:sz w:val="28"/>
                <w:szCs w:val="28"/>
                <w:rtl/>
              </w:rPr>
              <w:fldChar w:fldCharType="end"/>
            </w:r>
          </w:hyperlink>
        </w:p>
        <w:p w14:paraId="001E8904" w14:textId="07E5AD38" w:rsidR="00DF30CE" w:rsidRPr="00DF30CE" w:rsidRDefault="007B68BD">
          <w:pPr>
            <w:pStyle w:val="TOC2"/>
            <w:tabs>
              <w:tab w:val="right" w:leader="dot" w:pos="8493"/>
            </w:tabs>
            <w:bidi/>
            <w:rPr>
              <w:rFonts w:eastAsiaTheme="minorEastAsia"/>
              <w:noProof/>
              <w:kern w:val="2"/>
              <w:sz w:val="28"/>
              <w:szCs w:val="28"/>
              <w:rtl/>
              <w14:ligatures w14:val="standardContextual"/>
            </w:rPr>
          </w:pPr>
          <w:hyperlink w:anchor="_Toc202226013" w:history="1">
            <w:r w:rsidR="00DF30CE" w:rsidRPr="00DF30CE">
              <w:rPr>
                <w:rStyle w:val="Hyperlink"/>
                <w:rFonts w:ascii="Times New Roman" w:hAnsi="Times New Roman" w:cs="Traditional Arabic"/>
                <w:b/>
                <w:bCs/>
                <w:noProof/>
                <w:sz w:val="28"/>
                <w:szCs w:val="28"/>
                <w:rtl/>
              </w:rPr>
              <w:t>13,1 وسائل جمع بيانات الدراسة:</w:t>
            </w:r>
            <w:r w:rsidR="00DF30CE" w:rsidRPr="00DF30CE">
              <w:rPr>
                <w:noProof/>
                <w:webHidden/>
                <w:sz w:val="28"/>
                <w:szCs w:val="28"/>
                <w:rtl/>
              </w:rPr>
              <w:tab/>
            </w:r>
            <w:r w:rsidR="00DF30CE" w:rsidRPr="00DF30CE">
              <w:rPr>
                <w:rStyle w:val="Hyperlink"/>
                <w:noProof/>
                <w:sz w:val="28"/>
                <w:szCs w:val="28"/>
                <w:rtl/>
              </w:rPr>
              <w:fldChar w:fldCharType="begin"/>
            </w:r>
            <w:r w:rsidR="00DF30CE" w:rsidRPr="00DF30CE">
              <w:rPr>
                <w:noProof/>
                <w:webHidden/>
                <w:sz w:val="28"/>
                <w:szCs w:val="28"/>
                <w:rtl/>
              </w:rPr>
              <w:instrText xml:space="preserve"> </w:instrText>
            </w:r>
            <w:r w:rsidR="00DF30CE" w:rsidRPr="00DF30CE">
              <w:rPr>
                <w:noProof/>
                <w:webHidden/>
                <w:sz w:val="28"/>
                <w:szCs w:val="28"/>
              </w:rPr>
              <w:instrText>PAGEREF</w:instrText>
            </w:r>
            <w:r w:rsidR="00DF30CE" w:rsidRPr="00DF30CE">
              <w:rPr>
                <w:noProof/>
                <w:webHidden/>
                <w:sz w:val="28"/>
                <w:szCs w:val="28"/>
                <w:rtl/>
              </w:rPr>
              <w:instrText xml:space="preserve"> _</w:instrText>
            </w:r>
            <w:r w:rsidR="00DF30CE" w:rsidRPr="00DF30CE">
              <w:rPr>
                <w:noProof/>
                <w:webHidden/>
                <w:sz w:val="28"/>
                <w:szCs w:val="28"/>
              </w:rPr>
              <w:instrText>Toc202226013 \h</w:instrText>
            </w:r>
            <w:r w:rsidR="00DF30CE" w:rsidRPr="00DF30CE">
              <w:rPr>
                <w:noProof/>
                <w:webHidden/>
                <w:sz w:val="28"/>
                <w:szCs w:val="28"/>
                <w:rtl/>
              </w:rPr>
              <w:instrText xml:space="preserve"> </w:instrText>
            </w:r>
            <w:r w:rsidR="00DF30CE" w:rsidRPr="00DF30CE">
              <w:rPr>
                <w:rStyle w:val="Hyperlink"/>
                <w:noProof/>
                <w:sz w:val="28"/>
                <w:szCs w:val="28"/>
                <w:rtl/>
              </w:rPr>
            </w:r>
            <w:r w:rsidR="00DF30CE" w:rsidRPr="00DF30CE">
              <w:rPr>
                <w:rStyle w:val="Hyperlink"/>
                <w:noProof/>
                <w:sz w:val="28"/>
                <w:szCs w:val="28"/>
                <w:rtl/>
              </w:rPr>
              <w:fldChar w:fldCharType="separate"/>
            </w:r>
            <w:r w:rsidR="00BA7641">
              <w:rPr>
                <w:noProof/>
                <w:webHidden/>
                <w:sz w:val="28"/>
                <w:szCs w:val="28"/>
                <w:rtl/>
              </w:rPr>
              <w:t>16</w:t>
            </w:r>
            <w:r w:rsidR="00DF30CE" w:rsidRPr="00DF30CE">
              <w:rPr>
                <w:rStyle w:val="Hyperlink"/>
                <w:noProof/>
                <w:sz w:val="28"/>
                <w:szCs w:val="28"/>
                <w:rtl/>
              </w:rPr>
              <w:fldChar w:fldCharType="end"/>
            </w:r>
          </w:hyperlink>
        </w:p>
        <w:p w14:paraId="2E7B0558" w14:textId="6CD9FC9A" w:rsidR="00DF30CE" w:rsidRPr="00DF30CE" w:rsidRDefault="007B68BD">
          <w:pPr>
            <w:pStyle w:val="TOC1"/>
            <w:tabs>
              <w:tab w:val="right" w:leader="dot" w:pos="8493"/>
            </w:tabs>
            <w:bidi/>
            <w:rPr>
              <w:rFonts w:eastAsiaTheme="minorEastAsia"/>
              <w:noProof/>
              <w:kern w:val="2"/>
              <w:sz w:val="28"/>
              <w:szCs w:val="28"/>
              <w:rtl/>
              <w14:ligatures w14:val="standardContextual"/>
            </w:rPr>
          </w:pPr>
          <w:hyperlink w:anchor="_Toc202226014" w:history="1">
            <w:r w:rsidR="00DF30CE" w:rsidRPr="00DF30CE">
              <w:rPr>
                <w:rStyle w:val="Hyperlink"/>
                <w:rFonts w:ascii="Times New Roman" w:hAnsi="Times New Roman" w:cs="Traditional Arabic"/>
                <w:b/>
                <w:bCs/>
                <w:noProof/>
                <w:sz w:val="28"/>
                <w:szCs w:val="28"/>
                <w:rtl/>
              </w:rPr>
              <w:t>المراجع:</w:t>
            </w:r>
            <w:r w:rsidR="00DF30CE" w:rsidRPr="00DF30CE">
              <w:rPr>
                <w:noProof/>
                <w:webHidden/>
                <w:sz w:val="28"/>
                <w:szCs w:val="28"/>
                <w:rtl/>
              </w:rPr>
              <w:tab/>
            </w:r>
            <w:r w:rsidR="00DF30CE" w:rsidRPr="00DF30CE">
              <w:rPr>
                <w:rStyle w:val="Hyperlink"/>
                <w:noProof/>
                <w:sz w:val="28"/>
                <w:szCs w:val="28"/>
                <w:rtl/>
              </w:rPr>
              <w:fldChar w:fldCharType="begin"/>
            </w:r>
            <w:r w:rsidR="00DF30CE" w:rsidRPr="00DF30CE">
              <w:rPr>
                <w:noProof/>
                <w:webHidden/>
                <w:sz w:val="28"/>
                <w:szCs w:val="28"/>
                <w:rtl/>
              </w:rPr>
              <w:instrText xml:space="preserve"> </w:instrText>
            </w:r>
            <w:r w:rsidR="00DF30CE" w:rsidRPr="00DF30CE">
              <w:rPr>
                <w:noProof/>
                <w:webHidden/>
                <w:sz w:val="28"/>
                <w:szCs w:val="28"/>
              </w:rPr>
              <w:instrText>PAGEREF</w:instrText>
            </w:r>
            <w:r w:rsidR="00DF30CE" w:rsidRPr="00DF30CE">
              <w:rPr>
                <w:noProof/>
                <w:webHidden/>
                <w:sz w:val="28"/>
                <w:szCs w:val="28"/>
                <w:rtl/>
              </w:rPr>
              <w:instrText xml:space="preserve"> _</w:instrText>
            </w:r>
            <w:r w:rsidR="00DF30CE" w:rsidRPr="00DF30CE">
              <w:rPr>
                <w:noProof/>
                <w:webHidden/>
                <w:sz w:val="28"/>
                <w:szCs w:val="28"/>
              </w:rPr>
              <w:instrText>Toc202226014 \h</w:instrText>
            </w:r>
            <w:r w:rsidR="00DF30CE" w:rsidRPr="00DF30CE">
              <w:rPr>
                <w:noProof/>
                <w:webHidden/>
                <w:sz w:val="28"/>
                <w:szCs w:val="28"/>
                <w:rtl/>
              </w:rPr>
              <w:instrText xml:space="preserve"> </w:instrText>
            </w:r>
            <w:r w:rsidR="00DF30CE" w:rsidRPr="00DF30CE">
              <w:rPr>
                <w:rStyle w:val="Hyperlink"/>
                <w:noProof/>
                <w:sz w:val="28"/>
                <w:szCs w:val="28"/>
                <w:rtl/>
              </w:rPr>
            </w:r>
            <w:r w:rsidR="00DF30CE" w:rsidRPr="00DF30CE">
              <w:rPr>
                <w:rStyle w:val="Hyperlink"/>
                <w:noProof/>
                <w:sz w:val="28"/>
                <w:szCs w:val="28"/>
                <w:rtl/>
              </w:rPr>
              <w:fldChar w:fldCharType="separate"/>
            </w:r>
            <w:r w:rsidR="00BA7641">
              <w:rPr>
                <w:noProof/>
                <w:webHidden/>
                <w:sz w:val="28"/>
                <w:szCs w:val="28"/>
                <w:rtl/>
              </w:rPr>
              <w:t>20</w:t>
            </w:r>
            <w:r w:rsidR="00DF30CE" w:rsidRPr="00DF30CE">
              <w:rPr>
                <w:rStyle w:val="Hyperlink"/>
                <w:noProof/>
                <w:sz w:val="28"/>
                <w:szCs w:val="28"/>
                <w:rtl/>
              </w:rPr>
              <w:fldChar w:fldCharType="end"/>
            </w:r>
          </w:hyperlink>
        </w:p>
        <w:p w14:paraId="4088BEDC" w14:textId="3A111DBB" w:rsidR="00DF30CE" w:rsidRPr="00DF30CE" w:rsidRDefault="007B68BD">
          <w:pPr>
            <w:pStyle w:val="TOC2"/>
            <w:tabs>
              <w:tab w:val="right" w:leader="dot" w:pos="8493"/>
            </w:tabs>
            <w:bidi/>
            <w:rPr>
              <w:rFonts w:eastAsiaTheme="minorEastAsia"/>
              <w:noProof/>
              <w:kern w:val="2"/>
              <w:sz w:val="28"/>
              <w:szCs w:val="28"/>
              <w:rtl/>
              <w14:ligatures w14:val="standardContextual"/>
            </w:rPr>
          </w:pPr>
          <w:hyperlink w:anchor="_Toc202226015" w:history="1">
            <w:r w:rsidR="00DF30CE" w:rsidRPr="00DF30CE">
              <w:rPr>
                <w:rStyle w:val="Hyperlink"/>
                <w:rFonts w:ascii="Times New Roman" w:hAnsi="Times New Roman" w:cs="Traditional Arabic"/>
                <w:b/>
                <w:bCs/>
                <w:noProof/>
                <w:sz w:val="28"/>
                <w:szCs w:val="28"/>
                <w:rtl/>
              </w:rPr>
              <w:t>المراجع العربية</w:t>
            </w:r>
            <w:r w:rsidR="00DF30CE" w:rsidRPr="00DF30CE">
              <w:rPr>
                <w:noProof/>
                <w:webHidden/>
                <w:sz w:val="28"/>
                <w:szCs w:val="28"/>
                <w:rtl/>
              </w:rPr>
              <w:tab/>
            </w:r>
            <w:r w:rsidR="00DF30CE" w:rsidRPr="00DF30CE">
              <w:rPr>
                <w:rStyle w:val="Hyperlink"/>
                <w:noProof/>
                <w:sz w:val="28"/>
                <w:szCs w:val="28"/>
                <w:rtl/>
              </w:rPr>
              <w:fldChar w:fldCharType="begin"/>
            </w:r>
            <w:r w:rsidR="00DF30CE" w:rsidRPr="00DF30CE">
              <w:rPr>
                <w:noProof/>
                <w:webHidden/>
                <w:sz w:val="28"/>
                <w:szCs w:val="28"/>
                <w:rtl/>
              </w:rPr>
              <w:instrText xml:space="preserve"> </w:instrText>
            </w:r>
            <w:r w:rsidR="00DF30CE" w:rsidRPr="00DF30CE">
              <w:rPr>
                <w:noProof/>
                <w:webHidden/>
                <w:sz w:val="28"/>
                <w:szCs w:val="28"/>
              </w:rPr>
              <w:instrText>PAGEREF</w:instrText>
            </w:r>
            <w:r w:rsidR="00DF30CE" w:rsidRPr="00DF30CE">
              <w:rPr>
                <w:noProof/>
                <w:webHidden/>
                <w:sz w:val="28"/>
                <w:szCs w:val="28"/>
                <w:rtl/>
              </w:rPr>
              <w:instrText xml:space="preserve"> _</w:instrText>
            </w:r>
            <w:r w:rsidR="00DF30CE" w:rsidRPr="00DF30CE">
              <w:rPr>
                <w:noProof/>
                <w:webHidden/>
                <w:sz w:val="28"/>
                <w:szCs w:val="28"/>
              </w:rPr>
              <w:instrText>Toc202226015 \h</w:instrText>
            </w:r>
            <w:r w:rsidR="00DF30CE" w:rsidRPr="00DF30CE">
              <w:rPr>
                <w:noProof/>
                <w:webHidden/>
                <w:sz w:val="28"/>
                <w:szCs w:val="28"/>
                <w:rtl/>
              </w:rPr>
              <w:instrText xml:space="preserve"> </w:instrText>
            </w:r>
            <w:r w:rsidR="00DF30CE" w:rsidRPr="00DF30CE">
              <w:rPr>
                <w:rStyle w:val="Hyperlink"/>
                <w:noProof/>
                <w:sz w:val="28"/>
                <w:szCs w:val="28"/>
                <w:rtl/>
              </w:rPr>
            </w:r>
            <w:r w:rsidR="00DF30CE" w:rsidRPr="00DF30CE">
              <w:rPr>
                <w:rStyle w:val="Hyperlink"/>
                <w:noProof/>
                <w:sz w:val="28"/>
                <w:szCs w:val="28"/>
                <w:rtl/>
              </w:rPr>
              <w:fldChar w:fldCharType="separate"/>
            </w:r>
            <w:r w:rsidR="00BA7641">
              <w:rPr>
                <w:noProof/>
                <w:webHidden/>
                <w:sz w:val="28"/>
                <w:szCs w:val="28"/>
                <w:rtl/>
              </w:rPr>
              <w:t>85</w:t>
            </w:r>
            <w:r w:rsidR="00DF30CE" w:rsidRPr="00DF30CE">
              <w:rPr>
                <w:rStyle w:val="Hyperlink"/>
                <w:noProof/>
                <w:sz w:val="28"/>
                <w:szCs w:val="28"/>
                <w:rtl/>
              </w:rPr>
              <w:fldChar w:fldCharType="end"/>
            </w:r>
          </w:hyperlink>
        </w:p>
        <w:p w14:paraId="363E518C" w14:textId="590EE77F" w:rsidR="00476CBD" w:rsidRDefault="00476CBD" w:rsidP="007810E9">
          <w:pPr>
            <w:bidi/>
            <w:spacing w:line="360" w:lineRule="auto"/>
          </w:pPr>
          <w:r w:rsidRPr="007810E9">
            <w:rPr>
              <w:rFonts w:cs="Traditional Arabic"/>
              <w:b/>
              <w:bCs/>
              <w:noProof/>
              <w:sz w:val="28"/>
              <w:szCs w:val="28"/>
            </w:rPr>
            <w:fldChar w:fldCharType="end"/>
          </w:r>
        </w:p>
      </w:sdtContent>
    </w:sdt>
    <w:p w14:paraId="43383E71" w14:textId="77777777" w:rsidR="00397C0D" w:rsidRPr="00081722" w:rsidRDefault="00397C0D">
      <w:pPr>
        <w:spacing w:after="200" w:line="276" w:lineRule="auto"/>
        <w:rPr>
          <w:rFonts w:ascii="Times New Roman" w:hAnsi="Times New Roman" w:cs="Traditional Arabic"/>
          <w:b/>
          <w:bCs/>
          <w:sz w:val="2"/>
          <w:szCs w:val="2"/>
          <w:rtl/>
          <w:lang w:bidi="ar-EG"/>
        </w:rPr>
      </w:pPr>
      <w:r w:rsidRPr="00081722">
        <w:rPr>
          <w:rFonts w:ascii="Times New Roman" w:hAnsi="Times New Roman" w:cs="Traditional Arabic"/>
          <w:b/>
          <w:bCs/>
          <w:sz w:val="2"/>
          <w:szCs w:val="2"/>
          <w:rtl/>
          <w:lang w:bidi="ar-EG"/>
        </w:rPr>
        <w:br w:type="page"/>
      </w:r>
    </w:p>
    <w:p w14:paraId="47C016BD" w14:textId="77777777" w:rsidR="00476CBD" w:rsidRPr="00081722" w:rsidRDefault="00476CBD" w:rsidP="00476CBD">
      <w:pPr>
        <w:bidi/>
        <w:spacing w:before="100" w:beforeAutospacing="1" w:after="100" w:afterAutospacing="1" w:line="360" w:lineRule="auto"/>
        <w:jc w:val="center"/>
        <w:outlineLvl w:val="0"/>
        <w:rPr>
          <w:rFonts w:ascii="Times New Roman" w:hAnsi="Times New Roman" w:cs="Traditional Arabic"/>
          <w:b/>
          <w:bCs/>
          <w:sz w:val="2"/>
          <w:szCs w:val="2"/>
          <w:rtl/>
          <w:lang w:bidi="ar-EG"/>
        </w:rPr>
        <w:sectPr w:rsidR="00476CBD" w:rsidRPr="00081722" w:rsidSect="00BC1BB4">
          <w:headerReference w:type="even" r:id="rId10"/>
          <w:footerReference w:type="default" r:id="rId11"/>
          <w:headerReference w:type="first" r:id="rId12"/>
          <w:pgSz w:w="11906" w:h="16838"/>
          <w:pgMar w:top="1418" w:right="1701" w:bottom="1418" w:left="1418" w:header="709" w:footer="709" w:gutter="284"/>
          <w:pgNumType w:fmt="arabicAbjad" w:start="1"/>
          <w:cols w:space="708"/>
          <w:titlePg/>
          <w:bidi/>
          <w:rtlGutter/>
          <w:docGrid w:linePitch="360"/>
        </w:sectPr>
      </w:pPr>
    </w:p>
    <w:p w14:paraId="5EAAA2EF" w14:textId="3B5979DF" w:rsidR="00397C0D" w:rsidRPr="00283AD4" w:rsidRDefault="00397C0D" w:rsidP="00476CBD">
      <w:pPr>
        <w:bidi/>
        <w:spacing w:before="100" w:beforeAutospacing="1" w:after="100" w:afterAutospacing="1" w:line="360" w:lineRule="auto"/>
        <w:jc w:val="center"/>
        <w:outlineLvl w:val="0"/>
        <w:rPr>
          <w:rFonts w:ascii="Times New Roman" w:hAnsi="Times New Roman" w:cs="Traditional Arabic"/>
          <w:b/>
          <w:bCs/>
          <w:sz w:val="36"/>
          <w:szCs w:val="36"/>
          <w:rtl/>
          <w:lang w:bidi="ar-EG"/>
        </w:rPr>
      </w:pPr>
      <w:bookmarkStart w:id="1" w:name="_Toc202225999"/>
      <w:r w:rsidRPr="00283AD4">
        <w:rPr>
          <w:rFonts w:ascii="Times New Roman" w:hAnsi="Times New Roman" w:cs="Traditional Arabic" w:hint="cs"/>
          <w:b/>
          <w:bCs/>
          <w:sz w:val="36"/>
          <w:szCs w:val="36"/>
          <w:rtl/>
          <w:lang w:bidi="ar-EG"/>
        </w:rPr>
        <w:lastRenderedPageBreak/>
        <w:t>الفصل الأول: المقدمة والإطار النظري</w:t>
      </w:r>
      <w:bookmarkEnd w:id="1"/>
    </w:p>
    <w:p w14:paraId="0A9D66EB" w14:textId="64DD8760" w:rsidR="00735F0D" w:rsidRPr="006373C8" w:rsidRDefault="0077566C" w:rsidP="006373C8">
      <w:pPr>
        <w:bidi/>
        <w:spacing w:before="100" w:beforeAutospacing="1" w:after="100" w:afterAutospacing="1" w:line="360" w:lineRule="auto"/>
        <w:outlineLvl w:val="1"/>
        <w:rPr>
          <w:rFonts w:ascii="Times New Roman" w:hAnsi="Times New Roman" w:cs="Traditional Arabic"/>
          <w:b/>
          <w:bCs/>
          <w:color w:val="000000" w:themeColor="text1"/>
          <w:sz w:val="32"/>
          <w:szCs w:val="32"/>
          <w:rtl/>
        </w:rPr>
      </w:pPr>
      <w:bookmarkStart w:id="2" w:name="_Toc202226000"/>
      <w:r>
        <w:rPr>
          <w:rFonts w:ascii="Times New Roman" w:hAnsi="Times New Roman" w:cs="Traditional Arabic" w:hint="cs"/>
          <w:b/>
          <w:bCs/>
          <w:color w:val="000000" w:themeColor="text1"/>
          <w:sz w:val="32"/>
          <w:szCs w:val="32"/>
          <w:rtl/>
        </w:rPr>
        <w:t xml:space="preserve">1.1 </w:t>
      </w:r>
      <w:r w:rsidR="00735F0D" w:rsidRPr="006373C8">
        <w:rPr>
          <w:rFonts w:ascii="Times New Roman" w:hAnsi="Times New Roman" w:cs="Traditional Arabic" w:hint="cs"/>
          <w:b/>
          <w:bCs/>
          <w:color w:val="000000" w:themeColor="text1"/>
          <w:sz w:val="32"/>
          <w:szCs w:val="32"/>
          <w:rtl/>
        </w:rPr>
        <w:t>مقدمة الدراسة</w:t>
      </w:r>
      <w:bookmarkEnd w:id="2"/>
    </w:p>
    <w:p w14:paraId="054CB790" w14:textId="5BCECEDF" w:rsidR="00522BB6" w:rsidRPr="00522BB6" w:rsidRDefault="00522BB6" w:rsidP="001741F0">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8"/>
          <w:szCs w:val="28"/>
          <w:rtl/>
          <w14:ligatures w14:val="standardContextual"/>
        </w:rPr>
      </w:pPr>
      <w:r w:rsidRPr="00522BB6">
        <w:rPr>
          <w:rFonts w:ascii="Times New Roman" w:eastAsia="Calibri" w:hAnsi="Times New Roman" w:cs="Traditional Arabic"/>
          <w:color w:val="000000" w:themeColor="text1"/>
          <w:kern w:val="2"/>
          <w:sz w:val="28"/>
          <w:szCs w:val="28"/>
          <w:rtl/>
          <w14:ligatures w14:val="standardContextual"/>
        </w:rPr>
        <w:t>في ظل التطورات المتسارعة التي يشهدها العالم في مجال التكنولوجيا والتحول الرقمي، أصبحت المؤسسات بمختلف أنواعها مطالبة بمواكبة هذا التغير السريع للحفاظ على كفاءتها واستدامتها</w:t>
      </w:r>
      <w:r w:rsidRPr="001741F0">
        <w:rPr>
          <w:rFonts w:ascii="Times New Roman" w:eastAsia="Calibri" w:hAnsi="Times New Roman" w:cs="Traditional Arabic" w:hint="cs"/>
          <w:color w:val="000000" w:themeColor="text1"/>
          <w:kern w:val="2"/>
          <w:sz w:val="28"/>
          <w:szCs w:val="28"/>
          <w:rtl/>
          <w14:ligatures w14:val="standardContextual"/>
        </w:rPr>
        <w:t>،</w:t>
      </w:r>
      <w:r w:rsidRPr="00522BB6">
        <w:rPr>
          <w:rFonts w:ascii="Times New Roman" w:eastAsia="Calibri" w:hAnsi="Times New Roman" w:cs="Traditional Arabic"/>
          <w:color w:val="000000" w:themeColor="text1"/>
          <w:kern w:val="2"/>
          <w:sz w:val="28"/>
          <w:szCs w:val="28"/>
          <w:rtl/>
          <w14:ligatures w14:val="standardContextual"/>
        </w:rPr>
        <w:t xml:space="preserve"> وقد أدى هذا التحول إلى إعادة تشكيل مفاهيم الإدارة والقيادة الاستراتيجية، حيث بات النجاح المؤسسي مرهونًا بقدرة المؤسسات على توظيف التكنولوجيا الحديثة في عملياتها اليومية، واتخاذ قرارات استراتيجية مبنية على معلومات دقيقة وفي الوقت المناسب</w:t>
      </w:r>
      <w:r w:rsidRPr="001741F0">
        <w:rPr>
          <w:rFonts w:ascii="Times New Roman" w:eastAsia="Calibri" w:hAnsi="Times New Roman" w:cs="Traditional Arabic" w:hint="cs"/>
          <w:color w:val="000000" w:themeColor="text1"/>
          <w:kern w:val="2"/>
          <w:sz w:val="28"/>
          <w:szCs w:val="28"/>
          <w:rtl/>
          <w14:ligatures w14:val="standardContextual"/>
        </w:rPr>
        <w:t>،</w:t>
      </w:r>
      <w:r w:rsidRPr="00522BB6">
        <w:rPr>
          <w:rFonts w:ascii="Times New Roman" w:eastAsia="Calibri" w:hAnsi="Times New Roman" w:cs="Traditional Arabic"/>
          <w:color w:val="000000" w:themeColor="text1"/>
          <w:kern w:val="2"/>
          <w:sz w:val="28"/>
          <w:szCs w:val="28"/>
          <w:rtl/>
          <w14:ligatures w14:val="standardContextual"/>
        </w:rPr>
        <w:t xml:space="preserve"> ولم تعد النماذج التقليدية لاتخاذ القرار قادرة على الاستجابة للتحديات المعقدة التي تفرضها البيئة الرقمية، مما جعل من الضروري دراسة المتغيرات التي تؤثر في فاعلية القرار الاستراتيجي، ومنها التحول الرقمي والشفافية المعلوماتية</w:t>
      </w:r>
      <w:r w:rsidR="001741F0" w:rsidRPr="001741F0">
        <w:t xml:space="preserve">( </w:t>
      </w:r>
      <w:r w:rsidR="001741F0" w:rsidRPr="001741F0">
        <w:rPr>
          <w:rFonts w:ascii="Times New Roman" w:eastAsia="Calibri" w:hAnsi="Times New Roman" w:cs="Traditional Arabic"/>
          <w:color w:val="000000" w:themeColor="text1"/>
          <w:kern w:val="2"/>
          <w:sz w:val="28"/>
          <w:szCs w:val="28"/>
          <w14:ligatures w14:val="standardContextual"/>
        </w:rPr>
        <w:t>Alshehri, 2023)</w:t>
      </w:r>
      <w:r w:rsidR="001741F0" w:rsidRPr="001741F0">
        <w:rPr>
          <w:rFonts w:ascii="Times New Roman" w:eastAsia="Calibri" w:hAnsi="Times New Roman" w:cs="Traditional Arabic" w:hint="cs"/>
          <w:color w:val="000000" w:themeColor="text1"/>
          <w:kern w:val="2"/>
          <w:sz w:val="28"/>
          <w:szCs w:val="28"/>
          <w:rtl/>
          <w14:ligatures w14:val="standardContextual"/>
        </w:rPr>
        <w:t xml:space="preserve"> .</w:t>
      </w:r>
    </w:p>
    <w:p w14:paraId="643D1D02" w14:textId="180245DD" w:rsidR="00522BB6" w:rsidRPr="00522BB6" w:rsidRDefault="00522BB6" w:rsidP="001741F0">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8"/>
          <w:szCs w:val="28"/>
          <w14:ligatures w14:val="standardContextual"/>
        </w:rPr>
      </w:pPr>
      <w:r w:rsidRPr="001741F0">
        <w:rPr>
          <w:rFonts w:ascii="Times New Roman" w:eastAsia="Calibri" w:hAnsi="Times New Roman" w:cs="Traditional Arabic" w:hint="cs"/>
          <w:color w:val="000000" w:themeColor="text1"/>
          <w:kern w:val="2"/>
          <w:sz w:val="28"/>
          <w:szCs w:val="28"/>
          <w:rtl/>
          <w14:ligatures w14:val="standardContextual"/>
        </w:rPr>
        <w:t xml:space="preserve">وتمثل </w:t>
      </w:r>
      <w:r w:rsidRPr="00522BB6">
        <w:rPr>
          <w:rFonts w:ascii="Times New Roman" w:eastAsia="Calibri" w:hAnsi="Times New Roman" w:cs="Traditional Arabic"/>
          <w:color w:val="000000" w:themeColor="text1"/>
          <w:kern w:val="2"/>
          <w:sz w:val="28"/>
          <w:szCs w:val="28"/>
          <w:rtl/>
          <w14:ligatures w14:val="standardContextual"/>
        </w:rPr>
        <w:t>فاعلية اتخاذ القرار الاستراتيجي جوهر الإدارة الحديثة</w:t>
      </w:r>
      <w:r>
        <w:rPr>
          <w:rFonts w:ascii="Times New Roman" w:eastAsia="Calibri" w:hAnsi="Times New Roman" w:cs="Traditional Arabic" w:hint="cs"/>
          <w:color w:val="000000" w:themeColor="text1"/>
          <w:kern w:val="2"/>
          <w:sz w:val="28"/>
          <w:szCs w:val="28"/>
          <w:rtl/>
          <w14:ligatures w14:val="standardContextual"/>
        </w:rPr>
        <w:t xml:space="preserve"> ف</w:t>
      </w:r>
      <w:r w:rsidRPr="00522BB6">
        <w:rPr>
          <w:rFonts w:ascii="Times New Roman" w:eastAsia="Calibri" w:hAnsi="Times New Roman" w:cs="Traditional Arabic"/>
          <w:color w:val="000000" w:themeColor="text1"/>
          <w:kern w:val="2"/>
          <w:sz w:val="28"/>
          <w:szCs w:val="28"/>
          <w:rtl/>
          <w14:ligatures w14:val="standardContextual"/>
        </w:rPr>
        <w:t>هي العامل الأساسي الذي يُمكّن المؤسسات من الاستجابة السريعة للفرص والتهديدات في البيئة الخارجية</w:t>
      </w:r>
      <w:r>
        <w:rPr>
          <w:rFonts w:ascii="Times New Roman" w:eastAsia="Calibri" w:hAnsi="Times New Roman" w:cs="Traditional Arabic" w:hint="cs"/>
          <w:color w:val="000000" w:themeColor="text1"/>
          <w:kern w:val="2"/>
          <w:sz w:val="28"/>
          <w:szCs w:val="28"/>
          <w:rtl/>
          <w14:ligatures w14:val="standardContextual"/>
        </w:rPr>
        <w:t>،</w:t>
      </w:r>
      <w:r w:rsidRPr="00522BB6">
        <w:rPr>
          <w:rFonts w:ascii="Times New Roman" w:eastAsia="Calibri" w:hAnsi="Times New Roman" w:cs="Traditional Arabic"/>
          <w:color w:val="000000" w:themeColor="text1"/>
          <w:kern w:val="2"/>
          <w:sz w:val="28"/>
          <w:szCs w:val="28"/>
          <w:rtl/>
          <w14:ligatures w14:val="standardContextual"/>
        </w:rPr>
        <w:t xml:space="preserve"> وتقوم هذه الفاعلية على مجموعة من القدرات التنظيمية، من أبرزها: الوعي الاستراتيجي، الذي يعكس مدى إدراك المؤسسة للمستجدات والتغيرات في البيئة المحيطة؛ والقدرة على التكيف، التي تتيح للمؤسسة إعادة ترتيب أولوياتها ومواردها بما ينسجم مع الأوضاع المتغيرة؛ والتفاعل مع البيانات والمعلومات، وهو ما يتطلب بنية رقمية متقدمة تُوفر معلومات آنية ودقيقة لصنّاع القرار</w:t>
      </w:r>
      <w:r w:rsidR="001741F0" w:rsidRPr="001741F0">
        <w:t xml:space="preserve"> </w:t>
      </w:r>
      <w:r w:rsidR="001741F0" w:rsidRPr="001741F0">
        <w:rPr>
          <w:rFonts w:ascii="Times New Roman" w:eastAsia="Calibri" w:hAnsi="Times New Roman" w:cs="Traditional Arabic"/>
          <w:color w:val="000000" w:themeColor="text1"/>
          <w:kern w:val="2"/>
          <w:sz w:val="28"/>
          <w:szCs w:val="28"/>
          <w14:ligatures w14:val="standardContextual"/>
        </w:rPr>
        <w:t>(Tutar et al., 2023).</w:t>
      </w:r>
      <w:r w:rsidRPr="00522BB6">
        <w:rPr>
          <w:rFonts w:ascii="Times New Roman" w:eastAsia="Calibri" w:hAnsi="Times New Roman" w:cs="Traditional Arabic"/>
          <w:color w:val="000000" w:themeColor="text1"/>
          <w:kern w:val="2"/>
          <w:sz w:val="28"/>
          <w:szCs w:val="28"/>
          <w:rtl/>
          <w14:ligatures w14:val="standardContextual"/>
        </w:rPr>
        <w:t xml:space="preserve">. </w:t>
      </w:r>
    </w:p>
    <w:p w14:paraId="178EBC9B" w14:textId="3F2D7F88" w:rsidR="00522BB6" w:rsidRPr="00074754" w:rsidRDefault="008F3699" w:rsidP="001741F0">
      <w:pPr>
        <w:bidi/>
        <w:spacing w:before="100" w:beforeAutospacing="1" w:after="100" w:afterAutospacing="1" w:line="360" w:lineRule="auto"/>
        <w:ind w:firstLine="720"/>
        <w:jc w:val="both"/>
        <w:rPr>
          <w:rFonts w:ascii="Times New Roman" w:eastAsia="Calibri" w:hAnsi="Times New Roman" w:cs="Traditional Arabic"/>
          <w:kern w:val="2"/>
          <w:sz w:val="28"/>
          <w:szCs w:val="28"/>
          <w14:ligatures w14:val="standardContextual"/>
        </w:rPr>
      </w:pPr>
      <w:r w:rsidRPr="001741F0">
        <w:rPr>
          <w:rFonts w:ascii="Times New Roman" w:eastAsia="Calibri" w:hAnsi="Times New Roman" w:cs="Traditional Arabic" w:hint="cs"/>
          <w:color w:val="000000" w:themeColor="text1"/>
          <w:kern w:val="2"/>
          <w:sz w:val="28"/>
          <w:szCs w:val="28"/>
          <w:rtl/>
          <w14:ligatures w14:val="standardContextual"/>
        </w:rPr>
        <w:t>و</w:t>
      </w:r>
      <w:r w:rsidR="00522BB6" w:rsidRPr="00522BB6">
        <w:rPr>
          <w:rFonts w:ascii="Times New Roman" w:eastAsia="Calibri" w:hAnsi="Times New Roman" w:cs="Traditional Arabic"/>
          <w:color w:val="000000" w:themeColor="text1"/>
          <w:kern w:val="2"/>
          <w:sz w:val="28"/>
          <w:szCs w:val="28"/>
          <w:rtl/>
          <w14:ligatures w14:val="standardContextual"/>
        </w:rPr>
        <w:t xml:space="preserve">تُعد الشفافية المعلوماتية متغيرًا محوريًا ومتكاملًا في بيئة العمل الرقمية، إذ تُسهم في بناء الثقة داخل المؤسسة وبينها وبين أصحاب المصلحة. وتشمل الشفافية المعلوماتية ثلاثة أبعاد رئيسية: شفافية الأنظمة واللوائح، والتي تُمكّن الموظفين من فهم الأطر </w:t>
      </w:r>
      <w:r w:rsidR="00522BB6" w:rsidRPr="00074754">
        <w:rPr>
          <w:rFonts w:ascii="Times New Roman" w:eastAsia="Calibri" w:hAnsi="Times New Roman" w:cs="Traditional Arabic"/>
          <w:kern w:val="2"/>
          <w:sz w:val="28"/>
          <w:szCs w:val="28"/>
          <w:rtl/>
          <w14:ligatures w14:val="standardContextual"/>
        </w:rPr>
        <w:t xml:space="preserve">القانونية والتنظيمية التي تحكم قراراتهم؛ وشفافية الإجراءات، التي تتعلق بوضوح سير العمل وكيفية اتخاذ القرارات؛ وأخيرًا شفافية الاتصال والمعلومات، التي تُعنى بإتاحة البيانات والمعلومات للعاملين في الوقت المناسب وبصورة </w:t>
      </w:r>
      <w:proofErr w:type="gramStart"/>
      <w:r w:rsidR="00522BB6" w:rsidRPr="00074754">
        <w:rPr>
          <w:rFonts w:ascii="Times New Roman" w:eastAsia="Calibri" w:hAnsi="Times New Roman" w:cs="Traditional Arabic"/>
          <w:kern w:val="2"/>
          <w:sz w:val="28"/>
          <w:szCs w:val="28"/>
          <w:rtl/>
          <w14:ligatures w14:val="standardContextual"/>
        </w:rPr>
        <w:t>دقيقة</w:t>
      </w:r>
      <w:r w:rsidR="001741F0" w:rsidRPr="00074754">
        <w:rPr>
          <w:rFonts w:ascii="Times New Roman" w:eastAsia="Calibri" w:hAnsi="Times New Roman" w:cs="Traditional Arabic" w:hint="cs"/>
          <w:kern w:val="2"/>
          <w:sz w:val="28"/>
          <w:szCs w:val="28"/>
          <w:rtl/>
          <w14:ligatures w14:val="standardContextual"/>
        </w:rPr>
        <w:t>(</w:t>
      </w:r>
      <w:r w:rsidR="001741F0" w:rsidRPr="00074754">
        <w:t xml:space="preserve"> </w:t>
      </w:r>
      <w:r w:rsidR="001741F0" w:rsidRPr="00074754">
        <w:rPr>
          <w:rFonts w:ascii="Times New Roman" w:eastAsia="Calibri" w:hAnsi="Times New Roman" w:cs="Traditional Arabic"/>
          <w:kern w:val="2"/>
          <w:sz w:val="28"/>
          <w:szCs w:val="28"/>
          <w14:ligatures w14:val="standardContextual"/>
        </w:rPr>
        <w:t>(</w:t>
      </w:r>
      <w:proofErr w:type="gramEnd"/>
      <w:r w:rsidR="001741F0" w:rsidRPr="00074754">
        <w:rPr>
          <w:rFonts w:ascii="Times New Roman" w:eastAsia="Calibri" w:hAnsi="Times New Roman" w:cs="Traditional Arabic"/>
          <w:kern w:val="2"/>
          <w:sz w:val="28"/>
          <w:szCs w:val="28"/>
          <w14:ligatures w14:val="standardContextual"/>
        </w:rPr>
        <w:t>Xu &amp; Mustafaraj, 2024</w:t>
      </w:r>
      <w:r w:rsidR="00522BB6" w:rsidRPr="00074754">
        <w:rPr>
          <w:rFonts w:ascii="Times New Roman" w:eastAsia="Calibri" w:hAnsi="Times New Roman" w:cs="Traditional Arabic"/>
          <w:kern w:val="2"/>
          <w:sz w:val="28"/>
          <w:szCs w:val="28"/>
          <w:rtl/>
          <w14:ligatures w14:val="standardContextual"/>
        </w:rPr>
        <w:t xml:space="preserve">. </w:t>
      </w:r>
    </w:p>
    <w:p w14:paraId="4512CF6D" w14:textId="4B22D51F" w:rsidR="00A47D50" w:rsidRPr="00074754" w:rsidRDefault="00A47D50" w:rsidP="00A47D50">
      <w:pPr>
        <w:bidi/>
        <w:spacing w:before="100" w:beforeAutospacing="1" w:after="100" w:afterAutospacing="1" w:line="360" w:lineRule="auto"/>
        <w:ind w:firstLine="720"/>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hint="cs"/>
          <w:kern w:val="2"/>
          <w:sz w:val="28"/>
          <w:szCs w:val="28"/>
          <w:rtl/>
          <w14:ligatures w14:val="standardContextual"/>
        </w:rPr>
        <w:lastRenderedPageBreak/>
        <w:t>و</w:t>
      </w:r>
      <w:r w:rsidRPr="00074754">
        <w:rPr>
          <w:rFonts w:ascii="Times New Roman" w:eastAsia="Calibri" w:hAnsi="Times New Roman" w:cs="Traditional Arabic"/>
          <w:kern w:val="2"/>
          <w:sz w:val="28"/>
          <w:szCs w:val="28"/>
          <w:rtl/>
          <w14:ligatures w14:val="standardContextual"/>
        </w:rPr>
        <w:t>على الرغم من أن الدراسات السابقة تناولت كلًا من التحول الرقمي أو الشفافية المعلوماتية أو فاعلية اتخاذ القرار الاستراتيجي بشكل منفصل، فإن القليل منها ركّز على تحليل العلاقة التكاملية بين هذه المتغيرات الثلاثة، خاصة في السياق المؤسسي الحكومي الخليجي، وبالتحديد في وزارات الصناعة. وهذا يشكل فجوة معرفية تقتضي البحث</w:t>
      </w:r>
      <w:r w:rsidRPr="00074754">
        <w:rPr>
          <w:rFonts w:ascii="Times New Roman" w:eastAsia="Calibri" w:hAnsi="Times New Roman" w:cs="Traditional Arabic"/>
          <w:kern w:val="2"/>
          <w:sz w:val="28"/>
          <w:szCs w:val="28"/>
          <w14:ligatures w14:val="standardContextual"/>
        </w:rPr>
        <w:t>.</w:t>
      </w:r>
    </w:p>
    <w:p w14:paraId="37E4E05B" w14:textId="09E0D9FA" w:rsidR="00DF3DF5" w:rsidRPr="00074754" w:rsidRDefault="00A47D50" w:rsidP="00A47D50">
      <w:pPr>
        <w:bidi/>
        <w:spacing w:before="100" w:beforeAutospacing="1" w:after="100" w:afterAutospacing="1" w:line="360" w:lineRule="auto"/>
        <w:ind w:firstLine="720"/>
        <w:jc w:val="both"/>
        <w:rPr>
          <w:rFonts w:ascii="Times New Roman" w:eastAsia="Calibri" w:hAnsi="Times New Roman" w:cs="Traditional Arabic"/>
          <w:kern w:val="2"/>
          <w:sz w:val="28"/>
          <w:szCs w:val="28"/>
          <w:rtl/>
          <w14:ligatures w14:val="standardContextual"/>
        </w:rPr>
      </w:pPr>
      <w:r w:rsidRPr="00074754">
        <w:rPr>
          <w:rFonts w:ascii="Times New Roman" w:eastAsia="Calibri" w:hAnsi="Times New Roman" w:cs="Traditional Arabic"/>
          <w:kern w:val="2"/>
          <w:sz w:val="28"/>
          <w:szCs w:val="28"/>
          <w:rtl/>
          <w14:ligatures w14:val="standardContextual"/>
        </w:rPr>
        <w:t xml:space="preserve">لذا تهدف هذه الدراسة إلى بناء نموذج تفسيري يكشف دور الشفافية المعلوماتية كمتغير وسيط يفسر العلاقة بين التحول الرقمي وفاعلية اتخاذ القرار الاستراتيجي </w:t>
      </w:r>
      <w:r w:rsidRPr="00074754">
        <w:rPr>
          <w:rFonts w:ascii="Times New Roman" w:eastAsia="Calibri" w:hAnsi="Times New Roman" w:cs="Traditional Arabic" w:hint="cs"/>
          <w:kern w:val="2"/>
          <w:sz w:val="28"/>
          <w:szCs w:val="28"/>
          <w:rtl/>
          <w14:ligatures w14:val="standardContextual"/>
        </w:rPr>
        <w:t>في</w:t>
      </w:r>
      <w:r w:rsidRPr="00074754">
        <w:rPr>
          <w:rFonts w:ascii="Times New Roman" w:eastAsia="Calibri" w:hAnsi="Times New Roman" w:cs="Traditional Arabic"/>
          <w:kern w:val="2"/>
          <w:sz w:val="28"/>
          <w:szCs w:val="28"/>
          <w:rtl/>
          <w14:ligatures w14:val="standardContextual"/>
        </w:rPr>
        <w:t xml:space="preserve"> بيئة وزارات الصناعة </w:t>
      </w:r>
      <w:r w:rsidRPr="00074754">
        <w:rPr>
          <w:rFonts w:ascii="Times New Roman" w:eastAsia="Calibri" w:hAnsi="Times New Roman" w:cs="Traditional Arabic" w:hint="cs"/>
          <w:kern w:val="2"/>
          <w:sz w:val="28"/>
          <w:szCs w:val="28"/>
          <w:rtl/>
          <w14:ligatures w14:val="standardContextual"/>
        </w:rPr>
        <w:t>ب</w:t>
      </w:r>
      <w:r w:rsidRPr="00074754">
        <w:rPr>
          <w:rFonts w:ascii="Times New Roman" w:eastAsia="Calibri" w:hAnsi="Times New Roman" w:cs="Traditional Arabic"/>
          <w:kern w:val="2"/>
          <w:sz w:val="28"/>
          <w:szCs w:val="28"/>
          <w:rtl/>
          <w14:ligatures w14:val="standardContextual"/>
        </w:rPr>
        <w:t>دول مجلس التعاون الخليجي، بما يسهم في دعم صانعي السياسات في تبني استراتيجيات رقمية أكثر فاعلية وشفافية</w:t>
      </w:r>
      <w:r w:rsidR="00522BB6" w:rsidRPr="00074754">
        <w:rPr>
          <w:rFonts w:ascii="Times New Roman" w:eastAsia="Calibri" w:hAnsi="Times New Roman" w:cs="Traditional Arabic"/>
          <w:kern w:val="2"/>
          <w:sz w:val="28"/>
          <w:szCs w:val="28"/>
          <w:rtl/>
          <w14:ligatures w14:val="standardContextual"/>
        </w:rPr>
        <w:t xml:space="preserve">، </w:t>
      </w:r>
      <w:r w:rsidRPr="00074754">
        <w:rPr>
          <w:rFonts w:ascii="Times New Roman" w:eastAsia="Calibri" w:hAnsi="Times New Roman" w:cs="Traditional Arabic" w:hint="cs"/>
          <w:kern w:val="2"/>
          <w:sz w:val="28"/>
          <w:szCs w:val="28"/>
          <w:rtl/>
          <w:lang w:bidi="ar-EG"/>
          <w14:ligatures w14:val="standardContextual"/>
        </w:rPr>
        <w:t>مما يعز</w:t>
      </w:r>
      <w:r w:rsidR="00522BB6" w:rsidRPr="00074754">
        <w:rPr>
          <w:rFonts w:ascii="Times New Roman" w:eastAsia="Calibri" w:hAnsi="Times New Roman" w:cs="Traditional Arabic"/>
          <w:kern w:val="2"/>
          <w:sz w:val="28"/>
          <w:szCs w:val="28"/>
          <w:rtl/>
          <w14:ligatures w14:val="standardContextual"/>
        </w:rPr>
        <w:t xml:space="preserve"> من قدرة القادة على الوصول إلى معلومات واضحة وحديثة، وتُسهم في تقليل الغموض التنظيمي، مما يدعم فاعلية القرارات المتخذة في ظل بيئات سريعة التغير. </w:t>
      </w:r>
    </w:p>
    <w:p w14:paraId="59E648D8" w14:textId="61D15CE0" w:rsidR="00522BB6" w:rsidRPr="00074754" w:rsidRDefault="00522BB6" w:rsidP="00DF3DF5">
      <w:pPr>
        <w:bidi/>
        <w:spacing w:before="100" w:beforeAutospacing="1" w:after="100" w:afterAutospacing="1" w:line="360" w:lineRule="auto"/>
        <w:ind w:firstLine="720"/>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kern w:val="2"/>
          <w:sz w:val="28"/>
          <w:szCs w:val="28"/>
          <w:rtl/>
          <w14:ligatures w14:val="standardContextual"/>
        </w:rPr>
        <w:t>ومن هنا تأتي أهمية بناء نموذج بحثي يُسهم في توضيح هذه العلاقة الثلاثية ضمن بيئة وزارات الصناعة في دول مجلس التعاون الخليجي</w:t>
      </w:r>
      <w:r w:rsidRPr="00074754">
        <w:rPr>
          <w:rFonts w:ascii="Times New Roman" w:eastAsia="Calibri" w:hAnsi="Times New Roman" w:cs="Traditional Arabic"/>
          <w:kern w:val="2"/>
          <w:sz w:val="28"/>
          <w:szCs w:val="28"/>
          <w14:ligatures w14:val="standardContextual"/>
        </w:rPr>
        <w:t>.</w:t>
      </w:r>
    </w:p>
    <w:p w14:paraId="68C79C4F" w14:textId="62E2D19A" w:rsidR="00735F0D" w:rsidRPr="00074754" w:rsidRDefault="00735F0D" w:rsidP="00074754">
      <w:pPr>
        <w:bidi/>
        <w:spacing w:before="100" w:beforeAutospacing="1" w:after="100" w:afterAutospacing="1" w:line="360" w:lineRule="auto"/>
        <w:ind w:firstLine="720"/>
        <w:jc w:val="both"/>
        <w:rPr>
          <w:rFonts w:ascii="Times New Roman" w:hAnsi="Times New Roman" w:cs="Traditional Arabic"/>
          <w:b/>
          <w:bCs/>
          <w:sz w:val="32"/>
          <w:szCs w:val="32"/>
          <w:rtl/>
        </w:rPr>
      </w:pPr>
      <w:r w:rsidRPr="00074754">
        <w:rPr>
          <w:rFonts w:ascii="Times New Roman" w:eastAsia="Calibri" w:hAnsi="Times New Roman" w:cs="Traditional Arabic"/>
          <w:kern w:val="2"/>
          <w:sz w:val="28"/>
          <w:szCs w:val="28"/>
          <w:rtl/>
          <w14:ligatures w14:val="standardContextual"/>
        </w:rPr>
        <w:t xml:space="preserve">. </w:t>
      </w:r>
      <w:bookmarkStart w:id="3" w:name="_Toc202226001"/>
      <w:r w:rsidR="0077566C" w:rsidRPr="00074754">
        <w:rPr>
          <w:rFonts w:ascii="Times New Roman" w:hAnsi="Times New Roman" w:cs="Traditional Arabic" w:hint="cs"/>
          <w:b/>
          <w:bCs/>
          <w:sz w:val="32"/>
          <w:szCs w:val="32"/>
          <w:rtl/>
        </w:rPr>
        <w:t xml:space="preserve">2.1 </w:t>
      </w:r>
      <w:r w:rsidRPr="00074754">
        <w:rPr>
          <w:rFonts w:ascii="Times New Roman" w:hAnsi="Times New Roman" w:cs="Traditional Arabic" w:hint="cs"/>
          <w:b/>
          <w:bCs/>
          <w:sz w:val="32"/>
          <w:szCs w:val="32"/>
          <w:rtl/>
        </w:rPr>
        <w:t>مشكلة الدراسة وأسئلتها</w:t>
      </w:r>
      <w:r w:rsidRPr="00074754">
        <w:rPr>
          <w:rFonts w:ascii="Times New Roman" w:hAnsi="Times New Roman" w:cs="Traditional Arabic"/>
          <w:b/>
          <w:bCs/>
          <w:sz w:val="32"/>
          <w:szCs w:val="32"/>
          <w:rtl/>
        </w:rPr>
        <w:t>:</w:t>
      </w:r>
      <w:bookmarkEnd w:id="3"/>
      <w:r w:rsidRPr="00074754">
        <w:rPr>
          <w:rFonts w:ascii="Times New Roman" w:hAnsi="Times New Roman" w:cs="Traditional Arabic"/>
          <w:b/>
          <w:bCs/>
          <w:sz w:val="32"/>
          <w:szCs w:val="32"/>
          <w:rtl/>
        </w:rPr>
        <w:t xml:space="preserve"> </w:t>
      </w:r>
      <w:r w:rsidRPr="00074754">
        <w:rPr>
          <w:rFonts w:ascii="Times New Roman" w:hAnsi="Times New Roman" w:cs="Traditional Arabic" w:hint="cs"/>
          <w:b/>
          <w:bCs/>
          <w:sz w:val="32"/>
          <w:szCs w:val="32"/>
          <w:rtl/>
        </w:rPr>
        <w:t xml:space="preserve">  </w:t>
      </w:r>
    </w:p>
    <w:p w14:paraId="4CC477BD" w14:textId="06515EC9" w:rsidR="00735F0D" w:rsidRPr="00074754" w:rsidRDefault="00766939" w:rsidP="00766939">
      <w:pPr>
        <w:bidi/>
        <w:spacing w:before="100" w:beforeAutospacing="1" w:after="100" w:afterAutospacing="1" w:line="360" w:lineRule="auto"/>
        <w:ind w:firstLine="720"/>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kern w:val="2"/>
          <w:sz w:val="28"/>
          <w:szCs w:val="28"/>
          <w:rtl/>
          <w14:ligatures w14:val="standardContextual"/>
        </w:rPr>
        <w:t xml:space="preserve">تشهد دول مجلس التعاون الخليجي تطورًا مستمرًا في كافة القطاعات الحيوية، ومن بين هذه القطاعات يأتي قطاع الصناعة كأحد الركائز الأساسية في بناء الاقتصاد الوطني وتحقيق التنمية </w:t>
      </w:r>
      <w:r w:rsidR="0015003F" w:rsidRPr="00074754">
        <w:rPr>
          <w:rFonts w:ascii="Times New Roman" w:eastAsia="Calibri" w:hAnsi="Times New Roman" w:cs="Traditional Arabic" w:hint="cs"/>
          <w:kern w:val="2"/>
          <w:sz w:val="28"/>
          <w:szCs w:val="28"/>
          <w:rtl/>
          <w14:ligatures w14:val="standardContextual"/>
        </w:rPr>
        <w:t>المستدامة، ومع</w:t>
      </w:r>
      <w:r w:rsidRPr="00074754">
        <w:rPr>
          <w:rFonts w:ascii="Times New Roman" w:eastAsia="Calibri" w:hAnsi="Times New Roman" w:cs="Traditional Arabic"/>
          <w:kern w:val="2"/>
          <w:sz w:val="28"/>
          <w:szCs w:val="28"/>
          <w:rtl/>
          <w14:ligatures w14:val="standardContextual"/>
        </w:rPr>
        <w:t xml:space="preserve"> تسارع التحولات التكنولوجية والاقتصادية تبرز الحاجة الملحة لتحسين أداء القطاعات الصناعية من خلال تطبيق تقنيات التحول الرقمي، الذي أصبح أحد الأولويات في استراتيجيات هذه الدول المستقبلية. </w:t>
      </w:r>
    </w:p>
    <w:p w14:paraId="09D28DE2" w14:textId="5A8F1E57" w:rsidR="00766939" w:rsidRPr="00074754" w:rsidRDefault="00766939" w:rsidP="00766939">
      <w:pPr>
        <w:bidi/>
        <w:spacing w:before="100" w:beforeAutospacing="1" w:after="100" w:afterAutospacing="1" w:line="360" w:lineRule="auto"/>
        <w:ind w:firstLine="720"/>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hint="cs"/>
          <w:kern w:val="2"/>
          <w:sz w:val="28"/>
          <w:szCs w:val="28"/>
          <w:rtl/>
          <w14:ligatures w14:val="standardContextual"/>
        </w:rPr>
        <w:t>و</w:t>
      </w:r>
      <w:r w:rsidRPr="00074754">
        <w:rPr>
          <w:rFonts w:ascii="Times New Roman" w:eastAsia="Calibri" w:hAnsi="Times New Roman" w:cs="Traditional Arabic"/>
          <w:kern w:val="2"/>
          <w:sz w:val="28"/>
          <w:szCs w:val="28"/>
          <w:rtl/>
          <w14:ligatures w14:val="standardContextual"/>
        </w:rPr>
        <w:t xml:space="preserve"> أصبح التحول الرقمي أحد الأساليب الرئيسية التي تسعى الحكومات والشركات في القطاع العام والخاص إلى تبنيها لتحسين كفاءة العمل، ومن بينها وزارات الصناعة في دول مجلس التعاون الخليجي</w:t>
      </w:r>
      <w:r w:rsidRPr="00074754">
        <w:rPr>
          <w:rFonts w:ascii="Times New Roman" w:eastAsia="Calibri" w:hAnsi="Times New Roman" w:cs="Traditional Arabic" w:hint="cs"/>
          <w:kern w:val="2"/>
          <w:sz w:val="28"/>
          <w:szCs w:val="28"/>
          <w:rtl/>
          <w14:ligatures w14:val="standardContextual"/>
        </w:rPr>
        <w:t xml:space="preserve">، وذلك لتطبيق تقنيات متطورة </w:t>
      </w:r>
      <w:proofErr w:type="gramStart"/>
      <w:r w:rsidRPr="00074754">
        <w:rPr>
          <w:rFonts w:ascii="Times New Roman" w:eastAsia="Calibri" w:hAnsi="Times New Roman" w:cs="Traditional Arabic" w:hint="cs"/>
          <w:kern w:val="2"/>
          <w:sz w:val="28"/>
          <w:szCs w:val="28"/>
          <w:rtl/>
          <w14:ligatures w14:val="standardContextual"/>
        </w:rPr>
        <w:t xml:space="preserve">للتحول </w:t>
      </w:r>
      <w:r w:rsidRPr="00074754">
        <w:rPr>
          <w:rFonts w:ascii="Times New Roman" w:eastAsia="Calibri" w:hAnsi="Times New Roman" w:cs="Traditional Arabic"/>
          <w:kern w:val="2"/>
          <w:sz w:val="28"/>
          <w:szCs w:val="28"/>
          <w:rtl/>
          <w14:ligatures w14:val="standardContextual"/>
        </w:rPr>
        <w:t xml:space="preserve"> الرقمي</w:t>
      </w:r>
      <w:proofErr w:type="gramEnd"/>
      <w:r w:rsidRPr="00074754">
        <w:rPr>
          <w:rFonts w:ascii="Times New Roman" w:eastAsia="Calibri" w:hAnsi="Times New Roman" w:cs="Traditional Arabic"/>
          <w:kern w:val="2"/>
          <w:sz w:val="28"/>
          <w:szCs w:val="28"/>
          <w:rtl/>
          <w14:ligatures w14:val="standardContextual"/>
        </w:rPr>
        <w:t xml:space="preserve"> لتحسين الأداء التشغيلي، دعم عملية اتخاذ القرار، وزيادة الشفافية</w:t>
      </w:r>
      <w:r w:rsidRPr="00074754">
        <w:rPr>
          <w:rFonts w:ascii="Times New Roman" w:eastAsia="Calibri" w:hAnsi="Times New Roman" w:cs="Traditional Arabic" w:hint="cs"/>
          <w:kern w:val="2"/>
          <w:sz w:val="28"/>
          <w:szCs w:val="28"/>
          <w:rtl/>
          <w14:ligatures w14:val="standardContextual"/>
        </w:rPr>
        <w:t>، كما</w:t>
      </w:r>
      <w:r w:rsidRPr="00074754">
        <w:rPr>
          <w:rFonts w:ascii="Times New Roman" w:eastAsia="Calibri" w:hAnsi="Times New Roman" w:cs="Traditional Arabic"/>
          <w:kern w:val="2"/>
          <w:sz w:val="28"/>
          <w:szCs w:val="28"/>
          <w:rtl/>
          <w14:ligatures w14:val="standardContextual"/>
        </w:rPr>
        <w:t xml:space="preserve"> تعتبر الشفافية المعلوماتية أحد العوامل المهمة في ضمان النجاح المستدام للتحول الرقمي، إذ تتيح الوصول إلى المعلومات الدقيقة التي تساعد في تحسين جودة القرار الاستراتيجي</w:t>
      </w:r>
      <w:r w:rsidRPr="00074754">
        <w:rPr>
          <w:rFonts w:ascii="Times New Roman" w:eastAsia="Calibri" w:hAnsi="Times New Roman" w:cs="Traditional Arabic"/>
          <w:kern w:val="2"/>
          <w:sz w:val="28"/>
          <w:szCs w:val="28"/>
          <w14:ligatures w14:val="standardContextual"/>
        </w:rPr>
        <w:t>.</w:t>
      </w:r>
    </w:p>
    <w:p w14:paraId="6D99DB35" w14:textId="61EAC87F" w:rsidR="00766939" w:rsidRPr="00074754" w:rsidRDefault="0015003F" w:rsidP="00766939">
      <w:pPr>
        <w:bidi/>
        <w:spacing w:before="100" w:beforeAutospacing="1" w:after="100" w:afterAutospacing="1" w:line="360" w:lineRule="auto"/>
        <w:ind w:firstLine="720"/>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hint="cs"/>
          <w:kern w:val="2"/>
          <w:sz w:val="28"/>
          <w:szCs w:val="28"/>
          <w:rtl/>
          <w14:ligatures w14:val="standardContextual"/>
        </w:rPr>
        <w:lastRenderedPageBreak/>
        <w:t>وتتزايد الضغوط</w:t>
      </w:r>
      <w:r w:rsidR="00766939" w:rsidRPr="00074754">
        <w:rPr>
          <w:rFonts w:ascii="Times New Roman" w:eastAsia="Calibri" w:hAnsi="Times New Roman" w:cs="Traditional Arabic"/>
          <w:kern w:val="2"/>
          <w:sz w:val="28"/>
          <w:szCs w:val="28"/>
          <w:rtl/>
          <w14:ligatures w14:val="standardContextual"/>
        </w:rPr>
        <w:t xml:space="preserve"> على وزارات الصناعة في دول مجلس التعاون الخليجي لتحقيق تحسينات مستمرة في كفاءتها الاستراتيجية والتشغيلية في ظل البيئة الاقتصادية </w:t>
      </w:r>
      <w:r w:rsidRPr="00074754">
        <w:rPr>
          <w:rFonts w:ascii="Times New Roman" w:eastAsia="Calibri" w:hAnsi="Times New Roman" w:cs="Traditional Arabic" w:hint="cs"/>
          <w:kern w:val="2"/>
          <w:sz w:val="28"/>
          <w:szCs w:val="28"/>
          <w:rtl/>
          <w14:ligatures w14:val="standardContextual"/>
        </w:rPr>
        <w:t>المتغيرة، ولعل</w:t>
      </w:r>
      <w:r w:rsidR="00766939" w:rsidRPr="00074754">
        <w:rPr>
          <w:rFonts w:ascii="Times New Roman" w:eastAsia="Calibri" w:hAnsi="Times New Roman" w:cs="Traditional Arabic"/>
          <w:kern w:val="2"/>
          <w:sz w:val="28"/>
          <w:szCs w:val="28"/>
          <w:rtl/>
          <w14:ligatures w14:val="standardContextual"/>
        </w:rPr>
        <w:t xml:space="preserve"> أبرز التحديات التي تواجه هذه الوزارات هي التكيف مع التغيرات السريعة في البيئة التكنولوجية، بالإضافة إلى تحسين عمليات اتخاذ القرار الاستراتيجي الذي يتطلب تحديثًا مستمرًا للمعرفة والمعلومات، </w:t>
      </w:r>
      <w:r w:rsidR="00766939" w:rsidRPr="00074754">
        <w:rPr>
          <w:rFonts w:ascii="Times New Roman" w:eastAsia="Calibri" w:hAnsi="Times New Roman" w:cs="Traditional Arabic" w:hint="cs"/>
          <w:kern w:val="2"/>
          <w:sz w:val="28"/>
          <w:szCs w:val="28"/>
          <w:rtl/>
          <w14:ligatures w14:val="standardContextual"/>
        </w:rPr>
        <w:t>و</w:t>
      </w:r>
      <w:r w:rsidR="00766939" w:rsidRPr="00074754">
        <w:rPr>
          <w:rFonts w:ascii="Times New Roman" w:eastAsia="Calibri" w:hAnsi="Times New Roman" w:cs="Traditional Arabic"/>
          <w:kern w:val="2"/>
          <w:sz w:val="28"/>
          <w:szCs w:val="28"/>
          <w:rtl/>
          <w14:ligatures w14:val="standardContextual"/>
        </w:rPr>
        <w:t>يعتبر دمج تقنيات التحول الرقمي في عمليات اتخاذ القرار أحد المحاور الرئيسية التي تسعى هذه الوزارات إلى تبنيها</w:t>
      </w:r>
      <w:r w:rsidR="00766939" w:rsidRPr="00074754">
        <w:rPr>
          <w:rFonts w:ascii="Times New Roman" w:eastAsia="Calibri" w:hAnsi="Times New Roman" w:cs="Traditional Arabic"/>
          <w:kern w:val="2"/>
          <w:sz w:val="28"/>
          <w:szCs w:val="28"/>
          <w14:ligatures w14:val="standardContextual"/>
        </w:rPr>
        <w:t>.</w:t>
      </w:r>
    </w:p>
    <w:p w14:paraId="3249C852" w14:textId="40FD6BAB" w:rsidR="00766939" w:rsidRPr="00074754" w:rsidRDefault="00727E28" w:rsidP="00766939">
      <w:pPr>
        <w:bidi/>
        <w:spacing w:before="100" w:beforeAutospacing="1" w:after="100" w:afterAutospacing="1" w:line="360" w:lineRule="auto"/>
        <w:ind w:firstLine="720"/>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hint="cs"/>
          <w:kern w:val="2"/>
          <w:sz w:val="28"/>
          <w:szCs w:val="28"/>
          <w:rtl/>
          <w14:ligatures w14:val="standardContextual"/>
        </w:rPr>
        <w:t>و</w:t>
      </w:r>
      <w:r w:rsidR="00766939" w:rsidRPr="00074754">
        <w:rPr>
          <w:rFonts w:ascii="Times New Roman" w:eastAsia="Calibri" w:hAnsi="Times New Roman" w:cs="Traditional Arabic"/>
          <w:kern w:val="2"/>
          <w:sz w:val="28"/>
          <w:szCs w:val="28"/>
          <w:rtl/>
          <w14:ligatures w14:val="standardContextual"/>
        </w:rPr>
        <w:t>تشير التقارير إلى أن هناك فجوات كبيرة في تكامل الأنظمة الرقمية داخل الوزارات الحكومية</w:t>
      </w:r>
      <w:r w:rsidRPr="00074754">
        <w:rPr>
          <w:rFonts w:ascii="Times New Roman" w:eastAsia="Calibri" w:hAnsi="Times New Roman" w:cs="Traditional Arabic" w:hint="cs"/>
          <w:kern w:val="2"/>
          <w:sz w:val="28"/>
          <w:szCs w:val="28"/>
          <w:rtl/>
          <w14:ligatures w14:val="standardContextual"/>
        </w:rPr>
        <w:t>،</w:t>
      </w:r>
      <w:r w:rsidR="00766939" w:rsidRPr="00074754">
        <w:rPr>
          <w:rFonts w:ascii="Times New Roman" w:eastAsia="Calibri" w:hAnsi="Times New Roman" w:cs="Traditional Arabic"/>
          <w:kern w:val="2"/>
          <w:sz w:val="28"/>
          <w:szCs w:val="28"/>
          <w:rtl/>
          <w14:ligatures w14:val="standardContextual"/>
        </w:rPr>
        <w:t xml:space="preserve"> فقد أظهرت دراسة أجرتها "مؤسسة فاست سبير" في 2022 أن حوالي 55% من الوزارات الحكومية في دول الخليج لم تتمكن من دمج الأنظمة الرقمية المتكاملة في جميع وظائفها، بل ما تزال تعتمد على الأنظمة التقليدية لإدارة البيانات واتخاذ القرارات، مما يعوق تحسين الكفاءة التشغيلية والقدرة على التكيف مع التحديات الاقتصادية السريعة</w:t>
      </w:r>
      <w:r w:rsidR="00766939" w:rsidRPr="00074754">
        <w:rPr>
          <w:rFonts w:ascii="Times New Roman" w:eastAsia="Calibri" w:hAnsi="Times New Roman" w:cs="Traditional Arabic"/>
          <w:kern w:val="2"/>
          <w:sz w:val="28"/>
          <w:szCs w:val="28"/>
          <w14:ligatures w14:val="standardContextual"/>
        </w:rPr>
        <w:t xml:space="preserve"> (Arab News, 2022).</w:t>
      </w:r>
    </w:p>
    <w:p w14:paraId="5396B8AC" w14:textId="57F600F9" w:rsidR="00766939" w:rsidRPr="00074754" w:rsidRDefault="00766939" w:rsidP="00766939">
      <w:pPr>
        <w:bidi/>
        <w:spacing w:before="100" w:beforeAutospacing="1" w:after="100" w:afterAutospacing="1" w:line="360" w:lineRule="auto"/>
        <w:ind w:firstLine="720"/>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kern w:val="2"/>
          <w:sz w:val="28"/>
          <w:szCs w:val="28"/>
          <w:rtl/>
          <w14:ligatures w14:val="standardContextual"/>
        </w:rPr>
        <w:t>ومع التقدم في تبني تقنيات الذكاء الاصطناعي على مستوى الشركات في المنطقة، تظهر الدراسات أن 62% من الشركات في دول مجلس التعاون الخليجي قد بدأت في استخدام الذكاء الاصطناعي في بعض وظائفها، إلا أن هذه التقنيات لم تُدمج بعد بشكل كامل في الوزارات الحكومية</w:t>
      </w:r>
      <w:r w:rsidR="00727E28" w:rsidRPr="00074754">
        <w:rPr>
          <w:rFonts w:ascii="Times New Roman" w:eastAsia="Calibri" w:hAnsi="Times New Roman" w:cs="Traditional Arabic" w:hint="cs"/>
          <w:kern w:val="2"/>
          <w:sz w:val="28"/>
          <w:szCs w:val="28"/>
          <w:rtl/>
          <w14:ligatures w14:val="standardContextual"/>
        </w:rPr>
        <w:t>،</w:t>
      </w:r>
      <w:r w:rsidRPr="00074754">
        <w:rPr>
          <w:rFonts w:ascii="Times New Roman" w:eastAsia="Calibri" w:hAnsi="Times New Roman" w:cs="Traditional Arabic"/>
          <w:kern w:val="2"/>
          <w:sz w:val="28"/>
          <w:szCs w:val="28"/>
          <w:rtl/>
          <w14:ligatures w14:val="standardContextual"/>
        </w:rPr>
        <w:t xml:space="preserve"> ففي دراسة أخرى أجرتها شركة "</w:t>
      </w:r>
      <w:proofErr w:type="spellStart"/>
      <w:r w:rsidRPr="00074754">
        <w:rPr>
          <w:rFonts w:ascii="Times New Roman" w:eastAsia="Calibri" w:hAnsi="Times New Roman" w:cs="Traditional Arabic"/>
          <w:kern w:val="2"/>
          <w:sz w:val="28"/>
          <w:szCs w:val="28"/>
          <w:rtl/>
          <w14:ligatures w14:val="standardContextual"/>
        </w:rPr>
        <w:t>ديلويت</w:t>
      </w:r>
      <w:proofErr w:type="spellEnd"/>
      <w:r w:rsidRPr="00074754">
        <w:rPr>
          <w:rFonts w:ascii="Times New Roman" w:eastAsia="Calibri" w:hAnsi="Times New Roman" w:cs="Traditional Arabic"/>
          <w:kern w:val="2"/>
          <w:sz w:val="28"/>
          <w:szCs w:val="28"/>
          <w:rtl/>
          <w14:ligatures w14:val="standardContextual"/>
        </w:rPr>
        <w:t>" في 2023، أفاد حوالي 48% من الموظفين الحكوميين في دول الخليج بأن الأنظمة الرقمية في وزاراتهم لا تدعم عمليات اتخاذ القرار السريعة والدقيقة بشكل كافٍ</w:t>
      </w:r>
      <w:r w:rsidRPr="00074754">
        <w:rPr>
          <w:rFonts w:ascii="Times New Roman" w:eastAsia="Calibri" w:hAnsi="Times New Roman" w:cs="Traditional Arabic"/>
          <w:kern w:val="2"/>
          <w:sz w:val="28"/>
          <w:szCs w:val="28"/>
          <w14:ligatures w14:val="standardContextual"/>
        </w:rPr>
        <w:t xml:space="preserve"> (Deloitte, 2023) </w:t>
      </w:r>
      <w:r w:rsidR="00727E28" w:rsidRPr="00074754">
        <w:rPr>
          <w:rFonts w:ascii="Times New Roman" w:eastAsia="Calibri" w:hAnsi="Times New Roman" w:cs="Traditional Arabic" w:hint="cs"/>
          <w:kern w:val="2"/>
          <w:sz w:val="28"/>
          <w:szCs w:val="28"/>
          <w:rtl/>
          <w14:ligatures w14:val="standardContextual"/>
        </w:rPr>
        <w:t xml:space="preserve">، </w:t>
      </w:r>
      <w:r w:rsidRPr="00074754">
        <w:rPr>
          <w:rFonts w:ascii="Times New Roman" w:eastAsia="Calibri" w:hAnsi="Times New Roman" w:cs="Traditional Arabic"/>
          <w:kern w:val="2"/>
          <w:sz w:val="28"/>
          <w:szCs w:val="28"/>
          <w:rtl/>
          <w14:ligatures w14:val="standardContextual"/>
        </w:rPr>
        <w:t>وهذا يظهر ضعف التكامل بين البيانات المتقدمة مثل الذكاء الاصطناعي وتحليل البيانات الكبيرة في اتخاذ القرارات الاستراتيجية، مما يؤدي إلى تأخير التكيف مع البيئة المتغيرة</w:t>
      </w:r>
      <w:r w:rsidRPr="00074754">
        <w:rPr>
          <w:rFonts w:ascii="Times New Roman" w:eastAsia="Calibri" w:hAnsi="Times New Roman" w:cs="Traditional Arabic"/>
          <w:kern w:val="2"/>
          <w:sz w:val="28"/>
          <w:szCs w:val="28"/>
          <w14:ligatures w14:val="standardContextual"/>
        </w:rPr>
        <w:t>.</w:t>
      </w:r>
    </w:p>
    <w:p w14:paraId="583771E1" w14:textId="11E68F30" w:rsidR="00766939" w:rsidRPr="00074754" w:rsidRDefault="00727E28" w:rsidP="00766939">
      <w:pPr>
        <w:bidi/>
        <w:spacing w:before="100" w:beforeAutospacing="1" w:after="100" w:afterAutospacing="1" w:line="360" w:lineRule="auto"/>
        <w:ind w:firstLine="720"/>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hint="cs"/>
          <w:kern w:val="2"/>
          <w:sz w:val="28"/>
          <w:szCs w:val="28"/>
          <w:rtl/>
          <w14:ligatures w14:val="standardContextual"/>
        </w:rPr>
        <w:t>و</w:t>
      </w:r>
      <w:r w:rsidR="00766939" w:rsidRPr="00074754">
        <w:rPr>
          <w:rFonts w:ascii="Times New Roman" w:eastAsia="Calibri" w:hAnsi="Times New Roman" w:cs="Traditional Arabic"/>
          <w:kern w:val="2"/>
          <w:sz w:val="28"/>
          <w:szCs w:val="28"/>
          <w:rtl/>
          <w14:ligatures w14:val="standardContextual"/>
        </w:rPr>
        <w:t xml:space="preserve"> تلعب الشفافية المعلوماتية دورًا محوريًا في تعزيز فعالية اتخاذ القرارات الاستراتيجية</w:t>
      </w:r>
      <w:r w:rsidRPr="00074754">
        <w:rPr>
          <w:rFonts w:ascii="Times New Roman" w:eastAsia="Calibri" w:hAnsi="Times New Roman" w:cs="Traditional Arabic" w:hint="cs"/>
          <w:kern w:val="2"/>
          <w:sz w:val="28"/>
          <w:szCs w:val="28"/>
          <w:rtl/>
          <w14:ligatures w14:val="standardContextual"/>
        </w:rPr>
        <w:t>،</w:t>
      </w:r>
      <w:r w:rsidR="00766939" w:rsidRPr="00074754">
        <w:rPr>
          <w:rFonts w:ascii="Times New Roman" w:eastAsia="Calibri" w:hAnsi="Times New Roman" w:cs="Traditional Arabic"/>
          <w:kern w:val="2"/>
          <w:sz w:val="28"/>
          <w:szCs w:val="28"/>
          <w:rtl/>
          <w14:ligatures w14:val="standardContextual"/>
        </w:rPr>
        <w:t xml:space="preserve"> فقد أظهرت دراسة "منظمة الشفافية الدولية" في 2022 أن 60% من المواطنين في دول مجلس التعاون الخليجي يعانون من نقص الشفافية في المعلومات المتعلقة بالقرارات الحكومية، مما يخلق فجوة في الثقة بين المواطنين والحكومة ويؤثر سلباً على قدرتها على اتخاذ قرارات استراتيجية فعّالة</w:t>
      </w:r>
      <w:r w:rsidR="00766939" w:rsidRPr="00074754">
        <w:rPr>
          <w:rFonts w:ascii="Times New Roman" w:eastAsia="Calibri" w:hAnsi="Times New Roman" w:cs="Traditional Arabic"/>
          <w:kern w:val="2"/>
          <w:sz w:val="28"/>
          <w:szCs w:val="28"/>
          <w14:ligatures w14:val="standardContextual"/>
        </w:rPr>
        <w:t xml:space="preserve"> (Transparency International, 2022). </w:t>
      </w:r>
      <w:r w:rsidR="00766939" w:rsidRPr="00074754">
        <w:rPr>
          <w:rFonts w:ascii="Times New Roman" w:eastAsia="Calibri" w:hAnsi="Times New Roman" w:cs="Traditional Arabic"/>
          <w:kern w:val="2"/>
          <w:sz w:val="28"/>
          <w:szCs w:val="28"/>
          <w:rtl/>
          <w14:ligatures w14:val="standardContextual"/>
        </w:rPr>
        <w:t xml:space="preserve">، </w:t>
      </w:r>
      <w:r w:rsidRPr="00074754">
        <w:rPr>
          <w:rFonts w:ascii="Times New Roman" w:eastAsia="Calibri" w:hAnsi="Times New Roman" w:cs="Traditional Arabic" w:hint="cs"/>
          <w:kern w:val="2"/>
          <w:sz w:val="28"/>
          <w:szCs w:val="28"/>
          <w:rtl/>
          <w14:ligatures w14:val="standardContextual"/>
        </w:rPr>
        <w:t>و</w:t>
      </w:r>
      <w:r w:rsidR="00766939" w:rsidRPr="00074754">
        <w:rPr>
          <w:rFonts w:ascii="Times New Roman" w:eastAsia="Calibri" w:hAnsi="Times New Roman" w:cs="Traditional Arabic"/>
          <w:kern w:val="2"/>
          <w:sz w:val="28"/>
          <w:szCs w:val="28"/>
          <w:rtl/>
          <w14:ligatures w14:val="standardContextual"/>
        </w:rPr>
        <w:t>تشير الإحصائيات إلى أن 42% من قرارات الوزارات الحكومية لا تعتمد على معلومات محدثة وشفافة، مما يعوق القدرة على اتخاذ قرارات مبنية على أسس علمية دقيقة</w:t>
      </w:r>
      <w:r w:rsidR="00766939" w:rsidRPr="00074754">
        <w:rPr>
          <w:rFonts w:ascii="Times New Roman" w:eastAsia="Calibri" w:hAnsi="Times New Roman" w:cs="Traditional Arabic"/>
          <w:kern w:val="2"/>
          <w:sz w:val="28"/>
          <w:szCs w:val="28"/>
          <w14:ligatures w14:val="standardContextual"/>
        </w:rPr>
        <w:t>.</w:t>
      </w:r>
    </w:p>
    <w:p w14:paraId="6218A4F2" w14:textId="17103C8A" w:rsidR="00766939" w:rsidRPr="00074754" w:rsidRDefault="00A47D50" w:rsidP="00A47D50">
      <w:pPr>
        <w:bidi/>
        <w:spacing w:before="100" w:beforeAutospacing="1" w:after="100" w:afterAutospacing="1" w:line="360" w:lineRule="auto"/>
        <w:ind w:firstLine="720"/>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kern w:val="2"/>
          <w:sz w:val="28"/>
          <w:szCs w:val="28"/>
          <w:rtl/>
          <w14:ligatures w14:val="standardContextual"/>
        </w:rPr>
        <w:lastRenderedPageBreak/>
        <w:t>ورغم أهمية التحول الرقمي والشفافية المعلوماتية، إلا أن العلاقة بينهما وتأثيرها التفاعلي على فاعلية القرار الاستراتيجي لم تُدرس بعمق في الوزارات الحكومية الخليجية، وخاصة في قطاع الصناعة، مما يشكل فجوة بحثية تسعى هذه الدراسة إلى سدها</w:t>
      </w:r>
      <w:r w:rsidR="00727E28" w:rsidRPr="00074754">
        <w:rPr>
          <w:rFonts w:ascii="Times New Roman" w:eastAsia="Calibri" w:hAnsi="Times New Roman" w:cs="Traditional Arabic" w:hint="cs"/>
          <w:kern w:val="2"/>
          <w:sz w:val="28"/>
          <w:szCs w:val="28"/>
          <w:rtl/>
          <w14:ligatures w14:val="standardContextual"/>
        </w:rPr>
        <w:t>.</w:t>
      </w:r>
    </w:p>
    <w:p w14:paraId="2EB1A64C" w14:textId="54539E9B" w:rsidR="00766939" w:rsidRPr="00074754" w:rsidRDefault="00766939" w:rsidP="00727E28">
      <w:pPr>
        <w:bidi/>
        <w:spacing w:before="100" w:beforeAutospacing="1" w:after="100" w:afterAutospacing="1" w:line="360" w:lineRule="auto"/>
        <w:ind w:firstLine="720"/>
        <w:jc w:val="both"/>
        <w:rPr>
          <w:rFonts w:ascii="Times New Roman" w:eastAsia="Calibri" w:hAnsi="Times New Roman" w:cs="Traditional Arabic"/>
          <w:kern w:val="2"/>
          <w:sz w:val="28"/>
          <w:szCs w:val="28"/>
          <w:rtl/>
          <w14:ligatures w14:val="standardContextual"/>
        </w:rPr>
      </w:pPr>
      <w:r w:rsidRPr="00074754">
        <w:rPr>
          <w:rFonts w:ascii="Times New Roman" w:eastAsia="Calibri" w:hAnsi="Times New Roman" w:cs="Traditional Arabic"/>
          <w:kern w:val="2"/>
          <w:sz w:val="28"/>
          <w:szCs w:val="28"/>
          <w:rtl/>
          <w14:ligatures w14:val="standardContextual"/>
        </w:rPr>
        <w:t xml:space="preserve">من هنا، تتمثل مشكلة الدراسة في أن الوزارات الحكومية بدول مجلس التعاون الخليجي، رغم التحولات الرقمية الكبيرة التي تشهدها المنطقة، </w:t>
      </w:r>
      <w:r w:rsidR="00727E28" w:rsidRPr="00074754">
        <w:rPr>
          <w:rFonts w:ascii="Times New Roman" w:eastAsia="Calibri" w:hAnsi="Times New Roman" w:cs="Traditional Arabic" w:hint="cs"/>
          <w:kern w:val="2"/>
          <w:sz w:val="28"/>
          <w:szCs w:val="28"/>
          <w:rtl/>
          <w14:ligatures w14:val="standardContextual"/>
        </w:rPr>
        <w:t>و</w:t>
      </w:r>
      <w:r w:rsidRPr="00074754">
        <w:rPr>
          <w:rFonts w:ascii="Times New Roman" w:eastAsia="Calibri" w:hAnsi="Times New Roman" w:cs="Traditional Arabic"/>
          <w:kern w:val="2"/>
          <w:sz w:val="28"/>
          <w:szCs w:val="28"/>
          <w:rtl/>
          <w14:ligatures w14:val="standardContextual"/>
        </w:rPr>
        <w:t xml:space="preserve">لا تزال تواجه صعوبة في تكامل الأنظمة الرقمية الحديثة والذكاء الاصطناعي في عمليات اتخاذ القرار الاستراتيجي، ما يؤثر سلبًا على الكفاءة التنظيمية والقدرة على التكيف مع التحديات المتسارعة. </w:t>
      </w:r>
    </w:p>
    <w:p w14:paraId="7A27FFB2" w14:textId="263B6D7D" w:rsidR="00A47D50" w:rsidRPr="00074754" w:rsidRDefault="00B702FA" w:rsidP="00140115">
      <w:pPr>
        <w:bidi/>
        <w:spacing w:before="100" w:beforeAutospacing="1" w:after="100" w:afterAutospacing="1" w:line="360" w:lineRule="auto"/>
        <w:ind w:firstLine="720"/>
        <w:jc w:val="both"/>
        <w:rPr>
          <w:rFonts w:ascii="Times New Roman" w:eastAsia="Calibri" w:hAnsi="Times New Roman" w:cs="Traditional Arabic"/>
          <w:sz w:val="28"/>
          <w:szCs w:val="28"/>
          <w:rtl/>
        </w:rPr>
      </w:pPr>
      <w:r w:rsidRPr="00074754">
        <w:rPr>
          <w:rFonts w:ascii="Times New Roman" w:eastAsia="Calibri" w:hAnsi="Times New Roman" w:cs="Traditional Arabic" w:hint="cs"/>
          <w:kern w:val="2"/>
          <w:sz w:val="28"/>
          <w:szCs w:val="28"/>
          <w:rtl/>
          <w14:ligatures w14:val="standardContextual"/>
        </w:rPr>
        <w:t>و</w:t>
      </w:r>
      <w:r w:rsidR="00735F0D" w:rsidRPr="00074754">
        <w:rPr>
          <w:rFonts w:ascii="Times New Roman" w:eastAsia="Calibri" w:hAnsi="Times New Roman" w:cs="Traditional Arabic" w:hint="cs"/>
          <w:kern w:val="2"/>
          <w:sz w:val="28"/>
          <w:szCs w:val="28"/>
          <w:rtl/>
          <w14:ligatures w14:val="standardContextual"/>
        </w:rPr>
        <w:t xml:space="preserve">مما سبق يمكن صياغة مشكلة الدراسة في التساؤل </w:t>
      </w:r>
      <w:r w:rsidR="0015003F" w:rsidRPr="00074754">
        <w:rPr>
          <w:rFonts w:ascii="Times New Roman" w:eastAsia="Calibri" w:hAnsi="Times New Roman" w:cs="Traditional Arabic" w:hint="cs"/>
          <w:kern w:val="2"/>
          <w:sz w:val="28"/>
          <w:szCs w:val="28"/>
          <w:rtl/>
          <w14:ligatures w14:val="standardContextual"/>
        </w:rPr>
        <w:t>التالي</w:t>
      </w:r>
      <w:r w:rsidR="00735F0D" w:rsidRPr="00074754">
        <w:rPr>
          <w:rFonts w:ascii="Times New Roman" w:eastAsia="Calibri" w:hAnsi="Times New Roman" w:cs="Traditional Arabic" w:hint="cs"/>
          <w:kern w:val="2"/>
          <w:sz w:val="28"/>
          <w:szCs w:val="28"/>
          <w:rtl/>
          <w14:ligatures w14:val="standardContextual"/>
        </w:rPr>
        <w:t>:</w:t>
      </w:r>
      <w:r w:rsidR="00082B2B" w:rsidRPr="00074754">
        <w:rPr>
          <w:rtl/>
        </w:rPr>
        <w:t xml:space="preserve"> </w:t>
      </w:r>
      <w:r w:rsidR="00A47D50" w:rsidRPr="00074754">
        <w:rPr>
          <w:rFonts w:ascii="Times New Roman" w:eastAsia="Calibri" w:hAnsi="Times New Roman" w:cs="Traditional Arabic"/>
          <w:sz w:val="28"/>
          <w:szCs w:val="28"/>
          <w:rtl/>
        </w:rPr>
        <w:t>ما مدى تأثير التحول الرقمي بأبعاده المختلفة على فاعلية اتخاذ القرار الاستراتيجي، عند توسيط دور الشفافية المعلوماتية، في وزارات الصناعة بدول مجلس التعاون الخليجي؟</w:t>
      </w:r>
    </w:p>
    <w:p w14:paraId="6B06F842" w14:textId="77777777" w:rsidR="00CD24E9" w:rsidRPr="00074754" w:rsidRDefault="00CD24E9" w:rsidP="00CD24E9">
      <w:pPr>
        <w:pStyle w:val="ListParagraph"/>
        <w:numPr>
          <w:ilvl w:val="0"/>
          <w:numId w:val="6"/>
        </w:numPr>
        <w:bidi/>
        <w:spacing w:before="100" w:beforeAutospacing="1" w:after="100" w:afterAutospacing="1" w:line="360" w:lineRule="auto"/>
        <w:jc w:val="both"/>
        <w:rPr>
          <w:rFonts w:ascii="Times New Roman" w:hAnsi="Times New Roman" w:cs="Traditional Arabic"/>
          <w:sz w:val="28"/>
          <w:szCs w:val="28"/>
        </w:rPr>
      </w:pPr>
      <w:r w:rsidRPr="00074754">
        <w:rPr>
          <w:rFonts w:ascii="Times New Roman" w:hAnsi="Times New Roman" w:cs="Traditional Arabic"/>
          <w:sz w:val="28"/>
          <w:szCs w:val="28"/>
          <w:rtl/>
        </w:rPr>
        <w:t>هل يؤثر التحول الرقمي بأبعاده (التحول الاستراتيجي، التحول الإداري، تحول العمليات، مركزية العملاء) على فاعلية اتخاذ القرار الاستراتيجي في وزارات الصناعة بدول مجلس التعاون الخليجي؟</w:t>
      </w:r>
    </w:p>
    <w:p w14:paraId="0C1ECDE2" w14:textId="77777777" w:rsidR="00CD24E9" w:rsidRPr="00074754" w:rsidRDefault="00CD24E9" w:rsidP="00CD24E9">
      <w:pPr>
        <w:pStyle w:val="ListParagraph"/>
        <w:numPr>
          <w:ilvl w:val="0"/>
          <w:numId w:val="6"/>
        </w:numPr>
        <w:bidi/>
        <w:spacing w:before="100" w:beforeAutospacing="1" w:after="100" w:afterAutospacing="1" w:line="360" w:lineRule="auto"/>
        <w:jc w:val="both"/>
        <w:rPr>
          <w:rFonts w:ascii="Times New Roman" w:hAnsi="Times New Roman" w:cs="Traditional Arabic"/>
          <w:sz w:val="28"/>
          <w:szCs w:val="28"/>
        </w:rPr>
      </w:pPr>
      <w:r w:rsidRPr="00074754">
        <w:rPr>
          <w:rFonts w:ascii="Times New Roman" w:hAnsi="Times New Roman" w:cs="Traditional Arabic"/>
          <w:sz w:val="28"/>
          <w:szCs w:val="28"/>
          <w:rtl/>
        </w:rPr>
        <w:t>هل يؤثر التحول الرقمي بأبعاده على الشفافية المعلوماتية في وزارات الصناعة بدول مجلس التعاون الخليجي؟</w:t>
      </w:r>
    </w:p>
    <w:p w14:paraId="1B5D6772" w14:textId="77777777" w:rsidR="00CD24E9" w:rsidRPr="00074754" w:rsidRDefault="00CD24E9" w:rsidP="00CD24E9">
      <w:pPr>
        <w:pStyle w:val="ListParagraph"/>
        <w:numPr>
          <w:ilvl w:val="0"/>
          <w:numId w:val="6"/>
        </w:numPr>
        <w:bidi/>
        <w:spacing w:before="100" w:beforeAutospacing="1" w:after="100" w:afterAutospacing="1" w:line="360" w:lineRule="auto"/>
        <w:jc w:val="both"/>
        <w:rPr>
          <w:rFonts w:ascii="Times New Roman" w:hAnsi="Times New Roman" w:cs="Traditional Arabic"/>
          <w:sz w:val="28"/>
          <w:szCs w:val="28"/>
        </w:rPr>
      </w:pPr>
      <w:r w:rsidRPr="00074754">
        <w:rPr>
          <w:rFonts w:ascii="Times New Roman" w:hAnsi="Times New Roman" w:cs="Traditional Arabic"/>
          <w:sz w:val="28"/>
          <w:szCs w:val="28"/>
          <w:rtl/>
        </w:rPr>
        <w:t>هل تؤثر الشفافية المعلوماتية بأبعادها (شفافية الأنظمة واللوائح، شفافية الإجراءات، شفافية الاتصال والمعلومات) على فاعلية اتخاذ القرار الاستراتيجي في وزارات الصناعة بدول مجلس التعاون الخليجي؟</w:t>
      </w:r>
    </w:p>
    <w:p w14:paraId="0B0F0282" w14:textId="5087FF96" w:rsidR="00735F0D" w:rsidRPr="00074754" w:rsidRDefault="003B142F" w:rsidP="003B142F">
      <w:pPr>
        <w:pStyle w:val="ListParagraph"/>
        <w:numPr>
          <w:ilvl w:val="0"/>
          <w:numId w:val="6"/>
        </w:numPr>
        <w:bidi/>
        <w:spacing w:before="100" w:beforeAutospacing="1" w:after="100" w:afterAutospacing="1" w:line="360" w:lineRule="auto"/>
        <w:contextualSpacing w:val="0"/>
        <w:jc w:val="both"/>
        <w:rPr>
          <w:rFonts w:ascii="Times New Roman" w:hAnsi="Times New Roman" w:cs="Traditional Arabic"/>
          <w:b/>
          <w:bCs/>
          <w:sz w:val="28"/>
          <w:szCs w:val="28"/>
        </w:rPr>
      </w:pPr>
      <w:r w:rsidRPr="00074754">
        <w:rPr>
          <w:rFonts w:ascii="Times New Roman" w:hAnsi="Times New Roman" w:cs="Traditional Arabic"/>
          <w:sz w:val="28"/>
          <w:szCs w:val="28"/>
          <w:rtl/>
        </w:rPr>
        <w:t>هل يوجد تأثير</w:t>
      </w:r>
      <w:r w:rsidRPr="00074754">
        <w:rPr>
          <w:rFonts w:ascii="Times New Roman" w:hAnsi="Times New Roman" w:cs="Traditional Arabic" w:hint="cs"/>
          <w:sz w:val="28"/>
          <w:szCs w:val="28"/>
          <w:rtl/>
        </w:rPr>
        <w:t xml:space="preserve"> غير </w:t>
      </w:r>
      <w:r w:rsidR="0015003F" w:rsidRPr="00074754">
        <w:rPr>
          <w:rFonts w:ascii="Times New Roman" w:hAnsi="Times New Roman" w:cs="Traditional Arabic" w:hint="cs"/>
          <w:sz w:val="28"/>
          <w:szCs w:val="28"/>
          <w:rtl/>
        </w:rPr>
        <w:t>مباشر للتحول</w:t>
      </w:r>
      <w:r w:rsidR="00CD24E9" w:rsidRPr="00074754">
        <w:rPr>
          <w:rFonts w:ascii="Times New Roman" w:hAnsi="Times New Roman" w:cs="Traditional Arabic"/>
          <w:sz w:val="28"/>
          <w:szCs w:val="28"/>
          <w:rtl/>
        </w:rPr>
        <w:t xml:space="preserve"> الرقمي </w:t>
      </w:r>
      <w:r w:rsidRPr="00074754">
        <w:rPr>
          <w:rFonts w:ascii="Times New Roman" w:hAnsi="Times New Roman" w:cs="Traditional Arabic" w:hint="cs"/>
          <w:sz w:val="28"/>
          <w:szCs w:val="28"/>
          <w:rtl/>
        </w:rPr>
        <w:t xml:space="preserve">على </w:t>
      </w:r>
      <w:r w:rsidR="00CD24E9" w:rsidRPr="00074754">
        <w:rPr>
          <w:rFonts w:ascii="Times New Roman" w:hAnsi="Times New Roman" w:cs="Traditional Arabic"/>
          <w:sz w:val="28"/>
          <w:szCs w:val="28"/>
          <w:rtl/>
        </w:rPr>
        <w:t xml:space="preserve">فاعلية اتخاذ القرار الاستراتيجي </w:t>
      </w:r>
      <w:r w:rsidRPr="00074754">
        <w:rPr>
          <w:rFonts w:ascii="Times New Roman" w:hAnsi="Times New Roman" w:cs="Traditional Arabic" w:hint="cs"/>
          <w:sz w:val="28"/>
          <w:szCs w:val="28"/>
          <w:rtl/>
        </w:rPr>
        <w:t xml:space="preserve">عند توسيط </w:t>
      </w:r>
      <w:r w:rsidRPr="00074754">
        <w:rPr>
          <w:rFonts w:ascii="Times New Roman" w:hAnsi="Times New Roman" w:cs="Traditional Arabic"/>
          <w:sz w:val="28"/>
          <w:szCs w:val="28"/>
          <w:rtl/>
        </w:rPr>
        <w:t xml:space="preserve">الشفافية المعلوماتية </w:t>
      </w:r>
      <w:r w:rsidR="00CD24E9" w:rsidRPr="00074754">
        <w:rPr>
          <w:rFonts w:ascii="Times New Roman" w:hAnsi="Times New Roman" w:cs="Traditional Arabic"/>
          <w:sz w:val="28"/>
          <w:szCs w:val="28"/>
          <w:rtl/>
        </w:rPr>
        <w:t xml:space="preserve">في وزارات الصناعة بدول مجلس التعاون الخليجي؟ </w:t>
      </w:r>
    </w:p>
    <w:p w14:paraId="59DFF909" w14:textId="51E68EC2" w:rsidR="00735F0D" w:rsidRPr="00074754" w:rsidRDefault="0077566C" w:rsidP="006373C8">
      <w:pPr>
        <w:bidi/>
        <w:spacing w:before="100" w:beforeAutospacing="1" w:after="100" w:afterAutospacing="1" w:line="360" w:lineRule="auto"/>
        <w:outlineLvl w:val="1"/>
        <w:rPr>
          <w:rFonts w:ascii="Times New Roman" w:hAnsi="Times New Roman" w:cs="Traditional Arabic"/>
          <w:b/>
          <w:bCs/>
          <w:sz w:val="32"/>
          <w:szCs w:val="32"/>
          <w:rtl/>
        </w:rPr>
      </w:pPr>
      <w:bookmarkStart w:id="4" w:name="_Hlk167305073"/>
      <w:bookmarkStart w:id="5" w:name="_Hlk167305567"/>
      <w:bookmarkStart w:id="6" w:name="_Toc202226002"/>
      <w:r w:rsidRPr="00074754">
        <w:rPr>
          <w:rFonts w:ascii="Times New Roman" w:hAnsi="Times New Roman" w:cs="Traditional Arabic" w:hint="cs"/>
          <w:b/>
          <w:bCs/>
          <w:sz w:val="32"/>
          <w:szCs w:val="32"/>
          <w:rtl/>
        </w:rPr>
        <w:t xml:space="preserve">3.1 </w:t>
      </w:r>
      <w:r w:rsidR="00735F0D" w:rsidRPr="00074754">
        <w:rPr>
          <w:rFonts w:ascii="Times New Roman" w:hAnsi="Times New Roman" w:cs="Traditional Arabic" w:hint="cs"/>
          <w:b/>
          <w:bCs/>
          <w:sz w:val="32"/>
          <w:szCs w:val="32"/>
          <w:rtl/>
        </w:rPr>
        <w:t xml:space="preserve">أهمية الدراسة (النظرية </w:t>
      </w:r>
      <w:bookmarkEnd w:id="4"/>
      <w:r w:rsidR="00735F0D" w:rsidRPr="00074754">
        <w:rPr>
          <w:rFonts w:ascii="Times New Roman" w:hAnsi="Times New Roman" w:cs="Traditional Arabic" w:hint="cs"/>
          <w:b/>
          <w:bCs/>
          <w:sz w:val="32"/>
          <w:szCs w:val="32"/>
          <w:rtl/>
        </w:rPr>
        <w:t>والتطبيقية)</w:t>
      </w:r>
      <w:r w:rsidR="00735F0D" w:rsidRPr="00074754">
        <w:rPr>
          <w:rFonts w:ascii="Times New Roman" w:hAnsi="Times New Roman" w:cs="Traditional Arabic"/>
          <w:b/>
          <w:bCs/>
          <w:sz w:val="32"/>
          <w:szCs w:val="32"/>
          <w:rtl/>
        </w:rPr>
        <w:t>:</w:t>
      </w:r>
      <w:bookmarkEnd w:id="5"/>
      <w:bookmarkEnd w:id="6"/>
    </w:p>
    <w:p w14:paraId="134453AD" w14:textId="77777777" w:rsidR="00CD24E9" w:rsidRPr="00074754" w:rsidRDefault="00CD24E9" w:rsidP="00CD24E9">
      <w:pPr>
        <w:bidi/>
        <w:spacing w:before="100" w:beforeAutospacing="1" w:after="100" w:afterAutospacing="1" w:line="360" w:lineRule="auto"/>
        <w:ind w:firstLine="720"/>
        <w:jc w:val="both"/>
        <w:rPr>
          <w:rFonts w:ascii="Times New Roman" w:hAnsi="Times New Roman" w:cs="Traditional Arabic"/>
          <w:sz w:val="28"/>
          <w:szCs w:val="28"/>
        </w:rPr>
      </w:pPr>
      <w:r w:rsidRPr="00074754">
        <w:rPr>
          <w:rFonts w:ascii="Times New Roman" w:hAnsi="Times New Roman" w:cs="Traditional Arabic"/>
          <w:sz w:val="28"/>
          <w:szCs w:val="28"/>
          <w:rtl/>
        </w:rPr>
        <w:t>تُعد هذه الدراسة ذات أهمية علمية وعملية بالغة، حيث تسهم في تطوير الفهم الأكاديمي للعلاقة بين التحول الرقمي وفاعلية اتخاذ القرار الاستراتيجي، وتوضح الدور المهم للشفافية المعلوماتية في تحسين ممارسات الحوكمة الإلكترونية. من خلال نتائجها، يمكن تطوير استراتيجيات عمل حكومية أكثر فاعلية، مما يؤدي إلى تحسين الأداء التنظيمي والقدرة على اتخاذ قرارات أكثر استنارة وشفافية</w:t>
      </w:r>
      <w:r w:rsidRPr="00074754">
        <w:rPr>
          <w:rFonts w:ascii="Times New Roman" w:hAnsi="Times New Roman" w:cs="Traditional Arabic"/>
          <w:sz w:val="28"/>
          <w:szCs w:val="28"/>
        </w:rPr>
        <w:t>.</w:t>
      </w:r>
    </w:p>
    <w:p w14:paraId="3FB1525E" w14:textId="7D1234B6" w:rsidR="00735F0D" w:rsidRPr="00074754" w:rsidRDefault="0077566C" w:rsidP="0077566C">
      <w:pPr>
        <w:bidi/>
        <w:spacing w:before="100" w:beforeAutospacing="1" w:after="100" w:afterAutospacing="1" w:line="360" w:lineRule="auto"/>
        <w:outlineLvl w:val="2"/>
        <w:rPr>
          <w:rFonts w:ascii="Times New Roman" w:hAnsi="Times New Roman" w:cs="Traditional Arabic"/>
          <w:b/>
          <w:bCs/>
          <w:sz w:val="28"/>
          <w:szCs w:val="28"/>
          <w:rtl/>
        </w:rPr>
      </w:pPr>
      <w:bookmarkStart w:id="7" w:name="_Toc202226003"/>
      <w:r w:rsidRPr="00074754">
        <w:rPr>
          <w:rFonts w:ascii="Times New Roman" w:hAnsi="Times New Roman" w:cs="Traditional Arabic" w:hint="cs"/>
          <w:b/>
          <w:bCs/>
          <w:sz w:val="28"/>
          <w:szCs w:val="28"/>
          <w:rtl/>
        </w:rPr>
        <w:lastRenderedPageBreak/>
        <w:t xml:space="preserve">1.3.1 </w:t>
      </w:r>
      <w:r w:rsidR="00735F0D" w:rsidRPr="00074754">
        <w:rPr>
          <w:rFonts w:ascii="Times New Roman" w:hAnsi="Times New Roman" w:cs="Traditional Arabic" w:hint="cs"/>
          <w:b/>
          <w:bCs/>
          <w:sz w:val="28"/>
          <w:szCs w:val="28"/>
          <w:rtl/>
        </w:rPr>
        <w:t>أهمية الدراسة النظرية</w:t>
      </w:r>
      <w:bookmarkEnd w:id="7"/>
    </w:p>
    <w:p w14:paraId="34066EC9" w14:textId="77777777" w:rsidR="003B142F" w:rsidRPr="00074754" w:rsidRDefault="003B142F" w:rsidP="003B142F">
      <w:pPr>
        <w:pStyle w:val="ListParagraph"/>
        <w:numPr>
          <w:ilvl w:val="0"/>
          <w:numId w:val="3"/>
        </w:numPr>
        <w:bidi/>
        <w:spacing w:before="100" w:beforeAutospacing="1" w:after="100" w:afterAutospacing="1" w:line="360" w:lineRule="auto"/>
        <w:jc w:val="both"/>
        <w:rPr>
          <w:rFonts w:ascii="Times New Roman" w:hAnsi="Times New Roman" w:cs="Traditional Arabic"/>
          <w:sz w:val="28"/>
          <w:szCs w:val="28"/>
        </w:rPr>
      </w:pPr>
      <w:r w:rsidRPr="00074754">
        <w:rPr>
          <w:rFonts w:ascii="Times New Roman" w:hAnsi="Times New Roman" w:cs="Traditional Arabic"/>
          <w:sz w:val="28"/>
          <w:szCs w:val="28"/>
          <w:rtl/>
        </w:rPr>
        <w:t>تُعد هذه الدراسة إسهامًا علميًا معاصرًا في مجال الإدارة العامة والحوكمة، إذ تتقاطع مع مفاهيم حديثة مثل الحوكمة الذكية (</w:t>
      </w:r>
      <w:r w:rsidRPr="00074754">
        <w:rPr>
          <w:rFonts w:ascii="Times New Roman" w:hAnsi="Times New Roman" w:cs="Traditional Arabic"/>
          <w:sz w:val="28"/>
          <w:szCs w:val="28"/>
        </w:rPr>
        <w:t>Smart Governance</w:t>
      </w:r>
      <w:r w:rsidRPr="00074754">
        <w:rPr>
          <w:rFonts w:ascii="Times New Roman" w:hAnsi="Times New Roman" w:cs="Traditional Arabic"/>
          <w:sz w:val="28"/>
          <w:szCs w:val="28"/>
          <w:rtl/>
        </w:rPr>
        <w:t>)، التي تستند إلى توظيف التكنولوجيا لتعزيز الشفافية والكفاءة، وصنع القرار المعزز بالبيانات (</w:t>
      </w:r>
      <w:r w:rsidRPr="00074754">
        <w:rPr>
          <w:rFonts w:ascii="Times New Roman" w:hAnsi="Times New Roman" w:cs="Traditional Arabic"/>
          <w:sz w:val="28"/>
          <w:szCs w:val="28"/>
        </w:rPr>
        <w:t>Data-Driven Decision-Making</w:t>
      </w:r>
      <w:r w:rsidRPr="00074754">
        <w:rPr>
          <w:rFonts w:ascii="Times New Roman" w:hAnsi="Times New Roman" w:cs="Traditional Arabic"/>
          <w:sz w:val="28"/>
          <w:szCs w:val="28"/>
          <w:rtl/>
        </w:rPr>
        <w:t>)، الذي يركز على توظيف البيانات الرقمية الدقيقة في توجيه القرارات الاستراتيجية.</w:t>
      </w:r>
    </w:p>
    <w:p w14:paraId="0169C74D" w14:textId="38C47785" w:rsidR="003B142F" w:rsidRPr="00074754" w:rsidRDefault="003B142F" w:rsidP="003B142F">
      <w:pPr>
        <w:pStyle w:val="ListParagraph"/>
        <w:numPr>
          <w:ilvl w:val="0"/>
          <w:numId w:val="3"/>
        </w:numPr>
        <w:bidi/>
        <w:spacing w:before="100" w:beforeAutospacing="1" w:after="100" w:afterAutospacing="1" w:line="360" w:lineRule="auto"/>
        <w:jc w:val="both"/>
        <w:rPr>
          <w:rFonts w:ascii="Times New Roman" w:hAnsi="Times New Roman" w:cs="Traditional Arabic"/>
          <w:sz w:val="28"/>
          <w:szCs w:val="28"/>
        </w:rPr>
      </w:pPr>
      <w:r w:rsidRPr="00074754">
        <w:rPr>
          <w:rFonts w:ascii="Times New Roman" w:hAnsi="Times New Roman" w:cs="Traditional Arabic"/>
          <w:sz w:val="28"/>
          <w:szCs w:val="28"/>
          <w:rtl/>
        </w:rPr>
        <w:t>تسهم الدراسة في بناء نموذج تفسيري متكامل يوضح العلاقة بين التحول الرقمي وفاعلية اتخاذ القرار الاستراتيجي، عبر الدور الوسيط الذي تلعبه الشفافية المعلوماتية</w:t>
      </w:r>
      <w:r w:rsidRPr="00074754">
        <w:rPr>
          <w:rFonts w:ascii="Times New Roman" w:hAnsi="Times New Roman" w:cs="Traditional Arabic" w:hint="cs"/>
          <w:sz w:val="28"/>
          <w:szCs w:val="28"/>
          <w:rtl/>
        </w:rPr>
        <w:t>،</w:t>
      </w:r>
      <w:r w:rsidRPr="00074754">
        <w:rPr>
          <w:rFonts w:ascii="Times New Roman" w:hAnsi="Times New Roman" w:cs="Traditional Arabic"/>
          <w:sz w:val="28"/>
          <w:szCs w:val="28"/>
          <w:rtl/>
        </w:rPr>
        <w:t xml:space="preserve"> ويُعد هذا النموذج من الإضافات المهمة التي توسّع نطاق الفهم النظري للعوامل المؤثرة في قرارات المؤسسات الحكومية في ظل التحول الرقمي.</w:t>
      </w:r>
    </w:p>
    <w:p w14:paraId="1A64BCEB" w14:textId="77777777" w:rsidR="00CD24E9" w:rsidRPr="00074754" w:rsidRDefault="00CD24E9" w:rsidP="00CD24E9">
      <w:pPr>
        <w:pStyle w:val="ListParagraph"/>
        <w:numPr>
          <w:ilvl w:val="0"/>
          <w:numId w:val="3"/>
        </w:numPr>
        <w:bidi/>
        <w:spacing w:before="100" w:beforeAutospacing="1" w:after="100" w:afterAutospacing="1" w:line="360" w:lineRule="auto"/>
        <w:jc w:val="both"/>
        <w:rPr>
          <w:rFonts w:ascii="Times New Roman" w:hAnsi="Times New Roman" w:cs="Traditional Arabic"/>
          <w:sz w:val="28"/>
          <w:szCs w:val="28"/>
        </w:rPr>
      </w:pPr>
      <w:r w:rsidRPr="00074754">
        <w:rPr>
          <w:rFonts w:ascii="Times New Roman" w:hAnsi="Times New Roman" w:cs="Traditional Arabic"/>
          <w:sz w:val="28"/>
          <w:szCs w:val="28"/>
          <w:rtl/>
        </w:rPr>
        <w:t>كما تساهم الدراسة في سد الفجوة بين تطبيقات التحول الرقمي في الحكومات والقطاع الخاص في المنطقة العربية، وهو موضوع لم يُدرَس بشكل كافٍ في السياق الخليجي.</w:t>
      </w:r>
    </w:p>
    <w:p w14:paraId="3DEF3C9B" w14:textId="77777777" w:rsidR="003B142F" w:rsidRPr="00074754" w:rsidRDefault="003B142F" w:rsidP="003B142F">
      <w:pPr>
        <w:pStyle w:val="ListParagraph"/>
        <w:numPr>
          <w:ilvl w:val="0"/>
          <w:numId w:val="3"/>
        </w:numPr>
        <w:bidi/>
        <w:spacing w:before="100" w:beforeAutospacing="1" w:after="100" w:afterAutospacing="1" w:line="360" w:lineRule="auto"/>
        <w:jc w:val="both"/>
        <w:rPr>
          <w:rFonts w:ascii="Times New Roman" w:hAnsi="Times New Roman" w:cs="Traditional Arabic"/>
          <w:sz w:val="28"/>
          <w:szCs w:val="28"/>
        </w:rPr>
      </w:pPr>
      <w:bookmarkStart w:id="8" w:name="_Toc202226004"/>
      <w:r w:rsidRPr="00074754">
        <w:rPr>
          <w:rFonts w:ascii="Times New Roman" w:hAnsi="Times New Roman" w:cs="Traditional Arabic"/>
          <w:sz w:val="28"/>
          <w:szCs w:val="28"/>
          <w:rtl/>
        </w:rPr>
        <w:t>تقدم الدراسة تحليلًا متعدد الأبعاد لمفهوم التحول الرقمي، من خلال تفصيله إلى أربعة أبعاد أساسية (استراتيجي، إداري، عملياتي، مركزية العملاء)، مما يُثري فهم الباحثين لكيفية تفاعل هذه الأبعاد مع البيئة التنظيمية، لا سيما في القطاع الحكومي الخليجي الذي يمر بمراحل متقدمة من التحول المؤسسي الرقمي.</w:t>
      </w:r>
    </w:p>
    <w:p w14:paraId="5439F225" w14:textId="77777777" w:rsidR="003B142F" w:rsidRPr="00074754" w:rsidRDefault="003B142F" w:rsidP="003B142F">
      <w:pPr>
        <w:pStyle w:val="ListParagraph"/>
        <w:numPr>
          <w:ilvl w:val="0"/>
          <w:numId w:val="3"/>
        </w:numPr>
        <w:bidi/>
        <w:spacing w:before="100" w:beforeAutospacing="1" w:after="100" w:afterAutospacing="1" w:line="360" w:lineRule="auto"/>
        <w:jc w:val="both"/>
        <w:rPr>
          <w:rFonts w:ascii="Times New Roman" w:hAnsi="Times New Roman" w:cs="Traditional Arabic"/>
          <w:sz w:val="28"/>
          <w:szCs w:val="28"/>
        </w:rPr>
      </w:pPr>
      <w:r w:rsidRPr="00074754">
        <w:rPr>
          <w:rFonts w:ascii="Times New Roman" w:hAnsi="Times New Roman" w:cs="Traditional Arabic"/>
          <w:sz w:val="28"/>
          <w:szCs w:val="28"/>
          <w:rtl/>
        </w:rPr>
        <w:t>تفتح الدراسة أفقًا جديدًا للبحث العلمي في المنطقة العربية، من خلال دمج مفاهيم الحوكمة الرقمية والشفافية المعلوماتية في بيئة عمل حكومية، وهي بيئة لا تزال الدراسات النظرية فيها محدودة مقارنة بالسياقات الغربية.</w:t>
      </w:r>
    </w:p>
    <w:p w14:paraId="66710680" w14:textId="77777777" w:rsidR="003B142F" w:rsidRPr="00074754" w:rsidRDefault="003B142F" w:rsidP="003B142F">
      <w:pPr>
        <w:pStyle w:val="ListParagraph"/>
        <w:numPr>
          <w:ilvl w:val="0"/>
          <w:numId w:val="3"/>
        </w:numPr>
        <w:bidi/>
        <w:spacing w:before="100" w:beforeAutospacing="1" w:after="100" w:afterAutospacing="1" w:line="360" w:lineRule="auto"/>
        <w:jc w:val="both"/>
        <w:rPr>
          <w:rFonts w:ascii="Times New Roman" w:hAnsi="Times New Roman" w:cs="Traditional Arabic"/>
          <w:b/>
          <w:bCs/>
          <w:sz w:val="28"/>
          <w:szCs w:val="28"/>
        </w:rPr>
      </w:pPr>
      <w:r w:rsidRPr="00074754">
        <w:rPr>
          <w:rFonts w:ascii="Times New Roman" w:hAnsi="Times New Roman" w:cs="Traditional Arabic"/>
          <w:sz w:val="28"/>
          <w:szCs w:val="28"/>
          <w:rtl/>
        </w:rPr>
        <w:t>تُعد من الدراسات الرائدة – بحسب علم الباحث – في تناول العلاقة الثلاثية بين التحول الرقمي والشفافية المعلوماتية وفاعلية اتخاذ القرار الاستراتيجي في سياق وزاري خليجي، ما يجعلها مرجعًا مهمًا للباحثين والمهتمين في مجال السياسات العامة الرقمية.</w:t>
      </w:r>
    </w:p>
    <w:p w14:paraId="64B33856" w14:textId="3261A12D" w:rsidR="00735F0D" w:rsidRPr="00074754" w:rsidRDefault="0077566C" w:rsidP="003B142F">
      <w:pPr>
        <w:bidi/>
        <w:spacing w:before="100" w:beforeAutospacing="1" w:after="100" w:afterAutospacing="1" w:line="360" w:lineRule="auto"/>
        <w:ind w:left="360"/>
        <w:jc w:val="both"/>
        <w:rPr>
          <w:rFonts w:ascii="Times New Roman" w:hAnsi="Times New Roman" w:cs="Traditional Arabic"/>
          <w:b/>
          <w:bCs/>
          <w:sz w:val="28"/>
          <w:szCs w:val="28"/>
          <w:rtl/>
        </w:rPr>
      </w:pPr>
      <w:r w:rsidRPr="00074754">
        <w:rPr>
          <w:rFonts w:ascii="Times New Roman" w:hAnsi="Times New Roman" w:cs="Traditional Arabic" w:hint="cs"/>
          <w:b/>
          <w:bCs/>
          <w:sz w:val="28"/>
          <w:szCs w:val="28"/>
          <w:rtl/>
        </w:rPr>
        <w:t xml:space="preserve">2.3.1 </w:t>
      </w:r>
      <w:r w:rsidR="00735F0D" w:rsidRPr="00074754">
        <w:rPr>
          <w:rFonts w:ascii="Times New Roman" w:hAnsi="Times New Roman" w:cs="Traditional Arabic" w:hint="cs"/>
          <w:b/>
          <w:bCs/>
          <w:sz w:val="28"/>
          <w:szCs w:val="28"/>
          <w:rtl/>
        </w:rPr>
        <w:t>أهمية الدراسة التطبيقية</w:t>
      </w:r>
      <w:r w:rsidR="00735F0D" w:rsidRPr="00074754">
        <w:rPr>
          <w:rFonts w:ascii="Times New Roman" w:hAnsi="Times New Roman" w:cs="Traditional Arabic"/>
          <w:b/>
          <w:bCs/>
          <w:sz w:val="28"/>
          <w:szCs w:val="28"/>
          <w:rtl/>
        </w:rPr>
        <w:t>:</w:t>
      </w:r>
      <w:bookmarkEnd w:id="8"/>
    </w:p>
    <w:p w14:paraId="12280174" w14:textId="77777777" w:rsidR="00CD24E9" w:rsidRPr="00074754" w:rsidRDefault="00CD24E9" w:rsidP="00CD24E9">
      <w:pPr>
        <w:pStyle w:val="ListParagraph"/>
        <w:numPr>
          <w:ilvl w:val="0"/>
          <w:numId w:val="3"/>
        </w:numPr>
        <w:bidi/>
        <w:spacing w:before="100" w:beforeAutospacing="1" w:after="100" w:afterAutospacing="1" w:line="360" w:lineRule="auto"/>
        <w:jc w:val="both"/>
        <w:rPr>
          <w:rFonts w:ascii="Times New Roman" w:hAnsi="Times New Roman" w:cs="Traditional Arabic"/>
          <w:sz w:val="28"/>
          <w:szCs w:val="28"/>
        </w:rPr>
      </w:pPr>
      <w:r w:rsidRPr="00074754">
        <w:rPr>
          <w:rFonts w:ascii="Times New Roman" w:hAnsi="Times New Roman" w:cs="Traditional Arabic"/>
          <w:sz w:val="28"/>
          <w:szCs w:val="28"/>
          <w:rtl/>
        </w:rPr>
        <w:t>تسهم الدراسة في توجيه الوزارات الحكومية نحو اعتماد استراتيجيات التحول الرقمي بفعالية، مما يعزز الكفاءة الإدارية ويوفر بيئة عمل أكثر تنظيمًا وشفافية، ويسهم في تسريع اتخاذ القرارات الاستراتيجية.</w:t>
      </w:r>
    </w:p>
    <w:p w14:paraId="03BC6686" w14:textId="77777777" w:rsidR="003B142F" w:rsidRPr="00074754" w:rsidRDefault="003B142F" w:rsidP="003B142F">
      <w:pPr>
        <w:pStyle w:val="ListParagraph"/>
        <w:numPr>
          <w:ilvl w:val="0"/>
          <w:numId w:val="3"/>
        </w:numPr>
        <w:bidi/>
        <w:spacing w:before="100" w:beforeAutospacing="1" w:after="100" w:afterAutospacing="1" w:line="360" w:lineRule="auto"/>
        <w:jc w:val="both"/>
        <w:rPr>
          <w:rFonts w:ascii="Times New Roman" w:hAnsi="Times New Roman" w:cs="Traditional Arabic"/>
          <w:sz w:val="28"/>
          <w:szCs w:val="28"/>
        </w:rPr>
      </w:pPr>
      <w:r w:rsidRPr="00074754">
        <w:rPr>
          <w:rFonts w:ascii="Times New Roman" w:hAnsi="Times New Roman" w:cs="Traditional Arabic"/>
          <w:sz w:val="28"/>
          <w:szCs w:val="28"/>
          <w:rtl/>
        </w:rPr>
        <w:lastRenderedPageBreak/>
        <w:t>يمكن توظيف نتائج الدراسة في تطوير مبادرات قائمة مثل استراتيجية التحول الرقمي السعودية، وبرنامج "تم" في الإمارات، وبوابة الصناعة العمانية، عبر تحسين آليات جمع وتحليل البيانات ودمجها في عملية صنع القرار.</w:t>
      </w:r>
    </w:p>
    <w:p w14:paraId="759A7A8B" w14:textId="77777777" w:rsidR="003B142F" w:rsidRPr="00074754" w:rsidRDefault="003B142F" w:rsidP="003B142F">
      <w:pPr>
        <w:pStyle w:val="ListParagraph"/>
        <w:numPr>
          <w:ilvl w:val="0"/>
          <w:numId w:val="3"/>
        </w:numPr>
        <w:bidi/>
        <w:spacing w:before="100" w:beforeAutospacing="1" w:after="100" w:afterAutospacing="1" w:line="360" w:lineRule="auto"/>
        <w:jc w:val="both"/>
        <w:rPr>
          <w:rFonts w:ascii="Times New Roman" w:hAnsi="Times New Roman" w:cs="Traditional Arabic"/>
          <w:sz w:val="28"/>
          <w:szCs w:val="28"/>
        </w:rPr>
      </w:pPr>
      <w:r w:rsidRPr="00074754">
        <w:rPr>
          <w:rFonts w:ascii="Times New Roman" w:hAnsi="Times New Roman" w:cs="Traditional Arabic"/>
          <w:sz w:val="28"/>
          <w:szCs w:val="28"/>
          <w:rtl/>
        </w:rPr>
        <w:t>توفر أداة عملية لصانعي السياسات لبناء سياسات رقمية أكثر فاعلية، ترتكز على الشفافية والمساءلة، مما يعزز ثقة المواطنين في الأداء الحكومي ويرفع جودة الخدمات المقدمة.</w:t>
      </w:r>
    </w:p>
    <w:p w14:paraId="62570904" w14:textId="77777777" w:rsidR="003B142F" w:rsidRPr="00074754" w:rsidRDefault="003B142F" w:rsidP="003B142F">
      <w:pPr>
        <w:pStyle w:val="ListParagraph"/>
        <w:numPr>
          <w:ilvl w:val="0"/>
          <w:numId w:val="3"/>
        </w:numPr>
        <w:bidi/>
        <w:spacing w:before="100" w:beforeAutospacing="1" w:after="100" w:afterAutospacing="1" w:line="360" w:lineRule="auto"/>
        <w:jc w:val="both"/>
        <w:rPr>
          <w:rFonts w:ascii="Times New Roman" w:hAnsi="Times New Roman" w:cs="Traditional Arabic"/>
          <w:sz w:val="28"/>
          <w:szCs w:val="28"/>
        </w:rPr>
      </w:pPr>
      <w:r w:rsidRPr="00074754">
        <w:rPr>
          <w:rFonts w:ascii="Times New Roman" w:hAnsi="Times New Roman" w:cs="Traditional Arabic"/>
          <w:sz w:val="28"/>
          <w:szCs w:val="28"/>
          <w:rtl/>
        </w:rPr>
        <w:t>تساعد الوزارات على إنشاء قنوات اتصال معلوماتية مفتوحة تدعم تبادل البيانات داخليًا وخارجيًا، ما يعزز التعاون بين الإدارات المختلفة ويزيد من قدرة المؤسسة على الاستجابة للتغيرات.</w:t>
      </w:r>
    </w:p>
    <w:p w14:paraId="5669DCFA" w14:textId="683D8891" w:rsidR="00CD24E9" w:rsidRPr="00074754" w:rsidRDefault="003B142F" w:rsidP="003B142F">
      <w:pPr>
        <w:pStyle w:val="ListParagraph"/>
        <w:numPr>
          <w:ilvl w:val="0"/>
          <w:numId w:val="3"/>
        </w:numPr>
        <w:bidi/>
        <w:spacing w:before="100" w:beforeAutospacing="1" w:after="100" w:afterAutospacing="1" w:line="360" w:lineRule="auto"/>
        <w:jc w:val="both"/>
        <w:rPr>
          <w:rFonts w:ascii="Times New Roman" w:hAnsi="Times New Roman" w:cs="Traditional Arabic"/>
          <w:sz w:val="28"/>
          <w:szCs w:val="28"/>
        </w:rPr>
      </w:pPr>
      <w:r w:rsidRPr="00074754">
        <w:rPr>
          <w:rFonts w:ascii="Times New Roman" w:hAnsi="Times New Roman" w:cs="Traditional Arabic"/>
          <w:sz w:val="28"/>
          <w:szCs w:val="28"/>
          <w:rtl/>
        </w:rPr>
        <w:t>تقدم حلولًا تطبيقية لتحسين ممارسات الحوكمة الإلكترونية من خلال دمج تقنيات التحول الرقمي مع آليات شفافية فعالة، مما يدعم الرقابة والمساءلة ويعزز القدرة على التكيف مع الابتكارات التكنولوجية المتسارعة</w:t>
      </w:r>
      <w:r w:rsidR="00CD24E9" w:rsidRPr="00074754">
        <w:rPr>
          <w:rFonts w:ascii="Times New Roman" w:hAnsi="Times New Roman" w:cs="Traditional Arabic"/>
          <w:sz w:val="28"/>
          <w:szCs w:val="28"/>
          <w:rtl/>
        </w:rPr>
        <w:t>.</w:t>
      </w:r>
    </w:p>
    <w:p w14:paraId="7A387FF3" w14:textId="61A9FE38" w:rsidR="00735F0D" w:rsidRPr="00074754" w:rsidRDefault="00CD24E9" w:rsidP="00CD24E9">
      <w:pPr>
        <w:pStyle w:val="ListParagraph"/>
        <w:numPr>
          <w:ilvl w:val="0"/>
          <w:numId w:val="3"/>
        </w:numPr>
        <w:bidi/>
        <w:spacing w:before="100" w:beforeAutospacing="1" w:after="100" w:afterAutospacing="1" w:line="360" w:lineRule="auto"/>
        <w:contextualSpacing w:val="0"/>
        <w:jc w:val="both"/>
        <w:rPr>
          <w:rFonts w:ascii="Times New Roman" w:hAnsi="Times New Roman" w:cs="Traditional Arabic"/>
          <w:b/>
          <w:bCs/>
          <w:sz w:val="32"/>
          <w:szCs w:val="32"/>
          <w:u w:val="single"/>
        </w:rPr>
      </w:pPr>
      <w:r w:rsidRPr="00074754">
        <w:rPr>
          <w:rFonts w:ascii="Times New Roman" w:hAnsi="Times New Roman" w:cs="Traditional Arabic"/>
          <w:sz w:val="28"/>
          <w:szCs w:val="28"/>
          <w:rtl/>
        </w:rPr>
        <w:t>توفر الدراسة رؤى استراتيجية لتفعيل التحول الرقمي الذي يسهم في رفع قدرة الوزارات على التكيف مع الابتكارات التكنولوجية السريعة، مما يسهل تقديم خدمات حكومية أكثر مرونة وجودة.</w:t>
      </w:r>
      <w:r w:rsidR="00735F0D" w:rsidRPr="00074754">
        <w:rPr>
          <w:rFonts w:ascii="Times New Roman" w:hAnsi="Times New Roman" w:cs="Traditional Arabic"/>
          <w:sz w:val="28"/>
          <w:szCs w:val="28"/>
        </w:rPr>
        <w:t>.</w:t>
      </w:r>
    </w:p>
    <w:p w14:paraId="64918E3B" w14:textId="16232951" w:rsidR="00735F0D" w:rsidRPr="00074754" w:rsidRDefault="0077566C" w:rsidP="006373C8">
      <w:pPr>
        <w:bidi/>
        <w:spacing w:before="100" w:beforeAutospacing="1" w:after="100" w:afterAutospacing="1" w:line="360" w:lineRule="auto"/>
        <w:outlineLvl w:val="1"/>
        <w:rPr>
          <w:rFonts w:ascii="Times New Roman" w:hAnsi="Times New Roman" w:cs="Traditional Arabic"/>
          <w:b/>
          <w:bCs/>
          <w:sz w:val="32"/>
          <w:szCs w:val="32"/>
          <w:rtl/>
        </w:rPr>
      </w:pPr>
      <w:bookmarkStart w:id="9" w:name="_Toc202226005"/>
      <w:r w:rsidRPr="00074754">
        <w:rPr>
          <w:rFonts w:ascii="Times New Roman" w:hAnsi="Times New Roman" w:cs="Traditional Arabic" w:hint="cs"/>
          <w:b/>
          <w:bCs/>
          <w:sz w:val="32"/>
          <w:szCs w:val="32"/>
          <w:rtl/>
        </w:rPr>
        <w:t xml:space="preserve">4.1 </w:t>
      </w:r>
      <w:r w:rsidR="00735F0D" w:rsidRPr="00074754">
        <w:rPr>
          <w:rFonts w:ascii="Times New Roman" w:hAnsi="Times New Roman" w:cs="Traditional Arabic" w:hint="cs"/>
          <w:b/>
          <w:bCs/>
          <w:sz w:val="32"/>
          <w:szCs w:val="32"/>
          <w:rtl/>
        </w:rPr>
        <w:t>أهداف الدراسة</w:t>
      </w:r>
      <w:r w:rsidR="00735F0D" w:rsidRPr="00074754">
        <w:rPr>
          <w:rFonts w:ascii="Times New Roman" w:hAnsi="Times New Roman" w:cs="Traditional Arabic"/>
          <w:b/>
          <w:bCs/>
          <w:sz w:val="32"/>
          <w:szCs w:val="32"/>
          <w:rtl/>
        </w:rPr>
        <w:t>:</w:t>
      </w:r>
      <w:bookmarkEnd w:id="9"/>
    </w:p>
    <w:p w14:paraId="3F0A4F11" w14:textId="032C9CCB" w:rsidR="00735F0D" w:rsidRPr="00074754" w:rsidRDefault="00082B2B" w:rsidP="00082B2B">
      <w:pPr>
        <w:bidi/>
        <w:spacing w:before="100" w:beforeAutospacing="1" w:after="100" w:afterAutospacing="1" w:line="360" w:lineRule="auto"/>
        <w:ind w:firstLine="720"/>
        <w:jc w:val="both"/>
        <w:rPr>
          <w:rFonts w:ascii="Times New Roman" w:eastAsia="Calibri" w:hAnsi="Times New Roman" w:cs="Traditional Arabic"/>
          <w:sz w:val="28"/>
          <w:szCs w:val="28"/>
        </w:rPr>
      </w:pPr>
      <w:r w:rsidRPr="00074754">
        <w:rPr>
          <w:rFonts w:ascii="Times New Roman" w:eastAsia="Calibri" w:hAnsi="Times New Roman" w:cs="Traditional Arabic"/>
          <w:sz w:val="28"/>
          <w:szCs w:val="28"/>
          <w:rtl/>
        </w:rPr>
        <w:t>تهدف الدراسة إلى دراسة الأبعاد المختلفة للتحول الرقمي، مثل التحول الاستراتيجي، التحول الإداري، تحول العمليات، ومركزية العملاء، وكيفية تأثير هذه الأبعاد على فاعلية اتخاذ القرار الاستراتيجي، مع التركيز على أبعاد الشفافية المعلوماتية ودورها الحيوي في تحسين عمليات اتخاذ القرار داخل الوزارات الحكومية في دول مجلس التعاون الخليجي. كما تسعى الدراسة إلى تقديم رؤى علمية عملية لتحسين سياسات التحول الرقمي وتعزيز الشفافية لتحقيق نتائج أفضل في القرارات الاستراتيجية في القطاع العام</w:t>
      </w:r>
      <w:r w:rsidR="00735F0D" w:rsidRPr="00074754">
        <w:rPr>
          <w:rFonts w:ascii="Times New Roman" w:eastAsia="Calibri" w:hAnsi="Times New Roman" w:cs="Traditional Arabic" w:hint="cs"/>
          <w:sz w:val="28"/>
          <w:szCs w:val="28"/>
          <w:rtl/>
          <w:lang w:bidi="ar-EG"/>
        </w:rPr>
        <w:t>، ويتفرع</w:t>
      </w:r>
      <w:r w:rsidR="00735F0D" w:rsidRPr="00074754">
        <w:rPr>
          <w:rFonts w:ascii="Times New Roman" w:eastAsia="Calibri" w:hAnsi="Times New Roman" w:cs="Traditional Arabic" w:hint="cs"/>
          <w:sz w:val="28"/>
          <w:szCs w:val="28"/>
          <w:rtl/>
        </w:rPr>
        <w:t xml:space="preserve"> منه </w:t>
      </w:r>
      <w:r w:rsidR="00735F0D" w:rsidRPr="00074754">
        <w:rPr>
          <w:rFonts w:ascii="Times New Roman" w:eastAsia="Calibri" w:hAnsi="Times New Roman" w:cs="Traditional Arabic"/>
          <w:sz w:val="28"/>
          <w:szCs w:val="28"/>
          <w:rtl/>
        </w:rPr>
        <w:t>مجموعة من الأهداف الفرعية:</w:t>
      </w:r>
    </w:p>
    <w:p w14:paraId="09880CA8" w14:textId="71DADDD4" w:rsidR="00735F0D" w:rsidRPr="00074754" w:rsidRDefault="00082B2B" w:rsidP="00082B2B">
      <w:pPr>
        <w:pStyle w:val="ListParagraph"/>
        <w:numPr>
          <w:ilvl w:val="0"/>
          <w:numId w:val="5"/>
        </w:numPr>
        <w:bidi/>
        <w:spacing w:before="100" w:beforeAutospacing="1" w:after="100" w:afterAutospacing="1" w:line="360" w:lineRule="auto"/>
        <w:contextualSpacing w:val="0"/>
        <w:jc w:val="both"/>
        <w:rPr>
          <w:rFonts w:ascii="Times New Roman" w:hAnsi="Times New Roman" w:cs="Traditional Arabic"/>
          <w:sz w:val="28"/>
          <w:szCs w:val="28"/>
        </w:rPr>
      </w:pPr>
      <w:r w:rsidRPr="00074754">
        <w:rPr>
          <w:rFonts w:ascii="Times New Roman" w:hAnsi="Times New Roman" w:cs="Traditional Arabic" w:hint="cs"/>
          <w:sz w:val="28"/>
          <w:szCs w:val="28"/>
          <w:rtl/>
        </w:rPr>
        <w:t xml:space="preserve">التعرف </w:t>
      </w:r>
      <w:r w:rsidR="0015003F" w:rsidRPr="00074754">
        <w:rPr>
          <w:rFonts w:ascii="Times New Roman" w:hAnsi="Times New Roman" w:cs="Traditional Arabic" w:hint="cs"/>
          <w:sz w:val="28"/>
          <w:szCs w:val="28"/>
          <w:rtl/>
        </w:rPr>
        <w:t>على تأثير</w:t>
      </w:r>
      <w:r w:rsidRPr="00074754">
        <w:rPr>
          <w:rFonts w:ascii="Times New Roman" w:hAnsi="Times New Roman" w:cs="Traditional Arabic"/>
          <w:sz w:val="28"/>
          <w:szCs w:val="28"/>
          <w:rtl/>
        </w:rPr>
        <w:t xml:space="preserve"> التحول الرقمي بأبعاده (التحول الاستراتيجي، التحول الإداري، تحول العمليات، مركزية العملاء) على فاعلية اتخاذ القرار الاستراتيجي بأبعاده (الوعي الاستراتيجي، القدرة على التكيف، التفاعل مع البيانات والمعلومات) في وزارات الصناعة بدول مجلس التعاون الخليجي</w:t>
      </w:r>
      <w:r w:rsidRPr="00074754">
        <w:rPr>
          <w:rFonts w:ascii="Times New Roman" w:hAnsi="Times New Roman" w:cs="Traditional Arabic"/>
          <w:sz w:val="28"/>
          <w:szCs w:val="28"/>
        </w:rPr>
        <w:t>.</w:t>
      </w:r>
      <w:r w:rsidR="00735F0D" w:rsidRPr="00074754">
        <w:rPr>
          <w:rFonts w:ascii="Times New Roman" w:hAnsi="Times New Roman" w:cs="Traditional Arabic"/>
          <w:sz w:val="28"/>
          <w:szCs w:val="28"/>
          <w:rtl/>
        </w:rPr>
        <w:t>.</w:t>
      </w:r>
    </w:p>
    <w:p w14:paraId="435A3577" w14:textId="5171F46B" w:rsidR="00735F0D" w:rsidRPr="00074754" w:rsidRDefault="00082B2B" w:rsidP="00082B2B">
      <w:pPr>
        <w:pStyle w:val="ListParagraph"/>
        <w:numPr>
          <w:ilvl w:val="0"/>
          <w:numId w:val="5"/>
        </w:numPr>
        <w:bidi/>
        <w:spacing w:before="100" w:beforeAutospacing="1" w:after="100" w:afterAutospacing="1" w:line="360" w:lineRule="auto"/>
        <w:contextualSpacing w:val="0"/>
        <w:jc w:val="both"/>
        <w:rPr>
          <w:rFonts w:ascii="Times New Roman" w:hAnsi="Times New Roman" w:cs="Traditional Arabic"/>
          <w:sz w:val="28"/>
          <w:szCs w:val="28"/>
        </w:rPr>
      </w:pPr>
      <w:r w:rsidRPr="00074754">
        <w:rPr>
          <w:rFonts w:ascii="Times New Roman" w:hAnsi="Times New Roman" w:cs="Traditional Arabic"/>
          <w:sz w:val="28"/>
          <w:szCs w:val="28"/>
          <w:rtl/>
        </w:rPr>
        <w:lastRenderedPageBreak/>
        <w:t>تحليل تأثير التحول الرقمي بأبعاده (التحول الاستراتيجي، التحول الإداري، تحول العمليات، مركزية العملاء) على شفافية المعلوماتية بأبعادها (شفافية الأنظمة واللوائح، شفافية الإجراءات، شفافية الاتصال والمعلومات) في وزارات الصناعة بدول مجلس التعاون الخليجي</w:t>
      </w:r>
      <w:r w:rsidRPr="00074754">
        <w:rPr>
          <w:rFonts w:ascii="Times New Roman" w:hAnsi="Times New Roman" w:cs="Traditional Arabic"/>
          <w:sz w:val="28"/>
          <w:szCs w:val="28"/>
        </w:rPr>
        <w:t>.</w:t>
      </w:r>
      <w:r w:rsidR="00735F0D" w:rsidRPr="00074754">
        <w:rPr>
          <w:rFonts w:ascii="Times New Roman" w:hAnsi="Times New Roman" w:cs="Traditional Arabic" w:hint="cs"/>
          <w:sz w:val="28"/>
          <w:szCs w:val="28"/>
          <w:rtl/>
        </w:rPr>
        <w:t>.</w:t>
      </w:r>
    </w:p>
    <w:p w14:paraId="76C1E50D" w14:textId="561B9C67" w:rsidR="00735F0D" w:rsidRPr="00074754" w:rsidRDefault="00082B2B" w:rsidP="00082B2B">
      <w:pPr>
        <w:pStyle w:val="ListParagraph"/>
        <w:numPr>
          <w:ilvl w:val="0"/>
          <w:numId w:val="5"/>
        </w:numPr>
        <w:bidi/>
        <w:spacing w:before="100" w:beforeAutospacing="1" w:after="100" w:afterAutospacing="1" w:line="360" w:lineRule="auto"/>
        <w:contextualSpacing w:val="0"/>
        <w:jc w:val="both"/>
        <w:rPr>
          <w:rFonts w:ascii="Times New Roman" w:hAnsi="Times New Roman" w:cs="Traditional Arabic"/>
          <w:sz w:val="28"/>
          <w:szCs w:val="28"/>
        </w:rPr>
      </w:pPr>
      <w:r w:rsidRPr="00074754">
        <w:rPr>
          <w:rFonts w:ascii="Times New Roman" w:hAnsi="Times New Roman" w:cs="Traditional Arabic"/>
          <w:sz w:val="28"/>
          <w:szCs w:val="28"/>
          <w:rtl/>
        </w:rPr>
        <w:t>دراسة تأثير الشفافية المعلوماتية بأبعادها (شفافية الأنظمة واللوائح، شفافية الإجراءات، شفافية الاتصال والمعلومات) على فاعلية اتخاذ القرار الاستراتيجي في وزارات الصناعة بدول مجلس التعاون الخليجي</w:t>
      </w:r>
      <w:r w:rsidR="00735F0D" w:rsidRPr="00074754">
        <w:rPr>
          <w:rFonts w:ascii="Times New Roman" w:hAnsi="Times New Roman" w:cs="Traditional Arabic" w:hint="cs"/>
          <w:sz w:val="28"/>
          <w:szCs w:val="28"/>
          <w:rtl/>
        </w:rPr>
        <w:t>.</w:t>
      </w:r>
    </w:p>
    <w:p w14:paraId="077D273A" w14:textId="1E4C10BF" w:rsidR="00735F0D" w:rsidRPr="00074754" w:rsidRDefault="00082B2B" w:rsidP="00342563">
      <w:pPr>
        <w:pStyle w:val="ListParagraph"/>
        <w:numPr>
          <w:ilvl w:val="0"/>
          <w:numId w:val="5"/>
        </w:numPr>
        <w:bidi/>
        <w:spacing w:before="100" w:beforeAutospacing="1" w:after="100" w:afterAutospacing="1" w:line="360" w:lineRule="auto"/>
        <w:contextualSpacing w:val="0"/>
        <w:jc w:val="both"/>
        <w:rPr>
          <w:rFonts w:ascii="Times New Roman" w:hAnsi="Times New Roman" w:cs="Traditional Arabic"/>
          <w:sz w:val="28"/>
          <w:szCs w:val="28"/>
        </w:rPr>
      </w:pPr>
      <w:r w:rsidRPr="00074754">
        <w:rPr>
          <w:rFonts w:ascii="Times New Roman" w:hAnsi="Times New Roman" w:cs="Traditional Arabic"/>
          <w:sz w:val="28"/>
          <w:szCs w:val="28"/>
          <w:rtl/>
        </w:rPr>
        <w:t xml:space="preserve">اختبار </w:t>
      </w:r>
      <w:r w:rsidR="00342563" w:rsidRPr="00074754">
        <w:rPr>
          <w:rFonts w:ascii="Times New Roman" w:hAnsi="Times New Roman" w:cs="Traditional Arabic" w:hint="cs"/>
          <w:sz w:val="28"/>
          <w:szCs w:val="28"/>
          <w:rtl/>
        </w:rPr>
        <w:t xml:space="preserve">التأثير غير المباشر </w:t>
      </w:r>
      <w:r w:rsidRPr="00074754">
        <w:rPr>
          <w:rFonts w:ascii="Times New Roman" w:hAnsi="Times New Roman" w:cs="Traditional Arabic"/>
          <w:sz w:val="28"/>
          <w:szCs w:val="28"/>
          <w:rtl/>
        </w:rPr>
        <w:t>للشفافية المعلوماتية في العلاقة بين التحول الرقمي وفاعلية اتخاذ القرار الاستراتيجي في وزارات الصناعة بدول مجلس التعاون الخليجي</w:t>
      </w:r>
      <w:r w:rsidRPr="00074754">
        <w:rPr>
          <w:rFonts w:ascii="Times New Roman" w:hAnsi="Times New Roman" w:cs="Traditional Arabic"/>
          <w:sz w:val="28"/>
          <w:szCs w:val="28"/>
        </w:rPr>
        <w:t>.</w:t>
      </w:r>
    </w:p>
    <w:p w14:paraId="76C602BA" w14:textId="507486F2" w:rsidR="00342563" w:rsidRPr="00074754" w:rsidRDefault="00342563" w:rsidP="00342563">
      <w:pPr>
        <w:pStyle w:val="ListParagraph"/>
        <w:numPr>
          <w:ilvl w:val="0"/>
          <w:numId w:val="5"/>
        </w:numPr>
        <w:bidi/>
        <w:spacing w:before="100" w:beforeAutospacing="1" w:after="100" w:afterAutospacing="1" w:line="360" w:lineRule="auto"/>
        <w:contextualSpacing w:val="0"/>
        <w:jc w:val="both"/>
        <w:rPr>
          <w:rFonts w:ascii="Times New Roman" w:hAnsi="Times New Roman" w:cs="Traditional Arabic"/>
          <w:sz w:val="28"/>
          <w:szCs w:val="28"/>
        </w:rPr>
      </w:pPr>
      <w:r w:rsidRPr="00074754">
        <w:rPr>
          <w:rFonts w:ascii="Times New Roman" w:hAnsi="Times New Roman" w:cs="Traditional Arabic"/>
          <w:sz w:val="28"/>
          <w:szCs w:val="28"/>
          <w:rtl/>
        </w:rPr>
        <w:t>اقتراح إطار عملي لدعم التكامل بين التحول الرقمي والشفافية المعلوماتية لتعزيز القرار الاستراتيجي في وزارات الصناعة</w:t>
      </w:r>
      <w:r w:rsidRPr="00074754">
        <w:rPr>
          <w:rFonts w:ascii="Times New Roman" w:hAnsi="Times New Roman" w:cs="Traditional Arabic" w:hint="cs"/>
          <w:sz w:val="28"/>
          <w:szCs w:val="28"/>
          <w:rtl/>
        </w:rPr>
        <w:t>.</w:t>
      </w:r>
    </w:p>
    <w:p w14:paraId="67568727" w14:textId="1DFAF206" w:rsidR="00735F0D" w:rsidRPr="00074754" w:rsidRDefault="00735F0D">
      <w:pPr>
        <w:pStyle w:val="ListParagraph"/>
        <w:numPr>
          <w:ilvl w:val="0"/>
          <w:numId w:val="5"/>
        </w:numPr>
        <w:bidi/>
        <w:spacing w:before="100" w:beforeAutospacing="1" w:after="100" w:afterAutospacing="1" w:line="360" w:lineRule="auto"/>
        <w:contextualSpacing w:val="0"/>
        <w:jc w:val="both"/>
        <w:rPr>
          <w:rFonts w:ascii="Times New Roman" w:hAnsi="Times New Roman" w:cs="Traditional Arabic"/>
        </w:rPr>
      </w:pPr>
      <w:r w:rsidRPr="00074754">
        <w:rPr>
          <w:rFonts w:ascii="Times New Roman" w:hAnsi="Times New Roman" w:cs="Traditional Arabic"/>
          <w:sz w:val="28"/>
          <w:szCs w:val="28"/>
          <w:rtl/>
        </w:rPr>
        <w:t xml:space="preserve">التوصل لمجموعة من المقترحات في ضوء ما سيتم التوصل الية من نتائج ستفيد الإدارة العليا في </w:t>
      </w:r>
      <w:r w:rsidR="00082B2B" w:rsidRPr="00074754">
        <w:rPr>
          <w:rFonts w:ascii="Times New Roman" w:hAnsi="Times New Roman" w:cs="Traditional Arabic" w:hint="cs"/>
          <w:sz w:val="28"/>
          <w:szCs w:val="28"/>
          <w:rtl/>
        </w:rPr>
        <w:t xml:space="preserve">وزارت </w:t>
      </w:r>
      <w:r w:rsidR="0015003F" w:rsidRPr="00074754">
        <w:rPr>
          <w:rFonts w:ascii="Times New Roman" w:hAnsi="Times New Roman" w:cs="Traditional Arabic" w:hint="cs"/>
          <w:sz w:val="28"/>
          <w:szCs w:val="28"/>
          <w:rtl/>
        </w:rPr>
        <w:t>الصناعة لتحسين</w:t>
      </w:r>
      <w:r w:rsidRPr="00074754">
        <w:rPr>
          <w:rFonts w:ascii="Times New Roman" w:hAnsi="Times New Roman" w:cs="Traditional Arabic"/>
          <w:sz w:val="28"/>
          <w:szCs w:val="28"/>
          <w:rtl/>
        </w:rPr>
        <w:t xml:space="preserve"> </w:t>
      </w:r>
      <w:r w:rsidR="0015003F" w:rsidRPr="00074754">
        <w:rPr>
          <w:rFonts w:ascii="Times New Roman" w:hAnsi="Times New Roman" w:cs="Traditional Arabic" w:hint="cs"/>
          <w:sz w:val="28"/>
          <w:szCs w:val="28"/>
          <w:rtl/>
        </w:rPr>
        <w:t>أدائها.</w:t>
      </w:r>
    </w:p>
    <w:p w14:paraId="6A0452B3" w14:textId="56C39E5D" w:rsidR="00735F0D" w:rsidRPr="00074754" w:rsidRDefault="0077566C" w:rsidP="006373C8">
      <w:pPr>
        <w:bidi/>
        <w:spacing w:before="100" w:beforeAutospacing="1" w:after="100" w:afterAutospacing="1" w:line="360" w:lineRule="auto"/>
        <w:outlineLvl w:val="1"/>
        <w:rPr>
          <w:rFonts w:ascii="Times New Roman" w:hAnsi="Times New Roman" w:cs="Traditional Arabic"/>
          <w:b/>
          <w:bCs/>
          <w:sz w:val="32"/>
          <w:szCs w:val="32"/>
          <w:rtl/>
        </w:rPr>
      </w:pPr>
      <w:bookmarkStart w:id="10" w:name="_Toc202226006"/>
      <w:r w:rsidRPr="00074754">
        <w:rPr>
          <w:rFonts w:ascii="Times New Roman" w:hAnsi="Times New Roman" w:cs="Traditional Arabic" w:hint="cs"/>
          <w:b/>
          <w:bCs/>
          <w:sz w:val="32"/>
          <w:szCs w:val="32"/>
          <w:rtl/>
        </w:rPr>
        <w:t xml:space="preserve">5.1 </w:t>
      </w:r>
      <w:r w:rsidR="00735F0D" w:rsidRPr="00074754">
        <w:rPr>
          <w:rFonts w:ascii="Times New Roman" w:hAnsi="Times New Roman" w:cs="Traditional Arabic" w:hint="cs"/>
          <w:b/>
          <w:bCs/>
          <w:sz w:val="32"/>
          <w:szCs w:val="32"/>
          <w:rtl/>
        </w:rPr>
        <w:t>فرضيات الدراسة</w:t>
      </w:r>
      <w:r w:rsidR="00735F0D" w:rsidRPr="00074754">
        <w:rPr>
          <w:rFonts w:ascii="Times New Roman" w:hAnsi="Times New Roman" w:cs="Traditional Arabic"/>
          <w:b/>
          <w:bCs/>
          <w:sz w:val="32"/>
          <w:szCs w:val="32"/>
          <w:rtl/>
        </w:rPr>
        <w:t>:</w:t>
      </w:r>
      <w:bookmarkEnd w:id="10"/>
    </w:p>
    <w:p w14:paraId="42E57A9D" w14:textId="21BA5E4A" w:rsidR="00735F0D" w:rsidRPr="00074754" w:rsidRDefault="00342563" w:rsidP="00342563">
      <w:pPr>
        <w:tabs>
          <w:tab w:val="left" w:pos="2966"/>
        </w:tabs>
        <w:bidi/>
        <w:spacing w:before="100" w:beforeAutospacing="1" w:after="100" w:afterAutospacing="1" w:line="360" w:lineRule="auto"/>
        <w:ind w:left="360" w:firstLine="720"/>
        <w:jc w:val="both"/>
        <w:rPr>
          <w:rFonts w:ascii="Times New Roman" w:eastAsia="Calibri" w:hAnsi="Times New Roman" w:cs="Traditional Arabic"/>
          <w:sz w:val="28"/>
          <w:szCs w:val="28"/>
          <w:rtl/>
        </w:rPr>
      </w:pPr>
      <w:r w:rsidRPr="00074754">
        <w:rPr>
          <w:rFonts w:ascii="Times New Roman" w:eastAsia="Calibri" w:hAnsi="Times New Roman" w:cs="Traditional Arabic"/>
          <w:sz w:val="28"/>
          <w:szCs w:val="28"/>
          <w:rtl/>
        </w:rPr>
        <w:t xml:space="preserve">بناءً على الإطار النظري والدراسات السابقة، ووفقًا لمفاهيم </w:t>
      </w:r>
      <w:r w:rsidRPr="00074754">
        <w:rPr>
          <w:rFonts w:ascii="Times New Roman" w:eastAsia="Calibri" w:hAnsi="Times New Roman" w:cs="Traditional Arabic"/>
          <w:b/>
          <w:bCs/>
          <w:sz w:val="28"/>
          <w:szCs w:val="28"/>
          <w:rtl/>
        </w:rPr>
        <w:t>الحوكمة الذكية</w:t>
      </w:r>
      <w:r w:rsidRPr="00074754">
        <w:rPr>
          <w:rFonts w:ascii="Times New Roman" w:eastAsia="Calibri" w:hAnsi="Times New Roman" w:cs="Traditional Arabic"/>
          <w:sz w:val="28"/>
          <w:szCs w:val="28"/>
          <w:rtl/>
        </w:rPr>
        <w:t xml:space="preserve"> و</w:t>
      </w:r>
      <w:r w:rsidRPr="00074754">
        <w:rPr>
          <w:rFonts w:ascii="Times New Roman" w:eastAsia="Calibri" w:hAnsi="Times New Roman" w:cs="Traditional Arabic"/>
          <w:b/>
          <w:bCs/>
          <w:sz w:val="28"/>
          <w:szCs w:val="28"/>
          <w:rtl/>
        </w:rPr>
        <w:t>صنع القرار المعزز</w:t>
      </w:r>
      <w:r w:rsidRPr="00074754">
        <w:rPr>
          <w:rFonts w:ascii="Times New Roman" w:eastAsia="Calibri" w:hAnsi="Times New Roman" w:cs="Traditional Arabic" w:hint="cs"/>
          <w:b/>
          <w:bCs/>
          <w:sz w:val="28"/>
          <w:szCs w:val="28"/>
          <w:rtl/>
        </w:rPr>
        <w:t xml:space="preserve"> </w:t>
      </w:r>
      <w:r w:rsidRPr="00074754">
        <w:rPr>
          <w:rFonts w:ascii="Times New Roman" w:eastAsia="Calibri" w:hAnsi="Times New Roman" w:cs="Traditional Arabic"/>
          <w:b/>
          <w:bCs/>
          <w:sz w:val="28"/>
          <w:szCs w:val="28"/>
          <w:rtl/>
        </w:rPr>
        <w:t>بالبيانات</w:t>
      </w:r>
      <w:r w:rsidRPr="00074754">
        <w:rPr>
          <w:rFonts w:ascii="Times New Roman" w:eastAsia="Calibri" w:hAnsi="Times New Roman" w:cs="Traditional Arabic"/>
          <w:sz w:val="28"/>
          <w:szCs w:val="28"/>
          <w:rtl/>
        </w:rPr>
        <w:t xml:space="preserve">، بالإضافة إلى مبادئ </w:t>
      </w:r>
      <w:r w:rsidRPr="00074754">
        <w:rPr>
          <w:rFonts w:ascii="Times New Roman" w:eastAsia="Calibri" w:hAnsi="Times New Roman" w:cs="Traditional Arabic"/>
          <w:b/>
          <w:bCs/>
          <w:sz w:val="28"/>
          <w:szCs w:val="28"/>
          <w:rtl/>
        </w:rPr>
        <w:t>نظرية النظم المفتوحة</w:t>
      </w:r>
      <w:r w:rsidRPr="00074754">
        <w:rPr>
          <w:rFonts w:ascii="Times New Roman" w:eastAsia="Calibri" w:hAnsi="Times New Roman" w:cs="Traditional Arabic"/>
          <w:b/>
          <w:bCs/>
          <w:sz w:val="28"/>
          <w:szCs w:val="28"/>
        </w:rPr>
        <w:t xml:space="preserve"> (Open Systems Theory)</w:t>
      </w:r>
      <w:r w:rsidRPr="00074754">
        <w:rPr>
          <w:rFonts w:ascii="Times New Roman" w:eastAsia="Calibri" w:hAnsi="Times New Roman" w:cs="Traditional Arabic"/>
          <w:sz w:val="28"/>
          <w:szCs w:val="28"/>
          <w:rtl/>
        </w:rPr>
        <w:t>، تفترض هذه الدراسة وجود علاقات مباشرة وغير مباشرة بين متغيراتها الرئيسة</w:t>
      </w:r>
      <w:r w:rsidR="00D04E07" w:rsidRPr="00074754">
        <w:rPr>
          <w:rFonts w:ascii="Times New Roman" w:eastAsia="Calibri" w:hAnsi="Times New Roman" w:cs="Traditional Arabic" w:hint="cs"/>
          <w:sz w:val="28"/>
          <w:szCs w:val="28"/>
          <w:rtl/>
        </w:rPr>
        <w:t xml:space="preserve">، </w:t>
      </w:r>
      <w:r w:rsidRPr="00074754">
        <w:rPr>
          <w:rFonts w:ascii="Times New Roman" w:eastAsia="Calibri" w:hAnsi="Times New Roman" w:cs="Traditional Arabic"/>
          <w:sz w:val="28"/>
          <w:szCs w:val="28"/>
          <w:rtl/>
        </w:rPr>
        <w:t>وقد تم صياغة الفرضيات على النحو التالي</w:t>
      </w:r>
      <w:r w:rsidRPr="00074754">
        <w:rPr>
          <w:rFonts w:ascii="Times New Roman" w:eastAsia="Calibri" w:hAnsi="Times New Roman" w:cs="Traditional Arabic"/>
          <w:sz w:val="28"/>
          <w:szCs w:val="28"/>
        </w:rPr>
        <w:t>:</w:t>
      </w:r>
      <w:r w:rsidRPr="00074754">
        <w:rPr>
          <w:rFonts w:ascii="Times New Roman" w:eastAsia="Calibri" w:hAnsi="Times New Roman" w:cs="Traditional Arabic"/>
          <w:sz w:val="28"/>
          <w:szCs w:val="28"/>
          <w:rtl/>
        </w:rPr>
        <w:t xml:space="preserve"> </w:t>
      </w:r>
      <w:r w:rsidR="00735F0D" w:rsidRPr="00074754">
        <w:rPr>
          <w:rFonts w:ascii="Times New Roman" w:eastAsia="Calibri" w:hAnsi="Times New Roman" w:cs="Traditional Arabic"/>
          <w:sz w:val="28"/>
          <w:szCs w:val="28"/>
          <w:rtl/>
        </w:rPr>
        <w:t xml:space="preserve">يمكننا تحديد فرضيات الدراسة من خلال فرضية رئيسية تتمثل في: </w:t>
      </w:r>
    </w:p>
    <w:p w14:paraId="729CE988" w14:textId="090B56E3" w:rsidR="00E00DF6" w:rsidRPr="00074754" w:rsidRDefault="00E00DF6" w:rsidP="00082B2B">
      <w:pPr>
        <w:pStyle w:val="ListParagraph"/>
        <w:numPr>
          <w:ilvl w:val="0"/>
          <w:numId w:val="1"/>
        </w:numPr>
        <w:tabs>
          <w:tab w:val="left" w:pos="2966"/>
        </w:tabs>
        <w:bidi/>
        <w:spacing w:before="100" w:beforeAutospacing="1" w:after="100" w:afterAutospacing="1" w:line="360" w:lineRule="auto"/>
        <w:jc w:val="both"/>
        <w:rPr>
          <w:rFonts w:ascii="Times New Roman" w:eastAsia="Calibri" w:hAnsi="Times New Roman" w:cs="Traditional Arabic"/>
          <w:sz w:val="28"/>
          <w:szCs w:val="28"/>
        </w:rPr>
      </w:pPr>
      <w:bookmarkStart w:id="11" w:name="_Hlk193925437"/>
      <w:r w:rsidRPr="00074754">
        <w:rPr>
          <w:rFonts w:ascii="Traditional Arabic" w:eastAsia="Calibri" w:hAnsi="Traditional Arabic" w:cs="Traditional Arabic" w:hint="cs"/>
          <w:b/>
          <w:bCs/>
          <w:sz w:val="28"/>
          <w:szCs w:val="28"/>
          <w:rtl/>
        </w:rPr>
        <w:t>الفرضية</w:t>
      </w:r>
      <w:r w:rsidRPr="00074754">
        <w:rPr>
          <w:rFonts w:ascii="Times New Roman" w:eastAsia="Calibri" w:hAnsi="Times New Roman" w:cs="Traditional Arabic"/>
          <w:b/>
          <w:bCs/>
          <w:sz w:val="28"/>
          <w:szCs w:val="28"/>
          <w:rtl/>
        </w:rPr>
        <w:t xml:space="preserve"> </w:t>
      </w:r>
      <w:r w:rsidRPr="00074754">
        <w:rPr>
          <w:rFonts w:ascii="Traditional Arabic" w:eastAsia="Calibri" w:hAnsi="Traditional Arabic" w:cs="Traditional Arabic" w:hint="cs"/>
          <w:b/>
          <w:bCs/>
          <w:sz w:val="28"/>
          <w:szCs w:val="28"/>
          <w:rtl/>
        </w:rPr>
        <w:t>الرئيسية</w:t>
      </w:r>
      <w:r w:rsidRPr="00074754">
        <w:rPr>
          <w:rFonts w:ascii="Times New Roman" w:eastAsia="Calibri" w:hAnsi="Times New Roman" w:cs="Traditional Arabic"/>
          <w:b/>
          <w:bCs/>
          <w:sz w:val="28"/>
          <w:szCs w:val="28"/>
          <w:rtl/>
        </w:rPr>
        <w:t xml:space="preserve"> </w:t>
      </w:r>
      <w:r w:rsidRPr="00074754">
        <w:rPr>
          <w:rFonts w:ascii="Traditional Arabic" w:eastAsia="Calibri" w:hAnsi="Traditional Arabic" w:cs="Traditional Arabic" w:hint="cs"/>
          <w:b/>
          <w:bCs/>
          <w:sz w:val="28"/>
          <w:szCs w:val="28"/>
          <w:rtl/>
        </w:rPr>
        <w:t>الأولى</w:t>
      </w:r>
      <w:r w:rsidRPr="00074754">
        <w:rPr>
          <w:rFonts w:ascii="Times New Roman" w:eastAsia="Calibri" w:hAnsi="Times New Roman" w:cs="Traditional Arabic"/>
          <w:b/>
          <w:bCs/>
          <w:sz w:val="28"/>
          <w:szCs w:val="28"/>
          <w:rtl/>
        </w:rPr>
        <w:t>:</w:t>
      </w:r>
      <w:r w:rsidRPr="00074754">
        <w:rPr>
          <w:rFonts w:ascii="Times New Roman" w:eastAsia="Calibri" w:hAnsi="Times New Roman" w:cs="Traditional Arabic" w:hint="cs"/>
          <w:b/>
          <w:bCs/>
          <w:sz w:val="28"/>
          <w:szCs w:val="28"/>
          <w:rtl/>
        </w:rPr>
        <w:t xml:space="preserve"> </w:t>
      </w:r>
      <w:r w:rsidRPr="00074754">
        <w:rPr>
          <w:rFonts w:ascii="Times New Roman" w:eastAsia="Calibri" w:hAnsi="Times New Roman" w:cs="Traditional Arabic"/>
          <w:sz w:val="28"/>
          <w:szCs w:val="28"/>
          <w:rtl/>
        </w:rPr>
        <w:t xml:space="preserve">يوجد تأثير ذو دلالة إحصائية </w:t>
      </w:r>
      <w:r w:rsidR="00082B2B" w:rsidRPr="00074754">
        <w:rPr>
          <w:rFonts w:ascii="Times New Roman" w:eastAsia="Calibri" w:hAnsi="Times New Roman" w:cs="Traditional Arabic"/>
          <w:sz w:val="28"/>
          <w:szCs w:val="28"/>
          <w:rtl/>
        </w:rPr>
        <w:t>للتحول الرقمي بأبعاده (التحول الاستراتيجي، التحول الإداري، تحول العمليات، مركزية العملاء) على فاعلية اتخاذ القرار الاستراتيجي بأبعاده (الوعي الاستراتيجي، القدرة على التكيف، التفاعل مع البيانات والمعلومات)</w:t>
      </w:r>
      <w:r w:rsidR="00082B2B" w:rsidRPr="00074754">
        <w:rPr>
          <w:rFonts w:ascii="Times New Roman" w:eastAsia="Calibri" w:hAnsi="Times New Roman" w:cs="Traditional Arabic" w:hint="cs"/>
          <w:sz w:val="28"/>
          <w:szCs w:val="28"/>
          <w:rtl/>
        </w:rPr>
        <w:t xml:space="preserve"> </w:t>
      </w:r>
      <w:r w:rsidR="00082B2B" w:rsidRPr="00074754">
        <w:rPr>
          <w:rFonts w:ascii="Times New Roman" w:eastAsia="Calibri" w:hAnsi="Times New Roman" w:cs="Traditional Arabic"/>
          <w:sz w:val="28"/>
          <w:szCs w:val="28"/>
          <w:rtl/>
        </w:rPr>
        <w:t>في وزارات الصناعة بدول مجلس التعاون الخليجي</w:t>
      </w:r>
      <w:r w:rsidR="00082B2B" w:rsidRPr="00074754">
        <w:rPr>
          <w:rFonts w:ascii="Times New Roman" w:eastAsia="Calibri" w:hAnsi="Times New Roman" w:cs="Traditional Arabic"/>
          <w:sz w:val="28"/>
          <w:szCs w:val="28"/>
        </w:rPr>
        <w:t>.</w:t>
      </w:r>
      <w:r w:rsidRPr="00074754">
        <w:rPr>
          <w:rFonts w:ascii="Times New Roman" w:eastAsia="Calibri" w:hAnsi="Times New Roman" w:cs="Traditional Arabic"/>
          <w:sz w:val="28"/>
          <w:szCs w:val="28"/>
          <w:rtl/>
        </w:rPr>
        <w:t>.</w:t>
      </w:r>
    </w:p>
    <w:p w14:paraId="07E12422" w14:textId="48B813C3" w:rsidR="00D04E07" w:rsidRPr="00074754" w:rsidRDefault="00D04E07" w:rsidP="00D04E07">
      <w:pPr>
        <w:pStyle w:val="ListParagraph"/>
        <w:tabs>
          <w:tab w:val="left" w:pos="2966"/>
        </w:tabs>
        <w:bidi/>
        <w:spacing w:before="100" w:beforeAutospacing="1" w:after="100" w:afterAutospacing="1" w:line="360" w:lineRule="auto"/>
        <w:ind w:left="360"/>
        <w:jc w:val="both"/>
        <w:rPr>
          <w:rFonts w:ascii="Times New Roman" w:eastAsia="Calibri" w:hAnsi="Times New Roman" w:cs="Traditional Arabic"/>
          <w:sz w:val="28"/>
          <w:szCs w:val="28"/>
          <w:rtl/>
        </w:rPr>
      </w:pPr>
      <w:r w:rsidRPr="00074754">
        <w:rPr>
          <w:rFonts w:ascii="Traditional Arabic" w:eastAsia="Calibri" w:hAnsi="Traditional Arabic" w:cs="Traditional Arabic" w:hint="cs"/>
          <w:b/>
          <w:bCs/>
          <w:sz w:val="28"/>
          <w:szCs w:val="28"/>
          <w:rtl/>
        </w:rPr>
        <w:t xml:space="preserve">وتتفرع منه عدة فرضيات </w:t>
      </w:r>
      <w:r w:rsidR="0015003F" w:rsidRPr="00074754">
        <w:rPr>
          <w:rFonts w:ascii="Traditional Arabic" w:eastAsia="Calibri" w:hAnsi="Traditional Arabic" w:cs="Traditional Arabic" w:hint="cs"/>
          <w:b/>
          <w:bCs/>
          <w:sz w:val="28"/>
          <w:szCs w:val="28"/>
          <w:rtl/>
        </w:rPr>
        <w:t>فرعية:</w:t>
      </w:r>
    </w:p>
    <w:p w14:paraId="3FD74460" w14:textId="3E839099" w:rsidR="00D04E07" w:rsidRPr="00074754" w:rsidRDefault="00D04E07" w:rsidP="00D04E07">
      <w:pPr>
        <w:pStyle w:val="ListParagraph"/>
        <w:numPr>
          <w:ilvl w:val="1"/>
          <w:numId w:val="20"/>
        </w:numPr>
        <w:tabs>
          <w:tab w:val="left" w:pos="2966"/>
        </w:tabs>
        <w:bidi/>
        <w:spacing w:before="100" w:beforeAutospacing="1" w:after="100" w:afterAutospacing="1" w:line="360" w:lineRule="auto"/>
        <w:jc w:val="both"/>
        <w:rPr>
          <w:rFonts w:ascii="Times New Roman" w:eastAsia="Calibri" w:hAnsi="Times New Roman" w:cs="Traditional Arabic"/>
          <w:sz w:val="28"/>
          <w:szCs w:val="28"/>
        </w:rPr>
      </w:pPr>
      <w:r w:rsidRPr="00074754">
        <w:rPr>
          <w:rFonts w:ascii="Times New Roman" w:eastAsia="Calibri" w:hAnsi="Times New Roman" w:cs="Traditional Arabic"/>
          <w:sz w:val="28"/>
          <w:szCs w:val="28"/>
          <w:rtl/>
        </w:rPr>
        <w:lastRenderedPageBreak/>
        <w:t>يوجد تأثير للتحول الاستراتيجي على فاعلية اتخاذ القرار الاستراتيجي في وزارات الصناعة بدول مجلس التعاون الخليجي</w:t>
      </w:r>
    </w:p>
    <w:p w14:paraId="2CABCDD8" w14:textId="60CD384C" w:rsidR="00D04E07" w:rsidRPr="00074754" w:rsidRDefault="00D04E07" w:rsidP="00D04E07">
      <w:pPr>
        <w:pStyle w:val="ListParagraph"/>
        <w:numPr>
          <w:ilvl w:val="1"/>
          <w:numId w:val="20"/>
        </w:numPr>
        <w:tabs>
          <w:tab w:val="left" w:pos="2966"/>
        </w:tabs>
        <w:bidi/>
        <w:spacing w:before="100" w:beforeAutospacing="1" w:after="100" w:afterAutospacing="1" w:line="360" w:lineRule="auto"/>
        <w:jc w:val="both"/>
        <w:rPr>
          <w:rFonts w:ascii="Times New Roman" w:eastAsia="Calibri" w:hAnsi="Times New Roman" w:cs="Traditional Arabic"/>
          <w:sz w:val="28"/>
          <w:szCs w:val="28"/>
        </w:rPr>
      </w:pPr>
      <w:r w:rsidRPr="00074754">
        <w:rPr>
          <w:rFonts w:ascii="Times New Roman" w:eastAsia="Calibri" w:hAnsi="Times New Roman" w:cs="Traditional Arabic" w:hint="cs"/>
          <w:sz w:val="28"/>
          <w:szCs w:val="28"/>
          <w:rtl/>
        </w:rPr>
        <w:t>ي</w:t>
      </w:r>
      <w:r w:rsidRPr="00074754">
        <w:rPr>
          <w:rFonts w:ascii="Times New Roman" w:eastAsia="Calibri" w:hAnsi="Times New Roman" w:cs="Traditional Arabic"/>
          <w:sz w:val="28"/>
          <w:szCs w:val="28"/>
          <w:rtl/>
        </w:rPr>
        <w:t>وجد تأثير للتحول الإداري على فاعلية اتخاذ القرار الاستراتيجي في وزارات الصناعة بدول مجلس التعاون الخليجي.</w:t>
      </w:r>
    </w:p>
    <w:p w14:paraId="7E169002" w14:textId="083A682D" w:rsidR="00D04E07" w:rsidRPr="00074754" w:rsidRDefault="00D04E07" w:rsidP="00D04E07">
      <w:pPr>
        <w:pStyle w:val="ListParagraph"/>
        <w:numPr>
          <w:ilvl w:val="1"/>
          <w:numId w:val="20"/>
        </w:numPr>
        <w:tabs>
          <w:tab w:val="left" w:pos="2966"/>
        </w:tabs>
        <w:bidi/>
        <w:spacing w:before="100" w:beforeAutospacing="1" w:after="100" w:afterAutospacing="1" w:line="360" w:lineRule="auto"/>
        <w:jc w:val="both"/>
        <w:rPr>
          <w:rFonts w:ascii="Times New Roman" w:eastAsia="Calibri" w:hAnsi="Times New Roman" w:cs="Traditional Arabic"/>
          <w:sz w:val="28"/>
          <w:szCs w:val="28"/>
        </w:rPr>
      </w:pPr>
      <w:r w:rsidRPr="00074754">
        <w:rPr>
          <w:rFonts w:ascii="Times New Roman" w:eastAsia="Calibri" w:hAnsi="Times New Roman" w:cs="Traditional Arabic"/>
          <w:sz w:val="28"/>
          <w:szCs w:val="28"/>
          <w:rtl/>
        </w:rPr>
        <w:t>يوجد تأثير لتحول العمليات على فاعلية اتخاذ القرار الاستراتيجي في وزارات الصناعة بدول مجلس التعاون الخليجي.</w:t>
      </w:r>
    </w:p>
    <w:p w14:paraId="6489F580" w14:textId="3F0D872A" w:rsidR="00E00DF6" w:rsidRPr="00074754" w:rsidRDefault="00E00DF6" w:rsidP="00082B2B">
      <w:pPr>
        <w:pStyle w:val="ListParagraph"/>
        <w:numPr>
          <w:ilvl w:val="0"/>
          <w:numId w:val="1"/>
        </w:numPr>
        <w:tabs>
          <w:tab w:val="left" w:pos="2966"/>
        </w:tabs>
        <w:bidi/>
        <w:spacing w:before="100" w:beforeAutospacing="1" w:after="100" w:afterAutospacing="1" w:line="360" w:lineRule="auto"/>
        <w:jc w:val="both"/>
        <w:rPr>
          <w:rFonts w:ascii="Times New Roman" w:eastAsia="Calibri" w:hAnsi="Times New Roman" w:cs="Traditional Arabic"/>
          <w:b/>
          <w:bCs/>
          <w:sz w:val="28"/>
          <w:szCs w:val="28"/>
        </w:rPr>
      </w:pPr>
      <w:r w:rsidRPr="00074754">
        <w:rPr>
          <w:rFonts w:ascii="Traditional Arabic" w:eastAsia="Calibri" w:hAnsi="Traditional Arabic" w:cs="Traditional Arabic" w:hint="cs"/>
          <w:b/>
          <w:bCs/>
          <w:sz w:val="28"/>
          <w:szCs w:val="28"/>
          <w:rtl/>
        </w:rPr>
        <w:t>الفرضية</w:t>
      </w:r>
      <w:r w:rsidRPr="00074754">
        <w:rPr>
          <w:rFonts w:ascii="Times New Roman" w:eastAsia="Calibri" w:hAnsi="Times New Roman" w:cs="Traditional Arabic"/>
          <w:b/>
          <w:bCs/>
          <w:sz w:val="28"/>
          <w:szCs w:val="28"/>
          <w:rtl/>
        </w:rPr>
        <w:t xml:space="preserve"> </w:t>
      </w:r>
      <w:r w:rsidRPr="00074754">
        <w:rPr>
          <w:rFonts w:ascii="Traditional Arabic" w:eastAsia="Calibri" w:hAnsi="Traditional Arabic" w:cs="Traditional Arabic" w:hint="cs"/>
          <w:b/>
          <w:bCs/>
          <w:sz w:val="28"/>
          <w:szCs w:val="28"/>
          <w:rtl/>
        </w:rPr>
        <w:t>الرئيسية</w:t>
      </w:r>
      <w:r w:rsidRPr="00074754">
        <w:rPr>
          <w:rFonts w:ascii="Times New Roman" w:eastAsia="Calibri" w:hAnsi="Times New Roman" w:cs="Traditional Arabic"/>
          <w:b/>
          <w:bCs/>
          <w:sz w:val="28"/>
          <w:szCs w:val="28"/>
          <w:rtl/>
        </w:rPr>
        <w:t xml:space="preserve"> </w:t>
      </w:r>
      <w:r w:rsidRPr="00074754">
        <w:rPr>
          <w:rFonts w:ascii="Traditional Arabic" w:eastAsia="Calibri" w:hAnsi="Traditional Arabic" w:cs="Traditional Arabic" w:hint="cs"/>
          <w:b/>
          <w:bCs/>
          <w:sz w:val="28"/>
          <w:szCs w:val="28"/>
          <w:rtl/>
        </w:rPr>
        <w:t>الثانية</w:t>
      </w:r>
      <w:r w:rsidRPr="00074754">
        <w:rPr>
          <w:rFonts w:ascii="Times New Roman" w:eastAsia="Calibri" w:hAnsi="Times New Roman" w:cs="Traditional Arabic"/>
          <w:b/>
          <w:bCs/>
          <w:sz w:val="28"/>
          <w:szCs w:val="28"/>
          <w:rtl/>
        </w:rPr>
        <w:t>:</w:t>
      </w:r>
      <w:r w:rsidRPr="00074754">
        <w:rPr>
          <w:rFonts w:ascii="Times New Roman" w:eastAsia="Calibri" w:hAnsi="Times New Roman" w:cs="Traditional Arabic" w:hint="cs"/>
          <w:b/>
          <w:bCs/>
          <w:sz w:val="28"/>
          <w:szCs w:val="28"/>
          <w:rtl/>
        </w:rPr>
        <w:t xml:space="preserve"> </w:t>
      </w:r>
      <w:r w:rsidRPr="00074754">
        <w:rPr>
          <w:rFonts w:ascii="Times New Roman" w:eastAsia="Calibri" w:hAnsi="Times New Roman" w:cs="Traditional Arabic"/>
          <w:sz w:val="28"/>
          <w:szCs w:val="28"/>
          <w:rtl/>
        </w:rPr>
        <w:t xml:space="preserve">يوجد تأثير مباشر ذو دلالة إحصائية </w:t>
      </w:r>
      <w:r w:rsidR="00082B2B" w:rsidRPr="00074754">
        <w:rPr>
          <w:rFonts w:ascii="Times New Roman" w:eastAsia="Calibri" w:hAnsi="Times New Roman" w:cs="Traditional Arabic"/>
          <w:sz w:val="28"/>
          <w:szCs w:val="28"/>
          <w:rtl/>
        </w:rPr>
        <w:t>للتحول الرقمي بأبعاده (التحول الاستراتيجي، التحول الإداري، تحول العمليات، مركزية العملاء) على</w:t>
      </w:r>
      <w:r w:rsidR="00082B2B" w:rsidRPr="00074754">
        <w:rPr>
          <w:rFonts w:ascii="Times New Roman" w:eastAsia="Calibri" w:hAnsi="Times New Roman" w:cs="Traditional Arabic" w:hint="cs"/>
          <w:sz w:val="28"/>
          <w:szCs w:val="28"/>
          <w:rtl/>
        </w:rPr>
        <w:t xml:space="preserve"> </w:t>
      </w:r>
      <w:r w:rsidR="00082B2B" w:rsidRPr="00074754">
        <w:rPr>
          <w:rFonts w:ascii="Times New Roman" w:eastAsia="Calibri" w:hAnsi="Times New Roman" w:cs="Traditional Arabic"/>
          <w:sz w:val="28"/>
          <w:szCs w:val="28"/>
          <w:rtl/>
        </w:rPr>
        <w:t>شفافية المعلوماتية بأبعادها (شفافية الأنظمة واللوائح، شفافية الإجراءات، شفافية الاتصال والمعلومات) في وزارات الصناعة بدول مجلس التعاون الخليجي</w:t>
      </w:r>
      <w:r w:rsidRPr="00074754">
        <w:rPr>
          <w:rFonts w:ascii="Times New Roman" w:eastAsia="Calibri" w:hAnsi="Times New Roman" w:cs="Traditional Arabic"/>
          <w:sz w:val="28"/>
          <w:szCs w:val="28"/>
          <w:rtl/>
        </w:rPr>
        <w:t>.</w:t>
      </w:r>
    </w:p>
    <w:p w14:paraId="569E0E19" w14:textId="6B4EA31B" w:rsidR="00E00DF6" w:rsidRPr="00074754" w:rsidRDefault="00E00DF6" w:rsidP="00082B2B">
      <w:pPr>
        <w:pStyle w:val="ListParagraph"/>
        <w:numPr>
          <w:ilvl w:val="0"/>
          <w:numId w:val="1"/>
        </w:numPr>
        <w:tabs>
          <w:tab w:val="left" w:pos="2966"/>
        </w:tabs>
        <w:bidi/>
        <w:spacing w:before="100" w:beforeAutospacing="1" w:after="100" w:afterAutospacing="1" w:line="360" w:lineRule="auto"/>
        <w:jc w:val="both"/>
        <w:rPr>
          <w:rFonts w:ascii="Times New Roman" w:eastAsia="Calibri" w:hAnsi="Times New Roman" w:cs="Traditional Arabic"/>
          <w:b/>
          <w:bCs/>
          <w:sz w:val="28"/>
          <w:szCs w:val="28"/>
        </w:rPr>
      </w:pPr>
      <w:r w:rsidRPr="00074754">
        <w:rPr>
          <w:rFonts w:ascii="Traditional Arabic" w:eastAsia="Calibri" w:hAnsi="Traditional Arabic" w:cs="Traditional Arabic" w:hint="cs"/>
          <w:b/>
          <w:bCs/>
          <w:sz w:val="28"/>
          <w:szCs w:val="28"/>
          <w:rtl/>
        </w:rPr>
        <w:t>الفرضية</w:t>
      </w:r>
      <w:r w:rsidRPr="00074754">
        <w:rPr>
          <w:rFonts w:ascii="Times New Roman" w:eastAsia="Calibri" w:hAnsi="Times New Roman" w:cs="Traditional Arabic"/>
          <w:b/>
          <w:bCs/>
          <w:sz w:val="28"/>
          <w:szCs w:val="28"/>
          <w:rtl/>
        </w:rPr>
        <w:t xml:space="preserve"> </w:t>
      </w:r>
      <w:r w:rsidRPr="00074754">
        <w:rPr>
          <w:rFonts w:ascii="Traditional Arabic" w:eastAsia="Calibri" w:hAnsi="Traditional Arabic" w:cs="Traditional Arabic" w:hint="cs"/>
          <w:b/>
          <w:bCs/>
          <w:sz w:val="28"/>
          <w:szCs w:val="28"/>
          <w:rtl/>
        </w:rPr>
        <w:t>الرئيسية</w:t>
      </w:r>
      <w:r w:rsidRPr="00074754">
        <w:rPr>
          <w:rFonts w:ascii="Times New Roman" w:eastAsia="Calibri" w:hAnsi="Times New Roman" w:cs="Traditional Arabic"/>
          <w:b/>
          <w:bCs/>
          <w:sz w:val="28"/>
          <w:szCs w:val="28"/>
          <w:rtl/>
        </w:rPr>
        <w:t xml:space="preserve"> </w:t>
      </w:r>
      <w:r w:rsidRPr="00074754">
        <w:rPr>
          <w:rFonts w:ascii="Traditional Arabic" w:eastAsia="Calibri" w:hAnsi="Traditional Arabic" w:cs="Traditional Arabic" w:hint="cs"/>
          <w:b/>
          <w:bCs/>
          <w:sz w:val="28"/>
          <w:szCs w:val="28"/>
          <w:rtl/>
        </w:rPr>
        <w:t>الثالثة</w:t>
      </w:r>
      <w:r w:rsidRPr="00074754">
        <w:rPr>
          <w:rFonts w:ascii="Times New Roman" w:eastAsia="Calibri" w:hAnsi="Times New Roman" w:cs="Traditional Arabic"/>
          <w:b/>
          <w:bCs/>
          <w:sz w:val="28"/>
          <w:szCs w:val="28"/>
          <w:rtl/>
        </w:rPr>
        <w:t>:</w:t>
      </w:r>
      <w:r w:rsidRPr="00074754">
        <w:rPr>
          <w:rFonts w:ascii="Times New Roman" w:eastAsia="Calibri" w:hAnsi="Times New Roman" w:cs="Traditional Arabic" w:hint="cs"/>
          <w:b/>
          <w:bCs/>
          <w:sz w:val="28"/>
          <w:szCs w:val="28"/>
          <w:rtl/>
        </w:rPr>
        <w:t xml:space="preserve"> </w:t>
      </w:r>
      <w:r w:rsidRPr="00074754">
        <w:rPr>
          <w:rFonts w:ascii="Times New Roman" w:eastAsia="Calibri" w:hAnsi="Times New Roman" w:cs="Traditional Arabic"/>
          <w:sz w:val="28"/>
          <w:szCs w:val="28"/>
          <w:rtl/>
        </w:rPr>
        <w:t xml:space="preserve">يوجد تأثير ذو دلالة إحصائية </w:t>
      </w:r>
      <w:r w:rsidR="00082B2B" w:rsidRPr="00074754">
        <w:rPr>
          <w:rFonts w:ascii="Times New Roman" w:eastAsia="Calibri" w:hAnsi="Times New Roman" w:cs="Traditional Arabic"/>
          <w:sz w:val="28"/>
          <w:szCs w:val="28"/>
          <w:rtl/>
        </w:rPr>
        <w:t>للشفافية المعلوماتية بأبعادها (شفافية الأنظمة واللوائح، شفافية الإجراءات، شفافية الاتصال والمعلومات) على فاعلية اتخاذ القرار الاستراتيجي في وزارات الصناعة بدول مجلس التعاون الخليجي</w:t>
      </w:r>
      <w:r w:rsidR="00082B2B" w:rsidRPr="00074754">
        <w:rPr>
          <w:rFonts w:ascii="Times New Roman" w:eastAsia="Calibri" w:hAnsi="Times New Roman" w:cs="Traditional Arabic"/>
          <w:sz w:val="28"/>
          <w:szCs w:val="28"/>
        </w:rPr>
        <w:t>.</w:t>
      </w:r>
    </w:p>
    <w:p w14:paraId="574C12D8" w14:textId="5323B816" w:rsidR="00E00DF6" w:rsidRPr="00074754" w:rsidRDefault="00E00DF6" w:rsidP="0015003F">
      <w:pPr>
        <w:pStyle w:val="ListParagraph"/>
        <w:numPr>
          <w:ilvl w:val="0"/>
          <w:numId w:val="1"/>
        </w:numPr>
        <w:tabs>
          <w:tab w:val="left" w:pos="2966"/>
        </w:tabs>
        <w:bidi/>
        <w:spacing w:before="100" w:beforeAutospacing="1" w:after="100" w:afterAutospacing="1" w:line="360" w:lineRule="auto"/>
        <w:jc w:val="both"/>
        <w:rPr>
          <w:rFonts w:ascii="Times New Roman" w:eastAsia="Calibri" w:hAnsi="Times New Roman" w:cs="Traditional Arabic"/>
          <w:b/>
          <w:bCs/>
          <w:sz w:val="28"/>
          <w:szCs w:val="28"/>
        </w:rPr>
      </w:pPr>
      <w:r w:rsidRPr="00074754">
        <w:rPr>
          <w:rFonts w:ascii="Traditional Arabic" w:eastAsia="Calibri" w:hAnsi="Traditional Arabic" w:cs="Traditional Arabic" w:hint="cs"/>
          <w:b/>
          <w:bCs/>
          <w:sz w:val="28"/>
          <w:szCs w:val="28"/>
          <w:rtl/>
        </w:rPr>
        <w:t>الفرضية</w:t>
      </w:r>
      <w:r w:rsidRPr="00074754">
        <w:rPr>
          <w:rFonts w:ascii="Times New Roman" w:eastAsia="Calibri" w:hAnsi="Times New Roman" w:cs="Traditional Arabic"/>
          <w:b/>
          <w:bCs/>
          <w:sz w:val="28"/>
          <w:szCs w:val="28"/>
          <w:rtl/>
        </w:rPr>
        <w:t xml:space="preserve"> </w:t>
      </w:r>
      <w:r w:rsidRPr="00074754">
        <w:rPr>
          <w:rFonts w:ascii="Traditional Arabic" w:eastAsia="Calibri" w:hAnsi="Traditional Arabic" w:cs="Traditional Arabic" w:hint="cs"/>
          <w:b/>
          <w:bCs/>
          <w:sz w:val="28"/>
          <w:szCs w:val="28"/>
          <w:rtl/>
        </w:rPr>
        <w:t>الرئيسية</w:t>
      </w:r>
      <w:r w:rsidRPr="00074754">
        <w:rPr>
          <w:rFonts w:ascii="Times New Roman" w:eastAsia="Calibri" w:hAnsi="Times New Roman" w:cs="Traditional Arabic"/>
          <w:b/>
          <w:bCs/>
          <w:sz w:val="28"/>
          <w:szCs w:val="28"/>
          <w:rtl/>
        </w:rPr>
        <w:t xml:space="preserve"> </w:t>
      </w:r>
      <w:r w:rsidRPr="00074754">
        <w:rPr>
          <w:rFonts w:ascii="Traditional Arabic" w:eastAsia="Calibri" w:hAnsi="Traditional Arabic" w:cs="Traditional Arabic" w:hint="cs"/>
          <w:b/>
          <w:bCs/>
          <w:sz w:val="28"/>
          <w:szCs w:val="28"/>
          <w:rtl/>
        </w:rPr>
        <w:t>الرابعة</w:t>
      </w:r>
      <w:r w:rsidRPr="00074754">
        <w:rPr>
          <w:rFonts w:ascii="Times New Roman" w:eastAsia="Calibri" w:hAnsi="Times New Roman" w:cs="Traditional Arabic"/>
          <w:b/>
          <w:bCs/>
          <w:sz w:val="28"/>
          <w:szCs w:val="28"/>
          <w:rtl/>
        </w:rPr>
        <w:t>:</w:t>
      </w:r>
      <w:r w:rsidRPr="00074754">
        <w:rPr>
          <w:rFonts w:ascii="Times New Roman" w:eastAsia="Calibri" w:hAnsi="Times New Roman" w:cs="Traditional Arabic" w:hint="cs"/>
          <w:sz w:val="28"/>
          <w:szCs w:val="28"/>
          <w:rtl/>
        </w:rPr>
        <w:t xml:space="preserve"> </w:t>
      </w:r>
      <w:r w:rsidRPr="00074754">
        <w:rPr>
          <w:rFonts w:ascii="Times New Roman" w:eastAsia="Calibri" w:hAnsi="Times New Roman" w:cs="Traditional Arabic"/>
          <w:sz w:val="28"/>
          <w:szCs w:val="28"/>
          <w:rtl/>
        </w:rPr>
        <w:t xml:space="preserve">يوجد </w:t>
      </w:r>
      <w:r w:rsidR="0015003F" w:rsidRPr="00074754">
        <w:rPr>
          <w:rFonts w:ascii="Times New Roman" w:eastAsia="Calibri" w:hAnsi="Times New Roman" w:cs="Traditional Arabic" w:hint="cs"/>
          <w:sz w:val="28"/>
          <w:szCs w:val="28"/>
          <w:rtl/>
        </w:rPr>
        <w:t>تأثير غير</w:t>
      </w:r>
      <w:r w:rsidR="00082B2B" w:rsidRPr="00074754">
        <w:rPr>
          <w:rFonts w:ascii="Times New Roman" w:eastAsia="Calibri" w:hAnsi="Times New Roman" w:cs="Traditional Arabic" w:hint="cs"/>
          <w:sz w:val="28"/>
          <w:szCs w:val="28"/>
          <w:rtl/>
        </w:rPr>
        <w:t xml:space="preserve"> </w:t>
      </w:r>
      <w:r w:rsidR="0015003F" w:rsidRPr="00074754">
        <w:rPr>
          <w:rFonts w:ascii="Times New Roman" w:eastAsia="Calibri" w:hAnsi="Times New Roman" w:cs="Traditional Arabic" w:hint="cs"/>
          <w:sz w:val="28"/>
          <w:szCs w:val="28"/>
          <w:rtl/>
        </w:rPr>
        <w:t>م</w:t>
      </w:r>
      <w:r w:rsidR="0015003F">
        <w:rPr>
          <w:rFonts w:ascii="Times New Roman" w:eastAsia="Calibri" w:hAnsi="Times New Roman" w:cs="Traditional Arabic" w:hint="cs"/>
          <w:sz w:val="28"/>
          <w:szCs w:val="28"/>
          <w:rtl/>
        </w:rPr>
        <w:t>باش</w:t>
      </w:r>
      <w:r w:rsidR="0015003F" w:rsidRPr="00074754">
        <w:rPr>
          <w:rFonts w:ascii="Times New Roman" w:eastAsia="Calibri" w:hAnsi="Times New Roman" w:cs="Traditional Arabic" w:hint="cs"/>
          <w:sz w:val="28"/>
          <w:szCs w:val="28"/>
          <w:rtl/>
        </w:rPr>
        <w:t>ر</w:t>
      </w:r>
      <w:r w:rsidR="00082B2B" w:rsidRPr="00074754">
        <w:rPr>
          <w:rFonts w:ascii="Times New Roman" w:eastAsia="Calibri" w:hAnsi="Times New Roman" w:cs="Traditional Arabic" w:hint="cs"/>
          <w:sz w:val="28"/>
          <w:szCs w:val="28"/>
          <w:rtl/>
        </w:rPr>
        <w:t xml:space="preserve"> </w:t>
      </w:r>
      <w:r w:rsidRPr="00074754">
        <w:rPr>
          <w:rFonts w:ascii="Times New Roman" w:eastAsia="Calibri" w:hAnsi="Times New Roman" w:cs="Traditional Arabic"/>
          <w:sz w:val="28"/>
          <w:szCs w:val="28"/>
          <w:rtl/>
        </w:rPr>
        <w:t xml:space="preserve">ذو دلالة إحصائية </w:t>
      </w:r>
      <w:r w:rsidR="00082B2B" w:rsidRPr="00074754">
        <w:rPr>
          <w:rFonts w:ascii="Times New Roman" w:eastAsia="Calibri" w:hAnsi="Times New Roman" w:cs="Traditional Arabic" w:hint="cs"/>
          <w:sz w:val="28"/>
          <w:szCs w:val="28"/>
          <w:rtl/>
        </w:rPr>
        <w:t xml:space="preserve">لتوسيط شفافية المعلومات </w:t>
      </w:r>
      <w:r w:rsidR="00082B2B" w:rsidRPr="00074754">
        <w:rPr>
          <w:rFonts w:ascii="Times New Roman" w:eastAsia="Calibri" w:hAnsi="Times New Roman" w:cs="Traditional Arabic"/>
          <w:sz w:val="28"/>
          <w:szCs w:val="28"/>
          <w:rtl/>
        </w:rPr>
        <w:t>بأبعادها (شفافية الأنظمة واللوائح، شفافية الإجراءات، شفافية الاتصال والمعلومات)</w:t>
      </w:r>
      <w:r w:rsidR="00082B2B" w:rsidRPr="00074754">
        <w:rPr>
          <w:rtl/>
        </w:rPr>
        <w:t xml:space="preserve"> </w:t>
      </w:r>
      <w:r w:rsidR="00082B2B" w:rsidRPr="00074754">
        <w:rPr>
          <w:rFonts w:ascii="Times New Roman" w:eastAsia="Calibri" w:hAnsi="Times New Roman" w:cs="Traditional Arabic"/>
          <w:sz w:val="28"/>
          <w:szCs w:val="28"/>
          <w:rtl/>
        </w:rPr>
        <w:t>في العلاقة بين التحول الرقمي وفاعلية اتخاذ القرار الاستراتيجي في وزارات الصناعة بدول مجلس التعاون الخليجي</w:t>
      </w:r>
      <w:r w:rsidR="00082B2B" w:rsidRPr="00074754">
        <w:rPr>
          <w:rFonts w:ascii="Times New Roman" w:eastAsia="Calibri" w:hAnsi="Times New Roman" w:cs="Traditional Arabic"/>
          <w:sz w:val="28"/>
          <w:szCs w:val="28"/>
        </w:rPr>
        <w:t>.</w:t>
      </w:r>
      <w:r w:rsidRPr="00074754">
        <w:rPr>
          <w:rFonts w:ascii="Times New Roman" w:eastAsia="Calibri" w:hAnsi="Times New Roman" w:cs="Traditional Arabic"/>
          <w:sz w:val="28"/>
          <w:szCs w:val="28"/>
          <w:rtl/>
        </w:rPr>
        <w:t>.</w:t>
      </w:r>
    </w:p>
    <w:p w14:paraId="097E0528" w14:textId="43D53425" w:rsidR="00735F0D" w:rsidRPr="00074754" w:rsidRDefault="00EF5312" w:rsidP="006373C8">
      <w:pPr>
        <w:bidi/>
        <w:spacing w:before="100" w:beforeAutospacing="1" w:after="100" w:afterAutospacing="1" w:line="360" w:lineRule="auto"/>
        <w:outlineLvl w:val="1"/>
        <w:rPr>
          <w:rFonts w:ascii="Times New Roman" w:hAnsi="Times New Roman" w:cs="Traditional Arabic"/>
          <w:sz w:val="28"/>
          <w:szCs w:val="28"/>
          <w:rtl/>
        </w:rPr>
      </w:pPr>
      <w:bookmarkStart w:id="12" w:name="_Toc202226010"/>
      <w:bookmarkEnd w:id="11"/>
      <w:r>
        <w:rPr>
          <w:rFonts w:ascii="Times New Roman" w:hAnsi="Times New Roman" w:cs="Traditional Arabic" w:hint="cs"/>
          <w:b/>
          <w:bCs/>
          <w:sz w:val="32"/>
          <w:szCs w:val="32"/>
          <w:rtl/>
        </w:rPr>
        <w:t>6</w:t>
      </w:r>
      <w:r w:rsidR="0077566C" w:rsidRPr="00074754">
        <w:rPr>
          <w:rFonts w:ascii="Times New Roman" w:hAnsi="Times New Roman" w:cs="Traditional Arabic" w:hint="cs"/>
          <w:b/>
          <w:bCs/>
          <w:sz w:val="32"/>
          <w:szCs w:val="32"/>
          <w:rtl/>
        </w:rPr>
        <w:t xml:space="preserve">.1 </w:t>
      </w:r>
      <w:r w:rsidR="00735F0D" w:rsidRPr="00074754">
        <w:rPr>
          <w:rFonts w:ascii="Times New Roman" w:hAnsi="Times New Roman" w:cs="Traditional Arabic" w:hint="cs"/>
          <w:b/>
          <w:bCs/>
          <w:sz w:val="32"/>
          <w:szCs w:val="32"/>
          <w:rtl/>
        </w:rPr>
        <w:t>مصطلحات الدراسة وتعريفاتها الإجرائية</w:t>
      </w:r>
      <w:bookmarkEnd w:id="12"/>
    </w:p>
    <w:p w14:paraId="220E593E" w14:textId="280A0941" w:rsidR="00735F0D" w:rsidRPr="00074754" w:rsidRDefault="0010520B" w:rsidP="0015003F">
      <w:pPr>
        <w:pStyle w:val="ListParagraph"/>
        <w:numPr>
          <w:ilvl w:val="0"/>
          <w:numId w:val="8"/>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b/>
          <w:bCs/>
          <w:kern w:val="2"/>
          <w:sz w:val="28"/>
          <w:szCs w:val="28"/>
          <w:rtl/>
          <w14:ligatures w14:val="standardContextual"/>
        </w:rPr>
        <w:t>يعرف التحول الرقمي</w:t>
      </w:r>
      <w:r w:rsidRPr="00074754">
        <w:rPr>
          <w:rFonts w:ascii="Times New Roman" w:eastAsia="Calibri" w:hAnsi="Times New Roman" w:cs="Traditional Arabic"/>
          <w:kern w:val="2"/>
          <w:sz w:val="28"/>
          <w:szCs w:val="28"/>
          <w:rtl/>
          <w14:ligatures w14:val="standardContextual"/>
        </w:rPr>
        <w:t xml:space="preserve"> بأنه:</w:t>
      </w:r>
      <w:r w:rsidRPr="00074754">
        <w:rPr>
          <w:rFonts w:ascii="Times New Roman" w:eastAsia="Calibri" w:hAnsi="Times New Roman" w:cs="Traditional Arabic" w:hint="cs"/>
          <w:kern w:val="2"/>
          <w:sz w:val="28"/>
          <w:szCs w:val="28"/>
          <w:rtl/>
          <w14:ligatures w14:val="standardContextual"/>
        </w:rPr>
        <w:t xml:space="preserve"> </w:t>
      </w:r>
      <w:r w:rsidRPr="00074754">
        <w:rPr>
          <w:rFonts w:ascii="Times New Roman" w:eastAsia="Calibri" w:hAnsi="Times New Roman" w:cs="Traditional Arabic"/>
          <w:kern w:val="2"/>
          <w:sz w:val="28"/>
          <w:szCs w:val="28"/>
          <w:rtl/>
          <w14:ligatures w14:val="standardContextual"/>
        </w:rPr>
        <w:t>"عملية تبني المنظمات للتقنيات الرقمية الحديثة من أجل تحسين نماذج العمل، ورفع كفاءة الأداء، وتعزيز القيمة المقدّمة للمستفيدين، وذلك عبر إعادة تصميم العمليات والخدمات لتكون أكثر مرونة واستجابة للمتغيرات البيئية"(الطيب، 2024).</w:t>
      </w:r>
    </w:p>
    <w:p w14:paraId="60D5EA0A" w14:textId="2411DBDB" w:rsidR="0010520B" w:rsidRPr="00074754" w:rsidRDefault="0010520B" w:rsidP="0010520B">
      <w:pPr>
        <w:pStyle w:val="ListParagraph"/>
        <w:numPr>
          <w:ilvl w:val="0"/>
          <w:numId w:val="8"/>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b/>
          <w:bCs/>
          <w:kern w:val="2"/>
          <w:sz w:val="28"/>
          <w:szCs w:val="28"/>
          <w:rtl/>
          <w14:ligatures w14:val="standardContextual"/>
        </w:rPr>
        <w:t>التعريف الإجرائي:</w:t>
      </w:r>
      <w:r w:rsidR="00245DC6" w:rsidRPr="00074754">
        <w:rPr>
          <w:rFonts w:ascii="Times New Roman" w:eastAsia="Calibri" w:hAnsi="Times New Roman" w:cs="Traditional Arabic" w:hint="cs"/>
          <w:kern w:val="2"/>
          <w:sz w:val="28"/>
          <w:szCs w:val="28"/>
          <w:rtl/>
          <w14:ligatures w14:val="standardContextual"/>
        </w:rPr>
        <w:t xml:space="preserve"> </w:t>
      </w:r>
      <w:r w:rsidRPr="00074754">
        <w:rPr>
          <w:rFonts w:ascii="Times New Roman" w:eastAsia="Calibri" w:hAnsi="Times New Roman" w:cs="Traditional Arabic"/>
          <w:kern w:val="2"/>
          <w:sz w:val="28"/>
          <w:szCs w:val="28"/>
          <w:rtl/>
          <w14:ligatures w14:val="standardContextual"/>
        </w:rPr>
        <w:t>يقاس من خلال مدى تبنّي وزارات الصناعة في دول مجلس التعاون الخليجي للتقنيات الرقمية وتطبيقاتها في العمليات الإدارية والتنظيمية والخدمية، بما يسهم في تعزيز فاعلية الأداء المؤسسي.</w:t>
      </w:r>
    </w:p>
    <w:p w14:paraId="0D3C8434" w14:textId="7E48D9F6" w:rsidR="0010520B" w:rsidRPr="00074754" w:rsidRDefault="0010520B" w:rsidP="0015003F">
      <w:pPr>
        <w:pStyle w:val="ListParagraph"/>
        <w:numPr>
          <w:ilvl w:val="0"/>
          <w:numId w:val="8"/>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b/>
          <w:bCs/>
          <w:kern w:val="2"/>
          <w:sz w:val="28"/>
          <w:szCs w:val="28"/>
          <w:rtl/>
          <w14:ligatures w14:val="standardContextual"/>
        </w:rPr>
        <w:lastRenderedPageBreak/>
        <w:t>التحول الاستراتيجي (</w:t>
      </w:r>
      <w:r w:rsidRPr="00074754">
        <w:rPr>
          <w:rFonts w:ascii="Times New Roman" w:eastAsia="Calibri" w:hAnsi="Times New Roman" w:cs="Traditional Arabic"/>
          <w:b/>
          <w:bCs/>
          <w:kern w:val="2"/>
          <w:sz w:val="28"/>
          <w:szCs w:val="28"/>
          <w14:ligatures w14:val="standardContextual"/>
        </w:rPr>
        <w:t>Strategic Transformation</w:t>
      </w:r>
      <w:r w:rsidR="00140115" w:rsidRPr="00074754">
        <w:rPr>
          <w:rFonts w:ascii="Times New Roman" w:eastAsia="Calibri" w:hAnsi="Times New Roman" w:cs="Traditional Arabic" w:hint="cs"/>
          <w:b/>
          <w:bCs/>
          <w:kern w:val="2"/>
          <w:sz w:val="28"/>
          <w:szCs w:val="28"/>
          <w:rtl/>
          <w14:ligatures w14:val="standardContextual"/>
        </w:rPr>
        <w:t>)</w:t>
      </w:r>
      <w:r w:rsidR="00140115" w:rsidRPr="00074754">
        <w:rPr>
          <w:rFonts w:ascii="Times New Roman" w:eastAsia="Calibri" w:hAnsi="Times New Roman" w:cs="Traditional Arabic" w:hint="cs"/>
          <w:kern w:val="2"/>
          <w:sz w:val="28"/>
          <w:szCs w:val="28"/>
          <w:rtl/>
          <w14:ligatures w14:val="standardContextual"/>
        </w:rPr>
        <w:t>: يُشير</w:t>
      </w:r>
      <w:r w:rsidRPr="00074754">
        <w:rPr>
          <w:rFonts w:ascii="Times New Roman" w:eastAsia="Calibri" w:hAnsi="Times New Roman" w:cs="Traditional Arabic"/>
          <w:kern w:val="2"/>
          <w:sz w:val="28"/>
          <w:szCs w:val="28"/>
          <w:rtl/>
          <w14:ligatures w14:val="standardContextual"/>
        </w:rPr>
        <w:t xml:space="preserve"> إلى عملية إعادة صياغة التوجهات الاستراتيجية للمؤسسة بما يتماشى مع متطلبات البيئة الرقمية، من خلال دمج التقنيات الحديثة في الرؤية، والرسالة، والأهداف، والاستراتيجيات التنافسية</w:t>
      </w:r>
      <w:r w:rsidRPr="00074754">
        <w:rPr>
          <w:rFonts w:ascii="Times New Roman" w:eastAsia="Calibri" w:hAnsi="Times New Roman" w:cs="Traditional Arabic" w:hint="cs"/>
          <w:kern w:val="2"/>
          <w:sz w:val="28"/>
          <w:szCs w:val="28"/>
          <w:rtl/>
          <w14:ligatures w14:val="standardContextual"/>
        </w:rPr>
        <w:t xml:space="preserve"> </w:t>
      </w:r>
      <w:r w:rsidRPr="00074754">
        <w:rPr>
          <w:rFonts w:ascii="Times New Roman" w:eastAsia="Calibri" w:hAnsi="Times New Roman" w:cs="Traditional Arabic"/>
          <w:kern w:val="2"/>
          <w:sz w:val="28"/>
          <w:szCs w:val="28"/>
          <w:rtl/>
          <w14:ligatures w14:val="standardContextual"/>
        </w:rPr>
        <w:t>(عبد المنعم ورضوان، 2023)</w:t>
      </w:r>
      <w:r w:rsidRPr="00074754">
        <w:rPr>
          <w:rFonts w:ascii="Times New Roman" w:eastAsia="Calibri" w:hAnsi="Times New Roman" w:cs="Traditional Arabic" w:hint="cs"/>
          <w:kern w:val="2"/>
          <w:sz w:val="28"/>
          <w:szCs w:val="28"/>
          <w:rtl/>
          <w14:ligatures w14:val="standardContextual"/>
        </w:rPr>
        <w:t>.</w:t>
      </w:r>
    </w:p>
    <w:p w14:paraId="37E407B3" w14:textId="07FAA83F" w:rsidR="0010520B" w:rsidRPr="00074754" w:rsidRDefault="00245DC6" w:rsidP="00245DC6">
      <w:pPr>
        <w:pStyle w:val="ListParagraph"/>
        <w:numPr>
          <w:ilvl w:val="0"/>
          <w:numId w:val="8"/>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bookmarkStart w:id="13" w:name="_Hlk202221417"/>
      <w:r w:rsidRPr="00074754">
        <w:rPr>
          <w:rFonts w:ascii="Times New Roman" w:eastAsia="Calibri" w:hAnsi="Times New Roman" w:cs="Traditional Arabic"/>
          <w:b/>
          <w:bCs/>
          <w:kern w:val="2"/>
          <w:sz w:val="28"/>
          <w:szCs w:val="28"/>
          <w:rtl/>
          <w14:ligatures w14:val="standardContextual"/>
        </w:rPr>
        <w:t>التعريف الإجرائي:</w:t>
      </w:r>
      <w:r w:rsidRPr="00074754">
        <w:rPr>
          <w:rFonts w:ascii="Times New Roman" w:eastAsia="Calibri" w:hAnsi="Times New Roman" w:cs="Traditional Arabic" w:hint="cs"/>
          <w:kern w:val="2"/>
          <w:sz w:val="28"/>
          <w:szCs w:val="28"/>
          <w:rtl/>
          <w14:ligatures w14:val="standardContextual"/>
        </w:rPr>
        <w:t xml:space="preserve"> </w:t>
      </w:r>
      <w:bookmarkEnd w:id="13"/>
      <w:r w:rsidR="0010520B" w:rsidRPr="00074754">
        <w:rPr>
          <w:rFonts w:ascii="Times New Roman" w:eastAsia="Calibri" w:hAnsi="Times New Roman" w:cs="Traditional Arabic"/>
          <w:kern w:val="2"/>
          <w:sz w:val="28"/>
          <w:szCs w:val="28"/>
          <w:rtl/>
          <w14:ligatures w14:val="standardContextual"/>
        </w:rPr>
        <w:t>يشير إلى درجة إدماج الوزارات للأدوات الرقمية في صياغة وتحديث رؤاها وأهدافها الاستراتيجية، بما في ذلك استخدام التحليل الرقمي للتخطيط، وتوظيف تقنيات الذكاء الاصطناعي والبيانات الضخمة في رسم السياسات العامة</w:t>
      </w:r>
      <w:r w:rsidR="0010520B" w:rsidRPr="00074754">
        <w:rPr>
          <w:rFonts w:ascii="Times New Roman" w:eastAsia="Calibri" w:hAnsi="Times New Roman" w:cs="Traditional Arabic"/>
          <w:kern w:val="2"/>
          <w:sz w:val="28"/>
          <w:szCs w:val="28"/>
          <w14:ligatures w14:val="standardContextual"/>
        </w:rPr>
        <w:t>.</w:t>
      </w:r>
    </w:p>
    <w:p w14:paraId="0838FEE8" w14:textId="4154CD02" w:rsidR="0010520B" w:rsidRPr="00074754" w:rsidRDefault="0010520B" w:rsidP="0015003F">
      <w:pPr>
        <w:pStyle w:val="ListParagraph"/>
        <w:numPr>
          <w:ilvl w:val="0"/>
          <w:numId w:val="8"/>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b/>
          <w:bCs/>
          <w:kern w:val="2"/>
          <w:sz w:val="28"/>
          <w:szCs w:val="28"/>
          <w:rtl/>
          <w14:ligatures w14:val="standardContextual"/>
        </w:rPr>
        <w:t>التحول الإداري (</w:t>
      </w:r>
      <w:r w:rsidRPr="00074754">
        <w:rPr>
          <w:rFonts w:ascii="Times New Roman" w:eastAsia="Calibri" w:hAnsi="Times New Roman" w:cs="Traditional Arabic"/>
          <w:b/>
          <w:bCs/>
          <w:kern w:val="2"/>
          <w:sz w:val="28"/>
          <w:szCs w:val="28"/>
          <w14:ligatures w14:val="standardContextual"/>
        </w:rPr>
        <w:t>Administrative Transformation</w:t>
      </w:r>
      <w:r w:rsidR="00140115" w:rsidRPr="00074754">
        <w:rPr>
          <w:rFonts w:ascii="Times New Roman" w:eastAsia="Calibri" w:hAnsi="Times New Roman" w:cs="Traditional Arabic" w:hint="cs"/>
          <w:b/>
          <w:bCs/>
          <w:kern w:val="2"/>
          <w:sz w:val="28"/>
          <w:szCs w:val="28"/>
          <w:rtl/>
          <w14:ligatures w14:val="standardContextual"/>
        </w:rPr>
        <w:t>)</w:t>
      </w:r>
      <w:r w:rsidR="00140115" w:rsidRPr="00074754">
        <w:rPr>
          <w:rFonts w:ascii="Times New Roman" w:eastAsia="Calibri" w:hAnsi="Times New Roman" w:cs="Traditional Arabic" w:hint="cs"/>
          <w:kern w:val="2"/>
          <w:sz w:val="28"/>
          <w:szCs w:val="28"/>
          <w:rtl/>
          <w14:ligatures w14:val="standardContextual"/>
        </w:rPr>
        <w:t>:</w:t>
      </w:r>
      <w:r w:rsidRPr="00074754">
        <w:rPr>
          <w:rFonts w:ascii="Times New Roman" w:eastAsia="Calibri" w:hAnsi="Times New Roman" w:cs="Traditional Arabic" w:hint="cs"/>
          <w:kern w:val="2"/>
          <w:sz w:val="28"/>
          <w:szCs w:val="28"/>
          <w:rtl/>
          <w14:ligatures w14:val="standardContextual"/>
        </w:rPr>
        <w:t xml:space="preserve"> </w:t>
      </w:r>
      <w:r w:rsidRPr="00074754">
        <w:rPr>
          <w:rFonts w:ascii="Times New Roman" w:eastAsia="Calibri" w:hAnsi="Times New Roman" w:cs="Traditional Arabic"/>
          <w:kern w:val="2"/>
          <w:sz w:val="28"/>
          <w:szCs w:val="28"/>
          <w:rtl/>
          <w14:ligatures w14:val="standardContextual"/>
        </w:rPr>
        <w:t>يُقصد به التغييرات التي تطرأ على الهيكل الإداري، ونظم الرقابة، وآليات صنع القرار داخل المنظمة، بهدف تعزيز المرونة والكفاءة من خلال استخدام أدوات رقمية تسهل الإدارة الذكية</w:t>
      </w:r>
      <w:r w:rsidRPr="00074754">
        <w:rPr>
          <w:rFonts w:ascii="Times New Roman" w:eastAsia="Calibri" w:hAnsi="Times New Roman" w:cs="Traditional Arabic" w:hint="cs"/>
          <w:kern w:val="2"/>
          <w:sz w:val="28"/>
          <w:szCs w:val="28"/>
          <w:rtl/>
          <w14:ligatures w14:val="standardContextual"/>
        </w:rPr>
        <w:t xml:space="preserve"> </w:t>
      </w:r>
      <w:r w:rsidRPr="00074754">
        <w:rPr>
          <w:rFonts w:ascii="Times New Roman" w:eastAsia="Calibri" w:hAnsi="Times New Roman" w:cs="Traditional Arabic"/>
          <w:kern w:val="2"/>
          <w:sz w:val="28"/>
          <w:szCs w:val="28"/>
          <w:rtl/>
          <w14:ligatures w14:val="standardContextual"/>
        </w:rPr>
        <w:t>(</w:t>
      </w:r>
      <w:proofErr w:type="spellStart"/>
      <w:r w:rsidRPr="00074754">
        <w:rPr>
          <w:rFonts w:ascii="Times New Roman" w:eastAsia="Calibri" w:hAnsi="Times New Roman" w:cs="Traditional Arabic"/>
          <w:kern w:val="2"/>
          <w:sz w:val="28"/>
          <w:szCs w:val="28"/>
          <w:rtl/>
          <w14:ligatures w14:val="standardContextual"/>
        </w:rPr>
        <w:t>موافي</w:t>
      </w:r>
      <w:proofErr w:type="spellEnd"/>
      <w:r w:rsidRPr="00074754">
        <w:rPr>
          <w:rFonts w:ascii="Times New Roman" w:eastAsia="Calibri" w:hAnsi="Times New Roman" w:cs="Traditional Arabic"/>
          <w:kern w:val="2"/>
          <w:sz w:val="28"/>
          <w:szCs w:val="28"/>
          <w:rtl/>
          <w14:ligatures w14:val="standardContextual"/>
        </w:rPr>
        <w:t xml:space="preserve"> وبدوي، 2024)</w:t>
      </w:r>
    </w:p>
    <w:p w14:paraId="6ABD8B44" w14:textId="1CB51AFF" w:rsidR="0010520B" w:rsidRPr="00074754" w:rsidRDefault="00245DC6" w:rsidP="0010520B">
      <w:pPr>
        <w:pStyle w:val="ListParagraph"/>
        <w:numPr>
          <w:ilvl w:val="0"/>
          <w:numId w:val="8"/>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b/>
          <w:bCs/>
          <w:kern w:val="2"/>
          <w:sz w:val="28"/>
          <w:szCs w:val="28"/>
          <w:rtl/>
          <w14:ligatures w14:val="standardContextual"/>
        </w:rPr>
        <w:t>التعريف الإجرائي:</w:t>
      </w:r>
      <w:r w:rsidRPr="00074754">
        <w:rPr>
          <w:rFonts w:ascii="Times New Roman" w:eastAsia="Calibri" w:hAnsi="Times New Roman" w:cs="Traditional Arabic" w:hint="cs"/>
          <w:kern w:val="2"/>
          <w:sz w:val="28"/>
          <w:szCs w:val="28"/>
          <w:rtl/>
          <w14:ligatures w14:val="standardContextual"/>
        </w:rPr>
        <w:t xml:space="preserve"> </w:t>
      </w:r>
      <w:r w:rsidR="0010520B" w:rsidRPr="00074754">
        <w:rPr>
          <w:rFonts w:ascii="Times New Roman" w:eastAsia="Calibri" w:hAnsi="Times New Roman" w:cs="Traditional Arabic"/>
          <w:kern w:val="2"/>
          <w:sz w:val="28"/>
          <w:szCs w:val="28"/>
          <w:rtl/>
          <w14:ligatures w14:val="standardContextual"/>
        </w:rPr>
        <w:t>يعبر عن مدى اعتماد الوزارة على الحلول الرقمية في تنفيذ وظائفها الإدارية، مثل اتخاذ القرار، تنظيم الموارد، المراقبة والتقييم، والتحكم في العمليات الإدارية باستخدام منصات رقمية متقدمة.</w:t>
      </w:r>
    </w:p>
    <w:p w14:paraId="6EA3D56B" w14:textId="3D666CB0" w:rsidR="0010520B" w:rsidRPr="00074754" w:rsidRDefault="0010520B" w:rsidP="0015003F">
      <w:pPr>
        <w:pStyle w:val="ListParagraph"/>
        <w:numPr>
          <w:ilvl w:val="0"/>
          <w:numId w:val="8"/>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b/>
          <w:bCs/>
          <w:kern w:val="2"/>
          <w:sz w:val="28"/>
          <w:szCs w:val="28"/>
          <w:rtl/>
          <w14:ligatures w14:val="standardContextual"/>
        </w:rPr>
        <w:t>تحول العمليات (</w:t>
      </w:r>
      <w:r w:rsidRPr="00074754">
        <w:rPr>
          <w:rFonts w:ascii="Times New Roman" w:eastAsia="Calibri" w:hAnsi="Times New Roman" w:cs="Traditional Arabic"/>
          <w:b/>
          <w:bCs/>
          <w:kern w:val="2"/>
          <w:sz w:val="28"/>
          <w:szCs w:val="28"/>
          <w14:ligatures w14:val="standardContextual"/>
        </w:rPr>
        <w:t>Process Transformation</w:t>
      </w:r>
      <w:r w:rsidR="00140115" w:rsidRPr="00074754">
        <w:rPr>
          <w:rFonts w:ascii="Times New Roman" w:eastAsia="Calibri" w:hAnsi="Times New Roman" w:cs="Traditional Arabic" w:hint="cs"/>
          <w:b/>
          <w:bCs/>
          <w:kern w:val="2"/>
          <w:sz w:val="28"/>
          <w:szCs w:val="28"/>
          <w:rtl/>
          <w14:ligatures w14:val="standardContextual"/>
        </w:rPr>
        <w:t>)</w:t>
      </w:r>
      <w:r w:rsidR="00140115" w:rsidRPr="00074754">
        <w:rPr>
          <w:rFonts w:ascii="Times New Roman" w:eastAsia="Calibri" w:hAnsi="Times New Roman" w:cs="Traditional Arabic" w:hint="cs"/>
          <w:kern w:val="2"/>
          <w:sz w:val="28"/>
          <w:szCs w:val="28"/>
          <w:rtl/>
          <w14:ligatures w14:val="standardContextual"/>
        </w:rPr>
        <w:t>:</w:t>
      </w:r>
      <w:r w:rsidRPr="00074754">
        <w:rPr>
          <w:rFonts w:ascii="Times New Roman" w:eastAsia="Calibri" w:hAnsi="Times New Roman" w:cs="Traditional Arabic" w:hint="cs"/>
          <w:kern w:val="2"/>
          <w:sz w:val="28"/>
          <w:szCs w:val="28"/>
          <w:rtl/>
          <w14:ligatures w14:val="standardContextual"/>
        </w:rPr>
        <w:t xml:space="preserve"> </w:t>
      </w:r>
      <w:r w:rsidRPr="00074754">
        <w:rPr>
          <w:rFonts w:ascii="Times New Roman" w:eastAsia="Calibri" w:hAnsi="Times New Roman" w:cs="Traditional Arabic"/>
          <w:kern w:val="2"/>
          <w:sz w:val="28"/>
          <w:szCs w:val="28"/>
          <w:rtl/>
          <w14:ligatures w14:val="standardContextual"/>
        </w:rPr>
        <w:t>هو التعديل أو إعادة هندسة الإجراءات التشغيلية باستخدام التكنولوجيا الرقمية (مثل الأتمتة والذكاء الاصطناعي) لتسريع الأداء، وخفض التكاليف، وتحسين جودة الخدمات المقدّمة</w:t>
      </w:r>
      <w:r w:rsidRPr="00074754">
        <w:rPr>
          <w:rFonts w:ascii="Times New Roman" w:eastAsia="Calibri" w:hAnsi="Times New Roman" w:cs="Traditional Arabic" w:hint="cs"/>
          <w:kern w:val="2"/>
          <w:sz w:val="28"/>
          <w:szCs w:val="28"/>
          <w:rtl/>
          <w14:ligatures w14:val="standardContextual"/>
        </w:rPr>
        <w:t xml:space="preserve"> </w:t>
      </w:r>
      <w:r w:rsidRPr="00074754">
        <w:rPr>
          <w:rFonts w:ascii="Times New Roman" w:eastAsia="Calibri" w:hAnsi="Times New Roman" w:cs="Traditional Arabic"/>
          <w:kern w:val="2"/>
          <w:sz w:val="28"/>
          <w:szCs w:val="28"/>
          <w:rtl/>
          <w14:ligatures w14:val="standardContextual"/>
        </w:rPr>
        <w:t>(الطيب، 2024)</w:t>
      </w:r>
    </w:p>
    <w:p w14:paraId="6E942D3D" w14:textId="337E0A5E" w:rsidR="0010520B" w:rsidRPr="00074754" w:rsidRDefault="00245DC6" w:rsidP="00245DC6">
      <w:pPr>
        <w:pStyle w:val="ListParagraph"/>
        <w:numPr>
          <w:ilvl w:val="0"/>
          <w:numId w:val="8"/>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b/>
          <w:bCs/>
          <w:kern w:val="2"/>
          <w:sz w:val="28"/>
          <w:szCs w:val="28"/>
          <w:rtl/>
          <w14:ligatures w14:val="standardContextual"/>
        </w:rPr>
        <w:t>التعريف الإجرائي:</w:t>
      </w:r>
      <w:r w:rsidRPr="00074754">
        <w:rPr>
          <w:rFonts w:ascii="Times New Roman" w:eastAsia="Calibri" w:hAnsi="Times New Roman" w:cs="Traditional Arabic" w:hint="cs"/>
          <w:kern w:val="2"/>
          <w:sz w:val="28"/>
          <w:szCs w:val="28"/>
          <w:rtl/>
          <w14:ligatures w14:val="standardContextual"/>
        </w:rPr>
        <w:t xml:space="preserve"> </w:t>
      </w:r>
      <w:r w:rsidR="0010520B" w:rsidRPr="00074754">
        <w:rPr>
          <w:rFonts w:ascii="Times New Roman" w:eastAsia="Calibri" w:hAnsi="Times New Roman" w:cs="Traditional Arabic"/>
          <w:kern w:val="2"/>
          <w:sz w:val="28"/>
          <w:szCs w:val="28"/>
          <w:rtl/>
          <w14:ligatures w14:val="standardContextual"/>
        </w:rPr>
        <w:t>يقيس درجة التحول في نماذج العمل والإجراءات التشغيلية اليومية من خلال أتمتة العمليات، وربط الوحدات الإدارية بنظم إلكترونية موحدة، واستخدام تقنيات رقمية لتسريع الإنجاز وتخفيض التكلفة التشغيلية.</w:t>
      </w:r>
    </w:p>
    <w:p w14:paraId="1B599955" w14:textId="3466B593" w:rsidR="0010520B" w:rsidRPr="00074754" w:rsidRDefault="0010520B" w:rsidP="0015003F">
      <w:pPr>
        <w:pStyle w:val="ListParagraph"/>
        <w:numPr>
          <w:ilvl w:val="0"/>
          <w:numId w:val="8"/>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b/>
          <w:bCs/>
          <w:kern w:val="2"/>
          <w:sz w:val="28"/>
          <w:szCs w:val="28"/>
          <w:rtl/>
          <w14:ligatures w14:val="standardContextual"/>
        </w:rPr>
        <w:t>مركزية العملاء (</w:t>
      </w:r>
      <w:r w:rsidRPr="00074754">
        <w:rPr>
          <w:rFonts w:ascii="Times New Roman" w:eastAsia="Calibri" w:hAnsi="Times New Roman" w:cs="Traditional Arabic"/>
          <w:b/>
          <w:bCs/>
          <w:kern w:val="2"/>
          <w:sz w:val="28"/>
          <w:szCs w:val="28"/>
          <w14:ligatures w14:val="standardContextual"/>
        </w:rPr>
        <w:t>Customer-Centric Transformation</w:t>
      </w:r>
      <w:proofErr w:type="gramStart"/>
      <w:r w:rsidRPr="00074754">
        <w:rPr>
          <w:rFonts w:ascii="Times New Roman" w:eastAsia="Calibri" w:hAnsi="Times New Roman" w:cs="Traditional Arabic"/>
          <w:b/>
          <w:bCs/>
          <w:kern w:val="2"/>
          <w:sz w:val="28"/>
          <w:szCs w:val="28"/>
          <w:rtl/>
          <w14:ligatures w14:val="standardContextual"/>
        </w:rPr>
        <w:t>)</w:t>
      </w:r>
      <w:r w:rsidRPr="00074754">
        <w:rPr>
          <w:rFonts w:ascii="Times New Roman" w:eastAsia="Calibri" w:hAnsi="Times New Roman" w:cs="Traditional Arabic" w:hint="cs"/>
          <w:kern w:val="2"/>
          <w:sz w:val="28"/>
          <w:szCs w:val="28"/>
          <w:rtl/>
          <w14:ligatures w14:val="standardContextual"/>
        </w:rPr>
        <w:t xml:space="preserve"> :</w:t>
      </w:r>
      <w:proofErr w:type="gramEnd"/>
      <w:r w:rsidRPr="00074754">
        <w:rPr>
          <w:rFonts w:ascii="Times New Roman" w:eastAsia="Calibri" w:hAnsi="Times New Roman" w:cs="Traditional Arabic" w:hint="cs"/>
          <w:kern w:val="2"/>
          <w:sz w:val="28"/>
          <w:szCs w:val="28"/>
          <w:rtl/>
          <w14:ligatures w14:val="standardContextual"/>
        </w:rPr>
        <w:t xml:space="preserve"> </w:t>
      </w:r>
      <w:r w:rsidRPr="00074754">
        <w:rPr>
          <w:rFonts w:ascii="Times New Roman" w:eastAsia="Calibri" w:hAnsi="Times New Roman" w:cs="Traditional Arabic"/>
          <w:kern w:val="2"/>
          <w:sz w:val="28"/>
          <w:szCs w:val="28"/>
          <w:rtl/>
          <w14:ligatures w14:val="standardContextual"/>
        </w:rPr>
        <w:t>يُعنى بإعادة توجيه تصميم الخدمات والعمليات بناءً على تفضيلات وسلوكيات العملاء، مع توظيف التحليلات الذكية والبيانات الضخمة لتقديم تجربة مخصصة وسريعة الاستجابة للمستخدم النهائي.(عبد المنعم ورضوان، 2023)</w:t>
      </w:r>
    </w:p>
    <w:p w14:paraId="58E6F172" w14:textId="63508744" w:rsidR="0010520B" w:rsidRPr="00074754" w:rsidRDefault="00245DC6" w:rsidP="0010520B">
      <w:pPr>
        <w:pStyle w:val="ListParagraph"/>
        <w:numPr>
          <w:ilvl w:val="0"/>
          <w:numId w:val="8"/>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b/>
          <w:bCs/>
          <w:kern w:val="2"/>
          <w:sz w:val="28"/>
          <w:szCs w:val="28"/>
          <w:rtl/>
          <w14:ligatures w14:val="standardContextual"/>
        </w:rPr>
        <w:t>التعريف الإجرائي:</w:t>
      </w:r>
      <w:r w:rsidRPr="00074754">
        <w:rPr>
          <w:rFonts w:ascii="Times New Roman" w:eastAsia="Calibri" w:hAnsi="Times New Roman" w:cs="Traditional Arabic" w:hint="cs"/>
          <w:kern w:val="2"/>
          <w:sz w:val="28"/>
          <w:szCs w:val="28"/>
          <w:rtl/>
          <w14:ligatures w14:val="standardContextual"/>
        </w:rPr>
        <w:t xml:space="preserve"> </w:t>
      </w:r>
      <w:r w:rsidR="0010520B" w:rsidRPr="00074754">
        <w:rPr>
          <w:rFonts w:ascii="Times New Roman" w:eastAsia="Calibri" w:hAnsi="Times New Roman" w:cs="Traditional Arabic"/>
          <w:kern w:val="2"/>
          <w:sz w:val="28"/>
          <w:szCs w:val="28"/>
          <w:rtl/>
          <w14:ligatures w14:val="standardContextual"/>
        </w:rPr>
        <w:t>تعكس مدى تركيز الوزارة على تقديم خدمات رقمية تفاعلية تستند إلى احتياجات المستفيدين (المواطنين، المستثمرين، الصناعيين)، وتوظيف البيانات لتصميم خدمات مخصصة تعزز رضاهم وتفاعلهم.</w:t>
      </w:r>
    </w:p>
    <w:p w14:paraId="054722F5" w14:textId="236224C1" w:rsidR="0010520B" w:rsidRPr="00074754" w:rsidRDefault="0010520B" w:rsidP="0010520B">
      <w:pPr>
        <w:pStyle w:val="ListParagraph"/>
        <w:numPr>
          <w:ilvl w:val="0"/>
          <w:numId w:val="8"/>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b/>
          <w:bCs/>
          <w:kern w:val="2"/>
          <w:sz w:val="28"/>
          <w:szCs w:val="28"/>
          <w:rtl/>
          <w14:ligatures w14:val="standardContextual"/>
        </w:rPr>
        <w:lastRenderedPageBreak/>
        <w:t>الشفافية المعلوماتية (</w:t>
      </w:r>
      <w:r w:rsidRPr="00074754">
        <w:rPr>
          <w:rFonts w:ascii="Times New Roman" w:eastAsia="Calibri" w:hAnsi="Times New Roman" w:cs="Traditional Arabic"/>
          <w:b/>
          <w:bCs/>
          <w:kern w:val="2"/>
          <w:sz w:val="28"/>
          <w:szCs w:val="28"/>
          <w14:ligatures w14:val="standardContextual"/>
        </w:rPr>
        <w:t>Information Transparency</w:t>
      </w:r>
      <w:r w:rsidRPr="00074754">
        <w:rPr>
          <w:rFonts w:ascii="Times New Roman" w:eastAsia="Calibri" w:hAnsi="Times New Roman" w:cs="Traditional Arabic"/>
          <w:kern w:val="2"/>
          <w:sz w:val="28"/>
          <w:szCs w:val="28"/>
          <w:rtl/>
          <w14:ligatures w14:val="standardContextual"/>
        </w:rPr>
        <w:t>) تُشير إلى مدى وضوح وانسياب المعلومات داخل المنظمة وبينها وبين الأطراف المعنية، بما يتيح الوصول العادل والفوري للمعلومات الدقيقة والموثوقة، ويدعم اتخاذ قرارات رشيدة قائمة على المعرفة (</w:t>
      </w:r>
      <w:proofErr w:type="spellStart"/>
      <w:r w:rsidRPr="00074754">
        <w:rPr>
          <w:rFonts w:ascii="Times New Roman" w:eastAsia="Calibri" w:hAnsi="Times New Roman" w:cs="Traditional Arabic"/>
          <w:kern w:val="2"/>
          <w:sz w:val="28"/>
          <w:szCs w:val="28"/>
          <w14:ligatures w14:val="standardContextual"/>
        </w:rPr>
        <w:t>Tondolo</w:t>
      </w:r>
      <w:proofErr w:type="spellEnd"/>
      <w:r w:rsidRPr="00074754">
        <w:rPr>
          <w:rFonts w:ascii="Times New Roman" w:eastAsia="Calibri" w:hAnsi="Times New Roman" w:cs="Traditional Arabic"/>
          <w:kern w:val="2"/>
          <w:sz w:val="28"/>
          <w:szCs w:val="28"/>
          <w14:ligatures w14:val="standardContextual"/>
        </w:rPr>
        <w:t xml:space="preserve"> et al., 2023</w:t>
      </w:r>
      <w:r w:rsidRPr="00074754">
        <w:rPr>
          <w:rFonts w:ascii="Times New Roman" w:eastAsia="Calibri" w:hAnsi="Times New Roman" w:cs="Traditional Arabic"/>
          <w:kern w:val="2"/>
          <w:sz w:val="28"/>
          <w:szCs w:val="28"/>
          <w:rtl/>
          <w14:ligatures w14:val="standardContextual"/>
        </w:rPr>
        <w:t>).</w:t>
      </w:r>
    </w:p>
    <w:p w14:paraId="56EE5FAB" w14:textId="0728CCEB" w:rsidR="00FE23FC" w:rsidRPr="00074754" w:rsidRDefault="00245DC6" w:rsidP="00245DC6">
      <w:pPr>
        <w:pStyle w:val="ListParagraph"/>
        <w:numPr>
          <w:ilvl w:val="0"/>
          <w:numId w:val="8"/>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b/>
          <w:bCs/>
          <w:kern w:val="2"/>
          <w:sz w:val="28"/>
          <w:szCs w:val="28"/>
          <w:rtl/>
          <w14:ligatures w14:val="standardContextual"/>
        </w:rPr>
        <w:t>التعريف الإجرائي:</w:t>
      </w:r>
      <w:r w:rsidRPr="00074754">
        <w:rPr>
          <w:rFonts w:ascii="Times New Roman" w:eastAsia="Calibri" w:hAnsi="Times New Roman" w:cs="Traditional Arabic" w:hint="cs"/>
          <w:kern w:val="2"/>
          <w:sz w:val="28"/>
          <w:szCs w:val="28"/>
          <w:rtl/>
          <w14:ligatures w14:val="standardContextual"/>
        </w:rPr>
        <w:t xml:space="preserve"> </w:t>
      </w:r>
      <w:r w:rsidR="00FE23FC" w:rsidRPr="00074754">
        <w:rPr>
          <w:rFonts w:ascii="Times New Roman" w:eastAsia="Calibri" w:hAnsi="Times New Roman" w:cs="Traditional Arabic"/>
          <w:kern w:val="2"/>
          <w:sz w:val="28"/>
          <w:szCs w:val="28"/>
          <w:rtl/>
          <w14:ligatures w14:val="standardContextual"/>
        </w:rPr>
        <w:t>تُقاس الشفافية المعلوماتية بدرجة إدراك موظفي وزارات الصناعة في دول مجلس التعاون الخليجي لمدى وضوح الأنظمة واللوائح، وسهولة تتبع الإجراءات، وتوفر قنوات اتصال فعّالة تُمكّن من تبادل المعلومات بدقة وشفافية</w:t>
      </w:r>
      <w:r w:rsidR="00FE23FC" w:rsidRPr="00074754">
        <w:rPr>
          <w:rFonts w:ascii="Times New Roman" w:eastAsia="Calibri" w:hAnsi="Times New Roman" w:cs="Traditional Arabic"/>
          <w:kern w:val="2"/>
          <w:sz w:val="28"/>
          <w:szCs w:val="28"/>
          <w14:ligatures w14:val="standardContextual"/>
        </w:rPr>
        <w:t>.</w:t>
      </w:r>
    </w:p>
    <w:p w14:paraId="12D76EB4" w14:textId="4C8C061F" w:rsidR="0010520B" w:rsidRPr="00074754" w:rsidRDefault="0010520B" w:rsidP="0010520B">
      <w:pPr>
        <w:pStyle w:val="ListParagraph"/>
        <w:numPr>
          <w:ilvl w:val="0"/>
          <w:numId w:val="8"/>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kern w:val="2"/>
          <w:sz w:val="28"/>
          <w:szCs w:val="28"/>
          <w:rtl/>
          <w14:ligatures w14:val="standardContextual"/>
        </w:rPr>
        <w:t xml:space="preserve"> </w:t>
      </w:r>
      <w:r w:rsidRPr="00074754">
        <w:rPr>
          <w:rFonts w:ascii="Traditional Arabic" w:eastAsia="Calibri" w:hAnsi="Traditional Arabic" w:cs="Traditional Arabic" w:hint="cs"/>
          <w:b/>
          <w:bCs/>
          <w:kern w:val="2"/>
          <w:sz w:val="28"/>
          <w:szCs w:val="28"/>
          <w:rtl/>
          <w14:ligatures w14:val="standardContextual"/>
        </w:rPr>
        <w:t>شفافية</w:t>
      </w:r>
      <w:r w:rsidRPr="00074754">
        <w:rPr>
          <w:rFonts w:ascii="Times New Roman" w:eastAsia="Calibri" w:hAnsi="Times New Roman" w:cs="Traditional Arabic"/>
          <w:b/>
          <w:bCs/>
          <w:kern w:val="2"/>
          <w:sz w:val="28"/>
          <w:szCs w:val="28"/>
          <w:rtl/>
          <w14:ligatures w14:val="standardContextual"/>
        </w:rPr>
        <w:t xml:space="preserve"> </w:t>
      </w:r>
      <w:r w:rsidRPr="00074754">
        <w:rPr>
          <w:rFonts w:ascii="Traditional Arabic" w:eastAsia="Calibri" w:hAnsi="Traditional Arabic" w:cs="Traditional Arabic" w:hint="cs"/>
          <w:b/>
          <w:bCs/>
          <w:kern w:val="2"/>
          <w:sz w:val="28"/>
          <w:szCs w:val="28"/>
          <w:rtl/>
          <w14:ligatures w14:val="standardContextual"/>
        </w:rPr>
        <w:t>الأنظمة</w:t>
      </w:r>
      <w:r w:rsidRPr="00074754">
        <w:rPr>
          <w:rFonts w:ascii="Times New Roman" w:eastAsia="Calibri" w:hAnsi="Times New Roman" w:cs="Traditional Arabic"/>
          <w:b/>
          <w:bCs/>
          <w:kern w:val="2"/>
          <w:sz w:val="28"/>
          <w:szCs w:val="28"/>
          <w:rtl/>
          <w14:ligatures w14:val="standardContextual"/>
        </w:rPr>
        <w:t xml:space="preserve"> </w:t>
      </w:r>
      <w:r w:rsidRPr="00074754">
        <w:rPr>
          <w:rFonts w:ascii="Traditional Arabic" w:eastAsia="Calibri" w:hAnsi="Traditional Arabic" w:cs="Traditional Arabic" w:hint="cs"/>
          <w:b/>
          <w:bCs/>
          <w:kern w:val="2"/>
          <w:sz w:val="28"/>
          <w:szCs w:val="28"/>
          <w:rtl/>
          <w14:ligatures w14:val="standardContextual"/>
        </w:rPr>
        <w:t>واللوائح</w:t>
      </w:r>
      <w:r w:rsidRPr="00074754">
        <w:rPr>
          <w:rFonts w:ascii="Times New Roman" w:eastAsia="Calibri" w:hAnsi="Times New Roman" w:cs="Traditional Arabic"/>
          <w:b/>
          <w:bCs/>
          <w:kern w:val="2"/>
          <w:sz w:val="28"/>
          <w:szCs w:val="28"/>
          <w:rtl/>
          <w14:ligatures w14:val="standardContextual"/>
        </w:rPr>
        <w:t xml:space="preserve"> (</w:t>
      </w:r>
      <w:r w:rsidRPr="00074754">
        <w:rPr>
          <w:rFonts w:ascii="Times New Roman" w:eastAsia="Calibri" w:hAnsi="Times New Roman" w:cs="Traditional Arabic"/>
          <w:b/>
          <w:bCs/>
          <w:kern w:val="2"/>
          <w:sz w:val="28"/>
          <w:szCs w:val="28"/>
          <w14:ligatures w14:val="standardContextual"/>
        </w:rPr>
        <w:t>System &amp; Regulation Transparency</w:t>
      </w:r>
      <w:r w:rsidRPr="00074754">
        <w:rPr>
          <w:rFonts w:ascii="Times New Roman" w:eastAsia="Calibri" w:hAnsi="Times New Roman" w:cs="Traditional Arabic"/>
          <w:b/>
          <w:bCs/>
          <w:kern w:val="2"/>
          <w:sz w:val="28"/>
          <w:szCs w:val="28"/>
          <w:rtl/>
          <w14:ligatures w14:val="standardContextual"/>
        </w:rPr>
        <w:t>):</w:t>
      </w:r>
      <w:r w:rsidRPr="00074754">
        <w:rPr>
          <w:rFonts w:ascii="Times New Roman" w:eastAsia="Calibri" w:hAnsi="Times New Roman" w:cs="Traditional Arabic" w:hint="cs"/>
          <w:kern w:val="2"/>
          <w:sz w:val="28"/>
          <w:szCs w:val="28"/>
          <w:rtl/>
          <w14:ligatures w14:val="standardContextual"/>
        </w:rPr>
        <w:t xml:space="preserve"> </w:t>
      </w:r>
      <w:r w:rsidRPr="00074754">
        <w:rPr>
          <w:rFonts w:ascii="Times New Roman" w:eastAsia="Calibri" w:hAnsi="Times New Roman" w:cs="Traditional Arabic"/>
          <w:kern w:val="2"/>
          <w:sz w:val="28"/>
          <w:szCs w:val="28"/>
          <w:rtl/>
          <w14:ligatures w14:val="standardContextual"/>
        </w:rPr>
        <w:t>تعني وضوح السياسات والقوانين واللوائح المنظمة لعمل الجهة، وسهولة الوصول إليها وفهمها من قبل جميع المعنيين، بما في ذلك الموظفين والمستفيدين، مما يعزز الالتزام والمساءلة.</w:t>
      </w:r>
      <w:r w:rsidRPr="00074754">
        <w:rPr>
          <w:rFonts w:ascii="Times New Roman" w:eastAsia="Calibri" w:hAnsi="Times New Roman" w:cs="Traditional Arabic"/>
          <w:kern w:val="2"/>
          <w:sz w:val="28"/>
          <w:szCs w:val="28"/>
          <w14:ligatures w14:val="standardContextual"/>
        </w:rPr>
        <w:t xml:space="preserve"> Xu &amp; Mustafaraj,2024)</w:t>
      </w:r>
      <w:r w:rsidRPr="00074754">
        <w:rPr>
          <w:rFonts w:ascii="Times New Roman" w:eastAsia="Calibri" w:hAnsi="Times New Roman" w:cs="Traditional Arabic" w:hint="cs"/>
          <w:kern w:val="2"/>
          <w:sz w:val="28"/>
          <w:szCs w:val="28"/>
          <w:rtl/>
          <w14:ligatures w14:val="standardContextual"/>
        </w:rPr>
        <w:t>)</w:t>
      </w:r>
    </w:p>
    <w:p w14:paraId="094BF294" w14:textId="0B00D87B" w:rsidR="00FE23FC" w:rsidRPr="00074754" w:rsidRDefault="00245DC6" w:rsidP="00245DC6">
      <w:pPr>
        <w:pStyle w:val="ListParagraph"/>
        <w:numPr>
          <w:ilvl w:val="0"/>
          <w:numId w:val="8"/>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b/>
          <w:bCs/>
          <w:kern w:val="2"/>
          <w:sz w:val="28"/>
          <w:szCs w:val="28"/>
          <w:rtl/>
          <w14:ligatures w14:val="standardContextual"/>
        </w:rPr>
        <w:t>التعريف الإجرائي:</w:t>
      </w:r>
      <w:r w:rsidRPr="00074754">
        <w:rPr>
          <w:rFonts w:ascii="Times New Roman" w:eastAsia="Calibri" w:hAnsi="Times New Roman" w:cs="Traditional Arabic" w:hint="cs"/>
          <w:kern w:val="2"/>
          <w:sz w:val="28"/>
          <w:szCs w:val="28"/>
          <w:rtl/>
          <w14:ligatures w14:val="standardContextual"/>
        </w:rPr>
        <w:t xml:space="preserve"> </w:t>
      </w:r>
      <w:r w:rsidR="00FE23FC" w:rsidRPr="00074754">
        <w:rPr>
          <w:rFonts w:ascii="Times New Roman" w:eastAsia="Calibri" w:hAnsi="Times New Roman" w:cs="Traditional Arabic"/>
          <w:kern w:val="2"/>
          <w:sz w:val="28"/>
          <w:szCs w:val="28"/>
          <w:rtl/>
          <w14:ligatures w14:val="standardContextual"/>
        </w:rPr>
        <w:t>يقصد بها إدراك الموظف لمدى وضوح القوانين والسياسات المنظمة للعمل، وسهولة الوصول إليها وفهمها، ويُقاس ذلك من خلال فقرات تقيس مدى إطلاع الموظف على اللوائح، ومدى تحديثها، ووضوحها في توجيه القرارات</w:t>
      </w:r>
      <w:r w:rsidR="00FE23FC" w:rsidRPr="00074754">
        <w:rPr>
          <w:rFonts w:ascii="Times New Roman" w:eastAsia="Calibri" w:hAnsi="Times New Roman" w:cs="Traditional Arabic"/>
          <w:kern w:val="2"/>
          <w:sz w:val="28"/>
          <w:szCs w:val="28"/>
          <w14:ligatures w14:val="standardContextual"/>
        </w:rPr>
        <w:t>.</w:t>
      </w:r>
    </w:p>
    <w:p w14:paraId="467A6879" w14:textId="16F68476" w:rsidR="0010520B" w:rsidRPr="00074754" w:rsidRDefault="0010520B" w:rsidP="00FE23FC">
      <w:pPr>
        <w:pStyle w:val="ListParagraph"/>
        <w:numPr>
          <w:ilvl w:val="0"/>
          <w:numId w:val="8"/>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raditional Arabic" w:eastAsia="Calibri" w:hAnsi="Traditional Arabic" w:cs="Traditional Arabic" w:hint="cs"/>
          <w:b/>
          <w:bCs/>
          <w:kern w:val="2"/>
          <w:sz w:val="28"/>
          <w:szCs w:val="28"/>
          <w:rtl/>
          <w14:ligatures w14:val="standardContextual"/>
        </w:rPr>
        <w:t>شفافية</w:t>
      </w:r>
      <w:r w:rsidRPr="00074754">
        <w:rPr>
          <w:rFonts w:ascii="Times New Roman" w:eastAsia="Calibri" w:hAnsi="Times New Roman" w:cs="Traditional Arabic"/>
          <w:b/>
          <w:bCs/>
          <w:kern w:val="2"/>
          <w:sz w:val="28"/>
          <w:szCs w:val="28"/>
          <w:rtl/>
          <w14:ligatures w14:val="standardContextual"/>
        </w:rPr>
        <w:t xml:space="preserve"> </w:t>
      </w:r>
      <w:r w:rsidRPr="00074754">
        <w:rPr>
          <w:rFonts w:ascii="Traditional Arabic" w:eastAsia="Calibri" w:hAnsi="Traditional Arabic" w:cs="Traditional Arabic" w:hint="cs"/>
          <w:b/>
          <w:bCs/>
          <w:kern w:val="2"/>
          <w:sz w:val="28"/>
          <w:szCs w:val="28"/>
          <w:rtl/>
          <w14:ligatures w14:val="standardContextual"/>
        </w:rPr>
        <w:t>الإجراءات</w:t>
      </w:r>
      <w:r w:rsidRPr="00074754">
        <w:rPr>
          <w:rFonts w:ascii="Times New Roman" w:eastAsia="Calibri" w:hAnsi="Times New Roman" w:cs="Traditional Arabic"/>
          <w:b/>
          <w:bCs/>
          <w:kern w:val="2"/>
          <w:sz w:val="28"/>
          <w:szCs w:val="28"/>
          <w:rtl/>
          <w14:ligatures w14:val="standardContextual"/>
        </w:rPr>
        <w:t xml:space="preserve"> (</w:t>
      </w:r>
      <w:r w:rsidRPr="00074754">
        <w:rPr>
          <w:rFonts w:ascii="Times New Roman" w:eastAsia="Calibri" w:hAnsi="Times New Roman" w:cs="Traditional Arabic"/>
          <w:b/>
          <w:bCs/>
          <w:kern w:val="2"/>
          <w:sz w:val="28"/>
          <w:szCs w:val="28"/>
          <w14:ligatures w14:val="standardContextual"/>
        </w:rPr>
        <w:t>Procedural Transparency</w:t>
      </w:r>
      <w:r w:rsidRPr="00074754">
        <w:rPr>
          <w:rFonts w:ascii="Times New Roman" w:eastAsia="Calibri" w:hAnsi="Times New Roman" w:cs="Traditional Arabic"/>
          <w:b/>
          <w:bCs/>
          <w:kern w:val="2"/>
          <w:sz w:val="28"/>
          <w:szCs w:val="28"/>
          <w:rtl/>
          <w14:ligatures w14:val="standardContextual"/>
        </w:rPr>
        <w:t>):</w:t>
      </w:r>
      <w:r w:rsidRPr="00074754">
        <w:rPr>
          <w:rFonts w:ascii="Times New Roman" w:eastAsia="Calibri" w:hAnsi="Times New Roman" w:cs="Traditional Arabic" w:hint="cs"/>
          <w:kern w:val="2"/>
          <w:sz w:val="28"/>
          <w:szCs w:val="28"/>
          <w:rtl/>
          <w14:ligatures w14:val="standardContextual"/>
        </w:rPr>
        <w:t xml:space="preserve"> </w:t>
      </w:r>
      <w:r w:rsidRPr="00074754">
        <w:rPr>
          <w:rFonts w:ascii="Times New Roman" w:eastAsia="Calibri" w:hAnsi="Times New Roman" w:cs="Traditional Arabic"/>
          <w:kern w:val="2"/>
          <w:sz w:val="28"/>
          <w:szCs w:val="28"/>
          <w:rtl/>
          <w14:ligatures w14:val="standardContextual"/>
        </w:rPr>
        <w:t>تشير إلى مدى وضوح الخطوات والإجراءات المتبعة في تقديم الخدمات أو اتخاذ القرارات داخل الوزارة، ومدى إمكانية تتبع هذه العمليات من قبل المعنيين</w:t>
      </w:r>
      <w:proofErr w:type="spellStart"/>
      <w:r w:rsidR="00FE23FC" w:rsidRPr="00074754">
        <w:rPr>
          <w:rFonts w:ascii="Times New Roman" w:eastAsia="Calibri" w:hAnsi="Times New Roman" w:cs="Traditional Arabic"/>
          <w:kern w:val="2"/>
          <w:sz w:val="28"/>
          <w:szCs w:val="28"/>
          <w14:ligatures w14:val="standardContextual"/>
        </w:rPr>
        <w:t>Tondolo</w:t>
      </w:r>
      <w:proofErr w:type="spellEnd"/>
      <w:r w:rsidR="00FE23FC" w:rsidRPr="00074754">
        <w:rPr>
          <w:rFonts w:ascii="Times New Roman" w:eastAsia="Calibri" w:hAnsi="Times New Roman" w:cs="Traditional Arabic"/>
          <w:kern w:val="2"/>
          <w:sz w:val="28"/>
          <w:szCs w:val="28"/>
          <w14:ligatures w14:val="standardContextual"/>
        </w:rPr>
        <w:t xml:space="preserve"> et al.,2023)</w:t>
      </w:r>
      <w:proofErr w:type="gramStart"/>
      <w:r w:rsidR="00FE23FC" w:rsidRPr="00074754">
        <w:rPr>
          <w:rFonts w:ascii="Times New Roman" w:eastAsia="Calibri" w:hAnsi="Times New Roman" w:cs="Traditional Arabic" w:hint="cs"/>
          <w:kern w:val="2"/>
          <w:sz w:val="28"/>
          <w:szCs w:val="28"/>
          <w:rtl/>
          <w14:ligatures w14:val="standardContextual"/>
        </w:rPr>
        <w:t>) .</w:t>
      </w:r>
      <w:proofErr w:type="gramEnd"/>
    </w:p>
    <w:p w14:paraId="73FE9F04" w14:textId="6093722C" w:rsidR="00FE23FC" w:rsidRPr="00074754" w:rsidRDefault="00245DC6" w:rsidP="00245DC6">
      <w:pPr>
        <w:pStyle w:val="ListParagraph"/>
        <w:numPr>
          <w:ilvl w:val="0"/>
          <w:numId w:val="8"/>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b/>
          <w:bCs/>
          <w:kern w:val="2"/>
          <w:sz w:val="28"/>
          <w:szCs w:val="28"/>
          <w:rtl/>
          <w14:ligatures w14:val="standardContextual"/>
        </w:rPr>
        <w:t>التعريف الإجرائي:</w:t>
      </w:r>
      <w:r w:rsidRPr="00074754">
        <w:rPr>
          <w:rFonts w:ascii="Times New Roman" w:eastAsia="Calibri" w:hAnsi="Times New Roman" w:cs="Traditional Arabic" w:hint="cs"/>
          <w:kern w:val="2"/>
          <w:sz w:val="28"/>
          <w:szCs w:val="28"/>
          <w:rtl/>
          <w14:ligatures w14:val="standardContextual"/>
        </w:rPr>
        <w:t xml:space="preserve"> </w:t>
      </w:r>
      <w:r w:rsidR="00FE23FC" w:rsidRPr="00074754">
        <w:rPr>
          <w:rFonts w:ascii="Times New Roman" w:eastAsia="Calibri" w:hAnsi="Times New Roman" w:cs="Traditional Arabic"/>
          <w:kern w:val="2"/>
          <w:sz w:val="28"/>
          <w:szCs w:val="28"/>
          <w:rtl/>
          <w14:ligatures w14:val="standardContextual"/>
        </w:rPr>
        <w:t>يقصد بها إدراك الموظف لمدى وضوح وتسلسل الإجراءات المتبعة في تقديم الخدمات واتخاذ القرارات داخل الوزارة، ويُقاس ذلك من خلال فقرات تُعبر عن وضوح الخطوات الإدارية، وإمكانية تتبع القرارات، وغياب التعقيد والغموض</w:t>
      </w:r>
      <w:r w:rsidR="00FE23FC" w:rsidRPr="00074754">
        <w:rPr>
          <w:rFonts w:ascii="Times New Roman" w:eastAsia="Calibri" w:hAnsi="Times New Roman" w:cs="Traditional Arabic"/>
          <w:kern w:val="2"/>
          <w:sz w:val="28"/>
          <w:szCs w:val="28"/>
          <w14:ligatures w14:val="standardContextual"/>
        </w:rPr>
        <w:t>.</w:t>
      </w:r>
    </w:p>
    <w:p w14:paraId="41A727CE" w14:textId="4C97670A" w:rsidR="0010520B" w:rsidRPr="00074754" w:rsidRDefault="0010520B" w:rsidP="00FE23FC">
      <w:pPr>
        <w:pStyle w:val="ListParagraph"/>
        <w:numPr>
          <w:ilvl w:val="0"/>
          <w:numId w:val="8"/>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kern w:val="2"/>
          <w:sz w:val="28"/>
          <w:szCs w:val="28"/>
          <w:rtl/>
          <w14:ligatures w14:val="standardContextual"/>
        </w:rPr>
        <w:t xml:space="preserve"> </w:t>
      </w:r>
      <w:r w:rsidRPr="00074754">
        <w:rPr>
          <w:rFonts w:ascii="Traditional Arabic" w:eastAsia="Calibri" w:hAnsi="Traditional Arabic" w:cs="Traditional Arabic" w:hint="cs"/>
          <w:b/>
          <w:bCs/>
          <w:kern w:val="2"/>
          <w:sz w:val="28"/>
          <w:szCs w:val="28"/>
          <w:rtl/>
          <w14:ligatures w14:val="standardContextual"/>
        </w:rPr>
        <w:t>شفافية</w:t>
      </w:r>
      <w:r w:rsidRPr="00074754">
        <w:rPr>
          <w:rFonts w:ascii="Times New Roman" w:eastAsia="Calibri" w:hAnsi="Times New Roman" w:cs="Traditional Arabic"/>
          <w:b/>
          <w:bCs/>
          <w:kern w:val="2"/>
          <w:sz w:val="28"/>
          <w:szCs w:val="28"/>
          <w:rtl/>
          <w14:ligatures w14:val="standardContextual"/>
        </w:rPr>
        <w:t xml:space="preserve"> </w:t>
      </w:r>
      <w:r w:rsidRPr="00074754">
        <w:rPr>
          <w:rFonts w:ascii="Traditional Arabic" w:eastAsia="Calibri" w:hAnsi="Traditional Arabic" w:cs="Traditional Arabic" w:hint="cs"/>
          <w:b/>
          <w:bCs/>
          <w:kern w:val="2"/>
          <w:sz w:val="28"/>
          <w:szCs w:val="28"/>
          <w:rtl/>
          <w14:ligatures w14:val="standardContextual"/>
        </w:rPr>
        <w:t>الاتصال</w:t>
      </w:r>
      <w:r w:rsidRPr="00074754">
        <w:rPr>
          <w:rFonts w:ascii="Times New Roman" w:eastAsia="Calibri" w:hAnsi="Times New Roman" w:cs="Traditional Arabic"/>
          <w:b/>
          <w:bCs/>
          <w:kern w:val="2"/>
          <w:sz w:val="28"/>
          <w:szCs w:val="28"/>
          <w:rtl/>
          <w14:ligatures w14:val="standardContextual"/>
        </w:rPr>
        <w:t xml:space="preserve"> </w:t>
      </w:r>
      <w:r w:rsidRPr="00074754">
        <w:rPr>
          <w:rFonts w:ascii="Traditional Arabic" w:eastAsia="Calibri" w:hAnsi="Traditional Arabic" w:cs="Traditional Arabic" w:hint="cs"/>
          <w:b/>
          <w:bCs/>
          <w:kern w:val="2"/>
          <w:sz w:val="28"/>
          <w:szCs w:val="28"/>
          <w:rtl/>
          <w14:ligatures w14:val="standardContextual"/>
        </w:rPr>
        <w:t>والمعلومات</w:t>
      </w:r>
      <w:r w:rsidRPr="00074754">
        <w:rPr>
          <w:rFonts w:ascii="Times New Roman" w:eastAsia="Calibri" w:hAnsi="Times New Roman" w:cs="Traditional Arabic"/>
          <w:b/>
          <w:bCs/>
          <w:kern w:val="2"/>
          <w:sz w:val="28"/>
          <w:szCs w:val="28"/>
          <w:rtl/>
          <w14:ligatures w14:val="standardContextual"/>
        </w:rPr>
        <w:t xml:space="preserve"> (</w:t>
      </w:r>
      <w:r w:rsidRPr="00074754">
        <w:rPr>
          <w:rFonts w:ascii="Times New Roman" w:eastAsia="Calibri" w:hAnsi="Times New Roman" w:cs="Traditional Arabic"/>
          <w:b/>
          <w:bCs/>
          <w:kern w:val="2"/>
          <w:sz w:val="28"/>
          <w:szCs w:val="28"/>
          <w14:ligatures w14:val="standardContextual"/>
        </w:rPr>
        <w:t>Communication &amp; Information Transparency</w:t>
      </w:r>
      <w:r w:rsidRPr="00074754">
        <w:rPr>
          <w:rFonts w:ascii="Times New Roman" w:eastAsia="Calibri" w:hAnsi="Times New Roman" w:cs="Traditional Arabic"/>
          <w:b/>
          <w:bCs/>
          <w:kern w:val="2"/>
          <w:sz w:val="28"/>
          <w:szCs w:val="28"/>
          <w:rtl/>
          <w14:ligatures w14:val="standardContextual"/>
        </w:rPr>
        <w:t>):</w:t>
      </w:r>
      <w:r w:rsidR="00FE23FC" w:rsidRPr="00074754">
        <w:rPr>
          <w:rFonts w:ascii="Times New Roman" w:eastAsia="Calibri" w:hAnsi="Times New Roman" w:cs="Traditional Arabic" w:hint="cs"/>
          <w:kern w:val="2"/>
          <w:sz w:val="28"/>
          <w:szCs w:val="28"/>
          <w:rtl/>
          <w14:ligatures w14:val="standardContextual"/>
        </w:rPr>
        <w:t xml:space="preserve"> </w:t>
      </w:r>
      <w:r w:rsidRPr="00074754">
        <w:rPr>
          <w:rFonts w:ascii="Times New Roman" w:eastAsia="Calibri" w:hAnsi="Times New Roman" w:cs="Traditional Arabic"/>
          <w:kern w:val="2"/>
          <w:sz w:val="28"/>
          <w:szCs w:val="28"/>
          <w:rtl/>
          <w14:ligatures w14:val="standardContextual"/>
        </w:rPr>
        <w:t>تعني التدفق المفتوح والدقيق للمعلومات بين مستويات العمل المختلفة، وسهولة مشاركة البيانات والتقارير والقرارات في الوقت المناسب، مع وجود قنوات تواصل فعّالة.</w:t>
      </w:r>
      <w:r w:rsidR="00FE23FC" w:rsidRPr="00074754">
        <w:t xml:space="preserve"> </w:t>
      </w:r>
      <w:r w:rsidR="00FE23FC" w:rsidRPr="00074754">
        <w:rPr>
          <w:rFonts w:ascii="Times New Roman" w:eastAsia="Calibri" w:hAnsi="Times New Roman" w:cs="Traditional Arabic"/>
          <w:kern w:val="2"/>
          <w:sz w:val="28"/>
          <w:szCs w:val="28"/>
          <w14:ligatures w14:val="standardContextual"/>
        </w:rPr>
        <w:t>Chang &amp; Lin ,2022)</w:t>
      </w:r>
      <w:r w:rsidR="00FE23FC" w:rsidRPr="00074754">
        <w:rPr>
          <w:rFonts w:ascii="Times New Roman" w:eastAsia="Calibri" w:hAnsi="Times New Roman" w:cs="Traditional Arabic" w:hint="cs"/>
          <w:kern w:val="2"/>
          <w:sz w:val="28"/>
          <w:szCs w:val="28"/>
          <w:rtl/>
          <w14:ligatures w14:val="standardContextual"/>
        </w:rPr>
        <w:t>)</w:t>
      </w:r>
    </w:p>
    <w:p w14:paraId="02E8502E" w14:textId="2951860F" w:rsidR="00FE23FC" w:rsidRPr="00074754" w:rsidRDefault="00245DC6" w:rsidP="00245DC6">
      <w:pPr>
        <w:pStyle w:val="ListParagraph"/>
        <w:numPr>
          <w:ilvl w:val="0"/>
          <w:numId w:val="8"/>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b/>
          <w:bCs/>
          <w:kern w:val="2"/>
          <w:sz w:val="28"/>
          <w:szCs w:val="28"/>
          <w:rtl/>
          <w14:ligatures w14:val="standardContextual"/>
        </w:rPr>
        <w:lastRenderedPageBreak/>
        <w:t>التعريف الإجرائي:</w:t>
      </w:r>
      <w:r w:rsidRPr="00074754">
        <w:rPr>
          <w:rFonts w:ascii="Times New Roman" w:eastAsia="Calibri" w:hAnsi="Times New Roman" w:cs="Traditional Arabic" w:hint="cs"/>
          <w:kern w:val="2"/>
          <w:sz w:val="28"/>
          <w:szCs w:val="28"/>
          <w:rtl/>
          <w14:ligatures w14:val="standardContextual"/>
        </w:rPr>
        <w:t xml:space="preserve"> </w:t>
      </w:r>
      <w:r w:rsidR="00FE23FC" w:rsidRPr="00074754">
        <w:rPr>
          <w:rFonts w:ascii="Times New Roman" w:eastAsia="Calibri" w:hAnsi="Times New Roman" w:cs="Traditional Arabic"/>
          <w:kern w:val="2"/>
          <w:sz w:val="28"/>
          <w:szCs w:val="28"/>
          <w:rtl/>
          <w14:ligatures w14:val="standardContextual"/>
        </w:rPr>
        <w:t>تُقاس من خلال مدى انسيابية تدفق المعلومات بين الإدارات والمستويات التنظيمية المختلفة، وفاعلية قنوات الاتصال الرسمية، وسرعة ودقة توفر البيانات اللازمة لاتخاذ القرار</w:t>
      </w:r>
      <w:r w:rsidR="00FE23FC" w:rsidRPr="00074754">
        <w:rPr>
          <w:rFonts w:ascii="Times New Roman" w:eastAsia="Calibri" w:hAnsi="Times New Roman" w:cs="Traditional Arabic"/>
          <w:kern w:val="2"/>
          <w:sz w:val="28"/>
          <w:szCs w:val="28"/>
          <w14:ligatures w14:val="standardContextual"/>
        </w:rPr>
        <w:t>.</w:t>
      </w:r>
      <w:r w:rsidR="00FE23FC" w:rsidRPr="00074754">
        <w:rPr>
          <w:rFonts w:ascii="Times New Roman" w:eastAsia="Calibri" w:hAnsi="Times New Roman" w:cs="Traditional Arabic" w:hint="cs"/>
          <w:kern w:val="2"/>
          <w:sz w:val="28"/>
          <w:szCs w:val="28"/>
          <w:rtl/>
          <w14:ligatures w14:val="standardContextual"/>
        </w:rPr>
        <w:t>.</w:t>
      </w:r>
    </w:p>
    <w:p w14:paraId="708D64D8" w14:textId="18A8BD0A" w:rsidR="00FE23FC" w:rsidRPr="00074754" w:rsidRDefault="00FE23FC" w:rsidP="0015003F">
      <w:pPr>
        <w:pStyle w:val="ListParagraph"/>
        <w:numPr>
          <w:ilvl w:val="0"/>
          <w:numId w:val="8"/>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b/>
          <w:bCs/>
          <w:kern w:val="2"/>
          <w:sz w:val="28"/>
          <w:szCs w:val="28"/>
          <w:rtl/>
          <w14:ligatures w14:val="standardContextual"/>
        </w:rPr>
        <w:t xml:space="preserve">فاعلية اتخاذ القرار </w:t>
      </w:r>
      <w:r w:rsidR="0015003F" w:rsidRPr="00074754">
        <w:rPr>
          <w:rFonts w:ascii="Times New Roman" w:eastAsia="Calibri" w:hAnsi="Times New Roman" w:cs="Traditional Arabic" w:hint="cs"/>
          <w:b/>
          <w:bCs/>
          <w:kern w:val="2"/>
          <w:sz w:val="28"/>
          <w:szCs w:val="28"/>
          <w:rtl/>
          <w14:ligatures w14:val="standardContextual"/>
        </w:rPr>
        <w:t>الاستراتيجي</w:t>
      </w:r>
      <w:r w:rsidR="0015003F" w:rsidRPr="00074754">
        <w:rPr>
          <w:rFonts w:ascii="Times New Roman" w:eastAsia="Calibri" w:hAnsi="Times New Roman" w:cs="Traditional Arabic" w:hint="cs"/>
          <w:kern w:val="2"/>
          <w:sz w:val="28"/>
          <w:szCs w:val="28"/>
          <w:rtl/>
          <w14:ligatures w14:val="standardContextual"/>
        </w:rPr>
        <w:t>:</w:t>
      </w:r>
      <w:r w:rsidRPr="00074754">
        <w:rPr>
          <w:rFonts w:ascii="Times New Roman" w:eastAsia="Calibri" w:hAnsi="Times New Roman" w:cs="Traditional Arabic" w:hint="cs"/>
          <w:kern w:val="2"/>
          <w:sz w:val="28"/>
          <w:szCs w:val="28"/>
          <w:rtl/>
          <w14:ligatures w14:val="standardContextual"/>
        </w:rPr>
        <w:t xml:space="preserve"> </w:t>
      </w:r>
      <w:r w:rsidRPr="00074754">
        <w:rPr>
          <w:rFonts w:ascii="Times New Roman" w:eastAsia="Calibri" w:hAnsi="Times New Roman" w:cs="Traditional Arabic"/>
          <w:kern w:val="2"/>
          <w:sz w:val="28"/>
          <w:szCs w:val="28"/>
          <w:rtl/>
          <w14:ligatures w14:val="standardContextual"/>
        </w:rPr>
        <w:t>يُقصد بفاعلية اتخاذ القرار الاستراتيجي تلك القدرة التنظيمية على اتخاذ قرارات جوهرية ومصيرية تضمن التوجه المستقبلي للمنظمة، وتعكس استجابات مدروسة للتغيرات البيئية المعقدة، استنادًا إلى معلومات دقيقة وتحليل موضوعي (النايف، 2021).</w:t>
      </w:r>
    </w:p>
    <w:p w14:paraId="0CA22639" w14:textId="4ADF7208" w:rsidR="00245DC6" w:rsidRPr="00074754" w:rsidRDefault="00245DC6" w:rsidP="006C4F9D">
      <w:pPr>
        <w:pStyle w:val="ListParagraph"/>
        <w:numPr>
          <w:ilvl w:val="0"/>
          <w:numId w:val="8"/>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b/>
          <w:bCs/>
          <w:kern w:val="2"/>
          <w:sz w:val="28"/>
          <w:szCs w:val="28"/>
          <w:rtl/>
          <w14:ligatures w14:val="standardContextual"/>
        </w:rPr>
        <w:t>التعريف الإجرائي:</w:t>
      </w:r>
      <w:r w:rsidR="006C4F9D" w:rsidRPr="00074754">
        <w:rPr>
          <w:rtl/>
        </w:rPr>
        <w:t xml:space="preserve"> </w:t>
      </w:r>
      <w:r w:rsidR="006C4F9D" w:rsidRPr="00074754">
        <w:rPr>
          <w:rFonts w:ascii="Times New Roman" w:eastAsia="Calibri" w:hAnsi="Times New Roman" w:cs="Traditional Arabic"/>
          <w:kern w:val="2"/>
          <w:sz w:val="28"/>
          <w:szCs w:val="28"/>
          <w:rtl/>
          <w14:ligatures w14:val="standardContextual"/>
        </w:rPr>
        <w:t>يُقصد بها في هذه الدراسة الدرجة التي يتم من خلالها ممارسة عملية اتخاذ القرار الاستراتيجي داخل وزارات الصناعة بدول مجلس التعاون الخليجي بشكل يحقق الاستجابة الفعالة للتغيرات البيئية، ويعتمد على المعلومات الدقيقة، ويسهم في تحقيق الأهداف المؤسسية</w:t>
      </w:r>
    </w:p>
    <w:p w14:paraId="111D0A09" w14:textId="04BD24A3" w:rsidR="00FE23FC" w:rsidRPr="00074754" w:rsidRDefault="00FE23FC" w:rsidP="00FE23FC">
      <w:pPr>
        <w:pStyle w:val="ListParagraph"/>
        <w:numPr>
          <w:ilvl w:val="0"/>
          <w:numId w:val="8"/>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b/>
          <w:bCs/>
          <w:kern w:val="2"/>
          <w:sz w:val="28"/>
          <w:szCs w:val="28"/>
          <w:rtl/>
          <w14:ligatures w14:val="standardContextual"/>
        </w:rPr>
        <w:t>الوعي الاستراتيجي (</w:t>
      </w:r>
      <w:r w:rsidRPr="00074754">
        <w:rPr>
          <w:rFonts w:ascii="Times New Roman" w:eastAsia="Calibri" w:hAnsi="Times New Roman" w:cs="Traditional Arabic"/>
          <w:b/>
          <w:bCs/>
          <w:kern w:val="2"/>
          <w:sz w:val="28"/>
          <w:szCs w:val="28"/>
          <w14:ligatures w14:val="standardContextual"/>
        </w:rPr>
        <w:t>Strategic Awareness</w:t>
      </w:r>
      <w:r w:rsidR="0015003F" w:rsidRPr="00074754">
        <w:rPr>
          <w:rFonts w:ascii="Times New Roman" w:eastAsia="Calibri" w:hAnsi="Times New Roman" w:cs="Traditional Arabic" w:hint="cs"/>
          <w:b/>
          <w:bCs/>
          <w:kern w:val="2"/>
          <w:sz w:val="28"/>
          <w:szCs w:val="28"/>
          <w:rtl/>
          <w14:ligatures w14:val="standardContextual"/>
        </w:rPr>
        <w:t>)</w:t>
      </w:r>
      <w:r w:rsidR="0015003F" w:rsidRPr="00074754">
        <w:rPr>
          <w:rFonts w:ascii="Times New Roman" w:eastAsia="Calibri" w:hAnsi="Times New Roman" w:cs="Traditional Arabic" w:hint="cs"/>
          <w:kern w:val="2"/>
          <w:sz w:val="28"/>
          <w:szCs w:val="28"/>
          <w:rtl/>
          <w14:ligatures w14:val="standardContextual"/>
        </w:rPr>
        <w:t>:</w:t>
      </w:r>
      <w:r w:rsidRPr="00074754">
        <w:rPr>
          <w:rFonts w:ascii="Times New Roman" w:eastAsia="Calibri" w:hAnsi="Times New Roman" w:cs="Traditional Arabic" w:hint="cs"/>
          <w:kern w:val="2"/>
          <w:sz w:val="28"/>
          <w:szCs w:val="28"/>
          <w:rtl/>
          <w14:ligatures w14:val="standardContextual"/>
        </w:rPr>
        <w:t xml:space="preserve"> </w:t>
      </w:r>
      <w:r w:rsidRPr="00074754">
        <w:rPr>
          <w:rFonts w:ascii="Times New Roman" w:eastAsia="Calibri" w:hAnsi="Times New Roman" w:cs="Traditional Arabic"/>
          <w:kern w:val="2"/>
          <w:sz w:val="28"/>
          <w:szCs w:val="28"/>
          <w:rtl/>
          <w14:ligatures w14:val="standardContextual"/>
        </w:rPr>
        <w:t>هو إدراك القادة وصانعي القرار للعوامل البيئية الداخلية والخارجية المؤثرة على المنظمة، بما في ذلك التحديات والفرص والمخاطر المحتملة، وقدرتهم على استشراف المستقبل واتخاذ قرارات مبنية على فهم شامل للسياق التنظيمي والاستراتيجي</w:t>
      </w:r>
      <w:r w:rsidRPr="00074754">
        <w:rPr>
          <w:rFonts w:ascii="Times New Roman" w:eastAsia="Calibri" w:hAnsi="Times New Roman" w:cs="Traditional Arabic"/>
          <w:kern w:val="2"/>
          <w:sz w:val="28"/>
          <w:szCs w:val="28"/>
          <w14:ligatures w14:val="standardContextual"/>
        </w:rPr>
        <w:t>.</w:t>
      </w:r>
      <w:r w:rsidRPr="00074754">
        <w:t xml:space="preserve"> </w:t>
      </w:r>
      <w:r w:rsidRPr="00074754">
        <w:rPr>
          <w:rFonts w:ascii="Times New Roman" w:eastAsia="Calibri" w:hAnsi="Times New Roman" w:cs="Traditional Arabic"/>
          <w:kern w:val="2"/>
          <w:sz w:val="28"/>
          <w:szCs w:val="28"/>
          <w14:ligatures w14:val="standardContextual"/>
        </w:rPr>
        <w:t>(</w:t>
      </w:r>
      <w:proofErr w:type="spellStart"/>
      <w:r w:rsidRPr="00074754">
        <w:rPr>
          <w:rFonts w:ascii="Times New Roman" w:eastAsia="Calibri" w:hAnsi="Times New Roman" w:cs="Traditional Arabic"/>
          <w:kern w:val="2"/>
          <w:sz w:val="28"/>
          <w:szCs w:val="28"/>
          <w14:ligatures w14:val="standardContextual"/>
        </w:rPr>
        <w:t>Yulion</w:t>
      </w:r>
      <w:proofErr w:type="spellEnd"/>
      <w:r w:rsidRPr="00074754">
        <w:rPr>
          <w:rFonts w:ascii="Times New Roman" w:eastAsia="Calibri" w:hAnsi="Times New Roman" w:cs="Traditional Arabic"/>
          <w:kern w:val="2"/>
          <w:sz w:val="28"/>
          <w:szCs w:val="28"/>
          <w14:ligatures w14:val="standardContextual"/>
        </w:rPr>
        <w:t xml:space="preserve"> et al., 2024)</w:t>
      </w:r>
    </w:p>
    <w:p w14:paraId="48EB6B40" w14:textId="5360763F" w:rsidR="00245DC6" w:rsidRPr="00074754" w:rsidRDefault="00245DC6" w:rsidP="00245DC6">
      <w:pPr>
        <w:pStyle w:val="ListParagraph"/>
        <w:numPr>
          <w:ilvl w:val="0"/>
          <w:numId w:val="8"/>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b/>
          <w:bCs/>
          <w:kern w:val="2"/>
          <w:sz w:val="28"/>
          <w:szCs w:val="28"/>
          <w:rtl/>
          <w14:ligatures w14:val="standardContextual"/>
        </w:rPr>
        <w:t>تعريف إجرائي</w:t>
      </w:r>
      <w:r w:rsidRPr="00074754">
        <w:rPr>
          <w:rFonts w:ascii="Times New Roman" w:eastAsia="Calibri" w:hAnsi="Times New Roman" w:cs="Traditional Arabic"/>
          <w:kern w:val="2"/>
          <w:sz w:val="28"/>
          <w:szCs w:val="28"/>
          <w:rtl/>
          <w14:ligatures w14:val="standardContextual"/>
        </w:rPr>
        <w:t>: يُقاس هذا البُعد من خلال قدرة المشاركين على إدراك التغيرات في البيئة الخارجية، وفهم التوجهات العامة للقطاع الصناعي، واستيعاب نقاط القوة والضعف الداخلية للوزارة، ويُعبّر عنه من خلال فقرات الاستبيان التي تتناول متابعة التغيرات، وتحليل الفرص والتهديدات، والاطلاع على التوجهات الاستراتيجية.</w:t>
      </w:r>
    </w:p>
    <w:p w14:paraId="36464C64" w14:textId="337FB8F8" w:rsidR="00FE23FC" w:rsidRPr="00074754" w:rsidRDefault="00FE23FC" w:rsidP="00FE23FC">
      <w:pPr>
        <w:pStyle w:val="ListParagraph"/>
        <w:numPr>
          <w:ilvl w:val="0"/>
          <w:numId w:val="8"/>
        </w:numPr>
        <w:bidi/>
        <w:spacing w:line="360" w:lineRule="auto"/>
        <w:jc w:val="both"/>
        <w:rPr>
          <w:rFonts w:ascii="Times New Roman" w:eastAsia="Calibri" w:hAnsi="Times New Roman" w:cs="Traditional Arabic"/>
          <w:kern w:val="2"/>
          <w:sz w:val="28"/>
          <w:szCs w:val="28"/>
          <w14:ligatures w14:val="standardContextual"/>
        </w:rPr>
      </w:pPr>
      <w:r w:rsidRPr="00074754">
        <w:rPr>
          <w:rFonts w:ascii="Traditional Arabic" w:eastAsia="Calibri" w:hAnsi="Traditional Arabic" w:cs="Traditional Arabic" w:hint="cs"/>
          <w:b/>
          <w:bCs/>
          <w:kern w:val="2"/>
          <w:sz w:val="28"/>
          <w:szCs w:val="28"/>
          <w:rtl/>
          <w14:ligatures w14:val="standardContextual"/>
        </w:rPr>
        <w:t>القدرة</w:t>
      </w:r>
      <w:r w:rsidRPr="00074754">
        <w:rPr>
          <w:rFonts w:ascii="Times New Roman" w:eastAsia="Calibri" w:hAnsi="Times New Roman" w:cs="Traditional Arabic"/>
          <w:b/>
          <w:bCs/>
          <w:kern w:val="2"/>
          <w:sz w:val="28"/>
          <w:szCs w:val="28"/>
          <w:rtl/>
          <w14:ligatures w14:val="standardContextual"/>
        </w:rPr>
        <w:t xml:space="preserve"> </w:t>
      </w:r>
      <w:r w:rsidRPr="00074754">
        <w:rPr>
          <w:rFonts w:ascii="Traditional Arabic" w:eastAsia="Calibri" w:hAnsi="Traditional Arabic" w:cs="Traditional Arabic" w:hint="cs"/>
          <w:b/>
          <w:bCs/>
          <w:kern w:val="2"/>
          <w:sz w:val="28"/>
          <w:szCs w:val="28"/>
          <w:rtl/>
          <w14:ligatures w14:val="standardContextual"/>
        </w:rPr>
        <w:t>على</w:t>
      </w:r>
      <w:r w:rsidRPr="00074754">
        <w:rPr>
          <w:rFonts w:ascii="Times New Roman" w:eastAsia="Calibri" w:hAnsi="Times New Roman" w:cs="Traditional Arabic"/>
          <w:b/>
          <w:bCs/>
          <w:kern w:val="2"/>
          <w:sz w:val="28"/>
          <w:szCs w:val="28"/>
          <w:rtl/>
          <w14:ligatures w14:val="standardContextual"/>
        </w:rPr>
        <w:t xml:space="preserve"> </w:t>
      </w:r>
      <w:r w:rsidRPr="00074754">
        <w:rPr>
          <w:rFonts w:ascii="Traditional Arabic" w:eastAsia="Calibri" w:hAnsi="Traditional Arabic" w:cs="Traditional Arabic" w:hint="cs"/>
          <w:b/>
          <w:bCs/>
          <w:kern w:val="2"/>
          <w:sz w:val="28"/>
          <w:szCs w:val="28"/>
          <w:rtl/>
          <w14:ligatures w14:val="standardContextual"/>
        </w:rPr>
        <w:t>التكيف</w:t>
      </w:r>
      <w:r w:rsidRPr="00074754">
        <w:rPr>
          <w:rFonts w:ascii="Times New Roman" w:eastAsia="Calibri" w:hAnsi="Times New Roman" w:cs="Traditional Arabic"/>
          <w:b/>
          <w:bCs/>
          <w:kern w:val="2"/>
          <w:sz w:val="28"/>
          <w:szCs w:val="28"/>
          <w:rtl/>
          <w14:ligatures w14:val="standardContextual"/>
        </w:rPr>
        <w:t xml:space="preserve"> (</w:t>
      </w:r>
      <w:r w:rsidRPr="00074754">
        <w:rPr>
          <w:rFonts w:ascii="Times New Roman" w:eastAsia="Calibri" w:hAnsi="Times New Roman" w:cs="Traditional Arabic"/>
          <w:b/>
          <w:bCs/>
          <w:kern w:val="2"/>
          <w:sz w:val="28"/>
          <w:szCs w:val="28"/>
          <w14:ligatures w14:val="standardContextual"/>
        </w:rPr>
        <w:t>Adaptability</w:t>
      </w:r>
      <w:r w:rsidR="00140115" w:rsidRPr="00074754">
        <w:rPr>
          <w:rFonts w:ascii="Times New Roman" w:eastAsia="Calibri" w:hAnsi="Times New Roman" w:cs="Traditional Arabic" w:hint="cs"/>
          <w:b/>
          <w:bCs/>
          <w:kern w:val="2"/>
          <w:sz w:val="28"/>
          <w:szCs w:val="28"/>
          <w:rtl/>
          <w14:ligatures w14:val="standardContextual"/>
        </w:rPr>
        <w:t>)</w:t>
      </w:r>
      <w:r w:rsidR="00140115" w:rsidRPr="00074754">
        <w:rPr>
          <w:rFonts w:ascii="Times New Roman" w:eastAsia="Calibri" w:hAnsi="Times New Roman" w:cs="Traditional Arabic" w:hint="cs"/>
          <w:kern w:val="2"/>
          <w:sz w:val="28"/>
          <w:szCs w:val="28"/>
          <w:rtl/>
          <w14:ligatures w14:val="standardContextual"/>
        </w:rPr>
        <w:t>:</w:t>
      </w:r>
      <w:r w:rsidRPr="00074754">
        <w:rPr>
          <w:rFonts w:ascii="Times New Roman" w:eastAsia="Calibri" w:hAnsi="Times New Roman" w:cs="Traditional Arabic" w:hint="cs"/>
          <w:kern w:val="2"/>
          <w:sz w:val="28"/>
          <w:szCs w:val="28"/>
          <w:rtl/>
          <w14:ligatures w14:val="standardContextual"/>
        </w:rPr>
        <w:t xml:space="preserve"> </w:t>
      </w:r>
      <w:r w:rsidRPr="00074754">
        <w:rPr>
          <w:rFonts w:eastAsia="Calibri" w:cs="Traditional Arabic"/>
          <w:kern w:val="2"/>
          <w:sz w:val="28"/>
          <w:szCs w:val="28"/>
          <w:rtl/>
          <w14:ligatures w14:val="standardContextual"/>
        </w:rPr>
        <w:t>تشير إلى قدرة متخذي القرار على تعديل السياسات والاستراتيجيات الحالية استجابةً للتغيرات غير المتوقعة في البيئة الداخلية أو الخارجية، بما يضمن الاستجابة الفعالة والتفاعل السريع مع المستجدات</w:t>
      </w:r>
      <w:r w:rsidRPr="00074754">
        <w:rPr>
          <w:rFonts w:eastAsia="Calibri" w:cs="Traditional Arabic"/>
          <w:kern w:val="2"/>
          <w:sz w:val="28"/>
          <w:szCs w:val="28"/>
          <w14:ligatures w14:val="standardContextual"/>
        </w:rPr>
        <w:t>.</w:t>
      </w:r>
      <w:r w:rsidRPr="00074754">
        <w:rPr>
          <w:rFonts w:eastAsia="Calibri" w:cs="Traditional Arabic"/>
          <w:kern w:val="2"/>
          <w:sz w:val="28"/>
          <w:szCs w:val="28"/>
          <w:rtl/>
          <w14:ligatures w14:val="standardContextual"/>
        </w:rPr>
        <w:t xml:space="preserve"> (النايف، 2021)</w:t>
      </w:r>
    </w:p>
    <w:p w14:paraId="7AECC429" w14:textId="002673B2" w:rsidR="00245DC6" w:rsidRPr="00074754" w:rsidRDefault="00245DC6" w:rsidP="00245DC6">
      <w:pPr>
        <w:pStyle w:val="ListParagraph"/>
        <w:numPr>
          <w:ilvl w:val="0"/>
          <w:numId w:val="8"/>
        </w:numPr>
        <w:bidi/>
        <w:spacing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b/>
          <w:bCs/>
          <w:kern w:val="2"/>
          <w:sz w:val="28"/>
          <w:szCs w:val="28"/>
          <w:rtl/>
          <w14:ligatures w14:val="standardContextual"/>
        </w:rPr>
        <w:t>تعريف إجرائي</w:t>
      </w:r>
      <w:r w:rsidRPr="00074754">
        <w:rPr>
          <w:rFonts w:ascii="Times New Roman" w:eastAsia="Calibri" w:hAnsi="Times New Roman" w:cs="Traditional Arabic"/>
          <w:kern w:val="2"/>
          <w:sz w:val="28"/>
          <w:szCs w:val="28"/>
          <w:rtl/>
          <w14:ligatures w14:val="standardContextual"/>
        </w:rPr>
        <w:t>: يُقاس هذا البُعد من خلال مدى مرونة الوزارة في تعديل خططها واستراتيجياتها وفق المستجدات، واستعداد صانعي القرار للاستجابة الفعالة للظروف المتغيرة، ويُعبّر عنه بفقرات تتعلق بسرعة التعديل على الخطط، وقبول التغيير، وإعادة هيكلة الأولويات بناءً على المعطيات الجديدة.</w:t>
      </w:r>
    </w:p>
    <w:p w14:paraId="551E3A77" w14:textId="355E13E8" w:rsidR="00FE23FC" w:rsidRPr="00074754" w:rsidRDefault="00FE23FC" w:rsidP="00FE23FC">
      <w:pPr>
        <w:pStyle w:val="ListParagraph"/>
        <w:numPr>
          <w:ilvl w:val="0"/>
          <w:numId w:val="8"/>
        </w:numPr>
        <w:bidi/>
        <w:spacing w:line="360" w:lineRule="auto"/>
        <w:jc w:val="both"/>
        <w:rPr>
          <w:rFonts w:eastAsia="Calibri" w:cs="Traditional Arabic"/>
          <w:kern w:val="2"/>
          <w:sz w:val="28"/>
          <w:szCs w:val="28"/>
          <w14:ligatures w14:val="standardContextual"/>
        </w:rPr>
      </w:pPr>
      <w:r w:rsidRPr="00074754">
        <w:rPr>
          <w:rFonts w:ascii="Traditional Arabic" w:eastAsia="Calibri" w:hAnsi="Traditional Arabic" w:cs="Traditional Arabic" w:hint="cs"/>
          <w:b/>
          <w:bCs/>
          <w:kern w:val="2"/>
          <w:sz w:val="28"/>
          <w:szCs w:val="28"/>
          <w:rtl/>
          <w14:ligatures w14:val="standardContextual"/>
        </w:rPr>
        <w:lastRenderedPageBreak/>
        <w:t>التفاعل</w:t>
      </w:r>
      <w:r w:rsidRPr="00074754">
        <w:rPr>
          <w:rFonts w:ascii="Times New Roman" w:eastAsia="Calibri" w:hAnsi="Times New Roman" w:cs="Traditional Arabic"/>
          <w:b/>
          <w:bCs/>
          <w:kern w:val="2"/>
          <w:sz w:val="28"/>
          <w:szCs w:val="28"/>
          <w:rtl/>
          <w14:ligatures w14:val="standardContextual"/>
        </w:rPr>
        <w:t xml:space="preserve"> </w:t>
      </w:r>
      <w:r w:rsidRPr="00074754">
        <w:rPr>
          <w:rFonts w:ascii="Traditional Arabic" w:eastAsia="Calibri" w:hAnsi="Traditional Arabic" w:cs="Traditional Arabic" w:hint="cs"/>
          <w:b/>
          <w:bCs/>
          <w:kern w:val="2"/>
          <w:sz w:val="28"/>
          <w:szCs w:val="28"/>
          <w:rtl/>
          <w14:ligatures w14:val="standardContextual"/>
        </w:rPr>
        <w:t>مع</w:t>
      </w:r>
      <w:r w:rsidRPr="00074754">
        <w:rPr>
          <w:rFonts w:ascii="Times New Roman" w:eastAsia="Calibri" w:hAnsi="Times New Roman" w:cs="Traditional Arabic"/>
          <w:b/>
          <w:bCs/>
          <w:kern w:val="2"/>
          <w:sz w:val="28"/>
          <w:szCs w:val="28"/>
          <w:rtl/>
          <w14:ligatures w14:val="standardContextual"/>
        </w:rPr>
        <w:t xml:space="preserve"> </w:t>
      </w:r>
      <w:r w:rsidRPr="00074754">
        <w:rPr>
          <w:rFonts w:ascii="Traditional Arabic" w:eastAsia="Calibri" w:hAnsi="Traditional Arabic" w:cs="Traditional Arabic" w:hint="cs"/>
          <w:b/>
          <w:bCs/>
          <w:kern w:val="2"/>
          <w:sz w:val="28"/>
          <w:szCs w:val="28"/>
          <w:rtl/>
          <w14:ligatures w14:val="standardContextual"/>
        </w:rPr>
        <w:t>البيانات</w:t>
      </w:r>
      <w:r w:rsidRPr="00074754">
        <w:rPr>
          <w:rFonts w:ascii="Times New Roman" w:eastAsia="Calibri" w:hAnsi="Times New Roman" w:cs="Traditional Arabic"/>
          <w:b/>
          <w:bCs/>
          <w:kern w:val="2"/>
          <w:sz w:val="28"/>
          <w:szCs w:val="28"/>
          <w:rtl/>
          <w14:ligatures w14:val="standardContextual"/>
        </w:rPr>
        <w:t xml:space="preserve"> </w:t>
      </w:r>
      <w:r w:rsidRPr="00074754">
        <w:rPr>
          <w:rFonts w:ascii="Traditional Arabic" w:eastAsia="Calibri" w:hAnsi="Traditional Arabic" w:cs="Traditional Arabic" w:hint="cs"/>
          <w:b/>
          <w:bCs/>
          <w:kern w:val="2"/>
          <w:sz w:val="28"/>
          <w:szCs w:val="28"/>
          <w:rtl/>
          <w14:ligatures w14:val="standardContextual"/>
        </w:rPr>
        <w:t>والمعلومات</w:t>
      </w:r>
      <w:r w:rsidRPr="00074754">
        <w:rPr>
          <w:rFonts w:ascii="Times New Roman" w:eastAsia="Calibri" w:hAnsi="Times New Roman" w:cs="Traditional Arabic"/>
          <w:b/>
          <w:bCs/>
          <w:kern w:val="2"/>
          <w:sz w:val="28"/>
          <w:szCs w:val="28"/>
          <w:rtl/>
          <w14:ligatures w14:val="standardContextual"/>
        </w:rPr>
        <w:t xml:space="preserve"> (</w:t>
      </w:r>
      <w:r w:rsidRPr="00074754">
        <w:rPr>
          <w:rFonts w:ascii="Times New Roman" w:eastAsia="Calibri" w:hAnsi="Times New Roman" w:cs="Traditional Arabic"/>
          <w:b/>
          <w:bCs/>
          <w:kern w:val="2"/>
          <w:sz w:val="28"/>
          <w:szCs w:val="28"/>
          <w14:ligatures w14:val="standardContextual"/>
        </w:rPr>
        <w:t>Interaction with Data &amp; Information</w:t>
      </w:r>
      <w:r w:rsidRPr="00074754">
        <w:rPr>
          <w:rFonts w:ascii="Times New Roman" w:eastAsia="Calibri" w:hAnsi="Times New Roman" w:cs="Traditional Arabic"/>
          <w:b/>
          <w:bCs/>
          <w:kern w:val="2"/>
          <w:sz w:val="28"/>
          <w:szCs w:val="28"/>
          <w:rtl/>
          <w14:ligatures w14:val="standardContextual"/>
        </w:rPr>
        <w:t>)</w:t>
      </w:r>
      <w:r w:rsidRPr="00074754">
        <w:rPr>
          <w:rFonts w:ascii="Times New Roman" w:eastAsia="Calibri" w:hAnsi="Times New Roman" w:cs="Traditional Arabic" w:hint="cs"/>
          <w:b/>
          <w:bCs/>
          <w:kern w:val="2"/>
          <w:sz w:val="28"/>
          <w:szCs w:val="28"/>
          <w:rtl/>
          <w14:ligatures w14:val="standardContextual"/>
        </w:rPr>
        <w:t>:</w:t>
      </w:r>
      <w:r w:rsidRPr="00074754">
        <w:rPr>
          <w:rFonts w:ascii="Times New Roman" w:eastAsia="Calibri" w:hAnsi="Times New Roman" w:cs="Traditional Arabic" w:hint="cs"/>
          <w:kern w:val="2"/>
          <w:sz w:val="28"/>
          <w:szCs w:val="28"/>
          <w:rtl/>
          <w14:ligatures w14:val="standardContextual"/>
        </w:rPr>
        <w:t xml:space="preserve"> </w:t>
      </w:r>
      <w:r w:rsidRPr="00074754">
        <w:rPr>
          <w:rFonts w:eastAsia="Calibri" w:cs="Traditional Arabic"/>
          <w:kern w:val="2"/>
          <w:sz w:val="28"/>
          <w:szCs w:val="28"/>
          <w:rtl/>
          <w14:ligatures w14:val="standardContextual"/>
        </w:rPr>
        <w:t xml:space="preserve">يُقصد به مدى اعتماد متخذي القرار على البيانات والمعلومات الدقيقة والحديثة في صياغة الخيارات الاستراتيجية، وقدرتهم على تحليلها واستيعابها والاستفادة منها في تحسين جودة </w:t>
      </w:r>
      <w:r w:rsidR="0015003F" w:rsidRPr="00074754">
        <w:rPr>
          <w:rFonts w:eastAsia="Calibri" w:cs="Traditional Arabic" w:hint="cs"/>
          <w:kern w:val="2"/>
          <w:sz w:val="28"/>
          <w:szCs w:val="28"/>
          <w:rtl/>
          <w14:ligatures w14:val="standardContextual"/>
        </w:rPr>
        <w:t>القرارات</w:t>
      </w:r>
      <w:r w:rsidR="0015003F" w:rsidRPr="00074754">
        <w:rPr>
          <w:rFonts w:eastAsia="Calibri" w:cs="Traditional Arabic"/>
          <w:kern w:val="2"/>
          <w:sz w:val="28"/>
          <w:szCs w:val="28"/>
          <w14:ligatures w14:val="standardContextual"/>
        </w:rPr>
        <w:t>. (</w:t>
      </w:r>
      <w:proofErr w:type="spellStart"/>
      <w:r w:rsidRPr="00074754">
        <w:rPr>
          <w:rFonts w:eastAsia="Calibri" w:cs="Traditional Arabic"/>
          <w:kern w:val="2"/>
          <w:sz w:val="28"/>
          <w:szCs w:val="28"/>
          <w14:ligatures w14:val="standardContextual"/>
        </w:rPr>
        <w:t>Yulion</w:t>
      </w:r>
      <w:proofErr w:type="spellEnd"/>
      <w:r w:rsidRPr="00074754">
        <w:rPr>
          <w:rFonts w:eastAsia="Calibri" w:cs="Traditional Arabic"/>
          <w:kern w:val="2"/>
          <w:sz w:val="28"/>
          <w:szCs w:val="28"/>
          <w14:ligatures w14:val="standardContextual"/>
        </w:rPr>
        <w:t xml:space="preserve"> et al., 2024)</w:t>
      </w:r>
    </w:p>
    <w:p w14:paraId="1D0DF4E5" w14:textId="33F570BE" w:rsidR="00245DC6" w:rsidRPr="00074754" w:rsidRDefault="00245DC6" w:rsidP="00245DC6">
      <w:pPr>
        <w:pStyle w:val="ListParagraph"/>
        <w:numPr>
          <w:ilvl w:val="0"/>
          <w:numId w:val="8"/>
        </w:numPr>
        <w:bidi/>
        <w:spacing w:line="360" w:lineRule="auto"/>
        <w:jc w:val="both"/>
        <w:rPr>
          <w:rFonts w:eastAsia="Calibri" w:cs="Traditional Arabic"/>
          <w:kern w:val="2"/>
          <w:sz w:val="28"/>
          <w:szCs w:val="28"/>
          <w14:ligatures w14:val="standardContextual"/>
        </w:rPr>
      </w:pPr>
      <w:r w:rsidRPr="00074754">
        <w:rPr>
          <w:rFonts w:eastAsia="Calibri" w:cs="Traditional Arabic"/>
          <w:b/>
          <w:bCs/>
          <w:kern w:val="2"/>
          <w:sz w:val="28"/>
          <w:szCs w:val="28"/>
          <w:rtl/>
          <w14:ligatures w14:val="standardContextual"/>
        </w:rPr>
        <w:t>تعريف إجرائي</w:t>
      </w:r>
      <w:r w:rsidRPr="00074754">
        <w:rPr>
          <w:rFonts w:eastAsia="Calibri" w:cs="Traditional Arabic"/>
          <w:kern w:val="2"/>
          <w:sz w:val="28"/>
          <w:szCs w:val="28"/>
          <w:rtl/>
          <w14:ligatures w14:val="standardContextual"/>
        </w:rPr>
        <w:t>: يُقاس هذا البُعد من خلال درجة استخدام صانعي القرار للبيانات الرقمية والتقارير التحليلية أثناء صنع القرار، ومدى الاعتماد على نظم دعم القرار، ويُعبّر عنه من خلال فقرات تقيس استخدام البيانات المحدثة، وتحليل المؤشرات الرقمية، والاستناد إلى نظم معلومات متكاملة.</w:t>
      </w:r>
    </w:p>
    <w:p w14:paraId="2276A756" w14:textId="200CF229" w:rsidR="00752353" w:rsidRPr="00074754" w:rsidRDefault="00EF5312" w:rsidP="00B702FA">
      <w:pPr>
        <w:bidi/>
        <w:spacing w:before="100" w:beforeAutospacing="1" w:after="100" w:afterAutospacing="1" w:line="360" w:lineRule="auto"/>
        <w:outlineLvl w:val="1"/>
        <w:rPr>
          <w:rFonts w:ascii="Times New Roman" w:hAnsi="Times New Roman" w:cs="Traditional Arabic"/>
          <w:b/>
          <w:bCs/>
          <w:sz w:val="32"/>
          <w:szCs w:val="32"/>
          <w:rtl/>
        </w:rPr>
      </w:pPr>
      <w:bookmarkStart w:id="14" w:name="_Toc202226011"/>
      <w:r>
        <w:rPr>
          <w:rFonts w:ascii="Times New Roman" w:hAnsi="Times New Roman" w:cs="Traditional Arabic" w:hint="cs"/>
          <w:b/>
          <w:bCs/>
          <w:sz w:val="32"/>
          <w:szCs w:val="32"/>
          <w:rtl/>
        </w:rPr>
        <w:t>7</w:t>
      </w:r>
      <w:r w:rsidR="00B702FA" w:rsidRPr="00074754">
        <w:rPr>
          <w:rFonts w:ascii="Times New Roman" w:hAnsi="Times New Roman" w:cs="Traditional Arabic" w:hint="cs"/>
          <w:b/>
          <w:bCs/>
          <w:sz w:val="32"/>
          <w:szCs w:val="32"/>
          <w:rtl/>
        </w:rPr>
        <w:t xml:space="preserve">,1 </w:t>
      </w:r>
      <w:r w:rsidR="00752353" w:rsidRPr="00074754">
        <w:rPr>
          <w:rFonts w:ascii="Times New Roman" w:hAnsi="Times New Roman" w:cs="Traditional Arabic" w:hint="cs"/>
          <w:b/>
          <w:bCs/>
          <w:sz w:val="32"/>
          <w:szCs w:val="32"/>
          <w:rtl/>
        </w:rPr>
        <w:t>منهج الدراسة</w:t>
      </w:r>
      <w:r w:rsidR="00752353" w:rsidRPr="00074754">
        <w:rPr>
          <w:rFonts w:ascii="Times New Roman" w:hAnsi="Times New Roman" w:cs="Traditional Arabic"/>
          <w:b/>
          <w:bCs/>
          <w:sz w:val="32"/>
          <w:szCs w:val="32"/>
          <w:rtl/>
        </w:rPr>
        <w:t>:</w:t>
      </w:r>
      <w:bookmarkEnd w:id="14"/>
    </w:p>
    <w:p w14:paraId="6D3C41F0" w14:textId="77777777" w:rsidR="00DE21E6" w:rsidRPr="00140115" w:rsidRDefault="00DE21E6" w:rsidP="00DE21E6">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140115">
        <w:rPr>
          <w:rFonts w:ascii="Times New Roman" w:eastAsia="Calibri" w:hAnsi="Times New Roman" w:cs="Traditional Arabic"/>
          <w:kern w:val="2"/>
          <w:sz w:val="28"/>
          <w:szCs w:val="28"/>
          <w:rtl/>
          <w14:ligatures w14:val="standardContextual"/>
        </w:rPr>
        <w:t>سيتبنى الباحث المنهج الوصفي التحليلي باعتباره الأنسب لطبيعة الدراسة، وذلك لأنه يتيح فهم وتحليل العلاقات السببية بين التحول الرقمي وفاعلية اتخاذ القرار الاستراتيجي عند توسيط الشفافية المعلوماتية، من خلال جمع البيانات الميدانية وتحليلها بصورة منهجية تساعد على اختبار الفرضيات بدقة وموضوعية</w:t>
      </w:r>
      <w:r w:rsidRPr="00140115">
        <w:rPr>
          <w:rFonts w:ascii="Times New Roman" w:eastAsia="Calibri" w:hAnsi="Times New Roman" w:cs="Traditional Arabic"/>
          <w:kern w:val="2"/>
          <w:sz w:val="28"/>
          <w:szCs w:val="28"/>
          <w14:ligatures w14:val="standardContextual"/>
        </w:rPr>
        <w:t>.</w:t>
      </w:r>
    </w:p>
    <w:p w14:paraId="3BBA87F4" w14:textId="77777777" w:rsidR="00DE21E6" w:rsidRPr="00140115" w:rsidRDefault="00DE21E6" w:rsidP="00DE21E6">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140115">
        <w:rPr>
          <w:rFonts w:ascii="Times New Roman" w:eastAsia="Calibri" w:hAnsi="Times New Roman" w:cs="Traditional Arabic"/>
          <w:kern w:val="2"/>
          <w:sz w:val="28"/>
          <w:szCs w:val="28"/>
          <w:rtl/>
          <w14:ligatures w14:val="standardContextual"/>
        </w:rPr>
        <w:t>ويتميز هذا المنهج بقدرته على تصوير الظاهرة كما هي في الواقع، ووصفها بصورة كمية وكيفية، ثم تحليل متغيراتها للكشف عن العلاقات والتأثيرات المتبادلة بينها. كما سيتم اعتماد المنهج الكمي غير التجريبي</w:t>
      </w:r>
      <w:r w:rsidRPr="00140115">
        <w:rPr>
          <w:rFonts w:ascii="Times New Roman" w:eastAsia="Calibri" w:hAnsi="Times New Roman" w:cs="Traditional Arabic"/>
          <w:kern w:val="2"/>
          <w:sz w:val="28"/>
          <w:szCs w:val="28"/>
          <w14:ligatures w14:val="standardContextual"/>
        </w:rPr>
        <w:t xml:space="preserve"> (Non-Experimental Quantitative Research)</w:t>
      </w:r>
      <w:r w:rsidRPr="00140115">
        <w:rPr>
          <w:rFonts w:ascii="Times New Roman" w:eastAsia="Calibri" w:hAnsi="Times New Roman" w:cs="Traditional Arabic"/>
          <w:kern w:val="2"/>
          <w:sz w:val="28"/>
          <w:szCs w:val="28"/>
          <w:rtl/>
          <w14:ligatures w14:val="standardContextual"/>
        </w:rPr>
        <w:t>، نظرًا لاعتماده على أدوات قياس كمية مثل الاستبيانات، وتحليل البيانات باستخدام أساليب إحصائية متقدمة دون أي تدخل في المتغيرات محل الدراسة</w:t>
      </w:r>
      <w:r w:rsidRPr="00140115">
        <w:rPr>
          <w:rFonts w:ascii="Times New Roman" w:eastAsia="Calibri" w:hAnsi="Times New Roman" w:cs="Traditional Arabic"/>
          <w:kern w:val="2"/>
          <w:sz w:val="28"/>
          <w:szCs w:val="28"/>
          <w14:ligatures w14:val="standardContextual"/>
        </w:rPr>
        <w:t>.</w:t>
      </w:r>
    </w:p>
    <w:p w14:paraId="7DFE678A" w14:textId="77777777" w:rsidR="00DE21E6" w:rsidRPr="00140115" w:rsidRDefault="00DE21E6" w:rsidP="00DE21E6">
      <w:pPr>
        <w:bidi/>
        <w:spacing w:before="100" w:beforeAutospacing="1" w:after="100" w:afterAutospacing="1" w:line="360" w:lineRule="auto"/>
        <w:jc w:val="both"/>
        <w:rPr>
          <w:rFonts w:ascii="Times New Roman" w:eastAsia="Calibri" w:hAnsi="Times New Roman" w:cs="Traditional Arabic"/>
          <w:b/>
          <w:bCs/>
          <w:kern w:val="2"/>
          <w:sz w:val="28"/>
          <w:szCs w:val="28"/>
          <w14:ligatures w14:val="standardContextual"/>
        </w:rPr>
      </w:pPr>
      <w:r w:rsidRPr="00140115">
        <w:rPr>
          <w:rFonts w:ascii="Times New Roman" w:eastAsia="Calibri" w:hAnsi="Times New Roman" w:cs="Traditional Arabic"/>
          <w:b/>
          <w:bCs/>
          <w:kern w:val="2"/>
          <w:sz w:val="28"/>
          <w:szCs w:val="28"/>
          <w:rtl/>
          <w14:ligatures w14:val="standardContextual"/>
        </w:rPr>
        <w:t>ثانيًا: أداة الدراسة</w:t>
      </w:r>
    </w:p>
    <w:p w14:paraId="23D71969" w14:textId="77777777" w:rsidR="00DE21E6" w:rsidRPr="00140115" w:rsidRDefault="00DE21E6" w:rsidP="00DE21E6">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140115">
        <w:rPr>
          <w:rFonts w:ascii="Times New Roman" w:eastAsia="Calibri" w:hAnsi="Times New Roman" w:cs="Traditional Arabic"/>
          <w:kern w:val="2"/>
          <w:sz w:val="28"/>
          <w:szCs w:val="28"/>
          <w:rtl/>
          <w14:ligatures w14:val="standardContextual"/>
        </w:rPr>
        <w:t xml:space="preserve">سيتم جمع البيانات باستخدام </w:t>
      </w:r>
      <w:r w:rsidRPr="00140115">
        <w:rPr>
          <w:rFonts w:ascii="Times New Roman" w:eastAsia="Calibri" w:hAnsi="Times New Roman" w:cs="Traditional Arabic"/>
          <w:b/>
          <w:bCs/>
          <w:kern w:val="2"/>
          <w:sz w:val="28"/>
          <w:szCs w:val="28"/>
          <w:rtl/>
          <w14:ligatures w14:val="standardContextual"/>
        </w:rPr>
        <w:t>الاستبانة</w:t>
      </w:r>
      <w:r w:rsidRPr="00140115">
        <w:rPr>
          <w:rFonts w:ascii="Times New Roman" w:eastAsia="Calibri" w:hAnsi="Times New Roman" w:cs="Traditional Arabic"/>
          <w:kern w:val="2"/>
          <w:sz w:val="28"/>
          <w:szCs w:val="28"/>
          <w:rtl/>
          <w14:ligatures w14:val="standardContextual"/>
        </w:rPr>
        <w:t xml:space="preserve"> التي ستُصمّم وفق أبعاد المتغيرات الرئيسة وهي</w:t>
      </w:r>
      <w:r w:rsidRPr="00140115">
        <w:rPr>
          <w:rFonts w:ascii="Times New Roman" w:eastAsia="Calibri" w:hAnsi="Times New Roman" w:cs="Traditional Arabic"/>
          <w:kern w:val="2"/>
          <w:sz w:val="28"/>
          <w:szCs w:val="28"/>
          <w14:ligatures w14:val="standardContextual"/>
        </w:rPr>
        <w:t>:</w:t>
      </w:r>
    </w:p>
    <w:p w14:paraId="0DF6A9CA" w14:textId="77777777" w:rsidR="00DE21E6" w:rsidRPr="00140115" w:rsidRDefault="00DE21E6" w:rsidP="00DE21E6">
      <w:pPr>
        <w:numPr>
          <w:ilvl w:val="0"/>
          <w:numId w:val="24"/>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140115">
        <w:rPr>
          <w:rFonts w:ascii="Times New Roman" w:eastAsia="Calibri" w:hAnsi="Times New Roman" w:cs="Traditional Arabic"/>
          <w:kern w:val="2"/>
          <w:sz w:val="28"/>
          <w:szCs w:val="28"/>
          <w:rtl/>
          <w14:ligatures w14:val="standardContextual"/>
        </w:rPr>
        <w:t>التحول الرقمي بأبعاده (التحول الاستراتيجي، التحول الإداري، تحول العمليات، مركزية العملاء)</w:t>
      </w:r>
      <w:r w:rsidRPr="00140115">
        <w:rPr>
          <w:rFonts w:ascii="Times New Roman" w:eastAsia="Calibri" w:hAnsi="Times New Roman" w:cs="Traditional Arabic"/>
          <w:kern w:val="2"/>
          <w:sz w:val="28"/>
          <w:szCs w:val="28"/>
          <w14:ligatures w14:val="standardContextual"/>
        </w:rPr>
        <w:t>.</w:t>
      </w:r>
    </w:p>
    <w:p w14:paraId="4ADC594A" w14:textId="77777777" w:rsidR="00DE21E6" w:rsidRPr="00140115" w:rsidRDefault="00DE21E6" w:rsidP="00DE21E6">
      <w:pPr>
        <w:numPr>
          <w:ilvl w:val="0"/>
          <w:numId w:val="24"/>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140115">
        <w:rPr>
          <w:rFonts w:ascii="Times New Roman" w:eastAsia="Calibri" w:hAnsi="Times New Roman" w:cs="Traditional Arabic"/>
          <w:kern w:val="2"/>
          <w:sz w:val="28"/>
          <w:szCs w:val="28"/>
          <w:rtl/>
          <w14:ligatures w14:val="standardContextual"/>
        </w:rPr>
        <w:t>الشفافية المعلوماتية بأبعادها (شفافية الأنظمة واللوائح، شفافية الإجراءات، شفافية الاتصال والمعلومات)</w:t>
      </w:r>
      <w:r w:rsidRPr="00140115">
        <w:rPr>
          <w:rFonts w:ascii="Times New Roman" w:eastAsia="Calibri" w:hAnsi="Times New Roman" w:cs="Traditional Arabic"/>
          <w:kern w:val="2"/>
          <w:sz w:val="28"/>
          <w:szCs w:val="28"/>
          <w14:ligatures w14:val="standardContextual"/>
        </w:rPr>
        <w:t>.</w:t>
      </w:r>
    </w:p>
    <w:p w14:paraId="025A3A7D" w14:textId="77777777" w:rsidR="00DE21E6" w:rsidRPr="00140115" w:rsidRDefault="00DE21E6" w:rsidP="00DE21E6">
      <w:pPr>
        <w:numPr>
          <w:ilvl w:val="0"/>
          <w:numId w:val="24"/>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140115">
        <w:rPr>
          <w:rFonts w:ascii="Times New Roman" w:eastAsia="Calibri" w:hAnsi="Times New Roman" w:cs="Traditional Arabic"/>
          <w:kern w:val="2"/>
          <w:sz w:val="28"/>
          <w:szCs w:val="28"/>
          <w:rtl/>
          <w14:ligatures w14:val="standardContextual"/>
        </w:rPr>
        <w:lastRenderedPageBreak/>
        <w:t>فاعلية اتخاذ القرار الاستراتيجي بأبعادها (الوعي الاستراتيجي، القدرة على التكيف، التفاعل مع البيانات والمعلومات)</w:t>
      </w:r>
      <w:r w:rsidRPr="00140115">
        <w:rPr>
          <w:rFonts w:ascii="Times New Roman" w:eastAsia="Calibri" w:hAnsi="Times New Roman" w:cs="Traditional Arabic"/>
          <w:kern w:val="2"/>
          <w:sz w:val="28"/>
          <w:szCs w:val="28"/>
          <w14:ligatures w14:val="standardContextual"/>
        </w:rPr>
        <w:t>.</w:t>
      </w:r>
    </w:p>
    <w:p w14:paraId="5A826F47" w14:textId="77777777" w:rsidR="00DE21E6" w:rsidRPr="00140115" w:rsidRDefault="00DE21E6" w:rsidP="00DE21E6">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140115">
        <w:rPr>
          <w:rFonts w:ascii="Times New Roman" w:eastAsia="Calibri" w:hAnsi="Times New Roman" w:cs="Traditional Arabic"/>
          <w:kern w:val="2"/>
          <w:sz w:val="28"/>
          <w:szCs w:val="28"/>
          <w:rtl/>
          <w14:ligatures w14:val="standardContextual"/>
        </w:rPr>
        <w:t xml:space="preserve">وسيتم تقييم بنود الاستبانة وفق مقياس </w:t>
      </w:r>
      <w:proofErr w:type="spellStart"/>
      <w:r w:rsidRPr="00140115">
        <w:rPr>
          <w:rFonts w:ascii="Times New Roman" w:eastAsia="Calibri" w:hAnsi="Times New Roman" w:cs="Traditional Arabic"/>
          <w:kern w:val="2"/>
          <w:sz w:val="28"/>
          <w:szCs w:val="28"/>
          <w:rtl/>
          <w14:ligatures w14:val="standardContextual"/>
        </w:rPr>
        <w:t>ليكرت</w:t>
      </w:r>
      <w:proofErr w:type="spellEnd"/>
      <w:r w:rsidRPr="00140115">
        <w:rPr>
          <w:rFonts w:ascii="Times New Roman" w:eastAsia="Calibri" w:hAnsi="Times New Roman" w:cs="Traditional Arabic"/>
          <w:kern w:val="2"/>
          <w:sz w:val="28"/>
          <w:szCs w:val="28"/>
          <w:rtl/>
          <w14:ligatures w14:val="standardContextual"/>
        </w:rPr>
        <w:t xml:space="preserve"> الخماسي، بما يسمح بقياس الاتجاهات بدقة وتحويل الإجابات إلى بيانات كمية قابلة للمعالجة الإحصائية</w:t>
      </w:r>
      <w:r w:rsidRPr="00140115">
        <w:rPr>
          <w:rFonts w:ascii="Times New Roman" w:eastAsia="Calibri" w:hAnsi="Times New Roman" w:cs="Traditional Arabic"/>
          <w:kern w:val="2"/>
          <w:sz w:val="28"/>
          <w:szCs w:val="28"/>
          <w14:ligatures w14:val="standardContextual"/>
        </w:rPr>
        <w:t>.</w:t>
      </w:r>
    </w:p>
    <w:p w14:paraId="58F3D488" w14:textId="77777777" w:rsidR="00DE21E6" w:rsidRPr="00140115" w:rsidRDefault="00DE21E6" w:rsidP="00DE21E6">
      <w:pPr>
        <w:bidi/>
        <w:spacing w:before="100" w:beforeAutospacing="1" w:after="100" w:afterAutospacing="1" w:line="360" w:lineRule="auto"/>
        <w:jc w:val="both"/>
        <w:rPr>
          <w:rFonts w:ascii="Times New Roman" w:eastAsia="Calibri" w:hAnsi="Times New Roman" w:cs="Traditional Arabic"/>
          <w:b/>
          <w:bCs/>
          <w:kern w:val="2"/>
          <w:sz w:val="28"/>
          <w:szCs w:val="28"/>
          <w14:ligatures w14:val="standardContextual"/>
        </w:rPr>
      </w:pPr>
      <w:r w:rsidRPr="00140115">
        <w:rPr>
          <w:rFonts w:ascii="Times New Roman" w:eastAsia="Calibri" w:hAnsi="Times New Roman" w:cs="Traditional Arabic"/>
          <w:b/>
          <w:bCs/>
          <w:kern w:val="2"/>
          <w:sz w:val="28"/>
          <w:szCs w:val="28"/>
          <w:rtl/>
          <w14:ligatures w14:val="standardContextual"/>
        </w:rPr>
        <w:t>ثالثًا: أساليب التحليل الإحصائي</w:t>
      </w:r>
    </w:p>
    <w:p w14:paraId="1D2D38CE" w14:textId="77777777" w:rsidR="00DE21E6" w:rsidRPr="00140115" w:rsidRDefault="00DE21E6" w:rsidP="00DE21E6">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140115">
        <w:rPr>
          <w:rFonts w:ascii="Times New Roman" w:eastAsia="Calibri" w:hAnsi="Times New Roman" w:cs="Traditional Arabic"/>
          <w:kern w:val="2"/>
          <w:sz w:val="28"/>
          <w:szCs w:val="28"/>
          <w:rtl/>
          <w14:ligatures w14:val="standardContextual"/>
        </w:rPr>
        <w:t xml:space="preserve">سيعتمد الباحث على برنامج </w:t>
      </w:r>
      <w:r w:rsidRPr="00140115">
        <w:rPr>
          <w:rFonts w:ascii="Times New Roman" w:eastAsia="Calibri" w:hAnsi="Times New Roman" w:cs="Traditional Arabic"/>
          <w:kern w:val="2"/>
          <w:sz w:val="28"/>
          <w:szCs w:val="28"/>
          <w14:ligatures w14:val="standardContextual"/>
        </w:rPr>
        <w:t xml:space="preserve">SPSS </w:t>
      </w:r>
      <w:r w:rsidRPr="00140115">
        <w:rPr>
          <w:rFonts w:ascii="Times New Roman" w:eastAsia="Calibri" w:hAnsi="Times New Roman" w:cs="Traditional Arabic"/>
          <w:kern w:val="2"/>
          <w:sz w:val="28"/>
          <w:szCs w:val="28"/>
          <w:rtl/>
          <w14:ligatures w14:val="standardContextual"/>
        </w:rPr>
        <w:t>لإجراء</w:t>
      </w:r>
      <w:r w:rsidRPr="00140115">
        <w:rPr>
          <w:rFonts w:ascii="Times New Roman" w:eastAsia="Calibri" w:hAnsi="Times New Roman" w:cs="Traditional Arabic"/>
          <w:kern w:val="2"/>
          <w:sz w:val="28"/>
          <w:szCs w:val="28"/>
          <w14:ligatures w14:val="standardContextual"/>
        </w:rPr>
        <w:t>:</w:t>
      </w:r>
    </w:p>
    <w:p w14:paraId="6AE8F0AE" w14:textId="77777777" w:rsidR="00DE21E6" w:rsidRPr="00140115" w:rsidRDefault="00DE21E6" w:rsidP="00DE21E6">
      <w:pPr>
        <w:numPr>
          <w:ilvl w:val="0"/>
          <w:numId w:val="25"/>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140115">
        <w:rPr>
          <w:rFonts w:ascii="Times New Roman" w:eastAsia="Calibri" w:hAnsi="Times New Roman" w:cs="Traditional Arabic"/>
          <w:kern w:val="2"/>
          <w:sz w:val="28"/>
          <w:szCs w:val="28"/>
          <w:rtl/>
          <w14:ligatures w14:val="standardContextual"/>
        </w:rPr>
        <w:t>الإحصاءات الوصفية (المتوسطات، الانحرافات المعيارية، التكرارات، النسب)</w:t>
      </w:r>
      <w:r w:rsidRPr="00140115">
        <w:rPr>
          <w:rFonts w:ascii="Times New Roman" w:eastAsia="Calibri" w:hAnsi="Times New Roman" w:cs="Traditional Arabic"/>
          <w:kern w:val="2"/>
          <w:sz w:val="28"/>
          <w:szCs w:val="28"/>
          <w14:ligatures w14:val="standardContextual"/>
        </w:rPr>
        <w:t>.</w:t>
      </w:r>
    </w:p>
    <w:p w14:paraId="056625BF" w14:textId="77777777" w:rsidR="00DE21E6" w:rsidRPr="00140115" w:rsidRDefault="00DE21E6" w:rsidP="00DE21E6">
      <w:pPr>
        <w:numPr>
          <w:ilvl w:val="0"/>
          <w:numId w:val="25"/>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140115">
        <w:rPr>
          <w:rFonts w:ascii="Times New Roman" w:eastAsia="Calibri" w:hAnsi="Times New Roman" w:cs="Traditional Arabic"/>
          <w:kern w:val="2"/>
          <w:sz w:val="28"/>
          <w:szCs w:val="28"/>
          <w:rtl/>
          <w14:ligatures w14:val="standardContextual"/>
        </w:rPr>
        <w:t>اختبارات الصدق والثبات الأولية</w:t>
      </w:r>
      <w:r w:rsidRPr="00140115">
        <w:rPr>
          <w:rFonts w:ascii="Times New Roman" w:eastAsia="Calibri" w:hAnsi="Times New Roman" w:cs="Traditional Arabic"/>
          <w:kern w:val="2"/>
          <w:sz w:val="28"/>
          <w:szCs w:val="28"/>
          <w14:ligatures w14:val="standardContextual"/>
        </w:rPr>
        <w:t xml:space="preserve"> (Cronbach’s Alpha).</w:t>
      </w:r>
    </w:p>
    <w:p w14:paraId="3AC2BE78" w14:textId="77777777" w:rsidR="00DE21E6" w:rsidRPr="00140115" w:rsidRDefault="00DE21E6" w:rsidP="00DE21E6">
      <w:pPr>
        <w:numPr>
          <w:ilvl w:val="0"/>
          <w:numId w:val="25"/>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140115">
        <w:rPr>
          <w:rFonts w:ascii="Times New Roman" w:eastAsia="Calibri" w:hAnsi="Times New Roman" w:cs="Traditional Arabic"/>
          <w:kern w:val="2"/>
          <w:sz w:val="28"/>
          <w:szCs w:val="28"/>
          <w:rtl/>
          <w14:ligatures w14:val="standardContextual"/>
        </w:rPr>
        <w:t>اختبارات الارتباط الأولية</w:t>
      </w:r>
      <w:r w:rsidRPr="00140115">
        <w:rPr>
          <w:rFonts w:ascii="Times New Roman" w:eastAsia="Calibri" w:hAnsi="Times New Roman" w:cs="Traditional Arabic"/>
          <w:kern w:val="2"/>
          <w:sz w:val="28"/>
          <w:szCs w:val="28"/>
          <w14:ligatures w14:val="standardContextual"/>
        </w:rPr>
        <w:t xml:space="preserve"> (Pearson).</w:t>
      </w:r>
    </w:p>
    <w:p w14:paraId="5C11D044" w14:textId="77777777" w:rsidR="00DE21E6" w:rsidRPr="00140115" w:rsidRDefault="00DE21E6" w:rsidP="00DE21E6">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140115">
        <w:rPr>
          <w:rFonts w:ascii="Times New Roman" w:eastAsia="Calibri" w:hAnsi="Times New Roman" w:cs="Traditional Arabic"/>
          <w:kern w:val="2"/>
          <w:sz w:val="28"/>
          <w:szCs w:val="28"/>
          <w:rtl/>
          <w14:ligatures w14:val="standardContextual"/>
        </w:rPr>
        <w:t xml:space="preserve">وبعد ذلك سيتم استخدام برنامج </w:t>
      </w:r>
      <w:proofErr w:type="spellStart"/>
      <w:r w:rsidRPr="00140115">
        <w:rPr>
          <w:rFonts w:ascii="Times New Roman" w:eastAsia="Calibri" w:hAnsi="Times New Roman" w:cs="Traditional Arabic"/>
          <w:kern w:val="2"/>
          <w:sz w:val="28"/>
          <w:szCs w:val="28"/>
          <w14:ligatures w14:val="standardContextual"/>
        </w:rPr>
        <w:t>SmartPLS</w:t>
      </w:r>
      <w:proofErr w:type="spellEnd"/>
      <w:r w:rsidRPr="00140115">
        <w:rPr>
          <w:rFonts w:ascii="Times New Roman" w:eastAsia="Calibri" w:hAnsi="Times New Roman" w:cs="Traditional Arabic"/>
          <w:kern w:val="2"/>
          <w:sz w:val="28"/>
          <w:szCs w:val="28"/>
          <w14:ligatures w14:val="standardContextual"/>
        </w:rPr>
        <w:t xml:space="preserve"> 4 </w:t>
      </w:r>
      <w:r w:rsidRPr="00140115">
        <w:rPr>
          <w:rFonts w:ascii="Times New Roman" w:eastAsia="Calibri" w:hAnsi="Times New Roman" w:cs="Traditional Arabic"/>
          <w:kern w:val="2"/>
          <w:sz w:val="28"/>
          <w:szCs w:val="28"/>
          <w:rtl/>
          <w14:ligatures w14:val="standardContextual"/>
        </w:rPr>
        <w:t>لإجراء التحليلات المتقدمة لنمذجة العلاقات بين المتغيرات عبر نمذجة المعادلات الهيكلية</w:t>
      </w:r>
      <w:r w:rsidRPr="00140115">
        <w:rPr>
          <w:rFonts w:ascii="Times New Roman" w:eastAsia="Calibri" w:hAnsi="Times New Roman" w:cs="Traditional Arabic"/>
          <w:kern w:val="2"/>
          <w:sz w:val="28"/>
          <w:szCs w:val="28"/>
          <w14:ligatures w14:val="standardContextual"/>
        </w:rPr>
        <w:t xml:space="preserve"> (SEM)</w:t>
      </w:r>
      <w:r w:rsidRPr="00140115">
        <w:rPr>
          <w:rFonts w:ascii="Times New Roman" w:eastAsia="Calibri" w:hAnsi="Times New Roman" w:cs="Traditional Arabic"/>
          <w:kern w:val="2"/>
          <w:sz w:val="28"/>
          <w:szCs w:val="28"/>
          <w:rtl/>
          <w14:ligatures w14:val="standardContextual"/>
        </w:rPr>
        <w:t>، للأسباب الآتية</w:t>
      </w:r>
      <w:r w:rsidRPr="00140115">
        <w:rPr>
          <w:rFonts w:ascii="Times New Roman" w:eastAsia="Calibri" w:hAnsi="Times New Roman" w:cs="Traditional Arabic"/>
          <w:kern w:val="2"/>
          <w:sz w:val="28"/>
          <w:szCs w:val="28"/>
          <w14:ligatures w14:val="standardContextual"/>
        </w:rPr>
        <w:t>:</w:t>
      </w:r>
    </w:p>
    <w:p w14:paraId="326FB644" w14:textId="77777777" w:rsidR="00DE21E6" w:rsidRPr="00140115" w:rsidRDefault="00DE21E6" w:rsidP="00DE21E6">
      <w:pPr>
        <w:numPr>
          <w:ilvl w:val="0"/>
          <w:numId w:val="26"/>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140115">
        <w:rPr>
          <w:rFonts w:ascii="Times New Roman" w:eastAsia="Calibri" w:hAnsi="Times New Roman" w:cs="Traditional Arabic"/>
          <w:kern w:val="2"/>
          <w:sz w:val="28"/>
          <w:szCs w:val="28"/>
          <w:rtl/>
          <w14:ligatures w14:val="standardContextual"/>
        </w:rPr>
        <w:t xml:space="preserve">ملاءمته للنماذج التي تتضمن </w:t>
      </w:r>
      <w:r w:rsidRPr="00140115">
        <w:rPr>
          <w:rFonts w:ascii="Times New Roman" w:eastAsia="Calibri" w:hAnsi="Times New Roman" w:cs="Traditional Arabic"/>
          <w:b/>
          <w:bCs/>
          <w:kern w:val="2"/>
          <w:sz w:val="28"/>
          <w:szCs w:val="28"/>
          <w:rtl/>
          <w14:ligatures w14:val="standardContextual"/>
        </w:rPr>
        <w:t>علاقات وسيطة</w:t>
      </w:r>
      <w:r w:rsidRPr="00140115">
        <w:rPr>
          <w:rFonts w:ascii="Times New Roman" w:eastAsia="Calibri" w:hAnsi="Times New Roman" w:cs="Traditional Arabic"/>
          <w:kern w:val="2"/>
          <w:sz w:val="28"/>
          <w:szCs w:val="28"/>
          <w14:ligatures w14:val="standardContextual"/>
        </w:rPr>
        <w:t>.</w:t>
      </w:r>
    </w:p>
    <w:p w14:paraId="02B02852" w14:textId="77777777" w:rsidR="00DE21E6" w:rsidRPr="00140115" w:rsidRDefault="00DE21E6" w:rsidP="00DE21E6">
      <w:pPr>
        <w:numPr>
          <w:ilvl w:val="0"/>
          <w:numId w:val="26"/>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140115">
        <w:rPr>
          <w:rFonts w:ascii="Times New Roman" w:eastAsia="Calibri" w:hAnsi="Times New Roman" w:cs="Traditional Arabic"/>
          <w:kern w:val="2"/>
          <w:sz w:val="28"/>
          <w:szCs w:val="28"/>
          <w:rtl/>
          <w14:ligatures w14:val="standardContextual"/>
        </w:rPr>
        <w:t>صلاحيته للتعامل مع البيانات غير الطبيعية أو العينات المتوسطة الحجم</w:t>
      </w:r>
      <w:r w:rsidRPr="00140115">
        <w:rPr>
          <w:rFonts w:ascii="Times New Roman" w:eastAsia="Calibri" w:hAnsi="Times New Roman" w:cs="Traditional Arabic"/>
          <w:kern w:val="2"/>
          <w:sz w:val="28"/>
          <w:szCs w:val="28"/>
          <w14:ligatures w14:val="standardContextual"/>
        </w:rPr>
        <w:t>.</w:t>
      </w:r>
    </w:p>
    <w:p w14:paraId="3B078E8E" w14:textId="77777777" w:rsidR="00DE21E6" w:rsidRPr="00140115" w:rsidRDefault="00DE21E6" w:rsidP="00DE21E6">
      <w:pPr>
        <w:numPr>
          <w:ilvl w:val="0"/>
          <w:numId w:val="26"/>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140115">
        <w:rPr>
          <w:rFonts w:ascii="Times New Roman" w:eastAsia="Calibri" w:hAnsi="Times New Roman" w:cs="Traditional Arabic"/>
          <w:kern w:val="2"/>
          <w:sz w:val="28"/>
          <w:szCs w:val="28"/>
          <w:rtl/>
          <w14:ligatures w14:val="standardContextual"/>
        </w:rPr>
        <w:t>قدرته على تقدير النماذج المعقدة ومعايير الصلاحية المتقدمة</w:t>
      </w:r>
      <w:r w:rsidRPr="00140115">
        <w:rPr>
          <w:rFonts w:ascii="Times New Roman" w:eastAsia="Calibri" w:hAnsi="Times New Roman" w:cs="Traditional Arabic"/>
          <w:kern w:val="2"/>
          <w:sz w:val="28"/>
          <w:szCs w:val="28"/>
          <w14:ligatures w14:val="standardContextual"/>
        </w:rPr>
        <w:t>.</w:t>
      </w:r>
    </w:p>
    <w:p w14:paraId="2BF4C358" w14:textId="77777777" w:rsidR="00DE21E6" w:rsidRPr="00140115" w:rsidRDefault="00DE21E6" w:rsidP="00DE21E6">
      <w:pPr>
        <w:bidi/>
        <w:spacing w:before="100" w:beforeAutospacing="1" w:after="100" w:afterAutospacing="1" w:line="360" w:lineRule="auto"/>
        <w:jc w:val="both"/>
        <w:rPr>
          <w:rFonts w:ascii="Times New Roman" w:eastAsia="Calibri" w:hAnsi="Times New Roman" w:cs="Traditional Arabic"/>
          <w:b/>
          <w:bCs/>
          <w:kern w:val="2"/>
          <w:sz w:val="28"/>
          <w:szCs w:val="28"/>
          <w:rtl/>
          <w14:ligatures w14:val="standardContextual"/>
        </w:rPr>
      </w:pPr>
      <w:r w:rsidRPr="00140115">
        <w:rPr>
          <w:rFonts w:ascii="Times New Roman" w:eastAsia="Calibri" w:hAnsi="Times New Roman" w:cs="Traditional Arabic"/>
          <w:b/>
          <w:bCs/>
          <w:kern w:val="2"/>
          <w:sz w:val="28"/>
          <w:szCs w:val="28"/>
          <w:rtl/>
          <w14:ligatures w14:val="standardContextual"/>
        </w:rPr>
        <w:t>رابعًا: التحليلات المتقدمة</w:t>
      </w:r>
      <w:r w:rsidRPr="00140115">
        <w:rPr>
          <w:rFonts w:ascii="Times New Roman" w:eastAsia="Calibri" w:hAnsi="Times New Roman" w:cs="Traditional Arabic"/>
          <w:b/>
          <w:bCs/>
          <w:kern w:val="2"/>
          <w:sz w:val="28"/>
          <w:szCs w:val="28"/>
          <w14:ligatures w14:val="standardContextual"/>
        </w:rPr>
        <w:t xml:space="preserve"> (</w:t>
      </w:r>
      <w:proofErr w:type="spellStart"/>
      <w:r w:rsidRPr="00140115">
        <w:rPr>
          <w:rFonts w:ascii="Times New Roman" w:eastAsia="Calibri" w:hAnsi="Times New Roman" w:cs="Traditional Arabic"/>
          <w:b/>
          <w:bCs/>
          <w:kern w:val="2"/>
          <w:sz w:val="28"/>
          <w:szCs w:val="28"/>
          <w14:ligatures w14:val="standardContextual"/>
        </w:rPr>
        <w:t>SmartPLS</w:t>
      </w:r>
      <w:proofErr w:type="spellEnd"/>
      <w:r w:rsidRPr="00140115">
        <w:rPr>
          <w:rFonts w:ascii="Times New Roman" w:eastAsia="Calibri" w:hAnsi="Times New Roman" w:cs="Traditional Arabic"/>
          <w:b/>
          <w:bCs/>
          <w:kern w:val="2"/>
          <w:sz w:val="28"/>
          <w:szCs w:val="28"/>
          <w14:ligatures w14:val="standardContextual"/>
        </w:rPr>
        <w:t>)</w:t>
      </w:r>
    </w:p>
    <w:p w14:paraId="67F6C4B5" w14:textId="77777777" w:rsidR="00DE21E6" w:rsidRPr="00140115" w:rsidRDefault="00DE21E6" w:rsidP="00DE21E6">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140115">
        <w:rPr>
          <w:rFonts w:ascii="Times New Roman" w:eastAsia="Calibri" w:hAnsi="Times New Roman" w:cs="Traditional Arabic"/>
          <w:kern w:val="2"/>
          <w:sz w:val="28"/>
          <w:szCs w:val="28"/>
          <w:rtl/>
          <w14:ligatures w14:val="standardContextual"/>
        </w:rPr>
        <w:t>سيتم تطبيق مجموعة من الاختبارات الأساسية لضمان صلاحية النموذج، وتشمل</w:t>
      </w:r>
      <w:r w:rsidRPr="00140115">
        <w:rPr>
          <w:rFonts w:ascii="Times New Roman" w:eastAsia="Calibri" w:hAnsi="Times New Roman" w:cs="Traditional Arabic"/>
          <w:kern w:val="2"/>
          <w:sz w:val="28"/>
          <w:szCs w:val="28"/>
          <w14:ligatures w14:val="standardContextual"/>
        </w:rPr>
        <w:t>:</w:t>
      </w:r>
    </w:p>
    <w:p w14:paraId="00E5475F" w14:textId="5A7DF223" w:rsidR="00DE21E6" w:rsidRPr="00140115" w:rsidRDefault="00DE21E6" w:rsidP="00DE21E6">
      <w:pPr>
        <w:bidi/>
        <w:spacing w:before="100" w:beforeAutospacing="1" w:after="100" w:afterAutospacing="1" w:line="360" w:lineRule="auto"/>
        <w:jc w:val="both"/>
        <w:rPr>
          <w:rFonts w:ascii="Times New Roman" w:eastAsia="Calibri" w:hAnsi="Times New Roman" w:cs="Traditional Arabic"/>
          <w:b/>
          <w:bCs/>
          <w:kern w:val="2"/>
          <w:sz w:val="28"/>
          <w:szCs w:val="28"/>
          <w14:ligatures w14:val="standardContextual"/>
        </w:rPr>
      </w:pPr>
      <w:r w:rsidRPr="00140115">
        <w:rPr>
          <w:rFonts w:ascii="Times New Roman" w:eastAsia="Calibri" w:hAnsi="Times New Roman" w:cs="Traditional Arabic" w:hint="cs"/>
          <w:b/>
          <w:bCs/>
          <w:kern w:val="2"/>
          <w:sz w:val="28"/>
          <w:szCs w:val="28"/>
          <w:rtl/>
          <w14:ligatures w14:val="standardContextual"/>
        </w:rPr>
        <w:t>1-</w:t>
      </w:r>
      <w:r w:rsidRPr="00140115">
        <w:rPr>
          <w:rFonts w:ascii="Times New Roman" w:eastAsia="Calibri" w:hAnsi="Times New Roman" w:cs="Traditional Arabic"/>
          <w:b/>
          <w:bCs/>
          <w:kern w:val="2"/>
          <w:sz w:val="28"/>
          <w:szCs w:val="28"/>
          <w14:ligatures w14:val="standardContextual"/>
        </w:rPr>
        <w:t xml:space="preserve"> </w:t>
      </w:r>
      <w:r w:rsidRPr="00140115">
        <w:rPr>
          <w:rFonts w:ascii="Times New Roman" w:eastAsia="Calibri" w:hAnsi="Times New Roman" w:cs="Traditional Arabic"/>
          <w:b/>
          <w:bCs/>
          <w:kern w:val="2"/>
          <w:sz w:val="28"/>
          <w:szCs w:val="28"/>
          <w:rtl/>
          <w14:ligatures w14:val="standardContextual"/>
        </w:rPr>
        <w:t>التحليل العاملي التوكيدي</w:t>
      </w:r>
      <w:r w:rsidRPr="00140115">
        <w:rPr>
          <w:rFonts w:ascii="Times New Roman" w:eastAsia="Calibri" w:hAnsi="Times New Roman" w:cs="Traditional Arabic"/>
          <w:b/>
          <w:bCs/>
          <w:kern w:val="2"/>
          <w:sz w:val="28"/>
          <w:szCs w:val="28"/>
          <w14:ligatures w14:val="standardContextual"/>
        </w:rPr>
        <w:t xml:space="preserve"> (CFA)</w:t>
      </w:r>
    </w:p>
    <w:p w14:paraId="76EFC566" w14:textId="77777777" w:rsidR="00DE21E6" w:rsidRPr="00140115" w:rsidRDefault="00DE21E6" w:rsidP="00DE21E6">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140115">
        <w:rPr>
          <w:rFonts w:ascii="Times New Roman" w:eastAsia="Calibri" w:hAnsi="Times New Roman" w:cs="Traditional Arabic"/>
          <w:kern w:val="2"/>
          <w:sz w:val="28"/>
          <w:szCs w:val="28"/>
          <w:rtl/>
          <w14:ligatures w14:val="standardContextual"/>
        </w:rPr>
        <w:t>لتأكيد هيكل أبعاد المتغيرات الثلاثة والتأكد من أن البنود تتجمع في أبعادها النظرية بشكل صحيح</w:t>
      </w:r>
      <w:r w:rsidRPr="00140115">
        <w:rPr>
          <w:rFonts w:ascii="Times New Roman" w:eastAsia="Calibri" w:hAnsi="Times New Roman" w:cs="Traditional Arabic"/>
          <w:kern w:val="2"/>
          <w:sz w:val="28"/>
          <w:szCs w:val="28"/>
          <w14:ligatures w14:val="standardContextual"/>
        </w:rPr>
        <w:t>.</w:t>
      </w:r>
    </w:p>
    <w:p w14:paraId="6774DB9B" w14:textId="2107FEE2" w:rsidR="00DE21E6" w:rsidRPr="00140115" w:rsidRDefault="00DE21E6" w:rsidP="00DE21E6">
      <w:pPr>
        <w:bidi/>
        <w:spacing w:before="100" w:beforeAutospacing="1" w:after="100" w:afterAutospacing="1" w:line="360" w:lineRule="auto"/>
        <w:jc w:val="both"/>
        <w:rPr>
          <w:rFonts w:ascii="Times New Roman" w:eastAsia="Calibri" w:hAnsi="Times New Roman" w:cs="Traditional Arabic"/>
          <w:b/>
          <w:bCs/>
          <w:kern w:val="2"/>
          <w:sz w:val="28"/>
          <w:szCs w:val="28"/>
          <w14:ligatures w14:val="standardContextual"/>
        </w:rPr>
      </w:pPr>
      <w:r w:rsidRPr="00140115">
        <w:rPr>
          <w:rFonts w:ascii="Times New Roman" w:eastAsia="Calibri" w:hAnsi="Times New Roman" w:cs="Traditional Arabic" w:hint="cs"/>
          <w:b/>
          <w:bCs/>
          <w:kern w:val="2"/>
          <w:sz w:val="28"/>
          <w:szCs w:val="28"/>
          <w:rtl/>
          <w14:ligatures w14:val="standardContextual"/>
        </w:rPr>
        <w:lastRenderedPageBreak/>
        <w:t xml:space="preserve">2- </w:t>
      </w:r>
      <w:r w:rsidRPr="00140115">
        <w:rPr>
          <w:rFonts w:ascii="Times New Roman" w:eastAsia="Calibri" w:hAnsi="Times New Roman" w:cs="Traditional Arabic"/>
          <w:b/>
          <w:bCs/>
          <w:kern w:val="2"/>
          <w:sz w:val="28"/>
          <w:szCs w:val="28"/>
          <w14:ligatures w14:val="standardContextual"/>
        </w:rPr>
        <w:t xml:space="preserve"> </w:t>
      </w:r>
      <w:r w:rsidRPr="00140115">
        <w:rPr>
          <w:rFonts w:ascii="Times New Roman" w:eastAsia="Calibri" w:hAnsi="Times New Roman" w:cs="Traditional Arabic"/>
          <w:b/>
          <w:bCs/>
          <w:kern w:val="2"/>
          <w:sz w:val="28"/>
          <w:szCs w:val="28"/>
          <w:rtl/>
          <w14:ligatures w14:val="standardContextual"/>
        </w:rPr>
        <w:t>صدق وثبات النموذج</w:t>
      </w:r>
    </w:p>
    <w:p w14:paraId="0919B0F0" w14:textId="77777777" w:rsidR="00DE21E6" w:rsidRPr="00140115" w:rsidRDefault="00DE21E6" w:rsidP="00DE21E6">
      <w:pPr>
        <w:bidi/>
        <w:spacing w:before="100" w:beforeAutospacing="1" w:after="100" w:afterAutospacing="1" w:line="360" w:lineRule="auto"/>
        <w:rPr>
          <w:rFonts w:ascii="Times New Roman" w:eastAsia="Calibri" w:hAnsi="Times New Roman" w:cs="Traditional Arabic"/>
          <w:kern w:val="2"/>
          <w:sz w:val="28"/>
          <w:szCs w:val="28"/>
          <w14:ligatures w14:val="standardContextual"/>
        </w:rPr>
      </w:pPr>
      <w:r w:rsidRPr="00140115">
        <w:rPr>
          <w:rFonts w:ascii="Times New Roman" w:eastAsia="Calibri" w:hAnsi="Times New Roman" w:cs="Traditional Arabic"/>
          <w:kern w:val="2"/>
          <w:sz w:val="28"/>
          <w:szCs w:val="28"/>
          <w:rtl/>
          <w14:ligatures w14:val="standardContextual"/>
        </w:rPr>
        <w:t>سيتم الاعتماد على مؤشرات</w:t>
      </w:r>
      <w:r w:rsidRPr="00140115">
        <w:rPr>
          <w:rFonts w:ascii="Times New Roman" w:eastAsia="Calibri" w:hAnsi="Times New Roman" w:cs="Traditional Arabic"/>
          <w:kern w:val="2"/>
          <w:sz w:val="28"/>
          <w:szCs w:val="28"/>
          <w14:ligatures w14:val="standardContextual"/>
        </w:rPr>
        <w:t>:</w:t>
      </w:r>
    </w:p>
    <w:p w14:paraId="39A5A2AE" w14:textId="77777777" w:rsidR="00DE21E6" w:rsidRPr="00140115" w:rsidRDefault="00DE21E6" w:rsidP="00DE21E6">
      <w:pPr>
        <w:numPr>
          <w:ilvl w:val="0"/>
          <w:numId w:val="27"/>
        </w:numPr>
        <w:bidi/>
        <w:spacing w:before="100" w:beforeAutospacing="1" w:after="100" w:afterAutospacing="1" w:line="360" w:lineRule="auto"/>
        <w:rPr>
          <w:rFonts w:ascii="Times New Roman" w:eastAsia="Calibri" w:hAnsi="Times New Roman" w:cs="Traditional Arabic"/>
          <w:kern w:val="2"/>
          <w:sz w:val="28"/>
          <w:szCs w:val="28"/>
          <w14:ligatures w14:val="standardContextual"/>
        </w:rPr>
      </w:pPr>
      <w:r w:rsidRPr="00140115">
        <w:rPr>
          <w:rFonts w:ascii="Times New Roman" w:eastAsia="Calibri" w:hAnsi="Times New Roman" w:cs="Traditional Arabic"/>
          <w:kern w:val="2"/>
          <w:sz w:val="28"/>
          <w:szCs w:val="28"/>
          <w14:ligatures w14:val="standardContextual"/>
        </w:rPr>
        <w:t>CR – Composite Reliability</w:t>
      </w:r>
      <w:r w:rsidRPr="00140115">
        <w:rPr>
          <w:rFonts w:ascii="Times New Roman" w:eastAsia="Calibri" w:hAnsi="Times New Roman" w:cs="Traditional Arabic"/>
          <w:kern w:val="2"/>
          <w:sz w:val="28"/>
          <w:szCs w:val="28"/>
          <w14:ligatures w14:val="standardContextual"/>
        </w:rPr>
        <w:br/>
      </w:r>
      <w:r w:rsidRPr="00140115">
        <w:rPr>
          <w:rFonts w:ascii="Times New Roman" w:eastAsia="Calibri" w:hAnsi="Times New Roman" w:cs="Traditional Arabic"/>
          <w:kern w:val="2"/>
          <w:sz w:val="28"/>
          <w:szCs w:val="28"/>
          <w:rtl/>
          <w14:ligatures w14:val="standardContextual"/>
        </w:rPr>
        <w:t>لقياس الثبات المركب لكل بُعد</w:t>
      </w:r>
      <w:r w:rsidRPr="00140115">
        <w:rPr>
          <w:rFonts w:ascii="Times New Roman" w:eastAsia="Calibri" w:hAnsi="Times New Roman" w:cs="Traditional Arabic"/>
          <w:kern w:val="2"/>
          <w:sz w:val="28"/>
          <w:szCs w:val="28"/>
          <w14:ligatures w14:val="standardContextual"/>
        </w:rPr>
        <w:t>.</w:t>
      </w:r>
    </w:p>
    <w:p w14:paraId="225ECF98" w14:textId="77777777" w:rsidR="00DE21E6" w:rsidRPr="00140115" w:rsidRDefault="00DE21E6" w:rsidP="00DE21E6">
      <w:pPr>
        <w:numPr>
          <w:ilvl w:val="0"/>
          <w:numId w:val="27"/>
        </w:numPr>
        <w:bidi/>
        <w:spacing w:before="100" w:beforeAutospacing="1" w:after="100" w:afterAutospacing="1" w:line="360" w:lineRule="auto"/>
        <w:rPr>
          <w:rFonts w:ascii="Times New Roman" w:eastAsia="Calibri" w:hAnsi="Times New Roman" w:cs="Traditional Arabic"/>
          <w:kern w:val="2"/>
          <w:sz w:val="28"/>
          <w:szCs w:val="28"/>
          <w14:ligatures w14:val="standardContextual"/>
        </w:rPr>
      </w:pPr>
      <w:r w:rsidRPr="00140115">
        <w:rPr>
          <w:rFonts w:ascii="Times New Roman" w:eastAsia="Calibri" w:hAnsi="Times New Roman" w:cs="Traditional Arabic"/>
          <w:kern w:val="2"/>
          <w:sz w:val="28"/>
          <w:szCs w:val="28"/>
          <w14:ligatures w14:val="standardContextual"/>
        </w:rPr>
        <w:t>AVE – Average Variance Extracted</w:t>
      </w:r>
      <w:r w:rsidRPr="00140115">
        <w:rPr>
          <w:rFonts w:ascii="Times New Roman" w:eastAsia="Calibri" w:hAnsi="Times New Roman" w:cs="Traditional Arabic"/>
          <w:kern w:val="2"/>
          <w:sz w:val="28"/>
          <w:szCs w:val="28"/>
          <w14:ligatures w14:val="standardContextual"/>
        </w:rPr>
        <w:br/>
      </w:r>
      <w:r w:rsidRPr="00140115">
        <w:rPr>
          <w:rFonts w:ascii="Times New Roman" w:eastAsia="Calibri" w:hAnsi="Times New Roman" w:cs="Traditional Arabic"/>
          <w:kern w:val="2"/>
          <w:sz w:val="28"/>
          <w:szCs w:val="28"/>
          <w:rtl/>
          <w14:ligatures w14:val="standardContextual"/>
        </w:rPr>
        <w:t xml:space="preserve">لقياس الصدق </w:t>
      </w:r>
      <w:proofErr w:type="spellStart"/>
      <w:r w:rsidRPr="00140115">
        <w:rPr>
          <w:rFonts w:ascii="Times New Roman" w:eastAsia="Calibri" w:hAnsi="Times New Roman" w:cs="Traditional Arabic"/>
          <w:kern w:val="2"/>
          <w:sz w:val="28"/>
          <w:szCs w:val="28"/>
          <w:rtl/>
          <w14:ligatures w14:val="standardContextual"/>
        </w:rPr>
        <w:t>التقاربي</w:t>
      </w:r>
      <w:proofErr w:type="spellEnd"/>
      <w:r w:rsidRPr="00140115">
        <w:rPr>
          <w:rFonts w:ascii="Times New Roman" w:eastAsia="Calibri" w:hAnsi="Times New Roman" w:cs="Traditional Arabic"/>
          <w:kern w:val="2"/>
          <w:sz w:val="28"/>
          <w:szCs w:val="28"/>
          <w:rtl/>
          <w14:ligatures w14:val="standardContextual"/>
        </w:rPr>
        <w:t xml:space="preserve"> ومعرفة قدرة البعد على تفسير تباين بنوده</w:t>
      </w:r>
      <w:r w:rsidRPr="00140115">
        <w:rPr>
          <w:rFonts w:ascii="Times New Roman" w:eastAsia="Calibri" w:hAnsi="Times New Roman" w:cs="Traditional Arabic"/>
          <w:kern w:val="2"/>
          <w:sz w:val="28"/>
          <w:szCs w:val="28"/>
          <w14:ligatures w14:val="standardContextual"/>
        </w:rPr>
        <w:t>.</w:t>
      </w:r>
    </w:p>
    <w:p w14:paraId="2A4EC0A7" w14:textId="77777777" w:rsidR="00DE21E6" w:rsidRPr="00140115" w:rsidRDefault="00DE21E6" w:rsidP="00DE21E6">
      <w:pPr>
        <w:numPr>
          <w:ilvl w:val="0"/>
          <w:numId w:val="27"/>
        </w:numPr>
        <w:bidi/>
        <w:spacing w:before="100" w:beforeAutospacing="1" w:after="100" w:afterAutospacing="1" w:line="360" w:lineRule="auto"/>
        <w:rPr>
          <w:rFonts w:ascii="Times New Roman" w:eastAsia="Calibri" w:hAnsi="Times New Roman" w:cs="Traditional Arabic"/>
          <w:kern w:val="2"/>
          <w:sz w:val="28"/>
          <w:szCs w:val="28"/>
          <w14:ligatures w14:val="standardContextual"/>
        </w:rPr>
      </w:pPr>
      <w:r w:rsidRPr="00140115">
        <w:rPr>
          <w:rFonts w:ascii="Times New Roman" w:eastAsia="Calibri" w:hAnsi="Times New Roman" w:cs="Traditional Arabic"/>
          <w:kern w:val="2"/>
          <w:sz w:val="28"/>
          <w:szCs w:val="28"/>
          <w14:ligatures w14:val="standardContextual"/>
        </w:rPr>
        <w:t>Factor Loadings</w:t>
      </w:r>
      <w:r w:rsidRPr="00140115">
        <w:rPr>
          <w:rFonts w:ascii="Times New Roman" w:eastAsia="Calibri" w:hAnsi="Times New Roman" w:cs="Traditional Arabic"/>
          <w:kern w:val="2"/>
          <w:sz w:val="28"/>
          <w:szCs w:val="28"/>
          <w14:ligatures w14:val="standardContextual"/>
        </w:rPr>
        <w:br/>
      </w:r>
      <w:r w:rsidRPr="00140115">
        <w:rPr>
          <w:rFonts w:ascii="Times New Roman" w:eastAsia="Calibri" w:hAnsi="Times New Roman" w:cs="Traditional Arabic"/>
          <w:kern w:val="2"/>
          <w:sz w:val="28"/>
          <w:szCs w:val="28"/>
          <w:rtl/>
          <w14:ligatures w14:val="standardContextual"/>
        </w:rPr>
        <w:t>لضمان قوة تحميل كل بند على بُعده المفترض</w:t>
      </w:r>
      <w:r w:rsidRPr="00140115">
        <w:rPr>
          <w:rFonts w:ascii="Times New Roman" w:eastAsia="Calibri" w:hAnsi="Times New Roman" w:cs="Traditional Arabic"/>
          <w:kern w:val="2"/>
          <w:sz w:val="28"/>
          <w:szCs w:val="28"/>
          <w14:ligatures w14:val="standardContextual"/>
        </w:rPr>
        <w:t>.</w:t>
      </w:r>
    </w:p>
    <w:p w14:paraId="2A41969E" w14:textId="157421AD" w:rsidR="00DE21E6" w:rsidRPr="00140115" w:rsidRDefault="00DE21E6" w:rsidP="00DE21E6">
      <w:pPr>
        <w:bidi/>
        <w:spacing w:before="100" w:beforeAutospacing="1" w:after="100" w:afterAutospacing="1" w:line="360" w:lineRule="auto"/>
        <w:jc w:val="both"/>
        <w:rPr>
          <w:rFonts w:ascii="Times New Roman" w:eastAsia="Calibri" w:hAnsi="Times New Roman" w:cs="Traditional Arabic"/>
          <w:b/>
          <w:bCs/>
          <w:kern w:val="2"/>
          <w:sz w:val="28"/>
          <w:szCs w:val="28"/>
          <w14:ligatures w14:val="standardContextual"/>
        </w:rPr>
      </w:pPr>
      <w:r w:rsidRPr="00140115">
        <w:rPr>
          <w:rFonts w:ascii="Times New Roman" w:eastAsia="Calibri" w:hAnsi="Times New Roman" w:cs="Traditional Arabic" w:hint="cs"/>
          <w:b/>
          <w:bCs/>
          <w:kern w:val="2"/>
          <w:sz w:val="28"/>
          <w:szCs w:val="28"/>
          <w:rtl/>
          <w14:ligatures w14:val="standardContextual"/>
        </w:rPr>
        <w:t>3-</w:t>
      </w:r>
      <w:r w:rsidRPr="00140115">
        <w:rPr>
          <w:rFonts w:ascii="Times New Roman" w:eastAsia="Calibri" w:hAnsi="Times New Roman" w:cs="Traditional Arabic"/>
          <w:b/>
          <w:bCs/>
          <w:kern w:val="2"/>
          <w:sz w:val="28"/>
          <w:szCs w:val="28"/>
          <w14:ligatures w14:val="standardContextual"/>
        </w:rPr>
        <w:t xml:space="preserve">  </w:t>
      </w:r>
      <w:r w:rsidRPr="00140115">
        <w:rPr>
          <w:rFonts w:ascii="Times New Roman" w:eastAsia="Calibri" w:hAnsi="Times New Roman" w:cs="Traditional Arabic"/>
          <w:b/>
          <w:bCs/>
          <w:kern w:val="2"/>
          <w:sz w:val="28"/>
          <w:szCs w:val="28"/>
          <w:rtl/>
          <w14:ligatures w14:val="standardContextual"/>
        </w:rPr>
        <w:t>الصدق التمييزي</w:t>
      </w:r>
      <w:r w:rsidRPr="00140115">
        <w:rPr>
          <w:rFonts w:ascii="Times New Roman" w:eastAsia="Calibri" w:hAnsi="Times New Roman" w:cs="Traditional Arabic"/>
          <w:b/>
          <w:bCs/>
          <w:kern w:val="2"/>
          <w:sz w:val="28"/>
          <w:szCs w:val="28"/>
          <w14:ligatures w14:val="standardContextual"/>
        </w:rPr>
        <w:t xml:space="preserve"> Discriminant Validity</w:t>
      </w:r>
    </w:p>
    <w:p w14:paraId="313BFDF8" w14:textId="77777777" w:rsidR="00DE21E6" w:rsidRPr="00140115" w:rsidRDefault="00DE21E6" w:rsidP="00DE21E6">
      <w:pPr>
        <w:bidi/>
        <w:spacing w:before="100" w:beforeAutospacing="1" w:after="100" w:afterAutospacing="1" w:line="360" w:lineRule="auto"/>
        <w:rPr>
          <w:rFonts w:ascii="Times New Roman" w:eastAsia="Calibri" w:hAnsi="Times New Roman" w:cs="Traditional Arabic"/>
          <w:kern w:val="2"/>
          <w:sz w:val="28"/>
          <w:szCs w:val="28"/>
          <w14:ligatures w14:val="standardContextual"/>
        </w:rPr>
      </w:pPr>
      <w:r w:rsidRPr="00140115">
        <w:rPr>
          <w:rFonts w:ascii="Times New Roman" w:eastAsia="Calibri" w:hAnsi="Times New Roman" w:cs="Traditional Arabic"/>
          <w:kern w:val="2"/>
          <w:sz w:val="28"/>
          <w:szCs w:val="28"/>
          <w:rtl/>
          <w14:ligatures w14:val="standardContextual"/>
        </w:rPr>
        <w:t>سيتم استخدام معيارين أساسيين</w:t>
      </w:r>
      <w:r w:rsidRPr="00140115">
        <w:rPr>
          <w:rFonts w:ascii="Times New Roman" w:eastAsia="Calibri" w:hAnsi="Times New Roman" w:cs="Traditional Arabic"/>
          <w:kern w:val="2"/>
          <w:sz w:val="28"/>
          <w:szCs w:val="28"/>
          <w14:ligatures w14:val="standardContextual"/>
        </w:rPr>
        <w:t>:</w:t>
      </w:r>
    </w:p>
    <w:p w14:paraId="658AF360" w14:textId="77777777" w:rsidR="00DE21E6" w:rsidRPr="00140115" w:rsidRDefault="00DE21E6" w:rsidP="00DE21E6">
      <w:pPr>
        <w:numPr>
          <w:ilvl w:val="0"/>
          <w:numId w:val="28"/>
        </w:numPr>
        <w:bidi/>
        <w:spacing w:before="100" w:beforeAutospacing="1" w:after="100" w:afterAutospacing="1" w:line="360" w:lineRule="auto"/>
        <w:rPr>
          <w:rFonts w:ascii="Times New Roman" w:eastAsia="Calibri" w:hAnsi="Times New Roman" w:cs="Traditional Arabic"/>
          <w:kern w:val="2"/>
          <w:sz w:val="28"/>
          <w:szCs w:val="28"/>
          <w14:ligatures w14:val="standardContextual"/>
        </w:rPr>
      </w:pPr>
      <w:r w:rsidRPr="00140115">
        <w:rPr>
          <w:rFonts w:ascii="Times New Roman" w:eastAsia="Calibri" w:hAnsi="Times New Roman" w:cs="Traditional Arabic"/>
          <w:kern w:val="2"/>
          <w:sz w:val="28"/>
          <w:szCs w:val="28"/>
          <w14:ligatures w14:val="standardContextual"/>
        </w:rPr>
        <w:t xml:space="preserve">HTMT – </w:t>
      </w:r>
      <w:proofErr w:type="spellStart"/>
      <w:r w:rsidRPr="00140115">
        <w:rPr>
          <w:rFonts w:ascii="Times New Roman" w:eastAsia="Calibri" w:hAnsi="Times New Roman" w:cs="Traditional Arabic"/>
          <w:kern w:val="2"/>
          <w:sz w:val="28"/>
          <w:szCs w:val="28"/>
          <w14:ligatures w14:val="standardContextual"/>
        </w:rPr>
        <w:t>Heterotrait-Monotrait</w:t>
      </w:r>
      <w:proofErr w:type="spellEnd"/>
      <w:r w:rsidRPr="00140115">
        <w:rPr>
          <w:rFonts w:ascii="Times New Roman" w:eastAsia="Calibri" w:hAnsi="Times New Roman" w:cs="Traditional Arabic"/>
          <w:kern w:val="2"/>
          <w:sz w:val="28"/>
          <w:szCs w:val="28"/>
          <w14:ligatures w14:val="standardContextual"/>
        </w:rPr>
        <w:t xml:space="preserve"> Ratio</w:t>
      </w:r>
      <w:r w:rsidRPr="00140115">
        <w:rPr>
          <w:rFonts w:ascii="Times New Roman" w:eastAsia="Calibri" w:hAnsi="Times New Roman" w:cs="Traditional Arabic"/>
          <w:kern w:val="2"/>
          <w:sz w:val="28"/>
          <w:szCs w:val="28"/>
          <w14:ligatures w14:val="standardContextual"/>
        </w:rPr>
        <w:br/>
      </w:r>
      <w:r w:rsidRPr="00140115">
        <w:rPr>
          <w:rFonts w:ascii="Times New Roman" w:eastAsia="Calibri" w:hAnsi="Times New Roman" w:cs="Traditional Arabic"/>
          <w:kern w:val="2"/>
          <w:sz w:val="28"/>
          <w:szCs w:val="28"/>
          <w:rtl/>
          <w14:ligatures w14:val="standardContextual"/>
        </w:rPr>
        <w:t>للتحقق من تميّز كل متغير عن الآخر وعدم وجود تداخل بنيوي يؤدي إلى ضعف التفسير</w:t>
      </w:r>
      <w:r w:rsidRPr="00140115">
        <w:rPr>
          <w:rFonts w:ascii="Times New Roman" w:eastAsia="Calibri" w:hAnsi="Times New Roman" w:cs="Traditional Arabic"/>
          <w:kern w:val="2"/>
          <w:sz w:val="28"/>
          <w:szCs w:val="28"/>
          <w14:ligatures w14:val="standardContextual"/>
        </w:rPr>
        <w:t>.</w:t>
      </w:r>
    </w:p>
    <w:p w14:paraId="1EA79360" w14:textId="77777777" w:rsidR="00DE21E6" w:rsidRPr="00140115" w:rsidRDefault="00DE21E6" w:rsidP="00DE21E6">
      <w:pPr>
        <w:numPr>
          <w:ilvl w:val="0"/>
          <w:numId w:val="28"/>
        </w:numPr>
        <w:bidi/>
        <w:spacing w:before="100" w:beforeAutospacing="1" w:after="100" w:afterAutospacing="1" w:line="360" w:lineRule="auto"/>
        <w:rPr>
          <w:rFonts w:ascii="Times New Roman" w:eastAsia="Calibri" w:hAnsi="Times New Roman" w:cs="Traditional Arabic"/>
          <w:kern w:val="2"/>
          <w:sz w:val="28"/>
          <w:szCs w:val="28"/>
          <w14:ligatures w14:val="standardContextual"/>
        </w:rPr>
      </w:pPr>
      <w:r w:rsidRPr="00140115">
        <w:rPr>
          <w:rFonts w:ascii="Times New Roman" w:eastAsia="Calibri" w:hAnsi="Times New Roman" w:cs="Traditional Arabic"/>
          <w:kern w:val="2"/>
          <w:sz w:val="28"/>
          <w:szCs w:val="28"/>
          <w14:ligatures w14:val="standardContextual"/>
        </w:rPr>
        <w:t>Fornell–Larcker Criterion</w:t>
      </w:r>
      <w:r w:rsidRPr="00140115">
        <w:rPr>
          <w:rFonts w:ascii="Times New Roman" w:eastAsia="Calibri" w:hAnsi="Times New Roman" w:cs="Traditional Arabic"/>
          <w:kern w:val="2"/>
          <w:sz w:val="28"/>
          <w:szCs w:val="28"/>
          <w14:ligatures w14:val="standardContextual"/>
        </w:rPr>
        <w:br/>
      </w:r>
      <w:r w:rsidRPr="00140115">
        <w:rPr>
          <w:rFonts w:ascii="Times New Roman" w:eastAsia="Calibri" w:hAnsi="Times New Roman" w:cs="Traditional Arabic"/>
          <w:kern w:val="2"/>
          <w:sz w:val="28"/>
          <w:szCs w:val="28"/>
          <w:rtl/>
          <w14:ligatures w14:val="standardContextual"/>
        </w:rPr>
        <w:t>للتحقق من أن قيمة الجذر التربيعي لـ</w:t>
      </w:r>
      <w:r w:rsidRPr="00140115">
        <w:rPr>
          <w:rFonts w:ascii="Times New Roman" w:eastAsia="Calibri" w:hAnsi="Times New Roman" w:cs="Traditional Arabic"/>
          <w:kern w:val="2"/>
          <w:sz w:val="28"/>
          <w:szCs w:val="28"/>
          <w14:ligatures w14:val="standardContextual"/>
        </w:rPr>
        <w:t xml:space="preserve"> AVE </w:t>
      </w:r>
      <w:r w:rsidRPr="00140115">
        <w:rPr>
          <w:rFonts w:ascii="Times New Roman" w:eastAsia="Calibri" w:hAnsi="Times New Roman" w:cs="Traditional Arabic"/>
          <w:kern w:val="2"/>
          <w:sz w:val="28"/>
          <w:szCs w:val="28"/>
          <w:rtl/>
          <w14:ligatures w14:val="standardContextual"/>
        </w:rPr>
        <w:t>لكل متغير أعلى من ارتباطاته مع المتغيرات الأخرى</w:t>
      </w:r>
      <w:r w:rsidRPr="00140115">
        <w:rPr>
          <w:rFonts w:ascii="Times New Roman" w:eastAsia="Calibri" w:hAnsi="Times New Roman" w:cs="Traditional Arabic"/>
          <w:kern w:val="2"/>
          <w:sz w:val="28"/>
          <w:szCs w:val="28"/>
          <w14:ligatures w14:val="standardContextual"/>
        </w:rPr>
        <w:t>.</w:t>
      </w:r>
    </w:p>
    <w:p w14:paraId="1DCD9A20" w14:textId="6B812E4B" w:rsidR="00DE21E6" w:rsidRPr="00140115" w:rsidRDefault="00DE21E6" w:rsidP="00DE21E6">
      <w:pPr>
        <w:bidi/>
        <w:spacing w:before="100" w:beforeAutospacing="1" w:after="100" w:afterAutospacing="1" w:line="360" w:lineRule="auto"/>
        <w:jc w:val="both"/>
        <w:rPr>
          <w:rFonts w:ascii="Times New Roman" w:eastAsia="Calibri" w:hAnsi="Times New Roman" w:cs="Traditional Arabic"/>
          <w:b/>
          <w:bCs/>
          <w:kern w:val="2"/>
          <w:sz w:val="28"/>
          <w:szCs w:val="28"/>
          <w14:ligatures w14:val="standardContextual"/>
        </w:rPr>
      </w:pPr>
      <w:r w:rsidRPr="00140115">
        <w:rPr>
          <w:rFonts w:ascii="Times New Roman" w:eastAsia="Calibri" w:hAnsi="Times New Roman" w:cs="Traditional Arabic" w:hint="cs"/>
          <w:b/>
          <w:bCs/>
          <w:kern w:val="2"/>
          <w:sz w:val="28"/>
          <w:szCs w:val="28"/>
          <w:rtl/>
          <w14:ligatures w14:val="standardContextual"/>
        </w:rPr>
        <w:t xml:space="preserve">4- </w:t>
      </w:r>
      <w:r w:rsidRPr="00140115">
        <w:rPr>
          <w:rFonts w:ascii="Times New Roman" w:eastAsia="Calibri" w:hAnsi="Times New Roman" w:cs="Traditional Arabic"/>
          <w:b/>
          <w:bCs/>
          <w:kern w:val="2"/>
          <w:sz w:val="28"/>
          <w:szCs w:val="28"/>
          <w:rtl/>
          <w14:ligatures w14:val="standardContextual"/>
        </w:rPr>
        <w:t>تحليل النموذج الهيكلي</w:t>
      </w:r>
      <w:r w:rsidRPr="00140115">
        <w:rPr>
          <w:rFonts w:ascii="Times New Roman" w:eastAsia="Calibri" w:hAnsi="Times New Roman" w:cs="Traditional Arabic"/>
          <w:b/>
          <w:bCs/>
          <w:kern w:val="2"/>
          <w:sz w:val="28"/>
          <w:szCs w:val="28"/>
          <w14:ligatures w14:val="standardContextual"/>
        </w:rPr>
        <w:t xml:space="preserve"> (Structural Model)</w:t>
      </w:r>
    </w:p>
    <w:p w14:paraId="739E85B4" w14:textId="77777777" w:rsidR="00DE21E6" w:rsidRPr="00140115" w:rsidRDefault="00DE21E6" w:rsidP="00DE21E6">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140115">
        <w:rPr>
          <w:rFonts w:ascii="Times New Roman" w:eastAsia="Calibri" w:hAnsi="Times New Roman" w:cs="Traditional Arabic"/>
          <w:kern w:val="2"/>
          <w:sz w:val="28"/>
          <w:szCs w:val="28"/>
          <w:rtl/>
          <w14:ligatures w14:val="standardContextual"/>
        </w:rPr>
        <w:t>سيتم فحص</w:t>
      </w:r>
      <w:r w:rsidRPr="00140115">
        <w:rPr>
          <w:rFonts w:ascii="Times New Roman" w:eastAsia="Calibri" w:hAnsi="Times New Roman" w:cs="Traditional Arabic"/>
          <w:kern w:val="2"/>
          <w:sz w:val="28"/>
          <w:szCs w:val="28"/>
          <w14:ligatures w14:val="standardContextual"/>
        </w:rPr>
        <w:t>:</w:t>
      </w:r>
    </w:p>
    <w:p w14:paraId="237C408E" w14:textId="77777777" w:rsidR="00DE21E6" w:rsidRPr="00140115" w:rsidRDefault="00DE21E6" w:rsidP="00DE21E6">
      <w:pPr>
        <w:numPr>
          <w:ilvl w:val="0"/>
          <w:numId w:val="29"/>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140115">
        <w:rPr>
          <w:rFonts w:ascii="Times New Roman" w:eastAsia="Calibri" w:hAnsi="Times New Roman" w:cs="Traditional Arabic"/>
          <w:kern w:val="2"/>
          <w:sz w:val="28"/>
          <w:szCs w:val="28"/>
          <w:rtl/>
          <w14:ligatures w14:val="standardContextual"/>
        </w:rPr>
        <w:t>معاملات المسار</w:t>
      </w:r>
      <w:r w:rsidRPr="00140115">
        <w:rPr>
          <w:rFonts w:ascii="Times New Roman" w:eastAsia="Calibri" w:hAnsi="Times New Roman" w:cs="Traditional Arabic"/>
          <w:kern w:val="2"/>
          <w:sz w:val="28"/>
          <w:szCs w:val="28"/>
          <w14:ligatures w14:val="standardContextual"/>
        </w:rPr>
        <w:t xml:space="preserve"> (Path Coefficients).</w:t>
      </w:r>
    </w:p>
    <w:p w14:paraId="70C54C4B" w14:textId="77777777" w:rsidR="00DE21E6" w:rsidRPr="00140115" w:rsidRDefault="00DE21E6" w:rsidP="00DE21E6">
      <w:pPr>
        <w:numPr>
          <w:ilvl w:val="0"/>
          <w:numId w:val="29"/>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140115">
        <w:rPr>
          <w:rFonts w:ascii="Times New Roman" w:eastAsia="Calibri" w:hAnsi="Times New Roman" w:cs="Traditional Arabic"/>
          <w:kern w:val="2"/>
          <w:sz w:val="28"/>
          <w:szCs w:val="28"/>
          <w:rtl/>
          <w14:ligatures w14:val="standardContextual"/>
        </w:rPr>
        <w:t>معاملات التحديد</w:t>
      </w:r>
      <w:r w:rsidRPr="00140115">
        <w:rPr>
          <w:rFonts w:ascii="Times New Roman" w:eastAsia="Calibri" w:hAnsi="Times New Roman" w:cs="Traditional Arabic"/>
          <w:kern w:val="2"/>
          <w:sz w:val="28"/>
          <w:szCs w:val="28"/>
          <w14:ligatures w14:val="standardContextual"/>
        </w:rPr>
        <w:t xml:space="preserve"> (R²) </w:t>
      </w:r>
      <w:r w:rsidRPr="00140115">
        <w:rPr>
          <w:rFonts w:ascii="Times New Roman" w:eastAsia="Calibri" w:hAnsi="Times New Roman" w:cs="Traditional Arabic"/>
          <w:kern w:val="2"/>
          <w:sz w:val="28"/>
          <w:szCs w:val="28"/>
          <w:rtl/>
          <w14:ligatures w14:val="standardContextual"/>
        </w:rPr>
        <w:t>لقياس قدرة المتغيرات على تفسير التحول الرقمي وفاعلية اتخاذ القرار</w:t>
      </w:r>
      <w:r w:rsidRPr="00140115">
        <w:rPr>
          <w:rFonts w:ascii="Times New Roman" w:eastAsia="Calibri" w:hAnsi="Times New Roman" w:cs="Traditional Arabic"/>
          <w:kern w:val="2"/>
          <w:sz w:val="28"/>
          <w:szCs w:val="28"/>
          <w14:ligatures w14:val="standardContextual"/>
        </w:rPr>
        <w:t>.</w:t>
      </w:r>
    </w:p>
    <w:p w14:paraId="5C0CC8BD" w14:textId="77777777" w:rsidR="00DE21E6" w:rsidRPr="00140115" w:rsidRDefault="00DE21E6" w:rsidP="00DE21E6">
      <w:pPr>
        <w:numPr>
          <w:ilvl w:val="0"/>
          <w:numId w:val="29"/>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140115">
        <w:rPr>
          <w:rFonts w:ascii="Times New Roman" w:eastAsia="Calibri" w:hAnsi="Times New Roman" w:cs="Traditional Arabic"/>
          <w:kern w:val="2"/>
          <w:sz w:val="28"/>
          <w:szCs w:val="28"/>
          <w:rtl/>
          <w14:ligatures w14:val="standardContextual"/>
        </w:rPr>
        <w:t>مؤشرات التأثير</w:t>
      </w:r>
      <w:r w:rsidRPr="00140115">
        <w:rPr>
          <w:rFonts w:ascii="Times New Roman" w:eastAsia="Calibri" w:hAnsi="Times New Roman" w:cs="Traditional Arabic"/>
          <w:kern w:val="2"/>
          <w:sz w:val="28"/>
          <w:szCs w:val="28"/>
          <w14:ligatures w14:val="standardContextual"/>
        </w:rPr>
        <w:t xml:space="preserve"> (f²).</w:t>
      </w:r>
    </w:p>
    <w:p w14:paraId="717DDF49" w14:textId="77777777" w:rsidR="00DE21E6" w:rsidRPr="00140115" w:rsidRDefault="00DE21E6" w:rsidP="00DE21E6">
      <w:pPr>
        <w:numPr>
          <w:ilvl w:val="0"/>
          <w:numId w:val="29"/>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140115">
        <w:rPr>
          <w:rFonts w:ascii="Times New Roman" w:eastAsia="Calibri" w:hAnsi="Times New Roman" w:cs="Traditional Arabic"/>
          <w:kern w:val="2"/>
          <w:sz w:val="28"/>
          <w:szCs w:val="28"/>
          <w:rtl/>
          <w14:ligatures w14:val="standardContextual"/>
        </w:rPr>
        <w:t xml:space="preserve">التحقق من دلالة الأثر الوسيط للشفافية المعلوماتية عبر اختبار </w:t>
      </w:r>
      <w:r w:rsidRPr="00140115">
        <w:rPr>
          <w:rFonts w:ascii="Times New Roman" w:eastAsia="Calibri" w:hAnsi="Times New Roman" w:cs="Traditional Arabic"/>
          <w:kern w:val="2"/>
          <w:sz w:val="28"/>
          <w:szCs w:val="28"/>
          <w14:ligatures w14:val="standardContextual"/>
        </w:rPr>
        <w:t>Bootstrapping.</w:t>
      </w:r>
    </w:p>
    <w:p w14:paraId="224F77B4" w14:textId="77777777" w:rsidR="00DE21E6" w:rsidRPr="00140115" w:rsidRDefault="00DE21E6" w:rsidP="00B702FA">
      <w:pPr>
        <w:bidi/>
        <w:spacing w:before="100" w:beforeAutospacing="1" w:after="100" w:afterAutospacing="1" w:line="360" w:lineRule="auto"/>
        <w:outlineLvl w:val="1"/>
        <w:rPr>
          <w:rFonts w:ascii="Times New Roman" w:eastAsia="Calibri" w:hAnsi="Times New Roman" w:cs="Traditional Arabic"/>
          <w:kern w:val="2"/>
          <w:sz w:val="28"/>
          <w:szCs w:val="28"/>
          <w:rtl/>
          <w14:ligatures w14:val="standardContextual"/>
        </w:rPr>
      </w:pPr>
      <w:bookmarkStart w:id="15" w:name="_Toc202226012"/>
    </w:p>
    <w:p w14:paraId="05DEA7EA" w14:textId="77777777" w:rsidR="00DE21E6" w:rsidRPr="00140115" w:rsidRDefault="00DE21E6" w:rsidP="00DE21E6">
      <w:pPr>
        <w:bidi/>
        <w:spacing w:before="100" w:beforeAutospacing="1" w:after="100" w:afterAutospacing="1" w:line="360" w:lineRule="auto"/>
        <w:outlineLvl w:val="1"/>
        <w:rPr>
          <w:rFonts w:ascii="Times New Roman" w:eastAsia="Calibri" w:hAnsi="Times New Roman" w:cs="Traditional Arabic"/>
          <w:kern w:val="2"/>
          <w:sz w:val="28"/>
          <w:szCs w:val="28"/>
          <w:rtl/>
          <w14:ligatures w14:val="standardContextual"/>
        </w:rPr>
      </w:pPr>
    </w:p>
    <w:p w14:paraId="04289F1E" w14:textId="060AEED7" w:rsidR="00752353" w:rsidRPr="00140115" w:rsidRDefault="00EF5312" w:rsidP="00DE21E6">
      <w:pPr>
        <w:bidi/>
        <w:spacing w:before="100" w:beforeAutospacing="1" w:after="100" w:afterAutospacing="1" w:line="360" w:lineRule="auto"/>
        <w:outlineLvl w:val="1"/>
        <w:rPr>
          <w:rFonts w:ascii="Times New Roman" w:hAnsi="Times New Roman" w:cs="Traditional Arabic"/>
          <w:b/>
          <w:bCs/>
          <w:sz w:val="32"/>
          <w:szCs w:val="32"/>
          <w:rtl/>
        </w:rPr>
      </w:pPr>
      <w:r>
        <w:rPr>
          <w:rFonts w:ascii="Times New Roman" w:hAnsi="Times New Roman" w:cs="Traditional Arabic" w:hint="cs"/>
          <w:b/>
          <w:bCs/>
          <w:sz w:val="32"/>
          <w:szCs w:val="32"/>
          <w:rtl/>
        </w:rPr>
        <w:t>8</w:t>
      </w:r>
      <w:r w:rsidR="00B702FA" w:rsidRPr="00140115">
        <w:rPr>
          <w:rFonts w:ascii="Times New Roman" w:hAnsi="Times New Roman" w:cs="Traditional Arabic" w:hint="cs"/>
          <w:b/>
          <w:bCs/>
          <w:sz w:val="32"/>
          <w:szCs w:val="32"/>
          <w:rtl/>
        </w:rPr>
        <w:t xml:space="preserve">,1 </w:t>
      </w:r>
      <w:r w:rsidR="00752353" w:rsidRPr="00140115">
        <w:rPr>
          <w:rFonts w:ascii="Times New Roman" w:hAnsi="Times New Roman" w:cs="Traditional Arabic" w:hint="cs"/>
          <w:b/>
          <w:bCs/>
          <w:sz w:val="32"/>
          <w:szCs w:val="32"/>
          <w:rtl/>
        </w:rPr>
        <w:t>مجتمع وعينة الدراسة</w:t>
      </w:r>
      <w:r w:rsidR="00752353" w:rsidRPr="00140115">
        <w:rPr>
          <w:rFonts w:ascii="Times New Roman" w:hAnsi="Times New Roman" w:cs="Traditional Arabic"/>
          <w:b/>
          <w:bCs/>
          <w:sz w:val="32"/>
          <w:szCs w:val="32"/>
          <w:rtl/>
        </w:rPr>
        <w:t>:</w:t>
      </w:r>
      <w:bookmarkEnd w:id="15"/>
    </w:p>
    <w:p w14:paraId="143FA12D" w14:textId="77777777" w:rsidR="007F503C" w:rsidRPr="00074754" w:rsidRDefault="007F503C" w:rsidP="007F503C">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140115">
        <w:rPr>
          <w:rFonts w:ascii="Times New Roman" w:eastAsia="Calibri" w:hAnsi="Times New Roman" w:cs="Traditional Arabic"/>
          <w:kern w:val="2"/>
          <w:sz w:val="28"/>
          <w:szCs w:val="28"/>
          <w:rtl/>
          <w14:ligatures w14:val="standardContextual"/>
        </w:rPr>
        <w:t>يمثّل مجتمع الدراسة جميع الموظفين الإداريين والفنيين العاملين في وزارات الصناعة بدول مجلس التعاون الخليجي (المملكة العربية السعودية، الإمارات العربية المتحدة، الكويت، قطر، البحرين، وسلطنة عمان). ويكتسب هذا المجتمع أهميته لكونه الأكثر انخراطًا في تبني مبادرات</w:t>
      </w:r>
      <w:r w:rsidRPr="00074754">
        <w:rPr>
          <w:rFonts w:ascii="Times New Roman" w:eastAsia="Calibri" w:hAnsi="Times New Roman" w:cs="Traditional Arabic"/>
          <w:kern w:val="2"/>
          <w:sz w:val="28"/>
          <w:szCs w:val="28"/>
          <w:rtl/>
          <w14:ligatures w14:val="standardContextual"/>
        </w:rPr>
        <w:t xml:space="preserve"> التحول الرقمي، وتفعيل الشفافية المعلوماتية، والمشاركة الفعلية في عمليات اتخاذ القرار الاستراتيجي داخل الوزارات، بالإضافة إلى مساهمته المباشرة في تنفيذ السياسات التنموية المرتبطة بالرؤى المستقبلية لدول الخليج، مثل </w:t>
      </w:r>
      <w:r w:rsidRPr="00074754">
        <w:rPr>
          <w:rFonts w:ascii="Times New Roman" w:eastAsia="Calibri" w:hAnsi="Times New Roman" w:cs="Traditional Arabic"/>
          <w:b/>
          <w:bCs/>
          <w:kern w:val="2"/>
          <w:sz w:val="28"/>
          <w:szCs w:val="28"/>
          <w:rtl/>
          <w14:ligatures w14:val="standardContextual"/>
        </w:rPr>
        <w:t>رؤية السعودية 2030</w:t>
      </w:r>
      <w:r w:rsidRPr="00074754">
        <w:rPr>
          <w:rFonts w:ascii="Times New Roman" w:eastAsia="Calibri" w:hAnsi="Times New Roman" w:cs="Traditional Arabic"/>
          <w:kern w:val="2"/>
          <w:sz w:val="28"/>
          <w:szCs w:val="28"/>
          <w:rtl/>
          <w14:ligatures w14:val="standardContextual"/>
        </w:rPr>
        <w:t xml:space="preserve"> و</w:t>
      </w:r>
      <w:r w:rsidRPr="00074754">
        <w:rPr>
          <w:rFonts w:ascii="Times New Roman" w:eastAsia="Calibri" w:hAnsi="Times New Roman" w:cs="Traditional Arabic"/>
          <w:b/>
          <w:bCs/>
          <w:kern w:val="2"/>
          <w:sz w:val="28"/>
          <w:szCs w:val="28"/>
          <w:rtl/>
          <w14:ligatures w14:val="standardContextual"/>
        </w:rPr>
        <w:t>رؤية الإمارات 2050</w:t>
      </w:r>
      <w:r w:rsidRPr="00074754">
        <w:rPr>
          <w:rFonts w:ascii="Times New Roman" w:eastAsia="Calibri" w:hAnsi="Times New Roman" w:cs="Traditional Arabic"/>
          <w:kern w:val="2"/>
          <w:sz w:val="28"/>
          <w:szCs w:val="28"/>
          <w14:ligatures w14:val="standardContextual"/>
        </w:rPr>
        <w:t>.</w:t>
      </w:r>
    </w:p>
    <w:p w14:paraId="6816F304" w14:textId="77777777" w:rsidR="007F503C" w:rsidRPr="00074754" w:rsidRDefault="007F503C" w:rsidP="007F503C">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kern w:val="2"/>
          <w:sz w:val="28"/>
          <w:szCs w:val="28"/>
          <w:rtl/>
          <w14:ligatures w14:val="standardContextual"/>
        </w:rPr>
        <w:t xml:space="preserve">استنادًا إلى البيانات الرسمية الصادرة عن وزارة الصناعة والثروة المعدنية السعودية في يناير 2025، بلغ عدد الموظفين في الوزارة نحو </w:t>
      </w:r>
      <w:r w:rsidRPr="00074754">
        <w:rPr>
          <w:rFonts w:ascii="Times New Roman" w:eastAsia="Calibri" w:hAnsi="Times New Roman" w:cs="Traditional Arabic"/>
          <w:b/>
          <w:bCs/>
          <w:kern w:val="2"/>
          <w:sz w:val="28"/>
          <w:szCs w:val="28"/>
          <w14:ligatures w14:val="standardContextual"/>
        </w:rPr>
        <w:t xml:space="preserve">10,800 </w:t>
      </w:r>
      <w:r w:rsidRPr="00074754">
        <w:rPr>
          <w:rFonts w:ascii="Times New Roman" w:eastAsia="Calibri" w:hAnsi="Times New Roman" w:cs="Traditional Arabic"/>
          <w:b/>
          <w:bCs/>
          <w:kern w:val="2"/>
          <w:sz w:val="28"/>
          <w:szCs w:val="28"/>
          <w:rtl/>
          <w14:ligatures w14:val="standardContextual"/>
        </w:rPr>
        <w:t>موظف</w:t>
      </w:r>
      <w:r w:rsidRPr="00074754">
        <w:rPr>
          <w:rFonts w:ascii="Times New Roman" w:eastAsia="Calibri" w:hAnsi="Times New Roman" w:cs="Traditional Arabic"/>
          <w:kern w:val="2"/>
          <w:sz w:val="28"/>
          <w:szCs w:val="28"/>
          <w:rtl/>
          <w14:ligatures w14:val="standardContextual"/>
        </w:rPr>
        <w:t xml:space="preserve">، يشملون الكوادر الإدارية والفنية. وبما أن المملكة تُعد الدولة الأكبر من حيث حجم القوى العاملة وعدد السكان في منطقة الخليج، فقد تم الاستناد إلى هذا الرقم كأساس لتقدير عدد الموظفين في وزارات الصناعة بباقي دول المجلس، بافتراض تقارب الهياكل التنظيمية لهذه الوزارات. وبناءً على ذلك، يُقدّر الحجم الكلي لمجتمع الدراسة في وزارات الصناعة بدول مجلس التعاون الخليجي بنحو </w:t>
      </w:r>
      <w:r w:rsidRPr="00074754">
        <w:rPr>
          <w:rFonts w:ascii="Times New Roman" w:eastAsia="Calibri" w:hAnsi="Times New Roman" w:cs="Traditional Arabic"/>
          <w:b/>
          <w:bCs/>
          <w:kern w:val="2"/>
          <w:sz w:val="28"/>
          <w:szCs w:val="28"/>
          <w14:ligatures w14:val="standardContextual"/>
        </w:rPr>
        <w:t xml:space="preserve">64,800 </w:t>
      </w:r>
      <w:r w:rsidRPr="00074754">
        <w:rPr>
          <w:rFonts w:ascii="Times New Roman" w:eastAsia="Calibri" w:hAnsi="Times New Roman" w:cs="Traditional Arabic"/>
          <w:b/>
          <w:bCs/>
          <w:kern w:val="2"/>
          <w:sz w:val="28"/>
          <w:szCs w:val="28"/>
          <w:rtl/>
          <w14:ligatures w14:val="standardContextual"/>
        </w:rPr>
        <w:t>موظف</w:t>
      </w:r>
      <w:r w:rsidRPr="00074754">
        <w:rPr>
          <w:rFonts w:ascii="Times New Roman" w:eastAsia="Calibri" w:hAnsi="Times New Roman" w:cs="Traditional Arabic"/>
          <w:kern w:val="2"/>
          <w:sz w:val="28"/>
          <w:szCs w:val="28"/>
          <w14:ligatures w14:val="standardContextual"/>
        </w:rPr>
        <w:t>.</w:t>
      </w:r>
    </w:p>
    <w:p w14:paraId="242E6ED2" w14:textId="298EBDA6" w:rsidR="00F55F0E" w:rsidRPr="00074754" w:rsidRDefault="00F55F0E" w:rsidP="00F55F0E">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kern w:val="2"/>
          <w:sz w:val="28"/>
          <w:szCs w:val="28"/>
          <w:rtl/>
          <w14:ligatures w14:val="standardContextual"/>
        </w:rPr>
        <w:t xml:space="preserve">وبالاستناد إلى البيانات الرسمية الصادرة عن وزارة الصناعة والثروة المعدنية السعودية في يناير 2025، بلغ عدد الموظفين في الوزارة نحو </w:t>
      </w:r>
      <w:r w:rsidRPr="00074754">
        <w:rPr>
          <w:rFonts w:ascii="Times New Roman" w:eastAsia="Calibri" w:hAnsi="Times New Roman" w:cs="Traditional Arabic"/>
          <w:kern w:val="2"/>
          <w:sz w:val="28"/>
          <w:szCs w:val="28"/>
          <w14:ligatures w14:val="standardContextual"/>
        </w:rPr>
        <w:t xml:space="preserve">10,800 </w:t>
      </w:r>
      <w:r w:rsidRPr="00074754">
        <w:rPr>
          <w:rFonts w:ascii="Times New Roman" w:eastAsia="Calibri" w:hAnsi="Times New Roman" w:cs="Traditional Arabic"/>
          <w:kern w:val="2"/>
          <w:sz w:val="28"/>
          <w:szCs w:val="28"/>
          <w:rtl/>
          <w14:ligatures w14:val="standardContextual"/>
        </w:rPr>
        <w:t xml:space="preserve">موظف، يشملون الكوادر الإدارية والفنية. وبما أن المملكة تُعد الدولة الكبرى من حيث حجم القوى العاملة وعدد السكان في منطقة الخليج، فقد تم الاستناد إلى هذا الرقم كأساس لتقدير عدد الموظفين في وزارات الصناعة بباقي دول </w:t>
      </w:r>
      <w:r w:rsidR="0015003F" w:rsidRPr="00074754">
        <w:rPr>
          <w:rFonts w:ascii="Times New Roman" w:eastAsia="Calibri" w:hAnsi="Times New Roman" w:cs="Traditional Arabic" w:hint="cs"/>
          <w:kern w:val="2"/>
          <w:sz w:val="28"/>
          <w:szCs w:val="28"/>
          <w:rtl/>
          <w14:ligatures w14:val="standardContextual"/>
        </w:rPr>
        <w:t>المجلس، ووفقاً</w:t>
      </w:r>
      <w:r w:rsidRPr="00074754">
        <w:rPr>
          <w:rFonts w:ascii="Times New Roman" w:eastAsia="Calibri" w:hAnsi="Times New Roman" w:cs="Traditional Arabic"/>
          <w:kern w:val="2"/>
          <w:sz w:val="28"/>
          <w:szCs w:val="28"/>
          <w:rtl/>
          <w14:ligatures w14:val="standardContextual"/>
        </w:rPr>
        <w:t xml:space="preserve"> لهذا المنظور المقارن، يُقدّر الحجم الكلي لمجتمع الدراسة في وزارات الصناعة بدول مجلس التعاون الخليجي بنحو 64,800 موظف تقريباً، بافتراض تقارب الهيكل التنظيمي والمؤسسي لهذه الوزارات في الدول الست</w:t>
      </w:r>
      <w:r w:rsidRPr="00074754">
        <w:rPr>
          <w:rFonts w:ascii="Times New Roman" w:eastAsia="Calibri" w:hAnsi="Times New Roman" w:cs="Traditional Arabic"/>
          <w:kern w:val="2"/>
          <w:sz w:val="28"/>
          <w:szCs w:val="28"/>
          <w14:ligatures w14:val="standardContextual"/>
        </w:rPr>
        <w:t>.</w:t>
      </w:r>
    </w:p>
    <w:p w14:paraId="7B6F0E97" w14:textId="77777777" w:rsidR="007F503C" w:rsidRPr="00074754" w:rsidRDefault="007F503C" w:rsidP="007F503C">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kern w:val="2"/>
          <w:sz w:val="28"/>
          <w:szCs w:val="28"/>
          <w:rtl/>
          <w14:ligatures w14:val="standardContextual"/>
        </w:rPr>
        <w:lastRenderedPageBreak/>
        <w:t>بناءً على تقدير إجمالي عدد موظفي وزارات الصناعة في دول مجلس التعاون الخليجي بـ(64,800) موظف، فقد تم تحديد حجم العينة المطلوبة عند مستوى ثقة 95</w:t>
      </w:r>
      <w:r w:rsidRPr="00074754">
        <w:rPr>
          <w:rFonts w:ascii="Times New Roman" w:eastAsia="Calibri" w:hAnsi="Times New Roman" w:cs="Traditional Arabic"/>
          <w:kern w:val="2"/>
          <w:sz w:val="28"/>
          <w:szCs w:val="28"/>
          <w14:ligatures w14:val="standardContextual"/>
        </w:rPr>
        <w:t xml:space="preserve">% </w:t>
      </w:r>
      <w:r w:rsidRPr="00074754">
        <w:rPr>
          <w:rFonts w:ascii="Times New Roman" w:eastAsia="Calibri" w:hAnsi="Times New Roman" w:cs="Traditional Arabic"/>
          <w:kern w:val="2"/>
          <w:sz w:val="28"/>
          <w:szCs w:val="28"/>
          <w:rtl/>
          <w14:ligatures w14:val="standardContextual"/>
        </w:rPr>
        <w:t>وهامش خطأ 5</w:t>
      </w:r>
      <w:r w:rsidRPr="00074754">
        <w:rPr>
          <w:rFonts w:ascii="Times New Roman" w:eastAsia="Calibri" w:hAnsi="Times New Roman" w:cs="Traditional Arabic"/>
          <w:kern w:val="2"/>
          <w:sz w:val="28"/>
          <w:szCs w:val="28"/>
          <w14:ligatures w14:val="standardContextual"/>
        </w:rPr>
        <w:t>%</w:t>
      </w:r>
      <w:r w:rsidRPr="00074754">
        <w:rPr>
          <w:rFonts w:ascii="Times New Roman" w:eastAsia="Calibri" w:hAnsi="Times New Roman" w:cs="Traditional Arabic"/>
          <w:kern w:val="2"/>
          <w:sz w:val="28"/>
          <w:szCs w:val="28"/>
          <w:rtl/>
          <w14:ligatures w14:val="standardContextual"/>
        </w:rPr>
        <w:t xml:space="preserve">، وذلك باستخدام جدول </w:t>
      </w:r>
      <w:proofErr w:type="spellStart"/>
      <w:r w:rsidRPr="00074754">
        <w:rPr>
          <w:rFonts w:ascii="Times New Roman" w:eastAsia="Calibri" w:hAnsi="Times New Roman" w:cs="Traditional Arabic"/>
          <w:kern w:val="2"/>
          <w:sz w:val="28"/>
          <w:szCs w:val="28"/>
          <w:rtl/>
          <w14:ligatures w14:val="standardContextual"/>
        </w:rPr>
        <w:t>كريجسي</w:t>
      </w:r>
      <w:proofErr w:type="spellEnd"/>
      <w:r w:rsidRPr="00074754">
        <w:rPr>
          <w:rFonts w:ascii="Times New Roman" w:eastAsia="Calibri" w:hAnsi="Times New Roman" w:cs="Traditional Arabic"/>
          <w:kern w:val="2"/>
          <w:sz w:val="28"/>
          <w:szCs w:val="28"/>
          <w:rtl/>
          <w14:ligatures w14:val="standardContextual"/>
        </w:rPr>
        <w:t xml:space="preserve"> ومورغان</w:t>
      </w:r>
      <w:r w:rsidRPr="00074754">
        <w:rPr>
          <w:rFonts w:ascii="Times New Roman" w:eastAsia="Calibri" w:hAnsi="Times New Roman" w:cs="Traditional Arabic"/>
          <w:kern w:val="2"/>
          <w:sz w:val="28"/>
          <w:szCs w:val="28"/>
          <w14:ligatures w14:val="standardContextual"/>
        </w:rPr>
        <w:t xml:space="preserve"> (</w:t>
      </w:r>
      <w:proofErr w:type="spellStart"/>
      <w:r w:rsidRPr="00074754">
        <w:rPr>
          <w:rFonts w:ascii="Times New Roman" w:eastAsia="Calibri" w:hAnsi="Times New Roman" w:cs="Traditional Arabic"/>
          <w:kern w:val="2"/>
          <w:sz w:val="28"/>
          <w:szCs w:val="28"/>
          <w14:ligatures w14:val="standardContextual"/>
        </w:rPr>
        <w:t>Krejcie</w:t>
      </w:r>
      <w:proofErr w:type="spellEnd"/>
      <w:r w:rsidRPr="00074754">
        <w:rPr>
          <w:rFonts w:ascii="Times New Roman" w:eastAsia="Calibri" w:hAnsi="Times New Roman" w:cs="Traditional Arabic"/>
          <w:kern w:val="2"/>
          <w:sz w:val="28"/>
          <w:szCs w:val="28"/>
          <w14:ligatures w14:val="standardContextual"/>
        </w:rPr>
        <w:t xml:space="preserve"> &amp; Morgan, 1970)</w:t>
      </w:r>
      <w:r w:rsidRPr="00074754">
        <w:rPr>
          <w:rFonts w:ascii="Times New Roman" w:eastAsia="Calibri" w:hAnsi="Times New Roman" w:cs="Traditional Arabic"/>
          <w:kern w:val="2"/>
          <w:sz w:val="28"/>
          <w:szCs w:val="28"/>
          <w:rtl/>
          <w14:ligatures w14:val="standardContextual"/>
        </w:rPr>
        <w:t xml:space="preserve">، حيث بلغ حجم العينة الإحصائية </w:t>
      </w:r>
      <w:r w:rsidRPr="00074754">
        <w:rPr>
          <w:rFonts w:ascii="Times New Roman" w:eastAsia="Calibri" w:hAnsi="Times New Roman" w:cs="Traditional Arabic"/>
          <w:kern w:val="2"/>
          <w:sz w:val="28"/>
          <w:szCs w:val="28"/>
          <w14:ligatures w14:val="standardContextual"/>
        </w:rPr>
        <w:t xml:space="preserve">382 </w:t>
      </w:r>
      <w:r w:rsidRPr="00074754">
        <w:rPr>
          <w:rFonts w:ascii="Times New Roman" w:eastAsia="Calibri" w:hAnsi="Times New Roman" w:cs="Traditional Arabic"/>
          <w:kern w:val="2"/>
          <w:sz w:val="28"/>
          <w:szCs w:val="28"/>
          <w:rtl/>
          <w14:ligatures w14:val="standardContextual"/>
        </w:rPr>
        <w:t xml:space="preserve">مفردة كحد أدنى. ولضمان تحقيق هذا العدد من الردود الصالحة للتحليل، ومع الأخذ في الاعتبار احتمالية عدم استرجاع بعض الاستبانات أو ورود بيانات غير مكتملة، فقد قرر الباحث توزيع </w:t>
      </w:r>
      <w:r w:rsidRPr="00074754">
        <w:rPr>
          <w:rFonts w:ascii="Times New Roman" w:eastAsia="Calibri" w:hAnsi="Times New Roman" w:cs="Traditional Arabic"/>
          <w:kern w:val="2"/>
          <w:sz w:val="28"/>
          <w:szCs w:val="28"/>
          <w14:ligatures w14:val="standardContextual"/>
        </w:rPr>
        <w:t xml:space="preserve">420 </w:t>
      </w:r>
      <w:r w:rsidRPr="00074754">
        <w:rPr>
          <w:rFonts w:ascii="Times New Roman" w:eastAsia="Calibri" w:hAnsi="Times New Roman" w:cs="Traditional Arabic"/>
          <w:kern w:val="2"/>
          <w:sz w:val="28"/>
          <w:szCs w:val="28"/>
          <w:rtl/>
          <w14:ligatures w14:val="standardContextual"/>
        </w:rPr>
        <w:t>استبانة</w:t>
      </w:r>
      <w:r w:rsidRPr="00074754">
        <w:rPr>
          <w:rFonts w:ascii="Times New Roman" w:eastAsia="Calibri" w:hAnsi="Times New Roman" w:cs="Traditional Arabic"/>
          <w:kern w:val="2"/>
          <w:sz w:val="28"/>
          <w:szCs w:val="28"/>
          <w14:ligatures w14:val="standardContextual"/>
        </w:rPr>
        <w:t>.</w:t>
      </w:r>
    </w:p>
    <w:p w14:paraId="6E8FBC26" w14:textId="77777777" w:rsidR="007F503C" w:rsidRPr="00074754" w:rsidRDefault="007F503C" w:rsidP="007F503C">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kern w:val="2"/>
          <w:sz w:val="28"/>
          <w:szCs w:val="28"/>
          <w:rtl/>
          <w14:ligatures w14:val="standardContextual"/>
        </w:rPr>
        <w:t>وقد تم اختيار العينة باستخدام العينة الطبقية غير الاحتمالية الموجهة</w:t>
      </w:r>
      <w:r w:rsidRPr="00074754">
        <w:rPr>
          <w:rFonts w:ascii="Times New Roman" w:eastAsia="Calibri" w:hAnsi="Times New Roman" w:cs="Traditional Arabic"/>
          <w:kern w:val="2"/>
          <w:sz w:val="28"/>
          <w:szCs w:val="28"/>
          <w14:ligatures w14:val="standardContextual"/>
        </w:rPr>
        <w:t xml:space="preserve"> (Purposive Stratified Sampling)</w:t>
      </w:r>
      <w:r w:rsidRPr="00074754">
        <w:rPr>
          <w:rFonts w:ascii="Times New Roman" w:eastAsia="Calibri" w:hAnsi="Times New Roman" w:cs="Traditional Arabic"/>
          <w:kern w:val="2"/>
          <w:sz w:val="28"/>
          <w:szCs w:val="28"/>
          <w:rtl/>
          <w14:ligatures w14:val="standardContextual"/>
        </w:rPr>
        <w:t>، حيث جرى توزيع الاستبانات على فئات وظيفية محددة (إدارية وفنية) لضمان تمثيل كافة المستويات الوظيفية ذات الصلة المباشرة بعمليات التحول الرقمي وصنع القرار الاستراتيجي داخل الوزارات</w:t>
      </w:r>
      <w:r w:rsidRPr="00074754">
        <w:rPr>
          <w:rFonts w:ascii="Times New Roman" w:eastAsia="Calibri" w:hAnsi="Times New Roman" w:cs="Traditional Arabic"/>
          <w:kern w:val="2"/>
          <w:sz w:val="28"/>
          <w:szCs w:val="28"/>
          <w14:ligatures w14:val="standardContextual"/>
        </w:rPr>
        <w:t>.</w:t>
      </w:r>
    </w:p>
    <w:p w14:paraId="1B320368" w14:textId="77777777" w:rsidR="007F503C" w:rsidRPr="00074754" w:rsidRDefault="007F503C" w:rsidP="007F503C">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kern w:val="2"/>
          <w:sz w:val="28"/>
          <w:szCs w:val="28"/>
          <w:rtl/>
          <w14:ligatures w14:val="standardContextual"/>
        </w:rPr>
        <w:t>يمثّل مجتمع الدراسة جميع الموظفين الإداريين والفنيين العاملين في وزارات الصناعة بدول مجلس التعاون الخليجي (المملكة العربية السعودية، الإمارات العربية المتحدة، الكويت، قطر، البحرين، وسلطنة عمان)، نظرًا لدورهم المحوري في تبني مبادرات التحول الرقمي، وتفعيل الشفافية المعلوماتية، والمشاركة الفعلية في عمليات اتخاذ القرار الاستراتيجي داخل مؤسساتهم</w:t>
      </w:r>
      <w:r w:rsidRPr="00074754">
        <w:rPr>
          <w:rFonts w:ascii="Times New Roman" w:eastAsia="Calibri" w:hAnsi="Times New Roman" w:cs="Traditional Arabic" w:hint="cs"/>
          <w:kern w:val="2"/>
          <w:sz w:val="28"/>
          <w:szCs w:val="28"/>
          <w:rtl/>
          <w14:ligatures w14:val="standardContextual"/>
        </w:rPr>
        <w:t xml:space="preserve">، </w:t>
      </w:r>
      <w:r w:rsidRPr="00074754">
        <w:rPr>
          <w:rFonts w:ascii="Times New Roman" w:eastAsia="Calibri" w:hAnsi="Times New Roman" w:cs="Traditional Arabic"/>
          <w:kern w:val="2"/>
          <w:sz w:val="28"/>
          <w:szCs w:val="28"/>
          <w:rtl/>
          <w14:ligatures w14:val="standardContextual"/>
        </w:rPr>
        <w:t xml:space="preserve"> ويُعد هذا المجتمع من أكثر المجتمعات انخراطًا في تنفيذ السياسات التنموية المرتبطة برؤية دول الخليج المستقبلية، لاسيما رؤية السعودية 2030، ورؤية الإمارات 2050، مما يضفي أهمية بالغة على اختيار هذا الإطار المؤسسي كمجال تطبيقي للدراسة</w:t>
      </w:r>
      <w:r w:rsidRPr="00074754">
        <w:rPr>
          <w:rFonts w:ascii="Times New Roman" w:eastAsia="Calibri" w:hAnsi="Times New Roman" w:cs="Traditional Arabic"/>
          <w:kern w:val="2"/>
          <w:sz w:val="28"/>
          <w:szCs w:val="28"/>
          <w14:ligatures w14:val="standardContextual"/>
        </w:rPr>
        <w:t>.</w:t>
      </w:r>
    </w:p>
    <w:p w14:paraId="4B287956" w14:textId="073FA734" w:rsidR="00752353" w:rsidRPr="00074754" w:rsidRDefault="00EF5312" w:rsidP="00B702FA">
      <w:pPr>
        <w:bidi/>
        <w:spacing w:before="100" w:beforeAutospacing="1" w:after="100" w:afterAutospacing="1" w:line="360" w:lineRule="auto"/>
        <w:outlineLvl w:val="1"/>
        <w:rPr>
          <w:rFonts w:ascii="Times New Roman" w:hAnsi="Times New Roman" w:cs="Traditional Arabic"/>
          <w:b/>
          <w:bCs/>
          <w:sz w:val="32"/>
          <w:szCs w:val="32"/>
          <w:rtl/>
        </w:rPr>
      </w:pPr>
      <w:bookmarkStart w:id="16" w:name="_Toc202226013"/>
      <w:r>
        <w:rPr>
          <w:rFonts w:ascii="Times New Roman" w:hAnsi="Times New Roman" w:cs="Traditional Arabic" w:hint="cs"/>
          <w:b/>
          <w:bCs/>
          <w:sz w:val="32"/>
          <w:szCs w:val="32"/>
          <w:rtl/>
        </w:rPr>
        <w:t>9</w:t>
      </w:r>
      <w:r w:rsidR="00B702FA" w:rsidRPr="00074754">
        <w:rPr>
          <w:rFonts w:ascii="Times New Roman" w:hAnsi="Times New Roman" w:cs="Traditional Arabic" w:hint="cs"/>
          <w:b/>
          <w:bCs/>
          <w:sz w:val="32"/>
          <w:szCs w:val="32"/>
          <w:rtl/>
        </w:rPr>
        <w:t xml:space="preserve">,1 </w:t>
      </w:r>
      <w:r w:rsidR="00752353" w:rsidRPr="00074754">
        <w:rPr>
          <w:rFonts w:ascii="Times New Roman" w:hAnsi="Times New Roman" w:cs="Traditional Arabic" w:hint="cs"/>
          <w:b/>
          <w:bCs/>
          <w:sz w:val="32"/>
          <w:szCs w:val="32"/>
          <w:rtl/>
        </w:rPr>
        <w:t>وسائل جمع بيانات الدراسة</w:t>
      </w:r>
      <w:r w:rsidR="00752353" w:rsidRPr="00074754">
        <w:rPr>
          <w:rFonts w:ascii="Times New Roman" w:hAnsi="Times New Roman" w:cs="Traditional Arabic"/>
          <w:b/>
          <w:bCs/>
          <w:sz w:val="32"/>
          <w:szCs w:val="32"/>
          <w:rtl/>
        </w:rPr>
        <w:t>:</w:t>
      </w:r>
      <w:bookmarkEnd w:id="16"/>
    </w:p>
    <w:p w14:paraId="6AC3C483" w14:textId="2C5F5C6A" w:rsidR="00752353" w:rsidRPr="00074754" w:rsidRDefault="00752353" w:rsidP="00752353">
      <w:pPr>
        <w:bidi/>
        <w:spacing w:before="100" w:beforeAutospacing="1" w:after="100" w:afterAutospacing="1" w:line="360" w:lineRule="auto"/>
        <w:jc w:val="both"/>
        <w:rPr>
          <w:rFonts w:ascii="Times New Roman" w:eastAsia="Calibri" w:hAnsi="Times New Roman" w:cs="Traditional Arabic"/>
          <w:kern w:val="2"/>
          <w:sz w:val="28"/>
          <w:szCs w:val="28"/>
          <w:rtl/>
          <w14:ligatures w14:val="standardContextual"/>
        </w:rPr>
      </w:pPr>
      <w:r w:rsidRPr="00074754">
        <w:rPr>
          <w:rFonts w:ascii="Times New Roman" w:eastAsia="Calibri" w:hAnsi="Times New Roman" w:cs="Traditional Arabic" w:hint="cs"/>
          <w:kern w:val="2"/>
          <w:sz w:val="28"/>
          <w:szCs w:val="28"/>
          <w:rtl/>
          <w14:ligatures w14:val="standardContextual"/>
        </w:rPr>
        <w:t xml:space="preserve">تعتمد </w:t>
      </w:r>
      <w:r w:rsidR="00140115" w:rsidRPr="00074754">
        <w:rPr>
          <w:rFonts w:ascii="Times New Roman" w:eastAsia="Calibri" w:hAnsi="Times New Roman" w:cs="Traditional Arabic" w:hint="cs"/>
          <w:kern w:val="2"/>
          <w:sz w:val="28"/>
          <w:szCs w:val="28"/>
          <w:rtl/>
          <w14:ligatures w14:val="standardContextual"/>
        </w:rPr>
        <w:t>الدراسة على</w:t>
      </w:r>
      <w:r w:rsidRPr="00074754">
        <w:rPr>
          <w:rFonts w:ascii="Times New Roman" w:eastAsia="Calibri" w:hAnsi="Times New Roman" w:cs="Traditional Arabic" w:hint="cs"/>
          <w:kern w:val="2"/>
          <w:sz w:val="28"/>
          <w:szCs w:val="28"/>
          <w:rtl/>
          <w14:ligatures w14:val="standardContextual"/>
        </w:rPr>
        <w:t xml:space="preserve"> مصدرين أساسيين في جمع البيانات والمعلومات كما يلي:</w:t>
      </w:r>
    </w:p>
    <w:p w14:paraId="2A163510" w14:textId="77777777" w:rsidR="007F503C" w:rsidRPr="00074754" w:rsidRDefault="007F503C" w:rsidP="00693D5F">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kern w:val="2"/>
          <w:sz w:val="28"/>
          <w:szCs w:val="28"/>
          <w:rtl/>
          <w14:ligatures w14:val="standardContextual"/>
        </w:rPr>
        <w:t xml:space="preserve">اعتمدت هذه الدراسة على </w:t>
      </w:r>
      <w:r w:rsidRPr="00074754">
        <w:rPr>
          <w:rFonts w:ascii="Times New Roman" w:eastAsia="Calibri" w:hAnsi="Times New Roman" w:cs="Traditional Arabic"/>
          <w:b/>
          <w:bCs/>
          <w:kern w:val="2"/>
          <w:sz w:val="28"/>
          <w:szCs w:val="28"/>
          <w:rtl/>
          <w14:ligatures w14:val="standardContextual"/>
        </w:rPr>
        <w:t>مصادر بيانات ثانوية وأولية</w:t>
      </w:r>
      <w:r w:rsidRPr="00074754">
        <w:rPr>
          <w:rFonts w:ascii="Times New Roman" w:eastAsia="Calibri" w:hAnsi="Times New Roman" w:cs="Traditional Arabic"/>
          <w:kern w:val="2"/>
          <w:sz w:val="28"/>
          <w:szCs w:val="28"/>
          <w:rtl/>
          <w14:ligatures w14:val="standardContextual"/>
        </w:rPr>
        <w:t xml:space="preserve"> لضمان شمولية المعلومات ودقتها، وذلك على النحو التالي</w:t>
      </w:r>
      <w:r w:rsidRPr="00074754">
        <w:rPr>
          <w:rFonts w:ascii="Times New Roman" w:eastAsia="Calibri" w:hAnsi="Times New Roman" w:cs="Traditional Arabic"/>
          <w:kern w:val="2"/>
          <w:sz w:val="28"/>
          <w:szCs w:val="28"/>
          <w14:ligatures w14:val="standardContextual"/>
        </w:rPr>
        <w:t>:</w:t>
      </w:r>
    </w:p>
    <w:p w14:paraId="30FE78B6" w14:textId="42CFF3D6" w:rsidR="007F503C" w:rsidRPr="00074754" w:rsidRDefault="007F503C" w:rsidP="007F503C">
      <w:pPr>
        <w:numPr>
          <w:ilvl w:val="0"/>
          <w:numId w:val="10"/>
        </w:numPr>
        <w:tabs>
          <w:tab w:val="num" w:pos="720"/>
        </w:tabs>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b/>
          <w:bCs/>
          <w:kern w:val="2"/>
          <w:sz w:val="28"/>
          <w:szCs w:val="28"/>
          <w:rtl/>
          <w14:ligatures w14:val="standardContextual"/>
        </w:rPr>
        <w:t xml:space="preserve">المصادر </w:t>
      </w:r>
      <w:r w:rsidR="00140115" w:rsidRPr="00074754">
        <w:rPr>
          <w:rFonts w:ascii="Times New Roman" w:eastAsia="Calibri" w:hAnsi="Times New Roman" w:cs="Traditional Arabic" w:hint="cs"/>
          <w:b/>
          <w:bCs/>
          <w:kern w:val="2"/>
          <w:sz w:val="28"/>
          <w:szCs w:val="28"/>
          <w:rtl/>
          <w14:ligatures w14:val="standardContextual"/>
        </w:rPr>
        <w:t>الثانوية</w:t>
      </w:r>
      <w:r w:rsidR="00140115" w:rsidRPr="00074754">
        <w:rPr>
          <w:rFonts w:ascii="Times New Roman" w:eastAsia="Calibri" w:hAnsi="Times New Roman" w:cs="Traditional Arabic"/>
          <w:b/>
          <w:bCs/>
          <w:kern w:val="2"/>
          <w:sz w:val="28"/>
          <w:szCs w:val="28"/>
          <w14:ligatures w14:val="standardContextual"/>
        </w:rPr>
        <w:t>:</w:t>
      </w:r>
      <w:r w:rsidR="00140115" w:rsidRPr="00074754">
        <w:rPr>
          <w:rFonts w:ascii="Times New Roman" w:eastAsia="Calibri" w:hAnsi="Times New Roman" w:cs="Traditional Arabic" w:hint="cs"/>
          <w:kern w:val="2"/>
          <w:sz w:val="28"/>
          <w:szCs w:val="28"/>
          <w:rtl/>
          <w14:ligatures w14:val="standardContextual"/>
        </w:rPr>
        <w:t xml:space="preserve"> شمل</w:t>
      </w:r>
      <w:r w:rsidR="00140115" w:rsidRPr="00074754">
        <w:rPr>
          <w:rFonts w:ascii="Times New Roman" w:eastAsia="Calibri" w:hAnsi="Times New Roman" w:cs="Traditional Arabic" w:hint="eastAsia"/>
          <w:kern w:val="2"/>
          <w:sz w:val="28"/>
          <w:szCs w:val="28"/>
          <w:rtl/>
          <w14:ligatures w14:val="standardContextual"/>
        </w:rPr>
        <w:t>ت</w:t>
      </w:r>
      <w:r w:rsidRPr="00074754">
        <w:rPr>
          <w:rFonts w:ascii="Times New Roman" w:eastAsia="Calibri" w:hAnsi="Times New Roman" w:cs="Traditional Arabic"/>
          <w:kern w:val="2"/>
          <w:sz w:val="28"/>
          <w:szCs w:val="28"/>
          <w:rtl/>
          <w14:ligatures w14:val="standardContextual"/>
        </w:rPr>
        <w:t xml:space="preserve"> الكتب الأكاديمية، والدراسات البحثية المحكمة، والمقالات العلمية المنشورة في المجلات المتخصصة، بالإضافة إلى التقارير الرسمية الصادرة عن الوزارات والهيئات الحكومية والمنظمات الإقليمية </w:t>
      </w:r>
      <w:r w:rsidRPr="00074754">
        <w:rPr>
          <w:rFonts w:ascii="Times New Roman" w:eastAsia="Calibri" w:hAnsi="Times New Roman" w:cs="Traditional Arabic"/>
          <w:kern w:val="2"/>
          <w:sz w:val="28"/>
          <w:szCs w:val="28"/>
          <w:rtl/>
          <w14:ligatures w14:val="standardContextual"/>
        </w:rPr>
        <w:lastRenderedPageBreak/>
        <w:t>والدولية ذات الصلة. وقد استخدمت هذه المصادر في بناء الإطار النظري للدراسة، وصياغة الفرضيات، وتحديد أبعاد المتغيرات، ودعم النتائج بالمؤشرات الإحصائية والنماذج المقارنة</w:t>
      </w:r>
      <w:r w:rsidRPr="00074754">
        <w:rPr>
          <w:rFonts w:ascii="Times New Roman" w:eastAsia="Calibri" w:hAnsi="Times New Roman" w:cs="Traditional Arabic"/>
          <w:kern w:val="2"/>
          <w:sz w:val="28"/>
          <w:szCs w:val="28"/>
          <w14:ligatures w14:val="standardContextual"/>
        </w:rPr>
        <w:t>.</w:t>
      </w:r>
    </w:p>
    <w:p w14:paraId="22A781CA" w14:textId="7671C335" w:rsidR="00693D5F" w:rsidRPr="00140115" w:rsidRDefault="007F503C" w:rsidP="00140115">
      <w:pPr>
        <w:numPr>
          <w:ilvl w:val="0"/>
          <w:numId w:val="10"/>
        </w:numPr>
        <w:tabs>
          <w:tab w:val="num" w:pos="720"/>
        </w:tabs>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b/>
          <w:bCs/>
          <w:kern w:val="2"/>
          <w:sz w:val="28"/>
          <w:szCs w:val="28"/>
          <w:rtl/>
          <w14:ligatures w14:val="standardContextual"/>
        </w:rPr>
        <w:t>المصادر الأولية</w:t>
      </w:r>
      <w:r w:rsidRPr="00074754">
        <w:rPr>
          <w:rFonts w:ascii="Times New Roman" w:eastAsia="Calibri" w:hAnsi="Times New Roman" w:cs="Traditional Arabic"/>
          <w:b/>
          <w:bCs/>
          <w:kern w:val="2"/>
          <w:sz w:val="28"/>
          <w:szCs w:val="28"/>
          <w14:ligatures w14:val="standardContextual"/>
        </w:rPr>
        <w:t>:</w:t>
      </w:r>
      <w:r w:rsidRPr="00074754">
        <w:rPr>
          <w:rFonts w:ascii="Times New Roman" w:eastAsia="Calibri" w:hAnsi="Times New Roman" w:cs="Traditional Arabic" w:hint="cs"/>
          <w:kern w:val="2"/>
          <w:sz w:val="28"/>
          <w:szCs w:val="28"/>
          <w:rtl/>
          <w14:ligatures w14:val="standardContextual"/>
        </w:rPr>
        <w:t xml:space="preserve"> </w:t>
      </w:r>
      <w:r w:rsidRPr="00074754">
        <w:rPr>
          <w:rFonts w:ascii="Times New Roman" w:eastAsia="Calibri" w:hAnsi="Times New Roman" w:cs="Traditional Arabic"/>
          <w:kern w:val="2"/>
          <w:sz w:val="28"/>
          <w:szCs w:val="28"/>
          <w:rtl/>
          <w14:ligatures w14:val="standardContextual"/>
        </w:rPr>
        <w:t xml:space="preserve">تمثلت في </w:t>
      </w:r>
      <w:r w:rsidRPr="00074754">
        <w:rPr>
          <w:rFonts w:ascii="Times New Roman" w:eastAsia="Calibri" w:hAnsi="Times New Roman" w:cs="Traditional Arabic"/>
          <w:b/>
          <w:bCs/>
          <w:kern w:val="2"/>
          <w:sz w:val="28"/>
          <w:szCs w:val="28"/>
          <w:rtl/>
          <w14:ligatures w14:val="standardContextual"/>
        </w:rPr>
        <w:t>أداة الاستبانة الإلكترونية</w:t>
      </w:r>
      <w:r w:rsidRPr="00074754">
        <w:rPr>
          <w:rFonts w:ascii="Times New Roman" w:eastAsia="Calibri" w:hAnsi="Times New Roman" w:cs="Traditional Arabic"/>
          <w:kern w:val="2"/>
          <w:sz w:val="28"/>
          <w:szCs w:val="28"/>
          <w:rtl/>
          <w14:ligatures w14:val="standardContextual"/>
        </w:rPr>
        <w:t xml:space="preserve"> التي أُعدت خصيصًا لهذه الدراسة، وتم تصميمها باستخدام منصة </w:t>
      </w:r>
      <w:r w:rsidRPr="00074754">
        <w:rPr>
          <w:rFonts w:ascii="Times New Roman" w:eastAsia="Calibri" w:hAnsi="Times New Roman" w:cs="Traditional Arabic"/>
          <w:b/>
          <w:bCs/>
          <w:kern w:val="2"/>
          <w:sz w:val="28"/>
          <w:szCs w:val="28"/>
          <w14:ligatures w14:val="standardContextual"/>
        </w:rPr>
        <w:t>Google Forms</w:t>
      </w:r>
      <w:r w:rsidRPr="00074754">
        <w:rPr>
          <w:rFonts w:ascii="Times New Roman" w:eastAsia="Calibri" w:hAnsi="Times New Roman" w:cs="Traditional Arabic"/>
          <w:kern w:val="2"/>
          <w:sz w:val="28"/>
          <w:szCs w:val="28"/>
          <w:rtl/>
          <w14:ligatures w14:val="standardContextual"/>
        </w:rPr>
        <w:t xml:space="preserve">، وذلك لسهولة الوصول إلى المبحوثين في مختلف دول مجلس التعاون الخليجي، وضمان جمع البيانات بطريقة منظمة وسريعة. وقد احتوت الاستبانة على مجموعة من الفقرات المغلقة وفق مقياس </w:t>
      </w:r>
      <w:proofErr w:type="spellStart"/>
      <w:r w:rsidRPr="00074754">
        <w:rPr>
          <w:rFonts w:ascii="Times New Roman" w:eastAsia="Calibri" w:hAnsi="Times New Roman" w:cs="Traditional Arabic"/>
          <w:b/>
          <w:bCs/>
          <w:kern w:val="2"/>
          <w:sz w:val="28"/>
          <w:szCs w:val="28"/>
          <w:rtl/>
          <w14:ligatures w14:val="standardContextual"/>
        </w:rPr>
        <w:t>ليكرت</w:t>
      </w:r>
      <w:proofErr w:type="spellEnd"/>
      <w:r w:rsidRPr="00074754">
        <w:rPr>
          <w:rFonts w:ascii="Times New Roman" w:eastAsia="Calibri" w:hAnsi="Times New Roman" w:cs="Traditional Arabic"/>
          <w:b/>
          <w:bCs/>
          <w:kern w:val="2"/>
          <w:sz w:val="28"/>
          <w:szCs w:val="28"/>
          <w:rtl/>
          <w14:ligatures w14:val="standardContextual"/>
        </w:rPr>
        <w:t xml:space="preserve"> الخماسي</w:t>
      </w:r>
      <w:r w:rsidRPr="00074754">
        <w:rPr>
          <w:rFonts w:ascii="Times New Roman" w:eastAsia="Calibri" w:hAnsi="Times New Roman" w:cs="Traditional Arabic"/>
          <w:kern w:val="2"/>
          <w:sz w:val="28"/>
          <w:szCs w:val="28"/>
          <w:rtl/>
          <w14:ligatures w14:val="standardContextual"/>
        </w:rPr>
        <w:t>، بحيث تقيس أبعاد المتغيرات الثلاثة الرئيسة للدراسة (التحول الرقمي، الشفافية المعلوماتية، فاعلية اتخاذ القرار الاستراتيجي). وتم اختبار وضوح وصلاحية الفقرات من خلال عرضها على مجموعة من الخبراء والمختصين قبل توزيعها على عينة الدراسة</w:t>
      </w:r>
      <w:r w:rsidRPr="00074754">
        <w:rPr>
          <w:rFonts w:ascii="Times New Roman" w:eastAsia="Calibri" w:hAnsi="Times New Roman" w:cs="Traditional Arabic"/>
          <w:kern w:val="2"/>
          <w:sz w:val="28"/>
          <w:szCs w:val="28"/>
          <w14:ligatures w14:val="standardContextual"/>
        </w:rPr>
        <w:t>.</w:t>
      </w:r>
    </w:p>
    <w:p w14:paraId="727D7AC1" w14:textId="4274E49E" w:rsidR="00693D5F" w:rsidRPr="00074754" w:rsidRDefault="00693D5F" w:rsidP="00693D5F">
      <w:pPr>
        <w:bidi/>
        <w:spacing w:before="100" w:beforeAutospacing="1" w:after="100" w:afterAutospacing="1" w:line="360" w:lineRule="auto"/>
        <w:jc w:val="both"/>
        <w:rPr>
          <w:rFonts w:ascii="Times New Roman" w:hAnsi="Times New Roman" w:cs="Traditional Arabic"/>
          <w:b/>
          <w:bCs/>
          <w:sz w:val="32"/>
          <w:szCs w:val="32"/>
          <w:rtl/>
        </w:rPr>
      </w:pPr>
      <w:r w:rsidRPr="00074754">
        <w:rPr>
          <w:rFonts w:ascii="Times New Roman" w:hAnsi="Times New Roman" w:cs="Traditional Arabic" w:hint="cs"/>
          <w:b/>
          <w:bCs/>
          <w:sz w:val="32"/>
          <w:szCs w:val="32"/>
          <w:rtl/>
        </w:rPr>
        <w:t>1</w:t>
      </w:r>
      <w:r w:rsidR="00EF5312">
        <w:rPr>
          <w:rFonts w:ascii="Times New Roman" w:hAnsi="Times New Roman" w:cs="Traditional Arabic" w:hint="cs"/>
          <w:b/>
          <w:bCs/>
          <w:sz w:val="32"/>
          <w:szCs w:val="32"/>
          <w:rtl/>
        </w:rPr>
        <w:t>0</w:t>
      </w:r>
      <w:r w:rsidRPr="00074754">
        <w:rPr>
          <w:rFonts w:ascii="Times New Roman" w:hAnsi="Times New Roman" w:cs="Traditional Arabic" w:hint="cs"/>
          <w:b/>
          <w:bCs/>
          <w:sz w:val="32"/>
          <w:szCs w:val="32"/>
          <w:rtl/>
        </w:rPr>
        <w:t xml:space="preserve">,1 أداه الدراسة </w:t>
      </w:r>
    </w:p>
    <w:p w14:paraId="130BB413" w14:textId="77777777" w:rsidR="00693D5F" w:rsidRPr="00074754" w:rsidRDefault="00693D5F" w:rsidP="00693D5F">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kern w:val="2"/>
          <w:sz w:val="28"/>
          <w:szCs w:val="28"/>
          <w:rtl/>
          <w14:ligatures w14:val="standardContextual"/>
        </w:rPr>
        <w:t>سيعتمد الباحث على الاستبانة الإلكترونية كأداة رئيسة لجمع البيانات الأولية من أفراد عينة البحث. وسيتم بناء الاستبانة استنادًا إلى الأطر النظرية والدراسات السابقة ذات الصلة بموضوعات التحول الرقمي، والشفافية المعلوماتية، وفاعلية اتخاذ القرار الاستراتيجي، مثل دراسات الطيب</w:t>
      </w:r>
      <w:r w:rsidRPr="00074754">
        <w:rPr>
          <w:rFonts w:ascii="Times New Roman" w:eastAsia="Calibri" w:hAnsi="Times New Roman" w:cs="Traditional Arabic"/>
          <w:kern w:val="2"/>
          <w:sz w:val="28"/>
          <w:szCs w:val="28"/>
          <w14:ligatures w14:val="standardContextual"/>
        </w:rPr>
        <w:t xml:space="preserve"> (2024)</w:t>
      </w:r>
      <w:r w:rsidRPr="00074754">
        <w:rPr>
          <w:rFonts w:ascii="Times New Roman" w:eastAsia="Calibri" w:hAnsi="Times New Roman" w:cs="Traditional Arabic"/>
          <w:kern w:val="2"/>
          <w:sz w:val="28"/>
          <w:szCs w:val="28"/>
          <w:rtl/>
          <w14:ligatures w14:val="standardContextual"/>
        </w:rPr>
        <w:t>، وعبد المنعم ورضوان</w:t>
      </w:r>
      <w:r w:rsidRPr="00074754">
        <w:rPr>
          <w:rFonts w:ascii="Times New Roman" w:eastAsia="Calibri" w:hAnsi="Times New Roman" w:cs="Traditional Arabic"/>
          <w:kern w:val="2"/>
          <w:sz w:val="28"/>
          <w:szCs w:val="28"/>
          <w14:ligatures w14:val="standardContextual"/>
        </w:rPr>
        <w:t xml:space="preserve"> (2023)</w:t>
      </w:r>
      <w:r w:rsidRPr="00074754">
        <w:rPr>
          <w:rFonts w:ascii="Times New Roman" w:eastAsia="Calibri" w:hAnsi="Times New Roman" w:cs="Traditional Arabic"/>
          <w:kern w:val="2"/>
          <w:sz w:val="28"/>
          <w:szCs w:val="28"/>
          <w:rtl/>
          <w14:ligatures w14:val="standardContextual"/>
        </w:rPr>
        <w:t>، و</w:t>
      </w:r>
      <w:r w:rsidRPr="00074754">
        <w:rPr>
          <w:rFonts w:ascii="Times New Roman" w:eastAsia="Calibri" w:hAnsi="Times New Roman" w:cs="Traditional Arabic"/>
          <w:kern w:val="2"/>
          <w:sz w:val="28"/>
          <w:szCs w:val="28"/>
          <w14:ligatures w14:val="standardContextual"/>
        </w:rPr>
        <w:t xml:space="preserve">Moraes et al. (2022) </w:t>
      </w:r>
      <w:r w:rsidRPr="00074754">
        <w:rPr>
          <w:rFonts w:ascii="Times New Roman" w:eastAsia="Calibri" w:hAnsi="Times New Roman" w:cs="Traditional Arabic"/>
          <w:kern w:val="2"/>
          <w:sz w:val="28"/>
          <w:szCs w:val="28"/>
          <w:rtl/>
          <w14:ligatures w14:val="standardContextual"/>
        </w:rPr>
        <w:t xml:space="preserve">في مجال التحول الرقمي، ودراسات </w:t>
      </w:r>
      <w:r w:rsidRPr="00074754">
        <w:rPr>
          <w:rFonts w:ascii="Times New Roman" w:eastAsia="Calibri" w:hAnsi="Times New Roman" w:cs="Traditional Arabic"/>
          <w:kern w:val="2"/>
          <w:sz w:val="28"/>
          <w:szCs w:val="28"/>
          <w14:ligatures w14:val="standardContextual"/>
        </w:rPr>
        <w:t xml:space="preserve">Xu &amp; </w:t>
      </w:r>
      <w:proofErr w:type="spellStart"/>
      <w:r w:rsidRPr="00074754">
        <w:rPr>
          <w:rFonts w:ascii="Times New Roman" w:eastAsia="Calibri" w:hAnsi="Times New Roman" w:cs="Traditional Arabic"/>
          <w:kern w:val="2"/>
          <w:sz w:val="28"/>
          <w:szCs w:val="28"/>
          <w14:ligatures w14:val="standardContextual"/>
        </w:rPr>
        <w:t>Mustafaraj</w:t>
      </w:r>
      <w:proofErr w:type="spellEnd"/>
      <w:r w:rsidRPr="00074754">
        <w:rPr>
          <w:rFonts w:ascii="Times New Roman" w:eastAsia="Calibri" w:hAnsi="Times New Roman" w:cs="Traditional Arabic"/>
          <w:kern w:val="2"/>
          <w:sz w:val="28"/>
          <w:szCs w:val="28"/>
          <w14:ligatures w14:val="standardContextual"/>
        </w:rPr>
        <w:t xml:space="preserve"> (2024) </w:t>
      </w:r>
      <w:r w:rsidRPr="00074754">
        <w:rPr>
          <w:rFonts w:ascii="Times New Roman" w:eastAsia="Calibri" w:hAnsi="Times New Roman" w:cs="Traditional Arabic"/>
          <w:kern w:val="2"/>
          <w:sz w:val="28"/>
          <w:szCs w:val="28"/>
          <w:rtl/>
          <w14:ligatures w14:val="standardContextual"/>
        </w:rPr>
        <w:t>و</w:t>
      </w:r>
      <w:proofErr w:type="spellStart"/>
      <w:r w:rsidRPr="00074754">
        <w:rPr>
          <w:rFonts w:ascii="Times New Roman" w:eastAsia="Calibri" w:hAnsi="Times New Roman" w:cs="Traditional Arabic"/>
          <w:kern w:val="2"/>
          <w:sz w:val="28"/>
          <w:szCs w:val="28"/>
          <w14:ligatures w14:val="standardContextual"/>
        </w:rPr>
        <w:t>Tondolo</w:t>
      </w:r>
      <w:proofErr w:type="spellEnd"/>
      <w:r w:rsidRPr="00074754">
        <w:rPr>
          <w:rFonts w:ascii="Times New Roman" w:eastAsia="Calibri" w:hAnsi="Times New Roman" w:cs="Traditional Arabic"/>
          <w:kern w:val="2"/>
          <w:sz w:val="28"/>
          <w:szCs w:val="28"/>
          <w14:ligatures w14:val="standardContextual"/>
        </w:rPr>
        <w:t xml:space="preserve"> et al. (2023) </w:t>
      </w:r>
      <w:r w:rsidRPr="00074754">
        <w:rPr>
          <w:rFonts w:ascii="Times New Roman" w:eastAsia="Calibri" w:hAnsi="Times New Roman" w:cs="Traditional Arabic"/>
          <w:kern w:val="2"/>
          <w:sz w:val="28"/>
          <w:szCs w:val="28"/>
          <w:rtl/>
          <w14:ligatures w14:val="standardContextual"/>
        </w:rPr>
        <w:t xml:space="preserve">في مجال الشفافية المعلوماتية، ودراسات </w:t>
      </w:r>
      <w:proofErr w:type="spellStart"/>
      <w:r w:rsidRPr="00074754">
        <w:rPr>
          <w:rFonts w:ascii="Times New Roman" w:eastAsia="Calibri" w:hAnsi="Times New Roman" w:cs="Traditional Arabic"/>
          <w:kern w:val="2"/>
          <w:sz w:val="28"/>
          <w:szCs w:val="28"/>
          <w14:ligatures w14:val="standardContextual"/>
        </w:rPr>
        <w:t>Yulion</w:t>
      </w:r>
      <w:proofErr w:type="spellEnd"/>
      <w:r w:rsidRPr="00074754">
        <w:rPr>
          <w:rFonts w:ascii="Times New Roman" w:eastAsia="Calibri" w:hAnsi="Times New Roman" w:cs="Traditional Arabic"/>
          <w:kern w:val="2"/>
          <w:sz w:val="28"/>
          <w:szCs w:val="28"/>
          <w14:ligatures w14:val="standardContextual"/>
        </w:rPr>
        <w:t xml:space="preserve"> et al. (2024) </w:t>
      </w:r>
      <w:r w:rsidRPr="00074754">
        <w:rPr>
          <w:rFonts w:ascii="Times New Roman" w:eastAsia="Calibri" w:hAnsi="Times New Roman" w:cs="Traditional Arabic"/>
          <w:kern w:val="2"/>
          <w:sz w:val="28"/>
          <w:szCs w:val="28"/>
          <w:rtl/>
          <w14:ligatures w14:val="standardContextual"/>
        </w:rPr>
        <w:t>والنايف</w:t>
      </w:r>
      <w:r w:rsidRPr="00074754">
        <w:rPr>
          <w:rFonts w:ascii="Times New Roman" w:eastAsia="Calibri" w:hAnsi="Times New Roman" w:cs="Traditional Arabic"/>
          <w:kern w:val="2"/>
          <w:sz w:val="28"/>
          <w:szCs w:val="28"/>
          <w14:ligatures w14:val="standardContextual"/>
        </w:rPr>
        <w:t xml:space="preserve"> (2021) </w:t>
      </w:r>
      <w:r w:rsidRPr="00074754">
        <w:rPr>
          <w:rFonts w:ascii="Times New Roman" w:eastAsia="Calibri" w:hAnsi="Times New Roman" w:cs="Traditional Arabic"/>
          <w:kern w:val="2"/>
          <w:sz w:val="28"/>
          <w:szCs w:val="28"/>
          <w:rtl/>
          <w14:ligatures w14:val="standardContextual"/>
        </w:rPr>
        <w:t>في مجال فاعلية اتخاذ القرار الاستراتيجي</w:t>
      </w:r>
      <w:r w:rsidRPr="00074754">
        <w:rPr>
          <w:rFonts w:ascii="Times New Roman" w:eastAsia="Calibri" w:hAnsi="Times New Roman" w:cs="Traditional Arabic"/>
          <w:kern w:val="2"/>
          <w:sz w:val="28"/>
          <w:szCs w:val="28"/>
          <w14:ligatures w14:val="standardContextual"/>
        </w:rPr>
        <w:t>.</w:t>
      </w:r>
    </w:p>
    <w:p w14:paraId="4308085B" w14:textId="77777777" w:rsidR="00693D5F" w:rsidRPr="00074754" w:rsidRDefault="00693D5F" w:rsidP="00693D5F">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kern w:val="2"/>
          <w:sz w:val="28"/>
          <w:szCs w:val="28"/>
          <w:rtl/>
          <w14:ligatures w14:val="standardContextual"/>
        </w:rPr>
        <w:t>ستتكون الاستبانة من ثلاثة محاور رئيسة</w:t>
      </w:r>
      <w:r w:rsidRPr="00074754">
        <w:rPr>
          <w:rFonts w:ascii="Times New Roman" w:eastAsia="Calibri" w:hAnsi="Times New Roman" w:cs="Traditional Arabic"/>
          <w:kern w:val="2"/>
          <w:sz w:val="28"/>
          <w:szCs w:val="28"/>
          <w14:ligatures w14:val="standardContextual"/>
        </w:rPr>
        <w:t>:</w:t>
      </w:r>
    </w:p>
    <w:p w14:paraId="26356187" w14:textId="77777777" w:rsidR="00693D5F" w:rsidRPr="00074754" w:rsidRDefault="00693D5F" w:rsidP="00693D5F">
      <w:pPr>
        <w:numPr>
          <w:ilvl w:val="0"/>
          <w:numId w:val="23"/>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kern w:val="2"/>
          <w:sz w:val="28"/>
          <w:szCs w:val="28"/>
          <w:rtl/>
          <w14:ligatures w14:val="standardContextual"/>
        </w:rPr>
        <w:t>التحول الرقمي بأبعاده الأربعة: التحول الاستراتيجي، التحول الإداري، تحول العمليات، مركزية العملاء</w:t>
      </w:r>
      <w:r w:rsidRPr="00074754">
        <w:rPr>
          <w:rFonts w:ascii="Times New Roman" w:eastAsia="Calibri" w:hAnsi="Times New Roman" w:cs="Traditional Arabic"/>
          <w:kern w:val="2"/>
          <w:sz w:val="28"/>
          <w:szCs w:val="28"/>
          <w14:ligatures w14:val="standardContextual"/>
        </w:rPr>
        <w:t>.</w:t>
      </w:r>
    </w:p>
    <w:p w14:paraId="68EB430B" w14:textId="77777777" w:rsidR="00693D5F" w:rsidRPr="00074754" w:rsidRDefault="00693D5F" w:rsidP="00693D5F">
      <w:pPr>
        <w:numPr>
          <w:ilvl w:val="0"/>
          <w:numId w:val="23"/>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kern w:val="2"/>
          <w:sz w:val="28"/>
          <w:szCs w:val="28"/>
          <w:rtl/>
          <w14:ligatures w14:val="standardContextual"/>
        </w:rPr>
        <w:t>الشفافية المعلوماتية بأبعادها الثلاثة: شفافية الأنظمة واللوائح، شفافية الإجراءات، شفافية الاتصال والمعلومات</w:t>
      </w:r>
      <w:r w:rsidRPr="00074754">
        <w:rPr>
          <w:rFonts w:ascii="Times New Roman" w:eastAsia="Calibri" w:hAnsi="Times New Roman" w:cs="Traditional Arabic"/>
          <w:kern w:val="2"/>
          <w:sz w:val="28"/>
          <w:szCs w:val="28"/>
          <w14:ligatures w14:val="standardContextual"/>
        </w:rPr>
        <w:t>.</w:t>
      </w:r>
    </w:p>
    <w:p w14:paraId="2477F662" w14:textId="77777777" w:rsidR="00693D5F" w:rsidRPr="00074754" w:rsidRDefault="00693D5F" w:rsidP="00693D5F">
      <w:pPr>
        <w:numPr>
          <w:ilvl w:val="0"/>
          <w:numId w:val="23"/>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kern w:val="2"/>
          <w:sz w:val="28"/>
          <w:szCs w:val="28"/>
          <w:rtl/>
          <w14:ligatures w14:val="standardContextual"/>
        </w:rPr>
        <w:t>فاعلية اتخاذ القرار الاستراتيجي بأبعادها الثلاثة: الوعي الاستراتيجي، القدرة على التكيف، التفاعل مع البيانات والمعلومات</w:t>
      </w:r>
      <w:r w:rsidRPr="00074754">
        <w:rPr>
          <w:rFonts w:ascii="Times New Roman" w:eastAsia="Calibri" w:hAnsi="Times New Roman" w:cs="Traditional Arabic"/>
          <w:kern w:val="2"/>
          <w:sz w:val="28"/>
          <w:szCs w:val="28"/>
          <w14:ligatures w14:val="standardContextual"/>
        </w:rPr>
        <w:t>.</w:t>
      </w:r>
    </w:p>
    <w:p w14:paraId="2933CAF8" w14:textId="77777777" w:rsidR="00693D5F" w:rsidRPr="00074754" w:rsidRDefault="00693D5F" w:rsidP="00693D5F">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kern w:val="2"/>
          <w:sz w:val="28"/>
          <w:szCs w:val="28"/>
          <w:rtl/>
          <w14:ligatures w14:val="standardContextual"/>
        </w:rPr>
        <w:lastRenderedPageBreak/>
        <w:t xml:space="preserve">وسيتم تصميم فقرات الاستبانة باستخدام مقياس </w:t>
      </w:r>
      <w:proofErr w:type="spellStart"/>
      <w:r w:rsidRPr="00074754">
        <w:rPr>
          <w:rFonts w:ascii="Times New Roman" w:eastAsia="Calibri" w:hAnsi="Times New Roman" w:cs="Traditional Arabic"/>
          <w:kern w:val="2"/>
          <w:sz w:val="28"/>
          <w:szCs w:val="28"/>
          <w:rtl/>
          <w14:ligatures w14:val="standardContextual"/>
        </w:rPr>
        <w:t>ليكرت</w:t>
      </w:r>
      <w:proofErr w:type="spellEnd"/>
      <w:r w:rsidRPr="00074754">
        <w:rPr>
          <w:rFonts w:ascii="Times New Roman" w:eastAsia="Calibri" w:hAnsi="Times New Roman" w:cs="Traditional Arabic"/>
          <w:kern w:val="2"/>
          <w:sz w:val="28"/>
          <w:szCs w:val="28"/>
          <w:rtl/>
          <w14:ligatures w14:val="standardContextual"/>
        </w:rPr>
        <w:t xml:space="preserve"> الخماسي (من 1 = أعارض بشدة إلى 5 = أوافق بشدة) لقياس درجة اتفاق المبحوثين مع كل فقرة</w:t>
      </w:r>
      <w:r w:rsidRPr="00074754">
        <w:rPr>
          <w:rFonts w:ascii="Times New Roman" w:eastAsia="Calibri" w:hAnsi="Times New Roman" w:cs="Traditional Arabic"/>
          <w:kern w:val="2"/>
          <w:sz w:val="28"/>
          <w:szCs w:val="28"/>
          <w14:ligatures w14:val="standardContextual"/>
        </w:rPr>
        <w:t>.</w:t>
      </w:r>
    </w:p>
    <w:p w14:paraId="7F13AD77" w14:textId="7F754F71" w:rsidR="00693D5F" w:rsidRPr="00140115" w:rsidRDefault="00693D5F" w:rsidP="00140115">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hint="cs"/>
          <w:kern w:val="2"/>
          <w:sz w:val="28"/>
          <w:szCs w:val="28"/>
          <w:rtl/>
          <w14:ligatures w14:val="standardContextual"/>
        </w:rPr>
        <w:t>و</w:t>
      </w:r>
      <w:r w:rsidRPr="00074754">
        <w:rPr>
          <w:rFonts w:ascii="Times New Roman" w:eastAsia="Calibri" w:hAnsi="Times New Roman" w:cs="Traditional Arabic"/>
          <w:kern w:val="2"/>
          <w:sz w:val="28"/>
          <w:szCs w:val="28"/>
          <w:rtl/>
          <w14:ligatures w14:val="standardContextual"/>
        </w:rPr>
        <w:t>سيتم عرض الاستبانة على مجموعة من المحكمين الأكاديميين والخبراء المتخصصين في الإدارة العامة والتحول الرقمي والشفافية المعلوماتية؛ للتأكد من وضوح الفقرات، وسلامة صياغتها، وملاءمتها لأهداف الدراسة</w:t>
      </w:r>
      <w:r w:rsidRPr="00074754">
        <w:rPr>
          <w:rFonts w:ascii="Times New Roman" w:eastAsia="Calibri" w:hAnsi="Times New Roman" w:cs="Traditional Arabic" w:hint="cs"/>
          <w:kern w:val="2"/>
          <w:sz w:val="28"/>
          <w:szCs w:val="28"/>
          <w:rtl/>
          <w14:ligatures w14:val="standardContextual"/>
        </w:rPr>
        <w:t>،</w:t>
      </w:r>
      <w:r w:rsidRPr="00074754">
        <w:rPr>
          <w:rFonts w:ascii="Times New Roman" w:eastAsia="Calibri" w:hAnsi="Times New Roman" w:cs="Traditional Arabic"/>
          <w:kern w:val="2"/>
          <w:sz w:val="28"/>
          <w:szCs w:val="28"/>
          <w:rtl/>
          <w14:ligatures w14:val="standardContextual"/>
        </w:rPr>
        <w:t xml:space="preserve"> كما سيقوم الباحث بإجراء اختبار أولي</w:t>
      </w:r>
      <w:r w:rsidRPr="00074754">
        <w:rPr>
          <w:rFonts w:ascii="Times New Roman" w:eastAsia="Calibri" w:hAnsi="Times New Roman" w:cs="Traditional Arabic"/>
          <w:kern w:val="2"/>
          <w:sz w:val="28"/>
          <w:szCs w:val="28"/>
          <w14:ligatures w14:val="standardContextual"/>
        </w:rPr>
        <w:t xml:space="preserve"> (Pilot Test) </w:t>
      </w:r>
      <w:r w:rsidRPr="00074754">
        <w:rPr>
          <w:rFonts w:ascii="Times New Roman" w:eastAsia="Calibri" w:hAnsi="Times New Roman" w:cs="Traditional Arabic"/>
          <w:kern w:val="2"/>
          <w:sz w:val="28"/>
          <w:szCs w:val="28"/>
          <w:rtl/>
          <w14:ligatures w14:val="standardContextual"/>
        </w:rPr>
        <w:t xml:space="preserve">على عينة محدودة من المبحوثين (حوالي 30 مفردة) من نفس مجتمع الدراسة، بهدف تقييم صدق المحتوى من خلال آراء المحكمين، وقياس الثبات الداخلي باستخدام معامل ألفا </w:t>
      </w:r>
      <w:proofErr w:type="spellStart"/>
      <w:r w:rsidRPr="00074754">
        <w:rPr>
          <w:rFonts w:ascii="Times New Roman" w:eastAsia="Calibri" w:hAnsi="Times New Roman" w:cs="Traditional Arabic"/>
          <w:kern w:val="2"/>
          <w:sz w:val="28"/>
          <w:szCs w:val="28"/>
          <w:rtl/>
          <w14:ligatures w14:val="standardContextual"/>
        </w:rPr>
        <w:t>كرونباخ</w:t>
      </w:r>
      <w:proofErr w:type="spellEnd"/>
      <w:r w:rsidRPr="00074754">
        <w:rPr>
          <w:rFonts w:ascii="Times New Roman" w:eastAsia="Calibri" w:hAnsi="Times New Roman" w:cs="Traditional Arabic"/>
          <w:kern w:val="2"/>
          <w:sz w:val="28"/>
          <w:szCs w:val="28"/>
          <w14:ligatures w14:val="standardContextual"/>
        </w:rPr>
        <w:t xml:space="preserve"> (Cronbach’s Alpha) </w:t>
      </w:r>
      <w:r w:rsidRPr="00074754">
        <w:rPr>
          <w:rFonts w:ascii="Times New Roman" w:eastAsia="Calibri" w:hAnsi="Times New Roman" w:cs="Traditional Arabic"/>
          <w:kern w:val="2"/>
          <w:sz w:val="28"/>
          <w:szCs w:val="28"/>
          <w:rtl/>
          <w14:ligatures w14:val="standardContextual"/>
        </w:rPr>
        <w:t>للتأكد من اتساق الفقرات لكل محور</w:t>
      </w:r>
      <w:r w:rsidRPr="00074754">
        <w:rPr>
          <w:rFonts w:ascii="Times New Roman" w:eastAsia="Calibri" w:hAnsi="Times New Roman" w:cs="Traditional Arabic"/>
          <w:kern w:val="2"/>
          <w:sz w:val="28"/>
          <w:szCs w:val="28"/>
          <w14:ligatures w14:val="standardContextual"/>
        </w:rPr>
        <w:t>.</w:t>
      </w:r>
    </w:p>
    <w:p w14:paraId="7C352C79" w14:textId="7815D520" w:rsidR="00752353" w:rsidRPr="00752353" w:rsidRDefault="00B702FA" w:rsidP="00752353">
      <w:pPr>
        <w:bidi/>
        <w:spacing w:before="100" w:beforeAutospacing="1" w:after="100" w:afterAutospacing="1" w:line="360" w:lineRule="auto"/>
        <w:jc w:val="both"/>
        <w:rPr>
          <w:rFonts w:ascii="Times New Roman" w:hAnsi="Times New Roman" w:cs="Traditional Arabic"/>
          <w:b/>
          <w:bCs/>
          <w:color w:val="000000" w:themeColor="text1"/>
          <w:sz w:val="32"/>
          <w:szCs w:val="32"/>
          <w:rtl/>
        </w:rPr>
      </w:pPr>
      <w:r>
        <w:rPr>
          <w:rFonts w:ascii="Times New Roman" w:hAnsi="Times New Roman" w:cs="Traditional Arabic" w:hint="cs"/>
          <w:b/>
          <w:bCs/>
          <w:color w:val="000000" w:themeColor="text1"/>
          <w:sz w:val="32"/>
          <w:szCs w:val="32"/>
          <w:rtl/>
        </w:rPr>
        <w:t>1</w:t>
      </w:r>
      <w:r w:rsidR="00EF5312">
        <w:rPr>
          <w:rFonts w:ascii="Times New Roman" w:hAnsi="Times New Roman" w:cs="Traditional Arabic" w:hint="cs"/>
          <w:b/>
          <w:bCs/>
          <w:color w:val="000000" w:themeColor="text1"/>
          <w:sz w:val="32"/>
          <w:szCs w:val="32"/>
          <w:rtl/>
        </w:rPr>
        <w:t>1</w:t>
      </w:r>
      <w:r>
        <w:rPr>
          <w:rFonts w:ascii="Times New Roman" w:hAnsi="Times New Roman" w:cs="Traditional Arabic" w:hint="cs"/>
          <w:b/>
          <w:bCs/>
          <w:color w:val="000000" w:themeColor="text1"/>
          <w:sz w:val="32"/>
          <w:szCs w:val="32"/>
          <w:rtl/>
        </w:rPr>
        <w:t xml:space="preserve">,1 </w:t>
      </w:r>
      <w:r w:rsidR="00752353" w:rsidRPr="00752353">
        <w:rPr>
          <w:rFonts w:ascii="Times New Roman" w:hAnsi="Times New Roman" w:cs="Traditional Arabic" w:hint="cs"/>
          <w:b/>
          <w:bCs/>
          <w:color w:val="000000" w:themeColor="text1"/>
          <w:sz w:val="32"/>
          <w:szCs w:val="32"/>
          <w:rtl/>
        </w:rPr>
        <w:t xml:space="preserve">المعالجات </w:t>
      </w:r>
      <w:r w:rsidR="00140115" w:rsidRPr="00752353">
        <w:rPr>
          <w:rFonts w:ascii="Times New Roman" w:hAnsi="Times New Roman" w:cs="Traditional Arabic" w:hint="cs"/>
          <w:b/>
          <w:bCs/>
          <w:color w:val="000000" w:themeColor="text1"/>
          <w:sz w:val="32"/>
          <w:szCs w:val="32"/>
          <w:rtl/>
        </w:rPr>
        <w:t>الإحصائية المقترحة</w:t>
      </w:r>
      <w:r w:rsidR="00752353" w:rsidRPr="00752353">
        <w:rPr>
          <w:rFonts w:ascii="Times New Roman" w:hAnsi="Times New Roman" w:cs="Traditional Arabic"/>
          <w:b/>
          <w:bCs/>
          <w:color w:val="000000" w:themeColor="text1"/>
          <w:sz w:val="32"/>
          <w:szCs w:val="32"/>
          <w:rtl/>
        </w:rPr>
        <w:t>:</w:t>
      </w:r>
    </w:p>
    <w:p w14:paraId="1EF8079C" w14:textId="77777777" w:rsidR="00752353" w:rsidRPr="00752353" w:rsidRDefault="00752353" w:rsidP="00752353">
      <w:p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lang w:bidi="ar-EG"/>
          <w14:ligatures w14:val="standardContextual"/>
        </w:rPr>
      </w:pPr>
      <w:r w:rsidRPr="00752353">
        <w:rPr>
          <w:rFonts w:ascii="Times New Roman" w:eastAsia="Calibri" w:hAnsi="Times New Roman" w:cs="Traditional Arabic" w:hint="cs"/>
          <w:color w:val="000000" w:themeColor="text1"/>
          <w:kern w:val="2"/>
          <w:sz w:val="28"/>
          <w:szCs w:val="28"/>
          <w:rtl/>
          <w:lang w:bidi="ar-EG"/>
          <w14:ligatures w14:val="standardContextual"/>
        </w:rPr>
        <w:t xml:space="preserve">1  </w:t>
      </w:r>
      <w:r w:rsidRPr="00752353">
        <w:rPr>
          <w:rFonts w:ascii="Times New Roman" w:eastAsia="Calibri" w:hAnsi="Times New Roman" w:cs="Traditional Arabic" w:hint="cs"/>
          <w:b/>
          <w:bCs/>
          <w:color w:val="000000" w:themeColor="text1"/>
          <w:kern w:val="2"/>
          <w:sz w:val="28"/>
          <w:szCs w:val="28"/>
          <w:rtl/>
          <w:lang w:bidi="ar-EG"/>
          <w14:ligatures w14:val="standardContextual"/>
        </w:rPr>
        <w:t xml:space="preserve"> الأساليب الإحصائية المستخدمة</w:t>
      </w:r>
      <w:r w:rsidRPr="00752353">
        <w:rPr>
          <w:rFonts w:ascii="Times New Roman" w:eastAsia="Calibri" w:hAnsi="Times New Roman" w:cs="Traditional Arabic" w:hint="cs"/>
          <w:color w:val="000000" w:themeColor="text1"/>
          <w:kern w:val="2"/>
          <w:sz w:val="28"/>
          <w:szCs w:val="28"/>
          <w:rtl/>
          <w:lang w:bidi="ar-EG"/>
          <w14:ligatures w14:val="standardContextual"/>
        </w:rPr>
        <w:t xml:space="preserve"> </w:t>
      </w:r>
    </w:p>
    <w:p w14:paraId="2C48A3A5" w14:textId="77777777" w:rsidR="00752353" w:rsidRPr="00752353" w:rsidRDefault="00752353" w:rsidP="00752353">
      <w:p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lang w:bidi="ar-EG"/>
          <w14:ligatures w14:val="standardContextual"/>
        </w:rPr>
      </w:pPr>
      <w:r w:rsidRPr="00752353">
        <w:rPr>
          <w:rFonts w:ascii="Times New Roman" w:eastAsia="Calibri" w:hAnsi="Times New Roman" w:cs="Traditional Arabic" w:hint="cs"/>
          <w:color w:val="000000" w:themeColor="text1"/>
          <w:kern w:val="2"/>
          <w:sz w:val="28"/>
          <w:szCs w:val="28"/>
          <w:rtl/>
          <w:lang w:bidi="ar-EG"/>
          <w14:ligatures w14:val="standardContextual"/>
        </w:rPr>
        <w:t>سوف يستخدم الباحث لتحليل بيانات الدراسة برنامج التحليل الإحصائي للعلوم الاجتماعية (</w:t>
      </w:r>
      <w:r w:rsidRPr="00752353">
        <w:rPr>
          <w:rFonts w:ascii="Times New Roman" w:eastAsia="Calibri" w:hAnsi="Times New Roman" w:cs="Traditional Arabic" w:hint="cs"/>
          <w:color w:val="000000" w:themeColor="text1"/>
          <w:kern w:val="2"/>
          <w:sz w:val="28"/>
          <w:szCs w:val="28"/>
          <w14:ligatures w14:val="standardContextual"/>
        </w:rPr>
        <w:t>SPSS</w:t>
      </w:r>
      <w:r w:rsidRPr="00752353">
        <w:rPr>
          <w:rFonts w:ascii="Times New Roman" w:eastAsia="Calibri" w:hAnsi="Times New Roman" w:cs="Traditional Arabic" w:hint="cs"/>
          <w:color w:val="000000" w:themeColor="text1"/>
          <w:kern w:val="2"/>
          <w:sz w:val="28"/>
          <w:szCs w:val="28"/>
          <w:rtl/>
          <w:lang w:bidi="ar-EG"/>
          <w14:ligatures w14:val="standardContextual"/>
        </w:rPr>
        <w:t xml:space="preserve"> وذلك للإجابة على أسئلة الدراسة واختبار فرضياتها على النحو التالي:</w:t>
      </w:r>
    </w:p>
    <w:p w14:paraId="79BABEB7" w14:textId="77777777" w:rsidR="00752353" w:rsidRPr="00752353" w:rsidRDefault="00752353" w:rsidP="00752353">
      <w:pPr>
        <w:numPr>
          <w:ilvl w:val="0"/>
          <w:numId w:val="11"/>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14:ligatures w14:val="standardContextual"/>
        </w:rPr>
      </w:pPr>
      <w:r w:rsidRPr="00752353">
        <w:rPr>
          <w:rFonts w:ascii="Times New Roman" w:eastAsia="Calibri" w:hAnsi="Times New Roman" w:cs="Traditional Arabic"/>
          <w:color w:val="000000" w:themeColor="text1"/>
          <w:kern w:val="2"/>
          <w:sz w:val="28"/>
          <w:szCs w:val="28"/>
          <w:rtl/>
          <w:lang w:bidi="ar-EG"/>
          <w14:ligatures w14:val="standardContextual"/>
        </w:rPr>
        <w:t>أساليب الإحصاء الوصفي</w:t>
      </w:r>
      <w:r w:rsidRPr="00752353">
        <w:rPr>
          <w:rFonts w:ascii="Times New Roman" w:eastAsia="Calibri" w:hAnsi="Times New Roman" w:cs="Traditional Arabic"/>
          <w:color w:val="000000" w:themeColor="text1"/>
          <w:kern w:val="2"/>
          <w:sz w:val="28"/>
          <w:szCs w:val="28"/>
          <w14:ligatures w14:val="standardContextual"/>
        </w:rPr>
        <w:t xml:space="preserve"> Descriptive Statistic Measures: </w:t>
      </w:r>
      <w:r w:rsidRPr="00752353">
        <w:rPr>
          <w:rFonts w:ascii="Times New Roman" w:eastAsia="Calibri" w:hAnsi="Times New Roman" w:cs="Traditional Arabic"/>
          <w:color w:val="000000" w:themeColor="text1"/>
          <w:kern w:val="2"/>
          <w:sz w:val="28"/>
          <w:szCs w:val="28"/>
          <w:rtl/>
          <w:lang w:bidi="ar-EG"/>
          <w14:ligatures w14:val="standardContextual"/>
        </w:rPr>
        <w:t>والتي تم استخدامها لوصف الخصائص الديمغرافية والوظيفية للمديرين عينة الدراسة، وتشمل</w:t>
      </w:r>
      <w:r w:rsidRPr="00752353">
        <w:rPr>
          <w:rFonts w:ascii="Times New Roman" w:eastAsia="Calibri" w:hAnsi="Times New Roman" w:cs="Traditional Arabic"/>
          <w:color w:val="000000" w:themeColor="text1"/>
          <w:kern w:val="2"/>
          <w:sz w:val="28"/>
          <w:szCs w:val="28"/>
          <w14:ligatures w14:val="standardContextual"/>
        </w:rPr>
        <w:t>:</w:t>
      </w:r>
      <w:r w:rsidRPr="00752353">
        <w:rPr>
          <w:rFonts w:ascii="Times New Roman" w:eastAsia="Calibri" w:hAnsi="Times New Roman" w:cs="Traditional Arabic" w:hint="cs"/>
          <w:color w:val="000000" w:themeColor="text1"/>
          <w:kern w:val="2"/>
          <w:sz w:val="28"/>
          <w:szCs w:val="28"/>
          <w:rtl/>
          <w:lang w:bidi="ar-EG"/>
          <w14:ligatures w14:val="standardContextual"/>
        </w:rPr>
        <w:t xml:space="preserve"> </w:t>
      </w:r>
      <w:r w:rsidRPr="00752353">
        <w:rPr>
          <w:rFonts w:ascii="Times New Roman" w:eastAsia="Calibri" w:hAnsi="Times New Roman" w:cs="Traditional Arabic"/>
          <w:color w:val="000000" w:themeColor="text1"/>
          <w:kern w:val="2"/>
          <w:sz w:val="28"/>
          <w:szCs w:val="28"/>
          <w:rtl/>
          <w:lang w:bidi="ar-EG"/>
          <w14:ligatures w14:val="standardContextual"/>
        </w:rPr>
        <w:t>التكرارات: لوصف الخصائص الشخصية والوظيفية للمديرين عينة الدراسة</w:t>
      </w:r>
    </w:p>
    <w:p w14:paraId="0C336127" w14:textId="77777777" w:rsidR="00752353" w:rsidRPr="00752353" w:rsidRDefault="00752353" w:rsidP="00752353">
      <w:pPr>
        <w:numPr>
          <w:ilvl w:val="0"/>
          <w:numId w:val="11"/>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lang w:bidi="ar-EG"/>
          <w14:ligatures w14:val="standardContextual"/>
        </w:rPr>
      </w:pPr>
      <w:r w:rsidRPr="00752353">
        <w:rPr>
          <w:rFonts w:ascii="Times New Roman" w:eastAsia="Calibri" w:hAnsi="Times New Roman" w:cs="Traditional Arabic"/>
          <w:color w:val="000000" w:themeColor="text1"/>
          <w:kern w:val="2"/>
          <w:sz w:val="28"/>
          <w:szCs w:val="28"/>
          <w:rtl/>
          <w:lang w:bidi="ar-EG"/>
          <w14:ligatures w14:val="standardContextual"/>
        </w:rPr>
        <w:t>النسب المئوية: تم استخدامها لمعرفة التوزيعات التكرارية لعينة الدراسة</w:t>
      </w:r>
      <w:r w:rsidRPr="00752353">
        <w:rPr>
          <w:rFonts w:ascii="Times New Roman" w:eastAsia="Calibri" w:hAnsi="Times New Roman" w:cs="Traditional Arabic"/>
          <w:color w:val="000000" w:themeColor="text1"/>
          <w:kern w:val="2"/>
          <w:sz w:val="28"/>
          <w:szCs w:val="28"/>
          <w14:ligatures w14:val="standardContextual"/>
        </w:rPr>
        <w:t>.</w:t>
      </w:r>
    </w:p>
    <w:p w14:paraId="2A22D396" w14:textId="77777777" w:rsidR="00752353" w:rsidRPr="00752353" w:rsidRDefault="00752353" w:rsidP="00752353">
      <w:pPr>
        <w:numPr>
          <w:ilvl w:val="0"/>
          <w:numId w:val="11"/>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lang w:bidi="ar-EG"/>
          <w14:ligatures w14:val="standardContextual"/>
        </w:rPr>
      </w:pPr>
      <w:r w:rsidRPr="00752353">
        <w:rPr>
          <w:rFonts w:ascii="Times New Roman" w:eastAsia="Calibri" w:hAnsi="Times New Roman" w:cs="Traditional Arabic"/>
          <w:color w:val="000000" w:themeColor="text1"/>
          <w:kern w:val="2"/>
          <w:sz w:val="28"/>
          <w:szCs w:val="28"/>
          <w:rtl/>
          <w:lang w:bidi="ar-EG"/>
          <w14:ligatures w14:val="standardContextual"/>
        </w:rPr>
        <w:t>المتوسط الحسابي: استخدم لمعرفة متوسط إجابات عينة الدراسة عن فقرات الأبعاد</w:t>
      </w:r>
      <w:r w:rsidRPr="00752353">
        <w:rPr>
          <w:rFonts w:ascii="Times New Roman" w:eastAsia="Calibri" w:hAnsi="Times New Roman" w:cs="Traditional Arabic"/>
          <w:color w:val="000000" w:themeColor="text1"/>
          <w:kern w:val="2"/>
          <w:sz w:val="28"/>
          <w:szCs w:val="28"/>
          <w14:ligatures w14:val="standardContextual"/>
        </w:rPr>
        <w:t>.</w:t>
      </w:r>
    </w:p>
    <w:p w14:paraId="151BE0BC" w14:textId="77777777" w:rsidR="00752353" w:rsidRPr="00752353" w:rsidRDefault="00752353" w:rsidP="00752353">
      <w:pPr>
        <w:numPr>
          <w:ilvl w:val="0"/>
          <w:numId w:val="11"/>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14:ligatures w14:val="standardContextual"/>
        </w:rPr>
      </w:pPr>
      <w:r w:rsidRPr="00752353">
        <w:rPr>
          <w:rFonts w:ascii="Times New Roman" w:eastAsia="Calibri" w:hAnsi="Times New Roman" w:cs="Traditional Arabic"/>
          <w:color w:val="000000" w:themeColor="text1"/>
          <w:kern w:val="2"/>
          <w:sz w:val="28"/>
          <w:szCs w:val="28"/>
          <w:rtl/>
          <w:lang w:bidi="ar-EG"/>
          <w14:ligatures w14:val="standardContextual"/>
        </w:rPr>
        <w:t>الانحراف المعياري: استخدم لمعرفة تشتت إجابات عينة الدراسة عن المتوسط الحسابي.</w:t>
      </w:r>
    </w:p>
    <w:p w14:paraId="69894B76" w14:textId="77777777" w:rsidR="00752353" w:rsidRPr="00752353" w:rsidRDefault="00752353" w:rsidP="00752353">
      <w:pPr>
        <w:numPr>
          <w:ilvl w:val="0"/>
          <w:numId w:val="11"/>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14:ligatures w14:val="standardContextual"/>
        </w:rPr>
      </w:pPr>
      <w:r w:rsidRPr="00752353">
        <w:rPr>
          <w:rFonts w:ascii="Times New Roman" w:eastAsia="Calibri" w:hAnsi="Times New Roman" w:cs="Traditional Arabic"/>
          <w:color w:val="000000" w:themeColor="text1"/>
          <w:kern w:val="2"/>
          <w:sz w:val="28"/>
          <w:szCs w:val="28"/>
          <w:rtl/>
          <w:lang w:bidi="ar-EG"/>
          <w14:ligatures w14:val="standardContextual"/>
        </w:rPr>
        <w:t>الوسط الحسابي والانحراف المعياري لوصف مستوي استجابة افراد عينة الدراسة لعبارات أداة الدراسة</w:t>
      </w:r>
      <w:r w:rsidRPr="00752353">
        <w:rPr>
          <w:rFonts w:ascii="Times New Roman" w:eastAsia="Calibri" w:hAnsi="Times New Roman" w:cs="Traditional Arabic" w:hint="cs"/>
          <w:color w:val="000000" w:themeColor="text1"/>
          <w:kern w:val="2"/>
          <w:sz w:val="28"/>
          <w:szCs w:val="28"/>
          <w:rtl/>
          <w:lang w:bidi="ar-EG"/>
          <w14:ligatures w14:val="standardContextual"/>
        </w:rPr>
        <w:t>.</w:t>
      </w:r>
    </w:p>
    <w:p w14:paraId="5320CC6D" w14:textId="77777777" w:rsidR="00752353" w:rsidRPr="00752353" w:rsidRDefault="00752353" w:rsidP="00752353">
      <w:p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lang w:bidi="ar-EG"/>
          <w14:ligatures w14:val="standardContextual"/>
        </w:rPr>
      </w:pPr>
      <w:r w:rsidRPr="00752353">
        <w:rPr>
          <w:rFonts w:ascii="Times New Roman" w:eastAsia="Calibri" w:hAnsi="Times New Roman" w:cs="Traditional Arabic"/>
          <w:color w:val="000000" w:themeColor="text1"/>
          <w:kern w:val="2"/>
          <w:sz w:val="28"/>
          <w:szCs w:val="28"/>
          <w:rtl/>
          <w:lang w:bidi="ar-EG"/>
          <w14:ligatures w14:val="standardContextual"/>
        </w:rPr>
        <w:t>ثانيا: الإحصاء التحليلي</w:t>
      </w:r>
      <w:r w:rsidRPr="00752353">
        <w:rPr>
          <w:rFonts w:ascii="Times New Roman" w:eastAsia="Calibri" w:hAnsi="Times New Roman" w:cs="Traditional Arabic"/>
          <w:color w:val="000000" w:themeColor="text1"/>
          <w:kern w:val="2"/>
          <w:sz w:val="28"/>
          <w:szCs w:val="28"/>
          <w14:ligatures w14:val="standardContextual"/>
        </w:rPr>
        <w:t>:</w:t>
      </w:r>
    </w:p>
    <w:p w14:paraId="2C4F5448" w14:textId="77777777" w:rsidR="00752353" w:rsidRPr="00752353" w:rsidRDefault="00752353" w:rsidP="00752353">
      <w:pPr>
        <w:numPr>
          <w:ilvl w:val="0"/>
          <w:numId w:val="13"/>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14:ligatures w14:val="standardContextual"/>
        </w:rPr>
      </w:pPr>
      <w:r w:rsidRPr="00752353">
        <w:rPr>
          <w:rFonts w:ascii="Times New Roman" w:eastAsia="Calibri" w:hAnsi="Times New Roman" w:cs="Traditional Arabic" w:hint="cs"/>
          <w:color w:val="000000" w:themeColor="text1"/>
          <w:kern w:val="2"/>
          <w:sz w:val="28"/>
          <w:szCs w:val="28"/>
          <w:rtl/>
          <w:lang w:bidi="ar-EG"/>
          <w14:ligatures w14:val="standardContextual"/>
        </w:rPr>
        <w:lastRenderedPageBreak/>
        <w:t xml:space="preserve">معامل الاتساق الداخلي </w:t>
      </w:r>
      <w:proofErr w:type="spellStart"/>
      <w:r w:rsidRPr="00752353">
        <w:rPr>
          <w:rFonts w:ascii="Times New Roman" w:eastAsia="Calibri" w:hAnsi="Times New Roman" w:cs="Traditional Arabic" w:hint="cs"/>
          <w:color w:val="000000" w:themeColor="text1"/>
          <w:kern w:val="2"/>
          <w:sz w:val="28"/>
          <w:szCs w:val="28"/>
          <w:rtl/>
          <w:lang w:bidi="ar-EG"/>
          <w14:ligatures w14:val="standardContextual"/>
        </w:rPr>
        <w:t>رونباخ</w:t>
      </w:r>
      <w:proofErr w:type="spellEnd"/>
      <w:r w:rsidRPr="00752353">
        <w:rPr>
          <w:rFonts w:ascii="Times New Roman" w:eastAsia="Calibri" w:hAnsi="Times New Roman" w:cs="Traditional Arabic" w:hint="cs"/>
          <w:color w:val="000000" w:themeColor="text1"/>
          <w:kern w:val="2"/>
          <w:sz w:val="28"/>
          <w:szCs w:val="28"/>
          <w:rtl/>
          <w:lang w:bidi="ar-EG"/>
          <w14:ligatures w14:val="standardContextual"/>
        </w:rPr>
        <w:t xml:space="preserve"> ألفا </w:t>
      </w:r>
      <w:r w:rsidRPr="00752353">
        <w:rPr>
          <w:rFonts w:ascii="Times New Roman" w:eastAsia="Calibri" w:hAnsi="Times New Roman" w:cs="Traditional Arabic" w:hint="cs"/>
          <w:color w:val="000000" w:themeColor="text1"/>
          <w:kern w:val="2"/>
          <w:sz w:val="28"/>
          <w:szCs w:val="28"/>
          <w14:ligatures w14:val="standardContextual"/>
        </w:rPr>
        <w:t>Cronbach's Alpha</w:t>
      </w:r>
      <w:r w:rsidRPr="00752353">
        <w:rPr>
          <w:rFonts w:ascii="Times New Roman" w:eastAsia="Calibri" w:hAnsi="Times New Roman" w:cs="Traditional Arabic" w:hint="cs"/>
          <w:color w:val="000000" w:themeColor="text1"/>
          <w:kern w:val="2"/>
          <w:sz w:val="28"/>
          <w:szCs w:val="28"/>
          <w:rtl/>
          <w:lang w:bidi="ar-EG"/>
          <w14:ligatures w14:val="standardContextual"/>
        </w:rPr>
        <w:t>)</w:t>
      </w:r>
      <w:r w:rsidRPr="00752353">
        <w:rPr>
          <w:rFonts w:ascii="Times New Roman" w:eastAsia="Calibri" w:hAnsi="Times New Roman" w:cs="Traditional Arabic"/>
          <w:color w:val="000000" w:themeColor="text1"/>
          <w:kern w:val="2"/>
          <w:sz w:val="28"/>
          <w:szCs w:val="28"/>
          <w:rtl/>
          <w14:ligatures w14:val="standardContextual"/>
        </w:rPr>
        <w:t xml:space="preserve"> </w:t>
      </w:r>
      <w:r w:rsidRPr="00752353">
        <w:rPr>
          <w:rFonts w:ascii="Times New Roman" w:eastAsia="Calibri" w:hAnsi="Times New Roman" w:cs="Traditional Arabic"/>
          <w:color w:val="000000" w:themeColor="text1"/>
          <w:kern w:val="2"/>
          <w:sz w:val="28"/>
          <w:szCs w:val="28"/>
          <w:rtl/>
          <w:lang w:bidi="ar-EG"/>
          <w14:ligatures w14:val="standardContextual"/>
        </w:rPr>
        <w:t>لحساب مستوي ثبات أداة الدراسة</w:t>
      </w:r>
      <w:r w:rsidRPr="00752353">
        <w:rPr>
          <w:rFonts w:ascii="Times New Roman" w:eastAsia="Calibri" w:hAnsi="Times New Roman" w:cs="Traditional Arabic" w:hint="cs"/>
          <w:color w:val="000000" w:themeColor="text1"/>
          <w:kern w:val="2"/>
          <w:sz w:val="28"/>
          <w:szCs w:val="28"/>
          <w:rtl/>
          <w:lang w:bidi="ar-EG"/>
          <w14:ligatures w14:val="standardContextual"/>
        </w:rPr>
        <w:t>.</w:t>
      </w:r>
    </w:p>
    <w:p w14:paraId="7A610A18" w14:textId="77777777" w:rsidR="00752353" w:rsidRPr="00752353" w:rsidRDefault="00752353" w:rsidP="00752353">
      <w:pPr>
        <w:numPr>
          <w:ilvl w:val="0"/>
          <w:numId w:val="13"/>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lang w:bidi="ar-EG"/>
          <w14:ligatures w14:val="standardContextual"/>
        </w:rPr>
      </w:pPr>
      <w:r w:rsidRPr="00752353">
        <w:rPr>
          <w:rFonts w:ascii="Times New Roman" w:eastAsia="Calibri" w:hAnsi="Times New Roman" w:cs="Traditional Arabic"/>
          <w:color w:val="000000" w:themeColor="text1"/>
          <w:kern w:val="2"/>
          <w:sz w:val="28"/>
          <w:szCs w:val="28"/>
          <w:rtl/>
          <w:lang w:bidi="ar-EG"/>
          <w14:ligatures w14:val="standardContextual"/>
        </w:rPr>
        <w:t>معامل ارتباط بيرسون لتحديد مستوي الاتساق الداخلي وصدق أداة الدراسة وللتعرف على العلاقة بين متغيرات الدراسة</w:t>
      </w:r>
    </w:p>
    <w:p w14:paraId="77CD46E8" w14:textId="77777777" w:rsidR="00752353" w:rsidRDefault="00752353" w:rsidP="00752353">
      <w:pPr>
        <w:numPr>
          <w:ilvl w:val="0"/>
          <w:numId w:val="13"/>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14:ligatures w14:val="standardContextual"/>
        </w:rPr>
      </w:pPr>
      <w:r w:rsidRPr="00752353">
        <w:rPr>
          <w:rFonts w:ascii="Times New Roman" w:eastAsia="Calibri" w:hAnsi="Times New Roman" w:cs="Traditional Arabic" w:hint="cs"/>
          <w:color w:val="000000" w:themeColor="text1"/>
          <w:kern w:val="2"/>
          <w:sz w:val="28"/>
          <w:szCs w:val="28"/>
          <w:rtl/>
          <w:lang w:bidi="ar-EG"/>
          <w14:ligatures w14:val="standardContextual"/>
        </w:rPr>
        <w:t xml:space="preserve">تحليل </w:t>
      </w:r>
      <w:r w:rsidRPr="00752353">
        <w:rPr>
          <w:rFonts w:ascii="Times New Roman" w:eastAsia="Calibri" w:hAnsi="Times New Roman" w:cs="Traditional Arabic"/>
          <w:color w:val="000000" w:themeColor="text1"/>
          <w:kern w:val="2"/>
          <w:sz w:val="28"/>
          <w:szCs w:val="28"/>
          <w:rtl/>
          <w:lang w:bidi="ar-EG"/>
          <w14:ligatures w14:val="standardContextual"/>
        </w:rPr>
        <w:t>النمذجة بالمعادلات الهيكلية (</w:t>
      </w:r>
      <w:r w:rsidRPr="00752353">
        <w:rPr>
          <w:rFonts w:ascii="Times New Roman" w:eastAsia="Calibri" w:hAnsi="Times New Roman" w:cs="Traditional Arabic"/>
          <w:color w:val="000000" w:themeColor="text1"/>
          <w:kern w:val="2"/>
          <w:sz w:val="28"/>
          <w:szCs w:val="28"/>
          <w14:ligatures w14:val="standardContextual"/>
        </w:rPr>
        <w:t>Structural Equation Modeling - SEM</w:t>
      </w:r>
      <w:r w:rsidRPr="00752353">
        <w:rPr>
          <w:rFonts w:ascii="Times New Roman" w:eastAsia="Calibri" w:hAnsi="Times New Roman" w:cs="Traditional Arabic"/>
          <w:color w:val="000000" w:themeColor="text1"/>
          <w:kern w:val="2"/>
          <w:sz w:val="28"/>
          <w:szCs w:val="28"/>
          <w:rtl/>
          <w:lang w:bidi="ar-EG"/>
          <w14:ligatures w14:val="standardContextual"/>
        </w:rPr>
        <w:t>): لتقييم العلاقات المعقدة بين المتغيرات، بما في ذلك المتغيرات المستقلة والتابعة والوسيطة.</w:t>
      </w:r>
    </w:p>
    <w:p w14:paraId="6AC6F6B9" w14:textId="77777777" w:rsidR="00693D5F" w:rsidRDefault="00693D5F" w:rsidP="00693D5F">
      <w:pPr>
        <w:bidi/>
        <w:spacing w:before="100" w:beforeAutospacing="1" w:after="100" w:afterAutospacing="1" w:line="360" w:lineRule="auto"/>
        <w:ind w:left="1494"/>
        <w:jc w:val="both"/>
        <w:rPr>
          <w:rFonts w:ascii="Times New Roman" w:eastAsia="Calibri" w:hAnsi="Times New Roman" w:cs="Traditional Arabic"/>
          <w:color w:val="000000" w:themeColor="text1"/>
          <w:kern w:val="2"/>
          <w:sz w:val="28"/>
          <w:szCs w:val="28"/>
          <w14:ligatures w14:val="standardContextual"/>
        </w:rPr>
      </w:pPr>
    </w:p>
    <w:p w14:paraId="79222F58" w14:textId="646D3251" w:rsidR="00752353" w:rsidRPr="00752353" w:rsidRDefault="00B702FA" w:rsidP="00752353">
      <w:pPr>
        <w:bidi/>
        <w:spacing w:before="100" w:beforeAutospacing="1" w:after="100" w:afterAutospacing="1" w:line="360" w:lineRule="auto"/>
        <w:jc w:val="both"/>
        <w:rPr>
          <w:rFonts w:ascii="Times New Roman" w:hAnsi="Times New Roman" w:cs="Traditional Arabic"/>
          <w:b/>
          <w:bCs/>
          <w:color w:val="000000" w:themeColor="text1"/>
          <w:sz w:val="32"/>
          <w:szCs w:val="32"/>
          <w:rtl/>
        </w:rPr>
      </w:pPr>
      <w:r>
        <w:rPr>
          <w:rFonts w:ascii="Times New Roman" w:hAnsi="Times New Roman" w:cs="Traditional Arabic" w:hint="cs"/>
          <w:b/>
          <w:bCs/>
          <w:color w:val="000000" w:themeColor="text1"/>
          <w:sz w:val="32"/>
          <w:szCs w:val="32"/>
          <w:rtl/>
        </w:rPr>
        <w:t>1</w:t>
      </w:r>
      <w:r w:rsidR="00EF5312">
        <w:rPr>
          <w:rFonts w:ascii="Times New Roman" w:hAnsi="Times New Roman" w:cs="Traditional Arabic" w:hint="cs"/>
          <w:b/>
          <w:bCs/>
          <w:color w:val="000000" w:themeColor="text1"/>
          <w:sz w:val="32"/>
          <w:szCs w:val="32"/>
          <w:rtl/>
        </w:rPr>
        <w:t>2</w:t>
      </w:r>
      <w:r>
        <w:rPr>
          <w:rFonts w:ascii="Times New Roman" w:hAnsi="Times New Roman" w:cs="Traditional Arabic" w:hint="cs"/>
          <w:b/>
          <w:bCs/>
          <w:color w:val="000000" w:themeColor="text1"/>
          <w:sz w:val="32"/>
          <w:szCs w:val="32"/>
          <w:rtl/>
        </w:rPr>
        <w:t xml:space="preserve">,1 </w:t>
      </w:r>
      <w:r w:rsidR="00752353" w:rsidRPr="00752353">
        <w:rPr>
          <w:rFonts w:ascii="Times New Roman" w:hAnsi="Times New Roman" w:cs="Traditional Arabic" w:hint="cs"/>
          <w:b/>
          <w:bCs/>
          <w:color w:val="000000" w:themeColor="text1"/>
          <w:sz w:val="32"/>
          <w:szCs w:val="32"/>
          <w:rtl/>
        </w:rPr>
        <w:t>حدود الدراسة</w:t>
      </w:r>
      <w:r w:rsidR="00752353" w:rsidRPr="00752353">
        <w:rPr>
          <w:rFonts w:ascii="Times New Roman" w:hAnsi="Times New Roman" w:cs="Traditional Arabic"/>
          <w:b/>
          <w:bCs/>
          <w:color w:val="000000" w:themeColor="text1"/>
          <w:sz w:val="32"/>
          <w:szCs w:val="32"/>
          <w:rtl/>
        </w:rPr>
        <w:t>:</w:t>
      </w:r>
      <w:r w:rsidR="00752353" w:rsidRPr="00752353">
        <w:rPr>
          <w:rFonts w:ascii="Times New Roman" w:hAnsi="Times New Roman" w:cs="Traditional Arabic" w:hint="cs"/>
          <w:b/>
          <w:bCs/>
          <w:color w:val="000000" w:themeColor="text1"/>
          <w:sz w:val="32"/>
          <w:szCs w:val="32"/>
          <w:rtl/>
        </w:rPr>
        <w:t xml:space="preserve"> (</w:t>
      </w:r>
      <w:r w:rsidR="0015003F" w:rsidRPr="00752353">
        <w:rPr>
          <w:rFonts w:ascii="Times New Roman" w:hAnsi="Times New Roman" w:cs="Traditional Arabic" w:hint="cs"/>
          <w:b/>
          <w:bCs/>
          <w:color w:val="000000" w:themeColor="text1"/>
          <w:sz w:val="32"/>
          <w:szCs w:val="32"/>
          <w:rtl/>
        </w:rPr>
        <w:t>المكانية،</w:t>
      </w:r>
      <w:r w:rsidR="00752353" w:rsidRPr="00752353">
        <w:rPr>
          <w:rFonts w:ascii="Times New Roman" w:hAnsi="Times New Roman" w:cs="Traditional Arabic" w:hint="cs"/>
          <w:b/>
          <w:bCs/>
          <w:color w:val="000000" w:themeColor="text1"/>
          <w:sz w:val="32"/>
          <w:szCs w:val="32"/>
          <w:rtl/>
        </w:rPr>
        <w:t xml:space="preserve"> </w:t>
      </w:r>
      <w:r w:rsidR="0015003F" w:rsidRPr="00752353">
        <w:rPr>
          <w:rFonts w:ascii="Times New Roman" w:hAnsi="Times New Roman" w:cs="Traditional Arabic" w:hint="cs"/>
          <w:b/>
          <w:bCs/>
          <w:color w:val="000000" w:themeColor="text1"/>
          <w:sz w:val="32"/>
          <w:szCs w:val="32"/>
          <w:rtl/>
        </w:rPr>
        <w:t>الزمانية،</w:t>
      </w:r>
      <w:r w:rsidR="00752353" w:rsidRPr="00752353">
        <w:rPr>
          <w:rFonts w:ascii="Times New Roman" w:hAnsi="Times New Roman" w:cs="Traditional Arabic" w:hint="cs"/>
          <w:b/>
          <w:bCs/>
          <w:color w:val="000000" w:themeColor="text1"/>
          <w:sz w:val="32"/>
          <w:szCs w:val="32"/>
          <w:rtl/>
        </w:rPr>
        <w:t xml:space="preserve"> البشرية)</w:t>
      </w:r>
    </w:p>
    <w:p w14:paraId="2F7F3217" w14:textId="2A32BC46" w:rsidR="00752353" w:rsidRPr="00752353" w:rsidRDefault="00752353" w:rsidP="00B71D70">
      <w:pPr>
        <w:numPr>
          <w:ilvl w:val="0"/>
          <w:numId w:val="12"/>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lang w:bidi="ar-JO"/>
          <w14:ligatures w14:val="standardContextual"/>
        </w:rPr>
      </w:pPr>
      <w:r w:rsidRPr="00B71D70">
        <w:rPr>
          <w:rFonts w:ascii="Times New Roman" w:eastAsia="Calibri" w:hAnsi="Times New Roman" w:cs="Traditional Arabic" w:hint="cs"/>
          <w:b/>
          <w:bCs/>
          <w:color w:val="000000" w:themeColor="text1"/>
          <w:kern w:val="2"/>
          <w:sz w:val="28"/>
          <w:szCs w:val="28"/>
          <w:rtl/>
          <w14:ligatures w14:val="standardContextual"/>
        </w:rPr>
        <w:t xml:space="preserve">حدود </w:t>
      </w:r>
      <w:r w:rsidR="0015003F" w:rsidRPr="00B71D70">
        <w:rPr>
          <w:rFonts w:ascii="Times New Roman" w:eastAsia="Calibri" w:hAnsi="Times New Roman" w:cs="Traditional Arabic" w:hint="cs"/>
          <w:b/>
          <w:bCs/>
          <w:color w:val="000000" w:themeColor="text1"/>
          <w:kern w:val="2"/>
          <w:sz w:val="28"/>
          <w:szCs w:val="28"/>
          <w:rtl/>
          <w14:ligatures w14:val="standardContextual"/>
        </w:rPr>
        <w:t>موضوعية</w:t>
      </w:r>
      <w:r w:rsidR="0015003F" w:rsidRPr="00B71D70">
        <w:rPr>
          <w:rFonts w:ascii="Times New Roman" w:eastAsia="Calibri" w:hAnsi="Times New Roman" w:cs="Traditional Arabic"/>
          <w:b/>
          <w:bCs/>
          <w:color w:val="000000" w:themeColor="text1"/>
          <w:kern w:val="2"/>
          <w:sz w:val="28"/>
          <w:szCs w:val="28"/>
          <w14:ligatures w14:val="standardContextual"/>
        </w:rPr>
        <w:t>:</w:t>
      </w:r>
      <w:r w:rsidR="0015003F" w:rsidRPr="00752353">
        <w:rPr>
          <w:rFonts w:ascii="Times New Roman" w:eastAsia="Calibri" w:hAnsi="Times New Roman" w:cs="Traditional Arabic"/>
          <w:color w:val="000000" w:themeColor="text1"/>
          <w:kern w:val="2"/>
          <w:sz w:val="28"/>
          <w:szCs w:val="28"/>
          <w14:ligatures w14:val="standardContextual"/>
        </w:rPr>
        <w:t xml:space="preserve"> </w:t>
      </w:r>
      <w:r w:rsidR="0015003F" w:rsidRPr="00752353">
        <w:rPr>
          <w:rFonts w:ascii="Times New Roman" w:eastAsia="Calibri" w:hAnsi="Times New Roman" w:cs="Traditional Arabic" w:hint="cs"/>
          <w:color w:val="000000" w:themeColor="text1"/>
          <w:kern w:val="2"/>
          <w:sz w:val="28"/>
          <w:szCs w:val="28"/>
          <w:rtl/>
          <w14:ligatures w14:val="standardContextual"/>
        </w:rPr>
        <w:t>ستقتصر</w:t>
      </w:r>
      <w:r w:rsidRPr="00752353">
        <w:rPr>
          <w:rFonts w:ascii="Times New Roman" w:eastAsia="Calibri" w:hAnsi="Times New Roman" w:cs="Traditional Arabic" w:hint="cs"/>
          <w:color w:val="000000" w:themeColor="text1"/>
          <w:kern w:val="2"/>
          <w:sz w:val="28"/>
          <w:szCs w:val="28"/>
          <w:rtl/>
          <w14:ligatures w14:val="standardContextual"/>
        </w:rPr>
        <w:t xml:space="preserve"> الدراسة على معرفة </w:t>
      </w:r>
      <w:r w:rsidRPr="00752353">
        <w:rPr>
          <w:rFonts w:ascii="Times New Roman" w:eastAsia="Calibri" w:hAnsi="Times New Roman" w:cs="Traditional Arabic"/>
          <w:color w:val="000000" w:themeColor="text1"/>
          <w:kern w:val="2"/>
          <w:sz w:val="28"/>
          <w:szCs w:val="28"/>
          <w:rtl/>
          <w:lang w:bidi="ar-JO"/>
          <w14:ligatures w14:val="standardContextual"/>
        </w:rPr>
        <w:t xml:space="preserve">أثر </w:t>
      </w:r>
      <w:r w:rsidR="00B71D70" w:rsidRPr="00B71D70">
        <w:rPr>
          <w:rFonts w:ascii="Times New Roman" w:eastAsia="Calibri" w:hAnsi="Times New Roman" w:cs="Traditional Arabic"/>
          <w:color w:val="000000" w:themeColor="text1"/>
          <w:kern w:val="2"/>
          <w:sz w:val="28"/>
          <w:szCs w:val="28"/>
          <w:rtl/>
          <w14:ligatures w14:val="standardContextual"/>
        </w:rPr>
        <w:t>التحول الرقمي (التحول الاستراتيجي، التحول الإداري، تحول العمليات، مركزية العملاء)، وأبعاد فاعلية اتخاذ القرار الاستراتيجي (الوعي الاستراتيجي، القدرة على التكيف، التفاعل مع البيانات والمعلومات)، وأبعاد الشفافية المعلوماتية (شفافية الأنظمة واللوائح، شفافية الإجراءات، شفافية الاتصال والمعلومات)</w:t>
      </w:r>
      <w:r w:rsidR="00B71D70" w:rsidRPr="00B71D70">
        <w:rPr>
          <w:rFonts w:ascii="Times New Roman" w:eastAsia="Calibri" w:hAnsi="Times New Roman" w:cs="Traditional Arabic"/>
          <w:color w:val="000000" w:themeColor="text1"/>
          <w:kern w:val="2"/>
          <w:sz w:val="28"/>
          <w:szCs w:val="28"/>
          <w:lang w:bidi="ar-JO"/>
          <w14:ligatures w14:val="standardContextual"/>
        </w:rPr>
        <w:t>.</w:t>
      </w:r>
    </w:p>
    <w:p w14:paraId="3DB15E38" w14:textId="313DBC7F" w:rsidR="00752353" w:rsidRPr="00752353" w:rsidRDefault="00752353" w:rsidP="00B71D70">
      <w:pPr>
        <w:numPr>
          <w:ilvl w:val="0"/>
          <w:numId w:val="12"/>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14:ligatures w14:val="standardContextual"/>
        </w:rPr>
      </w:pPr>
      <w:r w:rsidRPr="00B71D70">
        <w:rPr>
          <w:rFonts w:ascii="Times New Roman" w:eastAsia="Calibri" w:hAnsi="Times New Roman" w:cs="Traditional Arabic" w:hint="cs"/>
          <w:b/>
          <w:bCs/>
          <w:color w:val="000000" w:themeColor="text1"/>
          <w:kern w:val="2"/>
          <w:sz w:val="28"/>
          <w:szCs w:val="28"/>
          <w:rtl/>
          <w14:ligatures w14:val="standardContextual"/>
        </w:rPr>
        <w:t>حدود مكانية</w:t>
      </w:r>
      <w:r w:rsidRPr="00752353">
        <w:rPr>
          <w:rFonts w:ascii="Times New Roman" w:eastAsia="Calibri" w:hAnsi="Times New Roman" w:cs="Traditional Arabic" w:hint="cs"/>
          <w:color w:val="000000" w:themeColor="text1"/>
          <w:kern w:val="2"/>
          <w:sz w:val="28"/>
          <w:szCs w:val="28"/>
          <w:rtl/>
          <w14:ligatures w14:val="standardContextual"/>
        </w:rPr>
        <w:t xml:space="preserve">: </w:t>
      </w:r>
      <w:r w:rsidR="00B71D70" w:rsidRPr="00B71D70">
        <w:rPr>
          <w:rFonts w:ascii="Times New Roman" w:eastAsia="Calibri" w:hAnsi="Times New Roman" w:cs="Traditional Arabic"/>
          <w:color w:val="000000" w:themeColor="text1"/>
          <w:kern w:val="2"/>
          <w:sz w:val="28"/>
          <w:szCs w:val="28"/>
          <w:rtl/>
          <w14:ligatures w14:val="standardContextual"/>
        </w:rPr>
        <w:t>سوف تقتصر هذه الدراسة على وزارات الصناعة في دول مجلس التعاون الخليجي، وهي: المملكة العربية السعودية، ودولة الإمارات العربية المتحدة، ودولة الكويت، ودولة قطر، ومملكة البحرين، وسلطنة عمان، نظرًا لأن هذه الوزارات تمثل الكيانات الحكومية المسؤولة عن تطوير السياسات الصناعية</w:t>
      </w:r>
      <w:r w:rsidRPr="00752353">
        <w:rPr>
          <w:rFonts w:ascii="Times New Roman" w:eastAsia="Calibri" w:hAnsi="Times New Roman" w:cs="Traditional Arabic" w:hint="cs"/>
          <w:color w:val="000000" w:themeColor="text1"/>
          <w:kern w:val="2"/>
          <w:sz w:val="28"/>
          <w:szCs w:val="28"/>
          <w:rtl/>
          <w14:ligatures w14:val="standardContextual"/>
        </w:rPr>
        <w:t>.</w:t>
      </w:r>
    </w:p>
    <w:p w14:paraId="58785738" w14:textId="6A243820" w:rsidR="00752353" w:rsidRPr="00752353" w:rsidRDefault="00752353" w:rsidP="00B71D70">
      <w:pPr>
        <w:numPr>
          <w:ilvl w:val="0"/>
          <w:numId w:val="12"/>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14:ligatures w14:val="standardContextual"/>
        </w:rPr>
      </w:pPr>
      <w:r w:rsidRPr="00B71D70">
        <w:rPr>
          <w:rFonts w:ascii="Times New Roman" w:eastAsia="Calibri" w:hAnsi="Times New Roman" w:cs="Traditional Arabic" w:hint="cs"/>
          <w:b/>
          <w:bCs/>
          <w:color w:val="000000" w:themeColor="text1"/>
          <w:kern w:val="2"/>
          <w:sz w:val="28"/>
          <w:szCs w:val="28"/>
          <w:rtl/>
          <w14:ligatures w14:val="standardContextual"/>
        </w:rPr>
        <w:t>حدود زمانية:</w:t>
      </w:r>
      <w:r w:rsidRPr="00752353">
        <w:rPr>
          <w:rFonts w:ascii="Times New Roman" w:eastAsia="Calibri" w:hAnsi="Times New Roman" w:cs="Traditional Arabic" w:hint="cs"/>
          <w:color w:val="000000" w:themeColor="text1"/>
          <w:kern w:val="2"/>
          <w:sz w:val="28"/>
          <w:szCs w:val="28"/>
          <w:rtl/>
          <w14:ligatures w14:val="standardContextual"/>
        </w:rPr>
        <w:t xml:space="preserve"> </w:t>
      </w:r>
      <w:r w:rsidR="00B71D70" w:rsidRPr="00B71D70">
        <w:rPr>
          <w:rFonts w:ascii="Times New Roman" w:eastAsia="Calibri" w:hAnsi="Times New Roman" w:cs="Traditional Arabic"/>
          <w:color w:val="000000" w:themeColor="text1"/>
          <w:kern w:val="2"/>
          <w:sz w:val="28"/>
          <w:szCs w:val="28"/>
          <w:rtl/>
          <w14:ligatures w14:val="standardContextual"/>
        </w:rPr>
        <w:t>تُجرى الدراسة خلال العام الأكاديمي 2025م</w:t>
      </w:r>
      <w:r w:rsidR="00B71D70" w:rsidRPr="00B71D70">
        <w:rPr>
          <w:rFonts w:ascii="Times New Roman" w:eastAsia="Calibri" w:hAnsi="Times New Roman" w:cs="Traditional Arabic" w:hint="cs"/>
          <w:color w:val="000000" w:themeColor="text1"/>
          <w:kern w:val="2"/>
          <w:sz w:val="28"/>
          <w:szCs w:val="28"/>
          <w:rtl/>
          <w14:ligatures w14:val="standardContextual"/>
        </w:rPr>
        <w:t>.</w:t>
      </w:r>
    </w:p>
    <w:p w14:paraId="1BB6E71F" w14:textId="070C2AA2" w:rsidR="00752353" w:rsidRPr="00752353" w:rsidRDefault="00752353" w:rsidP="00B71D70">
      <w:pPr>
        <w:numPr>
          <w:ilvl w:val="0"/>
          <w:numId w:val="12"/>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14:ligatures w14:val="standardContextual"/>
        </w:rPr>
      </w:pPr>
      <w:r w:rsidRPr="00B71D70">
        <w:rPr>
          <w:rFonts w:ascii="Times New Roman" w:eastAsia="Calibri" w:hAnsi="Times New Roman" w:cs="Traditional Arabic" w:hint="cs"/>
          <w:b/>
          <w:bCs/>
          <w:color w:val="000000" w:themeColor="text1"/>
          <w:kern w:val="2"/>
          <w:sz w:val="28"/>
          <w:szCs w:val="28"/>
          <w:rtl/>
          <w14:ligatures w14:val="standardContextual"/>
        </w:rPr>
        <w:t xml:space="preserve">حدود </w:t>
      </w:r>
      <w:r w:rsidR="0015003F" w:rsidRPr="00B71D70">
        <w:rPr>
          <w:rFonts w:ascii="Times New Roman" w:eastAsia="Calibri" w:hAnsi="Times New Roman" w:cs="Traditional Arabic" w:hint="cs"/>
          <w:b/>
          <w:bCs/>
          <w:color w:val="000000" w:themeColor="text1"/>
          <w:kern w:val="2"/>
          <w:sz w:val="28"/>
          <w:szCs w:val="28"/>
          <w:rtl/>
          <w14:ligatures w14:val="standardContextual"/>
        </w:rPr>
        <w:t>بشرية</w:t>
      </w:r>
      <w:r w:rsidR="0015003F" w:rsidRPr="00752353">
        <w:rPr>
          <w:rFonts w:ascii="Times New Roman" w:eastAsia="Calibri" w:hAnsi="Times New Roman" w:cs="Traditional Arabic" w:hint="cs"/>
          <w:color w:val="000000" w:themeColor="text1"/>
          <w:kern w:val="2"/>
          <w:sz w:val="28"/>
          <w:szCs w:val="28"/>
          <w:rtl/>
          <w14:ligatures w14:val="standardContextual"/>
        </w:rPr>
        <w:t>:</w:t>
      </w:r>
      <w:r w:rsidRPr="00752353">
        <w:rPr>
          <w:rFonts w:ascii="Times New Roman" w:eastAsia="Calibri" w:hAnsi="Times New Roman" w:cs="Traditional Arabic" w:hint="cs"/>
          <w:color w:val="000000" w:themeColor="text1"/>
          <w:kern w:val="2"/>
          <w:sz w:val="28"/>
          <w:szCs w:val="28"/>
          <w:rtl/>
          <w14:ligatures w14:val="standardContextual"/>
        </w:rPr>
        <w:t xml:space="preserve"> </w:t>
      </w:r>
      <w:r w:rsidR="00B71D70" w:rsidRPr="00B71D70">
        <w:rPr>
          <w:rFonts w:ascii="Times New Roman" w:eastAsia="Calibri" w:hAnsi="Times New Roman" w:cs="Traditional Arabic"/>
          <w:color w:val="000000" w:themeColor="text1"/>
          <w:kern w:val="2"/>
          <w:sz w:val="28"/>
          <w:szCs w:val="28"/>
          <w:rtl/>
          <w14:ligatures w14:val="standardContextual"/>
        </w:rPr>
        <w:t>سوف تشمل الدراسة العاملين في المناصب الإدارية والفنية المتوسطة والعليا داخل وزارات الصناعة في دول مجلس التعاون الخليجي، ممّن لهم دور مباشر أو غير مباشر في عمليات اتخاذ القرار الاستراتيجي، وكذلك ممن يتعاملون مع الأنظمة الرقمية وآليات تبادل المعلومات، وذلك باعتبارهم الأكثر تأثراً بالتحول الرقمي والشفافية المعلوماتية في بيئة العمل</w:t>
      </w:r>
      <w:r w:rsidR="00B71D70" w:rsidRPr="00B71D70">
        <w:rPr>
          <w:rFonts w:ascii="Times New Roman" w:eastAsia="Calibri" w:hAnsi="Times New Roman" w:cs="Traditional Arabic"/>
          <w:color w:val="000000" w:themeColor="text1"/>
          <w:kern w:val="2"/>
          <w:sz w:val="28"/>
          <w:szCs w:val="28"/>
          <w14:ligatures w14:val="standardContextual"/>
        </w:rPr>
        <w:t>.</w:t>
      </w:r>
      <w:r w:rsidRPr="00B71D70">
        <w:rPr>
          <w:rFonts w:ascii="Times New Roman" w:eastAsia="Calibri" w:hAnsi="Times New Roman" w:cs="Traditional Arabic" w:hint="cs"/>
          <w:color w:val="000000" w:themeColor="text1"/>
          <w:kern w:val="2"/>
          <w:sz w:val="28"/>
          <w:szCs w:val="28"/>
          <w:rtl/>
          <w14:ligatures w14:val="standardContextual"/>
        </w:rPr>
        <w:t>.</w:t>
      </w:r>
    </w:p>
    <w:p w14:paraId="042C6F9E" w14:textId="41F75B82" w:rsidR="00C01F5D" w:rsidRPr="00C01F5D" w:rsidRDefault="00735F0D" w:rsidP="00C01F5D">
      <w:pPr>
        <w:spacing w:before="100" w:beforeAutospacing="1" w:after="100" w:afterAutospacing="1" w:line="360" w:lineRule="auto"/>
        <w:rPr>
          <w:rFonts w:ascii="Times New Roman" w:hAnsi="Times New Roman" w:cs="Traditional Arabic"/>
          <w:b/>
          <w:bCs/>
          <w:color w:val="000000" w:themeColor="text1"/>
          <w:sz w:val="2"/>
          <w:szCs w:val="2"/>
          <w:u w:val="single"/>
        </w:rPr>
      </w:pPr>
      <w:r w:rsidRPr="0077566C">
        <w:rPr>
          <w:rFonts w:ascii="Times New Roman" w:hAnsi="Times New Roman" w:cs="Traditional Arabic"/>
          <w:b/>
          <w:bCs/>
          <w:color w:val="000000" w:themeColor="text1"/>
          <w:sz w:val="2"/>
          <w:szCs w:val="2"/>
          <w:u w:val="single"/>
        </w:rPr>
        <w:br w:type="page"/>
      </w:r>
      <w:bookmarkStart w:id="17" w:name="_Toc202226014"/>
    </w:p>
    <w:p w14:paraId="0DE3739B" w14:textId="4AA2F756" w:rsidR="00C01F5D" w:rsidRDefault="00C01F5D" w:rsidP="00C01F5D">
      <w:pPr>
        <w:bidi/>
        <w:spacing w:after="200" w:line="276" w:lineRule="auto"/>
        <w:jc w:val="center"/>
        <w:rPr>
          <w:rFonts w:ascii="Times New Roman" w:hAnsi="Times New Roman" w:cs="Traditional Arabic"/>
          <w:b/>
          <w:bCs/>
          <w:color w:val="000000" w:themeColor="text1"/>
          <w:sz w:val="36"/>
          <w:szCs w:val="36"/>
          <w:u w:val="single"/>
          <w:rtl/>
        </w:rPr>
      </w:pPr>
      <w:r>
        <w:rPr>
          <w:rFonts w:ascii="Times New Roman" w:hAnsi="Times New Roman" w:cs="Traditional Arabic" w:hint="cs"/>
          <w:b/>
          <w:bCs/>
          <w:color w:val="000000" w:themeColor="text1"/>
          <w:sz w:val="36"/>
          <w:szCs w:val="36"/>
          <w:u w:val="single"/>
          <w:rtl/>
        </w:rPr>
        <w:lastRenderedPageBreak/>
        <w:t xml:space="preserve">الفصل </w:t>
      </w:r>
      <w:proofErr w:type="gramStart"/>
      <w:r w:rsidR="00140115">
        <w:rPr>
          <w:rFonts w:ascii="Times New Roman" w:hAnsi="Times New Roman" w:cs="Traditional Arabic" w:hint="cs"/>
          <w:b/>
          <w:bCs/>
          <w:color w:val="000000" w:themeColor="text1"/>
          <w:sz w:val="36"/>
          <w:szCs w:val="36"/>
          <w:u w:val="single"/>
          <w:rtl/>
        </w:rPr>
        <w:t>الثاني</w:t>
      </w:r>
      <w:r>
        <w:rPr>
          <w:rFonts w:ascii="Times New Roman" w:hAnsi="Times New Roman" w:cs="Traditional Arabic" w:hint="cs"/>
          <w:b/>
          <w:bCs/>
          <w:color w:val="000000" w:themeColor="text1"/>
          <w:sz w:val="36"/>
          <w:szCs w:val="36"/>
          <w:u w:val="single"/>
          <w:rtl/>
        </w:rPr>
        <w:t xml:space="preserve"> :</w:t>
      </w:r>
      <w:proofErr w:type="gramEnd"/>
      <w:r>
        <w:rPr>
          <w:rFonts w:ascii="Times New Roman" w:hAnsi="Times New Roman" w:cs="Traditional Arabic" w:hint="cs"/>
          <w:b/>
          <w:bCs/>
          <w:color w:val="000000" w:themeColor="text1"/>
          <w:sz w:val="36"/>
          <w:szCs w:val="36"/>
          <w:u w:val="single"/>
          <w:rtl/>
        </w:rPr>
        <w:t xml:space="preserve"> الاطار </w:t>
      </w:r>
      <w:r w:rsidR="00140115">
        <w:rPr>
          <w:rFonts w:ascii="Times New Roman" w:hAnsi="Times New Roman" w:cs="Traditional Arabic" w:hint="cs"/>
          <w:b/>
          <w:bCs/>
          <w:color w:val="000000" w:themeColor="text1"/>
          <w:sz w:val="36"/>
          <w:szCs w:val="36"/>
          <w:u w:val="single"/>
          <w:rtl/>
        </w:rPr>
        <w:t>النظري</w:t>
      </w:r>
    </w:p>
    <w:p w14:paraId="2052FAEC" w14:textId="2BD085F9" w:rsidR="00E72E0F" w:rsidRPr="00EF5312" w:rsidRDefault="00E72E0F" w:rsidP="00E72E0F">
      <w:pPr>
        <w:bidi/>
        <w:spacing w:after="200" w:line="276" w:lineRule="auto"/>
        <w:jc w:val="center"/>
        <w:rPr>
          <w:rFonts w:ascii="Times New Roman" w:hAnsi="Times New Roman" w:cs="Traditional Arabic"/>
          <w:b/>
          <w:bCs/>
          <w:color w:val="EE0000"/>
          <w:sz w:val="32"/>
          <w:szCs w:val="32"/>
        </w:rPr>
      </w:pPr>
      <w:r w:rsidRPr="00EF5312">
        <w:rPr>
          <w:rFonts w:ascii="Times New Roman" w:hAnsi="Times New Roman" w:cs="Traditional Arabic"/>
          <w:b/>
          <w:bCs/>
          <w:color w:val="EE0000"/>
          <w:sz w:val="32"/>
          <w:szCs w:val="32"/>
          <w:rtl/>
        </w:rPr>
        <w:t xml:space="preserve">المبحث الأول: التحول الرقمي </w:t>
      </w:r>
    </w:p>
    <w:p w14:paraId="2A70EA7B" w14:textId="77777777" w:rsidR="00E72E0F" w:rsidRPr="00E72E0F" w:rsidRDefault="00E72E0F" w:rsidP="00E72E0F">
      <w:pPr>
        <w:bidi/>
        <w:spacing w:after="200" w:line="276" w:lineRule="auto"/>
        <w:jc w:val="both"/>
        <w:rPr>
          <w:rFonts w:ascii="Times New Roman" w:hAnsi="Times New Roman" w:cs="Traditional Arabic"/>
          <w:b/>
          <w:bCs/>
          <w:color w:val="000000" w:themeColor="text1"/>
          <w:sz w:val="32"/>
          <w:szCs w:val="32"/>
        </w:rPr>
      </w:pPr>
      <w:r w:rsidRPr="00E72E0F">
        <w:rPr>
          <w:rFonts w:ascii="Times New Roman" w:hAnsi="Times New Roman" w:cs="Traditional Arabic"/>
          <w:b/>
          <w:bCs/>
          <w:color w:val="000000" w:themeColor="text1"/>
          <w:sz w:val="32"/>
          <w:szCs w:val="32"/>
          <w:rtl/>
        </w:rPr>
        <w:t>أولاً: تمهيد</w:t>
      </w:r>
    </w:p>
    <w:p w14:paraId="01B64CF3" w14:textId="77777777" w:rsidR="00E72E0F" w:rsidRDefault="00E72E0F" w:rsidP="00E72E0F">
      <w:pPr>
        <w:bidi/>
        <w:spacing w:after="200" w:line="276" w:lineRule="auto"/>
        <w:jc w:val="both"/>
        <w:rPr>
          <w:rFonts w:ascii="Times New Roman" w:hAnsi="Times New Roman" w:cs="Traditional Arabic"/>
          <w:color w:val="000000" w:themeColor="text1"/>
          <w:sz w:val="32"/>
          <w:szCs w:val="32"/>
          <w:rtl/>
        </w:rPr>
      </w:pPr>
      <w:r w:rsidRPr="00E72E0F">
        <w:rPr>
          <w:rFonts w:ascii="Times New Roman" w:hAnsi="Times New Roman" w:cs="Traditional Arabic"/>
          <w:color w:val="000000" w:themeColor="text1"/>
          <w:sz w:val="32"/>
          <w:szCs w:val="32"/>
          <w:rtl/>
        </w:rPr>
        <w:t xml:space="preserve">أفرزت التحولات التكنولوجية المتلاحقة التي يشهدها العالم منذ مطلع الألفية الثالثة واقعاً تنظيمياً جديداً، باتت فيه المنظمات الحكومية والخاصة على حدٍّ سواء مطالبةً بإعادة هندسة بنيتها الإدارية والتشغيلية وفق منطق رقمي شامل يتجاوز مجرد إدخال التقنية إلى بيئة العمل. ولقد تجاوز مفهوم التحول الرقمي حدود الأتمتة التقليدية التي سادت في العقود السابقة، ليصبح مقاربة استراتيجية متكاملة تُعيد تشكيل الطريقة التي تُصمَّم بها الخدمات، وتُدار بها العمليات، وتُتخذ من خلالها القرارات على المستويات كافة. </w:t>
      </w:r>
    </w:p>
    <w:p w14:paraId="48E033BF" w14:textId="79B07646" w:rsidR="00E72E0F" w:rsidRPr="00E72E0F" w:rsidRDefault="00E72E0F" w:rsidP="00E72E0F">
      <w:pPr>
        <w:bidi/>
        <w:spacing w:after="200" w:line="276" w:lineRule="auto"/>
        <w:jc w:val="both"/>
        <w:rPr>
          <w:rFonts w:ascii="Times New Roman" w:hAnsi="Times New Roman" w:cs="Traditional Arabic"/>
          <w:color w:val="000000" w:themeColor="text1"/>
          <w:sz w:val="32"/>
          <w:szCs w:val="32"/>
        </w:rPr>
      </w:pPr>
      <w:r w:rsidRPr="00E72E0F">
        <w:rPr>
          <w:rFonts w:ascii="Times New Roman" w:hAnsi="Times New Roman" w:cs="Traditional Arabic"/>
          <w:color w:val="000000" w:themeColor="text1"/>
          <w:sz w:val="32"/>
          <w:szCs w:val="32"/>
          <w:rtl/>
        </w:rPr>
        <w:t>ومن هذا المنطلق، تبرز الحاجة إلى تأصيل نظري دقيق لهذا المفهوم، يكشف عن جذوره الفكرية، ويستعرض أبعاده المتعددة، ويبيّن أهميته للقطاع العام، لا سيما في سياق وزارات الصناعة بدول مجلس التعاون الخليجي التي تعيش مرحلة تحديث هيكلي غير مسبوقة ترتبط برؤى وطنية طموحة تستهدف التنويع الاقتصادي وتحقيق الاستدامة</w:t>
      </w:r>
      <w:r w:rsidRPr="00E72E0F">
        <w:rPr>
          <w:rFonts w:ascii="Times New Roman" w:hAnsi="Times New Roman" w:cs="Traditional Arabic"/>
          <w:color w:val="000000" w:themeColor="text1"/>
          <w:sz w:val="32"/>
          <w:szCs w:val="32"/>
        </w:rPr>
        <w:t>.</w:t>
      </w:r>
    </w:p>
    <w:p w14:paraId="5C2DEFAA" w14:textId="5CB2AEEA" w:rsidR="00E72E0F" w:rsidRPr="00E72E0F" w:rsidRDefault="00E72E0F" w:rsidP="00E72E0F">
      <w:pPr>
        <w:bidi/>
        <w:spacing w:after="200" w:line="276" w:lineRule="auto"/>
        <w:jc w:val="both"/>
        <w:rPr>
          <w:rFonts w:ascii="Times New Roman" w:hAnsi="Times New Roman" w:cs="Traditional Arabic"/>
          <w:color w:val="000000" w:themeColor="text1"/>
          <w:sz w:val="32"/>
          <w:szCs w:val="32"/>
        </w:rPr>
      </w:pPr>
      <w:r w:rsidRPr="00E72E0F">
        <w:rPr>
          <w:rFonts w:ascii="Times New Roman" w:hAnsi="Times New Roman" w:cs="Traditional Arabic"/>
          <w:color w:val="000000" w:themeColor="text1"/>
          <w:sz w:val="32"/>
          <w:szCs w:val="32"/>
          <w:rtl/>
        </w:rPr>
        <w:t>ولا يمكن فصل التحول الرقمي عن السياق المؤسسي الذي ينشأ فيه؛ فهو ليس مجرد تبنٍّ لأدوات تقنية بل هو إعادة تصور شاملة للعلاقة بين المنظمة وبيئتها الداخلية والخارجية</w:t>
      </w:r>
      <w:r>
        <w:rPr>
          <w:rFonts w:ascii="Times New Roman" w:hAnsi="Times New Roman" w:cs="Traditional Arabic" w:hint="cs"/>
          <w:color w:val="000000" w:themeColor="text1"/>
          <w:sz w:val="32"/>
          <w:szCs w:val="32"/>
          <w:rtl/>
        </w:rPr>
        <w:t>،</w:t>
      </w:r>
      <w:r w:rsidRPr="00E72E0F">
        <w:rPr>
          <w:rFonts w:ascii="Times New Roman" w:hAnsi="Times New Roman" w:cs="Traditional Arabic"/>
          <w:color w:val="000000" w:themeColor="text1"/>
          <w:sz w:val="32"/>
          <w:szCs w:val="32"/>
          <w:rtl/>
        </w:rPr>
        <w:t xml:space="preserve"> وقد أشار حماد (2020) إلى أن التحول الرقمي يمثل منظومة تغيير متكاملة تطال الأبعاد الاستراتيجية والتشغيلية والبشرية في المنظمة، وأن نجاحه يتوقف على مدى التكامل بين هذه الأبعاد وليس على حجم الاستثمار التقني وحده. </w:t>
      </w:r>
    </w:p>
    <w:p w14:paraId="69503F52" w14:textId="77777777" w:rsidR="00E72E0F" w:rsidRPr="00E72E0F" w:rsidRDefault="00E72E0F" w:rsidP="00E72E0F">
      <w:pPr>
        <w:bidi/>
        <w:spacing w:after="200" w:line="276" w:lineRule="auto"/>
        <w:jc w:val="both"/>
        <w:rPr>
          <w:rFonts w:ascii="Times New Roman" w:hAnsi="Times New Roman" w:cs="Traditional Arabic"/>
          <w:color w:val="000000" w:themeColor="text1"/>
          <w:sz w:val="32"/>
          <w:szCs w:val="32"/>
        </w:rPr>
      </w:pPr>
      <w:r w:rsidRPr="00E72E0F">
        <w:rPr>
          <w:rFonts w:ascii="Times New Roman" w:hAnsi="Times New Roman" w:cs="Traditional Arabic"/>
          <w:color w:val="000000" w:themeColor="text1"/>
          <w:sz w:val="32"/>
          <w:szCs w:val="32"/>
          <w:rtl/>
        </w:rPr>
        <w:t>ويكتسب هذا المبحث أهميته من كونه يؤسس القاعدة المفاهيمية التي تنطلق منها الدراسة الحالية في تحليل العلاقة بين التحول الرقمي ومتغيراتها الأخرى، إذ إن الفهم الدقيق لماهية التحول الرقمي وأبعاده يُعدّ شرطاً ضرورياً لبناء نموذج تحليلي متماسك يختبر العلاقات المفترضة بين المتغيرات</w:t>
      </w:r>
      <w:r w:rsidRPr="00E72E0F">
        <w:rPr>
          <w:rFonts w:ascii="Times New Roman" w:hAnsi="Times New Roman" w:cs="Traditional Arabic"/>
          <w:color w:val="000000" w:themeColor="text1"/>
          <w:sz w:val="32"/>
          <w:szCs w:val="32"/>
        </w:rPr>
        <w:t>.</w:t>
      </w:r>
    </w:p>
    <w:p w14:paraId="222D4FEC" w14:textId="77777777" w:rsidR="00E72E0F" w:rsidRPr="00E72E0F" w:rsidRDefault="00E72E0F" w:rsidP="00E72E0F">
      <w:pPr>
        <w:bidi/>
        <w:spacing w:after="200" w:line="276" w:lineRule="auto"/>
        <w:jc w:val="both"/>
        <w:rPr>
          <w:rFonts w:ascii="Times New Roman" w:hAnsi="Times New Roman" w:cs="Traditional Arabic"/>
          <w:b/>
          <w:bCs/>
          <w:color w:val="000000" w:themeColor="text1"/>
          <w:sz w:val="32"/>
          <w:szCs w:val="32"/>
        </w:rPr>
      </w:pPr>
      <w:r w:rsidRPr="00E72E0F">
        <w:rPr>
          <w:rFonts w:ascii="Times New Roman" w:hAnsi="Times New Roman" w:cs="Traditional Arabic"/>
          <w:b/>
          <w:bCs/>
          <w:color w:val="000000" w:themeColor="text1"/>
          <w:sz w:val="32"/>
          <w:szCs w:val="32"/>
          <w:rtl/>
        </w:rPr>
        <w:t>ثانياً: مفهوم التحول الرقمي</w:t>
      </w:r>
    </w:p>
    <w:p w14:paraId="3F5FE780" w14:textId="3546EDF3" w:rsidR="00E72E0F" w:rsidRPr="00E72E0F" w:rsidRDefault="00E72E0F" w:rsidP="00E72E0F">
      <w:pPr>
        <w:bidi/>
        <w:spacing w:after="200" w:line="276" w:lineRule="auto"/>
        <w:jc w:val="both"/>
        <w:rPr>
          <w:rFonts w:ascii="Times New Roman" w:hAnsi="Times New Roman" w:cs="Traditional Arabic"/>
          <w:color w:val="000000" w:themeColor="text1"/>
          <w:sz w:val="32"/>
          <w:szCs w:val="32"/>
        </w:rPr>
      </w:pPr>
      <w:r w:rsidRPr="00E72E0F">
        <w:rPr>
          <w:rFonts w:ascii="Times New Roman" w:hAnsi="Times New Roman" w:cs="Traditional Arabic"/>
          <w:color w:val="000000" w:themeColor="text1"/>
          <w:sz w:val="32"/>
          <w:szCs w:val="32"/>
          <w:rtl/>
        </w:rPr>
        <w:t xml:space="preserve">يُعدّ مفهوم التحول الرقمي من المفاهيم التي شهدت تطوراً دلالياً ملحوظاً خلال العقدين الأخيرين، إذ انتقل من كونه مصطلحاً تقنياً ضيقاً يُشير إلى </w:t>
      </w:r>
      <w:proofErr w:type="spellStart"/>
      <w:r w:rsidRPr="00E72E0F">
        <w:rPr>
          <w:rFonts w:ascii="Times New Roman" w:hAnsi="Times New Roman" w:cs="Traditional Arabic"/>
          <w:color w:val="000000" w:themeColor="text1"/>
          <w:sz w:val="32"/>
          <w:szCs w:val="32"/>
          <w:rtl/>
        </w:rPr>
        <w:t>رقمنة</w:t>
      </w:r>
      <w:proofErr w:type="spellEnd"/>
      <w:r w:rsidRPr="00E72E0F">
        <w:rPr>
          <w:rFonts w:ascii="Times New Roman" w:hAnsi="Times New Roman" w:cs="Traditional Arabic"/>
          <w:color w:val="000000" w:themeColor="text1"/>
          <w:sz w:val="32"/>
          <w:szCs w:val="32"/>
          <w:rtl/>
        </w:rPr>
        <w:t xml:space="preserve"> البيانات والوثائق، إلى أن أصبح إطاراً إدارياً واستراتيجياً واسعاً </w:t>
      </w:r>
      <w:r w:rsidRPr="00E72E0F">
        <w:rPr>
          <w:rFonts w:ascii="Times New Roman" w:hAnsi="Times New Roman" w:cs="Traditional Arabic"/>
          <w:color w:val="000000" w:themeColor="text1"/>
          <w:sz w:val="32"/>
          <w:szCs w:val="32"/>
          <w:rtl/>
        </w:rPr>
        <w:lastRenderedPageBreak/>
        <w:t>يشمل إعادة تصميم نماذج العمل والقيمة المؤسسية بأكملها</w:t>
      </w:r>
      <w:r>
        <w:rPr>
          <w:rFonts w:ascii="Times New Roman" w:hAnsi="Times New Roman" w:cs="Traditional Arabic" w:hint="cs"/>
          <w:color w:val="000000" w:themeColor="text1"/>
          <w:sz w:val="32"/>
          <w:szCs w:val="32"/>
          <w:rtl/>
        </w:rPr>
        <w:t>،</w:t>
      </w:r>
      <w:r w:rsidRPr="00E72E0F">
        <w:rPr>
          <w:rFonts w:ascii="Times New Roman" w:hAnsi="Times New Roman" w:cs="Traditional Arabic"/>
          <w:color w:val="000000" w:themeColor="text1"/>
          <w:sz w:val="32"/>
          <w:szCs w:val="32"/>
          <w:rtl/>
        </w:rPr>
        <w:t xml:space="preserve"> وقد أسهمت مدارس فكرية متعددة في بلورة هذا المفهوم، مما أنتج تعريفات متنوعة تعكس الزاوية التي ينظر منها كل اتجاه، ويمكن استعراض أبرزها على النحو التالي</w:t>
      </w:r>
      <w:r w:rsidRPr="00E72E0F">
        <w:rPr>
          <w:rFonts w:ascii="Times New Roman" w:hAnsi="Times New Roman" w:cs="Traditional Arabic"/>
          <w:color w:val="000000" w:themeColor="text1"/>
          <w:sz w:val="32"/>
          <w:szCs w:val="32"/>
        </w:rPr>
        <w:t>:</w:t>
      </w:r>
    </w:p>
    <w:p w14:paraId="5D410060" w14:textId="77777777" w:rsidR="00E72E0F" w:rsidRPr="00E72E0F" w:rsidRDefault="00E72E0F" w:rsidP="00E72E0F">
      <w:pPr>
        <w:bidi/>
        <w:spacing w:after="200" w:line="276" w:lineRule="auto"/>
        <w:jc w:val="both"/>
        <w:rPr>
          <w:rFonts w:ascii="Times New Roman" w:hAnsi="Times New Roman" w:cs="Traditional Arabic"/>
          <w:color w:val="000000" w:themeColor="text1"/>
          <w:sz w:val="32"/>
          <w:szCs w:val="32"/>
        </w:rPr>
      </w:pPr>
      <w:r w:rsidRPr="00E72E0F">
        <w:rPr>
          <w:rFonts w:ascii="Times New Roman" w:hAnsi="Times New Roman" w:cs="Traditional Arabic"/>
          <w:color w:val="000000" w:themeColor="text1"/>
          <w:sz w:val="32"/>
          <w:szCs w:val="32"/>
          <w:rtl/>
        </w:rPr>
        <w:t>عرّف حماد (2020) التحول الرقمي بأنه "عملية تغيير جذري ومنهجي في الأنماط التشغيلية والإدارية للمنظمة من خلال توظيف التقنيات الرقمية الحديثة بهدف تطوير أداء العاملين وتحسين مخرجات العمل المؤسسي بما ينعكس على جودة الخدمات المقدمة</w:t>
      </w:r>
      <w:r w:rsidRPr="00E72E0F">
        <w:rPr>
          <w:rFonts w:ascii="Times New Roman" w:hAnsi="Times New Roman" w:cs="Traditional Arabic"/>
          <w:color w:val="000000" w:themeColor="text1"/>
          <w:sz w:val="32"/>
          <w:szCs w:val="32"/>
        </w:rPr>
        <w:t>".</w:t>
      </w:r>
    </w:p>
    <w:p w14:paraId="21B84BC7" w14:textId="77777777" w:rsidR="00E72E0F" w:rsidRPr="00E72E0F" w:rsidRDefault="00E72E0F" w:rsidP="00E72E0F">
      <w:pPr>
        <w:bidi/>
        <w:spacing w:after="200" w:line="276" w:lineRule="auto"/>
        <w:jc w:val="both"/>
        <w:rPr>
          <w:rFonts w:ascii="Times New Roman" w:hAnsi="Times New Roman" w:cs="Traditional Arabic"/>
          <w:color w:val="000000" w:themeColor="text1"/>
          <w:sz w:val="32"/>
          <w:szCs w:val="32"/>
        </w:rPr>
      </w:pPr>
      <w:r w:rsidRPr="00E72E0F">
        <w:rPr>
          <w:rFonts w:ascii="Times New Roman" w:hAnsi="Times New Roman" w:cs="Traditional Arabic"/>
          <w:color w:val="000000" w:themeColor="text1"/>
          <w:sz w:val="32"/>
          <w:szCs w:val="32"/>
          <w:rtl/>
        </w:rPr>
        <w:t>وعرّفه</w:t>
      </w:r>
      <w:r w:rsidRPr="00E72E0F">
        <w:rPr>
          <w:rFonts w:ascii="Times New Roman" w:hAnsi="Times New Roman" w:cs="Traditional Arabic"/>
          <w:color w:val="000000" w:themeColor="text1"/>
          <w:sz w:val="32"/>
          <w:szCs w:val="32"/>
        </w:rPr>
        <w:t xml:space="preserve"> </w:t>
      </w:r>
      <w:proofErr w:type="spellStart"/>
      <w:r w:rsidRPr="00E72E0F">
        <w:rPr>
          <w:rFonts w:ascii="Times New Roman" w:hAnsi="Times New Roman" w:cs="Traditional Arabic"/>
          <w:color w:val="000000" w:themeColor="text1"/>
          <w:sz w:val="32"/>
          <w:szCs w:val="32"/>
        </w:rPr>
        <w:t>Bozintan</w:t>
      </w:r>
      <w:proofErr w:type="spellEnd"/>
      <w:r w:rsidRPr="00E72E0F">
        <w:rPr>
          <w:rFonts w:ascii="Times New Roman" w:hAnsi="Times New Roman" w:cs="Traditional Arabic"/>
          <w:color w:val="000000" w:themeColor="text1"/>
          <w:sz w:val="32"/>
          <w:szCs w:val="32"/>
        </w:rPr>
        <w:t xml:space="preserve"> et al. (2023) </w:t>
      </w:r>
      <w:r w:rsidRPr="00E72E0F">
        <w:rPr>
          <w:rFonts w:ascii="Times New Roman" w:hAnsi="Times New Roman" w:cs="Traditional Arabic"/>
          <w:color w:val="000000" w:themeColor="text1"/>
          <w:sz w:val="32"/>
          <w:szCs w:val="32"/>
          <w:rtl/>
        </w:rPr>
        <w:t>بأنه "إعادة صياغة جذرية للمنطق الاستراتيجي الذي تعمل وفقه المنظمة، بحيث تُدمج التقنيات الرقمية في صميم عملية صنع القرار الاستراتيجي وصياغة التوجهات المستقبلية، وليس بوصفها أدوات مساندة للعمليات القائمة</w:t>
      </w:r>
      <w:r w:rsidRPr="00E72E0F">
        <w:rPr>
          <w:rFonts w:ascii="Times New Roman" w:hAnsi="Times New Roman" w:cs="Traditional Arabic"/>
          <w:color w:val="000000" w:themeColor="text1"/>
          <w:sz w:val="32"/>
          <w:szCs w:val="32"/>
        </w:rPr>
        <w:t>".</w:t>
      </w:r>
    </w:p>
    <w:p w14:paraId="363FD029" w14:textId="77777777" w:rsidR="00E72E0F" w:rsidRPr="00E72E0F" w:rsidRDefault="00E72E0F" w:rsidP="00E72E0F">
      <w:pPr>
        <w:bidi/>
        <w:spacing w:after="200" w:line="276" w:lineRule="auto"/>
        <w:jc w:val="both"/>
        <w:rPr>
          <w:rFonts w:ascii="Times New Roman" w:hAnsi="Times New Roman" w:cs="Traditional Arabic"/>
          <w:color w:val="000000" w:themeColor="text1"/>
          <w:sz w:val="32"/>
          <w:szCs w:val="32"/>
        </w:rPr>
      </w:pPr>
      <w:r w:rsidRPr="00E72E0F">
        <w:rPr>
          <w:rFonts w:ascii="Times New Roman" w:hAnsi="Times New Roman" w:cs="Traditional Arabic"/>
          <w:color w:val="000000" w:themeColor="text1"/>
          <w:sz w:val="32"/>
          <w:szCs w:val="32"/>
          <w:rtl/>
        </w:rPr>
        <w:t xml:space="preserve">أما العزب وآخرون (2023) فقد عرّفوه بأنه </w:t>
      </w:r>
      <w:r w:rsidRPr="00E72E0F">
        <w:rPr>
          <w:rFonts w:ascii="Times New Roman" w:hAnsi="Times New Roman" w:cs="Traditional Arabic"/>
          <w:color w:val="000000" w:themeColor="text1"/>
          <w:sz w:val="32"/>
          <w:szCs w:val="32"/>
        </w:rPr>
        <w:t>"</w:t>
      </w:r>
      <w:r w:rsidRPr="00E72E0F">
        <w:rPr>
          <w:rFonts w:ascii="Times New Roman" w:hAnsi="Times New Roman" w:cs="Traditional Arabic"/>
          <w:color w:val="000000" w:themeColor="text1"/>
          <w:sz w:val="32"/>
          <w:szCs w:val="32"/>
          <w:rtl/>
        </w:rPr>
        <w:t>التوظيف المنظم والمتكامل للتكنولوجيا الرقمية في إعادة هيكلة عمليات المنظمة الإدارية وتمكين مواردها البشرية من أداء مهامها بكفاءة أعلى، بما يُحقق مرونة تنظيمية تتلاءم مع متطلبات البيئة المتغيرة</w:t>
      </w:r>
      <w:r w:rsidRPr="00E72E0F">
        <w:rPr>
          <w:rFonts w:ascii="Times New Roman" w:hAnsi="Times New Roman" w:cs="Traditional Arabic"/>
          <w:color w:val="000000" w:themeColor="text1"/>
          <w:sz w:val="32"/>
          <w:szCs w:val="32"/>
        </w:rPr>
        <w:t>".</w:t>
      </w:r>
    </w:p>
    <w:p w14:paraId="49217795" w14:textId="77777777" w:rsidR="00E72E0F" w:rsidRPr="00E72E0F" w:rsidRDefault="00E72E0F" w:rsidP="00E72E0F">
      <w:pPr>
        <w:bidi/>
        <w:spacing w:after="200" w:line="276" w:lineRule="auto"/>
        <w:jc w:val="both"/>
        <w:rPr>
          <w:rFonts w:ascii="Times New Roman" w:hAnsi="Times New Roman" w:cs="Traditional Arabic"/>
          <w:color w:val="000000" w:themeColor="text1"/>
          <w:sz w:val="32"/>
          <w:szCs w:val="32"/>
        </w:rPr>
      </w:pPr>
      <w:r w:rsidRPr="00E72E0F">
        <w:rPr>
          <w:rFonts w:ascii="Times New Roman" w:hAnsi="Times New Roman" w:cs="Traditional Arabic"/>
          <w:color w:val="000000" w:themeColor="text1"/>
          <w:sz w:val="32"/>
          <w:szCs w:val="32"/>
          <w:rtl/>
        </w:rPr>
        <w:t xml:space="preserve">وعرّفته </w:t>
      </w:r>
      <w:proofErr w:type="spellStart"/>
      <w:r w:rsidRPr="00E72E0F">
        <w:rPr>
          <w:rFonts w:ascii="Times New Roman" w:hAnsi="Times New Roman" w:cs="Traditional Arabic"/>
          <w:color w:val="000000" w:themeColor="text1"/>
          <w:sz w:val="32"/>
          <w:szCs w:val="32"/>
          <w:rtl/>
        </w:rPr>
        <w:t>شيهاني</w:t>
      </w:r>
      <w:proofErr w:type="spellEnd"/>
      <w:r w:rsidRPr="00E72E0F">
        <w:rPr>
          <w:rFonts w:ascii="Times New Roman" w:hAnsi="Times New Roman" w:cs="Traditional Arabic"/>
          <w:color w:val="000000" w:themeColor="text1"/>
          <w:sz w:val="32"/>
          <w:szCs w:val="32"/>
          <w:rtl/>
        </w:rPr>
        <w:t xml:space="preserve"> (2024) بأنه "الانتقال المؤسسي المنهجي نحو تبني التقنيات الرقمية المتقدمة في إدارة عمليات المعرفة التنظيمية بمراحلها المختلفة من توليد وتخزين ومشاركة وتطبيق، بما يُعزز القدرة التنافسية للمنظمة ويُحسّن جودة مخرجاتها</w:t>
      </w:r>
      <w:r w:rsidRPr="00E72E0F">
        <w:rPr>
          <w:rFonts w:ascii="Times New Roman" w:hAnsi="Times New Roman" w:cs="Traditional Arabic"/>
          <w:color w:val="000000" w:themeColor="text1"/>
          <w:sz w:val="32"/>
          <w:szCs w:val="32"/>
        </w:rPr>
        <w:t>".</w:t>
      </w:r>
    </w:p>
    <w:p w14:paraId="23F55BEF" w14:textId="77777777" w:rsidR="00E72E0F" w:rsidRPr="00E72E0F" w:rsidRDefault="00E72E0F" w:rsidP="00E72E0F">
      <w:pPr>
        <w:bidi/>
        <w:spacing w:after="200" w:line="276" w:lineRule="auto"/>
        <w:jc w:val="both"/>
        <w:rPr>
          <w:rFonts w:ascii="Times New Roman" w:hAnsi="Times New Roman" w:cs="Traditional Arabic"/>
          <w:color w:val="000000" w:themeColor="text1"/>
          <w:sz w:val="32"/>
          <w:szCs w:val="32"/>
        </w:rPr>
      </w:pPr>
      <w:r w:rsidRPr="00E72E0F">
        <w:rPr>
          <w:rFonts w:ascii="Times New Roman" w:hAnsi="Times New Roman" w:cs="Traditional Arabic"/>
          <w:color w:val="000000" w:themeColor="text1"/>
          <w:sz w:val="32"/>
          <w:szCs w:val="32"/>
          <w:rtl/>
        </w:rPr>
        <w:t xml:space="preserve">كما عرّفه جاب الله وآخرون (2023) بأنه </w:t>
      </w:r>
      <w:r w:rsidRPr="00E72E0F">
        <w:rPr>
          <w:rFonts w:ascii="Times New Roman" w:hAnsi="Times New Roman" w:cs="Traditional Arabic"/>
          <w:color w:val="000000" w:themeColor="text1"/>
          <w:sz w:val="32"/>
          <w:szCs w:val="32"/>
        </w:rPr>
        <w:t>"</w:t>
      </w:r>
      <w:r w:rsidRPr="00E72E0F">
        <w:rPr>
          <w:rFonts w:ascii="Times New Roman" w:hAnsi="Times New Roman" w:cs="Traditional Arabic"/>
          <w:color w:val="000000" w:themeColor="text1"/>
          <w:sz w:val="32"/>
          <w:szCs w:val="32"/>
          <w:rtl/>
        </w:rPr>
        <w:t>التحوّل الشامل في البنية المؤسسية والتشغيلية والثقافية للمنظمة عبر دمج التقنيات الرقمية في جميع مستوياتها التنظيمية، بهدف تحقيق أداء مستدام يستجيب للتغيرات البيئية المتسارعة ويُلبي توقعات أصحاب المصلحة المتنامية</w:t>
      </w:r>
      <w:r w:rsidRPr="00E72E0F">
        <w:rPr>
          <w:rFonts w:ascii="Times New Roman" w:hAnsi="Times New Roman" w:cs="Traditional Arabic"/>
          <w:color w:val="000000" w:themeColor="text1"/>
          <w:sz w:val="32"/>
          <w:szCs w:val="32"/>
        </w:rPr>
        <w:t>".</w:t>
      </w:r>
    </w:p>
    <w:p w14:paraId="16D49A45" w14:textId="6DC48728" w:rsidR="00E72E0F" w:rsidRPr="00E72E0F" w:rsidRDefault="00E72E0F" w:rsidP="00E72E0F">
      <w:pPr>
        <w:bidi/>
        <w:spacing w:after="200" w:line="276" w:lineRule="auto"/>
        <w:jc w:val="both"/>
        <w:rPr>
          <w:rFonts w:ascii="Times New Roman" w:hAnsi="Times New Roman" w:cs="Traditional Arabic"/>
          <w:color w:val="000000" w:themeColor="text1"/>
          <w:sz w:val="32"/>
          <w:szCs w:val="32"/>
        </w:rPr>
      </w:pPr>
      <w:r w:rsidRPr="00E72E0F">
        <w:rPr>
          <w:rFonts w:ascii="Times New Roman" w:hAnsi="Times New Roman" w:cs="Traditional Arabic"/>
          <w:color w:val="000000" w:themeColor="text1"/>
          <w:sz w:val="32"/>
          <w:szCs w:val="32"/>
          <w:rtl/>
        </w:rPr>
        <w:t xml:space="preserve">وعرّفه </w:t>
      </w:r>
      <w:r w:rsidR="00140115" w:rsidRPr="00E72E0F">
        <w:rPr>
          <w:rFonts w:ascii="Times New Roman" w:hAnsi="Times New Roman" w:cs="Traditional Arabic" w:hint="cs"/>
          <w:color w:val="000000" w:themeColor="text1"/>
          <w:sz w:val="32"/>
          <w:szCs w:val="32"/>
          <w:rtl/>
        </w:rPr>
        <w:t>عبد المنع</w:t>
      </w:r>
      <w:r w:rsidR="00140115" w:rsidRPr="00E72E0F">
        <w:rPr>
          <w:rFonts w:ascii="Times New Roman" w:hAnsi="Times New Roman" w:cs="Traditional Arabic" w:hint="eastAsia"/>
          <w:color w:val="000000" w:themeColor="text1"/>
          <w:sz w:val="32"/>
          <w:szCs w:val="32"/>
          <w:rtl/>
        </w:rPr>
        <w:t>م</w:t>
      </w:r>
      <w:r w:rsidRPr="00E72E0F">
        <w:rPr>
          <w:rFonts w:ascii="Times New Roman" w:hAnsi="Times New Roman" w:cs="Traditional Arabic"/>
          <w:color w:val="000000" w:themeColor="text1"/>
          <w:sz w:val="32"/>
          <w:szCs w:val="32"/>
          <w:rtl/>
        </w:rPr>
        <w:t xml:space="preserve"> ورضوان (2023) بأنه "عملية التكامل الاستراتيجي للتقنيات الرقمية في مختلف جوانب المنظمة بما يُمكّنها من تحقيق اليقظة التنظيمية والاستشعار المبكر للتغيرات البيئية، والاستجابة الفعّالة للفرص والتهديدات عبر قنوات معلوماتية رقمية متقدمة</w:t>
      </w:r>
      <w:r w:rsidRPr="00E72E0F">
        <w:rPr>
          <w:rFonts w:ascii="Times New Roman" w:hAnsi="Times New Roman" w:cs="Traditional Arabic"/>
          <w:color w:val="000000" w:themeColor="text1"/>
          <w:sz w:val="32"/>
          <w:szCs w:val="32"/>
        </w:rPr>
        <w:t>".</w:t>
      </w:r>
    </w:p>
    <w:p w14:paraId="752F169D" w14:textId="77777777" w:rsidR="00E72E0F" w:rsidRPr="00E72E0F" w:rsidRDefault="00E72E0F" w:rsidP="00E72E0F">
      <w:pPr>
        <w:bidi/>
        <w:spacing w:after="200" w:line="276" w:lineRule="auto"/>
        <w:jc w:val="both"/>
        <w:rPr>
          <w:rFonts w:ascii="Times New Roman" w:hAnsi="Times New Roman" w:cs="Traditional Arabic"/>
          <w:color w:val="000000" w:themeColor="text1"/>
          <w:sz w:val="32"/>
          <w:szCs w:val="32"/>
        </w:rPr>
      </w:pPr>
      <w:r w:rsidRPr="00E72E0F">
        <w:rPr>
          <w:rFonts w:ascii="Times New Roman" w:hAnsi="Times New Roman" w:cs="Traditional Arabic"/>
          <w:color w:val="000000" w:themeColor="text1"/>
          <w:sz w:val="32"/>
          <w:szCs w:val="32"/>
          <w:rtl/>
        </w:rPr>
        <w:lastRenderedPageBreak/>
        <w:t>أما الطيب (2024) فقد عرّفته بأنه "إعادة تشكيل البنية التنظيمية والثقافية للمنظمة من خلال تبني التقنيات الرقمية بصورة تُعزز المرونة التنظيمية والقدرة على التكيف مع المستجدات، وصولاً إلى تحقيق أهداف المنظمة الاستراتيجية بكفاءة وفاعلية</w:t>
      </w:r>
      <w:r w:rsidRPr="00E72E0F">
        <w:rPr>
          <w:rFonts w:ascii="Times New Roman" w:hAnsi="Times New Roman" w:cs="Traditional Arabic"/>
          <w:color w:val="000000" w:themeColor="text1"/>
          <w:sz w:val="32"/>
          <w:szCs w:val="32"/>
        </w:rPr>
        <w:t>".</w:t>
      </w:r>
    </w:p>
    <w:p w14:paraId="2A83852A" w14:textId="77777777" w:rsidR="00E72E0F" w:rsidRPr="00E72E0F" w:rsidRDefault="00E72E0F" w:rsidP="00E72E0F">
      <w:pPr>
        <w:bidi/>
        <w:spacing w:after="200" w:line="276" w:lineRule="auto"/>
        <w:jc w:val="both"/>
        <w:rPr>
          <w:rFonts w:ascii="Times New Roman" w:hAnsi="Times New Roman" w:cs="Traditional Arabic"/>
          <w:color w:val="000000" w:themeColor="text1"/>
          <w:sz w:val="32"/>
          <w:szCs w:val="32"/>
        </w:rPr>
      </w:pPr>
      <w:r w:rsidRPr="00E72E0F">
        <w:rPr>
          <w:rFonts w:ascii="Times New Roman" w:hAnsi="Times New Roman" w:cs="Traditional Arabic"/>
          <w:color w:val="000000" w:themeColor="text1"/>
          <w:sz w:val="32"/>
          <w:szCs w:val="32"/>
          <w:rtl/>
        </w:rPr>
        <w:t>وعرّفه</w:t>
      </w:r>
      <w:r w:rsidRPr="00E72E0F">
        <w:rPr>
          <w:rFonts w:ascii="Times New Roman" w:hAnsi="Times New Roman" w:cs="Traditional Arabic"/>
          <w:color w:val="000000" w:themeColor="text1"/>
          <w:sz w:val="32"/>
          <w:szCs w:val="32"/>
        </w:rPr>
        <w:t xml:space="preserve"> Shirokova et al. (2020) </w:t>
      </w:r>
      <w:r w:rsidRPr="00E72E0F">
        <w:rPr>
          <w:rFonts w:ascii="Times New Roman" w:hAnsi="Times New Roman" w:cs="Traditional Arabic"/>
          <w:color w:val="000000" w:themeColor="text1"/>
          <w:sz w:val="32"/>
          <w:szCs w:val="32"/>
          <w:rtl/>
        </w:rPr>
        <w:t>بأنه "عملية دمج منهجي للتقنيات الرقمية في مراحل اتخاذ القرار التنظيمي بما يُحوّل البيانات من سجلات تاريخية ساكنة إلى أصول استراتيجية حيّة تُغذي عملية الاختيار بين البدائل في الوقت الحقيقي</w:t>
      </w:r>
      <w:r w:rsidRPr="00E72E0F">
        <w:rPr>
          <w:rFonts w:ascii="Times New Roman" w:hAnsi="Times New Roman" w:cs="Traditional Arabic"/>
          <w:color w:val="000000" w:themeColor="text1"/>
          <w:sz w:val="32"/>
          <w:szCs w:val="32"/>
        </w:rPr>
        <w:t>".</w:t>
      </w:r>
    </w:p>
    <w:p w14:paraId="1298671D" w14:textId="77777777" w:rsidR="00E72E0F" w:rsidRPr="00E72E0F" w:rsidRDefault="00E72E0F" w:rsidP="00E72E0F">
      <w:pPr>
        <w:bidi/>
        <w:spacing w:after="200" w:line="276" w:lineRule="auto"/>
        <w:jc w:val="both"/>
        <w:rPr>
          <w:rFonts w:ascii="Times New Roman" w:hAnsi="Times New Roman" w:cs="Traditional Arabic"/>
          <w:color w:val="000000" w:themeColor="text1"/>
          <w:sz w:val="32"/>
          <w:szCs w:val="32"/>
        </w:rPr>
      </w:pPr>
      <w:r w:rsidRPr="00E72E0F">
        <w:rPr>
          <w:rFonts w:ascii="Times New Roman" w:hAnsi="Times New Roman" w:cs="Traditional Arabic"/>
          <w:color w:val="000000" w:themeColor="text1"/>
          <w:sz w:val="32"/>
          <w:szCs w:val="32"/>
          <w:rtl/>
        </w:rPr>
        <w:t>كما عرّفه</w:t>
      </w:r>
      <w:r w:rsidRPr="00E72E0F">
        <w:rPr>
          <w:rFonts w:ascii="Times New Roman" w:hAnsi="Times New Roman" w:cs="Traditional Arabic"/>
          <w:color w:val="000000" w:themeColor="text1"/>
          <w:sz w:val="32"/>
          <w:szCs w:val="32"/>
        </w:rPr>
        <w:t xml:space="preserve"> Nguyen and Thanh Hoai (2022) </w:t>
      </w:r>
      <w:r w:rsidRPr="00E72E0F">
        <w:rPr>
          <w:rFonts w:ascii="Times New Roman" w:hAnsi="Times New Roman" w:cs="Traditional Arabic"/>
          <w:color w:val="000000" w:themeColor="text1"/>
          <w:sz w:val="32"/>
          <w:szCs w:val="32"/>
          <w:rtl/>
        </w:rPr>
        <w:t xml:space="preserve">بأنه </w:t>
      </w:r>
      <w:r w:rsidRPr="00E72E0F">
        <w:rPr>
          <w:rFonts w:ascii="Times New Roman" w:hAnsi="Times New Roman" w:cs="Traditional Arabic"/>
          <w:color w:val="000000" w:themeColor="text1"/>
          <w:sz w:val="32"/>
          <w:szCs w:val="32"/>
        </w:rPr>
        <w:t>"</w:t>
      </w:r>
      <w:r w:rsidRPr="00E72E0F">
        <w:rPr>
          <w:rFonts w:ascii="Times New Roman" w:hAnsi="Times New Roman" w:cs="Traditional Arabic"/>
          <w:color w:val="000000" w:themeColor="text1"/>
          <w:sz w:val="32"/>
          <w:szCs w:val="32"/>
          <w:rtl/>
        </w:rPr>
        <w:t>التوظيف الشامل للتقنيات الرقمية في بنية المنظمة التصنيعية بما يُعيد تشكيل آليات اتخاذ القرار الأخلاقي القائم على البيانات، ويُعزز قدرتها على تحقيق الأداء البيئي المسؤول</w:t>
      </w:r>
      <w:r w:rsidRPr="00E72E0F">
        <w:rPr>
          <w:rFonts w:ascii="Times New Roman" w:hAnsi="Times New Roman" w:cs="Traditional Arabic"/>
          <w:color w:val="000000" w:themeColor="text1"/>
          <w:sz w:val="32"/>
          <w:szCs w:val="32"/>
        </w:rPr>
        <w:t>".</w:t>
      </w:r>
    </w:p>
    <w:p w14:paraId="7BB8889E" w14:textId="77777777" w:rsidR="00E72E0F" w:rsidRPr="00E72E0F" w:rsidRDefault="00E72E0F" w:rsidP="00E72E0F">
      <w:pPr>
        <w:bidi/>
        <w:spacing w:after="200" w:line="276" w:lineRule="auto"/>
        <w:jc w:val="both"/>
        <w:rPr>
          <w:rFonts w:ascii="Times New Roman" w:hAnsi="Times New Roman" w:cs="Traditional Arabic"/>
          <w:color w:val="000000" w:themeColor="text1"/>
          <w:sz w:val="32"/>
          <w:szCs w:val="32"/>
        </w:rPr>
      </w:pPr>
      <w:r w:rsidRPr="00E72E0F">
        <w:rPr>
          <w:rFonts w:ascii="Times New Roman" w:hAnsi="Times New Roman" w:cs="Traditional Arabic"/>
          <w:color w:val="000000" w:themeColor="text1"/>
          <w:sz w:val="32"/>
          <w:szCs w:val="32"/>
          <w:rtl/>
        </w:rPr>
        <w:t xml:space="preserve">وعرّفه </w:t>
      </w:r>
      <w:proofErr w:type="spellStart"/>
      <w:r w:rsidRPr="00E72E0F">
        <w:rPr>
          <w:rFonts w:ascii="Times New Roman" w:hAnsi="Times New Roman" w:cs="Traditional Arabic"/>
          <w:color w:val="000000" w:themeColor="text1"/>
          <w:sz w:val="32"/>
          <w:szCs w:val="32"/>
          <w:rtl/>
        </w:rPr>
        <w:t>موافي</w:t>
      </w:r>
      <w:proofErr w:type="spellEnd"/>
      <w:r w:rsidRPr="00E72E0F">
        <w:rPr>
          <w:rFonts w:ascii="Times New Roman" w:hAnsi="Times New Roman" w:cs="Traditional Arabic"/>
          <w:color w:val="000000" w:themeColor="text1"/>
          <w:sz w:val="32"/>
          <w:szCs w:val="32"/>
          <w:rtl/>
        </w:rPr>
        <w:t xml:space="preserve"> وبدوي (2024) بأنه "التبني المؤسسي المنظم للأدوات والمنصات الرقمية الحديثة في تسيير العمليات اليومية وتطوير الأداء الوظيفي للعاملين، بما يُسهم في رفع الإنتاجية وتحسين مؤشرات الأداء الكلي للمنظمة</w:t>
      </w:r>
      <w:r w:rsidRPr="00E72E0F">
        <w:rPr>
          <w:rFonts w:ascii="Times New Roman" w:hAnsi="Times New Roman" w:cs="Traditional Arabic"/>
          <w:color w:val="000000" w:themeColor="text1"/>
          <w:sz w:val="32"/>
          <w:szCs w:val="32"/>
        </w:rPr>
        <w:t>".</w:t>
      </w:r>
    </w:p>
    <w:p w14:paraId="715E015E" w14:textId="77777777" w:rsidR="00E72E0F" w:rsidRPr="00E72E0F" w:rsidRDefault="00E72E0F" w:rsidP="00E72E0F">
      <w:pPr>
        <w:bidi/>
        <w:spacing w:after="200" w:line="276" w:lineRule="auto"/>
        <w:jc w:val="both"/>
        <w:rPr>
          <w:rFonts w:ascii="Times New Roman" w:hAnsi="Times New Roman" w:cs="Traditional Arabic"/>
          <w:color w:val="000000" w:themeColor="text1"/>
          <w:sz w:val="32"/>
          <w:szCs w:val="32"/>
        </w:rPr>
      </w:pPr>
      <w:r w:rsidRPr="00E72E0F">
        <w:rPr>
          <w:rFonts w:ascii="Times New Roman" w:hAnsi="Times New Roman" w:cs="Traditional Arabic"/>
          <w:color w:val="000000" w:themeColor="text1"/>
          <w:sz w:val="32"/>
          <w:szCs w:val="32"/>
          <w:rtl/>
        </w:rPr>
        <w:t>أما</w:t>
      </w:r>
      <w:r w:rsidRPr="00E72E0F">
        <w:rPr>
          <w:rFonts w:ascii="Times New Roman" w:hAnsi="Times New Roman" w:cs="Traditional Arabic"/>
          <w:color w:val="000000" w:themeColor="text1"/>
          <w:sz w:val="32"/>
          <w:szCs w:val="32"/>
        </w:rPr>
        <w:t xml:space="preserve"> Huy and Phuc (2025) </w:t>
      </w:r>
      <w:r w:rsidRPr="00E72E0F">
        <w:rPr>
          <w:rFonts w:ascii="Times New Roman" w:hAnsi="Times New Roman" w:cs="Traditional Arabic"/>
          <w:color w:val="000000" w:themeColor="text1"/>
          <w:sz w:val="32"/>
          <w:szCs w:val="32"/>
          <w:rtl/>
        </w:rPr>
        <w:t xml:space="preserve">فقد عرّفاه بأنه </w:t>
      </w:r>
      <w:r w:rsidRPr="00E72E0F">
        <w:rPr>
          <w:rFonts w:ascii="Times New Roman" w:hAnsi="Times New Roman" w:cs="Traditional Arabic"/>
          <w:color w:val="000000" w:themeColor="text1"/>
          <w:sz w:val="32"/>
          <w:szCs w:val="32"/>
        </w:rPr>
        <w:t>"</w:t>
      </w:r>
      <w:r w:rsidRPr="00E72E0F">
        <w:rPr>
          <w:rFonts w:ascii="Times New Roman" w:hAnsi="Times New Roman" w:cs="Traditional Arabic"/>
          <w:color w:val="000000" w:themeColor="text1"/>
          <w:sz w:val="32"/>
          <w:szCs w:val="32"/>
          <w:rtl/>
        </w:rPr>
        <w:t>التحول المؤسسي المستدام الذي يرتكز على بناء قدرات إدارة العمليات الرقمية بما يُعزز ديناميكية صنع القرار ويُمكّن المنظمة من الاستجابة الفعّالة للمتغيرات البيئية عبر منظومة رقمية متكاملة</w:t>
      </w:r>
      <w:r w:rsidRPr="00E72E0F">
        <w:rPr>
          <w:rFonts w:ascii="Times New Roman" w:hAnsi="Times New Roman" w:cs="Traditional Arabic"/>
          <w:color w:val="000000" w:themeColor="text1"/>
          <w:sz w:val="32"/>
          <w:szCs w:val="32"/>
        </w:rPr>
        <w:t>".</w:t>
      </w:r>
    </w:p>
    <w:p w14:paraId="3E67699C" w14:textId="77777777" w:rsidR="00E72E0F" w:rsidRPr="00E72E0F" w:rsidRDefault="00E72E0F" w:rsidP="00E72E0F">
      <w:pPr>
        <w:bidi/>
        <w:spacing w:after="200" w:line="276" w:lineRule="auto"/>
        <w:jc w:val="both"/>
        <w:rPr>
          <w:rFonts w:ascii="Times New Roman" w:hAnsi="Times New Roman" w:cs="Traditional Arabic"/>
          <w:color w:val="000000" w:themeColor="text1"/>
          <w:sz w:val="32"/>
          <w:szCs w:val="32"/>
        </w:rPr>
      </w:pPr>
      <w:r w:rsidRPr="00E72E0F">
        <w:rPr>
          <w:rFonts w:ascii="Times New Roman" w:hAnsi="Times New Roman" w:cs="Traditional Arabic"/>
          <w:color w:val="000000" w:themeColor="text1"/>
          <w:sz w:val="32"/>
          <w:szCs w:val="32"/>
          <w:rtl/>
        </w:rPr>
        <w:t>وعرّفه</w:t>
      </w:r>
      <w:r w:rsidRPr="00E72E0F">
        <w:rPr>
          <w:rFonts w:ascii="Times New Roman" w:hAnsi="Times New Roman" w:cs="Traditional Arabic"/>
          <w:color w:val="000000" w:themeColor="text1"/>
          <w:sz w:val="32"/>
          <w:szCs w:val="32"/>
        </w:rPr>
        <w:t xml:space="preserve"> </w:t>
      </w:r>
      <w:proofErr w:type="spellStart"/>
      <w:r w:rsidRPr="00E72E0F">
        <w:rPr>
          <w:rFonts w:ascii="Times New Roman" w:hAnsi="Times New Roman" w:cs="Traditional Arabic"/>
          <w:color w:val="000000" w:themeColor="text1"/>
          <w:sz w:val="32"/>
          <w:szCs w:val="32"/>
        </w:rPr>
        <w:t>Nijhum</w:t>
      </w:r>
      <w:proofErr w:type="spellEnd"/>
      <w:r w:rsidRPr="00E72E0F">
        <w:rPr>
          <w:rFonts w:ascii="Times New Roman" w:hAnsi="Times New Roman" w:cs="Traditional Arabic"/>
          <w:color w:val="000000" w:themeColor="text1"/>
          <w:sz w:val="32"/>
          <w:szCs w:val="32"/>
        </w:rPr>
        <w:t xml:space="preserve"> (2025) </w:t>
      </w:r>
      <w:r w:rsidRPr="00E72E0F">
        <w:rPr>
          <w:rFonts w:ascii="Times New Roman" w:hAnsi="Times New Roman" w:cs="Traditional Arabic"/>
          <w:color w:val="000000" w:themeColor="text1"/>
          <w:sz w:val="32"/>
          <w:szCs w:val="32"/>
          <w:rtl/>
        </w:rPr>
        <w:t>بأنه "التكامل المنهجي لنماذج الذكاء الاصطناعي والتقنيات الرقمية المتقدمة في البنية الاتصالية والتنظيمية للمنظمة، بهدف تعزيز كفاءة الاتصال المؤسسي ورفع فاعلية عمليات صنع القرار على المستويات الإدارية كافة</w:t>
      </w:r>
      <w:r w:rsidRPr="00E72E0F">
        <w:rPr>
          <w:rFonts w:ascii="Times New Roman" w:hAnsi="Times New Roman" w:cs="Traditional Arabic"/>
          <w:color w:val="000000" w:themeColor="text1"/>
          <w:sz w:val="32"/>
          <w:szCs w:val="32"/>
        </w:rPr>
        <w:t>".</w:t>
      </w:r>
    </w:p>
    <w:p w14:paraId="204B6642" w14:textId="77777777" w:rsidR="00E72E0F" w:rsidRPr="00E72E0F" w:rsidRDefault="00E72E0F" w:rsidP="00E72E0F">
      <w:pPr>
        <w:bidi/>
        <w:spacing w:after="200" w:line="276" w:lineRule="auto"/>
        <w:jc w:val="both"/>
        <w:rPr>
          <w:rFonts w:ascii="Times New Roman" w:hAnsi="Times New Roman" w:cs="Traditional Arabic"/>
          <w:color w:val="000000" w:themeColor="text1"/>
          <w:sz w:val="32"/>
          <w:szCs w:val="32"/>
        </w:rPr>
      </w:pPr>
      <w:r w:rsidRPr="00E72E0F">
        <w:rPr>
          <w:rFonts w:ascii="Times New Roman" w:hAnsi="Times New Roman" w:cs="Traditional Arabic"/>
          <w:color w:val="000000" w:themeColor="text1"/>
          <w:sz w:val="32"/>
          <w:szCs w:val="32"/>
          <w:rtl/>
        </w:rPr>
        <w:t>وأخيراً، عرّفه</w:t>
      </w:r>
      <w:r w:rsidRPr="00E72E0F">
        <w:rPr>
          <w:rFonts w:ascii="Times New Roman" w:hAnsi="Times New Roman" w:cs="Traditional Arabic"/>
          <w:color w:val="000000" w:themeColor="text1"/>
          <w:sz w:val="32"/>
          <w:szCs w:val="32"/>
        </w:rPr>
        <w:t xml:space="preserve"> Savchuk et al. (2024) </w:t>
      </w:r>
      <w:r w:rsidRPr="00E72E0F">
        <w:rPr>
          <w:rFonts w:ascii="Times New Roman" w:hAnsi="Times New Roman" w:cs="Traditional Arabic"/>
          <w:color w:val="000000" w:themeColor="text1"/>
          <w:sz w:val="32"/>
          <w:szCs w:val="32"/>
          <w:rtl/>
        </w:rPr>
        <w:t xml:space="preserve">بأنه </w:t>
      </w:r>
      <w:r w:rsidRPr="00E72E0F">
        <w:rPr>
          <w:rFonts w:ascii="Times New Roman" w:hAnsi="Times New Roman" w:cs="Traditional Arabic"/>
          <w:color w:val="000000" w:themeColor="text1"/>
          <w:sz w:val="32"/>
          <w:szCs w:val="32"/>
        </w:rPr>
        <w:t>"</w:t>
      </w:r>
      <w:r w:rsidRPr="00E72E0F">
        <w:rPr>
          <w:rFonts w:ascii="Times New Roman" w:hAnsi="Times New Roman" w:cs="Traditional Arabic"/>
          <w:color w:val="000000" w:themeColor="text1"/>
          <w:sz w:val="32"/>
          <w:szCs w:val="32"/>
          <w:rtl/>
        </w:rPr>
        <w:t>عملية دمج منظمة للتقنيات الرقمية في آليات تكامل العمليات التشغيلية، بما يُنشئ منظومة قرارية فعّالة ترتكز على تدفقات البيانات الآنية وتُحسّن كفاءة الأداء الإداري والتشغيلي في المنظمة</w:t>
      </w:r>
      <w:r w:rsidRPr="00E72E0F">
        <w:rPr>
          <w:rFonts w:ascii="Times New Roman" w:hAnsi="Times New Roman" w:cs="Traditional Arabic"/>
          <w:color w:val="000000" w:themeColor="text1"/>
          <w:sz w:val="32"/>
          <w:szCs w:val="32"/>
        </w:rPr>
        <w:t>".</w:t>
      </w:r>
    </w:p>
    <w:p w14:paraId="43FE0AE3" w14:textId="77777777" w:rsidR="00E72E0F" w:rsidRDefault="00E72E0F" w:rsidP="00E72E0F">
      <w:pPr>
        <w:bidi/>
        <w:spacing w:after="200" w:line="276" w:lineRule="auto"/>
        <w:jc w:val="both"/>
        <w:rPr>
          <w:rFonts w:ascii="Times New Roman" w:hAnsi="Times New Roman" w:cs="Traditional Arabic"/>
          <w:color w:val="000000" w:themeColor="text1"/>
          <w:sz w:val="32"/>
          <w:szCs w:val="32"/>
          <w:rtl/>
        </w:rPr>
      </w:pPr>
    </w:p>
    <w:p w14:paraId="684F2756" w14:textId="174EC350" w:rsidR="00C01F5D" w:rsidRDefault="00E72E0F" w:rsidP="00C85AC3">
      <w:pPr>
        <w:bidi/>
        <w:spacing w:after="200" w:line="276" w:lineRule="auto"/>
        <w:jc w:val="both"/>
        <w:rPr>
          <w:rFonts w:ascii="Times New Roman" w:hAnsi="Times New Roman" w:cs="Traditional Arabic"/>
          <w:color w:val="000000" w:themeColor="text1"/>
          <w:sz w:val="32"/>
          <w:szCs w:val="32"/>
          <w:rtl/>
        </w:rPr>
      </w:pPr>
      <w:r w:rsidRPr="00E72E0F">
        <w:rPr>
          <w:rFonts w:ascii="Times New Roman" w:hAnsi="Times New Roman" w:cs="Traditional Arabic"/>
          <w:color w:val="000000" w:themeColor="text1"/>
          <w:sz w:val="32"/>
          <w:szCs w:val="32"/>
          <w:rtl/>
        </w:rPr>
        <w:lastRenderedPageBreak/>
        <w:t>ويرى الباحث أن التحول الرقمي في سياق وزارات الصناعة بدول مجلس التعاون الخليجي يمكن تعريفه إجرائياً بأنه</w:t>
      </w:r>
      <w:r w:rsidRPr="00E72E0F">
        <w:rPr>
          <w:rFonts w:ascii="Times New Roman" w:hAnsi="Times New Roman" w:cs="Traditional Arabic"/>
          <w:color w:val="000000" w:themeColor="text1"/>
          <w:sz w:val="32"/>
          <w:szCs w:val="32"/>
        </w:rPr>
        <w:t>: "</w:t>
      </w:r>
      <w:r w:rsidRPr="00E72E0F">
        <w:rPr>
          <w:rFonts w:ascii="Times New Roman" w:hAnsi="Times New Roman" w:cs="Traditional Arabic"/>
          <w:color w:val="000000" w:themeColor="text1"/>
          <w:sz w:val="32"/>
          <w:szCs w:val="32"/>
          <w:rtl/>
        </w:rPr>
        <w:t xml:space="preserve">عملية إعادة بناء استراتيجية وإدارية وتشغيلية شاملة لوزارات الصناعة </w:t>
      </w:r>
      <w:r w:rsidR="00C85AC3">
        <w:rPr>
          <w:rFonts w:ascii="Times New Roman" w:hAnsi="Times New Roman" w:cs="Traditional Arabic" w:hint="cs"/>
          <w:color w:val="000000" w:themeColor="text1"/>
          <w:sz w:val="32"/>
          <w:szCs w:val="32"/>
          <w:rtl/>
        </w:rPr>
        <w:t>في دول مجلس التعاون</w:t>
      </w:r>
      <w:r w:rsidRPr="00E72E0F">
        <w:rPr>
          <w:rFonts w:ascii="Times New Roman" w:hAnsi="Times New Roman" w:cs="Traditional Arabic"/>
          <w:color w:val="000000" w:themeColor="text1"/>
          <w:sz w:val="32"/>
          <w:szCs w:val="32"/>
          <w:rtl/>
        </w:rPr>
        <w:t>، ترتكز على الدمج المنهجي للتقنيات الرقمية المتقدمة في بنيتها المؤسسية بأبعادها الاستراتيجية والإدارية والعملياتية وعلاقتها بأصحاب المصلحة، بهدف تعزيز الشفافية المعلوماتية ورفع فاعلية اتخاذ القرار الاستراتيجي وتحقيق الأهداف التنموية الوطنية</w:t>
      </w:r>
      <w:r>
        <w:rPr>
          <w:rFonts w:ascii="Times New Roman" w:hAnsi="Times New Roman" w:cs="Traditional Arabic" w:hint="cs"/>
          <w:color w:val="000000" w:themeColor="text1"/>
          <w:sz w:val="32"/>
          <w:szCs w:val="32"/>
          <w:rtl/>
        </w:rPr>
        <w:t>.</w:t>
      </w:r>
    </w:p>
    <w:p w14:paraId="28012D2B" w14:textId="77777777" w:rsidR="00E72E0F" w:rsidRPr="00E72E0F" w:rsidRDefault="00E72E0F" w:rsidP="00E72E0F">
      <w:pPr>
        <w:bidi/>
        <w:spacing w:after="200" w:line="276" w:lineRule="auto"/>
        <w:jc w:val="both"/>
        <w:rPr>
          <w:rFonts w:ascii="Times New Roman" w:hAnsi="Times New Roman" w:cs="Traditional Arabic"/>
          <w:b/>
          <w:bCs/>
          <w:color w:val="000000" w:themeColor="text1"/>
          <w:sz w:val="32"/>
          <w:szCs w:val="32"/>
        </w:rPr>
      </w:pPr>
      <w:r w:rsidRPr="00E72E0F">
        <w:rPr>
          <w:rFonts w:ascii="Times New Roman" w:hAnsi="Times New Roman" w:cs="Traditional Arabic"/>
          <w:b/>
          <w:bCs/>
          <w:color w:val="000000" w:themeColor="text1"/>
          <w:sz w:val="32"/>
          <w:szCs w:val="32"/>
          <w:rtl/>
        </w:rPr>
        <w:t>ثالثاً: أهداف التحول الرقمي في المنظمات الحكومية</w:t>
      </w:r>
    </w:p>
    <w:p w14:paraId="502E8E0E" w14:textId="2A747829" w:rsidR="00E72E0F" w:rsidRPr="00E72E0F" w:rsidRDefault="00E72E0F" w:rsidP="00E72E0F">
      <w:pPr>
        <w:bidi/>
        <w:spacing w:after="200" w:line="276" w:lineRule="auto"/>
        <w:jc w:val="both"/>
        <w:rPr>
          <w:rFonts w:ascii="Times New Roman" w:hAnsi="Times New Roman" w:cs="Traditional Arabic"/>
          <w:color w:val="000000" w:themeColor="text1"/>
          <w:sz w:val="32"/>
          <w:szCs w:val="32"/>
        </w:rPr>
      </w:pPr>
      <w:r w:rsidRPr="00E72E0F">
        <w:rPr>
          <w:rFonts w:ascii="Times New Roman" w:hAnsi="Times New Roman" w:cs="Traditional Arabic"/>
          <w:color w:val="000000" w:themeColor="text1"/>
          <w:sz w:val="32"/>
          <w:szCs w:val="32"/>
          <w:rtl/>
        </w:rPr>
        <w:t>تتعدد الأهداف التي يسعى التحول الرقمي إلى تحقيقها في المنظمات الحكومية، وتتباين وفقاً للمنظور الذي ينطلق منه كل باحث والسياق المؤسسي الذي يجري فيه التطبيق</w:t>
      </w:r>
      <w:r>
        <w:rPr>
          <w:rFonts w:ascii="Times New Roman" w:hAnsi="Times New Roman" w:cs="Traditional Arabic" w:hint="cs"/>
          <w:color w:val="000000" w:themeColor="text1"/>
          <w:sz w:val="32"/>
          <w:szCs w:val="32"/>
          <w:rtl/>
        </w:rPr>
        <w:t>،</w:t>
      </w:r>
      <w:r w:rsidRPr="00E72E0F">
        <w:rPr>
          <w:rFonts w:ascii="Times New Roman" w:hAnsi="Times New Roman" w:cs="Traditional Arabic"/>
          <w:color w:val="000000" w:themeColor="text1"/>
          <w:sz w:val="32"/>
          <w:szCs w:val="32"/>
          <w:rtl/>
        </w:rPr>
        <w:t xml:space="preserve"> وتتّسم هذه الأهداف بالتكاملية والتراكبية، بحيث يُغذّي كل هدف منها الأهداف الأخرى ويُعزّزها في إطار منظومة متّسقة لا يمكن تجزئتها. ولا تقتصر هذه الأهداف على الجوانب التقنية المحضة، بل تمتد لتشمل إعادة تشكيل الفلسفة الإدارية والثقافة التنظيمية ومنظومة صنع القرار بأكملها. وقد حظيت مسألة تحديد أهداف التحول الرقمي باهتمام واسع في الأدبيات الإدارية المعاصرة، حيث تناولها الباحثون من زوايا متعددة أفرزت تصنيفات ثرية يمكن استعراضها على النحو التالي</w:t>
      </w:r>
      <w:r w:rsidRPr="00E72E0F">
        <w:rPr>
          <w:rFonts w:ascii="Times New Roman" w:hAnsi="Times New Roman" w:cs="Traditional Arabic"/>
          <w:color w:val="000000" w:themeColor="text1"/>
          <w:sz w:val="32"/>
          <w:szCs w:val="32"/>
        </w:rPr>
        <w:t>:</w:t>
      </w:r>
    </w:p>
    <w:p w14:paraId="1813526B" w14:textId="77777777" w:rsidR="00E72E0F" w:rsidRDefault="00E72E0F" w:rsidP="00E72E0F">
      <w:pPr>
        <w:bidi/>
        <w:spacing w:after="200" w:line="276" w:lineRule="auto"/>
        <w:jc w:val="both"/>
        <w:rPr>
          <w:rFonts w:ascii="Times New Roman" w:hAnsi="Times New Roman" w:cs="Traditional Arabic"/>
          <w:color w:val="000000" w:themeColor="text1"/>
          <w:sz w:val="32"/>
          <w:szCs w:val="32"/>
          <w:rtl/>
        </w:rPr>
      </w:pPr>
      <w:r w:rsidRPr="00E72E0F">
        <w:rPr>
          <w:rFonts w:ascii="Times New Roman" w:hAnsi="Times New Roman" w:cs="Traditional Arabic"/>
          <w:color w:val="000000" w:themeColor="text1"/>
          <w:sz w:val="32"/>
          <w:szCs w:val="32"/>
          <w:rtl/>
        </w:rPr>
        <w:t>يُشير حماد (2020) إلى أن أهداف التحول الرقمي في المنظمات تتمثل في:</w:t>
      </w:r>
    </w:p>
    <w:p w14:paraId="126127E9" w14:textId="77777777" w:rsidR="00E72E0F" w:rsidRDefault="00E72E0F" w:rsidP="00E72E0F">
      <w:pPr>
        <w:bidi/>
        <w:spacing w:after="200" w:line="276" w:lineRule="auto"/>
        <w:jc w:val="both"/>
        <w:rPr>
          <w:rFonts w:ascii="Times New Roman" w:hAnsi="Times New Roman" w:cs="Traditional Arabic"/>
          <w:color w:val="000000" w:themeColor="text1"/>
          <w:sz w:val="32"/>
          <w:szCs w:val="32"/>
          <w:rtl/>
        </w:rPr>
      </w:pPr>
      <w:r w:rsidRPr="00E72E0F">
        <w:rPr>
          <w:rFonts w:ascii="Times New Roman" w:hAnsi="Times New Roman" w:cs="Traditional Arabic"/>
          <w:color w:val="000000" w:themeColor="text1"/>
          <w:sz w:val="32"/>
          <w:szCs w:val="32"/>
          <w:rtl/>
        </w:rPr>
        <w:t xml:space="preserve"> 1) إحداث نقلة نوعية شاملة في مستوى أداء العاملين من خلال تزويدهم بأدوات رقمية حديثة تُمكّنهم من إنجاز مهامهم بكفاءة أعلى وفي زمن أقل، مع إتاحة الفرصة لهم للتفاعل مع البيانات والمعلومات بصورة مباشرة تُعزّز من قدرتهم على التحليل والمبادرة بدلاً من الاكتفاء بالتنفيذ الآلي للتعليمات.</w:t>
      </w:r>
    </w:p>
    <w:p w14:paraId="4F7F8970" w14:textId="77777777" w:rsidR="00E72E0F" w:rsidRDefault="00E72E0F" w:rsidP="00E72E0F">
      <w:pPr>
        <w:bidi/>
        <w:spacing w:after="200" w:line="276" w:lineRule="auto"/>
        <w:jc w:val="both"/>
        <w:rPr>
          <w:rFonts w:ascii="Times New Roman" w:hAnsi="Times New Roman" w:cs="Traditional Arabic"/>
          <w:color w:val="000000" w:themeColor="text1"/>
          <w:sz w:val="32"/>
          <w:szCs w:val="32"/>
          <w:rtl/>
        </w:rPr>
      </w:pPr>
      <w:r w:rsidRPr="00E72E0F">
        <w:rPr>
          <w:rFonts w:ascii="Times New Roman" w:hAnsi="Times New Roman" w:cs="Traditional Arabic"/>
          <w:color w:val="000000" w:themeColor="text1"/>
          <w:sz w:val="32"/>
          <w:szCs w:val="32"/>
          <w:rtl/>
        </w:rPr>
        <w:t xml:space="preserve"> 2) تحرير الطاقات البشرية من الأعباء الروتينية والإجراءات الورقية المتكررة التي تستنزف جزءاً كبيراً من وقت العاملين وجهودهم، بما يُتيح لهم توجيه تركيزهم نحو المهام ذات القيمة المضافة العالية التي تتطلب تفكيراً إبداعياً وتحليلياً ومعالجة مشكلات معقدة لا يمكن للأنظمة الآلية التعامل معها بمفردها.</w:t>
      </w:r>
    </w:p>
    <w:p w14:paraId="28D32E34" w14:textId="77777777" w:rsidR="00E72E0F" w:rsidRDefault="00E72E0F" w:rsidP="00E72E0F">
      <w:pPr>
        <w:bidi/>
        <w:spacing w:after="200" w:line="276" w:lineRule="auto"/>
        <w:jc w:val="both"/>
        <w:rPr>
          <w:rFonts w:ascii="Times New Roman" w:hAnsi="Times New Roman" w:cs="Traditional Arabic"/>
          <w:color w:val="000000" w:themeColor="text1"/>
          <w:sz w:val="32"/>
          <w:szCs w:val="32"/>
          <w:rtl/>
        </w:rPr>
      </w:pPr>
      <w:r w:rsidRPr="00E72E0F">
        <w:rPr>
          <w:rFonts w:ascii="Times New Roman" w:hAnsi="Times New Roman" w:cs="Traditional Arabic"/>
          <w:color w:val="000000" w:themeColor="text1"/>
          <w:sz w:val="32"/>
          <w:szCs w:val="32"/>
          <w:rtl/>
        </w:rPr>
        <w:t xml:space="preserve"> 3) تحسين المخرجات الكلية للمنظمة ورفع جودة الخدمات المقدمة للمستفيدين من خلال تقليل الأخطاء البشرية الناجمة عن الإدخال اليدوي وتسريع دورة الإنجاز وتوحيد معايير الأداء عبر الإدارات المختلفة، مما يُسهم في بناء صورة مؤسسية إيجابية تُعزّز ثقة المتعاملين.</w:t>
      </w:r>
    </w:p>
    <w:p w14:paraId="250C9B36" w14:textId="6AC87F94" w:rsidR="00E72E0F" w:rsidRPr="00E72E0F" w:rsidRDefault="00E72E0F" w:rsidP="00E72E0F">
      <w:pPr>
        <w:bidi/>
        <w:spacing w:after="200" w:line="276" w:lineRule="auto"/>
        <w:jc w:val="both"/>
        <w:rPr>
          <w:rFonts w:ascii="Times New Roman" w:hAnsi="Times New Roman" w:cs="Traditional Arabic"/>
          <w:color w:val="000000" w:themeColor="text1"/>
          <w:sz w:val="32"/>
          <w:szCs w:val="32"/>
        </w:rPr>
      </w:pPr>
      <w:r w:rsidRPr="00E72E0F">
        <w:rPr>
          <w:rFonts w:ascii="Times New Roman" w:hAnsi="Times New Roman" w:cs="Traditional Arabic"/>
          <w:color w:val="000000" w:themeColor="text1"/>
          <w:sz w:val="32"/>
          <w:szCs w:val="32"/>
          <w:rtl/>
        </w:rPr>
        <w:lastRenderedPageBreak/>
        <w:t xml:space="preserve"> 4) بناء بيئة عمل رقمية متكاملة تُعزّز أنماط التعاون الأفقي بين الإدارات المختلفة وتُزيل الحواجز البيروقراطية التقليدية التي كانت تُعيق تدفق العمل والمعلومات، بما يُهيّئ بنية تنظيمية أكثر انسيابية وقدرة على الاستجابة السريعة</w:t>
      </w:r>
      <w:r w:rsidRPr="00E72E0F">
        <w:rPr>
          <w:rFonts w:ascii="Times New Roman" w:hAnsi="Times New Roman" w:cs="Traditional Arabic"/>
          <w:color w:val="000000" w:themeColor="text1"/>
          <w:sz w:val="32"/>
          <w:szCs w:val="32"/>
        </w:rPr>
        <w:t>.</w:t>
      </w:r>
    </w:p>
    <w:p w14:paraId="47F12A32" w14:textId="77777777" w:rsidR="00E72E0F" w:rsidRDefault="00E72E0F" w:rsidP="00E72E0F">
      <w:pPr>
        <w:bidi/>
        <w:spacing w:after="200" w:line="276" w:lineRule="auto"/>
        <w:jc w:val="both"/>
        <w:rPr>
          <w:rFonts w:ascii="Times New Roman" w:hAnsi="Times New Roman" w:cs="Traditional Arabic"/>
          <w:color w:val="000000" w:themeColor="text1"/>
          <w:sz w:val="32"/>
          <w:szCs w:val="32"/>
          <w:rtl/>
        </w:rPr>
      </w:pPr>
      <w:r w:rsidRPr="00E72E0F">
        <w:rPr>
          <w:rFonts w:ascii="Times New Roman" w:hAnsi="Times New Roman" w:cs="Traditional Arabic"/>
          <w:color w:val="000000" w:themeColor="text1"/>
          <w:sz w:val="32"/>
          <w:szCs w:val="32"/>
          <w:rtl/>
        </w:rPr>
        <w:t>كما يُشير جاب الله وآخرون (2023) إلى أن أهداف التحول الرقمي تتمثل في:</w:t>
      </w:r>
    </w:p>
    <w:p w14:paraId="55332628" w14:textId="77777777" w:rsidR="00E72E0F" w:rsidRDefault="00E72E0F" w:rsidP="00E72E0F">
      <w:pPr>
        <w:bidi/>
        <w:spacing w:after="200" w:line="276" w:lineRule="auto"/>
        <w:jc w:val="both"/>
        <w:rPr>
          <w:rFonts w:ascii="Times New Roman" w:hAnsi="Times New Roman" w:cs="Traditional Arabic"/>
          <w:color w:val="000000" w:themeColor="text1"/>
          <w:sz w:val="32"/>
          <w:szCs w:val="32"/>
          <w:rtl/>
        </w:rPr>
      </w:pPr>
      <w:r w:rsidRPr="00E72E0F">
        <w:rPr>
          <w:rFonts w:ascii="Times New Roman" w:hAnsi="Times New Roman" w:cs="Traditional Arabic"/>
          <w:color w:val="000000" w:themeColor="text1"/>
          <w:sz w:val="32"/>
          <w:szCs w:val="32"/>
          <w:rtl/>
        </w:rPr>
        <w:t xml:space="preserve"> 1) تحقيق الأداء المؤسسي المستدام الذي يتجاوز المكاسب الآنية والمؤقتة ليبني قدرة تنظيمية دائمة على التطور والتحسين الذاتي المستمر، بحيث تصبح المنظمة قادرة على تجديد نفسها من الداخل دون الحاجة إلى تدخلات إصلاحية جذرية متكررة تُربك استقرارها.</w:t>
      </w:r>
    </w:p>
    <w:p w14:paraId="3DE16BB4" w14:textId="77777777" w:rsidR="00E72E0F" w:rsidRDefault="00E72E0F" w:rsidP="00E72E0F">
      <w:pPr>
        <w:bidi/>
        <w:spacing w:after="200" w:line="276" w:lineRule="auto"/>
        <w:jc w:val="both"/>
        <w:rPr>
          <w:rFonts w:ascii="Times New Roman" w:hAnsi="Times New Roman" w:cs="Traditional Arabic"/>
          <w:color w:val="000000" w:themeColor="text1"/>
          <w:sz w:val="32"/>
          <w:szCs w:val="32"/>
          <w:rtl/>
        </w:rPr>
      </w:pPr>
      <w:r w:rsidRPr="00E72E0F">
        <w:rPr>
          <w:rFonts w:ascii="Times New Roman" w:hAnsi="Times New Roman" w:cs="Traditional Arabic"/>
          <w:color w:val="000000" w:themeColor="text1"/>
          <w:sz w:val="32"/>
          <w:szCs w:val="32"/>
          <w:rtl/>
        </w:rPr>
        <w:t xml:space="preserve"> 2) تعزيز قدرة المنظمة على الاستجابة الفعّالة والمرنة للتغيرات البيئية المتسارعة التي تفرضها التحولات الاقتصادية والتكنولوجية والاجتماعية العالمية، من خلال بناء آليات رصد واستشعار رقمية تُمكّنها من التقاط الإشارات المبكرة للتغيير والتفاعل معها بصورة استباقية قبل أن تتحول إلى تهديدات فعلية.</w:t>
      </w:r>
    </w:p>
    <w:p w14:paraId="2335622F" w14:textId="77777777" w:rsidR="00E72E0F" w:rsidRDefault="00E72E0F" w:rsidP="00E72E0F">
      <w:pPr>
        <w:bidi/>
        <w:spacing w:after="200" w:line="276" w:lineRule="auto"/>
        <w:jc w:val="both"/>
        <w:rPr>
          <w:rFonts w:ascii="Times New Roman" w:hAnsi="Times New Roman" w:cs="Traditional Arabic"/>
          <w:color w:val="000000" w:themeColor="text1"/>
          <w:sz w:val="32"/>
          <w:szCs w:val="32"/>
          <w:rtl/>
        </w:rPr>
      </w:pPr>
      <w:r w:rsidRPr="00E72E0F">
        <w:rPr>
          <w:rFonts w:ascii="Times New Roman" w:hAnsi="Times New Roman" w:cs="Traditional Arabic"/>
          <w:color w:val="000000" w:themeColor="text1"/>
          <w:sz w:val="32"/>
          <w:szCs w:val="32"/>
          <w:rtl/>
        </w:rPr>
        <w:t xml:space="preserve"> 3</w:t>
      </w:r>
      <w:r>
        <w:rPr>
          <w:rFonts w:ascii="Times New Roman" w:hAnsi="Times New Roman" w:cs="Traditional Arabic" w:hint="cs"/>
          <w:color w:val="000000" w:themeColor="text1"/>
          <w:sz w:val="32"/>
          <w:szCs w:val="32"/>
          <w:rtl/>
        </w:rPr>
        <w:t>)</w:t>
      </w:r>
      <w:r w:rsidRPr="00E72E0F">
        <w:rPr>
          <w:rFonts w:ascii="Times New Roman" w:hAnsi="Times New Roman" w:cs="Traditional Arabic"/>
          <w:color w:val="000000" w:themeColor="text1"/>
          <w:sz w:val="32"/>
          <w:szCs w:val="32"/>
        </w:rPr>
        <w:t xml:space="preserve"> </w:t>
      </w:r>
      <w:r w:rsidRPr="00E72E0F">
        <w:rPr>
          <w:rFonts w:ascii="Times New Roman" w:hAnsi="Times New Roman" w:cs="Traditional Arabic"/>
          <w:color w:val="000000" w:themeColor="text1"/>
          <w:sz w:val="32"/>
          <w:szCs w:val="32"/>
          <w:rtl/>
        </w:rPr>
        <w:t>تلبية توقعات أصحاب المصلحة المتنامية والمتغيرة باستمرار من خلال تطوير نماذج خدمية رقمية مبتكرة تُراعي تنوع احتياجاتهم وتُوفّر لهم تجربة تفاعلية سلسة تتّسم بالسرعة والشفافية وسهولة الوصول.</w:t>
      </w:r>
    </w:p>
    <w:p w14:paraId="6FAB1E36" w14:textId="520464FD" w:rsidR="00E72E0F" w:rsidRPr="00E72E0F" w:rsidRDefault="00E72E0F" w:rsidP="00E72E0F">
      <w:pPr>
        <w:bidi/>
        <w:spacing w:after="200" w:line="276" w:lineRule="auto"/>
        <w:jc w:val="both"/>
        <w:rPr>
          <w:rFonts w:ascii="Times New Roman" w:hAnsi="Times New Roman" w:cs="Traditional Arabic"/>
          <w:color w:val="000000" w:themeColor="text1"/>
          <w:sz w:val="32"/>
          <w:szCs w:val="32"/>
        </w:rPr>
      </w:pPr>
      <w:r w:rsidRPr="00E72E0F">
        <w:rPr>
          <w:rFonts w:ascii="Times New Roman" w:hAnsi="Times New Roman" w:cs="Traditional Arabic"/>
          <w:color w:val="000000" w:themeColor="text1"/>
          <w:sz w:val="32"/>
          <w:szCs w:val="32"/>
          <w:rtl/>
        </w:rPr>
        <w:t xml:space="preserve"> 4) دمج التقنيات الرقمية في جميع المستويات التنظيمية والوظيفية بما يضمن شمولية التحول واتساقه وعدم اقتصاره على إدارات بعينها أو وظائف محددة، مما يُحقق التكامل المؤسسي الذي يُعدّ شرطاً جوهرياً لنجاح أي مبادرة تحولية. </w:t>
      </w:r>
    </w:p>
    <w:p w14:paraId="6A852EAE" w14:textId="5D58FBE1" w:rsidR="00E72E0F" w:rsidRDefault="00E72E0F" w:rsidP="00E72E0F">
      <w:pPr>
        <w:bidi/>
        <w:spacing w:after="200" w:line="276" w:lineRule="auto"/>
        <w:jc w:val="both"/>
        <w:rPr>
          <w:rFonts w:ascii="Times New Roman" w:hAnsi="Times New Roman" w:cs="Traditional Arabic"/>
          <w:color w:val="000000" w:themeColor="text1"/>
          <w:sz w:val="32"/>
          <w:szCs w:val="32"/>
          <w:rtl/>
        </w:rPr>
      </w:pPr>
      <w:r w:rsidRPr="00E72E0F">
        <w:rPr>
          <w:rFonts w:ascii="Times New Roman" w:hAnsi="Times New Roman" w:cs="Traditional Arabic"/>
          <w:color w:val="000000" w:themeColor="text1"/>
          <w:sz w:val="32"/>
          <w:szCs w:val="32"/>
          <w:rtl/>
        </w:rPr>
        <w:t xml:space="preserve">في ضوء ما سبق عرضه من أهداف التحول الرقمي وفقاً لتوجهات الباحثين المختلفة، وبالنظر إلى طبيعة الدراسة الحالية وسياقها التطبيقي المتمثل في وزارات الصناعة بدول مجلس التعاون الخليجي، يرى الباحث أن أهداف التحول الرقمي في هذا السياق تتمحور حول إعادة بناء المنظومة الاستراتيجية لوزارات الصناعة الخليجية بحيث تُصبح التقنيات الرقمية المتقدمة مكوّناً عضوياً في صياغة السياسات الصناعية الوطنية وتوجيه القرارات الاستراتيجية المتعلقة بتنويع القاعدة الاقتصادية وتحفيز الابتكار الصناعي وليس مجرد أداة مساندة تُستخدم في تنفيذ سياسات صيغت بمنأى عن المعطيات الرقمية. </w:t>
      </w:r>
    </w:p>
    <w:p w14:paraId="3B982779" w14:textId="77777777" w:rsidR="00E72E0F" w:rsidRDefault="00E72E0F" w:rsidP="00E72E0F">
      <w:pPr>
        <w:bidi/>
        <w:spacing w:after="200" w:line="276" w:lineRule="auto"/>
        <w:jc w:val="both"/>
        <w:rPr>
          <w:rFonts w:ascii="Times New Roman" w:hAnsi="Times New Roman" w:cs="Traditional Arabic"/>
          <w:b/>
          <w:bCs/>
          <w:color w:val="000000" w:themeColor="text1"/>
          <w:sz w:val="32"/>
          <w:szCs w:val="32"/>
          <w:rtl/>
        </w:rPr>
      </w:pPr>
    </w:p>
    <w:p w14:paraId="4920D1FD" w14:textId="71D9622C" w:rsidR="00E72E0F" w:rsidRPr="00E72E0F" w:rsidRDefault="00E72E0F" w:rsidP="00E72E0F">
      <w:pPr>
        <w:bidi/>
        <w:spacing w:after="200" w:line="276" w:lineRule="auto"/>
        <w:jc w:val="both"/>
        <w:rPr>
          <w:rFonts w:ascii="Times New Roman" w:hAnsi="Times New Roman" w:cs="Traditional Arabic"/>
          <w:b/>
          <w:bCs/>
          <w:color w:val="000000" w:themeColor="text1"/>
          <w:sz w:val="32"/>
          <w:szCs w:val="32"/>
        </w:rPr>
      </w:pPr>
      <w:r w:rsidRPr="00E72E0F">
        <w:rPr>
          <w:rFonts w:ascii="Times New Roman" w:hAnsi="Times New Roman" w:cs="Traditional Arabic"/>
          <w:b/>
          <w:bCs/>
          <w:color w:val="000000" w:themeColor="text1"/>
          <w:sz w:val="32"/>
          <w:szCs w:val="32"/>
          <w:rtl/>
        </w:rPr>
        <w:lastRenderedPageBreak/>
        <w:t>رابعاً: أهمية التحول الرقمي في القطاع الحكومي</w:t>
      </w:r>
    </w:p>
    <w:p w14:paraId="0B24BB8B" w14:textId="45DC3E32" w:rsidR="00E72E0F" w:rsidRPr="00E72E0F" w:rsidRDefault="00E72E0F" w:rsidP="00E72E0F">
      <w:pPr>
        <w:bidi/>
        <w:spacing w:after="200" w:line="276" w:lineRule="auto"/>
        <w:jc w:val="both"/>
        <w:rPr>
          <w:rFonts w:ascii="Times New Roman" w:hAnsi="Times New Roman" w:cs="Traditional Arabic"/>
          <w:color w:val="000000" w:themeColor="text1"/>
          <w:sz w:val="32"/>
          <w:szCs w:val="32"/>
        </w:rPr>
      </w:pPr>
      <w:r w:rsidRPr="00E72E0F">
        <w:rPr>
          <w:rFonts w:ascii="Times New Roman" w:hAnsi="Times New Roman" w:cs="Traditional Arabic"/>
          <w:color w:val="000000" w:themeColor="text1"/>
          <w:sz w:val="32"/>
          <w:szCs w:val="32"/>
          <w:rtl/>
        </w:rPr>
        <w:t>تحتل مسألة أهمية التحول الرقمي في القطاع الحكومي مكانة محورية في الأدبيات الإدارية المعاصرة، لا سيما في ظل التحولات العميقة التي تشهدها بيئة العمل الحكومي على المستويين الإقليمي والدولي</w:t>
      </w:r>
      <w:r>
        <w:rPr>
          <w:rFonts w:ascii="Times New Roman" w:hAnsi="Times New Roman" w:cs="Traditional Arabic" w:hint="cs"/>
          <w:color w:val="000000" w:themeColor="text1"/>
          <w:sz w:val="32"/>
          <w:szCs w:val="32"/>
          <w:rtl/>
        </w:rPr>
        <w:t>،</w:t>
      </w:r>
      <w:r w:rsidRPr="00E72E0F">
        <w:rPr>
          <w:rFonts w:ascii="Times New Roman" w:hAnsi="Times New Roman" w:cs="Traditional Arabic"/>
          <w:color w:val="000000" w:themeColor="text1"/>
          <w:sz w:val="32"/>
          <w:szCs w:val="32"/>
          <w:rtl/>
        </w:rPr>
        <w:t xml:space="preserve"> فقد باتت الحكومات تواجه ضغوطاً متزايدة من أصحاب المصلحة المتعددين الذين تتنامى توقعاتهم بشأن جودة الخدمات الحكومية وسرعة تقديمها وشفافية إجراءاتها، وهو ما يفرض على المنظمات الحكومية ضرورة تبني مقاربات تحولية شاملة تتجاوز الإصلاحات الجزئية والتحسينات التدريجية. وتتعدد أوجه هذه الأهمية وتتباين وفقاً للمنظور الذي ينطلق منه كل باحث، وقد عالجتها الأدبيات من مداخل متنوعة يمكن استعراضها على النحو التالي</w:t>
      </w:r>
      <w:r w:rsidRPr="00E72E0F">
        <w:rPr>
          <w:rFonts w:ascii="Times New Roman" w:hAnsi="Times New Roman" w:cs="Traditional Arabic"/>
          <w:color w:val="000000" w:themeColor="text1"/>
          <w:sz w:val="32"/>
          <w:szCs w:val="32"/>
        </w:rPr>
        <w:t>:</w:t>
      </w:r>
    </w:p>
    <w:p w14:paraId="2DEE4A1F" w14:textId="77777777" w:rsidR="00E72E0F" w:rsidRDefault="00E72E0F" w:rsidP="00E72E0F">
      <w:pPr>
        <w:bidi/>
        <w:spacing w:after="200" w:line="276" w:lineRule="auto"/>
        <w:jc w:val="both"/>
        <w:rPr>
          <w:rFonts w:ascii="Times New Roman" w:hAnsi="Times New Roman" w:cs="Traditional Arabic"/>
          <w:color w:val="000000" w:themeColor="text1"/>
          <w:sz w:val="32"/>
          <w:szCs w:val="32"/>
          <w:rtl/>
        </w:rPr>
      </w:pPr>
      <w:r w:rsidRPr="00E72E0F">
        <w:rPr>
          <w:rFonts w:ascii="Times New Roman" w:hAnsi="Times New Roman" w:cs="Traditional Arabic"/>
          <w:color w:val="000000" w:themeColor="text1"/>
          <w:sz w:val="32"/>
          <w:szCs w:val="32"/>
          <w:rtl/>
        </w:rPr>
        <w:t xml:space="preserve">يُشير </w:t>
      </w:r>
      <w:proofErr w:type="spellStart"/>
      <w:r w:rsidRPr="00E72E0F">
        <w:rPr>
          <w:rFonts w:ascii="Times New Roman" w:hAnsi="Times New Roman" w:cs="Traditional Arabic"/>
          <w:color w:val="000000" w:themeColor="text1"/>
          <w:sz w:val="32"/>
          <w:szCs w:val="32"/>
          <w:rtl/>
        </w:rPr>
        <w:t>موافي</w:t>
      </w:r>
      <w:proofErr w:type="spellEnd"/>
      <w:r w:rsidRPr="00E72E0F">
        <w:rPr>
          <w:rFonts w:ascii="Times New Roman" w:hAnsi="Times New Roman" w:cs="Traditional Arabic"/>
          <w:color w:val="000000" w:themeColor="text1"/>
          <w:sz w:val="32"/>
          <w:szCs w:val="32"/>
          <w:rtl/>
        </w:rPr>
        <w:t xml:space="preserve"> وبدوي (2024) إلى أن أهمية التحول الرقمي في المنظمات الحكومية تتمثل في:</w:t>
      </w:r>
    </w:p>
    <w:p w14:paraId="38CF98D9" w14:textId="77777777" w:rsidR="00E72E0F" w:rsidRDefault="00E72E0F" w:rsidP="00E72E0F">
      <w:pPr>
        <w:bidi/>
        <w:spacing w:after="200" w:line="276" w:lineRule="auto"/>
        <w:jc w:val="both"/>
        <w:rPr>
          <w:rFonts w:ascii="Times New Roman" w:hAnsi="Times New Roman" w:cs="Traditional Arabic"/>
          <w:color w:val="000000" w:themeColor="text1"/>
          <w:sz w:val="32"/>
          <w:szCs w:val="32"/>
          <w:rtl/>
        </w:rPr>
      </w:pPr>
      <w:r w:rsidRPr="00E72E0F">
        <w:rPr>
          <w:rFonts w:ascii="Times New Roman" w:hAnsi="Times New Roman" w:cs="Traditional Arabic"/>
          <w:color w:val="000000" w:themeColor="text1"/>
          <w:sz w:val="32"/>
          <w:szCs w:val="32"/>
          <w:rtl/>
        </w:rPr>
        <w:t xml:space="preserve"> 1) كونه يُحدث تغييراً جوهرياً في طبيعة الأداء الوظيفي للعاملين من خلال تحويل بيئة العمل من نمط ورقي تقليدي يعتمد على التكرار والروتين إلى بيئة رقمية ديناميكية تُحفّز التفكير التحليلي والمبادرة، مما يرفع مستوى الإنتاجية الفردية والجماعية بصورة ملموسة تنعكس على مؤشرات الأداء الكلي للمنظمة.</w:t>
      </w:r>
    </w:p>
    <w:p w14:paraId="79E67785" w14:textId="77777777" w:rsidR="00E72E0F" w:rsidRDefault="00E72E0F" w:rsidP="00E72E0F">
      <w:pPr>
        <w:bidi/>
        <w:spacing w:after="200" w:line="276" w:lineRule="auto"/>
        <w:jc w:val="both"/>
        <w:rPr>
          <w:rFonts w:ascii="Times New Roman" w:hAnsi="Times New Roman" w:cs="Traditional Arabic"/>
          <w:color w:val="000000" w:themeColor="text1"/>
          <w:sz w:val="32"/>
          <w:szCs w:val="32"/>
          <w:rtl/>
        </w:rPr>
      </w:pPr>
      <w:r w:rsidRPr="00E72E0F">
        <w:rPr>
          <w:rFonts w:ascii="Times New Roman" w:hAnsi="Times New Roman" w:cs="Traditional Arabic"/>
          <w:color w:val="000000" w:themeColor="text1"/>
          <w:sz w:val="32"/>
          <w:szCs w:val="32"/>
          <w:rtl/>
        </w:rPr>
        <w:t xml:space="preserve"> 2) أنه يُسهم في بناء منظومة متابعة وتقييم رقمية تُتيح للإدارة العليا رصد مستويات الأداء في الوقت الحقيقي واتخاذ إجراءات تصحيحية فورية عند الحاجة، بدلاً من الاعتماد على تقارير دورية متأخرة قد لا تعكس الوضع الفعلي بدقة كافية.</w:t>
      </w:r>
    </w:p>
    <w:p w14:paraId="1B3B8BCE" w14:textId="0F278358" w:rsidR="00E72E0F" w:rsidRPr="00E72E0F" w:rsidRDefault="00E72E0F" w:rsidP="00E72E0F">
      <w:pPr>
        <w:bidi/>
        <w:spacing w:after="200" w:line="276" w:lineRule="auto"/>
        <w:jc w:val="both"/>
        <w:rPr>
          <w:rFonts w:ascii="Times New Roman" w:hAnsi="Times New Roman" w:cs="Traditional Arabic"/>
          <w:color w:val="000000" w:themeColor="text1"/>
          <w:sz w:val="32"/>
          <w:szCs w:val="32"/>
        </w:rPr>
      </w:pPr>
      <w:r w:rsidRPr="00E72E0F">
        <w:rPr>
          <w:rFonts w:ascii="Times New Roman" w:hAnsi="Times New Roman" w:cs="Traditional Arabic"/>
          <w:color w:val="000000" w:themeColor="text1"/>
          <w:sz w:val="32"/>
          <w:szCs w:val="32"/>
          <w:rtl/>
        </w:rPr>
        <w:t xml:space="preserve"> 3) أنه يُوفّر قاعدة بيانات موحّدة ومتكاملة تربط بين مختلف جوانب الأداء الوظيفي وتُتيح تحليلها بصورة شاملة تكشف عن أنماط الأداء ومواطن القوة والضعف، مما يُمكّن المنظمة من توجيه جهود التطوير والتدريب بصورة أكثر دقة وفاعلية</w:t>
      </w:r>
      <w:r w:rsidRPr="00E72E0F">
        <w:rPr>
          <w:rFonts w:ascii="Times New Roman" w:hAnsi="Times New Roman" w:cs="Traditional Arabic"/>
          <w:color w:val="000000" w:themeColor="text1"/>
          <w:sz w:val="32"/>
          <w:szCs w:val="32"/>
        </w:rPr>
        <w:t>.</w:t>
      </w:r>
    </w:p>
    <w:p w14:paraId="7C84B8B8" w14:textId="77777777" w:rsidR="00E72E0F" w:rsidRDefault="00E72E0F" w:rsidP="00E72E0F">
      <w:pPr>
        <w:bidi/>
        <w:spacing w:after="200" w:line="276" w:lineRule="auto"/>
        <w:jc w:val="both"/>
        <w:rPr>
          <w:rFonts w:ascii="Times New Roman" w:hAnsi="Times New Roman" w:cs="Traditional Arabic"/>
          <w:color w:val="000000" w:themeColor="text1"/>
          <w:sz w:val="32"/>
          <w:szCs w:val="32"/>
          <w:rtl/>
        </w:rPr>
      </w:pPr>
      <w:r w:rsidRPr="00E72E0F">
        <w:rPr>
          <w:rFonts w:ascii="Times New Roman" w:hAnsi="Times New Roman" w:cs="Traditional Arabic"/>
          <w:color w:val="000000" w:themeColor="text1"/>
          <w:sz w:val="32"/>
          <w:szCs w:val="32"/>
          <w:rtl/>
        </w:rPr>
        <w:t>ويرى</w:t>
      </w:r>
      <w:r w:rsidRPr="00E72E0F">
        <w:rPr>
          <w:rFonts w:ascii="Times New Roman" w:hAnsi="Times New Roman" w:cs="Traditional Arabic"/>
          <w:color w:val="000000" w:themeColor="text1"/>
          <w:sz w:val="32"/>
          <w:szCs w:val="32"/>
        </w:rPr>
        <w:t xml:space="preserve"> Nguyen and Thanh Hoai (2022) </w:t>
      </w:r>
      <w:r w:rsidRPr="00E72E0F">
        <w:rPr>
          <w:rFonts w:ascii="Times New Roman" w:hAnsi="Times New Roman" w:cs="Traditional Arabic"/>
          <w:color w:val="000000" w:themeColor="text1"/>
          <w:sz w:val="32"/>
          <w:szCs w:val="32"/>
          <w:rtl/>
        </w:rPr>
        <w:t>أن أهمية التحول الرقمي تتمثل في:</w:t>
      </w:r>
    </w:p>
    <w:p w14:paraId="03C7BE6C" w14:textId="77777777" w:rsidR="00E72E0F" w:rsidRDefault="00E72E0F" w:rsidP="00E72E0F">
      <w:pPr>
        <w:bidi/>
        <w:spacing w:after="200" w:line="276" w:lineRule="auto"/>
        <w:jc w:val="both"/>
        <w:rPr>
          <w:rFonts w:ascii="Times New Roman" w:hAnsi="Times New Roman" w:cs="Traditional Arabic"/>
          <w:color w:val="000000" w:themeColor="text1"/>
          <w:sz w:val="32"/>
          <w:szCs w:val="32"/>
          <w:rtl/>
        </w:rPr>
      </w:pPr>
      <w:r w:rsidRPr="00E72E0F">
        <w:rPr>
          <w:rFonts w:ascii="Times New Roman" w:hAnsi="Times New Roman" w:cs="Traditional Arabic"/>
          <w:color w:val="000000" w:themeColor="text1"/>
          <w:sz w:val="32"/>
          <w:szCs w:val="32"/>
          <w:rtl/>
        </w:rPr>
        <w:t xml:space="preserve"> 1) تمكين المنظمات من اتخاذ قرارات أخلاقية مبنية على بيانات موضوعية ودقيقة بدلاً من الاجتهادات الشخصية والتقديرات التقريبية، مما يُعزّز نزاهة العملية القرارية ويرفع مستوى المساءلة المؤسسية أمام أصحاب المصلحة والمجتمع.</w:t>
      </w:r>
    </w:p>
    <w:p w14:paraId="6F100281" w14:textId="77777777" w:rsidR="00E72E0F" w:rsidRDefault="00E72E0F" w:rsidP="00E72E0F">
      <w:pPr>
        <w:bidi/>
        <w:spacing w:after="200" w:line="276" w:lineRule="auto"/>
        <w:jc w:val="both"/>
        <w:rPr>
          <w:rFonts w:ascii="Times New Roman" w:hAnsi="Times New Roman" w:cs="Traditional Arabic"/>
          <w:color w:val="000000" w:themeColor="text1"/>
          <w:sz w:val="32"/>
          <w:szCs w:val="32"/>
          <w:rtl/>
        </w:rPr>
      </w:pPr>
      <w:r w:rsidRPr="00E72E0F">
        <w:rPr>
          <w:rFonts w:ascii="Times New Roman" w:hAnsi="Times New Roman" w:cs="Traditional Arabic"/>
          <w:color w:val="000000" w:themeColor="text1"/>
          <w:sz w:val="32"/>
          <w:szCs w:val="32"/>
          <w:rtl/>
        </w:rPr>
        <w:lastRenderedPageBreak/>
        <w:t xml:space="preserve"> 2) تعزيز قدرة المنظمات الحكومية على تحقيق الأداء البيئي المسؤول من خلال توفير أدوات رقمية متقدمة لرصد الأثر البيئي للعمليات التشغيلية وقياسه بدقة، وهو ما يكتسب أهمية خاصة في سياق وزارات الصناعة المعنية بتنظيم الأنشطة الصناعية ومراقبة التزامها بالمعايير البيئية.</w:t>
      </w:r>
    </w:p>
    <w:p w14:paraId="566F1C2D" w14:textId="20E0E724" w:rsidR="00E72E0F" w:rsidRPr="00E72E0F" w:rsidRDefault="00E72E0F" w:rsidP="00E72E0F">
      <w:pPr>
        <w:bidi/>
        <w:spacing w:after="200" w:line="276" w:lineRule="auto"/>
        <w:jc w:val="both"/>
        <w:rPr>
          <w:rFonts w:ascii="Times New Roman" w:hAnsi="Times New Roman" w:cs="Traditional Arabic"/>
          <w:color w:val="000000" w:themeColor="text1"/>
          <w:sz w:val="32"/>
          <w:szCs w:val="32"/>
        </w:rPr>
      </w:pPr>
      <w:r w:rsidRPr="00E72E0F">
        <w:rPr>
          <w:rFonts w:ascii="Times New Roman" w:hAnsi="Times New Roman" w:cs="Traditional Arabic"/>
          <w:color w:val="000000" w:themeColor="text1"/>
          <w:sz w:val="32"/>
          <w:szCs w:val="32"/>
          <w:rtl/>
        </w:rPr>
        <w:t xml:space="preserve"> 3) إعادة تشكيل العلاقة بين المنظمة الحكومية ومحيطها الاجتماعي والبيئي بصورة تتجاوز المفهوم التقليدي للخدمة العامة نحو مفهوم أشمل يستوعب أبعاد المسؤولية المجتمعية والاستدامة البيئية ويدمجها في صلب العملية القرارية</w:t>
      </w:r>
      <w:r w:rsidRPr="00E72E0F">
        <w:rPr>
          <w:rFonts w:ascii="Times New Roman" w:hAnsi="Times New Roman" w:cs="Traditional Arabic"/>
          <w:color w:val="000000" w:themeColor="text1"/>
          <w:sz w:val="32"/>
          <w:szCs w:val="32"/>
        </w:rPr>
        <w:t>.</w:t>
      </w:r>
    </w:p>
    <w:p w14:paraId="411F62E6" w14:textId="77777777" w:rsidR="00E72E0F" w:rsidRDefault="00E72E0F" w:rsidP="00E72E0F">
      <w:pPr>
        <w:bidi/>
        <w:spacing w:after="200" w:line="276" w:lineRule="auto"/>
        <w:jc w:val="both"/>
        <w:rPr>
          <w:rFonts w:ascii="Times New Roman" w:hAnsi="Times New Roman" w:cs="Traditional Arabic"/>
          <w:color w:val="000000" w:themeColor="text1"/>
          <w:sz w:val="32"/>
          <w:szCs w:val="32"/>
          <w:rtl/>
        </w:rPr>
      </w:pPr>
      <w:r w:rsidRPr="00E72E0F">
        <w:rPr>
          <w:rFonts w:ascii="Times New Roman" w:hAnsi="Times New Roman" w:cs="Traditional Arabic"/>
          <w:color w:val="000000" w:themeColor="text1"/>
          <w:sz w:val="32"/>
          <w:szCs w:val="32"/>
          <w:rtl/>
        </w:rPr>
        <w:t xml:space="preserve">كما يُشير </w:t>
      </w:r>
      <w:proofErr w:type="spellStart"/>
      <w:r w:rsidRPr="00E72E0F">
        <w:rPr>
          <w:rFonts w:ascii="Times New Roman" w:hAnsi="Times New Roman" w:cs="Traditional Arabic"/>
          <w:color w:val="000000" w:themeColor="text1"/>
          <w:sz w:val="32"/>
          <w:szCs w:val="32"/>
          <w:rtl/>
        </w:rPr>
        <w:t>شيهاني</w:t>
      </w:r>
      <w:proofErr w:type="spellEnd"/>
      <w:r w:rsidRPr="00E72E0F">
        <w:rPr>
          <w:rFonts w:ascii="Times New Roman" w:hAnsi="Times New Roman" w:cs="Traditional Arabic"/>
          <w:color w:val="000000" w:themeColor="text1"/>
          <w:sz w:val="32"/>
          <w:szCs w:val="32"/>
          <w:rtl/>
        </w:rPr>
        <w:t xml:space="preserve"> (2024) إلى أن أهمية التحول الرقمي تتمثل في:</w:t>
      </w:r>
    </w:p>
    <w:p w14:paraId="69C99076" w14:textId="77777777" w:rsidR="00E72E0F" w:rsidRDefault="00E72E0F" w:rsidP="00E72E0F">
      <w:pPr>
        <w:bidi/>
        <w:spacing w:after="200" w:line="276" w:lineRule="auto"/>
        <w:jc w:val="both"/>
        <w:rPr>
          <w:rFonts w:ascii="Times New Roman" w:hAnsi="Times New Roman" w:cs="Traditional Arabic"/>
          <w:color w:val="000000" w:themeColor="text1"/>
          <w:sz w:val="32"/>
          <w:szCs w:val="32"/>
          <w:rtl/>
        </w:rPr>
      </w:pPr>
      <w:r w:rsidRPr="00E72E0F">
        <w:rPr>
          <w:rFonts w:ascii="Times New Roman" w:hAnsi="Times New Roman" w:cs="Traditional Arabic"/>
          <w:color w:val="000000" w:themeColor="text1"/>
          <w:sz w:val="32"/>
          <w:szCs w:val="32"/>
          <w:rtl/>
        </w:rPr>
        <w:t xml:space="preserve"> 1) إحداث نقلة نوعية في إدارة المعرفة التنظيمية داخل المنظمات الحكومية من خلال تحويل المعرفة الضمنية الحبيسة في أذهان الأفراد إلى معرفة صريحة مُوثّقة ومُتاحة على المستوى المؤسسي، مما يُقلّل من مخاطر فقدان المعرفة المؤسسية عند انتقال العاملين أو تقاعدهم.</w:t>
      </w:r>
    </w:p>
    <w:p w14:paraId="7F98C8FB" w14:textId="6C21DA88" w:rsidR="00E72E0F" w:rsidRPr="00E72E0F" w:rsidRDefault="00E72E0F" w:rsidP="00E72E0F">
      <w:pPr>
        <w:bidi/>
        <w:spacing w:after="200" w:line="276" w:lineRule="auto"/>
        <w:jc w:val="both"/>
        <w:rPr>
          <w:rFonts w:ascii="Times New Roman" w:hAnsi="Times New Roman" w:cs="Traditional Arabic"/>
          <w:color w:val="000000" w:themeColor="text1"/>
          <w:sz w:val="32"/>
          <w:szCs w:val="32"/>
        </w:rPr>
      </w:pPr>
      <w:r w:rsidRPr="00E72E0F">
        <w:rPr>
          <w:rFonts w:ascii="Times New Roman" w:hAnsi="Times New Roman" w:cs="Traditional Arabic"/>
          <w:color w:val="000000" w:themeColor="text1"/>
          <w:sz w:val="32"/>
          <w:szCs w:val="32"/>
          <w:rtl/>
        </w:rPr>
        <w:t xml:space="preserve"> 2) تسريع دورة المعرفة التنظيمية بمراحلها المختلفة من توليد وتخزين ومشاركة وتطبيق، عبر إنشاء منصات رقمية تُتيح للعاملين الوصول الفوري إلى قواعد المعرفة المؤسسية والمساهمة في إثرائها بصورة تفاعلية ومستمرة. 3) تعزيز قدرة المنظمة على التعلم المؤسسي من تجاربها السابقة واستخلاص الدروس المستفادة منها بصورة منهجية، من خلال أنظمة رقمية لتوثيق الممارسات الفضلى والحالات المرجعية وإتاحتها لصانعي القرار عند مواجهة مواقف مماثلة</w:t>
      </w:r>
      <w:r w:rsidRPr="00E72E0F">
        <w:rPr>
          <w:rFonts w:ascii="Times New Roman" w:hAnsi="Times New Roman" w:cs="Traditional Arabic"/>
          <w:color w:val="000000" w:themeColor="text1"/>
          <w:sz w:val="32"/>
          <w:szCs w:val="32"/>
        </w:rPr>
        <w:t>.</w:t>
      </w:r>
    </w:p>
    <w:p w14:paraId="2A548AAD" w14:textId="151F354B" w:rsidR="00E72E0F" w:rsidRDefault="00E72E0F" w:rsidP="00E72E0F">
      <w:pPr>
        <w:bidi/>
        <w:spacing w:after="200" w:line="276" w:lineRule="auto"/>
        <w:jc w:val="both"/>
        <w:rPr>
          <w:rFonts w:ascii="Times New Roman" w:hAnsi="Times New Roman" w:cs="Traditional Arabic"/>
          <w:color w:val="000000" w:themeColor="text1"/>
          <w:sz w:val="32"/>
          <w:szCs w:val="32"/>
          <w:rtl/>
        </w:rPr>
      </w:pPr>
      <w:r w:rsidRPr="00E72E0F">
        <w:rPr>
          <w:rFonts w:ascii="Times New Roman" w:hAnsi="Times New Roman" w:cs="Traditional Arabic"/>
          <w:color w:val="000000" w:themeColor="text1"/>
          <w:sz w:val="32"/>
          <w:szCs w:val="32"/>
          <w:rtl/>
        </w:rPr>
        <w:t>يرى الباحث أن أهمية التحول الرقمي في سياق وزارات الصناعة بدول مجلس التعاون الخليجي تنبثق من تقاطع ثلاثة أبعاد جوهرية يفرضها الواقع التنموي لهذه الدول. يتمثل البعد الأول في الأهمية الاستراتيجية التنموية، حيث تضطلع وزارات الصناعة بدور محوري في تنفيذ الرؤى الوطنية الطموحة التي تستهدف تنويع الاقتصاد والحدّ من الاعتماد على الريع النفطي، ولا يمكن لهذه الوزارات أن تؤدي هذا الدور بفاعلية دون تبني تحول رقمي شامل يُمكّنها من رسم السياسات الصناعية وتنفيذها ومتابعتها بكفاءة وشفافية</w:t>
      </w:r>
      <w:r w:rsidR="00002AF3">
        <w:rPr>
          <w:rFonts w:ascii="Times New Roman" w:hAnsi="Times New Roman" w:cs="Traditional Arabic" w:hint="cs"/>
          <w:color w:val="000000" w:themeColor="text1"/>
          <w:sz w:val="32"/>
          <w:szCs w:val="32"/>
          <w:rtl/>
        </w:rPr>
        <w:t>،</w:t>
      </w:r>
      <w:r w:rsidRPr="00E72E0F">
        <w:rPr>
          <w:rFonts w:ascii="Times New Roman" w:hAnsi="Times New Roman" w:cs="Traditional Arabic"/>
          <w:color w:val="000000" w:themeColor="text1"/>
          <w:sz w:val="32"/>
          <w:szCs w:val="32"/>
          <w:rtl/>
        </w:rPr>
        <w:t xml:space="preserve"> ويتمثل البعد الثاني في الأهمية المعلوماتية والقرارية، حيث يُوفّر التحول الرقمي البنية المعلوماتية اللازمة لصنع قرارات استراتيجية رشيدة ترتكز على بيانات صناعية واقتصادية دقيقة ومحدّثة، وهو ما يرتبط ارتباطاً مباشراً بالمتغير الوسيط في الدراسة الحالية وهو الشفافية المعلوماتية</w:t>
      </w:r>
      <w:r w:rsidR="00002AF3">
        <w:rPr>
          <w:rFonts w:ascii="Times New Roman" w:hAnsi="Times New Roman" w:cs="Traditional Arabic" w:hint="cs"/>
          <w:color w:val="000000" w:themeColor="text1"/>
          <w:sz w:val="32"/>
          <w:szCs w:val="32"/>
          <w:rtl/>
        </w:rPr>
        <w:t>،</w:t>
      </w:r>
      <w:r w:rsidRPr="00E72E0F">
        <w:rPr>
          <w:rFonts w:ascii="Times New Roman" w:hAnsi="Times New Roman" w:cs="Traditional Arabic"/>
          <w:color w:val="000000" w:themeColor="text1"/>
          <w:sz w:val="32"/>
          <w:szCs w:val="32"/>
          <w:rtl/>
        </w:rPr>
        <w:t xml:space="preserve"> أما البعد الثالث فيتمثل في الأهمية المؤسسية والثقافية، حيث يُسهم </w:t>
      </w:r>
      <w:r w:rsidRPr="00E72E0F">
        <w:rPr>
          <w:rFonts w:ascii="Times New Roman" w:hAnsi="Times New Roman" w:cs="Traditional Arabic"/>
          <w:color w:val="000000" w:themeColor="text1"/>
          <w:sz w:val="32"/>
          <w:szCs w:val="32"/>
          <w:rtl/>
        </w:rPr>
        <w:lastRenderedPageBreak/>
        <w:t>التحول الرقمي في تحديث البنى التنظيمية والثقافية لهذه الوزارات بما يجعلها أكثر مرونة واستجابة لمتطلبات القطاع الصناعي المتغيرة</w:t>
      </w:r>
      <w:r w:rsidRPr="00E72E0F">
        <w:rPr>
          <w:rFonts w:ascii="Times New Roman" w:hAnsi="Times New Roman" w:cs="Traditional Arabic"/>
          <w:color w:val="000000" w:themeColor="text1"/>
          <w:sz w:val="32"/>
          <w:szCs w:val="32"/>
        </w:rPr>
        <w:t>.</w:t>
      </w:r>
    </w:p>
    <w:p w14:paraId="372E43B7" w14:textId="77777777" w:rsidR="00002AF3" w:rsidRPr="00002AF3" w:rsidRDefault="00002AF3" w:rsidP="00002AF3">
      <w:pPr>
        <w:bidi/>
        <w:spacing w:after="200" w:line="276" w:lineRule="auto"/>
        <w:jc w:val="both"/>
        <w:rPr>
          <w:rFonts w:ascii="Times New Roman" w:hAnsi="Times New Roman" w:cs="Traditional Arabic"/>
          <w:b/>
          <w:bCs/>
          <w:color w:val="000000" w:themeColor="text1"/>
          <w:sz w:val="32"/>
          <w:szCs w:val="32"/>
        </w:rPr>
      </w:pPr>
      <w:r w:rsidRPr="00002AF3">
        <w:rPr>
          <w:rFonts w:ascii="Times New Roman" w:hAnsi="Times New Roman" w:cs="Traditional Arabic"/>
          <w:b/>
          <w:bCs/>
          <w:color w:val="000000" w:themeColor="text1"/>
          <w:sz w:val="32"/>
          <w:szCs w:val="32"/>
          <w:rtl/>
        </w:rPr>
        <w:t>خامساً: أبعاد التحول الرقمي</w:t>
      </w:r>
    </w:p>
    <w:p w14:paraId="04E89621" w14:textId="4AE15176" w:rsidR="00002AF3" w:rsidRPr="00002AF3" w:rsidRDefault="00002AF3" w:rsidP="00002AF3">
      <w:pPr>
        <w:bidi/>
        <w:spacing w:after="200" w:line="276" w:lineRule="auto"/>
        <w:jc w:val="both"/>
        <w:rPr>
          <w:rFonts w:ascii="Times New Roman" w:hAnsi="Times New Roman" w:cs="Traditional Arabic"/>
          <w:color w:val="000000" w:themeColor="text1"/>
          <w:sz w:val="32"/>
          <w:szCs w:val="32"/>
        </w:rPr>
      </w:pPr>
      <w:r w:rsidRPr="00002AF3">
        <w:rPr>
          <w:rFonts w:ascii="Times New Roman" w:hAnsi="Times New Roman" w:cs="Traditional Arabic"/>
          <w:color w:val="000000" w:themeColor="text1"/>
          <w:sz w:val="32"/>
          <w:szCs w:val="32"/>
          <w:rtl/>
        </w:rPr>
        <w:t>اعتمدت الدراسة الحالية على أربعة أبعاد رئيسية للتحول الرقمي تتمثل في: التحول الاستراتيجي، والتحول الإداري، وتحول العمليات، ومركزية العملاء</w:t>
      </w:r>
      <w:r>
        <w:rPr>
          <w:rFonts w:ascii="Times New Roman" w:hAnsi="Times New Roman" w:cs="Traditional Arabic" w:hint="cs"/>
          <w:color w:val="000000" w:themeColor="text1"/>
          <w:sz w:val="32"/>
          <w:szCs w:val="32"/>
          <w:rtl/>
        </w:rPr>
        <w:t>،</w:t>
      </w:r>
      <w:r w:rsidRPr="00002AF3">
        <w:rPr>
          <w:rFonts w:ascii="Times New Roman" w:hAnsi="Times New Roman" w:cs="Traditional Arabic"/>
          <w:color w:val="000000" w:themeColor="text1"/>
          <w:sz w:val="32"/>
          <w:szCs w:val="32"/>
          <w:rtl/>
        </w:rPr>
        <w:t xml:space="preserve"> وقد تم تحديد هذه الأبعاد بناءً على التحليل المعمّق لما أفرزته الأدبيات الإدارية المتخصصة، حيث أسهمت دراسة</w:t>
      </w:r>
      <w:r w:rsidRPr="00002AF3">
        <w:rPr>
          <w:rFonts w:ascii="Times New Roman" w:hAnsi="Times New Roman" w:cs="Traditional Arabic"/>
          <w:color w:val="000000" w:themeColor="text1"/>
          <w:sz w:val="32"/>
          <w:szCs w:val="32"/>
        </w:rPr>
        <w:t xml:space="preserve"> </w:t>
      </w:r>
      <w:proofErr w:type="spellStart"/>
      <w:r w:rsidRPr="00002AF3">
        <w:rPr>
          <w:rFonts w:ascii="Times New Roman" w:hAnsi="Times New Roman" w:cs="Traditional Arabic"/>
          <w:color w:val="000000" w:themeColor="text1"/>
          <w:sz w:val="32"/>
          <w:szCs w:val="32"/>
        </w:rPr>
        <w:t>Bozintan</w:t>
      </w:r>
      <w:proofErr w:type="spellEnd"/>
      <w:r w:rsidRPr="00002AF3">
        <w:rPr>
          <w:rFonts w:ascii="Times New Roman" w:hAnsi="Times New Roman" w:cs="Traditional Arabic"/>
          <w:color w:val="000000" w:themeColor="text1"/>
          <w:sz w:val="32"/>
          <w:szCs w:val="32"/>
        </w:rPr>
        <w:t xml:space="preserve"> et al. (2023) </w:t>
      </w:r>
      <w:r w:rsidRPr="00002AF3">
        <w:rPr>
          <w:rFonts w:ascii="Times New Roman" w:hAnsi="Times New Roman" w:cs="Traditional Arabic"/>
          <w:color w:val="000000" w:themeColor="text1"/>
          <w:sz w:val="32"/>
          <w:szCs w:val="32"/>
          <w:rtl/>
        </w:rPr>
        <w:t>في تأصيل البعد الاستراتيجي للتحول الرقمي من خلال تحليلها للعلاقة العضوية بين التقنيات الرقمية وإعادة تشكيل منظومة الإدارة الاستراتيجية في المنظمات المعاصرة، فيما قدّمت دراسة الطيب (2024) إسهاماً مهماً في بلورة البعد الإداري من خلال معالجتها للتأثير الذي يُحدثه التحول الرقمي في البنية التنظيمية والثقافة المؤسسية والمرونة التنظيمية</w:t>
      </w:r>
      <w:r>
        <w:rPr>
          <w:rFonts w:ascii="Times New Roman" w:hAnsi="Times New Roman" w:cs="Traditional Arabic" w:hint="cs"/>
          <w:color w:val="000000" w:themeColor="text1"/>
          <w:sz w:val="32"/>
          <w:szCs w:val="32"/>
          <w:rtl/>
        </w:rPr>
        <w:t>،</w:t>
      </w:r>
      <w:r w:rsidRPr="00002AF3">
        <w:rPr>
          <w:rFonts w:ascii="Times New Roman" w:hAnsi="Times New Roman" w:cs="Traditional Arabic"/>
          <w:color w:val="000000" w:themeColor="text1"/>
          <w:sz w:val="32"/>
          <w:szCs w:val="32"/>
        </w:rPr>
        <w:t xml:space="preserve"> </w:t>
      </w:r>
      <w:r w:rsidRPr="00002AF3">
        <w:rPr>
          <w:rFonts w:ascii="Times New Roman" w:hAnsi="Times New Roman" w:cs="Traditional Arabic"/>
          <w:color w:val="000000" w:themeColor="text1"/>
          <w:sz w:val="32"/>
          <w:szCs w:val="32"/>
          <w:rtl/>
        </w:rPr>
        <w:t>كما أسّست دراسة</w:t>
      </w:r>
      <w:r w:rsidRPr="00002AF3">
        <w:rPr>
          <w:rFonts w:ascii="Times New Roman" w:hAnsi="Times New Roman" w:cs="Traditional Arabic"/>
          <w:color w:val="000000" w:themeColor="text1"/>
          <w:sz w:val="32"/>
          <w:szCs w:val="32"/>
        </w:rPr>
        <w:t xml:space="preserve"> Savchuk et al. (2024) </w:t>
      </w:r>
      <w:r w:rsidRPr="00002AF3">
        <w:rPr>
          <w:rFonts w:ascii="Times New Roman" w:hAnsi="Times New Roman" w:cs="Traditional Arabic"/>
          <w:color w:val="000000" w:themeColor="text1"/>
          <w:sz w:val="32"/>
          <w:szCs w:val="32"/>
          <w:rtl/>
        </w:rPr>
        <w:t>لبعد تحول العمليات عبر تحليلها لآليات دمج التقنيات الرقمية في تكامل العمليات التشغيلية وبناء منظومة قرارية فعّالة، بينما أسهمت دراسة</w:t>
      </w:r>
      <w:r w:rsidRPr="00002AF3">
        <w:rPr>
          <w:rFonts w:ascii="Times New Roman" w:hAnsi="Times New Roman" w:cs="Traditional Arabic"/>
          <w:color w:val="000000" w:themeColor="text1"/>
          <w:sz w:val="32"/>
          <w:szCs w:val="32"/>
        </w:rPr>
        <w:t xml:space="preserve"> Nguyen and Thanh Hoai (2022) </w:t>
      </w:r>
      <w:r w:rsidRPr="00002AF3">
        <w:rPr>
          <w:rFonts w:ascii="Times New Roman" w:hAnsi="Times New Roman" w:cs="Traditional Arabic"/>
          <w:color w:val="000000" w:themeColor="text1"/>
          <w:sz w:val="32"/>
          <w:szCs w:val="32"/>
          <w:rtl/>
        </w:rPr>
        <w:t>في تأطير بعد مركزية العملاء من خلال إبرازها للعلاقة بين التحول الرقمي والمسؤولية تجاه أصحاب المصلحة والمجتمع والبيئة</w:t>
      </w:r>
      <w:r>
        <w:rPr>
          <w:rFonts w:ascii="Times New Roman" w:hAnsi="Times New Roman" w:cs="Traditional Arabic" w:hint="cs"/>
          <w:color w:val="000000" w:themeColor="text1"/>
          <w:sz w:val="32"/>
          <w:szCs w:val="32"/>
          <w:rtl/>
        </w:rPr>
        <w:t>،</w:t>
      </w:r>
      <w:r w:rsidRPr="00002AF3">
        <w:rPr>
          <w:rFonts w:ascii="Times New Roman" w:hAnsi="Times New Roman" w:cs="Traditional Arabic"/>
          <w:color w:val="000000" w:themeColor="text1"/>
          <w:sz w:val="32"/>
          <w:szCs w:val="32"/>
          <w:rtl/>
        </w:rPr>
        <w:t xml:space="preserve"> وقد عزّزت دراسات كلٍّ من حماد </w:t>
      </w:r>
      <w:r w:rsidRPr="00002AF3">
        <w:rPr>
          <w:rFonts w:ascii="Times New Roman" w:hAnsi="Times New Roman" w:cs="Traditional Arabic"/>
          <w:color w:val="000000" w:themeColor="text1"/>
          <w:sz w:val="32"/>
          <w:szCs w:val="32"/>
        </w:rPr>
        <w:t xml:space="preserve">(2020) </w:t>
      </w:r>
      <w:r w:rsidRPr="00002AF3">
        <w:rPr>
          <w:rFonts w:ascii="Times New Roman" w:hAnsi="Times New Roman" w:cs="Traditional Arabic"/>
          <w:color w:val="000000" w:themeColor="text1"/>
          <w:sz w:val="32"/>
          <w:szCs w:val="32"/>
          <w:rtl/>
        </w:rPr>
        <w:t>وجاب الله وآخرون (2023) والعزب وآخرون (2023) و</w:t>
      </w:r>
      <w:r w:rsidRPr="00002AF3">
        <w:rPr>
          <w:rFonts w:ascii="Times New Roman" w:hAnsi="Times New Roman" w:cs="Traditional Arabic"/>
          <w:color w:val="000000" w:themeColor="text1"/>
          <w:sz w:val="32"/>
          <w:szCs w:val="32"/>
        </w:rPr>
        <w:t xml:space="preserve">Shirokova et al. (2020) </w:t>
      </w:r>
      <w:r w:rsidRPr="00002AF3">
        <w:rPr>
          <w:rFonts w:ascii="Times New Roman" w:hAnsi="Times New Roman" w:cs="Traditional Arabic"/>
          <w:color w:val="000000" w:themeColor="text1"/>
          <w:sz w:val="32"/>
          <w:szCs w:val="32"/>
          <w:rtl/>
        </w:rPr>
        <w:t>الأساس النظري لهذه الأبعاد من خلال معالجتها لجوانب متعددة من التحول الرقمي في سياقات تطبيقية متنوعة شملت القطاعين العام والخاص</w:t>
      </w:r>
      <w:r>
        <w:rPr>
          <w:rFonts w:ascii="Times New Roman" w:hAnsi="Times New Roman" w:cs="Traditional Arabic" w:hint="cs"/>
          <w:color w:val="000000" w:themeColor="text1"/>
          <w:sz w:val="32"/>
          <w:szCs w:val="32"/>
          <w:rtl/>
        </w:rPr>
        <w:t xml:space="preserve">، </w:t>
      </w:r>
      <w:r w:rsidRPr="00002AF3">
        <w:rPr>
          <w:rFonts w:ascii="Times New Roman" w:hAnsi="Times New Roman" w:cs="Traditional Arabic"/>
          <w:color w:val="000000" w:themeColor="text1"/>
          <w:sz w:val="32"/>
          <w:szCs w:val="32"/>
        </w:rPr>
        <w:t xml:space="preserve"> </w:t>
      </w:r>
      <w:r w:rsidRPr="00002AF3">
        <w:rPr>
          <w:rFonts w:ascii="Times New Roman" w:hAnsi="Times New Roman" w:cs="Traditional Arabic"/>
          <w:color w:val="000000" w:themeColor="text1"/>
          <w:sz w:val="32"/>
          <w:szCs w:val="32"/>
          <w:rtl/>
        </w:rPr>
        <w:t>ويرتكز اختيار هذه الأبعاد الأربعة على ملاءمتها لطبيعة وزارات الصناعة بدول مجلس التعاون الخليجي وقدرتها على استيعاب مستويات التحول المختلفة في إطار تحليلي شامل ومتّسق. وفيما يلي عرض تفصيلي لكل بُعد</w:t>
      </w:r>
      <w:r w:rsidRPr="00002AF3">
        <w:rPr>
          <w:rFonts w:ascii="Times New Roman" w:hAnsi="Times New Roman" w:cs="Traditional Arabic"/>
          <w:color w:val="000000" w:themeColor="text1"/>
          <w:sz w:val="32"/>
          <w:szCs w:val="32"/>
        </w:rPr>
        <w:t>:</w:t>
      </w:r>
    </w:p>
    <w:p w14:paraId="69D430E0" w14:textId="77777777" w:rsidR="00002AF3" w:rsidRPr="00002AF3" w:rsidRDefault="00002AF3" w:rsidP="00002AF3">
      <w:pPr>
        <w:bidi/>
        <w:spacing w:after="200" w:line="276" w:lineRule="auto"/>
        <w:jc w:val="both"/>
        <w:rPr>
          <w:rFonts w:ascii="Times New Roman" w:hAnsi="Times New Roman" w:cs="Traditional Arabic"/>
          <w:color w:val="000000" w:themeColor="text1"/>
          <w:sz w:val="32"/>
          <w:szCs w:val="32"/>
        </w:rPr>
      </w:pPr>
      <w:r w:rsidRPr="00002AF3">
        <w:rPr>
          <w:rFonts w:ascii="Times New Roman" w:hAnsi="Times New Roman" w:cs="Traditional Arabic"/>
          <w:b/>
          <w:bCs/>
          <w:color w:val="000000" w:themeColor="text1"/>
          <w:sz w:val="32"/>
          <w:szCs w:val="32"/>
          <w:rtl/>
        </w:rPr>
        <w:t>البُعد الأول: التحول الاستراتيجي</w:t>
      </w:r>
    </w:p>
    <w:p w14:paraId="563BA6F8" w14:textId="77777777" w:rsidR="00002AF3" w:rsidRDefault="00002AF3" w:rsidP="00002AF3">
      <w:pPr>
        <w:bidi/>
        <w:spacing w:after="200" w:line="276" w:lineRule="auto"/>
        <w:jc w:val="both"/>
        <w:rPr>
          <w:rFonts w:ascii="Times New Roman" w:hAnsi="Times New Roman" w:cs="Traditional Arabic"/>
          <w:color w:val="000000" w:themeColor="text1"/>
          <w:sz w:val="32"/>
          <w:szCs w:val="32"/>
          <w:rtl/>
        </w:rPr>
      </w:pPr>
      <w:r w:rsidRPr="00002AF3">
        <w:rPr>
          <w:rFonts w:ascii="Times New Roman" w:hAnsi="Times New Roman" w:cs="Traditional Arabic"/>
          <w:color w:val="000000" w:themeColor="text1"/>
          <w:sz w:val="32"/>
          <w:szCs w:val="32"/>
          <w:rtl/>
        </w:rPr>
        <w:t>يمثل التحول الاستراتيجي البعد الأكثر عمقاً وشمولية في منظومة التحول الرقمي، إذ يتصل بإعادة صياغة الرؤية المؤسسية والتوجهات الكبرى للمنظمة في ضوء ما تُتيحه التقنيات الرقمية المتقدمة من إمكانات غير مسبوقة وما تفرضه من تحديات تستوجب استجابات استراتيجية نوعية</w:t>
      </w:r>
      <w:r>
        <w:rPr>
          <w:rFonts w:ascii="Times New Roman" w:hAnsi="Times New Roman" w:cs="Traditional Arabic" w:hint="cs"/>
          <w:color w:val="000000" w:themeColor="text1"/>
          <w:sz w:val="32"/>
          <w:szCs w:val="32"/>
          <w:rtl/>
        </w:rPr>
        <w:t xml:space="preserve">، </w:t>
      </w:r>
      <w:r w:rsidRPr="00002AF3">
        <w:rPr>
          <w:rFonts w:ascii="Times New Roman" w:hAnsi="Times New Roman" w:cs="Traditional Arabic"/>
          <w:color w:val="000000" w:themeColor="text1"/>
          <w:sz w:val="32"/>
          <w:szCs w:val="32"/>
        </w:rPr>
        <w:t xml:space="preserve"> </w:t>
      </w:r>
      <w:r w:rsidRPr="00002AF3">
        <w:rPr>
          <w:rFonts w:ascii="Times New Roman" w:hAnsi="Times New Roman" w:cs="Traditional Arabic"/>
          <w:color w:val="000000" w:themeColor="text1"/>
          <w:sz w:val="32"/>
          <w:szCs w:val="32"/>
          <w:rtl/>
        </w:rPr>
        <w:t xml:space="preserve">ولا ينحصر مضمون هذا البعد في إدراج التقنية ضمن الخطط الاستراتيجية السائدة، بل يتجاوز ذلك إلى إعادة تعريف المنطق الاستراتيجي الذي تنتظم وفقه المنظمة، بحيث تتحول التقنية الرقمية من عنصر مساند هامشي إلى مكوّن بنيوي أصيل في </w:t>
      </w:r>
      <w:r w:rsidRPr="00002AF3">
        <w:rPr>
          <w:rFonts w:ascii="Times New Roman" w:hAnsi="Times New Roman" w:cs="Traditional Arabic"/>
          <w:color w:val="000000" w:themeColor="text1"/>
          <w:sz w:val="32"/>
          <w:szCs w:val="32"/>
          <w:rtl/>
        </w:rPr>
        <w:lastRenderedPageBreak/>
        <w:t>عملية صنع القرار الاستراتيجي وصياغة السياسات المستقبلية</w:t>
      </w:r>
      <w:r w:rsidRPr="00002AF3">
        <w:rPr>
          <w:rFonts w:ascii="Times New Roman" w:hAnsi="Times New Roman" w:cs="Traditional Arabic"/>
          <w:color w:val="000000" w:themeColor="text1"/>
          <w:sz w:val="32"/>
          <w:szCs w:val="32"/>
        </w:rPr>
        <w:t xml:space="preserve">. </w:t>
      </w:r>
      <w:r w:rsidRPr="00002AF3">
        <w:rPr>
          <w:rFonts w:ascii="Times New Roman" w:hAnsi="Times New Roman" w:cs="Traditional Arabic"/>
          <w:color w:val="000000" w:themeColor="text1"/>
          <w:sz w:val="32"/>
          <w:szCs w:val="32"/>
          <w:rtl/>
        </w:rPr>
        <w:t>ويستلزم ذلك من القيادات العليا امتلاك عقلية استراتيجية رقمية قادرة على استشراف الفرص الكامنة في التحولات التكنولوجية وترجمتها إلى مبادرات استراتيجية ملموسة، مع بناء قدرة مؤسسية على إعادة تقييم الافتراضات الاستراتيجية القائمة وتعديلها في ضوء المعطيات الرقمية المتجددة</w:t>
      </w:r>
      <w:r>
        <w:rPr>
          <w:rFonts w:ascii="Times New Roman" w:hAnsi="Times New Roman" w:cs="Traditional Arabic" w:hint="cs"/>
          <w:color w:val="000000" w:themeColor="text1"/>
          <w:sz w:val="32"/>
          <w:szCs w:val="32"/>
          <w:rtl/>
        </w:rPr>
        <w:t xml:space="preserve">، </w:t>
      </w:r>
      <w:r w:rsidRPr="00002AF3">
        <w:rPr>
          <w:rFonts w:ascii="Times New Roman" w:hAnsi="Times New Roman" w:cs="Traditional Arabic"/>
          <w:color w:val="000000" w:themeColor="text1"/>
          <w:sz w:val="32"/>
          <w:szCs w:val="32"/>
          <w:rtl/>
        </w:rPr>
        <w:t xml:space="preserve"> ويتضمن التحول الاستراتيجي عدة مكونات فرعية تشمل صياغة رؤية رقمية واضحة تتّسق مع الأهداف الاستراتيجية الكلية للمنظمة، ومواءمة الموارد والكفاءات المؤسسية مع متطلبات البيئة الرقمية، وتطوير نماذج عمل مبتكرة تستثمر القدرات الرقمية في خلق قيمة مضافة لأصحاب المصلحة، فضلاً عن بناء شراكات استراتيجية مع الفاعلين في المنظومة الرقمية. </w:t>
      </w:r>
    </w:p>
    <w:p w14:paraId="0C63E6C2" w14:textId="6F8ED985" w:rsidR="00002AF3" w:rsidRPr="00002AF3" w:rsidRDefault="00002AF3" w:rsidP="00002AF3">
      <w:pPr>
        <w:bidi/>
        <w:spacing w:after="200" w:line="276" w:lineRule="auto"/>
        <w:jc w:val="both"/>
        <w:rPr>
          <w:rFonts w:ascii="Times New Roman" w:hAnsi="Times New Roman" w:cs="Traditional Arabic"/>
          <w:color w:val="000000" w:themeColor="text1"/>
          <w:sz w:val="32"/>
          <w:szCs w:val="32"/>
        </w:rPr>
      </w:pPr>
      <w:r w:rsidRPr="00002AF3">
        <w:rPr>
          <w:rFonts w:ascii="Times New Roman" w:hAnsi="Times New Roman" w:cs="Traditional Arabic"/>
          <w:color w:val="000000" w:themeColor="text1"/>
          <w:sz w:val="32"/>
          <w:szCs w:val="32"/>
          <w:rtl/>
        </w:rPr>
        <w:t>وفي سياق وزارات الصناعة بدول مجلس التعاون الخليجي، يكتسب هذا البعد أهمية استثنائية نظراً لارتباطه المباشر بالرؤى الوطنية الطموحة التي تتبناها هذه الدول، حيث يتطلب تحقيق أهداف التنويع الاقتصادي وتطوير القطاع الصناعي وجود رؤية استراتيجية رقمية واضحة على مستوى هذه الوزارات تُمكّنها من قيادة التحول الصناعي الرقمي وتوجيهه بما يخدم الأهداف التنموية الوطنية</w:t>
      </w:r>
      <w:r w:rsidRPr="00002AF3">
        <w:rPr>
          <w:rFonts w:ascii="Times New Roman" w:hAnsi="Times New Roman" w:cs="Traditional Arabic"/>
          <w:color w:val="000000" w:themeColor="text1"/>
          <w:sz w:val="32"/>
          <w:szCs w:val="32"/>
        </w:rPr>
        <w:t>.</w:t>
      </w:r>
    </w:p>
    <w:p w14:paraId="6F984ABC" w14:textId="77777777" w:rsidR="00002AF3" w:rsidRPr="00002AF3" w:rsidRDefault="00002AF3" w:rsidP="00002AF3">
      <w:pPr>
        <w:bidi/>
        <w:spacing w:after="200" w:line="276" w:lineRule="auto"/>
        <w:jc w:val="both"/>
        <w:rPr>
          <w:rFonts w:ascii="Times New Roman" w:hAnsi="Times New Roman" w:cs="Traditional Arabic"/>
          <w:color w:val="000000" w:themeColor="text1"/>
          <w:sz w:val="32"/>
          <w:szCs w:val="32"/>
        </w:rPr>
      </w:pPr>
      <w:r w:rsidRPr="00002AF3">
        <w:rPr>
          <w:rFonts w:ascii="Times New Roman" w:hAnsi="Times New Roman" w:cs="Traditional Arabic"/>
          <w:b/>
          <w:bCs/>
          <w:color w:val="000000" w:themeColor="text1"/>
          <w:sz w:val="32"/>
          <w:szCs w:val="32"/>
          <w:rtl/>
        </w:rPr>
        <w:t>البُعد الثاني: التحول الإداري</w:t>
      </w:r>
    </w:p>
    <w:p w14:paraId="0CBBBE85" w14:textId="77777777" w:rsidR="00002AF3" w:rsidRDefault="00002AF3" w:rsidP="00002AF3">
      <w:pPr>
        <w:bidi/>
        <w:spacing w:after="200" w:line="276" w:lineRule="auto"/>
        <w:jc w:val="both"/>
        <w:rPr>
          <w:rFonts w:ascii="Times New Roman" w:hAnsi="Times New Roman" w:cs="Traditional Arabic"/>
          <w:color w:val="000000" w:themeColor="text1"/>
          <w:sz w:val="32"/>
          <w:szCs w:val="32"/>
          <w:rtl/>
        </w:rPr>
      </w:pPr>
      <w:r w:rsidRPr="00002AF3">
        <w:rPr>
          <w:rFonts w:ascii="Times New Roman" w:hAnsi="Times New Roman" w:cs="Traditional Arabic"/>
          <w:color w:val="000000" w:themeColor="text1"/>
          <w:sz w:val="32"/>
          <w:szCs w:val="32"/>
          <w:rtl/>
        </w:rPr>
        <w:t>يتناول التحول الإداري إعادة هيكلة البنية التنظيمية والأنظمة الإدارية والثقافة المؤسسية بصورة جذرية تتلاءم مع طبيعة العصر الرقمي ومتطلباته. ويتجاوز هذا البعد مفهوم التحديث الإداري التقليدي الذي يقتصر على تعديلات شكلية في الهياكل والإجراءات، ليصل إلى إعادة تصوّر شاملة لطريقة تنظيم العمل وتوزيع الصلاحيات وتدفق المعلومات وصنع القرار داخل المنظمة</w:t>
      </w:r>
      <w:r>
        <w:rPr>
          <w:rFonts w:ascii="Times New Roman" w:hAnsi="Times New Roman" w:cs="Traditional Arabic" w:hint="cs"/>
          <w:color w:val="000000" w:themeColor="text1"/>
          <w:sz w:val="32"/>
          <w:szCs w:val="32"/>
          <w:rtl/>
        </w:rPr>
        <w:t xml:space="preserve">، </w:t>
      </w:r>
      <w:r w:rsidRPr="00002AF3">
        <w:rPr>
          <w:rFonts w:ascii="Times New Roman" w:hAnsi="Times New Roman" w:cs="Traditional Arabic"/>
          <w:color w:val="000000" w:themeColor="text1"/>
          <w:sz w:val="32"/>
          <w:szCs w:val="32"/>
          <w:rtl/>
        </w:rPr>
        <w:t xml:space="preserve"> ويتطلب التحول الإداري الناجح تحقيق التوازن بين ثلاثة عناصر متكاملة: إعادة تصميم الهياكل التنظيمية بما يُقلّل من المستويات الإدارية الوسيطة ويُعزّز التواصل الأفقي بين الوحدات التنظيمية ويُتيح مرونة أكبر في الاستجابة للمتغيرات، وتطوير أنظمة الحوكمة المؤسسية بما يضمن الشفافية والمساءلة في بيئة العمل الرقمية الجديدة، وبناء ثقافة تنظيمية داعمة للتحول تنظر إلى التغيير الرقمي بوصفه فرصة للتطوير وليس تهديداً للاستقرار الوظيفي. </w:t>
      </w:r>
    </w:p>
    <w:p w14:paraId="4077F938" w14:textId="2D8266ED" w:rsidR="00002AF3" w:rsidRPr="00002AF3" w:rsidRDefault="00002AF3" w:rsidP="00002AF3">
      <w:pPr>
        <w:bidi/>
        <w:spacing w:after="200" w:line="276" w:lineRule="auto"/>
        <w:jc w:val="both"/>
        <w:rPr>
          <w:rFonts w:ascii="Times New Roman" w:hAnsi="Times New Roman" w:cs="Traditional Arabic"/>
          <w:color w:val="000000" w:themeColor="text1"/>
          <w:sz w:val="32"/>
          <w:szCs w:val="32"/>
        </w:rPr>
      </w:pPr>
      <w:r w:rsidRPr="00002AF3">
        <w:rPr>
          <w:rFonts w:ascii="Times New Roman" w:hAnsi="Times New Roman" w:cs="Traditional Arabic"/>
          <w:color w:val="000000" w:themeColor="text1"/>
          <w:sz w:val="32"/>
          <w:szCs w:val="32"/>
          <w:rtl/>
        </w:rPr>
        <w:t>ويُعدّ تمكين الموارد البشرية من أبرز ركائز التحول الإداري، حيث يستلزم إعادة تصميم منظومة إدارة الموارد البشرية بأكملها لتتوافق مع طبيعة بيئة العمل الرقمية، بما يشمل تطوير آليات الاستقطاب والتأهيل والتدريب المستمر وتقييم الأداء والتحفيز، مع التركيز على بناء الكفاءات الرقمية وتعزيز قدرات التفكير التحليلي والإبداعي لدى العاملين</w:t>
      </w:r>
      <w:r>
        <w:rPr>
          <w:rFonts w:ascii="Times New Roman" w:hAnsi="Times New Roman" w:cs="Traditional Arabic" w:hint="cs"/>
          <w:color w:val="000000" w:themeColor="text1"/>
          <w:sz w:val="32"/>
          <w:szCs w:val="32"/>
          <w:rtl/>
        </w:rPr>
        <w:t>،</w:t>
      </w:r>
      <w:r w:rsidRPr="00002AF3">
        <w:rPr>
          <w:rFonts w:ascii="Times New Roman" w:hAnsi="Times New Roman" w:cs="Traditional Arabic"/>
          <w:color w:val="000000" w:themeColor="text1"/>
          <w:sz w:val="32"/>
          <w:szCs w:val="32"/>
          <w:rtl/>
        </w:rPr>
        <w:t xml:space="preserve"> كما يستلزم التحول الإداري تحويل نمط القيادة من النمط الهرمي التقليدي القائم </w:t>
      </w:r>
      <w:r w:rsidRPr="00002AF3">
        <w:rPr>
          <w:rFonts w:ascii="Times New Roman" w:hAnsi="Times New Roman" w:cs="Traditional Arabic"/>
          <w:color w:val="000000" w:themeColor="text1"/>
          <w:sz w:val="32"/>
          <w:szCs w:val="32"/>
          <w:rtl/>
        </w:rPr>
        <w:lastRenderedPageBreak/>
        <w:t>على السلطة الرسمية والرقابة المباشرة إلى نمط القيادة الرقمية التشاركية التي تعتمد على التمكين والتفويض وبناء فرق العمل متعددة التخصصات. وفي سياق وزارات الصناعة الخليجية، يواجه التحول الإداري تحديات خاصة ترتبط بطبيعة الثقافة البيروقراطية الراسخة في القطاع الحكومي والتي تميل إلى المركزية والتراتبية والتمسك بالإجراءات الرسمية، مما يستوجب جهوداً مضاعفة في إدارة التغيير الثقافي وكسر مقاومة التحول لدى بعض المستويات الإدارية</w:t>
      </w:r>
      <w:r w:rsidRPr="00002AF3">
        <w:rPr>
          <w:rFonts w:ascii="Times New Roman" w:hAnsi="Times New Roman" w:cs="Traditional Arabic"/>
          <w:color w:val="000000" w:themeColor="text1"/>
          <w:sz w:val="32"/>
          <w:szCs w:val="32"/>
        </w:rPr>
        <w:t>.</w:t>
      </w:r>
    </w:p>
    <w:p w14:paraId="55A0BAF9" w14:textId="77777777" w:rsidR="00002AF3" w:rsidRPr="00002AF3" w:rsidRDefault="00002AF3" w:rsidP="00002AF3">
      <w:pPr>
        <w:bidi/>
        <w:spacing w:after="200" w:line="276" w:lineRule="auto"/>
        <w:jc w:val="both"/>
        <w:rPr>
          <w:rFonts w:ascii="Times New Roman" w:hAnsi="Times New Roman" w:cs="Traditional Arabic"/>
          <w:color w:val="000000" w:themeColor="text1"/>
          <w:sz w:val="32"/>
          <w:szCs w:val="32"/>
        </w:rPr>
      </w:pPr>
      <w:r w:rsidRPr="00002AF3">
        <w:rPr>
          <w:rFonts w:ascii="Times New Roman" w:hAnsi="Times New Roman" w:cs="Traditional Arabic"/>
          <w:b/>
          <w:bCs/>
          <w:color w:val="000000" w:themeColor="text1"/>
          <w:sz w:val="32"/>
          <w:szCs w:val="32"/>
          <w:rtl/>
        </w:rPr>
        <w:t>البُعد الثالث: تحول العمليات</w:t>
      </w:r>
    </w:p>
    <w:p w14:paraId="173C2CF8" w14:textId="774A2605" w:rsidR="00002AF3" w:rsidRDefault="00002AF3" w:rsidP="00002AF3">
      <w:pPr>
        <w:bidi/>
        <w:spacing w:after="200" w:line="276" w:lineRule="auto"/>
        <w:jc w:val="both"/>
        <w:rPr>
          <w:rFonts w:ascii="Times New Roman" w:hAnsi="Times New Roman" w:cs="Traditional Arabic"/>
          <w:color w:val="000000" w:themeColor="text1"/>
          <w:sz w:val="32"/>
          <w:szCs w:val="32"/>
          <w:rtl/>
        </w:rPr>
      </w:pPr>
      <w:r w:rsidRPr="00002AF3">
        <w:rPr>
          <w:rFonts w:ascii="Times New Roman" w:hAnsi="Times New Roman" w:cs="Traditional Arabic"/>
          <w:color w:val="000000" w:themeColor="text1"/>
          <w:sz w:val="32"/>
          <w:szCs w:val="32"/>
          <w:rtl/>
        </w:rPr>
        <w:t xml:space="preserve">يُعنى بُعد تحول العمليات بإعادة تصميم العمليات التشغيلية والإجراءات الإدارية </w:t>
      </w:r>
      <w:proofErr w:type="spellStart"/>
      <w:r w:rsidRPr="00002AF3">
        <w:rPr>
          <w:rFonts w:ascii="Times New Roman" w:hAnsi="Times New Roman" w:cs="Traditional Arabic"/>
          <w:color w:val="000000" w:themeColor="text1"/>
          <w:sz w:val="32"/>
          <w:szCs w:val="32"/>
          <w:rtl/>
        </w:rPr>
        <w:t>وأتمتتها</w:t>
      </w:r>
      <w:proofErr w:type="spellEnd"/>
      <w:r w:rsidRPr="00002AF3">
        <w:rPr>
          <w:rFonts w:ascii="Times New Roman" w:hAnsi="Times New Roman" w:cs="Traditional Arabic"/>
          <w:color w:val="000000" w:themeColor="text1"/>
          <w:sz w:val="32"/>
          <w:szCs w:val="32"/>
          <w:rtl/>
        </w:rPr>
        <w:t xml:space="preserve"> وتحسينها من خلال التوظيف المنهجي للتقنيات الرقمية </w:t>
      </w:r>
      <w:r w:rsidR="00ED4FE6" w:rsidRPr="00002AF3">
        <w:rPr>
          <w:rFonts w:ascii="Times New Roman" w:hAnsi="Times New Roman" w:cs="Traditional Arabic" w:hint="cs"/>
          <w:color w:val="000000" w:themeColor="text1"/>
          <w:sz w:val="32"/>
          <w:szCs w:val="32"/>
          <w:rtl/>
        </w:rPr>
        <w:t>المتقدمة</w:t>
      </w:r>
      <w:r w:rsidR="00ED4FE6">
        <w:rPr>
          <w:rFonts w:ascii="Times New Roman" w:hAnsi="Times New Roman" w:cs="Traditional Arabic" w:hint="cs"/>
          <w:color w:val="000000" w:themeColor="text1"/>
          <w:sz w:val="32"/>
          <w:szCs w:val="32"/>
          <w:rtl/>
        </w:rPr>
        <w:t xml:space="preserve">، </w:t>
      </w:r>
      <w:r w:rsidR="00ED4FE6" w:rsidRPr="00002AF3">
        <w:rPr>
          <w:rFonts w:ascii="Times New Roman" w:hAnsi="Times New Roman" w:cs="Traditional Arabic" w:hint="cs"/>
          <w:color w:val="000000" w:themeColor="text1"/>
          <w:sz w:val="32"/>
          <w:szCs w:val="32"/>
          <w:rtl/>
        </w:rPr>
        <w:t>ويمثل</w:t>
      </w:r>
      <w:r w:rsidRPr="00002AF3">
        <w:rPr>
          <w:rFonts w:ascii="Times New Roman" w:hAnsi="Times New Roman" w:cs="Traditional Arabic"/>
          <w:color w:val="000000" w:themeColor="text1"/>
          <w:sz w:val="32"/>
          <w:szCs w:val="32"/>
          <w:rtl/>
        </w:rPr>
        <w:t xml:space="preserve"> هذا البعد الوجه التطبيقي الأكثر ملموسية في منظومة التحول الرقمي، إذ يتعامل مباشرة مع الإجراءات اليومية التي تُشكّل العمود الفقري لعمل المنظمة وتُحدّد مستوى كفاءتها التشغيلية وجودة مخرجاتها. ولا يعني تحول العمليات مجرد </w:t>
      </w:r>
      <w:proofErr w:type="spellStart"/>
      <w:r w:rsidRPr="00002AF3">
        <w:rPr>
          <w:rFonts w:ascii="Times New Roman" w:hAnsi="Times New Roman" w:cs="Traditional Arabic"/>
          <w:color w:val="000000" w:themeColor="text1"/>
          <w:sz w:val="32"/>
          <w:szCs w:val="32"/>
          <w:rtl/>
        </w:rPr>
        <w:t>رقمنة</w:t>
      </w:r>
      <w:proofErr w:type="spellEnd"/>
      <w:r w:rsidRPr="00002AF3">
        <w:rPr>
          <w:rFonts w:ascii="Times New Roman" w:hAnsi="Times New Roman" w:cs="Traditional Arabic"/>
          <w:color w:val="000000" w:themeColor="text1"/>
          <w:sz w:val="32"/>
          <w:szCs w:val="32"/>
          <w:rtl/>
        </w:rPr>
        <w:t xml:space="preserve"> الإجراءات الورقية القائمة ونقلها إلى بيئة إلكترونية مع الإبقاء على منطقها التقليدي، بل يتطلب إعادة هندسة هذه العمليات من الأساس وفق منطق رقمي جديد يُراعي كفاءة التدفق وسرعة الإنجاز وتقليل الهدر وشفافية المتابعة. ويشمل تحول العمليات عدة مكونات جوهرية تتضمن أتمتة سير العمل والإجراءات الروتينية المتكررة، وتطبيق نظم تخطيط الموارد المؤسسية التي تربط بين العمليات المالية والإدارية والتشغيلية في منصة موحّدة، وتوظيف تقنيات الذكاء الاصطناعي وتحليلات البيانات الضخمة في تحسين كفاءة العمليات والتنبؤ بالمشكلات التشغيلية قبل وقوعها، فضلاً عن بناء منصات رقمية لإدارة المعرفة التنظيمية تُتيح توثيق الإجراءات والممارسات الفضلى وإتاحتها للعاملين. </w:t>
      </w:r>
    </w:p>
    <w:p w14:paraId="61BFE819" w14:textId="77777777" w:rsidR="00002AF3" w:rsidRDefault="00002AF3" w:rsidP="00002AF3">
      <w:pPr>
        <w:bidi/>
        <w:spacing w:after="200" w:line="276" w:lineRule="auto"/>
        <w:jc w:val="both"/>
        <w:rPr>
          <w:rFonts w:ascii="Times New Roman" w:hAnsi="Times New Roman" w:cs="Traditional Arabic"/>
          <w:color w:val="000000" w:themeColor="text1"/>
          <w:sz w:val="32"/>
          <w:szCs w:val="32"/>
          <w:rtl/>
        </w:rPr>
      </w:pPr>
      <w:r w:rsidRPr="00002AF3">
        <w:rPr>
          <w:rFonts w:ascii="Times New Roman" w:hAnsi="Times New Roman" w:cs="Traditional Arabic"/>
          <w:color w:val="000000" w:themeColor="text1"/>
          <w:sz w:val="32"/>
          <w:szCs w:val="32"/>
          <w:rtl/>
        </w:rPr>
        <w:t xml:space="preserve">ويهدف هذا البعد في جوهره إلى بناء منظومة تشغيلية رقمية متكاملة تتجاوز حالة التجزئة والعزلة التقليدية بين الإدارات والعمليات المختلفة، بحيث تتدفق البيانات والمعلومات عبر العمليات بصورة آنية ومترابطة تُغذّي عملية صنع القرار بمعلومات دقيقة ومحدّثة باستمرار. </w:t>
      </w:r>
    </w:p>
    <w:p w14:paraId="1231D64D" w14:textId="7A95D957" w:rsidR="00002AF3" w:rsidRPr="00002AF3" w:rsidRDefault="00002AF3" w:rsidP="00002AF3">
      <w:pPr>
        <w:bidi/>
        <w:spacing w:after="200" w:line="276" w:lineRule="auto"/>
        <w:jc w:val="both"/>
        <w:rPr>
          <w:rFonts w:ascii="Times New Roman" w:hAnsi="Times New Roman" w:cs="Traditional Arabic"/>
          <w:color w:val="000000" w:themeColor="text1"/>
          <w:sz w:val="32"/>
          <w:szCs w:val="32"/>
        </w:rPr>
      </w:pPr>
      <w:r w:rsidRPr="00002AF3">
        <w:rPr>
          <w:rFonts w:ascii="Times New Roman" w:hAnsi="Times New Roman" w:cs="Traditional Arabic"/>
          <w:color w:val="000000" w:themeColor="text1"/>
          <w:sz w:val="32"/>
          <w:szCs w:val="32"/>
          <w:rtl/>
        </w:rPr>
        <w:t>وفي سياق وزارات الصناعة بدول مجلس التعاون الخليجي، يكتسب تحول العمليات أهمية بالغة نظراً لتشعّب الإجراءات المرتبطة بالتراخيص الصناعية والتفتيش على المنشآت ومتابعة الالتزام بالمعايير البيئية والصحية وإعداد التقارير الصناعية الدورية، وهي إجراءات كانت تتّسم تقليدياً بالبطء والتعقيد وتعدد المراجعات، مما يجعل تحويلها رقمياً ضرورة ملحّة لرفع كفاءة هذه الوزارات وتحسين تجربة المستفيدين من خدماتها</w:t>
      </w:r>
      <w:r w:rsidRPr="00002AF3">
        <w:rPr>
          <w:rFonts w:ascii="Times New Roman" w:hAnsi="Times New Roman" w:cs="Traditional Arabic"/>
          <w:color w:val="000000" w:themeColor="text1"/>
          <w:sz w:val="32"/>
          <w:szCs w:val="32"/>
        </w:rPr>
        <w:t>.</w:t>
      </w:r>
    </w:p>
    <w:p w14:paraId="1CF6F468" w14:textId="77777777" w:rsidR="00002AF3" w:rsidRPr="00002AF3" w:rsidRDefault="00002AF3" w:rsidP="00002AF3">
      <w:pPr>
        <w:bidi/>
        <w:spacing w:after="200" w:line="276" w:lineRule="auto"/>
        <w:jc w:val="both"/>
        <w:rPr>
          <w:rFonts w:ascii="Times New Roman" w:hAnsi="Times New Roman" w:cs="Traditional Arabic"/>
          <w:color w:val="000000" w:themeColor="text1"/>
          <w:sz w:val="32"/>
          <w:szCs w:val="32"/>
        </w:rPr>
      </w:pPr>
      <w:r w:rsidRPr="00002AF3">
        <w:rPr>
          <w:rFonts w:ascii="Times New Roman" w:hAnsi="Times New Roman" w:cs="Traditional Arabic"/>
          <w:b/>
          <w:bCs/>
          <w:color w:val="000000" w:themeColor="text1"/>
          <w:sz w:val="32"/>
          <w:szCs w:val="32"/>
          <w:rtl/>
        </w:rPr>
        <w:lastRenderedPageBreak/>
        <w:t>البُعد الرابع: مركزية العملاء</w:t>
      </w:r>
    </w:p>
    <w:p w14:paraId="033320BB" w14:textId="77777777" w:rsidR="00002AF3" w:rsidRDefault="00002AF3" w:rsidP="00002AF3">
      <w:pPr>
        <w:bidi/>
        <w:spacing w:after="200" w:line="276" w:lineRule="auto"/>
        <w:jc w:val="both"/>
        <w:rPr>
          <w:rFonts w:ascii="Times New Roman" w:hAnsi="Times New Roman" w:cs="Traditional Arabic"/>
          <w:color w:val="000000" w:themeColor="text1"/>
          <w:sz w:val="32"/>
          <w:szCs w:val="32"/>
          <w:rtl/>
        </w:rPr>
      </w:pPr>
      <w:r w:rsidRPr="00002AF3">
        <w:rPr>
          <w:rFonts w:ascii="Times New Roman" w:hAnsi="Times New Roman" w:cs="Traditional Arabic"/>
          <w:color w:val="000000" w:themeColor="text1"/>
          <w:sz w:val="32"/>
          <w:szCs w:val="32"/>
          <w:rtl/>
        </w:rPr>
        <w:t>يتناول بُعد مركزية العملاء إعادة توجيه المنظمة بأكملها نحو تلبية احتياجات المستفيدين وتوقعاتهم وتحسين تجربتهم في ضوء القدرات التي تُتيحها التقنيات الرقمية المتقدمة</w:t>
      </w:r>
      <w:r>
        <w:rPr>
          <w:rFonts w:ascii="Times New Roman" w:hAnsi="Times New Roman" w:cs="Traditional Arabic" w:hint="cs"/>
          <w:color w:val="000000" w:themeColor="text1"/>
          <w:sz w:val="32"/>
          <w:szCs w:val="32"/>
          <w:rtl/>
        </w:rPr>
        <w:t>،</w:t>
      </w:r>
      <w:r w:rsidRPr="00002AF3">
        <w:rPr>
          <w:rFonts w:ascii="Times New Roman" w:hAnsi="Times New Roman" w:cs="Traditional Arabic"/>
          <w:color w:val="000000" w:themeColor="text1"/>
          <w:sz w:val="32"/>
          <w:szCs w:val="32"/>
          <w:rtl/>
        </w:rPr>
        <w:t xml:space="preserve"> ويستلزم هذا البعد تحولاً جوهرياً في فلسفة المنظمة من التركيز على الإجراءات الداخلية والكفاءة التشغيلية بوصفها غاية في ذاتها، إلى التركيز على المستفيد النهائي ورضاه بوصفه المعيار الأساسي لقياس نجاح المنظمة وفاعليتها. </w:t>
      </w:r>
    </w:p>
    <w:p w14:paraId="26DCBA6A" w14:textId="77777777" w:rsidR="00002AF3" w:rsidRDefault="00002AF3" w:rsidP="00002AF3">
      <w:pPr>
        <w:bidi/>
        <w:spacing w:after="200" w:line="276" w:lineRule="auto"/>
        <w:jc w:val="both"/>
        <w:rPr>
          <w:rFonts w:ascii="Times New Roman" w:hAnsi="Times New Roman" w:cs="Traditional Arabic"/>
          <w:color w:val="000000" w:themeColor="text1"/>
          <w:sz w:val="32"/>
          <w:szCs w:val="32"/>
          <w:rtl/>
        </w:rPr>
      </w:pPr>
      <w:r w:rsidRPr="00002AF3">
        <w:rPr>
          <w:rFonts w:ascii="Times New Roman" w:hAnsi="Times New Roman" w:cs="Traditional Arabic"/>
          <w:color w:val="000000" w:themeColor="text1"/>
          <w:sz w:val="32"/>
          <w:szCs w:val="32"/>
          <w:rtl/>
        </w:rPr>
        <w:t xml:space="preserve">وفي سياق المنظمات الحكومية، يتّسع مفهوم العملاء ليشمل مختلف أصحاب المصلحة من مواطنين ومقيمين ومنشآت صناعية ومستثمرين محليين ودوليين وجهات حكومية أخرى ومنظمات مجتمع مدني، ولكل فئة من هذه الفئات احتياجات وتوقعات مختلفة ينبغي فهمها والاستجابة لها بصورة متمايزة. </w:t>
      </w:r>
    </w:p>
    <w:p w14:paraId="263B03B2" w14:textId="77777777" w:rsidR="00002AF3" w:rsidRDefault="00002AF3" w:rsidP="00002AF3">
      <w:pPr>
        <w:bidi/>
        <w:spacing w:after="200" w:line="276" w:lineRule="auto"/>
        <w:jc w:val="both"/>
        <w:rPr>
          <w:rFonts w:ascii="Times New Roman" w:hAnsi="Times New Roman" w:cs="Traditional Arabic"/>
          <w:b/>
          <w:bCs/>
          <w:color w:val="000000" w:themeColor="text1"/>
          <w:sz w:val="32"/>
          <w:szCs w:val="32"/>
          <w:rtl/>
        </w:rPr>
      </w:pPr>
      <w:r w:rsidRPr="00002AF3">
        <w:rPr>
          <w:rFonts w:ascii="Times New Roman" w:hAnsi="Times New Roman" w:cs="Traditional Arabic"/>
          <w:color w:val="000000" w:themeColor="text1"/>
          <w:sz w:val="32"/>
          <w:szCs w:val="32"/>
          <w:rtl/>
        </w:rPr>
        <w:t>ويتضمن هذا البعد عدة مكونات جوهرية تشمل تطوير قنوات رقمية متعددة للتفاعل مع المستفيدين تُراعي تنوع تفضيلاتهم وقدراتهم التقنية، وتصميم رحلة المستفيد الرقمية بصورة سلسة ومتكاملة تُقلّل من عدد الخطوات والمتطلبات اللازمة للحصول على الخدمة، وبناء آليات رقمية لجمع التغذية الراجعة من المستفيدين وتحليلها واستثمارها في التحسين المستمر للخدمات، فضلاً عن إتاحة البيانات والمعلومات الحكومية للجمهور بصورة شفافة تُعزّز الثقة والمشاركة المجتمعية. ويمتد بُعد مركزية العملاء في إطار التحول الرقمي ليشمل البعد الأخلاقي والبيئي، حيث يتعيّن على المنظمة مراعاة مصالح المجتمع والبيئة في قراراتها وخدماتها وليس فقط المستفيدين المباشرين، مما يعني أن مركزية العملاء لا تعني الاستجابة العمياء لرغباتهم بل تعني تقديم خدمات مسؤولة تُوازن بين المصالح المتعددة</w:t>
      </w:r>
      <w:r w:rsidRPr="00002AF3">
        <w:rPr>
          <w:rFonts w:ascii="Times New Roman" w:hAnsi="Times New Roman" w:cs="Traditional Arabic"/>
          <w:color w:val="000000" w:themeColor="text1"/>
          <w:sz w:val="32"/>
          <w:szCs w:val="32"/>
        </w:rPr>
        <w:t xml:space="preserve">. </w:t>
      </w:r>
      <w:r w:rsidRPr="00002AF3">
        <w:rPr>
          <w:rFonts w:ascii="Times New Roman" w:hAnsi="Times New Roman" w:cs="Traditional Arabic"/>
          <w:color w:val="000000" w:themeColor="text1"/>
          <w:sz w:val="32"/>
          <w:szCs w:val="32"/>
          <w:rtl/>
        </w:rPr>
        <w:t>وفي سياق وزارات الصناعة بدول مجلس التعاون الخليجي، يتجسد هذا البعد في تطوير منصات رقمية شاملة تُمكّن المستثمرين الصناعيين من الحصول على التراخيص والخدمات إلكترونياً بسلاسة وشفافية، وتوفير بوابات بيانات مفتوحة تُتيح الاطلاع على المؤشرات الصناعية والسياسات التنظيمية ومتطلبات الامتثال، وإنشاء قنوات تواصل رقمية تفاعلية تُمكّن القطاع الصناعي من المشاركة في صياغة السياسات الصناعية وتقييم جودة الخدمات المقدمة من هذه الوزارات، وهو ما يربط هذا البعد ربطاً مباشراً بالشفافية المعلوماتية التي تمثل المتغير الوسيط في الدراسة الحالية</w:t>
      </w:r>
      <w:r w:rsidRPr="00002AF3">
        <w:rPr>
          <w:rFonts w:ascii="Times New Roman" w:hAnsi="Times New Roman" w:cs="Traditional Arabic"/>
          <w:color w:val="000000" w:themeColor="text1"/>
          <w:sz w:val="32"/>
          <w:szCs w:val="32"/>
        </w:rPr>
        <w:t>.</w:t>
      </w:r>
    </w:p>
    <w:p w14:paraId="4755FF72" w14:textId="6B4612C5" w:rsidR="00002AF3" w:rsidRDefault="00002AF3" w:rsidP="00002AF3">
      <w:pPr>
        <w:bidi/>
        <w:spacing w:after="200" w:line="276" w:lineRule="auto"/>
        <w:jc w:val="both"/>
        <w:rPr>
          <w:rFonts w:ascii="Times New Roman" w:hAnsi="Times New Roman" w:cs="Traditional Arabic"/>
          <w:color w:val="000000" w:themeColor="text1"/>
          <w:sz w:val="32"/>
          <w:szCs w:val="32"/>
          <w:rtl/>
        </w:rPr>
      </w:pPr>
      <w:r>
        <w:rPr>
          <w:rFonts w:ascii="Times New Roman" w:hAnsi="Times New Roman" w:cs="Traditional Arabic" w:hint="cs"/>
          <w:color w:val="000000" w:themeColor="text1"/>
          <w:sz w:val="32"/>
          <w:szCs w:val="32"/>
          <w:rtl/>
          <w:lang w:bidi="ar-EG"/>
        </w:rPr>
        <w:t>وي</w:t>
      </w:r>
      <w:proofErr w:type="spellStart"/>
      <w:r w:rsidRPr="00002AF3">
        <w:rPr>
          <w:rFonts w:ascii="Times New Roman" w:hAnsi="Times New Roman" w:cs="Traditional Arabic"/>
          <w:color w:val="000000" w:themeColor="text1"/>
          <w:sz w:val="32"/>
          <w:szCs w:val="32"/>
          <w:rtl/>
        </w:rPr>
        <w:t>رى</w:t>
      </w:r>
      <w:proofErr w:type="spellEnd"/>
      <w:r w:rsidRPr="00002AF3">
        <w:rPr>
          <w:rFonts w:ascii="Times New Roman" w:hAnsi="Times New Roman" w:cs="Traditional Arabic"/>
          <w:color w:val="000000" w:themeColor="text1"/>
          <w:sz w:val="32"/>
          <w:szCs w:val="32"/>
          <w:rtl/>
        </w:rPr>
        <w:t xml:space="preserve"> الباحث أن هذه الأبعاد الأربعة لا تعمل بصورة منعزلة عن بعضها البعض، بل تترابط في منظومة تكاملية يُغذّي فيها كل بعد الأبعاد الأخرى ويتأثر بها في علاقة تبادلية مستمرة</w:t>
      </w:r>
      <w:r>
        <w:rPr>
          <w:rFonts w:ascii="Times New Roman" w:hAnsi="Times New Roman" w:cs="Traditional Arabic" w:hint="cs"/>
          <w:color w:val="000000" w:themeColor="text1"/>
          <w:sz w:val="32"/>
          <w:szCs w:val="32"/>
          <w:rtl/>
        </w:rPr>
        <w:t>،</w:t>
      </w:r>
      <w:r w:rsidRPr="00002AF3">
        <w:rPr>
          <w:rFonts w:ascii="Times New Roman" w:hAnsi="Times New Roman" w:cs="Traditional Arabic"/>
          <w:color w:val="000000" w:themeColor="text1"/>
          <w:sz w:val="32"/>
          <w:szCs w:val="32"/>
          <w:rtl/>
        </w:rPr>
        <w:t xml:space="preserve"> فالتحول الاستراتيجي يُوفّر الرؤية والتوجيه الذي ينتظم وفقه التحول الإداري وتحول العمليات، بينما يُهيّئ التحول الإداري البيئة التنظيمية </w:t>
      </w:r>
      <w:r w:rsidRPr="00002AF3">
        <w:rPr>
          <w:rFonts w:ascii="Times New Roman" w:hAnsi="Times New Roman" w:cs="Traditional Arabic"/>
          <w:color w:val="000000" w:themeColor="text1"/>
          <w:sz w:val="32"/>
          <w:szCs w:val="32"/>
          <w:rtl/>
        </w:rPr>
        <w:lastRenderedPageBreak/>
        <w:t>والثقافية اللازمة لنجاح تحول العمليات، ويُفضي تحول العمليات بدوره إلى تحسين تجربة المستفيدين التي يسعى إليها بُعد مركزية العملاء</w:t>
      </w:r>
      <w:r>
        <w:rPr>
          <w:rFonts w:ascii="Times New Roman" w:hAnsi="Times New Roman" w:cs="Traditional Arabic" w:hint="cs"/>
          <w:color w:val="000000" w:themeColor="text1"/>
          <w:sz w:val="32"/>
          <w:szCs w:val="32"/>
          <w:rtl/>
        </w:rPr>
        <w:t xml:space="preserve">، </w:t>
      </w:r>
      <w:r w:rsidRPr="00002AF3">
        <w:rPr>
          <w:rFonts w:ascii="Times New Roman" w:hAnsi="Times New Roman" w:cs="Traditional Arabic"/>
          <w:color w:val="000000" w:themeColor="text1"/>
          <w:sz w:val="32"/>
          <w:szCs w:val="32"/>
        </w:rPr>
        <w:t xml:space="preserve"> </w:t>
      </w:r>
      <w:r w:rsidRPr="00002AF3">
        <w:rPr>
          <w:rFonts w:ascii="Times New Roman" w:hAnsi="Times New Roman" w:cs="Traditional Arabic"/>
          <w:color w:val="000000" w:themeColor="text1"/>
          <w:sz w:val="32"/>
          <w:szCs w:val="32"/>
          <w:rtl/>
        </w:rPr>
        <w:t xml:space="preserve">وفي المقابل تُوفّر التغذية الراجعة الواردة من المستفيدين عبر القنوات الرقمية مدخلات قيّمة لإعادة تقييم التوجهات الاستراتيجية وتحسين العمليات وتطوير الممارسات الإدارية. </w:t>
      </w:r>
    </w:p>
    <w:p w14:paraId="5FA27E52" w14:textId="77777777" w:rsidR="00002AF3" w:rsidRPr="00002AF3" w:rsidRDefault="00002AF3" w:rsidP="00002AF3">
      <w:pPr>
        <w:bidi/>
        <w:spacing w:after="200" w:line="276" w:lineRule="auto"/>
        <w:jc w:val="both"/>
        <w:rPr>
          <w:rFonts w:ascii="Times New Roman" w:hAnsi="Times New Roman" w:cs="Traditional Arabic"/>
          <w:b/>
          <w:bCs/>
          <w:color w:val="000000" w:themeColor="text1"/>
          <w:sz w:val="32"/>
          <w:szCs w:val="32"/>
        </w:rPr>
      </w:pPr>
      <w:r w:rsidRPr="00002AF3">
        <w:rPr>
          <w:rFonts w:ascii="Times New Roman" w:hAnsi="Times New Roman" w:cs="Traditional Arabic"/>
          <w:b/>
          <w:bCs/>
          <w:color w:val="000000" w:themeColor="text1"/>
          <w:sz w:val="32"/>
          <w:szCs w:val="32"/>
          <w:rtl/>
        </w:rPr>
        <w:t>سادساً: التحول الرقمي في وزارات الصناعة بدول مجلس التعاون الخليجي</w:t>
      </w:r>
    </w:p>
    <w:p w14:paraId="77D4F337" w14:textId="4458A31F" w:rsidR="00002AF3" w:rsidRPr="00002AF3" w:rsidRDefault="00002AF3" w:rsidP="00314593">
      <w:pPr>
        <w:bidi/>
        <w:spacing w:after="200" w:line="276" w:lineRule="auto"/>
        <w:jc w:val="both"/>
        <w:rPr>
          <w:rFonts w:ascii="Times New Roman" w:hAnsi="Times New Roman" w:cs="Traditional Arabic"/>
          <w:color w:val="000000" w:themeColor="text1"/>
          <w:sz w:val="32"/>
          <w:szCs w:val="32"/>
        </w:rPr>
      </w:pPr>
      <w:r w:rsidRPr="00002AF3">
        <w:rPr>
          <w:rFonts w:ascii="Times New Roman" w:hAnsi="Times New Roman" w:cs="Traditional Arabic"/>
          <w:color w:val="000000" w:themeColor="text1"/>
          <w:sz w:val="32"/>
          <w:szCs w:val="32"/>
          <w:rtl/>
        </w:rPr>
        <w:t>تشهد دول مجلس التعاون الخليجي الست – المملكة العربية السعودية، والإمارات العربية المتحدة، ودولة قطر، ومملكة البحرين، وسلطنة عُمان، ودولة الكويت – حراكاً تحولياً رقمياً واسع النطاق في قطاعاتها الصناعية، مدفوعاً برؤى وطنية طموحة تضع التنويع الاقتصادي والتحول نحو اقتصاد المعرفة في صدارة أولوياتها الاستراتيجية</w:t>
      </w:r>
      <w:r>
        <w:rPr>
          <w:rFonts w:ascii="Times New Roman" w:hAnsi="Times New Roman" w:cs="Traditional Arabic" w:hint="cs"/>
          <w:color w:val="000000" w:themeColor="text1"/>
          <w:sz w:val="32"/>
          <w:szCs w:val="32"/>
          <w:rtl/>
        </w:rPr>
        <w:t xml:space="preserve">، </w:t>
      </w:r>
      <w:r w:rsidRPr="00002AF3">
        <w:rPr>
          <w:rFonts w:ascii="Times New Roman" w:hAnsi="Times New Roman" w:cs="Traditional Arabic"/>
          <w:color w:val="000000" w:themeColor="text1"/>
          <w:sz w:val="32"/>
          <w:szCs w:val="32"/>
          <w:rtl/>
        </w:rPr>
        <w:t>وتحتل وزارات الصناعة في هذه الدول موقعاً محورياً في قيادة هذا التحول، باعتبارها الجهات التنظيمية والإشرافية المسؤولة عن رسم السياسات الصناعية وتهيئة البيئة التمكينية للقطاع الصناعي</w:t>
      </w:r>
      <w:r>
        <w:rPr>
          <w:rFonts w:ascii="Times New Roman" w:hAnsi="Times New Roman" w:cs="Traditional Arabic" w:hint="cs"/>
          <w:color w:val="000000" w:themeColor="text1"/>
          <w:sz w:val="32"/>
          <w:szCs w:val="32"/>
          <w:rtl/>
        </w:rPr>
        <w:t xml:space="preserve">، </w:t>
      </w:r>
      <w:r w:rsidRPr="00002AF3">
        <w:rPr>
          <w:rFonts w:ascii="Times New Roman" w:hAnsi="Times New Roman" w:cs="Traditional Arabic"/>
          <w:color w:val="000000" w:themeColor="text1"/>
          <w:sz w:val="32"/>
          <w:szCs w:val="32"/>
          <w:rtl/>
        </w:rPr>
        <w:t xml:space="preserve"> وقد تسارعت وتيرة التحول الرقمي في هذه الوزارات بصورة لافتة خلال السنوات الأخيرة، حيث أطلقت مبادرات وبرامج رقمية نوعية تستهدف تحديث بنيتها التشغيلية والإدارية وتعزيز قدرتها على أداء أدوارها التنظيمية والتنموية بكفاءة وفاعلية تتلاءم مع متطلبات الثورة الصناعية الرابعة</w:t>
      </w:r>
      <w:r w:rsidR="00314593" w:rsidRPr="00314593">
        <w:t xml:space="preserve"> </w:t>
      </w:r>
      <w:r w:rsidR="00314593" w:rsidRPr="00314593">
        <w:rPr>
          <w:rFonts w:ascii="Times New Roman" w:hAnsi="Times New Roman" w:cs="Traditional Arabic"/>
          <w:color w:val="000000" w:themeColor="text1"/>
          <w:sz w:val="32"/>
          <w:szCs w:val="32"/>
        </w:rPr>
        <w:t>(IMF, 2025).</w:t>
      </w:r>
      <w:r w:rsidRPr="00002AF3">
        <w:rPr>
          <w:rFonts w:ascii="Times New Roman" w:hAnsi="Times New Roman" w:cs="Traditional Arabic"/>
          <w:color w:val="000000" w:themeColor="text1"/>
          <w:sz w:val="32"/>
          <w:szCs w:val="32"/>
        </w:rPr>
        <w:t>.</w:t>
      </w:r>
    </w:p>
    <w:p w14:paraId="3F83869B" w14:textId="77777777" w:rsidR="00002AF3" w:rsidRPr="00002AF3" w:rsidRDefault="00002AF3" w:rsidP="00002AF3">
      <w:pPr>
        <w:bidi/>
        <w:spacing w:after="200" w:line="276" w:lineRule="auto"/>
        <w:jc w:val="both"/>
        <w:rPr>
          <w:rFonts w:ascii="Times New Roman" w:hAnsi="Times New Roman" w:cs="Traditional Arabic"/>
          <w:color w:val="000000" w:themeColor="text1"/>
          <w:sz w:val="32"/>
          <w:szCs w:val="32"/>
        </w:rPr>
      </w:pPr>
      <w:r w:rsidRPr="00002AF3">
        <w:rPr>
          <w:rFonts w:ascii="Times New Roman" w:hAnsi="Times New Roman" w:cs="Traditional Arabic"/>
          <w:b/>
          <w:bCs/>
          <w:color w:val="000000" w:themeColor="text1"/>
          <w:sz w:val="32"/>
          <w:szCs w:val="32"/>
          <w:rtl/>
        </w:rPr>
        <w:t>أولاً: المملكة العربية السعودية</w:t>
      </w:r>
    </w:p>
    <w:p w14:paraId="39C8FA2A" w14:textId="1401DA22" w:rsidR="00314593" w:rsidRDefault="00002AF3" w:rsidP="00002AF3">
      <w:pPr>
        <w:bidi/>
        <w:spacing w:after="200" w:line="276" w:lineRule="auto"/>
        <w:jc w:val="both"/>
        <w:rPr>
          <w:rFonts w:ascii="Times New Roman" w:hAnsi="Times New Roman" w:cs="Traditional Arabic"/>
          <w:color w:val="000000" w:themeColor="text1"/>
          <w:sz w:val="32"/>
          <w:szCs w:val="32"/>
          <w:rtl/>
        </w:rPr>
      </w:pPr>
      <w:r w:rsidRPr="00002AF3">
        <w:rPr>
          <w:rFonts w:ascii="Times New Roman" w:hAnsi="Times New Roman" w:cs="Traditional Arabic"/>
          <w:color w:val="000000" w:themeColor="text1"/>
          <w:sz w:val="32"/>
          <w:szCs w:val="32"/>
          <w:rtl/>
        </w:rPr>
        <w:t>تُعدّ المملكة العربية السعودية من أكثر دول المجلس طموحاً في مجال التحول الرقمي الصناعي، حيث تتبنى وزارة الصناعة والثروة المعدنية استراتيجية رقمية شاملة ترتبط عضوياً برؤية السعودية 2030 وبرنامج تطوير الصناعة الوطنية والخدمات اللوجستية</w:t>
      </w:r>
      <w:r w:rsidRPr="00002AF3">
        <w:rPr>
          <w:rFonts w:ascii="Times New Roman" w:hAnsi="Times New Roman" w:cs="Traditional Arabic"/>
          <w:color w:val="000000" w:themeColor="text1"/>
          <w:sz w:val="32"/>
          <w:szCs w:val="32"/>
        </w:rPr>
        <w:t xml:space="preserve"> (NIDLP). </w:t>
      </w:r>
      <w:r w:rsidRPr="00002AF3">
        <w:rPr>
          <w:rFonts w:ascii="Times New Roman" w:hAnsi="Times New Roman" w:cs="Traditional Arabic"/>
          <w:color w:val="000000" w:themeColor="text1"/>
          <w:sz w:val="32"/>
          <w:szCs w:val="32"/>
          <w:rtl/>
        </w:rPr>
        <w:t xml:space="preserve">وقد أطلقت الوزارة حزمة من المبادرات الرقمية الرائدة، يأتي في مقدمتها "برنامج مصانع المستقبل" الذي يستهدف تحويل 4000 مصنع من الاعتماد على العمالة الكثيفة ذات الأجور والمهارات المنخفضة إلى الكفاءة التشغيلية والأتمتة وتطبيق الحلول والممارسات الصناعية المتقدمة وفق معايير الثورة الصناعية </w:t>
      </w:r>
      <w:r w:rsidR="00C85AC3" w:rsidRPr="00002AF3">
        <w:rPr>
          <w:rFonts w:ascii="Times New Roman" w:hAnsi="Times New Roman" w:cs="Traditional Arabic" w:hint="cs"/>
          <w:color w:val="000000" w:themeColor="text1"/>
          <w:sz w:val="32"/>
          <w:szCs w:val="32"/>
          <w:rtl/>
        </w:rPr>
        <w:t>الرابعة</w:t>
      </w:r>
      <w:r w:rsidR="00C85AC3">
        <w:rPr>
          <w:rFonts w:ascii="Times New Roman" w:hAnsi="Times New Roman" w:cs="Traditional Arabic" w:hint="cs"/>
          <w:color w:val="000000" w:themeColor="text1"/>
          <w:sz w:val="32"/>
          <w:szCs w:val="32"/>
          <w:rtl/>
        </w:rPr>
        <w:t xml:space="preserve">، </w:t>
      </w:r>
      <w:r w:rsidR="00C85AC3" w:rsidRPr="00002AF3">
        <w:rPr>
          <w:rFonts w:ascii="Times New Roman" w:hAnsi="Times New Roman" w:cs="Traditional Arabic"/>
          <w:color w:val="000000" w:themeColor="text1"/>
          <w:sz w:val="32"/>
          <w:szCs w:val="32"/>
          <w:rtl/>
        </w:rPr>
        <w:t>ويعتمد</w:t>
      </w:r>
      <w:r w:rsidRPr="00002AF3">
        <w:rPr>
          <w:rFonts w:ascii="Times New Roman" w:hAnsi="Times New Roman" w:cs="Traditional Arabic"/>
          <w:color w:val="000000" w:themeColor="text1"/>
          <w:sz w:val="32"/>
          <w:szCs w:val="32"/>
          <w:rtl/>
        </w:rPr>
        <w:t xml:space="preserve"> هذا البرنامج على منهجية مؤشر جاهزية الصناعة الذكية</w:t>
      </w:r>
      <w:r w:rsidRPr="00002AF3">
        <w:rPr>
          <w:rFonts w:ascii="Times New Roman" w:hAnsi="Times New Roman" w:cs="Traditional Arabic"/>
          <w:color w:val="000000" w:themeColor="text1"/>
          <w:sz w:val="32"/>
          <w:szCs w:val="32"/>
        </w:rPr>
        <w:t xml:space="preserve"> (SIRI) </w:t>
      </w:r>
      <w:r w:rsidRPr="00002AF3">
        <w:rPr>
          <w:rFonts w:ascii="Times New Roman" w:hAnsi="Times New Roman" w:cs="Traditional Arabic"/>
          <w:color w:val="000000" w:themeColor="text1"/>
          <w:sz w:val="32"/>
          <w:szCs w:val="32"/>
          <w:rtl/>
        </w:rPr>
        <w:t xml:space="preserve">لتقييم مستوى النضج الرقمي للمصانع وتحديد مسارات التحول المناسبة لكل منها. كما أطلقت الوزارة "مبادرة منصة الخدمات الرقمية لرحلة المستثمر الصناعية"، وهي منصة رقمية شاملة تدعم المستثمر الصناعي في جميع مراحل رحلته من الفكرة إلى التصدير، وتُتيح له الحصول على التراخيص والخدمات والمعلومات عبر بوابة إلكترونية موحّدة، </w:t>
      </w:r>
      <w:r w:rsidR="00314593">
        <w:rPr>
          <w:rFonts w:ascii="Times New Roman" w:hAnsi="Times New Roman" w:cs="Traditional Arabic" w:hint="cs"/>
          <w:color w:val="000000" w:themeColor="text1"/>
          <w:sz w:val="32"/>
          <w:szCs w:val="32"/>
          <w:rtl/>
        </w:rPr>
        <w:t>و</w:t>
      </w:r>
      <w:r w:rsidRPr="00002AF3">
        <w:rPr>
          <w:rFonts w:ascii="Times New Roman" w:hAnsi="Times New Roman" w:cs="Traditional Arabic"/>
          <w:color w:val="000000" w:themeColor="text1"/>
          <w:sz w:val="32"/>
          <w:szCs w:val="32"/>
          <w:rtl/>
        </w:rPr>
        <w:t xml:space="preserve">أسّست الوزارة "المركز الوطني للمعلومات الصناعية والتعدينية" الذي يهدف إلى بناء بيئة ذكية ومتقدمة لجمع وتحليل واستشراف بيانات القطاع الصناعي لدعم صانعي القرار </w:t>
      </w:r>
      <w:r w:rsidRPr="00002AF3">
        <w:rPr>
          <w:rFonts w:ascii="Times New Roman" w:hAnsi="Times New Roman" w:cs="Traditional Arabic"/>
          <w:color w:val="000000" w:themeColor="text1"/>
          <w:sz w:val="32"/>
          <w:szCs w:val="32"/>
          <w:rtl/>
        </w:rPr>
        <w:lastRenderedPageBreak/>
        <w:t xml:space="preserve">والمستثمرين ومطوّري السياسات، وهو ما يرتبط ارتباطاً مباشراً بتعزيز الشفافية المعلوماتية التي تمثل المتغير الوسيط في الدراسة الحالية. وقد أطلقت الوزارة كذلك "مبادرة تقنيات التحول الاستثنائي" التي توفر إطاراً متكاملاً لدعم الشركات الصناعية في تبنّي الحلول المبتكرة التي تعزز قدرتها التنافسية، إضافة إلى </w:t>
      </w:r>
      <w:r w:rsidRPr="00002AF3">
        <w:rPr>
          <w:rFonts w:ascii="Times New Roman" w:hAnsi="Times New Roman" w:cs="Traditional Arabic"/>
          <w:color w:val="000000" w:themeColor="text1"/>
          <w:sz w:val="32"/>
          <w:szCs w:val="32"/>
        </w:rPr>
        <w:t>"</w:t>
      </w:r>
      <w:r w:rsidRPr="00002AF3">
        <w:rPr>
          <w:rFonts w:ascii="Times New Roman" w:hAnsi="Times New Roman" w:cs="Traditional Arabic"/>
          <w:color w:val="000000" w:themeColor="text1"/>
          <w:sz w:val="32"/>
          <w:szCs w:val="32"/>
          <w:rtl/>
        </w:rPr>
        <w:t xml:space="preserve">مبادرة تحليل المعلومات الصناعية والتعدينية والاستشراف" التي تسعى إلى إنشاء بيئة ذكية لدعم عملية صنع القرار الاستراتيجي في القطاع الصناعي. </w:t>
      </w:r>
    </w:p>
    <w:p w14:paraId="33CFCB71" w14:textId="2A04B8A6" w:rsidR="00002AF3" w:rsidRPr="00002AF3" w:rsidRDefault="00002AF3" w:rsidP="00314593">
      <w:pPr>
        <w:bidi/>
        <w:spacing w:after="200" w:line="276" w:lineRule="auto"/>
        <w:jc w:val="both"/>
        <w:rPr>
          <w:rFonts w:ascii="Times New Roman" w:hAnsi="Times New Roman" w:cs="Traditional Arabic"/>
          <w:color w:val="000000" w:themeColor="text1"/>
          <w:sz w:val="32"/>
          <w:szCs w:val="32"/>
          <w:rtl/>
        </w:rPr>
      </w:pPr>
      <w:r w:rsidRPr="00002AF3">
        <w:rPr>
          <w:rFonts w:ascii="Times New Roman" w:hAnsi="Times New Roman" w:cs="Traditional Arabic"/>
          <w:color w:val="000000" w:themeColor="text1"/>
          <w:sz w:val="32"/>
          <w:szCs w:val="32"/>
          <w:rtl/>
        </w:rPr>
        <w:t>وقد استضافت المملكة "معرض التحول الصناعي في السعودية 2025" الذي افتتحه وزير الصناعة والثروة المعدنية في ديسمبر 2025، وشكّل منصة لاستعراض أحدث التقنيات والحلول الرقمية في القطاع الصناعي. كما وقّعت هيئة الحكومة الرقمية اتفاقية تعاون مع وزارة الصناعة والثروة المعدنية لدمج منصات القطاع الصناعي في إطار مفهوم الحكومة الشاملة ودعم خطة التحول الرقمي لقطاع الصناعة والتعدين</w:t>
      </w:r>
      <w:r w:rsidRPr="00002AF3">
        <w:rPr>
          <w:rFonts w:ascii="Times New Roman" w:hAnsi="Times New Roman" w:cs="Traditional Arabic"/>
          <w:color w:val="000000" w:themeColor="text1"/>
          <w:sz w:val="32"/>
          <w:szCs w:val="32"/>
        </w:rPr>
        <w:t>.</w:t>
      </w:r>
      <w:r w:rsidR="00314593" w:rsidRPr="00314593">
        <w:rPr>
          <w:rFonts w:ascii="Times New Roman" w:hAnsi="Times New Roman" w:cs="Traditional Arabic"/>
          <w:color w:val="000000" w:themeColor="text1"/>
          <w:sz w:val="32"/>
          <w:szCs w:val="32"/>
          <w:rtl/>
        </w:rPr>
        <w:t xml:space="preserve"> (وزارة الصناعة والثروة المعدنية، 2025)</w:t>
      </w:r>
    </w:p>
    <w:p w14:paraId="45BC6D71" w14:textId="77777777" w:rsidR="00002AF3" w:rsidRPr="00002AF3" w:rsidRDefault="00002AF3" w:rsidP="00002AF3">
      <w:pPr>
        <w:bidi/>
        <w:spacing w:after="200" w:line="276" w:lineRule="auto"/>
        <w:jc w:val="both"/>
        <w:rPr>
          <w:rFonts w:ascii="Times New Roman" w:hAnsi="Times New Roman" w:cs="Traditional Arabic"/>
          <w:color w:val="000000" w:themeColor="text1"/>
          <w:sz w:val="32"/>
          <w:szCs w:val="32"/>
        </w:rPr>
      </w:pPr>
      <w:r w:rsidRPr="00002AF3">
        <w:rPr>
          <w:rFonts w:ascii="Times New Roman" w:hAnsi="Times New Roman" w:cs="Traditional Arabic"/>
          <w:b/>
          <w:bCs/>
          <w:color w:val="000000" w:themeColor="text1"/>
          <w:sz w:val="32"/>
          <w:szCs w:val="32"/>
          <w:rtl/>
        </w:rPr>
        <w:t>ثانياً: دولة الإمارات العربية المتحدة</w:t>
      </w:r>
    </w:p>
    <w:p w14:paraId="68BF5526" w14:textId="5CA7AF14" w:rsidR="00002AF3" w:rsidRPr="00002AF3" w:rsidRDefault="00002AF3" w:rsidP="00314593">
      <w:pPr>
        <w:bidi/>
        <w:spacing w:after="200" w:line="276" w:lineRule="auto"/>
        <w:jc w:val="both"/>
        <w:rPr>
          <w:rFonts w:ascii="Times New Roman" w:hAnsi="Times New Roman" w:cs="Traditional Arabic"/>
          <w:color w:val="000000" w:themeColor="text1"/>
          <w:sz w:val="32"/>
          <w:szCs w:val="32"/>
        </w:rPr>
      </w:pPr>
      <w:r w:rsidRPr="00002AF3">
        <w:rPr>
          <w:rFonts w:ascii="Times New Roman" w:hAnsi="Times New Roman" w:cs="Traditional Arabic"/>
          <w:color w:val="000000" w:themeColor="text1"/>
          <w:sz w:val="32"/>
          <w:szCs w:val="32"/>
          <w:rtl/>
        </w:rPr>
        <w:t>تتبنى وزارة الصناعة والتكنولوجيا المتقدمة في دولة الإمارات العربية المتحدة</w:t>
      </w:r>
      <w:r w:rsidRPr="00002AF3">
        <w:rPr>
          <w:rFonts w:ascii="Times New Roman" w:hAnsi="Times New Roman" w:cs="Traditional Arabic"/>
          <w:color w:val="000000" w:themeColor="text1"/>
          <w:sz w:val="32"/>
          <w:szCs w:val="32"/>
        </w:rPr>
        <w:t xml:space="preserve"> (</w:t>
      </w:r>
      <w:proofErr w:type="spellStart"/>
      <w:r w:rsidRPr="00002AF3">
        <w:rPr>
          <w:rFonts w:ascii="Times New Roman" w:hAnsi="Times New Roman" w:cs="Traditional Arabic"/>
          <w:color w:val="000000" w:themeColor="text1"/>
          <w:sz w:val="32"/>
          <w:szCs w:val="32"/>
        </w:rPr>
        <w:t>MoIAT</w:t>
      </w:r>
      <w:proofErr w:type="spellEnd"/>
      <w:r w:rsidRPr="00002AF3">
        <w:rPr>
          <w:rFonts w:ascii="Times New Roman" w:hAnsi="Times New Roman" w:cs="Traditional Arabic"/>
          <w:color w:val="000000" w:themeColor="text1"/>
          <w:sz w:val="32"/>
          <w:szCs w:val="32"/>
        </w:rPr>
        <w:t xml:space="preserve">) </w:t>
      </w:r>
      <w:r w:rsidRPr="00002AF3">
        <w:rPr>
          <w:rFonts w:ascii="Times New Roman" w:hAnsi="Times New Roman" w:cs="Traditional Arabic"/>
          <w:color w:val="000000" w:themeColor="text1"/>
          <w:sz w:val="32"/>
          <w:szCs w:val="32"/>
          <w:rtl/>
        </w:rPr>
        <w:t>رؤية طموحة لتحويل القاعدة الصناعية الإماراتية إلى قطاع تنافسي عالمياً يرتكز على تقنيات الثورة الصناعية الرابعة</w:t>
      </w:r>
      <w:r w:rsidR="00314593">
        <w:rPr>
          <w:rFonts w:ascii="Times New Roman" w:hAnsi="Times New Roman" w:cs="Traditional Arabic" w:hint="cs"/>
          <w:color w:val="000000" w:themeColor="text1"/>
          <w:sz w:val="32"/>
          <w:szCs w:val="32"/>
          <w:rtl/>
        </w:rPr>
        <w:t>،</w:t>
      </w:r>
      <w:r w:rsidRPr="00002AF3">
        <w:rPr>
          <w:rFonts w:ascii="Times New Roman" w:hAnsi="Times New Roman" w:cs="Traditional Arabic"/>
          <w:color w:val="000000" w:themeColor="text1"/>
          <w:sz w:val="32"/>
          <w:szCs w:val="32"/>
          <w:rtl/>
        </w:rPr>
        <w:t xml:space="preserve"> وقد أطلقت الوزارة "برنامج التحول التكنولوجي</w:t>
      </w:r>
      <w:r w:rsidRPr="00002AF3">
        <w:rPr>
          <w:rFonts w:ascii="Times New Roman" w:hAnsi="Times New Roman" w:cs="Traditional Arabic"/>
          <w:color w:val="000000" w:themeColor="text1"/>
          <w:sz w:val="32"/>
          <w:szCs w:val="32"/>
        </w:rPr>
        <w:t xml:space="preserve">" (Technology Transformation Program - TTP) </w:t>
      </w:r>
      <w:r w:rsidRPr="00002AF3">
        <w:rPr>
          <w:rFonts w:ascii="Times New Roman" w:hAnsi="Times New Roman" w:cs="Traditional Arabic"/>
          <w:color w:val="000000" w:themeColor="text1"/>
          <w:sz w:val="32"/>
          <w:szCs w:val="32"/>
          <w:rtl/>
        </w:rPr>
        <w:t>المصمّم لتسريع مسيرة التحول الصناعي في الدولة والمساهمة في ترسيخ مكانتها كمركز عالمي لتقنيات الثورة الصناعية الرابعة. ويندرج تحت هذا البرنامج مبادرة</w:t>
      </w:r>
      <w:r w:rsidRPr="00002AF3">
        <w:rPr>
          <w:rFonts w:ascii="Times New Roman" w:hAnsi="Times New Roman" w:cs="Traditional Arabic"/>
          <w:color w:val="000000" w:themeColor="text1"/>
          <w:sz w:val="32"/>
          <w:szCs w:val="32"/>
        </w:rPr>
        <w:t xml:space="preserve"> "Transform 4.0" </w:t>
      </w:r>
      <w:r w:rsidRPr="00002AF3">
        <w:rPr>
          <w:rFonts w:ascii="Times New Roman" w:hAnsi="Times New Roman" w:cs="Traditional Arabic"/>
          <w:color w:val="000000" w:themeColor="text1"/>
          <w:sz w:val="32"/>
          <w:szCs w:val="32"/>
          <w:rtl/>
        </w:rPr>
        <w:t>التي أُطلقت في عام 2024 وتستهدف دعم 100 منشأة صناعية ذات إمكانات عالية في مسيرة التحول الرقمي، بهدف إنشاء شبكة من المصانع الرائدة في تبني تقنيات الصناعة 4.0</w:t>
      </w:r>
      <w:r w:rsidRPr="00002AF3">
        <w:rPr>
          <w:rFonts w:ascii="Times New Roman" w:hAnsi="Times New Roman" w:cs="Traditional Arabic"/>
          <w:color w:val="000000" w:themeColor="text1"/>
          <w:sz w:val="32"/>
          <w:szCs w:val="32"/>
        </w:rPr>
        <w:t xml:space="preserve"> (I4.0 Lighthouses) </w:t>
      </w:r>
      <w:r w:rsidRPr="00002AF3">
        <w:rPr>
          <w:rFonts w:ascii="Times New Roman" w:hAnsi="Times New Roman" w:cs="Traditional Arabic"/>
          <w:color w:val="000000" w:themeColor="text1"/>
          <w:sz w:val="32"/>
          <w:szCs w:val="32"/>
          <w:rtl/>
        </w:rPr>
        <w:t xml:space="preserve">خلال الفترة من ثلاث إلى خمس </w:t>
      </w:r>
      <w:r w:rsidR="00C85AC3" w:rsidRPr="00002AF3">
        <w:rPr>
          <w:rFonts w:ascii="Times New Roman" w:hAnsi="Times New Roman" w:cs="Traditional Arabic" w:hint="cs"/>
          <w:color w:val="000000" w:themeColor="text1"/>
          <w:sz w:val="32"/>
          <w:szCs w:val="32"/>
          <w:rtl/>
        </w:rPr>
        <w:t>سنوات</w:t>
      </w:r>
      <w:r w:rsidR="00C85AC3">
        <w:rPr>
          <w:rFonts w:ascii="Times New Roman" w:hAnsi="Times New Roman" w:cs="Traditional Arabic" w:hint="cs"/>
          <w:color w:val="000000" w:themeColor="text1"/>
          <w:sz w:val="32"/>
          <w:szCs w:val="32"/>
          <w:rtl/>
        </w:rPr>
        <w:t xml:space="preserve">، </w:t>
      </w:r>
      <w:r w:rsidR="00C85AC3" w:rsidRPr="00002AF3">
        <w:rPr>
          <w:rFonts w:ascii="Times New Roman" w:hAnsi="Times New Roman" w:cs="Traditional Arabic" w:hint="cs"/>
          <w:color w:val="000000" w:themeColor="text1"/>
          <w:sz w:val="32"/>
          <w:szCs w:val="32"/>
          <w:rtl/>
        </w:rPr>
        <w:t>وتعتمد</w:t>
      </w:r>
      <w:r w:rsidRPr="00002AF3">
        <w:rPr>
          <w:rFonts w:ascii="Times New Roman" w:hAnsi="Times New Roman" w:cs="Traditional Arabic"/>
          <w:color w:val="000000" w:themeColor="text1"/>
          <w:sz w:val="32"/>
          <w:szCs w:val="32"/>
          <w:rtl/>
        </w:rPr>
        <w:t xml:space="preserve"> الوزارة على "مؤشر جاهزية الصناعة الذكية</w:t>
      </w:r>
      <w:r w:rsidRPr="00002AF3">
        <w:rPr>
          <w:rFonts w:ascii="Times New Roman" w:hAnsi="Times New Roman" w:cs="Traditional Arabic"/>
          <w:color w:val="000000" w:themeColor="text1"/>
          <w:sz w:val="32"/>
          <w:szCs w:val="32"/>
        </w:rPr>
        <w:t xml:space="preserve">" (Smart Industry Readiness Index) </w:t>
      </w:r>
      <w:r w:rsidRPr="00002AF3">
        <w:rPr>
          <w:rFonts w:ascii="Times New Roman" w:hAnsi="Times New Roman" w:cs="Traditional Arabic"/>
          <w:color w:val="000000" w:themeColor="text1"/>
          <w:sz w:val="32"/>
          <w:szCs w:val="32"/>
          <w:rtl/>
        </w:rPr>
        <w:t>لتقييم مستوى النضج الرقمي للمنشآت الصناعية وتوجيه جهود التحول</w:t>
      </w:r>
      <w:r w:rsidRPr="00002AF3">
        <w:rPr>
          <w:rFonts w:ascii="Times New Roman" w:hAnsi="Times New Roman" w:cs="Traditional Arabic"/>
          <w:color w:val="000000" w:themeColor="text1"/>
          <w:sz w:val="32"/>
          <w:szCs w:val="32"/>
        </w:rPr>
        <w:t xml:space="preserve">. </w:t>
      </w:r>
      <w:r w:rsidRPr="00002AF3">
        <w:rPr>
          <w:rFonts w:ascii="Times New Roman" w:hAnsi="Times New Roman" w:cs="Traditional Arabic"/>
          <w:color w:val="000000" w:themeColor="text1"/>
          <w:sz w:val="32"/>
          <w:szCs w:val="32"/>
          <w:rtl/>
        </w:rPr>
        <w:t>وفي فبراير 2026، أطلقت الوزارة "مسار التحول الصناعي الوطني" الذي يركّز على الجاهزية الرقمية والتحول المدعوم بالتكنولوجيا، بالتعاون مع المنتدى الاقتصادي العالمي</w:t>
      </w:r>
      <w:r w:rsidR="00314593">
        <w:rPr>
          <w:rFonts w:ascii="Times New Roman" w:hAnsi="Times New Roman" w:cs="Traditional Arabic" w:hint="cs"/>
          <w:color w:val="000000" w:themeColor="text1"/>
          <w:sz w:val="32"/>
          <w:szCs w:val="32"/>
          <w:rtl/>
        </w:rPr>
        <w:t>،</w:t>
      </w:r>
      <w:r w:rsidRPr="00002AF3">
        <w:rPr>
          <w:rFonts w:ascii="Times New Roman" w:hAnsi="Times New Roman" w:cs="Traditional Arabic"/>
          <w:color w:val="000000" w:themeColor="text1"/>
          <w:sz w:val="32"/>
          <w:szCs w:val="32"/>
          <w:rtl/>
        </w:rPr>
        <w:t xml:space="preserve"> كما وقّعت الوزارة مذكرة تفاهم مع مجموعة "</w:t>
      </w:r>
      <w:proofErr w:type="spellStart"/>
      <w:r w:rsidRPr="00002AF3">
        <w:rPr>
          <w:rFonts w:ascii="Times New Roman" w:hAnsi="Times New Roman" w:cs="Traditional Arabic"/>
          <w:color w:val="000000" w:themeColor="text1"/>
          <w:sz w:val="32"/>
          <w:szCs w:val="32"/>
          <w:rtl/>
        </w:rPr>
        <w:t>إيدج</w:t>
      </w:r>
      <w:proofErr w:type="spellEnd"/>
      <w:r w:rsidRPr="00002AF3">
        <w:rPr>
          <w:rFonts w:ascii="Times New Roman" w:hAnsi="Times New Roman" w:cs="Traditional Arabic"/>
          <w:color w:val="000000" w:themeColor="text1"/>
          <w:sz w:val="32"/>
          <w:szCs w:val="32"/>
        </w:rPr>
        <w:t xml:space="preserve">" </w:t>
      </w:r>
      <w:r w:rsidRPr="00002AF3">
        <w:rPr>
          <w:rFonts w:ascii="Times New Roman" w:hAnsi="Times New Roman" w:cs="Traditional Arabic"/>
          <w:color w:val="000000" w:themeColor="text1"/>
          <w:sz w:val="32"/>
          <w:szCs w:val="32"/>
          <w:rtl/>
        </w:rPr>
        <w:t xml:space="preserve">للتكنولوجيا المتقدمة لتسريع التحول الرقمي للمصنّعين ذوي الإمكانات العالية في الدولة. وتوفر </w:t>
      </w:r>
      <w:r w:rsidRPr="00002AF3">
        <w:rPr>
          <w:rFonts w:ascii="Times New Roman" w:hAnsi="Times New Roman" w:cs="Traditional Arabic"/>
          <w:color w:val="000000" w:themeColor="text1"/>
          <w:sz w:val="32"/>
          <w:szCs w:val="32"/>
          <w:rtl/>
        </w:rPr>
        <w:lastRenderedPageBreak/>
        <w:t>الوزارة مجموعة من الحوافز المالية وغير المالية لتسريع تبني التكنولوجيا في القطاع الصناعي، مما يعكس التزاماً مؤسسياً واضحاً بدعم التحول الرقمي الشامل</w:t>
      </w:r>
      <w:r w:rsidR="00314593" w:rsidRPr="00314593">
        <w:t xml:space="preserve"> </w:t>
      </w:r>
      <w:r w:rsidR="00314593" w:rsidRPr="00314593">
        <w:rPr>
          <w:rFonts w:ascii="Times New Roman" w:hAnsi="Times New Roman" w:cs="Traditional Arabic"/>
          <w:color w:val="000000" w:themeColor="text1"/>
          <w:sz w:val="32"/>
          <w:szCs w:val="32"/>
        </w:rPr>
        <w:t>(WAM, 2026).</w:t>
      </w:r>
      <w:r w:rsidRPr="00002AF3">
        <w:rPr>
          <w:rFonts w:ascii="Times New Roman" w:hAnsi="Times New Roman" w:cs="Traditional Arabic"/>
          <w:color w:val="000000" w:themeColor="text1"/>
          <w:sz w:val="32"/>
          <w:szCs w:val="32"/>
        </w:rPr>
        <w:t>.</w:t>
      </w:r>
    </w:p>
    <w:p w14:paraId="0F328F7D" w14:textId="77777777" w:rsidR="00002AF3" w:rsidRPr="00002AF3" w:rsidRDefault="00002AF3" w:rsidP="00002AF3">
      <w:pPr>
        <w:bidi/>
        <w:spacing w:after="200" w:line="276" w:lineRule="auto"/>
        <w:jc w:val="both"/>
        <w:rPr>
          <w:rFonts w:ascii="Times New Roman" w:hAnsi="Times New Roman" w:cs="Traditional Arabic"/>
          <w:color w:val="000000" w:themeColor="text1"/>
          <w:sz w:val="32"/>
          <w:szCs w:val="32"/>
        </w:rPr>
      </w:pPr>
      <w:r w:rsidRPr="00002AF3">
        <w:rPr>
          <w:rFonts w:ascii="Times New Roman" w:hAnsi="Times New Roman" w:cs="Traditional Arabic"/>
          <w:b/>
          <w:bCs/>
          <w:color w:val="000000" w:themeColor="text1"/>
          <w:sz w:val="32"/>
          <w:szCs w:val="32"/>
          <w:rtl/>
        </w:rPr>
        <w:t>ثالثاً: دولة قطر</w:t>
      </w:r>
    </w:p>
    <w:p w14:paraId="21B76B7B" w14:textId="087C8D27" w:rsidR="00002AF3" w:rsidRPr="00002AF3" w:rsidRDefault="00002AF3" w:rsidP="00002AF3">
      <w:pPr>
        <w:bidi/>
        <w:spacing w:after="200" w:line="276" w:lineRule="auto"/>
        <w:jc w:val="both"/>
        <w:rPr>
          <w:rFonts w:ascii="Times New Roman" w:hAnsi="Times New Roman" w:cs="Traditional Arabic"/>
          <w:color w:val="000000" w:themeColor="text1"/>
          <w:sz w:val="32"/>
          <w:szCs w:val="32"/>
        </w:rPr>
      </w:pPr>
      <w:r w:rsidRPr="00002AF3">
        <w:rPr>
          <w:rFonts w:ascii="Times New Roman" w:hAnsi="Times New Roman" w:cs="Traditional Arabic"/>
          <w:color w:val="000000" w:themeColor="text1"/>
          <w:sz w:val="32"/>
          <w:szCs w:val="32"/>
          <w:rtl/>
        </w:rPr>
        <w:t xml:space="preserve">تشهد دولة قطر تسارعاً لافتاً في مسيرة التحول الرقمي لقطاعها الصناعي، حيث أطلقت وزارة التجارة والصناعة في نوفمبر 2025 </w:t>
      </w:r>
      <w:r w:rsidRPr="00002AF3">
        <w:rPr>
          <w:rFonts w:ascii="Times New Roman" w:hAnsi="Times New Roman" w:cs="Traditional Arabic"/>
          <w:color w:val="000000" w:themeColor="text1"/>
          <w:sz w:val="32"/>
          <w:szCs w:val="32"/>
        </w:rPr>
        <w:t>"</w:t>
      </w:r>
      <w:r w:rsidRPr="00002AF3">
        <w:rPr>
          <w:rFonts w:ascii="Times New Roman" w:hAnsi="Times New Roman" w:cs="Traditional Arabic"/>
          <w:color w:val="000000" w:themeColor="text1"/>
          <w:sz w:val="32"/>
          <w:szCs w:val="32"/>
          <w:rtl/>
        </w:rPr>
        <w:t>المنصة الموحّدة" بالتعاون مع شركة مايكروسوفت، وتُعدّ هذه المنصة ركيزة أساسية ضمن استراتيجية الحكومة الرقمية لتحقيق رؤية قطر الوطنية 2030</w:t>
      </w:r>
      <w:r w:rsidR="00314593">
        <w:rPr>
          <w:rFonts w:ascii="Times New Roman" w:hAnsi="Times New Roman" w:cs="Traditional Arabic" w:hint="cs"/>
          <w:color w:val="000000" w:themeColor="text1"/>
          <w:sz w:val="32"/>
          <w:szCs w:val="32"/>
          <w:rtl/>
        </w:rPr>
        <w:t xml:space="preserve">، </w:t>
      </w:r>
      <w:r w:rsidRPr="00002AF3">
        <w:rPr>
          <w:rFonts w:ascii="Times New Roman" w:hAnsi="Times New Roman" w:cs="Traditional Arabic"/>
          <w:color w:val="000000" w:themeColor="text1"/>
          <w:sz w:val="32"/>
          <w:szCs w:val="32"/>
          <w:rtl/>
        </w:rPr>
        <w:t>وتهدف المنصة إلى توحيد وتطوير خدمات الوزارة وتعزيز التميز التشغيلي وتمكين القطاع الصناعي والتجاري، من خلال تحويل الخدمات الحكومية إلى نموذج رقمي متكامل يُركّز على المستخدم ويُسهم في تسريع الإجراءات وتبسيطها للمستثمرين والمستهلكين. وفي فبراير 2026، أطلقت الوزارة بالتعاون مع مايكروسوفت منظومة "مصنع وكلاء الذكاء الاصطناعي"، وهي منصة رقمية مبتكرة تستثمر تقنيات الذكاء الاصطناعي في تطوير الخدمات الصناعية. كما أطلقت الوزارة في فبراير 2026 ستاً وثلاثين خدمة إلكترونية جديدة عبر موقعها الإلكتروني في إطار جهودها المستمرة لتعزيز التحول الرقمي وتطوير كفاءة الخدمات وتعزيز الشفافية في القطاع الصناعي والتجاري</w:t>
      </w:r>
      <w:r w:rsidR="00314593">
        <w:rPr>
          <w:rFonts w:ascii="Times New Roman" w:hAnsi="Times New Roman" w:cs="Traditional Arabic" w:hint="cs"/>
          <w:color w:val="000000" w:themeColor="text1"/>
          <w:sz w:val="32"/>
          <w:szCs w:val="32"/>
          <w:rtl/>
        </w:rPr>
        <w:t>،</w:t>
      </w:r>
      <w:r w:rsidRPr="00002AF3">
        <w:rPr>
          <w:rFonts w:ascii="Times New Roman" w:hAnsi="Times New Roman" w:cs="Traditional Arabic"/>
          <w:color w:val="000000" w:themeColor="text1"/>
          <w:sz w:val="32"/>
          <w:szCs w:val="32"/>
          <w:rtl/>
        </w:rPr>
        <w:t xml:space="preserve"> وقد استضافت الدوحة في ديسمبر 2025 ورش العمل الخليجية حول التحول الرقمي في المصانع، والتي نُظّمت بالتعاون بين وزارة التجارة والصناعة القطرية والأمانة العامة لمجلس التعاون ومنظمة الخليج للاستشارات الصناعية، بمشاركة ممثلي الجهات الصناعية في جميع دول المجلس</w:t>
      </w:r>
      <w:r w:rsidR="00314593">
        <w:rPr>
          <w:rFonts w:ascii="Times New Roman" w:hAnsi="Times New Roman" w:cs="Traditional Arabic" w:hint="cs"/>
          <w:color w:val="000000" w:themeColor="text1"/>
          <w:sz w:val="32"/>
          <w:szCs w:val="32"/>
          <w:rtl/>
        </w:rPr>
        <w:t>،</w:t>
      </w:r>
      <w:r w:rsidRPr="00002AF3">
        <w:rPr>
          <w:rFonts w:ascii="Times New Roman" w:hAnsi="Times New Roman" w:cs="Traditional Arabic"/>
          <w:color w:val="000000" w:themeColor="text1"/>
          <w:sz w:val="32"/>
          <w:szCs w:val="32"/>
          <w:rtl/>
        </w:rPr>
        <w:t xml:space="preserve"> وقد هدفت هذه الورش إلى تعزيز التعاون والتكامل الصناعي الخليجي ودعم مسارات التحول نحو الصناعة 4.0 وتبادل الخبرات وأفضل الممارسات في التحول الرقمي للمصانع ورفع جاهزية المنشآت الصناعية الصغيرة والمتوسطة لمواكبة التطورات التقنية العالمية</w:t>
      </w:r>
      <w:r w:rsidRPr="00002AF3">
        <w:rPr>
          <w:rFonts w:ascii="Times New Roman" w:hAnsi="Times New Roman" w:cs="Traditional Arabic"/>
          <w:color w:val="000000" w:themeColor="text1"/>
          <w:sz w:val="32"/>
          <w:szCs w:val="32"/>
        </w:rPr>
        <w:t>.</w:t>
      </w:r>
      <w:r w:rsidR="00314593" w:rsidRPr="00314593">
        <w:rPr>
          <w:rtl/>
        </w:rPr>
        <w:t xml:space="preserve"> </w:t>
      </w:r>
      <w:r w:rsidR="00314593" w:rsidRPr="00314593">
        <w:rPr>
          <w:rFonts w:ascii="Times New Roman" w:hAnsi="Times New Roman" w:cs="Traditional Arabic"/>
          <w:color w:val="000000" w:themeColor="text1"/>
          <w:sz w:val="32"/>
          <w:szCs w:val="32"/>
          <w:rtl/>
        </w:rPr>
        <w:t>(وزارة التجارة والصناعة ـ قطر، 2025)</w:t>
      </w:r>
    </w:p>
    <w:p w14:paraId="14A30296" w14:textId="77777777" w:rsidR="00002AF3" w:rsidRPr="00002AF3" w:rsidRDefault="00002AF3" w:rsidP="00002AF3">
      <w:pPr>
        <w:bidi/>
        <w:spacing w:after="200" w:line="276" w:lineRule="auto"/>
        <w:jc w:val="both"/>
        <w:rPr>
          <w:rFonts w:ascii="Times New Roman" w:hAnsi="Times New Roman" w:cs="Traditional Arabic"/>
          <w:color w:val="000000" w:themeColor="text1"/>
          <w:sz w:val="32"/>
          <w:szCs w:val="32"/>
        </w:rPr>
      </w:pPr>
      <w:r w:rsidRPr="00002AF3">
        <w:rPr>
          <w:rFonts w:ascii="Times New Roman" w:hAnsi="Times New Roman" w:cs="Traditional Arabic"/>
          <w:b/>
          <w:bCs/>
          <w:color w:val="000000" w:themeColor="text1"/>
          <w:sz w:val="32"/>
          <w:szCs w:val="32"/>
          <w:rtl/>
        </w:rPr>
        <w:t>رابعاً: مملكة البحرين</w:t>
      </w:r>
    </w:p>
    <w:p w14:paraId="4CA6F11C" w14:textId="2825E396" w:rsidR="00002AF3" w:rsidRPr="00002AF3" w:rsidRDefault="00002AF3" w:rsidP="00002AF3">
      <w:pPr>
        <w:bidi/>
        <w:spacing w:after="200" w:line="276" w:lineRule="auto"/>
        <w:jc w:val="both"/>
        <w:rPr>
          <w:rFonts w:ascii="Times New Roman" w:hAnsi="Times New Roman" w:cs="Traditional Arabic"/>
          <w:color w:val="000000" w:themeColor="text1"/>
          <w:sz w:val="32"/>
          <w:szCs w:val="32"/>
        </w:rPr>
      </w:pPr>
      <w:r w:rsidRPr="00002AF3">
        <w:rPr>
          <w:rFonts w:ascii="Times New Roman" w:hAnsi="Times New Roman" w:cs="Traditional Arabic"/>
          <w:color w:val="000000" w:themeColor="text1"/>
          <w:sz w:val="32"/>
          <w:szCs w:val="32"/>
          <w:rtl/>
        </w:rPr>
        <w:t>تسعى مملكة البحرين إلى تعزيز مكانتها كمركز إقليمي للصناعة الرقمية المتقدمة، حيث أطلقت وزارة الصناعة والتجارة في نوفمبر 2025 "استراتيجية الابتكار الوطنية" التي تهدف إلى تعزيز مكانة المملكة كمركز إقليمي رائد للابتكار وتسريع التحول نحو اقتصاد المعرفة</w:t>
      </w:r>
      <w:r w:rsidR="00314593">
        <w:rPr>
          <w:rFonts w:ascii="Times New Roman" w:hAnsi="Times New Roman" w:cs="Traditional Arabic" w:hint="cs"/>
          <w:color w:val="000000" w:themeColor="text1"/>
          <w:sz w:val="32"/>
          <w:szCs w:val="32"/>
          <w:rtl/>
        </w:rPr>
        <w:t>،</w:t>
      </w:r>
      <w:r w:rsidRPr="00002AF3">
        <w:rPr>
          <w:rFonts w:ascii="Times New Roman" w:hAnsi="Times New Roman" w:cs="Traditional Arabic"/>
          <w:color w:val="000000" w:themeColor="text1"/>
          <w:sz w:val="32"/>
          <w:szCs w:val="32"/>
        </w:rPr>
        <w:t xml:space="preserve"> </w:t>
      </w:r>
      <w:r w:rsidRPr="00002AF3">
        <w:rPr>
          <w:rFonts w:ascii="Times New Roman" w:hAnsi="Times New Roman" w:cs="Traditional Arabic"/>
          <w:color w:val="000000" w:themeColor="text1"/>
          <w:sz w:val="32"/>
          <w:szCs w:val="32"/>
          <w:rtl/>
        </w:rPr>
        <w:t>وتتكامل هذه الاستراتيجية مع رؤية البحرين الاقتصادية 2030 التي تضع التحول الرقمي في صلب أولوياتها التنموية</w:t>
      </w:r>
      <w:r w:rsidR="00314593">
        <w:rPr>
          <w:rFonts w:ascii="Times New Roman" w:hAnsi="Times New Roman" w:cs="Traditional Arabic" w:hint="cs"/>
          <w:color w:val="000000" w:themeColor="text1"/>
          <w:sz w:val="32"/>
          <w:szCs w:val="32"/>
          <w:rtl/>
        </w:rPr>
        <w:t xml:space="preserve">، </w:t>
      </w:r>
      <w:r w:rsidRPr="00002AF3">
        <w:rPr>
          <w:rFonts w:ascii="Times New Roman" w:hAnsi="Times New Roman" w:cs="Traditional Arabic"/>
          <w:color w:val="000000" w:themeColor="text1"/>
          <w:sz w:val="32"/>
          <w:szCs w:val="32"/>
          <w:rtl/>
        </w:rPr>
        <w:t xml:space="preserve"> وتعمل المملكة على بناء منظومة رقمية متكاملة لقطاعها الصناعي ترتكز على تقنيات الثورة الصناعية الرابعة، مع التركيز على التصنيع الذكي </w:t>
      </w:r>
      <w:r w:rsidRPr="00002AF3">
        <w:rPr>
          <w:rFonts w:ascii="Times New Roman" w:hAnsi="Times New Roman" w:cs="Traditional Arabic"/>
          <w:color w:val="000000" w:themeColor="text1"/>
          <w:sz w:val="32"/>
          <w:szCs w:val="32"/>
          <w:rtl/>
        </w:rPr>
        <w:lastRenderedPageBreak/>
        <w:t>وتوظيف الذكاء الاصطناعي في تحسين كفاءة العمليات الصناعية. وقد حصل نظام السجلات التجارية "سجلات" على شهادة التميز بجائزة الحكومة الرقمية لدول مجلس التعاون عن فئة أفضل خدمة رقمية، مما يعكس مستوى التقدم الذي أحرزته المملكة في مجال الخدمات الرقمية الصناعية والتجارية</w:t>
      </w:r>
      <w:r w:rsidR="00314593" w:rsidRPr="00314593">
        <w:t xml:space="preserve"> </w:t>
      </w:r>
      <w:r w:rsidR="00314593" w:rsidRPr="00314593">
        <w:rPr>
          <w:rFonts w:ascii="Times New Roman" w:hAnsi="Times New Roman" w:cs="Traditional Arabic"/>
          <w:color w:val="000000" w:themeColor="text1"/>
          <w:sz w:val="32"/>
          <w:szCs w:val="32"/>
        </w:rPr>
        <w:t>(BNA, 2023).</w:t>
      </w:r>
    </w:p>
    <w:p w14:paraId="3B7C96FD" w14:textId="77777777" w:rsidR="00002AF3" w:rsidRPr="00002AF3" w:rsidRDefault="00002AF3" w:rsidP="00002AF3">
      <w:pPr>
        <w:bidi/>
        <w:spacing w:after="200" w:line="276" w:lineRule="auto"/>
        <w:jc w:val="both"/>
        <w:rPr>
          <w:rFonts w:ascii="Times New Roman" w:hAnsi="Times New Roman" w:cs="Traditional Arabic"/>
          <w:color w:val="000000" w:themeColor="text1"/>
          <w:sz w:val="32"/>
          <w:szCs w:val="32"/>
        </w:rPr>
      </w:pPr>
      <w:r w:rsidRPr="00002AF3">
        <w:rPr>
          <w:rFonts w:ascii="Times New Roman" w:hAnsi="Times New Roman" w:cs="Traditional Arabic"/>
          <w:b/>
          <w:bCs/>
          <w:color w:val="000000" w:themeColor="text1"/>
          <w:sz w:val="32"/>
          <w:szCs w:val="32"/>
          <w:rtl/>
        </w:rPr>
        <w:t>خامساً: سلطنة عُمان</w:t>
      </w:r>
    </w:p>
    <w:p w14:paraId="35B93D41" w14:textId="5DDC80C6" w:rsidR="00002AF3" w:rsidRPr="00002AF3" w:rsidRDefault="00002AF3" w:rsidP="00314593">
      <w:pPr>
        <w:bidi/>
        <w:spacing w:after="200" w:line="276" w:lineRule="auto"/>
        <w:jc w:val="both"/>
        <w:rPr>
          <w:rFonts w:ascii="Times New Roman" w:hAnsi="Times New Roman" w:cs="Traditional Arabic"/>
          <w:color w:val="000000" w:themeColor="text1"/>
          <w:sz w:val="32"/>
          <w:szCs w:val="32"/>
        </w:rPr>
      </w:pPr>
      <w:r w:rsidRPr="00002AF3">
        <w:rPr>
          <w:rFonts w:ascii="Times New Roman" w:hAnsi="Times New Roman" w:cs="Traditional Arabic"/>
          <w:color w:val="000000" w:themeColor="text1"/>
          <w:sz w:val="32"/>
          <w:szCs w:val="32"/>
          <w:rtl/>
        </w:rPr>
        <w:t xml:space="preserve">تتبنى سلطنة عُمان من خلال وزارة التجارة والصناعة وترويج الاستثمار استراتيجية رقمية شاملة ترتبط برؤية عُمان 2040 التي تضع </w:t>
      </w:r>
      <w:proofErr w:type="spellStart"/>
      <w:r w:rsidRPr="00002AF3">
        <w:rPr>
          <w:rFonts w:ascii="Times New Roman" w:hAnsi="Times New Roman" w:cs="Traditional Arabic"/>
          <w:color w:val="000000" w:themeColor="text1"/>
          <w:sz w:val="32"/>
          <w:szCs w:val="32"/>
          <w:rtl/>
        </w:rPr>
        <w:t>الرقمنة</w:t>
      </w:r>
      <w:proofErr w:type="spellEnd"/>
      <w:r w:rsidRPr="00002AF3">
        <w:rPr>
          <w:rFonts w:ascii="Times New Roman" w:hAnsi="Times New Roman" w:cs="Traditional Arabic"/>
          <w:color w:val="000000" w:themeColor="text1"/>
          <w:sz w:val="32"/>
          <w:szCs w:val="32"/>
          <w:rtl/>
        </w:rPr>
        <w:t xml:space="preserve"> ركيزة أساسية في أجندة التحول الاقتصادي</w:t>
      </w:r>
      <w:r w:rsidR="00314593">
        <w:rPr>
          <w:rFonts w:ascii="Times New Roman" w:hAnsi="Times New Roman" w:cs="Traditional Arabic" w:hint="cs"/>
          <w:color w:val="000000" w:themeColor="text1"/>
          <w:sz w:val="32"/>
          <w:szCs w:val="32"/>
          <w:rtl/>
        </w:rPr>
        <w:t xml:space="preserve">، </w:t>
      </w:r>
      <w:r w:rsidRPr="00002AF3">
        <w:rPr>
          <w:rFonts w:ascii="Times New Roman" w:hAnsi="Times New Roman" w:cs="Traditional Arabic"/>
          <w:color w:val="000000" w:themeColor="text1"/>
          <w:sz w:val="32"/>
          <w:szCs w:val="32"/>
          <w:rtl/>
        </w:rPr>
        <w:t>وقد أطلقت الوزارة في عام 2025 مجموعة من المنصات الرقمية لتمكين المستثمرين، تشمل منصة "استثمر في عُمان" التي تُمكّن المستثمرين من استكشاف المناخ الاستثماري والحوافز والمناطق الصناعية والمناطق الاقتصادية الحرة عبر الدولة. كما أطلقت "منصة عُمان للأعمال" التي سجّلت أكثر من 75,000 معاملة بحلول الربع الثالث من عام 2025، مما يعكس الإقبال الواسع على الخدمات الرقمية</w:t>
      </w:r>
      <w:r w:rsidR="00314593">
        <w:rPr>
          <w:rFonts w:ascii="Times New Roman" w:hAnsi="Times New Roman" w:cs="Traditional Arabic" w:hint="cs"/>
          <w:color w:val="000000" w:themeColor="text1"/>
          <w:sz w:val="32"/>
          <w:szCs w:val="32"/>
          <w:rtl/>
        </w:rPr>
        <w:t>،</w:t>
      </w:r>
      <w:r w:rsidRPr="00002AF3">
        <w:rPr>
          <w:rFonts w:ascii="Times New Roman" w:hAnsi="Times New Roman" w:cs="Traditional Arabic"/>
          <w:color w:val="000000" w:themeColor="text1"/>
          <w:sz w:val="32"/>
          <w:szCs w:val="32"/>
          <w:rtl/>
        </w:rPr>
        <w:t xml:space="preserve"> وقد عرضت الوزارة منظومتها الرقمية المتكاملة في معرض "كومكس </w:t>
      </w:r>
      <w:r w:rsidRPr="00002AF3">
        <w:rPr>
          <w:rFonts w:ascii="Times New Roman" w:hAnsi="Times New Roman" w:cs="Traditional Arabic"/>
          <w:color w:val="000000" w:themeColor="text1"/>
          <w:sz w:val="32"/>
          <w:szCs w:val="32"/>
        </w:rPr>
        <w:t xml:space="preserve">2025" </w:t>
      </w:r>
      <w:r w:rsidRPr="00002AF3">
        <w:rPr>
          <w:rFonts w:ascii="Times New Roman" w:hAnsi="Times New Roman" w:cs="Traditional Arabic"/>
          <w:color w:val="000000" w:themeColor="text1"/>
          <w:sz w:val="32"/>
          <w:szCs w:val="32"/>
          <w:rtl/>
        </w:rPr>
        <w:t>الذي شمل منصات إلكترونية متعددة وخدمات ذكية ومراكز خدمات "سند"، في إطار جهودها المستمرة لتحسين جودة الخدمات وتعزيز الشفافية. ويشهد قطاع التحول الرقمي في السلطنة نمواً ملحوظاً، حيث تُقدّر قيمة سوق التحول الرقمي في عُمان بنحو 2.93 مليار دولار أمريكي في عام 2026 مع توقعات بالنمو إلى 4.01 مليار دولار بحلول عام 2031</w:t>
      </w:r>
      <w:r w:rsidRPr="00002AF3">
        <w:rPr>
          <w:rFonts w:ascii="Times New Roman" w:hAnsi="Times New Roman" w:cs="Traditional Arabic"/>
          <w:color w:val="000000" w:themeColor="text1"/>
          <w:sz w:val="32"/>
          <w:szCs w:val="32"/>
        </w:rPr>
        <w:t>.</w:t>
      </w:r>
      <w:r w:rsidR="00314593" w:rsidRPr="00314593">
        <w:t xml:space="preserve"> </w:t>
      </w:r>
      <w:r w:rsidR="00314593" w:rsidRPr="00314593">
        <w:rPr>
          <w:rFonts w:ascii="Times New Roman" w:hAnsi="Times New Roman" w:cs="Traditional Arabic"/>
          <w:color w:val="000000" w:themeColor="text1"/>
          <w:sz w:val="32"/>
          <w:szCs w:val="32"/>
        </w:rPr>
        <w:t>(Zawya, 2025).</w:t>
      </w:r>
    </w:p>
    <w:p w14:paraId="1E6FBC2F" w14:textId="77777777" w:rsidR="00002AF3" w:rsidRPr="00002AF3" w:rsidRDefault="00002AF3" w:rsidP="00002AF3">
      <w:pPr>
        <w:bidi/>
        <w:spacing w:after="200" w:line="276" w:lineRule="auto"/>
        <w:jc w:val="both"/>
        <w:rPr>
          <w:rFonts w:ascii="Times New Roman" w:hAnsi="Times New Roman" w:cs="Traditional Arabic"/>
          <w:color w:val="000000" w:themeColor="text1"/>
          <w:sz w:val="32"/>
          <w:szCs w:val="32"/>
        </w:rPr>
      </w:pPr>
      <w:r w:rsidRPr="00002AF3">
        <w:rPr>
          <w:rFonts w:ascii="Times New Roman" w:hAnsi="Times New Roman" w:cs="Traditional Arabic"/>
          <w:b/>
          <w:bCs/>
          <w:color w:val="000000" w:themeColor="text1"/>
          <w:sz w:val="32"/>
          <w:szCs w:val="32"/>
          <w:rtl/>
        </w:rPr>
        <w:t>سادساً: دولة الكويت</w:t>
      </w:r>
    </w:p>
    <w:p w14:paraId="3F931B2F" w14:textId="7E288E04" w:rsidR="00002AF3" w:rsidRPr="00002AF3" w:rsidRDefault="00002AF3" w:rsidP="00314593">
      <w:pPr>
        <w:bidi/>
        <w:spacing w:after="200" w:line="276" w:lineRule="auto"/>
        <w:jc w:val="both"/>
        <w:rPr>
          <w:rFonts w:ascii="Times New Roman" w:hAnsi="Times New Roman" w:cs="Traditional Arabic"/>
          <w:color w:val="000000" w:themeColor="text1"/>
          <w:sz w:val="32"/>
          <w:szCs w:val="32"/>
          <w:rtl/>
        </w:rPr>
      </w:pPr>
      <w:r w:rsidRPr="00002AF3">
        <w:rPr>
          <w:rFonts w:ascii="Times New Roman" w:hAnsi="Times New Roman" w:cs="Traditional Arabic"/>
          <w:color w:val="000000" w:themeColor="text1"/>
          <w:sz w:val="32"/>
          <w:szCs w:val="32"/>
          <w:rtl/>
        </w:rPr>
        <w:t xml:space="preserve">تسعى دولة الكويت من خلال وزارة التجارة والصناعة إلى تعزيز تحولها الرقمي في إطار رؤية الكويت الجديدة 2035. وقد أطلقت الوزارة خدمات إلكترونية متعددة عبر تطبيق "سهل" الذي يُمثّل البوابة الموحّدة للخدمات الحكومية الرقمية في الدولة، والذي يوفر حالياً أكثر من </w:t>
      </w:r>
      <w:r w:rsidRPr="00002AF3">
        <w:rPr>
          <w:rFonts w:ascii="Times New Roman" w:hAnsi="Times New Roman" w:cs="Traditional Arabic"/>
          <w:color w:val="000000" w:themeColor="text1"/>
          <w:sz w:val="32"/>
          <w:szCs w:val="32"/>
        </w:rPr>
        <w:t xml:space="preserve">483 </w:t>
      </w:r>
      <w:r w:rsidRPr="00002AF3">
        <w:rPr>
          <w:rFonts w:ascii="Times New Roman" w:hAnsi="Times New Roman" w:cs="Traditional Arabic"/>
          <w:color w:val="000000" w:themeColor="text1"/>
          <w:sz w:val="32"/>
          <w:szCs w:val="32"/>
          <w:rtl/>
        </w:rPr>
        <w:t>خدمة عبر 41 جهة حكومية. كما أطلقت الوزارة "الرخصة الذكية" لتبسيط إجراءات الموافقات التجارية والصناعية، و"البوابة الرقمية لإدارة شركات الأشخاص" التي تُتيح إدارة الإجراءات التجارية إلكترونياً. وتعمل الدولة على الانتقال من مرحلة الخدمات الرقمية إلى مرحلة "الرحلات الذكية</w:t>
      </w:r>
      <w:r w:rsidRPr="00002AF3">
        <w:rPr>
          <w:rFonts w:ascii="Times New Roman" w:hAnsi="Times New Roman" w:cs="Traditional Arabic"/>
          <w:color w:val="000000" w:themeColor="text1"/>
          <w:sz w:val="32"/>
          <w:szCs w:val="32"/>
        </w:rPr>
        <w:t xml:space="preserve">" </w:t>
      </w:r>
      <w:r w:rsidRPr="00002AF3">
        <w:rPr>
          <w:rFonts w:ascii="Times New Roman" w:hAnsi="Times New Roman" w:cs="Traditional Arabic"/>
          <w:color w:val="000000" w:themeColor="text1"/>
          <w:sz w:val="32"/>
          <w:szCs w:val="32"/>
          <w:rtl/>
        </w:rPr>
        <w:t>المتكاملة التي تربط بين الخدمات المختلفة في مسارات رقمية سلسة تُركّز على تجربة المستخدم</w:t>
      </w:r>
      <w:r w:rsidRPr="00002AF3">
        <w:rPr>
          <w:rFonts w:ascii="Times New Roman" w:hAnsi="Times New Roman" w:cs="Traditional Arabic"/>
          <w:color w:val="000000" w:themeColor="text1"/>
          <w:sz w:val="32"/>
          <w:szCs w:val="32"/>
        </w:rPr>
        <w:t>.</w:t>
      </w:r>
      <w:r w:rsidR="00314593" w:rsidRPr="00314593">
        <w:t xml:space="preserve"> </w:t>
      </w:r>
      <w:r w:rsidR="00314593" w:rsidRPr="00314593">
        <w:rPr>
          <w:rFonts w:ascii="Times New Roman" w:hAnsi="Times New Roman" w:cs="Traditional Arabic"/>
          <w:color w:val="000000" w:themeColor="text1"/>
          <w:sz w:val="32"/>
          <w:szCs w:val="32"/>
        </w:rPr>
        <w:t>(Arab Times, 2025).</w:t>
      </w:r>
    </w:p>
    <w:p w14:paraId="0C1B44B1" w14:textId="77777777" w:rsidR="00002AF3" w:rsidRPr="00002AF3" w:rsidRDefault="00002AF3" w:rsidP="00002AF3">
      <w:pPr>
        <w:bidi/>
        <w:spacing w:after="200" w:line="276" w:lineRule="auto"/>
        <w:jc w:val="both"/>
        <w:rPr>
          <w:rFonts w:ascii="Times New Roman" w:hAnsi="Times New Roman" w:cs="Traditional Arabic"/>
          <w:color w:val="000000" w:themeColor="text1"/>
          <w:sz w:val="32"/>
          <w:szCs w:val="32"/>
        </w:rPr>
      </w:pPr>
    </w:p>
    <w:p w14:paraId="27505436" w14:textId="77777777" w:rsidR="003E5961" w:rsidRPr="00EF5312" w:rsidRDefault="003E5961" w:rsidP="003E5961">
      <w:pPr>
        <w:bidi/>
        <w:spacing w:after="200" w:line="276" w:lineRule="auto"/>
        <w:jc w:val="center"/>
        <w:rPr>
          <w:rFonts w:ascii="Times New Roman" w:hAnsi="Times New Roman" w:cs="Traditional Arabic"/>
          <w:b/>
          <w:bCs/>
          <w:color w:val="EE0000"/>
          <w:sz w:val="32"/>
          <w:szCs w:val="32"/>
          <w:rtl/>
        </w:rPr>
      </w:pPr>
      <w:r w:rsidRPr="00EF5312">
        <w:rPr>
          <w:rFonts w:ascii="Times New Roman" w:hAnsi="Times New Roman" w:cs="Traditional Arabic"/>
          <w:b/>
          <w:bCs/>
          <w:color w:val="EE0000"/>
          <w:sz w:val="32"/>
          <w:szCs w:val="32"/>
          <w:rtl/>
        </w:rPr>
        <w:lastRenderedPageBreak/>
        <w:t>المبحث الثاني: الشفافية المعلوماتية</w:t>
      </w:r>
    </w:p>
    <w:p w14:paraId="4FBB74C8" w14:textId="77777777" w:rsidR="003E5961" w:rsidRPr="003E5961" w:rsidRDefault="003E5961" w:rsidP="003E5961">
      <w:pPr>
        <w:bidi/>
        <w:spacing w:after="200" w:line="276" w:lineRule="auto"/>
        <w:jc w:val="both"/>
        <w:rPr>
          <w:rFonts w:ascii="Times New Roman" w:hAnsi="Times New Roman" w:cs="Traditional Arabic"/>
          <w:b/>
          <w:bCs/>
          <w:color w:val="000000" w:themeColor="text1"/>
          <w:sz w:val="32"/>
          <w:szCs w:val="32"/>
        </w:rPr>
      </w:pPr>
      <w:r w:rsidRPr="003E5961">
        <w:rPr>
          <w:rFonts w:ascii="Times New Roman" w:hAnsi="Times New Roman" w:cs="Traditional Arabic"/>
          <w:b/>
          <w:bCs/>
          <w:color w:val="000000" w:themeColor="text1"/>
          <w:sz w:val="32"/>
          <w:szCs w:val="32"/>
          <w:rtl/>
        </w:rPr>
        <w:t>تمهيد</w:t>
      </w:r>
    </w:p>
    <w:p w14:paraId="0ACAE4F1" w14:textId="77777777" w:rsidR="003E5961" w:rsidRDefault="003E5961" w:rsidP="003E5961">
      <w:pPr>
        <w:bidi/>
        <w:spacing w:after="200" w:line="276" w:lineRule="auto"/>
        <w:jc w:val="both"/>
        <w:rPr>
          <w:rFonts w:ascii="Times New Roman" w:hAnsi="Times New Roman" w:cs="Traditional Arabic"/>
          <w:color w:val="000000" w:themeColor="text1"/>
          <w:sz w:val="32"/>
          <w:szCs w:val="32"/>
          <w:rtl/>
        </w:rPr>
      </w:pPr>
      <w:r w:rsidRPr="003E5961">
        <w:rPr>
          <w:rFonts w:ascii="Times New Roman" w:hAnsi="Times New Roman" w:cs="Traditional Arabic"/>
          <w:color w:val="000000" w:themeColor="text1"/>
          <w:sz w:val="32"/>
          <w:szCs w:val="32"/>
          <w:rtl/>
        </w:rPr>
        <w:t>يشهد الخطاب الإداري والتنظيمي المعاصر اهتماماً متزايداً بمفهوم الشفافية المعلوماتية بوصفه ركيزة جوهرية من ركائز الحوكمة الرشيدة وأداةً محورية في تعزيز الثقة المؤسسية وترشيد عمليات اتخاذ القرار. وقد تنامت هذه الأهمية بصورة مطّردة مع تسارع التحولات الرقمية التي أتاحت إمكانات غير مسبوقة في إنتاج البيانات ومعالجتها وتبادلها، مما أعاد تشكيل العلاقة بين المنظمات الحكومية وأصحاب المصلحة على نحو جعل الشفافية ليست مجرد خيار إداري بل ضرورة مؤسسية واستراتيجية</w:t>
      </w:r>
      <w:r w:rsidRPr="003E5961">
        <w:rPr>
          <w:rFonts w:ascii="Times New Roman" w:hAnsi="Times New Roman" w:cs="Traditional Arabic"/>
          <w:color w:val="000000" w:themeColor="text1"/>
          <w:sz w:val="32"/>
          <w:szCs w:val="32"/>
        </w:rPr>
        <w:t xml:space="preserve">. </w:t>
      </w:r>
      <w:r w:rsidRPr="003E5961">
        <w:rPr>
          <w:rFonts w:ascii="Times New Roman" w:hAnsi="Times New Roman" w:cs="Traditional Arabic"/>
          <w:color w:val="000000" w:themeColor="text1"/>
          <w:sz w:val="32"/>
          <w:szCs w:val="32"/>
          <w:rtl/>
        </w:rPr>
        <w:t xml:space="preserve">وفي سياق وزارات الصناعة بدول مجلس التعاون الخليجي التي تتولى مسؤولية تنظيم القطاع الصناعي وتوجيهه وجذب الاستثمارات وتحقيق أهداف التنويع الاقتصادي، تكتسب الشفافية المعلوماتية بعداً إضافياً يتمثل في كونها المسار الذي ينتقل من خلاله أثر التحول الرقمي إلى جودة القرارات الاستراتيجية وفاعليتها. </w:t>
      </w:r>
    </w:p>
    <w:p w14:paraId="657BFC56" w14:textId="6EE212C7" w:rsidR="003E5961" w:rsidRPr="003E5961" w:rsidRDefault="003E5961" w:rsidP="003E5961">
      <w:pPr>
        <w:bidi/>
        <w:spacing w:after="200" w:line="276" w:lineRule="auto"/>
        <w:jc w:val="both"/>
        <w:rPr>
          <w:rFonts w:ascii="Times New Roman" w:hAnsi="Times New Roman" w:cs="Traditional Arabic"/>
          <w:color w:val="000000" w:themeColor="text1"/>
          <w:sz w:val="32"/>
          <w:szCs w:val="32"/>
        </w:rPr>
      </w:pPr>
      <w:r w:rsidRPr="003E5961">
        <w:rPr>
          <w:rFonts w:ascii="Times New Roman" w:hAnsi="Times New Roman" w:cs="Traditional Arabic"/>
          <w:color w:val="000000" w:themeColor="text1"/>
          <w:sz w:val="32"/>
          <w:szCs w:val="32"/>
          <w:rtl/>
        </w:rPr>
        <w:t xml:space="preserve">ويستعرض هذا المبحث مفهوم الشفافية المعلوماتية وتطوره، وأهدافها، وأهميتها في المنظمات الحكومية، وأبعادها التي تتبناها الدراسة </w:t>
      </w:r>
      <w:r w:rsidR="00ED4FE6" w:rsidRPr="003E5961">
        <w:rPr>
          <w:rFonts w:ascii="Times New Roman" w:hAnsi="Times New Roman" w:cs="Traditional Arabic" w:hint="cs"/>
          <w:color w:val="000000" w:themeColor="text1"/>
          <w:sz w:val="32"/>
          <w:szCs w:val="32"/>
          <w:rtl/>
        </w:rPr>
        <w:t>الحالية،</w:t>
      </w:r>
      <w:r w:rsidRPr="003E5961">
        <w:rPr>
          <w:rFonts w:ascii="Times New Roman" w:hAnsi="Times New Roman" w:cs="Traditional Arabic"/>
          <w:color w:val="000000" w:themeColor="text1"/>
          <w:sz w:val="32"/>
          <w:szCs w:val="32"/>
          <w:rtl/>
        </w:rPr>
        <w:t xml:space="preserve"> وموقعها في وزارات الصناعة بدول مجلس التعاون الخليجي</w:t>
      </w:r>
      <w:r w:rsidRPr="003E5961">
        <w:rPr>
          <w:rFonts w:ascii="Times New Roman" w:hAnsi="Times New Roman" w:cs="Traditional Arabic"/>
          <w:color w:val="000000" w:themeColor="text1"/>
          <w:sz w:val="32"/>
          <w:szCs w:val="32"/>
        </w:rPr>
        <w:t>.</w:t>
      </w:r>
    </w:p>
    <w:p w14:paraId="608C6DB8" w14:textId="77777777" w:rsidR="003E5961" w:rsidRPr="003E5961" w:rsidRDefault="003E5961" w:rsidP="003E5961">
      <w:pPr>
        <w:bidi/>
        <w:spacing w:after="200" w:line="276" w:lineRule="auto"/>
        <w:jc w:val="both"/>
        <w:rPr>
          <w:rFonts w:ascii="Times New Roman" w:hAnsi="Times New Roman" w:cs="Traditional Arabic"/>
          <w:b/>
          <w:bCs/>
          <w:color w:val="000000" w:themeColor="text1"/>
          <w:sz w:val="32"/>
          <w:szCs w:val="32"/>
        </w:rPr>
      </w:pPr>
      <w:r w:rsidRPr="003E5961">
        <w:rPr>
          <w:rFonts w:ascii="Times New Roman" w:hAnsi="Times New Roman" w:cs="Traditional Arabic"/>
          <w:b/>
          <w:bCs/>
          <w:color w:val="000000" w:themeColor="text1"/>
          <w:sz w:val="32"/>
          <w:szCs w:val="32"/>
          <w:rtl/>
        </w:rPr>
        <w:t>أولاً: مفهوم الشفافية المعلوماتية</w:t>
      </w:r>
    </w:p>
    <w:p w14:paraId="065A1D10" w14:textId="77777777" w:rsidR="003E5961" w:rsidRPr="003E5961" w:rsidRDefault="003E5961" w:rsidP="003E5961">
      <w:pPr>
        <w:bidi/>
        <w:spacing w:after="200" w:line="276" w:lineRule="auto"/>
        <w:jc w:val="both"/>
        <w:rPr>
          <w:rFonts w:ascii="Times New Roman" w:hAnsi="Times New Roman" w:cs="Traditional Arabic"/>
          <w:color w:val="000000" w:themeColor="text1"/>
          <w:sz w:val="32"/>
          <w:szCs w:val="32"/>
        </w:rPr>
      </w:pPr>
      <w:r w:rsidRPr="003E5961">
        <w:rPr>
          <w:rFonts w:ascii="Times New Roman" w:hAnsi="Times New Roman" w:cs="Traditional Arabic"/>
          <w:color w:val="000000" w:themeColor="text1"/>
          <w:sz w:val="32"/>
          <w:szCs w:val="32"/>
          <w:rtl/>
        </w:rPr>
        <w:t>شغل مفهوم الشفافية حيزاً واسعاً في الأدبيات الإدارية والسياسية، وتعددت التعريفات التي تناولته وفقاً لزوايا المعالجة والحقل المعرفي الذي ينتمي إليه الباحث. وفيما يخص الشفافية المعلوماتية بوصفها بُعداً محدداً من أبعاد الشفافية الأوسع، فإنها تتمحور حول إتاحة المعلومات المتعلقة بالقرارات والإجراءات والسياسات المؤسسية لأصحاب المصلحة الداخليين والخارجيين بصورة واضحة ودقيقة وفي الوقت المناسب</w:t>
      </w:r>
      <w:r w:rsidRPr="003E5961">
        <w:rPr>
          <w:rFonts w:ascii="Times New Roman" w:hAnsi="Times New Roman" w:cs="Traditional Arabic"/>
          <w:color w:val="000000" w:themeColor="text1"/>
          <w:sz w:val="32"/>
          <w:szCs w:val="32"/>
        </w:rPr>
        <w:t xml:space="preserve">. </w:t>
      </w:r>
      <w:r w:rsidRPr="003E5961">
        <w:rPr>
          <w:rFonts w:ascii="Times New Roman" w:hAnsi="Times New Roman" w:cs="Traditional Arabic"/>
          <w:color w:val="000000" w:themeColor="text1"/>
          <w:sz w:val="32"/>
          <w:szCs w:val="32"/>
          <w:rtl/>
        </w:rPr>
        <w:t>ويستدعي العرض الأكاديمي لهذا المفهوم استعراض مجموعة من التعريفات التي قدمها الباحثون في هذا الحقل لتحديد الإطار المفاهيمي الذي تنطلق منه الدراسة الحالية</w:t>
      </w:r>
      <w:r w:rsidRPr="003E5961">
        <w:rPr>
          <w:rFonts w:ascii="Times New Roman" w:hAnsi="Times New Roman" w:cs="Traditional Arabic"/>
          <w:color w:val="000000" w:themeColor="text1"/>
          <w:sz w:val="32"/>
          <w:szCs w:val="32"/>
        </w:rPr>
        <w:t>.</w:t>
      </w:r>
    </w:p>
    <w:p w14:paraId="4A19B3E5" w14:textId="1D61ED55" w:rsidR="003E5961" w:rsidRPr="003E5961" w:rsidRDefault="003E5961" w:rsidP="003E5961">
      <w:pPr>
        <w:bidi/>
        <w:spacing w:after="200" w:line="276" w:lineRule="auto"/>
        <w:jc w:val="both"/>
        <w:rPr>
          <w:rFonts w:ascii="Times New Roman" w:hAnsi="Times New Roman" w:cs="Traditional Arabic"/>
          <w:color w:val="000000" w:themeColor="text1"/>
          <w:sz w:val="32"/>
          <w:szCs w:val="32"/>
        </w:rPr>
      </w:pPr>
      <w:r w:rsidRPr="003E5961">
        <w:rPr>
          <w:rFonts w:ascii="Times New Roman" w:hAnsi="Times New Roman" w:cs="Traditional Arabic"/>
          <w:color w:val="000000" w:themeColor="text1"/>
          <w:sz w:val="32"/>
          <w:szCs w:val="32"/>
          <w:rtl/>
        </w:rPr>
        <w:t xml:space="preserve">يُعرّف الحمداني وآخرون (2023) الشفافية المعلوماتية بأنها "إتاحة المعلومات المتعلقة بالأداء المؤسسي والقرارات الاستراتيجية لجميع الأطراف ذات العلاقة عبر قنوات رسمية واضحة ومنظمة، بما يُمكّن من الرقابة والمساءلة ويُعزز جودة القرارات المتخذة". </w:t>
      </w:r>
    </w:p>
    <w:p w14:paraId="57174429" w14:textId="50DAA9B9" w:rsidR="003E5961" w:rsidRPr="003E5961" w:rsidRDefault="003E5961" w:rsidP="003E5961">
      <w:pPr>
        <w:bidi/>
        <w:spacing w:after="200" w:line="276" w:lineRule="auto"/>
        <w:jc w:val="both"/>
        <w:rPr>
          <w:rFonts w:ascii="Times New Roman" w:hAnsi="Times New Roman" w:cs="Traditional Arabic"/>
          <w:color w:val="000000" w:themeColor="text1"/>
          <w:sz w:val="32"/>
          <w:szCs w:val="32"/>
        </w:rPr>
      </w:pPr>
      <w:r w:rsidRPr="003E5961">
        <w:rPr>
          <w:rFonts w:ascii="Times New Roman" w:hAnsi="Times New Roman" w:cs="Traditional Arabic"/>
          <w:color w:val="000000" w:themeColor="text1"/>
          <w:sz w:val="32"/>
          <w:szCs w:val="32"/>
          <w:rtl/>
        </w:rPr>
        <w:lastRenderedPageBreak/>
        <w:t xml:space="preserve">ويُضيف أحمد (2023) بُعداً تنظيمياً حين يُعرّف الشفافية المعلوماتية بأنها "منظومة من السياسات والممارسات المؤسسية التي تكفل التدفق الحر والمنتظم للمعلومات بين المستويات الإدارية المختلفة وبين المنظمة وبيئتها الخارجية، بما يُقلل من حالة عدم اليقين ويُوفر أساساً معلوماتياً متيناً لصنع القرار". </w:t>
      </w:r>
    </w:p>
    <w:p w14:paraId="329ECF48" w14:textId="6FAE01DC" w:rsidR="003E5961" w:rsidRPr="003E5961" w:rsidRDefault="003E5961" w:rsidP="003E5961">
      <w:pPr>
        <w:bidi/>
        <w:spacing w:after="200" w:line="276" w:lineRule="auto"/>
        <w:jc w:val="both"/>
        <w:rPr>
          <w:rFonts w:ascii="Times New Roman" w:hAnsi="Times New Roman" w:cs="Traditional Arabic"/>
          <w:color w:val="000000" w:themeColor="text1"/>
          <w:sz w:val="32"/>
          <w:szCs w:val="32"/>
        </w:rPr>
      </w:pPr>
      <w:r w:rsidRPr="003E5961">
        <w:rPr>
          <w:rFonts w:ascii="Times New Roman" w:hAnsi="Times New Roman" w:cs="Traditional Arabic"/>
          <w:color w:val="000000" w:themeColor="text1"/>
          <w:sz w:val="32"/>
          <w:szCs w:val="32"/>
          <w:rtl/>
        </w:rPr>
        <w:t>أما</w:t>
      </w:r>
      <w:r w:rsidRPr="003E5961">
        <w:rPr>
          <w:rFonts w:ascii="Times New Roman" w:hAnsi="Times New Roman" w:cs="Traditional Arabic"/>
          <w:color w:val="000000" w:themeColor="text1"/>
          <w:sz w:val="32"/>
          <w:szCs w:val="32"/>
        </w:rPr>
        <w:t xml:space="preserve"> Bi et al. (2024) </w:t>
      </w:r>
      <w:r w:rsidRPr="003E5961">
        <w:rPr>
          <w:rFonts w:ascii="Times New Roman" w:hAnsi="Times New Roman" w:cs="Traditional Arabic"/>
          <w:color w:val="000000" w:themeColor="text1"/>
          <w:sz w:val="32"/>
          <w:szCs w:val="32"/>
          <w:rtl/>
        </w:rPr>
        <w:t xml:space="preserve">فيُعرّفون الشفافية المعلوماتية في السياق الرقمي بأنها "قدرة المنظمة على توفير معلومات دقيقة وشاملة وآنية حول عملياتها وأدائها وقراراتها من خلال أنظمة رقمية متكاملة تُمكّن أصحاب المصلحة من الوصول إلى هذه المعلومات وتحليلها والبناء عليها في اتخاذ قراراتهم". </w:t>
      </w:r>
    </w:p>
    <w:p w14:paraId="1182D6B3" w14:textId="39153136" w:rsidR="003E5961" w:rsidRPr="003E5961" w:rsidRDefault="003E5961" w:rsidP="003E5961">
      <w:pPr>
        <w:bidi/>
        <w:spacing w:after="200" w:line="276" w:lineRule="auto"/>
        <w:jc w:val="both"/>
        <w:rPr>
          <w:rFonts w:ascii="Times New Roman" w:hAnsi="Times New Roman" w:cs="Traditional Arabic"/>
          <w:color w:val="000000" w:themeColor="text1"/>
          <w:sz w:val="32"/>
          <w:szCs w:val="32"/>
        </w:rPr>
      </w:pPr>
      <w:r>
        <w:rPr>
          <w:rFonts w:ascii="Times New Roman" w:hAnsi="Times New Roman" w:cs="Traditional Arabic" w:hint="cs"/>
          <w:color w:val="000000" w:themeColor="text1"/>
          <w:sz w:val="32"/>
          <w:szCs w:val="32"/>
          <w:rtl/>
        </w:rPr>
        <w:t>و</w:t>
      </w:r>
      <w:r w:rsidRPr="003E5961">
        <w:rPr>
          <w:rFonts w:ascii="Times New Roman" w:hAnsi="Times New Roman" w:cs="Traditional Arabic"/>
          <w:color w:val="000000" w:themeColor="text1"/>
          <w:sz w:val="32"/>
          <w:szCs w:val="32"/>
          <w:rtl/>
        </w:rPr>
        <w:t xml:space="preserve">يُعرّف العزيزي والحيت </w:t>
      </w:r>
      <w:r w:rsidRPr="003E5961">
        <w:rPr>
          <w:rFonts w:ascii="Times New Roman" w:hAnsi="Times New Roman" w:cs="Traditional Arabic"/>
          <w:color w:val="000000" w:themeColor="text1"/>
          <w:sz w:val="32"/>
          <w:szCs w:val="32"/>
        </w:rPr>
        <w:t xml:space="preserve">(2024) </w:t>
      </w:r>
      <w:r w:rsidRPr="003E5961">
        <w:rPr>
          <w:rFonts w:ascii="Times New Roman" w:hAnsi="Times New Roman" w:cs="Traditional Arabic"/>
          <w:color w:val="000000" w:themeColor="text1"/>
          <w:sz w:val="32"/>
          <w:szCs w:val="32"/>
          <w:rtl/>
        </w:rPr>
        <w:t xml:space="preserve">الشفافية المعلوماتية في القطاع الحكومي بأنها "التزام المؤسسة الحكومية بالإفصاح المنتظم والمنهجي عن المعلومات المتعلقة بأنظمتها ولوائحها وإجراءاتها وقراراتها ومعايير أدائها، بما يُحقق مبدأ المساءلة العامة ويُعزز ثقة المواطنين والمستثمرين في المؤسسة". </w:t>
      </w:r>
    </w:p>
    <w:p w14:paraId="637346D3" w14:textId="7D0DAB32" w:rsidR="003E5961" w:rsidRPr="003E5961" w:rsidRDefault="003E5961" w:rsidP="003E5961">
      <w:pPr>
        <w:bidi/>
        <w:spacing w:after="200" w:line="276" w:lineRule="auto"/>
        <w:jc w:val="both"/>
        <w:rPr>
          <w:rFonts w:ascii="Times New Roman" w:hAnsi="Times New Roman" w:cs="Traditional Arabic"/>
          <w:color w:val="000000" w:themeColor="text1"/>
          <w:sz w:val="32"/>
          <w:szCs w:val="32"/>
        </w:rPr>
      </w:pPr>
      <w:r w:rsidRPr="003E5961">
        <w:rPr>
          <w:rFonts w:ascii="Times New Roman" w:hAnsi="Times New Roman" w:cs="Traditional Arabic"/>
          <w:color w:val="000000" w:themeColor="text1"/>
          <w:sz w:val="32"/>
          <w:szCs w:val="32"/>
          <w:rtl/>
        </w:rPr>
        <w:t>ويُقدّم</w:t>
      </w:r>
      <w:r w:rsidRPr="003E5961">
        <w:rPr>
          <w:rFonts w:ascii="Times New Roman" w:hAnsi="Times New Roman" w:cs="Traditional Arabic"/>
          <w:color w:val="000000" w:themeColor="text1"/>
          <w:sz w:val="32"/>
          <w:szCs w:val="32"/>
        </w:rPr>
        <w:t xml:space="preserve"> </w:t>
      </w:r>
      <w:proofErr w:type="spellStart"/>
      <w:r w:rsidRPr="003E5961">
        <w:rPr>
          <w:rFonts w:ascii="Times New Roman" w:hAnsi="Times New Roman" w:cs="Traditional Arabic"/>
          <w:color w:val="000000" w:themeColor="text1"/>
          <w:sz w:val="32"/>
          <w:szCs w:val="32"/>
        </w:rPr>
        <w:t>Nijhum</w:t>
      </w:r>
      <w:proofErr w:type="spellEnd"/>
      <w:r w:rsidRPr="003E5961">
        <w:rPr>
          <w:rFonts w:ascii="Times New Roman" w:hAnsi="Times New Roman" w:cs="Traditional Arabic"/>
          <w:color w:val="000000" w:themeColor="text1"/>
          <w:sz w:val="32"/>
          <w:szCs w:val="32"/>
        </w:rPr>
        <w:t xml:space="preserve"> (2025) </w:t>
      </w:r>
      <w:r w:rsidRPr="003E5961">
        <w:rPr>
          <w:rFonts w:ascii="Times New Roman" w:hAnsi="Times New Roman" w:cs="Traditional Arabic"/>
          <w:color w:val="000000" w:themeColor="text1"/>
          <w:sz w:val="32"/>
          <w:szCs w:val="32"/>
          <w:rtl/>
        </w:rPr>
        <w:t xml:space="preserve">تعريفاً يرتكز على البُعد التواصلي حين يصف الشفافية المعلوماتية بأنها "حالة من الانفتاح التنظيمي يتم فيها تبادل المعلومات ذات الصلة بين المنظمة وأصحاب المصلحة عبر قنوات اتصال متعددة ومتكاملة، بحيث تكون المعلومات متاحة ومفهومة وقابلة للاستخدام في دعم عمليات صنع القرار على جميع المستويات". </w:t>
      </w:r>
    </w:p>
    <w:p w14:paraId="5870F686" w14:textId="106DA16A" w:rsidR="003E5961" w:rsidRPr="003E5961" w:rsidRDefault="003E5961" w:rsidP="003E5961">
      <w:pPr>
        <w:bidi/>
        <w:spacing w:after="200" w:line="276" w:lineRule="auto"/>
        <w:jc w:val="both"/>
        <w:rPr>
          <w:rFonts w:ascii="Times New Roman" w:hAnsi="Times New Roman" w:cs="Traditional Arabic"/>
          <w:color w:val="000000" w:themeColor="text1"/>
          <w:sz w:val="32"/>
          <w:szCs w:val="32"/>
        </w:rPr>
      </w:pPr>
      <w:r w:rsidRPr="003E5961">
        <w:rPr>
          <w:rFonts w:ascii="Times New Roman" w:hAnsi="Times New Roman" w:cs="Traditional Arabic"/>
          <w:color w:val="000000" w:themeColor="text1"/>
          <w:sz w:val="32"/>
          <w:szCs w:val="32"/>
          <w:rtl/>
        </w:rPr>
        <w:t>أما</w:t>
      </w:r>
      <w:r w:rsidRPr="003E5961">
        <w:rPr>
          <w:rFonts w:ascii="Times New Roman" w:hAnsi="Times New Roman" w:cs="Traditional Arabic"/>
          <w:color w:val="000000" w:themeColor="text1"/>
          <w:sz w:val="32"/>
          <w:szCs w:val="32"/>
        </w:rPr>
        <w:t xml:space="preserve"> Chen et al. (2022) </w:t>
      </w:r>
      <w:r w:rsidRPr="003E5961">
        <w:rPr>
          <w:rFonts w:ascii="Times New Roman" w:hAnsi="Times New Roman" w:cs="Traditional Arabic"/>
          <w:color w:val="000000" w:themeColor="text1"/>
          <w:sz w:val="32"/>
          <w:szCs w:val="32"/>
          <w:rtl/>
        </w:rPr>
        <w:t xml:space="preserve">فيتناولون الشفافية المعلوماتية من زاوية اقتصادية بوصفها "الدرجة التي تُخفَّض عندها حالة عدم تماثل المعلومات بين المنظمة وأصحاب المصلحة، من خلال آليات إفصاح منتظمة وموثوقة تُتيح لجميع الأطراف الوصول المتكافئ إلى المعلومات الجوهرية في الوقت المناسب". </w:t>
      </w:r>
    </w:p>
    <w:p w14:paraId="00AE65C6" w14:textId="77777777" w:rsidR="003E5961" w:rsidRPr="003E5961" w:rsidRDefault="003E5961" w:rsidP="003E5961">
      <w:pPr>
        <w:bidi/>
        <w:spacing w:after="200" w:line="276" w:lineRule="auto"/>
        <w:jc w:val="both"/>
        <w:rPr>
          <w:rFonts w:ascii="Times New Roman" w:hAnsi="Times New Roman" w:cs="Traditional Arabic"/>
          <w:color w:val="000000" w:themeColor="text1"/>
          <w:sz w:val="32"/>
          <w:szCs w:val="32"/>
        </w:rPr>
      </w:pPr>
      <w:r w:rsidRPr="003E5961">
        <w:rPr>
          <w:rFonts w:ascii="Times New Roman" w:hAnsi="Times New Roman" w:cs="Traditional Arabic"/>
          <w:color w:val="000000" w:themeColor="text1"/>
          <w:sz w:val="32"/>
          <w:szCs w:val="32"/>
          <w:rtl/>
        </w:rPr>
        <w:t xml:space="preserve">ويُعرّف </w:t>
      </w:r>
      <w:proofErr w:type="spellStart"/>
      <w:r w:rsidRPr="003E5961">
        <w:rPr>
          <w:rFonts w:ascii="Times New Roman" w:hAnsi="Times New Roman" w:cs="Traditional Arabic"/>
          <w:color w:val="000000" w:themeColor="text1"/>
          <w:sz w:val="32"/>
          <w:szCs w:val="32"/>
          <w:rtl/>
        </w:rPr>
        <w:t>موافي</w:t>
      </w:r>
      <w:proofErr w:type="spellEnd"/>
      <w:r w:rsidRPr="003E5961">
        <w:rPr>
          <w:rFonts w:ascii="Times New Roman" w:hAnsi="Times New Roman" w:cs="Traditional Arabic"/>
          <w:color w:val="000000" w:themeColor="text1"/>
          <w:sz w:val="32"/>
          <w:szCs w:val="32"/>
          <w:rtl/>
        </w:rPr>
        <w:t xml:space="preserve"> وبدوي (2024) الشفافية المعلوماتية في سياق التحول الرقمي الحكومي بأنها "انفتاح المؤسسة الحكومية في مشاركة بياناتها ومعلوماتها مع الجمهور والجهات ذات العلاقة عبر منصات رقمية تفاعلية، بما يُعزز المشاركة المجتمعية ويُمكّن من الرقابة الفعّالة ويدعم اتخاذ قرارات مبنية على أدلة". ويضع هذا التعريف المنصات الرقمية التفاعلية في قلب عملية الشفافية ويربطها بمفهوم القرارات المبنية على الأدلة (</w:t>
      </w:r>
      <w:proofErr w:type="spellStart"/>
      <w:r w:rsidRPr="003E5961">
        <w:rPr>
          <w:rFonts w:ascii="Times New Roman" w:hAnsi="Times New Roman" w:cs="Traditional Arabic"/>
          <w:color w:val="000000" w:themeColor="text1"/>
          <w:sz w:val="32"/>
          <w:szCs w:val="32"/>
          <w:rtl/>
        </w:rPr>
        <w:t>موافي</w:t>
      </w:r>
      <w:proofErr w:type="spellEnd"/>
      <w:r w:rsidRPr="003E5961">
        <w:rPr>
          <w:rFonts w:ascii="Times New Roman" w:hAnsi="Times New Roman" w:cs="Traditional Arabic"/>
          <w:color w:val="000000" w:themeColor="text1"/>
          <w:sz w:val="32"/>
          <w:szCs w:val="32"/>
          <w:rtl/>
        </w:rPr>
        <w:t xml:space="preserve"> وبدوي، 2024)</w:t>
      </w:r>
      <w:r w:rsidRPr="003E5961">
        <w:rPr>
          <w:rFonts w:ascii="Times New Roman" w:hAnsi="Times New Roman" w:cs="Traditional Arabic"/>
          <w:color w:val="000000" w:themeColor="text1"/>
          <w:sz w:val="32"/>
          <w:szCs w:val="32"/>
        </w:rPr>
        <w:t>.</w:t>
      </w:r>
    </w:p>
    <w:p w14:paraId="3D831068" w14:textId="7E6772F8" w:rsidR="003E5961" w:rsidRPr="003E5961" w:rsidRDefault="003E5961" w:rsidP="003E5961">
      <w:pPr>
        <w:bidi/>
        <w:spacing w:after="200" w:line="276" w:lineRule="auto"/>
        <w:jc w:val="both"/>
        <w:rPr>
          <w:rFonts w:ascii="Times New Roman" w:hAnsi="Times New Roman" w:cs="Traditional Arabic"/>
          <w:color w:val="000000" w:themeColor="text1"/>
          <w:sz w:val="32"/>
          <w:szCs w:val="32"/>
        </w:rPr>
      </w:pPr>
      <w:r>
        <w:rPr>
          <w:rFonts w:ascii="Times New Roman" w:hAnsi="Times New Roman" w:cs="Traditional Arabic" w:hint="cs"/>
          <w:color w:val="000000" w:themeColor="text1"/>
          <w:sz w:val="32"/>
          <w:szCs w:val="32"/>
          <w:rtl/>
        </w:rPr>
        <w:t>و</w:t>
      </w:r>
      <w:r w:rsidRPr="003E5961">
        <w:rPr>
          <w:rFonts w:ascii="Times New Roman" w:hAnsi="Times New Roman" w:cs="Traditional Arabic"/>
          <w:color w:val="000000" w:themeColor="text1"/>
          <w:sz w:val="32"/>
          <w:szCs w:val="32"/>
          <w:rtl/>
        </w:rPr>
        <w:t>يرى الباحث من خلال استعراض التعريفات السابقة أن مفهوم الشفافية المعلوماتية في سياق وزارات الصناعة بدول مجلس التعاون الخليجي بأنها</w:t>
      </w:r>
      <w:r w:rsidRPr="003E5961">
        <w:rPr>
          <w:rFonts w:ascii="Times New Roman" w:hAnsi="Times New Roman" w:cs="Traditional Arabic"/>
          <w:color w:val="000000" w:themeColor="text1"/>
          <w:sz w:val="32"/>
          <w:szCs w:val="32"/>
        </w:rPr>
        <w:t>: "</w:t>
      </w:r>
      <w:r w:rsidRPr="003E5961">
        <w:rPr>
          <w:rFonts w:ascii="Times New Roman" w:hAnsi="Times New Roman" w:cs="Traditional Arabic"/>
          <w:color w:val="000000" w:themeColor="text1"/>
          <w:sz w:val="32"/>
          <w:szCs w:val="32"/>
          <w:rtl/>
        </w:rPr>
        <w:t xml:space="preserve">منظومة متكاملة من الأنظمة واللوائح التنظيمية والإجراءات التشغيلية </w:t>
      </w:r>
      <w:r w:rsidRPr="003E5961">
        <w:rPr>
          <w:rFonts w:ascii="Times New Roman" w:hAnsi="Times New Roman" w:cs="Traditional Arabic"/>
          <w:color w:val="000000" w:themeColor="text1"/>
          <w:sz w:val="32"/>
          <w:szCs w:val="32"/>
          <w:rtl/>
        </w:rPr>
        <w:lastRenderedPageBreak/>
        <w:t>وقنوات الاتصال والمعلومات التي تكفل تدفقاً منتظماً وآنياً ودقيقاً للمعلومات المتعلقة بالسياسات الصناعية والقرارات الاستراتيجية والأداء المؤسسي بين المستويات الإدارية المختلفة داخل الوزارة وبينها وبين أصحاب المصلحة الخارجيين من مستثمرين ومنشآت صناعية وجهات رقابية ومجتمع، بما يُخفض حالة عدم تماثل المعلومات ويُعزز فاعلية اتخاذ القرار الاستراتيجي ويُحقق مبادئ المساءلة والحوكمة الرشيدة</w:t>
      </w:r>
      <w:r w:rsidRPr="003E5961">
        <w:rPr>
          <w:rFonts w:ascii="Times New Roman" w:hAnsi="Times New Roman" w:cs="Traditional Arabic"/>
          <w:color w:val="000000" w:themeColor="text1"/>
          <w:sz w:val="32"/>
          <w:szCs w:val="32"/>
        </w:rPr>
        <w:t>".</w:t>
      </w:r>
    </w:p>
    <w:p w14:paraId="39939B43" w14:textId="034EAC72" w:rsidR="003E5961" w:rsidRPr="003E5961" w:rsidRDefault="003E5961" w:rsidP="003E5961">
      <w:pPr>
        <w:bidi/>
        <w:spacing w:after="200" w:line="276" w:lineRule="auto"/>
        <w:jc w:val="both"/>
        <w:rPr>
          <w:rFonts w:ascii="Times New Roman" w:hAnsi="Times New Roman" w:cs="Traditional Arabic"/>
          <w:b/>
          <w:bCs/>
          <w:color w:val="000000" w:themeColor="text1"/>
          <w:sz w:val="32"/>
          <w:szCs w:val="32"/>
        </w:rPr>
      </w:pPr>
      <w:r w:rsidRPr="003E5961">
        <w:rPr>
          <w:rFonts w:ascii="Times New Roman" w:hAnsi="Times New Roman" w:cs="Traditional Arabic"/>
          <w:b/>
          <w:bCs/>
          <w:color w:val="000000" w:themeColor="text1"/>
          <w:sz w:val="32"/>
          <w:szCs w:val="32"/>
          <w:rtl/>
        </w:rPr>
        <w:t xml:space="preserve">ثانياً: أهداف الشفافية المعلوماتية </w:t>
      </w:r>
    </w:p>
    <w:p w14:paraId="6EB83E7E" w14:textId="30FE984F" w:rsidR="003E5961" w:rsidRPr="003E5961" w:rsidRDefault="003E5961" w:rsidP="003E5961">
      <w:pPr>
        <w:bidi/>
        <w:spacing w:after="200" w:line="276" w:lineRule="auto"/>
        <w:jc w:val="both"/>
        <w:rPr>
          <w:rFonts w:ascii="Times New Roman" w:hAnsi="Times New Roman" w:cs="Traditional Arabic"/>
          <w:color w:val="000000" w:themeColor="text1"/>
          <w:sz w:val="32"/>
          <w:szCs w:val="32"/>
        </w:rPr>
      </w:pPr>
      <w:r w:rsidRPr="003E5961">
        <w:rPr>
          <w:rFonts w:ascii="Times New Roman" w:hAnsi="Times New Roman" w:cs="Traditional Arabic"/>
          <w:color w:val="000000" w:themeColor="text1"/>
          <w:sz w:val="32"/>
          <w:szCs w:val="32"/>
          <w:rtl/>
        </w:rPr>
        <w:t>لا تُمثّل الشفافية المعلوماتية غاية في ذاتها بقدر ما تُمثّل وسيلة استراتيجية لتحقيق جملة من الأهداف المؤسسية المترابطة التي تُعزّز الأداء الحكومي وتُرشّد عملية صنع القرار وتُوطّد العلاقة بين المؤسسة الحكومية وأصحاب المصلحة</w:t>
      </w:r>
      <w:r>
        <w:rPr>
          <w:rFonts w:ascii="Times New Roman" w:hAnsi="Times New Roman" w:cs="Traditional Arabic" w:hint="cs"/>
          <w:color w:val="000000" w:themeColor="text1"/>
          <w:sz w:val="32"/>
          <w:szCs w:val="32"/>
          <w:rtl/>
        </w:rPr>
        <w:t xml:space="preserve">، </w:t>
      </w:r>
      <w:r w:rsidRPr="003E5961">
        <w:rPr>
          <w:rFonts w:ascii="Times New Roman" w:hAnsi="Times New Roman" w:cs="Traditional Arabic"/>
          <w:color w:val="000000" w:themeColor="text1"/>
          <w:sz w:val="32"/>
          <w:szCs w:val="32"/>
          <w:rtl/>
        </w:rPr>
        <w:t>وتتنوع هذه الأهداف بتنوع المداخل النظرية التي ينطلق منها الباحثون، غير أنها تتقاطع في كونها تسعى جميعاً إلى تحويل المعلومات من مورد محتكر لدى فئة محدودة إلى أصل مؤسسي مشترك يخدم المصلحة العامة ويدعم جودة القرارات على مختلف المستويات. وفيما يلي عرض لأبرز ما طرحه الباحثون بشأن أهداف الشفافية المعلوماتية في المنظمات الحكومية</w:t>
      </w:r>
      <w:r w:rsidRPr="003E5961">
        <w:rPr>
          <w:rFonts w:ascii="Times New Roman" w:hAnsi="Times New Roman" w:cs="Traditional Arabic"/>
          <w:color w:val="000000" w:themeColor="text1"/>
          <w:sz w:val="32"/>
          <w:szCs w:val="32"/>
        </w:rPr>
        <w:t>.</w:t>
      </w:r>
    </w:p>
    <w:p w14:paraId="702F0C25" w14:textId="77777777" w:rsidR="003E5961" w:rsidRDefault="003E5961" w:rsidP="003E5961">
      <w:pPr>
        <w:bidi/>
        <w:spacing w:after="200" w:line="276" w:lineRule="auto"/>
        <w:jc w:val="both"/>
        <w:rPr>
          <w:rFonts w:ascii="Times New Roman" w:hAnsi="Times New Roman" w:cs="Traditional Arabic"/>
          <w:color w:val="000000" w:themeColor="text1"/>
          <w:sz w:val="32"/>
          <w:szCs w:val="32"/>
          <w:rtl/>
        </w:rPr>
      </w:pPr>
      <w:r w:rsidRPr="003E5961">
        <w:rPr>
          <w:rFonts w:ascii="Times New Roman" w:hAnsi="Times New Roman" w:cs="Traditional Arabic"/>
          <w:color w:val="000000" w:themeColor="text1"/>
          <w:sz w:val="32"/>
          <w:szCs w:val="32"/>
          <w:rtl/>
        </w:rPr>
        <w:t>يُشير الحمداني وآخرون (2023) إلى أن أهداف الشفافية المعلوماتية في السياق المؤسسي تتمثل في:</w:t>
      </w:r>
    </w:p>
    <w:p w14:paraId="71908D51" w14:textId="77777777" w:rsidR="003E5961" w:rsidRDefault="003E5961" w:rsidP="003E5961">
      <w:pPr>
        <w:bidi/>
        <w:spacing w:after="200" w:line="276" w:lineRule="auto"/>
        <w:jc w:val="both"/>
        <w:rPr>
          <w:rFonts w:ascii="Times New Roman" w:hAnsi="Times New Roman" w:cs="Traditional Arabic"/>
          <w:color w:val="000000" w:themeColor="text1"/>
          <w:sz w:val="32"/>
          <w:szCs w:val="32"/>
          <w:rtl/>
        </w:rPr>
      </w:pPr>
      <w:r w:rsidRPr="003E5961">
        <w:rPr>
          <w:rFonts w:ascii="Times New Roman" w:hAnsi="Times New Roman" w:cs="Traditional Arabic"/>
          <w:color w:val="000000" w:themeColor="text1"/>
          <w:sz w:val="32"/>
          <w:szCs w:val="32"/>
          <w:rtl/>
        </w:rPr>
        <w:t xml:space="preserve"> 1) تعزيز جودة القرارات الاستراتيجية من خلال توفير بيئة معلوماتية غنية ومُتاحة لصانعي القرار تُقلّل من المخاطر المترتبة على الاعتماد على معلومات ناقصة أو مُشوّهة أو متأخرة زمنياً عن لحظة الحاجة إليها.</w:t>
      </w:r>
    </w:p>
    <w:p w14:paraId="40C62434" w14:textId="77777777" w:rsidR="003E5961" w:rsidRDefault="003E5961" w:rsidP="003E5961">
      <w:pPr>
        <w:bidi/>
        <w:spacing w:after="200" w:line="276" w:lineRule="auto"/>
        <w:jc w:val="both"/>
        <w:rPr>
          <w:rFonts w:ascii="Times New Roman" w:hAnsi="Times New Roman" w:cs="Traditional Arabic"/>
          <w:color w:val="000000" w:themeColor="text1"/>
          <w:sz w:val="32"/>
          <w:szCs w:val="32"/>
          <w:rtl/>
        </w:rPr>
      </w:pPr>
      <w:r w:rsidRPr="003E5961">
        <w:rPr>
          <w:rFonts w:ascii="Times New Roman" w:hAnsi="Times New Roman" w:cs="Traditional Arabic"/>
          <w:color w:val="000000" w:themeColor="text1"/>
          <w:sz w:val="32"/>
          <w:szCs w:val="32"/>
          <w:rtl/>
        </w:rPr>
        <w:t xml:space="preserve"> 2) تمكين الرقابة المؤسسية الفعّالة عبر إتاحة البيانات والمعلومات ذات الصلة بالأداء والقرارات للجهات الرقابية الداخلية والخارجية بما يكشف الانحرافات ويُصحّح المسار في الوقت المناسب ويمنع تراكم الأخطاء. 3) بناء ثقافة مؤسسية قائمة على الانفتاح والمشاركة تُقلّل من الصراعات التنظيمية الناجمة عن احتكار المعلومات لدى مستويات إدارية بعينها، وتُعزّز الالتزام الوظيفي والشعور بالانتماء لدى العاملين حين يُدركون أنهم شركاء في منظومة معلوماتية مفتوحة وعادلة.</w:t>
      </w:r>
    </w:p>
    <w:p w14:paraId="2D4249DB" w14:textId="4AB0D66E" w:rsidR="003E5961" w:rsidRPr="003E5961" w:rsidRDefault="003E5961" w:rsidP="003E5961">
      <w:pPr>
        <w:bidi/>
        <w:spacing w:after="200" w:line="276" w:lineRule="auto"/>
        <w:jc w:val="both"/>
        <w:rPr>
          <w:rFonts w:ascii="Times New Roman" w:hAnsi="Times New Roman" w:cs="Traditional Arabic"/>
          <w:color w:val="000000" w:themeColor="text1"/>
          <w:sz w:val="32"/>
          <w:szCs w:val="32"/>
        </w:rPr>
      </w:pPr>
      <w:r w:rsidRPr="003E5961">
        <w:rPr>
          <w:rFonts w:ascii="Times New Roman" w:hAnsi="Times New Roman" w:cs="Traditional Arabic"/>
          <w:color w:val="000000" w:themeColor="text1"/>
          <w:sz w:val="32"/>
          <w:szCs w:val="32"/>
          <w:rtl/>
        </w:rPr>
        <w:t xml:space="preserve"> 4</w:t>
      </w:r>
      <w:r>
        <w:rPr>
          <w:rFonts w:ascii="Times New Roman" w:hAnsi="Times New Roman" w:cs="Traditional Arabic" w:hint="cs"/>
          <w:color w:val="000000" w:themeColor="text1"/>
          <w:sz w:val="32"/>
          <w:szCs w:val="32"/>
          <w:rtl/>
        </w:rPr>
        <w:t>)</w:t>
      </w:r>
      <w:r w:rsidRPr="003E5961">
        <w:rPr>
          <w:rFonts w:ascii="Times New Roman" w:hAnsi="Times New Roman" w:cs="Traditional Arabic"/>
          <w:color w:val="000000" w:themeColor="text1"/>
          <w:sz w:val="32"/>
          <w:szCs w:val="32"/>
        </w:rPr>
        <w:t xml:space="preserve"> </w:t>
      </w:r>
      <w:r w:rsidRPr="003E5961">
        <w:rPr>
          <w:rFonts w:ascii="Times New Roman" w:hAnsi="Times New Roman" w:cs="Traditional Arabic"/>
          <w:color w:val="000000" w:themeColor="text1"/>
          <w:sz w:val="32"/>
          <w:szCs w:val="32"/>
          <w:rtl/>
        </w:rPr>
        <w:t xml:space="preserve">تقليل حالة عدم اليقين التي تُحيط بعمليات صنع القرار على المستويين الاستراتيجي والتشغيلي، وهو ما يُتيح للمديرين بناء توقعات أكثر دقة والتخطيط بصورة أكثر واقعية </w:t>
      </w:r>
    </w:p>
    <w:p w14:paraId="46104DBA" w14:textId="77777777" w:rsidR="003E5961" w:rsidRDefault="003E5961" w:rsidP="003E5961">
      <w:pPr>
        <w:bidi/>
        <w:spacing w:after="200" w:line="276" w:lineRule="auto"/>
        <w:jc w:val="both"/>
        <w:rPr>
          <w:rFonts w:ascii="Times New Roman" w:hAnsi="Times New Roman" w:cs="Traditional Arabic"/>
          <w:color w:val="000000" w:themeColor="text1"/>
          <w:sz w:val="32"/>
          <w:szCs w:val="32"/>
          <w:rtl/>
        </w:rPr>
      </w:pPr>
      <w:r w:rsidRPr="003E5961">
        <w:rPr>
          <w:rFonts w:ascii="Times New Roman" w:hAnsi="Times New Roman" w:cs="Traditional Arabic"/>
          <w:color w:val="000000" w:themeColor="text1"/>
          <w:sz w:val="32"/>
          <w:szCs w:val="32"/>
          <w:rtl/>
        </w:rPr>
        <w:t>وكما يُشير</w:t>
      </w:r>
      <w:r w:rsidRPr="003E5961">
        <w:rPr>
          <w:rFonts w:ascii="Times New Roman" w:hAnsi="Times New Roman" w:cs="Traditional Arabic"/>
          <w:color w:val="000000" w:themeColor="text1"/>
          <w:sz w:val="32"/>
          <w:szCs w:val="32"/>
        </w:rPr>
        <w:t xml:space="preserve"> Bi et al. (2024) </w:t>
      </w:r>
      <w:r w:rsidRPr="003E5961">
        <w:rPr>
          <w:rFonts w:ascii="Times New Roman" w:hAnsi="Times New Roman" w:cs="Traditional Arabic"/>
          <w:color w:val="000000" w:themeColor="text1"/>
          <w:sz w:val="32"/>
          <w:szCs w:val="32"/>
          <w:rtl/>
        </w:rPr>
        <w:t>فإن أهداف الشفافية المعلوماتية تمتد لتشمل أبعاداً اقتصادية ورقابية بالغة الأهمية، تتمثل في:</w:t>
      </w:r>
    </w:p>
    <w:p w14:paraId="04144B89" w14:textId="77777777" w:rsidR="003E5961" w:rsidRDefault="003E5961" w:rsidP="003E5961">
      <w:pPr>
        <w:bidi/>
        <w:spacing w:after="200" w:line="276" w:lineRule="auto"/>
        <w:jc w:val="both"/>
        <w:rPr>
          <w:rFonts w:ascii="Times New Roman" w:hAnsi="Times New Roman" w:cs="Traditional Arabic"/>
          <w:color w:val="000000" w:themeColor="text1"/>
          <w:sz w:val="32"/>
          <w:szCs w:val="32"/>
          <w:rtl/>
        </w:rPr>
      </w:pPr>
      <w:r w:rsidRPr="003E5961">
        <w:rPr>
          <w:rFonts w:ascii="Times New Roman" w:hAnsi="Times New Roman" w:cs="Traditional Arabic"/>
          <w:color w:val="000000" w:themeColor="text1"/>
          <w:sz w:val="32"/>
          <w:szCs w:val="32"/>
          <w:rtl/>
        </w:rPr>
        <w:lastRenderedPageBreak/>
        <w:t xml:space="preserve"> 1) خفض تكلفة الحصول على المعلومات لأصحاب المصلحة، إذ إن غياب الشفافية يُجبر المستثمرين والجهات المعنية على استنزاف موارد مالية وزمنية كبيرة في البحث عن المعلومات التي يحتاجونها لاتخاذ قراراتهم الاستثمارية والتشغيلية.</w:t>
      </w:r>
    </w:p>
    <w:p w14:paraId="07FC62CA" w14:textId="77777777" w:rsidR="003E5961" w:rsidRDefault="003E5961" w:rsidP="003E5961">
      <w:pPr>
        <w:bidi/>
        <w:spacing w:after="200" w:line="276" w:lineRule="auto"/>
        <w:jc w:val="both"/>
        <w:rPr>
          <w:rFonts w:ascii="Times New Roman" w:hAnsi="Times New Roman" w:cs="Traditional Arabic"/>
          <w:color w:val="000000" w:themeColor="text1"/>
          <w:sz w:val="32"/>
          <w:szCs w:val="32"/>
          <w:rtl/>
        </w:rPr>
      </w:pPr>
      <w:r w:rsidRPr="003E5961">
        <w:rPr>
          <w:rFonts w:ascii="Times New Roman" w:hAnsi="Times New Roman" w:cs="Traditional Arabic"/>
          <w:color w:val="000000" w:themeColor="text1"/>
          <w:sz w:val="32"/>
          <w:szCs w:val="32"/>
          <w:rtl/>
        </w:rPr>
        <w:t xml:space="preserve"> 2) تعزيز كفاءة تخصيص الموارد على المستوى الوطني من خلال توفير معلومات دقيقة وشاملة تُمكّن من توجيه الاستثمارات نحو القطاعات والأنشطة الأكثر إنتاجية وتنافسية بدلاً من توزيعها عشوائياً في ظل بيئة معلوماتية غامضة.</w:t>
      </w:r>
    </w:p>
    <w:p w14:paraId="10FD6088" w14:textId="77777777" w:rsidR="003E5961" w:rsidRDefault="003E5961" w:rsidP="003E5961">
      <w:pPr>
        <w:bidi/>
        <w:spacing w:after="200" w:line="276" w:lineRule="auto"/>
        <w:jc w:val="both"/>
        <w:rPr>
          <w:rFonts w:ascii="Times New Roman" w:hAnsi="Times New Roman" w:cs="Traditional Arabic"/>
          <w:color w:val="000000" w:themeColor="text1"/>
          <w:sz w:val="32"/>
          <w:szCs w:val="32"/>
          <w:rtl/>
        </w:rPr>
      </w:pPr>
      <w:r w:rsidRPr="003E5961">
        <w:rPr>
          <w:rFonts w:ascii="Times New Roman" w:hAnsi="Times New Roman" w:cs="Traditional Arabic"/>
          <w:color w:val="000000" w:themeColor="text1"/>
          <w:sz w:val="32"/>
          <w:szCs w:val="32"/>
          <w:rtl/>
        </w:rPr>
        <w:t xml:space="preserve"> 3) تحسين فاعلية أنظمة الإنذار المبكر من خلال تدفّق المعلومات الآني الذي يُتيح رصد المؤشرات السلبية في مراحلها الأولى والتعامل معها بصورة استباقية قبل أن تتحول إلى أزمات يصعب احتواؤها.</w:t>
      </w:r>
    </w:p>
    <w:p w14:paraId="6318278E" w14:textId="503A7C67" w:rsidR="003E5961" w:rsidRPr="003E5961" w:rsidRDefault="003E5961" w:rsidP="003E5961">
      <w:pPr>
        <w:bidi/>
        <w:spacing w:after="200" w:line="276" w:lineRule="auto"/>
        <w:jc w:val="both"/>
        <w:rPr>
          <w:rFonts w:ascii="Times New Roman" w:hAnsi="Times New Roman" w:cs="Traditional Arabic"/>
          <w:color w:val="000000" w:themeColor="text1"/>
          <w:sz w:val="32"/>
          <w:szCs w:val="32"/>
        </w:rPr>
      </w:pPr>
      <w:r w:rsidRPr="003E5961">
        <w:rPr>
          <w:rFonts w:ascii="Times New Roman" w:hAnsi="Times New Roman" w:cs="Traditional Arabic"/>
          <w:color w:val="000000" w:themeColor="text1"/>
          <w:sz w:val="32"/>
          <w:szCs w:val="32"/>
          <w:rtl/>
        </w:rPr>
        <w:t xml:space="preserve"> 4</w:t>
      </w:r>
      <w:r>
        <w:rPr>
          <w:rFonts w:ascii="Times New Roman" w:hAnsi="Times New Roman" w:cs="Traditional Arabic" w:hint="cs"/>
          <w:color w:val="000000" w:themeColor="text1"/>
          <w:sz w:val="32"/>
          <w:szCs w:val="32"/>
          <w:rtl/>
        </w:rPr>
        <w:t>)</w:t>
      </w:r>
      <w:r w:rsidRPr="003E5961">
        <w:rPr>
          <w:rFonts w:ascii="Times New Roman" w:hAnsi="Times New Roman" w:cs="Traditional Arabic"/>
          <w:color w:val="000000" w:themeColor="text1"/>
          <w:sz w:val="32"/>
          <w:szCs w:val="32"/>
        </w:rPr>
        <w:t xml:space="preserve"> </w:t>
      </w:r>
      <w:r w:rsidRPr="003E5961">
        <w:rPr>
          <w:rFonts w:ascii="Times New Roman" w:hAnsi="Times New Roman" w:cs="Traditional Arabic"/>
          <w:color w:val="000000" w:themeColor="text1"/>
          <w:sz w:val="32"/>
          <w:szCs w:val="32"/>
          <w:rtl/>
        </w:rPr>
        <w:t xml:space="preserve">تعزيز فاعلية منظومة الرقابة والتدقيق الداخلي والخارجي من خلال توفير مسارات تدقيق واضحة ومعلومات موثّقة تُسهّل عملية التحقق </w:t>
      </w:r>
      <w:r w:rsidR="00ED4FE6" w:rsidRPr="003E5961">
        <w:rPr>
          <w:rFonts w:ascii="Times New Roman" w:hAnsi="Times New Roman" w:cs="Traditional Arabic" w:hint="cs"/>
          <w:color w:val="000000" w:themeColor="text1"/>
          <w:sz w:val="32"/>
          <w:szCs w:val="32"/>
          <w:rtl/>
        </w:rPr>
        <w:t>والمتابعة</w:t>
      </w:r>
      <w:r w:rsidR="00ED4FE6" w:rsidRPr="003E5961">
        <w:rPr>
          <w:rFonts w:ascii="Times New Roman" w:hAnsi="Times New Roman" w:cs="Traditional Arabic"/>
          <w:color w:val="000000" w:themeColor="text1"/>
          <w:sz w:val="32"/>
          <w:szCs w:val="32"/>
        </w:rPr>
        <w:t>.</w:t>
      </w:r>
    </w:p>
    <w:p w14:paraId="4A5916F4" w14:textId="77777777" w:rsidR="003E5961" w:rsidRDefault="003E5961" w:rsidP="003E5961">
      <w:pPr>
        <w:bidi/>
        <w:spacing w:after="200" w:line="276" w:lineRule="auto"/>
        <w:jc w:val="both"/>
        <w:rPr>
          <w:rFonts w:ascii="Times New Roman" w:hAnsi="Times New Roman" w:cs="Traditional Arabic"/>
          <w:color w:val="000000" w:themeColor="text1"/>
          <w:sz w:val="32"/>
          <w:szCs w:val="32"/>
          <w:rtl/>
        </w:rPr>
      </w:pPr>
      <w:r w:rsidRPr="003E5961">
        <w:rPr>
          <w:rFonts w:ascii="Times New Roman" w:hAnsi="Times New Roman" w:cs="Traditional Arabic"/>
          <w:color w:val="000000" w:themeColor="text1"/>
          <w:sz w:val="32"/>
          <w:szCs w:val="32"/>
          <w:rtl/>
        </w:rPr>
        <w:t>ويُضيف</w:t>
      </w:r>
      <w:r w:rsidRPr="003E5961">
        <w:rPr>
          <w:rFonts w:ascii="Times New Roman" w:hAnsi="Times New Roman" w:cs="Traditional Arabic"/>
          <w:color w:val="000000" w:themeColor="text1"/>
          <w:sz w:val="32"/>
          <w:szCs w:val="32"/>
        </w:rPr>
        <w:t xml:space="preserve"> Nguyen and Thanh Hoai (2022) </w:t>
      </w:r>
      <w:r w:rsidRPr="003E5961">
        <w:rPr>
          <w:rFonts w:ascii="Times New Roman" w:hAnsi="Times New Roman" w:cs="Traditional Arabic"/>
          <w:color w:val="000000" w:themeColor="text1"/>
          <w:sz w:val="32"/>
          <w:szCs w:val="32"/>
          <w:rtl/>
        </w:rPr>
        <w:t>بُعداً أخلاقياً واجتماعياً لأهداف الشفافية المعلوماتية، إذ يُوضّحان أنها تستهدف:</w:t>
      </w:r>
    </w:p>
    <w:p w14:paraId="641E2467" w14:textId="77777777" w:rsidR="003E5961" w:rsidRDefault="003E5961" w:rsidP="003E5961">
      <w:pPr>
        <w:bidi/>
        <w:spacing w:after="200" w:line="276" w:lineRule="auto"/>
        <w:jc w:val="both"/>
        <w:rPr>
          <w:rFonts w:ascii="Times New Roman" w:hAnsi="Times New Roman" w:cs="Traditional Arabic"/>
          <w:color w:val="000000" w:themeColor="text1"/>
          <w:sz w:val="32"/>
          <w:szCs w:val="32"/>
          <w:rtl/>
        </w:rPr>
      </w:pPr>
      <w:r w:rsidRPr="003E5961">
        <w:rPr>
          <w:rFonts w:ascii="Times New Roman" w:hAnsi="Times New Roman" w:cs="Traditional Arabic"/>
          <w:color w:val="000000" w:themeColor="text1"/>
          <w:sz w:val="32"/>
          <w:szCs w:val="32"/>
          <w:rtl/>
        </w:rPr>
        <w:t xml:space="preserve"> 1) تحقيق العدالة المعلوماتية بين مختلف الأطراف من خلال ضمان عدم احتكار فئة معينة داخل المنظمة أو خارجها للمعلومات واستخدامها لتحقيق مصالح ذاتية على حساب المصلحة العامة، وهو ما يُعرف في الأدبيات الاقتصادية بمشكلة المعلومات غير المتماثلة.</w:t>
      </w:r>
    </w:p>
    <w:p w14:paraId="6029765F" w14:textId="77777777" w:rsidR="003E5961" w:rsidRDefault="003E5961" w:rsidP="003E5961">
      <w:pPr>
        <w:bidi/>
        <w:spacing w:after="200" w:line="276" w:lineRule="auto"/>
        <w:jc w:val="both"/>
        <w:rPr>
          <w:rFonts w:ascii="Times New Roman" w:hAnsi="Times New Roman" w:cs="Traditional Arabic"/>
          <w:color w:val="000000" w:themeColor="text1"/>
          <w:sz w:val="32"/>
          <w:szCs w:val="32"/>
          <w:rtl/>
        </w:rPr>
      </w:pPr>
      <w:r w:rsidRPr="003E5961">
        <w:rPr>
          <w:rFonts w:ascii="Times New Roman" w:hAnsi="Times New Roman" w:cs="Traditional Arabic"/>
          <w:color w:val="000000" w:themeColor="text1"/>
          <w:sz w:val="32"/>
          <w:szCs w:val="32"/>
          <w:rtl/>
        </w:rPr>
        <w:t xml:space="preserve"> 2) تعزيز المسؤولية الاجتماعية والبيئية للمؤسسة الحكومية تجاه المجتمع من خلال الإفصاح المنتظم عن الآثار البيئية والاجتماعية للقرارات والسياسات الصناعية، وهو هدف ذو أهمية خاصة في وزارات الصناعة التي تتعامل مع أنشطة ذات آثار بيئية محتملة.</w:t>
      </w:r>
    </w:p>
    <w:p w14:paraId="208D6A9C" w14:textId="77777777" w:rsidR="003E5961" w:rsidRDefault="003E5961" w:rsidP="003E5961">
      <w:pPr>
        <w:bidi/>
        <w:spacing w:after="200" w:line="276" w:lineRule="auto"/>
        <w:jc w:val="both"/>
        <w:rPr>
          <w:rFonts w:ascii="Times New Roman" w:hAnsi="Times New Roman" w:cs="Traditional Arabic"/>
          <w:color w:val="000000" w:themeColor="text1"/>
          <w:sz w:val="32"/>
          <w:szCs w:val="32"/>
          <w:rtl/>
        </w:rPr>
      </w:pPr>
      <w:r w:rsidRPr="003E5961">
        <w:rPr>
          <w:rFonts w:ascii="Times New Roman" w:hAnsi="Times New Roman" w:cs="Traditional Arabic"/>
          <w:color w:val="000000" w:themeColor="text1"/>
          <w:sz w:val="32"/>
          <w:szCs w:val="32"/>
          <w:rtl/>
        </w:rPr>
        <w:t xml:space="preserve"> 3) بناء علاقات شراكة حقيقية مع أصحاب المصلحة تتجاوز العلاقة التقليدية القائمة على التلقّي السلبي للمعلومات إلى علاقة تفاعلية تشاركية قائمة على التبادل المعلوماتي المتكافئ والمشاركة الفعلية في صنع القرار وتقييم السياسات.</w:t>
      </w:r>
    </w:p>
    <w:p w14:paraId="1922A6EC" w14:textId="616A5B76" w:rsidR="003D5792" w:rsidRDefault="003E5961" w:rsidP="003E5961">
      <w:pPr>
        <w:bidi/>
        <w:spacing w:after="200" w:line="276" w:lineRule="auto"/>
        <w:jc w:val="both"/>
        <w:rPr>
          <w:rFonts w:ascii="Times New Roman" w:hAnsi="Times New Roman" w:cs="Traditional Arabic"/>
          <w:color w:val="000000" w:themeColor="text1"/>
          <w:sz w:val="32"/>
          <w:szCs w:val="32"/>
          <w:rtl/>
        </w:rPr>
      </w:pPr>
      <w:r w:rsidRPr="003E5961">
        <w:rPr>
          <w:rFonts w:ascii="Times New Roman" w:hAnsi="Times New Roman" w:cs="Traditional Arabic"/>
          <w:color w:val="000000" w:themeColor="text1"/>
          <w:sz w:val="32"/>
          <w:szCs w:val="32"/>
          <w:rtl/>
        </w:rPr>
        <w:lastRenderedPageBreak/>
        <w:t xml:space="preserve"> 4</w:t>
      </w:r>
      <w:r>
        <w:rPr>
          <w:rFonts w:ascii="Times New Roman" w:hAnsi="Times New Roman" w:cs="Traditional Arabic" w:hint="cs"/>
          <w:color w:val="000000" w:themeColor="text1"/>
          <w:sz w:val="32"/>
          <w:szCs w:val="32"/>
          <w:rtl/>
        </w:rPr>
        <w:t>)</w:t>
      </w:r>
      <w:r w:rsidRPr="003E5961">
        <w:rPr>
          <w:rFonts w:ascii="Times New Roman" w:hAnsi="Times New Roman" w:cs="Traditional Arabic"/>
          <w:color w:val="000000" w:themeColor="text1"/>
          <w:sz w:val="32"/>
          <w:szCs w:val="32"/>
        </w:rPr>
        <w:t xml:space="preserve"> </w:t>
      </w:r>
      <w:r w:rsidRPr="003E5961">
        <w:rPr>
          <w:rFonts w:ascii="Times New Roman" w:hAnsi="Times New Roman" w:cs="Traditional Arabic"/>
          <w:color w:val="000000" w:themeColor="text1"/>
          <w:sz w:val="32"/>
          <w:szCs w:val="32"/>
          <w:rtl/>
        </w:rPr>
        <w:t>تعزيز الاستقامة المؤسسية والالتزام بالقيم الأخلاقية في الممارسة الإدارية من خلال خلق بيئة رقابية ذاتية تجعل الانحرافات مكشوفة وتُقلّل من فرص السلوك الانتهازي</w:t>
      </w:r>
      <w:r w:rsidR="003D5792">
        <w:rPr>
          <w:rFonts w:ascii="Times New Roman" w:hAnsi="Times New Roman" w:cs="Traditional Arabic" w:hint="cs"/>
          <w:color w:val="000000" w:themeColor="text1"/>
          <w:sz w:val="32"/>
          <w:szCs w:val="32"/>
          <w:rtl/>
        </w:rPr>
        <w:t>.</w:t>
      </w:r>
    </w:p>
    <w:p w14:paraId="682D7DBD" w14:textId="6F45252D" w:rsidR="003D5792" w:rsidRDefault="003D5792" w:rsidP="003D5792">
      <w:pPr>
        <w:bidi/>
        <w:spacing w:after="200" w:line="276" w:lineRule="auto"/>
        <w:jc w:val="both"/>
        <w:rPr>
          <w:rFonts w:ascii="Times New Roman" w:hAnsi="Times New Roman" w:cs="Traditional Arabic"/>
          <w:color w:val="000000" w:themeColor="text1"/>
          <w:sz w:val="32"/>
          <w:szCs w:val="32"/>
          <w:rtl/>
        </w:rPr>
      </w:pPr>
      <w:r w:rsidRPr="003D5792">
        <w:rPr>
          <w:rFonts w:ascii="Times New Roman" w:hAnsi="Times New Roman" w:cs="Traditional Arabic"/>
          <w:color w:val="000000" w:themeColor="text1"/>
          <w:sz w:val="32"/>
          <w:szCs w:val="32"/>
          <w:rtl/>
        </w:rPr>
        <w:t>يرى الباحث أن</w:t>
      </w:r>
      <w:r>
        <w:rPr>
          <w:rFonts w:ascii="Times New Roman" w:hAnsi="Times New Roman" w:cs="Traditional Arabic" w:hint="cs"/>
          <w:color w:val="000000" w:themeColor="text1"/>
          <w:sz w:val="32"/>
          <w:szCs w:val="32"/>
          <w:rtl/>
        </w:rPr>
        <w:t xml:space="preserve"> </w:t>
      </w:r>
      <w:r w:rsidRPr="003D5792">
        <w:rPr>
          <w:rFonts w:ascii="Times New Roman" w:hAnsi="Times New Roman" w:cs="Traditional Arabic"/>
          <w:color w:val="000000" w:themeColor="text1"/>
          <w:sz w:val="32"/>
          <w:szCs w:val="32"/>
          <w:rtl/>
        </w:rPr>
        <w:t>تحسين التدفق المعلوماتي التشغيلي يُغذي جودة القرارات الاستراتيجية، وجودة هذه القرارات تنعكس على تحسين بيئة الأعمال الصناعية وجذب الاستثمارات وتعزيز التنافسية الوطنية</w:t>
      </w:r>
      <w:r>
        <w:rPr>
          <w:rFonts w:ascii="Times New Roman" w:hAnsi="Times New Roman" w:cs="Traditional Arabic" w:hint="cs"/>
          <w:color w:val="000000" w:themeColor="text1"/>
          <w:sz w:val="32"/>
          <w:szCs w:val="32"/>
          <w:rtl/>
        </w:rPr>
        <w:t>،</w:t>
      </w:r>
      <w:r w:rsidRPr="003D5792">
        <w:rPr>
          <w:rFonts w:ascii="Times New Roman" w:hAnsi="Times New Roman" w:cs="Traditional Arabic"/>
          <w:color w:val="000000" w:themeColor="text1"/>
          <w:sz w:val="32"/>
          <w:szCs w:val="32"/>
          <w:rtl/>
        </w:rPr>
        <w:t xml:space="preserve"> وتؤكد هذه الرؤية أن الشفافية المعلوماتية ليست مجرد متطلب إداري شكلي، بل هي آلية استراتيجية حيّة تنقل أثر التحول الرقمي إلى فاعلية اتخاذ القرار الاستراتيجي وتُسهم في تحقيق الأهداف التنموية الكبرى لدول المجلس</w:t>
      </w:r>
      <w:r>
        <w:rPr>
          <w:rFonts w:ascii="Times New Roman" w:hAnsi="Times New Roman" w:cs="Traditional Arabic" w:hint="cs"/>
          <w:color w:val="000000" w:themeColor="text1"/>
          <w:sz w:val="32"/>
          <w:szCs w:val="32"/>
          <w:rtl/>
        </w:rPr>
        <w:t xml:space="preserve"> التعاون.</w:t>
      </w:r>
    </w:p>
    <w:p w14:paraId="6AA6C91A" w14:textId="77777777" w:rsidR="003D5792" w:rsidRPr="003D5792" w:rsidRDefault="003D5792" w:rsidP="003D5792">
      <w:pPr>
        <w:bidi/>
        <w:spacing w:after="200" w:line="276" w:lineRule="auto"/>
        <w:jc w:val="both"/>
        <w:rPr>
          <w:rFonts w:ascii="Times New Roman" w:hAnsi="Times New Roman" w:cs="Traditional Arabic"/>
          <w:b/>
          <w:bCs/>
          <w:color w:val="000000" w:themeColor="text1"/>
          <w:sz w:val="32"/>
          <w:szCs w:val="32"/>
        </w:rPr>
      </w:pPr>
      <w:r w:rsidRPr="003D5792">
        <w:rPr>
          <w:rFonts w:ascii="Times New Roman" w:hAnsi="Times New Roman" w:cs="Traditional Arabic"/>
          <w:b/>
          <w:bCs/>
          <w:color w:val="000000" w:themeColor="text1"/>
          <w:sz w:val="32"/>
          <w:szCs w:val="32"/>
          <w:rtl/>
        </w:rPr>
        <w:t>ثالثاً: أهمية الشفافية المعلوماتية في المنظمات الحكومية</w:t>
      </w:r>
    </w:p>
    <w:p w14:paraId="1B7DE7BA" w14:textId="4280B542" w:rsidR="003D5792" w:rsidRPr="003D5792" w:rsidRDefault="003D5792" w:rsidP="003D5792">
      <w:pPr>
        <w:bidi/>
        <w:spacing w:after="200" w:line="276" w:lineRule="auto"/>
        <w:jc w:val="both"/>
        <w:rPr>
          <w:rFonts w:ascii="Times New Roman" w:hAnsi="Times New Roman" w:cs="Traditional Arabic"/>
          <w:color w:val="000000" w:themeColor="text1"/>
          <w:sz w:val="32"/>
          <w:szCs w:val="32"/>
        </w:rPr>
      </w:pPr>
      <w:r w:rsidRPr="003D5792">
        <w:rPr>
          <w:rFonts w:ascii="Times New Roman" w:hAnsi="Times New Roman" w:cs="Traditional Arabic"/>
          <w:color w:val="000000" w:themeColor="text1"/>
          <w:sz w:val="32"/>
          <w:szCs w:val="32"/>
          <w:rtl/>
        </w:rPr>
        <w:t>تحتل الشفافية المعلوماتية مكانة محورية في منظومة الإدارة العامة المعاصرة، إذ لم تعد مجرد مبدأ أخلاقي أو متطلب رقابي تفرضه الجهات التشريعية، بل تحوّلت إلى ضرورة استراتيجية تُحدّد قدرة المنظمة الحكومية على تحقيق رسالتها والوفاء بالتزاماتها تجاه المجتمع وأصحاب المصلحة</w:t>
      </w:r>
      <w:r>
        <w:rPr>
          <w:rFonts w:ascii="Times New Roman" w:hAnsi="Times New Roman" w:cs="Traditional Arabic" w:hint="cs"/>
          <w:color w:val="000000" w:themeColor="text1"/>
          <w:sz w:val="32"/>
          <w:szCs w:val="32"/>
          <w:rtl/>
        </w:rPr>
        <w:t>،</w:t>
      </w:r>
      <w:r w:rsidRPr="003D5792">
        <w:rPr>
          <w:rFonts w:ascii="Times New Roman" w:hAnsi="Times New Roman" w:cs="Traditional Arabic"/>
          <w:color w:val="000000" w:themeColor="text1"/>
          <w:sz w:val="32"/>
          <w:szCs w:val="32"/>
          <w:rtl/>
        </w:rPr>
        <w:t xml:space="preserve"> وتتضاعف هذه الأهمية في وزارات الصناعة بدول مجلس التعاون الخليجي التي تتحمل مسؤولية مزدوجة تتمثل في تنظيم القطاع الصناعي القائم من جهة وقيادة عملية التحول نحو اقتصاد صناعي متنوع وتنافسي من جهة أخرى، وهي مسؤولية تتطلب بيئة معلوماتية شفافة تدعم جودة القرارات وتُعزز ثقة المستثمرين وتُمكّن من المساءلة الفعّالة</w:t>
      </w:r>
      <w:r>
        <w:rPr>
          <w:rFonts w:ascii="Times New Roman" w:hAnsi="Times New Roman" w:cs="Traditional Arabic" w:hint="cs"/>
          <w:color w:val="000000" w:themeColor="text1"/>
          <w:sz w:val="32"/>
          <w:szCs w:val="32"/>
          <w:rtl/>
        </w:rPr>
        <w:t xml:space="preserve">، </w:t>
      </w:r>
      <w:r w:rsidRPr="003D5792">
        <w:rPr>
          <w:rFonts w:ascii="Times New Roman" w:hAnsi="Times New Roman" w:cs="Traditional Arabic"/>
          <w:color w:val="000000" w:themeColor="text1"/>
          <w:sz w:val="32"/>
          <w:szCs w:val="32"/>
          <w:rtl/>
        </w:rPr>
        <w:t xml:space="preserve"> وقد تناول الباحثون أهمية الشفافية المعلوماتية من مداخل نظرية ومؤسسية متعددة تُبرز تعدد أبعاد هذه الأهمية وعمق تأثيرها في الأداء المؤسسي وفاعلية اتخاذ القرار</w:t>
      </w:r>
      <w:r w:rsidRPr="003D5792">
        <w:rPr>
          <w:rFonts w:ascii="Times New Roman" w:hAnsi="Times New Roman" w:cs="Traditional Arabic"/>
          <w:color w:val="000000" w:themeColor="text1"/>
          <w:sz w:val="32"/>
          <w:szCs w:val="32"/>
        </w:rPr>
        <w:t>.</w:t>
      </w:r>
    </w:p>
    <w:p w14:paraId="181B1866" w14:textId="77777777" w:rsidR="003D5792" w:rsidRDefault="003D5792" w:rsidP="003D5792">
      <w:pPr>
        <w:bidi/>
        <w:spacing w:after="200" w:line="276" w:lineRule="auto"/>
        <w:jc w:val="both"/>
        <w:rPr>
          <w:rFonts w:ascii="Times New Roman" w:hAnsi="Times New Roman" w:cs="Traditional Arabic"/>
          <w:color w:val="000000" w:themeColor="text1"/>
          <w:sz w:val="32"/>
          <w:szCs w:val="32"/>
          <w:rtl/>
        </w:rPr>
      </w:pPr>
      <w:r w:rsidRPr="003D5792">
        <w:rPr>
          <w:rFonts w:ascii="Times New Roman" w:hAnsi="Times New Roman" w:cs="Traditional Arabic"/>
          <w:color w:val="000000" w:themeColor="text1"/>
          <w:sz w:val="32"/>
          <w:szCs w:val="32"/>
          <w:rtl/>
        </w:rPr>
        <w:t>ويُشير</w:t>
      </w:r>
      <w:r w:rsidRPr="003D5792">
        <w:rPr>
          <w:rFonts w:ascii="Times New Roman" w:hAnsi="Times New Roman" w:cs="Traditional Arabic"/>
          <w:color w:val="000000" w:themeColor="text1"/>
          <w:sz w:val="32"/>
          <w:szCs w:val="32"/>
        </w:rPr>
        <w:t xml:space="preserve"> Huy and Phuc (2025) </w:t>
      </w:r>
      <w:r w:rsidRPr="003D5792">
        <w:rPr>
          <w:rFonts w:ascii="Times New Roman" w:hAnsi="Times New Roman" w:cs="Traditional Arabic"/>
          <w:color w:val="000000" w:themeColor="text1"/>
          <w:sz w:val="32"/>
          <w:szCs w:val="32"/>
          <w:rtl/>
        </w:rPr>
        <w:t xml:space="preserve">إلى أن أهمية الشفافية المعلوماتية تنبثق من كونها إحدى القدرات الديناميكية الجوهرية التي تُحدّد قدرة المنظمة على البقاء والتطور في بيئات متغيرة ومعقدة، إذ إن المنظمات التي تتمتع بمستويات عالية من الشفافية المعلوماتية تمتلك قدرة أكبر على استشعار التغيرات البيئية في مراحلها المبكرة والاستجابة لها بسرعة وفاعلية قبل أن تتحول إلى تهديدات حقيقية، نظراً لأن تدفق المعلومات الشفاف يُقلّص الفجوة الزمنية بين حدوث التغيّر في البيئة الخارجية وإدراكه من قبل صانعي القرار داخل المنظمة. </w:t>
      </w:r>
    </w:p>
    <w:p w14:paraId="482F9905" w14:textId="5EB67108" w:rsidR="003D5792" w:rsidRPr="003D5792" w:rsidRDefault="003D5792" w:rsidP="003D5792">
      <w:pPr>
        <w:bidi/>
        <w:spacing w:after="200" w:line="276" w:lineRule="auto"/>
        <w:jc w:val="both"/>
        <w:rPr>
          <w:rFonts w:ascii="Times New Roman" w:hAnsi="Times New Roman" w:cs="Traditional Arabic"/>
          <w:color w:val="000000" w:themeColor="text1"/>
          <w:sz w:val="32"/>
          <w:szCs w:val="32"/>
        </w:rPr>
      </w:pPr>
      <w:r w:rsidRPr="003D5792">
        <w:rPr>
          <w:rFonts w:ascii="Times New Roman" w:hAnsi="Times New Roman" w:cs="Traditional Arabic"/>
          <w:color w:val="000000" w:themeColor="text1"/>
          <w:sz w:val="32"/>
          <w:szCs w:val="32"/>
          <w:rtl/>
        </w:rPr>
        <w:t xml:space="preserve">كما أن الشفافية تُعزّز قدرة المنظمة على استيعاب المعارف والتقنيات الجديدة بسرعة أكبر من خلال إتاحة المعلومات المتعلقة بالتجارب والممارسات الدولية لجميع المستويات الإدارية، مما يُسرّع دورة التعلم التنظيمي ويُمكّن من بناء قدرات مؤسسية متجددة تتكيف مع المتطلبات المتغيرة. فضلاً عن ذلك، تُسهم الشفافية في </w:t>
      </w:r>
      <w:r w:rsidRPr="003D5792">
        <w:rPr>
          <w:rFonts w:ascii="Times New Roman" w:hAnsi="Times New Roman" w:cs="Traditional Arabic"/>
          <w:color w:val="000000" w:themeColor="text1"/>
          <w:sz w:val="32"/>
          <w:szCs w:val="32"/>
          <w:rtl/>
        </w:rPr>
        <w:lastRenderedPageBreak/>
        <w:t>تعزيز قدرة المنظمة على إعادة تشكيل مواردها وعملياتها بمرونة وكفاءة من خلال توفير صورة واضحة وآنية عن توزيع الموارد ومستويات الأداء عبر مختلف الوحدات التنظيمية</w:t>
      </w:r>
      <w:r w:rsidRPr="003D5792">
        <w:rPr>
          <w:rFonts w:ascii="Times New Roman" w:hAnsi="Times New Roman" w:cs="Traditional Arabic"/>
          <w:color w:val="000000" w:themeColor="text1"/>
          <w:sz w:val="32"/>
          <w:szCs w:val="32"/>
        </w:rPr>
        <w:t xml:space="preserve"> (Huy and Phuc, 2025).</w:t>
      </w:r>
    </w:p>
    <w:p w14:paraId="650E3579" w14:textId="064F4AA1" w:rsidR="003D5792" w:rsidRPr="003D5792" w:rsidRDefault="003D5792" w:rsidP="003D5792">
      <w:pPr>
        <w:bidi/>
        <w:spacing w:after="200" w:line="276" w:lineRule="auto"/>
        <w:jc w:val="both"/>
        <w:rPr>
          <w:rFonts w:ascii="Times New Roman" w:hAnsi="Times New Roman" w:cs="Traditional Arabic"/>
          <w:color w:val="000000" w:themeColor="text1"/>
          <w:sz w:val="32"/>
          <w:szCs w:val="32"/>
        </w:rPr>
      </w:pPr>
      <w:r>
        <w:rPr>
          <w:rFonts w:ascii="Times New Roman" w:hAnsi="Times New Roman" w:cs="Traditional Arabic" w:hint="cs"/>
          <w:color w:val="000000" w:themeColor="text1"/>
          <w:sz w:val="32"/>
          <w:szCs w:val="32"/>
          <w:rtl/>
        </w:rPr>
        <w:t xml:space="preserve">وتكمن </w:t>
      </w:r>
      <w:r w:rsidRPr="003D5792">
        <w:rPr>
          <w:rFonts w:ascii="Times New Roman" w:hAnsi="Times New Roman" w:cs="Traditional Arabic"/>
          <w:color w:val="000000" w:themeColor="text1"/>
          <w:sz w:val="32"/>
          <w:szCs w:val="32"/>
          <w:rtl/>
        </w:rPr>
        <w:t xml:space="preserve">أهمية الشفافية المعلوماتية في كونها عاملاً </w:t>
      </w:r>
      <w:proofErr w:type="spellStart"/>
      <w:r w:rsidRPr="003D5792">
        <w:rPr>
          <w:rFonts w:ascii="Times New Roman" w:hAnsi="Times New Roman" w:cs="Traditional Arabic"/>
          <w:color w:val="000000" w:themeColor="text1"/>
          <w:sz w:val="32"/>
          <w:szCs w:val="32"/>
          <w:rtl/>
        </w:rPr>
        <w:t>تمكينياً</w:t>
      </w:r>
      <w:proofErr w:type="spellEnd"/>
      <w:r w:rsidRPr="003D5792">
        <w:rPr>
          <w:rFonts w:ascii="Times New Roman" w:hAnsi="Times New Roman" w:cs="Traditional Arabic"/>
          <w:color w:val="000000" w:themeColor="text1"/>
          <w:sz w:val="32"/>
          <w:szCs w:val="32"/>
          <w:rtl/>
        </w:rPr>
        <w:t xml:space="preserve"> حاسماً للتكيّف التنظيمي في بيئة الأعمال الحكومية المتسمة بالتعقيد والتغير المستمر، فالمنظمة التي تُتيح المعلومات بصورة شفافة لعامليها ولأصحاب المصلحة الخارجيين تُهيّئ بيئة تنظيمية مرنة تسمح بتعديل الاستراتيجيات والسياسات والعمليات بسرعة استجابة للمستجدات دون الحاجة إلى دورات بيروقراطية طويلة لجمع المعلومات من مصادرها </w:t>
      </w:r>
      <w:r w:rsidR="00ED4FE6" w:rsidRPr="003D5792">
        <w:rPr>
          <w:rFonts w:ascii="Times New Roman" w:hAnsi="Times New Roman" w:cs="Traditional Arabic" w:hint="cs"/>
          <w:color w:val="000000" w:themeColor="text1"/>
          <w:sz w:val="32"/>
          <w:szCs w:val="32"/>
          <w:rtl/>
        </w:rPr>
        <w:t>المتناثرة</w:t>
      </w:r>
      <w:r w:rsidR="00ED4FE6">
        <w:rPr>
          <w:rFonts w:ascii="Times New Roman" w:hAnsi="Times New Roman" w:cs="Traditional Arabic" w:hint="cs"/>
          <w:color w:val="000000" w:themeColor="text1"/>
          <w:sz w:val="32"/>
          <w:szCs w:val="32"/>
          <w:rtl/>
        </w:rPr>
        <w:t xml:space="preserve"> </w:t>
      </w:r>
      <w:r w:rsidR="00ED4FE6" w:rsidRPr="003D5792">
        <w:rPr>
          <w:rFonts w:ascii="Times New Roman" w:hAnsi="Times New Roman" w:cs="Traditional Arabic" w:hint="cs"/>
          <w:color w:val="000000" w:themeColor="text1"/>
          <w:sz w:val="32"/>
          <w:szCs w:val="32"/>
          <w:rtl/>
        </w:rPr>
        <w:t>كما</w:t>
      </w:r>
      <w:r w:rsidRPr="003D5792">
        <w:rPr>
          <w:rFonts w:ascii="Times New Roman" w:hAnsi="Times New Roman" w:cs="Traditional Arabic"/>
          <w:color w:val="000000" w:themeColor="text1"/>
          <w:sz w:val="32"/>
          <w:szCs w:val="32"/>
          <w:rtl/>
        </w:rPr>
        <w:t xml:space="preserve"> أن الشفافية تُسهم في بناء ثقافة تنظيمية منفتحة تتقبل التغيير وتتعامل معه بوصفه فرصة للتطوير وليس تهديداً يجب مقاومته، وهو ما يُعدّ شرطاً أساسياً لنجاح مبادرات التحول الرقمي التي تتبناها الوزارات الحكومية في المنطقة الخليجية (الطيب، 2024)</w:t>
      </w:r>
      <w:r w:rsidRPr="003D5792">
        <w:rPr>
          <w:rFonts w:ascii="Times New Roman" w:hAnsi="Times New Roman" w:cs="Traditional Arabic"/>
          <w:color w:val="000000" w:themeColor="text1"/>
          <w:sz w:val="32"/>
          <w:szCs w:val="32"/>
        </w:rPr>
        <w:t>.</w:t>
      </w:r>
    </w:p>
    <w:p w14:paraId="6D2648EF" w14:textId="576E9013" w:rsidR="003D5792" w:rsidRPr="003D5792" w:rsidRDefault="003D5792" w:rsidP="003D5792">
      <w:pPr>
        <w:bidi/>
        <w:spacing w:after="200" w:line="276" w:lineRule="auto"/>
        <w:jc w:val="both"/>
        <w:rPr>
          <w:rFonts w:ascii="Times New Roman" w:hAnsi="Times New Roman" w:cs="Traditional Arabic"/>
          <w:color w:val="000000" w:themeColor="text1"/>
          <w:sz w:val="32"/>
          <w:szCs w:val="32"/>
        </w:rPr>
      </w:pPr>
      <w:r w:rsidRPr="003D5792">
        <w:rPr>
          <w:rFonts w:ascii="Times New Roman" w:hAnsi="Times New Roman" w:cs="Traditional Arabic"/>
          <w:color w:val="000000" w:themeColor="text1"/>
          <w:sz w:val="32"/>
          <w:szCs w:val="32"/>
          <w:rtl/>
        </w:rPr>
        <w:t xml:space="preserve">ويُوضّح </w:t>
      </w:r>
      <w:r w:rsidR="0082248C" w:rsidRPr="003D5792">
        <w:rPr>
          <w:rFonts w:ascii="Times New Roman" w:hAnsi="Times New Roman" w:cs="Traditional Arabic" w:hint="cs"/>
          <w:color w:val="000000" w:themeColor="text1"/>
          <w:sz w:val="32"/>
          <w:szCs w:val="32"/>
          <w:rtl/>
        </w:rPr>
        <w:t>عبد المنع</w:t>
      </w:r>
      <w:r w:rsidR="0082248C" w:rsidRPr="003D5792">
        <w:rPr>
          <w:rFonts w:ascii="Times New Roman" w:hAnsi="Times New Roman" w:cs="Traditional Arabic" w:hint="eastAsia"/>
          <w:color w:val="000000" w:themeColor="text1"/>
          <w:sz w:val="32"/>
          <w:szCs w:val="32"/>
          <w:rtl/>
        </w:rPr>
        <w:t>م</w:t>
      </w:r>
      <w:r w:rsidRPr="003D5792">
        <w:rPr>
          <w:rFonts w:ascii="Times New Roman" w:hAnsi="Times New Roman" w:cs="Traditional Arabic"/>
          <w:color w:val="000000" w:themeColor="text1"/>
          <w:sz w:val="32"/>
          <w:szCs w:val="32"/>
          <w:rtl/>
        </w:rPr>
        <w:t xml:space="preserve"> ورضوان (2023) أن أهمية الشفافية المعلوماتية تتجلى بصورة خاصة في تعزيز اليقظة التنظيمية، إذ إن الشفافية تُوفر للمنظمة ما يُشبه نظام الإنذار المبكر الذي يُمكّنها من رصد المؤشرات والإشارات الدالة على التغيرات في البيئة الداخلية والخارجية والتعامل معها بصورة استباقية قبل أن تتفاقم وتتحول إلى أزمات يصعب احتواؤها. فحين تتدفق المعلومات بحرية وشفافية بين المستويات الإدارية المختلفة وبين الوزارة وبيئتها الخارجية، تتعدد مصادر الرصد البيئي وتتنوع زوايا النظر إلى الأحداث والمتغيرات، مما يُثري عملية الاستشعار البيئي ويُقلّل من احتمالية أن تُفاجأ المنظمة بتغيرات لم تكن مستعدة لها. وتتضاعف هذه الأهمية في وزارات الصناعة التي تتعامل مع بيئة تنظيمية متعددة الأطراف ومتشابكة المصالح تضم مستثمرين محليين ودوليين ومنشآت صناعية بأحجام متفاوتة وجهات رقابية متعددة ومجتمعات محلية متأثرة بالأنشطة </w:t>
      </w:r>
      <w:r w:rsidR="00140115" w:rsidRPr="003D5792">
        <w:rPr>
          <w:rFonts w:ascii="Times New Roman" w:hAnsi="Times New Roman" w:cs="Traditional Arabic" w:hint="cs"/>
          <w:color w:val="000000" w:themeColor="text1"/>
          <w:sz w:val="32"/>
          <w:szCs w:val="32"/>
          <w:rtl/>
        </w:rPr>
        <w:t>الصناعية.</w:t>
      </w:r>
    </w:p>
    <w:p w14:paraId="70C8DAD4" w14:textId="47E61524" w:rsidR="003D5792" w:rsidRPr="003D5792" w:rsidRDefault="003D5792" w:rsidP="003D5792">
      <w:pPr>
        <w:bidi/>
        <w:spacing w:after="200" w:line="276" w:lineRule="auto"/>
        <w:jc w:val="both"/>
        <w:rPr>
          <w:rFonts w:ascii="Times New Roman" w:hAnsi="Times New Roman" w:cs="Traditional Arabic"/>
          <w:color w:val="000000" w:themeColor="text1"/>
          <w:sz w:val="32"/>
          <w:szCs w:val="32"/>
        </w:rPr>
      </w:pPr>
      <w:r>
        <w:rPr>
          <w:rFonts w:ascii="Times New Roman" w:hAnsi="Times New Roman" w:cs="Traditional Arabic" w:hint="cs"/>
          <w:color w:val="000000" w:themeColor="text1"/>
          <w:sz w:val="32"/>
          <w:szCs w:val="32"/>
          <w:rtl/>
        </w:rPr>
        <w:t xml:space="preserve">وتتجاوز </w:t>
      </w:r>
      <w:r w:rsidRPr="003D5792">
        <w:rPr>
          <w:rFonts w:ascii="Times New Roman" w:hAnsi="Times New Roman" w:cs="Traditional Arabic"/>
          <w:color w:val="000000" w:themeColor="text1"/>
          <w:sz w:val="32"/>
          <w:szCs w:val="32"/>
          <w:rtl/>
        </w:rPr>
        <w:t>أهمية الشفافية المعلوماتية البُعد الرقابي والتنظيمي لتصل إلى صميم إدارة الأداء البشري في المنظمات الحكومية، إذ إن إتاحة المعلومات المتعلقة بالأهداف المؤسسية والتوقعات الأدائية ومعايير التقييم وآليات المكافأة بصورة شفافة وواضحة تُقلّل من الغموض الوظيفي الذي يُعدّ من أبرز العوامل المُعيقة للأداء في القطاع الحكومي</w:t>
      </w:r>
      <w:r>
        <w:rPr>
          <w:rFonts w:ascii="Times New Roman" w:hAnsi="Times New Roman" w:cs="Traditional Arabic" w:hint="cs"/>
          <w:color w:val="000000" w:themeColor="text1"/>
          <w:sz w:val="32"/>
          <w:szCs w:val="32"/>
          <w:rtl/>
        </w:rPr>
        <w:t xml:space="preserve">، </w:t>
      </w:r>
      <w:r w:rsidRPr="003D5792">
        <w:rPr>
          <w:rFonts w:ascii="Times New Roman" w:hAnsi="Times New Roman" w:cs="Traditional Arabic"/>
          <w:color w:val="000000" w:themeColor="text1"/>
          <w:sz w:val="32"/>
          <w:szCs w:val="32"/>
          <w:rtl/>
        </w:rPr>
        <w:t xml:space="preserve"> فالموظف الذي يعرف بوضوح ما يُتوقع منه وما هي المعايير التي سيُقيَّم على أساسها وما هي النتائج المترتبة على أدائه يكون أكثر قدرة على توجيه جهوده بفاعلية وأكثر شعوراً بالعدالة التنظيمية. كما أن مشاركة المعلومات حول القرارات الإدارية والأسباب الكامنة وراءها تُعزّز الثقة بين الإدارة والعاملين </w:t>
      </w:r>
      <w:r w:rsidRPr="003D5792">
        <w:rPr>
          <w:rFonts w:ascii="Times New Roman" w:hAnsi="Times New Roman" w:cs="Traditional Arabic"/>
          <w:color w:val="000000" w:themeColor="text1"/>
          <w:sz w:val="32"/>
          <w:szCs w:val="32"/>
          <w:rtl/>
        </w:rPr>
        <w:lastRenderedPageBreak/>
        <w:t>وتُقلّل من مقاومة التغيير التي كثيراً ما تنجم عن شعور العاملين بأن القرارات تُتّخذ في غرف مغلقة دون مراعاة لمصالحهم أو آرائهم (حماد، 2020)</w:t>
      </w:r>
      <w:r w:rsidRPr="003D5792">
        <w:rPr>
          <w:rFonts w:ascii="Times New Roman" w:hAnsi="Times New Roman" w:cs="Traditional Arabic"/>
          <w:color w:val="000000" w:themeColor="text1"/>
          <w:sz w:val="32"/>
          <w:szCs w:val="32"/>
        </w:rPr>
        <w:t>.</w:t>
      </w:r>
    </w:p>
    <w:p w14:paraId="647FE755" w14:textId="1E75F321" w:rsidR="003D5792" w:rsidRPr="003D5792" w:rsidRDefault="003D5792" w:rsidP="003D5792">
      <w:pPr>
        <w:bidi/>
        <w:spacing w:after="200" w:line="276" w:lineRule="auto"/>
        <w:jc w:val="both"/>
        <w:rPr>
          <w:rFonts w:ascii="Times New Roman" w:hAnsi="Times New Roman" w:cs="Traditional Arabic"/>
          <w:color w:val="000000" w:themeColor="text1"/>
          <w:sz w:val="32"/>
          <w:szCs w:val="32"/>
        </w:rPr>
      </w:pPr>
      <w:r>
        <w:rPr>
          <w:rFonts w:ascii="Times New Roman" w:hAnsi="Times New Roman" w:cs="Traditional Arabic" w:hint="cs"/>
          <w:color w:val="000000" w:themeColor="text1"/>
          <w:sz w:val="32"/>
          <w:szCs w:val="32"/>
          <w:rtl/>
        </w:rPr>
        <w:t>إ</w:t>
      </w:r>
      <w:r w:rsidRPr="003D5792">
        <w:rPr>
          <w:rFonts w:ascii="Times New Roman" w:hAnsi="Times New Roman" w:cs="Traditional Arabic"/>
          <w:color w:val="000000" w:themeColor="text1"/>
          <w:sz w:val="32"/>
          <w:szCs w:val="32"/>
          <w:rtl/>
        </w:rPr>
        <w:t>ن أهمية الشفافية المعلوماتية ترتبط ارتباطاً عضوياً بجودة التخطيط الاستراتيجي في المنظمات الحكومية، إذ إن التخطيط الاستراتيجي الفعّال يستلزم قاعدة معلوماتية شاملة ودقيقة وآنية عن البيئة الداخلية بما تشمله من موارد وقدرات ونقاط قوة وضعف، وعن البيئة الخارجية بما تتضمنه من فرص وتهديدات واتجاهات مستقبلية. وأي خلل في شفافية المعلومات على أي من هذين المستويين يُفضي حتماً إلى خلل في عملية التشخيص الاستراتيجي ومن ثم في اختيار البدائل الاستراتيجية الملائمة وفي تخصيص الموارد اللازمة لتنفيذها</w:t>
      </w:r>
      <w:r>
        <w:rPr>
          <w:rFonts w:ascii="Times New Roman" w:hAnsi="Times New Roman" w:cs="Traditional Arabic" w:hint="cs"/>
          <w:color w:val="000000" w:themeColor="text1"/>
          <w:sz w:val="32"/>
          <w:szCs w:val="32"/>
          <w:rtl/>
        </w:rPr>
        <w:t>،</w:t>
      </w:r>
      <w:r w:rsidRPr="003D5792">
        <w:rPr>
          <w:rFonts w:ascii="Times New Roman" w:hAnsi="Times New Roman" w:cs="Traditional Arabic"/>
          <w:color w:val="000000" w:themeColor="text1"/>
          <w:sz w:val="32"/>
          <w:szCs w:val="32"/>
          <w:rtl/>
        </w:rPr>
        <w:t xml:space="preserve"> وتكتسب هذه الأهمية بُعداً مضاعفاً في وزارات الصناعة الخليجية التي تتولى صياغة استراتيجيات صناعية وطنية طموحة ترتبط برؤى تنموية شاملة كرؤية السعودية </w:t>
      </w:r>
      <w:r w:rsidRPr="003D5792">
        <w:rPr>
          <w:rFonts w:ascii="Times New Roman" w:hAnsi="Times New Roman" w:cs="Traditional Arabic"/>
          <w:color w:val="000000" w:themeColor="text1"/>
          <w:sz w:val="32"/>
          <w:szCs w:val="32"/>
        </w:rPr>
        <w:t xml:space="preserve">2030 </w:t>
      </w:r>
      <w:r w:rsidRPr="003D5792">
        <w:rPr>
          <w:rFonts w:ascii="Times New Roman" w:hAnsi="Times New Roman" w:cs="Traditional Arabic"/>
          <w:color w:val="000000" w:themeColor="text1"/>
          <w:sz w:val="32"/>
          <w:szCs w:val="32"/>
          <w:rtl/>
        </w:rPr>
        <w:t>ورؤية الإمارات ورؤية قطر الوطنية 2030 وغيرها، حيث إن جودة هذه الاستراتيجيات تتوقف بصورة مباشرة على مستوى الشفافية المعلوماتية المتاح لصانعي القرار</w:t>
      </w:r>
      <w:r w:rsidRPr="003D5792">
        <w:rPr>
          <w:rFonts w:ascii="Times New Roman" w:hAnsi="Times New Roman" w:cs="Traditional Arabic"/>
          <w:color w:val="000000" w:themeColor="text1"/>
          <w:sz w:val="32"/>
          <w:szCs w:val="32"/>
        </w:rPr>
        <w:t xml:space="preserve"> (</w:t>
      </w:r>
      <w:proofErr w:type="spellStart"/>
      <w:r w:rsidRPr="003D5792">
        <w:rPr>
          <w:rFonts w:ascii="Times New Roman" w:hAnsi="Times New Roman" w:cs="Traditional Arabic"/>
          <w:color w:val="000000" w:themeColor="text1"/>
          <w:sz w:val="32"/>
          <w:szCs w:val="32"/>
        </w:rPr>
        <w:t>Bozintan</w:t>
      </w:r>
      <w:proofErr w:type="spellEnd"/>
      <w:r w:rsidRPr="003D5792">
        <w:rPr>
          <w:rFonts w:ascii="Times New Roman" w:hAnsi="Times New Roman" w:cs="Traditional Arabic"/>
          <w:color w:val="000000" w:themeColor="text1"/>
          <w:sz w:val="32"/>
          <w:szCs w:val="32"/>
        </w:rPr>
        <w:t xml:space="preserve"> et al., 2023).</w:t>
      </w:r>
    </w:p>
    <w:p w14:paraId="19DA8C83" w14:textId="5709F019" w:rsidR="003D5792" w:rsidRPr="003D5792" w:rsidRDefault="003D5792" w:rsidP="003D5792">
      <w:pPr>
        <w:bidi/>
        <w:spacing w:after="200" w:line="276" w:lineRule="auto"/>
        <w:jc w:val="both"/>
        <w:rPr>
          <w:rFonts w:ascii="Times New Roman" w:hAnsi="Times New Roman" w:cs="Traditional Arabic"/>
          <w:color w:val="000000" w:themeColor="text1"/>
          <w:sz w:val="32"/>
          <w:szCs w:val="32"/>
        </w:rPr>
      </w:pPr>
      <w:r w:rsidRPr="003D5792">
        <w:rPr>
          <w:rFonts w:ascii="Times New Roman" w:hAnsi="Times New Roman" w:cs="Traditional Arabic"/>
          <w:color w:val="000000" w:themeColor="text1"/>
          <w:sz w:val="32"/>
          <w:szCs w:val="32"/>
          <w:rtl/>
        </w:rPr>
        <w:t>ويُضيف جاب الله وآخرون (2023) أن أهمية الشفافية المعلوماتية تمتد إلى بُعد الاستدامة المؤسسية، إذ إن المنظمات الحكومية التي تتبنى مستويات عالية من الشفافية تُعزّز رأسمالها الاجتماعي والعلائقي مع أصحاب المصلحة على نحو يُوفّر لها شبكة دعم مؤسسية واسعة تُسهم في تحقيق الاستدامة على المدى البعيد. فالشفافية تبني الثقة بين الوزارة والمستثمرين والمجتمع الصناعي، والثقة تُعزّز التعاون والشراكة الحقيقية، والتعاون يُمكّن من تحقيق أهداف تنموية مشتركة يصعب تحقيقها بجهود أحادية الطرف</w:t>
      </w:r>
      <w:r>
        <w:rPr>
          <w:rFonts w:ascii="Times New Roman" w:hAnsi="Times New Roman" w:cs="Traditional Arabic" w:hint="cs"/>
          <w:color w:val="000000" w:themeColor="text1"/>
          <w:sz w:val="32"/>
          <w:szCs w:val="32"/>
          <w:rtl/>
        </w:rPr>
        <w:t>،</w:t>
      </w:r>
      <w:r w:rsidRPr="003D5792">
        <w:rPr>
          <w:rFonts w:ascii="Times New Roman" w:hAnsi="Times New Roman" w:cs="Traditional Arabic"/>
          <w:color w:val="000000" w:themeColor="text1"/>
          <w:sz w:val="32"/>
          <w:szCs w:val="32"/>
          <w:rtl/>
        </w:rPr>
        <w:t xml:space="preserve"> كما أن الشفافية تُسهم في بناء شرعية مؤسسية قوية تمنح المنظمة الحكومية قبولاً اجتماعياً واسعاً يُسهّل تنفيذ سياساتها وبرامجها ويُقلّل من مقاومة أصحاب المصلحة </w:t>
      </w:r>
      <w:r w:rsidR="00140115" w:rsidRPr="003D5792">
        <w:rPr>
          <w:rFonts w:ascii="Times New Roman" w:hAnsi="Times New Roman" w:cs="Traditional Arabic" w:hint="cs"/>
          <w:color w:val="000000" w:themeColor="text1"/>
          <w:sz w:val="32"/>
          <w:szCs w:val="32"/>
          <w:rtl/>
        </w:rPr>
        <w:t>لقراراتها.</w:t>
      </w:r>
    </w:p>
    <w:p w14:paraId="704D2EE4" w14:textId="4BA79CD0" w:rsidR="003D5792" w:rsidRPr="003D5792" w:rsidRDefault="003D5792" w:rsidP="003D5792">
      <w:pPr>
        <w:bidi/>
        <w:spacing w:after="200" w:line="276" w:lineRule="auto"/>
        <w:jc w:val="both"/>
        <w:rPr>
          <w:rFonts w:ascii="Times New Roman" w:hAnsi="Times New Roman" w:cs="Traditional Arabic"/>
          <w:color w:val="000000" w:themeColor="text1"/>
          <w:sz w:val="32"/>
          <w:szCs w:val="32"/>
        </w:rPr>
      </w:pPr>
      <w:r w:rsidRPr="003D5792">
        <w:rPr>
          <w:rFonts w:ascii="Times New Roman" w:hAnsi="Times New Roman" w:cs="Traditional Arabic"/>
          <w:color w:val="000000" w:themeColor="text1"/>
          <w:sz w:val="32"/>
          <w:szCs w:val="32"/>
          <w:rtl/>
        </w:rPr>
        <w:t>ويُؤكّد العزب وآخرون (2023) أن أهمية الشفافية المعلوماتية تبرز بصورة خاصة في سياق تمكين الموارد البشرية في المنظمات الحكومية، إذ إن إتاحة المعلومات الاستراتيجية والتشغيلية للعاملين في المستويات الإدارية المختلفة تُوسّع قاعدة المشاركة في عملية صنع القرار وتُمكّن من تفويض الصلاحيات بصورة فعّالة ومسؤولة. فحين يمتلك العاملون في المستويات الوسطى والتنفيذية المعلومات الكافية عن الأهداف الاستراتيجية والسياسات المؤسسية والمؤشرات الأدائية، يصبحون قادرين على اتخاذ قرارات سريعة ومتسقة مع التوجه العام للمنظمة دون الحاجة إلى الرجوع المستمر إلى المستويات الإدارية العليا</w:t>
      </w:r>
      <w:r>
        <w:rPr>
          <w:rFonts w:ascii="Times New Roman" w:hAnsi="Times New Roman" w:cs="Traditional Arabic" w:hint="cs"/>
          <w:color w:val="000000" w:themeColor="text1"/>
          <w:sz w:val="32"/>
          <w:szCs w:val="32"/>
          <w:rtl/>
        </w:rPr>
        <w:t>،</w:t>
      </w:r>
      <w:r w:rsidRPr="003D5792">
        <w:rPr>
          <w:rFonts w:ascii="Times New Roman" w:hAnsi="Times New Roman" w:cs="Traditional Arabic"/>
          <w:color w:val="000000" w:themeColor="text1"/>
          <w:sz w:val="32"/>
          <w:szCs w:val="32"/>
          <w:rtl/>
        </w:rPr>
        <w:t xml:space="preserve"> وهذا التفويض المبني على الشفافية </w:t>
      </w:r>
      <w:r w:rsidRPr="003D5792">
        <w:rPr>
          <w:rFonts w:ascii="Times New Roman" w:hAnsi="Times New Roman" w:cs="Traditional Arabic"/>
          <w:color w:val="000000" w:themeColor="text1"/>
          <w:sz w:val="32"/>
          <w:szCs w:val="32"/>
          <w:rtl/>
        </w:rPr>
        <w:lastRenderedPageBreak/>
        <w:t xml:space="preserve">المعلوماتية يُعزّز الاستجابة التنظيمية ويُقلّل من الاختناقات القرارية الناجمة عن المركزية المفرطة في المعلومات </w:t>
      </w:r>
      <w:r w:rsidR="00140115" w:rsidRPr="003D5792">
        <w:rPr>
          <w:rFonts w:ascii="Times New Roman" w:hAnsi="Times New Roman" w:cs="Traditional Arabic" w:hint="cs"/>
          <w:color w:val="000000" w:themeColor="text1"/>
          <w:sz w:val="32"/>
          <w:szCs w:val="32"/>
          <w:rtl/>
        </w:rPr>
        <w:t>والصلاحيات.</w:t>
      </w:r>
    </w:p>
    <w:p w14:paraId="5C0CCE99" w14:textId="0D206C1D" w:rsidR="003D5792" w:rsidRPr="003D5792" w:rsidRDefault="003D5792" w:rsidP="003D5792">
      <w:pPr>
        <w:bidi/>
        <w:spacing w:after="200" w:line="276" w:lineRule="auto"/>
        <w:jc w:val="both"/>
        <w:rPr>
          <w:rFonts w:ascii="Times New Roman" w:hAnsi="Times New Roman" w:cs="Traditional Arabic"/>
          <w:color w:val="000000" w:themeColor="text1"/>
          <w:sz w:val="32"/>
          <w:szCs w:val="32"/>
        </w:rPr>
      </w:pPr>
      <w:r w:rsidRPr="003D5792">
        <w:rPr>
          <w:rFonts w:ascii="Times New Roman" w:hAnsi="Times New Roman" w:cs="Traditional Arabic"/>
          <w:color w:val="000000" w:themeColor="text1"/>
          <w:sz w:val="32"/>
          <w:szCs w:val="32"/>
        </w:rPr>
        <w:t xml:space="preserve"> </w:t>
      </w:r>
      <w:r w:rsidRPr="003D5792">
        <w:rPr>
          <w:rFonts w:ascii="Times New Roman" w:hAnsi="Times New Roman" w:cs="Traditional Arabic"/>
          <w:color w:val="000000" w:themeColor="text1"/>
          <w:sz w:val="32"/>
          <w:szCs w:val="32"/>
          <w:rtl/>
        </w:rPr>
        <w:t xml:space="preserve">يرى الباحث أن أهمية الشفافية المعلوماتية في وزارات الصناعة بدول مجلس التعاون الخليجي تبرز تلك الآلية التي تضمن أن المخرجات الرقمية تتحول إلى مُدخلات قرارية فعّالة، وأن البيانات المُنتَجة رقمياً تصل إلى صانعي القرار المناسبين في الوقت المناسب وبالصورة المناسبة وبالمستوى الكافي من الدقة والشمول. </w:t>
      </w:r>
    </w:p>
    <w:p w14:paraId="4B447FDF" w14:textId="77777777" w:rsidR="00506B64" w:rsidRPr="00506B64" w:rsidRDefault="00506B64" w:rsidP="00506B64">
      <w:pPr>
        <w:bidi/>
        <w:spacing w:before="100" w:beforeAutospacing="1" w:after="100" w:afterAutospacing="1" w:line="276" w:lineRule="auto"/>
        <w:jc w:val="both"/>
        <w:outlineLvl w:val="0"/>
        <w:rPr>
          <w:rFonts w:ascii="Traditional Arabic" w:eastAsia="Times New Roman" w:hAnsi="Traditional Arabic" w:cs="Traditional Arabic"/>
          <w:b/>
          <w:bCs/>
          <w:kern w:val="36"/>
          <w:sz w:val="32"/>
          <w:szCs w:val="32"/>
        </w:rPr>
      </w:pPr>
      <w:r w:rsidRPr="00506B64">
        <w:rPr>
          <w:rFonts w:ascii="Traditional Arabic" w:eastAsia="Times New Roman" w:hAnsi="Traditional Arabic" w:cs="Traditional Arabic" w:hint="cs"/>
          <w:b/>
          <w:bCs/>
          <w:kern w:val="36"/>
          <w:sz w:val="32"/>
          <w:szCs w:val="32"/>
          <w:rtl/>
        </w:rPr>
        <w:t>أبعاد الشفافية المعلوماتية في وزارات الصناعة بدول مجلس التعاون الخليجي</w:t>
      </w:r>
    </w:p>
    <w:p w14:paraId="1DEA59FE" w14:textId="47F86758" w:rsidR="00506B64" w:rsidRPr="00506B64" w:rsidRDefault="00506B64" w:rsidP="00506B64">
      <w:pPr>
        <w:bidi/>
        <w:spacing w:before="100" w:beforeAutospacing="1" w:after="100" w:afterAutospacing="1" w:line="276" w:lineRule="auto"/>
        <w:jc w:val="both"/>
        <w:rPr>
          <w:rFonts w:ascii="Traditional Arabic" w:eastAsia="Times New Roman" w:hAnsi="Traditional Arabic" w:cs="Traditional Arabic"/>
          <w:sz w:val="32"/>
          <w:szCs w:val="32"/>
          <w:rtl/>
        </w:rPr>
      </w:pPr>
      <w:r w:rsidRPr="00506B64">
        <w:rPr>
          <w:rFonts w:ascii="Traditional Arabic" w:eastAsia="Times New Roman" w:hAnsi="Traditional Arabic" w:cs="Traditional Arabic" w:hint="cs"/>
          <w:sz w:val="32"/>
          <w:szCs w:val="32"/>
          <w:rtl/>
        </w:rPr>
        <w:t xml:space="preserve">تم تحديد أبعاد الشفافية المعلوماتية في هذه الدراسة بناءً على مراجعة تحليلية شاملة لمجموعة من الدراسات العربية والأجنبية ذات الصلة، حيث أسهمت دراسة الغرابلي والبنا (2022) في تصنيف مكونات الشفافية الإدارية إلى أبعاد واضحة تشمل شفافية الأنظمة واللوائح وشفافية الإجراءات وشفافية الاتصال والمعلومات وشفافية تقييم الأداء، وذلك من خلال دراسة تطبيقية فحصت دور هذه الأبعاد في تدعيم الالتزام بالعقد النفسي لدى العاملين، كما أسهمت دراسة عبدالله </w:t>
      </w:r>
      <w:proofErr w:type="spellStart"/>
      <w:r w:rsidRPr="00506B64">
        <w:rPr>
          <w:rFonts w:ascii="Traditional Arabic" w:eastAsia="Times New Roman" w:hAnsi="Traditional Arabic" w:cs="Traditional Arabic" w:hint="cs"/>
          <w:sz w:val="32"/>
          <w:szCs w:val="32"/>
          <w:rtl/>
        </w:rPr>
        <w:t>والدياشي</w:t>
      </w:r>
      <w:proofErr w:type="spellEnd"/>
      <w:r w:rsidRPr="00506B64">
        <w:rPr>
          <w:rFonts w:ascii="Traditional Arabic" w:eastAsia="Times New Roman" w:hAnsi="Traditional Arabic" w:cs="Traditional Arabic" w:hint="cs"/>
          <w:sz w:val="32"/>
          <w:szCs w:val="32"/>
          <w:rtl/>
        </w:rPr>
        <w:t xml:space="preserve"> (2021) في تأصيل مفهوم الشفافية وإتاحة المعلومات نظرياً من خلال تقديم نهج مفاهيمي يُحلّل العلاقة بين حق الوصول إلى المعلومات وبناء منظمات حكومية رشيدة تقوم على الإفصاح والمساءلة، فيما أضافت دراسة المعايطة (2021) بُعداً تطبيقياً ميدانياً عبر فحص أثر الشفافية الإدارية بأبعادها المختلفة على أداء القطاعات الحكومية وتحديد العناصر الفرعية لكل بُعد والعوامل المؤثرة في فاعليته. وعلى الصعيد الأجنبي، أكدت دراسة</w:t>
      </w:r>
      <w:r w:rsidRPr="00506B64">
        <w:rPr>
          <w:rFonts w:ascii="Traditional Arabic" w:eastAsia="Times New Roman" w:hAnsi="Traditional Arabic" w:cs="Traditional Arabic" w:hint="cs"/>
          <w:sz w:val="32"/>
          <w:szCs w:val="32"/>
        </w:rPr>
        <w:t xml:space="preserve"> </w:t>
      </w:r>
      <w:proofErr w:type="spellStart"/>
      <w:r w:rsidRPr="00506B64">
        <w:rPr>
          <w:rFonts w:ascii="Traditional Arabic" w:eastAsia="Times New Roman" w:hAnsi="Traditional Arabic" w:cs="Traditional Arabic" w:hint="cs"/>
          <w:sz w:val="32"/>
          <w:szCs w:val="32"/>
        </w:rPr>
        <w:t>Tondolo</w:t>
      </w:r>
      <w:proofErr w:type="spellEnd"/>
      <w:r w:rsidRPr="00506B64">
        <w:rPr>
          <w:rFonts w:ascii="Traditional Arabic" w:eastAsia="Times New Roman" w:hAnsi="Traditional Arabic" w:cs="Traditional Arabic" w:hint="cs"/>
          <w:sz w:val="32"/>
          <w:szCs w:val="32"/>
        </w:rPr>
        <w:t xml:space="preserve"> et al. (2023) </w:t>
      </w:r>
      <w:r w:rsidRPr="00506B64">
        <w:rPr>
          <w:rFonts w:ascii="Traditional Arabic" w:eastAsia="Times New Roman" w:hAnsi="Traditional Arabic" w:cs="Traditional Arabic" w:hint="cs"/>
          <w:sz w:val="32"/>
          <w:szCs w:val="32"/>
          <w:rtl/>
        </w:rPr>
        <w:t>أن شفافية المعلومات بنية متعددة الأبعاد تتفاعل مع ضغوط أصحاب المصلحة من مستثمرين وعملاء ومجتمع محلي وجهات رقابية، وأن كل بُعد منها يُلبّي حاجة معلوماتية مختلفة لدى فئة مختلفة من هؤلاء الأطراف، بينما أوضحت دراسة</w:t>
      </w:r>
      <w:r w:rsidRPr="00506B64">
        <w:rPr>
          <w:rFonts w:ascii="Traditional Arabic" w:eastAsia="Times New Roman" w:hAnsi="Traditional Arabic" w:cs="Traditional Arabic" w:hint="cs"/>
          <w:sz w:val="32"/>
          <w:szCs w:val="32"/>
        </w:rPr>
        <w:t xml:space="preserve"> Ye and Wu (2024) </w:t>
      </w:r>
      <w:r w:rsidRPr="00506B64">
        <w:rPr>
          <w:rFonts w:ascii="Traditional Arabic" w:eastAsia="Times New Roman" w:hAnsi="Traditional Arabic" w:cs="Traditional Arabic" w:hint="cs"/>
          <w:sz w:val="32"/>
          <w:szCs w:val="32"/>
          <w:rtl/>
        </w:rPr>
        <w:t xml:space="preserve">من خلال تجربة شبه طبيعية أن شفافية المعلومات تعمل عبر آليات متمايزة تختلف باختلاف نوع حالة عدم اليقين التي </w:t>
      </w:r>
      <w:proofErr w:type="spellStart"/>
      <w:r w:rsidRPr="00506B64">
        <w:rPr>
          <w:rFonts w:ascii="Traditional Arabic" w:eastAsia="Times New Roman" w:hAnsi="Traditional Arabic" w:cs="Traditional Arabic" w:hint="cs"/>
          <w:sz w:val="32"/>
          <w:szCs w:val="32"/>
          <w:rtl/>
        </w:rPr>
        <w:t>يواجهها</w:t>
      </w:r>
      <w:proofErr w:type="spellEnd"/>
      <w:r w:rsidRPr="00506B64">
        <w:rPr>
          <w:rFonts w:ascii="Traditional Arabic" w:eastAsia="Times New Roman" w:hAnsi="Traditional Arabic" w:cs="Traditional Arabic" w:hint="cs"/>
          <w:sz w:val="32"/>
          <w:szCs w:val="32"/>
          <w:rtl/>
        </w:rPr>
        <w:t xml:space="preserve"> المتعامل، مما يعني أن كل بُعد من أبعاد الشفافية يُعالج جانباً محدداً من الفجوة المعلوماتية ولا يمكن لبُعد واحد أن يحل محل الأبعاد الأخرى. واستناداً إلى هذه المراجعة المتكاملة التي جمعت بين التأصيل النظري والتطبيق الميداني في بيئات عربية وأجنبية متنوعة، تبنّى الباحث ثلاثة أبعاد رئيسية تعكس خصوصية البيئة الصناعية الحكومية في دول مجلس التعاون الخليجي وتتسق مع طبيعة التحول الرقمي الجاري في وزارات الصناعة بهذه الدول، وهي: شفافية الأنظمة </w:t>
      </w:r>
      <w:r w:rsidRPr="00506B64">
        <w:rPr>
          <w:rFonts w:ascii="Traditional Arabic" w:eastAsia="Times New Roman" w:hAnsi="Traditional Arabic" w:cs="Traditional Arabic" w:hint="cs"/>
          <w:sz w:val="32"/>
          <w:szCs w:val="32"/>
          <w:rtl/>
        </w:rPr>
        <w:lastRenderedPageBreak/>
        <w:t xml:space="preserve">واللوائح، وشفافية الإجراءات، وشفافية الاتصال والمعلومات </w:t>
      </w:r>
      <w:r>
        <w:rPr>
          <w:rFonts w:ascii="Traditional Arabic" w:eastAsia="Times New Roman" w:hAnsi="Traditional Arabic" w:cs="Traditional Arabic" w:hint="cs"/>
          <w:sz w:val="32"/>
          <w:szCs w:val="32"/>
          <w:rtl/>
        </w:rPr>
        <w:t>(</w:t>
      </w:r>
      <w:proofErr w:type="spellStart"/>
      <w:r w:rsidRPr="00506B64">
        <w:rPr>
          <w:rFonts w:ascii="Traditional Arabic" w:eastAsia="Times New Roman" w:hAnsi="Traditional Arabic" w:cs="Traditional Arabic" w:hint="cs"/>
          <w:sz w:val="32"/>
          <w:szCs w:val="32"/>
          <w:rtl/>
        </w:rPr>
        <w:t>الغرابلي</w:t>
      </w:r>
      <w:proofErr w:type="spellEnd"/>
      <w:r w:rsidRPr="00506B64">
        <w:rPr>
          <w:rFonts w:ascii="Traditional Arabic" w:eastAsia="Times New Roman" w:hAnsi="Traditional Arabic" w:cs="Traditional Arabic" w:hint="cs"/>
          <w:sz w:val="32"/>
          <w:szCs w:val="32"/>
          <w:rtl/>
        </w:rPr>
        <w:t xml:space="preserve"> والبنا، 2022؛ </w:t>
      </w:r>
      <w:r w:rsidR="0082248C" w:rsidRPr="00506B64">
        <w:rPr>
          <w:rFonts w:ascii="Traditional Arabic" w:eastAsia="Times New Roman" w:hAnsi="Traditional Arabic" w:cs="Traditional Arabic" w:hint="cs"/>
          <w:sz w:val="32"/>
          <w:szCs w:val="32"/>
          <w:rtl/>
        </w:rPr>
        <w:t>عبد الل</w:t>
      </w:r>
      <w:r w:rsidR="0082248C" w:rsidRPr="00506B64">
        <w:rPr>
          <w:rFonts w:ascii="Traditional Arabic" w:eastAsia="Times New Roman" w:hAnsi="Traditional Arabic" w:cs="Traditional Arabic" w:hint="eastAsia"/>
          <w:sz w:val="32"/>
          <w:szCs w:val="32"/>
          <w:rtl/>
        </w:rPr>
        <w:t>ه</w:t>
      </w:r>
      <w:r w:rsidRPr="00506B64">
        <w:rPr>
          <w:rFonts w:ascii="Traditional Arabic" w:eastAsia="Times New Roman" w:hAnsi="Traditional Arabic" w:cs="Traditional Arabic" w:hint="cs"/>
          <w:sz w:val="32"/>
          <w:szCs w:val="32"/>
          <w:rtl/>
        </w:rPr>
        <w:t xml:space="preserve"> </w:t>
      </w:r>
      <w:proofErr w:type="spellStart"/>
      <w:r w:rsidRPr="00506B64">
        <w:rPr>
          <w:rFonts w:ascii="Traditional Arabic" w:eastAsia="Times New Roman" w:hAnsi="Traditional Arabic" w:cs="Traditional Arabic" w:hint="cs"/>
          <w:sz w:val="32"/>
          <w:szCs w:val="32"/>
          <w:rtl/>
        </w:rPr>
        <w:t>والدياشي</w:t>
      </w:r>
      <w:proofErr w:type="spellEnd"/>
      <w:r w:rsidRPr="00506B64">
        <w:rPr>
          <w:rFonts w:ascii="Traditional Arabic" w:eastAsia="Times New Roman" w:hAnsi="Traditional Arabic" w:cs="Traditional Arabic" w:hint="cs"/>
          <w:sz w:val="32"/>
          <w:szCs w:val="32"/>
          <w:rtl/>
        </w:rPr>
        <w:t>، 2021؛ المعايطة، 2021؛</w:t>
      </w:r>
      <w:r w:rsidRPr="00506B64">
        <w:rPr>
          <w:rFonts w:ascii="Traditional Arabic" w:eastAsia="Times New Roman" w:hAnsi="Traditional Arabic" w:cs="Traditional Arabic" w:hint="cs"/>
          <w:sz w:val="32"/>
          <w:szCs w:val="32"/>
        </w:rPr>
        <w:t xml:space="preserve"> </w:t>
      </w:r>
      <w:proofErr w:type="spellStart"/>
      <w:r w:rsidRPr="00506B64">
        <w:rPr>
          <w:rFonts w:ascii="Traditional Arabic" w:eastAsia="Times New Roman" w:hAnsi="Traditional Arabic" w:cs="Traditional Arabic" w:hint="cs"/>
          <w:sz w:val="32"/>
          <w:szCs w:val="32"/>
        </w:rPr>
        <w:t>Tondolo</w:t>
      </w:r>
      <w:proofErr w:type="spellEnd"/>
      <w:r w:rsidRPr="00506B64">
        <w:rPr>
          <w:rFonts w:ascii="Traditional Arabic" w:eastAsia="Times New Roman" w:hAnsi="Traditional Arabic" w:cs="Traditional Arabic" w:hint="cs"/>
          <w:sz w:val="32"/>
          <w:szCs w:val="32"/>
        </w:rPr>
        <w:t xml:space="preserve"> et al., 2023; Ye &amp; Wu, 2024.</w:t>
      </w:r>
      <w:r>
        <w:rPr>
          <w:rFonts w:ascii="Traditional Arabic" w:eastAsia="Times New Roman" w:hAnsi="Traditional Arabic" w:cs="Traditional Arabic" w:hint="cs"/>
          <w:sz w:val="32"/>
          <w:szCs w:val="32"/>
          <w:rtl/>
        </w:rPr>
        <w:t>)</w:t>
      </w:r>
    </w:p>
    <w:p w14:paraId="6E4F8343" w14:textId="77777777" w:rsidR="00506B64" w:rsidRPr="00506B64" w:rsidRDefault="00506B64" w:rsidP="00506B64">
      <w:pPr>
        <w:bidi/>
        <w:spacing w:before="100" w:beforeAutospacing="1" w:after="100" w:afterAutospacing="1" w:line="276" w:lineRule="auto"/>
        <w:jc w:val="both"/>
        <w:outlineLvl w:val="1"/>
        <w:rPr>
          <w:rFonts w:ascii="Traditional Arabic" w:eastAsia="Times New Roman" w:hAnsi="Traditional Arabic" w:cs="Traditional Arabic"/>
          <w:b/>
          <w:bCs/>
          <w:sz w:val="32"/>
          <w:szCs w:val="32"/>
        </w:rPr>
      </w:pPr>
      <w:r w:rsidRPr="00506B64">
        <w:rPr>
          <w:rFonts w:ascii="Traditional Arabic" w:eastAsia="Times New Roman" w:hAnsi="Traditional Arabic" w:cs="Traditional Arabic" w:hint="cs"/>
          <w:b/>
          <w:bCs/>
          <w:sz w:val="32"/>
          <w:szCs w:val="32"/>
          <w:rtl/>
        </w:rPr>
        <w:t>البُعد الأول: شفافية الأنظمة واللوائح</w:t>
      </w:r>
    </w:p>
    <w:p w14:paraId="7B6B9D58" w14:textId="29AD8BF5" w:rsidR="00506B64" w:rsidRPr="00506B64" w:rsidRDefault="00506B64" w:rsidP="00506B64">
      <w:pPr>
        <w:bidi/>
        <w:spacing w:before="100" w:beforeAutospacing="1" w:after="100" w:afterAutospacing="1" w:line="276" w:lineRule="auto"/>
        <w:jc w:val="both"/>
        <w:rPr>
          <w:rFonts w:ascii="Traditional Arabic" w:eastAsia="Times New Roman" w:hAnsi="Traditional Arabic" w:cs="Traditional Arabic"/>
          <w:sz w:val="32"/>
          <w:szCs w:val="32"/>
        </w:rPr>
      </w:pPr>
      <w:r w:rsidRPr="00506B64">
        <w:rPr>
          <w:rFonts w:ascii="Traditional Arabic" w:eastAsia="Times New Roman" w:hAnsi="Traditional Arabic" w:cs="Traditional Arabic" w:hint="cs"/>
          <w:sz w:val="32"/>
          <w:szCs w:val="32"/>
          <w:rtl/>
        </w:rPr>
        <w:t>يُعبّر بُعد شفافية الأنظمة واللوائح عن الدرجة التي تُتيح بها وزارات الصناعة إطارها التشريعي والتنظيمي بشكل واضح ومنظّم ومفهوم لجميع الأطراف ذات العلاقة، ويشمل ذلك القوانين والمراسيم واللوائح التنفيذية والقرارات الوزارية والتعاميم والأدلة الإرشادية التي تُحدّد قواعد العمل الصناعي وشروط الاستثمار ومعايير منح التراخيص ومتطلبات الالتزام البيئي والسلامة المهنية</w:t>
      </w:r>
      <w:r>
        <w:rPr>
          <w:rFonts w:ascii="Traditional Arabic" w:eastAsia="Times New Roman" w:hAnsi="Traditional Arabic" w:cs="Traditional Arabic" w:hint="cs"/>
          <w:sz w:val="32"/>
          <w:szCs w:val="32"/>
          <w:rtl/>
        </w:rPr>
        <w:t>،</w:t>
      </w:r>
      <w:r w:rsidRPr="00506B64">
        <w:rPr>
          <w:rFonts w:ascii="Traditional Arabic" w:eastAsia="Times New Roman" w:hAnsi="Traditional Arabic" w:cs="Traditional Arabic" w:hint="cs"/>
          <w:sz w:val="32"/>
          <w:szCs w:val="32"/>
          <w:rtl/>
        </w:rPr>
        <w:t xml:space="preserve"> أن شفافية الأنظمة واللوائح تُشكّل الطبقة التأسيسية في هرم الشفافية المؤسسية، إذ إن جميع الممارسات الإجرائية والاتصالية اللاحقة تستمد شرعيتها ومرجعيتها من هذا الإطار القانوني، ومتى كان هذا الإطار غامضاً أو متناقضاً أو صعب الوصول إليه فإن المتعامل يجد نفسه في حالة من عدم اليقين القانوني تدفعه إما إلى الإحجام عن الاستثمار أو إلى البحث عن قنوات غير رسمية للحصول على تفسيرات تتباين من موظف لآخر، مما يُقوّض مبدأ المساواة في المعاملة ويُضعف البيئة التنافسية للقطاع الصناعي. وقد توصّل الباحثون إلى أن واقع الشفافية في المؤسسات التعليمية الحكومية يُعاني من فجوات في نشر اللوائح وتفسيرها، وهو ما يمكن إسقاطه على البيئة الصناعية الحكومية بوصفها تُعاني من تحديات مماثلة تتعلق بكثافة التشريعات وسرعة تحديثها </w:t>
      </w:r>
      <w:r>
        <w:rPr>
          <w:rFonts w:ascii="Traditional Arabic" w:eastAsia="Times New Roman" w:hAnsi="Traditional Arabic" w:cs="Traditional Arabic" w:hint="cs"/>
          <w:sz w:val="32"/>
          <w:szCs w:val="32"/>
          <w:rtl/>
        </w:rPr>
        <w:t>(</w:t>
      </w:r>
      <w:r w:rsidR="00140115" w:rsidRPr="00506B64">
        <w:rPr>
          <w:rFonts w:ascii="Traditional Arabic" w:eastAsia="Times New Roman" w:hAnsi="Traditional Arabic" w:cs="Traditional Arabic" w:hint="cs"/>
          <w:sz w:val="32"/>
          <w:szCs w:val="32"/>
          <w:rtl/>
        </w:rPr>
        <w:t>عبد العزي</w:t>
      </w:r>
      <w:r w:rsidR="00140115" w:rsidRPr="00506B64">
        <w:rPr>
          <w:rFonts w:ascii="Traditional Arabic" w:eastAsia="Times New Roman" w:hAnsi="Traditional Arabic" w:cs="Traditional Arabic" w:hint="eastAsia"/>
          <w:sz w:val="32"/>
          <w:szCs w:val="32"/>
          <w:rtl/>
        </w:rPr>
        <w:t>ز</w:t>
      </w:r>
      <w:r w:rsidRPr="00506B64">
        <w:rPr>
          <w:rFonts w:ascii="Traditional Arabic" w:eastAsia="Times New Roman" w:hAnsi="Traditional Arabic" w:cs="Traditional Arabic" w:hint="cs"/>
          <w:sz w:val="32"/>
          <w:szCs w:val="32"/>
          <w:rtl/>
        </w:rPr>
        <w:t xml:space="preserve"> وجلال وفكري، 2021</w:t>
      </w:r>
      <w:r w:rsidR="00140115">
        <w:rPr>
          <w:rFonts w:ascii="Traditional Arabic" w:eastAsia="Times New Roman" w:hAnsi="Traditional Arabic" w:cs="Traditional Arabic" w:hint="cs"/>
          <w:sz w:val="32"/>
          <w:szCs w:val="32"/>
          <w:rtl/>
        </w:rPr>
        <w:t>).</w:t>
      </w:r>
    </w:p>
    <w:p w14:paraId="617092D4" w14:textId="77777777" w:rsidR="00506B64" w:rsidRDefault="00506B64" w:rsidP="00506B64">
      <w:pPr>
        <w:bidi/>
        <w:spacing w:before="100" w:beforeAutospacing="1" w:after="100" w:afterAutospacing="1" w:line="276" w:lineRule="auto"/>
        <w:jc w:val="both"/>
        <w:rPr>
          <w:rFonts w:ascii="Traditional Arabic" w:eastAsia="Times New Roman" w:hAnsi="Traditional Arabic" w:cs="Traditional Arabic"/>
          <w:sz w:val="32"/>
          <w:szCs w:val="32"/>
          <w:rtl/>
        </w:rPr>
      </w:pPr>
      <w:r w:rsidRPr="00506B64">
        <w:rPr>
          <w:rFonts w:ascii="Traditional Arabic" w:eastAsia="Times New Roman" w:hAnsi="Traditional Arabic" w:cs="Traditional Arabic" w:hint="cs"/>
          <w:sz w:val="32"/>
          <w:szCs w:val="32"/>
          <w:rtl/>
        </w:rPr>
        <w:t xml:space="preserve">ويُضيف العبار (2020) بُعداً تطبيقياً مهماً حين يُؤكد أن العلاقة بين الشفافية الإدارية وتطبيق الإدارة الإلكترونية تنطلق جوهرياً من وضوح الأنظمة واللوائح، </w:t>
      </w:r>
      <w:proofErr w:type="spellStart"/>
      <w:r w:rsidRPr="00506B64">
        <w:rPr>
          <w:rFonts w:ascii="Traditional Arabic" w:eastAsia="Times New Roman" w:hAnsi="Traditional Arabic" w:cs="Traditional Arabic" w:hint="cs"/>
          <w:sz w:val="32"/>
          <w:szCs w:val="32"/>
          <w:rtl/>
        </w:rPr>
        <w:t>فرقمنة</w:t>
      </w:r>
      <w:proofErr w:type="spellEnd"/>
      <w:r w:rsidRPr="00506B64">
        <w:rPr>
          <w:rFonts w:ascii="Traditional Arabic" w:eastAsia="Times New Roman" w:hAnsi="Traditional Arabic" w:cs="Traditional Arabic" w:hint="cs"/>
          <w:sz w:val="32"/>
          <w:szCs w:val="32"/>
          <w:rtl/>
        </w:rPr>
        <w:t xml:space="preserve"> الخدمات الحكومية لا تُحقق أهدافها المرجوة إذا كانت القواعد التي يُبنى عليها النظام الإلكتروني غامضة أو قابلة للتأويل، لأن الأتمتة في هذه الحالة لا تفعل سوى تسريع إنتاج قرارات غير متسقة مع تغليفها بمظهر تقني يُوهم بالدقة والموضوعية</w:t>
      </w:r>
      <w:r w:rsidRPr="00506B64">
        <w:rPr>
          <w:rFonts w:ascii="Traditional Arabic" w:eastAsia="Times New Roman" w:hAnsi="Traditional Arabic" w:cs="Traditional Arabic" w:hint="cs"/>
          <w:sz w:val="32"/>
          <w:szCs w:val="32"/>
        </w:rPr>
        <w:t xml:space="preserve">. </w:t>
      </w:r>
      <w:r w:rsidRPr="00506B64">
        <w:rPr>
          <w:rFonts w:ascii="Traditional Arabic" w:eastAsia="Times New Roman" w:hAnsi="Traditional Arabic" w:cs="Traditional Arabic" w:hint="cs"/>
          <w:sz w:val="32"/>
          <w:szCs w:val="32"/>
          <w:rtl/>
        </w:rPr>
        <w:t xml:space="preserve">وهذا يعني أن التحول الرقمي في وزارات الصناعة الخليجية يستلزم أولاً مراجعة وتبسيط الإطار التنظيمي قبل </w:t>
      </w:r>
      <w:proofErr w:type="spellStart"/>
      <w:r w:rsidRPr="00506B64">
        <w:rPr>
          <w:rFonts w:ascii="Traditional Arabic" w:eastAsia="Times New Roman" w:hAnsi="Traditional Arabic" w:cs="Traditional Arabic" w:hint="cs"/>
          <w:sz w:val="32"/>
          <w:szCs w:val="32"/>
          <w:rtl/>
        </w:rPr>
        <w:t>رقمنته</w:t>
      </w:r>
      <w:proofErr w:type="spellEnd"/>
      <w:r w:rsidRPr="00506B64">
        <w:rPr>
          <w:rFonts w:ascii="Traditional Arabic" w:eastAsia="Times New Roman" w:hAnsi="Traditional Arabic" w:cs="Traditional Arabic" w:hint="cs"/>
          <w:sz w:val="32"/>
          <w:szCs w:val="32"/>
          <w:rtl/>
        </w:rPr>
        <w:t>، حتى لا تتحوّل البوابات الإلكترونية إلى واجهات رقمية لأنظمة بيروقراطية معقدة</w:t>
      </w:r>
      <w:r>
        <w:rPr>
          <w:rFonts w:ascii="Traditional Arabic" w:eastAsia="Times New Roman" w:hAnsi="Traditional Arabic" w:cs="Traditional Arabic" w:hint="cs"/>
          <w:sz w:val="32"/>
          <w:szCs w:val="32"/>
          <w:rtl/>
        </w:rPr>
        <w:t xml:space="preserve">، </w:t>
      </w:r>
      <w:r w:rsidRPr="00506B64">
        <w:rPr>
          <w:rFonts w:ascii="Traditional Arabic" w:eastAsia="Times New Roman" w:hAnsi="Traditional Arabic" w:cs="Traditional Arabic" w:hint="cs"/>
          <w:sz w:val="32"/>
          <w:szCs w:val="32"/>
          <w:rtl/>
        </w:rPr>
        <w:t xml:space="preserve"> ويتّسق هذا الطرح مع ما خلصت إليه دراسة التركي </w:t>
      </w:r>
      <w:r>
        <w:rPr>
          <w:rFonts w:ascii="Traditional Arabic" w:eastAsia="Times New Roman" w:hAnsi="Traditional Arabic" w:cs="Traditional Arabic" w:hint="cs"/>
          <w:sz w:val="32"/>
          <w:szCs w:val="32"/>
          <w:rtl/>
        </w:rPr>
        <w:t>واخرون</w:t>
      </w:r>
      <w:r w:rsidRPr="00506B64">
        <w:rPr>
          <w:rFonts w:ascii="Traditional Arabic" w:eastAsia="Times New Roman" w:hAnsi="Traditional Arabic" w:cs="Traditional Arabic" w:hint="cs"/>
          <w:sz w:val="32"/>
          <w:szCs w:val="32"/>
          <w:rtl/>
        </w:rPr>
        <w:t xml:space="preserve"> (2021) التي فحصت دور الحوكمة الإلكترونية في تعزيز الشفافية بدولة قطر، ووجدت أن الحوكمة الإلكترونية تُسهم في تعزيز شفافية الأنظمة من خلال إتاحة النصوص القانونية عبر منصات رقمية مُزوّدة بأدوات بحث واسترجاع متقدمة تُمكّن المتعامل من الوصول إلى النص التشريعي </w:t>
      </w:r>
      <w:r w:rsidRPr="00506B64">
        <w:rPr>
          <w:rFonts w:ascii="Traditional Arabic" w:eastAsia="Times New Roman" w:hAnsi="Traditional Arabic" w:cs="Traditional Arabic" w:hint="cs"/>
          <w:sz w:val="32"/>
          <w:szCs w:val="32"/>
          <w:rtl/>
        </w:rPr>
        <w:lastRenderedPageBreak/>
        <w:t>المطلوب بسرعة ودقة، شريطة أن تكون هذه النصوص مُحدّثة ومُصاغة بلغة واضحة ومُرفقة بتفسيرات تطبيقية ( التركي وآخرون، 2021</w:t>
      </w:r>
      <w:r>
        <w:rPr>
          <w:rFonts w:ascii="Traditional Arabic" w:eastAsia="Times New Roman" w:hAnsi="Traditional Arabic" w:cs="Traditional Arabic" w:hint="cs"/>
          <w:sz w:val="32"/>
          <w:szCs w:val="32"/>
          <w:rtl/>
        </w:rPr>
        <w:t>)</w:t>
      </w:r>
    </w:p>
    <w:p w14:paraId="51EAB814" w14:textId="06CF2667" w:rsidR="00506B64" w:rsidRPr="00506B64" w:rsidRDefault="00506B64" w:rsidP="00506B64">
      <w:pPr>
        <w:bidi/>
        <w:spacing w:before="100" w:beforeAutospacing="1" w:after="100" w:afterAutospacing="1" w:line="276" w:lineRule="auto"/>
        <w:jc w:val="both"/>
        <w:rPr>
          <w:rFonts w:ascii="Traditional Arabic" w:eastAsia="Times New Roman" w:hAnsi="Traditional Arabic" w:cs="Traditional Arabic"/>
          <w:sz w:val="32"/>
          <w:szCs w:val="32"/>
        </w:rPr>
      </w:pPr>
      <w:r>
        <w:rPr>
          <w:rFonts w:ascii="Traditional Arabic" w:eastAsia="Times New Roman" w:hAnsi="Traditional Arabic" w:cs="Traditional Arabic" w:hint="cs"/>
          <w:sz w:val="32"/>
          <w:szCs w:val="32"/>
          <w:rtl/>
        </w:rPr>
        <w:t>وترتبط</w:t>
      </w:r>
      <w:r w:rsidRPr="00506B64">
        <w:rPr>
          <w:rFonts w:ascii="Traditional Arabic" w:eastAsia="Times New Roman" w:hAnsi="Traditional Arabic" w:cs="Traditional Arabic" w:hint="cs"/>
          <w:sz w:val="32"/>
          <w:szCs w:val="32"/>
          <w:rtl/>
        </w:rPr>
        <w:t xml:space="preserve"> الشفافية في الخدمات العامة ارتباطاً وثيقاً بمدى إتاحة الأطر التنظيمية للجمهور، وأن الدول التي تُحقق درجات متقدمة في مؤشرات إدراك الفساد هي تلك التي تُوفّر وصولاً سهلاً وشاملاً إلى قوانينها ولوائحها عبر منصات إلكترونية تفاعلية، وهو ما يُمثّل معياراً دولياً يمكن أن تسترشد به وزارات الصناعة الخليجية في تطوير ممارساتها. وفي هذا الإطار، يرى الباحث أن شفافية الأنظمة واللوائح في وزارات الصناعة بدول مجلس التعاون الخليجي تكتسب أهمية استثنائية في المرحلة الراهنة نظراً لعاملين متزامنين: الأول هو التسارع الكبير في إصدار تشريعات جديدة مرتبطة بالثورة الصناعية الرابعة وبرامج التنويع الاقتصادي كرؤية المملكة العربية السعودية 2030 ورؤية الإمارات المئوية 2071، والثاني هو تزايد عدد المستثمرين الأجانب الذين يحتاجون إلى فهم واضح وسريع للبيئة التنظيمية قبل اتخاذ قراراتهم الاستثمارية، مما يجعل أي تأخر أو غموض في نشر اللوائح عائقاً مباشراً أمام تحقيق أهداف التنمية الصناعية</w:t>
      </w:r>
      <w:r w:rsidRPr="00506B64">
        <w:rPr>
          <w:rFonts w:ascii="Traditional Arabic" w:eastAsia="Times New Roman" w:hAnsi="Traditional Arabic" w:cs="Traditional Arabic" w:hint="cs"/>
          <w:sz w:val="32"/>
          <w:szCs w:val="32"/>
        </w:rPr>
        <w:t xml:space="preserve"> </w:t>
      </w:r>
      <w:r>
        <w:rPr>
          <w:rFonts w:ascii="Traditional Arabic" w:eastAsia="Times New Roman" w:hAnsi="Traditional Arabic" w:cs="Traditional Arabic" w:hint="cs"/>
          <w:sz w:val="32"/>
          <w:szCs w:val="32"/>
          <w:rtl/>
        </w:rPr>
        <w:t>.</w:t>
      </w:r>
    </w:p>
    <w:p w14:paraId="2E75BB9C" w14:textId="77777777" w:rsidR="00506B64" w:rsidRPr="00506B64" w:rsidRDefault="00506B64" w:rsidP="00506B64">
      <w:pPr>
        <w:bidi/>
        <w:spacing w:before="100" w:beforeAutospacing="1" w:after="100" w:afterAutospacing="1" w:line="276" w:lineRule="auto"/>
        <w:jc w:val="both"/>
        <w:outlineLvl w:val="1"/>
        <w:rPr>
          <w:rFonts w:ascii="Traditional Arabic" w:eastAsia="Times New Roman" w:hAnsi="Traditional Arabic" w:cs="Traditional Arabic"/>
          <w:b/>
          <w:bCs/>
          <w:sz w:val="32"/>
          <w:szCs w:val="32"/>
        </w:rPr>
      </w:pPr>
      <w:r w:rsidRPr="00506B64">
        <w:rPr>
          <w:rFonts w:ascii="Traditional Arabic" w:eastAsia="Times New Roman" w:hAnsi="Traditional Arabic" w:cs="Traditional Arabic" w:hint="cs"/>
          <w:b/>
          <w:bCs/>
          <w:sz w:val="32"/>
          <w:szCs w:val="32"/>
          <w:rtl/>
        </w:rPr>
        <w:t>البُعد الثاني: شفافية الإجراءات</w:t>
      </w:r>
    </w:p>
    <w:p w14:paraId="75AB1B7F" w14:textId="564FA5D3" w:rsidR="00506B64" w:rsidRPr="00506B64" w:rsidRDefault="00506B64" w:rsidP="00506B64">
      <w:pPr>
        <w:bidi/>
        <w:spacing w:before="100" w:beforeAutospacing="1" w:after="100" w:afterAutospacing="1" w:line="276" w:lineRule="auto"/>
        <w:jc w:val="both"/>
        <w:rPr>
          <w:rFonts w:ascii="Traditional Arabic" w:eastAsia="Times New Roman" w:hAnsi="Traditional Arabic" w:cs="Traditional Arabic"/>
          <w:sz w:val="32"/>
          <w:szCs w:val="32"/>
        </w:rPr>
      </w:pPr>
      <w:r w:rsidRPr="00506B64">
        <w:rPr>
          <w:rFonts w:ascii="Traditional Arabic" w:eastAsia="Times New Roman" w:hAnsi="Traditional Arabic" w:cs="Traditional Arabic" w:hint="cs"/>
          <w:sz w:val="32"/>
          <w:szCs w:val="32"/>
          <w:rtl/>
        </w:rPr>
        <w:t>يتناول بُعد شفافية الإجراءات مدى وضوح المسارات العملية والخطوات التسلسلية التي تمر بها المعاملات والطلبات داخل وزارات الصناعة منذ لحظة التقديم حتى صدور القرار النهائي وتبليغ المتعامل بنتيجته، ويشمل ذلك تحديد المتطلبات والوثائق اللازمة لكل خدمة، وتوضيح المراحل التي يمر بها الطلب، والإفصاح عن المدد الزمنية المعيارية لكل مرحلة، وتحديد الجهة المسؤولة عن اتخاذ القرار في كل نقطة من نقاط المسار، وبيان آليات المتابعة والتظلّم المتاحة</w:t>
      </w:r>
      <w:r>
        <w:rPr>
          <w:rFonts w:ascii="Traditional Arabic" w:eastAsia="Times New Roman" w:hAnsi="Traditional Arabic" w:cs="Traditional Arabic" w:hint="cs"/>
          <w:sz w:val="32"/>
          <w:szCs w:val="32"/>
          <w:rtl/>
        </w:rPr>
        <w:t xml:space="preserve">، </w:t>
      </w:r>
      <w:r w:rsidRPr="00506B64">
        <w:rPr>
          <w:rFonts w:ascii="Traditional Arabic" w:eastAsia="Times New Roman" w:hAnsi="Traditional Arabic" w:cs="Traditional Arabic" w:hint="cs"/>
          <w:sz w:val="32"/>
          <w:szCs w:val="32"/>
          <w:rtl/>
        </w:rPr>
        <w:t xml:space="preserve">ويُوضح </w:t>
      </w:r>
      <w:proofErr w:type="spellStart"/>
      <w:r w:rsidRPr="00506B64">
        <w:rPr>
          <w:rFonts w:ascii="Traditional Arabic" w:eastAsia="Times New Roman" w:hAnsi="Traditional Arabic" w:cs="Traditional Arabic" w:hint="cs"/>
          <w:sz w:val="32"/>
          <w:szCs w:val="32"/>
          <w:rtl/>
        </w:rPr>
        <w:t>خؤشناو</w:t>
      </w:r>
      <w:proofErr w:type="spellEnd"/>
      <w:r w:rsidRPr="00506B64">
        <w:rPr>
          <w:rFonts w:ascii="Traditional Arabic" w:eastAsia="Times New Roman" w:hAnsi="Traditional Arabic" w:cs="Traditional Arabic" w:hint="cs"/>
          <w:sz w:val="32"/>
          <w:szCs w:val="32"/>
          <w:rtl/>
        </w:rPr>
        <w:t xml:space="preserve"> وعلي أن الشفافية الاستراتيجية في المنظمات الحكومية تتطلب أن تكون الإجراءات الإدارية مُوثّقة ومُعلنة ومُوحّدة عبر جميع الوحدات التنظيمية، بحيث يحصل المتعامل على المعاملة ذاتها بصرف النظر عن الفرع أو الإدارة التي يتقدم إليها، وأن غياب هذا التوحيد يُنتج تفاوتاً في الخدمة يُضعف ثقة المتعاملين ويُغذي شعوراً بعدم العدالة حتى لو كانت القوانين الحاكمة عادلة في نصّها</w:t>
      </w:r>
      <w:r w:rsidRPr="00506B64">
        <w:rPr>
          <w:rFonts w:ascii="Traditional Arabic" w:eastAsia="Times New Roman" w:hAnsi="Traditional Arabic" w:cs="Traditional Arabic" w:hint="cs"/>
          <w:sz w:val="32"/>
          <w:szCs w:val="32"/>
        </w:rPr>
        <w:t xml:space="preserve">. </w:t>
      </w:r>
      <w:r w:rsidRPr="00506B64">
        <w:rPr>
          <w:rFonts w:ascii="Traditional Arabic" w:eastAsia="Times New Roman" w:hAnsi="Traditional Arabic" w:cs="Traditional Arabic" w:hint="cs"/>
          <w:sz w:val="32"/>
          <w:szCs w:val="32"/>
          <w:rtl/>
        </w:rPr>
        <w:t>ويُعد هذا البُعد حلقة الوصل الحيوية بين الإطار التنظيمي الثابت الذي يمثّله البُعد الأول والتفاعل الحي مع المتعاملين الذي يمثّله البُعد الثالث، فهو الذي يُترجم النصوص القانونية إلى ممارسات يومية ملموسة قابلة للقياس والمراقبة والمحاسبة (</w:t>
      </w:r>
      <w:proofErr w:type="spellStart"/>
      <w:r w:rsidRPr="00506B64">
        <w:rPr>
          <w:rFonts w:ascii="Traditional Arabic" w:eastAsia="Times New Roman" w:hAnsi="Traditional Arabic" w:cs="Traditional Arabic" w:hint="cs"/>
          <w:sz w:val="32"/>
          <w:szCs w:val="32"/>
          <w:rtl/>
        </w:rPr>
        <w:t>خؤشناو</w:t>
      </w:r>
      <w:proofErr w:type="spellEnd"/>
      <w:r w:rsidRPr="00506B64">
        <w:rPr>
          <w:rFonts w:ascii="Traditional Arabic" w:eastAsia="Times New Roman" w:hAnsi="Traditional Arabic" w:cs="Traditional Arabic" w:hint="cs"/>
          <w:sz w:val="32"/>
          <w:szCs w:val="32"/>
          <w:rtl/>
        </w:rPr>
        <w:t xml:space="preserve"> وعلي، 2023)</w:t>
      </w:r>
      <w:r w:rsidRPr="00506B64">
        <w:rPr>
          <w:rFonts w:ascii="Traditional Arabic" w:eastAsia="Times New Roman" w:hAnsi="Traditional Arabic" w:cs="Traditional Arabic" w:hint="cs"/>
          <w:sz w:val="32"/>
          <w:szCs w:val="32"/>
        </w:rPr>
        <w:t>.</w:t>
      </w:r>
    </w:p>
    <w:p w14:paraId="404AD072" w14:textId="05196162" w:rsidR="00506B64" w:rsidRPr="00506B64" w:rsidRDefault="00506B64" w:rsidP="00506B64">
      <w:pPr>
        <w:bidi/>
        <w:spacing w:before="100" w:beforeAutospacing="1" w:after="100" w:afterAutospacing="1" w:line="276" w:lineRule="auto"/>
        <w:jc w:val="both"/>
        <w:rPr>
          <w:rFonts w:ascii="Traditional Arabic" w:eastAsia="Times New Roman" w:hAnsi="Traditional Arabic" w:cs="Traditional Arabic"/>
          <w:sz w:val="32"/>
          <w:szCs w:val="32"/>
        </w:rPr>
      </w:pPr>
      <w:r w:rsidRPr="00506B64">
        <w:rPr>
          <w:rFonts w:ascii="Traditional Arabic" w:eastAsia="Times New Roman" w:hAnsi="Traditional Arabic" w:cs="Traditional Arabic" w:hint="cs"/>
          <w:sz w:val="32"/>
          <w:szCs w:val="32"/>
          <w:rtl/>
        </w:rPr>
        <w:lastRenderedPageBreak/>
        <w:t>أن تكنولوجيا المعلومات تلعب دوراً محورياً في تعزيز شفافية الإجراءات من خلال عدة آليات متكاملة: أولاها إتاحة التتبع الرقمي الآني لمسار المعاملة بحيث يستطيع المتعامل معرفة موقع طلبه بدقة في أي لحظة والجهة التي يُعالَج لديها والزمن المتبقي المتوقع لإنجازه، وثانيتها توحيد نماذج الطلبات ومسارات الموافقة مما يمنع الاجتهادات الفردية، وثالثتها توليد تقارير آلية عن أزمنة الإنجاز ومعدلات الرفض والقبول مما يُوفّر للإدارة العليا أدوات رقابية دقيقة لتحسين الأداء باستمرار</w:t>
      </w:r>
      <w:r>
        <w:rPr>
          <w:rFonts w:ascii="Traditional Arabic" w:eastAsia="Times New Roman" w:hAnsi="Traditional Arabic" w:cs="Traditional Arabic" w:hint="cs"/>
          <w:sz w:val="32"/>
          <w:szCs w:val="32"/>
          <w:rtl/>
        </w:rPr>
        <w:t>،</w:t>
      </w:r>
      <w:r w:rsidRPr="00506B64">
        <w:rPr>
          <w:rFonts w:ascii="Traditional Arabic" w:eastAsia="Times New Roman" w:hAnsi="Traditional Arabic" w:cs="Traditional Arabic" w:hint="cs"/>
          <w:sz w:val="32"/>
          <w:szCs w:val="32"/>
          <w:rtl/>
        </w:rPr>
        <w:t xml:space="preserve"> </w:t>
      </w:r>
      <w:r>
        <w:rPr>
          <w:rFonts w:ascii="Traditional Arabic" w:eastAsia="Times New Roman" w:hAnsi="Traditional Arabic" w:cs="Traditional Arabic" w:hint="cs"/>
          <w:sz w:val="32"/>
          <w:szCs w:val="32"/>
          <w:rtl/>
        </w:rPr>
        <w:t>و</w:t>
      </w:r>
      <w:r w:rsidRPr="00506B64">
        <w:rPr>
          <w:rFonts w:ascii="Traditional Arabic" w:eastAsia="Times New Roman" w:hAnsi="Traditional Arabic" w:cs="Traditional Arabic" w:hint="cs"/>
          <w:sz w:val="32"/>
          <w:szCs w:val="32"/>
          <w:rtl/>
        </w:rPr>
        <w:t>أن نظم المعلومات تعمل كمتغير وسيط فعّال في تحقيق الشفافية الإجرائية، لأنها تفرض توثيقاً إلكترونياً لكل خطوة إدارية بتاريخها ومسؤولها ونتيجتها، مما يُنشئ سجلاً رقابياً تراكمياً يمكن الرجوع إليه عند وقوع أي خلاف أو حاجة للمراجعة، ويحدّ من ظاهرة "الذاكرة المؤسسية الانتقائية" التي تُعاني منها كثير من المنظمات الحكومية حين تُفقد معلومات المعاملات السابقة أو تتعرض للتشويه (عمر، 2024؛ عزوز، 2024)</w:t>
      </w:r>
      <w:r w:rsidRPr="00506B64">
        <w:rPr>
          <w:rFonts w:ascii="Traditional Arabic" w:eastAsia="Times New Roman" w:hAnsi="Traditional Arabic" w:cs="Traditional Arabic" w:hint="cs"/>
          <w:sz w:val="32"/>
          <w:szCs w:val="32"/>
        </w:rPr>
        <w:t>.</w:t>
      </w:r>
    </w:p>
    <w:p w14:paraId="112B8241" w14:textId="7A7E080F" w:rsidR="00506B64" w:rsidRPr="00506B64" w:rsidRDefault="00506B64" w:rsidP="00506B64">
      <w:pPr>
        <w:bidi/>
        <w:spacing w:before="100" w:beforeAutospacing="1" w:after="100" w:afterAutospacing="1" w:line="276" w:lineRule="auto"/>
        <w:jc w:val="both"/>
        <w:rPr>
          <w:rFonts w:ascii="Traditional Arabic" w:eastAsia="Times New Roman" w:hAnsi="Traditional Arabic" w:cs="Traditional Arabic"/>
          <w:sz w:val="32"/>
          <w:szCs w:val="32"/>
        </w:rPr>
      </w:pPr>
      <w:r w:rsidRPr="00506B64">
        <w:rPr>
          <w:rFonts w:ascii="Traditional Arabic" w:eastAsia="Times New Roman" w:hAnsi="Traditional Arabic" w:cs="Traditional Arabic" w:hint="cs"/>
          <w:sz w:val="32"/>
          <w:szCs w:val="32"/>
          <w:rtl/>
        </w:rPr>
        <w:t>وتُضيف دراسة موسي (2021) أن تطبيق مبادئ الحوكمة يُسهم في تعزيز شفافية الإجراءات من خلال إرساء آليات رقابية ومساءلة واضحة تضمن التزام الجهاز الإداري بالمسارات المعتمدة وعدم تجاوزها أو الالتفاف عليها، وأن شفافية المعلومات المحاسبية التي تُحققها الحوكمة تنعكس إيجاباً على شفافية الإجراءات لأنها تُخضع كل قرار إداري لمعايير قابلة للتدقيق والمراجعة</w:t>
      </w:r>
      <w:r>
        <w:rPr>
          <w:rFonts w:ascii="Traditional Arabic" w:eastAsia="Times New Roman" w:hAnsi="Traditional Arabic" w:cs="Traditional Arabic" w:hint="cs"/>
          <w:sz w:val="32"/>
          <w:szCs w:val="32"/>
          <w:rtl/>
        </w:rPr>
        <w:t xml:space="preserve">  ،و</w:t>
      </w:r>
      <w:r w:rsidRPr="00506B64">
        <w:rPr>
          <w:rFonts w:ascii="Traditional Arabic" w:eastAsia="Times New Roman" w:hAnsi="Traditional Arabic" w:cs="Traditional Arabic" w:hint="cs"/>
          <w:sz w:val="32"/>
          <w:szCs w:val="32"/>
          <w:rtl/>
        </w:rPr>
        <w:t xml:space="preserve">أكدت أن فاعلية القرارات الاستراتيجية ترتبط ارتباطاً وثيقاً بتجنّب مزالق التخطيط الاستراتيجي التي ينشأ كثير منها من غموض الإجراءات وعدم وضوح مسارات اتخاذ القرار، فحين تكون الإجراءات شفافة ومُوثّقة يسهل تحديد مواطن الخلل والتأخير واتخاذ إجراءات تصحيحية قبل أن تتراكم المشكلات وتتحوّل إلى أزمات. وفي السياق التطبيقي الخليجي، تتجلى ممارسات شفافية الإجراءات في مبادرات متعددة كبرنامج "مصانع المستقبل" السعودي الذي يتضمن مساراً واضحاً ومُعلناً لتحويل المصانع من النمط التقليدي إلى النمط الآلي المتقدم، ومنصة "استثمر بسهولة" العمانية التي </w:t>
      </w:r>
      <w:proofErr w:type="spellStart"/>
      <w:r w:rsidRPr="00506B64">
        <w:rPr>
          <w:rFonts w:ascii="Traditional Arabic" w:eastAsia="Times New Roman" w:hAnsi="Traditional Arabic" w:cs="Traditional Arabic" w:hint="cs"/>
          <w:sz w:val="32"/>
          <w:szCs w:val="32"/>
          <w:rtl/>
        </w:rPr>
        <w:t>رقمنت</w:t>
      </w:r>
      <w:proofErr w:type="spellEnd"/>
      <w:r w:rsidRPr="00506B64">
        <w:rPr>
          <w:rFonts w:ascii="Traditional Arabic" w:eastAsia="Times New Roman" w:hAnsi="Traditional Arabic" w:cs="Traditional Arabic" w:hint="cs"/>
          <w:sz w:val="32"/>
          <w:szCs w:val="32"/>
          <w:rtl/>
        </w:rPr>
        <w:t xml:space="preserve"> أكثر من ثلاثة أرباع خدماتها مع إتاحة تتبّع إلكتروني لكل معاملة، ومبادرة</w:t>
      </w:r>
      <w:r w:rsidRPr="00506B64">
        <w:rPr>
          <w:rFonts w:ascii="Traditional Arabic" w:eastAsia="Times New Roman" w:hAnsi="Traditional Arabic" w:cs="Traditional Arabic" w:hint="cs"/>
          <w:sz w:val="32"/>
          <w:szCs w:val="32"/>
        </w:rPr>
        <w:t xml:space="preserve"> "</w:t>
      </w:r>
      <w:proofErr w:type="spellStart"/>
      <w:r w:rsidRPr="00506B64">
        <w:rPr>
          <w:rFonts w:ascii="Traditional Arabic" w:eastAsia="Times New Roman" w:hAnsi="Traditional Arabic" w:cs="Traditional Arabic" w:hint="cs"/>
          <w:sz w:val="32"/>
          <w:szCs w:val="32"/>
        </w:rPr>
        <w:t>iFactories</w:t>
      </w:r>
      <w:proofErr w:type="spellEnd"/>
      <w:r w:rsidRPr="00506B64">
        <w:rPr>
          <w:rFonts w:ascii="Traditional Arabic" w:eastAsia="Times New Roman" w:hAnsi="Traditional Arabic" w:cs="Traditional Arabic" w:hint="cs"/>
          <w:sz w:val="32"/>
          <w:szCs w:val="32"/>
        </w:rPr>
        <w:t xml:space="preserve">" </w:t>
      </w:r>
      <w:r w:rsidRPr="00506B64">
        <w:rPr>
          <w:rFonts w:ascii="Traditional Arabic" w:eastAsia="Times New Roman" w:hAnsi="Traditional Arabic" w:cs="Traditional Arabic" w:hint="cs"/>
          <w:sz w:val="32"/>
          <w:szCs w:val="32"/>
          <w:rtl/>
        </w:rPr>
        <w:t>البحرينية التي حددت مساراً شفافاً لتحويل ثلاثمائة مصنع إلى مصانع ذكية مع معايير أهلية واضحة ونسب تمويل مُعلنة (موسي، 2021؛ جلاب وداخل، 2021)</w:t>
      </w:r>
      <w:r w:rsidRPr="00506B64">
        <w:rPr>
          <w:rFonts w:ascii="Traditional Arabic" w:eastAsia="Times New Roman" w:hAnsi="Traditional Arabic" w:cs="Traditional Arabic" w:hint="cs"/>
          <w:sz w:val="32"/>
          <w:szCs w:val="32"/>
        </w:rPr>
        <w:t>.</w:t>
      </w:r>
    </w:p>
    <w:p w14:paraId="19F107FC" w14:textId="77777777" w:rsidR="00506B64" w:rsidRPr="00506B64" w:rsidRDefault="00506B64" w:rsidP="00506B64">
      <w:pPr>
        <w:bidi/>
        <w:spacing w:before="100" w:beforeAutospacing="1" w:after="100" w:afterAutospacing="1" w:line="276" w:lineRule="auto"/>
        <w:jc w:val="both"/>
        <w:outlineLvl w:val="1"/>
        <w:rPr>
          <w:rFonts w:ascii="Traditional Arabic" w:eastAsia="Times New Roman" w:hAnsi="Traditional Arabic" w:cs="Traditional Arabic"/>
          <w:b/>
          <w:bCs/>
          <w:sz w:val="32"/>
          <w:szCs w:val="32"/>
        </w:rPr>
      </w:pPr>
      <w:r w:rsidRPr="00506B64">
        <w:rPr>
          <w:rFonts w:ascii="Traditional Arabic" w:eastAsia="Times New Roman" w:hAnsi="Traditional Arabic" w:cs="Traditional Arabic" w:hint="cs"/>
          <w:b/>
          <w:bCs/>
          <w:sz w:val="32"/>
          <w:szCs w:val="32"/>
          <w:rtl/>
        </w:rPr>
        <w:t>البُعد الثالث: شفافية الاتصال والمعلومات</w:t>
      </w:r>
    </w:p>
    <w:p w14:paraId="4ECC0086" w14:textId="1A4472B0" w:rsidR="00506B64" w:rsidRPr="00506B64" w:rsidRDefault="00506B64" w:rsidP="00506B64">
      <w:pPr>
        <w:bidi/>
        <w:spacing w:before="100" w:beforeAutospacing="1" w:after="100" w:afterAutospacing="1" w:line="276" w:lineRule="auto"/>
        <w:jc w:val="both"/>
        <w:rPr>
          <w:rFonts w:ascii="Traditional Arabic" w:eastAsia="Times New Roman" w:hAnsi="Traditional Arabic" w:cs="Traditional Arabic"/>
          <w:sz w:val="32"/>
          <w:szCs w:val="32"/>
          <w:rtl/>
        </w:rPr>
      </w:pPr>
      <w:r w:rsidRPr="00506B64">
        <w:rPr>
          <w:rFonts w:ascii="Traditional Arabic" w:eastAsia="Times New Roman" w:hAnsi="Traditional Arabic" w:cs="Traditional Arabic" w:hint="cs"/>
          <w:sz w:val="32"/>
          <w:szCs w:val="32"/>
          <w:rtl/>
        </w:rPr>
        <w:t xml:space="preserve">يُركّز بُعد شفافية الاتصال والمعلومات على جودة القنوات المؤسسية التي تستخدمها وزارات الصناعة للتواصل مع أصحاب المصلحة، ومدى قدرة هذه القنوات على إيصال المعلومات بدقة ووضوح وفي التوقيت المناسب، </w:t>
      </w:r>
      <w:r w:rsidRPr="00506B64">
        <w:rPr>
          <w:rFonts w:ascii="Traditional Arabic" w:eastAsia="Times New Roman" w:hAnsi="Traditional Arabic" w:cs="Traditional Arabic" w:hint="cs"/>
          <w:sz w:val="32"/>
          <w:szCs w:val="32"/>
          <w:rtl/>
        </w:rPr>
        <w:lastRenderedPageBreak/>
        <w:t xml:space="preserve">بما يُمكّن المتلقي من فهمها واستخدامها في اتخاذ قراراته. ويتجاوز هذا البُعد مجرد امتلاك الوزارة لموقع إلكتروني أو حسابات على منصات التواصل الاجتماعي، ليشمل تقييماً شاملاً لفعالية هذه القنوات في تحقيق تفاعل حقيقي ثنائي الاتجاه مع المتعاملين يسمح لهم بطرح استفساراتهم والحصول على إجابات دقيقة في مدد زمنية معقولة. (عبدالعال </w:t>
      </w:r>
      <w:r>
        <w:rPr>
          <w:rFonts w:ascii="Traditional Arabic" w:eastAsia="Times New Roman" w:hAnsi="Traditional Arabic" w:cs="Traditional Arabic" w:hint="cs"/>
          <w:sz w:val="32"/>
          <w:szCs w:val="32"/>
          <w:rtl/>
        </w:rPr>
        <w:t>واخرون،</w:t>
      </w:r>
      <w:r w:rsidR="00140115" w:rsidRPr="00506B64">
        <w:rPr>
          <w:rFonts w:ascii="Traditional Arabic" w:eastAsia="Times New Roman" w:hAnsi="Traditional Arabic" w:cs="Traditional Arabic"/>
          <w:sz w:val="32"/>
          <w:szCs w:val="32"/>
        </w:rPr>
        <w:t>2024</w:t>
      </w:r>
      <w:r w:rsidR="00140115">
        <w:rPr>
          <w:rFonts w:ascii="Traditional Arabic" w:eastAsia="Times New Roman" w:hAnsi="Traditional Arabic" w:cs="Traditional Arabic" w:hint="cs"/>
          <w:sz w:val="32"/>
          <w:szCs w:val="32"/>
          <w:rtl/>
        </w:rPr>
        <w:t>)</w:t>
      </w:r>
    </w:p>
    <w:p w14:paraId="033CF471" w14:textId="3864A50F" w:rsidR="00506B64" w:rsidRPr="00506B64" w:rsidRDefault="00506B64" w:rsidP="00506B64">
      <w:pPr>
        <w:bidi/>
        <w:spacing w:before="100" w:beforeAutospacing="1" w:after="100" w:afterAutospacing="1" w:line="276" w:lineRule="auto"/>
        <w:jc w:val="both"/>
        <w:rPr>
          <w:rFonts w:ascii="Traditional Arabic" w:eastAsia="Times New Roman" w:hAnsi="Traditional Arabic" w:cs="Traditional Arabic"/>
          <w:sz w:val="32"/>
          <w:szCs w:val="32"/>
        </w:rPr>
      </w:pPr>
      <w:r w:rsidRPr="00506B64">
        <w:rPr>
          <w:rFonts w:ascii="Traditional Arabic" w:eastAsia="Times New Roman" w:hAnsi="Traditional Arabic" w:cs="Traditional Arabic" w:hint="cs"/>
          <w:sz w:val="32"/>
          <w:szCs w:val="32"/>
          <w:rtl/>
        </w:rPr>
        <w:t xml:space="preserve">ويتضمن هذا البُعد مجموعة من العناصر الفرعية المترابطة من خلال تحليلهم لشفافية نظم المعلومات والاتصالات، وتشمل: تنوّع القنوات الرقمية بين بوابات إلكترونية وتطبيقات هاتفية ومنصات تفاعلية ومراكز اتصال ذكية بحيث يجد كل فئة من المتعاملين القناة التي تُناسب احتياجاته وإمكاناته التقنية، وتفصيل المحتوى المعلوماتي وفقاً لطبيعة الجمهور المستهدف فالمستثمر الصناعي يحتاج إلى بيانات إحصائية ومؤشرات أداء وتحليلات سوقية بينما يحتاج المواطن العادي إلى معلومات مبسّطة عن الخدمات المتاحة وشروطها وخطوات الحصول عليها، وانتظام تحديث المحتوى المنشور لضمان مواكبته للمستجدات التشريعية والإدارية، ودرجة التفاعلية أي سرعة استجابة الوزارة لاستفسارات المتعاملين وملاحظاتهم، وسهولة الاستخدام بما يشمل التصميم البصري للمنصات ودعم اللغات المتعددة وإمكانية الوصول لذوي الاحتياجات الخاصة وكبار السن </w:t>
      </w:r>
      <w:r>
        <w:rPr>
          <w:rFonts w:ascii="Traditional Arabic" w:eastAsia="Times New Roman" w:hAnsi="Traditional Arabic" w:cs="Traditional Arabic" w:hint="cs"/>
          <w:sz w:val="32"/>
          <w:szCs w:val="32"/>
          <w:rtl/>
        </w:rPr>
        <w:t>(</w:t>
      </w:r>
      <w:r w:rsidRPr="00506B64">
        <w:rPr>
          <w:rFonts w:ascii="Traditional Arabic" w:eastAsia="Times New Roman" w:hAnsi="Traditional Arabic" w:cs="Traditional Arabic" w:hint="cs"/>
          <w:sz w:val="32"/>
          <w:szCs w:val="32"/>
          <w:rtl/>
        </w:rPr>
        <w:t xml:space="preserve">الحمدان </w:t>
      </w:r>
      <w:r>
        <w:rPr>
          <w:rFonts w:ascii="Traditional Arabic" w:eastAsia="Times New Roman" w:hAnsi="Traditional Arabic" w:cs="Traditional Arabic" w:hint="cs"/>
          <w:sz w:val="32"/>
          <w:szCs w:val="32"/>
          <w:rtl/>
        </w:rPr>
        <w:t>واخرون</w:t>
      </w:r>
      <w:r w:rsidRPr="00506B64">
        <w:rPr>
          <w:rFonts w:ascii="Traditional Arabic" w:eastAsia="Times New Roman" w:hAnsi="Traditional Arabic" w:cs="Traditional Arabic" w:hint="cs"/>
          <w:sz w:val="32"/>
          <w:szCs w:val="32"/>
          <w:rtl/>
        </w:rPr>
        <w:t>، 2020</w:t>
      </w:r>
      <w:r>
        <w:rPr>
          <w:rFonts w:ascii="Traditional Arabic" w:eastAsia="Times New Roman" w:hAnsi="Traditional Arabic" w:cs="Traditional Arabic" w:hint="cs"/>
          <w:sz w:val="32"/>
          <w:szCs w:val="32"/>
          <w:rtl/>
        </w:rPr>
        <w:t>)</w:t>
      </w:r>
    </w:p>
    <w:p w14:paraId="547A4BC5" w14:textId="7B834A06" w:rsidR="00506B64" w:rsidRPr="00506B64" w:rsidRDefault="00506B64" w:rsidP="00506B64">
      <w:pPr>
        <w:bidi/>
        <w:spacing w:before="100" w:beforeAutospacing="1" w:after="100" w:afterAutospacing="1" w:line="276" w:lineRule="auto"/>
        <w:jc w:val="both"/>
        <w:rPr>
          <w:rFonts w:ascii="Traditional Arabic" w:eastAsia="Times New Roman" w:hAnsi="Traditional Arabic" w:cs="Traditional Arabic"/>
          <w:sz w:val="32"/>
          <w:szCs w:val="32"/>
        </w:rPr>
      </w:pPr>
      <w:r w:rsidRPr="00506B64">
        <w:rPr>
          <w:rFonts w:ascii="Traditional Arabic" w:eastAsia="Times New Roman" w:hAnsi="Traditional Arabic" w:cs="Traditional Arabic" w:hint="cs"/>
          <w:sz w:val="32"/>
          <w:szCs w:val="32"/>
          <w:rtl/>
        </w:rPr>
        <w:t>وتُؤكد دراسة</w:t>
      </w:r>
      <w:r w:rsidRPr="00506B64">
        <w:rPr>
          <w:rFonts w:ascii="Traditional Arabic" w:eastAsia="Times New Roman" w:hAnsi="Traditional Arabic" w:cs="Traditional Arabic" w:hint="cs"/>
          <w:sz w:val="32"/>
          <w:szCs w:val="32"/>
        </w:rPr>
        <w:t xml:space="preserve"> Xu and Mustafaraj (2024) </w:t>
      </w:r>
      <w:r w:rsidRPr="00506B64">
        <w:rPr>
          <w:rFonts w:ascii="Traditional Arabic" w:eastAsia="Times New Roman" w:hAnsi="Traditional Arabic" w:cs="Traditional Arabic" w:hint="cs"/>
          <w:sz w:val="32"/>
          <w:szCs w:val="32"/>
          <w:rtl/>
        </w:rPr>
        <w:t xml:space="preserve">أن تطور شفافية المعلومات في المنظمات الرقمية يسير في مسار تصاعدي يمرّ بعدة مراحل: تبدأ بالإفصاح الأساسي عن البيانات الخام، ثم تنتقل إلى تنظيم هذه البيانات في صيغ قابلة للقراءة والمقارنة، ثم ترتقي إلى تقديم تفسيرات وسياقات تُمكّن المتلقي من فهم دلالات البيانات واستخدامها في صنع قراراته، وتنتهي بمرحلة التفاعل الذكي حيث تستبق المنظمة احتياجات المتعامل المعلوماتية وتُقدّم له ما يحتاجه قبل أن يطلبه. وهذا المسار التطوري ينطبق تماماً على وزارات الصناعة الخليجية التي تتفاوت في موقعها على هذا السلّم، فبعضها لا يزال في مرحلة النشر الإلكتروني الأحادي الاتجاه، بينما بدأت وزارات أخرى تتقدم نحو مراحل أكثر تطوراً كمنصة "سهل" الكويتية التي تقدم "رحلات رقمية ذكية" تستبق احتياجات المواطن وتدمج خدمات متعددة في تجربة واحدة سلسة، ومنصة البيانات المفتوحة القطرية التي تُتيح بيانات الحوكمة والشفافية للجمهور بصيغ قابلة لإعادة </w:t>
      </w:r>
      <w:r w:rsidR="00140115" w:rsidRPr="00506B64">
        <w:rPr>
          <w:rFonts w:ascii="Traditional Arabic" w:eastAsia="Times New Roman" w:hAnsi="Traditional Arabic" w:cs="Traditional Arabic" w:hint="cs"/>
          <w:sz w:val="32"/>
          <w:szCs w:val="32"/>
          <w:rtl/>
        </w:rPr>
        <w:t>الاستخدام</w:t>
      </w:r>
      <w:r w:rsidR="00140115" w:rsidRPr="00506B64">
        <w:rPr>
          <w:rFonts w:ascii="Traditional Arabic" w:eastAsia="Times New Roman" w:hAnsi="Traditional Arabic" w:cs="Traditional Arabic"/>
          <w:sz w:val="32"/>
          <w:szCs w:val="32"/>
        </w:rPr>
        <w:t>.</w:t>
      </w:r>
    </w:p>
    <w:p w14:paraId="00455957" w14:textId="77777777" w:rsidR="00140115" w:rsidRDefault="00506B64" w:rsidP="00140115">
      <w:pPr>
        <w:bidi/>
        <w:spacing w:before="100" w:beforeAutospacing="1" w:after="100" w:afterAutospacing="1" w:line="276" w:lineRule="auto"/>
        <w:jc w:val="both"/>
        <w:rPr>
          <w:rFonts w:ascii="Traditional Arabic" w:eastAsia="Times New Roman" w:hAnsi="Traditional Arabic" w:cs="Traditional Arabic"/>
          <w:sz w:val="32"/>
          <w:szCs w:val="32"/>
        </w:rPr>
      </w:pPr>
      <w:r w:rsidRPr="00506B64">
        <w:rPr>
          <w:rFonts w:ascii="Traditional Arabic" w:eastAsia="Times New Roman" w:hAnsi="Traditional Arabic" w:cs="Traditional Arabic" w:hint="cs"/>
          <w:sz w:val="32"/>
          <w:szCs w:val="32"/>
          <w:rtl/>
        </w:rPr>
        <w:t>ويُعزز هذا الفهم ما أشار إليه تقرير</w:t>
      </w:r>
      <w:r w:rsidRPr="00506B64">
        <w:rPr>
          <w:rFonts w:ascii="Traditional Arabic" w:eastAsia="Times New Roman" w:hAnsi="Traditional Arabic" w:cs="Traditional Arabic" w:hint="cs"/>
          <w:sz w:val="32"/>
          <w:szCs w:val="32"/>
        </w:rPr>
        <w:t xml:space="preserve"> Boston Consulting Group (2024) </w:t>
      </w:r>
      <w:r w:rsidRPr="00506B64">
        <w:rPr>
          <w:rFonts w:ascii="Traditional Arabic" w:eastAsia="Times New Roman" w:hAnsi="Traditional Arabic" w:cs="Traditional Arabic" w:hint="cs"/>
          <w:sz w:val="32"/>
          <w:szCs w:val="32"/>
          <w:rtl/>
        </w:rPr>
        <w:t xml:space="preserve">من أن خدمات المواطنين من الجيل القادم في دول مجلس التعاون الخليجي تتطلب تحولاً في نموذج الاتصال الحكومي من </w:t>
      </w:r>
      <w:r w:rsidRPr="00506B64">
        <w:rPr>
          <w:rFonts w:ascii="Traditional Arabic" w:eastAsia="Times New Roman" w:hAnsi="Traditional Arabic" w:cs="Traditional Arabic" w:hint="cs"/>
          <w:sz w:val="32"/>
          <w:szCs w:val="32"/>
          <w:rtl/>
        </w:rPr>
        <w:lastRenderedPageBreak/>
        <w:t>النمط التقليدي القائم على ردود الفعل إلى نمط استباقي يعتمد على تحليل البيانات والذكاء الاصطناعي لتقديم خدمات مخصصة، وهو ما يرفع سقف التوقعات بشأن شفافية الاتصال والمعلومات ويجعلها ليست مجرد التزام أخلاقي أو قانوني بل ميزة تنافسية تُحدد مدى جاذبية البيئة الصناعية للمستثمرين. ويرى الباحث أن هذا البُعد يُمثّل الواجهة المرئية للشفافية المعلوماتية التي يتعامل معها أصحاب المصلحة بشكل يومي ومباشر، وهو بذلك الأكثر تأثيراً في تشكيل انطباعاتهم عن مستوى الشفافية الكلي في الوزارة، كما أنه الأكثر تأثراً بمستوى التحول الرقمي لأنه يعتمد بشكل مباشر على جاهزية البنية التحتية الرقمية والقدرات التقنية والبشرية المتاحة</w:t>
      </w:r>
      <w:r w:rsidRPr="00506B64">
        <w:rPr>
          <w:rFonts w:ascii="Traditional Arabic" w:eastAsia="Times New Roman" w:hAnsi="Traditional Arabic" w:cs="Traditional Arabic" w:hint="cs"/>
          <w:sz w:val="32"/>
          <w:szCs w:val="32"/>
        </w:rPr>
        <w:t xml:space="preserve"> (BCG, 2024).</w:t>
      </w:r>
    </w:p>
    <w:p w14:paraId="785EE78E" w14:textId="099DA811" w:rsidR="001E76CD" w:rsidRPr="00140115" w:rsidRDefault="00140115" w:rsidP="00140115">
      <w:pPr>
        <w:bidi/>
        <w:spacing w:before="100" w:beforeAutospacing="1" w:after="100" w:afterAutospacing="1" w:line="276" w:lineRule="auto"/>
        <w:jc w:val="both"/>
        <w:rPr>
          <w:rFonts w:ascii="Traditional Arabic" w:eastAsia="Times New Roman" w:hAnsi="Traditional Arabic" w:cs="Traditional Arabic"/>
          <w:sz w:val="32"/>
          <w:szCs w:val="32"/>
        </w:rPr>
      </w:pPr>
      <w:r>
        <w:rPr>
          <w:rFonts w:ascii="Traditional Arabic" w:hAnsi="Traditional Arabic" w:cs="Traditional Arabic"/>
          <w:color w:val="000000" w:themeColor="text1"/>
          <w:sz w:val="32"/>
          <w:szCs w:val="32"/>
        </w:rPr>
        <w:t xml:space="preserve"> </w:t>
      </w:r>
      <w:r w:rsidR="001E76CD">
        <w:rPr>
          <w:rFonts w:ascii="Traditional Arabic" w:hAnsi="Traditional Arabic" w:cs="Traditional Arabic"/>
          <w:color w:val="000000" w:themeColor="text1"/>
          <w:sz w:val="32"/>
          <w:szCs w:val="32"/>
        </w:rPr>
        <w:br w:type="page"/>
      </w:r>
    </w:p>
    <w:p w14:paraId="6D6407BD" w14:textId="77777777" w:rsidR="001E76CD" w:rsidRPr="00EF5312" w:rsidRDefault="001E76CD" w:rsidP="001E76CD">
      <w:pPr>
        <w:bidi/>
        <w:spacing w:after="200" w:line="276" w:lineRule="auto"/>
        <w:jc w:val="both"/>
        <w:rPr>
          <w:rFonts w:ascii="Traditional Arabic" w:hAnsi="Traditional Arabic" w:cs="Traditional Arabic"/>
          <w:b/>
          <w:bCs/>
          <w:color w:val="EE0000"/>
          <w:sz w:val="32"/>
          <w:szCs w:val="32"/>
        </w:rPr>
      </w:pPr>
      <w:r w:rsidRPr="00EF5312">
        <w:rPr>
          <w:rFonts w:ascii="Traditional Arabic" w:hAnsi="Traditional Arabic" w:cs="Traditional Arabic"/>
          <w:b/>
          <w:bCs/>
          <w:color w:val="EE0000"/>
          <w:sz w:val="32"/>
          <w:szCs w:val="32"/>
          <w:rtl/>
        </w:rPr>
        <w:lastRenderedPageBreak/>
        <w:t>المبحث الثالث: فاعلية اتخاذ القرار الاستراتيجي في وزارات الصناعة بدول مجلس التعاون الخليجي</w:t>
      </w:r>
    </w:p>
    <w:p w14:paraId="3189C31D" w14:textId="77777777" w:rsidR="001E76CD" w:rsidRPr="001E76CD" w:rsidRDefault="001E76CD" w:rsidP="001E76CD">
      <w:pPr>
        <w:bidi/>
        <w:spacing w:after="200" w:line="276" w:lineRule="auto"/>
        <w:jc w:val="both"/>
        <w:rPr>
          <w:rFonts w:ascii="Traditional Arabic" w:hAnsi="Traditional Arabic" w:cs="Traditional Arabic"/>
          <w:b/>
          <w:bCs/>
          <w:color w:val="000000" w:themeColor="text1"/>
          <w:sz w:val="32"/>
          <w:szCs w:val="32"/>
        </w:rPr>
      </w:pPr>
      <w:r w:rsidRPr="001E76CD">
        <w:rPr>
          <w:rFonts w:ascii="Traditional Arabic" w:hAnsi="Traditional Arabic" w:cs="Traditional Arabic"/>
          <w:b/>
          <w:bCs/>
          <w:color w:val="000000" w:themeColor="text1"/>
          <w:sz w:val="32"/>
          <w:szCs w:val="32"/>
          <w:rtl/>
        </w:rPr>
        <w:t>أولاً: مفهوم فاعلية اتخاذ القرار الاستراتيجي</w:t>
      </w:r>
    </w:p>
    <w:p w14:paraId="0D0F0748" w14:textId="71500AFB" w:rsidR="001E76CD" w:rsidRPr="001E76CD" w:rsidRDefault="001E76CD" w:rsidP="001E76CD">
      <w:pPr>
        <w:bidi/>
        <w:spacing w:after="200" w:line="276" w:lineRule="auto"/>
        <w:jc w:val="both"/>
        <w:rPr>
          <w:rFonts w:ascii="Traditional Arabic" w:hAnsi="Traditional Arabic" w:cs="Traditional Arabic"/>
          <w:color w:val="000000" w:themeColor="text1"/>
          <w:sz w:val="32"/>
          <w:szCs w:val="32"/>
        </w:rPr>
      </w:pPr>
      <w:r w:rsidRPr="001E76CD">
        <w:rPr>
          <w:rFonts w:ascii="Traditional Arabic" w:hAnsi="Traditional Arabic" w:cs="Traditional Arabic"/>
          <w:color w:val="000000" w:themeColor="text1"/>
          <w:sz w:val="32"/>
          <w:szCs w:val="32"/>
          <w:rtl/>
        </w:rPr>
        <w:t>تُعدّ عملية اتخاذ القرار الاستراتيجي من أكثر العمليات الإدارية تعقيداً وأهمية في المنظمات الحكومية المعاصرة، إذ تتعلق بالاختيارات الجوهرية التي تُحدّد التوجهات طويلة الأمد للمنظمة وتُشكّل مستقبلها في بيئة تتسم بالتغير المتسارع وعدم اليقين</w:t>
      </w:r>
      <w:r>
        <w:rPr>
          <w:rFonts w:ascii="Traditional Arabic" w:hAnsi="Traditional Arabic" w:cs="Traditional Arabic" w:hint="cs"/>
          <w:color w:val="000000" w:themeColor="text1"/>
          <w:sz w:val="32"/>
          <w:szCs w:val="32"/>
          <w:rtl/>
        </w:rPr>
        <w:t>،</w:t>
      </w:r>
      <w:r w:rsidRPr="001E76CD">
        <w:rPr>
          <w:rFonts w:ascii="Traditional Arabic" w:hAnsi="Traditional Arabic" w:cs="Traditional Arabic"/>
          <w:color w:val="000000" w:themeColor="text1"/>
          <w:sz w:val="32"/>
          <w:szCs w:val="32"/>
          <w:rtl/>
        </w:rPr>
        <w:t xml:space="preserve"> وقد شهد مفهوم فاعلية اتخاذ القرار الاستراتيجي تطوراً ملحوظاً في الأدبيات الإدارية، انتقل من التركيز على النتيجة النهائية للقرار فحسب إلى النظر في العملية الكلية التي يتم من خلالها التعرف على المشكلة وتحليل البدائل واختيار الحل الأمثل وتنفيذه ومتابعة آثاره، مما يعني أن الفاعلية لا تُقاس فقط بصحة القرار المُتخذ بل بمدى جودة العملية ذاتها وقدرتها على استيعاب المعلومات المتاحة وتوظيفها في الوقت المناسب (الحمداني </w:t>
      </w:r>
      <w:r>
        <w:rPr>
          <w:rFonts w:ascii="Traditional Arabic" w:hAnsi="Traditional Arabic" w:cs="Traditional Arabic" w:hint="cs"/>
          <w:color w:val="000000" w:themeColor="text1"/>
          <w:sz w:val="32"/>
          <w:szCs w:val="32"/>
          <w:rtl/>
        </w:rPr>
        <w:t>واخرون</w:t>
      </w:r>
      <w:r w:rsidRPr="001E76CD">
        <w:rPr>
          <w:rFonts w:ascii="Traditional Arabic" w:hAnsi="Traditional Arabic" w:cs="Traditional Arabic"/>
          <w:color w:val="000000" w:themeColor="text1"/>
          <w:sz w:val="32"/>
          <w:szCs w:val="32"/>
          <w:rtl/>
        </w:rPr>
        <w:t xml:space="preserve">، </w:t>
      </w:r>
      <w:r w:rsidRPr="001E76CD">
        <w:rPr>
          <w:rFonts w:ascii="Traditional Arabic" w:hAnsi="Traditional Arabic" w:cs="Traditional Arabic"/>
          <w:color w:val="000000" w:themeColor="text1"/>
          <w:sz w:val="32"/>
          <w:szCs w:val="32"/>
        </w:rPr>
        <w:t>2023</w:t>
      </w:r>
      <w:r>
        <w:rPr>
          <w:rFonts w:ascii="Traditional Arabic" w:hAnsi="Traditional Arabic" w:cs="Traditional Arabic" w:hint="cs"/>
          <w:color w:val="000000" w:themeColor="text1"/>
          <w:sz w:val="32"/>
          <w:szCs w:val="32"/>
          <w:rtl/>
        </w:rPr>
        <w:t>)</w:t>
      </w:r>
    </w:p>
    <w:p w14:paraId="1496FD2C" w14:textId="09BCB807" w:rsidR="001E76CD" w:rsidRPr="001E76CD" w:rsidRDefault="001E76CD" w:rsidP="001E76CD">
      <w:pPr>
        <w:bidi/>
        <w:spacing w:after="200" w:line="276" w:lineRule="auto"/>
        <w:jc w:val="both"/>
        <w:rPr>
          <w:rFonts w:ascii="Traditional Arabic" w:hAnsi="Traditional Arabic" w:cs="Traditional Arabic"/>
          <w:color w:val="000000" w:themeColor="text1"/>
          <w:sz w:val="32"/>
          <w:szCs w:val="32"/>
        </w:rPr>
      </w:pPr>
      <w:r w:rsidRPr="001E76CD">
        <w:rPr>
          <w:rFonts w:ascii="Traditional Arabic" w:hAnsi="Traditional Arabic" w:cs="Traditional Arabic"/>
          <w:color w:val="000000" w:themeColor="text1"/>
          <w:sz w:val="32"/>
          <w:szCs w:val="32"/>
          <w:rtl/>
        </w:rPr>
        <w:t xml:space="preserve">ويُعرّف الحمداني </w:t>
      </w:r>
      <w:r w:rsidR="00140115" w:rsidRPr="001E76CD">
        <w:rPr>
          <w:rFonts w:ascii="Traditional Arabic" w:hAnsi="Traditional Arabic" w:cs="Traditional Arabic" w:hint="cs"/>
          <w:color w:val="000000" w:themeColor="text1"/>
          <w:sz w:val="32"/>
          <w:szCs w:val="32"/>
          <w:rtl/>
        </w:rPr>
        <w:t>وا</w:t>
      </w:r>
      <w:r w:rsidR="00140115">
        <w:rPr>
          <w:rFonts w:ascii="Traditional Arabic" w:hAnsi="Traditional Arabic" w:cs="Traditional Arabic" w:hint="cs"/>
          <w:color w:val="000000" w:themeColor="text1"/>
          <w:sz w:val="32"/>
          <w:szCs w:val="32"/>
          <w:rtl/>
        </w:rPr>
        <w:t xml:space="preserve">خرون </w:t>
      </w:r>
      <w:r w:rsidR="00140115" w:rsidRPr="001E76CD">
        <w:rPr>
          <w:rFonts w:ascii="Traditional Arabic" w:hAnsi="Traditional Arabic" w:cs="Traditional Arabic"/>
          <w:color w:val="000000" w:themeColor="text1"/>
          <w:sz w:val="32"/>
          <w:szCs w:val="32"/>
        </w:rPr>
        <w:t>(</w:t>
      </w:r>
      <w:r w:rsidRPr="001E76CD">
        <w:rPr>
          <w:rFonts w:ascii="Traditional Arabic" w:hAnsi="Traditional Arabic" w:cs="Traditional Arabic"/>
          <w:color w:val="000000" w:themeColor="text1"/>
          <w:sz w:val="32"/>
          <w:szCs w:val="32"/>
        </w:rPr>
        <w:t xml:space="preserve">2023) </w:t>
      </w:r>
      <w:r w:rsidRPr="001E76CD">
        <w:rPr>
          <w:rFonts w:ascii="Traditional Arabic" w:hAnsi="Traditional Arabic" w:cs="Traditional Arabic"/>
          <w:color w:val="000000" w:themeColor="text1"/>
          <w:sz w:val="32"/>
          <w:szCs w:val="32"/>
          <w:rtl/>
        </w:rPr>
        <w:t xml:space="preserve">فاعلية القرارات الاستراتيجية بأنها قدرة المنظمة على اتخاذ قرارات تتسم بالجودة والدقة والتوقيت المناسب، بحيث تُحقق الأهداف الاستراتيجية المحددة وتُسهم في تعزيز الأداء المؤسسي الشامل، مع الأخذ في الاعتبار مدى قبول هذه القرارات من قبل الأطراف المعنية بتنفيذها واستمرارية أثرها الإيجابي عبر الزمن. </w:t>
      </w:r>
    </w:p>
    <w:p w14:paraId="7F7B344F" w14:textId="54401348" w:rsidR="001E76CD" w:rsidRPr="001E76CD" w:rsidRDefault="001E76CD" w:rsidP="001E76CD">
      <w:pPr>
        <w:bidi/>
        <w:spacing w:after="200" w:line="276" w:lineRule="auto"/>
        <w:jc w:val="both"/>
        <w:rPr>
          <w:rFonts w:ascii="Traditional Arabic" w:hAnsi="Traditional Arabic" w:cs="Traditional Arabic"/>
          <w:color w:val="000000" w:themeColor="text1"/>
          <w:sz w:val="32"/>
          <w:szCs w:val="32"/>
        </w:rPr>
      </w:pPr>
      <w:r w:rsidRPr="001E76CD">
        <w:rPr>
          <w:rFonts w:ascii="Traditional Arabic" w:hAnsi="Traditional Arabic" w:cs="Traditional Arabic"/>
          <w:color w:val="000000" w:themeColor="text1"/>
          <w:sz w:val="32"/>
          <w:szCs w:val="32"/>
          <w:rtl/>
        </w:rPr>
        <w:t xml:space="preserve">ويُضيف إسماعيل والراشد (2022) بُعداً مهماً حين يربطان بين التوجهات الاستراتيجية لدى القيادات الإدارية وفاعلية اتخاذ القرار، موضحين أن القرار الاستراتيجي الفعّال ليس مجرد استجابة آلية لمعطيات البيئة بل هو انعكاس لرؤية استراتيجية واضحة ومنهجية تحليلية منضبطة تُمكّن صانع القرار من الموازنة بين المتطلبات الآنية والأهداف المستقبلية، وأن المنظمات التي يمتلك مديروها توجهات استراتيجية واضحة تُحقق مستويات أعلى من فاعلية القرار مقارنة بتلك التي تعتمد على ردود الفعل العشوائية. </w:t>
      </w:r>
    </w:p>
    <w:p w14:paraId="3492A4CC" w14:textId="39308800" w:rsidR="001E76CD" w:rsidRPr="001E76CD" w:rsidRDefault="001E76CD" w:rsidP="001E76CD">
      <w:pPr>
        <w:bidi/>
        <w:spacing w:after="200" w:line="276" w:lineRule="auto"/>
        <w:jc w:val="both"/>
        <w:rPr>
          <w:rFonts w:ascii="Traditional Arabic" w:hAnsi="Traditional Arabic" w:cs="Traditional Arabic"/>
          <w:color w:val="000000" w:themeColor="text1"/>
          <w:sz w:val="32"/>
          <w:szCs w:val="32"/>
        </w:rPr>
      </w:pPr>
      <w:r w:rsidRPr="001E76CD">
        <w:rPr>
          <w:rFonts w:ascii="Traditional Arabic" w:hAnsi="Traditional Arabic" w:cs="Traditional Arabic"/>
          <w:color w:val="000000" w:themeColor="text1"/>
          <w:sz w:val="32"/>
          <w:szCs w:val="32"/>
          <w:rtl/>
        </w:rPr>
        <w:t xml:space="preserve">ومن جانبه يُوضح </w:t>
      </w:r>
      <w:proofErr w:type="spellStart"/>
      <w:r w:rsidRPr="001E76CD">
        <w:rPr>
          <w:rFonts w:ascii="Traditional Arabic" w:hAnsi="Traditional Arabic" w:cs="Traditional Arabic"/>
          <w:color w:val="000000" w:themeColor="text1"/>
          <w:sz w:val="32"/>
          <w:szCs w:val="32"/>
          <w:rtl/>
        </w:rPr>
        <w:t>العثامنة</w:t>
      </w:r>
      <w:proofErr w:type="spellEnd"/>
      <w:r w:rsidRPr="001E76CD">
        <w:rPr>
          <w:rFonts w:ascii="Traditional Arabic" w:hAnsi="Traditional Arabic" w:cs="Traditional Arabic"/>
          <w:color w:val="000000" w:themeColor="text1"/>
          <w:sz w:val="32"/>
          <w:szCs w:val="32"/>
          <w:rtl/>
        </w:rPr>
        <w:t xml:space="preserve"> وبطاينة (2022) أن فاعلية اتخاذ القرار في القطاع الحكومي تتأثر بشكل جوهري بمستوى الذكاء الاستراتيجي لدى القيادات الإدارية، ويعرّفان القرار الاستراتيجي الفعّال بأنه ذلك القرار الذي يستند إلى استشراف منهجي للمستقبل وتحليل شامل للبيئة الداخلية والخارجية وتقييم موضوعي للبدائل المتاحة، ويتسم بالقدرة على التكيّف مع المتغيرات دون فقدان الاتجاه الاستراتيجي العام. </w:t>
      </w:r>
    </w:p>
    <w:p w14:paraId="78C907BD" w14:textId="1DEC6A1C" w:rsidR="001E76CD" w:rsidRPr="001E76CD" w:rsidRDefault="00140115" w:rsidP="001E76CD">
      <w:pPr>
        <w:bidi/>
        <w:spacing w:after="200" w:line="276" w:lineRule="auto"/>
        <w:jc w:val="both"/>
        <w:rPr>
          <w:rFonts w:ascii="Traditional Arabic" w:hAnsi="Traditional Arabic" w:cs="Traditional Arabic"/>
          <w:color w:val="000000" w:themeColor="text1"/>
          <w:sz w:val="32"/>
          <w:szCs w:val="32"/>
        </w:rPr>
      </w:pPr>
      <w:r>
        <w:rPr>
          <w:rFonts w:ascii="Traditional Arabic" w:hAnsi="Traditional Arabic" w:cs="Traditional Arabic" w:hint="cs"/>
          <w:color w:val="000000" w:themeColor="text1"/>
          <w:sz w:val="32"/>
          <w:szCs w:val="32"/>
          <w:rtl/>
        </w:rPr>
        <w:lastRenderedPageBreak/>
        <w:t>و</w:t>
      </w:r>
      <w:r w:rsidRPr="001E76CD">
        <w:rPr>
          <w:rFonts w:ascii="Traditional Arabic" w:hAnsi="Traditional Arabic" w:cs="Traditional Arabic" w:hint="cs"/>
          <w:color w:val="000000" w:themeColor="text1"/>
          <w:sz w:val="32"/>
          <w:szCs w:val="32"/>
          <w:rtl/>
        </w:rPr>
        <w:t xml:space="preserve">يُشير </w:t>
      </w:r>
      <w:r w:rsidRPr="001E76CD">
        <w:rPr>
          <w:rFonts w:ascii="Traditional Arabic" w:hAnsi="Traditional Arabic" w:cs="Traditional Arabic"/>
          <w:color w:val="000000" w:themeColor="text1"/>
          <w:sz w:val="32"/>
          <w:szCs w:val="32"/>
        </w:rPr>
        <w:t>Shirokova</w:t>
      </w:r>
      <w:r w:rsidR="001E76CD" w:rsidRPr="001E76CD">
        <w:rPr>
          <w:rFonts w:ascii="Traditional Arabic" w:hAnsi="Traditional Arabic" w:cs="Traditional Arabic"/>
          <w:color w:val="000000" w:themeColor="text1"/>
          <w:sz w:val="32"/>
          <w:szCs w:val="32"/>
        </w:rPr>
        <w:t xml:space="preserve"> et al. (2020) </w:t>
      </w:r>
      <w:r w:rsidR="001E76CD" w:rsidRPr="001E76CD">
        <w:rPr>
          <w:rFonts w:ascii="Traditional Arabic" w:hAnsi="Traditional Arabic" w:cs="Traditional Arabic"/>
          <w:color w:val="000000" w:themeColor="text1"/>
          <w:sz w:val="32"/>
          <w:szCs w:val="32"/>
          <w:rtl/>
        </w:rPr>
        <w:t xml:space="preserve">إلى أن التحول الرقمي قد أعاد تعريف مفهوم فاعلية القرار الاستراتيجي في المنظمات المعاصرة، فلم يعد يكفي أن يكون القرار صائباً في مضمونه بل أصبح من الضروري أن يكون مبنياً على تحليل بيانات رقمية دقيقة ومُتخذاً بسرعة تتناسب مع إيقاع التغير التكنولوجي ومتضمناً آليات تتبّع رقمية تسمح بتقييم أثره وتعديله في الوقت الفعلي. </w:t>
      </w:r>
    </w:p>
    <w:p w14:paraId="533AD180" w14:textId="1720BB20" w:rsidR="001E76CD" w:rsidRPr="001E76CD" w:rsidRDefault="001E76CD" w:rsidP="001E76CD">
      <w:pPr>
        <w:bidi/>
        <w:spacing w:after="200" w:line="276" w:lineRule="auto"/>
        <w:jc w:val="both"/>
        <w:rPr>
          <w:rFonts w:ascii="Traditional Arabic" w:hAnsi="Traditional Arabic" w:cs="Traditional Arabic"/>
          <w:color w:val="000000" w:themeColor="text1"/>
          <w:sz w:val="32"/>
          <w:szCs w:val="32"/>
        </w:rPr>
      </w:pPr>
      <w:r w:rsidRPr="001E76CD">
        <w:rPr>
          <w:rFonts w:ascii="Traditional Arabic" w:hAnsi="Traditional Arabic" w:cs="Traditional Arabic"/>
          <w:color w:val="000000" w:themeColor="text1"/>
          <w:sz w:val="32"/>
          <w:szCs w:val="32"/>
          <w:rtl/>
        </w:rPr>
        <w:t>ويُضيف</w:t>
      </w:r>
      <w:r w:rsidRPr="001E76CD">
        <w:rPr>
          <w:rFonts w:ascii="Traditional Arabic" w:hAnsi="Traditional Arabic" w:cs="Traditional Arabic"/>
          <w:color w:val="000000" w:themeColor="text1"/>
          <w:sz w:val="32"/>
          <w:szCs w:val="32"/>
        </w:rPr>
        <w:t xml:space="preserve"> van Wyk (2023) </w:t>
      </w:r>
      <w:r w:rsidRPr="001E76CD">
        <w:rPr>
          <w:rFonts w:ascii="Traditional Arabic" w:hAnsi="Traditional Arabic" w:cs="Traditional Arabic"/>
          <w:color w:val="000000" w:themeColor="text1"/>
          <w:sz w:val="32"/>
          <w:szCs w:val="32"/>
          <w:rtl/>
        </w:rPr>
        <w:t xml:space="preserve">أن عملية اتخاذ القرار الاستراتيجي الفعّال تتضمن مراحل متسلسلة ومترابطة تبدأ بتحديد الدوافع الداخلية والخارجية للقرار وتحليل المعلومات المالية والتشغيلية المتاحة ثم تقييم البدائل واختيار الأنسب منها، مع التأكيد على أن جودة المعلومات المُستخدمة في كل مرحلة تُحدّد بشكل كبير فاعلية القرار النهائي </w:t>
      </w:r>
      <w:r w:rsidRPr="001E76CD">
        <w:rPr>
          <w:rFonts w:ascii="Traditional Arabic" w:hAnsi="Traditional Arabic" w:cs="Traditional Arabic"/>
          <w:color w:val="000000" w:themeColor="text1"/>
          <w:sz w:val="32"/>
          <w:szCs w:val="32"/>
        </w:rPr>
        <w:t>(</w:t>
      </w:r>
      <w:proofErr w:type="spellStart"/>
      <w:r w:rsidRPr="001E76CD">
        <w:rPr>
          <w:rFonts w:ascii="Traditional Arabic" w:hAnsi="Traditional Arabic" w:cs="Traditional Arabic"/>
          <w:color w:val="000000" w:themeColor="text1"/>
          <w:sz w:val="32"/>
          <w:szCs w:val="32"/>
        </w:rPr>
        <w:t>Bozintan</w:t>
      </w:r>
      <w:proofErr w:type="spellEnd"/>
      <w:r w:rsidRPr="001E76CD">
        <w:rPr>
          <w:rFonts w:ascii="Traditional Arabic" w:hAnsi="Traditional Arabic" w:cs="Traditional Arabic"/>
          <w:color w:val="000000" w:themeColor="text1"/>
          <w:sz w:val="32"/>
          <w:szCs w:val="32"/>
        </w:rPr>
        <w:t xml:space="preserve"> et al., 2023; van Wyk, 2023).</w:t>
      </w:r>
    </w:p>
    <w:p w14:paraId="6A5F682C" w14:textId="61BCC4F8" w:rsidR="001E76CD" w:rsidRDefault="001E76CD" w:rsidP="001E76CD">
      <w:pPr>
        <w:bidi/>
        <w:spacing w:after="200" w:line="276" w:lineRule="auto"/>
        <w:jc w:val="both"/>
        <w:rPr>
          <w:rFonts w:ascii="Traditional Arabic" w:hAnsi="Traditional Arabic" w:cs="Traditional Arabic"/>
          <w:color w:val="000000" w:themeColor="text1"/>
          <w:sz w:val="32"/>
          <w:szCs w:val="32"/>
          <w:rtl/>
        </w:rPr>
      </w:pPr>
      <w:r w:rsidRPr="001E76CD">
        <w:rPr>
          <w:rFonts w:ascii="Traditional Arabic" w:hAnsi="Traditional Arabic" w:cs="Traditional Arabic"/>
          <w:color w:val="000000" w:themeColor="text1"/>
          <w:sz w:val="32"/>
          <w:szCs w:val="32"/>
          <w:rtl/>
        </w:rPr>
        <w:t xml:space="preserve">يخلص الباحث من استعراض التعريفات السابقة إلى أن فاعلية اتخاذ القرار الاستراتيجي في وزارات الصناعة بدول مجلس التعاون الخليجي يمكن تعريفها بأنها قدرة القيادات الإدارية في هذه الوزارات على اتخاذ قرارات استراتيجية تتسم بالجودة العالية في مضمونها والتوقيت المناسب في صدورها والقبول الواسع من أصحاب المصلحة والاستمرارية في أثرها الإيجابي والاعتماد على قاعدة معلوماتية رقمية دقيقة وشاملة، بما يُسهم في تحقيق أهداف التنويع الاقتصادي والتحول الصناعي المنشودة في إطار الرؤى الوطنية لهذه الدول. </w:t>
      </w:r>
    </w:p>
    <w:p w14:paraId="56D94FC6" w14:textId="77777777" w:rsidR="001E76CD" w:rsidRPr="001E76CD" w:rsidRDefault="001E76CD" w:rsidP="001E76CD">
      <w:pPr>
        <w:bidi/>
        <w:spacing w:after="200" w:line="276" w:lineRule="auto"/>
        <w:jc w:val="both"/>
        <w:rPr>
          <w:rFonts w:ascii="Traditional Arabic" w:hAnsi="Traditional Arabic" w:cs="Traditional Arabic"/>
          <w:b/>
          <w:bCs/>
          <w:color w:val="000000" w:themeColor="text1"/>
          <w:sz w:val="32"/>
          <w:szCs w:val="32"/>
        </w:rPr>
      </w:pPr>
      <w:r w:rsidRPr="001E76CD">
        <w:rPr>
          <w:rFonts w:ascii="Traditional Arabic" w:hAnsi="Traditional Arabic" w:cs="Traditional Arabic"/>
          <w:b/>
          <w:bCs/>
          <w:color w:val="000000" w:themeColor="text1"/>
          <w:sz w:val="32"/>
          <w:szCs w:val="32"/>
          <w:rtl/>
        </w:rPr>
        <w:t>ثانياً: أهداف فاعلية اتخاذ القرار الاستراتيجي في المنظمات الحكومية</w:t>
      </w:r>
    </w:p>
    <w:p w14:paraId="69D65623" w14:textId="367CF0C3" w:rsidR="001E76CD" w:rsidRPr="001E76CD" w:rsidRDefault="001E76CD" w:rsidP="001E76CD">
      <w:pPr>
        <w:bidi/>
        <w:spacing w:after="200" w:line="276" w:lineRule="auto"/>
        <w:jc w:val="both"/>
        <w:rPr>
          <w:rFonts w:ascii="Traditional Arabic" w:hAnsi="Traditional Arabic" w:cs="Traditional Arabic"/>
          <w:color w:val="000000" w:themeColor="text1"/>
          <w:sz w:val="32"/>
          <w:szCs w:val="32"/>
        </w:rPr>
      </w:pPr>
      <w:r w:rsidRPr="001E76CD">
        <w:rPr>
          <w:rFonts w:ascii="Traditional Arabic" w:hAnsi="Traditional Arabic" w:cs="Traditional Arabic"/>
          <w:color w:val="000000" w:themeColor="text1"/>
          <w:sz w:val="32"/>
          <w:szCs w:val="32"/>
          <w:rtl/>
        </w:rPr>
        <w:t>تُجسّد فاعلية اتخاذ القرار الاستراتيجي طموحاً مؤسسياً تسعى إليه وزارات الصناعة في دول مجلس التعاون الخليجي، لا سيما في ظل التحولات العميقة التي تفرضها الرؤى الوطنية الطموحة وبرامج التنويع الاقتصادي والثورة الصناعية الرابعة</w:t>
      </w:r>
      <w:r>
        <w:rPr>
          <w:rFonts w:ascii="Traditional Arabic" w:hAnsi="Traditional Arabic" w:cs="Traditional Arabic" w:hint="cs"/>
          <w:color w:val="000000" w:themeColor="text1"/>
          <w:sz w:val="32"/>
          <w:szCs w:val="32"/>
          <w:rtl/>
        </w:rPr>
        <w:t xml:space="preserve">، </w:t>
      </w:r>
      <w:r w:rsidRPr="001E76CD">
        <w:rPr>
          <w:rFonts w:ascii="Traditional Arabic" w:hAnsi="Traditional Arabic" w:cs="Traditional Arabic"/>
          <w:color w:val="000000" w:themeColor="text1"/>
          <w:sz w:val="32"/>
          <w:szCs w:val="32"/>
          <w:rtl/>
        </w:rPr>
        <w:t>وقد تناولت الأدبيات الإدارية الحديثة أهداف هذه الفاعلية من زوايا متعددة، وفيما يلي عرض لأبرز آراء الباحثين في هذا الشأن</w:t>
      </w:r>
      <w:r w:rsidRPr="001E76CD">
        <w:rPr>
          <w:rFonts w:ascii="Traditional Arabic" w:hAnsi="Traditional Arabic" w:cs="Traditional Arabic"/>
          <w:color w:val="000000" w:themeColor="text1"/>
          <w:sz w:val="32"/>
          <w:szCs w:val="32"/>
        </w:rPr>
        <w:t>.</w:t>
      </w:r>
    </w:p>
    <w:p w14:paraId="5EB37C8A" w14:textId="77777777" w:rsidR="001E76CD" w:rsidRPr="001E76CD" w:rsidRDefault="001E76CD" w:rsidP="001E76CD">
      <w:pPr>
        <w:bidi/>
        <w:spacing w:after="200" w:line="276" w:lineRule="auto"/>
        <w:jc w:val="both"/>
        <w:rPr>
          <w:rFonts w:ascii="Traditional Arabic" w:hAnsi="Traditional Arabic" w:cs="Traditional Arabic"/>
          <w:color w:val="000000" w:themeColor="text1"/>
          <w:sz w:val="32"/>
          <w:szCs w:val="32"/>
        </w:rPr>
      </w:pPr>
      <w:r w:rsidRPr="001E76CD">
        <w:rPr>
          <w:rFonts w:ascii="Traditional Arabic" w:hAnsi="Traditional Arabic" w:cs="Traditional Arabic"/>
          <w:color w:val="000000" w:themeColor="text1"/>
          <w:sz w:val="32"/>
          <w:szCs w:val="32"/>
          <w:rtl/>
        </w:rPr>
        <w:t>يُشير جلاب وداخل (2021) إلى أن فاعلية القرارات الاستراتيجية تهدف إلى تجنّب مزالق التخطيط الاستراتيجي وتحقيق نتائج مؤسسية مستدامة، وذلك من خلال</w:t>
      </w:r>
      <w:r w:rsidRPr="001E76CD">
        <w:rPr>
          <w:rFonts w:ascii="Traditional Arabic" w:hAnsi="Traditional Arabic" w:cs="Traditional Arabic"/>
          <w:color w:val="000000" w:themeColor="text1"/>
          <w:sz w:val="32"/>
          <w:szCs w:val="32"/>
        </w:rPr>
        <w:t>:</w:t>
      </w:r>
    </w:p>
    <w:p w14:paraId="26BDB5B1" w14:textId="77777777" w:rsidR="001E76CD" w:rsidRPr="001E76CD" w:rsidRDefault="001E76CD" w:rsidP="001E76CD">
      <w:pPr>
        <w:numPr>
          <w:ilvl w:val="0"/>
          <w:numId w:val="31"/>
        </w:numPr>
        <w:bidi/>
        <w:spacing w:after="200" w:line="276" w:lineRule="auto"/>
        <w:jc w:val="both"/>
        <w:rPr>
          <w:rFonts w:ascii="Traditional Arabic" w:hAnsi="Traditional Arabic" w:cs="Traditional Arabic"/>
          <w:color w:val="000000" w:themeColor="text1"/>
          <w:sz w:val="32"/>
          <w:szCs w:val="32"/>
        </w:rPr>
      </w:pPr>
      <w:r w:rsidRPr="001E76CD">
        <w:rPr>
          <w:rFonts w:ascii="Traditional Arabic" w:hAnsi="Traditional Arabic" w:cs="Traditional Arabic"/>
          <w:color w:val="000000" w:themeColor="text1"/>
          <w:sz w:val="32"/>
          <w:szCs w:val="32"/>
          <w:rtl/>
        </w:rPr>
        <w:t xml:space="preserve">ضمان الاتساق الاستراتيجي الشامل بين القرارات المُتخذة على مختلف المستويات الإدارية والرؤية العامة للمنظمة، بحيث تعمل جميع القرارات الفرعية والتكتيكية في اتجاه واحد يخدم الأهداف الكبرى دون تناقض أو تضارب. ويعني هذا في سياق وزارات الصناعة الخليجية أن القرارات المتعلقة بمنح </w:t>
      </w:r>
      <w:r w:rsidRPr="001E76CD">
        <w:rPr>
          <w:rFonts w:ascii="Traditional Arabic" w:hAnsi="Traditional Arabic" w:cs="Traditional Arabic"/>
          <w:color w:val="000000" w:themeColor="text1"/>
          <w:sz w:val="32"/>
          <w:szCs w:val="32"/>
          <w:rtl/>
        </w:rPr>
        <w:lastRenderedPageBreak/>
        <w:t xml:space="preserve">التراخيص الصناعية أو تحديد معايير الدعم الحكومي أو توجيه الاستثمارات يجب أن تنسجم تماماً مع رؤى التنمية الوطنية كرؤية </w:t>
      </w:r>
      <w:r w:rsidRPr="001E76CD">
        <w:rPr>
          <w:rFonts w:ascii="Traditional Arabic" w:hAnsi="Traditional Arabic" w:cs="Traditional Arabic"/>
          <w:color w:val="000000" w:themeColor="text1"/>
          <w:sz w:val="32"/>
          <w:szCs w:val="32"/>
        </w:rPr>
        <w:t xml:space="preserve">2030 </w:t>
      </w:r>
      <w:r w:rsidRPr="001E76CD">
        <w:rPr>
          <w:rFonts w:ascii="Traditional Arabic" w:hAnsi="Traditional Arabic" w:cs="Traditional Arabic"/>
          <w:color w:val="000000" w:themeColor="text1"/>
          <w:sz w:val="32"/>
          <w:szCs w:val="32"/>
          <w:rtl/>
        </w:rPr>
        <w:t>السعودية ورؤية الإمارات المئوية، وأن أي انحراف في القرارات الفرعية عن هذا المسار يُضعف فاعلية المنظومة القرارية بأكملها حتى لو كان كل قرار منفرد يبدو منطقياً في ذاته</w:t>
      </w:r>
      <w:r w:rsidRPr="001E76CD">
        <w:rPr>
          <w:rFonts w:ascii="Traditional Arabic" w:hAnsi="Traditional Arabic" w:cs="Traditional Arabic"/>
          <w:color w:val="000000" w:themeColor="text1"/>
          <w:sz w:val="32"/>
          <w:szCs w:val="32"/>
        </w:rPr>
        <w:t>.</w:t>
      </w:r>
    </w:p>
    <w:p w14:paraId="56F00EEE" w14:textId="763535F3" w:rsidR="001E76CD" w:rsidRPr="001E76CD" w:rsidRDefault="001E76CD" w:rsidP="001E76CD">
      <w:pPr>
        <w:numPr>
          <w:ilvl w:val="0"/>
          <w:numId w:val="31"/>
        </w:numPr>
        <w:bidi/>
        <w:spacing w:after="200" w:line="276" w:lineRule="auto"/>
        <w:jc w:val="both"/>
        <w:rPr>
          <w:rFonts w:ascii="Traditional Arabic" w:hAnsi="Traditional Arabic" w:cs="Traditional Arabic"/>
          <w:color w:val="000000" w:themeColor="text1"/>
          <w:sz w:val="32"/>
          <w:szCs w:val="32"/>
        </w:rPr>
      </w:pPr>
      <w:r w:rsidRPr="001E76CD">
        <w:rPr>
          <w:rFonts w:ascii="Traditional Arabic" w:hAnsi="Traditional Arabic" w:cs="Traditional Arabic"/>
          <w:color w:val="000000" w:themeColor="text1"/>
          <w:sz w:val="32"/>
          <w:szCs w:val="32"/>
          <w:rtl/>
        </w:rPr>
        <w:t>تقليل الهدر المؤسسي بأبعاده المتعددة</w:t>
      </w:r>
      <w:r w:rsidRPr="001E76CD">
        <w:rPr>
          <w:rFonts w:ascii="Traditional Arabic" w:hAnsi="Traditional Arabic" w:cs="Traditional Arabic"/>
          <w:color w:val="000000" w:themeColor="text1"/>
          <w:sz w:val="32"/>
          <w:szCs w:val="32"/>
        </w:rPr>
        <w:t xml:space="preserve"> </w:t>
      </w:r>
      <w:r w:rsidRPr="001E76CD">
        <w:rPr>
          <w:rFonts w:ascii="Traditional Arabic" w:hAnsi="Traditional Arabic" w:cs="Traditional Arabic"/>
          <w:color w:val="000000" w:themeColor="text1"/>
          <w:sz w:val="32"/>
          <w:szCs w:val="32"/>
          <w:rtl/>
        </w:rPr>
        <w:t xml:space="preserve">المالي والبشري </w:t>
      </w:r>
      <w:r w:rsidR="00140115" w:rsidRPr="001E76CD">
        <w:rPr>
          <w:rFonts w:ascii="Traditional Arabic" w:hAnsi="Traditional Arabic" w:cs="Traditional Arabic" w:hint="cs"/>
          <w:color w:val="000000" w:themeColor="text1"/>
          <w:sz w:val="32"/>
          <w:szCs w:val="32"/>
          <w:rtl/>
        </w:rPr>
        <w:t>والزمني الناتج</w:t>
      </w:r>
      <w:r w:rsidRPr="001E76CD">
        <w:rPr>
          <w:rFonts w:ascii="Traditional Arabic" w:hAnsi="Traditional Arabic" w:cs="Traditional Arabic"/>
          <w:color w:val="000000" w:themeColor="text1"/>
          <w:sz w:val="32"/>
          <w:szCs w:val="32"/>
          <w:rtl/>
        </w:rPr>
        <w:t xml:space="preserve"> عن قرارات غير مدروسة أو مبنية على معلومات ناقصة أو متقادمة. فالقرار الاستراتيجي غير الفعّال لا يُكلّف المنظمة الحكومية خسارة الموارد المباشرة المُنفقة على تنفيذه فحسب، بل يُكلّفها أيضاً تكلفة الفرصة البديلة التي كان يمكن تحقيقها لو وُجّهت هذه الموارد نحو قرار أكثر رشداً، وهو ما يكتسب أبعاداً خاصة في القطاع الصناعي الحكومي حيث تكون المبالغ المستثمرة ضخمة والآثار طويلة الأمد</w:t>
      </w:r>
      <w:r w:rsidRPr="001E76CD">
        <w:rPr>
          <w:rFonts w:ascii="Traditional Arabic" w:hAnsi="Traditional Arabic" w:cs="Traditional Arabic"/>
          <w:color w:val="000000" w:themeColor="text1"/>
          <w:sz w:val="32"/>
          <w:szCs w:val="32"/>
        </w:rPr>
        <w:t>.</w:t>
      </w:r>
    </w:p>
    <w:p w14:paraId="5279B32D" w14:textId="6BA85F3F" w:rsidR="001E76CD" w:rsidRPr="001E76CD" w:rsidRDefault="001E76CD" w:rsidP="001E76CD">
      <w:pPr>
        <w:numPr>
          <w:ilvl w:val="0"/>
          <w:numId w:val="31"/>
        </w:numPr>
        <w:bidi/>
        <w:spacing w:after="200" w:line="276" w:lineRule="auto"/>
        <w:jc w:val="both"/>
        <w:rPr>
          <w:rFonts w:ascii="Traditional Arabic" w:hAnsi="Traditional Arabic" w:cs="Traditional Arabic"/>
          <w:color w:val="000000" w:themeColor="text1"/>
          <w:sz w:val="32"/>
          <w:szCs w:val="32"/>
        </w:rPr>
      </w:pPr>
      <w:r w:rsidRPr="001E76CD">
        <w:rPr>
          <w:rFonts w:ascii="Traditional Arabic" w:hAnsi="Traditional Arabic" w:cs="Traditional Arabic"/>
          <w:color w:val="000000" w:themeColor="text1"/>
          <w:sz w:val="32"/>
          <w:szCs w:val="32"/>
          <w:rtl/>
        </w:rPr>
        <w:t xml:space="preserve">بناء ذاكرة مؤسسية تعلّمية تراكمية تُحوّل كل تجربة </w:t>
      </w:r>
      <w:r w:rsidR="00140115" w:rsidRPr="001E76CD">
        <w:rPr>
          <w:rFonts w:ascii="Traditional Arabic" w:hAnsi="Traditional Arabic" w:cs="Traditional Arabic" w:hint="cs"/>
          <w:color w:val="000000" w:themeColor="text1"/>
          <w:sz w:val="32"/>
          <w:szCs w:val="32"/>
          <w:rtl/>
        </w:rPr>
        <w:t>قراريه سواء</w:t>
      </w:r>
      <w:r w:rsidRPr="001E76CD">
        <w:rPr>
          <w:rFonts w:ascii="Traditional Arabic" w:hAnsi="Traditional Arabic" w:cs="Traditional Arabic"/>
          <w:color w:val="000000" w:themeColor="text1"/>
          <w:sz w:val="32"/>
          <w:szCs w:val="32"/>
          <w:rtl/>
        </w:rPr>
        <w:t xml:space="preserve"> أكانت ناجحة أم </w:t>
      </w:r>
      <w:r w:rsidR="00140115" w:rsidRPr="001E76CD">
        <w:rPr>
          <w:rFonts w:ascii="Traditional Arabic" w:hAnsi="Traditional Arabic" w:cs="Traditional Arabic" w:hint="cs"/>
          <w:color w:val="000000" w:themeColor="text1"/>
          <w:sz w:val="32"/>
          <w:szCs w:val="32"/>
          <w:rtl/>
        </w:rPr>
        <w:t>إخفاقاً إلى</w:t>
      </w:r>
      <w:r w:rsidRPr="001E76CD">
        <w:rPr>
          <w:rFonts w:ascii="Traditional Arabic" w:hAnsi="Traditional Arabic" w:cs="Traditional Arabic"/>
          <w:color w:val="000000" w:themeColor="text1"/>
          <w:sz w:val="32"/>
          <w:szCs w:val="32"/>
          <w:rtl/>
        </w:rPr>
        <w:t xml:space="preserve"> رصيد معرفي مُوثّق يُثري القرارات اللاحقة ويُقلّص احتمالية تكرار الأخطاء السابقة. وتتطلب هذه الذاكرة المؤسسية توثيقاً منهجياً لظروف كل قرار ومبرراته وبدائله المرفوضة ونتائجه الفعلية، وهو ما يُوفره التحول الرقمي من خلال نظم إدارة المعرفة وقواعد البيانات </w:t>
      </w:r>
      <w:r w:rsidR="00140115" w:rsidRPr="001E76CD">
        <w:rPr>
          <w:rFonts w:ascii="Traditional Arabic" w:hAnsi="Traditional Arabic" w:cs="Traditional Arabic" w:hint="cs"/>
          <w:color w:val="000000" w:themeColor="text1"/>
          <w:sz w:val="32"/>
          <w:szCs w:val="32"/>
          <w:rtl/>
        </w:rPr>
        <w:t>التحليلية.</w:t>
      </w:r>
    </w:p>
    <w:p w14:paraId="21DBA2B6" w14:textId="77777777" w:rsidR="001E76CD" w:rsidRPr="001E76CD" w:rsidRDefault="001E76CD" w:rsidP="001E76CD">
      <w:pPr>
        <w:bidi/>
        <w:spacing w:after="200" w:line="276" w:lineRule="auto"/>
        <w:jc w:val="both"/>
        <w:rPr>
          <w:rFonts w:ascii="Traditional Arabic" w:hAnsi="Traditional Arabic" w:cs="Traditional Arabic"/>
          <w:color w:val="000000" w:themeColor="text1"/>
          <w:sz w:val="32"/>
          <w:szCs w:val="32"/>
        </w:rPr>
      </w:pPr>
      <w:r w:rsidRPr="001E76CD">
        <w:rPr>
          <w:rFonts w:ascii="Traditional Arabic" w:hAnsi="Traditional Arabic" w:cs="Traditional Arabic"/>
          <w:color w:val="000000" w:themeColor="text1"/>
          <w:sz w:val="32"/>
          <w:szCs w:val="32"/>
          <w:rtl/>
        </w:rPr>
        <w:t>كما يُشير</w:t>
      </w:r>
      <w:r w:rsidRPr="001E76CD">
        <w:rPr>
          <w:rFonts w:ascii="Traditional Arabic" w:hAnsi="Traditional Arabic" w:cs="Traditional Arabic"/>
          <w:color w:val="000000" w:themeColor="text1"/>
          <w:sz w:val="32"/>
          <w:szCs w:val="32"/>
        </w:rPr>
        <w:t xml:space="preserve"> </w:t>
      </w:r>
      <w:proofErr w:type="spellStart"/>
      <w:r w:rsidRPr="001E76CD">
        <w:rPr>
          <w:rFonts w:ascii="Traditional Arabic" w:hAnsi="Traditional Arabic" w:cs="Traditional Arabic"/>
          <w:color w:val="000000" w:themeColor="text1"/>
          <w:sz w:val="32"/>
          <w:szCs w:val="32"/>
        </w:rPr>
        <w:t>Yulion</w:t>
      </w:r>
      <w:proofErr w:type="spellEnd"/>
      <w:r w:rsidRPr="001E76CD">
        <w:rPr>
          <w:rFonts w:ascii="Traditional Arabic" w:hAnsi="Traditional Arabic" w:cs="Traditional Arabic"/>
          <w:color w:val="000000" w:themeColor="text1"/>
          <w:sz w:val="32"/>
          <w:szCs w:val="32"/>
        </w:rPr>
        <w:t xml:space="preserve"> et al. (2024) </w:t>
      </w:r>
      <w:r w:rsidRPr="001E76CD">
        <w:rPr>
          <w:rFonts w:ascii="Traditional Arabic" w:hAnsi="Traditional Arabic" w:cs="Traditional Arabic"/>
          <w:color w:val="000000" w:themeColor="text1"/>
          <w:sz w:val="32"/>
          <w:szCs w:val="32"/>
          <w:rtl/>
        </w:rPr>
        <w:t>إلى أن فاعلية القرار الاستراتيجي تستهدف تحقيق التكامل بين القدرات المؤسسية والطموحات الاستراتيجية، وذلك من خلال</w:t>
      </w:r>
      <w:r w:rsidRPr="001E76CD">
        <w:rPr>
          <w:rFonts w:ascii="Traditional Arabic" w:hAnsi="Traditional Arabic" w:cs="Traditional Arabic"/>
          <w:color w:val="000000" w:themeColor="text1"/>
          <w:sz w:val="32"/>
          <w:szCs w:val="32"/>
        </w:rPr>
        <w:t>:</w:t>
      </w:r>
    </w:p>
    <w:p w14:paraId="01FDE009" w14:textId="3A0A4392" w:rsidR="001E76CD" w:rsidRPr="001E76CD" w:rsidRDefault="001E76CD" w:rsidP="001E76CD">
      <w:pPr>
        <w:numPr>
          <w:ilvl w:val="0"/>
          <w:numId w:val="32"/>
        </w:numPr>
        <w:bidi/>
        <w:spacing w:after="200" w:line="276" w:lineRule="auto"/>
        <w:jc w:val="both"/>
        <w:rPr>
          <w:rFonts w:ascii="Traditional Arabic" w:hAnsi="Traditional Arabic" w:cs="Traditional Arabic"/>
          <w:color w:val="000000" w:themeColor="text1"/>
          <w:sz w:val="32"/>
          <w:szCs w:val="32"/>
        </w:rPr>
      </w:pPr>
      <w:r w:rsidRPr="001E76CD">
        <w:rPr>
          <w:rFonts w:ascii="Traditional Arabic" w:hAnsi="Traditional Arabic" w:cs="Traditional Arabic"/>
          <w:color w:val="000000" w:themeColor="text1"/>
          <w:sz w:val="32"/>
          <w:szCs w:val="32"/>
          <w:rtl/>
        </w:rPr>
        <w:t xml:space="preserve">تحقيق المواءمة الواقعية بين الأهداف الاستراتيجية الطموحة للمنظمة وقدراتها التقنية والتشغيلية والبشرية الفعلية على أرض الواقع. فالقرار الاستراتيجي الفعّال هو الذي يُوازن بين الطموح والإمكانية، بحيث لا يكون أكثر طموحاً من الموارد المتاحة فيصطدم بعقبات التنفيذ ويفشل، ولا أقل طموحاً من الفرص الممكنة فيُفوّت على المنظمة إمكانيات النمو والتطور. وفي سياق وزارات الصناعة الخليجية يعني هذا أن قرارات التحول نحو المصانع </w:t>
      </w:r>
      <w:r w:rsidR="00140115" w:rsidRPr="001E76CD">
        <w:rPr>
          <w:rFonts w:ascii="Traditional Arabic" w:hAnsi="Traditional Arabic" w:cs="Traditional Arabic" w:hint="cs"/>
          <w:color w:val="000000" w:themeColor="text1"/>
          <w:sz w:val="32"/>
          <w:szCs w:val="32"/>
          <w:rtl/>
        </w:rPr>
        <w:t>الذكية مثلاً يجب</w:t>
      </w:r>
      <w:r w:rsidRPr="001E76CD">
        <w:rPr>
          <w:rFonts w:ascii="Traditional Arabic" w:hAnsi="Traditional Arabic" w:cs="Traditional Arabic"/>
          <w:color w:val="000000" w:themeColor="text1"/>
          <w:sz w:val="32"/>
          <w:szCs w:val="32"/>
          <w:rtl/>
        </w:rPr>
        <w:t xml:space="preserve"> أن تأخذ في الحسبان مدى جاهزية البنية التحتية الرقمية وتوفر الكوادر المؤهلة وقدرة المصانع القائمة على استيعاب التقنيات الجديدة</w:t>
      </w:r>
      <w:r w:rsidRPr="001E76CD">
        <w:rPr>
          <w:rFonts w:ascii="Traditional Arabic" w:hAnsi="Traditional Arabic" w:cs="Traditional Arabic"/>
          <w:color w:val="000000" w:themeColor="text1"/>
          <w:sz w:val="32"/>
          <w:szCs w:val="32"/>
        </w:rPr>
        <w:t>.</w:t>
      </w:r>
    </w:p>
    <w:p w14:paraId="03886A6D" w14:textId="37559830" w:rsidR="001E76CD" w:rsidRPr="001E76CD" w:rsidRDefault="001E76CD" w:rsidP="001E76CD">
      <w:pPr>
        <w:numPr>
          <w:ilvl w:val="0"/>
          <w:numId w:val="32"/>
        </w:numPr>
        <w:bidi/>
        <w:spacing w:after="200" w:line="276" w:lineRule="auto"/>
        <w:jc w:val="both"/>
        <w:rPr>
          <w:rFonts w:ascii="Traditional Arabic" w:hAnsi="Traditional Arabic" w:cs="Traditional Arabic"/>
          <w:color w:val="000000" w:themeColor="text1"/>
          <w:sz w:val="32"/>
          <w:szCs w:val="32"/>
        </w:rPr>
      </w:pPr>
      <w:r w:rsidRPr="001E76CD">
        <w:rPr>
          <w:rFonts w:ascii="Traditional Arabic" w:hAnsi="Traditional Arabic" w:cs="Traditional Arabic"/>
          <w:color w:val="000000" w:themeColor="text1"/>
          <w:sz w:val="32"/>
          <w:szCs w:val="32"/>
          <w:rtl/>
        </w:rPr>
        <w:lastRenderedPageBreak/>
        <w:t>تعزيز مرونة نموذج العمل المؤسسي وقدرته على التكيّف مع التحولات الرقمية والسوقية المتسارعة دون أن يفقد هويته الاستراتيجية أو يتخلى عن أولوياته الجوهرية</w:t>
      </w:r>
      <w:r>
        <w:rPr>
          <w:rFonts w:ascii="Traditional Arabic" w:hAnsi="Traditional Arabic" w:cs="Traditional Arabic" w:hint="cs"/>
          <w:color w:val="000000" w:themeColor="text1"/>
          <w:sz w:val="32"/>
          <w:szCs w:val="32"/>
          <w:rtl/>
        </w:rPr>
        <w:t>،</w:t>
      </w:r>
      <w:r w:rsidRPr="001E76CD">
        <w:rPr>
          <w:rFonts w:ascii="Traditional Arabic" w:hAnsi="Traditional Arabic" w:cs="Traditional Arabic"/>
          <w:color w:val="000000" w:themeColor="text1"/>
          <w:sz w:val="32"/>
          <w:szCs w:val="32"/>
          <w:rtl/>
        </w:rPr>
        <w:t xml:space="preserve"> فالمرونة المطلوبة ليست مرونة عشوائية تتأرجح مع كل موجة تقنية جديدة، بل هي مرونة استراتيجية محسوبة تُعدّل الوسائل مع الحفاظ على الغايات، وتستوعب المستجدات التكنولوجية وتُوظّفها لخدمة الرؤية الأصلية بدلاً من أن تسمح لها بتغيير المسار الاستراتيجي بأكمله</w:t>
      </w:r>
      <w:r w:rsidRPr="001E76CD">
        <w:rPr>
          <w:rFonts w:ascii="Traditional Arabic" w:hAnsi="Traditional Arabic" w:cs="Traditional Arabic"/>
          <w:color w:val="000000" w:themeColor="text1"/>
          <w:sz w:val="32"/>
          <w:szCs w:val="32"/>
        </w:rPr>
        <w:t>.</w:t>
      </w:r>
    </w:p>
    <w:p w14:paraId="23679112" w14:textId="77777777" w:rsidR="001E76CD" w:rsidRDefault="001E76CD" w:rsidP="001E76CD">
      <w:pPr>
        <w:numPr>
          <w:ilvl w:val="0"/>
          <w:numId w:val="32"/>
        </w:numPr>
        <w:bidi/>
        <w:spacing w:after="200" w:line="276" w:lineRule="auto"/>
        <w:jc w:val="both"/>
        <w:rPr>
          <w:rFonts w:ascii="Traditional Arabic" w:hAnsi="Traditional Arabic" w:cs="Traditional Arabic"/>
          <w:color w:val="000000" w:themeColor="text1"/>
          <w:sz w:val="32"/>
          <w:szCs w:val="32"/>
        </w:rPr>
      </w:pPr>
      <w:r w:rsidRPr="001E76CD">
        <w:rPr>
          <w:rFonts w:ascii="Traditional Arabic" w:hAnsi="Traditional Arabic" w:cs="Traditional Arabic"/>
          <w:color w:val="000000" w:themeColor="text1"/>
          <w:sz w:val="32"/>
          <w:szCs w:val="32"/>
          <w:rtl/>
        </w:rPr>
        <w:t>إرساء آليات تقييم ومراجعة دورية ومنتظمة تُمكّن القيادات الإدارية من فحص قراراتها الاستراتيجية السابقة في ضوء المستجدات البيئية والتقنية، وتعديل ما يلزم تعديله في الوقت المناسب دون الانتظار حتى تتراكم الأخطاء أو تتفاقم الأزمات. وهذا يتطلب بناء نظم معلومات إدارية متقدمة تُوفّر مؤشرات إنذار مبكر ولوحات تحكم رقمية تعرض أداء القرارات الاستراتيجية في الوقت الحقيقي</w:t>
      </w:r>
      <w:r w:rsidRPr="001E76CD">
        <w:rPr>
          <w:rFonts w:ascii="Traditional Arabic" w:hAnsi="Traditional Arabic" w:cs="Traditional Arabic"/>
          <w:color w:val="000000" w:themeColor="text1"/>
          <w:sz w:val="32"/>
          <w:szCs w:val="32"/>
        </w:rPr>
        <w:t xml:space="preserve"> (</w:t>
      </w:r>
      <w:proofErr w:type="spellStart"/>
      <w:r w:rsidRPr="001E76CD">
        <w:rPr>
          <w:rFonts w:ascii="Traditional Arabic" w:hAnsi="Traditional Arabic" w:cs="Traditional Arabic"/>
          <w:color w:val="000000" w:themeColor="text1"/>
          <w:sz w:val="32"/>
          <w:szCs w:val="32"/>
        </w:rPr>
        <w:t>Yulion</w:t>
      </w:r>
      <w:proofErr w:type="spellEnd"/>
      <w:r w:rsidRPr="001E76CD">
        <w:rPr>
          <w:rFonts w:ascii="Traditional Arabic" w:hAnsi="Traditional Arabic" w:cs="Traditional Arabic"/>
          <w:color w:val="000000" w:themeColor="text1"/>
          <w:sz w:val="32"/>
          <w:szCs w:val="32"/>
        </w:rPr>
        <w:t xml:space="preserve"> et al., 2024).</w:t>
      </w:r>
    </w:p>
    <w:p w14:paraId="6F53344F" w14:textId="77777777" w:rsidR="001E76CD" w:rsidRPr="001E76CD" w:rsidRDefault="001E76CD" w:rsidP="001E76CD">
      <w:pPr>
        <w:bidi/>
        <w:spacing w:after="200" w:line="276" w:lineRule="auto"/>
        <w:jc w:val="both"/>
        <w:rPr>
          <w:rFonts w:ascii="Traditional Arabic" w:hAnsi="Traditional Arabic" w:cs="Traditional Arabic"/>
          <w:b/>
          <w:bCs/>
          <w:color w:val="000000" w:themeColor="text1"/>
          <w:sz w:val="32"/>
          <w:szCs w:val="32"/>
        </w:rPr>
      </w:pPr>
      <w:r w:rsidRPr="001E76CD">
        <w:rPr>
          <w:rFonts w:ascii="Traditional Arabic" w:hAnsi="Traditional Arabic" w:cs="Traditional Arabic"/>
          <w:b/>
          <w:bCs/>
          <w:color w:val="000000" w:themeColor="text1"/>
          <w:sz w:val="32"/>
          <w:szCs w:val="32"/>
          <w:rtl/>
        </w:rPr>
        <w:t>ثالثاً: أنواع القرارات الاستراتيجية</w:t>
      </w:r>
    </w:p>
    <w:p w14:paraId="660AB821" w14:textId="6726B56E" w:rsidR="001E76CD" w:rsidRPr="001E76CD" w:rsidRDefault="001E76CD" w:rsidP="001E76CD">
      <w:pPr>
        <w:bidi/>
        <w:spacing w:after="200" w:line="276" w:lineRule="auto"/>
        <w:jc w:val="both"/>
        <w:rPr>
          <w:rFonts w:ascii="Traditional Arabic" w:hAnsi="Traditional Arabic" w:cs="Traditional Arabic"/>
          <w:color w:val="000000" w:themeColor="text1"/>
          <w:sz w:val="32"/>
          <w:szCs w:val="32"/>
        </w:rPr>
      </w:pPr>
      <w:r w:rsidRPr="001E76CD">
        <w:rPr>
          <w:rFonts w:ascii="Traditional Arabic" w:hAnsi="Traditional Arabic" w:cs="Traditional Arabic"/>
          <w:color w:val="000000" w:themeColor="text1"/>
          <w:sz w:val="32"/>
          <w:szCs w:val="32"/>
          <w:rtl/>
        </w:rPr>
        <w:t>تتعدد تصنيفات القرارات الاستراتيجية في الأدبيات الإدارية وفقاً لمعايير مختلفة تشمل طبيعة الموضوع ودرجة الهيكلة والمدى الزمني ومستوى المشاركة في صنعها وطبيعة البيئة المحيطة بعملية اتخاذ القرار</w:t>
      </w:r>
      <w:r>
        <w:rPr>
          <w:rFonts w:ascii="Traditional Arabic" w:hAnsi="Traditional Arabic" w:cs="Traditional Arabic" w:hint="cs"/>
          <w:color w:val="000000" w:themeColor="text1"/>
          <w:sz w:val="32"/>
          <w:szCs w:val="32"/>
          <w:rtl/>
        </w:rPr>
        <w:t>،</w:t>
      </w:r>
      <w:r w:rsidRPr="001E76CD">
        <w:rPr>
          <w:rFonts w:ascii="Traditional Arabic" w:hAnsi="Traditional Arabic" w:cs="Traditional Arabic"/>
          <w:color w:val="000000" w:themeColor="text1"/>
          <w:sz w:val="32"/>
          <w:szCs w:val="32"/>
          <w:rtl/>
        </w:rPr>
        <w:t xml:space="preserve"> وتتفق معظم الدراسات على أن فهم هذه الأنواع وتمييزها يُعدّ مدخلاً أساسياً لتحقيق الفاعلية في العملية القرارية، إذ إن كل نوع يتطلب أدوات تحليلية ومعلوماتية ومنهجيات مختلفة. وفيما يلي عرض لأبرز التصنيفات التي تناولها الباحثون</w:t>
      </w:r>
      <w:r w:rsidRPr="001E76CD">
        <w:rPr>
          <w:rFonts w:ascii="Traditional Arabic" w:hAnsi="Traditional Arabic" w:cs="Traditional Arabic"/>
          <w:color w:val="000000" w:themeColor="text1"/>
          <w:sz w:val="32"/>
          <w:szCs w:val="32"/>
        </w:rPr>
        <w:t>.</w:t>
      </w:r>
    </w:p>
    <w:p w14:paraId="656F4908" w14:textId="6A26EEAD" w:rsidR="001E76CD" w:rsidRPr="001E76CD" w:rsidRDefault="001E76CD" w:rsidP="001E76CD">
      <w:pPr>
        <w:bidi/>
        <w:spacing w:after="200" w:line="276" w:lineRule="auto"/>
        <w:jc w:val="both"/>
        <w:rPr>
          <w:rFonts w:ascii="Traditional Arabic" w:hAnsi="Traditional Arabic" w:cs="Traditional Arabic"/>
          <w:b/>
          <w:bCs/>
          <w:color w:val="000000" w:themeColor="text1"/>
          <w:sz w:val="32"/>
          <w:szCs w:val="32"/>
        </w:rPr>
      </w:pPr>
      <w:r>
        <w:rPr>
          <w:rFonts w:ascii="Traditional Arabic" w:hAnsi="Traditional Arabic" w:cs="Traditional Arabic" w:hint="cs"/>
          <w:b/>
          <w:bCs/>
          <w:color w:val="000000" w:themeColor="text1"/>
          <w:sz w:val="32"/>
          <w:szCs w:val="32"/>
          <w:rtl/>
        </w:rPr>
        <w:t>1-</w:t>
      </w:r>
      <w:r w:rsidRPr="001E76CD">
        <w:rPr>
          <w:rFonts w:ascii="Traditional Arabic" w:hAnsi="Traditional Arabic" w:cs="Traditional Arabic"/>
          <w:b/>
          <w:bCs/>
          <w:color w:val="000000" w:themeColor="text1"/>
          <w:sz w:val="32"/>
          <w:szCs w:val="32"/>
        </w:rPr>
        <w:t xml:space="preserve"> </w:t>
      </w:r>
      <w:r w:rsidRPr="001E76CD">
        <w:rPr>
          <w:rFonts w:ascii="Traditional Arabic" w:hAnsi="Traditional Arabic" w:cs="Traditional Arabic"/>
          <w:b/>
          <w:bCs/>
          <w:color w:val="000000" w:themeColor="text1"/>
          <w:sz w:val="32"/>
          <w:szCs w:val="32"/>
          <w:rtl/>
        </w:rPr>
        <w:t>القرارات الاستراتيجية التوجيهية</w:t>
      </w:r>
    </w:p>
    <w:p w14:paraId="4A03560A" w14:textId="2D2F2E30" w:rsidR="001E76CD" w:rsidRPr="001E76CD" w:rsidRDefault="001E76CD" w:rsidP="001E76CD">
      <w:pPr>
        <w:bidi/>
        <w:spacing w:after="200" w:line="276" w:lineRule="auto"/>
        <w:jc w:val="both"/>
        <w:rPr>
          <w:rFonts w:ascii="Traditional Arabic" w:hAnsi="Traditional Arabic" w:cs="Traditional Arabic"/>
          <w:color w:val="000000" w:themeColor="text1"/>
          <w:sz w:val="32"/>
          <w:szCs w:val="32"/>
        </w:rPr>
      </w:pPr>
      <w:r w:rsidRPr="001E76CD">
        <w:rPr>
          <w:rFonts w:ascii="Traditional Arabic" w:hAnsi="Traditional Arabic" w:cs="Traditional Arabic"/>
          <w:color w:val="000000" w:themeColor="text1"/>
          <w:sz w:val="32"/>
          <w:szCs w:val="32"/>
          <w:rtl/>
        </w:rPr>
        <w:t>يُشير النايف (2021) إلى أن القرارات التوجيهية هي تلك التي تتعلق برسم المسار العام للمنظمة وتحديد رؤيتها المستقبلية ورسالتها وغاياتها الكبرى، وهي قرارات تصدر عن أعلى المستويات القيادية وتُشكّل الإطار المرجعي الذي تنبثق منه جميع القرارات الأخرى على المستويات التكتيكية والتشغيلية</w:t>
      </w:r>
      <w:r>
        <w:rPr>
          <w:rFonts w:ascii="Traditional Arabic" w:hAnsi="Traditional Arabic" w:cs="Traditional Arabic" w:hint="cs"/>
          <w:color w:val="000000" w:themeColor="text1"/>
          <w:sz w:val="32"/>
          <w:szCs w:val="32"/>
          <w:rtl/>
        </w:rPr>
        <w:t>،</w:t>
      </w:r>
      <w:r w:rsidRPr="001E76CD">
        <w:rPr>
          <w:rFonts w:ascii="Traditional Arabic" w:hAnsi="Traditional Arabic" w:cs="Traditional Arabic"/>
          <w:color w:val="000000" w:themeColor="text1"/>
          <w:sz w:val="32"/>
          <w:szCs w:val="32"/>
          <w:rtl/>
        </w:rPr>
        <w:t xml:space="preserve"> وتتسم هذه القرارات بطابعها الشمولي وبُعدها الزمني الطويل الذي يمتد لسنوات أو عقود، وبصعوبة التراجع عنها بعد اتخاذها نظراً لضخامة الموارد المُرصدة لتنفيذها وارتباطها بالتزامات مؤسسية واسعة</w:t>
      </w:r>
      <w:r>
        <w:rPr>
          <w:rFonts w:ascii="Traditional Arabic" w:hAnsi="Traditional Arabic" w:cs="Traditional Arabic" w:hint="cs"/>
          <w:color w:val="000000" w:themeColor="text1"/>
          <w:sz w:val="32"/>
          <w:szCs w:val="32"/>
          <w:rtl/>
        </w:rPr>
        <w:t>، و</w:t>
      </w:r>
      <w:r w:rsidRPr="001E76CD">
        <w:rPr>
          <w:rFonts w:ascii="Traditional Arabic" w:hAnsi="Traditional Arabic" w:cs="Traditional Arabic"/>
          <w:color w:val="000000" w:themeColor="text1"/>
          <w:sz w:val="32"/>
          <w:szCs w:val="32"/>
          <w:rtl/>
        </w:rPr>
        <w:t xml:space="preserve">أن فاعلية هذا النوع تعتمد جوهرياً على مستوى الذكاء الاستراتيجي لدى صانع القرار وقدرته على استشراف المستقبل والموازنة بين الطموح </w:t>
      </w:r>
      <w:r w:rsidRPr="001E76CD">
        <w:rPr>
          <w:rFonts w:ascii="Traditional Arabic" w:hAnsi="Traditional Arabic" w:cs="Traditional Arabic"/>
          <w:color w:val="000000" w:themeColor="text1"/>
          <w:sz w:val="32"/>
          <w:szCs w:val="32"/>
          <w:rtl/>
        </w:rPr>
        <w:lastRenderedPageBreak/>
        <w:t xml:space="preserve">الاستراتيجي والواقعية التنفيذية، كما تتطلب قاعدة معلوماتية استشرافية شاملة تتجاوز البيانات التاريخية إلى التحليلات التنبؤية والسيناريوهات المستقبلية </w:t>
      </w:r>
      <w:r>
        <w:rPr>
          <w:rFonts w:ascii="Traditional Arabic" w:hAnsi="Traditional Arabic" w:cs="Traditional Arabic" w:hint="cs"/>
          <w:color w:val="000000" w:themeColor="text1"/>
          <w:sz w:val="32"/>
          <w:szCs w:val="32"/>
          <w:rtl/>
        </w:rPr>
        <w:t>.</w:t>
      </w:r>
    </w:p>
    <w:p w14:paraId="7D08A40E" w14:textId="4289B088" w:rsidR="001E76CD" w:rsidRPr="001E76CD" w:rsidRDefault="001E76CD" w:rsidP="001E76CD">
      <w:pPr>
        <w:bidi/>
        <w:spacing w:after="200" w:line="276" w:lineRule="auto"/>
        <w:jc w:val="both"/>
        <w:rPr>
          <w:rFonts w:ascii="Traditional Arabic" w:hAnsi="Traditional Arabic" w:cs="Traditional Arabic"/>
          <w:b/>
          <w:bCs/>
          <w:color w:val="000000" w:themeColor="text1"/>
          <w:sz w:val="32"/>
          <w:szCs w:val="32"/>
        </w:rPr>
      </w:pPr>
      <w:r>
        <w:rPr>
          <w:rFonts w:ascii="Traditional Arabic" w:hAnsi="Traditional Arabic" w:cs="Traditional Arabic" w:hint="cs"/>
          <w:b/>
          <w:bCs/>
          <w:color w:val="000000" w:themeColor="text1"/>
          <w:sz w:val="32"/>
          <w:szCs w:val="32"/>
          <w:rtl/>
        </w:rPr>
        <w:t>2-</w:t>
      </w:r>
      <w:r w:rsidRPr="001E76CD">
        <w:rPr>
          <w:rFonts w:ascii="Traditional Arabic" w:hAnsi="Traditional Arabic" w:cs="Traditional Arabic"/>
          <w:b/>
          <w:bCs/>
          <w:color w:val="000000" w:themeColor="text1"/>
          <w:sz w:val="32"/>
          <w:szCs w:val="32"/>
          <w:rtl/>
        </w:rPr>
        <w:t>القرارات الاستراتيجية التخصيصية</w:t>
      </w:r>
    </w:p>
    <w:p w14:paraId="4F8AB8E7" w14:textId="09BD363D" w:rsidR="001E76CD" w:rsidRPr="001E76CD" w:rsidRDefault="001E76CD" w:rsidP="001E76CD">
      <w:pPr>
        <w:bidi/>
        <w:spacing w:after="200" w:line="276" w:lineRule="auto"/>
        <w:jc w:val="both"/>
        <w:rPr>
          <w:rFonts w:ascii="Traditional Arabic" w:hAnsi="Traditional Arabic" w:cs="Traditional Arabic"/>
          <w:color w:val="000000" w:themeColor="text1"/>
          <w:sz w:val="32"/>
          <w:szCs w:val="32"/>
        </w:rPr>
      </w:pPr>
      <w:r>
        <w:rPr>
          <w:rFonts w:ascii="Traditional Arabic" w:hAnsi="Traditional Arabic" w:cs="Traditional Arabic" w:hint="cs"/>
          <w:color w:val="000000" w:themeColor="text1"/>
          <w:sz w:val="32"/>
          <w:szCs w:val="32"/>
          <w:rtl/>
        </w:rPr>
        <w:t>تتعلق</w:t>
      </w:r>
      <w:r w:rsidRPr="001E76CD">
        <w:rPr>
          <w:rFonts w:ascii="Traditional Arabic" w:hAnsi="Traditional Arabic" w:cs="Traditional Arabic"/>
          <w:color w:val="000000" w:themeColor="text1"/>
          <w:sz w:val="32"/>
          <w:szCs w:val="32"/>
          <w:rtl/>
        </w:rPr>
        <w:t xml:space="preserve"> القرارات التخصيصية بتحديد كيفية توزيع الموارد </w:t>
      </w:r>
      <w:r w:rsidR="00140115" w:rsidRPr="001E76CD">
        <w:rPr>
          <w:rFonts w:ascii="Traditional Arabic" w:hAnsi="Traditional Arabic" w:cs="Traditional Arabic" w:hint="cs"/>
          <w:color w:val="000000" w:themeColor="text1"/>
          <w:sz w:val="32"/>
          <w:szCs w:val="32"/>
          <w:rtl/>
        </w:rPr>
        <w:t>المحدودة المالية</w:t>
      </w:r>
      <w:r w:rsidRPr="001E76CD">
        <w:rPr>
          <w:rFonts w:ascii="Traditional Arabic" w:hAnsi="Traditional Arabic" w:cs="Traditional Arabic"/>
          <w:color w:val="000000" w:themeColor="text1"/>
          <w:sz w:val="32"/>
          <w:szCs w:val="32"/>
          <w:rtl/>
        </w:rPr>
        <w:t xml:space="preserve"> والبشرية والتقنية </w:t>
      </w:r>
      <w:r w:rsidR="00140115" w:rsidRPr="001E76CD">
        <w:rPr>
          <w:rFonts w:ascii="Traditional Arabic" w:hAnsi="Traditional Arabic" w:cs="Traditional Arabic" w:hint="cs"/>
          <w:color w:val="000000" w:themeColor="text1"/>
          <w:sz w:val="32"/>
          <w:szCs w:val="32"/>
          <w:rtl/>
        </w:rPr>
        <w:t>والزمنية بين</w:t>
      </w:r>
      <w:r w:rsidRPr="001E76CD">
        <w:rPr>
          <w:rFonts w:ascii="Traditional Arabic" w:hAnsi="Traditional Arabic" w:cs="Traditional Arabic"/>
          <w:color w:val="000000" w:themeColor="text1"/>
          <w:sz w:val="32"/>
          <w:szCs w:val="32"/>
          <w:rtl/>
        </w:rPr>
        <w:t xml:space="preserve"> الأولويات الاستراتيجية المتنافسة، وهي من أكثر القرارات تعقيداً لأنها تنطوي على مقايضات حتمية بين بدائل كلها تبدو مشروعة ومهمة لكن الموارد المتاحة لا تتسع لتمويلها جميعاً في آن واحد</w:t>
      </w:r>
      <w:r w:rsidRPr="001E76CD">
        <w:rPr>
          <w:rFonts w:ascii="Traditional Arabic" w:hAnsi="Traditional Arabic" w:cs="Traditional Arabic"/>
          <w:color w:val="000000" w:themeColor="text1"/>
          <w:sz w:val="32"/>
          <w:szCs w:val="32"/>
        </w:rPr>
        <w:t xml:space="preserve">. </w:t>
      </w:r>
      <w:r w:rsidRPr="001E76CD">
        <w:rPr>
          <w:rFonts w:ascii="Traditional Arabic" w:hAnsi="Traditional Arabic" w:cs="Traditional Arabic"/>
          <w:color w:val="000000" w:themeColor="text1"/>
          <w:sz w:val="32"/>
          <w:szCs w:val="32"/>
          <w:rtl/>
        </w:rPr>
        <w:t>ويتطلب هذا النوع من القرارات منهجية تحليلية صارمة تستند إلى بيانات دقيقة عن تكلفة كل بديل وعوائده المتوقعة ومخاطره المحتملة، بحيث يُبنى قرار التخصيص على أسس موضوعية وليس على اعتبارات شخصية أو ضغوط ظرفية. ويُشير الباحثان إلى أن المنظمات التي يمتلك مديروها توجهات استراتيجية واضحة تكون أكثر قدرة على اتخاذ قرارات تخصيصية رشيدة لأن الرؤية الاستراتيجية الواضحة تُوفّر معياراً ثابتاً للمفاضلة بين البدائل المتنافسة (إسماعيل والراشد، 2022</w:t>
      </w:r>
      <w:r>
        <w:rPr>
          <w:rFonts w:ascii="Traditional Arabic" w:hAnsi="Traditional Arabic" w:cs="Traditional Arabic" w:hint="cs"/>
          <w:color w:val="000000" w:themeColor="text1"/>
          <w:sz w:val="32"/>
          <w:szCs w:val="32"/>
          <w:rtl/>
        </w:rPr>
        <w:t>)</w:t>
      </w:r>
    </w:p>
    <w:p w14:paraId="2C841AC5" w14:textId="5B5487F6" w:rsidR="001E76CD" w:rsidRPr="001E76CD" w:rsidRDefault="001E76CD" w:rsidP="001E76CD">
      <w:pPr>
        <w:bidi/>
        <w:spacing w:after="200" w:line="276" w:lineRule="auto"/>
        <w:jc w:val="both"/>
        <w:rPr>
          <w:rFonts w:ascii="Traditional Arabic" w:hAnsi="Traditional Arabic" w:cs="Traditional Arabic"/>
          <w:b/>
          <w:bCs/>
          <w:color w:val="000000" w:themeColor="text1"/>
          <w:sz w:val="32"/>
          <w:szCs w:val="32"/>
        </w:rPr>
      </w:pPr>
      <w:r>
        <w:rPr>
          <w:rFonts w:ascii="Traditional Arabic" w:hAnsi="Traditional Arabic" w:cs="Traditional Arabic" w:hint="cs"/>
          <w:b/>
          <w:bCs/>
          <w:color w:val="000000" w:themeColor="text1"/>
          <w:sz w:val="32"/>
          <w:szCs w:val="32"/>
          <w:rtl/>
        </w:rPr>
        <w:t>3-</w:t>
      </w:r>
      <w:r w:rsidRPr="001E76CD">
        <w:rPr>
          <w:rFonts w:ascii="Traditional Arabic" w:hAnsi="Traditional Arabic" w:cs="Traditional Arabic"/>
          <w:b/>
          <w:bCs/>
          <w:color w:val="000000" w:themeColor="text1"/>
          <w:sz w:val="32"/>
          <w:szCs w:val="32"/>
        </w:rPr>
        <w:t xml:space="preserve"> </w:t>
      </w:r>
      <w:r w:rsidRPr="001E76CD">
        <w:rPr>
          <w:rFonts w:ascii="Traditional Arabic" w:hAnsi="Traditional Arabic" w:cs="Traditional Arabic"/>
          <w:b/>
          <w:bCs/>
          <w:color w:val="000000" w:themeColor="text1"/>
          <w:sz w:val="32"/>
          <w:szCs w:val="32"/>
          <w:rtl/>
        </w:rPr>
        <w:t>القرارات الاستراتيجية التنظيمية</w:t>
      </w:r>
    </w:p>
    <w:p w14:paraId="6303D141" w14:textId="7900391A" w:rsidR="001E76CD" w:rsidRPr="001E76CD" w:rsidRDefault="001E76CD" w:rsidP="001E76CD">
      <w:pPr>
        <w:bidi/>
        <w:spacing w:after="200" w:line="276" w:lineRule="auto"/>
        <w:jc w:val="both"/>
        <w:rPr>
          <w:rFonts w:ascii="Traditional Arabic" w:hAnsi="Traditional Arabic" w:cs="Traditional Arabic"/>
          <w:color w:val="000000" w:themeColor="text1"/>
          <w:sz w:val="32"/>
          <w:szCs w:val="32"/>
        </w:rPr>
      </w:pPr>
      <w:r>
        <w:rPr>
          <w:rFonts w:ascii="Traditional Arabic" w:hAnsi="Traditional Arabic" w:cs="Traditional Arabic" w:hint="cs"/>
          <w:color w:val="000000" w:themeColor="text1"/>
          <w:sz w:val="32"/>
          <w:szCs w:val="32"/>
          <w:rtl/>
        </w:rPr>
        <w:t>تتعلق</w:t>
      </w:r>
      <w:r w:rsidRPr="001E76CD">
        <w:rPr>
          <w:rFonts w:ascii="Traditional Arabic" w:hAnsi="Traditional Arabic" w:cs="Traditional Arabic"/>
          <w:color w:val="000000" w:themeColor="text1"/>
          <w:sz w:val="32"/>
          <w:szCs w:val="32"/>
          <w:rtl/>
        </w:rPr>
        <w:t xml:space="preserve"> القرارات التنظيمية بإعادة تصميم الهياكل التنظيمية والعمليات الإدارية الداخلية وتوزيع الصلاحيات وآليات التنسيق بين الوحدات الإدارية المختلفة. وتكتسب هذه القرارات أهمية خاصة في مراحل التحول المؤسسي لأن تبنّي توجهات استراتيجية جديدة يستوجب في أغلب الأحيان إحداث تعديلات جوهرية في البنية التنظيمية القائمة حتى تتوافق مع المتطلبات الجديدة</w:t>
      </w:r>
      <w:r>
        <w:rPr>
          <w:rFonts w:ascii="Traditional Arabic" w:hAnsi="Traditional Arabic" w:cs="Traditional Arabic" w:hint="cs"/>
          <w:color w:val="000000" w:themeColor="text1"/>
          <w:sz w:val="32"/>
          <w:szCs w:val="32"/>
          <w:rtl/>
        </w:rPr>
        <w:t>،</w:t>
      </w:r>
      <w:r w:rsidRPr="001E76CD">
        <w:rPr>
          <w:rFonts w:ascii="Traditional Arabic" w:hAnsi="Traditional Arabic" w:cs="Traditional Arabic"/>
          <w:color w:val="000000" w:themeColor="text1"/>
          <w:sz w:val="32"/>
          <w:szCs w:val="32"/>
          <w:rtl/>
        </w:rPr>
        <w:t xml:space="preserve"> ويُشير الباحثون إلى أن فاعلية هذه القرارات ترتبط بمدى تمكين الموارد البشرية وإشراكها في عملية التغيير، لأن أي إعادة هيكلة تُفرض دون تهيئة العاملين وتأهيلهم تُقابل بمقاومة تُعطّل التنفيذ وتُفرغ القرار من مضمونه حتى لو كان صائباً في تصميمه النظري (العزب وقدري ومتولى، 2023)</w:t>
      </w:r>
      <w:r w:rsidRPr="001E76CD">
        <w:rPr>
          <w:rFonts w:ascii="Traditional Arabic" w:hAnsi="Traditional Arabic" w:cs="Traditional Arabic"/>
          <w:color w:val="000000" w:themeColor="text1"/>
          <w:sz w:val="32"/>
          <w:szCs w:val="32"/>
        </w:rPr>
        <w:t>.</w:t>
      </w:r>
    </w:p>
    <w:p w14:paraId="4D78EBC0" w14:textId="7D7D3FEB" w:rsidR="001E76CD" w:rsidRPr="001E76CD" w:rsidRDefault="001E76CD" w:rsidP="001E76CD">
      <w:pPr>
        <w:bidi/>
        <w:spacing w:after="200" w:line="276" w:lineRule="auto"/>
        <w:jc w:val="both"/>
        <w:rPr>
          <w:rFonts w:ascii="Traditional Arabic" w:hAnsi="Traditional Arabic" w:cs="Traditional Arabic"/>
          <w:b/>
          <w:bCs/>
          <w:color w:val="000000" w:themeColor="text1"/>
          <w:sz w:val="32"/>
          <w:szCs w:val="32"/>
        </w:rPr>
      </w:pPr>
      <w:r>
        <w:rPr>
          <w:rFonts w:ascii="Traditional Arabic" w:hAnsi="Traditional Arabic" w:cs="Traditional Arabic" w:hint="cs"/>
          <w:b/>
          <w:bCs/>
          <w:color w:val="000000" w:themeColor="text1"/>
          <w:sz w:val="32"/>
          <w:szCs w:val="32"/>
          <w:rtl/>
        </w:rPr>
        <w:t>4-</w:t>
      </w:r>
      <w:r w:rsidRPr="001E76CD">
        <w:rPr>
          <w:rFonts w:ascii="Traditional Arabic" w:hAnsi="Traditional Arabic" w:cs="Traditional Arabic"/>
          <w:b/>
          <w:bCs/>
          <w:color w:val="000000" w:themeColor="text1"/>
          <w:sz w:val="32"/>
          <w:szCs w:val="32"/>
        </w:rPr>
        <w:t xml:space="preserve"> </w:t>
      </w:r>
      <w:r w:rsidRPr="001E76CD">
        <w:rPr>
          <w:rFonts w:ascii="Traditional Arabic" w:hAnsi="Traditional Arabic" w:cs="Traditional Arabic"/>
          <w:b/>
          <w:bCs/>
          <w:color w:val="000000" w:themeColor="text1"/>
          <w:sz w:val="32"/>
          <w:szCs w:val="32"/>
          <w:rtl/>
        </w:rPr>
        <w:t>القرارات الاستراتيجية التكيّفية</w:t>
      </w:r>
    </w:p>
    <w:p w14:paraId="32F8F23A" w14:textId="490A1747" w:rsidR="001E76CD" w:rsidRPr="001E76CD" w:rsidRDefault="001E76CD" w:rsidP="001E76CD">
      <w:pPr>
        <w:bidi/>
        <w:spacing w:after="200" w:line="276" w:lineRule="auto"/>
        <w:jc w:val="both"/>
        <w:rPr>
          <w:rFonts w:ascii="Traditional Arabic" w:hAnsi="Traditional Arabic" w:cs="Traditional Arabic"/>
          <w:color w:val="000000" w:themeColor="text1"/>
          <w:sz w:val="32"/>
          <w:szCs w:val="32"/>
        </w:rPr>
      </w:pPr>
      <w:r w:rsidRPr="001E76CD">
        <w:rPr>
          <w:rFonts w:ascii="Traditional Arabic" w:hAnsi="Traditional Arabic" w:cs="Traditional Arabic"/>
          <w:color w:val="000000" w:themeColor="text1"/>
          <w:sz w:val="32"/>
          <w:szCs w:val="32"/>
          <w:rtl/>
        </w:rPr>
        <w:t xml:space="preserve">أن القرارات التكيّفية هي تلك التي تُتخذ استجابةً لتغيرات جوهرية في البيئة الخارجية تستوجب تعديل المسار الاستراتيجي أو إعادة ترتيب الأولويات، وهي تختلف عن القرارات التوجيهية في كونها ردود فعل استراتيجية على متغيرات لم تكن متوقعة أو كانت متوقعة لكن حدتها تجاوزت التقديرات الأولية. ويتطلب هذا النوع </w:t>
      </w:r>
      <w:r w:rsidRPr="001E76CD">
        <w:rPr>
          <w:rFonts w:ascii="Traditional Arabic" w:hAnsi="Traditional Arabic" w:cs="Traditional Arabic"/>
          <w:color w:val="000000" w:themeColor="text1"/>
          <w:sz w:val="32"/>
          <w:szCs w:val="32"/>
          <w:rtl/>
        </w:rPr>
        <w:lastRenderedPageBreak/>
        <w:t>قدرة عالية على الاستشعار البيئي وسرعة في معالجة المعلومات واتخاذ القرار دون التضحية بعمق التحليل، وهو ما يُمثّل تحدياً خاصاً في القطاع الحكومي الذي يتسم عادةً ببيروقراطية إجرائية تُبطئ من سرعة الاستجابة</w:t>
      </w:r>
      <w:r w:rsidRPr="001E76CD">
        <w:rPr>
          <w:rFonts w:ascii="Traditional Arabic" w:hAnsi="Traditional Arabic" w:cs="Traditional Arabic"/>
          <w:color w:val="000000" w:themeColor="text1"/>
          <w:sz w:val="32"/>
          <w:szCs w:val="32"/>
        </w:rPr>
        <w:t xml:space="preserve">. </w:t>
      </w:r>
      <w:r w:rsidRPr="001E76CD">
        <w:rPr>
          <w:rFonts w:ascii="Traditional Arabic" w:hAnsi="Traditional Arabic" w:cs="Traditional Arabic"/>
          <w:color w:val="000000" w:themeColor="text1"/>
          <w:sz w:val="32"/>
          <w:szCs w:val="32"/>
          <w:rtl/>
        </w:rPr>
        <w:t>ويُؤكد الباحثان أن الذكاء الاستراتيجي يُعدّ عاملاً حاسماً في فاعلية القرارات التكيّفية لأنه يُمكّن صانع القرار من التمييز بين التغيرات البيئية العابرة التي لا تستوجب تعديلاً استراتيجياً والتغيرات البنيوية العميقة التي تفرض إعادة تفكير جذرية في المسار (</w:t>
      </w:r>
      <w:proofErr w:type="spellStart"/>
      <w:r w:rsidRPr="001E76CD">
        <w:rPr>
          <w:rFonts w:ascii="Traditional Arabic" w:hAnsi="Traditional Arabic" w:cs="Traditional Arabic"/>
          <w:color w:val="000000" w:themeColor="text1"/>
          <w:sz w:val="32"/>
          <w:szCs w:val="32"/>
          <w:rtl/>
        </w:rPr>
        <w:t>العثامنة</w:t>
      </w:r>
      <w:proofErr w:type="spellEnd"/>
      <w:r w:rsidRPr="001E76CD">
        <w:rPr>
          <w:rFonts w:ascii="Traditional Arabic" w:hAnsi="Traditional Arabic" w:cs="Traditional Arabic"/>
          <w:color w:val="000000" w:themeColor="text1"/>
          <w:sz w:val="32"/>
          <w:szCs w:val="32"/>
          <w:rtl/>
        </w:rPr>
        <w:t xml:space="preserve"> وبطاينة، 2022)</w:t>
      </w:r>
      <w:r w:rsidRPr="001E76CD">
        <w:rPr>
          <w:rFonts w:ascii="Traditional Arabic" w:hAnsi="Traditional Arabic" w:cs="Traditional Arabic"/>
          <w:color w:val="000000" w:themeColor="text1"/>
          <w:sz w:val="32"/>
          <w:szCs w:val="32"/>
        </w:rPr>
        <w:t>.</w:t>
      </w:r>
    </w:p>
    <w:p w14:paraId="0190AC7A" w14:textId="5F31DA94" w:rsidR="001E76CD" w:rsidRPr="001E76CD" w:rsidRDefault="001E76CD" w:rsidP="001E76CD">
      <w:pPr>
        <w:bidi/>
        <w:spacing w:after="200" w:line="276" w:lineRule="auto"/>
        <w:jc w:val="both"/>
        <w:rPr>
          <w:rFonts w:ascii="Traditional Arabic" w:hAnsi="Traditional Arabic" w:cs="Traditional Arabic"/>
          <w:b/>
          <w:bCs/>
          <w:color w:val="000000" w:themeColor="text1"/>
          <w:sz w:val="32"/>
          <w:szCs w:val="32"/>
        </w:rPr>
      </w:pPr>
      <w:r>
        <w:rPr>
          <w:rFonts w:ascii="Traditional Arabic" w:hAnsi="Traditional Arabic" w:cs="Traditional Arabic" w:hint="cs"/>
          <w:b/>
          <w:bCs/>
          <w:color w:val="000000" w:themeColor="text1"/>
          <w:sz w:val="32"/>
          <w:szCs w:val="32"/>
          <w:rtl/>
        </w:rPr>
        <w:t>5-</w:t>
      </w:r>
      <w:r w:rsidRPr="001E76CD">
        <w:rPr>
          <w:rFonts w:ascii="Traditional Arabic" w:hAnsi="Traditional Arabic" w:cs="Traditional Arabic"/>
          <w:b/>
          <w:bCs/>
          <w:color w:val="000000" w:themeColor="text1"/>
          <w:sz w:val="32"/>
          <w:szCs w:val="32"/>
        </w:rPr>
        <w:t xml:space="preserve"> </w:t>
      </w:r>
      <w:r w:rsidRPr="001E76CD">
        <w:rPr>
          <w:rFonts w:ascii="Traditional Arabic" w:hAnsi="Traditional Arabic" w:cs="Traditional Arabic"/>
          <w:b/>
          <w:bCs/>
          <w:color w:val="000000" w:themeColor="text1"/>
          <w:sz w:val="32"/>
          <w:szCs w:val="32"/>
          <w:rtl/>
        </w:rPr>
        <w:t>القرارات الاستراتيجية التشاركية</w:t>
      </w:r>
    </w:p>
    <w:p w14:paraId="26357B18" w14:textId="6994C2A4" w:rsidR="001E76CD" w:rsidRPr="001E76CD" w:rsidRDefault="001E76CD" w:rsidP="001E76CD">
      <w:pPr>
        <w:bidi/>
        <w:spacing w:after="200" w:line="276" w:lineRule="auto"/>
        <w:jc w:val="both"/>
        <w:rPr>
          <w:rFonts w:ascii="Traditional Arabic" w:hAnsi="Traditional Arabic" w:cs="Traditional Arabic"/>
          <w:color w:val="000000" w:themeColor="text1"/>
          <w:sz w:val="32"/>
          <w:szCs w:val="32"/>
        </w:rPr>
      </w:pPr>
      <w:r w:rsidRPr="001E76CD">
        <w:rPr>
          <w:rFonts w:ascii="Traditional Arabic" w:hAnsi="Traditional Arabic" w:cs="Traditional Arabic"/>
          <w:color w:val="000000" w:themeColor="text1"/>
          <w:sz w:val="32"/>
          <w:szCs w:val="32"/>
          <w:rtl/>
        </w:rPr>
        <w:t xml:space="preserve">أن القرارات التشاركية هي تلك التي يُشارك في صنعها أكثر من مستوى إداري أو أكثر من جهة مؤسسية، وهي تنطلق من مبدأ أن تعقيد القضايا الاستراتيجية يتجاوز قدرة أي فرد أو جهة واحدة على الإحاطة بجميع جوانبها، مما يستوجب توسيع دائرة المشاركة في صنع القرار لتشمل أصحاب الخبرة والاختصاص والأطراف المتأثرة بالقرار. ويُشير الباحثان إلى أن فاعلية هذا النوع تتوقف على جودة آليات التشاور والتنسيق بين الأطراف المشاركة، فالمشاركة الشكلية التي لا تُتيح حواراً حقيقياً ولا تأخذ بالآراء المطروحة لا تُضيف قيمة بل قد تُبطئ العملية القرارية دون تحسين جودتها. ويُنبّه جلاب وداخل إلى أن من أبرز مزالق التخطيط الاستراتيجي تجاهل مبدأ المشاركة أو اختزاله في إجراء شكلي، مما يُنتج قرارات تفتقر إلى القبول التنظيمي وتواجه مقاومة عند التنفيذ </w:t>
      </w:r>
      <w:r>
        <w:rPr>
          <w:rFonts w:ascii="Traditional Arabic" w:hAnsi="Traditional Arabic" w:cs="Traditional Arabic" w:hint="cs"/>
          <w:color w:val="000000" w:themeColor="text1"/>
          <w:sz w:val="32"/>
          <w:szCs w:val="32"/>
          <w:rtl/>
        </w:rPr>
        <w:t>(</w:t>
      </w:r>
      <w:r w:rsidRPr="001E76CD">
        <w:rPr>
          <w:rFonts w:ascii="Traditional Arabic" w:hAnsi="Traditional Arabic" w:cs="Traditional Arabic"/>
          <w:color w:val="000000" w:themeColor="text1"/>
          <w:sz w:val="32"/>
          <w:szCs w:val="32"/>
          <w:rtl/>
        </w:rPr>
        <w:t>جلاب وداخل، 2021</w:t>
      </w:r>
      <w:r>
        <w:rPr>
          <w:rFonts w:ascii="Traditional Arabic" w:hAnsi="Traditional Arabic" w:cs="Traditional Arabic" w:hint="cs"/>
          <w:color w:val="000000" w:themeColor="text1"/>
          <w:sz w:val="32"/>
          <w:szCs w:val="32"/>
          <w:rtl/>
        </w:rPr>
        <w:t>).</w:t>
      </w:r>
    </w:p>
    <w:p w14:paraId="0ABCE2B6" w14:textId="59E8B23B" w:rsidR="001E76CD" w:rsidRPr="001E76CD" w:rsidRDefault="00E57A74" w:rsidP="00E57A74">
      <w:pPr>
        <w:bidi/>
        <w:spacing w:after="200" w:line="276" w:lineRule="auto"/>
        <w:jc w:val="both"/>
        <w:rPr>
          <w:rFonts w:ascii="Traditional Arabic" w:hAnsi="Traditional Arabic" w:cs="Traditional Arabic"/>
          <w:b/>
          <w:bCs/>
          <w:color w:val="000000" w:themeColor="text1"/>
          <w:sz w:val="32"/>
          <w:szCs w:val="32"/>
        </w:rPr>
      </w:pPr>
      <w:r>
        <w:rPr>
          <w:rFonts w:ascii="Traditional Arabic" w:hAnsi="Traditional Arabic" w:cs="Traditional Arabic" w:hint="cs"/>
          <w:b/>
          <w:bCs/>
          <w:color w:val="000000" w:themeColor="text1"/>
          <w:sz w:val="32"/>
          <w:szCs w:val="32"/>
          <w:rtl/>
        </w:rPr>
        <w:t>6-</w:t>
      </w:r>
      <w:r>
        <w:rPr>
          <w:rFonts w:ascii="Traditional Arabic" w:hAnsi="Traditional Arabic" w:cs="Traditional Arabic"/>
          <w:b/>
          <w:bCs/>
          <w:color w:val="000000" w:themeColor="text1"/>
          <w:sz w:val="32"/>
          <w:szCs w:val="32"/>
        </w:rPr>
        <w:t xml:space="preserve"> </w:t>
      </w:r>
      <w:r w:rsidR="001E76CD" w:rsidRPr="001E76CD">
        <w:rPr>
          <w:rFonts w:ascii="Traditional Arabic" w:hAnsi="Traditional Arabic" w:cs="Traditional Arabic"/>
          <w:b/>
          <w:bCs/>
          <w:color w:val="000000" w:themeColor="text1"/>
          <w:sz w:val="32"/>
          <w:szCs w:val="32"/>
        </w:rPr>
        <w:t xml:space="preserve"> </w:t>
      </w:r>
      <w:r w:rsidR="001E76CD" w:rsidRPr="001E76CD">
        <w:rPr>
          <w:rFonts w:ascii="Traditional Arabic" w:hAnsi="Traditional Arabic" w:cs="Traditional Arabic"/>
          <w:b/>
          <w:bCs/>
          <w:color w:val="000000" w:themeColor="text1"/>
          <w:sz w:val="32"/>
          <w:szCs w:val="32"/>
          <w:rtl/>
        </w:rPr>
        <w:t>القرارات الاستراتيجية الرقابية والتقييمية</w:t>
      </w:r>
    </w:p>
    <w:p w14:paraId="0B521D69" w14:textId="03C3BB8B" w:rsidR="001E76CD" w:rsidRPr="001E76CD" w:rsidRDefault="001E76CD" w:rsidP="001E76CD">
      <w:pPr>
        <w:bidi/>
        <w:spacing w:after="200" w:line="276" w:lineRule="auto"/>
        <w:jc w:val="both"/>
        <w:rPr>
          <w:rFonts w:ascii="Traditional Arabic" w:hAnsi="Traditional Arabic" w:cs="Traditional Arabic"/>
          <w:color w:val="000000" w:themeColor="text1"/>
          <w:sz w:val="32"/>
          <w:szCs w:val="32"/>
        </w:rPr>
      </w:pPr>
      <w:r w:rsidRPr="001E76CD">
        <w:rPr>
          <w:rFonts w:ascii="Traditional Arabic" w:hAnsi="Traditional Arabic" w:cs="Traditional Arabic"/>
          <w:color w:val="000000" w:themeColor="text1"/>
          <w:sz w:val="32"/>
          <w:szCs w:val="32"/>
          <w:rtl/>
        </w:rPr>
        <w:t>أن القرارات الرقابية والتقييمية هي تلك التي تتعلق بمراجعة أداء الاستراتيجيات القائمة وتقييم مدى تحقيقها لأهدافها المرسومة وتحديد الانحرافات واتخاذ الإجراءات التصحيحية اللازمة. وهذا النوع يُغلق حلقة التغذية الراجعة في العملية الاستراتيجية ويضمن عدم استمرار المنظمة في مسار استراتيجي ثبت عدم جدواه</w:t>
      </w:r>
      <w:r w:rsidRPr="001E76CD">
        <w:rPr>
          <w:rFonts w:ascii="Traditional Arabic" w:hAnsi="Traditional Arabic" w:cs="Traditional Arabic"/>
          <w:color w:val="000000" w:themeColor="text1"/>
          <w:sz w:val="32"/>
          <w:szCs w:val="32"/>
        </w:rPr>
        <w:t xml:space="preserve">. </w:t>
      </w:r>
      <w:r w:rsidRPr="001E76CD">
        <w:rPr>
          <w:rFonts w:ascii="Traditional Arabic" w:hAnsi="Traditional Arabic" w:cs="Traditional Arabic"/>
          <w:color w:val="000000" w:themeColor="text1"/>
          <w:sz w:val="32"/>
          <w:szCs w:val="32"/>
          <w:rtl/>
        </w:rPr>
        <w:t>ويُؤكد الباحثان أن التحول الرقمي قد أحدث نقلة نوعية في هذا النوع من القرارات من خلال توفير لوحات تحكم رقمية ومؤشرات أداء آنية تُتيح للقيادات الإدارية تتبّع مسار تنفيذ القرارات الاستراتيجية لحظة بلحظة واكتشاف الانحرافات مبكراً بدلاً من الانتظار حتى نهاية دورة التقييم التقليدية التي قد تمتد لأشهر أو سنوات (</w:t>
      </w:r>
      <w:proofErr w:type="spellStart"/>
      <w:r w:rsidRPr="001E76CD">
        <w:rPr>
          <w:rFonts w:ascii="Traditional Arabic" w:hAnsi="Traditional Arabic" w:cs="Traditional Arabic"/>
          <w:color w:val="000000" w:themeColor="text1"/>
          <w:sz w:val="32"/>
          <w:szCs w:val="32"/>
          <w:rtl/>
        </w:rPr>
        <w:t>موافي</w:t>
      </w:r>
      <w:proofErr w:type="spellEnd"/>
      <w:r w:rsidRPr="001E76CD">
        <w:rPr>
          <w:rFonts w:ascii="Traditional Arabic" w:hAnsi="Traditional Arabic" w:cs="Traditional Arabic"/>
          <w:color w:val="000000" w:themeColor="text1"/>
          <w:sz w:val="32"/>
          <w:szCs w:val="32"/>
          <w:rtl/>
        </w:rPr>
        <w:t xml:space="preserve"> وبدوي، 2024)</w:t>
      </w:r>
      <w:r w:rsidRPr="001E76CD">
        <w:rPr>
          <w:rFonts w:ascii="Traditional Arabic" w:hAnsi="Traditional Arabic" w:cs="Traditional Arabic"/>
          <w:color w:val="000000" w:themeColor="text1"/>
          <w:sz w:val="32"/>
          <w:szCs w:val="32"/>
        </w:rPr>
        <w:t>.</w:t>
      </w:r>
    </w:p>
    <w:p w14:paraId="562D56E5" w14:textId="0B0CCE90" w:rsidR="001E76CD" w:rsidRDefault="00E57A74" w:rsidP="00E57A74">
      <w:pPr>
        <w:bidi/>
        <w:spacing w:after="200" w:line="276" w:lineRule="auto"/>
        <w:jc w:val="both"/>
        <w:rPr>
          <w:rFonts w:ascii="Traditional Arabic" w:hAnsi="Traditional Arabic" w:cs="Traditional Arabic"/>
          <w:color w:val="000000" w:themeColor="text1"/>
          <w:sz w:val="32"/>
          <w:szCs w:val="32"/>
          <w:rtl/>
        </w:rPr>
      </w:pPr>
      <w:r>
        <w:rPr>
          <w:rFonts w:ascii="Traditional Arabic" w:hAnsi="Traditional Arabic" w:cs="Traditional Arabic" w:hint="cs"/>
          <w:b/>
          <w:bCs/>
          <w:color w:val="000000" w:themeColor="text1"/>
          <w:sz w:val="32"/>
          <w:szCs w:val="32"/>
          <w:rtl/>
        </w:rPr>
        <w:lastRenderedPageBreak/>
        <w:t>و</w:t>
      </w:r>
      <w:r w:rsidR="001E76CD" w:rsidRPr="001E76CD">
        <w:rPr>
          <w:rFonts w:ascii="Traditional Arabic" w:hAnsi="Traditional Arabic" w:cs="Traditional Arabic"/>
          <w:color w:val="000000" w:themeColor="text1"/>
          <w:sz w:val="32"/>
          <w:szCs w:val="32"/>
          <w:rtl/>
        </w:rPr>
        <w:t>يرى الباحث أن وزارات الصناعة بدول مجلس التعاون الخليجي تتعامل مع جميع هذه الأنواع من القرارات الاستراتيجية بشكل متزامن ومتداخل، وهو ما يزيد من تعقيد العملية القرارية ويُضاعف الحاجة إلى منظومة معلوماتية شفافة وبنية رقمية متقدمة</w:t>
      </w:r>
      <w:r w:rsidR="001E76CD" w:rsidRPr="001E76CD">
        <w:rPr>
          <w:rFonts w:ascii="Traditional Arabic" w:hAnsi="Traditional Arabic" w:cs="Traditional Arabic"/>
          <w:color w:val="000000" w:themeColor="text1"/>
          <w:sz w:val="32"/>
          <w:szCs w:val="32"/>
        </w:rPr>
        <w:t xml:space="preserve">. </w:t>
      </w:r>
      <w:r w:rsidR="001E76CD" w:rsidRPr="001E76CD">
        <w:rPr>
          <w:rFonts w:ascii="Traditional Arabic" w:hAnsi="Traditional Arabic" w:cs="Traditional Arabic"/>
          <w:color w:val="000000" w:themeColor="text1"/>
          <w:sz w:val="32"/>
          <w:szCs w:val="32"/>
          <w:rtl/>
        </w:rPr>
        <w:t xml:space="preserve">فهذه الوزارات تتخذ قرارات توجيهية تتعلق بترجمة الرؤى الوطنية الطموحة كرؤية 2030 السعودية ورؤية الإمارات المئوية إلى سياسات صناعية محددة، وقرارات تخصيصية تتعلق بتوزيع موارد الدعم الحكومي بين برامج التحول الرقمي وبرامج تطوير البنية التحتية التقليدية وبرامج تأهيل الكوادر الوطنية، وقرارات تنظيمية تتعلق بإعادة هيكلة الأجهزة الوزارية لاستيعاب وحدات جديدة متخصصة بالذكاء الاصطناعي الصناعي والأتمتة المتقدمة، وقرارات تكيّفية تتعلق بالاستجابة للتحولات المتسارعة في أسواق الطاقة العالمية وسلاسل الإمداد الدولية، وقرارات تشاركية تتعلق بالتنسيق مع القطاع الخاص والمنظمات الدولية والمؤسسات الأكاديمية في رسم السياسات الصناعية، وقرارات ابتكارية تتعلق بتبنّي نماذج صناعية غير مسبوقة كالمصانع الذكية ومراكز التميز التقني، وقرارات رقابية تتعلق بتقييم أثر البرامج الصناعية القائمة وتعديل مساراتها. </w:t>
      </w:r>
    </w:p>
    <w:p w14:paraId="6390DBE2" w14:textId="77777777" w:rsidR="00E57A74" w:rsidRPr="00E57A74" w:rsidRDefault="00E57A74" w:rsidP="00E57A74">
      <w:pPr>
        <w:bidi/>
        <w:spacing w:after="200" w:line="276" w:lineRule="auto"/>
        <w:jc w:val="both"/>
        <w:rPr>
          <w:rFonts w:ascii="Traditional Arabic" w:hAnsi="Traditional Arabic" w:cs="Traditional Arabic"/>
          <w:b/>
          <w:bCs/>
          <w:color w:val="000000" w:themeColor="text1"/>
          <w:sz w:val="32"/>
          <w:szCs w:val="32"/>
        </w:rPr>
      </w:pPr>
      <w:r w:rsidRPr="00E57A74">
        <w:rPr>
          <w:rFonts w:ascii="Traditional Arabic" w:hAnsi="Traditional Arabic" w:cs="Traditional Arabic"/>
          <w:b/>
          <w:bCs/>
          <w:color w:val="000000" w:themeColor="text1"/>
          <w:sz w:val="32"/>
          <w:szCs w:val="32"/>
          <w:rtl/>
        </w:rPr>
        <w:t>أبعاد فاعلية اتخاذ القرار الاستراتيجي</w:t>
      </w:r>
    </w:p>
    <w:p w14:paraId="47504BBC" w14:textId="6613B22B" w:rsidR="00E57A74" w:rsidRPr="00E57A74" w:rsidRDefault="00E57A74" w:rsidP="00E57A74">
      <w:pPr>
        <w:bidi/>
        <w:spacing w:after="200" w:line="276" w:lineRule="auto"/>
        <w:jc w:val="both"/>
        <w:rPr>
          <w:rFonts w:ascii="Traditional Arabic" w:hAnsi="Traditional Arabic" w:cs="Traditional Arabic"/>
          <w:color w:val="000000" w:themeColor="text1"/>
          <w:sz w:val="32"/>
          <w:szCs w:val="32"/>
        </w:rPr>
      </w:pPr>
      <w:r w:rsidRPr="00E57A74">
        <w:rPr>
          <w:rFonts w:ascii="Traditional Arabic" w:hAnsi="Traditional Arabic" w:cs="Traditional Arabic"/>
          <w:color w:val="000000" w:themeColor="text1"/>
          <w:sz w:val="32"/>
          <w:szCs w:val="32"/>
          <w:rtl/>
        </w:rPr>
        <w:t>تم تحديد أبعاد فاعلية اتخاذ القرار الاستراتيجي في هذه الدراسة بناءً على مراجعة تحليلية معمّقة لدراسة</w:t>
      </w:r>
      <w:r w:rsidRPr="00E57A74">
        <w:rPr>
          <w:rFonts w:ascii="Traditional Arabic" w:hAnsi="Traditional Arabic" w:cs="Traditional Arabic"/>
          <w:color w:val="000000" w:themeColor="text1"/>
          <w:sz w:val="32"/>
          <w:szCs w:val="32"/>
        </w:rPr>
        <w:t xml:space="preserve"> </w:t>
      </w:r>
      <w:proofErr w:type="spellStart"/>
      <w:r w:rsidRPr="00E57A74">
        <w:rPr>
          <w:rFonts w:ascii="Traditional Arabic" w:hAnsi="Traditional Arabic" w:cs="Traditional Arabic"/>
          <w:color w:val="000000" w:themeColor="text1"/>
          <w:sz w:val="32"/>
          <w:szCs w:val="32"/>
        </w:rPr>
        <w:t>Yulion</w:t>
      </w:r>
      <w:proofErr w:type="spellEnd"/>
      <w:r w:rsidRPr="00E57A74">
        <w:rPr>
          <w:rFonts w:ascii="Traditional Arabic" w:hAnsi="Traditional Arabic" w:cs="Traditional Arabic"/>
          <w:color w:val="000000" w:themeColor="text1"/>
          <w:sz w:val="32"/>
          <w:szCs w:val="32"/>
        </w:rPr>
        <w:t xml:space="preserve"> et al. (2024) </w:t>
      </w:r>
      <w:r w:rsidRPr="00E57A74">
        <w:rPr>
          <w:rFonts w:ascii="Traditional Arabic" w:hAnsi="Traditional Arabic" w:cs="Traditional Arabic"/>
          <w:color w:val="000000" w:themeColor="text1"/>
          <w:sz w:val="32"/>
          <w:szCs w:val="32"/>
          <w:rtl/>
        </w:rPr>
        <w:t>التي فحصت آليات اتخاذ القرار في استراتيجية الأعمال وخلصت إلى أن فاعلية القرار الاستراتيجي لا تتحقق إلا بتكامل ثلاث قدرات جوهرية هي</w:t>
      </w:r>
      <w:r w:rsidRPr="00E57A74">
        <w:rPr>
          <w:rFonts w:ascii="Traditional Arabic" w:hAnsi="Traditional Arabic" w:cs="Traditional Arabic"/>
          <w:color w:val="000000" w:themeColor="text1"/>
          <w:sz w:val="32"/>
          <w:szCs w:val="32"/>
        </w:rPr>
        <w:t xml:space="preserve">: </w:t>
      </w:r>
      <w:r w:rsidRPr="00E57A74">
        <w:rPr>
          <w:rFonts w:ascii="Traditional Arabic" w:hAnsi="Traditional Arabic" w:cs="Traditional Arabic"/>
          <w:color w:val="000000" w:themeColor="text1"/>
          <w:sz w:val="32"/>
          <w:szCs w:val="32"/>
          <w:rtl/>
        </w:rPr>
        <w:t>إدراك صانع القرار للسياق الاستراتيجي الذي يعمل فيه، وقدرته على التكيّف مع التحولات البيئية المتسارعة، وكفاءته في التفاعل مع البيانات والمعلومات واستخلاص رؤى قابلة للتنفيذ منها</w:t>
      </w:r>
      <w:r>
        <w:rPr>
          <w:rFonts w:ascii="Traditional Arabic" w:hAnsi="Traditional Arabic" w:cs="Traditional Arabic" w:hint="cs"/>
          <w:color w:val="000000" w:themeColor="text1"/>
          <w:sz w:val="32"/>
          <w:szCs w:val="32"/>
          <w:rtl/>
        </w:rPr>
        <w:t>،</w:t>
      </w:r>
      <w:r w:rsidRPr="00E57A74">
        <w:rPr>
          <w:rFonts w:ascii="Traditional Arabic" w:hAnsi="Traditional Arabic" w:cs="Traditional Arabic"/>
          <w:color w:val="000000" w:themeColor="text1"/>
          <w:sz w:val="32"/>
          <w:szCs w:val="32"/>
          <w:rtl/>
        </w:rPr>
        <w:t xml:space="preserve"> كما استندت الدراسة إلى دراسة النايف </w:t>
      </w:r>
      <w:r w:rsidRPr="00E57A74">
        <w:rPr>
          <w:rFonts w:ascii="Traditional Arabic" w:hAnsi="Traditional Arabic" w:cs="Traditional Arabic"/>
          <w:color w:val="000000" w:themeColor="text1"/>
          <w:sz w:val="32"/>
          <w:szCs w:val="32"/>
        </w:rPr>
        <w:t xml:space="preserve">(2021) </w:t>
      </w:r>
      <w:r w:rsidRPr="00E57A74">
        <w:rPr>
          <w:rFonts w:ascii="Traditional Arabic" w:hAnsi="Traditional Arabic" w:cs="Traditional Arabic"/>
          <w:color w:val="000000" w:themeColor="text1"/>
          <w:sz w:val="32"/>
          <w:szCs w:val="32"/>
          <w:rtl/>
        </w:rPr>
        <w:t xml:space="preserve">التي بحثت العلاقة بين الذكاء الاستراتيجي واتخاذ القرار الإداري في البيئة الجامعية السعودية، وأثبتت أن فاعلية القرار تقوم على ثلاث ركائز متلازمة تتمثل في الوعي الاستشرافي العميق بالبيئة المحيطة، والمرونة في التعامل مع المتغيرات غير المتوقعة، والقدرة على تحويل المعلومات الخام إلى معرفة استراتيجية تدعم صنع القرار. وقد تقاطعت الدراستان في تأكيدهما أن فاعلية القرار الاستراتيجي بنية متعددة الأبعاد لا يمكن اختزالها في معيار واحد كالصواب أو الخطأ، بل تتطلب النظر في منظومة متكاملة من القدرات المعرفية والتحليلية والتكيّفية. واستناداً إلى هذه المراجعة المتكاملة تبنّى الباحث ثلاثة أبعاد رئيسية لقياس فاعلية اتخاذ القرار الاستراتيجي، </w:t>
      </w:r>
      <w:r w:rsidRPr="00E57A74">
        <w:rPr>
          <w:rFonts w:ascii="Traditional Arabic" w:hAnsi="Traditional Arabic" w:cs="Traditional Arabic"/>
          <w:color w:val="000000" w:themeColor="text1"/>
          <w:sz w:val="32"/>
          <w:szCs w:val="32"/>
          <w:rtl/>
        </w:rPr>
        <w:lastRenderedPageBreak/>
        <w:t>وهي: الوعي الاستراتيجي، والقدرة على التكيّف، والتفاعل مع البيانات والمعلومات</w:t>
      </w:r>
      <w:r w:rsidRPr="00E57A74">
        <w:rPr>
          <w:rFonts w:ascii="Traditional Arabic" w:hAnsi="Traditional Arabic" w:cs="Traditional Arabic"/>
          <w:color w:val="000000" w:themeColor="text1"/>
          <w:sz w:val="32"/>
          <w:szCs w:val="32"/>
        </w:rPr>
        <w:t xml:space="preserve"> (</w:t>
      </w:r>
      <w:proofErr w:type="spellStart"/>
      <w:r w:rsidRPr="00E57A74">
        <w:rPr>
          <w:rFonts w:ascii="Traditional Arabic" w:hAnsi="Traditional Arabic" w:cs="Traditional Arabic"/>
          <w:color w:val="000000" w:themeColor="text1"/>
          <w:sz w:val="32"/>
          <w:szCs w:val="32"/>
        </w:rPr>
        <w:t>Yulion</w:t>
      </w:r>
      <w:proofErr w:type="spellEnd"/>
      <w:r w:rsidRPr="00E57A74">
        <w:rPr>
          <w:rFonts w:ascii="Traditional Arabic" w:hAnsi="Traditional Arabic" w:cs="Traditional Arabic"/>
          <w:color w:val="000000" w:themeColor="text1"/>
          <w:sz w:val="32"/>
          <w:szCs w:val="32"/>
        </w:rPr>
        <w:t xml:space="preserve"> et al., 2024; </w:t>
      </w:r>
      <w:r w:rsidRPr="00E57A74">
        <w:rPr>
          <w:rFonts w:ascii="Traditional Arabic" w:hAnsi="Traditional Arabic" w:cs="Traditional Arabic"/>
          <w:color w:val="000000" w:themeColor="text1"/>
          <w:sz w:val="32"/>
          <w:szCs w:val="32"/>
          <w:rtl/>
        </w:rPr>
        <w:t>النايف، 2021</w:t>
      </w:r>
      <w:r>
        <w:rPr>
          <w:rFonts w:ascii="Traditional Arabic" w:hAnsi="Traditional Arabic" w:cs="Traditional Arabic"/>
          <w:color w:val="000000" w:themeColor="text1"/>
          <w:sz w:val="32"/>
          <w:szCs w:val="32"/>
        </w:rPr>
        <w:t>(</w:t>
      </w:r>
    </w:p>
    <w:p w14:paraId="4CA5A619" w14:textId="77777777" w:rsidR="00E57A74" w:rsidRPr="00E57A74" w:rsidRDefault="00E57A74" w:rsidP="00E57A74">
      <w:pPr>
        <w:bidi/>
        <w:spacing w:after="200" w:line="276" w:lineRule="auto"/>
        <w:jc w:val="both"/>
        <w:rPr>
          <w:rFonts w:ascii="Traditional Arabic" w:hAnsi="Traditional Arabic" w:cs="Traditional Arabic"/>
          <w:b/>
          <w:bCs/>
          <w:color w:val="000000" w:themeColor="text1"/>
          <w:sz w:val="32"/>
          <w:szCs w:val="32"/>
        </w:rPr>
      </w:pPr>
      <w:r w:rsidRPr="00E57A74">
        <w:rPr>
          <w:rFonts w:ascii="Traditional Arabic" w:hAnsi="Traditional Arabic" w:cs="Traditional Arabic"/>
          <w:b/>
          <w:bCs/>
          <w:color w:val="000000" w:themeColor="text1"/>
          <w:sz w:val="32"/>
          <w:szCs w:val="32"/>
          <w:rtl/>
        </w:rPr>
        <w:t>البُعد الأول: الوعي الاستراتيجي</w:t>
      </w:r>
    </w:p>
    <w:p w14:paraId="09E1F35D" w14:textId="67D24C53" w:rsidR="00E57A74" w:rsidRPr="00E57A74" w:rsidRDefault="00E57A74" w:rsidP="00E57A74">
      <w:pPr>
        <w:bidi/>
        <w:spacing w:after="200" w:line="276" w:lineRule="auto"/>
        <w:jc w:val="both"/>
        <w:rPr>
          <w:rFonts w:ascii="Traditional Arabic" w:hAnsi="Traditional Arabic" w:cs="Traditional Arabic"/>
          <w:color w:val="000000" w:themeColor="text1"/>
          <w:sz w:val="32"/>
          <w:szCs w:val="32"/>
        </w:rPr>
      </w:pPr>
      <w:r w:rsidRPr="00E57A74">
        <w:rPr>
          <w:rFonts w:ascii="Traditional Arabic" w:hAnsi="Traditional Arabic" w:cs="Traditional Arabic"/>
          <w:color w:val="000000" w:themeColor="text1"/>
          <w:sz w:val="32"/>
          <w:szCs w:val="32"/>
          <w:rtl/>
        </w:rPr>
        <w:t>يُعبّر بُعد الوعي الاستراتيجي عن مدى إدراك صانع القرار للسياق الشامل الذي تعمل فيه المنظمة، بما يشمل فهم الرؤية والرسالة والأهداف الاستراتيجية طويلة المدى، واستيعاب العلاقات المتشابكة بين المتغيرات الداخلية والخارجية التي تؤثر في مسار المنظمة، والقدرة على ربط القرارات الآنية بالتوجهات المستقبلية بحيث يخدم كل قرار فرعي المنظومة الاستراتيجية الأوسع ولا يتعارض معها</w:t>
      </w:r>
      <w:r>
        <w:rPr>
          <w:rFonts w:ascii="Traditional Arabic" w:hAnsi="Traditional Arabic" w:cs="Traditional Arabic" w:hint="cs"/>
          <w:color w:val="000000" w:themeColor="text1"/>
          <w:sz w:val="32"/>
          <w:szCs w:val="32"/>
          <w:rtl/>
        </w:rPr>
        <w:t>،</w:t>
      </w:r>
      <w:r w:rsidRPr="00E57A74">
        <w:rPr>
          <w:rFonts w:ascii="Traditional Arabic" w:hAnsi="Traditional Arabic" w:cs="Traditional Arabic"/>
          <w:color w:val="000000" w:themeColor="text1"/>
          <w:sz w:val="32"/>
          <w:szCs w:val="32"/>
          <w:rtl/>
        </w:rPr>
        <w:t xml:space="preserve"> </w:t>
      </w:r>
      <w:r>
        <w:rPr>
          <w:rFonts w:ascii="Traditional Arabic" w:hAnsi="Traditional Arabic" w:cs="Traditional Arabic" w:hint="cs"/>
          <w:color w:val="000000" w:themeColor="text1"/>
          <w:sz w:val="32"/>
          <w:szCs w:val="32"/>
          <w:rtl/>
        </w:rPr>
        <w:t>و</w:t>
      </w:r>
      <w:r w:rsidRPr="00E57A74">
        <w:rPr>
          <w:rFonts w:ascii="Traditional Arabic" w:hAnsi="Traditional Arabic" w:cs="Traditional Arabic"/>
          <w:color w:val="000000" w:themeColor="text1"/>
          <w:sz w:val="32"/>
          <w:szCs w:val="32"/>
          <w:rtl/>
        </w:rPr>
        <w:t xml:space="preserve"> أن الوعي الاستراتيجي يتجاوز مجرد المعرفة النظرية بمفاهيم الإدارة الاستراتيجية ليشمل ما يُمكن وصفه بالحسّ الاستراتيجي الذي يُمكّن صانع القرار من قراءة الإشارات الضعيفة في البيئة المحيطة وتفسيرها وتوقّع تداعياتها قبل أن تتحوّل إلى أحداث واقعة، وهو ما يُعرف في أدبيات الإدارة بالاستشراف الاستراتيجي. ويُضيف الباحثان أن الشفافية الاستراتيجية تُعدّ شرطاً أساسياً لبناء هذا الوعي لأنها تُتيح لصانع القرار الوصول إلى معلومات شاملة ودقيقة عن الوضع الحقيقي للمنظمة دون تجميل أو إخفاء، مما يُمكّنه من بناء صورة واقعية يؤسس عليها قراراته بدلاً من الاعتماد على تصوّرات مشوّهة أو معلومات مُنتقاة (</w:t>
      </w:r>
      <w:proofErr w:type="spellStart"/>
      <w:r w:rsidRPr="00E57A74">
        <w:rPr>
          <w:rFonts w:ascii="Traditional Arabic" w:hAnsi="Traditional Arabic" w:cs="Traditional Arabic"/>
          <w:color w:val="000000" w:themeColor="text1"/>
          <w:sz w:val="32"/>
          <w:szCs w:val="32"/>
          <w:rtl/>
        </w:rPr>
        <w:t>خؤشناو</w:t>
      </w:r>
      <w:proofErr w:type="spellEnd"/>
      <w:r w:rsidRPr="00E57A74">
        <w:rPr>
          <w:rFonts w:ascii="Traditional Arabic" w:hAnsi="Traditional Arabic" w:cs="Traditional Arabic"/>
          <w:color w:val="000000" w:themeColor="text1"/>
          <w:sz w:val="32"/>
          <w:szCs w:val="32"/>
          <w:rtl/>
        </w:rPr>
        <w:t xml:space="preserve"> وعلي، 2023)</w:t>
      </w:r>
      <w:r w:rsidRPr="00E57A74">
        <w:rPr>
          <w:rFonts w:ascii="Traditional Arabic" w:hAnsi="Traditional Arabic" w:cs="Traditional Arabic"/>
          <w:color w:val="000000" w:themeColor="text1"/>
          <w:sz w:val="32"/>
          <w:szCs w:val="32"/>
        </w:rPr>
        <w:t>.</w:t>
      </w:r>
    </w:p>
    <w:p w14:paraId="3C41E7F0" w14:textId="385315B1" w:rsidR="00E57A74" w:rsidRPr="00E57A74" w:rsidRDefault="00E57A74" w:rsidP="00E57A74">
      <w:pPr>
        <w:bidi/>
        <w:spacing w:after="200" w:line="276" w:lineRule="auto"/>
        <w:jc w:val="both"/>
        <w:rPr>
          <w:rFonts w:ascii="Traditional Arabic" w:hAnsi="Traditional Arabic" w:cs="Traditional Arabic"/>
          <w:color w:val="000000" w:themeColor="text1"/>
          <w:sz w:val="32"/>
          <w:szCs w:val="32"/>
        </w:rPr>
      </w:pPr>
      <w:r w:rsidRPr="00E57A74">
        <w:rPr>
          <w:rFonts w:ascii="Traditional Arabic" w:hAnsi="Traditional Arabic" w:cs="Traditional Arabic"/>
          <w:color w:val="000000" w:themeColor="text1"/>
          <w:sz w:val="32"/>
          <w:szCs w:val="32"/>
          <w:rtl/>
        </w:rPr>
        <w:t xml:space="preserve">ويُعزز هذا الفهم ما أشارت إليه دراسة </w:t>
      </w:r>
      <w:r w:rsidR="00140115" w:rsidRPr="00E57A74">
        <w:rPr>
          <w:rFonts w:ascii="Traditional Arabic" w:hAnsi="Traditional Arabic" w:cs="Traditional Arabic" w:hint="cs"/>
          <w:color w:val="000000" w:themeColor="text1"/>
          <w:sz w:val="32"/>
          <w:szCs w:val="32"/>
          <w:rtl/>
        </w:rPr>
        <w:t>عبد المنع</w:t>
      </w:r>
      <w:r w:rsidR="00140115" w:rsidRPr="00E57A74">
        <w:rPr>
          <w:rFonts w:ascii="Traditional Arabic" w:hAnsi="Traditional Arabic" w:cs="Traditional Arabic" w:hint="eastAsia"/>
          <w:color w:val="000000" w:themeColor="text1"/>
          <w:sz w:val="32"/>
          <w:szCs w:val="32"/>
          <w:rtl/>
        </w:rPr>
        <w:t>م</w:t>
      </w:r>
      <w:r w:rsidRPr="00E57A74">
        <w:rPr>
          <w:rFonts w:ascii="Traditional Arabic" w:hAnsi="Traditional Arabic" w:cs="Traditional Arabic"/>
          <w:color w:val="000000" w:themeColor="text1"/>
          <w:sz w:val="32"/>
          <w:szCs w:val="32"/>
          <w:rtl/>
        </w:rPr>
        <w:t xml:space="preserve"> ورضوان (2023) من أن اليقظة التنظيمية التي يُولّدها التحول الرقمي تُسهم في رفع مستوى الوعي الاستراتيجي لدى القيادات الإدارية من خلال توفير أنظمة رصد وإنذار مبكر تُنبّه صانع القرار إلى التغيرات البيئية الجوهرية فور حدوثها، بدلاً من اكتشافها بعد فوات الأوان حين تكون قد أحدثت آثارها السلبية بالفعل. فالوعي الاستراتيجي في عصر التحول الرقمي لم يعد يعتمد فقط على الخبرة الشخصية لصانع القرار أو على التقارير الدورية التقليدية، بل أصبح يستند أيضاً إلى تحليلات البيانات الضخمة والذكاء الاصطناعي التي تكشف عن أنماط وعلاقات خفية لا يمكن للعقل البشري وحده إدراكها. ويتّسق هذا الطرح مع ما أكدته دراسة</w:t>
      </w:r>
      <w:r w:rsidRPr="00E57A74">
        <w:rPr>
          <w:rFonts w:ascii="Traditional Arabic" w:hAnsi="Traditional Arabic" w:cs="Traditional Arabic"/>
          <w:color w:val="000000" w:themeColor="text1"/>
          <w:sz w:val="32"/>
          <w:szCs w:val="32"/>
        </w:rPr>
        <w:t xml:space="preserve"> Huy and Phuc (2025) </w:t>
      </w:r>
      <w:r w:rsidRPr="00E57A74">
        <w:rPr>
          <w:rFonts w:ascii="Traditional Arabic" w:hAnsi="Traditional Arabic" w:cs="Traditional Arabic"/>
          <w:color w:val="000000" w:themeColor="text1"/>
          <w:sz w:val="32"/>
          <w:szCs w:val="32"/>
          <w:rtl/>
        </w:rPr>
        <w:t xml:space="preserve">من أن إدارة العمليات الرقمية تُوفّر قدرات ديناميكية تُعزز الاستشعار البيئي وتُمكّن صانع القرار من اكتشاف الفرص والتهديدات في مراحلها المبكرة، مما يرفع مستوى الوعي الاستراتيجي من الوعي التفاعلي الذي يستجيب للأحداث بعد وقوعها إلى الوعي الاستباقي الذي يتنبأ بها ويستعد لها </w:t>
      </w:r>
      <w:r w:rsidR="00140115" w:rsidRPr="00E57A74">
        <w:rPr>
          <w:rFonts w:ascii="Traditional Arabic" w:hAnsi="Traditional Arabic" w:cs="Traditional Arabic" w:hint="cs"/>
          <w:color w:val="000000" w:themeColor="text1"/>
          <w:sz w:val="32"/>
          <w:szCs w:val="32"/>
          <w:rtl/>
        </w:rPr>
        <w:t>مسبقاً.</w:t>
      </w:r>
    </w:p>
    <w:p w14:paraId="4CEBF6A1" w14:textId="77777777" w:rsidR="00E57A74" w:rsidRDefault="00E57A74" w:rsidP="00E57A74">
      <w:pPr>
        <w:bidi/>
        <w:spacing w:after="200" w:line="276" w:lineRule="auto"/>
        <w:jc w:val="both"/>
        <w:rPr>
          <w:rFonts w:ascii="Traditional Arabic" w:hAnsi="Traditional Arabic" w:cs="Traditional Arabic"/>
          <w:color w:val="000000" w:themeColor="text1"/>
          <w:sz w:val="32"/>
          <w:szCs w:val="32"/>
          <w:rtl/>
        </w:rPr>
      </w:pPr>
      <w:r w:rsidRPr="00E57A74">
        <w:rPr>
          <w:rFonts w:ascii="Traditional Arabic" w:hAnsi="Traditional Arabic" w:cs="Traditional Arabic"/>
          <w:color w:val="000000" w:themeColor="text1"/>
          <w:sz w:val="32"/>
          <w:szCs w:val="32"/>
          <w:rtl/>
        </w:rPr>
        <w:lastRenderedPageBreak/>
        <w:t>ويُضيف</w:t>
      </w:r>
      <w:r w:rsidRPr="00E57A74">
        <w:rPr>
          <w:rFonts w:ascii="Traditional Arabic" w:hAnsi="Traditional Arabic" w:cs="Traditional Arabic"/>
          <w:color w:val="000000" w:themeColor="text1"/>
          <w:sz w:val="32"/>
          <w:szCs w:val="32"/>
        </w:rPr>
        <w:t xml:space="preserve"> </w:t>
      </w:r>
      <w:proofErr w:type="spellStart"/>
      <w:r w:rsidRPr="00E57A74">
        <w:rPr>
          <w:rFonts w:ascii="Traditional Arabic" w:hAnsi="Traditional Arabic" w:cs="Traditional Arabic"/>
          <w:color w:val="000000" w:themeColor="text1"/>
          <w:sz w:val="32"/>
          <w:szCs w:val="32"/>
        </w:rPr>
        <w:t>Tondolo</w:t>
      </w:r>
      <w:proofErr w:type="spellEnd"/>
      <w:r w:rsidRPr="00E57A74">
        <w:rPr>
          <w:rFonts w:ascii="Traditional Arabic" w:hAnsi="Traditional Arabic" w:cs="Traditional Arabic"/>
          <w:color w:val="000000" w:themeColor="text1"/>
          <w:sz w:val="32"/>
          <w:szCs w:val="32"/>
        </w:rPr>
        <w:t xml:space="preserve"> et al. (2023) </w:t>
      </w:r>
      <w:r w:rsidRPr="00E57A74">
        <w:rPr>
          <w:rFonts w:ascii="Traditional Arabic" w:hAnsi="Traditional Arabic" w:cs="Traditional Arabic"/>
          <w:color w:val="000000" w:themeColor="text1"/>
          <w:sz w:val="32"/>
          <w:szCs w:val="32"/>
          <w:rtl/>
        </w:rPr>
        <w:t xml:space="preserve">بُعداً مهماً حين يُؤكدان أن الوعي الاستراتيجي يشمل أيضاً إدراك صانع القرار لتوقعات أصحاب المصلحة المتعددين وضغوطهم المتباينة، فالمنظمة الحكومية لا تعمل في فراغ بل تتفاعل مع شبكة معقدة من الأطراف ذات المصالح المتنوعة وأحياناً المتعارضة، ووعي صانع القرار بهذه الشبكة </w:t>
      </w:r>
      <w:proofErr w:type="spellStart"/>
      <w:r w:rsidRPr="00E57A74">
        <w:rPr>
          <w:rFonts w:ascii="Traditional Arabic" w:hAnsi="Traditional Arabic" w:cs="Traditional Arabic"/>
          <w:color w:val="000000" w:themeColor="text1"/>
          <w:sz w:val="32"/>
          <w:szCs w:val="32"/>
          <w:rtl/>
        </w:rPr>
        <w:t>وديناميكياتها</w:t>
      </w:r>
      <w:proofErr w:type="spellEnd"/>
      <w:r w:rsidRPr="00E57A74">
        <w:rPr>
          <w:rFonts w:ascii="Traditional Arabic" w:hAnsi="Traditional Arabic" w:cs="Traditional Arabic"/>
          <w:color w:val="000000" w:themeColor="text1"/>
          <w:sz w:val="32"/>
          <w:szCs w:val="32"/>
          <w:rtl/>
        </w:rPr>
        <w:t xml:space="preserve"> يُعدّ عنصراً حاسماً في فاعلية قراراته لأنه يُمكّنه من استباق ردود الفعل وبناء تحالفات داعمة وتجنّب القرارات التي قد تُثير مقاومة واسعة تُعيق التنفيذ.</w:t>
      </w:r>
    </w:p>
    <w:p w14:paraId="0BFF1FDF" w14:textId="13616B70" w:rsidR="00E57A74" w:rsidRPr="00E57A74" w:rsidRDefault="00E57A74" w:rsidP="00E57A74">
      <w:pPr>
        <w:bidi/>
        <w:spacing w:after="200" w:line="276" w:lineRule="auto"/>
        <w:jc w:val="both"/>
        <w:rPr>
          <w:rFonts w:ascii="Traditional Arabic" w:hAnsi="Traditional Arabic" w:cs="Traditional Arabic"/>
          <w:color w:val="000000" w:themeColor="text1"/>
          <w:sz w:val="32"/>
          <w:szCs w:val="32"/>
        </w:rPr>
      </w:pPr>
      <w:r w:rsidRPr="00E57A74">
        <w:rPr>
          <w:rFonts w:ascii="Traditional Arabic" w:hAnsi="Traditional Arabic" w:cs="Traditional Arabic"/>
          <w:color w:val="000000" w:themeColor="text1"/>
          <w:sz w:val="32"/>
          <w:szCs w:val="32"/>
          <w:rtl/>
        </w:rPr>
        <w:t xml:space="preserve"> ويرى الباحث أن هذا البُعد يُمثّل الأساس المعرفي الذي تُبنى عليه بقية أبعاد فاعلية القرار، فبدون وعي استراتيجي عميق وشامل لا يمكن لصانع القرار أن يتكيّف بذكاء مع المتغيرات ولا أن يتفاعل بفاعلية مع البيانات والمعلومات، لأنه سيفتقر إلى الإطار المرجعي الذي يُعطي معنى للبيانات ويُحدد أولويات التكيّف</w:t>
      </w:r>
      <w:r w:rsidRPr="00E57A74">
        <w:rPr>
          <w:rFonts w:ascii="Traditional Arabic" w:hAnsi="Traditional Arabic" w:cs="Traditional Arabic"/>
          <w:color w:val="000000" w:themeColor="text1"/>
          <w:sz w:val="32"/>
          <w:szCs w:val="32"/>
        </w:rPr>
        <w:t xml:space="preserve"> </w:t>
      </w:r>
    </w:p>
    <w:p w14:paraId="5576709F" w14:textId="77777777" w:rsidR="00E57A74" w:rsidRPr="00E57A74" w:rsidRDefault="00E57A74" w:rsidP="00E57A74">
      <w:pPr>
        <w:bidi/>
        <w:spacing w:after="200" w:line="276" w:lineRule="auto"/>
        <w:jc w:val="both"/>
        <w:rPr>
          <w:rFonts w:ascii="Traditional Arabic" w:hAnsi="Traditional Arabic" w:cs="Traditional Arabic"/>
          <w:b/>
          <w:bCs/>
          <w:color w:val="000000" w:themeColor="text1"/>
          <w:sz w:val="32"/>
          <w:szCs w:val="32"/>
        </w:rPr>
      </w:pPr>
      <w:r w:rsidRPr="00E57A74">
        <w:rPr>
          <w:rFonts w:ascii="Traditional Arabic" w:hAnsi="Traditional Arabic" w:cs="Traditional Arabic"/>
          <w:b/>
          <w:bCs/>
          <w:color w:val="000000" w:themeColor="text1"/>
          <w:sz w:val="32"/>
          <w:szCs w:val="32"/>
          <w:rtl/>
        </w:rPr>
        <w:t>البُعد الثاني: القدرة على التكيّف</w:t>
      </w:r>
    </w:p>
    <w:p w14:paraId="3BCB6FF5" w14:textId="5F2A7BBC" w:rsidR="00E57A74" w:rsidRPr="00E57A74" w:rsidRDefault="00E57A74" w:rsidP="00E57A74">
      <w:pPr>
        <w:bidi/>
        <w:spacing w:after="200" w:line="276" w:lineRule="auto"/>
        <w:jc w:val="both"/>
        <w:rPr>
          <w:rFonts w:ascii="Traditional Arabic" w:hAnsi="Traditional Arabic" w:cs="Traditional Arabic"/>
          <w:color w:val="000000" w:themeColor="text1"/>
          <w:sz w:val="32"/>
          <w:szCs w:val="32"/>
        </w:rPr>
      </w:pPr>
      <w:r w:rsidRPr="00E57A74">
        <w:rPr>
          <w:rFonts w:ascii="Traditional Arabic" w:hAnsi="Traditional Arabic" w:cs="Traditional Arabic"/>
          <w:color w:val="000000" w:themeColor="text1"/>
          <w:sz w:val="32"/>
          <w:szCs w:val="32"/>
          <w:rtl/>
        </w:rPr>
        <w:t>يُعبّر بُعد القدرة على التكيّف عن مدى مرونة صانع القرار الاستراتيجي في تعديل مساراته وخططه واستجاباته وفقاً للتغيرات البيئية المتسارعة، دون أن يفقد الاتجاه الاستراتيجي العام أو يتخلى عن الأهداف الجوهرية للمنظمة. وهذا البُعد لا يعني الانجراف مع كل تيار جديد أو التخلي عن الخطط عند أول عقبة، بل يعني القدرة على التمييز بين التغيرات البيئية العابرة التي يمكن استيعابها ضمن الإطار الاستراتيجي القائم والتغيرات البنيوية العميقة التي تفرض إعادة نظر جذرية في المسار</w:t>
      </w:r>
      <w:r>
        <w:rPr>
          <w:rFonts w:ascii="Traditional Arabic" w:hAnsi="Traditional Arabic" w:cs="Traditional Arabic" w:hint="cs"/>
          <w:color w:val="000000" w:themeColor="text1"/>
          <w:sz w:val="32"/>
          <w:szCs w:val="32"/>
          <w:rtl/>
        </w:rPr>
        <w:t>،</w:t>
      </w:r>
      <w:r w:rsidRPr="00E57A74">
        <w:rPr>
          <w:rFonts w:ascii="Traditional Arabic" w:hAnsi="Traditional Arabic" w:cs="Traditional Arabic"/>
          <w:color w:val="000000" w:themeColor="text1"/>
          <w:sz w:val="32"/>
          <w:szCs w:val="32"/>
          <w:rtl/>
        </w:rPr>
        <w:t xml:space="preserve"> وتُوضح دراسة الطيب (2024) أن التحول الرقمي يُؤثر تأثيراً جوهرياً في المرونة التنظيمية التي تُعدّ الحاضنة المؤسسية للقدرة على التكيّف، إذ تُتيح التقنيات الرقمية للمنظمات إعادة تشكيل عملياتها وهياكلها بسرعة وبتكلفة أقل مما كانت تتطلبه إعادة الهيكلة في العصر ما قبل الرقمي. وتُؤكد الباحثة أن الثقافة التنظيمية تلعب دوراً وسيطاً محورياً في هذه العلاقة، فالتقنيات الرقمية وحدها لا تصنع تكيّفاً إذا كانت الثقافة السائدة تُقاوم التغيير وتتمسك بالأساليب التقليدية، مما يعني أن القدرة على التكيّف تتطلب تحولاً ثقافياً موازياً للتحول </w:t>
      </w:r>
      <w:r w:rsidR="00140115" w:rsidRPr="00E57A74">
        <w:rPr>
          <w:rFonts w:ascii="Traditional Arabic" w:hAnsi="Traditional Arabic" w:cs="Traditional Arabic" w:hint="cs"/>
          <w:color w:val="000000" w:themeColor="text1"/>
          <w:sz w:val="32"/>
          <w:szCs w:val="32"/>
          <w:rtl/>
        </w:rPr>
        <w:t>التقني.</w:t>
      </w:r>
    </w:p>
    <w:p w14:paraId="0692EEF0" w14:textId="668717B2" w:rsidR="00E57A74" w:rsidRPr="00E57A74" w:rsidRDefault="00E57A74" w:rsidP="00E57A74">
      <w:pPr>
        <w:bidi/>
        <w:spacing w:after="200" w:line="276" w:lineRule="auto"/>
        <w:jc w:val="both"/>
        <w:rPr>
          <w:rFonts w:ascii="Traditional Arabic" w:hAnsi="Traditional Arabic" w:cs="Traditional Arabic"/>
          <w:color w:val="000000" w:themeColor="text1"/>
          <w:sz w:val="32"/>
          <w:szCs w:val="32"/>
        </w:rPr>
      </w:pPr>
      <w:r w:rsidRPr="00E57A74">
        <w:rPr>
          <w:rFonts w:ascii="Traditional Arabic" w:hAnsi="Traditional Arabic" w:cs="Traditional Arabic"/>
          <w:color w:val="000000" w:themeColor="text1"/>
          <w:sz w:val="32"/>
          <w:szCs w:val="32"/>
          <w:rtl/>
        </w:rPr>
        <w:t>ويُعزز هذا الفهم ما أشار إليه حماد (2020) من أن التحول الرقمي يُسهم في تطوير أداء العاملين وتعزيز قدرتهم على التعامل مع المستجدات التقنية والتنظيمية، وهو ما ينعكس إيجاباً على القدرة التكيّفية للمنظمة ككل لأن التكيّف المؤسسي يبدأ في نهاية المطاف من تكيّف الأفراد العاملين فيها. فصانع القرار الاستراتيجي لا يعمل بمعزل عن فريقه، وقدرته على التكيّف ترتبط ارتباطاً وثيقاً بمدى استعداد الكوادر البشرية المحيطة به لتنفيذ القرارات المُعدّلة وتقبّل التغييرات المترتبة عليها</w:t>
      </w:r>
      <w:r>
        <w:rPr>
          <w:rFonts w:ascii="Traditional Arabic" w:hAnsi="Traditional Arabic" w:cs="Traditional Arabic" w:hint="cs"/>
          <w:color w:val="000000" w:themeColor="text1"/>
          <w:sz w:val="32"/>
          <w:szCs w:val="32"/>
          <w:rtl/>
        </w:rPr>
        <w:t>،</w:t>
      </w:r>
      <w:r w:rsidRPr="00E57A74">
        <w:rPr>
          <w:rFonts w:ascii="Traditional Arabic" w:hAnsi="Traditional Arabic" w:cs="Traditional Arabic"/>
          <w:color w:val="000000" w:themeColor="text1"/>
          <w:sz w:val="32"/>
          <w:szCs w:val="32"/>
        </w:rPr>
        <w:t xml:space="preserve"> </w:t>
      </w:r>
      <w:r w:rsidRPr="00E57A74">
        <w:rPr>
          <w:rFonts w:ascii="Traditional Arabic" w:hAnsi="Traditional Arabic" w:cs="Traditional Arabic"/>
          <w:color w:val="000000" w:themeColor="text1"/>
          <w:sz w:val="32"/>
          <w:szCs w:val="32"/>
          <w:rtl/>
        </w:rPr>
        <w:t>ويتّسق هذا مع ما أكدته دراسة</w:t>
      </w:r>
      <w:r w:rsidRPr="00E57A74">
        <w:rPr>
          <w:rFonts w:ascii="Traditional Arabic" w:hAnsi="Traditional Arabic" w:cs="Traditional Arabic"/>
          <w:color w:val="000000" w:themeColor="text1"/>
          <w:sz w:val="32"/>
          <w:szCs w:val="32"/>
        </w:rPr>
        <w:t xml:space="preserve"> Bi et al. (2024) </w:t>
      </w:r>
      <w:r w:rsidRPr="00E57A74">
        <w:rPr>
          <w:rFonts w:ascii="Traditional Arabic" w:hAnsi="Traditional Arabic" w:cs="Traditional Arabic"/>
          <w:color w:val="000000" w:themeColor="text1"/>
          <w:sz w:val="32"/>
          <w:szCs w:val="32"/>
          <w:rtl/>
        </w:rPr>
        <w:lastRenderedPageBreak/>
        <w:t xml:space="preserve">من أن شفافية المعلومات تلعب دوراً وسيطاً في تعزيز القدرة التكيّفية للمنظمات، إذ إن توفر معلومات شفافة ودقيقة عن المتغيرات البيئية يُمكّن صانع القرار من تقدير حجم التغيير المطلوب بدقة وتحديد التوقيت الأمثل للتكيّف، بدلاً من الاستجابة المتأخرة أو المفرطة التي تنتج عن نقص المعلومات أو تشوّهها </w:t>
      </w:r>
      <w:r>
        <w:rPr>
          <w:rFonts w:ascii="Traditional Arabic" w:hAnsi="Traditional Arabic" w:cs="Traditional Arabic" w:hint="cs"/>
          <w:color w:val="000000" w:themeColor="text1"/>
          <w:sz w:val="32"/>
          <w:szCs w:val="32"/>
          <w:rtl/>
        </w:rPr>
        <w:t>.</w:t>
      </w:r>
    </w:p>
    <w:p w14:paraId="0C32CCD5" w14:textId="77777777" w:rsidR="00E57A74" w:rsidRPr="00E57A74" w:rsidRDefault="00E57A74" w:rsidP="00E57A74">
      <w:pPr>
        <w:bidi/>
        <w:spacing w:after="200" w:line="276" w:lineRule="auto"/>
        <w:jc w:val="both"/>
        <w:rPr>
          <w:rFonts w:ascii="Traditional Arabic" w:hAnsi="Traditional Arabic" w:cs="Traditional Arabic"/>
          <w:b/>
          <w:bCs/>
          <w:color w:val="000000" w:themeColor="text1"/>
          <w:sz w:val="32"/>
          <w:szCs w:val="32"/>
        </w:rPr>
      </w:pPr>
      <w:r w:rsidRPr="00E57A74">
        <w:rPr>
          <w:rFonts w:ascii="Traditional Arabic" w:hAnsi="Traditional Arabic" w:cs="Traditional Arabic"/>
          <w:b/>
          <w:bCs/>
          <w:color w:val="000000" w:themeColor="text1"/>
          <w:sz w:val="32"/>
          <w:szCs w:val="32"/>
          <w:rtl/>
        </w:rPr>
        <w:t>البُعد الثالث: التفاعل مع البيانات والمعلومات</w:t>
      </w:r>
    </w:p>
    <w:p w14:paraId="13E8BCA8" w14:textId="27BBAE76" w:rsidR="00E57A74" w:rsidRPr="00E57A74" w:rsidRDefault="00E57A74" w:rsidP="00E57A74">
      <w:pPr>
        <w:bidi/>
        <w:spacing w:after="200" w:line="276" w:lineRule="auto"/>
        <w:jc w:val="both"/>
        <w:rPr>
          <w:rFonts w:ascii="Traditional Arabic" w:hAnsi="Traditional Arabic" w:cs="Traditional Arabic"/>
          <w:color w:val="000000" w:themeColor="text1"/>
          <w:sz w:val="32"/>
          <w:szCs w:val="32"/>
        </w:rPr>
      </w:pPr>
      <w:r w:rsidRPr="00E57A74">
        <w:rPr>
          <w:rFonts w:ascii="Traditional Arabic" w:hAnsi="Traditional Arabic" w:cs="Traditional Arabic"/>
          <w:color w:val="000000" w:themeColor="text1"/>
          <w:sz w:val="32"/>
          <w:szCs w:val="32"/>
          <w:rtl/>
        </w:rPr>
        <w:t>يُعبّر بُعد التفاعل مع البيانات والمعلومات عن مدى كفاءة صانع القرار الاستراتيجي في الوصول إلى مصادر البيانات المتنوعة واستيعابها وتحليلها وتفسيرها وتحويلها إلى معرفة استراتيجية قابلة للتطبيق تدعم عملية صنع القرار وتُعزز جودته. وهذا البُعد لا يقتصر على الجانب التقني المتعلق بامتلاك أنظمة معلومات متقدمة، بل يمتد ليشمل الجانب المعرفي المتعلق بقدرة صانع القرار على التمييز بين المعلومات الجوهرية والهامشية، والجانب التحليلي المتعلق بقدرته على استخلاص الأنماط والعلاقات من كميات ضخمة من البيانات، والجانب التطبيقي المتعلق بقدرته على ترجمة نتائج التحليل إلى خيارات استراتيجية عملية</w:t>
      </w:r>
      <w:r>
        <w:rPr>
          <w:rFonts w:ascii="Traditional Arabic" w:hAnsi="Traditional Arabic" w:cs="Traditional Arabic" w:hint="cs"/>
          <w:color w:val="000000" w:themeColor="text1"/>
          <w:sz w:val="32"/>
          <w:szCs w:val="32"/>
          <w:rtl/>
        </w:rPr>
        <w:t>،</w:t>
      </w:r>
      <w:r w:rsidRPr="00E57A74">
        <w:rPr>
          <w:rFonts w:ascii="Traditional Arabic" w:hAnsi="Traditional Arabic" w:cs="Traditional Arabic"/>
          <w:color w:val="000000" w:themeColor="text1"/>
          <w:sz w:val="32"/>
          <w:szCs w:val="32"/>
          <w:rtl/>
        </w:rPr>
        <w:t xml:space="preserve"> وتُوضح دراسة </w:t>
      </w:r>
      <w:proofErr w:type="spellStart"/>
      <w:r w:rsidRPr="00E57A74">
        <w:rPr>
          <w:rFonts w:ascii="Traditional Arabic" w:hAnsi="Traditional Arabic" w:cs="Traditional Arabic"/>
          <w:color w:val="000000" w:themeColor="text1"/>
          <w:sz w:val="32"/>
          <w:szCs w:val="32"/>
          <w:rtl/>
        </w:rPr>
        <w:t>شيهاني</w:t>
      </w:r>
      <w:proofErr w:type="spellEnd"/>
      <w:r w:rsidRPr="00E57A74">
        <w:rPr>
          <w:rFonts w:ascii="Traditional Arabic" w:hAnsi="Traditional Arabic" w:cs="Traditional Arabic"/>
          <w:color w:val="000000" w:themeColor="text1"/>
          <w:sz w:val="32"/>
          <w:szCs w:val="32"/>
          <w:rtl/>
        </w:rPr>
        <w:t xml:space="preserve"> </w:t>
      </w:r>
      <w:r w:rsidRPr="00E57A74">
        <w:rPr>
          <w:rFonts w:ascii="Traditional Arabic" w:hAnsi="Traditional Arabic" w:cs="Traditional Arabic"/>
          <w:color w:val="000000" w:themeColor="text1"/>
          <w:sz w:val="32"/>
          <w:szCs w:val="32"/>
        </w:rPr>
        <w:t xml:space="preserve">(2024) </w:t>
      </w:r>
      <w:r w:rsidRPr="00E57A74">
        <w:rPr>
          <w:rFonts w:ascii="Traditional Arabic" w:hAnsi="Traditional Arabic" w:cs="Traditional Arabic"/>
          <w:color w:val="000000" w:themeColor="text1"/>
          <w:sz w:val="32"/>
          <w:szCs w:val="32"/>
          <w:rtl/>
        </w:rPr>
        <w:t xml:space="preserve">أن التحول الرقمي يُسهم في تعزيز عمليات إدارة المعرفة من خلال توفير أدوات متقدمة لجمع البيانات وتصنيفها وتخزينها واسترجاعها ومشاركتها عبر المستويات الإدارية المختلفة، مما يُثري قاعدة المعلومات المتاحة لصانع القرار ويُحسّن من جودة التفاعل معها. وتُؤكد الباحثة أن التفاعل الفعّال مع البيانات يتطلب بنية تنظيمية تدعم تدفق المعلومات بسلاسة بين الوحدات الإدارية وتمنع تكوّن "صوامع معلوماتية" تحتكر فيها كل إدارة بياناتها وتحجبها عن </w:t>
      </w:r>
      <w:r w:rsidR="00140115" w:rsidRPr="00E57A74">
        <w:rPr>
          <w:rFonts w:ascii="Traditional Arabic" w:hAnsi="Traditional Arabic" w:cs="Traditional Arabic" w:hint="cs"/>
          <w:color w:val="000000" w:themeColor="text1"/>
          <w:sz w:val="32"/>
          <w:szCs w:val="32"/>
          <w:rtl/>
        </w:rPr>
        <w:t>الآخرين.</w:t>
      </w:r>
    </w:p>
    <w:p w14:paraId="629A3220" w14:textId="17404B46" w:rsidR="00E57A74" w:rsidRPr="00E57A74" w:rsidRDefault="00140115" w:rsidP="00E57A74">
      <w:pPr>
        <w:bidi/>
        <w:spacing w:after="200" w:line="276" w:lineRule="auto"/>
        <w:jc w:val="both"/>
        <w:rPr>
          <w:rFonts w:ascii="Traditional Arabic" w:hAnsi="Traditional Arabic" w:cs="Traditional Arabic"/>
          <w:color w:val="000000" w:themeColor="text1"/>
          <w:sz w:val="32"/>
          <w:szCs w:val="32"/>
        </w:rPr>
      </w:pPr>
      <w:r>
        <w:rPr>
          <w:rFonts w:ascii="Traditional Arabic" w:hAnsi="Traditional Arabic" w:cs="Traditional Arabic" w:hint="cs"/>
          <w:color w:val="000000" w:themeColor="text1"/>
          <w:sz w:val="32"/>
          <w:szCs w:val="32"/>
          <w:rtl/>
        </w:rPr>
        <w:t>و</w:t>
      </w:r>
      <w:r w:rsidRPr="00E57A74">
        <w:rPr>
          <w:rFonts w:ascii="Traditional Arabic" w:hAnsi="Traditional Arabic" w:cs="Traditional Arabic" w:hint="cs"/>
          <w:color w:val="000000" w:themeColor="text1"/>
          <w:sz w:val="32"/>
          <w:szCs w:val="32"/>
          <w:rtl/>
        </w:rPr>
        <w:t>أشار إليه</w:t>
      </w:r>
      <w:r w:rsidR="00E57A74" w:rsidRPr="00E57A74">
        <w:rPr>
          <w:rFonts w:ascii="Traditional Arabic" w:hAnsi="Traditional Arabic" w:cs="Traditional Arabic"/>
          <w:color w:val="000000" w:themeColor="text1"/>
          <w:sz w:val="32"/>
          <w:szCs w:val="32"/>
        </w:rPr>
        <w:t xml:space="preserve"> </w:t>
      </w:r>
      <w:proofErr w:type="spellStart"/>
      <w:r w:rsidR="00E57A74" w:rsidRPr="00E57A74">
        <w:rPr>
          <w:rFonts w:ascii="Traditional Arabic" w:hAnsi="Traditional Arabic" w:cs="Traditional Arabic"/>
          <w:color w:val="000000" w:themeColor="text1"/>
          <w:sz w:val="32"/>
          <w:szCs w:val="32"/>
        </w:rPr>
        <w:t>Nijhum</w:t>
      </w:r>
      <w:proofErr w:type="spellEnd"/>
      <w:r w:rsidR="00E57A74" w:rsidRPr="00E57A74">
        <w:rPr>
          <w:rFonts w:ascii="Traditional Arabic" w:hAnsi="Traditional Arabic" w:cs="Traditional Arabic"/>
          <w:color w:val="000000" w:themeColor="text1"/>
          <w:sz w:val="32"/>
          <w:szCs w:val="32"/>
        </w:rPr>
        <w:t xml:space="preserve"> (2025) </w:t>
      </w:r>
      <w:r w:rsidR="00E57A74" w:rsidRPr="00E57A74">
        <w:rPr>
          <w:rFonts w:ascii="Traditional Arabic" w:hAnsi="Traditional Arabic" w:cs="Traditional Arabic"/>
          <w:color w:val="000000" w:themeColor="text1"/>
          <w:sz w:val="32"/>
          <w:szCs w:val="32"/>
          <w:rtl/>
        </w:rPr>
        <w:t>من أن نماذج التحول الرقمي المدفوعة بالذكاء الاصطناعي قد أحدثت نقلة نوعية في طريقة تفاعل صانع القرار مع المعلومات، إذ لم يعد التفاعل يقتصر على قراءة التقارير التقليدية والاطلاع على الجداول الإحصائية بل أصبح يشمل حواراً تفاعلياً مع أنظمة ذكية تُقدّم توصيات مُسبّبة وتُنبّه إلى مخاطر غير ظاهرة وتعرض سيناريوهات بديلة مع تقدير احتمالية كل منها. وهذا التحول في نمط التفاعل يفرض على صانع القرار تطوير مهارات جديدة تتعلق بالتفكير التحليلي المدعوم بالتقنية والقدرة على تقييم مخرجات الذكاء الاصطناعي نقدياً دون الاعتماد عليها اعتماداً أعمى</w:t>
      </w:r>
      <w:r w:rsidR="00E57A74">
        <w:rPr>
          <w:rFonts w:ascii="Traditional Arabic" w:hAnsi="Traditional Arabic" w:cs="Traditional Arabic" w:hint="cs"/>
          <w:color w:val="000000" w:themeColor="text1"/>
          <w:sz w:val="32"/>
          <w:szCs w:val="32"/>
          <w:rtl/>
        </w:rPr>
        <w:t xml:space="preserve">، </w:t>
      </w:r>
      <w:r w:rsidR="00E57A74" w:rsidRPr="00E57A74">
        <w:rPr>
          <w:rFonts w:ascii="Traditional Arabic" w:hAnsi="Traditional Arabic" w:cs="Traditional Arabic"/>
          <w:color w:val="000000" w:themeColor="text1"/>
          <w:sz w:val="32"/>
          <w:szCs w:val="32"/>
          <w:rtl/>
        </w:rPr>
        <w:t xml:space="preserve">ويتّسق هذا مع ما أكدته دراسة </w:t>
      </w:r>
      <w:r w:rsidR="00E57A74" w:rsidRPr="00E57A74">
        <w:rPr>
          <w:rFonts w:ascii="Traditional Arabic" w:hAnsi="Traditional Arabic" w:cs="Traditional Arabic"/>
          <w:color w:val="000000" w:themeColor="text1"/>
          <w:sz w:val="32"/>
          <w:szCs w:val="32"/>
        </w:rPr>
        <w:t xml:space="preserve">Chen et al. (2022) </w:t>
      </w:r>
      <w:r w:rsidR="00E57A74" w:rsidRPr="00E57A74">
        <w:rPr>
          <w:rFonts w:ascii="Traditional Arabic" w:hAnsi="Traditional Arabic" w:cs="Traditional Arabic"/>
          <w:color w:val="000000" w:themeColor="text1"/>
          <w:sz w:val="32"/>
          <w:szCs w:val="32"/>
          <w:rtl/>
        </w:rPr>
        <w:t xml:space="preserve">من أن شفافية المعلومات تُعزز الاستثمار في الابتكار من خلال تقليل حالة عدم تماثل المعلومات بين صانعي القرار والأطراف الأخرى، مما يُتيح تفاعلاً أكثر عمقاً ودقة مع البيانات </w:t>
      </w:r>
      <w:r w:rsidR="00E57A74" w:rsidRPr="00E57A74">
        <w:rPr>
          <w:rFonts w:ascii="Traditional Arabic" w:hAnsi="Traditional Arabic" w:cs="Traditional Arabic"/>
          <w:color w:val="000000" w:themeColor="text1"/>
          <w:sz w:val="32"/>
          <w:szCs w:val="32"/>
          <w:rtl/>
        </w:rPr>
        <w:lastRenderedPageBreak/>
        <w:t>المتاحة ويُقلّص مساحة التخمين والحدس في العملية القرارية</w:t>
      </w:r>
      <w:r w:rsidR="00E57A74" w:rsidRPr="00E57A74">
        <w:rPr>
          <w:rFonts w:ascii="Traditional Arabic" w:hAnsi="Traditional Arabic" w:cs="Traditional Arabic"/>
          <w:color w:val="000000" w:themeColor="text1"/>
          <w:sz w:val="32"/>
          <w:szCs w:val="32"/>
        </w:rPr>
        <w:t xml:space="preserve"> (</w:t>
      </w:r>
      <w:proofErr w:type="spellStart"/>
      <w:r w:rsidR="00E57A74" w:rsidRPr="00E57A74">
        <w:rPr>
          <w:rFonts w:ascii="Traditional Arabic" w:hAnsi="Traditional Arabic" w:cs="Traditional Arabic"/>
          <w:color w:val="000000" w:themeColor="text1"/>
          <w:sz w:val="32"/>
          <w:szCs w:val="32"/>
        </w:rPr>
        <w:t>Nijhum</w:t>
      </w:r>
      <w:proofErr w:type="spellEnd"/>
      <w:r w:rsidR="00E57A74" w:rsidRPr="00E57A74">
        <w:rPr>
          <w:rFonts w:ascii="Traditional Arabic" w:hAnsi="Traditional Arabic" w:cs="Traditional Arabic"/>
          <w:color w:val="000000" w:themeColor="text1"/>
          <w:sz w:val="32"/>
          <w:szCs w:val="32"/>
        </w:rPr>
        <w:t>, 2025; Chen et al., 2022).</w:t>
      </w:r>
    </w:p>
    <w:p w14:paraId="5081DF33" w14:textId="40383027" w:rsidR="00E57A74" w:rsidRDefault="00E57A74" w:rsidP="00E57A74">
      <w:pPr>
        <w:bidi/>
        <w:spacing w:after="200" w:line="276" w:lineRule="auto"/>
        <w:jc w:val="both"/>
        <w:rPr>
          <w:rFonts w:ascii="Traditional Arabic" w:hAnsi="Traditional Arabic" w:cs="Traditional Arabic"/>
          <w:color w:val="000000" w:themeColor="text1"/>
          <w:sz w:val="32"/>
          <w:szCs w:val="32"/>
          <w:rtl/>
        </w:rPr>
      </w:pPr>
      <w:r w:rsidRPr="00E57A74">
        <w:rPr>
          <w:rFonts w:ascii="Traditional Arabic" w:hAnsi="Traditional Arabic" w:cs="Traditional Arabic"/>
          <w:color w:val="000000" w:themeColor="text1"/>
          <w:sz w:val="32"/>
          <w:szCs w:val="32"/>
          <w:rtl/>
        </w:rPr>
        <w:t>وتُضيف دراسة</w:t>
      </w:r>
      <w:r w:rsidRPr="00E57A74">
        <w:rPr>
          <w:rFonts w:ascii="Traditional Arabic" w:hAnsi="Traditional Arabic" w:cs="Traditional Arabic"/>
          <w:color w:val="000000" w:themeColor="text1"/>
          <w:sz w:val="32"/>
          <w:szCs w:val="32"/>
        </w:rPr>
        <w:t xml:space="preserve"> Xu and Mustafaraj (2024) </w:t>
      </w:r>
      <w:r w:rsidRPr="00E57A74">
        <w:rPr>
          <w:rFonts w:ascii="Traditional Arabic" w:hAnsi="Traditional Arabic" w:cs="Traditional Arabic"/>
          <w:color w:val="000000" w:themeColor="text1"/>
          <w:sz w:val="32"/>
          <w:szCs w:val="32"/>
          <w:rtl/>
        </w:rPr>
        <w:t xml:space="preserve">أن تطور شفافية المعلومات في المنظمات الرقمية يسير في مسار تصاعدي يبدأ من الإفصاح الأساسي عن البيانات وينتهي بتقديم تفسيرات سياقية تُمكّن المتلقي من فهم دلالات البيانات وتوظيفها في صنع قراراته، وأن المنظمات التي تصل إلى المراحل المتقدمة من هذا المسار تتمتع بمستويات أعلى من فاعلية القرار لأن صانع القرار فيها يتفاعل مع معلومات مُعالجة ومُفسّرة ومُوضوعة في سياقها وليس مع بيانات خام تحتاج إلى جهد كبير لاستخلاص معناها. </w:t>
      </w:r>
    </w:p>
    <w:p w14:paraId="469C247B" w14:textId="77777777" w:rsidR="00E57A74" w:rsidRDefault="00E57A74">
      <w:pPr>
        <w:spacing w:after="200" w:line="276" w:lineRule="auto"/>
        <w:rPr>
          <w:rFonts w:ascii="Traditional Arabic" w:hAnsi="Traditional Arabic" w:cs="Traditional Arabic"/>
          <w:color w:val="000000" w:themeColor="text1"/>
          <w:sz w:val="32"/>
          <w:szCs w:val="32"/>
          <w:rtl/>
        </w:rPr>
      </w:pPr>
      <w:r>
        <w:rPr>
          <w:rFonts w:ascii="Traditional Arabic" w:hAnsi="Traditional Arabic" w:cs="Traditional Arabic"/>
          <w:color w:val="000000" w:themeColor="text1"/>
          <w:sz w:val="32"/>
          <w:szCs w:val="32"/>
          <w:rtl/>
        </w:rPr>
        <w:br w:type="page"/>
      </w:r>
    </w:p>
    <w:p w14:paraId="2C05D794" w14:textId="77777777" w:rsidR="00E57A74" w:rsidRPr="00EF5312" w:rsidRDefault="00E57A74" w:rsidP="00E57A74">
      <w:pPr>
        <w:bidi/>
        <w:spacing w:after="200" w:line="276" w:lineRule="auto"/>
        <w:jc w:val="center"/>
        <w:rPr>
          <w:rFonts w:ascii="Traditional Arabic" w:hAnsi="Traditional Arabic" w:cs="Traditional Arabic"/>
          <w:b/>
          <w:bCs/>
          <w:color w:val="EE0000"/>
          <w:sz w:val="32"/>
          <w:szCs w:val="32"/>
        </w:rPr>
      </w:pPr>
      <w:r w:rsidRPr="00EF5312">
        <w:rPr>
          <w:rFonts w:ascii="Traditional Arabic" w:hAnsi="Traditional Arabic" w:cs="Traditional Arabic"/>
          <w:b/>
          <w:bCs/>
          <w:color w:val="EE0000"/>
          <w:sz w:val="32"/>
          <w:szCs w:val="32"/>
          <w:rtl/>
        </w:rPr>
        <w:lastRenderedPageBreak/>
        <w:t>المبحث الرابع: العلاقة بين التحول الرقمي والشفافية المعلوماتية وفاعلية اتخاذ القرار الاستراتيجي في وزارات الصناعة بدول مجلس التعاون الخليجي</w:t>
      </w:r>
    </w:p>
    <w:p w14:paraId="772C21B4" w14:textId="77777777" w:rsidR="00E57A74" w:rsidRPr="00E57A74" w:rsidRDefault="00E57A74" w:rsidP="00E57A74">
      <w:pPr>
        <w:bidi/>
        <w:spacing w:after="200" w:line="276" w:lineRule="auto"/>
        <w:jc w:val="both"/>
        <w:rPr>
          <w:rFonts w:ascii="Traditional Arabic" w:hAnsi="Traditional Arabic" w:cs="Traditional Arabic"/>
          <w:b/>
          <w:bCs/>
          <w:color w:val="000000" w:themeColor="text1"/>
          <w:sz w:val="32"/>
          <w:szCs w:val="32"/>
        </w:rPr>
      </w:pPr>
      <w:r w:rsidRPr="00E57A74">
        <w:rPr>
          <w:rFonts w:ascii="Traditional Arabic" w:hAnsi="Traditional Arabic" w:cs="Traditional Arabic"/>
          <w:b/>
          <w:bCs/>
          <w:color w:val="000000" w:themeColor="text1"/>
          <w:sz w:val="32"/>
          <w:szCs w:val="32"/>
          <w:rtl/>
        </w:rPr>
        <w:t>أولاً: العلاقة بين التحول الرقمي والشفافية المعلوماتية</w:t>
      </w:r>
    </w:p>
    <w:p w14:paraId="7315E788" w14:textId="1317EE02" w:rsidR="00E57A74" w:rsidRPr="00E57A74" w:rsidRDefault="00E57A74" w:rsidP="00E57A74">
      <w:pPr>
        <w:bidi/>
        <w:spacing w:after="200" w:line="276" w:lineRule="auto"/>
        <w:jc w:val="both"/>
        <w:rPr>
          <w:rFonts w:ascii="Traditional Arabic" w:hAnsi="Traditional Arabic" w:cs="Traditional Arabic"/>
          <w:color w:val="000000" w:themeColor="text1"/>
          <w:sz w:val="32"/>
          <w:szCs w:val="32"/>
        </w:rPr>
      </w:pPr>
      <w:r w:rsidRPr="00E57A74">
        <w:rPr>
          <w:rFonts w:ascii="Traditional Arabic" w:hAnsi="Traditional Arabic" w:cs="Traditional Arabic"/>
          <w:color w:val="000000" w:themeColor="text1"/>
          <w:sz w:val="32"/>
          <w:szCs w:val="32"/>
          <w:rtl/>
        </w:rPr>
        <w:t>تكشف الأدبيات المعاصرة عن علاقة عضوية وثيقة بين التحول الرقمي والشفافية المعلوماتية، إذ لا يمكن تصوّر شفافية حقيقية في المنظمات الحكومية دون بنية رقمية تُمكّن من إتاحة المعلومات وتداولها في الوقت المناسب وبالصيغة الملائمة</w:t>
      </w:r>
      <w:r>
        <w:rPr>
          <w:rFonts w:ascii="Traditional Arabic" w:hAnsi="Traditional Arabic" w:cs="Traditional Arabic" w:hint="cs"/>
          <w:color w:val="000000" w:themeColor="text1"/>
          <w:sz w:val="32"/>
          <w:szCs w:val="32"/>
          <w:rtl/>
        </w:rPr>
        <w:t>،</w:t>
      </w:r>
      <w:r w:rsidRPr="00E57A74">
        <w:rPr>
          <w:rFonts w:ascii="Traditional Arabic" w:hAnsi="Traditional Arabic" w:cs="Traditional Arabic"/>
          <w:color w:val="000000" w:themeColor="text1"/>
          <w:sz w:val="32"/>
          <w:szCs w:val="32"/>
          <w:rtl/>
        </w:rPr>
        <w:t xml:space="preserve"> وتُبيّن دراسة</w:t>
      </w:r>
      <w:r w:rsidRPr="00E57A74">
        <w:rPr>
          <w:rFonts w:ascii="Traditional Arabic" w:hAnsi="Traditional Arabic" w:cs="Traditional Arabic"/>
          <w:color w:val="000000" w:themeColor="text1"/>
          <w:sz w:val="32"/>
          <w:szCs w:val="32"/>
        </w:rPr>
        <w:t xml:space="preserve"> Bi et al. (2024) </w:t>
      </w:r>
      <w:r w:rsidRPr="00E57A74">
        <w:rPr>
          <w:rFonts w:ascii="Traditional Arabic" w:hAnsi="Traditional Arabic" w:cs="Traditional Arabic"/>
          <w:color w:val="000000" w:themeColor="text1"/>
          <w:sz w:val="32"/>
          <w:szCs w:val="32"/>
          <w:rtl/>
        </w:rPr>
        <w:t xml:space="preserve">أن التحول الرقمي يُعيد تشكيل منظومة الإفصاح المؤسسي من جذورها، حيث تتحوّل المعلومات من كونها حكراً على المستويات الإدارية العليا إلى مورد مشترك يُتاح عبر منصات إلكترونية تفاعلية، مما يُعزّز ثقة المتعاملين ويُقلّص الفجوة المعلوماتية بين الوزارة وأصحاب المصلحة ، </w:t>
      </w:r>
      <w:r>
        <w:rPr>
          <w:rFonts w:ascii="Traditional Arabic" w:hAnsi="Traditional Arabic" w:cs="Traditional Arabic" w:hint="cs"/>
          <w:color w:val="000000" w:themeColor="text1"/>
          <w:sz w:val="32"/>
          <w:szCs w:val="32"/>
          <w:rtl/>
        </w:rPr>
        <w:t>و</w:t>
      </w:r>
      <w:r w:rsidRPr="00E57A74">
        <w:rPr>
          <w:rFonts w:ascii="Traditional Arabic" w:hAnsi="Traditional Arabic" w:cs="Traditional Arabic"/>
          <w:color w:val="000000" w:themeColor="text1"/>
          <w:sz w:val="32"/>
          <w:szCs w:val="32"/>
          <w:rtl/>
        </w:rPr>
        <w:t xml:space="preserve">يُوضّح </w:t>
      </w:r>
      <w:r w:rsidRPr="00E57A74">
        <w:rPr>
          <w:rFonts w:ascii="Traditional Arabic" w:hAnsi="Traditional Arabic" w:cs="Traditional Arabic"/>
          <w:color w:val="000000" w:themeColor="text1"/>
          <w:sz w:val="32"/>
          <w:szCs w:val="32"/>
        </w:rPr>
        <w:t xml:space="preserve">Savchuk et al. (2024) </w:t>
      </w:r>
      <w:r w:rsidRPr="00E57A74">
        <w:rPr>
          <w:rFonts w:ascii="Traditional Arabic" w:hAnsi="Traditional Arabic" w:cs="Traditional Arabic"/>
          <w:color w:val="000000" w:themeColor="text1"/>
          <w:sz w:val="32"/>
          <w:szCs w:val="32"/>
          <w:rtl/>
        </w:rPr>
        <w:t>أن تبنّي تقنيات مثل الحوسبة السحابية وسلاسل الكتل وأنظمة إدارة المحتوى الذكية يُنشئ بيئة تشغيلية تجعل من الشفافية نتيجة طبيعية للعمليات اليومية بدلاً من كونها مطلباً إضافياً يُفرض من الخارج، فكل معاملة رقمية تُولّد تلقائياً سجلاً قابلاً للتتبع والمراجعة والنشر</w:t>
      </w:r>
      <w:r w:rsidRPr="00E57A74">
        <w:rPr>
          <w:rFonts w:ascii="Traditional Arabic" w:hAnsi="Traditional Arabic" w:cs="Traditional Arabic"/>
          <w:color w:val="000000" w:themeColor="text1"/>
          <w:sz w:val="32"/>
          <w:szCs w:val="32"/>
        </w:rPr>
        <w:t>.</w:t>
      </w:r>
    </w:p>
    <w:p w14:paraId="62F3A582" w14:textId="77777777" w:rsidR="00F74A76" w:rsidRDefault="00E57A74" w:rsidP="00E57A74">
      <w:pPr>
        <w:bidi/>
        <w:spacing w:after="200" w:line="276" w:lineRule="auto"/>
        <w:jc w:val="both"/>
        <w:rPr>
          <w:rFonts w:ascii="Traditional Arabic" w:hAnsi="Traditional Arabic" w:cs="Traditional Arabic"/>
          <w:color w:val="000000" w:themeColor="text1"/>
          <w:sz w:val="32"/>
          <w:szCs w:val="32"/>
          <w:rtl/>
        </w:rPr>
      </w:pPr>
      <w:r w:rsidRPr="00E57A74">
        <w:rPr>
          <w:rFonts w:ascii="Traditional Arabic" w:hAnsi="Traditional Arabic" w:cs="Traditional Arabic"/>
          <w:color w:val="000000" w:themeColor="text1"/>
          <w:sz w:val="32"/>
          <w:szCs w:val="32"/>
          <w:rtl/>
        </w:rPr>
        <w:t>وتُضيف دراسة</w:t>
      </w:r>
      <w:r w:rsidRPr="00E57A74">
        <w:rPr>
          <w:rFonts w:ascii="Traditional Arabic" w:hAnsi="Traditional Arabic" w:cs="Traditional Arabic"/>
          <w:color w:val="000000" w:themeColor="text1"/>
          <w:sz w:val="32"/>
          <w:szCs w:val="32"/>
        </w:rPr>
        <w:t xml:space="preserve"> Chen et al. (2022) </w:t>
      </w:r>
      <w:r w:rsidRPr="00E57A74">
        <w:rPr>
          <w:rFonts w:ascii="Traditional Arabic" w:hAnsi="Traditional Arabic" w:cs="Traditional Arabic"/>
          <w:color w:val="000000" w:themeColor="text1"/>
          <w:sz w:val="32"/>
          <w:szCs w:val="32"/>
          <w:rtl/>
        </w:rPr>
        <w:t xml:space="preserve">بُعداً مهماً يتعلق بجودة الإفصاح المعلوماتي لا بكمّيته فحسب، مشيرةً إلى أن التحول الرقمي يُمكّن المنظمات من الانتقال من نموذج الشفافية السلبية القائمة على نشر الوثائق الرسمية بشكل دوري إلى نموذج الشفافية النشطة الذي يُتيح للمتعاملين الوصول الفوري إلى البيانات المحدّثة والتفاعل معها واستخلاص المعلومات التي يحتاجونها بأنفسهم. </w:t>
      </w:r>
    </w:p>
    <w:p w14:paraId="2A603109" w14:textId="3C8AA884" w:rsidR="00E57A74" w:rsidRPr="00E57A74" w:rsidRDefault="00E57A74" w:rsidP="00F74A76">
      <w:pPr>
        <w:bidi/>
        <w:spacing w:after="200" w:line="276" w:lineRule="auto"/>
        <w:jc w:val="both"/>
        <w:rPr>
          <w:rFonts w:ascii="Traditional Arabic" w:hAnsi="Traditional Arabic" w:cs="Traditional Arabic"/>
          <w:color w:val="000000" w:themeColor="text1"/>
          <w:sz w:val="32"/>
          <w:szCs w:val="32"/>
        </w:rPr>
      </w:pPr>
      <w:r w:rsidRPr="00E57A74">
        <w:rPr>
          <w:rFonts w:ascii="Traditional Arabic" w:hAnsi="Traditional Arabic" w:cs="Traditional Arabic"/>
          <w:color w:val="000000" w:themeColor="text1"/>
          <w:sz w:val="32"/>
          <w:szCs w:val="32"/>
          <w:rtl/>
        </w:rPr>
        <w:t xml:space="preserve">وتُعزّز دراسة عبدالعال </w:t>
      </w:r>
      <w:r w:rsidR="00F74A76">
        <w:rPr>
          <w:rFonts w:ascii="Traditional Arabic" w:hAnsi="Traditional Arabic" w:cs="Traditional Arabic" w:hint="cs"/>
          <w:color w:val="000000" w:themeColor="text1"/>
          <w:sz w:val="32"/>
          <w:szCs w:val="32"/>
          <w:rtl/>
        </w:rPr>
        <w:t>واخرون</w:t>
      </w:r>
      <w:r w:rsidRPr="00E57A74">
        <w:rPr>
          <w:rFonts w:ascii="Traditional Arabic" w:hAnsi="Traditional Arabic" w:cs="Traditional Arabic"/>
          <w:color w:val="000000" w:themeColor="text1"/>
          <w:sz w:val="32"/>
          <w:szCs w:val="32"/>
          <w:rtl/>
        </w:rPr>
        <w:t xml:space="preserve"> </w:t>
      </w:r>
      <w:r w:rsidRPr="00E57A74">
        <w:rPr>
          <w:rFonts w:ascii="Traditional Arabic" w:hAnsi="Traditional Arabic" w:cs="Traditional Arabic"/>
          <w:color w:val="000000" w:themeColor="text1"/>
          <w:sz w:val="32"/>
          <w:szCs w:val="32"/>
        </w:rPr>
        <w:t xml:space="preserve">(2024) </w:t>
      </w:r>
      <w:r w:rsidRPr="00E57A74">
        <w:rPr>
          <w:rFonts w:ascii="Traditional Arabic" w:hAnsi="Traditional Arabic" w:cs="Traditional Arabic"/>
          <w:color w:val="000000" w:themeColor="text1"/>
          <w:sz w:val="32"/>
          <w:szCs w:val="32"/>
          <w:rtl/>
        </w:rPr>
        <w:t xml:space="preserve">هذا التوجّه في السياق العربي، مؤكدةً أن البوابات الإلكترونية الحكومية التي تعتمد على تقنيات التحول الرقمي الشامل حققت مستويات أعلى من الشفافية المعلوماتية مقارنةً بالمنظمات التي اقتصرت على </w:t>
      </w:r>
      <w:proofErr w:type="spellStart"/>
      <w:r w:rsidRPr="00E57A74">
        <w:rPr>
          <w:rFonts w:ascii="Traditional Arabic" w:hAnsi="Traditional Arabic" w:cs="Traditional Arabic"/>
          <w:color w:val="000000" w:themeColor="text1"/>
          <w:sz w:val="32"/>
          <w:szCs w:val="32"/>
          <w:rtl/>
        </w:rPr>
        <w:t>رقمنة</w:t>
      </w:r>
      <w:proofErr w:type="spellEnd"/>
      <w:r w:rsidRPr="00E57A74">
        <w:rPr>
          <w:rFonts w:ascii="Traditional Arabic" w:hAnsi="Traditional Arabic" w:cs="Traditional Arabic"/>
          <w:color w:val="000000" w:themeColor="text1"/>
          <w:sz w:val="32"/>
          <w:szCs w:val="32"/>
          <w:rtl/>
        </w:rPr>
        <w:t xml:space="preserve"> جزئية لعملياتها</w:t>
      </w:r>
      <w:r w:rsidR="00F74A76">
        <w:rPr>
          <w:rFonts w:ascii="Traditional Arabic" w:hAnsi="Traditional Arabic" w:cs="Traditional Arabic" w:hint="cs"/>
          <w:color w:val="000000" w:themeColor="text1"/>
          <w:sz w:val="32"/>
          <w:szCs w:val="32"/>
          <w:rtl/>
        </w:rPr>
        <w:t>،</w:t>
      </w:r>
      <w:r w:rsidRPr="00E57A74">
        <w:rPr>
          <w:rFonts w:ascii="Traditional Arabic" w:hAnsi="Traditional Arabic" w:cs="Traditional Arabic"/>
          <w:color w:val="000000" w:themeColor="text1"/>
          <w:sz w:val="32"/>
          <w:szCs w:val="32"/>
          <w:rtl/>
        </w:rPr>
        <w:t xml:space="preserve"> كما يُشير تقرير</w:t>
      </w:r>
      <w:r w:rsidRPr="00E57A74">
        <w:rPr>
          <w:rFonts w:ascii="Traditional Arabic" w:hAnsi="Traditional Arabic" w:cs="Traditional Arabic"/>
          <w:color w:val="000000" w:themeColor="text1"/>
          <w:sz w:val="32"/>
          <w:szCs w:val="32"/>
        </w:rPr>
        <w:t xml:space="preserve"> Transparency International (2022) </w:t>
      </w:r>
      <w:r w:rsidRPr="00E57A74">
        <w:rPr>
          <w:rFonts w:ascii="Traditional Arabic" w:hAnsi="Traditional Arabic" w:cs="Traditional Arabic"/>
          <w:color w:val="000000" w:themeColor="text1"/>
          <w:sz w:val="32"/>
          <w:szCs w:val="32"/>
          <w:rtl/>
        </w:rPr>
        <w:t>إلى أن الدول التي استثمرت في بنى تحتية رقمية متقدمة وربطتها بمنظومات إفصاح شفافة حققت تقدماً ملحوظاً في مؤشرات مكافحة الفساد والحوكمة الرشيدة، وهو ما ينطبق بصورة خاصة على عدد من دول مجلس التعاون الخليجي التي تصدّرت الترتيب العربي في هذا المجال</w:t>
      </w:r>
      <w:r w:rsidRPr="00E57A74">
        <w:rPr>
          <w:rFonts w:ascii="Traditional Arabic" w:hAnsi="Traditional Arabic" w:cs="Traditional Arabic"/>
          <w:color w:val="000000" w:themeColor="text1"/>
          <w:sz w:val="32"/>
          <w:szCs w:val="32"/>
        </w:rPr>
        <w:t>.</w:t>
      </w:r>
    </w:p>
    <w:p w14:paraId="4745FE03" w14:textId="53130739" w:rsidR="00E57A74" w:rsidRPr="00E57A74" w:rsidRDefault="00140115" w:rsidP="00E57A74">
      <w:pPr>
        <w:bidi/>
        <w:spacing w:after="200" w:line="276" w:lineRule="auto"/>
        <w:jc w:val="both"/>
        <w:rPr>
          <w:rFonts w:ascii="Traditional Arabic" w:hAnsi="Traditional Arabic" w:cs="Traditional Arabic"/>
          <w:color w:val="000000" w:themeColor="text1"/>
          <w:sz w:val="32"/>
          <w:szCs w:val="32"/>
        </w:rPr>
      </w:pPr>
      <w:r>
        <w:rPr>
          <w:rFonts w:ascii="Traditional Arabic" w:hAnsi="Traditional Arabic" w:cs="Traditional Arabic" w:hint="cs"/>
          <w:color w:val="000000" w:themeColor="text1"/>
          <w:sz w:val="32"/>
          <w:szCs w:val="32"/>
          <w:rtl/>
        </w:rPr>
        <w:lastRenderedPageBreak/>
        <w:t>و</w:t>
      </w:r>
      <w:r w:rsidRPr="00E57A74">
        <w:rPr>
          <w:rFonts w:ascii="Traditional Arabic" w:hAnsi="Traditional Arabic" w:cs="Traditional Arabic" w:hint="cs"/>
          <w:color w:val="000000" w:themeColor="text1"/>
          <w:sz w:val="32"/>
          <w:szCs w:val="32"/>
          <w:rtl/>
        </w:rPr>
        <w:t>يرى</w:t>
      </w:r>
      <w:r w:rsidRPr="00E57A74">
        <w:rPr>
          <w:rFonts w:ascii="Traditional Arabic" w:hAnsi="Traditional Arabic" w:cs="Traditional Arabic"/>
          <w:color w:val="000000" w:themeColor="text1"/>
          <w:sz w:val="32"/>
          <w:szCs w:val="32"/>
        </w:rPr>
        <w:t xml:space="preserve"> </w:t>
      </w:r>
      <w:r w:rsidRPr="00E57A74">
        <w:rPr>
          <w:rFonts w:ascii="Traditional Arabic" w:hAnsi="Traditional Arabic" w:cs="Traditional Arabic" w:hint="cs"/>
          <w:color w:val="000000" w:themeColor="text1"/>
          <w:sz w:val="32"/>
          <w:szCs w:val="32"/>
          <w:rtl/>
        </w:rPr>
        <w:t>الباحث</w:t>
      </w:r>
      <w:r w:rsidR="00E57A74" w:rsidRPr="00E57A74">
        <w:rPr>
          <w:rFonts w:ascii="Traditional Arabic" w:hAnsi="Traditional Arabic" w:cs="Traditional Arabic"/>
          <w:color w:val="000000" w:themeColor="text1"/>
          <w:sz w:val="32"/>
          <w:szCs w:val="32"/>
          <w:rtl/>
        </w:rPr>
        <w:t xml:space="preserve"> أن العلاقة بين التحول الرقمي والشفافية المعلوماتية في وزارات الصناعة بدول مجلس التعاون الخليجي ليست علاقة خطية أحادية الاتجاه، بل هي علاقة تعزيزية متبادلة؛ فالتحول الرقمي يوفّر الأدوات والمنصات التي تُمكّن من تحقيق الشفافية، وفي المقابل فإن الالتزام بالشفافية يفرض على الوزارات تسريع وتعميق مشاريع التحول الرقمي لتلبية التوقعات المتزايدة لأصحاب المصلحة من مستثمرين ومصنّعين وجهات رقابية. وتتجلى هذه العلاقة في مبادرات مثل منصة </w:t>
      </w:r>
      <w:r w:rsidR="00E57A74" w:rsidRPr="00E57A74">
        <w:rPr>
          <w:rFonts w:ascii="Traditional Arabic" w:hAnsi="Traditional Arabic" w:cs="Traditional Arabic"/>
          <w:color w:val="000000" w:themeColor="text1"/>
          <w:sz w:val="32"/>
          <w:szCs w:val="32"/>
        </w:rPr>
        <w:t>"</w:t>
      </w:r>
      <w:r w:rsidR="00E57A74" w:rsidRPr="00E57A74">
        <w:rPr>
          <w:rFonts w:ascii="Traditional Arabic" w:hAnsi="Traditional Arabic" w:cs="Traditional Arabic"/>
          <w:color w:val="000000" w:themeColor="text1"/>
          <w:sz w:val="32"/>
          <w:szCs w:val="32"/>
          <w:rtl/>
        </w:rPr>
        <w:t>صناعي" السعودية ومنصة البيانات المفتوحة القطرية وبوابة "استثمر بسهولة</w:t>
      </w:r>
      <w:r w:rsidR="00E57A74" w:rsidRPr="00E57A74">
        <w:rPr>
          <w:rFonts w:ascii="Traditional Arabic" w:hAnsi="Traditional Arabic" w:cs="Traditional Arabic"/>
          <w:color w:val="000000" w:themeColor="text1"/>
          <w:sz w:val="32"/>
          <w:szCs w:val="32"/>
        </w:rPr>
        <w:t xml:space="preserve">" </w:t>
      </w:r>
      <w:r w:rsidR="00E57A74" w:rsidRPr="00E57A74">
        <w:rPr>
          <w:rFonts w:ascii="Traditional Arabic" w:hAnsi="Traditional Arabic" w:cs="Traditional Arabic"/>
          <w:color w:val="000000" w:themeColor="text1"/>
          <w:sz w:val="32"/>
          <w:szCs w:val="32"/>
          <w:rtl/>
        </w:rPr>
        <w:t>العمانية، حيث شكّل التحول الرقمي الأساس التقني الذي أتاح نشر معلومات التراخيص والإجراءات والتشريعات بشكل مفتوح وفوري</w:t>
      </w:r>
      <w:r w:rsidR="00E57A74" w:rsidRPr="00E57A74">
        <w:rPr>
          <w:rFonts w:ascii="Traditional Arabic" w:hAnsi="Traditional Arabic" w:cs="Traditional Arabic"/>
          <w:color w:val="000000" w:themeColor="text1"/>
          <w:sz w:val="32"/>
          <w:szCs w:val="32"/>
        </w:rPr>
        <w:t>.</w:t>
      </w:r>
    </w:p>
    <w:p w14:paraId="0B0FB9EC" w14:textId="77777777" w:rsidR="00E57A74" w:rsidRPr="00E57A74" w:rsidRDefault="00E57A74" w:rsidP="00E57A74">
      <w:pPr>
        <w:bidi/>
        <w:spacing w:after="200" w:line="276" w:lineRule="auto"/>
        <w:jc w:val="both"/>
        <w:rPr>
          <w:rFonts w:ascii="Traditional Arabic" w:hAnsi="Traditional Arabic" w:cs="Traditional Arabic"/>
          <w:b/>
          <w:bCs/>
          <w:color w:val="000000" w:themeColor="text1"/>
          <w:sz w:val="32"/>
          <w:szCs w:val="32"/>
        </w:rPr>
      </w:pPr>
      <w:r w:rsidRPr="00E57A74">
        <w:rPr>
          <w:rFonts w:ascii="Traditional Arabic" w:hAnsi="Traditional Arabic" w:cs="Traditional Arabic"/>
          <w:b/>
          <w:bCs/>
          <w:color w:val="000000" w:themeColor="text1"/>
          <w:sz w:val="32"/>
          <w:szCs w:val="32"/>
          <w:rtl/>
        </w:rPr>
        <w:t>ثانياً: العلاقة بين الشفافية المعلوماتية وفاعلية اتخاذ القرار الاستراتيجي</w:t>
      </w:r>
    </w:p>
    <w:p w14:paraId="755C5677" w14:textId="6DE78A72" w:rsidR="00E57A74" w:rsidRPr="00E57A74" w:rsidRDefault="00E57A74" w:rsidP="00E57A74">
      <w:pPr>
        <w:bidi/>
        <w:spacing w:after="200" w:line="276" w:lineRule="auto"/>
        <w:jc w:val="both"/>
        <w:rPr>
          <w:rFonts w:ascii="Traditional Arabic" w:hAnsi="Traditional Arabic" w:cs="Traditional Arabic"/>
          <w:color w:val="000000" w:themeColor="text1"/>
          <w:sz w:val="32"/>
          <w:szCs w:val="32"/>
        </w:rPr>
      </w:pPr>
      <w:r w:rsidRPr="00E57A74">
        <w:rPr>
          <w:rFonts w:ascii="Traditional Arabic" w:hAnsi="Traditional Arabic" w:cs="Traditional Arabic"/>
          <w:color w:val="000000" w:themeColor="text1"/>
          <w:sz w:val="32"/>
          <w:szCs w:val="32"/>
          <w:rtl/>
        </w:rPr>
        <w:t>تُثبت الدراسات أن الشفافية المعلوماتية تُشكّل ممرّاً حيوياً تنتقل من خلاله مخرجات التحول الرقمي إلى عملية صنع القرار الاستراتيجي، فمن دون شفافية حقيقية تظل البيانات الرقمية حبيسة الأنظمة التقنية دون أن تتحوّل إلى رؤى تدعم صانعي القرار</w:t>
      </w:r>
      <w:r w:rsidR="00F74A76">
        <w:rPr>
          <w:rFonts w:ascii="Traditional Arabic" w:hAnsi="Traditional Arabic" w:cs="Traditional Arabic" w:hint="cs"/>
          <w:color w:val="000000" w:themeColor="text1"/>
          <w:sz w:val="32"/>
          <w:szCs w:val="32"/>
          <w:rtl/>
        </w:rPr>
        <w:t xml:space="preserve">، </w:t>
      </w:r>
      <w:r w:rsidRPr="00E57A74">
        <w:rPr>
          <w:rFonts w:ascii="Traditional Arabic" w:hAnsi="Traditional Arabic" w:cs="Traditional Arabic"/>
          <w:color w:val="000000" w:themeColor="text1"/>
          <w:sz w:val="32"/>
          <w:szCs w:val="32"/>
          <w:rtl/>
        </w:rPr>
        <w:t xml:space="preserve">وتُبيّن دراسة الحمداني </w:t>
      </w:r>
      <w:r w:rsidR="00F74A76">
        <w:rPr>
          <w:rFonts w:ascii="Traditional Arabic" w:hAnsi="Traditional Arabic" w:cs="Traditional Arabic" w:hint="cs"/>
          <w:color w:val="000000" w:themeColor="text1"/>
          <w:sz w:val="32"/>
          <w:szCs w:val="32"/>
          <w:rtl/>
        </w:rPr>
        <w:t>واخرون</w:t>
      </w:r>
      <w:r w:rsidRPr="00E57A74">
        <w:rPr>
          <w:rFonts w:ascii="Traditional Arabic" w:hAnsi="Traditional Arabic" w:cs="Traditional Arabic"/>
          <w:color w:val="000000" w:themeColor="text1"/>
          <w:sz w:val="32"/>
          <w:szCs w:val="32"/>
          <w:rtl/>
        </w:rPr>
        <w:t xml:space="preserve"> (2023) أن جودة القرار الاستراتيجي ترتبط ارتباطاً مباشراً بمدى إتاحة المعلومات الدقيقة والمحدّثة لصانع القرار في الوقت المناسب، وأن غياب الشفافية يُنتج ما أسمته الدراسة "الفجوة المعلوماتية </w:t>
      </w:r>
      <w:proofErr w:type="spellStart"/>
      <w:r w:rsidRPr="00E57A74">
        <w:rPr>
          <w:rFonts w:ascii="Traditional Arabic" w:hAnsi="Traditional Arabic" w:cs="Traditional Arabic"/>
          <w:color w:val="000000" w:themeColor="text1"/>
          <w:sz w:val="32"/>
          <w:szCs w:val="32"/>
          <w:rtl/>
        </w:rPr>
        <w:t>القرارية</w:t>
      </w:r>
      <w:proofErr w:type="spellEnd"/>
      <w:r w:rsidRPr="00E57A74">
        <w:rPr>
          <w:rFonts w:ascii="Traditional Arabic" w:hAnsi="Traditional Arabic" w:cs="Traditional Arabic"/>
          <w:color w:val="000000" w:themeColor="text1"/>
          <w:sz w:val="32"/>
          <w:szCs w:val="32"/>
          <w:rtl/>
        </w:rPr>
        <w:t>" التي تُجبر القيادات على الاعتماد على الحدس والخبرة الشخصية بدلاً من الأدلة والبيانات الموضوعية</w:t>
      </w:r>
      <w:r w:rsidR="00F74A76">
        <w:rPr>
          <w:rFonts w:ascii="Traditional Arabic" w:hAnsi="Traditional Arabic" w:cs="Traditional Arabic" w:hint="cs"/>
          <w:color w:val="000000" w:themeColor="text1"/>
          <w:sz w:val="32"/>
          <w:szCs w:val="32"/>
          <w:rtl/>
        </w:rPr>
        <w:t xml:space="preserve">، </w:t>
      </w:r>
      <w:r w:rsidRPr="00E57A74">
        <w:rPr>
          <w:rFonts w:ascii="Traditional Arabic" w:hAnsi="Traditional Arabic" w:cs="Traditional Arabic"/>
          <w:color w:val="000000" w:themeColor="text1"/>
          <w:sz w:val="32"/>
          <w:szCs w:val="32"/>
          <w:rtl/>
        </w:rPr>
        <w:t>ويُعزّز</w:t>
      </w:r>
      <w:r w:rsidRPr="00E57A74">
        <w:rPr>
          <w:rFonts w:ascii="Traditional Arabic" w:hAnsi="Traditional Arabic" w:cs="Traditional Arabic"/>
          <w:color w:val="000000" w:themeColor="text1"/>
          <w:sz w:val="32"/>
          <w:szCs w:val="32"/>
        </w:rPr>
        <w:t xml:space="preserve"> </w:t>
      </w:r>
      <w:proofErr w:type="spellStart"/>
      <w:r w:rsidRPr="00E57A74">
        <w:rPr>
          <w:rFonts w:ascii="Traditional Arabic" w:hAnsi="Traditional Arabic" w:cs="Traditional Arabic"/>
          <w:color w:val="000000" w:themeColor="text1"/>
          <w:sz w:val="32"/>
          <w:szCs w:val="32"/>
        </w:rPr>
        <w:t>Bozintan</w:t>
      </w:r>
      <w:proofErr w:type="spellEnd"/>
      <w:r w:rsidRPr="00E57A74">
        <w:rPr>
          <w:rFonts w:ascii="Traditional Arabic" w:hAnsi="Traditional Arabic" w:cs="Traditional Arabic"/>
          <w:color w:val="000000" w:themeColor="text1"/>
          <w:sz w:val="32"/>
          <w:szCs w:val="32"/>
        </w:rPr>
        <w:t xml:space="preserve"> et al. (2023) </w:t>
      </w:r>
      <w:r w:rsidRPr="00E57A74">
        <w:rPr>
          <w:rFonts w:ascii="Traditional Arabic" w:hAnsi="Traditional Arabic" w:cs="Traditional Arabic"/>
          <w:color w:val="000000" w:themeColor="text1"/>
          <w:sz w:val="32"/>
          <w:szCs w:val="32"/>
          <w:rtl/>
        </w:rPr>
        <w:t>هذا الطرح مؤكداً أن الشفافية في تدفق المعلومات بين المستويات الإدارية المختلفة تُعدّ شرطاً مسبقاً لاتخاذ قرارات استراتيجية فعّالة، لأنها تُمكّن من بناء صورة شاملة ومتكاملة عن الوضع الراهن والتحديات المستقبلية</w:t>
      </w:r>
      <w:r w:rsidRPr="00E57A74">
        <w:rPr>
          <w:rFonts w:ascii="Traditional Arabic" w:hAnsi="Traditional Arabic" w:cs="Traditional Arabic"/>
          <w:color w:val="000000" w:themeColor="text1"/>
          <w:sz w:val="32"/>
          <w:szCs w:val="32"/>
        </w:rPr>
        <w:t>.</w:t>
      </w:r>
    </w:p>
    <w:p w14:paraId="726E1B39" w14:textId="1D9E3CFE" w:rsidR="00E57A74" w:rsidRPr="00E57A74" w:rsidRDefault="00E57A74" w:rsidP="00E57A74">
      <w:pPr>
        <w:bidi/>
        <w:spacing w:after="200" w:line="276" w:lineRule="auto"/>
        <w:jc w:val="both"/>
        <w:rPr>
          <w:rFonts w:ascii="Traditional Arabic" w:hAnsi="Traditional Arabic" w:cs="Traditional Arabic"/>
          <w:color w:val="000000" w:themeColor="text1"/>
          <w:sz w:val="32"/>
          <w:szCs w:val="32"/>
        </w:rPr>
      </w:pPr>
      <w:r w:rsidRPr="00E57A74">
        <w:rPr>
          <w:rFonts w:ascii="Traditional Arabic" w:hAnsi="Traditional Arabic" w:cs="Traditional Arabic"/>
          <w:color w:val="000000" w:themeColor="text1"/>
          <w:sz w:val="32"/>
          <w:szCs w:val="32"/>
          <w:rtl/>
        </w:rPr>
        <w:t xml:space="preserve">وتُقدّم دراسة </w:t>
      </w:r>
      <w:proofErr w:type="spellStart"/>
      <w:r w:rsidRPr="00E57A74">
        <w:rPr>
          <w:rFonts w:ascii="Traditional Arabic" w:hAnsi="Traditional Arabic" w:cs="Traditional Arabic"/>
          <w:color w:val="000000" w:themeColor="text1"/>
          <w:sz w:val="32"/>
          <w:szCs w:val="32"/>
          <w:rtl/>
        </w:rPr>
        <w:t>العثامنة</w:t>
      </w:r>
      <w:proofErr w:type="spellEnd"/>
      <w:r w:rsidRPr="00E57A74">
        <w:rPr>
          <w:rFonts w:ascii="Traditional Arabic" w:hAnsi="Traditional Arabic" w:cs="Traditional Arabic"/>
          <w:color w:val="000000" w:themeColor="text1"/>
          <w:sz w:val="32"/>
          <w:szCs w:val="32"/>
          <w:rtl/>
        </w:rPr>
        <w:t xml:space="preserve"> وبطاينة</w:t>
      </w:r>
      <w:r w:rsidRPr="00E57A74">
        <w:rPr>
          <w:rFonts w:ascii="Traditional Arabic" w:hAnsi="Traditional Arabic" w:cs="Traditional Arabic"/>
          <w:color w:val="000000" w:themeColor="text1"/>
          <w:sz w:val="32"/>
          <w:szCs w:val="32"/>
        </w:rPr>
        <w:t xml:space="preserve"> (2022) </w:t>
      </w:r>
      <w:r w:rsidRPr="00E57A74">
        <w:rPr>
          <w:rFonts w:ascii="Traditional Arabic" w:hAnsi="Traditional Arabic" w:cs="Traditional Arabic"/>
          <w:color w:val="000000" w:themeColor="text1"/>
          <w:sz w:val="32"/>
          <w:szCs w:val="32"/>
          <w:rtl/>
        </w:rPr>
        <w:t>تحليلاً معمّقاً لآلية التأثير، موضحةً أن الشفافية المعلوماتية تُسهم في تعزيز البُعد الأول لفاعلية القرار وهو الوعي الاستراتيجي من خلال إتاحة معلومات شاملة عن البيئة الداخلية والخارجية، كما تدعم البُعد الثاني وهو القدرة على التكيّف من خلال توفير إشارات مبكرة عن التغيرات البيئية تُمكّن القيادات من تعديل مساراتها بمرونة، فضلاً عن تغذية البُعد الثالث وهو التفاعل مع البيانات والمعلومات من خلال ضمان وصول البيانات الموثوقة إلى كل مستوى إداري يحتاجها</w:t>
      </w:r>
      <w:r w:rsidR="00F74A76">
        <w:rPr>
          <w:rFonts w:ascii="Traditional Arabic" w:hAnsi="Traditional Arabic" w:cs="Traditional Arabic" w:hint="cs"/>
          <w:color w:val="000000" w:themeColor="text1"/>
          <w:sz w:val="32"/>
          <w:szCs w:val="32"/>
          <w:rtl/>
        </w:rPr>
        <w:t>،</w:t>
      </w:r>
      <w:r w:rsidRPr="00E57A74">
        <w:rPr>
          <w:rFonts w:ascii="Traditional Arabic" w:hAnsi="Traditional Arabic" w:cs="Traditional Arabic"/>
          <w:color w:val="000000" w:themeColor="text1"/>
          <w:sz w:val="32"/>
          <w:szCs w:val="32"/>
          <w:rtl/>
        </w:rPr>
        <w:t xml:space="preserve"> ويُؤكد</w:t>
      </w:r>
      <w:r w:rsidRPr="00E57A74">
        <w:rPr>
          <w:rFonts w:ascii="Traditional Arabic" w:hAnsi="Traditional Arabic" w:cs="Traditional Arabic"/>
          <w:color w:val="000000" w:themeColor="text1"/>
          <w:sz w:val="32"/>
          <w:szCs w:val="32"/>
        </w:rPr>
        <w:t xml:space="preserve"> Nguyen &amp; Thanh Hoai (2022) </w:t>
      </w:r>
      <w:r w:rsidRPr="00E57A74">
        <w:rPr>
          <w:rFonts w:ascii="Traditional Arabic" w:hAnsi="Traditional Arabic" w:cs="Traditional Arabic"/>
          <w:color w:val="000000" w:themeColor="text1"/>
          <w:sz w:val="32"/>
          <w:szCs w:val="32"/>
          <w:rtl/>
        </w:rPr>
        <w:t>أن الشفافية لا تُحسّن جودة القرار فحسب، بل ترفع أيضاً مستوى قبوله لدى أصحاب المصلحة، إذ يشعر الموظفون والمتعاملون والشركاء بأن القرار مبنيّ على معطيات واضحة ومعلنة وليس على اعتبارات غير مفهومة، مما يُعزّز الثقة ويُقلّل مقاومة التغيير</w:t>
      </w:r>
      <w:r w:rsidRPr="00E57A74">
        <w:rPr>
          <w:rFonts w:ascii="Traditional Arabic" w:hAnsi="Traditional Arabic" w:cs="Traditional Arabic"/>
          <w:color w:val="000000" w:themeColor="text1"/>
          <w:sz w:val="32"/>
          <w:szCs w:val="32"/>
        </w:rPr>
        <w:t>.</w:t>
      </w:r>
    </w:p>
    <w:p w14:paraId="05174DA0" w14:textId="6026471D" w:rsidR="00E57A74" w:rsidRPr="00E57A74" w:rsidRDefault="00F74A76" w:rsidP="00E57A74">
      <w:pPr>
        <w:bidi/>
        <w:spacing w:after="200" w:line="276" w:lineRule="auto"/>
        <w:jc w:val="both"/>
        <w:rPr>
          <w:rFonts w:ascii="Traditional Arabic" w:hAnsi="Traditional Arabic" w:cs="Traditional Arabic"/>
          <w:color w:val="000000" w:themeColor="text1"/>
          <w:sz w:val="32"/>
          <w:szCs w:val="32"/>
        </w:rPr>
      </w:pPr>
      <w:r>
        <w:rPr>
          <w:rFonts w:ascii="Traditional Arabic" w:hAnsi="Traditional Arabic" w:cs="Traditional Arabic" w:hint="cs"/>
          <w:b/>
          <w:bCs/>
          <w:color w:val="000000" w:themeColor="text1"/>
          <w:sz w:val="32"/>
          <w:szCs w:val="32"/>
          <w:rtl/>
        </w:rPr>
        <w:lastRenderedPageBreak/>
        <w:t>و</w:t>
      </w:r>
      <w:r w:rsidR="00E57A74" w:rsidRPr="00E57A74">
        <w:rPr>
          <w:rFonts w:ascii="Traditional Arabic" w:hAnsi="Traditional Arabic" w:cs="Traditional Arabic"/>
          <w:color w:val="000000" w:themeColor="text1"/>
          <w:sz w:val="32"/>
          <w:szCs w:val="32"/>
          <w:rtl/>
        </w:rPr>
        <w:t>يخلص الباحث إلى أن الشفافية المعلوماتية تُمارس دوراً مزدوجاً في علاقتها بفاعلية اتخاذ القرار الاستراتيجي في وزارات الصناعة الخليجية؛ فهي من جهة تُحسّن مدخلات عملية القرار عبر ضمان تدفق معلومات دقيقة وشاملة ومحدّثة، ومن جهة أخرى تُحسّن مخرجاته عبر تعزيز قبول القرار وشرعيته والتزام الأطراف المعنية بتنفيذه. وهذا الدور المزدوج يجعل من الشفافية المعلوماتية عاملاً لا غنى عنه في سياق وزارات الصناعة التي تتعامل مع قرارات ذات كلف عالية وأثر بعيد المدى كتخصيص الدعم الصناعي وإصدار التراخيص وتحديد أولويات التحول نحو الاقتصاد المعرفي</w:t>
      </w:r>
      <w:r w:rsidR="00E57A74" w:rsidRPr="00E57A74">
        <w:rPr>
          <w:rFonts w:ascii="Traditional Arabic" w:hAnsi="Traditional Arabic" w:cs="Traditional Arabic"/>
          <w:color w:val="000000" w:themeColor="text1"/>
          <w:sz w:val="32"/>
          <w:szCs w:val="32"/>
        </w:rPr>
        <w:t>.</w:t>
      </w:r>
    </w:p>
    <w:p w14:paraId="0F49339F" w14:textId="77777777" w:rsidR="00E57A74" w:rsidRPr="00E57A74" w:rsidRDefault="00E57A74" w:rsidP="00E57A74">
      <w:pPr>
        <w:bidi/>
        <w:spacing w:after="200" w:line="276" w:lineRule="auto"/>
        <w:jc w:val="both"/>
        <w:rPr>
          <w:rFonts w:ascii="Traditional Arabic" w:hAnsi="Traditional Arabic" w:cs="Traditional Arabic"/>
          <w:b/>
          <w:bCs/>
          <w:color w:val="000000" w:themeColor="text1"/>
          <w:sz w:val="32"/>
          <w:szCs w:val="32"/>
        </w:rPr>
      </w:pPr>
      <w:r w:rsidRPr="00E57A74">
        <w:rPr>
          <w:rFonts w:ascii="Traditional Arabic" w:hAnsi="Traditional Arabic" w:cs="Traditional Arabic"/>
          <w:b/>
          <w:bCs/>
          <w:color w:val="000000" w:themeColor="text1"/>
          <w:sz w:val="32"/>
          <w:szCs w:val="32"/>
          <w:rtl/>
        </w:rPr>
        <w:t>ثالثاً: العلاقة التكاملية بين المتغيرات الثلاثة – الشفافية المعلوماتية كمتغير وسيط</w:t>
      </w:r>
    </w:p>
    <w:p w14:paraId="064E0DCB" w14:textId="77777777" w:rsidR="00E57A74" w:rsidRPr="00E57A74" w:rsidRDefault="00E57A74" w:rsidP="00E57A74">
      <w:pPr>
        <w:bidi/>
        <w:spacing w:after="200" w:line="276" w:lineRule="auto"/>
        <w:jc w:val="both"/>
        <w:rPr>
          <w:rFonts w:ascii="Traditional Arabic" w:hAnsi="Traditional Arabic" w:cs="Traditional Arabic"/>
          <w:color w:val="000000" w:themeColor="text1"/>
          <w:sz w:val="32"/>
          <w:szCs w:val="32"/>
        </w:rPr>
      </w:pPr>
      <w:r w:rsidRPr="00E57A74">
        <w:rPr>
          <w:rFonts w:ascii="Traditional Arabic" w:hAnsi="Traditional Arabic" w:cs="Traditional Arabic"/>
          <w:color w:val="000000" w:themeColor="text1"/>
          <w:sz w:val="32"/>
          <w:szCs w:val="32"/>
          <w:rtl/>
        </w:rPr>
        <w:t>تتّضح من التحليل السابق صورة نموذجية متكاملة يحتل فيها التحول الرقمي موقع المتغير المستقل، وتقف الشفافية المعلوماتية في موقع المتغير الوسيط، بينما تُمثّل فاعلية اتخاذ القرار الاستراتيجي المتغير التابع. وتُشير دراسة</w:t>
      </w:r>
      <w:r w:rsidRPr="00E57A74">
        <w:rPr>
          <w:rFonts w:ascii="Traditional Arabic" w:hAnsi="Traditional Arabic" w:cs="Traditional Arabic"/>
          <w:color w:val="000000" w:themeColor="text1"/>
          <w:sz w:val="32"/>
          <w:szCs w:val="32"/>
        </w:rPr>
        <w:t xml:space="preserve"> </w:t>
      </w:r>
      <w:proofErr w:type="spellStart"/>
      <w:r w:rsidRPr="00E57A74">
        <w:rPr>
          <w:rFonts w:ascii="Traditional Arabic" w:hAnsi="Traditional Arabic" w:cs="Traditional Arabic"/>
          <w:color w:val="000000" w:themeColor="text1"/>
          <w:sz w:val="32"/>
          <w:szCs w:val="32"/>
        </w:rPr>
        <w:t>Yulion</w:t>
      </w:r>
      <w:proofErr w:type="spellEnd"/>
      <w:r w:rsidRPr="00E57A74">
        <w:rPr>
          <w:rFonts w:ascii="Traditional Arabic" w:hAnsi="Traditional Arabic" w:cs="Traditional Arabic"/>
          <w:color w:val="000000" w:themeColor="text1"/>
          <w:sz w:val="32"/>
          <w:szCs w:val="32"/>
        </w:rPr>
        <w:t xml:space="preserve"> et al. (2024) </w:t>
      </w:r>
      <w:r w:rsidRPr="00E57A74">
        <w:rPr>
          <w:rFonts w:ascii="Traditional Arabic" w:hAnsi="Traditional Arabic" w:cs="Traditional Arabic"/>
          <w:color w:val="000000" w:themeColor="text1"/>
          <w:sz w:val="32"/>
          <w:szCs w:val="32"/>
          <w:rtl/>
        </w:rPr>
        <w:t xml:space="preserve">إلى أن التحول الرقمي وحده لا يكفي لتحسين فاعلية القرار الاستراتيجي ما لم تتوفر آليات وسيطة تُترجم القدرات التقنية إلى ممارسات إدارية فعلية، وأن الشفافية المعلوماتية تُعدّ أبرز هذه الآليات لأنها تضمن وصول مخرجات الأنظمة الرقمية إلى صانع القرار بصيغة قابلة للاستخدام. وتدعم هذا التفسير دراسة </w:t>
      </w:r>
      <w:r w:rsidRPr="00E57A74">
        <w:rPr>
          <w:rFonts w:ascii="Traditional Arabic" w:hAnsi="Traditional Arabic" w:cs="Traditional Arabic"/>
          <w:color w:val="000000" w:themeColor="text1"/>
          <w:sz w:val="32"/>
          <w:szCs w:val="32"/>
        </w:rPr>
        <w:t xml:space="preserve">Shirokova et al. (2020) </w:t>
      </w:r>
      <w:r w:rsidRPr="00E57A74">
        <w:rPr>
          <w:rFonts w:ascii="Traditional Arabic" w:hAnsi="Traditional Arabic" w:cs="Traditional Arabic"/>
          <w:color w:val="000000" w:themeColor="text1"/>
          <w:sz w:val="32"/>
          <w:szCs w:val="32"/>
          <w:rtl/>
        </w:rPr>
        <w:t xml:space="preserve">التي وجدت أن الاستثمار في تقنيات التحول الرقمي دون مواءمتها مع سياسات إفصاح واضحة يُنتج ما يُعرف </w:t>
      </w:r>
      <w:proofErr w:type="gramStart"/>
      <w:r w:rsidRPr="00E57A74">
        <w:rPr>
          <w:rFonts w:ascii="Traditional Arabic" w:hAnsi="Traditional Arabic" w:cs="Traditional Arabic"/>
          <w:color w:val="000000" w:themeColor="text1"/>
          <w:sz w:val="32"/>
          <w:szCs w:val="32"/>
          <w:rtl/>
        </w:rPr>
        <w:t>بـ"</w:t>
      </w:r>
      <w:proofErr w:type="gramEnd"/>
      <w:r w:rsidRPr="00E57A74">
        <w:rPr>
          <w:rFonts w:ascii="Traditional Arabic" w:hAnsi="Traditional Arabic" w:cs="Traditional Arabic"/>
          <w:color w:val="000000" w:themeColor="text1"/>
          <w:sz w:val="32"/>
          <w:szCs w:val="32"/>
          <w:rtl/>
        </w:rPr>
        <w:t>الجزر الرقمية المعزولة" حيث تتراكم البيانات في أنظمة منفصلة دون أن تتحوّل إلى معرفة مؤسسية تُغذّي القرار</w:t>
      </w:r>
      <w:r w:rsidRPr="00E57A74">
        <w:rPr>
          <w:rFonts w:ascii="Traditional Arabic" w:hAnsi="Traditional Arabic" w:cs="Traditional Arabic"/>
          <w:color w:val="000000" w:themeColor="text1"/>
          <w:sz w:val="32"/>
          <w:szCs w:val="32"/>
        </w:rPr>
        <w:t>.</w:t>
      </w:r>
    </w:p>
    <w:p w14:paraId="7B73CC9B" w14:textId="129B9630" w:rsidR="00E57A74" w:rsidRPr="00E57A74" w:rsidRDefault="00E57A74" w:rsidP="00E57A74">
      <w:pPr>
        <w:bidi/>
        <w:spacing w:after="200" w:line="276" w:lineRule="auto"/>
        <w:jc w:val="both"/>
        <w:rPr>
          <w:rFonts w:ascii="Traditional Arabic" w:hAnsi="Traditional Arabic" w:cs="Traditional Arabic"/>
          <w:color w:val="000000" w:themeColor="text1"/>
          <w:sz w:val="32"/>
          <w:szCs w:val="32"/>
        </w:rPr>
      </w:pPr>
      <w:r w:rsidRPr="00E57A74">
        <w:rPr>
          <w:rFonts w:ascii="Traditional Arabic" w:hAnsi="Traditional Arabic" w:cs="Traditional Arabic"/>
          <w:color w:val="000000" w:themeColor="text1"/>
          <w:sz w:val="32"/>
          <w:szCs w:val="32"/>
          <w:rtl/>
        </w:rPr>
        <w:t>ويُضيف</w:t>
      </w:r>
      <w:r w:rsidRPr="00E57A74">
        <w:rPr>
          <w:rFonts w:ascii="Traditional Arabic" w:hAnsi="Traditional Arabic" w:cs="Traditional Arabic"/>
          <w:color w:val="000000" w:themeColor="text1"/>
          <w:sz w:val="32"/>
          <w:szCs w:val="32"/>
        </w:rPr>
        <w:t xml:space="preserve"> van Wyk (2023) </w:t>
      </w:r>
      <w:r w:rsidRPr="00E57A74">
        <w:rPr>
          <w:rFonts w:ascii="Traditional Arabic" w:hAnsi="Traditional Arabic" w:cs="Traditional Arabic"/>
          <w:color w:val="000000" w:themeColor="text1"/>
          <w:sz w:val="32"/>
          <w:szCs w:val="32"/>
          <w:rtl/>
        </w:rPr>
        <w:t>بُعداً تطبيقياً مهماً، مؤكداً أن المنظمات التي نجحت في تحقيق فاعلية عالية في قراراتها الاستراتيجية هي تلك التي صمّمت مشاريع تحولها الرقمي منذ البداية بمراعاة متطلبات الشفافية، بحيث يُصبح نشر المعلومات وإتاحتها جزءاً لا يتجزأ من العمليات الرقمية وليس مرحلة لاحقة تُضاف إليها. وفي السياق الخليجي تحديداً، يُوضّح تقرير</w:t>
      </w:r>
      <w:r w:rsidRPr="00E57A74">
        <w:rPr>
          <w:rFonts w:ascii="Traditional Arabic" w:hAnsi="Traditional Arabic" w:cs="Traditional Arabic"/>
          <w:color w:val="000000" w:themeColor="text1"/>
          <w:sz w:val="32"/>
          <w:szCs w:val="32"/>
        </w:rPr>
        <w:t xml:space="preserve"> IMF (2025) </w:t>
      </w:r>
      <w:r w:rsidRPr="00E57A74">
        <w:rPr>
          <w:rFonts w:ascii="Traditional Arabic" w:hAnsi="Traditional Arabic" w:cs="Traditional Arabic"/>
          <w:color w:val="000000" w:themeColor="text1"/>
          <w:sz w:val="32"/>
          <w:szCs w:val="32"/>
          <w:rtl/>
        </w:rPr>
        <w:t>أن دول المجلس التي حققت تقدماً في ربط التحول الرقمي بالشفافية شهدت تحسّناً ملحوظاً في سرعة وجودة قراراتها المتعلقة بالسياسات الصناعية، فيما لا تزال بعض الدول تواجه تحدياً في تحويل الاستثمارات التقنية الضخمة إلى شفافية فعلية تنعكس على جودة القرار</w:t>
      </w:r>
      <w:r w:rsidR="00F74A76">
        <w:rPr>
          <w:rFonts w:ascii="Traditional Arabic" w:hAnsi="Traditional Arabic" w:cs="Traditional Arabic" w:hint="cs"/>
          <w:color w:val="000000" w:themeColor="text1"/>
          <w:sz w:val="32"/>
          <w:szCs w:val="32"/>
          <w:rtl/>
        </w:rPr>
        <w:t>،</w:t>
      </w:r>
      <w:r w:rsidRPr="00E57A74">
        <w:rPr>
          <w:rFonts w:ascii="Traditional Arabic" w:hAnsi="Traditional Arabic" w:cs="Traditional Arabic"/>
          <w:color w:val="000000" w:themeColor="text1"/>
          <w:sz w:val="32"/>
          <w:szCs w:val="32"/>
        </w:rPr>
        <w:t xml:space="preserve"> </w:t>
      </w:r>
      <w:r w:rsidRPr="00E57A74">
        <w:rPr>
          <w:rFonts w:ascii="Traditional Arabic" w:hAnsi="Traditional Arabic" w:cs="Traditional Arabic"/>
          <w:color w:val="000000" w:themeColor="text1"/>
          <w:sz w:val="32"/>
          <w:szCs w:val="32"/>
          <w:rtl/>
        </w:rPr>
        <w:t>ويُؤكد تقرير</w:t>
      </w:r>
      <w:r w:rsidRPr="00E57A74">
        <w:rPr>
          <w:rFonts w:ascii="Traditional Arabic" w:hAnsi="Traditional Arabic" w:cs="Traditional Arabic"/>
          <w:color w:val="000000" w:themeColor="text1"/>
          <w:sz w:val="32"/>
          <w:szCs w:val="32"/>
        </w:rPr>
        <w:t xml:space="preserve"> McKinsey (2023) </w:t>
      </w:r>
      <w:r w:rsidRPr="00E57A74">
        <w:rPr>
          <w:rFonts w:ascii="Traditional Arabic" w:hAnsi="Traditional Arabic" w:cs="Traditional Arabic"/>
          <w:color w:val="000000" w:themeColor="text1"/>
          <w:sz w:val="32"/>
          <w:szCs w:val="32"/>
          <w:rtl/>
        </w:rPr>
        <w:t xml:space="preserve">أن وزارات الصناعة في منطقة الخليج التي اعتمدت نماذج تحول رقمي شاملة مقترنة بسياسات شفافية مؤسسية استطاعت تقليص الزمن اللازم لاتخاذ القرارات الاستراتيجية بنسب تتراوح بين ثلاثين وخمسين بالمئة، مع تحسّن مواز في جودة هذه القرارات </w:t>
      </w:r>
      <w:r w:rsidRPr="00E57A74">
        <w:rPr>
          <w:rFonts w:ascii="Traditional Arabic" w:hAnsi="Traditional Arabic" w:cs="Traditional Arabic"/>
          <w:color w:val="000000" w:themeColor="text1"/>
          <w:sz w:val="32"/>
          <w:szCs w:val="32"/>
          <w:rtl/>
        </w:rPr>
        <w:lastRenderedPageBreak/>
        <w:t>وفقاً لمؤشرات رضا المستثمرين والأداء التشغيلي للقطاع الصناعي. كما يُبرز تقرير</w:t>
      </w:r>
      <w:r w:rsidRPr="00E57A74">
        <w:rPr>
          <w:rFonts w:ascii="Traditional Arabic" w:hAnsi="Traditional Arabic" w:cs="Traditional Arabic"/>
          <w:color w:val="000000" w:themeColor="text1"/>
          <w:sz w:val="32"/>
          <w:szCs w:val="32"/>
        </w:rPr>
        <w:t xml:space="preserve"> BCG (2024) </w:t>
      </w:r>
      <w:r w:rsidRPr="00E57A74">
        <w:rPr>
          <w:rFonts w:ascii="Traditional Arabic" w:hAnsi="Traditional Arabic" w:cs="Traditional Arabic"/>
          <w:color w:val="000000" w:themeColor="text1"/>
          <w:sz w:val="32"/>
          <w:szCs w:val="32"/>
          <w:rtl/>
        </w:rPr>
        <w:t xml:space="preserve">أن الانتقال من مرحلة </w:t>
      </w:r>
      <w:proofErr w:type="spellStart"/>
      <w:r w:rsidRPr="00E57A74">
        <w:rPr>
          <w:rFonts w:ascii="Traditional Arabic" w:hAnsi="Traditional Arabic" w:cs="Traditional Arabic"/>
          <w:color w:val="000000" w:themeColor="text1"/>
          <w:sz w:val="32"/>
          <w:szCs w:val="32"/>
          <w:rtl/>
        </w:rPr>
        <w:t>رقمنة</w:t>
      </w:r>
      <w:proofErr w:type="spellEnd"/>
      <w:r w:rsidRPr="00E57A74">
        <w:rPr>
          <w:rFonts w:ascii="Traditional Arabic" w:hAnsi="Traditional Arabic" w:cs="Traditional Arabic"/>
          <w:color w:val="000000" w:themeColor="text1"/>
          <w:sz w:val="32"/>
          <w:szCs w:val="32"/>
          <w:rtl/>
        </w:rPr>
        <w:t xml:space="preserve"> العمليات إلى مرحلة التحول الرقمي الذكي المدعوم بالذكاء الاصطناعي يستوجب مستوى أعلى من الشفافية المعلوماتية لأن خوارزميات الذكاء الاصطناعي تحتاج إلى بيانات مفتوحة وموثوقة ومتاحة لتقديم توصيات دقيقة تدعم القرار الاستراتيجي</w:t>
      </w:r>
      <w:r w:rsidRPr="00E57A74">
        <w:rPr>
          <w:rFonts w:ascii="Traditional Arabic" w:hAnsi="Traditional Arabic" w:cs="Traditional Arabic"/>
          <w:color w:val="000000" w:themeColor="text1"/>
          <w:sz w:val="32"/>
          <w:szCs w:val="32"/>
        </w:rPr>
        <w:t>.</w:t>
      </w:r>
    </w:p>
    <w:p w14:paraId="247D486D" w14:textId="204AA45D" w:rsidR="00EF5312" w:rsidRDefault="00E57A74" w:rsidP="00E57A74">
      <w:pPr>
        <w:bidi/>
        <w:spacing w:after="200" w:line="276" w:lineRule="auto"/>
        <w:jc w:val="both"/>
        <w:rPr>
          <w:rFonts w:ascii="Traditional Arabic" w:hAnsi="Traditional Arabic" w:cs="Traditional Arabic"/>
          <w:color w:val="000000" w:themeColor="text1"/>
          <w:sz w:val="32"/>
          <w:szCs w:val="32"/>
        </w:rPr>
      </w:pPr>
      <w:r w:rsidRPr="00E57A74">
        <w:rPr>
          <w:rFonts w:ascii="Traditional Arabic" w:hAnsi="Traditional Arabic" w:cs="Traditional Arabic"/>
          <w:color w:val="000000" w:themeColor="text1"/>
          <w:sz w:val="32"/>
          <w:szCs w:val="32"/>
        </w:rPr>
        <w:t xml:space="preserve"> </w:t>
      </w:r>
      <w:r w:rsidRPr="00E57A74">
        <w:rPr>
          <w:rFonts w:ascii="Traditional Arabic" w:hAnsi="Traditional Arabic" w:cs="Traditional Arabic"/>
          <w:color w:val="000000" w:themeColor="text1"/>
          <w:sz w:val="32"/>
          <w:szCs w:val="32"/>
          <w:rtl/>
        </w:rPr>
        <w:t xml:space="preserve">يخلص الباحث إلى أن النموذج التكاملي الذي يضع الشفافية المعلوماتية بأبعادها الثلاثة </w:t>
      </w:r>
      <w:r w:rsidRPr="00E57A74">
        <w:rPr>
          <w:rFonts w:ascii="Traditional Arabic" w:hAnsi="Traditional Arabic" w:cs="Traditional Arabic"/>
          <w:color w:val="000000" w:themeColor="text1"/>
          <w:sz w:val="32"/>
          <w:szCs w:val="32"/>
        </w:rPr>
        <w:t>(</w:t>
      </w:r>
      <w:r w:rsidRPr="00E57A74">
        <w:rPr>
          <w:rFonts w:ascii="Traditional Arabic" w:hAnsi="Traditional Arabic" w:cs="Traditional Arabic"/>
          <w:color w:val="000000" w:themeColor="text1"/>
          <w:sz w:val="32"/>
          <w:szCs w:val="32"/>
          <w:rtl/>
        </w:rPr>
        <w:t>شفافية الأنظمة واللوائح، وشفافية الإجراءات، وشفافية الاتصال والمعلومات</w:t>
      </w:r>
      <w:r w:rsidRPr="00E57A74">
        <w:rPr>
          <w:rFonts w:ascii="Traditional Arabic" w:hAnsi="Traditional Arabic" w:cs="Traditional Arabic"/>
          <w:color w:val="000000" w:themeColor="text1"/>
          <w:sz w:val="32"/>
          <w:szCs w:val="32"/>
        </w:rPr>
        <w:t xml:space="preserve">) </w:t>
      </w:r>
      <w:r w:rsidRPr="00E57A74">
        <w:rPr>
          <w:rFonts w:ascii="Traditional Arabic" w:hAnsi="Traditional Arabic" w:cs="Traditional Arabic"/>
          <w:color w:val="000000" w:themeColor="text1"/>
          <w:sz w:val="32"/>
          <w:szCs w:val="32"/>
          <w:rtl/>
        </w:rPr>
        <w:t>في موقع الوسيط بين التحول الرقمي بأبعاده (البنية التحتية التقنية، والكفاءات الرقمية، وإعادة هندسة العمليات) وبين فاعلية اتخاذ القرار الاستراتيجي بأبعاده (الوعي الاستراتيجي، والقدرة على التكيّف، والتفاعل مع البيانات والمعلومات) يُقدّم إطاراً تحليلياً قوياً لفهم الديناميكيات التي تحكم الأداء المؤسسي في وزارات الصناعة بدول مجلس التعاون الخليجي</w:t>
      </w:r>
      <w:r w:rsidRPr="00E57A74">
        <w:rPr>
          <w:rFonts w:ascii="Traditional Arabic" w:hAnsi="Traditional Arabic" w:cs="Traditional Arabic"/>
          <w:color w:val="000000" w:themeColor="text1"/>
          <w:sz w:val="32"/>
          <w:szCs w:val="32"/>
        </w:rPr>
        <w:t xml:space="preserve">. </w:t>
      </w:r>
      <w:r w:rsidRPr="00E57A74">
        <w:rPr>
          <w:rFonts w:ascii="Traditional Arabic" w:hAnsi="Traditional Arabic" w:cs="Traditional Arabic"/>
          <w:color w:val="000000" w:themeColor="text1"/>
          <w:sz w:val="32"/>
          <w:szCs w:val="32"/>
          <w:rtl/>
        </w:rPr>
        <w:t>فالتحول الرقمي يُنشئ القدرات، والشفافية المعلوماتية تُوجّه هذه القدرات نحو صانع القرار، وفاعلية القرار الاستراتيجي تتحقق حين يتكامل هذان المساران في منظومة واحدة متناسقة. وأي خلل في حلقة الشفافية الوسيطة يعني أن مخرجات التحول الرقمي ستبقى قدرات كامنة غير مستثمرة، وهو ما يُبرّر اعتماد الشفافية المعلوماتية كمتغير وسيط في النموذج المقترح لهذه الدراسة، واختبار هذا الدور إحصائياً من خلال المنهجية الكمية المعتمدة</w:t>
      </w:r>
      <w:r w:rsidRPr="00E57A74">
        <w:rPr>
          <w:rFonts w:ascii="Traditional Arabic" w:hAnsi="Traditional Arabic" w:cs="Traditional Arabic"/>
          <w:color w:val="000000" w:themeColor="text1"/>
          <w:sz w:val="32"/>
          <w:szCs w:val="32"/>
        </w:rPr>
        <w:t>.</w:t>
      </w:r>
    </w:p>
    <w:p w14:paraId="6A903875" w14:textId="77777777" w:rsidR="00EF5312" w:rsidRDefault="00EF5312">
      <w:pPr>
        <w:spacing w:after="200" w:line="276" w:lineRule="auto"/>
        <w:rPr>
          <w:rFonts w:ascii="Traditional Arabic" w:hAnsi="Traditional Arabic" w:cs="Traditional Arabic"/>
          <w:color w:val="000000" w:themeColor="text1"/>
          <w:sz w:val="32"/>
          <w:szCs w:val="32"/>
        </w:rPr>
      </w:pPr>
      <w:r>
        <w:rPr>
          <w:rFonts w:ascii="Traditional Arabic" w:hAnsi="Traditional Arabic" w:cs="Traditional Arabic"/>
          <w:color w:val="000000" w:themeColor="text1"/>
          <w:sz w:val="32"/>
          <w:szCs w:val="32"/>
        </w:rPr>
        <w:br w:type="page"/>
      </w:r>
    </w:p>
    <w:p w14:paraId="255746FA" w14:textId="712C4C5B" w:rsidR="00E57A74" w:rsidRPr="00EF5312" w:rsidRDefault="00EF5312" w:rsidP="00EF5312">
      <w:pPr>
        <w:bidi/>
        <w:spacing w:after="200" w:line="276" w:lineRule="auto"/>
        <w:jc w:val="center"/>
        <w:rPr>
          <w:rFonts w:ascii="Traditional Arabic" w:hAnsi="Traditional Arabic" w:cs="Traditional Arabic"/>
          <w:b/>
          <w:bCs/>
          <w:color w:val="EE0000"/>
          <w:sz w:val="32"/>
          <w:szCs w:val="32"/>
          <w:rtl/>
        </w:rPr>
      </w:pPr>
      <w:r w:rsidRPr="00EF5312">
        <w:rPr>
          <w:rFonts w:ascii="Traditional Arabic" w:hAnsi="Traditional Arabic" w:cs="Traditional Arabic" w:hint="cs"/>
          <w:b/>
          <w:bCs/>
          <w:color w:val="EE0000"/>
          <w:sz w:val="32"/>
          <w:szCs w:val="32"/>
          <w:rtl/>
        </w:rPr>
        <w:lastRenderedPageBreak/>
        <w:t>المبحث الخامس</w:t>
      </w:r>
      <w:r>
        <w:rPr>
          <w:rFonts w:ascii="Traditional Arabic" w:hAnsi="Traditional Arabic" w:cs="Traditional Arabic" w:hint="cs"/>
          <w:b/>
          <w:bCs/>
          <w:color w:val="EE0000"/>
          <w:sz w:val="32"/>
          <w:szCs w:val="32"/>
          <w:rtl/>
        </w:rPr>
        <w:t xml:space="preserve">: الدراسات السابقة </w:t>
      </w:r>
    </w:p>
    <w:p w14:paraId="69DDB892"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tl/>
          <w:lang w:bidi="ar-EG"/>
        </w:rPr>
      </w:pPr>
      <w:r w:rsidRPr="00EF5312">
        <w:rPr>
          <w:rFonts w:ascii="Traditional Arabic" w:hAnsi="Traditional Arabic" w:cs="Traditional Arabic" w:hint="cs"/>
          <w:color w:val="000000" w:themeColor="text1"/>
          <w:sz w:val="32"/>
          <w:szCs w:val="32"/>
          <w:rtl/>
          <w:lang w:bidi="ar-EG"/>
        </w:rPr>
        <w:t>يتناول الباحث بهذا الجزء مجموعة من الدراسات السابقة ذات الصلة بموضوع البحث، وقد تم تقسيم تلك الدراسات إلى ثلاث مجموعات رئيسية، وهي</w:t>
      </w:r>
      <w:r w:rsidRPr="00EF5312">
        <w:rPr>
          <w:rFonts w:ascii="Traditional Arabic" w:hAnsi="Traditional Arabic" w:cs="Traditional Arabic"/>
          <w:color w:val="000000" w:themeColor="text1"/>
          <w:sz w:val="32"/>
          <w:szCs w:val="32"/>
        </w:rPr>
        <w:t>:</w:t>
      </w:r>
      <w:r w:rsidRPr="00EF5312">
        <w:rPr>
          <w:rFonts w:ascii="Traditional Arabic" w:hAnsi="Traditional Arabic" w:cs="Traditional Arabic" w:hint="cs"/>
          <w:color w:val="000000" w:themeColor="text1"/>
          <w:sz w:val="32"/>
          <w:szCs w:val="32"/>
        </w:rPr>
        <w:t xml:space="preserve"> </w:t>
      </w:r>
    </w:p>
    <w:p w14:paraId="79FEB9B0" w14:textId="77777777" w:rsidR="00EF5312" w:rsidRPr="00EF5312" w:rsidRDefault="00EF5312" w:rsidP="00EF5312">
      <w:pPr>
        <w:numPr>
          <w:ilvl w:val="0"/>
          <w:numId w:val="14"/>
        </w:numPr>
        <w:bidi/>
        <w:spacing w:after="200" w:line="276" w:lineRule="auto"/>
        <w:jc w:val="both"/>
        <w:rPr>
          <w:rFonts w:ascii="Traditional Arabic" w:hAnsi="Traditional Arabic" w:cs="Traditional Arabic"/>
          <w:color w:val="000000" w:themeColor="text1"/>
          <w:sz w:val="32"/>
          <w:szCs w:val="32"/>
          <w:rtl/>
          <w:lang w:bidi="ar-EG"/>
        </w:rPr>
      </w:pPr>
      <w:r w:rsidRPr="00EF5312">
        <w:rPr>
          <w:rFonts w:ascii="Traditional Arabic" w:hAnsi="Traditional Arabic" w:cs="Traditional Arabic" w:hint="cs"/>
          <w:color w:val="000000" w:themeColor="text1"/>
          <w:sz w:val="32"/>
          <w:szCs w:val="32"/>
          <w:rtl/>
          <w:lang w:bidi="ar-EG"/>
        </w:rPr>
        <w:t>المجموعة الأولى: الدراسات التي تناولت التحول الرقمي وعلاقته بالمتغيرات الأخرى.</w:t>
      </w:r>
    </w:p>
    <w:p w14:paraId="3C26906B" w14:textId="77777777" w:rsidR="00EF5312" w:rsidRPr="00EF5312" w:rsidRDefault="00EF5312" w:rsidP="00EF5312">
      <w:pPr>
        <w:numPr>
          <w:ilvl w:val="0"/>
          <w:numId w:val="14"/>
        </w:numPr>
        <w:bidi/>
        <w:spacing w:after="200" w:line="276" w:lineRule="auto"/>
        <w:jc w:val="both"/>
        <w:rPr>
          <w:rFonts w:ascii="Traditional Arabic" w:hAnsi="Traditional Arabic" w:cs="Traditional Arabic"/>
          <w:color w:val="000000" w:themeColor="text1"/>
          <w:sz w:val="32"/>
          <w:szCs w:val="32"/>
          <w:rtl/>
          <w:lang w:bidi="ar-EG"/>
        </w:rPr>
      </w:pPr>
      <w:r w:rsidRPr="00EF5312">
        <w:rPr>
          <w:rFonts w:ascii="Traditional Arabic" w:hAnsi="Traditional Arabic" w:cs="Traditional Arabic" w:hint="cs"/>
          <w:color w:val="000000" w:themeColor="text1"/>
          <w:sz w:val="32"/>
          <w:szCs w:val="32"/>
          <w:rtl/>
          <w:lang w:bidi="ar-EG"/>
        </w:rPr>
        <w:t xml:space="preserve">المجموعة الثانية: الدراسات التي تناولت </w:t>
      </w:r>
      <w:r w:rsidRPr="00EF5312">
        <w:rPr>
          <w:rFonts w:ascii="Traditional Arabic" w:hAnsi="Traditional Arabic" w:cs="Traditional Arabic"/>
          <w:color w:val="000000" w:themeColor="text1"/>
          <w:sz w:val="32"/>
          <w:szCs w:val="32"/>
          <w:rtl/>
        </w:rPr>
        <w:t>فاعلية اتخاذ القرار الاستراتيجي</w:t>
      </w:r>
      <w:r w:rsidRPr="00EF5312">
        <w:rPr>
          <w:rFonts w:ascii="Traditional Arabic" w:hAnsi="Traditional Arabic" w:cs="Traditional Arabic" w:hint="cs"/>
          <w:color w:val="000000" w:themeColor="text1"/>
          <w:sz w:val="32"/>
          <w:szCs w:val="32"/>
          <w:rtl/>
          <w:lang w:bidi="ar-EG"/>
        </w:rPr>
        <w:t>وعلاقته بالمتغيرات الأخرى</w:t>
      </w:r>
      <w:r w:rsidRPr="00EF5312">
        <w:rPr>
          <w:rFonts w:ascii="Traditional Arabic" w:hAnsi="Traditional Arabic" w:cs="Traditional Arabic" w:hint="cs"/>
          <w:color w:val="000000" w:themeColor="text1"/>
          <w:sz w:val="32"/>
          <w:szCs w:val="32"/>
        </w:rPr>
        <w:t>.</w:t>
      </w:r>
    </w:p>
    <w:p w14:paraId="2E7F3FE6" w14:textId="77777777" w:rsidR="00EF5312" w:rsidRPr="00EF5312" w:rsidRDefault="00EF5312" w:rsidP="00EF5312">
      <w:pPr>
        <w:numPr>
          <w:ilvl w:val="0"/>
          <w:numId w:val="14"/>
        </w:numPr>
        <w:bidi/>
        <w:spacing w:after="200" w:line="276" w:lineRule="auto"/>
        <w:jc w:val="both"/>
        <w:rPr>
          <w:rFonts w:ascii="Traditional Arabic" w:hAnsi="Traditional Arabic" w:cs="Traditional Arabic"/>
          <w:color w:val="000000" w:themeColor="text1"/>
          <w:sz w:val="32"/>
          <w:szCs w:val="32"/>
          <w:rtl/>
          <w:lang w:bidi="ar-EG"/>
        </w:rPr>
      </w:pPr>
      <w:r w:rsidRPr="00EF5312">
        <w:rPr>
          <w:rFonts w:ascii="Traditional Arabic" w:hAnsi="Traditional Arabic" w:cs="Traditional Arabic" w:hint="cs"/>
          <w:color w:val="000000" w:themeColor="text1"/>
          <w:sz w:val="32"/>
          <w:szCs w:val="32"/>
          <w:rtl/>
          <w:lang w:bidi="ar-EG"/>
        </w:rPr>
        <w:t xml:space="preserve">المجموعة الثالثة: الدراسات التي تناولت </w:t>
      </w:r>
      <w:r w:rsidRPr="00EF5312">
        <w:rPr>
          <w:rFonts w:ascii="Traditional Arabic" w:hAnsi="Traditional Arabic" w:cs="Traditional Arabic"/>
          <w:color w:val="000000" w:themeColor="text1"/>
          <w:sz w:val="32"/>
          <w:szCs w:val="32"/>
          <w:rtl/>
        </w:rPr>
        <w:t>الشفافية المعلوماتية</w:t>
      </w:r>
      <w:r w:rsidRPr="00EF5312">
        <w:rPr>
          <w:rFonts w:ascii="Traditional Arabic" w:hAnsi="Traditional Arabic" w:cs="Traditional Arabic" w:hint="cs"/>
          <w:color w:val="000000" w:themeColor="text1"/>
          <w:sz w:val="32"/>
          <w:szCs w:val="32"/>
          <w:rtl/>
          <w:lang w:bidi="ar-EG"/>
        </w:rPr>
        <w:t xml:space="preserve"> وعلاقته بالمتغيرات الأخرى</w:t>
      </w:r>
      <w:r w:rsidRPr="00EF5312">
        <w:rPr>
          <w:rFonts w:ascii="Traditional Arabic" w:hAnsi="Traditional Arabic" w:cs="Traditional Arabic" w:hint="cs"/>
          <w:color w:val="000000" w:themeColor="text1"/>
          <w:sz w:val="32"/>
          <w:szCs w:val="32"/>
        </w:rPr>
        <w:t>.</w:t>
      </w:r>
    </w:p>
    <w:p w14:paraId="62C32B07"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lang w:bidi="ar-EG"/>
        </w:rPr>
        <w:t>وفيما يلي عرض لكل مجموعة من هذه الدراسات م</w:t>
      </w:r>
    </w:p>
    <w:p w14:paraId="74568887" w14:textId="77777777" w:rsidR="00EF5312" w:rsidRPr="00EF5312" w:rsidRDefault="00EF5312" w:rsidP="00EF5312">
      <w:pPr>
        <w:bidi/>
        <w:spacing w:after="200" w:line="276" w:lineRule="auto"/>
        <w:jc w:val="both"/>
        <w:rPr>
          <w:rFonts w:ascii="Traditional Arabic" w:hAnsi="Traditional Arabic" w:cs="Traditional Arabic"/>
          <w:b/>
          <w:bCs/>
          <w:color w:val="000000" w:themeColor="text1"/>
          <w:sz w:val="32"/>
          <w:szCs w:val="32"/>
          <w:rtl/>
          <w:lang w:bidi="ar-EG"/>
        </w:rPr>
      </w:pPr>
      <w:r w:rsidRPr="00EF5312">
        <w:rPr>
          <w:rFonts w:ascii="Traditional Arabic" w:hAnsi="Traditional Arabic" w:cs="Traditional Arabic" w:hint="cs"/>
          <w:b/>
          <w:bCs/>
          <w:color w:val="000000" w:themeColor="text1"/>
          <w:sz w:val="32"/>
          <w:szCs w:val="32"/>
          <w:rtl/>
          <w:lang w:bidi="ar-EG"/>
        </w:rPr>
        <w:t>المجموعة الأولى: الدراسات التي تناولت التحول الرقمي وعلاقته بالمتغيرات الأخرى.</w:t>
      </w:r>
    </w:p>
    <w:p w14:paraId="36C08CD8" w14:textId="77777777" w:rsidR="00EF5312" w:rsidRPr="00EF5312" w:rsidRDefault="00EF5312" w:rsidP="00EF5312">
      <w:pPr>
        <w:bidi/>
        <w:spacing w:after="200" w:line="276" w:lineRule="auto"/>
        <w:jc w:val="both"/>
        <w:rPr>
          <w:rFonts w:ascii="Traditional Arabic" w:hAnsi="Traditional Arabic" w:cs="Traditional Arabic"/>
          <w:b/>
          <w:bCs/>
          <w:color w:val="000000" w:themeColor="text1"/>
          <w:sz w:val="32"/>
          <w:szCs w:val="32"/>
          <w:rtl/>
        </w:rPr>
      </w:pPr>
      <w:r w:rsidRPr="00EF5312">
        <w:rPr>
          <w:rFonts w:ascii="Traditional Arabic" w:hAnsi="Traditional Arabic" w:cs="Traditional Arabic" w:hint="cs"/>
          <w:b/>
          <w:bCs/>
          <w:color w:val="000000" w:themeColor="text1"/>
          <w:sz w:val="32"/>
          <w:szCs w:val="32"/>
          <w:rtl/>
        </w:rPr>
        <w:t xml:space="preserve">دراسة (عبد المنعم ورضوان،2023) بعنوان: </w:t>
      </w:r>
      <w:r w:rsidRPr="00EF5312">
        <w:rPr>
          <w:rFonts w:ascii="Traditional Arabic" w:hAnsi="Traditional Arabic" w:cs="Traditional Arabic"/>
          <w:b/>
          <w:bCs/>
          <w:color w:val="000000" w:themeColor="text1"/>
          <w:sz w:val="32"/>
          <w:szCs w:val="32"/>
          <w:rtl/>
        </w:rPr>
        <w:t>تأثير التحول الرقمي على اليقظة التنظيمية: دراسة ميدانية مطبقة على العاملين بفروع البنك الزراعي المصري بمحافظة الوادي الجديد</w:t>
      </w:r>
      <w:r w:rsidRPr="00EF5312">
        <w:rPr>
          <w:rFonts w:ascii="Traditional Arabic" w:hAnsi="Traditional Arabic" w:cs="Traditional Arabic"/>
          <w:b/>
          <w:bCs/>
          <w:color w:val="000000" w:themeColor="text1"/>
          <w:sz w:val="32"/>
          <w:szCs w:val="32"/>
        </w:rPr>
        <w:t>.</w:t>
      </w:r>
    </w:p>
    <w:p w14:paraId="13E8003B"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tl/>
        </w:rPr>
      </w:pPr>
      <w:r w:rsidRPr="00EF5312">
        <w:rPr>
          <w:rFonts w:ascii="Traditional Arabic" w:hAnsi="Traditional Arabic" w:cs="Traditional Arabic"/>
          <w:color w:val="000000" w:themeColor="text1"/>
          <w:sz w:val="32"/>
          <w:szCs w:val="32"/>
          <w:rtl/>
        </w:rPr>
        <w:t xml:space="preserve">هدفت الدراسة إلى التعرف على أثر التحول الرقمي بأبعاده (الاستعداد الرقمي، مركزية العملاء، القيادة الرقمية) على اليقظة التنظيمية في فروع البنك الزراعي المصري بمحافظة الوادي </w:t>
      </w:r>
      <w:r w:rsidRPr="00EF5312">
        <w:rPr>
          <w:rFonts w:ascii="Traditional Arabic" w:hAnsi="Traditional Arabic" w:cs="Traditional Arabic" w:hint="cs"/>
          <w:color w:val="000000" w:themeColor="text1"/>
          <w:sz w:val="32"/>
          <w:szCs w:val="32"/>
          <w:rtl/>
        </w:rPr>
        <w:t xml:space="preserve">الجديد، </w:t>
      </w:r>
      <w:r w:rsidRPr="00EF5312">
        <w:rPr>
          <w:rFonts w:ascii="Traditional Arabic" w:hAnsi="Traditional Arabic" w:cs="Traditional Arabic"/>
          <w:color w:val="000000" w:themeColor="text1"/>
          <w:sz w:val="32"/>
          <w:szCs w:val="32"/>
          <w:rtl/>
        </w:rPr>
        <w:t xml:space="preserve">واستخدمت الدراسة المنهج الوصفي التحليلي، وتكونت العينة من </w:t>
      </w:r>
      <w:r w:rsidRPr="00EF5312">
        <w:rPr>
          <w:rFonts w:ascii="Traditional Arabic" w:hAnsi="Traditional Arabic" w:cs="Traditional Arabic"/>
          <w:color w:val="000000" w:themeColor="text1"/>
          <w:sz w:val="32"/>
          <w:szCs w:val="32"/>
        </w:rPr>
        <w:t xml:space="preserve">(151) </w:t>
      </w:r>
      <w:r w:rsidRPr="00EF5312">
        <w:rPr>
          <w:rFonts w:ascii="Traditional Arabic" w:hAnsi="Traditional Arabic" w:cs="Traditional Arabic"/>
          <w:color w:val="000000" w:themeColor="text1"/>
          <w:sz w:val="32"/>
          <w:szCs w:val="32"/>
          <w:rtl/>
        </w:rPr>
        <w:t>موظفًا تم اختيارهم من مجتمع بلغ (620) موظفًا</w:t>
      </w:r>
      <w:r w:rsidRPr="00EF5312">
        <w:rPr>
          <w:rFonts w:ascii="Traditional Arabic" w:hAnsi="Traditional Arabic" w:cs="Traditional Arabic" w:hint="cs"/>
          <w:color w:val="000000" w:themeColor="text1"/>
          <w:sz w:val="32"/>
          <w:szCs w:val="32"/>
          <w:rtl/>
        </w:rPr>
        <w:t>.</w:t>
      </w:r>
    </w:p>
    <w:p w14:paraId="465D8F08"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Pr>
      </w:pPr>
      <w:r w:rsidRPr="00EF5312">
        <w:rPr>
          <w:rFonts w:ascii="Traditional Arabic" w:hAnsi="Traditional Arabic" w:cs="Traditional Arabic"/>
          <w:color w:val="000000" w:themeColor="text1"/>
          <w:sz w:val="32"/>
          <w:szCs w:val="32"/>
          <w:rtl/>
        </w:rPr>
        <w:t xml:space="preserve"> وتوصلت نتائج الدراسة إلى وجود تأثير إيجابي ومعنوي لإدراك العاملين لأبعاد التحول الرقمي على مستوى اليقظة التنظيمية</w:t>
      </w:r>
      <w:r w:rsidRPr="00EF5312">
        <w:rPr>
          <w:rFonts w:ascii="Traditional Arabic" w:hAnsi="Traditional Arabic" w:cs="Traditional Arabic" w:hint="cs"/>
          <w:color w:val="000000" w:themeColor="text1"/>
          <w:sz w:val="32"/>
          <w:szCs w:val="32"/>
          <w:rtl/>
        </w:rPr>
        <w:t xml:space="preserve">، </w:t>
      </w:r>
      <w:r w:rsidRPr="00EF5312">
        <w:rPr>
          <w:rFonts w:ascii="Traditional Arabic" w:hAnsi="Traditional Arabic" w:cs="Traditional Arabic"/>
          <w:color w:val="000000" w:themeColor="text1"/>
          <w:sz w:val="32"/>
          <w:szCs w:val="32"/>
          <w:rtl/>
        </w:rPr>
        <w:t>وأوصت الدراسة بمجموعة من التوصيات الهادفة إلى تعزيز ممارسات التحول الرقمي كمدخل لتحسين مستوى اليقظة داخل المؤسسات، إلى جانب اقتراح دراسات مستقبلية تربط التحول الرقمي بمتغيرات سلوكية وتنظيمية أخرى</w:t>
      </w:r>
      <w:r w:rsidRPr="00EF5312">
        <w:rPr>
          <w:rFonts w:ascii="Traditional Arabic" w:hAnsi="Traditional Arabic" w:cs="Traditional Arabic"/>
          <w:color w:val="000000" w:themeColor="text1"/>
          <w:sz w:val="32"/>
          <w:szCs w:val="32"/>
        </w:rPr>
        <w:t>.</w:t>
      </w:r>
    </w:p>
    <w:p w14:paraId="0E44F735" w14:textId="77777777" w:rsidR="00EF5312" w:rsidRPr="00EF5312" w:rsidRDefault="00EF5312" w:rsidP="00EF5312">
      <w:pPr>
        <w:bidi/>
        <w:spacing w:after="200" w:line="276" w:lineRule="auto"/>
        <w:jc w:val="both"/>
        <w:rPr>
          <w:rFonts w:ascii="Traditional Arabic" w:hAnsi="Traditional Arabic" w:cs="Traditional Arabic"/>
          <w:b/>
          <w:bCs/>
          <w:color w:val="000000" w:themeColor="text1"/>
          <w:sz w:val="32"/>
          <w:szCs w:val="32"/>
          <w:rtl/>
        </w:rPr>
      </w:pPr>
      <w:r w:rsidRPr="00EF5312">
        <w:rPr>
          <w:rFonts w:ascii="Traditional Arabic" w:hAnsi="Traditional Arabic" w:cs="Traditional Arabic" w:hint="cs"/>
          <w:b/>
          <w:bCs/>
          <w:color w:val="000000" w:themeColor="text1"/>
          <w:sz w:val="32"/>
          <w:szCs w:val="32"/>
          <w:rtl/>
        </w:rPr>
        <w:t xml:space="preserve">دراسة (موافى وبدوي،2024) بعنوان: </w:t>
      </w:r>
      <w:r w:rsidRPr="00EF5312">
        <w:rPr>
          <w:rFonts w:ascii="Traditional Arabic" w:hAnsi="Traditional Arabic" w:cs="Traditional Arabic"/>
          <w:b/>
          <w:bCs/>
          <w:color w:val="000000" w:themeColor="text1"/>
          <w:sz w:val="32"/>
          <w:szCs w:val="32"/>
          <w:rtl/>
        </w:rPr>
        <w:t>تأثير التحول الرقمي على الأداء الوظيفي للشركات</w:t>
      </w:r>
      <w:r w:rsidRPr="00EF5312">
        <w:rPr>
          <w:rFonts w:ascii="Traditional Arabic" w:hAnsi="Traditional Arabic" w:cs="Traditional Arabic"/>
          <w:b/>
          <w:bCs/>
          <w:color w:val="000000" w:themeColor="text1"/>
          <w:sz w:val="32"/>
          <w:szCs w:val="32"/>
        </w:rPr>
        <w:t>.</w:t>
      </w:r>
    </w:p>
    <w:p w14:paraId="06CC62CE"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tl/>
        </w:rPr>
      </w:pPr>
      <w:r w:rsidRPr="00EF5312">
        <w:rPr>
          <w:rFonts w:ascii="Traditional Arabic" w:hAnsi="Traditional Arabic" w:cs="Traditional Arabic"/>
          <w:color w:val="000000" w:themeColor="text1"/>
          <w:sz w:val="32"/>
          <w:szCs w:val="32"/>
          <w:rtl/>
        </w:rPr>
        <w:t>هدفت الدراسة إلى التعرف على تأثير التحول الرقمي بأبعاده على الأداء الوظيفي في الشركات التي تطبّق التحول الرقمي</w:t>
      </w:r>
      <w:r w:rsidRPr="00EF5312">
        <w:rPr>
          <w:rFonts w:ascii="Traditional Arabic" w:hAnsi="Traditional Arabic" w:cs="Traditional Arabic" w:hint="cs"/>
          <w:color w:val="000000" w:themeColor="text1"/>
          <w:sz w:val="32"/>
          <w:szCs w:val="32"/>
          <w:rtl/>
        </w:rPr>
        <w:t>،</w:t>
      </w:r>
      <w:r w:rsidRPr="00EF5312">
        <w:rPr>
          <w:rFonts w:ascii="Traditional Arabic" w:hAnsi="Traditional Arabic" w:cs="Traditional Arabic"/>
          <w:color w:val="000000" w:themeColor="text1"/>
          <w:sz w:val="32"/>
          <w:szCs w:val="32"/>
          <w:rtl/>
        </w:rPr>
        <w:t xml:space="preserve"> واستخدمت الدراسة المنهج الوصفي الارتباطي، والمنهج المقارن، والمنهج الكمي من خلال </w:t>
      </w:r>
      <w:r w:rsidRPr="00EF5312">
        <w:rPr>
          <w:rFonts w:ascii="Traditional Arabic" w:hAnsi="Traditional Arabic" w:cs="Traditional Arabic"/>
          <w:color w:val="000000" w:themeColor="text1"/>
          <w:sz w:val="32"/>
          <w:szCs w:val="32"/>
          <w:rtl/>
        </w:rPr>
        <w:lastRenderedPageBreak/>
        <w:t>أسلوب الاستقصاء باستخدام استمارة استبيان</w:t>
      </w:r>
      <w:r w:rsidRPr="00EF5312">
        <w:rPr>
          <w:rFonts w:ascii="Traditional Arabic" w:hAnsi="Traditional Arabic" w:cs="Traditional Arabic" w:hint="cs"/>
          <w:color w:val="000000" w:themeColor="text1"/>
          <w:sz w:val="32"/>
          <w:szCs w:val="32"/>
          <w:rtl/>
        </w:rPr>
        <w:t>،</w:t>
      </w:r>
      <w:r w:rsidRPr="00EF5312">
        <w:rPr>
          <w:rFonts w:ascii="Traditional Arabic" w:hAnsi="Traditional Arabic" w:cs="Traditional Arabic"/>
          <w:color w:val="000000" w:themeColor="text1"/>
          <w:sz w:val="32"/>
          <w:szCs w:val="32"/>
          <w:rtl/>
        </w:rPr>
        <w:t xml:space="preserve"> وتكوّنت العينة من جميع العاملين بالشركات التي تطبّق التحول الرقمي من الجنسين، ممن تتجاوز أعمارهم 21 عامًا، خلال عام 2023. </w:t>
      </w:r>
    </w:p>
    <w:p w14:paraId="69F7354D"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Pr>
      </w:pPr>
      <w:r w:rsidRPr="00EF5312">
        <w:rPr>
          <w:rFonts w:ascii="Traditional Arabic" w:hAnsi="Traditional Arabic" w:cs="Traditional Arabic"/>
          <w:color w:val="000000" w:themeColor="text1"/>
          <w:sz w:val="32"/>
          <w:szCs w:val="32"/>
          <w:rtl/>
        </w:rPr>
        <w:t>وتوصلت نتائج الدراسة إلى وجود علاقة خطية موجبة متوسطة بين أداء الموظفين والثقافة الداخلية، وعلاقة خطية موجبة قوية بين أداء الموظفين والتحول الرقمي</w:t>
      </w:r>
      <w:r w:rsidRPr="00EF5312">
        <w:rPr>
          <w:rFonts w:ascii="Traditional Arabic" w:hAnsi="Traditional Arabic" w:cs="Traditional Arabic" w:hint="cs"/>
          <w:color w:val="000000" w:themeColor="text1"/>
          <w:sz w:val="32"/>
          <w:szCs w:val="32"/>
          <w:rtl/>
        </w:rPr>
        <w:t>،</w:t>
      </w:r>
      <w:r w:rsidRPr="00EF5312">
        <w:rPr>
          <w:rFonts w:ascii="Traditional Arabic" w:hAnsi="Traditional Arabic" w:cs="Traditional Arabic"/>
          <w:color w:val="000000" w:themeColor="text1"/>
          <w:sz w:val="32"/>
          <w:szCs w:val="32"/>
          <w:rtl/>
        </w:rPr>
        <w:t xml:space="preserve"> وأوصت الدراسة بأهمية إجراء دراسات مستقبلية تتناول العوامل السلبية التي قد تعيق تطبيق التحول الرقمي</w:t>
      </w:r>
      <w:r w:rsidRPr="00EF5312">
        <w:rPr>
          <w:rFonts w:ascii="Traditional Arabic" w:hAnsi="Traditional Arabic" w:cs="Traditional Arabic"/>
          <w:color w:val="000000" w:themeColor="text1"/>
          <w:sz w:val="32"/>
          <w:szCs w:val="32"/>
        </w:rPr>
        <w:t>.</w:t>
      </w:r>
    </w:p>
    <w:p w14:paraId="4BC4BB37" w14:textId="77777777" w:rsidR="00EF5312" w:rsidRPr="00EF5312" w:rsidRDefault="00EF5312" w:rsidP="00EF5312">
      <w:pPr>
        <w:bidi/>
        <w:spacing w:after="200" w:line="276" w:lineRule="auto"/>
        <w:jc w:val="both"/>
        <w:rPr>
          <w:rFonts w:ascii="Traditional Arabic" w:hAnsi="Traditional Arabic" w:cs="Traditional Arabic"/>
          <w:b/>
          <w:bCs/>
          <w:color w:val="000000" w:themeColor="text1"/>
          <w:sz w:val="32"/>
          <w:szCs w:val="32"/>
          <w:rtl/>
        </w:rPr>
      </w:pPr>
      <w:r w:rsidRPr="00EF5312">
        <w:rPr>
          <w:rFonts w:ascii="Traditional Arabic" w:hAnsi="Traditional Arabic" w:cs="Traditional Arabic" w:hint="cs"/>
          <w:b/>
          <w:bCs/>
          <w:color w:val="000000" w:themeColor="text1"/>
          <w:sz w:val="32"/>
          <w:szCs w:val="32"/>
          <w:rtl/>
        </w:rPr>
        <w:t xml:space="preserve">دراسة (جاب الله واخرون،2023) بعنوان: </w:t>
      </w:r>
      <w:r w:rsidRPr="00EF5312">
        <w:rPr>
          <w:rFonts w:ascii="Traditional Arabic" w:hAnsi="Traditional Arabic" w:cs="Traditional Arabic"/>
          <w:b/>
          <w:bCs/>
          <w:color w:val="000000" w:themeColor="text1"/>
          <w:sz w:val="32"/>
          <w:szCs w:val="32"/>
          <w:rtl/>
        </w:rPr>
        <w:t>تأثير التحول الرقمي على الأداء المستدام: دراسة ميدانية</w:t>
      </w:r>
      <w:r w:rsidRPr="00EF5312">
        <w:rPr>
          <w:rFonts w:ascii="Traditional Arabic" w:hAnsi="Traditional Arabic" w:cs="Traditional Arabic"/>
          <w:b/>
          <w:bCs/>
          <w:color w:val="000000" w:themeColor="text1"/>
          <w:sz w:val="32"/>
          <w:szCs w:val="32"/>
        </w:rPr>
        <w:t>.</w:t>
      </w:r>
    </w:p>
    <w:p w14:paraId="554F0A91"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tl/>
        </w:rPr>
      </w:pPr>
      <w:r w:rsidRPr="00EF5312">
        <w:rPr>
          <w:rFonts w:ascii="Traditional Arabic" w:hAnsi="Traditional Arabic" w:cs="Traditional Arabic"/>
          <w:color w:val="000000" w:themeColor="text1"/>
          <w:sz w:val="32"/>
          <w:szCs w:val="32"/>
          <w:rtl/>
        </w:rPr>
        <w:t>هدفت الدراسة إلى التعرف على تأثير التحول الرقمي بأبعاده (غير محددة صراحة في النص) على الأداء المستدام في الشركة الدولية للخدمات البريدية والشحن "إيجي سيرف". واستخدمت الدراسة المنهج الوصفي، بالإضافة إلى تحليل المعادلات الهيكلية باستخدام برنامجي</w:t>
      </w:r>
      <w:r w:rsidRPr="00EF5312">
        <w:rPr>
          <w:rFonts w:ascii="Traditional Arabic" w:hAnsi="Traditional Arabic" w:cs="Traditional Arabic"/>
          <w:color w:val="000000" w:themeColor="text1"/>
          <w:sz w:val="32"/>
          <w:szCs w:val="32"/>
        </w:rPr>
        <w:t xml:space="preserve"> SPSS </w:t>
      </w:r>
      <w:r w:rsidRPr="00EF5312">
        <w:rPr>
          <w:rFonts w:ascii="Traditional Arabic" w:hAnsi="Traditional Arabic" w:cs="Traditional Arabic"/>
          <w:color w:val="000000" w:themeColor="text1"/>
          <w:sz w:val="32"/>
          <w:szCs w:val="32"/>
          <w:rtl/>
        </w:rPr>
        <w:t>و</w:t>
      </w:r>
      <w:r w:rsidRPr="00EF5312">
        <w:rPr>
          <w:rFonts w:ascii="Traditional Arabic" w:hAnsi="Traditional Arabic" w:cs="Traditional Arabic"/>
          <w:color w:val="000000" w:themeColor="text1"/>
          <w:sz w:val="32"/>
          <w:szCs w:val="32"/>
        </w:rPr>
        <w:t xml:space="preserve">AMOS. </w:t>
      </w:r>
      <w:r w:rsidRPr="00EF5312">
        <w:rPr>
          <w:rFonts w:ascii="Traditional Arabic" w:hAnsi="Traditional Arabic" w:cs="Traditional Arabic"/>
          <w:color w:val="000000" w:themeColor="text1"/>
          <w:sz w:val="32"/>
          <w:szCs w:val="32"/>
          <w:rtl/>
        </w:rPr>
        <w:t xml:space="preserve">وتكوّنت العينة من جميع مفردات مجتمع الدراسة بطريقة الحصر الشامل، والمتمثلة في (210) من الإداريين العاملين في فروع الشركة الثلاثين على مستوى جمهورية مصر العربية. </w:t>
      </w:r>
    </w:p>
    <w:p w14:paraId="5455317E"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Pr>
      </w:pPr>
      <w:r w:rsidRPr="00EF5312">
        <w:rPr>
          <w:rFonts w:ascii="Traditional Arabic" w:hAnsi="Traditional Arabic" w:cs="Traditional Arabic"/>
          <w:color w:val="000000" w:themeColor="text1"/>
          <w:sz w:val="32"/>
          <w:szCs w:val="32"/>
          <w:rtl/>
        </w:rPr>
        <w:t>وتوصلت نتائج الدراسة إلى وجود تأثير معنوي مباشر للتحول الرقمي على أبعاد الأداء المستدام، وهي: البعد البيئي، البعد الاقتصادي، البعد الاجتماعي، الابتكار التنظيمي، والبراعة التنظيمية، حيث كان الابتكار التنظيمي أكثر الأبعاد تأثرًا بالتحول الرقمي</w:t>
      </w:r>
      <w:r w:rsidRPr="00EF5312">
        <w:rPr>
          <w:rFonts w:ascii="Traditional Arabic" w:hAnsi="Traditional Arabic" w:cs="Traditional Arabic" w:hint="cs"/>
          <w:color w:val="000000" w:themeColor="text1"/>
          <w:sz w:val="32"/>
          <w:szCs w:val="32"/>
          <w:rtl/>
        </w:rPr>
        <w:t xml:space="preserve">، </w:t>
      </w:r>
      <w:r w:rsidRPr="00EF5312">
        <w:rPr>
          <w:rFonts w:ascii="Traditional Arabic" w:hAnsi="Traditional Arabic" w:cs="Traditional Arabic"/>
          <w:color w:val="000000" w:themeColor="text1"/>
          <w:sz w:val="32"/>
          <w:szCs w:val="32"/>
          <w:rtl/>
        </w:rPr>
        <w:t>وأوصت الدراسة بأهمية تعزيز تبني التحول الرقمي كرافعة لتحقيق أداء مستدام وشامل في قطاع الخدمات البريدية والشحن</w:t>
      </w:r>
      <w:r w:rsidRPr="00EF5312">
        <w:rPr>
          <w:rFonts w:ascii="Traditional Arabic" w:hAnsi="Traditional Arabic" w:cs="Traditional Arabic"/>
          <w:color w:val="000000" w:themeColor="text1"/>
          <w:sz w:val="32"/>
          <w:szCs w:val="32"/>
        </w:rPr>
        <w:t>.</w:t>
      </w:r>
    </w:p>
    <w:p w14:paraId="6358A04A" w14:textId="77777777" w:rsidR="00EF5312" w:rsidRPr="00EF5312" w:rsidRDefault="00EF5312" w:rsidP="00EF5312">
      <w:pPr>
        <w:bidi/>
        <w:spacing w:after="200" w:line="276" w:lineRule="auto"/>
        <w:jc w:val="both"/>
        <w:rPr>
          <w:rFonts w:ascii="Traditional Arabic" w:hAnsi="Traditional Arabic" w:cs="Traditional Arabic"/>
          <w:b/>
          <w:bCs/>
          <w:color w:val="000000" w:themeColor="text1"/>
          <w:sz w:val="32"/>
          <w:szCs w:val="32"/>
          <w:rtl/>
        </w:rPr>
      </w:pPr>
      <w:r w:rsidRPr="00EF5312">
        <w:rPr>
          <w:rFonts w:ascii="Traditional Arabic" w:hAnsi="Traditional Arabic" w:cs="Traditional Arabic" w:hint="cs"/>
          <w:b/>
          <w:bCs/>
          <w:color w:val="000000" w:themeColor="text1"/>
          <w:sz w:val="32"/>
          <w:szCs w:val="32"/>
          <w:rtl/>
        </w:rPr>
        <w:t>دراسة (الطيب،2024) بعنوان: تأثير</w:t>
      </w:r>
      <w:r w:rsidRPr="00EF5312">
        <w:rPr>
          <w:rFonts w:ascii="Traditional Arabic" w:hAnsi="Traditional Arabic" w:cs="Traditional Arabic"/>
          <w:b/>
          <w:bCs/>
          <w:color w:val="000000" w:themeColor="text1"/>
          <w:sz w:val="32"/>
          <w:szCs w:val="32"/>
          <w:rtl/>
        </w:rPr>
        <w:t xml:space="preserve"> التحول الرقمي على المرونة التنظيمية: الدور الوسيط للثقافة التنظيمية: دراسة تطبيقية على البنوك التجارية الحكومية في مصر</w:t>
      </w:r>
      <w:r w:rsidRPr="00EF5312">
        <w:rPr>
          <w:rFonts w:ascii="Traditional Arabic" w:hAnsi="Traditional Arabic" w:cs="Traditional Arabic"/>
          <w:b/>
          <w:bCs/>
          <w:color w:val="000000" w:themeColor="text1"/>
          <w:sz w:val="32"/>
          <w:szCs w:val="32"/>
        </w:rPr>
        <w:t>.</w:t>
      </w:r>
    </w:p>
    <w:p w14:paraId="5A0A17D7"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tl/>
        </w:rPr>
      </w:pPr>
      <w:r w:rsidRPr="00EF5312">
        <w:rPr>
          <w:rFonts w:ascii="Traditional Arabic" w:hAnsi="Traditional Arabic" w:cs="Traditional Arabic"/>
          <w:color w:val="000000" w:themeColor="text1"/>
          <w:sz w:val="32"/>
          <w:szCs w:val="32"/>
          <w:rtl/>
        </w:rPr>
        <w:t>هدفت الدراسة إلى التعرف على تأثير التحول الرقمي بأبعاده (التحول الاستراتيجي، التحول الإداري، وتحول العمليات) على المرونة التنظيمية بأبعادها (الوعي، القدرة على التكيف) في البنوك التجارية الحكومية، مع اختبار الدور الوسيط للثقافة التنظيمية بأبعادها (المشاركة، الاتساق، التكيف، ثقافة المهمة). واستخدمت الدراسة المنهج الوصفي، وتم جمع البيانات من خلال قائمة الاستقصاء، مع تطبيق عدد من الأساليب الإحصائية باستخدام برنامجي</w:t>
      </w:r>
      <w:r w:rsidRPr="00EF5312">
        <w:rPr>
          <w:rFonts w:ascii="Traditional Arabic" w:hAnsi="Traditional Arabic" w:cs="Traditional Arabic"/>
          <w:color w:val="000000" w:themeColor="text1"/>
          <w:sz w:val="32"/>
          <w:szCs w:val="32"/>
        </w:rPr>
        <w:t xml:space="preserve"> SPSS.25 </w:t>
      </w:r>
      <w:r w:rsidRPr="00EF5312">
        <w:rPr>
          <w:rFonts w:ascii="Traditional Arabic" w:hAnsi="Traditional Arabic" w:cs="Traditional Arabic"/>
          <w:color w:val="000000" w:themeColor="text1"/>
          <w:sz w:val="32"/>
          <w:szCs w:val="32"/>
          <w:rtl/>
        </w:rPr>
        <w:t>و</w:t>
      </w:r>
      <w:r w:rsidRPr="00EF5312">
        <w:rPr>
          <w:rFonts w:ascii="Traditional Arabic" w:hAnsi="Traditional Arabic" w:cs="Traditional Arabic"/>
          <w:color w:val="000000" w:themeColor="text1"/>
          <w:sz w:val="32"/>
          <w:szCs w:val="32"/>
        </w:rPr>
        <w:t xml:space="preserve">AMOS.25. </w:t>
      </w:r>
      <w:r w:rsidRPr="00EF5312">
        <w:rPr>
          <w:rFonts w:ascii="Traditional Arabic" w:hAnsi="Traditional Arabic" w:cs="Traditional Arabic"/>
          <w:color w:val="000000" w:themeColor="text1"/>
          <w:sz w:val="32"/>
          <w:szCs w:val="32"/>
          <w:rtl/>
        </w:rPr>
        <w:t xml:space="preserve">وتكوّنت العينة من موظفي البنوك التجارية الحكومية (لم يتم تحديد حجم العينة بدقة في النص). </w:t>
      </w:r>
    </w:p>
    <w:p w14:paraId="50416E98"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tl/>
        </w:rPr>
      </w:pPr>
      <w:r w:rsidRPr="00EF5312">
        <w:rPr>
          <w:rFonts w:ascii="Traditional Arabic" w:hAnsi="Traditional Arabic" w:cs="Traditional Arabic"/>
          <w:color w:val="000000" w:themeColor="text1"/>
          <w:sz w:val="32"/>
          <w:szCs w:val="32"/>
          <w:rtl/>
        </w:rPr>
        <w:lastRenderedPageBreak/>
        <w:t>وتوصلت نتائج الدراسة إلى وجود تأثير معنوي لبعد التحول الإداري على المرونة التنظيمية، مع عدم وجود تأثير معنوي لبعدي التحول الاستراتيجي وتحول العمليات، ووجود تأثير معنوي لأبعاد التحول الرقمي على الثقافة التنظيمية، كما بينت النتائج وجود تأثير معنوي للثقافة التنظيمية على المرونة التنظيمية، وأكدت النتائج الدور الوسيط الجوهري للثقافة التنظيمية في العلاقة بين التحول الرقمي والمرونة التنظيمية</w:t>
      </w:r>
      <w:r w:rsidRPr="00EF5312">
        <w:rPr>
          <w:rFonts w:ascii="Traditional Arabic" w:hAnsi="Traditional Arabic" w:cs="Traditional Arabic" w:hint="cs"/>
          <w:color w:val="000000" w:themeColor="text1"/>
          <w:sz w:val="32"/>
          <w:szCs w:val="32"/>
          <w:rtl/>
        </w:rPr>
        <w:t>،</w:t>
      </w:r>
      <w:r w:rsidRPr="00EF5312">
        <w:rPr>
          <w:rFonts w:ascii="Traditional Arabic" w:hAnsi="Traditional Arabic" w:cs="Traditional Arabic"/>
          <w:color w:val="000000" w:themeColor="text1"/>
          <w:sz w:val="32"/>
          <w:szCs w:val="32"/>
          <w:rtl/>
        </w:rPr>
        <w:t xml:space="preserve"> وأوصت الدراسة بمجموعة من التوصيات لتعزيز التحول الرقمي وتفعيل الثقافة التنظيمية، كما اقترحت إجراء دراسات مستقبلية تتناول العلاقة بين هذه المتغيرات في قطاعات أخرى</w:t>
      </w:r>
      <w:r w:rsidRPr="00EF5312">
        <w:rPr>
          <w:rFonts w:ascii="Traditional Arabic" w:hAnsi="Traditional Arabic" w:cs="Traditional Arabic"/>
          <w:color w:val="000000" w:themeColor="text1"/>
          <w:sz w:val="32"/>
          <w:szCs w:val="32"/>
        </w:rPr>
        <w:t>.</w:t>
      </w:r>
      <w:r w:rsidRPr="00EF5312">
        <w:rPr>
          <w:rFonts w:ascii="Traditional Arabic" w:hAnsi="Traditional Arabic" w:cs="Traditional Arabic" w:hint="cs"/>
          <w:color w:val="000000" w:themeColor="text1"/>
          <w:sz w:val="32"/>
          <w:szCs w:val="32"/>
          <w:rtl/>
        </w:rPr>
        <w:t>.</w:t>
      </w:r>
    </w:p>
    <w:p w14:paraId="793C8EBD" w14:textId="77777777" w:rsidR="00EF5312" w:rsidRPr="00EF5312" w:rsidRDefault="00EF5312" w:rsidP="00EF5312">
      <w:pPr>
        <w:bidi/>
        <w:spacing w:after="200" w:line="276" w:lineRule="auto"/>
        <w:jc w:val="both"/>
        <w:rPr>
          <w:rFonts w:ascii="Traditional Arabic" w:hAnsi="Traditional Arabic" w:cs="Traditional Arabic"/>
          <w:b/>
          <w:bCs/>
          <w:color w:val="000000" w:themeColor="text1"/>
          <w:sz w:val="32"/>
          <w:szCs w:val="32"/>
          <w:rtl/>
        </w:rPr>
      </w:pPr>
      <w:r w:rsidRPr="00EF5312">
        <w:rPr>
          <w:rFonts w:ascii="Traditional Arabic" w:hAnsi="Traditional Arabic" w:cs="Traditional Arabic" w:hint="cs"/>
          <w:b/>
          <w:bCs/>
          <w:color w:val="000000" w:themeColor="text1"/>
          <w:sz w:val="32"/>
          <w:szCs w:val="32"/>
          <w:rtl/>
        </w:rPr>
        <w:t xml:space="preserve">دراسة (العزب واخرون،2023) بعنوان: </w:t>
      </w:r>
      <w:r w:rsidRPr="00EF5312">
        <w:rPr>
          <w:rFonts w:ascii="Traditional Arabic" w:hAnsi="Traditional Arabic" w:cs="Traditional Arabic"/>
          <w:b/>
          <w:bCs/>
          <w:color w:val="000000" w:themeColor="text1"/>
          <w:sz w:val="32"/>
          <w:szCs w:val="32"/>
          <w:rtl/>
        </w:rPr>
        <w:t>أثر تطبيق تأثير التحول الرقمي على تمكين الموارد البشرية: دراسة تطبيقية على العاملين بديوان عام وزارة الصحة والسكان المصرية</w:t>
      </w:r>
    </w:p>
    <w:p w14:paraId="233CDA7A"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tl/>
        </w:rPr>
      </w:pPr>
      <w:r w:rsidRPr="00EF5312">
        <w:rPr>
          <w:rFonts w:ascii="Traditional Arabic" w:hAnsi="Traditional Arabic" w:cs="Traditional Arabic" w:hint="cs"/>
          <w:color w:val="000000" w:themeColor="text1"/>
          <w:sz w:val="32"/>
          <w:szCs w:val="32"/>
          <w:rtl/>
        </w:rPr>
        <w:t xml:space="preserve"> </w:t>
      </w:r>
      <w:r w:rsidRPr="00EF5312">
        <w:rPr>
          <w:rFonts w:ascii="Traditional Arabic" w:hAnsi="Traditional Arabic" w:cs="Traditional Arabic"/>
          <w:color w:val="000000" w:themeColor="text1"/>
          <w:sz w:val="32"/>
          <w:szCs w:val="32"/>
          <w:rtl/>
        </w:rPr>
        <w:t xml:space="preserve">هدفت الدراسة إلى التعرف على أثر التحول الرقمي بأبعاده (نشر آليات التحول الرقمي، تطبيق التحول الرقمي، تفعيل المواطنة </w:t>
      </w:r>
      <w:proofErr w:type="spellStart"/>
      <w:r w:rsidRPr="00EF5312">
        <w:rPr>
          <w:rFonts w:ascii="Traditional Arabic" w:hAnsi="Traditional Arabic" w:cs="Traditional Arabic"/>
          <w:color w:val="000000" w:themeColor="text1"/>
          <w:sz w:val="32"/>
          <w:szCs w:val="32"/>
          <w:rtl/>
        </w:rPr>
        <w:t>والرقمنة</w:t>
      </w:r>
      <w:proofErr w:type="spellEnd"/>
      <w:r w:rsidRPr="00EF5312">
        <w:rPr>
          <w:rFonts w:ascii="Traditional Arabic" w:hAnsi="Traditional Arabic" w:cs="Traditional Arabic"/>
          <w:color w:val="000000" w:themeColor="text1"/>
          <w:sz w:val="32"/>
          <w:szCs w:val="32"/>
          <w:rtl/>
        </w:rPr>
        <w:t>) على تمكين الموارد البشرية بأبعاده (تفويض السلطة، بناء فريق العمل، التدريب) في وزارة الصحة والسكان، وذلك بهدف تحقيق التميز المؤسسي. واستخدمت الدراسة المنهج الوصفي، وتم التطبيق الميداني على العاملين بديوان عام الوزارة كمجتمع للدراسة، والذي بلغ عدده (4923) موظفًا على رأس العمل. وتكوّنت العينة من (357) موظفًا، تم جمع (332) استبانة صالحة للتحليل. وقد تم تحليل البيانات باستخدام برنامج</w:t>
      </w:r>
      <w:r w:rsidRPr="00EF5312">
        <w:rPr>
          <w:rFonts w:ascii="Traditional Arabic" w:hAnsi="Traditional Arabic" w:cs="Traditional Arabic"/>
          <w:color w:val="000000" w:themeColor="text1"/>
          <w:sz w:val="32"/>
          <w:szCs w:val="32"/>
        </w:rPr>
        <w:t xml:space="preserve"> SPSS. </w:t>
      </w:r>
    </w:p>
    <w:p w14:paraId="709650DC"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Pr>
      </w:pPr>
      <w:r w:rsidRPr="00EF5312">
        <w:rPr>
          <w:rFonts w:ascii="Traditional Arabic" w:hAnsi="Traditional Arabic" w:cs="Traditional Arabic"/>
          <w:color w:val="000000" w:themeColor="text1"/>
          <w:sz w:val="32"/>
          <w:szCs w:val="32"/>
          <w:rtl/>
        </w:rPr>
        <w:t>وتوصلت نتائج الدراسة إلى وجود علاقة ذات دلالة إحصائية بين التحول الرقمي وتمكين الموارد البشرية</w:t>
      </w:r>
      <w:r w:rsidRPr="00EF5312">
        <w:rPr>
          <w:rFonts w:ascii="Traditional Arabic" w:hAnsi="Traditional Arabic" w:cs="Traditional Arabic" w:hint="cs"/>
          <w:color w:val="000000" w:themeColor="text1"/>
          <w:sz w:val="32"/>
          <w:szCs w:val="32"/>
          <w:rtl/>
        </w:rPr>
        <w:t xml:space="preserve">، </w:t>
      </w:r>
      <w:r w:rsidRPr="00EF5312">
        <w:rPr>
          <w:rFonts w:ascii="Traditional Arabic" w:hAnsi="Traditional Arabic" w:cs="Traditional Arabic"/>
          <w:color w:val="000000" w:themeColor="text1"/>
          <w:sz w:val="32"/>
          <w:szCs w:val="32"/>
          <w:rtl/>
        </w:rPr>
        <w:t>وأوصت الدراسة بأهمية تعزيز ممارسات التحول الرقمي كأداة لتمكين الموارد البشرية ودعم التميز المؤسسي</w:t>
      </w:r>
      <w:r w:rsidRPr="00EF5312">
        <w:rPr>
          <w:rFonts w:ascii="Traditional Arabic" w:hAnsi="Traditional Arabic" w:cs="Traditional Arabic"/>
          <w:color w:val="000000" w:themeColor="text1"/>
          <w:sz w:val="32"/>
          <w:szCs w:val="32"/>
        </w:rPr>
        <w:t>.</w:t>
      </w:r>
    </w:p>
    <w:p w14:paraId="51A90042"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Pr>
      </w:pPr>
      <w:r w:rsidRPr="00EF5312">
        <w:rPr>
          <w:rFonts w:ascii="Traditional Arabic" w:hAnsi="Traditional Arabic" w:cs="Traditional Arabic" w:hint="cs"/>
          <w:b/>
          <w:bCs/>
          <w:color w:val="000000" w:themeColor="text1"/>
          <w:sz w:val="32"/>
          <w:szCs w:val="32"/>
          <w:rtl/>
        </w:rPr>
        <w:t xml:space="preserve">دراسة </w:t>
      </w:r>
      <w:r w:rsidRPr="00EF5312">
        <w:rPr>
          <w:rFonts w:ascii="Traditional Arabic" w:hAnsi="Traditional Arabic" w:cs="Traditional Arabic" w:hint="cs"/>
          <w:b/>
          <w:bCs/>
          <w:color w:val="000000" w:themeColor="text1"/>
          <w:sz w:val="32"/>
          <w:szCs w:val="32"/>
        </w:rPr>
        <w:t>Rosa et al., 2022)</w:t>
      </w:r>
      <w:r w:rsidRPr="00EF5312">
        <w:rPr>
          <w:rFonts w:ascii="Traditional Arabic" w:hAnsi="Traditional Arabic" w:cs="Traditional Arabic" w:hint="cs"/>
          <w:b/>
          <w:bCs/>
          <w:color w:val="000000" w:themeColor="text1"/>
          <w:sz w:val="32"/>
          <w:szCs w:val="32"/>
          <w:rtl/>
          <w:lang w:bidi="ar-EG"/>
        </w:rPr>
        <w:t xml:space="preserve">) </w:t>
      </w:r>
    </w:p>
    <w:p w14:paraId="5B7BB306"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tl/>
        </w:rPr>
      </w:pPr>
      <w:r w:rsidRPr="00EF5312">
        <w:rPr>
          <w:rFonts w:ascii="Traditional Arabic" w:hAnsi="Traditional Arabic" w:cs="Traditional Arabic" w:hint="cs"/>
          <w:color w:val="000000" w:themeColor="text1"/>
          <w:sz w:val="32"/>
          <w:szCs w:val="32"/>
          <w:rtl/>
        </w:rPr>
        <w:t xml:space="preserve">هدفت هذه الدراسة إلى التعرف على مدى إدخال الذكاء الاصطناعي في الشركات الموجودة في البرتغال، ومعرفة مدى التركيز على أنشطة التسويق، كما هدفت إلى معرفة الأسباب والتحديات التي تواجه تقدم الشركات خلال تبني هذه الشركات لتقنيات الذكاء الاصطناعي، فقد اعتمدت الدراسة المنهج التحليلي، وقد كانت المقابلة هي أداة الدراسة، فقد تمثل مجتمع الدراسة في المهنيين المختصين لدرى بعض شركات التسويق البرتغالية، حيث تم اختيار عينة مكونه من (21) فرداً. </w:t>
      </w:r>
    </w:p>
    <w:p w14:paraId="338FDF39"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tl/>
        </w:rPr>
      </w:pPr>
      <w:r w:rsidRPr="00EF5312">
        <w:rPr>
          <w:rFonts w:ascii="Traditional Arabic" w:hAnsi="Traditional Arabic" w:cs="Traditional Arabic" w:hint="cs"/>
          <w:color w:val="000000" w:themeColor="text1"/>
          <w:sz w:val="32"/>
          <w:szCs w:val="32"/>
          <w:rtl/>
        </w:rPr>
        <w:lastRenderedPageBreak/>
        <w:t>ومن أهم نتائج هذه الدراسة أن التحديات الرئيسية التي تواجهها هذه الشركات مثل تكلفة الاستثمار وفقدان الاتصال "البشري" مع العميل، وكما تبين أن (67.2) من المهنيين في هذه الشركات يتبنون استخدام تقنيات الذكاء الاصطناعي، كما تبين أن ما يقارب النصف من الشركات الدوائية تقوم على استخدام الذكاء الاصطناعي، وكما تبين وجود تصور لدى الأشخاص من الذين تمت مقابلتهم وبنسبة (95) أن هذه التكنولوجيا تعتبر الأساس لتحقيق الميزة التنافسية.</w:t>
      </w:r>
    </w:p>
    <w:p w14:paraId="317352B8" w14:textId="77777777" w:rsidR="00EF5312" w:rsidRPr="00EF5312" w:rsidRDefault="00EF5312" w:rsidP="00EF5312">
      <w:pPr>
        <w:bidi/>
        <w:spacing w:after="200" w:line="276" w:lineRule="auto"/>
        <w:jc w:val="both"/>
        <w:rPr>
          <w:rFonts w:ascii="Traditional Arabic" w:hAnsi="Traditional Arabic" w:cs="Traditional Arabic"/>
          <w:b/>
          <w:bCs/>
          <w:color w:val="000000" w:themeColor="text1"/>
          <w:sz w:val="32"/>
          <w:szCs w:val="32"/>
        </w:rPr>
      </w:pPr>
      <w:r w:rsidRPr="00EF5312">
        <w:rPr>
          <w:rFonts w:ascii="Traditional Arabic" w:hAnsi="Traditional Arabic" w:cs="Traditional Arabic" w:hint="cs"/>
          <w:b/>
          <w:bCs/>
          <w:color w:val="000000" w:themeColor="text1"/>
          <w:sz w:val="32"/>
          <w:szCs w:val="32"/>
          <w:rtl/>
        </w:rPr>
        <w:t xml:space="preserve">دراسة </w:t>
      </w:r>
      <w:r w:rsidRPr="00EF5312">
        <w:rPr>
          <w:rFonts w:ascii="Traditional Arabic" w:hAnsi="Traditional Arabic" w:cs="Traditional Arabic"/>
          <w:b/>
          <w:bCs/>
          <w:color w:val="000000" w:themeColor="text1"/>
          <w:sz w:val="32"/>
          <w:szCs w:val="32"/>
        </w:rPr>
        <w:t>(Savchuk et al., 2024)</w:t>
      </w:r>
    </w:p>
    <w:p w14:paraId="30391B7C"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tl/>
        </w:rPr>
      </w:pPr>
      <w:r w:rsidRPr="00EF5312">
        <w:rPr>
          <w:rFonts w:ascii="Traditional Arabic" w:hAnsi="Traditional Arabic" w:cs="Traditional Arabic"/>
          <w:color w:val="000000" w:themeColor="text1"/>
          <w:sz w:val="32"/>
          <w:szCs w:val="32"/>
          <w:rtl/>
        </w:rPr>
        <w:t>هدفت الدراسة إلى التعرف على العلاقة بين التحول الرقمي ودمج العمليات التجارية، وتأثيرهما على فعالية اتخاذ القرارات الإدارية في شركات النقل. واستخدمت الدراسة المنهج الكمي التحليلي، وتم جمع البيانات من خلال تحليل العمليات التجارية المتكاملة وتطبيقات التحول الرقمي</w:t>
      </w:r>
      <w:r w:rsidRPr="00EF5312">
        <w:rPr>
          <w:rFonts w:ascii="Traditional Arabic" w:hAnsi="Traditional Arabic" w:cs="Traditional Arabic" w:hint="cs"/>
          <w:color w:val="000000" w:themeColor="text1"/>
          <w:sz w:val="32"/>
          <w:szCs w:val="32"/>
          <w:rtl/>
        </w:rPr>
        <w:t>،</w:t>
      </w:r>
      <w:r w:rsidRPr="00EF5312">
        <w:rPr>
          <w:rFonts w:ascii="Traditional Arabic" w:hAnsi="Traditional Arabic" w:cs="Traditional Arabic"/>
          <w:color w:val="000000" w:themeColor="text1"/>
          <w:sz w:val="32"/>
          <w:szCs w:val="32"/>
          <w:rtl/>
        </w:rPr>
        <w:t xml:space="preserve"> وتكوّنت العينة من الشركات العاملة في مجال النقل. </w:t>
      </w:r>
    </w:p>
    <w:p w14:paraId="19E03832"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tl/>
        </w:rPr>
      </w:pPr>
      <w:r w:rsidRPr="00EF5312">
        <w:rPr>
          <w:rFonts w:ascii="Traditional Arabic" w:hAnsi="Traditional Arabic" w:cs="Traditional Arabic"/>
          <w:color w:val="000000" w:themeColor="text1"/>
          <w:sz w:val="32"/>
          <w:szCs w:val="32"/>
          <w:rtl/>
        </w:rPr>
        <w:t>وتوصلت نتائج الدراسة إلى أن التحول الرقمي يساهم بشكل كبير في تحسين الكفاءة، وتعزيز القدرة التنافسية، وزيادة التكيف مع التغيرات السريعة في البيئة الخارجية، مما يعزز من فعالية اتخاذ القرارات الإدارية</w:t>
      </w:r>
      <w:r w:rsidRPr="00EF5312">
        <w:rPr>
          <w:rFonts w:ascii="Traditional Arabic" w:hAnsi="Traditional Arabic" w:cs="Traditional Arabic" w:hint="cs"/>
          <w:color w:val="000000" w:themeColor="text1"/>
          <w:sz w:val="32"/>
          <w:szCs w:val="32"/>
          <w:rtl/>
        </w:rPr>
        <w:t>،</w:t>
      </w:r>
      <w:r w:rsidRPr="00EF5312">
        <w:rPr>
          <w:rFonts w:ascii="Traditional Arabic" w:hAnsi="Traditional Arabic" w:cs="Traditional Arabic"/>
          <w:color w:val="000000" w:themeColor="text1"/>
          <w:sz w:val="32"/>
          <w:szCs w:val="32"/>
          <w:rtl/>
        </w:rPr>
        <w:t xml:space="preserve"> وأوصت الدراسة بضرورة تعزيز تطبيقات التحول الرقمي في الشركات لتعزيز مرونتها وقدرتها على الاستجابة للتغيرات البيئية وتحقيق التميز المؤسسي.</w:t>
      </w:r>
    </w:p>
    <w:p w14:paraId="49D888F7" w14:textId="77777777" w:rsidR="00EF5312" w:rsidRPr="00EF5312" w:rsidRDefault="00EF5312" w:rsidP="00EF5312">
      <w:pPr>
        <w:bidi/>
        <w:spacing w:after="200" w:line="276" w:lineRule="auto"/>
        <w:jc w:val="both"/>
        <w:rPr>
          <w:rFonts w:ascii="Traditional Arabic" w:hAnsi="Traditional Arabic" w:cs="Traditional Arabic"/>
          <w:b/>
          <w:bCs/>
          <w:color w:val="000000" w:themeColor="text1"/>
          <w:sz w:val="32"/>
          <w:szCs w:val="32"/>
        </w:rPr>
      </w:pPr>
      <w:r w:rsidRPr="00EF5312">
        <w:rPr>
          <w:rFonts w:ascii="Traditional Arabic" w:hAnsi="Traditional Arabic" w:cs="Traditional Arabic" w:hint="cs"/>
          <w:b/>
          <w:bCs/>
          <w:color w:val="000000" w:themeColor="text1"/>
          <w:sz w:val="32"/>
          <w:szCs w:val="32"/>
          <w:rtl/>
        </w:rPr>
        <w:t xml:space="preserve">دراسة </w:t>
      </w:r>
      <w:r w:rsidRPr="00EF5312">
        <w:rPr>
          <w:rFonts w:ascii="Traditional Arabic" w:hAnsi="Traditional Arabic" w:cs="Traditional Arabic"/>
          <w:b/>
          <w:bCs/>
          <w:color w:val="000000" w:themeColor="text1"/>
          <w:sz w:val="32"/>
          <w:szCs w:val="32"/>
        </w:rPr>
        <w:t>(</w:t>
      </w:r>
      <w:proofErr w:type="spellStart"/>
      <w:r w:rsidRPr="00EF5312">
        <w:rPr>
          <w:rFonts w:ascii="Traditional Arabic" w:hAnsi="Traditional Arabic" w:cs="Traditional Arabic"/>
          <w:b/>
          <w:bCs/>
          <w:color w:val="000000" w:themeColor="text1"/>
          <w:sz w:val="32"/>
          <w:szCs w:val="32"/>
        </w:rPr>
        <w:t>Bozintan</w:t>
      </w:r>
      <w:proofErr w:type="spellEnd"/>
      <w:r w:rsidRPr="00EF5312">
        <w:rPr>
          <w:rFonts w:ascii="Traditional Arabic" w:hAnsi="Traditional Arabic" w:cs="Traditional Arabic"/>
          <w:b/>
          <w:bCs/>
          <w:color w:val="000000" w:themeColor="text1"/>
          <w:sz w:val="32"/>
          <w:szCs w:val="32"/>
        </w:rPr>
        <w:t xml:space="preserve"> et al., 2023)</w:t>
      </w:r>
    </w:p>
    <w:p w14:paraId="130B4B6B" w14:textId="4543CAC0"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tl/>
        </w:rPr>
      </w:pPr>
      <w:r w:rsidRPr="00EF5312">
        <w:rPr>
          <w:rFonts w:ascii="Traditional Arabic" w:hAnsi="Traditional Arabic" w:cs="Traditional Arabic"/>
          <w:color w:val="000000" w:themeColor="text1"/>
          <w:sz w:val="32"/>
          <w:szCs w:val="32"/>
          <w:rtl/>
        </w:rPr>
        <w:t xml:space="preserve">هدفت الدراسة إلى التعرف على تأثير التحول الرقمي على إدارة الشركات الاستراتيجية. واستخدمت </w:t>
      </w:r>
      <w:proofErr w:type="gramStart"/>
      <w:r w:rsidRPr="00EF5312">
        <w:rPr>
          <w:rFonts w:ascii="Traditional Arabic" w:hAnsi="Traditional Arabic" w:cs="Traditional Arabic"/>
          <w:color w:val="000000" w:themeColor="text1"/>
          <w:sz w:val="32"/>
          <w:szCs w:val="32"/>
          <w:rtl/>
        </w:rPr>
        <w:t xml:space="preserve">الدراسة </w:t>
      </w:r>
      <w:r>
        <w:rPr>
          <w:rFonts w:ascii="Traditional Arabic" w:hAnsi="Traditional Arabic" w:cs="Traditional Arabic" w:hint="cs"/>
          <w:color w:val="000000" w:themeColor="text1"/>
          <w:sz w:val="32"/>
          <w:szCs w:val="32"/>
          <w:rtl/>
        </w:rPr>
        <w:t>.</w:t>
      </w:r>
      <w:r w:rsidRPr="00EF5312">
        <w:rPr>
          <w:rFonts w:ascii="Traditional Arabic" w:hAnsi="Traditional Arabic" w:cs="Traditional Arabic"/>
          <w:color w:val="000000" w:themeColor="text1"/>
          <w:sz w:val="32"/>
          <w:szCs w:val="32"/>
          <w:rtl/>
        </w:rPr>
        <w:t>المنهج</w:t>
      </w:r>
      <w:proofErr w:type="gramEnd"/>
      <w:r w:rsidRPr="00EF5312">
        <w:rPr>
          <w:rFonts w:ascii="Traditional Arabic" w:hAnsi="Traditional Arabic" w:cs="Traditional Arabic"/>
          <w:color w:val="000000" w:themeColor="text1"/>
          <w:sz w:val="32"/>
          <w:szCs w:val="32"/>
          <w:rtl/>
        </w:rPr>
        <w:t xml:space="preserve"> التحليلي من خلال مراجعة الأدبيات حول العلاقة بين التحول الرقمي والإدارة الاستراتيجية</w:t>
      </w:r>
      <w:r w:rsidRPr="00EF5312">
        <w:rPr>
          <w:rFonts w:ascii="Traditional Arabic" w:hAnsi="Traditional Arabic" w:cs="Traditional Arabic" w:hint="cs"/>
          <w:color w:val="000000" w:themeColor="text1"/>
          <w:sz w:val="32"/>
          <w:szCs w:val="32"/>
          <w:rtl/>
        </w:rPr>
        <w:t xml:space="preserve">، </w:t>
      </w:r>
      <w:r w:rsidRPr="00EF5312">
        <w:rPr>
          <w:rFonts w:ascii="Traditional Arabic" w:hAnsi="Traditional Arabic" w:cs="Traditional Arabic"/>
          <w:color w:val="000000" w:themeColor="text1"/>
          <w:sz w:val="32"/>
          <w:szCs w:val="32"/>
          <w:rtl/>
        </w:rPr>
        <w:t xml:space="preserve">وتكوّنت العينة من مجموعة من الدراسات السابقة التي تناولت تأثير التحول الرقمي على الممارسات الإدارية. </w:t>
      </w:r>
    </w:p>
    <w:p w14:paraId="3358F9A0"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tl/>
        </w:rPr>
      </w:pPr>
      <w:r w:rsidRPr="00EF5312">
        <w:rPr>
          <w:rFonts w:ascii="Traditional Arabic" w:hAnsi="Traditional Arabic" w:cs="Traditional Arabic"/>
          <w:color w:val="000000" w:themeColor="text1"/>
          <w:sz w:val="32"/>
          <w:szCs w:val="32"/>
          <w:rtl/>
        </w:rPr>
        <w:t xml:space="preserve">وتوصلت نتائج الدراسة إلى أن إدارة الشركات الاستراتيجية قد تطورت استجابة للتحول الرقمي، حيث أصبحت الممارسات الإدارية التقليدية غير قادرة على العمل بأعلى كفاءة. تم تبني خصائص جديدة في إدارة الشركات الاستراتيجية، أبرزها تسريع عملية اتخاذ القرارات وتقليل المهام الشاقة على المديرين التنفيذيين، مما يتيح لهم التركيز فقط على المهام التي تتناسب مع مهاراتهم </w:t>
      </w:r>
      <w:r w:rsidRPr="00EF5312">
        <w:rPr>
          <w:rFonts w:ascii="Traditional Arabic" w:hAnsi="Traditional Arabic" w:cs="Traditional Arabic" w:hint="cs"/>
          <w:color w:val="000000" w:themeColor="text1"/>
          <w:sz w:val="32"/>
          <w:szCs w:val="32"/>
          <w:rtl/>
        </w:rPr>
        <w:t>المحددة، وأوصت</w:t>
      </w:r>
      <w:r w:rsidRPr="00EF5312">
        <w:rPr>
          <w:rFonts w:ascii="Traditional Arabic" w:hAnsi="Traditional Arabic" w:cs="Traditional Arabic"/>
          <w:color w:val="000000" w:themeColor="text1"/>
          <w:sz w:val="32"/>
          <w:szCs w:val="32"/>
          <w:rtl/>
        </w:rPr>
        <w:t xml:space="preserve"> الدراسة بضرورة مواكبة الشركات </w:t>
      </w:r>
      <w:r w:rsidRPr="00EF5312">
        <w:rPr>
          <w:rFonts w:ascii="Traditional Arabic" w:hAnsi="Traditional Arabic" w:cs="Traditional Arabic"/>
          <w:color w:val="000000" w:themeColor="text1"/>
          <w:sz w:val="32"/>
          <w:szCs w:val="32"/>
          <w:rtl/>
        </w:rPr>
        <w:lastRenderedPageBreak/>
        <w:t>للتطورات الرقمية من أجل الحفاظ على قدرتها التنافسية والقدرة على اتخاذ قرارات استراتيجية أسرع وأكثر كفاءة</w:t>
      </w:r>
      <w:r w:rsidRPr="00EF5312">
        <w:rPr>
          <w:rFonts w:ascii="Traditional Arabic" w:hAnsi="Traditional Arabic" w:cs="Traditional Arabic"/>
          <w:color w:val="000000" w:themeColor="text1"/>
          <w:sz w:val="32"/>
          <w:szCs w:val="32"/>
        </w:rPr>
        <w:t>.</w:t>
      </w:r>
    </w:p>
    <w:p w14:paraId="776D39FA" w14:textId="77777777" w:rsidR="00EF5312" w:rsidRPr="00EF5312" w:rsidRDefault="00EF5312" w:rsidP="00EF5312">
      <w:pPr>
        <w:bidi/>
        <w:spacing w:after="200" w:line="276" w:lineRule="auto"/>
        <w:jc w:val="both"/>
        <w:rPr>
          <w:rFonts w:ascii="Traditional Arabic" w:hAnsi="Traditional Arabic" w:cs="Traditional Arabic"/>
          <w:b/>
          <w:bCs/>
          <w:color w:val="000000" w:themeColor="text1"/>
          <w:sz w:val="32"/>
          <w:szCs w:val="32"/>
          <w:rtl/>
        </w:rPr>
      </w:pPr>
      <w:r w:rsidRPr="00EF5312">
        <w:rPr>
          <w:rFonts w:ascii="Traditional Arabic" w:hAnsi="Traditional Arabic" w:cs="Traditional Arabic" w:hint="cs"/>
          <w:b/>
          <w:bCs/>
          <w:color w:val="000000" w:themeColor="text1"/>
          <w:sz w:val="32"/>
          <w:szCs w:val="32"/>
          <w:rtl/>
        </w:rPr>
        <w:t xml:space="preserve">دراسة </w:t>
      </w:r>
      <w:r w:rsidRPr="00EF5312">
        <w:rPr>
          <w:rFonts w:ascii="Traditional Arabic" w:hAnsi="Traditional Arabic" w:cs="Traditional Arabic"/>
          <w:b/>
          <w:bCs/>
          <w:color w:val="000000" w:themeColor="text1"/>
          <w:sz w:val="32"/>
          <w:szCs w:val="32"/>
        </w:rPr>
        <w:t>(Shirokova et al., 2020)</w:t>
      </w:r>
      <w:r w:rsidRPr="00EF5312">
        <w:rPr>
          <w:rFonts w:ascii="Traditional Arabic" w:hAnsi="Traditional Arabic" w:cs="Traditional Arabic" w:hint="cs"/>
          <w:b/>
          <w:bCs/>
          <w:color w:val="000000" w:themeColor="text1"/>
          <w:sz w:val="32"/>
          <w:szCs w:val="32"/>
          <w:rtl/>
        </w:rPr>
        <w:t xml:space="preserve"> بعنوان: </w:t>
      </w:r>
      <w:r w:rsidRPr="00EF5312">
        <w:rPr>
          <w:rFonts w:ascii="Traditional Arabic" w:hAnsi="Traditional Arabic" w:cs="Traditional Arabic"/>
          <w:b/>
          <w:bCs/>
          <w:i/>
          <w:iCs/>
          <w:color w:val="000000" w:themeColor="text1"/>
          <w:sz w:val="32"/>
          <w:szCs w:val="32"/>
        </w:rPr>
        <w:t>Implementation of the digital transformation concept during decision-making process in a construction company</w:t>
      </w:r>
    </w:p>
    <w:p w14:paraId="34561745"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tl/>
        </w:rPr>
      </w:pPr>
      <w:r w:rsidRPr="00EF5312">
        <w:rPr>
          <w:rFonts w:ascii="Traditional Arabic" w:hAnsi="Traditional Arabic" w:cs="Traditional Arabic"/>
          <w:color w:val="000000" w:themeColor="text1"/>
          <w:sz w:val="32"/>
          <w:szCs w:val="32"/>
          <w:rtl/>
        </w:rPr>
        <w:t>هدفت الدراسة إلى التعرف على تأثير التحول الرقمي على تطوير الشركات، مع التركيز على دور الحلول الرقمية الحديثة في تحسين الأداء التنافسي</w:t>
      </w:r>
      <w:r w:rsidRPr="00EF5312">
        <w:rPr>
          <w:rFonts w:ascii="Traditional Arabic" w:hAnsi="Traditional Arabic" w:cs="Traditional Arabic" w:hint="cs"/>
          <w:color w:val="000000" w:themeColor="text1"/>
          <w:sz w:val="32"/>
          <w:szCs w:val="32"/>
          <w:rtl/>
        </w:rPr>
        <w:t>،</w:t>
      </w:r>
      <w:r w:rsidRPr="00EF5312">
        <w:rPr>
          <w:rFonts w:ascii="Traditional Arabic" w:hAnsi="Traditional Arabic" w:cs="Traditional Arabic"/>
          <w:color w:val="000000" w:themeColor="text1"/>
          <w:sz w:val="32"/>
          <w:szCs w:val="32"/>
          <w:rtl/>
        </w:rPr>
        <w:t xml:space="preserve"> واستخدمت الدراسة المنهج التحليلي من خلال دراسة حالة لشركة بناء أوروبية لا يمكنها الاستمرار في التطور دون استخدام الحلول الرقمية الحديثة</w:t>
      </w:r>
      <w:r w:rsidRPr="00EF5312">
        <w:rPr>
          <w:rFonts w:ascii="Traditional Arabic" w:hAnsi="Traditional Arabic" w:cs="Traditional Arabic" w:hint="cs"/>
          <w:color w:val="000000" w:themeColor="text1"/>
          <w:sz w:val="32"/>
          <w:szCs w:val="32"/>
          <w:rtl/>
        </w:rPr>
        <w:t>، وتم استخدام</w:t>
      </w:r>
      <w:r w:rsidRPr="00EF5312">
        <w:rPr>
          <w:rFonts w:ascii="Traditional Arabic" w:hAnsi="Traditional Arabic" w:cs="Traditional Arabic"/>
          <w:color w:val="000000" w:themeColor="text1"/>
          <w:sz w:val="32"/>
          <w:szCs w:val="32"/>
          <w:rtl/>
        </w:rPr>
        <w:t xml:space="preserve"> برنامج برمجي لتحليل البيانات الكبيرة واتخاذ القرارات بشأن تطوير الشركة</w:t>
      </w:r>
      <w:r w:rsidRPr="00EF5312">
        <w:rPr>
          <w:rFonts w:ascii="Traditional Arabic" w:hAnsi="Traditional Arabic" w:cs="Traditional Arabic" w:hint="cs"/>
          <w:color w:val="000000" w:themeColor="text1"/>
          <w:sz w:val="32"/>
          <w:szCs w:val="32"/>
          <w:rtl/>
        </w:rPr>
        <w:t>،</w:t>
      </w:r>
      <w:r w:rsidRPr="00EF5312">
        <w:rPr>
          <w:rFonts w:ascii="Traditional Arabic" w:hAnsi="Traditional Arabic" w:cs="Traditional Arabic"/>
          <w:color w:val="000000" w:themeColor="text1"/>
          <w:sz w:val="32"/>
          <w:szCs w:val="32"/>
          <w:rtl/>
        </w:rPr>
        <w:t xml:space="preserve"> وتكوّنت العينة من دراسة حالة واحدة لشركة بناء أوروبية.</w:t>
      </w:r>
    </w:p>
    <w:p w14:paraId="65C777D3"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Pr>
      </w:pPr>
      <w:r w:rsidRPr="00EF5312">
        <w:rPr>
          <w:rFonts w:ascii="Traditional Arabic" w:hAnsi="Traditional Arabic" w:cs="Traditional Arabic"/>
          <w:color w:val="000000" w:themeColor="text1"/>
          <w:sz w:val="32"/>
          <w:szCs w:val="32"/>
          <w:rtl/>
        </w:rPr>
        <w:t xml:space="preserve"> وتوصلت نتائج الدراسة إلى أن استخدام الحلول الرقمية يعد أمرًا أساسيًا لاستمرار النمو في الشركات الحديثة، وأوصت الدراسة بتطوير النظام الرقمي الذي يسمح باتخاذ قرارات استراتيجية سليمة، مع التأكيد على أهمية هذه الأنظمة لجميع الشركات في جميع أنحاء العالم لتحقيق التميز التنافسي ودخول أسواق جديدة</w:t>
      </w:r>
      <w:r w:rsidRPr="00EF5312">
        <w:rPr>
          <w:rFonts w:ascii="Traditional Arabic" w:hAnsi="Traditional Arabic" w:cs="Traditional Arabic"/>
          <w:b/>
          <w:bCs/>
          <w:color w:val="000000" w:themeColor="text1"/>
          <w:sz w:val="32"/>
          <w:szCs w:val="32"/>
        </w:rPr>
        <w:t>.</w:t>
      </w:r>
    </w:p>
    <w:p w14:paraId="304CB79D" w14:textId="77777777" w:rsidR="00EF5312" w:rsidRPr="00EF5312" w:rsidRDefault="00EF5312" w:rsidP="00EF5312">
      <w:pPr>
        <w:bidi/>
        <w:spacing w:after="200" w:line="276" w:lineRule="auto"/>
        <w:jc w:val="both"/>
        <w:rPr>
          <w:rFonts w:ascii="Traditional Arabic" w:hAnsi="Traditional Arabic" w:cs="Traditional Arabic"/>
          <w:b/>
          <w:bCs/>
          <w:color w:val="000000" w:themeColor="text1"/>
          <w:sz w:val="32"/>
          <w:szCs w:val="32"/>
          <w:rtl/>
          <w:lang w:bidi="ar-EG"/>
        </w:rPr>
      </w:pPr>
      <w:r w:rsidRPr="00EF5312">
        <w:rPr>
          <w:rFonts w:ascii="Traditional Arabic" w:hAnsi="Traditional Arabic" w:cs="Traditional Arabic" w:hint="cs"/>
          <w:b/>
          <w:bCs/>
          <w:color w:val="000000" w:themeColor="text1"/>
          <w:sz w:val="32"/>
          <w:szCs w:val="32"/>
          <w:rtl/>
          <w:lang w:bidi="ar-EG"/>
        </w:rPr>
        <w:t xml:space="preserve">المجموعة الثانية: الدراسات التي تناولت </w:t>
      </w:r>
      <w:r w:rsidRPr="00EF5312">
        <w:rPr>
          <w:rFonts w:ascii="Traditional Arabic" w:hAnsi="Traditional Arabic" w:cs="Traditional Arabic"/>
          <w:b/>
          <w:bCs/>
          <w:color w:val="000000" w:themeColor="text1"/>
          <w:sz w:val="32"/>
          <w:szCs w:val="32"/>
          <w:rtl/>
        </w:rPr>
        <w:t>فاعلية اتخاذ القرار الاستراتيجي</w:t>
      </w:r>
      <w:r w:rsidRPr="00EF5312">
        <w:rPr>
          <w:rFonts w:ascii="Traditional Arabic" w:hAnsi="Traditional Arabic" w:cs="Traditional Arabic" w:hint="cs"/>
          <w:b/>
          <w:bCs/>
          <w:color w:val="000000" w:themeColor="text1"/>
          <w:sz w:val="32"/>
          <w:szCs w:val="32"/>
          <w:rtl/>
          <w:lang w:bidi="ar-EG"/>
        </w:rPr>
        <w:t xml:space="preserve"> وعلاقتها بالمتغيرات الأخرى</w:t>
      </w:r>
    </w:p>
    <w:p w14:paraId="0A2CD356" w14:textId="77777777" w:rsidR="00EF5312" w:rsidRPr="00EF5312" w:rsidRDefault="00EF5312" w:rsidP="00EF5312">
      <w:pPr>
        <w:bidi/>
        <w:spacing w:after="200" w:line="276" w:lineRule="auto"/>
        <w:jc w:val="both"/>
        <w:rPr>
          <w:rFonts w:ascii="Traditional Arabic" w:hAnsi="Traditional Arabic" w:cs="Traditional Arabic"/>
          <w:b/>
          <w:bCs/>
          <w:color w:val="000000" w:themeColor="text1"/>
          <w:sz w:val="32"/>
          <w:szCs w:val="32"/>
          <w:rtl/>
        </w:rPr>
      </w:pPr>
      <w:r w:rsidRPr="00EF5312">
        <w:rPr>
          <w:rFonts w:ascii="Traditional Arabic" w:hAnsi="Traditional Arabic" w:cs="Traditional Arabic" w:hint="cs"/>
          <w:b/>
          <w:bCs/>
          <w:color w:val="000000" w:themeColor="text1"/>
          <w:sz w:val="32"/>
          <w:szCs w:val="32"/>
          <w:rtl/>
        </w:rPr>
        <w:t xml:space="preserve">دراسة </w:t>
      </w:r>
      <w:r w:rsidRPr="00EF5312">
        <w:rPr>
          <w:rFonts w:ascii="Traditional Arabic" w:hAnsi="Traditional Arabic" w:cs="Traditional Arabic"/>
          <w:b/>
          <w:bCs/>
          <w:color w:val="000000" w:themeColor="text1"/>
          <w:sz w:val="32"/>
          <w:szCs w:val="32"/>
        </w:rPr>
        <w:t>(</w:t>
      </w:r>
      <w:proofErr w:type="spellStart"/>
      <w:r w:rsidRPr="00EF5312">
        <w:rPr>
          <w:rFonts w:ascii="Traditional Arabic" w:hAnsi="Traditional Arabic" w:cs="Traditional Arabic"/>
          <w:b/>
          <w:bCs/>
          <w:color w:val="000000" w:themeColor="text1"/>
          <w:sz w:val="32"/>
          <w:szCs w:val="32"/>
        </w:rPr>
        <w:t>Yulion</w:t>
      </w:r>
      <w:proofErr w:type="spellEnd"/>
      <w:r w:rsidRPr="00EF5312">
        <w:rPr>
          <w:rFonts w:ascii="Traditional Arabic" w:hAnsi="Traditional Arabic" w:cs="Traditional Arabic"/>
          <w:b/>
          <w:bCs/>
          <w:color w:val="000000" w:themeColor="text1"/>
          <w:sz w:val="32"/>
          <w:szCs w:val="32"/>
        </w:rPr>
        <w:t xml:space="preserve"> et al., 2024)</w:t>
      </w:r>
      <w:r w:rsidRPr="00EF5312">
        <w:rPr>
          <w:rFonts w:ascii="Traditional Arabic" w:hAnsi="Traditional Arabic" w:cs="Traditional Arabic" w:hint="cs"/>
          <w:b/>
          <w:bCs/>
          <w:color w:val="000000" w:themeColor="text1"/>
          <w:sz w:val="32"/>
          <w:szCs w:val="32"/>
          <w:rtl/>
        </w:rPr>
        <w:t xml:space="preserve"> بعنوان: </w:t>
      </w:r>
      <w:r w:rsidRPr="00EF5312">
        <w:rPr>
          <w:rFonts w:ascii="Traditional Arabic" w:hAnsi="Traditional Arabic" w:cs="Traditional Arabic"/>
          <w:b/>
          <w:bCs/>
          <w:color w:val="000000" w:themeColor="text1"/>
          <w:sz w:val="32"/>
          <w:szCs w:val="32"/>
        </w:rPr>
        <w:t xml:space="preserve">Analysis of Decision Making in Business Strategy of PT </w:t>
      </w:r>
      <w:proofErr w:type="spellStart"/>
      <w:r w:rsidRPr="00EF5312">
        <w:rPr>
          <w:rFonts w:ascii="Traditional Arabic" w:hAnsi="Traditional Arabic" w:cs="Traditional Arabic"/>
          <w:b/>
          <w:bCs/>
          <w:color w:val="000000" w:themeColor="text1"/>
          <w:sz w:val="32"/>
          <w:szCs w:val="32"/>
        </w:rPr>
        <w:t>GotoGojek</w:t>
      </w:r>
      <w:proofErr w:type="spellEnd"/>
      <w:r w:rsidRPr="00EF5312">
        <w:rPr>
          <w:rFonts w:ascii="Traditional Arabic" w:hAnsi="Traditional Arabic" w:cs="Traditional Arabic"/>
          <w:b/>
          <w:bCs/>
          <w:color w:val="000000" w:themeColor="text1"/>
          <w:sz w:val="32"/>
          <w:szCs w:val="32"/>
        </w:rPr>
        <w:t xml:space="preserve"> </w:t>
      </w:r>
      <w:proofErr w:type="spellStart"/>
      <w:r w:rsidRPr="00EF5312">
        <w:rPr>
          <w:rFonts w:ascii="Traditional Arabic" w:hAnsi="Traditional Arabic" w:cs="Traditional Arabic"/>
          <w:b/>
          <w:bCs/>
          <w:color w:val="000000" w:themeColor="text1"/>
          <w:sz w:val="32"/>
          <w:szCs w:val="32"/>
        </w:rPr>
        <w:t>Tokopedia</w:t>
      </w:r>
      <w:proofErr w:type="spellEnd"/>
      <w:r w:rsidRPr="00EF5312">
        <w:rPr>
          <w:rFonts w:ascii="Traditional Arabic" w:hAnsi="Traditional Arabic" w:cs="Traditional Arabic"/>
          <w:b/>
          <w:bCs/>
          <w:color w:val="000000" w:themeColor="text1"/>
          <w:sz w:val="32"/>
          <w:szCs w:val="32"/>
        </w:rPr>
        <w:t>.</w:t>
      </w:r>
    </w:p>
    <w:p w14:paraId="74B440C9"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tl/>
        </w:rPr>
      </w:pPr>
      <w:r w:rsidRPr="00EF5312">
        <w:rPr>
          <w:rFonts w:ascii="Traditional Arabic" w:hAnsi="Traditional Arabic" w:cs="Traditional Arabic"/>
          <w:color w:val="000000" w:themeColor="text1"/>
          <w:sz w:val="32"/>
          <w:szCs w:val="32"/>
          <w:rtl/>
        </w:rPr>
        <w:t>هدفت الدراسة إلى التعرف على أثر القرارات الاستراتيجية بأبعادها (الإدارة التشغيلية، الإدارة المالية، إدارة الموارد البشرية) على استدامة الأعمال في شركة</w:t>
      </w:r>
      <w:r w:rsidRPr="00EF5312">
        <w:rPr>
          <w:rFonts w:ascii="Traditional Arabic" w:hAnsi="Traditional Arabic" w:cs="Traditional Arabic"/>
          <w:color w:val="000000" w:themeColor="text1"/>
          <w:sz w:val="32"/>
          <w:szCs w:val="32"/>
        </w:rPr>
        <w:t xml:space="preserve"> PT </w:t>
      </w:r>
      <w:proofErr w:type="spellStart"/>
      <w:r w:rsidRPr="00EF5312">
        <w:rPr>
          <w:rFonts w:ascii="Traditional Arabic" w:hAnsi="Traditional Arabic" w:cs="Traditional Arabic"/>
          <w:color w:val="000000" w:themeColor="text1"/>
          <w:sz w:val="32"/>
          <w:szCs w:val="32"/>
        </w:rPr>
        <w:t>GoTo</w:t>
      </w:r>
      <w:proofErr w:type="spellEnd"/>
      <w:r w:rsidRPr="00EF5312">
        <w:rPr>
          <w:rFonts w:ascii="Traditional Arabic" w:hAnsi="Traditional Arabic" w:cs="Traditional Arabic"/>
          <w:color w:val="000000" w:themeColor="text1"/>
          <w:sz w:val="32"/>
          <w:szCs w:val="32"/>
        </w:rPr>
        <w:t xml:space="preserve"> </w:t>
      </w:r>
      <w:proofErr w:type="spellStart"/>
      <w:r w:rsidRPr="00EF5312">
        <w:rPr>
          <w:rFonts w:ascii="Traditional Arabic" w:hAnsi="Traditional Arabic" w:cs="Traditional Arabic"/>
          <w:color w:val="000000" w:themeColor="text1"/>
          <w:sz w:val="32"/>
          <w:szCs w:val="32"/>
        </w:rPr>
        <w:t>Gojek</w:t>
      </w:r>
      <w:proofErr w:type="spellEnd"/>
      <w:r w:rsidRPr="00EF5312">
        <w:rPr>
          <w:rFonts w:ascii="Traditional Arabic" w:hAnsi="Traditional Arabic" w:cs="Traditional Arabic"/>
          <w:color w:val="000000" w:themeColor="text1"/>
          <w:sz w:val="32"/>
          <w:szCs w:val="32"/>
        </w:rPr>
        <w:t xml:space="preserve"> </w:t>
      </w:r>
      <w:proofErr w:type="spellStart"/>
      <w:r w:rsidRPr="00EF5312">
        <w:rPr>
          <w:rFonts w:ascii="Traditional Arabic" w:hAnsi="Traditional Arabic" w:cs="Traditional Arabic"/>
          <w:color w:val="000000" w:themeColor="text1"/>
          <w:sz w:val="32"/>
          <w:szCs w:val="32"/>
        </w:rPr>
        <w:t>Tokopedia</w:t>
      </w:r>
      <w:proofErr w:type="spellEnd"/>
      <w:r w:rsidRPr="00EF5312">
        <w:rPr>
          <w:rFonts w:ascii="Traditional Arabic" w:hAnsi="Traditional Arabic" w:cs="Traditional Arabic"/>
          <w:color w:val="000000" w:themeColor="text1"/>
          <w:sz w:val="32"/>
          <w:szCs w:val="32"/>
          <w:rtl/>
        </w:rPr>
        <w:t>، إحدى أكبر شركات التكنولوجيا في إندونيسيا</w:t>
      </w:r>
      <w:r w:rsidRPr="00EF5312">
        <w:rPr>
          <w:rFonts w:ascii="Traditional Arabic" w:hAnsi="Traditional Arabic" w:cs="Traditional Arabic" w:hint="cs"/>
          <w:color w:val="000000" w:themeColor="text1"/>
          <w:sz w:val="32"/>
          <w:szCs w:val="32"/>
          <w:rtl/>
        </w:rPr>
        <w:t>،</w:t>
      </w:r>
      <w:r w:rsidRPr="00EF5312">
        <w:rPr>
          <w:rFonts w:ascii="Traditional Arabic" w:hAnsi="Traditional Arabic" w:cs="Traditional Arabic"/>
          <w:color w:val="000000" w:themeColor="text1"/>
          <w:sz w:val="32"/>
          <w:szCs w:val="32"/>
          <w:rtl/>
        </w:rPr>
        <w:t xml:space="preserve"> واستخدمت الدراسة المنهج النوعي من خلال تحليل البيانات الثانوية لتقييم فعالية اتخاذ القرارات الاستراتيجية وانعكاسها على كفاءة العمليات والقدرة على التكيف مع متغيرات السوق. وتكوّنت العينة من وثائق وتقارير متعلقة بالشركة محل الدراسة.</w:t>
      </w:r>
    </w:p>
    <w:p w14:paraId="42266837"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Pr>
      </w:pPr>
      <w:r w:rsidRPr="00EF5312">
        <w:rPr>
          <w:rFonts w:ascii="Traditional Arabic" w:hAnsi="Traditional Arabic" w:cs="Traditional Arabic"/>
          <w:color w:val="000000" w:themeColor="text1"/>
          <w:sz w:val="32"/>
          <w:szCs w:val="32"/>
          <w:rtl/>
        </w:rPr>
        <w:lastRenderedPageBreak/>
        <w:t xml:space="preserve"> وتوصلت نتائج الدراسة إلى أن للقرارات الاستراتيجية تأثيرًا كبيرًا على كفاءة التشغيل والتكيف مع التغيرات السوقية، إلا أن هناك تحديات تتعلق بتنفيذ الاستراتيجية بشكل متسق وإدارة المخاطر بفعالية</w:t>
      </w:r>
      <w:r w:rsidRPr="00EF5312">
        <w:rPr>
          <w:rFonts w:ascii="Traditional Arabic" w:hAnsi="Traditional Arabic" w:cs="Traditional Arabic" w:hint="cs"/>
          <w:color w:val="000000" w:themeColor="text1"/>
          <w:sz w:val="32"/>
          <w:szCs w:val="32"/>
          <w:rtl/>
        </w:rPr>
        <w:t xml:space="preserve">، </w:t>
      </w:r>
      <w:r w:rsidRPr="00EF5312">
        <w:rPr>
          <w:rFonts w:ascii="Traditional Arabic" w:hAnsi="Traditional Arabic" w:cs="Traditional Arabic"/>
          <w:color w:val="000000" w:themeColor="text1"/>
          <w:sz w:val="32"/>
          <w:szCs w:val="32"/>
          <w:rtl/>
        </w:rPr>
        <w:t>وأوصت الدراسة بضرورة تعزيز آليات تنفيذ الاستراتيجيات وتطوير قدرات إدارة المخاطر لضمان استدامة الأعمال وتحقيق ميزة تنافسية مستدامة</w:t>
      </w:r>
      <w:r w:rsidRPr="00EF5312">
        <w:rPr>
          <w:rFonts w:ascii="Traditional Arabic" w:hAnsi="Traditional Arabic" w:cs="Traditional Arabic"/>
          <w:color w:val="000000" w:themeColor="text1"/>
          <w:sz w:val="32"/>
          <w:szCs w:val="32"/>
        </w:rPr>
        <w:t>.</w:t>
      </w:r>
    </w:p>
    <w:p w14:paraId="5678CFEF" w14:textId="77777777" w:rsidR="00EF5312" w:rsidRPr="00EF5312" w:rsidRDefault="00EF5312" w:rsidP="00EF5312">
      <w:pPr>
        <w:bidi/>
        <w:spacing w:after="200" w:line="276" w:lineRule="auto"/>
        <w:jc w:val="both"/>
        <w:rPr>
          <w:rFonts w:ascii="Traditional Arabic" w:hAnsi="Traditional Arabic" w:cs="Traditional Arabic"/>
          <w:b/>
          <w:bCs/>
          <w:color w:val="000000" w:themeColor="text1"/>
          <w:sz w:val="32"/>
          <w:szCs w:val="32"/>
          <w:rtl/>
        </w:rPr>
      </w:pPr>
      <w:r w:rsidRPr="00EF5312">
        <w:rPr>
          <w:rFonts w:ascii="Traditional Arabic" w:hAnsi="Traditional Arabic" w:cs="Traditional Arabic" w:hint="cs"/>
          <w:b/>
          <w:bCs/>
          <w:color w:val="000000" w:themeColor="text1"/>
          <w:sz w:val="32"/>
          <w:szCs w:val="32"/>
          <w:rtl/>
        </w:rPr>
        <w:t xml:space="preserve">دراسة </w:t>
      </w:r>
      <w:r w:rsidRPr="00EF5312">
        <w:rPr>
          <w:rFonts w:ascii="Traditional Arabic" w:hAnsi="Traditional Arabic" w:cs="Traditional Arabic"/>
          <w:b/>
          <w:bCs/>
          <w:color w:val="000000" w:themeColor="text1"/>
          <w:sz w:val="32"/>
          <w:szCs w:val="32"/>
        </w:rPr>
        <w:t>(van Wyk, 2023)</w:t>
      </w:r>
      <w:r w:rsidRPr="00EF5312">
        <w:rPr>
          <w:rFonts w:ascii="Traditional Arabic" w:hAnsi="Traditional Arabic" w:cs="Traditional Arabic" w:hint="cs"/>
          <w:b/>
          <w:bCs/>
          <w:color w:val="000000" w:themeColor="text1"/>
          <w:sz w:val="32"/>
          <w:szCs w:val="32"/>
          <w:rtl/>
        </w:rPr>
        <w:t xml:space="preserve"> </w:t>
      </w:r>
      <w:proofErr w:type="gramStart"/>
      <w:r w:rsidRPr="00EF5312">
        <w:rPr>
          <w:rFonts w:ascii="Traditional Arabic" w:hAnsi="Traditional Arabic" w:cs="Traditional Arabic" w:hint="cs"/>
          <w:b/>
          <w:bCs/>
          <w:color w:val="000000" w:themeColor="text1"/>
          <w:sz w:val="32"/>
          <w:szCs w:val="32"/>
          <w:rtl/>
        </w:rPr>
        <w:t>بعنوان :</w:t>
      </w:r>
      <w:proofErr w:type="gramEnd"/>
      <w:r w:rsidRPr="00EF5312">
        <w:rPr>
          <w:rFonts w:ascii="Traditional Arabic" w:hAnsi="Traditional Arabic" w:cs="Traditional Arabic" w:hint="cs"/>
          <w:b/>
          <w:bCs/>
          <w:color w:val="000000" w:themeColor="text1"/>
          <w:sz w:val="32"/>
          <w:szCs w:val="32"/>
          <w:rtl/>
        </w:rPr>
        <w:t xml:space="preserve"> </w:t>
      </w:r>
      <w:r w:rsidRPr="00EF5312">
        <w:rPr>
          <w:rFonts w:ascii="Traditional Arabic" w:hAnsi="Traditional Arabic" w:cs="Traditional Arabic"/>
          <w:b/>
          <w:bCs/>
          <w:color w:val="000000" w:themeColor="text1"/>
          <w:sz w:val="32"/>
          <w:szCs w:val="32"/>
        </w:rPr>
        <w:t>Strategic decision-making in small and medium enterprises in South Africa.</w:t>
      </w:r>
    </w:p>
    <w:p w14:paraId="73CDE860"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tl/>
        </w:rPr>
      </w:pPr>
      <w:r w:rsidRPr="00EF5312">
        <w:rPr>
          <w:rFonts w:ascii="Traditional Arabic" w:hAnsi="Traditional Arabic" w:cs="Traditional Arabic"/>
          <w:color w:val="000000" w:themeColor="text1"/>
          <w:sz w:val="32"/>
          <w:szCs w:val="32"/>
          <w:rtl/>
        </w:rPr>
        <w:t>هدفت الدراسة إلى التعرف على واقع تطبيق عمليات اتخاذ القرار الاستراتيجي بأبعاده (تحليل المعلومات المالية وغير المالية، تحديد البدائل، اختيار البديل الأنسب من حيث الكلفة، التواصل، ومراجعة فاعلية القرار) في المنشآت الصغيرة والمتوسطة</w:t>
      </w:r>
      <w:r w:rsidRPr="00EF5312">
        <w:rPr>
          <w:rFonts w:ascii="Traditional Arabic" w:hAnsi="Traditional Arabic" w:cs="Traditional Arabic"/>
          <w:color w:val="000000" w:themeColor="text1"/>
          <w:sz w:val="32"/>
          <w:szCs w:val="32"/>
        </w:rPr>
        <w:t xml:space="preserve"> (SMEs) </w:t>
      </w:r>
      <w:r w:rsidRPr="00EF5312">
        <w:rPr>
          <w:rFonts w:ascii="Traditional Arabic" w:hAnsi="Traditional Arabic" w:cs="Traditional Arabic"/>
          <w:color w:val="000000" w:themeColor="text1"/>
          <w:sz w:val="32"/>
          <w:szCs w:val="32"/>
          <w:rtl/>
        </w:rPr>
        <w:t xml:space="preserve">في جنوب أفريقيا، والسعي إلى تحديد عملية مرجعية معيارية تتناسب مع سياق هذه </w:t>
      </w:r>
      <w:r w:rsidRPr="00EF5312">
        <w:rPr>
          <w:rFonts w:ascii="Traditional Arabic" w:hAnsi="Traditional Arabic" w:cs="Traditional Arabic" w:hint="cs"/>
          <w:color w:val="000000" w:themeColor="text1"/>
          <w:sz w:val="32"/>
          <w:szCs w:val="32"/>
          <w:rtl/>
        </w:rPr>
        <w:t>المنشآت، واستخدمت</w:t>
      </w:r>
      <w:r w:rsidRPr="00EF5312">
        <w:rPr>
          <w:rFonts w:ascii="Traditional Arabic" w:hAnsi="Traditional Arabic" w:cs="Traditional Arabic"/>
          <w:color w:val="000000" w:themeColor="text1"/>
          <w:sz w:val="32"/>
          <w:szCs w:val="32"/>
          <w:rtl/>
        </w:rPr>
        <w:t xml:space="preserve"> الدراسة المنهج النوعي، مع تطبيق تقنية دلفي</w:t>
      </w:r>
      <w:r w:rsidRPr="00EF5312">
        <w:rPr>
          <w:rFonts w:ascii="Traditional Arabic" w:hAnsi="Traditional Arabic" w:cs="Traditional Arabic"/>
          <w:color w:val="000000" w:themeColor="text1"/>
          <w:sz w:val="32"/>
          <w:szCs w:val="32"/>
        </w:rPr>
        <w:t xml:space="preserve"> (Delphi) </w:t>
      </w:r>
      <w:r w:rsidRPr="00EF5312">
        <w:rPr>
          <w:rFonts w:ascii="Traditional Arabic" w:hAnsi="Traditional Arabic" w:cs="Traditional Arabic"/>
          <w:color w:val="000000" w:themeColor="text1"/>
          <w:sz w:val="32"/>
          <w:szCs w:val="32"/>
          <w:rtl/>
        </w:rPr>
        <w:t xml:space="preserve">على جولتين: الأولى بأسئلة مفتوحة وتحليل موضوعي، والثانية باستخدام مقاييس تقييم للوصول إلى توافق. وتكوّنت العينة من (20) مديرًا أو مالكًا في الجولة الأولى، و(10) مشاركين في الجولة الثانية. </w:t>
      </w:r>
    </w:p>
    <w:p w14:paraId="3D58A1F0"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Pr>
      </w:pPr>
      <w:r w:rsidRPr="00EF5312">
        <w:rPr>
          <w:rFonts w:ascii="Traditional Arabic" w:hAnsi="Traditional Arabic" w:cs="Traditional Arabic"/>
          <w:color w:val="000000" w:themeColor="text1"/>
          <w:sz w:val="32"/>
          <w:szCs w:val="32"/>
          <w:rtl/>
        </w:rPr>
        <w:t>وتوصلت نتائج الدراسة إلى تحديد عملية مرجعية لاتخاذ القرار الاستراتيجي في المنشآت الصغيرة والمتوسطة، تشمل أنشطة فريدة مثل تحليل الدوافع الداخلية، تقييم المعلومات المالية، تحديد البدائل، واختيار الأنسب، وجمع معلومات غير مالية، والتواصل الداخلي، ومراجعة فاعلية القرار</w:t>
      </w:r>
      <w:r w:rsidRPr="00EF5312">
        <w:rPr>
          <w:rFonts w:ascii="Traditional Arabic" w:hAnsi="Traditional Arabic" w:cs="Traditional Arabic" w:hint="cs"/>
          <w:color w:val="000000" w:themeColor="text1"/>
          <w:sz w:val="32"/>
          <w:szCs w:val="32"/>
          <w:rtl/>
        </w:rPr>
        <w:t xml:space="preserve">، </w:t>
      </w:r>
      <w:r w:rsidRPr="00EF5312">
        <w:rPr>
          <w:rFonts w:ascii="Traditional Arabic" w:hAnsi="Traditional Arabic" w:cs="Traditional Arabic"/>
          <w:color w:val="000000" w:themeColor="text1"/>
          <w:sz w:val="32"/>
          <w:szCs w:val="32"/>
          <w:rtl/>
        </w:rPr>
        <w:t>وأوصت الدراسة بضرورة اعتماد هذه المنهجية من قبل مديري ومالكي المنشآت الصغيرة والمتوسطة لتعزيز شمولية وفاعلية واستمرارية عمليات اتخاذ القرار الاستراتيجي</w:t>
      </w:r>
      <w:r w:rsidRPr="00EF5312">
        <w:rPr>
          <w:rFonts w:ascii="Traditional Arabic" w:hAnsi="Traditional Arabic" w:cs="Traditional Arabic"/>
          <w:color w:val="000000" w:themeColor="text1"/>
          <w:sz w:val="32"/>
          <w:szCs w:val="32"/>
        </w:rPr>
        <w:t>.</w:t>
      </w:r>
    </w:p>
    <w:p w14:paraId="0C493FCB" w14:textId="77777777" w:rsidR="00EF5312" w:rsidRPr="00EF5312" w:rsidRDefault="00EF5312" w:rsidP="00EF5312">
      <w:pPr>
        <w:bidi/>
        <w:spacing w:after="200" w:line="276" w:lineRule="auto"/>
        <w:jc w:val="both"/>
        <w:rPr>
          <w:rFonts w:ascii="Traditional Arabic" w:hAnsi="Traditional Arabic" w:cs="Traditional Arabic"/>
          <w:b/>
          <w:bCs/>
          <w:color w:val="000000" w:themeColor="text1"/>
          <w:sz w:val="32"/>
          <w:szCs w:val="32"/>
          <w:rtl/>
        </w:rPr>
      </w:pPr>
      <w:r w:rsidRPr="00EF5312">
        <w:rPr>
          <w:rFonts w:ascii="Traditional Arabic" w:hAnsi="Traditional Arabic" w:cs="Traditional Arabic" w:hint="cs"/>
          <w:b/>
          <w:bCs/>
          <w:color w:val="000000" w:themeColor="text1"/>
          <w:sz w:val="32"/>
          <w:szCs w:val="32"/>
          <w:rtl/>
        </w:rPr>
        <w:t>دراسة (تركمان واخرون،2023) بعنوان:</w:t>
      </w:r>
      <w:r w:rsidRPr="00EF5312">
        <w:rPr>
          <w:rFonts w:ascii="Traditional Arabic" w:hAnsi="Traditional Arabic" w:cs="Traditional Arabic"/>
          <w:color w:val="000000" w:themeColor="text1"/>
          <w:sz w:val="32"/>
          <w:szCs w:val="32"/>
          <w:rtl/>
        </w:rPr>
        <w:t xml:space="preserve"> </w:t>
      </w:r>
      <w:r w:rsidRPr="00EF5312">
        <w:rPr>
          <w:rFonts w:ascii="Traditional Arabic" w:hAnsi="Traditional Arabic" w:cs="Traditional Arabic"/>
          <w:b/>
          <w:bCs/>
          <w:color w:val="000000" w:themeColor="text1"/>
          <w:sz w:val="32"/>
          <w:szCs w:val="32"/>
          <w:rtl/>
        </w:rPr>
        <w:t>دور القرار الاستراتيجي في تحسين الأداء التنظيمي: دراسة ميدانية في جامعة تشرين</w:t>
      </w:r>
      <w:r w:rsidRPr="00EF5312">
        <w:rPr>
          <w:rFonts w:ascii="Traditional Arabic" w:hAnsi="Traditional Arabic" w:cs="Traditional Arabic"/>
          <w:b/>
          <w:bCs/>
          <w:color w:val="000000" w:themeColor="text1"/>
          <w:sz w:val="32"/>
          <w:szCs w:val="32"/>
        </w:rPr>
        <w:t>.</w:t>
      </w:r>
    </w:p>
    <w:p w14:paraId="71210CC9"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tl/>
        </w:rPr>
      </w:pPr>
      <w:r w:rsidRPr="00EF5312">
        <w:rPr>
          <w:rFonts w:ascii="Traditional Arabic" w:hAnsi="Traditional Arabic" w:cs="Traditional Arabic"/>
          <w:color w:val="000000" w:themeColor="text1"/>
          <w:sz w:val="32"/>
          <w:szCs w:val="32"/>
          <w:rtl/>
        </w:rPr>
        <w:t>هدفت الدراسة إلى التعرف على أثر القرار الاستراتيجي بأبعاده (غير مذكورة صراحة في النص) على الأداء التنظيمي بأبعاده (الكفاءة، والفاعلية) في جامعة تشرين. واستخدمت الدراسة المنهج الوصفي التحليلي، وتم جمع البيانات من خلال استبيان وُزّع على عينة ميسرة من العاملين بالجامعة بلغ عددها (120) مفردة</w:t>
      </w:r>
      <w:r w:rsidRPr="00EF5312">
        <w:rPr>
          <w:rFonts w:ascii="Traditional Arabic" w:hAnsi="Traditional Arabic" w:cs="Traditional Arabic" w:hint="cs"/>
          <w:color w:val="000000" w:themeColor="text1"/>
          <w:sz w:val="32"/>
          <w:szCs w:val="32"/>
          <w:rtl/>
        </w:rPr>
        <w:t>،</w:t>
      </w:r>
      <w:r w:rsidRPr="00EF5312">
        <w:rPr>
          <w:rFonts w:ascii="Traditional Arabic" w:hAnsi="Traditional Arabic" w:cs="Traditional Arabic"/>
          <w:color w:val="000000" w:themeColor="text1"/>
          <w:sz w:val="32"/>
          <w:szCs w:val="32"/>
          <w:rtl/>
        </w:rPr>
        <w:t xml:space="preserve"> وتم تحليل البيانات باستخدام اختبار</w:t>
      </w:r>
      <w:r w:rsidRPr="00EF5312">
        <w:rPr>
          <w:rFonts w:ascii="Traditional Arabic" w:hAnsi="Traditional Arabic" w:cs="Traditional Arabic"/>
          <w:color w:val="000000" w:themeColor="text1"/>
          <w:sz w:val="32"/>
          <w:szCs w:val="32"/>
        </w:rPr>
        <w:t xml:space="preserve"> (T) </w:t>
      </w:r>
      <w:r w:rsidRPr="00EF5312">
        <w:rPr>
          <w:rFonts w:ascii="Traditional Arabic" w:hAnsi="Traditional Arabic" w:cs="Traditional Arabic"/>
          <w:color w:val="000000" w:themeColor="text1"/>
          <w:sz w:val="32"/>
          <w:szCs w:val="32"/>
          <w:rtl/>
        </w:rPr>
        <w:t xml:space="preserve">لعينة واحدة، ومعامل ارتباط بيرسون. </w:t>
      </w:r>
    </w:p>
    <w:p w14:paraId="1BF46425" w14:textId="77777777" w:rsidR="00EF5312" w:rsidRPr="00EF5312" w:rsidRDefault="00EF5312" w:rsidP="00EF5312">
      <w:pPr>
        <w:bidi/>
        <w:spacing w:after="200" w:line="276" w:lineRule="auto"/>
        <w:jc w:val="both"/>
        <w:rPr>
          <w:rFonts w:ascii="Traditional Arabic" w:hAnsi="Traditional Arabic" w:cs="Traditional Arabic"/>
          <w:b/>
          <w:bCs/>
          <w:color w:val="000000" w:themeColor="text1"/>
          <w:sz w:val="32"/>
          <w:szCs w:val="32"/>
          <w:rtl/>
        </w:rPr>
      </w:pPr>
      <w:r w:rsidRPr="00EF5312">
        <w:rPr>
          <w:rFonts w:ascii="Traditional Arabic" w:hAnsi="Traditional Arabic" w:cs="Traditional Arabic"/>
          <w:color w:val="000000" w:themeColor="text1"/>
          <w:sz w:val="32"/>
          <w:szCs w:val="32"/>
          <w:rtl/>
        </w:rPr>
        <w:lastRenderedPageBreak/>
        <w:t>وتوصلت نتائج الدراسة إلى انخفاض مستوى القرار الاستراتيجي، وكذلك انخفاض في مستوى الكفاءة والفاعلية لدى العاملين، كما بينت النتائج وجود علاقة معنوية بين القرار الاستراتيجي وأداء العاملين بأبعاده، مما يدل على وجود تأثير معنوي للقرار الاستراتيجي في تحسين الأداء التنظيمي</w:t>
      </w:r>
      <w:r w:rsidRPr="00EF5312">
        <w:rPr>
          <w:rFonts w:ascii="Traditional Arabic" w:hAnsi="Traditional Arabic" w:cs="Traditional Arabic" w:hint="cs"/>
          <w:color w:val="000000" w:themeColor="text1"/>
          <w:sz w:val="32"/>
          <w:szCs w:val="32"/>
          <w:rtl/>
        </w:rPr>
        <w:t xml:space="preserve">، </w:t>
      </w:r>
      <w:r w:rsidRPr="00EF5312">
        <w:rPr>
          <w:rFonts w:ascii="Traditional Arabic" w:hAnsi="Traditional Arabic" w:cs="Traditional Arabic"/>
          <w:color w:val="000000" w:themeColor="text1"/>
          <w:sz w:val="32"/>
          <w:szCs w:val="32"/>
          <w:rtl/>
        </w:rPr>
        <w:t>وأوصت الدراسة بضرورة تحسين عملية اتخاذ القرار الاستراتيجي من خلال اعتماد معايير واضحة لاختيار البدائل، وتحسين كفاءة وفاعلية العاملين عبر وضع ضوابط للاختيار والتدريب المستمر</w:t>
      </w:r>
      <w:r w:rsidRPr="00EF5312">
        <w:rPr>
          <w:rFonts w:ascii="Traditional Arabic" w:hAnsi="Traditional Arabic" w:cs="Traditional Arabic"/>
          <w:color w:val="000000" w:themeColor="text1"/>
          <w:sz w:val="32"/>
          <w:szCs w:val="32"/>
        </w:rPr>
        <w:t>.</w:t>
      </w:r>
      <w:r w:rsidRPr="00EF5312">
        <w:rPr>
          <w:rFonts w:ascii="Traditional Arabic" w:hAnsi="Traditional Arabic" w:cs="Traditional Arabic" w:hint="cs"/>
          <w:b/>
          <w:bCs/>
          <w:color w:val="000000" w:themeColor="text1"/>
          <w:sz w:val="32"/>
          <w:szCs w:val="32"/>
          <w:rtl/>
        </w:rPr>
        <w:t xml:space="preserve"> </w:t>
      </w:r>
    </w:p>
    <w:p w14:paraId="09B2B34A" w14:textId="77777777" w:rsidR="00EF5312" w:rsidRPr="00EF5312" w:rsidRDefault="00EF5312" w:rsidP="00EF5312">
      <w:pPr>
        <w:bidi/>
        <w:spacing w:after="200" w:line="276" w:lineRule="auto"/>
        <w:jc w:val="both"/>
        <w:rPr>
          <w:rFonts w:ascii="Traditional Arabic" w:hAnsi="Traditional Arabic" w:cs="Traditional Arabic"/>
          <w:b/>
          <w:bCs/>
          <w:color w:val="000000" w:themeColor="text1"/>
          <w:sz w:val="32"/>
          <w:szCs w:val="32"/>
          <w:rtl/>
        </w:rPr>
      </w:pPr>
      <w:r w:rsidRPr="00EF5312">
        <w:rPr>
          <w:rFonts w:ascii="Traditional Arabic" w:hAnsi="Traditional Arabic" w:cs="Traditional Arabic" w:hint="cs"/>
          <w:b/>
          <w:bCs/>
          <w:color w:val="000000" w:themeColor="text1"/>
          <w:sz w:val="32"/>
          <w:szCs w:val="32"/>
          <w:rtl/>
        </w:rPr>
        <w:t xml:space="preserve">دراسة (النايف،2021) بعنوان: </w:t>
      </w:r>
      <w:r w:rsidRPr="00EF5312">
        <w:rPr>
          <w:rFonts w:ascii="Traditional Arabic" w:hAnsi="Traditional Arabic" w:cs="Traditional Arabic"/>
          <w:b/>
          <w:bCs/>
          <w:color w:val="000000" w:themeColor="text1"/>
          <w:sz w:val="32"/>
          <w:szCs w:val="32"/>
          <w:rtl/>
        </w:rPr>
        <w:t>الذكاء الاستراتيجي وعلاقته باتخاذ القرار الإداري بجامعة حائل بالمملكة العربية السعودية من وجهة نظر أعضاء هيئة التدريس</w:t>
      </w:r>
    </w:p>
    <w:p w14:paraId="2794DB2D"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tl/>
        </w:rPr>
      </w:pPr>
      <w:r w:rsidRPr="00EF5312">
        <w:rPr>
          <w:rFonts w:ascii="Traditional Arabic" w:hAnsi="Traditional Arabic" w:cs="Traditional Arabic"/>
          <w:color w:val="000000" w:themeColor="text1"/>
          <w:sz w:val="32"/>
          <w:szCs w:val="32"/>
          <w:rtl/>
        </w:rPr>
        <w:t>هدفت الدراسة إلى التعرف على العلاقة بين الذكاء الاستراتيجي بأبعاده واتخاذ القرارات الإدارية لدى القيادات في جامعة حائل من وجهة نظر أعضاء هيئة التدريس</w:t>
      </w:r>
      <w:r w:rsidRPr="00EF5312">
        <w:rPr>
          <w:rFonts w:ascii="Traditional Arabic" w:hAnsi="Traditional Arabic" w:cs="Traditional Arabic" w:hint="cs"/>
          <w:color w:val="000000" w:themeColor="text1"/>
          <w:sz w:val="32"/>
          <w:szCs w:val="32"/>
          <w:rtl/>
        </w:rPr>
        <w:t xml:space="preserve">، </w:t>
      </w:r>
      <w:r w:rsidRPr="00EF5312">
        <w:rPr>
          <w:rFonts w:ascii="Traditional Arabic" w:hAnsi="Traditional Arabic" w:cs="Traditional Arabic"/>
          <w:color w:val="000000" w:themeColor="text1"/>
          <w:sz w:val="32"/>
          <w:szCs w:val="32"/>
          <w:rtl/>
        </w:rPr>
        <w:t>واستخدمت الدراسة المنهج الوصفي، وتم تصميم مقياسين: أحدهما لقياس الذكاء الاستراتيجي (28 فقرة)، والآخر لقياس اتخاذ القرار الإداري (19 فقرة)</w:t>
      </w:r>
      <w:r w:rsidRPr="00EF5312">
        <w:rPr>
          <w:rFonts w:ascii="Traditional Arabic" w:hAnsi="Traditional Arabic" w:cs="Traditional Arabic" w:hint="cs"/>
          <w:color w:val="000000" w:themeColor="text1"/>
          <w:sz w:val="32"/>
          <w:szCs w:val="32"/>
          <w:rtl/>
        </w:rPr>
        <w:t>،</w:t>
      </w:r>
      <w:r w:rsidRPr="00EF5312">
        <w:rPr>
          <w:rFonts w:ascii="Traditional Arabic" w:hAnsi="Traditional Arabic" w:cs="Traditional Arabic"/>
          <w:color w:val="000000" w:themeColor="text1"/>
          <w:sz w:val="32"/>
          <w:szCs w:val="32"/>
          <w:rtl/>
        </w:rPr>
        <w:t xml:space="preserve"> وتكوّنت العينة من (219) عضو هيئة تدريس. </w:t>
      </w:r>
    </w:p>
    <w:p w14:paraId="14A91728"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tl/>
        </w:rPr>
      </w:pPr>
      <w:r w:rsidRPr="00EF5312">
        <w:rPr>
          <w:rFonts w:ascii="Traditional Arabic" w:hAnsi="Traditional Arabic" w:cs="Traditional Arabic"/>
          <w:color w:val="000000" w:themeColor="text1"/>
          <w:sz w:val="32"/>
          <w:szCs w:val="32"/>
          <w:rtl/>
        </w:rPr>
        <w:t>وتوصلت نتائج الدراسة إلى وجود علاقة ارتباطية دالة إحصائيًا بين الذكاء الاستراتيجي واتخاذ القرارات الإدارية، كما أظهرت النتائج وجود فروق ذات دلالة إحصائية في متوسط أبعاد مقياس الذكاء الاستراتيجي تعزى لمتغيري الجنس والدرجة العلمية</w:t>
      </w:r>
      <w:r w:rsidRPr="00EF5312">
        <w:rPr>
          <w:rFonts w:ascii="Traditional Arabic" w:hAnsi="Traditional Arabic" w:cs="Traditional Arabic" w:hint="cs"/>
          <w:color w:val="000000" w:themeColor="text1"/>
          <w:sz w:val="32"/>
          <w:szCs w:val="32"/>
          <w:rtl/>
        </w:rPr>
        <w:t>،</w:t>
      </w:r>
      <w:r w:rsidRPr="00EF5312">
        <w:rPr>
          <w:rFonts w:ascii="Traditional Arabic" w:hAnsi="Traditional Arabic" w:cs="Traditional Arabic"/>
          <w:color w:val="000000" w:themeColor="text1"/>
          <w:sz w:val="32"/>
          <w:szCs w:val="32"/>
          <w:rtl/>
        </w:rPr>
        <w:t xml:space="preserve"> وأوصت الدراسة بضرورة تنمية الذكاء الاستراتيجي كمدخل فاعل لتعزيز القدرة على اتخاذ القرارات، وتعزيزه كثقافة تنظيمية في مؤسسات التعليم العالي السعودية</w:t>
      </w:r>
      <w:r w:rsidRPr="00EF5312">
        <w:rPr>
          <w:rFonts w:ascii="Traditional Arabic" w:hAnsi="Traditional Arabic" w:cs="Traditional Arabic"/>
          <w:color w:val="000000" w:themeColor="text1"/>
          <w:sz w:val="32"/>
          <w:szCs w:val="32"/>
        </w:rPr>
        <w:t>.</w:t>
      </w:r>
      <w:r w:rsidRPr="00EF5312">
        <w:rPr>
          <w:rFonts w:ascii="Traditional Arabic" w:hAnsi="Traditional Arabic" w:cs="Traditional Arabic" w:hint="cs"/>
          <w:color w:val="000000" w:themeColor="text1"/>
          <w:sz w:val="32"/>
          <w:szCs w:val="32"/>
          <w:rtl/>
        </w:rPr>
        <w:t>.</w:t>
      </w:r>
    </w:p>
    <w:p w14:paraId="35EA09C9" w14:textId="77777777" w:rsidR="00EF5312" w:rsidRPr="00EF5312" w:rsidRDefault="00EF5312" w:rsidP="00EF5312">
      <w:pPr>
        <w:bidi/>
        <w:spacing w:after="200" w:line="276" w:lineRule="auto"/>
        <w:jc w:val="both"/>
        <w:rPr>
          <w:rFonts w:ascii="Traditional Arabic" w:hAnsi="Traditional Arabic" w:cs="Traditional Arabic"/>
          <w:b/>
          <w:bCs/>
          <w:color w:val="000000" w:themeColor="text1"/>
          <w:sz w:val="32"/>
          <w:szCs w:val="32"/>
          <w:rtl/>
        </w:rPr>
      </w:pPr>
      <w:r w:rsidRPr="00EF5312">
        <w:rPr>
          <w:rFonts w:ascii="Traditional Arabic" w:hAnsi="Traditional Arabic" w:cs="Traditional Arabic" w:hint="cs"/>
          <w:b/>
          <w:bCs/>
          <w:color w:val="000000" w:themeColor="text1"/>
          <w:sz w:val="32"/>
          <w:szCs w:val="32"/>
          <w:rtl/>
          <w:lang w:bidi="ar-EG"/>
        </w:rPr>
        <w:t xml:space="preserve">دراسة (إسماعيل والراشد،2022) بعنوان: </w:t>
      </w:r>
      <w:r w:rsidRPr="00EF5312">
        <w:rPr>
          <w:rFonts w:ascii="Traditional Arabic" w:hAnsi="Traditional Arabic" w:cs="Traditional Arabic"/>
          <w:b/>
          <w:bCs/>
          <w:color w:val="000000" w:themeColor="text1"/>
          <w:sz w:val="32"/>
          <w:szCs w:val="32"/>
          <w:rtl/>
        </w:rPr>
        <w:t>درجة توافر التوجهات الاستراتيجية لدى مديري مدارس التعليم الأساسي وعلاقتها بفاعلية اتخاذ القرار</w:t>
      </w:r>
    </w:p>
    <w:p w14:paraId="6E863CF5"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tl/>
        </w:rPr>
      </w:pPr>
      <w:r w:rsidRPr="00EF5312">
        <w:rPr>
          <w:rFonts w:ascii="Traditional Arabic" w:hAnsi="Traditional Arabic" w:cs="Traditional Arabic"/>
          <w:color w:val="000000" w:themeColor="text1"/>
          <w:sz w:val="32"/>
          <w:szCs w:val="32"/>
          <w:rtl/>
        </w:rPr>
        <w:t xml:space="preserve">هدفت الدراسة إلى التعرف على العلاقة بين درجة توفر التوجهات الاستراتيجية ودرجة تحقق فاعلية اتخاذ القرار لدى مديري مدارس التعليم الأساسي في مدينة حمص، والكشف عن دلالة الفروق في درجات أفراد العينة وفق متغيري (سنوات الخبرة، الدورات المتبعة). واستخدمت الدراسة المنهج الوصفي بأسلوب التحليل، وتم جمع البيانات باستخدام استبانتين: استبانة درجة توفر التوجهات الاستراتيجية، واستبانة درجة تحقق فاعلية اتخاذ القرار. وتكوّنت العينة من جميع مديري مدارس التعليم الأساسي الرسمية بمدينة حمص، والبالغ عددهم (144) مديرًا، وفق إحصائيات مديرية التربية للعام الدراسي 2020/2021. وتوصلت نتائج </w:t>
      </w:r>
      <w:r w:rsidRPr="00EF5312">
        <w:rPr>
          <w:rFonts w:ascii="Traditional Arabic" w:hAnsi="Traditional Arabic" w:cs="Traditional Arabic"/>
          <w:color w:val="000000" w:themeColor="text1"/>
          <w:sz w:val="32"/>
          <w:szCs w:val="32"/>
          <w:rtl/>
        </w:rPr>
        <w:lastRenderedPageBreak/>
        <w:t>الدراسة إلى أن التوجهات الاستراتيجية وفاعلية اتخاذ القرار متوفرة بدرجة متوسطة بوزن نسبي (65%)، كما أظهرت النتائج وجود علاقة ارتباطية إيجابية بين التوجهات الاستراتيجية وفاعلية اتخاذ القرار، بالإضافة إلى وجود فروق ذات دلالة إحصائية في درجات التوجه الاستراتيجي تعزى لمتغير سنوات الخبرة</w:t>
      </w:r>
      <w:r w:rsidRPr="00EF5312">
        <w:rPr>
          <w:rFonts w:ascii="Traditional Arabic" w:hAnsi="Traditional Arabic" w:cs="Traditional Arabic" w:hint="cs"/>
          <w:color w:val="000000" w:themeColor="text1"/>
          <w:sz w:val="32"/>
          <w:szCs w:val="32"/>
          <w:rtl/>
        </w:rPr>
        <w:t>،</w:t>
      </w:r>
      <w:r w:rsidRPr="00EF5312">
        <w:rPr>
          <w:rFonts w:ascii="Traditional Arabic" w:hAnsi="Traditional Arabic" w:cs="Traditional Arabic"/>
          <w:color w:val="000000" w:themeColor="text1"/>
          <w:sz w:val="32"/>
          <w:szCs w:val="32"/>
          <w:rtl/>
        </w:rPr>
        <w:t xml:space="preserve"> وأوصت الدراسة بأهمية التعاون مع مؤسسات المجتمع المحلي لتوفير الدعم المادي والبشري للتوجه الاستراتيجي، وتدريب المديرين على إعداد الخطط الاستراتيجية بناءً على التحليل البيئي</w:t>
      </w:r>
      <w:r w:rsidRPr="00EF5312">
        <w:rPr>
          <w:rFonts w:ascii="Traditional Arabic" w:hAnsi="Traditional Arabic" w:cs="Traditional Arabic"/>
          <w:color w:val="000000" w:themeColor="text1"/>
          <w:sz w:val="32"/>
          <w:szCs w:val="32"/>
        </w:rPr>
        <w:t>.</w:t>
      </w:r>
      <w:r w:rsidRPr="00EF5312">
        <w:rPr>
          <w:rFonts w:ascii="Traditional Arabic" w:hAnsi="Traditional Arabic" w:cs="Traditional Arabic" w:hint="cs"/>
          <w:color w:val="000000" w:themeColor="text1"/>
          <w:sz w:val="32"/>
          <w:szCs w:val="32"/>
          <w:rtl/>
        </w:rPr>
        <w:t>.</w:t>
      </w:r>
    </w:p>
    <w:p w14:paraId="2EDD7426" w14:textId="77777777" w:rsidR="00EF5312" w:rsidRPr="00EF5312" w:rsidRDefault="00EF5312" w:rsidP="00EF5312">
      <w:pPr>
        <w:bidi/>
        <w:spacing w:after="200" w:line="276" w:lineRule="auto"/>
        <w:jc w:val="both"/>
        <w:rPr>
          <w:rFonts w:ascii="Traditional Arabic" w:hAnsi="Traditional Arabic" w:cs="Traditional Arabic"/>
          <w:b/>
          <w:bCs/>
          <w:color w:val="000000" w:themeColor="text1"/>
          <w:sz w:val="32"/>
          <w:szCs w:val="32"/>
        </w:rPr>
      </w:pPr>
      <w:r w:rsidRPr="00EF5312">
        <w:rPr>
          <w:rFonts w:ascii="Traditional Arabic" w:hAnsi="Traditional Arabic" w:cs="Traditional Arabic" w:hint="cs"/>
          <w:b/>
          <w:bCs/>
          <w:color w:val="000000" w:themeColor="text1"/>
          <w:sz w:val="32"/>
          <w:szCs w:val="32"/>
          <w:rtl/>
        </w:rPr>
        <w:t>دراسة (</w:t>
      </w:r>
      <w:proofErr w:type="spellStart"/>
      <w:r w:rsidRPr="00EF5312">
        <w:rPr>
          <w:rFonts w:ascii="Traditional Arabic" w:hAnsi="Traditional Arabic" w:cs="Traditional Arabic" w:hint="cs"/>
          <w:b/>
          <w:bCs/>
          <w:color w:val="000000" w:themeColor="text1"/>
          <w:sz w:val="32"/>
          <w:szCs w:val="32"/>
          <w:rtl/>
        </w:rPr>
        <w:t>العثامنه</w:t>
      </w:r>
      <w:proofErr w:type="spellEnd"/>
      <w:r w:rsidRPr="00EF5312">
        <w:rPr>
          <w:rFonts w:ascii="Traditional Arabic" w:hAnsi="Traditional Arabic" w:cs="Traditional Arabic" w:hint="cs"/>
          <w:b/>
          <w:bCs/>
          <w:color w:val="000000" w:themeColor="text1"/>
          <w:sz w:val="32"/>
          <w:szCs w:val="32"/>
          <w:rtl/>
        </w:rPr>
        <w:t xml:space="preserve"> وبطانية،2022) بعنوان: </w:t>
      </w:r>
      <w:r w:rsidRPr="00EF5312">
        <w:rPr>
          <w:rFonts w:ascii="Traditional Arabic" w:hAnsi="Traditional Arabic" w:cs="Traditional Arabic"/>
          <w:b/>
          <w:bCs/>
          <w:color w:val="000000" w:themeColor="text1"/>
          <w:sz w:val="32"/>
          <w:szCs w:val="32"/>
          <w:rtl/>
        </w:rPr>
        <w:t>أثر الذكاء الاستراتيجي في أساليب اتخاذ القرار: دراسة ميدانية على القيادات الإدارية في القطاع الحكومي الأردن</w:t>
      </w:r>
      <w:r w:rsidRPr="00EF5312">
        <w:rPr>
          <w:rFonts w:ascii="Traditional Arabic" w:hAnsi="Traditional Arabic" w:cs="Traditional Arabic"/>
          <w:b/>
          <w:bCs/>
          <w:color w:val="000000" w:themeColor="text1"/>
          <w:sz w:val="32"/>
          <w:szCs w:val="32"/>
        </w:rPr>
        <w:t>.</w:t>
      </w:r>
    </w:p>
    <w:p w14:paraId="00BD9413"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tl/>
        </w:rPr>
      </w:pPr>
      <w:r w:rsidRPr="00EF5312">
        <w:rPr>
          <w:rFonts w:ascii="Traditional Arabic" w:hAnsi="Traditional Arabic" w:cs="Traditional Arabic"/>
          <w:color w:val="000000" w:themeColor="text1"/>
          <w:sz w:val="32"/>
          <w:szCs w:val="32"/>
          <w:rtl/>
        </w:rPr>
        <w:t>هدفت هذه الدراسة إلى التعرف على أثر الذكاء الاستراتيجي على أساليب اتخاذ القرار في القطاع الحكومي الأردني. ولتحقيق أهداف الدراسة تم اتباع المنهج الوصفي التحليلي. وتكون مجتمع الدراسة من جميع الإداريين الذين يشغلون مناصب إشرافية في عدد من الدوائر والمؤسسات الحكومية الأردنية، وتم اختيارهم بطريقة عينة الملاءمة</w:t>
      </w:r>
      <w:r w:rsidRPr="00EF5312">
        <w:rPr>
          <w:rFonts w:ascii="Traditional Arabic" w:hAnsi="Traditional Arabic" w:cs="Traditional Arabic" w:hint="cs"/>
          <w:color w:val="000000" w:themeColor="text1"/>
          <w:sz w:val="32"/>
          <w:szCs w:val="32"/>
          <w:rtl/>
        </w:rPr>
        <w:t>،</w:t>
      </w:r>
      <w:r w:rsidRPr="00EF5312">
        <w:rPr>
          <w:rFonts w:ascii="Traditional Arabic" w:hAnsi="Traditional Arabic" w:cs="Traditional Arabic"/>
          <w:color w:val="000000" w:themeColor="text1"/>
          <w:sz w:val="32"/>
          <w:szCs w:val="32"/>
          <w:rtl/>
        </w:rPr>
        <w:t xml:space="preserve"> واشتملت عينة الدراسة على كافة أفراد مجتمع الدراسة البالغين (365) موظفًا. تم استرجاع (332) استبانة كانت جميعها صالحة للتحليل. </w:t>
      </w:r>
    </w:p>
    <w:p w14:paraId="03E64E36"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tl/>
        </w:rPr>
      </w:pPr>
      <w:r w:rsidRPr="00EF5312">
        <w:rPr>
          <w:rFonts w:ascii="Traditional Arabic" w:hAnsi="Traditional Arabic" w:cs="Traditional Arabic"/>
          <w:color w:val="000000" w:themeColor="text1"/>
          <w:sz w:val="32"/>
          <w:szCs w:val="32"/>
          <w:rtl/>
        </w:rPr>
        <w:t xml:space="preserve">بينت نتائج الدراسة أن مستوى الذكاء الاستراتيجي لدى القيادات الإدارية في القطاع الحكومي الأردني كان مرتفعًا. وبينت أن أسلوب اتخاذ القرار الأكثر انتشارًا لدى القيادات الإدارية في القطاع الحكومي الأردني هو أسلوب اتخاذ القرار العقلاني. وأشارت النتائج إلى أن متغير الذكاء الاستراتيجي ارتبط إيجابًا بمتغير أسلوب اتخاذ القرار، إلا أن مستوى هذا الارتباط كان منخفضًا جدًا. كما تبين أن تأثير متغير الذكاء الاستراتيجي بكافة أبعاده كان ذا دلالة إحصائية فقط على أسلوب اتخاذ القرار العقلاني وأسلوب اتخاذ القرار </w:t>
      </w:r>
      <w:r w:rsidRPr="00EF5312">
        <w:rPr>
          <w:rFonts w:ascii="Traditional Arabic" w:hAnsi="Traditional Arabic" w:cs="Traditional Arabic" w:hint="cs"/>
          <w:color w:val="000000" w:themeColor="text1"/>
          <w:sz w:val="32"/>
          <w:szCs w:val="32"/>
          <w:rtl/>
        </w:rPr>
        <w:t>الاستراتيجي،</w:t>
      </w:r>
      <w:r w:rsidRPr="00EF5312">
        <w:rPr>
          <w:rFonts w:ascii="Traditional Arabic" w:hAnsi="Traditional Arabic" w:cs="Traditional Arabic"/>
          <w:color w:val="000000" w:themeColor="text1"/>
          <w:sz w:val="32"/>
          <w:szCs w:val="32"/>
          <w:rtl/>
        </w:rPr>
        <w:t xml:space="preserve"> وأوصت الدراسة بعقد برامج تدريبية وندوات تهدف إلى الحفاظ على المستوى المرتفع من الذكاء الاستراتيجي وبتفعيل دور القيادات الإدارية في عملية صنع القرار في الدوائر الإدارية المختلفة في المؤسسات الحكومية الأردنية. </w:t>
      </w:r>
    </w:p>
    <w:p w14:paraId="35530EAA" w14:textId="77777777" w:rsidR="00EF5312" w:rsidRPr="00EF5312" w:rsidRDefault="00EF5312" w:rsidP="00EF5312">
      <w:pPr>
        <w:bidi/>
        <w:spacing w:after="200" w:line="276" w:lineRule="auto"/>
        <w:jc w:val="both"/>
        <w:rPr>
          <w:rFonts w:ascii="Traditional Arabic" w:hAnsi="Traditional Arabic" w:cs="Traditional Arabic"/>
          <w:b/>
          <w:bCs/>
          <w:color w:val="000000" w:themeColor="text1"/>
          <w:sz w:val="32"/>
          <w:szCs w:val="32"/>
          <w:rtl/>
          <w:lang w:bidi="ar-EG"/>
        </w:rPr>
      </w:pPr>
      <w:r w:rsidRPr="00EF5312">
        <w:rPr>
          <w:rFonts w:ascii="Traditional Arabic" w:hAnsi="Traditional Arabic" w:cs="Traditional Arabic" w:hint="cs"/>
          <w:b/>
          <w:bCs/>
          <w:color w:val="000000" w:themeColor="text1"/>
          <w:sz w:val="32"/>
          <w:szCs w:val="32"/>
          <w:rtl/>
          <w:lang w:bidi="ar-EG"/>
        </w:rPr>
        <w:t>المجموعة الثالثة: الدراسات التي تناولت ا</w:t>
      </w:r>
      <w:r w:rsidRPr="00EF5312">
        <w:rPr>
          <w:rFonts w:ascii="Traditional Arabic" w:hAnsi="Traditional Arabic" w:cs="Traditional Arabic"/>
          <w:b/>
          <w:bCs/>
          <w:color w:val="000000" w:themeColor="text1"/>
          <w:sz w:val="32"/>
          <w:szCs w:val="32"/>
          <w:rtl/>
          <w:lang w:bidi="ar-EG"/>
        </w:rPr>
        <w:t>لشفافية المعلوماتية</w:t>
      </w:r>
      <w:r w:rsidRPr="00EF5312">
        <w:rPr>
          <w:rFonts w:ascii="Traditional Arabic" w:hAnsi="Traditional Arabic" w:cs="Traditional Arabic" w:hint="cs"/>
          <w:b/>
          <w:bCs/>
          <w:color w:val="000000" w:themeColor="text1"/>
          <w:sz w:val="32"/>
          <w:szCs w:val="32"/>
          <w:rtl/>
          <w:lang w:bidi="ar-EG"/>
        </w:rPr>
        <w:t xml:space="preserve"> وعلاقته بالمتغيرات الأخرى</w:t>
      </w:r>
    </w:p>
    <w:p w14:paraId="4E6652B3" w14:textId="77777777" w:rsidR="00EF5312" w:rsidRPr="00EF5312" w:rsidRDefault="00EF5312" w:rsidP="00EF5312">
      <w:pPr>
        <w:bidi/>
        <w:spacing w:after="200" w:line="276" w:lineRule="auto"/>
        <w:jc w:val="both"/>
        <w:rPr>
          <w:rFonts w:ascii="Traditional Arabic" w:hAnsi="Traditional Arabic" w:cs="Traditional Arabic"/>
          <w:b/>
          <w:bCs/>
          <w:color w:val="000000" w:themeColor="text1"/>
          <w:sz w:val="32"/>
          <w:szCs w:val="32"/>
          <w:rtl/>
        </w:rPr>
      </w:pPr>
      <w:r w:rsidRPr="00EF5312">
        <w:rPr>
          <w:rFonts w:ascii="Traditional Arabic" w:hAnsi="Traditional Arabic" w:cs="Traditional Arabic" w:hint="cs"/>
          <w:b/>
          <w:bCs/>
          <w:color w:val="000000" w:themeColor="text1"/>
          <w:sz w:val="32"/>
          <w:szCs w:val="32"/>
          <w:rtl/>
        </w:rPr>
        <w:lastRenderedPageBreak/>
        <w:t xml:space="preserve">دراسة </w:t>
      </w:r>
      <w:r w:rsidRPr="00EF5312">
        <w:rPr>
          <w:rFonts w:ascii="Traditional Arabic" w:hAnsi="Traditional Arabic" w:cs="Traditional Arabic"/>
          <w:b/>
          <w:bCs/>
          <w:color w:val="000000" w:themeColor="text1"/>
          <w:sz w:val="32"/>
          <w:szCs w:val="32"/>
        </w:rPr>
        <w:t>(Xu &amp; Mustafaraj, 2024)</w:t>
      </w:r>
      <w:r w:rsidRPr="00EF5312">
        <w:rPr>
          <w:rFonts w:ascii="Traditional Arabic" w:hAnsi="Traditional Arabic" w:cs="Traditional Arabic" w:hint="cs"/>
          <w:b/>
          <w:bCs/>
          <w:color w:val="000000" w:themeColor="text1"/>
          <w:sz w:val="32"/>
          <w:szCs w:val="32"/>
          <w:rtl/>
        </w:rPr>
        <w:t xml:space="preserve"> بعنوان:</w:t>
      </w:r>
      <w:r w:rsidRPr="00EF5312">
        <w:rPr>
          <w:rFonts w:ascii="Traditional Arabic" w:hAnsi="Traditional Arabic" w:cs="Traditional Arabic"/>
          <w:i/>
          <w:iCs/>
          <w:color w:val="000000" w:themeColor="text1"/>
          <w:sz w:val="32"/>
          <w:szCs w:val="32"/>
        </w:rPr>
        <w:t xml:space="preserve"> </w:t>
      </w:r>
      <w:r w:rsidRPr="00EF5312">
        <w:rPr>
          <w:rFonts w:ascii="Traditional Arabic" w:hAnsi="Traditional Arabic" w:cs="Traditional Arabic"/>
          <w:b/>
          <w:bCs/>
          <w:i/>
          <w:iCs/>
          <w:color w:val="000000" w:themeColor="text1"/>
          <w:sz w:val="32"/>
          <w:szCs w:val="32"/>
        </w:rPr>
        <w:t>Tracing the Evolution of Information Transparency for OpenAI’s GPT Models through a Biographical Approach</w:t>
      </w:r>
    </w:p>
    <w:p w14:paraId="467F8DC2"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tl/>
        </w:rPr>
      </w:pPr>
      <w:r w:rsidRPr="00EF5312">
        <w:rPr>
          <w:rFonts w:ascii="Traditional Arabic" w:hAnsi="Traditional Arabic" w:cs="Traditional Arabic"/>
          <w:color w:val="000000" w:themeColor="text1"/>
          <w:sz w:val="32"/>
          <w:szCs w:val="32"/>
          <w:rtl/>
        </w:rPr>
        <w:t>هدفت الدراسة إلى التعرف على تطور الشفافية المعلوماتية بأبعادها (توضيح حدود النماذج، استخداماتها، قابلية الشرح، الأدلة الواقعية، إجراءات الأمان، وغيرها ضمن إطار تحليلي من 9 أبعاد و3 مستويات) في نماذج</w:t>
      </w:r>
      <w:r w:rsidRPr="00EF5312">
        <w:rPr>
          <w:rFonts w:ascii="Traditional Arabic" w:hAnsi="Traditional Arabic" w:cs="Traditional Arabic"/>
          <w:color w:val="000000" w:themeColor="text1"/>
          <w:sz w:val="32"/>
          <w:szCs w:val="32"/>
        </w:rPr>
        <w:t xml:space="preserve"> GPT </w:t>
      </w:r>
      <w:r w:rsidRPr="00EF5312">
        <w:rPr>
          <w:rFonts w:ascii="Traditional Arabic" w:hAnsi="Traditional Arabic" w:cs="Traditional Arabic"/>
          <w:color w:val="000000" w:themeColor="text1"/>
          <w:sz w:val="32"/>
          <w:szCs w:val="32"/>
          <w:rtl/>
        </w:rPr>
        <w:t>التي طورتها شركة</w:t>
      </w:r>
      <w:r w:rsidRPr="00EF5312">
        <w:rPr>
          <w:rFonts w:ascii="Traditional Arabic" w:hAnsi="Traditional Arabic" w:cs="Traditional Arabic"/>
          <w:color w:val="000000" w:themeColor="text1"/>
          <w:sz w:val="32"/>
          <w:szCs w:val="32"/>
        </w:rPr>
        <w:t xml:space="preserve"> OpenAI </w:t>
      </w:r>
      <w:r w:rsidRPr="00EF5312">
        <w:rPr>
          <w:rFonts w:ascii="Traditional Arabic" w:hAnsi="Traditional Arabic" w:cs="Traditional Arabic"/>
          <w:color w:val="000000" w:themeColor="text1"/>
          <w:sz w:val="32"/>
          <w:szCs w:val="32"/>
          <w:rtl/>
        </w:rPr>
        <w:t>منذ عام 2018 وحتى إصدار</w:t>
      </w:r>
      <w:r w:rsidRPr="00EF5312">
        <w:rPr>
          <w:rFonts w:ascii="Traditional Arabic" w:hAnsi="Traditional Arabic" w:cs="Traditional Arabic"/>
          <w:color w:val="000000" w:themeColor="text1"/>
          <w:sz w:val="32"/>
          <w:szCs w:val="32"/>
        </w:rPr>
        <w:t xml:space="preserve"> GPT-4</w:t>
      </w:r>
      <w:r w:rsidRPr="00EF5312">
        <w:rPr>
          <w:rFonts w:ascii="Traditional Arabic" w:hAnsi="Traditional Arabic" w:cs="Traditional Arabic"/>
          <w:color w:val="000000" w:themeColor="text1"/>
          <w:sz w:val="32"/>
          <w:szCs w:val="32"/>
          <w:rtl/>
        </w:rPr>
        <w:t>، وذلك بهدف تقييم مدى مسؤولية الابتكار في الذكاء الاصطناعي. واستخدمت الدراسة منهج تحليل الوثائق، مستندة إلى أسلوب "سير ذاتية الممارسات والأدوات</w:t>
      </w:r>
      <w:r w:rsidRPr="00EF5312">
        <w:rPr>
          <w:rFonts w:ascii="Traditional Arabic" w:hAnsi="Traditional Arabic" w:cs="Traditional Arabic"/>
          <w:color w:val="000000" w:themeColor="text1"/>
          <w:sz w:val="32"/>
          <w:szCs w:val="32"/>
        </w:rPr>
        <w:t xml:space="preserve">" (BOAP) </w:t>
      </w:r>
      <w:r w:rsidRPr="00EF5312">
        <w:rPr>
          <w:rFonts w:ascii="Traditional Arabic" w:hAnsi="Traditional Arabic" w:cs="Traditional Arabic"/>
          <w:color w:val="000000" w:themeColor="text1"/>
          <w:sz w:val="32"/>
          <w:szCs w:val="32"/>
          <w:rtl/>
        </w:rPr>
        <w:t>من دراسات العلم والتكنولوجيا</w:t>
      </w:r>
      <w:r w:rsidRPr="00EF5312">
        <w:rPr>
          <w:rFonts w:ascii="Traditional Arabic" w:hAnsi="Traditional Arabic" w:cs="Traditional Arabic" w:hint="cs"/>
          <w:color w:val="000000" w:themeColor="text1"/>
          <w:sz w:val="32"/>
          <w:szCs w:val="32"/>
          <w:rtl/>
        </w:rPr>
        <w:t>،</w:t>
      </w:r>
      <w:r w:rsidRPr="00EF5312">
        <w:rPr>
          <w:rFonts w:ascii="Traditional Arabic" w:hAnsi="Traditional Arabic" w:cs="Traditional Arabic"/>
          <w:color w:val="000000" w:themeColor="text1"/>
          <w:sz w:val="32"/>
          <w:szCs w:val="32"/>
          <w:rtl/>
        </w:rPr>
        <w:t xml:space="preserve"> وتكوّنت العينة من تقارير</w:t>
      </w:r>
      <w:r w:rsidRPr="00EF5312">
        <w:rPr>
          <w:rFonts w:ascii="Traditional Arabic" w:hAnsi="Traditional Arabic" w:cs="Traditional Arabic"/>
          <w:color w:val="000000" w:themeColor="text1"/>
          <w:sz w:val="32"/>
          <w:szCs w:val="32"/>
        </w:rPr>
        <w:t xml:space="preserve"> OpenAI </w:t>
      </w:r>
      <w:r w:rsidRPr="00EF5312">
        <w:rPr>
          <w:rFonts w:ascii="Traditional Arabic" w:hAnsi="Traditional Arabic" w:cs="Traditional Arabic"/>
          <w:color w:val="000000" w:themeColor="text1"/>
          <w:sz w:val="32"/>
          <w:szCs w:val="32"/>
          <w:rtl/>
        </w:rPr>
        <w:t>وسياساتها المتعلقة باستخدام وتطوير نماذج</w:t>
      </w:r>
      <w:r w:rsidRPr="00EF5312">
        <w:rPr>
          <w:rFonts w:ascii="Traditional Arabic" w:hAnsi="Traditional Arabic" w:cs="Traditional Arabic"/>
          <w:color w:val="000000" w:themeColor="text1"/>
          <w:sz w:val="32"/>
          <w:szCs w:val="32"/>
        </w:rPr>
        <w:t xml:space="preserve"> GPT. </w:t>
      </w:r>
    </w:p>
    <w:p w14:paraId="266E1CDA"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Pr>
      </w:pPr>
      <w:r w:rsidRPr="00EF5312">
        <w:rPr>
          <w:rFonts w:ascii="Traditional Arabic" w:hAnsi="Traditional Arabic" w:cs="Traditional Arabic"/>
          <w:color w:val="000000" w:themeColor="text1"/>
          <w:sz w:val="32"/>
          <w:szCs w:val="32"/>
          <w:rtl/>
        </w:rPr>
        <w:t>وتوصلت نتائج الدراسة إلى وجود تزايد في الوضوح بشأن حدود النماذج واستخداماتها، في حين أصبحت عمليات تطوير النماذج أكثر غموضًا، مع استمرار وجود فجوات في الشفافية في مجالات مثل قابلية تفسير النماذج والأدلة الواقعية لتأثيراتها</w:t>
      </w:r>
      <w:r w:rsidRPr="00EF5312">
        <w:rPr>
          <w:rFonts w:ascii="Traditional Arabic" w:hAnsi="Traditional Arabic" w:cs="Traditional Arabic" w:hint="cs"/>
          <w:color w:val="000000" w:themeColor="text1"/>
          <w:sz w:val="32"/>
          <w:szCs w:val="32"/>
          <w:rtl/>
        </w:rPr>
        <w:t>،</w:t>
      </w:r>
      <w:r w:rsidRPr="00EF5312">
        <w:rPr>
          <w:rFonts w:ascii="Traditional Arabic" w:hAnsi="Traditional Arabic" w:cs="Traditional Arabic"/>
          <w:color w:val="000000" w:themeColor="text1"/>
          <w:sz w:val="32"/>
          <w:szCs w:val="32"/>
          <w:rtl/>
        </w:rPr>
        <w:t xml:space="preserve"> وأوصت الدراسة بضرورة تعزيز ممارسات الشفافية في تقارير نماذج الذكاء الاصطناعي لضمان المساءلة وتحقيق الابتكار المسؤول</w:t>
      </w:r>
      <w:r w:rsidRPr="00EF5312">
        <w:rPr>
          <w:rFonts w:ascii="Traditional Arabic" w:hAnsi="Traditional Arabic" w:cs="Traditional Arabic"/>
          <w:color w:val="000000" w:themeColor="text1"/>
          <w:sz w:val="32"/>
          <w:szCs w:val="32"/>
        </w:rPr>
        <w:t>.</w:t>
      </w:r>
    </w:p>
    <w:p w14:paraId="695594B6" w14:textId="77777777" w:rsidR="00EF5312" w:rsidRPr="00EF5312" w:rsidRDefault="00EF5312" w:rsidP="00EF5312">
      <w:pPr>
        <w:bidi/>
        <w:spacing w:after="200" w:line="276" w:lineRule="auto"/>
        <w:jc w:val="both"/>
        <w:rPr>
          <w:rFonts w:ascii="Traditional Arabic" w:hAnsi="Traditional Arabic" w:cs="Traditional Arabic"/>
          <w:b/>
          <w:bCs/>
          <w:color w:val="000000" w:themeColor="text1"/>
          <w:sz w:val="32"/>
          <w:szCs w:val="32"/>
          <w:rtl/>
        </w:rPr>
      </w:pPr>
      <w:r w:rsidRPr="00EF5312">
        <w:rPr>
          <w:rFonts w:ascii="Traditional Arabic" w:hAnsi="Traditional Arabic" w:cs="Traditional Arabic" w:hint="cs"/>
          <w:b/>
          <w:bCs/>
          <w:color w:val="000000" w:themeColor="text1"/>
          <w:sz w:val="32"/>
          <w:szCs w:val="32"/>
          <w:rtl/>
        </w:rPr>
        <w:t xml:space="preserve">دراسة </w:t>
      </w:r>
      <w:r w:rsidRPr="00EF5312">
        <w:rPr>
          <w:rFonts w:ascii="Traditional Arabic" w:hAnsi="Traditional Arabic" w:cs="Traditional Arabic"/>
          <w:b/>
          <w:bCs/>
          <w:color w:val="000000" w:themeColor="text1"/>
          <w:sz w:val="32"/>
          <w:szCs w:val="32"/>
        </w:rPr>
        <w:t>(</w:t>
      </w:r>
      <w:proofErr w:type="spellStart"/>
      <w:r w:rsidRPr="00EF5312">
        <w:rPr>
          <w:rFonts w:ascii="Traditional Arabic" w:hAnsi="Traditional Arabic" w:cs="Traditional Arabic"/>
          <w:b/>
          <w:bCs/>
          <w:color w:val="000000" w:themeColor="text1"/>
          <w:sz w:val="32"/>
          <w:szCs w:val="32"/>
        </w:rPr>
        <w:t>Tondolo</w:t>
      </w:r>
      <w:proofErr w:type="spellEnd"/>
      <w:r w:rsidRPr="00EF5312">
        <w:rPr>
          <w:rFonts w:ascii="Traditional Arabic" w:hAnsi="Traditional Arabic" w:cs="Traditional Arabic"/>
          <w:b/>
          <w:bCs/>
          <w:color w:val="000000" w:themeColor="text1"/>
          <w:sz w:val="32"/>
          <w:szCs w:val="32"/>
        </w:rPr>
        <w:t xml:space="preserve"> et al., 2023)</w:t>
      </w:r>
      <w:r w:rsidRPr="00EF5312">
        <w:rPr>
          <w:rFonts w:ascii="Traditional Arabic" w:hAnsi="Traditional Arabic" w:cs="Traditional Arabic" w:hint="cs"/>
          <w:b/>
          <w:bCs/>
          <w:color w:val="000000" w:themeColor="text1"/>
          <w:sz w:val="32"/>
          <w:szCs w:val="32"/>
          <w:rtl/>
        </w:rPr>
        <w:t xml:space="preserve"> بعنوان:</w:t>
      </w:r>
      <w:r w:rsidRPr="00EF5312">
        <w:rPr>
          <w:rFonts w:ascii="Traditional Arabic" w:hAnsi="Traditional Arabic" w:cs="Traditional Arabic"/>
          <w:color w:val="000000" w:themeColor="text1"/>
          <w:sz w:val="32"/>
          <w:szCs w:val="32"/>
        </w:rPr>
        <w:t xml:space="preserve"> </w:t>
      </w:r>
      <w:r w:rsidRPr="00EF5312">
        <w:rPr>
          <w:rFonts w:ascii="Traditional Arabic" w:hAnsi="Traditional Arabic" w:cs="Traditional Arabic"/>
          <w:b/>
          <w:bCs/>
          <w:color w:val="000000" w:themeColor="text1"/>
          <w:sz w:val="32"/>
          <w:szCs w:val="32"/>
        </w:rPr>
        <w:t xml:space="preserve">Information Transparency, Location, and Stakeholder Pressure on the Socially Responsible Partner Selection. </w:t>
      </w:r>
      <w:r w:rsidRPr="00EF5312">
        <w:rPr>
          <w:rFonts w:ascii="Traditional Arabic" w:hAnsi="Traditional Arabic" w:cs="Traditional Arabic"/>
          <w:b/>
          <w:bCs/>
          <w:i/>
          <w:iCs/>
          <w:color w:val="000000" w:themeColor="text1"/>
          <w:sz w:val="32"/>
          <w:szCs w:val="32"/>
        </w:rPr>
        <w:t>RAC</w:t>
      </w:r>
    </w:p>
    <w:p w14:paraId="1336E8D4"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tl/>
        </w:rPr>
      </w:pPr>
      <w:r w:rsidRPr="00EF5312">
        <w:rPr>
          <w:rFonts w:ascii="Traditional Arabic" w:hAnsi="Traditional Arabic" w:cs="Traditional Arabic"/>
          <w:color w:val="000000" w:themeColor="text1"/>
          <w:sz w:val="32"/>
          <w:szCs w:val="32"/>
          <w:rtl/>
        </w:rPr>
        <w:t>هدفت الدراسة إلى التعرف على أثر الشفافية المعلوماتية بأبعادها (إتاحة المعلومات، موثوقية المصدر، وتوقيت الإفصاح) على اختيار الشريك المسؤول اجتماعيًا في سلاسل التوريد، مع أخذ دور إشارات الموقع الجغرافي للشريك وضغوط أصحاب المصلحة في الاعتبار</w:t>
      </w:r>
      <w:r w:rsidRPr="00EF5312">
        <w:rPr>
          <w:rFonts w:ascii="Traditional Arabic" w:hAnsi="Traditional Arabic" w:cs="Traditional Arabic" w:hint="cs"/>
          <w:color w:val="000000" w:themeColor="text1"/>
          <w:sz w:val="32"/>
          <w:szCs w:val="32"/>
          <w:rtl/>
        </w:rPr>
        <w:t>،</w:t>
      </w:r>
      <w:r w:rsidRPr="00EF5312">
        <w:rPr>
          <w:rFonts w:ascii="Traditional Arabic" w:hAnsi="Traditional Arabic" w:cs="Traditional Arabic"/>
          <w:color w:val="000000" w:themeColor="text1"/>
          <w:sz w:val="32"/>
          <w:szCs w:val="32"/>
          <w:rtl/>
        </w:rPr>
        <w:t xml:space="preserve"> واستخدمت الدراسة المنهج التجريبي من خلال تصميم تمثيلي (2×2) قائم على لعب الأدوار في </w:t>
      </w:r>
      <w:proofErr w:type="spellStart"/>
      <w:r w:rsidRPr="00EF5312">
        <w:rPr>
          <w:rFonts w:ascii="Traditional Arabic" w:hAnsi="Traditional Arabic" w:cs="Traditional Arabic"/>
          <w:color w:val="000000" w:themeColor="text1"/>
          <w:sz w:val="32"/>
          <w:szCs w:val="32"/>
          <w:rtl/>
        </w:rPr>
        <w:t>سيناريوهين</w:t>
      </w:r>
      <w:proofErr w:type="spellEnd"/>
      <w:r w:rsidRPr="00EF5312">
        <w:rPr>
          <w:rFonts w:ascii="Traditional Arabic" w:hAnsi="Traditional Arabic" w:cs="Traditional Arabic"/>
          <w:color w:val="000000" w:themeColor="text1"/>
          <w:sz w:val="32"/>
          <w:szCs w:val="32"/>
          <w:rtl/>
        </w:rPr>
        <w:t xml:space="preserve">. وتكوّنت العينة من مشاركين في تجربتين: الأولى تحاكي قرار المشتري في اختيار المورد، والثانية تحاكي قرار المورد في بيع منتجاته للمشتري. </w:t>
      </w:r>
    </w:p>
    <w:p w14:paraId="3C8ED745"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Pr>
      </w:pPr>
      <w:r w:rsidRPr="00EF5312">
        <w:rPr>
          <w:rFonts w:ascii="Traditional Arabic" w:hAnsi="Traditional Arabic" w:cs="Traditional Arabic"/>
          <w:color w:val="000000" w:themeColor="text1"/>
          <w:sz w:val="32"/>
          <w:szCs w:val="32"/>
          <w:rtl/>
        </w:rPr>
        <w:t xml:space="preserve">وتوصلت نتائج الدراسة إلى أن الشفافية المعلوماتية تؤثر بشكل مباشر في قرار اختيار الشريك المسؤول اجتماعيًا، وأن ضغوط أصحاب المصلحة تلعب دورًا تعديليًا جزئيًا في هذه العلاقة، بينما لم يكن للموقع </w:t>
      </w:r>
      <w:r w:rsidRPr="00EF5312">
        <w:rPr>
          <w:rFonts w:ascii="Traditional Arabic" w:hAnsi="Traditional Arabic" w:cs="Traditional Arabic"/>
          <w:color w:val="000000" w:themeColor="text1"/>
          <w:sz w:val="32"/>
          <w:szCs w:val="32"/>
          <w:rtl/>
        </w:rPr>
        <w:lastRenderedPageBreak/>
        <w:t>الجغرافي للشريك أثر تعديلي في أي من الدراستين</w:t>
      </w:r>
      <w:r w:rsidRPr="00EF5312">
        <w:rPr>
          <w:rFonts w:ascii="Traditional Arabic" w:hAnsi="Traditional Arabic" w:cs="Traditional Arabic" w:hint="cs"/>
          <w:color w:val="000000" w:themeColor="text1"/>
          <w:sz w:val="32"/>
          <w:szCs w:val="32"/>
          <w:rtl/>
        </w:rPr>
        <w:t>،</w:t>
      </w:r>
      <w:r w:rsidRPr="00EF5312">
        <w:rPr>
          <w:rFonts w:ascii="Traditional Arabic" w:hAnsi="Traditional Arabic" w:cs="Traditional Arabic"/>
          <w:color w:val="000000" w:themeColor="text1"/>
          <w:sz w:val="32"/>
          <w:szCs w:val="32"/>
          <w:rtl/>
        </w:rPr>
        <w:t xml:space="preserve"> وأوصت الدراسة بضرورة تعزيز الشفافية المعلوماتية على امتداد سلسلة التوريد لضمان تحقيق ممارسات مسؤولة اجتماعيًا، واعتبار الشفافية عنصرًا أساسيًا للطرفين (المشتري والمورد) عند تقييم الشراكات التجارية</w:t>
      </w:r>
      <w:r w:rsidRPr="00EF5312">
        <w:rPr>
          <w:rFonts w:ascii="Traditional Arabic" w:hAnsi="Traditional Arabic" w:cs="Traditional Arabic"/>
          <w:color w:val="000000" w:themeColor="text1"/>
          <w:sz w:val="32"/>
          <w:szCs w:val="32"/>
        </w:rPr>
        <w:t>.</w:t>
      </w:r>
    </w:p>
    <w:p w14:paraId="4EE54C21" w14:textId="77777777" w:rsidR="00EF5312" w:rsidRPr="00EF5312" w:rsidRDefault="00EF5312" w:rsidP="00EF5312">
      <w:pPr>
        <w:bidi/>
        <w:spacing w:after="200" w:line="276" w:lineRule="auto"/>
        <w:jc w:val="both"/>
        <w:rPr>
          <w:rFonts w:ascii="Traditional Arabic" w:hAnsi="Traditional Arabic" w:cs="Traditional Arabic"/>
          <w:b/>
          <w:bCs/>
          <w:color w:val="000000" w:themeColor="text1"/>
          <w:sz w:val="32"/>
          <w:szCs w:val="32"/>
          <w:rtl/>
        </w:rPr>
      </w:pPr>
      <w:r w:rsidRPr="00EF5312">
        <w:rPr>
          <w:rFonts w:ascii="Traditional Arabic" w:hAnsi="Traditional Arabic" w:cs="Traditional Arabic" w:hint="cs"/>
          <w:b/>
          <w:bCs/>
          <w:color w:val="000000" w:themeColor="text1"/>
          <w:sz w:val="32"/>
          <w:szCs w:val="32"/>
          <w:rtl/>
        </w:rPr>
        <w:t xml:space="preserve">دراسة </w:t>
      </w:r>
      <w:r w:rsidRPr="00EF5312">
        <w:rPr>
          <w:rFonts w:ascii="Traditional Arabic" w:hAnsi="Traditional Arabic" w:cs="Traditional Arabic"/>
          <w:b/>
          <w:bCs/>
          <w:color w:val="000000" w:themeColor="text1"/>
          <w:sz w:val="32"/>
          <w:szCs w:val="32"/>
        </w:rPr>
        <w:t>(Ye &amp; Wu, 2023)</w:t>
      </w:r>
      <w:r w:rsidRPr="00EF5312">
        <w:rPr>
          <w:rFonts w:ascii="Traditional Arabic" w:hAnsi="Traditional Arabic" w:cs="Traditional Arabic" w:hint="cs"/>
          <w:b/>
          <w:bCs/>
          <w:color w:val="000000" w:themeColor="text1"/>
          <w:sz w:val="32"/>
          <w:szCs w:val="32"/>
          <w:rtl/>
        </w:rPr>
        <w:t xml:space="preserve"> بعنوان: </w:t>
      </w:r>
      <w:r w:rsidRPr="00EF5312">
        <w:rPr>
          <w:rFonts w:ascii="Traditional Arabic" w:hAnsi="Traditional Arabic" w:cs="Traditional Arabic"/>
          <w:b/>
          <w:bCs/>
          <w:color w:val="000000" w:themeColor="text1"/>
          <w:sz w:val="32"/>
          <w:szCs w:val="32"/>
        </w:rPr>
        <w:t>Understanding the role of information transparency in improving patient experience under different uncertainties: a quasi-natural experiment</w:t>
      </w:r>
    </w:p>
    <w:p w14:paraId="4DA67491"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tl/>
        </w:rPr>
      </w:pPr>
      <w:r w:rsidRPr="00EF5312">
        <w:rPr>
          <w:rFonts w:ascii="Traditional Arabic" w:hAnsi="Traditional Arabic" w:cs="Traditional Arabic"/>
          <w:color w:val="000000" w:themeColor="text1"/>
          <w:sz w:val="32"/>
          <w:szCs w:val="32"/>
          <w:rtl/>
        </w:rPr>
        <w:t>هدفت الدراسة إلى التعرف على أثر الشفافية المعلوماتية بأبعادها (شفافية الموارد، شفافية العمليات، شفافية النتائج) على تقليل وقت انتظار المرضى في المستشفيات، وذلك من منظور تقليل عدم اليقين</w:t>
      </w:r>
      <w:r w:rsidRPr="00EF5312">
        <w:rPr>
          <w:rFonts w:ascii="Traditional Arabic" w:hAnsi="Traditional Arabic" w:cs="Traditional Arabic" w:hint="cs"/>
          <w:color w:val="000000" w:themeColor="text1"/>
          <w:sz w:val="32"/>
          <w:szCs w:val="32"/>
          <w:rtl/>
        </w:rPr>
        <w:t>،</w:t>
      </w:r>
      <w:r w:rsidRPr="00EF5312">
        <w:rPr>
          <w:rFonts w:ascii="Traditional Arabic" w:hAnsi="Traditional Arabic" w:cs="Traditional Arabic"/>
          <w:color w:val="000000" w:themeColor="text1"/>
          <w:sz w:val="32"/>
          <w:szCs w:val="32"/>
          <w:rtl/>
        </w:rPr>
        <w:t xml:space="preserve"> واستخدمت الدراسة المنهج الكمي التحليلي، من خلال تجربة شبه طبيعية في مستشفى أكاديمي من الدرجة الثالثة، وتم تحليل أكثر من مليون سجل زيارات مرضى باستخدام نماذج المطابقة على أساس الدرجات</w:t>
      </w:r>
      <w:r w:rsidRPr="00EF5312">
        <w:rPr>
          <w:rFonts w:ascii="Traditional Arabic" w:hAnsi="Traditional Arabic" w:cs="Traditional Arabic"/>
          <w:color w:val="000000" w:themeColor="text1"/>
          <w:sz w:val="32"/>
          <w:szCs w:val="32"/>
        </w:rPr>
        <w:t xml:space="preserve"> Propensity Score Matching (PSM) </w:t>
      </w:r>
      <w:r w:rsidRPr="00EF5312">
        <w:rPr>
          <w:rFonts w:ascii="Traditional Arabic" w:hAnsi="Traditional Arabic" w:cs="Traditional Arabic"/>
          <w:color w:val="000000" w:themeColor="text1"/>
          <w:sz w:val="32"/>
          <w:szCs w:val="32"/>
          <w:rtl/>
        </w:rPr>
        <w:t>ونموذج الفروق في الفروق</w:t>
      </w:r>
      <w:r w:rsidRPr="00EF5312">
        <w:rPr>
          <w:rFonts w:ascii="Traditional Arabic" w:hAnsi="Traditional Arabic" w:cs="Traditional Arabic"/>
          <w:color w:val="000000" w:themeColor="text1"/>
          <w:sz w:val="32"/>
          <w:szCs w:val="32"/>
        </w:rPr>
        <w:t xml:space="preserve"> (DID)</w:t>
      </w:r>
      <w:r w:rsidRPr="00EF5312">
        <w:rPr>
          <w:rFonts w:ascii="Traditional Arabic" w:hAnsi="Traditional Arabic" w:cs="Traditional Arabic"/>
          <w:color w:val="000000" w:themeColor="text1"/>
          <w:sz w:val="32"/>
          <w:szCs w:val="32"/>
          <w:rtl/>
        </w:rPr>
        <w:t>، بالإضافة إلى نمذجة الانحدار الخطي الهرمي</w:t>
      </w:r>
      <w:r w:rsidRPr="00EF5312">
        <w:rPr>
          <w:rFonts w:ascii="Traditional Arabic" w:hAnsi="Traditional Arabic" w:cs="Traditional Arabic"/>
          <w:color w:val="000000" w:themeColor="text1"/>
          <w:sz w:val="32"/>
          <w:szCs w:val="32"/>
        </w:rPr>
        <w:t xml:space="preserve"> (HLM). </w:t>
      </w:r>
      <w:r w:rsidRPr="00EF5312">
        <w:rPr>
          <w:rFonts w:ascii="Traditional Arabic" w:hAnsi="Traditional Arabic" w:cs="Traditional Arabic"/>
          <w:color w:val="000000" w:themeColor="text1"/>
          <w:sz w:val="32"/>
          <w:szCs w:val="32"/>
          <w:rtl/>
        </w:rPr>
        <w:t xml:space="preserve">وتكوّنت العينة من سجلات فعلية لزيارات مرضى تمت دراستها بأثر رجعي. </w:t>
      </w:r>
    </w:p>
    <w:p w14:paraId="05D2ABB5"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Pr>
      </w:pPr>
      <w:r w:rsidRPr="00EF5312">
        <w:rPr>
          <w:rFonts w:ascii="Traditional Arabic" w:hAnsi="Traditional Arabic" w:cs="Traditional Arabic"/>
          <w:color w:val="000000" w:themeColor="text1"/>
          <w:sz w:val="32"/>
          <w:szCs w:val="32"/>
          <w:rtl/>
        </w:rPr>
        <w:t>وتوصلت نتائج الدراسة إلى أن تحسين الشفافية المعلوماتية ساهم في تقليص متوسط وقت انتظار المرضى بمقدار 6.43 دقيقة، أي بنسبة انخفاض قدرها 4.90%. كما أثبتت النتائج أن الشفافية المعلوماتية تعدل العلاقة بين مصادر عدم اليقين (الموارد، العمليات، النتائج) ومدة الانتظار</w:t>
      </w:r>
      <w:r w:rsidRPr="00EF5312">
        <w:rPr>
          <w:rFonts w:ascii="Traditional Arabic" w:hAnsi="Traditional Arabic" w:cs="Traditional Arabic" w:hint="cs"/>
          <w:color w:val="000000" w:themeColor="text1"/>
          <w:sz w:val="32"/>
          <w:szCs w:val="32"/>
          <w:rtl/>
        </w:rPr>
        <w:t>،</w:t>
      </w:r>
      <w:r w:rsidRPr="00EF5312">
        <w:rPr>
          <w:rFonts w:ascii="Traditional Arabic" w:hAnsi="Traditional Arabic" w:cs="Traditional Arabic"/>
          <w:color w:val="000000" w:themeColor="text1"/>
          <w:sz w:val="32"/>
          <w:szCs w:val="32"/>
          <w:rtl/>
        </w:rPr>
        <w:t xml:space="preserve"> وأوصت الدراسة باعتماد تقنيات جدولة المواعيد المعتمدة على تكنولوجيا المعلومات</w:t>
      </w:r>
      <w:r w:rsidRPr="00EF5312">
        <w:rPr>
          <w:rFonts w:ascii="Traditional Arabic" w:hAnsi="Traditional Arabic" w:cs="Traditional Arabic"/>
          <w:color w:val="000000" w:themeColor="text1"/>
          <w:sz w:val="32"/>
          <w:szCs w:val="32"/>
        </w:rPr>
        <w:t xml:space="preserve"> (ITASS) </w:t>
      </w:r>
      <w:r w:rsidRPr="00EF5312">
        <w:rPr>
          <w:rFonts w:ascii="Traditional Arabic" w:hAnsi="Traditional Arabic" w:cs="Traditional Arabic"/>
          <w:color w:val="000000" w:themeColor="text1"/>
          <w:sz w:val="32"/>
          <w:szCs w:val="32"/>
          <w:rtl/>
        </w:rPr>
        <w:t>وتحسين الشفافية المعلوماتية كوسيلة لتعزيز تجربة المرضى وتقليل أوقات الانتظار</w:t>
      </w:r>
      <w:r w:rsidRPr="00EF5312">
        <w:rPr>
          <w:rFonts w:ascii="Traditional Arabic" w:hAnsi="Traditional Arabic" w:cs="Traditional Arabic"/>
          <w:color w:val="000000" w:themeColor="text1"/>
          <w:sz w:val="32"/>
          <w:szCs w:val="32"/>
        </w:rPr>
        <w:t>.</w:t>
      </w:r>
    </w:p>
    <w:p w14:paraId="7E11E7BC" w14:textId="77777777" w:rsidR="00EF5312" w:rsidRPr="00EF5312" w:rsidRDefault="00EF5312" w:rsidP="00EF5312">
      <w:pPr>
        <w:bidi/>
        <w:spacing w:after="200" w:line="276" w:lineRule="auto"/>
        <w:jc w:val="both"/>
        <w:rPr>
          <w:rFonts w:ascii="Traditional Arabic" w:hAnsi="Traditional Arabic" w:cs="Traditional Arabic"/>
          <w:b/>
          <w:bCs/>
          <w:color w:val="000000" w:themeColor="text1"/>
          <w:sz w:val="32"/>
          <w:szCs w:val="32"/>
          <w:rtl/>
        </w:rPr>
      </w:pPr>
      <w:r w:rsidRPr="00EF5312">
        <w:rPr>
          <w:rFonts w:ascii="Traditional Arabic" w:hAnsi="Traditional Arabic" w:cs="Traditional Arabic" w:hint="cs"/>
          <w:b/>
          <w:bCs/>
          <w:color w:val="000000" w:themeColor="text1"/>
          <w:sz w:val="32"/>
          <w:szCs w:val="32"/>
          <w:rtl/>
        </w:rPr>
        <w:t xml:space="preserve">دراسة (التركي واخرون ،2021) بعنوان: </w:t>
      </w:r>
      <w:r w:rsidRPr="00EF5312">
        <w:rPr>
          <w:rFonts w:ascii="Traditional Arabic" w:hAnsi="Traditional Arabic" w:cs="Traditional Arabic"/>
          <w:b/>
          <w:bCs/>
          <w:color w:val="000000" w:themeColor="text1"/>
          <w:sz w:val="32"/>
          <w:szCs w:val="32"/>
          <w:rtl/>
        </w:rPr>
        <w:t>دور الحوكمة الإلكترونية في تعزيز الشفافية للقطاع الخاص بدولة قطر</w:t>
      </w:r>
      <w:r w:rsidRPr="00EF5312">
        <w:rPr>
          <w:rFonts w:ascii="Traditional Arabic" w:hAnsi="Traditional Arabic" w:cs="Traditional Arabic"/>
          <w:b/>
          <w:bCs/>
          <w:color w:val="000000" w:themeColor="text1"/>
          <w:sz w:val="32"/>
          <w:szCs w:val="32"/>
        </w:rPr>
        <w:t>.</w:t>
      </w:r>
    </w:p>
    <w:p w14:paraId="0FF42537"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tl/>
        </w:rPr>
      </w:pPr>
      <w:r w:rsidRPr="00EF5312">
        <w:rPr>
          <w:rFonts w:ascii="Traditional Arabic" w:hAnsi="Traditional Arabic" w:cs="Traditional Arabic"/>
          <w:color w:val="000000" w:themeColor="text1"/>
          <w:sz w:val="32"/>
          <w:szCs w:val="32"/>
          <w:rtl/>
        </w:rPr>
        <w:t>هدفت الدراسة إلى التعرف على دور الحوكمة الإلكترونية في تعزيز الشفافية في القطاع الخاص بدولة قطر. واستخدمت الدراسة المنهج النوعي، مع الاعتماد على البيانات الأولية والثانوية، حيث تم تحليل الوثائق والأدبيات السابقة، بالإضافة إلى إجراء مقابلات مع عينة مكونة من (46) مفردة من أصحاب المصلحة في القطاعين العام والخاص والمنظمات غير الحكومية والمجتمع المدني.</w:t>
      </w:r>
    </w:p>
    <w:p w14:paraId="244463A8"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tl/>
        </w:rPr>
      </w:pPr>
      <w:r w:rsidRPr="00EF5312">
        <w:rPr>
          <w:rFonts w:ascii="Traditional Arabic" w:hAnsi="Traditional Arabic" w:cs="Traditional Arabic"/>
          <w:color w:val="000000" w:themeColor="text1"/>
          <w:sz w:val="32"/>
          <w:szCs w:val="32"/>
          <w:rtl/>
        </w:rPr>
        <w:lastRenderedPageBreak/>
        <w:t xml:space="preserve"> وتوصلت نتائج الدراسة إلى أن الحوكمة الإلكترونية أسهمت في تعزيز الشفافية في القطاع الخاص القطري، وأن هناك أطرًا تشريعية وقانونية فاعلة تدعم الشفافية ومكافحة الفساد، وذلك في إطار جهود الدولة لتحقيق رؤيتها الوطنية 2030</w:t>
      </w:r>
      <w:r w:rsidRPr="00EF5312">
        <w:rPr>
          <w:rFonts w:ascii="Traditional Arabic" w:hAnsi="Traditional Arabic" w:cs="Traditional Arabic" w:hint="cs"/>
          <w:color w:val="000000" w:themeColor="text1"/>
          <w:sz w:val="32"/>
          <w:szCs w:val="32"/>
          <w:rtl/>
        </w:rPr>
        <w:t xml:space="preserve">، </w:t>
      </w:r>
      <w:r w:rsidRPr="00EF5312">
        <w:rPr>
          <w:rFonts w:ascii="Traditional Arabic" w:hAnsi="Traditional Arabic" w:cs="Traditional Arabic"/>
          <w:color w:val="000000" w:themeColor="text1"/>
          <w:sz w:val="32"/>
          <w:szCs w:val="32"/>
          <w:rtl/>
        </w:rPr>
        <w:t>كما بينت الدراسة الحاجة إلى تطوير قنوات الحوكمة الإلكترونية بشكل مستمر لتعزيز الشفافية، وأوصت بإمكانية الاستفادة من التجربة البريطانية في هذا المجال مع تكييفها لتتناسب مع السياق المحلي في قطر</w:t>
      </w:r>
      <w:r w:rsidRPr="00EF5312">
        <w:rPr>
          <w:rFonts w:ascii="Traditional Arabic" w:hAnsi="Traditional Arabic" w:cs="Traditional Arabic"/>
          <w:color w:val="000000" w:themeColor="text1"/>
          <w:sz w:val="32"/>
          <w:szCs w:val="32"/>
        </w:rPr>
        <w:t>.</w:t>
      </w:r>
      <w:r w:rsidRPr="00EF5312">
        <w:rPr>
          <w:rFonts w:ascii="Traditional Arabic" w:hAnsi="Traditional Arabic" w:cs="Traditional Arabic" w:hint="cs"/>
          <w:color w:val="000000" w:themeColor="text1"/>
          <w:sz w:val="32"/>
          <w:szCs w:val="32"/>
          <w:rtl/>
        </w:rPr>
        <w:t>.</w:t>
      </w:r>
    </w:p>
    <w:p w14:paraId="6EAFF21B" w14:textId="77777777" w:rsidR="00EF5312" w:rsidRPr="00EF5312" w:rsidRDefault="00EF5312" w:rsidP="00EF5312">
      <w:pPr>
        <w:bidi/>
        <w:spacing w:after="200" w:line="276" w:lineRule="auto"/>
        <w:jc w:val="both"/>
        <w:rPr>
          <w:rFonts w:ascii="Traditional Arabic" w:hAnsi="Traditional Arabic" w:cs="Traditional Arabic"/>
          <w:b/>
          <w:bCs/>
          <w:color w:val="000000" w:themeColor="text1"/>
          <w:sz w:val="32"/>
          <w:szCs w:val="32"/>
          <w:rtl/>
        </w:rPr>
      </w:pPr>
      <w:r w:rsidRPr="00EF5312">
        <w:rPr>
          <w:rFonts w:ascii="Traditional Arabic" w:hAnsi="Traditional Arabic" w:cs="Traditional Arabic" w:hint="cs"/>
          <w:b/>
          <w:bCs/>
          <w:color w:val="000000" w:themeColor="text1"/>
          <w:sz w:val="32"/>
          <w:szCs w:val="32"/>
          <w:rtl/>
        </w:rPr>
        <w:t xml:space="preserve">دراسة </w:t>
      </w:r>
      <w:r w:rsidRPr="00EF5312">
        <w:rPr>
          <w:rFonts w:ascii="Traditional Arabic" w:hAnsi="Traditional Arabic" w:cs="Traditional Arabic"/>
          <w:b/>
          <w:bCs/>
          <w:color w:val="000000" w:themeColor="text1"/>
          <w:sz w:val="32"/>
          <w:szCs w:val="32"/>
        </w:rPr>
        <w:t>(Chen et al., 2022)</w:t>
      </w:r>
      <w:r w:rsidRPr="00EF5312">
        <w:rPr>
          <w:rFonts w:ascii="Traditional Arabic" w:hAnsi="Traditional Arabic" w:cs="Traditional Arabic" w:hint="cs"/>
          <w:b/>
          <w:bCs/>
          <w:color w:val="000000" w:themeColor="text1"/>
          <w:sz w:val="32"/>
          <w:szCs w:val="32"/>
          <w:rtl/>
        </w:rPr>
        <w:t xml:space="preserve"> بعنوان: </w:t>
      </w:r>
      <w:r w:rsidRPr="00EF5312">
        <w:rPr>
          <w:rFonts w:ascii="Traditional Arabic" w:hAnsi="Traditional Arabic" w:cs="Traditional Arabic"/>
          <w:b/>
          <w:bCs/>
          <w:color w:val="000000" w:themeColor="text1"/>
          <w:sz w:val="32"/>
          <w:szCs w:val="32"/>
        </w:rPr>
        <w:t>Information Transparency and Investment in Follow</w:t>
      </w:r>
      <w:r w:rsidRPr="00EF5312">
        <w:rPr>
          <w:rFonts w:ascii="Cambria Math" w:hAnsi="Cambria Math" w:cs="Cambria Math"/>
          <w:b/>
          <w:bCs/>
          <w:color w:val="000000" w:themeColor="text1"/>
          <w:sz w:val="32"/>
          <w:szCs w:val="32"/>
        </w:rPr>
        <w:t>‐</w:t>
      </w:r>
      <w:r w:rsidRPr="00EF5312">
        <w:rPr>
          <w:rFonts w:ascii="Traditional Arabic" w:hAnsi="Traditional Arabic" w:cs="Traditional Arabic"/>
          <w:b/>
          <w:bCs/>
          <w:color w:val="000000" w:themeColor="text1"/>
          <w:sz w:val="32"/>
          <w:szCs w:val="32"/>
        </w:rPr>
        <w:t>on Innovation.</w:t>
      </w:r>
    </w:p>
    <w:p w14:paraId="6EE7D9FC"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tl/>
        </w:rPr>
      </w:pPr>
      <w:r w:rsidRPr="00EF5312">
        <w:rPr>
          <w:rFonts w:ascii="Traditional Arabic" w:hAnsi="Traditional Arabic" w:cs="Traditional Arabic"/>
          <w:color w:val="000000" w:themeColor="text1"/>
          <w:sz w:val="32"/>
          <w:szCs w:val="32"/>
          <w:rtl/>
        </w:rPr>
        <w:t>هدفت الدراسة إلى التعرف على دور الشفافية المعلوماتية بأبعادها (النصية والعددية) على الاستثمار في الابتكار المتتابع في الشركات المماثلة في القطاع. واستخدمت الدراسة المنهج الكمي التحليلي، وتم جمع البيانات باستخدام المعلومات المصرح بها في التقارير السنوية 10</w:t>
      </w:r>
      <w:r w:rsidRPr="00EF5312">
        <w:rPr>
          <w:rFonts w:ascii="Traditional Arabic" w:hAnsi="Traditional Arabic" w:cs="Traditional Arabic"/>
          <w:color w:val="000000" w:themeColor="text1"/>
          <w:sz w:val="32"/>
          <w:szCs w:val="32"/>
        </w:rPr>
        <w:t xml:space="preserve">-K. </w:t>
      </w:r>
      <w:r w:rsidRPr="00EF5312">
        <w:rPr>
          <w:rFonts w:ascii="Traditional Arabic" w:hAnsi="Traditional Arabic" w:cs="Traditional Arabic"/>
          <w:color w:val="000000" w:themeColor="text1"/>
          <w:sz w:val="32"/>
          <w:szCs w:val="32"/>
          <w:rtl/>
        </w:rPr>
        <w:t xml:space="preserve">وتكوّنت العينة من الشركات التي تم استخدام الاستشهادات من براءات اختراعها كمؤشر للاستثمار في الابتكار المتتابع. </w:t>
      </w:r>
    </w:p>
    <w:p w14:paraId="4FA29334"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Pr>
      </w:pPr>
      <w:r w:rsidRPr="00EF5312">
        <w:rPr>
          <w:rFonts w:ascii="Traditional Arabic" w:hAnsi="Traditional Arabic" w:cs="Traditional Arabic"/>
          <w:color w:val="000000" w:themeColor="text1"/>
          <w:sz w:val="32"/>
          <w:szCs w:val="32"/>
          <w:rtl/>
        </w:rPr>
        <w:t>وتوصلت نتائج الدراسة إلى وجود علاقة إيجابية بين الشفافية في مصدر المعرفة والاستثمار في الابتكار المتتابع</w:t>
      </w:r>
      <w:r w:rsidRPr="00EF5312">
        <w:rPr>
          <w:rFonts w:ascii="Traditional Arabic" w:hAnsi="Traditional Arabic" w:cs="Traditional Arabic" w:hint="cs"/>
          <w:color w:val="000000" w:themeColor="text1"/>
          <w:sz w:val="32"/>
          <w:szCs w:val="32"/>
          <w:rtl/>
        </w:rPr>
        <w:t>،</w:t>
      </w:r>
      <w:r w:rsidRPr="00EF5312">
        <w:rPr>
          <w:rFonts w:ascii="Traditional Arabic" w:hAnsi="Traditional Arabic" w:cs="Traditional Arabic"/>
          <w:color w:val="000000" w:themeColor="text1"/>
          <w:sz w:val="32"/>
          <w:szCs w:val="32"/>
          <w:rtl/>
        </w:rPr>
        <w:t xml:space="preserve"> وأوصت الدراسة بضرورة تعزيز الشفافية المعلوماتية لتقليل حالة عدم اليقين المرتبطة بالاستثمار في الابتكار التكنولوجي، كما أكدت على أهمية الشفافية في تشكيل قرارات الاستثمار في الابتكار داخل الشركات</w:t>
      </w:r>
      <w:r w:rsidRPr="00EF5312">
        <w:rPr>
          <w:rFonts w:ascii="Traditional Arabic" w:hAnsi="Traditional Arabic" w:cs="Traditional Arabic"/>
          <w:color w:val="000000" w:themeColor="text1"/>
          <w:sz w:val="32"/>
          <w:szCs w:val="32"/>
        </w:rPr>
        <w:t>.</w:t>
      </w:r>
    </w:p>
    <w:p w14:paraId="2AF61912"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tl/>
        </w:rPr>
      </w:pPr>
      <w:r w:rsidRPr="00EF5312">
        <w:rPr>
          <w:rFonts w:ascii="Traditional Arabic" w:hAnsi="Traditional Arabic" w:cs="Traditional Arabic" w:hint="cs"/>
          <w:b/>
          <w:bCs/>
          <w:color w:val="000000" w:themeColor="text1"/>
          <w:sz w:val="32"/>
          <w:szCs w:val="32"/>
          <w:rtl/>
        </w:rPr>
        <w:t>دراسة (</w:t>
      </w:r>
      <w:proofErr w:type="spellStart"/>
      <w:r w:rsidRPr="00EF5312">
        <w:rPr>
          <w:rFonts w:ascii="Traditional Arabic" w:hAnsi="Traditional Arabic" w:cs="Traditional Arabic" w:hint="cs"/>
          <w:b/>
          <w:bCs/>
          <w:color w:val="000000" w:themeColor="text1"/>
          <w:sz w:val="32"/>
          <w:szCs w:val="32"/>
          <w:rtl/>
        </w:rPr>
        <w:t>الغرابلى</w:t>
      </w:r>
      <w:proofErr w:type="spellEnd"/>
      <w:r w:rsidRPr="00EF5312">
        <w:rPr>
          <w:rFonts w:ascii="Traditional Arabic" w:hAnsi="Traditional Arabic" w:cs="Traditional Arabic" w:hint="cs"/>
          <w:b/>
          <w:bCs/>
          <w:color w:val="000000" w:themeColor="text1"/>
          <w:sz w:val="32"/>
          <w:szCs w:val="32"/>
          <w:rtl/>
        </w:rPr>
        <w:t xml:space="preserve"> والبنا،2022) بعنوان: </w:t>
      </w:r>
      <w:r w:rsidRPr="00EF5312">
        <w:rPr>
          <w:rFonts w:ascii="Traditional Arabic" w:hAnsi="Traditional Arabic" w:cs="Traditional Arabic"/>
          <w:b/>
          <w:bCs/>
          <w:color w:val="000000" w:themeColor="text1"/>
          <w:sz w:val="32"/>
          <w:szCs w:val="32"/>
          <w:rtl/>
        </w:rPr>
        <w:t>دور الشفافية الإدارية في تدعيم الالتزام بالعقد النفسي: دراسة تطبيقية</w:t>
      </w:r>
      <w:r w:rsidRPr="00EF5312">
        <w:rPr>
          <w:rFonts w:ascii="Traditional Arabic" w:hAnsi="Traditional Arabic" w:cs="Traditional Arabic"/>
          <w:color w:val="000000" w:themeColor="text1"/>
          <w:sz w:val="32"/>
          <w:szCs w:val="32"/>
        </w:rPr>
        <w:t>.</w:t>
      </w:r>
    </w:p>
    <w:p w14:paraId="3E2C7F96"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tl/>
        </w:rPr>
      </w:pPr>
      <w:r w:rsidRPr="00EF5312">
        <w:rPr>
          <w:rFonts w:ascii="Traditional Arabic" w:hAnsi="Traditional Arabic" w:cs="Traditional Arabic"/>
          <w:color w:val="000000" w:themeColor="text1"/>
          <w:sz w:val="32"/>
          <w:szCs w:val="32"/>
          <w:rtl/>
        </w:rPr>
        <w:t>هدفت الدراسة إلى التعرف على أثر الشفافية الإدارية بأبعادها (شفافية الأنظمة واللوائح، شفافية الإجراءات، شفافية الاتصال والمعلومات، شفافية تقييم الأداء، شفافية المساءلة) على الالتزام بالعقد النفسي بأبعاده (التزامات المنظمة تجاه العاملين، التزامات العاملين تجاه المنظمة) في الوحدات المحلية بمحافظة كفر الشيخ</w:t>
      </w:r>
      <w:r w:rsidRPr="00EF5312">
        <w:rPr>
          <w:rFonts w:ascii="Traditional Arabic" w:hAnsi="Traditional Arabic" w:cs="Traditional Arabic" w:hint="cs"/>
          <w:color w:val="000000" w:themeColor="text1"/>
          <w:sz w:val="32"/>
          <w:szCs w:val="32"/>
          <w:rtl/>
        </w:rPr>
        <w:t xml:space="preserve">، </w:t>
      </w:r>
      <w:r w:rsidRPr="00EF5312">
        <w:rPr>
          <w:rFonts w:ascii="Traditional Arabic" w:hAnsi="Traditional Arabic" w:cs="Traditional Arabic"/>
          <w:color w:val="000000" w:themeColor="text1"/>
          <w:sz w:val="32"/>
          <w:szCs w:val="32"/>
          <w:rtl/>
        </w:rPr>
        <w:t>واستخدمت الدراسة المنهج الوصفي، وتم جمع البيانات من خلال قائمة استقصاء وُزعت على عينة مكونة من (318) مفردة من العاملين في الوحدات المحلية. وتوصلت نتائج الدراسة إلى أن مستوى الشفافية الإدارية والإدراك بها كان متوسطًا إلى مرتفع، مع وجود اختلافات ذات دلالة إحصائية في إدراكات العاملين باختلاف النوع والسن والمؤهل العلمي</w:t>
      </w:r>
      <w:r w:rsidRPr="00EF5312">
        <w:rPr>
          <w:rFonts w:ascii="Traditional Arabic" w:hAnsi="Traditional Arabic" w:cs="Traditional Arabic" w:hint="cs"/>
          <w:color w:val="000000" w:themeColor="text1"/>
          <w:sz w:val="32"/>
          <w:szCs w:val="32"/>
          <w:rtl/>
        </w:rPr>
        <w:t>،</w:t>
      </w:r>
      <w:r w:rsidRPr="00EF5312">
        <w:rPr>
          <w:rFonts w:ascii="Traditional Arabic" w:hAnsi="Traditional Arabic" w:cs="Traditional Arabic"/>
          <w:color w:val="000000" w:themeColor="text1"/>
          <w:sz w:val="32"/>
          <w:szCs w:val="32"/>
          <w:rtl/>
        </w:rPr>
        <w:t xml:space="preserve"> كما أظهرت النتائج أن الالتزام بالعقد النفسي كان أيضًا متوسطًا إلى مرتفع، </w:t>
      </w:r>
      <w:r w:rsidRPr="00EF5312">
        <w:rPr>
          <w:rFonts w:ascii="Traditional Arabic" w:hAnsi="Traditional Arabic" w:cs="Traditional Arabic"/>
          <w:color w:val="000000" w:themeColor="text1"/>
          <w:sz w:val="32"/>
          <w:szCs w:val="32"/>
          <w:rtl/>
        </w:rPr>
        <w:lastRenderedPageBreak/>
        <w:t>مع وجود ارتباط إيجابي قوي وذو دلالة إحصائية بين الشفافية الإدارية والالتزام بالعقد النفسي. وأوصت الدراسة بضرورة تعزيز الشفافية الإدارية كمدخل لتحسين مستوى الالتزام بالعقد النفسي لدى العاملين في الوحدات المحلية بمحافظة كفر الشيخ</w:t>
      </w:r>
      <w:r w:rsidRPr="00EF5312">
        <w:rPr>
          <w:rFonts w:ascii="Traditional Arabic" w:hAnsi="Traditional Arabic" w:cs="Traditional Arabic"/>
          <w:color w:val="000000" w:themeColor="text1"/>
          <w:sz w:val="32"/>
          <w:szCs w:val="32"/>
        </w:rPr>
        <w:t>.</w:t>
      </w:r>
      <w:r w:rsidRPr="00EF5312">
        <w:rPr>
          <w:rFonts w:ascii="Traditional Arabic" w:hAnsi="Traditional Arabic" w:cs="Traditional Arabic" w:hint="cs"/>
          <w:color w:val="000000" w:themeColor="text1"/>
          <w:sz w:val="32"/>
          <w:szCs w:val="32"/>
          <w:rtl/>
        </w:rPr>
        <w:t>.</w:t>
      </w:r>
    </w:p>
    <w:p w14:paraId="4C27723C" w14:textId="77777777" w:rsidR="00EF5312" w:rsidRPr="00EF5312" w:rsidRDefault="00EF5312" w:rsidP="00EF5312">
      <w:pPr>
        <w:bidi/>
        <w:spacing w:after="200" w:line="276" w:lineRule="auto"/>
        <w:jc w:val="both"/>
        <w:rPr>
          <w:rFonts w:ascii="Traditional Arabic" w:hAnsi="Traditional Arabic" w:cs="Traditional Arabic"/>
          <w:b/>
          <w:bCs/>
          <w:color w:val="000000" w:themeColor="text1"/>
          <w:sz w:val="32"/>
          <w:szCs w:val="32"/>
        </w:rPr>
      </w:pPr>
      <w:r w:rsidRPr="00EF5312">
        <w:rPr>
          <w:rFonts w:ascii="Traditional Arabic" w:hAnsi="Traditional Arabic" w:cs="Traditional Arabic" w:hint="cs"/>
          <w:b/>
          <w:bCs/>
          <w:color w:val="000000" w:themeColor="text1"/>
          <w:sz w:val="32"/>
          <w:szCs w:val="32"/>
          <w:rtl/>
        </w:rPr>
        <w:t>دراسة (المعايطة ،2021) بعنوان: أثر</w:t>
      </w:r>
      <w:r w:rsidRPr="00EF5312">
        <w:rPr>
          <w:rFonts w:ascii="Traditional Arabic" w:hAnsi="Traditional Arabic" w:cs="Traditional Arabic"/>
          <w:b/>
          <w:bCs/>
          <w:color w:val="000000" w:themeColor="text1"/>
          <w:sz w:val="32"/>
          <w:szCs w:val="32"/>
          <w:rtl/>
        </w:rPr>
        <w:t xml:space="preserve"> الشفافية الإدارية على القطاعات الحكومية</w:t>
      </w:r>
      <w:r w:rsidRPr="00EF5312">
        <w:rPr>
          <w:rFonts w:ascii="Traditional Arabic" w:hAnsi="Traditional Arabic" w:cs="Traditional Arabic"/>
          <w:b/>
          <w:bCs/>
          <w:color w:val="000000" w:themeColor="text1"/>
          <w:sz w:val="32"/>
          <w:szCs w:val="32"/>
        </w:rPr>
        <w:t>.</w:t>
      </w:r>
    </w:p>
    <w:p w14:paraId="20565259"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tl/>
        </w:rPr>
      </w:pPr>
      <w:r w:rsidRPr="00EF5312">
        <w:rPr>
          <w:rFonts w:ascii="Traditional Arabic" w:hAnsi="Traditional Arabic" w:cs="Traditional Arabic"/>
          <w:color w:val="000000" w:themeColor="text1"/>
          <w:sz w:val="32"/>
          <w:szCs w:val="32"/>
          <w:rtl/>
        </w:rPr>
        <w:t xml:space="preserve">هدفت الدراسة إلى التعرف على واقع الشفافية الإدارية بأبعادها (تعزيز النزاهة، المساءلة، تبسيط الإجراءات، وضوح اللوائح، بناء الثقة) على بناء منظومة القيم في منظمات المجتمع المدني (العامة والخاصة) في القطاعات الحكومية. واستخدمت الدراسة المنهج الوصفي التحليلي، بالاعتماد على تحليل الأدبيات والمفاهيم المرتبطة بموضوع الشفافية. ولم تُذكر عينة محددة للدراسة، حيث اعتمدت على تحليل نظري ومفاهيمي. </w:t>
      </w:r>
    </w:p>
    <w:p w14:paraId="2AA1DF0C"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Pr>
      </w:pPr>
      <w:r w:rsidRPr="00EF5312">
        <w:rPr>
          <w:rFonts w:ascii="Traditional Arabic" w:hAnsi="Traditional Arabic" w:cs="Traditional Arabic"/>
          <w:color w:val="000000" w:themeColor="text1"/>
          <w:sz w:val="32"/>
          <w:szCs w:val="32"/>
          <w:rtl/>
        </w:rPr>
        <w:t>وتوصلت نتائج الدراسة إلى أن تطبيق الشفافية الإدارية في القطاعات الحكومية يسهم في تعزيز الولاء الوظيفي، وزيادة الإنتاجية، وترسيخ قيم التعاون، ومعالجة المشكلات الإدارية المرتبطة بالغموض وتعقيد الإجراءات</w:t>
      </w:r>
      <w:r w:rsidRPr="00EF5312">
        <w:rPr>
          <w:rFonts w:ascii="Traditional Arabic" w:hAnsi="Traditional Arabic" w:cs="Traditional Arabic" w:hint="cs"/>
          <w:color w:val="000000" w:themeColor="text1"/>
          <w:sz w:val="32"/>
          <w:szCs w:val="32"/>
          <w:rtl/>
        </w:rPr>
        <w:t>،</w:t>
      </w:r>
      <w:r w:rsidRPr="00EF5312">
        <w:rPr>
          <w:rFonts w:ascii="Traditional Arabic" w:hAnsi="Traditional Arabic" w:cs="Traditional Arabic"/>
          <w:color w:val="000000" w:themeColor="text1"/>
          <w:sz w:val="32"/>
          <w:szCs w:val="32"/>
          <w:rtl/>
        </w:rPr>
        <w:t xml:space="preserve"> وأوصت الدراسة بضرورة تبني ممارسات الشفافية الإدارية في المنظمات العامة والخاصة، والعمل على ترسيخها كثقافة تنظيمية تدعم النزاهة والمساءلة وتُعزز الثقة بين المنظمات والعاملين والمواطنين</w:t>
      </w:r>
      <w:r w:rsidRPr="00EF5312">
        <w:rPr>
          <w:rFonts w:ascii="Traditional Arabic" w:hAnsi="Traditional Arabic" w:cs="Traditional Arabic"/>
          <w:color w:val="000000" w:themeColor="text1"/>
          <w:sz w:val="32"/>
          <w:szCs w:val="32"/>
        </w:rPr>
        <w:t>.</w:t>
      </w:r>
    </w:p>
    <w:p w14:paraId="1EF6AA79" w14:textId="77777777" w:rsidR="00EF5312" w:rsidRPr="00EF5312" w:rsidRDefault="00EF5312" w:rsidP="00EF5312">
      <w:pPr>
        <w:bidi/>
        <w:spacing w:after="200" w:line="276" w:lineRule="auto"/>
        <w:jc w:val="both"/>
        <w:rPr>
          <w:rFonts w:ascii="Traditional Arabic" w:hAnsi="Traditional Arabic" w:cs="Traditional Arabic"/>
          <w:b/>
          <w:bCs/>
          <w:color w:val="000000" w:themeColor="text1"/>
          <w:sz w:val="32"/>
          <w:szCs w:val="32"/>
        </w:rPr>
      </w:pPr>
      <w:r w:rsidRPr="00EF5312">
        <w:rPr>
          <w:rFonts w:ascii="Traditional Arabic" w:hAnsi="Traditional Arabic" w:cs="Traditional Arabic" w:hint="cs"/>
          <w:b/>
          <w:bCs/>
          <w:color w:val="000000" w:themeColor="text1"/>
          <w:sz w:val="32"/>
          <w:szCs w:val="32"/>
          <w:rtl/>
        </w:rPr>
        <w:t xml:space="preserve">دراسة (عمر،2024) بعنوان: </w:t>
      </w:r>
      <w:r w:rsidRPr="00EF5312">
        <w:rPr>
          <w:rFonts w:ascii="Traditional Arabic" w:hAnsi="Traditional Arabic" w:cs="Traditional Arabic"/>
          <w:b/>
          <w:bCs/>
          <w:color w:val="000000" w:themeColor="text1"/>
          <w:sz w:val="32"/>
          <w:szCs w:val="32"/>
          <w:rtl/>
        </w:rPr>
        <w:t>دور تكنولوجيا المعلومات في تعزيز الشفافية الإدارية بالمؤسسات الرياضية اليمنية</w:t>
      </w:r>
    </w:p>
    <w:p w14:paraId="77F6B8FF"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tl/>
        </w:rPr>
      </w:pPr>
      <w:r w:rsidRPr="00EF5312">
        <w:rPr>
          <w:rFonts w:ascii="Traditional Arabic" w:hAnsi="Traditional Arabic" w:cs="Traditional Arabic"/>
          <w:color w:val="000000" w:themeColor="text1"/>
          <w:sz w:val="32"/>
          <w:szCs w:val="32"/>
          <w:rtl/>
        </w:rPr>
        <w:t xml:space="preserve">هدفت الدراسة إلى التعرف على واقع الإدارة في المؤسسات الرياضية، وواقع تكنولوجيا المعلومات، ومدى مساهمة تكنولوجيا المعلومات بأبعادها في تعزيز الشفافية الإدارية في المؤسسات الرياضية. واستخدمت الدراسة المنهج الوصفي بصورته المسحية، وتم جمع البيانات باستخدام الاستبيان كأداة رئيسية، على عينة عشوائية مكونة من (130) موظفًا في المؤسسات الرياضية. وتوصلت نتائج الدراسة إلى أن واقع الإدارة في المؤسسات الرياضية جاء بدرجة متوسطة بنسبة (62.65%)، وواقع تكنولوجيا المعلومات بدرجة </w:t>
      </w:r>
      <w:r w:rsidRPr="00EF5312">
        <w:rPr>
          <w:rFonts w:ascii="Traditional Arabic" w:hAnsi="Traditional Arabic" w:cs="Traditional Arabic" w:hint="cs"/>
          <w:color w:val="000000" w:themeColor="text1"/>
          <w:sz w:val="32"/>
          <w:szCs w:val="32"/>
          <w:rtl/>
        </w:rPr>
        <w:t>متوسطة،</w:t>
      </w:r>
      <w:r w:rsidRPr="00EF5312">
        <w:rPr>
          <w:rFonts w:ascii="Traditional Arabic" w:hAnsi="Traditional Arabic" w:cs="Traditional Arabic"/>
          <w:color w:val="000000" w:themeColor="text1"/>
          <w:sz w:val="32"/>
          <w:szCs w:val="32"/>
          <w:rtl/>
        </w:rPr>
        <w:t xml:space="preserve"> كما أن مساهمة تكنولوجيا المعلومات في تعزيز الشفافية </w:t>
      </w:r>
      <w:r w:rsidRPr="00EF5312">
        <w:rPr>
          <w:rFonts w:ascii="Traditional Arabic" w:hAnsi="Traditional Arabic" w:cs="Traditional Arabic" w:hint="cs"/>
          <w:color w:val="000000" w:themeColor="text1"/>
          <w:sz w:val="32"/>
          <w:szCs w:val="32"/>
          <w:rtl/>
        </w:rPr>
        <w:t>الإدارية،</w:t>
      </w:r>
      <w:r w:rsidRPr="00EF5312">
        <w:rPr>
          <w:rFonts w:ascii="Traditional Arabic" w:hAnsi="Traditional Arabic" w:cs="Traditional Arabic"/>
          <w:color w:val="000000" w:themeColor="text1"/>
          <w:sz w:val="32"/>
          <w:szCs w:val="32"/>
          <w:rtl/>
        </w:rPr>
        <w:t xml:space="preserve"> وأوصت الدراسة بضرورة الاستعانة بالكوادر الأكاديمية المؤهلة والمتخصصة في إدارة الموارد البشرية والرياضية، وتوفير الأدوات والوسائل التكنولوجية الحديثة لتحسين الأداء والارتقاء بمستوى العمل الإداري داخل المؤسسات الرياضية</w:t>
      </w:r>
      <w:r w:rsidRPr="00EF5312">
        <w:rPr>
          <w:rFonts w:ascii="Traditional Arabic" w:hAnsi="Traditional Arabic" w:cs="Traditional Arabic"/>
          <w:color w:val="000000" w:themeColor="text1"/>
          <w:sz w:val="32"/>
          <w:szCs w:val="32"/>
        </w:rPr>
        <w:t>.</w:t>
      </w:r>
      <w:r w:rsidRPr="00EF5312">
        <w:rPr>
          <w:rFonts w:ascii="Traditional Arabic" w:hAnsi="Traditional Arabic" w:cs="Traditional Arabic" w:hint="cs"/>
          <w:color w:val="000000" w:themeColor="text1"/>
          <w:sz w:val="32"/>
          <w:szCs w:val="32"/>
          <w:rtl/>
        </w:rPr>
        <w:t>.</w:t>
      </w:r>
    </w:p>
    <w:p w14:paraId="4F24150F" w14:textId="77777777" w:rsidR="00EF5312" w:rsidRPr="00EF5312" w:rsidRDefault="00EF5312" w:rsidP="00EF5312">
      <w:pPr>
        <w:bidi/>
        <w:spacing w:after="200" w:line="276" w:lineRule="auto"/>
        <w:jc w:val="both"/>
        <w:rPr>
          <w:rFonts w:ascii="Traditional Arabic" w:hAnsi="Traditional Arabic" w:cs="Traditional Arabic"/>
          <w:b/>
          <w:bCs/>
          <w:color w:val="000000" w:themeColor="text1"/>
          <w:sz w:val="32"/>
          <w:szCs w:val="32"/>
          <w:rtl/>
        </w:rPr>
      </w:pPr>
      <w:bookmarkStart w:id="18" w:name="_Toc202226009"/>
      <w:r w:rsidRPr="00EF5312">
        <w:rPr>
          <w:rFonts w:ascii="Traditional Arabic" w:hAnsi="Traditional Arabic" w:cs="Traditional Arabic" w:hint="cs"/>
          <w:b/>
          <w:bCs/>
          <w:color w:val="000000" w:themeColor="text1"/>
          <w:sz w:val="32"/>
          <w:szCs w:val="32"/>
          <w:rtl/>
        </w:rPr>
        <w:t>9.1 اهم ما يميز تلك الدراسة</w:t>
      </w:r>
      <w:bookmarkEnd w:id="18"/>
      <w:r w:rsidRPr="00EF5312">
        <w:rPr>
          <w:rFonts w:ascii="Traditional Arabic" w:hAnsi="Traditional Arabic" w:cs="Traditional Arabic" w:hint="cs"/>
          <w:b/>
          <w:bCs/>
          <w:color w:val="000000" w:themeColor="text1"/>
          <w:sz w:val="32"/>
          <w:szCs w:val="32"/>
          <w:rtl/>
        </w:rPr>
        <w:t xml:space="preserve"> </w:t>
      </w:r>
    </w:p>
    <w:p w14:paraId="3648B532"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Pr>
      </w:pPr>
      <w:r w:rsidRPr="00EF5312">
        <w:rPr>
          <w:rFonts w:ascii="Traditional Arabic" w:hAnsi="Traditional Arabic" w:cs="Traditional Arabic"/>
          <w:color w:val="000000" w:themeColor="text1"/>
          <w:sz w:val="32"/>
          <w:szCs w:val="32"/>
          <w:rtl/>
        </w:rPr>
        <w:lastRenderedPageBreak/>
        <w:t>أظهرت معظم الدراسات السابقة، مثل دراسة (الطيب، 2024) ودراسة (عبد المنعم ورضوان، 2023)، اهتمامًا واسعًا بأثر التحول الرقمي على متغيرات تنظيمية متعددة مثل المرونة واليقظة التنظيمية، إلا أن هذه الدراسات اختلفت في تحديد أبعاد التحول الرقمي المستخدمة في التحليل. فبينما ركزت بعض الدراسات على الاستعداد الرقمي والقيادة الرقمية، ركزت أخرى على التحول الاستراتيجي والإداري وتشغيل العمليات. هذا التباين يشير إلى غياب إطار موحد أو نموذج شامل يُمكِّن من دراسة العلاقة السببية بين التحول الرقمي وفاعلية اتخاذ القرار الاستراتيجي بشكل معمق ومتوازن، وهي الثغرة التي تسعى هذه الدراسة إلى معالجتها من خلال تحديد أبعاد واضحة للتحول الرقمي تشمل: (التحول الاستراتيجي، التحول الإداري، تحول العمليات، مركزية العملاء)</w:t>
      </w:r>
      <w:r w:rsidRPr="00EF5312">
        <w:rPr>
          <w:rFonts w:ascii="Traditional Arabic" w:hAnsi="Traditional Arabic" w:cs="Traditional Arabic"/>
          <w:color w:val="000000" w:themeColor="text1"/>
          <w:sz w:val="32"/>
          <w:szCs w:val="32"/>
        </w:rPr>
        <w:t>.</w:t>
      </w:r>
    </w:p>
    <w:p w14:paraId="1E5C035A"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tl/>
        </w:rPr>
      </w:pPr>
      <w:r w:rsidRPr="00EF5312">
        <w:rPr>
          <w:rFonts w:ascii="Traditional Arabic" w:hAnsi="Traditional Arabic" w:cs="Traditional Arabic"/>
          <w:color w:val="000000" w:themeColor="text1"/>
          <w:sz w:val="32"/>
          <w:szCs w:val="32"/>
          <w:rtl/>
        </w:rPr>
        <w:t>على الرغم من تعدد الدراسات التي تناولت التحول الرقمي وعلاقته بالأداء التنظيمي أو الاستدامة أو التمكين المؤسسي، مثل دراسة</w:t>
      </w:r>
      <w:r w:rsidRPr="00EF5312">
        <w:rPr>
          <w:rFonts w:ascii="Traditional Arabic" w:hAnsi="Traditional Arabic" w:cs="Traditional Arabic"/>
          <w:color w:val="000000" w:themeColor="text1"/>
          <w:sz w:val="32"/>
          <w:szCs w:val="32"/>
        </w:rPr>
        <w:t xml:space="preserve"> (Savchuk et al., 2024) </w:t>
      </w:r>
      <w:r w:rsidRPr="00EF5312">
        <w:rPr>
          <w:rFonts w:ascii="Traditional Arabic" w:hAnsi="Traditional Arabic" w:cs="Traditional Arabic"/>
          <w:color w:val="000000" w:themeColor="text1"/>
          <w:sz w:val="32"/>
          <w:szCs w:val="32"/>
          <w:rtl/>
        </w:rPr>
        <w:t>ودراسة</w:t>
      </w:r>
      <w:r w:rsidRPr="00EF5312">
        <w:rPr>
          <w:rFonts w:ascii="Traditional Arabic" w:hAnsi="Traditional Arabic" w:cs="Traditional Arabic"/>
          <w:color w:val="000000" w:themeColor="text1"/>
          <w:sz w:val="32"/>
          <w:szCs w:val="32"/>
        </w:rPr>
        <w:t xml:space="preserve"> (</w:t>
      </w:r>
      <w:proofErr w:type="spellStart"/>
      <w:r w:rsidRPr="00EF5312">
        <w:rPr>
          <w:rFonts w:ascii="Traditional Arabic" w:hAnsi="Traditional Arabic" w:cs="Traditional Arabic"/>
          <w:color w:val="000000" w:themeColor="text1"/>
          <w:sz w:val="32"/>
          <w:szCs w:val="32"/>
        </w:rPr>
        <w:t>Bozintan</w:t>
      </w:r>
      <w:proofErr w:type="spellEnd"/>
      <w:r w:rsidRPr="00EF5312">
        <w:rPr>
          <w:rFonts w:ascii="Traditional Arabic" w:hAnsi="Traditional Arabic" w:cs="Traditional Arabic"/>
          <w:color w:val="000000" w:themeColor="text1"/>
          <w:sz w:val="32"/>
          <w:szCs w:val="32"/>
        </w:rPr>
        <w:t xml:space="preserve"> et al., 2023)</w:t>
      </w:r>
      <w:r w:rsidRPr="00EF5312">
        <w:rPr>
          <w:rFonts w:ascii="Traditional Arabic" w:hAnsi="Traditional Arabic" w:cs="Traditional Arabic"/>
          <w:color w:val="000000" w:themeColor="text1"/>
          <w:sz w:val="32"/>
          <w:szCs w:val="32"/>
          <w:rtl/>
        </w:rPr>
        <w:t xml:space="preserve">، إلا أن معظمها لم يتناول أثر التحول الرقمي على </w:t>
      </w:r>
      <w:r w:rsidRPr="00EF5312">
        <w:rPr>
          <w:rFonts w:ascii="Traditional Arabic" w:hAnsi="Traditional Arabic" w:cs="Traditional Arabic"/>
          <w:b/>
          <w:bCs/>
          <w:color w:val="000000" w:themeColor="text1"/>
          <w:sz w:val="32"/>
          <w:szCs w:val="32"/>
          <w:rtl/>
        </w:rPr>
        <w:t>فاعلية اتخاذ القرار الاستراتيجي</w:t>
      </w:r>
      <w:r w:rsidRPr="00EF5312">
        <w:rPr>
          <w:rFonts w:ascii="Traditional Arabic" w:hAnsi="Traditional Arabic" w:cs="Traditional Arabic"/>
          <w:color w:val="000000" w:themeColor="text1"/>
          <w:sz w:val="32"/>
          <w:szCs w:val="32"/>
          <w:rtl/>
        </w:rPr>
        <w:t xml:space="preserve"> بشكل </w:t>
      </w:r>
      <w:r w:rsidRPr="00EF5312">
        <w:rPr>
          <w:rFonts w:ascii="Traditional Arabic" w:hAnsi="Traditional Arabic" w:cs="Traditional Arabic" w:hint="cs"/>
          <w:color w:val="000000" w:themeColor="text1"/>
          <w:sz w:val="32"/>
          <w:szCs w:val="32"/>
          <w:rtl/>
        </w:rPr>
        <w:t>مباشر، كما</w:t>
      </w:r>
      <w:r w:rsidRPr="00EF5312">
        <w:rPr>
          <w:rFonts w:ascii="Traditional Arabic" w:hAnsi="Traditional Arabic" w:cs="Traditional Arabic"/>
          <w:color w:val="000000" w:themeColor="text1"/>
          <w:sz w:val="32"/>
          <w:szCs w:val="32"/>
          <w:rtl/>
        </w:rPr>
        <w:t xml:space="preserve"> أن الدراسات التي تناولت القرارات الاستراتيجية مثل</w:t>
      </w:r>
      <w:r w:rsidRPr="00EF5312">
        <w:rPr>
          <w:rFonts w:ascii="Traditional Arabic" w:hAnsi="Traditional Arabic" w:cs="Traditional Arabic"/>
          <w:color w:val="000000" w:themeColor="text1"/>
          <w:sz w:val="32"/>
          <w:szCs w:val="32"/>
        </w:rPr>
        <w:t xml:space="preserve"> (</w:t>
      </w:r>
      <w:proofErr w:type="spellStart"/>
      <w:r w:rsidRPr="00EF5312">
        <w:rPr>
          <w:rFonts w:ascii="Traditional Arabic" w:hAnsi="Traditional Arabic" w:cs="Traditional Arabic"/>
          <w:color w:val="000000" w:themeColor="text1"/>
          <w:sz w:val="32"/>
          <w:szCs w:val="32"/>
        </w:rPr>
        <w:t>Yulion</w:t>
      </w:r>
      <w:proofErr w:type="spellEnd"/>
      <w:r w:rsidRPr="00EF5312">
        <w:rPr>
          <w:rFonts w:ascii="Traditional Arabic" w:hAnsi="Traditional Arabic" w:cs="Traditional Arabic"/>
          <w:color w:val="000000" w:themeColor="text1"/>
          <w:sz w:val="32"/>
          <w:szCs w:val="32"/>
        </w:rPr>
        <w:t xml:space="preserve"> et al., 2024) </w:t>
      </w:r>
      <w:r w:rsidRPr="00EF5312">
        <w:rPr>
          <w:rFonts w:ascii="Traditional Arabic" w:hAnsi="Traditional Arabic" w:cs="Traditional Arabic"/>
          <w:color w:val="000000" w:themeColor="text1"/>
          <w:sz w:val="32"/>
          <w:szCs w:val="32"/>
          <w:rtl/>
        </w:rPr>
        <w:t xml:space="preserve">ركزت على تطبيقات القرار دون ربطها بالسياقات الرقمية الحديثة. </w:t>
      </w:r>
    </w:p>
    <w:p w14:paraId="4AF95269"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Pr>
      </w:pPr>
      <w:r w:rsidRPr="00EF5312">
        <w:rPr>
          <w:rFonts w:ascii="Traditional Arabic" w:hAnsi="Traditional Arabic" w:cs="Traditional Arabic"/>
          <w:color w:val="000000" w:themeColor="text1"/>
          <w:sz w:val="32"/>
          <w:szCs w:val="32"/>
          <w:rtl/>
        </w:rPr>
        <w:t>أبرزت الدراسات الحديثة مثل</w:t>
      </w:r>
      <w:r w:rsidRPr="00EF5312">
        <w:rPr>
          <w:rFonts w:ascii="Traditional Arabic" w:hAnsi="Traditional Arabic" w:cs="Traditional Arabic"/>
          <w:color w:val="000000" w:themeColor="text1"/>
          <w:sz w:val="32"/>
          <w:szCs w:val="32"/>
        </w:rPr>
        <w:t xml:space="preserve"> (Xu &amp; Mustafaraj, 2024) </w:t>
      </w:r>
      <w:r w:rsidRPr="00EF5312">
        <w:rPr>
          <w:rFonts w:ascii="Traditional Arabic" w:hAnsi="Traditional Arabic" w:cs="Traditional Arabic"/>
          <w:color w:val="000000" w:themeColor="text1"/>
          <w:sz w:val="32"/>
          <w:szCs w:val="32"/>
          <w:rtl/>
        </w:rPr>
        <w:t>و</w:t>
      </w:r>
      <w:r w:rsidRPr="00EF5312">
        <w:rPr>
          <w:rFonts w:ascii="Traditional Arabic" w:hAnsi="Traditional Arabic" w:cs="Traditional Arabic"/>
          <w:color w:val="000000" w:themeColor="text1"/>
          <w:sz w:val="32"/>
          <w:szCs w:val="32"/>
        </w:rPr>
        <w:t>(</w:t>
      </w:r>
      <w:proofErr w:type="spellStart"/>
      <w:r w:rsidRPr="00EF5312">
        <w:rPr>
          <w:rFonts w:ascii="Traditional Arabic" w:hAnsi="Traditional Arabic" w:cs="Traditional Arabic"/>
          <w:color w:val="000000" w:themeColor="text1"/>
          <w:sz w:val="32"/>
          <w:szCs w:val="32"/>
        </w:rPr>
        <w:t>Tondolo</w:t>
      </w:r>
      <w:proofErr w:type="spellEnd"/>
      <w:r w:rsidRPr="00EF5312">
        <w:rPr>
          <w:rFonts w:ascii="Traditional Arabic" w:hAnsi="Traditional Arabic" w:cs="Traditional Arabic"/>
          <w:color w:val="000000" w:themeColor="text1"/>
          <w:sz w:val="32"/>
          <w:szCs w:val="32"/>
        </w:rPr>
        <w:t xml:space="preserve"> et al., 2023) </w:t>
      </w:r>
      <w:r w:rsidRPr="00EF5312">
        <w:rPr>
          <w:rFonts w:ascii="Traditional Arabic" w:hAnsi="Traditional Arabic" w:cs="Traditional Arabic"/>
          <w:color w:val="000000" w:themeColor="text1"/>
          <w:sz w:val="32"/>
          <w:szCs w:val="32"/>
          <w:rtl/>
        </w:rPr>
        <w:t xml:space="preserve">أهمية الشفافية المعلوماتية في تعزيز الممارسات المسؤولة والتفاعل بين أصحاب المصلحة، إلا أن هذه الدراسات ركزت غالبًا على الشفافية كمخرج تنظيمي أو كمتغير تابع، دون تحليل دورها كمتغير </w:t>
      </w:r>
      <w:r w:rsidRPr="00EF5312">
        <w:rPr>
          <w:rFonts w:ascii="Traditional Arabic" w:hAnsi="Traditional Arabic" w:cs="Traditional Arabic"/>
          <w:b/>
          <w:bCs/>
          <w:color w:val="000000" w:themeColor="text1"/>
          <w:sz w:val="32"/>
          <w:szCs w:val="32"/>
          <w:rtl/>
        </w:rPr>
        <w:t>وسيط</w:t>
      </w:r>
      <w:r w:rsidRPr="00EF5312">
        <w:rPr>
          <w:rFonts w:ascii="Traditional Arabic" w:hAnsi="Traditional Arabic" w:cs="Traditional Arabic"/>
          <w:color w:val="000000" w:themeColor="text1"/>
          <w:sz w:val="32"/>
          <w:szCs w:val="32"/>
          <w:rtl/>
        </w:rPr>
        <w:t xml:space="preserve"> قادر على تعزيز أثر التحول الرقمي على فاعلية القرار. ومن هنا، تسعى الدراسة الحالية لسد هذه الفجوة من خلال اختبار الدور الوسيط للشفافية المعلوماتية، والتي تشمل أبعادًا مثل: (شفافية الأنظمة واللوائح، شفافية الإجراءات، وشفافية الاتصال والمعلومات)، وهو طرح جديد لم يتم تناوله بوضوح في السياق العربي الخليجي</w:t>
      </w:r>
      <w:r w:rsidRPr="00EF5312">
        <w:rPr>
          <w:rFonts w:ascii="Traditional Arabic" w:hAnsi="Traditional Arabic" w:cs="Traditional Arabic"/>
          <w:color w:val="000000" w:themeColor="text1"/>
          <w:sz w:val="32"/>
          <w:szCs w:val="32"/>
        </w:rPr>
        <w:t>.</w:t>
      </w:r>
    </w:p>
    <w:p w14:paraId="59DB6142"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Pr>
      </w:pPr>
      <w:r w:rsidRPr="00EF5312">
        <w:rPr>
          <w:rFonts w:ascii="Traditional Arabic" w:hAnsi="Traditional Arabic" w:cs="Traditional Arabic"/>
          <w:color w:val="000000" w:themeColor="text1"/>
          <w:sz w:val="32"/>
          <w:szCs w:val="32"/>
          <w:rtl/>
        </w:rPr>
        <w:t>على الرغم من تنوع الدراسات السابقة، فإن أغلبها تم تنفيذه في سياقات مصرفية أو تعليمية أو صحية، كما في دراسة (العزب وآخرون، 2023) أو (إسماعيل والراشد، 2022)، فيما لم تحظَ وزارات الصناعة الخليجية بدراسات ميدانية تحليلية تستكشف فيها هذه العلاقات الثلاثية بين التحول الرقمي، والشفافية المعلوماتية، وفاعلية القرار الاستراتيجي. وهو ما تمثل فجوة تطبيقية ومجالية تسعى هذه الدراسة إلى تغطيتها، خاصة في ظل التوجه الاستراتيجي لدول الخليج نحو بناء اقتصاد رقمي وصناعي متكامل</w:t>
      </w:r>
      <w:r w:rsidRPr="00EF5312">
        <w:rPr>
          <w:rFonts w:ascii="Traditional Arabic" w:hAnsi="Traditional Arabic" w:cs="Traditional Arabic"/>
          <w:color w:val="000000" w:themeColor="text1"/>
          <w:sz w:val="32"/>
          <w:szCs w:val="32"/>
        </w:rPr>
        <w:t>.</w:t>
      </w:r>
    </w:p>
    <w:p w14:paraId="502EF605"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Pr>
      </w:pPr>
      <w:r w:rsidRPr="00EF5312">
        <w:rPr>
          <w:rFonts w:ascii="Traditional Arabic" w:hAnsi="Traditional Arabic" w:cs="Traditional Arabic"/>
          <w:color w:val="000000" w:themeColor="text1"/>
          <w:sz w:val="32"/>
          <w:szCs w:val="32"/>
          <w:rtl/>
        </w:rPr>
        <w:lastRenderedPageBreak/>
        <w:t>لم تتطرق الدراسات السابقة بشكل كافٍ إلى بناء نموذج تكاملي يجمع بين المتغيرات الثلاثة: التحول الرقمي، الشفافية المعلوماتية، وفاعلية اتخاذ القرار الاستراتيجي. فعلى سبيل المثال، اكتفت دراسة</w:t>
      </w:r>
      <w:r w:rsidRPr="00EF5312">
        <w:rPr>
          <w:rFonts w:ascii="Traditional Arabic" w:hAnsi="Traditional Arabic" w:cs="Traditional Arabic"/>
          <w:color w:val="000000" w:themeColor="text1"/>
          <w:sz w:val="32"/>
          <w:szCs w:val="32"/>
        </w:rPr>
        <w:t xml:space="preserve"> (Ye &amp; Wu, 2023) </w:t>
      </w:r>
      <w:r w:rsidRPr="00EF5312">
        <w:rPr>
          <w:rFonts w:ascii="Traditional Arabic" w:hAnsi="Traditional Arabic" w:cs="Traditional Arabic"/>
          <w:color w:val="000000" w:themeColor="text1"/>
          <w:sz w:val="32"/>
          <w:szCs w:val="32"/>
          <w:rtl/>
        </w:rPr>
        <w:t>بتناول الشفافية في سياق خدمات الرعاية الصحية، بينما ركزت دراسة</w:t>
      </w:r>
      <w:r w:rsidRPr="00EF5312">
        <w:rPr>
          <w:rFonts w:ascii="Traditional Arabic" w:hAnsi="Traditional Arabic" w:cs="Traditional Arabic"/>
          <w:color w:val="000000" w:themeColor="text1"/>
          <w:sz w:val="32"/>
          <w:szCs w:val="32"/>
        </w:rPr>
        <w:t xml:space="preserve"> (Shirokova et al., 2020) </w:t>
      </w:r>
      <w:r w:rsidRPr="00EF5312">
        <w:rPr>
          <w:rFonts w:ascii="Traditional Arabic" w:hAnsi="Traditional Arabic" w:cs="Traditional Arabic"/>
          <w:color w:val="000000" w:themeColor="text1"/>
          <w:sz w:val="32"/>
          <w:szCs w:val="32"/>
          <w:rtl/>
        </w:rPr>
        <w:t>على التحول الرقمي في شركات البناء دون تناول آليات اتخاذ القرار. وبذلك، تسعى الدراسة الحالية إلى تقديم نموذج مفاهيمي وتحليلي متكامل يتضمن اختبار الأثر المباشر للتحول الرقمي على القرار الاستراتيجي، إلى جانب اختبار الدور الوسيط للشفافية المعلوماتية، وهو ما يمنحها قيمة علمية وتطبيقية عالية في السياق الخليجي</w:t>
      </w:r>
      <w:r w:rsidRPr="00EF5312">
        <w:rPr>
          <w:rFonts w:ascii="Traditional Arabic" w:hAnsi="Traditional Arabic" w:cs="Traditional Arabic"/>
          <w:color w:val="000000" w:themeColor="text1"/>
          <w:sz w:val="32"/>
          <w:szCs w:val="32"/>
        </w:rPr>
        <w:t>.</w:t>
      </w:r>
    </w:p>
    <w:p w14:paraId="34A0FDE0" w14:textId="77777777" w:rsidR="00EF5312" w:rsidRPr="00EF5312" w:rsidRDefault="00EF5312" w:rsidP="00EF5312">
      <w:pPr>
        <w:bidi/>
        <w:spacing w:after="200" w:line="276" w:lineRule="auto"/>
        <w:jc w:val="both"/>
        <w:rPr>
          <w:rFonts w:ascii="Traditional Arabic" w:hAnsi="Traditional Arabic" w:cs="Traditional Arabic"/>
          <w:b/>
          <w:bCs/>
          <w:color w:val="000000" w:themeColor="text1"/>
          <w:sz w:val="32"/>
          <w:szCs w:val="32"/>
          <w:u w:val="single"/>
          <w:rtl/>
        </w:rPr>
      </w:pPr>
      <w:r w:rsidRPr="00EF5312">
        <w:rPr>
          <w:rFonts w:ascii="Traditional Arabic" w:hAnsi="Traditional Arabic" w:cs="Traditional Arabic" w:hint="cs"/>
          <w:b/>
          <w:bCs/>
          <w:color w:val="000000" w:themeColor="text1"/>
          <w:sz w:val="32"/>
          <w:szCs w:val="32"/>
          <w:u w:val="single"/>
          <w:rtl/>
        </w:rPr>
        <w:t xml:space="preserve">ويمكن تلخيص اهم ما يميز الدراسة الحالية فيما </w:t>
      </w:r>
      <w:proofErr w:type="gramStart"/>
      <w:r w:rsidRPr="00EF5312">
        <w:rPr>
          <w:rFonts w:ascii="Traditional Arabic" w:hAnsi="Traditional Arabic" w:cs="Traditional Arabic" w:hint="cs"/>
          <w:b/>
          <w:bCs/>
          <w:color w:val="000000" w:themeColor="text1"/>
          <w:sz w:val="32"/>
          <w:szCs w:val="32"/>
          <w:u w:val="single"/>
          <w:rtl/>
        </w:rPr>
        <w:t>يلى :</w:t>
      </w:r>
      <w:proofErr w:type="gramEnd"/>
      <w:r w:rsidRPr="00EF5312">
        <w:rPr>
          <w:rFonts w:ascii="Traditional Arabic" w:hAnsi="Traditional Arabic" w:cs="Traditional Arabic" w:hint="cs"/>
          <w:b/>
          <w:bCs/>
          <w:color w:val="000000" w:themeColor="text1"/>
          <w:sz w:val="32"/>
          <w:szCs w:val="32"/>
          <w:u w:val="single"/>
          <w:rtl/>
        </w:rPr>
        <w:t xml:space="preserve"> </w:t>
      </w:r>
    </w:p>
    <w:p w14:paraId="1F384EF9" w14:textId="77777777" w:rsidR="00EF5312" w:rsidRPr="00EF5312" w:rsidRDefault="00EF5312" w:rsidP="00EF5312">
      <w:pPr>
        <w:numPr>
          <w:ilvl w:val="0"/>
          <w:numId w:val="15"/>
        </w:numPr>
        <w:bidi/>
        <w:spacing w:after="200" w:line="276" w:lineRule="auto"/>
        <w:jc w:val="both"/>
        <w:rPr>
          <w:rFonts w:ascii="Traditional Arabic" w:hAnsi="Traditional Arabic" w:cs="Traditional Arabic"/>
          <w:color w:val="000000" w:themeColor="text1"/>
          <w:sz w:val="32"/>
          <w:szCs w:val="32"/>
        </w:rPr>
      </w:pPr>
      <w:r w:rsidRPr="00EF5312">
        <w:rPr>
          <w:rFonts w:ascii="Traditional Arabic" w:hAnsi="Traditional Arabic" w:cs="Traditional Arabic"/>
          <w:color w:val="000000" w:themeColor="text1"/>
          <w:sz w:val="32"/>
          <w:szCs w:val="32"/>
          <w:rtl/>
        </w:rPr>
        <w:t>تتفرد الدراسة ببناء نموذج تكاملي يدمج بين التحول الرقمي كمتغير مستقل، والشفافية المعلوماتية كمتغير وسيط، وفاعلية اتخاذ القرار الاستراتيجي كمتغير تابع، وهو إطار لم يُدرس بهذه الصيغة المركّبة في الأدبيات السابقة، خاصة في السياق العربي الخليجي.</w:t>
      </w:r>
    </w:p>
    <w:p w14:paraId="4E3A5CB4" w14:textId="77777777" w:rsidR="00EF5312" w:rsidRPr="00EF5312" w:rsidRDefault="00EF5312" w:rsidP="00EF5312">
      <w:pPr>
        <w:numPr>
          <w:ilvl w:val="0"/>
          <w:numId w:val="15"/>
        </w:numPr>
        <w:bidi/>
        <w:spacing w:after="200" w:line="276" w:lineRule="auto"/>
        <w:jc w:val="both"/>
        <w:rPr>
          <w:rFonts w:ascii="Traditional Arabic" w:hAnsi="Traditional Arabic" w:cs="Traditional Arabic"/>
          <w:color w:val="000000" w:themeColor="text1"/>
          <w:sz w:val="32"/>
          <w:szCs w:val="32"/>
        </w:rPr>
      </w:pPr>
      <w:r w:rsidRPr="00EF5312">
        <w:rPr>
          <w:rFonts w:ascii="Traditional Arabic" w:hAnsi="Traditional Arabic" w:cs="Traditional Arabic"/>
          <w:color w:val="000000" w:themeColor="text1"/>
          <w:sz w:val="32"/>
          <w:szCs w:val="32"/>
          <w:rtl/>
        </w:rPr>
        <w:t>اعتمدت الدراسة على تحديد أبعاد دقيقة لكل متغير استنادًا إلى مراجع علمية حديثة (2021–2024)، حيث تمثلت أبعاد التحول الرقمي في: (التحول الاستراتيجي، التحول الإداري، تحول العمليات، مركزية العملاء)، وأبعاد الشفافية المعلوماتية في: (شفافية الأنظمة واللوائح، شفافية الإجراءات، شفافية الاتصال والمعلومات)، وأبعاد فاعلية اتخاذ القرار في: (الوعي الاستراتيجي، القدرة على التكيف، التفاعل مع البيانات).</w:t>
      </w:r>
    </w:p>
    <w:p w14:paraId="300352B6" w14:textId="77777777" w:rsidR="00EF5312" w:rsidRPr="00EF5312" w:rsidRDefault="00EF5312" w:rsidP="00EF5312">
      <w:pPr>
        <w:numPr>
          <w:ilvl w:val="0"/>
          <w:numId w:val="15"/>
        </w:numPr>
        <w:bidi/>
        <w:spacing w:after="200" w:line="276" w:lineRule="auto"/>
        <w:jc w:val="both"/>
        <w:rPr>
          <w:rFonts w:ascii="Traditional Arabic" w:hAnsi="Traditional Arabic" w:cs="Traditional Arabic"/>
          <w:color w:val="000000" w:themeColor="text1"/>
          <w:sz w:val="32"/>
          <w:szCs w:val="32"/>
        </w:rPr>
      </w:pPr>
      <w:r w:rsidRPr="00EF5312">
        <w:rPr>
          <w:rFonts w:ascii="Traditional Arabic" w:hAnsi="Traditional Arabic" w:cs="Traditional Arabic"/>
          <w:color w:val="000000" w:themeColor="text1"/>
          <w:sz w:val="32"/>
          <w:szCs w:val="32"/>
          <w:rtl/>
        </w:rPr>
        <w:t>تأتي الدراسة لتسد فجوة تطبيقية واضحة من خلال التركيز على وزارات الصناعة الخليجية، التي لم تحظَ سابقًا بدراسات ميدانية تحليلية بهذا العمق في موضوعات التحول الرقمي وصنع القرار والشفافية المعلوماتية، مما يمنح نتائجها قيمة استراتيجية لصانعي السياسات.</w:t>
      </w:r>
    </w:p>
    <w:p w14:paraId="0A88EA7C" w14:textId="77777777" w:rsidR="00EF5312" w:rsidRPr="00EF5312" w:rsidRDefault="00EF5312" w:rsidP="00EF5312">
      <w:pPr>
        <w:numPr>
          <w:ilvl w:val="0"/>
          <w:numId w:val="15"/>
        </w:numPr>
        <w:bidi/>
        <w:spacing w:after="200" w:line="276" w:lineRule="auto"/>
        <w:jc w:val="both"/>
        <w:rPr>
          <w:rFonts w:ascii="Traditional Arabic" w:hAnsi="Traditional Arabic" w:cs="Traditional Arabic"/>
          <w:color w:val="000000" w:themeColor="text1"/>
          <w:sz w:val="32"/>
          <w:szCs w:val="32"/>
        </w:rPr>
      </w:pPr>
      <w:r w:rsidRPr="00EF5312">
        <w:rPr>
          <w:rFonts w:ascii="Traditional Arabic" w:hAnsi="Traditional Arabic" w:cs="Traditional Arabic"/>
          <w:color w:val="000000" w:themeColor="text1"/>
          <w:sz w:val="32"/>
          <w:szCs w:val="32"/>
          <w:rtl/>
        </w:rPr>
        <w:t xml:space="preserve">على خلاف معظم الدراسات التي تناولت الشفافية كمخرج تنظيمي أو كمتغير مستقل، تختبر هذه الدراسة الشفافية المعلوماتية كمتغير وسيط في العلاقة بين التحول الرقمي وفاعلية القرار، بما يعكس وعيًا نظريًا متقدمًا بأهمية هذا المتغير في تفسير العلاقة السببية بين </w:t>
      </w:r>
      <w:proofErr w:type="spellStart"/>
      <w:r w:rsidRPr="00EF5312">
        <w:rPr>
          <w:rFonts w:ascii="Traditional Arabic" w:hAnsi="Traditional Arabic" w:cs="Traditional Arabic"/>
          <w:color w:val="000000" w:themeColor="text1"/>
          <w:sz w:val="32"/>
          <w:szCs w:val="32"/>
          <w:rtl/>
        </w:rPr>
        <w:t>الرقمنة</w:t>
      </w:r>
      <w:proofErr w:type="spellEnd"/>
      <w:r w:rsidRPr="00EF5312">
        <w:rPr>
          <w:rFonts w:ascii="Traditional Arabic" w:hAnsi="Traditional Arabic" w:cs="Traditional Arabic"/>
          <w:color w:val="000000" w:themeColor="text1"/>
          <w:sz w:val="32"/>
          <w:szCs w:val="32"/>
          <w:rtl/>
        </w:rPr>
        <w:t xml:space="preserve"> وفعالية الأداء القيادي.</w:t>
      </w:r>
    </w:p>
    <w:p w14:paraId="41984CC5" w14:textId="77777777" w:rsidR="00EF5312" w:rsidRPr="00EF5312" w:rsidRDefault="00EF5312" w:rsidP="00EF5312">
      <w:pPr>
        <w:numPr>
          <w:ilvl w:val="0"/>
          <w:numId w:val="15"/>
        </w:numPr>
        <w:bidi/>
        <w:spacing w:after="200" w:line="276" w:lineRule="auto"/>
        <w:jc w:val="both"/>
        <w:rPr>
          <w:rFonts w:ascii="Traditional Arabic" w:hAnsi="Traditional Arabic" w:cs="Traditional Arabic"/>
          <w:color w:val="000000" w:themeColor="text1"/>
          <w:sz w:val="32"/>
          <w:szCs w:val="32"/>
        </w:rPr>
      </w:pPr>
      <w:r w:rsidRPr="00EF5312">
        <w:rPr>
          <w:rFonts w:ascii="Traditional Arabic" w:hAnsi="Traditional Arabic" w:cs="Traditional Arabic"/>
          <w:color w:val="000000" w:themeColor="text1"/>
          <w:sz w:val="32"/>
          <w:szCs w:val="32"/>
          <w:rtl/>
        </w:rPr>
        <w:lastRenderedPageBreak/>
        <w:t>ارتكزت الدراسة على مجموعة محدثة من الدراسات السابقة (2021–2024)، سواء في البيئة العربية أو الدولية، وهو ما يضفي على الدراسة حداثة في الطرح العلمي، ويعزز من موثوقية الأطر النظرية والتحليلية المستخدمة.</w:t>
      </w:r>
      <w:r w:rsidRPr="00EF5312">
        <w:rPr>
          <w:rFonts w:ascii="Traditional Arabic" w:hAnsi="Traditional Arabic" w:cs="Traditional Arabic" w:hint="cs"/>
          <w:color w:val="000000" w:themeColor="text1"/>
          <w:sz w:val="32"/>
          <w:szCs w:val="32"/>
          <w:rtl/>
        </w:rPr>
        <w:t>.</w:t>
      </w:r>
    </w:p>
    <w:p w14:paraId="0AC6047A"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tl/>
        </w:rPr>
      </w:pPr>
      <w:r w:rsidRPr="00EF5312">
        <w:rPr>
          <w:rFonts w:ascii="Traditional Arabic" w:hAnsi="Traditional Arabic" w:cs="Traditional Arabic" w:hint="cs"/>
          <w:b/>
          <w:bCs/>
          <w:color w:val="000000" w:themeColor="text1"/>
          <w:sz w:val="32"/>
          <w:szCs w:val="32"/>
          <w:rtl/>
        </w:rPr>
        <w:t>جدول رقم (1) مقارن للدراسات السابقة</w:t>
      </w:r>
      <w:r w:rsidRPr="00EF5312">
        <w:rPr>
          <w:rFonts w:ascii="Traditional Arabic" w:hAnsi="Traditional Arabic" w:cs="Traditional Arabic" w:hint="cs"/>
          <w:b/>
          <w:bCs/>
          <w:color w:val="000000" w:themeColor="text1"/>
          <w:sz w:val="32"/>
          <w:szCs w:val="32"/>
        </w:rPr>
        <w:t xml:space="preserve"> (Summary Table)</w:t>
      </w:r>
    </w:p>
    <w:p w14:paraId="69A666CD"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Pr>
      </w:pPr>
    </w:p>
    <w:tbl>
      <w:tblPr>
        <w:tblStyle w:val="GridTable4"/>
        <w:bidiVisual/>
        <w:tblW w:w="0" w:type="auto"/>
        <w:tblLook w:val="04A0" w:firstRow="1" w:lastRow="0" w:firstColumn="1" w:lastColumn="0" w:noHBand="0" w:noVBand="1"/>
      </w:tblPr>
      <w:tblGrid>
        <w:gridCol w:w="517"/>
        <w:gridCol w:w="1449"/>
        <w:gridCol w:w="1121"/>
        <w:gridCol w:w="1045"/>
        <w:gridCol w:w="907"/>
        <w:gridCol w:w="1212"/>
        <w:gridCol w:w="1121"/>
        <w:gridCol w:w="1121"/>
      </w:tblGrid>
      <w:tr w:rsidR="00EF5312" w:rsidRPr="00EF5312" w14:paraId="5A80323C" w14:textId="77777777" w:rsidTr="00C86D8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FC2C64D"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Pr>
            </w:pPr>
            <w:r w:rsidRPr="00EF5312">
              <w:rPr>
                <w:rFonts w:ascii="Traditional Arabic" w:hAnsi="Traditional Arabic" w:cs="Traditional Arabic" w:hint="cs"/>
                <w:b w:val="0"/>
                <w:bCs w:val="0"/>
                <w:color w:val="000000" w:themeColor="text1"/>
                <w:sz w:val="32"/>
                <w:szCs w:val="32"/>
                <w:rtl/>
              </w:rPr>
              <w:t>رقم</w:t>
            </w:r>
          </w:p>
        </w:tc>
        <w:tc>
          <w:tcPr>
            <w:tcW w:w="0" w:type="auto"/>
            <w:hideMark/>
          </w:tcPr>
          <w:p w14:paraId="5E3E4D2A" w14:textId="77777777" w:rsidR="00EF5312" w:rsidRPr="00EF5312" w:rsidRDefault="00EF5312" w:rsidP="00EF5312">
            <w:pPr>
              <w:bidi/>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themeColor="text1"/>
                <w:sz w:val="32"/>
                <w:szCs w:val="32"/>
              </w:rPr>
            </w:pPr>
            <w:r w:rsidRPr="00EF5312">
              <w:rPr>
                <w:rFonts w:ascii="Traditional Arabic" w:hAnsi="Traditional Arabic" w:cs="Traditional Arabic" w:hint="cs"/>
                <w:b w:val="0"/>
                <w:bCs w:val="0"/>
                <w:color w:val="000000" w:themeColor="text1"/>
                <w:sz w:val="32"/>
                <w:szCs w:val="32"/>
                <w:rtl/>
              </w:rPr>
              <w:t>الدراسة</w:t>
            </w:r>
          </w:p>
        </w:tc>
        <w:tc>
          <w:tcPr>
            <w:tcW w:w="0" w:type="auto"/>
            <w:hideMark/>
          </w:tcPr>
          <w:p w14:paraId="17233241" w14:textId="77777777" w:rsidR="00EF5312" w:rsidRPr="00EF5312" w:rsidRDefault="00EF5312" w:rsidP="00EF5312">
            <w:pPr>
              <w:bidi/>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themeColor="text1"/>
                <w:sz w:val="32"/>
                <w:szCs w:val="32"/>
              </w:rPr>
            </w:pPr>
            <w:r w:rsidRPr="00EF5312">
              <w:rPr>
                <w:rFonts w:ascii="Traditional Arabic" w:hAnsi="Traditional Arabic" w:cs="Traditional Arabic" w:hint="cs"/>
                <w:b w:val="0"/>
                <w:bCs w:val="0"/>
                <w:color w:val="000000" w:themeColor="text1"/>
                <w:sz w:val="32"/>
                <w:szCs w:val="32"/>
                <w:rtl/>
              </w:rPr>
              <w:t>المتغيرات الرئيسة</w:t>
            </w:r>
          </w:p>
        </w:tc>
        <w:tc>
          <w:tcPr>
            <w:tcW w:w="0" w:type="auto"/>
            <w:hideMark/>
          </w:tcPr>
          <w:p w14:paraId="3C4BB3F7" w14:textId="77777777" w:rsidR="00EF5312" w:rsidRPr="00EF5312" w:rsidRDefault="00EF5312" w:rsidP="00EF5312">
            <w:pPr>
              <w:bidi/>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themeColor="text1"/>
                <w:sz w:val="32"/>
                <w:szCs w:val="32"/>
              </w:rPr>
            </w:pPr>
            <w:r w:rsidRPr="00EF5312">
              <w:rPr>
                <w:rFonts w:ascii="Traditional Arabic" w:hAnsi="Traditional Arabic" w:cs="Traditional Arabic" w:hint="cs"/>
                <w:b w:val="0"/>
                <w:bCs w:val="0"/>
                <w:color w:val="000000" w:themeColor="text1"/>
                <w:sz w:val="32"/>
                <w:szCs w:val="32"/>
                <w:rtl/>
              </w:rPr>
              <w:t>المنهج المستخدم</w:t>
            </w:r>
          </w:p>
        </w:tc>
        <w:tc>
          <w:tcPr>
            <w:tcW w:w="0" w:type="auto"/>
            <w:hideMark/>
          </w:tcPr>
          <w:p w14:paraId="3F43E817" w14:textId="77777777" w:rsidR="00EF5312" w:rsidRPr="00EF5312" w:rsidRDefault="00EF5312" w:rsidP="00EF5312">
            <w:pPr>
              <w:bidi/>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themeColor="text1"/>
                <w:sz w:val="32"/>
                <w:szCs w:val="32"/>
              </w:rPr>
            </w:pPr>
            <w:r w:rsidRPr="00EF5312">
              <w:rPr>
                <w:rFonts w:ascii="Traditional Arabic" w:hAnsi="Traditional Arabic" w:cs="Traditional Arabic" w:hint="cs"/>
                <w:b w:val="0"/>
                <w:bCs w:val="0"/>
                <w:color w:val="000000" w:themeColor="text1"/>
                <w:sz w:val="32"/>
                <w:szCs w:val="32"/>
                <w:rtl/>
              </w:rPr>
              <w:t>أداة جمع البيانات</w:t>
            </w:r>
          </w:p>
        </w:tc>
        <w:tc>
          <w:tcPr>
            <w:tcW w:w="0" w:type="auto"/>
            <w:hideMark/>
          </w:tcPr>
          <w:p w14:paraId="2B2BA0A2" w14:textId="77777777" w:rsidR="00EF5312" w:rsidRPr="00EF5312" w:rsidRDefault="00EF5312" w:rsidP="00EF5312">
            <w:pPr>
              <w:bidi/>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themeColor="text1"/>
                <w:sz w:val="32"/>
                <w:szCs w:val="32"/>
              </w:rPr>
            </w:pPr>
            <w:r w:rsidRPr="00EF5312">
              <w:rPr>
                <w:rFonts w:ascii="Traditional Arabic" w:hAnsi="Traditional Arabic" w:cs="Traditional Arabic" w:hint="cs"/>
                <w:b w:val="0"/>
                <w:bCs w:val="0"/>
                <w:color w:val="000000" w:themeColor="text1"/>
                <w:sz w:val="32"/>
                <w:szCs w:val="32"/>
                <w:rtl/>
              </w:rPr>
              <w:t>العينة</w:t>
            </w:r>
          </w:p>
        </w:tc>
        <w:tc>
          <w:tcPr>
            <w:tcW w:w="0" w:type="auto"/>
            <w:hideMark/>
          </w:tcPr>
          <w:p w14:paraId="43BE3E5E" w14:textId="77777777" w:rsidR="00EF5312" w:rsidRPr="00EF5312" w:rsidRDefault="00EF5312" w:rsidP="00EF5312">
            <w:pPr>
              <w:bidi/>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themeColor="text1"/>
                <w:sz w:val="32"/>
                <w:szCs w:val="32"/>
              </w:rPr>
            </w:pPr>
            <w:r w:rsidRPr="00EF5312">
              <w:rPr>
                <w:rFonts w:ascii="Traditional Arabic" w:hAnsi="Traditional Arabic" w:cs="Traditional Arabic" w:hint="cs"/>
                <w:b w:val="0"/>
                <w:bCs w:val="0"/>
                <w:color w:val="000000" w:themeColor="text1"/>
                <w:sz w:val="32"/>
                <w:szCs w:val="32"/>
                <w:rtl/>
              </w:rPr>
              <w:t>أهم النتائج</w:t>
            </w:r>
          </w:p>
        </w:tc>
        <w:tc>
          <w:tcPr>
            <w:tcW w:w="0" w:type="auto"/>
            <w:hideMark/>
          </w:tcPr>
          <w:p w14:paraId="746B7BFB" w14:textId="77777777" w:rsidR="00EF5312" w:rsidRPr="00EF5312" w:rsidRDefault="00EF5312" w:rsidP="00EF5312">
            <w:pPr>
              <w:bidi/>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themeColor="text1"/>
                <w:sz w:val="32"/>
                <w:szCs w:val="32"/>
              </w:rPr>
            </w:pPr>
            <w:r w:rsidRPr="00EF5312">
              <w:rPr>
                <w:rFonts w:ascii="Traditional Arabic" w:hAnsi="Traditional Arabic" w:cs="Traditional Arabic" w:hint="cs"/>
                <w:b w:val="0"/>
                <w:bCs w:val="0"/>
                <w:color w:val="000000" w:themeColor="text1"/>
                <w:sz w:val="32"/>
                <w:szCs w:val="32"/>
                <w:rtl/>
              </w:rPr>
              <w:t>الفجوة البحثية المستخلصة</w:t>
            </w:r>
          </w:p>
        </w:tc>
      </w:tr>
      <w:tr w:rsidR="00EF5312" w:rsidRPr="00EF5312" w14:paraId="4A55AEF9" w14:textId="77777777" w:rsidTr="00C86D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31410ED" w14:textId="77777777" w:rsidR="00EF5312" w:rsidRPr="00EF5312" w:rsidRDefault="00EF5312" w:rsidP="00EF5312">
            <w:pPr>
              <w:bidi/>
              <w:spacing w:after="200" w:line="276" w:lineRule="auto"/>
              <w:jc w:val="both"/>
              <w:rPr>
                <w:rFonts w:ascii="Traditional Arabic" w:hAnsi="Traditional Arabic" w:cs="Traditional Arabic"/>
                <w:b w:val="0"/>
                <w:bCs w:val="0"/>
                <w:color w:val="000000" w:themeColor="text1"/>
                <w:sz w:val="32"/>
                <w:szCs w:val="32"/>
              </w:rPr>
            </w:pPr>
            <w:r w:rsidRPr="00EF5312">
              <w:rPr>
                <w:rFonts w:ascii="Traditional Arabic" w:hAnsi="Traditional Arabic" w:cs="Traditional Arabic" w:hint="cs"/>
                <w:color w:val="000000" w:themeColor="text1"/>
                <w:sz w:val="32"/>
                <w:szCs w:val="32"/>
              </w:rPr>
              <w:t>1</w:t>
            </w:r>
          </w:p>
        </w:tc>
        <w:tc>
          <w:tcPr>
            <w:tcW w:w="0" w:type="auto"/>
            <w:hideMark/>
          </w:tcPr>
          <w:p w14:paraId="33DA0181"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عبد المنعم ورضوان</w:t>
            </w:r>
            <w:r w:rsidRPr="00EF5312">
              <w:rPr>
                <w:rFonts w:ascii="Traditional Arabic" w:hAnsi="Traditional Arabic" w:cs="Traditional Arabic" w:hint="cs"/>
                <w:color w:val="000000" w:themeColor="text1"/>
                <w:sz w:val="32"/>
                <w:szCs w:val="32"/>
              </w:rPr>
              <w:t xml:space="preserve"> (2023)</w:t>
            </w:r>
          </w:p>
        </w:tc>
        <w:tc>
          <w:tcPr>
            <w:tcW w:w="0" w:type="auto"/>
            <w:hideMark/>
          </w:tcPr>
          <w:p w14:paraId="4D788E8D"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التحول الرقمي – اليقظة التنظيمية</w:t>
            </w:r>
          </w:p>
        </w:tc>
        <w:tc>
          <w:tcPr>
            <w:tcW w:w="0" w:type="auto"/>
            <w:hideMark/>
          </w:tcPr>
          <w:p w14:paraId="25019C27"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وصفي تحليلي</w:t>
            </w:r>
          </w:p>
        </w:tc>
        <w:tc>
          <w:tcPr>
            <w:tcW w:w="0" w:type="auto"/>
            <w:hideMark/>
          </w:tcPr>
          <w:p w14:paraId="49D05158"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استبيان</w:t>
            </w:r>
          </w:p>
        </w:tc>
        <w:tc>
          <w:tcPr>
            <w:tcW w:w="0" w:type="auto"/>
            <w:hideMark/>
          </w:tcPr>
          <w:p w14:paraId="57CD7A41"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Pr>
              <w:t xml:space="preserve">151 </w:t>
            </w:r>
            <w:r w:rsidRPr="00EF5312">
              <w:rPr>
                <w:rFonts w:ascii="Traditional Arabic" w:hAnsi="Traditional Arabic" w:cs="Traditional Arabic" w:hint="cs"/>
                <w:color w:val="000000" w:themeColor="text1"/>
                <w:sz w:val="32"/>
                <w:szCs w:val="32"/>
                <w:rtl/>
              </w:rPr>
              <w:t>موظفًا</w:t>
            </w:r>
          </w:p>
        </w:tc>
        <w:tc>
          <w:tcPr>
            <w:tcW w:w="0" w:type="auto"/>
            <w:hideMark/>
          </w:tcPr>
          <w:p w14:paraId="00D7EEED"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وجود تأثير إيجابي للتحول الرقمي على اليقظة التنظيمية</w:t>
            </w:r>
          </w:p>
        </w:tc>
        <w:tc>
          <w:tcPr>
            <w:tcW w:w="0" w:type="auto"/>
            <w:hideMark/>
          </w:tcPr>
          <w:p w14:paraId="76F5AF5E"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لم تتناول الدراسة دور الشفافية المعلوماتية أو اتخاذ القرار الاستراتيجي</w:t>
            </w:r>
          </w:p>
        </w:tc>
      </w:tr>
      <w:tr w:rsidR="00EF5312" w:rsidRPr="00EF5312" w14:paraId="5770EA58" w14:textId="77777777" w:rsidTr="00C86D8D">
        <w:tc>
          <w:tcPr>
            <w:cnfStyle w:val="001000000000" w:firstRow="0" w:lastRow="0" w:firstColumn="1" w:lastColumn="0" w:oddVBand="0" w:evenVBand="0" w:oddHBand="0" w:evenHBand="0" w:firstRowFirstColumn="0" w:firstRowLastColumn="0" w:lastRowFirstColumn="0" w:lastRowLastColumn="0"/>
            <w:tcW w:w="0" w:type="auto"/>
            <w:hideMark/>
          </w:tcPr>
          <w:p w14:paraId="54265535"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Pr>
              <w:t>2</w:t>
            </w:r>
          </w:p>
        </w:tc>
        <w:tc>
          <w:tcPr>
            <w:tcW w:w="0" w:type="auto"/>
            <w:hideMark/>
          </w:tcPr>
          <w:p w14:paraId="5D9FA86C"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proofErr w:type="spellStart"/>
            <w:r w:rsidRPr="00EF5312">
              <w:rPr>
                <w:rFonts w:ascii="Traditional Arabic" w:hAnsi="Traditional Arabic" w:cs="Traditional Arabic" w:hint="cs"/>
                <w:color w:val="000000" w:themeColor="text1"/>
                <w:sz w:val="32"/>
                <w:szCs w:val="32"/>
                <w:rtl/>
              </w:rPr>
              <w:t>موافي</w:t>
            </w:r>
            <w:proofErr w:type="spellEnd"/>
            <w:r w:rsidRPr="00EF5312">
              <w:rPr>
                <w:rFonts w:ascii="Traditional Arabic" w:hAnsi="Traditional Arabic" w:cs="Traditional Arabic" w:hint="cs"/>
                <w:color w:val="000000" w:themeColor="text1"/>
                <w:sz w:val="32"/>
                <w:szCs w:val="32"/>
                <w:rtl/>
              </w:rPr>
              <w:t xml:space="preserve"> وبدوي</w:t>
            </w:r>
            <w:r w:rsidRPr="00EF5312">
              <w:rPr>
                <w:rFonts w:ascii="Traditional Arabic" w:hAnsi="Traditional Arabic" w:cs="Traditional Arabic" w:hint="cs"/>
                <w:color w:val="000000" w:themeColor="text1"/>
                <w:sz w:val="32"/>
                <w:szCs w:val="32"/>
              </w:rPr>
              <w:t xml:space="preserve"> (2024)</w:t>
            </w:r>
          </w:p>
        </w:tc>
        <w:tc>
          <w:tcPr>
            <w:tcW w:w="0" w:type="auto"/>
            <w:hideMark/>
          </w:tcPr>
          <w:p w14:paraId="510D0CBA"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التحول الرقمي – الأداء الوظيفي</w:t>
            </w:r>
          </w:p>
        </w:tc>
        <w:tc>
          <w:tcPr>
            <w:tcW w:w="0" w:type="auto"/>
            <w:hideMark/>
          </w:tcPr>
          <w:p w14:paraId="7CAE1F12"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وصفي ارتباطي + منهج مقارن</w:t>
            </w:r>
          </w:p>
        </w:tc>
        <w:tc>
          <w:tcPr>
            <w:tcW w:w="0" w:type="auto"/>
            <w:hideMark/>
          </w:tcPr>
          <w:p w14:paraId="3EEAFE22"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استبيان</w:t>
            </w:r>
          </w:p>
        </w:tc>
        <w:tc>
          <w:tcPr>
            <w:tcW w:w="0" w:type="auto"/>
            <w:hideMark/>
          </w:tcPr>
          <w:p w14:paraId="58243D49"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جميع العاملين بالشركات الرقمية</w:t>
            </w:r>
          </w:p>
        </w:tc>
        <w:tc>
          <w:tcPr>
            <w:tcW w:w="0" w:type="auto"/>
            <w:hideMark/>
          </w:tcPr>
          <w:p w14:paraId="014FF8AF"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علاقة قوية بين التحول الرقمي والأداء</w:t>
            </w:r>
          </w:p>
        </w:tc>
        <w:tc>
          <w:tcPr>
            <w:tcW w:w="0" w:type="auto"/>
            <w:hideMark/>
          </w:tcPr>
          <w:p w14:paraId="7403F8E9"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لا تتناول فاعلية اتخاذ القرار أو الشفافية كمتغير وسيط</w:t>
            </w:r>
          </w:p>
        </w:tc>
      </w:tr>
      <w:tr w:rsidR="00EF5312" w:rsidRPr="00EF5312" w14:paraId="3637B851" w14:textId="77777777" w:rsidTr="00C86D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1DB2656"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Pr>
              <w:lastRenderedPageBreak/>
              <w:t>3</w:t>
            </w:r>
          </w:p>
        </w:tc>
        <w:tc>
          <w:tcPr>
            <w:tcW w:w="0" w:type="auto"/>
            <w:hideMark/>
          </w:tcPr>
          <w:p w14:paraId="6F5A6816"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جاب الله وآخرون</w:t>
            </w:r>
            <w:r w:rsidRPr="00EF5312">
              <w:rPr>
                <w:rFonts w:ascii="Traditional Arabic" w:hAnsi="Traditional Arabic" w:cs="Traditional Arabic" w:hint="cs"/>
                <w:color w:val="000000" w:themeColor="text1"/>
                <w:sz w:val="32"/>
                <w:szCs w:val="32"/>
              </w:rPr>
              <w:t xml:space="preserve"> (2023)</w:t>
            </w:r>
          </w:p>
        </w:tc>
        <w:tc>
          <w:tcPr>
            <w:tcW w:w="0" w:type="auto"/>
            <w:hideMark/>
          </w:tcPr>
          <w:p w14:paraId="7A5812B1"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التحول الرقمي – الأداء المستدام</w:t>
            </w:r>
          </w:p>
        </w:tc>
        <w:tc>
          <w:tcPr>
            <w:tcW w:w="0" w:type="auto"/>
            <w:hideMark/>
          </w:tcPr>
          <w:p w14:paraId="1FD21680"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وصفي</w:t>
            </w:r>
            <w:r w:rsidRPr="00EF5312">
              <w:rPr>
                <w:rFonts w:ascii="Traditional Arabic" w:hAnsi="Traditional Arabic" w:cs="Traditional Arabic" w:hint="cs"/>
                <w:color w:val="000000" w:themeColor="text1"/>
                <w:sz w:val="32"/>
                <w:szCs w:val="32"/>
              </w:rPr>
              <w:t xml:space="preserve"> + SEM</w:t>
            </w:r>
          </w:p>
        </w:tc>
        <w:tc>
          <w:tcPr>
            <w:tcW w:w="0" w:type="auto"/>
            <w:hideMark/>
          </w:tcPr>
          <w:p w14:paraId="59B5EC43"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حصر شامل</w:t>
            </w:r>
          </w:p>
        </w:tc>
        <w:tc>
          <w:tcPr>
            <w:tcW w:w="0" w:type="auto"/>
            <w:hideMark/>
          </w:tcPr>
          <w:p w14:paraId="3335B649"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Pr>
              <w:t xml:space="preserve">210 </w:t>
            </w:r>
            <w:r w:rsidRPr="00EF5312">
              <w:rPr>
                <w:rFonts w:ascii="Traditional Arabic" w:hAnsi="Traditional Arabic" w:cs="Traditional Arabic" w:hint="cs"/>
                <w:color w:val="000000" w:themeColor="text1"/>
                <w:sz w:val="32"/>
                <w:szCs w:val="32"/>
                <w:rtl/>
              </w:rPr>
              <w:t>موظفًا</w:t>
            </w:r>
          </w:p>
        </w:tc>
        <w:tc>
          <w:tcPr>
            <w:tcW w:w="0" w:type="auto"/>
            <w:hideMark/>
          </w:tcPr>
          <w:p w14:paraId="2E9ED03C"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تأثير مباشر للتحول الرقمي على الأداء المستدام</w:t>
            </w:r>
          </w:p>
        </w:tc>
        <w:tc>
          <w:tcPr>
            <w:tcW w:w="0" w:type="auto"/>
            <w:hideMark/>
          </w:tcPr>
          <w:p w14:paraId="1DA74CBD"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لم تُضمّن الشفافية المعلوماتية أو القرار الاستراتيجي</w:t>
            </w:r>
          </w:p>
        </w:tc>
      </w:tr>
      <w:tr w:rsidR="00EF5312" w:rsidRPr="00EF5312" w14:paraId="09138BDC" w14:textId="77777777" w:rsidTr="00C86D8D">
        <w:tc>
          <w:tcPr>
            <w:cnfStyle w:val="001000000000" w:firstRow="0" w:lastRow="0" w:firstColumn="1" w:lastColumn="0" w:oddVBand="0" w:evenVBand="0" w:oddHBand="0" w:evenHBand="0" w:firstRowFirstColumn="0" w:firstRowLastColumn="0" w:lastRowFirstColumn="0" w:lastRowLastColumn="0"/>
            <w:tcW w:w="0" w:type="auto"/>
            <w:hideMark/>
          </w:tcPr>
          <w:p w14:paraId="12A6C41C"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Pr>
              <w:t>4</w:t>
            </w:r>
          </w:p>
        </w:tc>
        <w:tc>
          <w:tcPr>
            <w:tcW w:w="0" w:type="auto"/>
            <w:hideMark/>
          </w:tcPr>
          <w:p w14:paraId="22BE20FE"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الطيب</w:t>
            </w:r>
            <w:r w:rsidRPr="00EF5312">
              <w:rPr>
                <w:rFonts w:ascii="Traditional Arabic" w:hAnsi="Traditional Arabic" w:cs="Traditional Arabic" w:hint="cs"/>
                <w:color w:val="000000" w:themeColor="text1"/>
                <w:sz w:val="32"/>
                <w:szCs w:val="32"/>
              </w:rPr>
              <w:t xml:space="preserve"> (2024)</w:t>
            </w:r>
          </w:p>
        </w:tc>
        <w:tc>
          <w:tcPr>
            <w:tcW w:w="0" w:type="auto"/>
            <w:hideMark/>
          </w:tcPr>
          <w:p w14:paraId="73047A4D"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التحول الرقمي – الثقافة التنظيمية – المرونة التنظيمية</w:t>
            </w:r>
          </w:p>
        </w:tc>
        <w:tc>
          <w:tcPr>
            <w:tcW w:w="0" w:type="auto"/>
            <w:hideMark/>
          </w:tcPr>
          <w:p w14:paraId="0DD4C780"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وصفي</w:t>
            </w:r>
          </w:p>
        </w:tc>
        <w:tc>
          <w:tcPr>
            <w:tcW w:w="0" w:type="auto"/>
            <w:hideMark/>
          </w:tcPr>
          <w:p w14:paraId="36F61FCA"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استبيان</w:t>
            </w:r>
          </w:p>
        </w:tc>
        <w:tc>
          <w:tcPr>
            <w:tcW w:w="0" w:type="auto"/>
            <w:hideMark/>
          </w:tcPr>
          <w:p w14:paraId="1B2E5B42"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موظفو البنوك الحكومية</w:t>
            </w:r>
          </w:p>
        </w:tc>
        <w:tc>
          <w:tcPr>
            <w:tcW w:w="0" w:type="auto"/>
            <w:hideMark/>
          </w:tcPr>
          <w:p w14:paraId="5C6FA268"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أثر التحول الإداري فقط على المرونة + دور وسيط للثقافة</w:t>
            </w:r>
          </w:p>
        </w:tc>
        <w:tc>
          <w:tcPr>
            <w:tcW w:w="0" w:type="auto"/>
            <w:hideMark/>
          </w:tcPr>
          <w:p w14:paraId="41B648CC"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لم تدرس فاعلية اتخاذ القرار ولا الشفافية المعلوماتية</w:t>
            </w:r>
          </w:p>
        </w:tc>
      </w:tr>
      <w:tr w:rsidR="00EF5312" w:rsidRPr="00EF5312" w14:paraId="087C96FD" w14:textId="77777777" w:rsidTr="00C86D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DE930EA"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Pr>
              <w:t>5</w:t>
            </w:r>
          </w:p>
        </w:tc>
        <w:tc>
          <w:tcPr>
            <w:tcW w:w="0" w:type="auto"/>
            <w:hideMark/>
          </w:tcPr>
          <w:p w14:paraId="0606717B"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العزب وآخرون</w:t>
            </w:r>
            <w:r w:rsidRPr="00EF5312">
              <w:rPr>
                <w:rFonts w:ascii="Traditional Arabic" w:hAnsi="Traditional Arabic" w:cs="Traditional Arabic" w:hint="cs"/>
                <w:color w:val="000000" w:themeColor="text1"/>
                <w:sz w:val="32"/>
                <w:szCs w:val="32"/>
              </w:rPr>
              <w:t xml:space="preserve"> (2023)</w:t>
            </w:r>
          </w:p>
        </w:tc>
        <w:tc>
          <w:tcPr>
            <w:tcW w:w="0" w:type="auto"/>
            <w:hideMark/>
          </w:tcPr>
          <w:p w14:paraId="403C2173"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التحول الرقمي – تمكين الموارد البشرية</w:t>
            </w:r>
          </w:p>
        </w:tc>
        <w:tc>
          <w:tcPr>
            <w:tcW w:w="0" w:type="auto"/>
            <w:hideMark/>
          </w:tcPr>
          <w:p w14:paraId="5DDC013B"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وصفي</w:t>
            </w:r>
          </w:p>
        </w:tc>
        <w:tc>
          <w:tcPr>
            <w:tcW w:w="0" w:type="auto"/>
            <w:hideMark/>
          </w:tcPr>
          <w:p w14:paraId="5C282713"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استبيان</w:t>
            </w:r>
          </w:p>
        </w:tc>
        <w:tc>
          <w:tcPr>
            <w:tcW w:w="0" w:type="auto"/>
            <w:hideMark/>
          </w:tcPr>
          <w:p w14:paraId="0B6FDA4C"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Pr>
              <w:t xml:space="preserve">332 </w:t>
            </w:r>
            <w:r w:rsidRPr="00EF5312">
              <w:rPr>
                <w:rFonts w:ascii="Traditional Arabic" w:hAnsi="Traditional Arabic" w:cs="Traditional Arabic" w:hint="cs"/>
                <w:color w:val="000000" w:themeColor="text1"/>
                <w:sz w:val="32"/>
                <w:szCs w:val="32"/>
                <w:rtl/>
              </w:rPr>
              <w:t>موظفًا</w:t>
            </w:r>
          </w:p>
        </w:tc>
        <w:tc>
          <w:tcPr>
            <w:tcW w:w="0" w:type="auto"/>
            <w:hideMark/>
          </w:tcPr>
          <w:p w14:paraId="5D1659A5"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علاقة إيجابية بين التحول الرقمي وتمكين الموارد</w:t>
            </w:r>
          </w:p>
        </w:tc>
        <w:tc>
          <w:tcPr>
            <w:tcW w:w="0" w:type="auto"/>
            <w:hideMark/>
          </w:tcPr>
          <w:p w14:paraId="3D79E615"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التركيز على الموارد البشرية وليس القرار الاستراتيجي أو الشفافية</w:t>
            </w:r>
          </w:p>
        </w:tc>
      </w:tr>
      <w:tr w:rsidR="00EF5312" w:rsidRPr="00EF5312" w14:paraId="772118A5" w14:textId="77777777" w:rsidTr="00C86D8D">
        <w:tc>
          <w:tcPr>
            <w:cnfStyle w:val="001000000000" w:firstRow="0" w:lastRow="0" w:firstColumn="1" w:lastColumn="0" w:oddVBand="0" w:evenVBand="0" w:oddHBand="0" w:evenHBand="0" w:firstRowFirstColumn="0" w:firstRowLastColumn="0" w:lastRowFirstColumn="0" w:lastRowLastColumn="0"/>
            <w:tcW w:w="0" w:type="auto"/>
            <w:hideMark/>
          </w:tcPr>
          <w:p w14:paraId="2EB915D8"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Pr>
              <w:t>6</w:t>
            </w:r>
          </w:p>
        </w:tc>
        <w:tc>
          <w:tcPr>
            <w:tcW w:w="0" w:type="auto"/>
            <w:hideMark/>
          </w:tcPr>
          <w:p w14:paraId="0D87C036"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Pr>
              <w:t>Rosa et al. (2022)</w:t>
            </w:r>
          </w:p>
        </w:tc>
        <w:tc>
          <w:tcPr>
            <w:tcW w:w="0" w:type="auto"/>
            <w:hideMark/>
          </w:tcPr>
          <w:p w14:paraId="2BE588B2"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 xml:space="preserve">الذكاء الاصطناعي – </w:t>
            </w:r>
            <w:r w:rsidRPr="00EF5312">
              <w:rPr>
                <w:rFonts w:ascii="Traditional Arabic" w:hAnsi="Traditional Arabic" w:cs="Traditional Arabic" w:hint="cs"/>
                <w:color w:val="000000" w:themeColor="text1"/>
                <w:sz w:val="32"/>
                <w:szCs w:val="32"/>
                <w:rtl/>
              </w:rPr>
              <w:lastRenderedPageBreak/>
              <w:t>التسويق – التحديات</w:t>
            </w:r>
          </w:p>
        </w:tc>
        <w:tc>
          <w:tcPr>
            <w:tcW w:w="0" w:type="auto"/>
            <w:hideMark/>
          </w:tcPr>
          <w:p w14:paraId="1FB9ED88"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lastRenderedPageBreak/>
              <w:t>نوعي (مقابلات)</w:t>
            </w:r>
          </w:p>
        </w:tc>
        <w:tc>
          <w:tcPr>
            <w:tcW w:w="0" w:type="auto"/>
            <w:hideMark/>
          </w:tcPr>
          <w:p w14:paraId="3ADA3E38"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مقابلات</w:t>
            </w:r>
          </w:p>
        </w:tc>
        <w:tc>
          <w:tcPr>
            <w:tcW w:w="0" w:type="auto"/>
            <w:hideMark/>
          </w:tcPr>
          <w:p w14:paraId="6191AC94"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Pr>
              <w:t xml:space="preserve">21 </w:t>
            </w:r>
            <w:r w:rsidRPr="00EF5312">
              <w:rPr>
                <w:rFonts w:ascii="Traditional Arabic" w:hAnsi="Traditional Arabic" w:cs="Traditional Arabic" w:hint="cs"/>
                <w:color w:val="000000" w:themeColor="text1"/>
                <w:sz w:val="32"/>
                <w:szCs w:val="32"/>
                <w:rtl/>
              </w:rPr>
              <w:t>مهنيًا</w:t>
            </w:r>
          </w:p>
        </w:tc>
        <w:tc>
          <w:tcPr>
            <w:tcW w:w="0" w:type="auto"/>
            <w:hideMark/>
          </w:tcPr>
          <w:p w14:paraId="2C96997C"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 xml:space="preserve">أهمية الذكاء الاصطناعي </w:t>
            </w:r>
            <w:r w:rsidRPr="00EF5312">
              <w:rPr>
                <w:rFonts w:ascii="Traditional Arabic" w:hAnsi="Traditional Arabic" w:cs="Traditional Arabic" w:hint="cs"/>
                <w:color w:val="000000" w:themeColor="text1"/>
                <w:sz w:val="32"/>
                <w:szCs w:val="32"/>
                <w:rtl/>
              </w:rPr>
              <w:lastRenderedPageBreak/>
              <w:t>والتحديات المرتبطة به</w:t>
            </w:r>
          </w:p>
        </w:tc>
        <w:tc>
          <w:tcPr>
            <w:tcW w:w="0" w:type="auto"/>
            <w:hideMark/>
          </w:tcPr>
          <w:p w14:paraId="288AFD38"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lastRenderedPageBreak/>
              <w:t>لا تتناول القرار الاستراتيج</w:t>
            </w:r>
            <w:r w:rsidRPr="00EF5312">
              <w:rPr>
                <w:rFonts w:ascii="Traditional Arabic" w:hAnsi="Traditional Arabic" w:cs="Traditional Arabic" w:hint="cs"/>
                <w:color w:val="000000" w:themeColor="text1"/>
                <w:sz w:val="32"/>
                <w:szCs w:val="32"/>
                <w:rtl/>
              </w:rPr>
              <w:lastRenderedPageBreak/>
              <w:t>ي أو الشفافية</w:t>
            </w:r>
          </w:p>
        </w:tc>
      </w:tr>
      <w:tr w:rsidR="00EF5312" w:rsidRPr="00EF5312" w14:paraId="7612F035" w14:textId="77777777" w:rsidTr="00C86D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BBB60D6"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Pr>
              <w:lastRenderedPageBreak/>
              <w:t>7</w:t>
            </w:r>
          </w:p>
        </w:tc>
        <w:tc>
          <w:tcPr>
            <w:tcW w:w="0" w:type="auto"/>
            <w:hideMark/>
          </w:tcPr>
          <w:p w14:paraId="6E7EC4FC"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Pr>
              <w:t>Savchuk et al. (2024)</w:t>
            </w:r>
          </w:p>
        </w:tc>
        <w:tc>
          <w:tcPr>
            <w:tcW w:w="0" w:type="auto"/>
            <w:hideMark/>
          </w:tcPr>
          <w:p w14:paraId="1057F02F"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التحول الرقمي – دمج العمليات – القرار الإداري</w:t>
            </w:r>
          </w:p>
        </w:tc>
        <w:tc>
          <w:tcPr>
            <w:tcW w:w="0" w:type="auto"/>
            <w:hideMark/>
          </w:tcPr>
          <w:p w14:paraId="18A5FFA3"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كمي تحليلي</w:t>
            </w:r>
          </w:p>
        </w:tc>
        <w:tc>
          <w:tcPr>
            <w:tcW w:w="0" w:type="auto"/>
            <w:hideMark/>
          </w:tcPr>
          <w:p w14:paraId="334CCB69"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تحليل عمليات</w:t>
            </w:r>
          </w:p>
        </w:tc>
        <w:tc>
          <w:tcPr>
            <w:tcW w:w="0" w:type="auto"/>
            <w:hideMark/>
          </w:tcPr>
          <w:p w14:paraId="242441A7"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شركات النقل</w:t>
            </w:r>
          </w:p>
        </w:tc>
        <w:tc>
          <w:tcPr>
            <w:tcW w:w="0" w:type="auto"/>
            <w:hideMark/>
          </w:tcPr>
          <w:p w14:paraId="1DF77A96"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تحسن الكفاءة والقرارات بفضل التحول الرقمي</w:t>
            </w:r>
          </w:p>
        </w:tc>
        <w:tc>
          <w:tcPr>
            <w:tcW w:w="0" w:type="auto"/>
            <w:hideMark/>
          </w:tcPr>
          <w:p w14:paraId="3A269AF1"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لم يدمج الشفافية المعلوماتية كمتغير وسيط</w:t>
            </w:r>
          </w:p>
        </w:tc>
      </w:tr>
      <w:tr w:rsidR="00EF5312" w:rsidRPr="00EF5312" w14:paraId="706B06B0" w14:textId="77777777" w:rsidTr="00C86D8D">
        <w:tc>
          <w:tcPr>
            <w:cnfStyle w:val="001000000000" w:firstRow="0" w:lastRow="0" w:firstColumn="1" w:lastColumn="0" w:oddVBand="0" w:evenVBand="0" w:oddHBand="0" w:evenHBand="0" w:firstRowFirstColumn="0" w:firstRowLastColumn="0" w:lastRowFirstColumn="0" w:lastRowLastColumn="0"/>
            <w:tcW w:w="0" w:type="auto"/>
            <w:hideMark/>
          </w:tcPr>
          <w:p w14:paraId="4F96073B"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Pr>
              <w:t>8</w:t>
            </w:r>
          </w:p>
        </w:tc>
        <w:tc>
          <w:tcPr>
            <w:tcW w:w="0" w:type="auto"/>
            <w:hideMark/>
          </w:tcPr>
          <w:p w14:paraId="49A04484"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proofErr w:type="spellStart"/>
            <w:r w:rsidRPr="00EF5312">
              <w:rPr>
                <w:rFonts w:ascii="Traditional Arabic" w:hAnsi="Traditional Arabic" w:cs="Traditional Arabic" w:hint="cs"/>
                <w:color w:val="000000" w:themeColor="text1"/>
                <w:sz w:val="32"/>
                <w:szCs w:val="32"/>
              </w:rPr>
              <w:t>Bozintan</w:t>
            </w:r>
            <w:proofErr w:type="spellEnd"/>
            <w:r w:rsidRPr="00EF5312">
              <w:rPr>
                <w:rFonts w:ascii="Traditional Arabic" w:hAnsi="Traditional Arabic" w:cs="Traditional Arabic" w:hint="cs"/>
                <w:color w:val="000000" w:themeColor="text1"/>
                <w:sz w:val="32"/>
                <w:szCs w:val="32"/>
              </w:rPr>
              <w:t xml:space="preserve"> et al. (2023)</w:t>
            </w:r>
          </w:p>
        </w:tc>
        <w:tc>
          <w:tcPr>
            <w:tcW w:w="0" w:type="auto"/>
            <w:hideMark/>
          </w:tcPr>
          <w:p w14:paraId="24714CE1"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التحول الرقمي – الإدارة الاستراتيجية</w:t>
            </w:r>
          </w:p>
        </w:tc>
        <w:tc>
          <w:tcPr>
            <w:tcW w:w="0" w:type="auto"/>
            <w:hideMark/>
          </w:tcPr>
          <w:p w14:paraId="299F0DCF"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تحليلي (مراجعة أدبيات)</w:t>
            </w:r>
          </w:p>
        </w:tc>
        <w:tc>
          <w:tcPr>
            <w:tcW w:w="0" w:type="auto"/>
            <w:hideMark/>
          </w:tcPr>
          <w:p w14:paraId="55E18F45"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مراجعة</w:t>
            </w:r>
          </w:p>
        </w:tc>
        <w:tc>
          <w:tcPr>
            <w:tcW w:w="0" w:type="auto"/>
            <w:hideMark/>
          </w:tcPr>
          <w:p w14:paraId="4942386F"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دراسات سابقة</w:t>
            </w:r>
          </w:p>
        </w:tc>
        <w:tc>
          <w:tcPr>
            <w:tcW w:w="0" w:type="auto"/>
            <w:hideMark/>
          </w:tcPr>
          <w:p w14:paraId="0C7BE985"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دخول خصائص جديدة للإدارة الاستراتيجية</w:t>
            </w:r>
          </w:p>
        </w:tc>
        <w:tc>
          <w:tcPr>
            <w:tcW w:w="0" w:type="auto"/>
            <w:hideMark/>
          </w:tcPr>
          <w:p w14:paraId="08BA5C13"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غياب البعد التجريبي ودور الشفافية أو القرار الاستراتيجي المنظّم</w:t>
            </w:r>
          </w:p>
        </w:tc>
      </w:tr>
      <w:tr w:rsidR="00EF5312" w:rsidRPr="00EF5312" w14:paraId="1E11D9A9" w14:textId="77777777" w:rsidTr="00C86D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4EC7A35"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Pr>
              <w:t>9</w:t>
            </w:r>
          </w:p>
        </w:tc>
        <w:tc>
          <w:tcPr>
            <w:tcW w:w="0" w:type="auto"/>
            <w:hideMark/>
          </w:tcPr>
          <w:p w14:paraId="0F192F3B"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Pr>
              <w:t>Shirokova et al. (2020)</w:t>
            </w:r>
          </w:p>
        </w:tc>
        <w:tc>
          <w:tcPr>
            <w:tcW w:w="0" w:type="auto"/>
            <w:hideMark/>
          </w:tcPr>
          <w:p w14:paraId="54359418"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التحول الرقمي – اتخاذ القرار – التطوير المؤسسي</w:t>
            </w:r>
          </w:p>
        </w:tc>
        <w:tc>
          <w:tcPr>
            <w:tcW w:w="0" w:type="auto"/>
            <w:hideMark/>
          </w:tcPr>
          <w:p w14:paraId="267F3643"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تحليلي – دراسة حالة</w:t>
            </w:r>
          </w:p>
        </w:tc>
        <w:tc>
          <w:tcPr>
            <w:tcW w:w="0" w:type="auto"/>
            <w:hideMark/>
          </w:tcPr>
          <w:p w14:paraId="79515E23"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تحليل بيانات</w:t>
            </w:r>
          </w:p>
        </w:tc>
        <w:tc>
          <w:tcPr>
            <w:tcW w:w="0" w:type="auto"/>
            <w:hideMark/>
          </w:tcPr>
          <w:p w14:paraId="41954E97"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حالة واحدة</w:t>
            </w:r>
          </w:p>
        </w:tc>
        <w:tc>
          <w:tcPr>
            <w:tcW w:w="0" w:type="auto"/>
            <w:hideMark/>
          </w:tcPr>
          <w:p w14:paraId="17F4C3A9"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الحلول الرقمية أساسية لاتخاذ القرار السليم</w:t>
            </w:r>
          </w:p>
        </w:tc>
        <w:tc>
          <w:tcPr>
            <w:tcW w:w="0" w:type="auto"/>
            <w:hideMark/>
          </w:tcPr>
          <w:p w14:paraId="2402E4D7"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لا يتناول الشفافية كمكوّن حاكم في العلاقة</w:t>
            </w:r>
          </w:p>
        </w:tc>
      </w:tr>
      <w:tr w:rsidR="00EF5312" w:rsidRPr="00EF5312" w14:paraId="3D7A4DF3" w14:textId="77777777" w:rsidTr="00C86D8D">
        <w:tc>
          <w:tcPr>
            <w:cnfStyle w:val="001000000000" w:firstRow="0" w:lastRow="0" w:firstColumn="1" w:lastColumn="0" w:oddVBand="0" w:evenVBand="0" w:oddHBand="0" w:evenHBand="0" w:firstRowFirstColumn="0" w:firstRowLastColumn="0" w:lastRowFirstColumn="0" w:lastRowLastColumn="0"/>
            <w:tcW w:w="0" w:type="auto"/>
            <w:hideMark/>
          </w:tcPr>
          <w:p w14:paraId="2DD7DBCC"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Pr>
              <w:t>10</w:t>
            </w:r>
          </w:p>
        </w:tc>
        <w:tc>
          <w:tcPr>
            <w:tcW w:w="0" w:type="auto"/>
            <w:hideMark/>
          </w:tcPr>
          <w:p w14:paraId="4D17EBD0"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proofErr w:type="spellStart"/>
            <w:r w:rsidRPr="00EF5312">
              <w:rPr>
                <w:rFonts w:ascii="Traditional Arabic" w:hAnsi="Traditional Arabic" w:cs="Traditional Arabic" w:hint="cs"/>
                <w:color w:val="000000" w:themeColor="text1"/>
                <w:sz w:val="32"/>
                <w:szCs w:val="32"/>
              </w:rPr>
              <w:t>Yulion</w:t>
            </w:r>
            <w:proofErr w:type="spellEnd"/>
            <w:r w:rsidRPr="00EF5312">
              <w:rPr>
                <w:rFonts w:ascii="Traditional Arabic" w:hAnsi="Traditional Arabic" w:cs="Traditional Arabic" w:hint="cs"/>
                <w:color w:val="000000" w:themeColor="text1"/>
                <w:sz w:val="32"/>
                <w:szCs w:val="32"/>
              </w:rPr>
              <w:t xml:space="preserve"> et al. (2024)</w:t>
            </w:r>
          </w:p>
        </w:tc>
        <w:tc>
          <w:tcPr>
            <w:tcW w:w="0" w:type="auto"/>
            <w:hideMark/>
          </w:tcPr>
          <w:p w14:paraId="29BE6813"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القرارات الاستراتيج</w:t>
            </w:r>
            <w:r w:rsidRPr="00EF5312">
              <w:rPr>
                <w:rFonts w:ascii="Traditional Arabic" w:hAnsi="Traditional Arabic" w:cs="Traditional Arabic" w:hint="cs"/>
                <w:color w:val="000000" w:themeColor="text1"/>
                <w:sz w:val="32"/>
                <w:szCs w:val="32"/>
                <w:rtl/>
              </w:rPr>
              <w:lastRenderedPageBreak/>
              <w:t>ية – الاستدامة</w:t>
            </w:r>
          </w:p>
        </w:tc>
        <w:tc>
          <w:tcPr>
            <w:tcW w:w="0" w:type="auto"/>
            <w:hideMark/>
          </w:tcPr>
          <w:p w14:paraId="08AB6EC2"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lastRenderedPageBreak/>
              <w:t>نوعي</w:t>
            </w:r>
          </w:p>
        </w:tc>
        <w:tc>
          <w:tcPr>
            <w:tcW w:w="0" w:type="auto"/>
            <w:hideMark/>
          </w:tcPr>
          <w:p w14:paraId="33C4B163"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تحليل وثائق</w:t>
            </w:r>
          </w:p>
        </w:tc>
        <w:tc>
          <w:tcPr>
            <w:tcW w:w="0" w:type="auto"/>
            <w:hideMark/>
          </w:tcPr>
          <w:p w14:paraId="1BD6038D"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وثائق وتقارير</w:t>
            </w:r>
          </w:p>
        </w:tc>
        <w:tc>
          <w:tcPr>
            <w:tcW w:w="0" w:type="auto"/>
            <w:hideMark/>
          </w:tcPr>
          <w:p w14:paraId="7C52F0DD"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 xml:space="preserve">تأثير القرارات </w:t>
            </w:r>
            <w:r w:rsidRPr="00EF5312">
              <w:rPr>
                <w:rFonts w:ascii="Traditional Arabic" w:hAnsi="Traditional Arabic" w:cs="Traditional Arabic" w:hint="cs"/>
                <w:color w:val="000000" w:themeColor="text1"/>
                <w:sz w:val="32"/>
                <w:szCs w:val="32"/>
                <w:rtl/>
              </w:rPr>
              <w:lastRenderedPageBreak/>
              <w:t>على كفاءة التشغيل</w:t>
            </w:r>
          </w:p>
        </w:tc>
        <w:tc>
          <w:tcPr>
            <w:tcW w:w="0" w:type="auto"/>
            <w:hideMark/>
          </w:tcPr>
          <w:p w14:paraId="14EF5AC7"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lastRenderedPageBreak/>
              <w:t xml:space="preserve">لم تدرس دور </w:t>
            </w:r>
            <w:r w:rsidRPr="00EF5312">
              <w:rPr>
                <w:rFonts w:ascii="Traditional Arabic" w:hAnsi="Traditional Arabic" w:cs="Traditional Arabic" w:hint="cs"/>
                <w:color w:val="000000" w:themeColor="text1"/>
                <w:sz w:val="32"/>
                <w:szCs w:val="32"/>
                <w:rtl/>
              </w:rPr>
              <w:lastRenderedPageBreak/>
              <w:t>التحول الرقمي ولا الشفافية</w:t>
            </w:r>
          </w:p>
        </w:tc>
      </w:tr>
      <w:tr w:rsidR="00EF5312" w:rsidRPr="00EF5312" w14:paraId="56DC94FE" w14:textId="77777777" w:rsidTr="00C86D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80D2BF6"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Pr>
              <w:lastRenderedPageBreak/>
              <w:t>11</w:t>
            </w:r>
          </w:p>
        </w:tc>
        <w:tc>
          <w:tcPr>
            <w:tcW w:w="0" w:type="auto"/>
            <w:hideMark/>
          </w:tcPr>
          <w:p w14:paraId="4C5C372F"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Pr>
              <w:t>van Wyk (2023)</w:t>
            </w:r>
          </w:p>
        </w:tc>
        <w:tc>
          <w:tcPr>
            <w:tcW w:w="0" w:type="auto"/>
            <w:hideMark/>
          </w:tcPr>
          <w:p w14:paraId="08BDF678"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اتخاذ القرار الاستراتيجي – منهجية معيارية</w:t>
            </w:r>
          </w:p>
        </w:tc>
        <w:tc>
          <w:tcPr>
            <w:tcW w:w="0" w:type="auto"/>
            <w:hideMark/>
          </w:tcPr>
          <w:p w14:paraId="7AA51EC0"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نوعي</w:t>
            </w:r>
            <w:r w:rsidRPr="00EF5312">
              <w:rPr>
                <w:rFonts w:ascii="Traditional Arabic" w:hAnsi="Traditional Arabic" w:cs="Traditional Arabic" w:hint="cs"/>
                <w:color w:val="000000" w:themeColor="text1"/>
                <w:sz w:val="32"/>
                <w:szCs w:val="32"/>
              </w:rPr>
              <w:t xml:space="preserve"> – Delphi</w:t>
            </w:r>
          </w:p>
        </w:tc>
        <w:tc>
          <w:tcPr>
            <w:tcW w:w="0" w:type="auto"/>
            <w:hideMark/>
          </w:tcPr>
          <w:p w14:paraId="2B999EB1"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استبانة + تحليل موضوعي</w:t>
            </w:r>
          </w:p>
        </w:tc>
        <w:tc>
          <w:tcPr>
            <w:tcW w:w="0" w:type="auto"/>
            <w:hideMark/>
          </w:tcPr>
          <w:p w14:paraId="3F69B85A"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Pr>
              <w:t xml:space="preserve">20 </w:t>
            </w:r>
            <w:r w:rsidRPr="00EF5312">
              <w:rPr>
                <w:rFonts w:ascii="Traditional Arabic" w:hAnsi="Traditional Arabic" w:cs="Traditional Arabic" w:hint="cs"/>
                <w:color w:val="000000" w:themeColor="text1"/>
                <w:sz w:val="32"/>
                <w:szCs w:val="32"/>
                <w:rtl/>
              </w:rPr>
              <w:t>ثم 10 مشاركين</w:t>
            </w:r>
          </w:p>
        </w:tc>
        <w:tc>
          <w:tcPr>
            <w:tcW w:w="0" w:type="auto"/>
            <w:hideMark/>
          </w:tcPr>
          <w:p w14:paraId="55D23C8B"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تحديد عملية مرجعية لاتخاذ القرار</w:t>
            </w:r>
          </w:p>
        </w:tc>
        <w:tc>
          <w:tcPr>
            <w:tcW w:w="0" w:type="auto"/>
            <w:hideMark/>
          </w:tcPr>
          <w:p w14:paraId="7D699741"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لم تعالج أثر التحول الرقمي أو الشفافية المعلوماتية</w:t>
            </w:r>
          </w:p>
        </w:tc>
      </w:tr>
      <w:tr w:rsidR="00EF5312" w:rsidRPr="00EF5312" w14:paraId="24824E7C" w14:textId="77777777" w:rsidTr="00C86D8D">
        <w:tc>
          <w:tcPr>
            <w:cnfStyle w:val="001000000000" w:firstRow="0" w:lastRow="0" w:firstColumn="1" w:lastColumn="0" w:oddVBand="0" w:evenVBand="0" w:oddHBand="0" w:evenHBand="0" w:firstRowFirstColumn="0" w:firstRowLastColumn="0" w:lastRowFirstColumn="0" w:lastRowLastColumn="0"/>
            <w:tcW w:w="0" w:type="auto"/>
            <w:hideMark/>
          </w:tcPr>
          <w:p w14:paraId="674CC231"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Pr>
              <w:t>12</w:t>
            </w:r>
          </w:p>
        </w:tc>
        <w:tc>
          <w:tcPr>
            <w:tcW w:w="0" w:type="auto"/>
            <w:hideMark/>
          </w:tcPr>
          <w:p w14:paraId="06C2BD8D"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تركمان وآخرون</w:t>
            </w:r>
            <w:r w:rsidRPr="00EF5312">
              <w:rPr>
                <w:rFonts w:ascii="Traditional Arabic" w:hAnsi="Traditional Arabic" w:cs="Traditional Arabic" w:hint="cs"/>
                <w:color w:val="000000" w:themeColor="text1"/>
                <w:sz w:val="32"/>
                <w:szCs w:val="32"/>
              </w:rPr>
              <w:t xml:space="preserve"> (2023)</w:t>
            </w:r>
          </w:p>
        </w:tc>
        <w:tc>
          <w:tcPr>
            <w:tcW w:w="0" w:type="auto"/>
            <w:hideMark/>
          </w:tcPr>
          <w:p w14:paraId="77EE8557"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القرار الاستراتيجي – الأداء التنظيمي</w:t>
            </w:r>
          </w:p>
        </w:tc>
        <w:tc>
          <w:tcPr>
            <w:tcW w:w="0" w:type="auto"/>
            <w:hideMark/>
          </w:tcPr>
          <w:p w14:paraId="147E4083"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وصفي تحليلي</w:t>
            </w:r>
          </w:p>
        </w:tc>
        <w:tc>
          <w:tcPr>
            <w:tcW w:w="0" w:type="auto"/>
            <w:hideMark/>
          </w:tcPr>
          <w:p w14:paraId="4A7D9644"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استبيان</w:t>
            </w:r>
          </w:p>
        </w:tc>
        <w:tc>
          <w:tcPr>
            <w:tcW w:w="0" w:type="auto"/>
            <w:hideMark/>
          </w:tcPr>
          <w:p w14:paraId="4EFA7CC7"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Pr>
              <w:t xml:space="preserve">120 </w:t>
            </w:r>
            <w:r w:rsidRPr="00EF5312">
              <w:rPr>
                <w:rFonts w:ascii="Traditional Arabic" w:hAnsi="Traditional Arabic" w:cs="Traditional Arabic" w:hint="cs"/>
                <w:color w:val="000000" w:themeColor="text1"/>
                <w:sz w:val="32"/>
                <w:szCs w:val="32"/>
                <w:rtl/>
              </w:rPr>
              <w:t>موظفًا</w:t>
            </w:r>
          </w:p>
        </w:tc>
        <w:tc>
          <w:tcPr>
            <w:tcW w:w="0" w:type="auto"/>
            <w:hideMark/>
          </w:tcPr>
          <w:p w14:paraId="7A91C278"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تأثير معنوي للقرار على الأداء</w:t>
            </w:r>
          </w:p>
        </w:tc>
        <w:tc>
          <w:tcPr>
            <w:tcW w:w="0" w:type="auto"/>
            <w:hideMark/>
          </w:tcPr>
          <w:p w14:paraId="44DE702D"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لم يتناول دور التحول الرقمي أو الشفافية</w:t>
            </w:r>
          </w:p>
        </w:tc>
      </w:tr>
      <w:tr w:rsidR="00EF5312" w:rsidRPr="00EF5312" w14:paraId="0EC72C20" w14:textId="77777777" w:rsidTr="00C86D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609A03F"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Pr>
              <w:t>13</w:t>
            </w:r>
          </w:p>
        </w:tc>
        <w:tc>
          <w:tcPr>
            <w:tcW w:w="0" w:type="auto"/>
            <w:hideMark/>
          </w:tcPr>
          <w:p w14:paraId="2A556961"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النايف</w:t>
            </w:r>
            <w:r w:rsidRPr="00EF5312">
              <w:rPr>
                <w:rFonts w:ascii="Traditional Arabic" w:hAnsi="Traditional Arabic" w:cs="Traditional Arabic" w:hint="cs"/>
                <w:color w:val="000000" w:themeColor="text1"/>
                <w:sz w:val="32"/>
                <w:szCs w:val="32"/>
              </w:rPr>
              <w:t xml:space="preserve"> (2021)</w:t>
            </w:r>
          </w:p>
        </w:tc>
        <w:tc>
          <w:tcPr>
            <w:tcW w:w="0" w:type="auto"/>
            <w:hideMark/>
          </w:tcPr>
          <w:p w14:paraId="29B87592"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الذكاء الاستراتيجي – اتخاذ القرار الإداري</w:t>
            </w:r>
          </w:p>
        </w:tc>
        <w:tc>
          <w:tcPr>
            <w:tcW w:w="0" w:type="auto"/>
            <w:hideMark/>
          </w:tcPr>
          <w:p w14:paraId="248338E2"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وصفي</w:t>
            </w:r>
          </w:p>
        </w:tc>
        <w:tc>
          <w:tcPr>
            <w:tcW w:w="0" w:type="auto"/>
            <w:hideMark/>
          </w:tcPr>
          <w:p w14:paraId="5929FD95"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مقياسان</w:t>
            </w:r>
          </w:p>
        </w:tc>
        <w:tc>
          <w:tcPr>
            <w:tcW w:w="0" w:type="auto"/>
            <w:hideMark/>
          </w:tcPr>
          <w:p w14:paraId="3AF221E8"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Pr>
              <w:t xml:space="preserve">219 </w:t>
            </w:r>
            <w:r w:rsidRPr="00EF5312">
              <w:rPr>
                <w:rFonts w:ascii="Traditional Arabic" w:hAnsi="Traditional Arabic" w:cs="Traditional Arabic" w:hint="cs"/>
                <w:color w:val="000000" w:themeColor="text1"/>
                <w:sz w:val="32"/>
                <w:szCs w:val="32"/>
                <w:rtl/>
              </w:rPr>
              <w:t>عضو هيئة تدريس</w:t>
            </w:r>
          </w:p>
        </w:tc>
        <w:tc>
          <w:tcPr>
            <w:tcW w:w="0" w:type="auto"/>
            <w:hideMark/>
          </w:tcPr>
          <w:p w14:paraId="760BA6E2"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علاقة دالة بين الذكاء الاستراتيجي واتخاذ القرار</w:t>
            </w:r>
          </w:p>
        </w:tc>
        <w:tc>
          <w:tcPr>
            <w:tcW w:w="0" w:type="auto"/>
            <w:hideMark/>
          </w:tcPr>
          <w:p w14:paraId="380E11A1"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لا علاقة بالتحول الرقمي أو الشفافية المعلوماتية</w:t>
            </w:r>
          </w:p>
        </w:tc>
      </w:tr>
      <w:tr w:rsidR="00EF5312" w:rsidRPr="00EF5312" w14:paraId="74249169" w14:textId="77777777" w:rsidTr="00C86D8D">
        <w:tc>
          <w:tcPr>
            <w:cnfStyle w:val="001000000000" w:firstRow="0" w:lastRow="0" w:firstColumn="1" w:lastColumn="0" w:oddVBand="0" w:evenVBand="0" w:oddHBand="0" w:evenHBand="0" w:firstRowFirstColumn="0" w:firstRowLastColumn="0" w:lastRowFirstColumn="0" w:lastRowLastColumn="0"/>
            <w:tcW w:w="0" w:type="auto"/>
            <w:hideMark/>
          </w:tcPr>
          <w:p w14:paraId="09F48AEA"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Pr>
              <w:t>14</w:t>
            </w:r>
          </w:p>
        </w:tc>
        <w:tc>
          <w:tcPr>
            <w:tcW w:w="0" w:type="auto"/>
            <w:hideMark/>
          </w:tcPr>
          <w:p w14:paraId="0581EAD5"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إسماعيل والراشد</w:t>
            </w:r>
            <w:r w:rsidRPr="00EF5312">
              <w:rPr>
                <w:rFonts w:ascii="Traditional Arabic" w:hAnsi="Traditional Arabic" w:cs="Traditional Arabic" w:hint="cs"/>
                <w:color w:val="000000" w:themeColor="text1"/>
                <w:sz w:val="32"/>
                <w:szCs w:val="32"/>
              </w:rPr>
              <w:t xml:space="preserve"> (2022)</w:t>
            </w:r>
          </w:p>
        </w:tc>
        <w:tc>
          <w:tcPr>
            <w:tcW w:w="0" w:type="auto"/>
            <w:hideMark/>
          </w:tcPr>
          <w:p w14:paraId="641AAD37"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التوجهات الاستراتيجية – اتخاذ القرار</w:t>
            </w:r>
          </w:p>
        </w:tc>
        <w:tc>
          <w:tcPr>
            <w:tcW w:w="0" w:type="auto"/>
            <w:hideMark/>
          </w:tcPr>
          <w:p w14:paraId="6E740DE4"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وصفي</w:t>
            </w:r>
          </w:p>
        </w:tc>
        <w:tc>
          <w:tcPr>
            <w:tcW w:w="0" w:type="auto"/>
            <w:hideMark/>
          </w:tcPr>
          <w:p w14:paraId="7545C7C8"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استبيانان</w:t>
            </w:r>
          </w:p>
        </w:tc>
        <w:tc>
          <w:tcPr>
            <w:tcW w:w="0" w:type="auto"/>
            <w:hideMark/>
          </w:tcPr>
          <w:p w14:paraId="110E297D"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Pr>
              <w:t xml:space="preserve">144 </w:t>
            </w:r>
            <w:r w:rsidRPr="00EF5312">
              <w:rPr>
                <w:rFonts w:ascii="Traditional Arabic" w:hAnsi="Traditional Arabic" w:cs="Traditional Arabic" w:hint="cs"/>
                <w:color w:val="000000" w:themeColor="text1"/>
                <w:sz w:val="32"/>
                <w:szCs w:val="32"/>
                <w:rtl/>
              </w:rPr>
              <w:t>مديرًا</w:t>
            </w:r>
          </w:p>
        </w:tc>
        <w:tc>
          <w:tcPr>
            <w:tcW w:w="0" w:type="auto"/>
            <w:hideMark/>
          </w:tcPr>
          <w:p w14:paraId="675A4E30"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علاقة إيجابية بين التوجهات والقرار</w:t>
            </w:r>
          </w:p>
        </w:tc>
        <w:tc>
          <w:tcPr>
            <w:tcW w:w="0" w:type="auto"/>
            <w:hideMark/>
          </w:tcPr>
          <w:p w14:paraId="0E7686F8"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لا يتضمن التحول الرقمي أو الشفافية</w:t>
            </w:r>
          </w:p>
        </w:tc>
      </w:tr>
      <w:tr w:rsidR="00EF5312" w:rsidRPr="00EF5312" w14:paraId="3293780C" w14:textId="77777777" w:rsidTr="00C86D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9EB67A0"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Pr>
              <w:lastRenderedPageBreak/>
              <w:t>15</w:t>
            </w:r>
          </w:p>
        </w:tc>
        <w:tc>
          <w:tcPr>
            <w:tcW w:w="0" w:type="auto"/>
            <w:hideMark/>
          </w:tcPr>
          <w:p w14:paraId="16F32FFB"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proofErr w:type="spellStart"/>
            <w:r w:rsidRPr="00EF5312">
              <w:rPr>
                <w:rFonts w:ascii="Traditional Arabic" w:hAnsi="Traditional Arabic" w:cs="Traditional Arabic" w:hint="cs"/>
                <w:color w:val="000000" w:themeColor="text1"/>
                <w:sz w:val="32"/>
                <w:szCs w:val="32"/>
                <w:rtl/>
              </w:rPr>
              <w:t>العثامنة</w:t>
            </w:r>
            <w:proofErr w:type="spellEnd"/>
            <w:r w:rsidRPr="00EF5312">
              <w:rPr>
                <w:rFonts w:ascii="Traditional Arabic" w:hAnsi="Traditional Arabic" w:cs="Traditional Arabic" w:hint="cs"/>
                <w:color w:val="000000" w:themeColor="text1"/>
                <w:sz w:val="32"/>
                <w:szCs w:val="32"/>
                <w:rtl/>
              </w:rPr>
              <w:t xml:space="preserve"> وبطانية</w:t>
            </w:r>
            <w:r w:rsidRPr="00EF5312">
              <w:rPr>
                <w:rFonts w:ascii="Traditional Arabic" w:hAnsi="Traditional Arabic" w:cs="Traditional Arabic" w:hint="cs"/>
                <w:color w:val="000000" w:themeColor="text1"/>
                <w:sz w:val="32"/>
                <w:szCs w:val="32"/>
              </w:rPr>
              <w:t xml:space="preserve"> (2022)</w:t>
            </w:r>
          </w:p>
        </w:tc>
        <w:tc>
          <w:tcPr>
            <w:tcW w:w="0" w:type="auto"/>
            <w:hideMark/>
          </w:tcPr>
          <w:p w14:paraId="0A847545"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الذكاء الاستراتيجي – أساليب اتخاذ القرار</w:t>
            </w:r>
          </w:p>
        </w:tc>
        <w:tc>
          <w:tcPr>
            <w:tcW w:w="0" w:type="auto"/>
            <w:hideMark/>
          </w:tcPr>
          <w:p w14:paraId="16939DAD"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وصفي تحليلي</w:t>
            </w:r>
          </w:p>
        </w:tc>
        <w:tc>
          <w:tcPr>
            <w:tcW w:w="0" w:type="auto"/>
            <w:hideMark/>
          </w:tcPr>
          <w:p w14:paraId="3814C5DF"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استبيان</w:t>
            </w:r>
          </w:p>
        </w:tc>
        <w:tc>
          <w:tcPr>
            <w:tcW w:w="0" w:type="auto"/>
            <w:hideMark/>
          </w:tcPr>
          <w:p w14:paraId="0FF7D58E"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Pr>
              <w:t xml:space="preserve">332 </w:t>
            </w:r>
            <w:r w:rsidRPr="00EF5312">
              <w:rPr>
                <w:rFonts w:ascii="Traditional Arabic" w:hAnsi="Traditional Arabic" w:cs="Traditional Arabic" w:hint="cs"/>
                <w:color w:val="000000" w:themeColor="text1"/>
                <w:sz w:val="32"/>
                <w:szCs w:val="32"/>
                <w:rtl/>
              </w:rPr>
              <w:t>موظفًا</w:t>
            </w:r>
          </w:p>
        </w:tc>
        <w:tc>
          <w:tcPr>
            <w:tcW w:w="0" w:type="auto"/>
            <w:hideMark/>
          </w:tcPr>
          <w:p w14:paraId="31C85E63"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مستوى مرتفع للذكاء الاستراتيجي وتأثيره على القرار</w:t>
            </w:r>
          </w:p>
        </w:tc>
        <w:tc>
          <w:tcPr>
            <w:tcW w:w="0" w:type="auto"/>
            <w:hideMark/>
          </w:tcPr>
          <w:p w14:paraId="6ED9BF79"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غياب التحول الرقمي والشفافية</w:t>
            </w:r>
          </w:p>
        </w:tc>
      </w:tr>
      <w:tr w:rsidR="00EF5312" w:rsidRPr="00EF5312" w14:paraId="0905BE49" w14:textId="77777777" w:rsidTr="00C86D8D">
        <w:tc>
          <w:tcPr>
            <w:cnfStyle w:val="001000000000" w:firstRow="0" w:lastRow="0" w:firstColumn="1" w:lastColumn="0" w:oddVBand="0" w:evenVBand="0" w:oddHBand="0" w:evenHBand="0" w:firstRowFirstColumn="0" w:firstRowLastColumn="0" w:lastRowFirstColumn="0" w:lastRowLastColumn="0"/>
            <w:tcW w:w="0" w:type="auto"/>
            <w:hideMark/>
          </w:tcPr>
          <w:p w14:paraId="5E713E32"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Pr>
              <w:t>16</w:t>
            </w:r>
          </w:p>
        </w:tc>
        <w:tc>
          <w:tcPr>
            <w:tcW w:w="0" w:type="auto"/>
            <w:hideMark/>
          </w:tcPr>
          <w:p w14:paraId="396BFC33"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Pr>
              <w:t>Xu &amp; Mustafaraj (2024)</w:t>
            </w:r>
          </w:p>
        </w:tc>
        <w:tc>
          <w:tcPr>
            <w:tcW w:w="0" w:type="auto"/>
            <w:hideMark/>
          </w:tcPr>
          <w:p w14:paraId="7EB709EA"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الشفافية المعلوماتية – نماذج</w:t>
            </w:r>
            <w:r w:rsidRPr="00EF5312">
              <w:rPr>
                <w:rFonts w:ascii="Traditional Arabic" w:hAnsi="Traditional Arabic" w:cs="Traditional Arabic" w:hint="cs"/>
                <w:color w:val="000000" w:themeColor="text1"/>
                <w:sz w:val="32"/>
                <w:szCs w:val="32"/>
              </w:rPr>
              <w:t xml:space="preserve"> GPT</w:t>
            </w:r>
          </w:p>
        </w:tc>
        <w:tc>
          <w:tcPr>
            <w:tcW w:w="0" w:type="auto"/>
            <w:hideMark/>
          </w:tcPr>
          <w:p w14:paraId="4F044A98"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تحليل وثائق</w:t>
            </w:r>
          </w:p>
        </w:tc>
        <w:tc>
          <w:tcPr>
            <w:tcW w:w="0" w:type="auto"/>
            <w:hideMark/>
          </w:tcPr>
          <w:p w14:paraId="72AE9B55"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وثائق رسمية</w:t>
            </w:r>
          </w:p>
        </w:tc>
        <w:tc>
          <w:tcPr>
            <w:tcW w:w="0" w:type="auto"/>
            <w:hideMark/>
          </w:tcPr>
          <w:p w14:paraId="2F89FE39"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تقارير</w:t>
            </w:r>
            <w:r w:rsidRPr="00EF5312">
              <w:rPr>
                <w:rFonts w:ascii="Traditional Arabic" w:hAnsi="Traditional Arabic" w:cs="Traditional Arabic" w:hint="cs"/>
                <w:color w:val="000000" w:themeColor="text1"/>
                <w:sz w:val="32"/>
                <w:szCs w:val="32"/>
              </w:rPr>
              <w:t xml:space="preserve"> OpenAI</w:t>
            </w:r>
          </w:p>
        </w:tc>
        <w:tc>
          <w:tcPr>
            <w:tcW w:w="0" w:type="auto"/>
            <w:hideMark/>
          </w:tcPr>
          <w:p w14:paraId="5BEA8B60"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وجود فجوات في الشفافية</w:t>
            </w:r>
          </w:p>
        </w:tc>
        <w:tc>
          <w:tcPr>
            <w:tcW w:w="0" w:type="auto"/>
            <w:hideMark/>
          </w:tcPr>
          <w:p w14:paraId="4FF1C455"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لم يُدرس التأثير على اتخاذ القرار التنظيمي</w:t>
            </w:r>
          </w:p>
        </w:tc>
      </w:tr>
      <w:tr w:rsidR="00EF5312" w:rsidRPr="00EF5312" w14:paraId="7DB0F999" w14:textId="77777777" w:rsidTr="00C86D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C619BFC"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Pr>
              <w:t>17</w:t>
            </w:r>
          </w:p>
        </w:tc>
        <w:tc>
          <w:tcPr>
            <w:tcW w:w="0" w:type="auto"/>
            <w:hideMark/>
          </w:tcPr>
          <w:p w14:paraId="07A9E57F"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proofErr w:type="spellStart"/>
            <w:r w:rsidRPr="00EF5312">
              <w:rPr>
                <w:rFonts w:ascii="Traditional Arabic" w:hAnsi="Traditional Arabic" w:cs="Traditional Arabic" w:hint="cs"/>
                <w:color w:val="000000" w:themeColor="text1"/>
                <w:sz w:val="32"/>
                <w:szCs w:val="32"/>
              </w:rPr>
              <w:t>Tondolo</w:t>
            </w:r>
            <w:proofErr w:type="spellEnd"/>
            <w:r w:rsidRPr="00EF5312">
              <w:rPr>
                <w:rFonts w:ascii="Traditional Arabic" w:hAnsi="Traditional Arabic" w:cs="Traditional Arabic" w:hint="cs"/>
                <w:color w:val="000000" w:themeColor="text1"/>
                <w:sz w:val="32"/>
                <w:szCs w:val="32"/>
              </w:rPr>
              <w:t xml:space="preserve"> et al. (2023)</w:t>
            </w:r>
          </w:p>
        </w:tc>
        <w:tc>
          <w:tcPr>
            <w:tcW w:w="0" w:type="auto"/>
            <w:hideMark/>
          </w:tcPr>
          <w:p w14:paraId="1BD5EF8A"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الشفافية المعلوماتية – اختيار الشريك</w:t>
            </w:r>
          </w:p>
        </w:tc>
        <w:tc>
          <w:tcPr>
            <w:tcW w:w="0" w:type="auto"/>
            <w:hideMark/>
          </w:tcPr>
          <w:p w14:paraId="79532FA9"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تجريبي</w:t>
            </w:r>
          </w:p>
        </w:tc>
        <w:tc>
          <w:tcPr>
            <w:tcW w:w="0" w:type="auto"/>
            <w:hideMark/>
          </w:tcPr>
          <w:p w14:paraId="07585EE2"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لعب أدوار</w:t>
            </w:r>
          </w:p>
        </w:tc>
        <w:tc>
          <w:tcPr>
            <w:tcW w:w="0" w:type="auto"/>
            <w:hideMark/>
          </w:tcPr>
          <w:p w14:paraId="643CBA93"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مشاركون في تجربتين</w:t>
            </w:r>
          </w:p>
        </w:tc>
        <w:tc>
          <w:tcPr>
            <w:tcW w:w="0" w:type="auto"/>
            <w:hideMark/>
          </w:tcPr>
          <w:p w14:paraId="08CE7545"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تأثير مباشر للشفافية على القرار</w:t>
            </w:r>
          </w:p>
        </w:tc>
        <w:tc>
          <w:tcPr>
            <w:tcW w:w="0" w:type="auto"/>
            <w:hideMark/>
          </w:tcPr>
          <w:p w14:paraId="73757FB3"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لا يتناول التحول الرقمي</w:t>
            </w:r>
          </w:p>
        </w:tc>
      </w:tr>
      <w:tr w:rsidR="00EF5312" w:rsidRPr="00EF5312" w14:paraId="339A5C05" w14:textId="77777777" w:rsidTr="00C86D8D">
        <w:tc>
          <w:tcPr>
            <w:cnfStyle w:val="001000000000" w:firstRow="0" w:lastRow="0" w:firstColumn="1" w:lastColumn="0" w:oddVBand="0" w:evenVBand="0" w:oddHBand="0" w:evenHBand="0" w:firstRowFirstColumn="0" w:firstRowLastColumn="0" w:lastRowFirstColumn="0" w:lastRowLastColumn="0"/>
            <w:tcW w:w="0" w:type="auto"/>
            <w:hideMark/>
          </w:tcPr>
          <w:p w14:paraId="0964614A"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Pr>
              <w:t>18</w:t>
            </w:r>
          </w:p>
        </w:tc>
        <w:tc>
          <w:tcPr>
            <w:tcW w:w="0" w:type="auto"/>
            <w:hideMark/>
          </w:tcPr>
          <w:p w14:paraId="6AF50D5A"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Pr>
              <w:t>Ye &amp; Wu (2023)</w:t>
            </w:r>
          </w:p>
        </w:tc>
        <w:tc>
          <w:tcPr>
            <w:tcW w:w="0" w:type="auto"/>
            <w:hideMark/>
          </w:tcPr>
          <w:p w14:paraId="560E1BBF"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الشفافية – تجربة المرضى – عدم اليقين</w:t>
            </w:r>
          </w:p>
        </w:tc>
        <w:tc>
          <w:tcPr>
            <w:tcW w:w="0" w:type="auto"/>
            <w:hideMark/>
          </w:tcPr>
          <w:p w14:paraId="764B5782"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شبه تجريبي</w:t>
            </w:r>
          </w:p>
        </w:tc>
        <w:tc>
          <w:tcPr>
            <w:tcW w:w="0" w:type="auto"/>
            <w:hideMark/>
          </w:tcPr>
          <w:p w14:paraId="4369105C"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سجلات مرضى</w:t>
            </w:r>
          </w:p>
        </w:tc>
        <w:tc>
          <w:tcPr>
            <w:tcW w:w="0" w:type="auto"/>
            <w:hideMark/>
          </w:tcPr>
          <w:p w14:paraId="30A57642"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مليون سجل</w:t>
            </w:r>
          </w:p>
        </w:tc>
        <w:tc>
          <w:tcPr>
            <w:tcW w:w="0" w:type="auto"/>
            <w:hideMark/>
          </w:tcPr>
          <w:p w14:paraId="56B69DD6"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تقليل وقت الانتظار عبر الشفافية</w:t>
            </w:r>
          </w:p>
        </w:tc>
        <w:tc>
          <w:tcPr>
            <w:tcW w:w="0" w:type="auto"/>
            <w:hideMark/>
          </w:tcPr>
          <w:p w14:paraId="36D20F1B"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خارج سياق القرار الاستراتيجي</w:t>
            </w:r>
          </w:p>
        </w:tc>
      </w:tr>
      <w:tr w:rsidR="00EF5312" w:rsidRPr="00EF5312" w14:paraId="17AF6F54" w14:textId="77777777" w:rsidTr="00C86D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3C90428"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Pr>
              <w:t>19</w:t>
            </w:r>
          </w:p>
        </w:tc>
        <w:tc>
          <w:tcPr>
            <w:tcW w:w="0" w:type="auto"/>
            <w:hideMark/>
          </w:tcPr>
          <w:p w14:paraId="11B1524B"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التركي وآخرون</w:t>
            </w:r>
            <w:r w:rsidRPr="00EF5312">
              <w:rPr>
                <w:rFonts w:ascii="Traditional Arabic" w:hAnsi="Traditional Arabic" w:cs="Traditional Arabic" w:hint="cs"/>
                <w:color w:val="000000" w:themeColor="text1"/>
                <w:sz w:val="32"/>
                <w:szCs w:val="32"/>
              </w:rPr>
              <w:t xml:space="preserve"> (2021)</w:t>
            </w:r>
          </w:p>
        </w:tc>
        <w:tc>
          <w:tcPr>
            <w:tcW w:w="0" w:type="auto"/>
            <w:hideMark/>
          </w:tcPr>
          <w:p w14:paraId="5AAEBFF7"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الحوكمة الإلكترونية – الشفافية</w:t>
            </w:r>
          </w:p>
        </w:tc>
        <w:tc>
          <w:tcPr>
            <w:tcW w:w="0" w:type="auto"/>
            <w:hideMark/>
          </w:tcPr>
          <w:p w14:paraId="7D0753D3"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نوعي</w:t>
            </w:r>
          </w:p>
        </w:tc>
        <w:tc>
          <w:tcPr>
            <w:tcW w:w="0" w:type="auto"/>
            <w:hideMark/>
          </w:tcPr>
          <w:p w14:paraId="1D27B17A"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مقابلات + وثائق</w:t>
            </w:r>
          </w:p>
        </w:tc>
        <w:tc>
          <w:tcPr>
            <w:tcW w:w="0" w:type="auto"/>
            <w:hideMark/>
          </w:tcPr>
          <w:p w14:paraId="16D0577C"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Pr>
              <w:t xml:space="preserve">46 </w:t>
            </w:r>
            <w:r w:rsidRPr="00EF5312">
              <w:rPr>
                <w:rFonts w:ascii="Traditional Arabic" w:hAnsi="Traditional Arabic" w:cs="Traditional Arabic" w:hint="cs"/>
                <w:color w:val="000000" w:themeColor="text1"/>
                <w:sz w:val="32"/>
                <w:szCs w:val="32"/>
                <w:rtl/>
              </w:rPr>
              <w:t>مشاركًا</w:t>
            </w:r>
          </w:p>
        </w:tc>
        <w:tc>
          <w:tcPr>
            <w:tcW w:w="0" w:type="auto"/>
            <w:hideMark/>
          </w:tcPr>
          <w:p w14:paraId="51B8F26F"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الحوكمة الإلكترونية تعزز الشفافية</w:t>
            </w:r>
          </w:p>
        </w:tc>
        <w:tc>
          <w:tcPr>
            <w:tcW w:w="0" w:type="auto"/>
            <w:hideMark/>
          </w:tcPr>
          <w:p w14:paraId="3F39639E"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 xml:space="preserve">لا يربط الشفافية بالقرار </w:t>
            </w:r>
            <w:r w:rsidRPr="00EF5312">
              <w:rPr>
                <w:rFonts w:ascii="Traditional Arabic" w:hAnsi="Traditional Arabic" w:cs="Traditional Arabic" w:hint="cs"/>
                <w:color w:val="000000" w:themeColor="text1"/>
                <w:sz w:val="32"/>
                <w:szCs w:val="32"/>
                <w:rtl/>
              </w:rPr>
              <w:lastRenderedPageBreak/>
              <w:t>الاستراتيجي</w:t>
            </w:r>
          </w:p>
        </w:tc>
      </w:tr>
      <w:tr w:rsidR="00EF5312" w:rsidRPr="00EF5312" w14:paraId="41463DDB" w14:textId="77777777" w:rsidTr="00C86D8D">
        <w:tc>
          <w:tcPr>
            <w:cnfStyle w:val="001000000000" w:firstRow="0" w:lastRow="0" w:firstColumn="1" w:lastColumn="0" w:oddVBand="0" w:evenVBand="0" w:oddHBand="0" w:evenHBand="0" w:firstRowFirstColumn="0" w:firstRowLastColumn="0" w:lastRowFirstColumn="0" w:lastRowLastColumn="0"/>
            <w:tcW w:w="0" w:type="auto"/>
            <w:hideMark/>
          </w:tcPr>
          <w:p w14:paraId="404EB591"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Pr>
              <w:lastRenderedPageBreak/>
              <w:t>20</w:t>
            </w:r>
          </w:p>
        </w:tc>
        <w:tc>
          <w:tcPr>
            <w:tcW w:w="0" w:type="auto"/>
            <w:hideMark/>
          </w:tcPr>
          <w:p w14:paraId="26986387"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Pr>
              <w:t>Chen et al. (2022)</w:t>
            </w:r>
          </w:p>
        </w:tc>
        <w:tc>
          <w:tcPr>
            <w:tcW w:w="0" w:type="auto"/>
            <w:hideMark/>
          </w:tcPr>
          <w:p w14:paraId="3F2F0271"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الشفافية – الابتكار المتتابع</w:t>
            </w:r>
          </w:p>
        </w:tc>
        <w:tc>
          <w:tcPr>
            <w:tcW w:w="0" w:type="auto"/>
            <w:hideMark/>
          </w:tcPr>
          <w:p w14:paraId="097D7F12"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كمي تحليلي</w:t>
            </w:r>
          </w:p>
        </w:tc>
        <w:tc>
          <w:tcPr>
            <w:tcW w:w="0" w:type="auto"/>
            <w:hideMark/>
          </w:tcPr>
          <w:p w14:paraId="2E809D19"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بيانات 10</w:t>
            </w:r>
            <w:r w:rsidRPr="00EF5312">
              <w:rPr>
                <w:rFonts w:ascii="Traditional Arabic" w:hAnsi="Traditional Arabic" w:cs="Traditional Arabic" w:hint="cs"/>
                <w:color w:val="000000" w:themeColor="text1"/>
                <w:sz w:val="32"/>
                <w:szCs w:val="32"/>
              </w:rPr>
              <w:t>-K</w:t>
            </w:r>
          </w:p>
        </w:tc>
        <w:tc>
          <w:tcPr>
            <w:tcW w:w="0" w:type="auto"/>
            <w:hideMark/>
          </w:tcPr>
          <w:p w14:paraId="17178D78"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شركات</w:t>
            </w:r>
          </w:p>
        </w:tc>
        <w:tc>
          <w:tcPr>
            <w:tcW w:w="0" w:type="auto"/>
            <w:hideMark/>
          </w:tcPr>
          <w:p w14:paraId="7D9AEFB5"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علاقة إيجابية مع الابتكار</w:t>
            </w:r>
          </w:p>
        </w:tc>
        <w:tc>
          <w:tcPr>
            <w:tcW w:w="0" w:type="auto"/>
            <w:hideMark/>
          </w:tcPr>
          <w:p w14:paraId="3BEAFF05"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لا يربط الشفافية بالقرار أو التحول الرقمي</w:t>
            </w:r>
          </w:p>
        </w:tc>
      </w:tr>
      <w:tr w:rsidR="00EF5312" w:rsidRPr="00EF5312" w14:paraId="00627A51" w14:textId="77777777" w:rsidTr="00C86D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EBFC8A2"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Pr>
              <w:t>21</w:t>
            </w:r>
          </w:p>
        </w:tc>
        <w:tc>
          <w:tcPr>
            <w:tcW w:w="0" w:type="auto"/>
            <w:hideMark/>
          </w:tcPr>
          <w:p w14:paraId="5E80D307"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الغرابلي والبنا</w:t>
            </w:r>
            <w:r w:rsidRPr="00EF5312">
              <w:rPr>
                <w:rFonts w:ascii="Traditional Arabic" w:hAnsi="Traditional Arabic" w:cs="Traditional Arabic" w:hint="cs"/>
                <w:color w:val="000000" w:themeColor="text1"/>
                <w:sz w:val="32"/>
                <w:szCs w:val="32"/>
              </w:rPr>
              <w:t xml:space="preserve"> (2022)</w:t>
            </w:r>
          </w:p>
        </w:tc>
        <w:tc>
          <w:tcPr>
            <w:tcW w:w="0" w:type="auto"/>
            <w:hideMark/>
          </w:tcPr>
          <w:p w14:paraId="0F2CAE21"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الشفافية الإدارية – العقد النفسي</w:t>
            </w:r>
          </w:p>
        </w:tc>
        <w:tc>
          <w:tcPr>
            <w:tcW w:w="0" w:type="auto"/>
            <w:hideMark/>
          </w:tcPr>
          <w:p w14:paraId="4020E1C2"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وصفي</w:t>
            </w:r>
          </w:p>
        </w:tc>
        <w:tc>
          <w:tcPr>
            <w:tcW w:w="0" w:type="auto"/>
            <w:hideMark/>
          </w:tcPr>
          <w:p w14:paraId="4881AB0A"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استبيان</w:t>
            </w:r>
          </w:p>
        </w:tc>
        <w:tc>
          <w:tcPr>
            <w:tcW w:w="0" w:type="auto"/>
            <w:hideMark/>
          </w:tcPr>
          <w:p w14:paraId="318B7720"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Pr>
              <w:t xml:space="preserve">318 </w:t>
            </w:r>
            <w:r w:rsidRPr="00EF5312">
              <w:rPr>
                <w:rFonts w:ascii="Traditional Arabic" w:hAnsi="Traditional Arabic" w:cs="Traditional Arabic" w:hint="cs"/>
                <w:color w:val="000000" w:themeColor="text1"/>
                <w:sz w:val="32"/>
                <w:szCs w:val="32"/>
                <w:rtl/>
              </w:rPr>
              <w:t>موظفًا</w:t>
            </w:r>
          </w:p>
        </w:tc>
        <w:tc>
          <w:tcPr>
            <w:tcW w:w="0" w:type="auto"/>
            <w:hideMark/>
          </w:tcPr>
          <w:p w14:paraId="4E65CDF5"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علاقة إيجابية قوية بين الشفافية والالتزام</w:t>
            </w:r>
          </w:p>
        </w:tc>
        <w:tc>
          <w:tcPr>
            <w:tcW w:w="0" w:type="auto"/>
            <w:hideMark/>
          </w:tcPr>
          <w:p w14:paraId="329B06D9"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لا يربط الشفافية بالتحول الرقمي أو القرار</w:t>
            </w:r>
          </w:p>
        </w:tc>
      </w:tr>
      <w:tr w:rsidR="00EF5312" w:rsidRPr="00EF5312" w14:paraId="385C91D7" w14:textId="77777777" w:rsidTr="00C86D8D">
        <w:tc>
          <w:tcPr>
            <w:cnfStyle w:val="001000000000" w:firstRow="0" w:lastRow="0" w:firstColumn="1" w:lastColumn="0" w:oddVBand="0" w:evenVBand="0" w:oddHBand="0" w:evenHBand="0" w:firstRowFirstColumn="0" w:firstRowLastColumn="0" w:lastRowFirstColumn="0" w:lastRowLastColumn="0"/>
            <w:tcW w:w="0" w:type="auto"/>
            <w:hideMark/>
          </w:tcPr>
          <w:p w14:paraId="5CFB33D7"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Pr>
              <w:t>22</w:t>
            </w:r>
          </w:p>
        </w:tc>
        <w:tc>
          <w:tcPr>
            <w:tcW w:w="0" w:type="auto"/>
            <w:hideMark/>
          </w:tcPr>
          <w:p w14:paraId="2C00A4B6"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المعايطة</w:t>
            </w:r>
            <w:r w:rsidRPr="00EF5312">
              <w:rPr>
                <w:rFonts w:ascii="Traditional Arabic" w:hAnsi="Traditional Arabic" w:cs="Traditional Arabic" w:hint="cs"/>
                <w:color w:val="000000" w:themeColor="text1"/>
                <w:sz w:val="32"/>
                <w:szCs w:val="32"/>
              </w:rPr>
              <w:t xml:space="preserve"> (2021)</w:t>
            </w:r>
          </w:p>
        </w:tc>
        <w:tc>
          <w:tcPr>
            <w:tcW w:w="0" w:type="auto"/>
            <w:hideMark/>
          </w:tcPr>
          <w:p w14:paraId="2FBBA7AB"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الشفافية الإدارية – القيم</w:t>
            </w:r>
          </w:p>
        </w:tc>
        <w:tc>
          <w:tcPr>
            <w:tcW w:w="0" w:type="auto"/>
            <w:hideMark/>
          </w:tcPr>
          <w:p w14:paraId="4D1C24E2"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وصفي تحليلي</w:t>
            </w:r>
          </w:p>
        </w:tc>
        <w:tc>
          <w:tcPr>
            <w:tcW w:w="0" w:type="auto"/>
            <w:hideMark/>
          </w:tcPr>
          <w:p w14:paraId="4BBFE32B"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تحليل نظري</w:t>
            </w:r>
          </w:p>
        </w:tc>
        <w:tc>
          <w:tcPr>
            <w:tcW w:w="0" w:type="auto"/>
            <w:hideMark/>
          </w:tcPr>
          <w:p w14:paraId="1B7AC622"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غير محدد</w:t>
            </w:r>
          </w:p>
        </w:tc>
        <w:tc>
          <w:tcPr>
            <w:tcW w:w="0" w:type="auto"/>
            <w:hideMark/>
          </w:tcPr>
          <w:p w14:paraId="500FD434"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الشفافية تعزز الولاء والإنتاجية</w:t>
            </w:r>
          </w:p>
        </w:tc>
        <w:tc>
          <w:tcPr>
            <w:tcW w:w="0" w:type="auto"/>
            <w:hideMark/>
          </w:tcPr>
          <w:p w14:paraId="0A4C9E2B"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لا يتطرق لاتخاذ القرار أو التحول الرقمي</w:t>
            </w:r>
          </w:p>
        </w:tc>
      </w:tr>
      <w:tr w:rsidR="00EF5312" w:rsidRPr="00EF5312" w14:paraId="366320E4" w14:textId="77777777" w:rsidTr="00C86D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253C41D"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Pr>
              <w:t>23</w:t>
            </w:r>
          </w:p>
        </w:tc>
        <w:tc>
          <w:tcPr>
            <w:tcW w:w="0" w:type="auto"/>
            <w:hideMark/>
          </w:tcPr>
          <w:p w14:paraId="729772A9"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عمر</w:t>
            </w:r>
            <w:r w:rsidRPr="00EF5312">
              <w:rPr>
                <w:rFonts w:ascii="Traditional Arabic" w:hAnsi="Traditional Arabic" w:cs="Traditional Arabic" w:hint="cs"/>
                <w:color w:val="000000" w:themeColor="text1"/>
                <w:sz w:val="32"/>
                <w:szCs w:val="32"/>
              </w:rPr>
              <w:t xml:space="preserve"> (2024)</w:t>
            </w:r>
          </w:p>
        </w:tc>
        <w:tc>
          <w:tcPr>
            <w:tcW w:w="0" w:type="auto"/>
            <w:hideMark/>
          </w:tcPr>
          <w:p w14:paraId="3716AD57"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تكنولوجيا المعلومات – الشفافية الإدارية</w:t>
            </w:r>
          </w:p>
        </w:tc>
        <w:tc>
          <w:tcPr>
            <w:tcW w:w="0" w:type="auto"/>
            <w:hideMark/>
          </w:tcPr>
          <w:p w14:paraId="7C04A477"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وصفي مسحي</w:t>
            </w:r>
          </w:p>
        </w:tc>
        <w:tc>
          <w:tcPr>
            <w:tcW w:w="0" w:type="auto"/>
            <w:hideMark/>
          </w:tcPr>
          <w:p w14:paraId="59265C78"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استبيان</w:t>
            </w:r>
          </w:p>
        </w:tc>
        <w:tc>
          <w:tcPr>
            <w:tcW w:w="0" w:type="auto"/>
            <w:hideMark/>
          </w:tcPr>
          <w:p w14:paraId="2FB64F85"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Pr>
              <w:t xml:space="preserve">130 </w:t>
            </w:r>
            <w:r w:rsidRPr="00EF5312">
              <w:rPr>
                <w:rFonts w:ascii="Traditional Arabic" w:hAnsi="Traditional Arabic" w:cs="Traditional Arabic" w:hint="cs"/>
                <w:color w:val="000000" w:themeColor="text1"/>
                <w:sz w:val="32"/>
                <w:szCs w:val="32"/>
                <w:rtl/>
              </w:rPr>
              <w:t>موظفًا</w:t>
            </w:r>
          </w:p>
        </w:tc>
        <w:tc>
          <w:tcPr>
            <w:tcW w:w="0" w:type="auto"/>
            <w:hideMark/>
          </w:tcPr>
          <w:p w14:paraId="001578B0"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مساهمة تكنولوجيا المعلومات في الشفافية</w:t>
            </w:r>
          </w:p>
        </w:tc>
        <w:tc>
          <w:tcPr>
            <w:tcW w:w="0" w:type="auto"/>
            <w:hideMark/>
          </w:tcPr>
          <w:p w14:paraId="52C3A378"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لا يربط الشفافية بفاعلية اتخاذ القرار</w:t>
            </w:r>
          </w:p>
        </w:tc>
      </w:tr>
    </w:tbl>
    <w:p w14:paraId="4140B147"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Pr>
      </w:pPr>
    </w:p>
    <w:p w14:paraId="49904F1F" w14:textId="77777777" w:rsidR="00E57A74" w:rsidRPr="00E57A74" w:rsidRDefault="00E57A74" w:rsidP="00E57A74">
      <w:pPr>
        <w:bidi/>
        <w:spacing w:after="200" w:line="276" w:lineRule="auto"/>
        <w:jc w:val="both"/>
        <w:rPr>
          <w:rFonts w:ascii="Traditional Arabic" w:hAnsi="Traditional Arabic" w:cs="Traditional Arabic"/>
          <w:color w:val="000000" w:themeColor="text1"/>
          <w:sz w:val="32"/>
          <w:szCs w:val="32"/>
        </w:rPr>
      </w:pPr>
    </w:p>
    <w:p w14:paraId="5FCB45DF" w14:textId="77777777" w:rsidR="00E57A74" w:rsidRPr="001E76CD" w:rsidRDefault="00E57A74" w:rsidP="00E57A74">
      <w:pPr>
        <w:bidi/>
        <w:spacing w:after="200" w:line="276" w:lineRule="auto"/>
        <w:jc w:val="both"/>
        <w:rPr>
          <w:rFonts w:ascii="Traditional Arabic" w:hAnsi="Traditional Arabic" w:cs="Traditional Arabic"/>
          <w:color w:val="000000" w:themeColor="text1"/>
          <w:sz w:val="32"/>
          <w:szCs w:val="32"/>
        </w:rPr>
      </w:pPr>
    </w:p>
    <w:p w14:paraId="6AF80A02" w14:textId="417B880E" w:rsidR="00EF5312" w:rsidRPr="00EF5312" w:rsidRDefault="00ED4FE6" w:rsidP="00EF5312">
      <w:pPr>
        <w:bidi/>
        <w:spacing w:after="200" w:line="276" w:lineRule="auto"/>
        <w:jc w:val="both"/>
        <w:rPr>
          <w:rFonts w:ascii="Traditional Arabic" w:hAnsi="Traditional Arabic" w:cs="Traditional Arabic"/>
          <w:b/>
          <w:bCs/>
          <w:color w:val="EE0000"/>
          <w:sz w:val="32"/>
          <w:szCs w:val="32"/>
          <w:rtl/>
        </w:rPr>
      </w:pPr>
      <w:r w:rsidRPr="00EF5312">
        <w:rPr>
          <w:rFonts w:ascii="Traditional Arabic" w:hAnsi="Traditional Arabic" w:cs="Traditional Arabic" w:hint="cs"/>
          <w:b/>
          <w:bCs/>
          <w:color w:val="EE0000"/>
          <w:sz w:val="32"/>
          <w:szCs w:val="32"/>
          <w:rtl/>
        </w:rPr>
        <w:t xml:space="preserve">النموذج </w:t>
      </w:r>
      <w:proofErr w:type="spellStart"/>
      <w:r w:rsidRPr="00EF5312">
        <w:rPr>
          <w:rFonts w:ascii="Traditional Arabic" w:hAnsi="Traditional Arabic" w:cs="Traditional Arabic" w:hint="cs"/>
          <w:b/>
          <w:bCs/>
          <w:color w:val="EE0000"/>
          <w:sz w:val="32"/>
          <w:szCs w:val="32"/>
          <w:rtl/>
        </w:rPr>
        <w:t>المفاهيمى</w:t>
      </w:r>
      <w:proofErr w:type="spellEnd"/>
      <w:r w:rsidR="00EF5312" w:rsidRPr="00EF5312">
        <w:rPr>
          <w:rFonts w:ascii="Traditional Arabic" w:hAnsi="Traditional Arabic" w:cs="Traditional Arabic" w:hint="cs"/>
          <w:b/>
          <w:bCs/>
          <w:color w:val="EE0000"/>
          <w:sz w:val="32"/>
          <w:szCs w:val="32"/>
          <w:rtl/>
        </w:rPr>
        <w:t xml:space="preserve"> للدراسة</w:t>
      </w:r>
    </w:p>
    <w:p w14:paraId="48A4E111" w14:textId="77777777" w:rsidR="00EF5312" w:rsidRPr="00EF5312" w:rsidRDefault="00EF5312" w:rsidP="00EF5312">
      <w:pPr>
        <w:bidi/>
        <w:spacing w:after="200" w:line="276" w:lineRule="auto"/>
        <w:jc w:val="both"/>
        <w:rPr>
          <w:rFonts w:ascii="Traditional Arabic" w:hAnsi="Traditional Arabic" w:cs="Traditional Arabic"/>
          <w:color w:val="EE0000"/>
          <w:sz w:val="32"/>
          <w:szCs w:val="32"/>
        </w:rPr>
      </w:pPr>
      <w:r w:rsidRPr="00EF5312">
        <w:rPr>
          <w:rFonts w:ascii="Traditional Arabic" w:hAnsi="Traditional Arabic" w:cs="Traditional Arabic"/>
          <w:color w:val="EE0000"/>
          <w:sz w:val="32"/>
          <w:szCs w:val="32"/>
          <w:rtl/>
          <w:lang w:bidi="ar-JO"/>
        </w:rPr>
        <w:t xml:space="preserve">يهدف هذا النموذج إلى </w:t>
      </w:r>
      <w:r w:rsidRPr="00EF5312">
        <w:rPr>
          <w:rFonts w:ascii="Traditional Arabic" w:hAnsi="Traditional Arabic" w:cs="Traditional Arabic" w:hint="cs"/>
          <w:color w:val="EE0000"/>
          <w:sz w:val="32"/>
          <w:szCs w:val="32"/>
          <w:rtl/>
          <w:lang w:bidi="ar-JO"/>
        </w:rPr>
        <w:t xml:space="preserve">التعرف على أثر </w:t>
      </w:r>
      <w:r w:rsidRPr="00EF5312">
        <w:rPr>
          <w:rFonts w:ascii="Traditional Arabic" w:hAnsi="Traditional Arabic" w:cs="Traditional Arabic"/>
          <w:color w:val="EE0000"/>
          <w:sz w:val="32"/>
          <w:szCs w:val="32"/>
          <w:rtl/>
        </w:rPr>
        <w:t xml:space="preserve">الدور الوسيط للشفافية المعلوماتية في العلاقة بين التحول الرقمي وفاعلية اتخاذ القرار الاستراتيجي – دراسة ميدانية على وزارات الصناعة في دول مجلس التعاون </w:t>
      </w:r>
      <w:r w:rsidRPr="00EF5312">
        <w:rPr>
          <w:rFonts w:ascii="Traditional Arabic" w:hAnsi="Traditional Arabic" w:cs="Traditional Arabic" w:hint="cs"/>
          <w:color w:val="EE0000"/>
          <w:sz w:val="32"/>
          <w:szCs w:val="32"/>
          <w:rtl/>
        </w:rPr>
        <w:t xml:space="preserve">الخليجي </w:t>
      </w:r>
      <w:r w:rsidRPr="00EF5312">
        <w:rPr>
          <w:rFonts w:ascii="Traditional Arabic" w:hAnsi="Traditional Arabic" w:cs="Traditional Arabic"/>
          <w:color w:val="EE0000"/>
          <w:sz w:val="32"/>
          <w:szCs w:val="32"/>
          <w:rtl/>
        </w:rPr>
        <w:t>ويتضمن</w:t>
      </w:r>
      <w:r w:rsidRPr="00EF5312">
        <w:rPr>
          <w:rFonts w:ascii="Traditional Arabic" w:hAnsi="Traditional Arabic" w:cs="Traditional Arabic"/>
          <w:color w:val="EE0000"/>
          <w:sz w:val="32"/>
          <w:szCs w:val="32"/>
          <w:rtl/>
          <w:lang w:bidi="ar-JO"/>
        </w:rPr>
        <w:t xml:space="preserve"> المتغيرات التالية</w:t>
      </w:r>
      <w:r w:rsidRPr="00EF5312">
        <w:rPr>
          <w:rFonts w:ascii="Traditional Arabic" w:hAnsi="Traditional Arabic" w:cs="Traditional Arabic"/>
          <w:color w:val="EE0000"/>
          <w:sz w:val="32"/>
          <w:szCs w:val="32"/>
        </w:rPr>
        <w:t>:</w:t>
      </w:r>
      <w:r w:rsidRPr="00EF5312">
        <w:rPr>
          <w:rFonts w:ascii="Traditional Arabic" w:hAnsi="Traditional Arabic" w:cs="Traditional Arabic"/>
          <w:color w:val="EE0000"/>
          <w:sz w:val="32"/>
          <w:szCs w:val="32"/>
          <w:rtl/>
        </w:rPr>
        <w:t xml:space="preserve"> </w:t>
      </w:r>
    </w:p>
    <w:p w14:paraId="785B2A34" w14:textId="77777777" w:rsidR="00EF5312" w:rsidRPr="00EF5312" w:rsidRDefault="00EF5312" w:rsidP="00EF5312">
      <w:pPr>
        <w:numPr>
          <w:ilvl w:val="0"/>
          <w:numId w:val="2"/>
        </w:numPr>
        <w:bidi/>
        <w:spacing w:after="200" w:line="276" w:lineRule="auto"/>
        <w:jc w:val="both"/>
        <w:rPr>
          <w:rFonts w:ascii="Traditional Arabic" w:hAnsi="Traditional Arabic" w:cs="Traditional Arabic"/>
          <w:color w:val="EE0000"/>
          <w:sz w:val="32"/>
          <w:szCs w:val="32"/>
        </w:rPr>
      </w:pPr>
      <w:r w:rsidRPr="00EF5312">
        <w:rPr>
          <w:rFonts w:ascii="Traditional Arabic" w:hAnsi="Traditional Arabic" w:cs="Traditional Arabic"/>
          <w:b/>
          <w:bCs/>
          <w:color w:val="EE0000"/>
          <w:sz w:val="32"/>
          <w:szCs w:val="32"/>
          <w:rtl/>
        </w:rPr>
        <w:t xml:space="preserve">المتغير </w:t>
      </w:r>
      <w:r w:rsidRPr="00EF5312">
        <w:rPr>
          <w:rFonts w:ascii="Traditional Arabic" w:hAnsi="Traditional Arabic" w:cs="Traditional Arabic" w:hint="cs"/>
          <w:b/>
          <w:bCs/>
          <w:color w:val="EE0000"/>
          <w:sz w:val="32"/>
          <w:szCs w:val="32"/>
          <w:rtl/>
        </w:rPr>
        <w:t>المستقل</w:t>
      </w:r>
      <w:r w:rsidRPr="00EF5312">
        <w:rPr>
          <w:rFonts w:ascii="Traditional Arabic" w:hAnsi="Traditional Arabic" w:cs="Traditional Arabic" w:hint="cs"/>
          <w:color w:val="EE0000"/>
          <w:sz w:val="32"/>
          <w:szCs w:val="32"/>
          <w:rtl/>
        </w:rPr>
        <w:t>: التحول</w:t>
      </w:r>
      <w:r w:rsidRPr="00EF5312">
        <w:rPr>
          <w:rFonts w:ascii="Traditional Arabic" w:hAnsi="Traditional Arabic" w:cs="Traditional Arabic"/>
          <w:color w:val="EE0000"/>
          <w:sz w:val="32"/>
          <w:szCs w:val="32"/>
          <w:rtl/>
        </w:rPr>
        <w:t xml:space="preserve"> الرقمي</w:t>
      </w:r>
      <w:r w:rsidRPr="00EF5312">
        <w:rPr>
          <w:rFonts w:ascii="Traditional Arabic" w:hAnsi="Traditional Arabic" w:cs="Traditional Arabic" w:hint="cs"/>
          <w:color w:val="EE0000"/>
          <w:sz w:val="32"/>
          <w:szCs w:val="32"/>
          <w:rtl/>
        </w:rPr>
        <w:t xml:space="preserve"> بأبعاده (</w:t>
      </w:r>
      <w:r w:rsidRPr="00EF5312">
        <w:rPr>
          <w:rFonts w:ascii="Traditional Arabic" w:hAnsi="Traditional Arabic" w:cs="Traditional Arabic"/>
          <w:color w:val="EE0000"/>
          <w:sz w:val="32"/>
          <w:szCs w:val="32"/>
          <w:rtl/>
        </w:rPr>
        <w:t>التحول الاستراتيجي</w:t>
      </w:r>
      <w:r w:rsidRPr="00EF5312">
        <w:rPr>
          <w:rFonts w:ascii="Traditional Arabic" w:hAnsi="Traditional Arabic" w:cs="Traditional Arabic" w:hint="cs"/>
          <w:color w:val="EE0000"/>
          <w:sz w:val="32"/>
          <w:szCs w:val="32"/>
          <w:rtl/>
        </w:rPr>
        <w:t xml:space="preserve">- </w:t>
      </w:r>
      <w:r w:rsidRPr="00EF5312">
        <w:rPr>
          <w:rFonts w:ascii="Traditional Arabic" w:hAnsi="Traditional Arabic" w:cs="Traditional Arabic"/>
          <w:color w:val="EE0000"/>
          <w:sz w:val="32"/>
          <w:szCs w:val="32"/>
          <w:rtl/>
        </w:rPr>
        <w:t>التحول الإداري</w:t>
      </w:r>
      <w:r w:rsidRPr="00EF5312">
        <w:rPr>
          <w:rFonts w:ascii="Traditional Arabic" w:hAnsi="Traditional Arabic" w:cs="Traditional Arabic" w:hint="cs"/>
          <w:color w:val="EE0000"/>
          <w:sz w:val="32"/>
          <w:szCs w:val="32"/>
          <w:rtl/>
        </w:rPr>
        <w:t xml:space="preserve">- </w:t>
      </w:r>
      <w:r w:rsidRPr="00EF5312">
        <w:rPr>
          <w:rFonts w:ascii="Traditional Arabic" w:hAnsi="Traditional Arabic" w:cs="Traditional Arabic"/>
          <w:color w:val="EE0000"/>
          <w:sz w:val="32"/>
          <w:szCs w:val="32"/>
          <w:rtl/>
        </w:rPr>
        <w:t>تحول العمليات</w:t>
      </w:r>
      <w:r w:rsidRPr="00EF5312">
        <w:rPr>
          <w:rFonts w:ascii="Traditional Arabic" w:hAnsi="Traditional Arabic" w:cs="Traditional Arabic" w:hint="cs"/>
          <w:color w:val="EE0000"/>
          <w:sz w:val="32"/>
          <w:szCs w:val="32"/>
          <w:rtl/>
        </w:rPr>
        <w:t>-</w:t>
      </w:r>
      <w:r w:rsidRPr="00EF5312">
        <w:rPr>
          <w:rFonts w:ascii="Traditional Arabic" w:hAnsi="Traditional Arabic" w:cs="Traditional Arabic"/>
          <w:color w:val="EE0000"/>
          <w:sz w:val="32"/>
          <w:szCs w:val="32"/>
          <w:rtl/>
        </w:rPr>
        <w:t xml:space="preserve"> مركزية العملاء</w:t>
      </w:r>
      <w:r w:rsidRPr="00EF5312">
        <w:rPr>
          <w:rFonts w:ascii="Traditional Arabic" w:hAnsi="Traditional Arabic" w:cs="Traditional Arabic"/>
          <w:b/>
          <w:bCs/>
          <w:color w:val="EE0000"/>
          <w:sz w:val="32"/>
          <w:szCs w:val="32"/>
          <w:rtl/>
        </w:rPr>
        <w:t>)</w:t>
      </w:r>
      <w:r w:rsidRPr="00EF5312">
        <w:rPr>
          <w:rFonts w:ascii="Traditional Arabic" w:hAnsi="Traditional Arabic" w:cs="Traditional Arabic" w:hint="cs"/>
          <w:b/>
          <w:bCs/>
          <w:color w:val="EE0000"/>
          <w:sz w:val="32"/>
          <w:szCs w:val="32"/>
          <w:rtl/>
        </w:rPr>
        <w:t xml:space="preserve"> بالاعتماد على دراسة</w:t>
      </w:r>
      <w:r w:rsidRPr="00EF5312">
        <w:rPr>
          <w:rFonts w:ascii="Traditional Arabic" w:hAnsi="Traditional Arabic" w:cs="Traditional Arabic" w:hint="cs"/>
          <w:color w:val="EE0000"/>
          <w:sz w:val="32"/>
          <w:szCs w:val="32"/>
          <w:rtl/>
        </w:rPr>
        <w:t xml:space="preserve"> (</w:t>
      </w:r>
      <w:r w:rsidRPr="00EF5312">
        <w:rPr>
          <w:rFonts w:ascii="Traditional Arabic" w:hAnsi="Traditional Arabic" w:cs="Traditional Arabic"/>
          <w:color w:val="EE0000"/>
          <w:sz w:val="32"/>
          <w:szCs w:val="32"/>
          <w:rtl/>
        </w:rPr>
        <w:t>الطيب، 2024</w:t>
      </w:r>
      <w:r w:rsidRPr="00EF5312">
        <w:rPr>
          <w:rFonts w:ascii="Traditional Arabic" w:hAnsi="Traditional Arabic" w:cs="Traditional Arabic" w:hint="cs"/>
          <w:color w:val="EE0000"/>
          <w:sz w:val="32"/>
          <w:szCs w:val="32"/>
          <w:rtl/>
        </w:rPr>
        <w:t>) (</w:t>
      </w:r>
      <w:r w:rsidRPr="00EF5312">
        <w:rPr>
          <w:rFonts w:ascii="Traditional Arabic" w:hAnsi="Traditional Arabic" w:cs="Traditional Arabic"/>
          <w:color w:val="EE0000"/>
          <w:sz w:val="32"/>
          <w:szCs w:val="32"/>
          <w:rtl/>
        </w:rPr>
        <w:t>عبد المنعم ورضوان، 2023</w:t>
      </w:r>
      <w:r w:rsidRPr="00EF5312">
        <w:rPr>
          <w:rFonts w:ascii="Traditional Arabic" w:hAnsi="Traditional Arabic" w:cs="Traditional Arabic" w:hint="cs"/>
          <w:color w:val="EE0000"/>
          <w:sz w:val="32"/>
          <w:szCs w:val="32"/>
          <w:rtl/>
        </w:rPr>
        <w:t>) (</w:t>
      </w:r>
      <w:r w:rsidRPr="00EF5312">
        <w:rPr>
          <w:rFonts w:ascii="Traditional Arabic" w:hAnsi="Traditional Arabic" w:cs="Traditional Arabic"/>
          <w:color w:val="EE0000"/>
          <w:sz w:val="32"/>
          <w:szCs w:val="32"/>
          <w:rtl/>
        </w:rPr>
        <w:t>موافى وبدوي، 2024):</w:t>
      </w:r>
    </w:p>
    <w:p w14:paraId="5C6F15B5" w14:textId="77777777" w:rsidR="00EF5312" w:rsidRPr="00EF5312" w:rsidRDefault="00EF5312" w:rsidP="00EF5312">
      <w:pPr>
        <w:numPr>
          <w:ilvl w:val="0"/>
          <w:numId w:val="2"/>
        </w:numPr>
        <w:bidi/>
        <w:spacing w:after="200" w:line="276" w:lineRule="auto"/>
        <w:jc w:val="both"/>
        <w:rPr>
          <w:rFonts w:ascii="Traditional Arabic" w:hAnsi="Traditional Arabic" w:cs="Traditional Arabic"/>
          <w:b/>
          <w:bCs/>
          <w:color w:val="EE0000"/>
          <w:sz w:val="32"/>
          <w:szCs w:val="32"/>
        </w:rPr>
      </w:pPr>
      <w:r w:rsidRPr="00EF5312">
        <w:rPr>
          <w:rFonts w:ascii="Traditional Arabic" w:hAnsi="Traditional Arabic" w:cs="Traditional Arabic"/>
          <w:b/>
          <w:bCs/>
          <w:color w:val="EE0000"/>
          <w:sz w:val="32"/>
          <w:szCs w:val="32"/>
          <w:rtl/>
        </w:rPr>
        <w:t xml:space="preserve">المتغير </w:t>
      </w:r>
      <w:r w:rsidRPr="00EF5312">
        <w:rPr>
          <w:rFonts w:ascii="Traditional Arabic" w:hAnsi="Traditional Arabic" w:cs="Traditional Arabic" w:hint="cs"/>
          <w:b/>
          <w:bCs/>
          <w:color w:val="EE0000"/>
          <w:sz w:val="32"/>
          <w:szCs w:val="32"/>
          <w:rtl/>
        </w:rPr>
        <w:t>التابع:</w:t>
      </w:r>
      <w:r w:rsidRPr="00EF5312">
        <w:rPr>
          <w:rFonts w:ascii="Traditional Arabic" w:hAnsi="Traditional Arabic" w:cs="Traditional Arabic"/>
          <w:color w:val="EE0000"/>
          <w:sz w:val="32"/>
          <w:szCs w:val="32"/>
          <w:rtl/>
          <w:lang w:bidi="ar-JO"/>
        </w:rPr>
        <w:t xml:space="preserve"> </w:t>
      </w:r>
      <w:r w:rsidRPr="00EF5312">
        <w:rPr>
          <w:rFonts w:ascii="Traditional Arabic" w:hAnsi="Traditional Arabic" w:cs="Traditional Arabic"/>
          <w:color w:val="EE0000"/>
          <w:sz w:val="32"/>
          <w:szCs w:val="32"/>
          <w:rtl/>
        </w:rPr>
        <w:t>فاعلية اتخاذ القرار الاستراتيجي</w:t>
      </w:r>
      <w:r w:rsidRPr="00EF5312">
        <w:rPr>
          <w:rFonts w:ascii="Traditional Arabic" w:hAnsi="Traditional Arabic" w:cs="Traditional Arabic" w:hint="cs"/>
          <w:color w:val="EE0000"/>
          <w:sz w:val="32"/>
          <w:szCs w:val="32"/>
          <w:rtl/>
          <w:lang w:bidi="ar-JO"/>
        </w:rPr>
        <w:t xml:space="preserve"> بأبعادها</w:t>
      </w:r>
      <w:r w:rsidRPr="00EF5312">
        <w:rPr>
          <w:rFonts w:ascii="Traditional Arabic" w:hAnsi="Traditional Arabic" w:cs="Traditional Arabic"/>
          <w:color w:val="EE0000"/>
          <w:sz w:val="32"/>
          <w:szCs w:val="32"/>
          <w:rtl/>
          <w:lang w:bidi="ar-JO"/>
        </w:rPr>
        <w:t xml:space="preserve"> </w:t>
      </w:r>
      <w:r w:rsidRPr="00EF5312">
        <w:rPr>
          <w:rFonts w:ascii="Traditional Arabic" w:hAnsi="Traditional Arabic" w:cs="Traditional Arabic" w:hint="cs"/>
          <w:color w:val="EE0000"/>
          <w:sz w:val="32"/>
          <w:szCs w:val="32"/>
          <w:rtl/>
          <w:lang w:bidi="ar-JO"/>
        </w:rPr>
        <w:t>(الوعي</w:t>
      </w:r>
      <w:r w:rsidRPr="00EF5312">
        <w:rPr>
          <w:rFonts w:ascii="Traditional Arabic" w:hAnsi="Traditional Arabic" w:cs="Traditional Arabic"/>
          <w:color w:val="EE0000"/>
          <w:sz w:val="32"/>
          <w:szCs w:val="32"/>
          <w:rtl/>
        </w:rPr>
        <w:t xml:space="preserve"> الاستراتيجي</w:t>
      </w:r>
      <w:r w:rsidRPr="00EF5312">
        <w:rPr>
          <w:rFonts w:ascii="Traditional Arabic" w:hAnsi="Traditional Arabic" w:cs="Traditional Arabic"/>
          <w:color w:val="EE0000"/>
          <w:sz w:val="32"/>
          <w:szCs w:val="32"/>
          <w:rtl/>
          <w:lang w:bidi="ar-JO"/>
        </w:rPr>
        <w:t xml:space="preserve">– </w:t>
      </w:r>
      <w:r w:rsidRPr="00EF5312">
        <w:rPr>
          <w:rFonts w:ascii="Traditional Arabic" w:hAnsi="Traditional Arabic" w:cs="Traditional Arabic"/>
          <w:color w:val="EE0000"/>
          <w:sz w:val="32"/>
          <w:szCs w:val="32"/>
          <w:rtl/>
        </w:rPr>
        <w:t>القدرة على التكيف</w:t>
      </w:r>
      <w:r w:rsidRPr="00EF5312">
        <w:rPr>
          <w:rFonts w:ascii="Traditional Arabic" w:hAnsi="Traditional Arabic" w:cs="Traditional Arabic"/>
          <w:color w:val="EE0000"/>
          <w:sz w:val="32"/>
          <w:szCs w:val="32"/>
          <w:rtl/>
          <w:lang w:bidi="ar-JO"/>
        </w:rPr>
        <w:t xml:space="preserve">-  </w:t>
      </w:r>
      <w:r w:rsidRPr="00EF5312">
        <w:rPr>
          <w:rFonts w:ascii="Traditional Arabic" w:hAnsi="Traditional Arabic" w:cs="Traditional Arabic"/>
          <w:color w:val="EE0000"/>
          <w:sz w:val="32"/>
          <w:szCs w:val="32"/>
          <w:rtl/>
        </w:rPr>
        <w:t xml:space="preserve">التفاعل مع البيانات </w:t>
      </w:r>
      <w:r w:rsidRPr="00EF5312">
        <w:rPr>
          <w:rFonts w:ascii="Traditional Arabic" w:hAnsi="Traditional Arabic" w:cs="Traditional Arabic" w:hint="cs"/>
          <w:color w:val="EE0000"/>
          <w:sz w:val="32"/>
          <w:szCs w:val="32"/>
          <w:rtl/>
        </w:rPr>
        <w:t>والمعلومات</w:t>
      </w:r>
      <w:r w:rsidRPr="00EF5312">
        <w:rPr>
          <w:rFonts w:ascii="Traditional Arabic" w:hAnsi="Traditional Arabic" w:cs="Traditional Arabic" w:hint="cs"/>
          <w:color w:val="EE0000"/>
          <w:sz w:val="32"/>
          <w:szCs w:val="32"/>
          <w:rtl/>
          <w:lang w:bidi="ar-JO"/>
        </w:rPr>
        <w:t>) بالاعتماد</w:t>
      </w:r>
      <w:r w:rsidRPr="00EF5312">
        <w:rPr>
          <w:rFonts w:ascii="Traditional Arabic" w:hAnsi="Traditional Arabic" w:cs="Traditional Arabic" w:hint="cs"/>
          <w:color w:val="EE0000"/>
          <w:sz w:val="32"/>
          <w:szCs w:val="32"/>
          <w:rtl/>
        </w:rPr>
        <w:t xml:space="preserve"> على دراسة</w:t>
      </w:r>
      <w:r w:rsidRPr="00EF5312">
        <w:rPr>
          <w:rFonts w:ascii="Traditional Arabic" w:hAnsi="Traditional Arabic" w:cs="Traditional Arabic"/>
          <w:color w:val="EE0000"/>
          <w:sz w:val="32"/>
          <w:szCs w:val="32"/>
        </w:rPr>
        <w:t xml:space="preserve"> (</w:t>
      </w:r>
      <w:proofErr w:type="spellStart"/>
      <w:r w:rsidRPr="00EF5312">
        <w:rPr>
          <w:rFonts w:ascii="Traditional Arabic" w:hAnsi="Traditional Arabic" w:cs="Traditional Arabic"/>
          <w:color w:val="EE0000"/>
          <w:sz w:val="32"/>
          <w:szCs w:val="32"/>
        </w:rPr>
        <w:t>Yulion</w:t>
      </w:r>
      <w:proofErr w:type="spellEnd"/>
      <w:r w:rsidRPr="00EF5312">
        <w:rPr>
          <w:rFonts w:ascii="Traditional Arabic" w:hAnsi="Traditional Arabic" w:cs="Traditional Arabic"/>
          <w:color w:val="EE0000"/>
          <w:sz w:val="32"/>
          <w:szCs w:val="32"/>
        </w:rPr>
        <w:t xml:space="preserve"> et al., 2024) </w:t>
      </w:r>
      <w:r w:rsidRPr="00EF5312">
        <w:rPr>
          <w:rFonts w:ascii="Traditional Arabic" w:hAnsi="Traditional Arabic" w:cs="Traditional Arabic"/>
          <w:color w:val="EE0000"/>
          <w:sz w:val="32"/>
          <w:szCs w:val="32"/>
          <w:rtl/>
        </w:rPr>
        <w:t>ودراسة (النايف، 2021)</w:t>
      </w:r>
      <w:r w:rsidRPr="00EF5312">
        <w:rPr>
          <w:rFonts w:ascii="Traditional Arabic" w:hAnsi="Traditional Arabic" w:cs="Traditional Arabic"/>
          <w:color w:val="EE0000"/>
          <w:sz w:val="32"/>
          <w:szCs w:val="32"/>
        </w:rPr>
        <w:t>:</w:t>
      </w:r>
    </w:p>
    <w:p w14:paraId="2CA0B4AB" w14:textId="09526311" w:rsidR="00EF5312" w:rsidRDefault="00EF5312" w:rsidP="00EF5312">
      <w:pPr>
        <w:numPr>
          <w:ilvl w:val="0"/>
          <w:numId w:val="2"/>
        </w:numPr>
        <w:bidi/>
        <w:spacing w:after="200" w:line="276" w:lineRule="auto"/>
        <w:jc w:val="both"/>
        <w:rPr>
          <w:rFonts w:ascii="Traditional Arabic" w:hAnsi="Traditional Arabic" w:cs="Traditional Arabic"/>
          <w:b/>
          <w:bCs/>
          <w:color w:val="EE0000"/>
          <w:sz w:val="32"/>
          <w:szCs w:val="32"/>
        </w:rPr>
      </w:pPr>
      <w:r w:rsidRPr="00EF5312">
        <w:rPr>
          <w:rFonts w:ascii="Traditional Arabic" w:hAnsi="Traditional Arabic" w:cs="Traditional Arabic" w:hint="cs"/>
          <w:b/>
          <w:bCs/>
          <w:color w:val="EE0000"/>
          <w:sz w:val="32"/>
          <w:szCs w:val="32"/>
          <w:rtl/>
        </w:rPr>
        <w:t xml:space="preserve">المتغير الوسيط: </w:t>
      </w:r>
      <w:r w:rsidRPr="00EF5312">
        <w:rPr>
          <w:rFonts w:ascii="Traditional Arabic" w:hAnsi="Traditional Arabic" w:cs="Traditional Arabic"/>
          <w:color w:val="EE0000"/>
          <w:sz w:val="32"/>
          <w:szCs w:val="32"/>
          <w:rtl/>
        </w:rPr>
        <w:t xml:space="preserve">الشفافية </w:t>
      </w:r>
      <w:r w:rsidRPr="00EF5312">
        <w:rPr>
          <w:rFonts w:ascii="Traditional Arabic" w:hAnsi="Traditional Arabic" w:cs="Traditional Arabic" w:hint="cs"/>
          <w:color w:val="EE0000"/>
          <w:sz w:val="32"/>
          <w:szCs w:val="32"/>
          <w:rtl/>
        </w:rPr>
        <w:t>المعلوماتية. أبعاده</w:t>
      </w:r>
      <w:r w:rsidRPr="00EF5312">
        <w:rPr>
          <w:rFonts w:ascii="Traditional Arabic" w:hAnsi="Traditional Arabic" w:cs="Traditional Arabic" w:hint="eastAsia"/>
          <w:color w:val="EE0000"/>
          <w:sz w:val="32"/>
          <w:szCs w:val="32"/>
          <w:rtl/>
        </w:rPr>
        <w:t>ا</w:t>
      </w:r>
      <w:r w:rsidRPr="00EF5312">
        <w:rPr>
          <w:rFonts w:ascii="Traditional Arabic" w:hAnsi="Traditional Arabic" w:cs="Traditional Arabic" w:hint="cs"/>
          <w:color w:val="EE0000"/>
          <w:sz w:val="32"/>
          <w:szCs w:val="32"/>
          <w:rtl/>
        </w:rPr>
        <w:t xml:space="preserve"> (شفافية</w:t>
      </w:r>
      <w:r w:rsidRPr="00EF5312">
        <w:rPr>
          <w:rFonts w:ascii="Traditional Arabic" w:hAnsi="Traditional Arabic" w:cs="Traditional Arabic"/>
          <w:color w:val="EE0000"/>
          <w:sz w:val="32"/>
          <w:szCs w:val="32"/>
          <w:rtl/>
        </w:rPr>
        <w:t xml:space="preserve"> الأنظمة واللوائح</w:t>
      </w:r>
      <w:r w:rsidRPr="00EF5312">
        <w:rPr>
          <w:rFonts w:ascii="Traditional Arabic" w:hAnsi="Traditional Arabic" w:cs="Traditional Arabic" w:hint="cs"/>
          <w:color w:val="EE0000"/>
          <w:sz w:val="32"/>
          <w:szCs w:val="32"/>
          <w:rtl/>
        </w:rPr>
        <w:t>-</w:t>
      </w:r>
      <w:r w:rsidRPr="00EF5312">
        <w:rPr>
          <w:rFonts w:ascii="Traditional Arabic" w:hAnsi="Traditional Arabic" w:cs="Traditional Arabic"/>
          <w:color w:val="EE0000"/>
          <w:sz w:val="32"/>
          <w:szCs w:val="32"/>
          <w:rtl/>
        </w:rPr>
        <w:t xml:space="preserve"> شفافية الإجراءات</w:t>
      </w:r>
      <w:r w:rsidRPr="00EF5312">
        <w:rPr>
          <w:rFonts w:ascii="Traditional Arabic" w:hAnsi="Traditional Arabic" w:cs="Traditional Arabic" w:hint="cs"/>
          <w:color w:val="EE0000"/>
          <w:sz w:val="32"/>
          <w:szCs w:val="32"/>
          <w:rtl/>
        </w:rPr>
        <w:t xml:space="preserve">- </w:t>
      </w:r>
      <w:r w:rsidRPr="00EF5312">
        <w:rPr>
          <w:rFonts w:ascii="Traditional Arabic" w:hAnsi="Traditional Arabic" w:cs="Traditional Arabic"/>
          <w:color w:val="EE0000"/>
          <w:sz w:val="32"/>
          <w:szCs w:val="32"/>
          <w:rtl/>
        </w:rPr>
        <w:t>شفافية الاتصال والمعلومات</w:t>
      </w:r>
      <w:r w:rsidRPr="00EF5312">
        <w:rPr>
          <w:rFonts w:ascii="Traditional Arabic" w:hAnsi="Traditional Arabic" w:cs="Traditional Arabic" w:hint="cs"/>
          <w:color w:val="EE0000"/>
          <w:sz w:val="32"/>
          <w:szCs w:val="32"/>
          <w:rtl/>
        </w:rPr>
        <w:t>)</w:t>
      </w:r>
      <w:r w:rsidRPr="00EF5312">
        <w:rPr>
          <w:rFonts w:ascii="Traditional Arabic" w:hAnsi="Traditional Arabic" w:cs="Traditional Arabic" w:hint="cs"/>
          <w:b/>
          <w:bCs/>
          <w:color w:val="EE0000"/>
          <w:sz w:val="32"/>
          <w:szCs w:val="32"/>
          <w:rtl/>
        </w:rPr>
        <w:t xml:space="preserve"> </w:t>
      </w:r>
      <w:r w:rsidRPr="00EF5312">
        <w:rPr>
          <w:rFonts w:ascii="Traditional Arabic" w:hAnsi="Traditional Arabic" w:cs="Traditional Arabic" w:hint="cs"/>
          <w:color w:val="EE0000"/>
          <w:sz w:val="32"/>
          <w:szCs w:val="32"/>
          <w:rtl/>
        </w:rPr>
        <w:t xml:space="preserve">بالاعتماد على دراسة </w:t>
      </w:r>
      <w:r w:rsidRPr="00EF5312">
        <w:rPr>
          <w:rFonts w:ascii="Traditional Arabic" w:hAnsi="Traditional Arabic" w:cs="Traditional Arabic"/>
          <w:color w:val="EE0000"/>
          <w:sz w:val="32"/>
          <w:szCs w:val="32"/>
        </w:rPr>
        <w:t xml:space="preserve">(Xu &amp; Mustafaraj, 2024) </w:t>
      </w:r>
      <w:r w:rsidRPr="00EF5312">
        <w:rPr>
          <w:rFonts w:ascii="Traditional Arabic" w:hAnsi="Traditional Arabic" w:cs="Traditional Arabic"/>
          <w:color w:val="EE0000"/>
          <w:sz w:val="32"/>
          <w:szCs w:val="32"/>
          <w:rtl/>
        </w:rPr>
        <w:t>ودراسة</w:t>
      </w:r>
      <w:r w:rsidRPr="00EF5312">
        <w:rPr>
          <w:rFonts w:ascii="Traditional Arabic" w:hAnsi="Traditional Arabic" w:cs="Traditional Arabic"/>
          <w:color w:val="EE0000"/>
          <w:sz w:val="32"/>
          <w:szCs w:val="32"/>
        </w:rPr>
        <w:t xml:space="preserve"> (</w:t>
      </w:r>
      <w:proofErr w:type="spellStart"/>
      <w:r w:rsidRPr="00EF5312">
        <w:rPr>
          <w:rFonts w:ascii="Traditional Arabic" w:hAnsi="Traditional Arabic" w:cs="Traditional Arabic"/>
          <w:color w:val="EE0000"/>
          <w:sz w:val="32"/>
          <w:szCs w:val="32"/>
        </w:rPr>
        <w:t>Tondolo</w:t>
      </w:r>
      <w:proofErr w:type="spellEnd"/>
      <w:r w:rsidRPr="00EF5312">
        <w:rPr>
          <w:rFonts w:ascii="Traditional Arabic" w:hAnsi="Traditional Arabic" w:cs="Traditional Arabic"/>
          <w:color w:val="EE0000"/>
          <w:sz w:val="32"/>
          <w:szCs w:val="32"/>
        </w:rPr>
        <w:t xml:space="preserve"> et al., 2023)</w:t>
      </w:r>
    </w:p>
    <w:p w14:paraId="38AF4650" w14:textId="77777777" w:rsidR="00EF5312" w:rsidRDefault="00EF5312">
      <w:pPr>
        <w:spacing w:after="200" w:line="276" w:lineRule="auto"/>
        <w:rPr>
          <w:rFonts w:ascii="Traditional Arabic" w:hAnsi="Traditional Arabic" w:cs="Traditional Arabic"/>
          <w:b/>
          <w:bCs/>
          <w:color w:val="EE0000"/>
          <w:sz w:val="32"/>
          <w:szCs w:val="32"/>
        </w:rPr>
      </w:pPr>
      <w:r>
        <w:rPr>
          <w:rFonts w:ascii="Traditional Arabic" w:hAnsi="Traditional Arabic" w:cs="Traditional Arabic"/>
          <w:b/>
          <w:bCs/>
          <w:color w:val="EE0000"/>
          <w:sz w:val="32"/>
          <w:szCs w:val="32"/>
        </w:rPr>
        <w:br w:type="page"/>
      </w:r>
    </w:p>
    <w:p w14:paraId="5434D168" w14:textId="77777777" w:rsidR="00EF5312" w:rsidRPr="00EF5312" w:rsidRDefault="00EF5312" w:rsidP="00EF5312">
      <w:pPr>
        <w:bidi/>
        <w:spacing w:after="200" w:line="276" w:lineRule="auto"/>
        <w:ind w:left="1211"/>
        <w:jc w:val="both"/>
        <w:rPr>
          <w:rFonts w:ascii="Traditional Arabic" w:hAnsi="Traditional Arabic" w:cs="Traditional Arabic"/>
          <w:b/>
          <w:bCs/>
          <w:color w:val="EE0000"/>
          <w:sz w:val="32"/>
          <w:szCs w:val="32"/>
        </w:rPr>
      </w:pPr>
    </w:p>
    <w:p w14:paraId="2C3FDDE3"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tl/>
          <w:lang w:bidi="ar-EG"/>
        </w:rPr>
      </w:pPr>
      <w:r w:rsidRPr="00EF5312">
        <w:rPr>
          <w:rFonts w:ascii="Traditional Arabic" w:hAnsi="Traditional Arabic" w:cs="Traditional Arabic" w:hint="cs"/>
          <w:b/>
          <w:bCs/>
          <w:color w:val="000000" w:themeColor="text1"/>
          <w:sz w:val="32"/>
          <w:szCs w:val="32"/>
          <w:rtl/>
          <w:lang w:bidi="ar-EG"/>
        </w:rPr>
        <w:t xml:space="preserve">الشكل رقم (1) متغيرات الدراسة </w:t>
      </w:r>
    </w:p>
    <w:p w14:paraId="2930182C"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tl/>
        </w:rPr>
      </w:pPr>
      <w:r w:rsidRPr="00EF5312">
        <w:rPr>
          <w:rFonts w:ascii="Traditional Arabic" w:hAnsi="Traditional Arabic" w:cs="Traditional Arabic" w:hint="cs"/>
          <w:noProof/>
          <w:color w:val="000000" w:themeColor="text1"/>
          <w:sz w:val="32"/>
          <w:szCs w:val="32"/>
          <w:rtl/>
        </w:rPr>
        <mc:AlternateContent>
          <mc:Choice Requires="wps">
            <w:drawing>
              <wp:anchor distT="0" distB="0" distL="114300" distR="114300" simplePos="0" relativeHeight="251677696" behindDoc="0" locked="0" layoutInCell="1" allowOverlap="1" wp14:anchorId="27058DC0" wp14:editId="1B1BCF3A">
                <wp:simplePos x="0" y="0"/>
                <wp:positionH relativeFrom="column">
                  <wp:posOffset>539750</wp:posOffset>
                </wp:positionH>
                <wp:positionV relativeFrom="paragraph">
                  <wp:posOffset>146050</wp:posOffset>
                </wp:positionV>
                <wp:extent cx="0" cy="998220"/>
                <wp:effectExtent l="76200" t="0" r="57150" b="49530"/>
                <wp:wrapNone/>
                <wp:docPr id="352617266" name="رابط كسهم مستقيم 26"/>
                <wp:cNvGraphicFramePr/>
                <a:graphic xmlns:a="http://schemas.openxmlformats.org/drawingml/2006/main">
                  <a:graphicData uri="http://schemas.microsoft.com/office/word/2010/wordprocessingShape">
                    <wps:wsp>
                      <wps:cNvCnPr/>
                      <wps:spPr>
                        <a:xfrm>
                          <a:off x="0" y="0"/>
                          <a:ext cx="0" cy="998220"/>
                        </a:xfrm>
                        <a:prstGeom prst="straightConnector1">
                          <a:avLst/>
                        </a:prstGeom>
                        <a:noFill/>
                        <a:ln w="9525" cap="flat" cmpd="sng" algn="ctr">
                          <a:solidFill>
                            <a:srgbClr val="4F81BD">
                              <a:shade val="95000"/>
                              <a:satMod val="105000"/>
                            </a:srgbClr>
                          </a:solidFill>
                          <a:prstDash val="solid"/>
                          <a:tailEnd type="triangle"/>
                        </a:ln>
                        <a:effectLst/>
                      </wps:spPr>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611DAAE8" id="_x0000_t32" coordsize="21600,21600" o:spt="32" o:oned="t" path="m,l21600,21600e" filled="f">
                <v:path arrowok="t" fillok="f" o:connecttype="none"/>
                <o:lock v:ext="edit" shapetype="t"/>
              </v:shapetype>
              <v:shape id="رابط كسهم مستقيم 26" o:spid="_x0000_s1026" type="#_x0000_t32" style="position:absolute;left:0;text-align:left;margin-left:42.5pt;margin-top:11.5pt;width:0;height:78.6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" strokecolor="#4a7ebb">
                <v:stroke endarrow="block"/>
              </v:shape>
            </w:pict>
          </mc:Fallback>
        </mc:AlternateContent>
      </w:r>
      <w:r w:rsidRPr="00EF5312">
        <w:rPr>
          <w:rFonts w:ascii="Traditional Arabic" w:hAnsi="Traditional Arabic" w:cs="Traditional Arabic" w:hint="cs"/>
          <w:noProof/>
          <w:color w:val="000000" w:themeColor="text1"/>
          <w:sz w:val="32"/>
          <w:szCs w:val="32"/>
          <w:rtl/>
        </w:rPr>
        <mc:AlternateContent>
          <mc:Choice Requires="wps">
            <w:drawing>
              <wp:anchor distT="0" distB="0" distL="114300" distR="114300" simplePos="0" relativeHeight="251676672" behindDoc="0" locked="0" layoutInCell="1" allowOverlap="1" wp14:anchorId="14E99AB2" wp14:editId="60E06219">
                <wp:simplePos x="0" y="0"/>
                <wp:positionH relativeFrom="column">
                  <wp:posOffset>5119370</wp:posOffset>
                </wp:positionH>
                <wp:positionV relativeFrom="paragraph">
                  <wp:posOffset>146050</wp:posOffset>
                </wp:positionV>
                <wp:extent cx="0" cy="441960"/>
                <wp:effectExtent l="76200" t="0" r="57150" b="53340"/>
                <wp:wrapNone/>
                <wp:docPr id="1848405063" name="رابط كسهم مستقيم 25"/>
                <wp:cNvGraphicFramePr/>
                <a:graphic xmlns:a="http://schemas.openxmlformats.org/drawingml/2006/main">
                  <a:graphicData uri="http://schemas.microsoft.com/office/word/2010/wordprocessingShape">
                    <wps:wsp>
                      <wps:cNvCnPr/>
                      <wps:spPr>
                        <a:xfrm>
                          <a:off x="0" y="0"/>
                          <a:ext cx="0" cy="441960"/>
                        </a:xfrm>
                        <a:prstGeom prst="straightConnector1">
                          <a:avLst/>
                        </a:prstGeom>
                        <a:noFill/>
                        <a:ln w="9525" cap="flat" cmpd="sng" algn="ctr">
                          <a:solidFill>
                            <a:srgbClr val="4F81BD">
                              <a:shade val="95000"/>
                              <a:satMod val="105000"/>
                            </a:srgbClr>
                          </a:solidFill>
                          <a:prstDash val="solid"/>
                          <a:tailEnd type="triangle"/>
                        </a:ln>
                        <a:effectLst/>
                      </wps:spPr>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2DB289D" id="رابط كسهم مستقيم 25" o:spid="_x0000_s1026" type="#_x0000_t32" style="position:absolute;left:0;text-align:left;margin-left:403.1pt;margin-top:11.5pt;width:0;height:34.8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" strokecolor="#4a7ebb">
                <v:stroke endarrow="block"/>
              </v:shape>
            </w:pict>
          </mc:Fallback>
        </mc:AlternateContent>
      </w:r>
      <w:r w:rsidRPr="00EF5312">
        <w:rPr>
          <w:rFonts w:ascii="Traditional Arabic" w:hAnsi="Traditional Arabic" w:cs="Traditional Arabic" w:hint="cs"/>
          <w:noProof/>
          <w:color w:val="000000" w:themeColor="text1"/>
          <w:sz w:val="32"/>
          <w:szCs w:val="32"/>
          <w:rtl/>
        </w:rPr>
        <mc:AlternateContent>
          <mc:Choice Requires="wps">
            <w:drawing>
              <wp:anchor distT="0" distB="0" distL="114300" distR="114300" simplePos="0" relativeHeight="251675648" behindDoc="0" locked="0" layoutInCell="1" allowOverlap="1" wp14:anchorId="1B204535" wp14:editId="400BB9DA">
                <wp:simplePos x="0" y="0"/>
                <wp:positionH relativeFrom="column">
                  <wp:posOffset>539750</wp:posOffset>
                </wp:positionH>
                <wp:positionV relativeFrom="paragraph">
                  <wp:posOffset>146050</wp:posOffset>
                </wp:positionV>
                <wp:extent cx="4579620" cy="0"/>
                <wp:effectExtent l="0" t="0" r="0" b="0"/>
                <wp:wrapNone/>
                <wp:docPr id="927634355" name="رابط مستقيم 24"/>
                <wp:cNvGraphicFramePr/>
                <a:graphic xmlns:a="http://schemas.openxmlformats.org/drawingml/2006/main">
                  <a:graphicData uri="http://schemas.microsoft.com/office/word/2010/wordprocessingShape">
                    <wps:wsp>
                      <wps:cNvCnPr/>
                      <wps:spPr>
                        <a:xfrm flipH="1">
                          <a:off x="0" y="0"/>
                          <a:ext cx="4579620"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71431710" id="رابط مستقيم 24" o:spid="_x0000_s1026" style="position:absolute;left:0;text-align:left;flip:x;z-index:251675648;visibility:visible;mso-wrap-style:square;mso-wrap-distance-left:9pt;mso-wrap-distance-top:0;mso-wrap-distance-right:9pt;mso-wrap-distance-bottom:0;mso-position-horizontal:absolute;mso-position-horizontal-relative:text;mso-position-vertical:absolute;mso-position-vertical-relative:text" from="42.5pt,11.5pt" to="403.1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" strokecolor="#4a7ebb"/>
            </w:pict>
          </mc:Fallback>
        </mc:AlternateContent>
      </w:r>
      <w:r w:rsidRPr="00EF5312">
        <w:rPr>
          <w:rFonts w:ascii="Traditional Arabic" w:hAnsi="Traditional Arabic" w:cs="Traditional Arabic" w:hint="cs"/>
          <w:color w:val="000000" w:themeColor="text1"/>
          <w:sz w:val="32"/>
          <w:szCs w:val="32"/>
          <w:rtl/>
        </w:rPr>
        <w:t xml:space="preserve">                                               ف1</w:t>
      </w:r>
    </w:p>
    <w:p w14:paraId="351C0722"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tl/>
        </w:rPr>
      </w:pPr>
      <w:r w:rsidRPr="00EF5312">
        <w:rPr>
          <w:rFonts w:ascii="Traditional Arabic" w:hAnsi="Traditional Arabic" w:cs="Traditional Arabic"/>
          <w:noProof/>
          <w:color w:val="000000" w:themeColor="text1"/>
          <w:sz w:val="32"/>
          <w:szCs w:val="32"/>
          <w:rtl/>
        </w:rPr>
        <mc:AlternateContent>
          <mc:Choice Requires="wps">
            <w:drawing>
              <wp:anchor distT="0" distB="0" distL="114300" distR="114300" simplePos="0" relativeHeight="251659264" behindDoc="0" locked="0" layoutInCell="1" allowOverlap="1" wp14:anchorId="1CE5B17F" wp14:editId="32D70BB0">
                <wp:simplePos x="0" y="0"/>
                <wp:positionH relativeFrom="column">
                  <wp:posOffset>4280535</wp:posOffset>
                </wp:positionH>
                <wp:positionV relativeFrom="paragraph">
                  <wp:posOffset>264160</wp:posOffset>
                </wp:positionV>
                <wp:extent cx="1857375" cy="485775"/>
                <wp:effectExtent l="57150" t="38100" r="85725" b="104775"/>
                <wp:wrapNone/>
                <wp:docPr id="273105383" name="مستطيل 1"/>
                <wp:cNvGraphicFramePr/>
                <a:graphic xmlns:a="http://schemas.openxmlformats.org/drawingml/2006/main">
                  <a:graphicData uri="http://schemas.microsoft.com/office/word/2010/wordprocessingShape">
                    <wps:wsp>
                      <wps:cNvSpPr/>
                      <wps:spPr>
                        <a:xfrm>
                          <a:off x="0" y="0"/>
                          <a:ext cx="1857375" cy="485775"/>
                        </a:xfrm>
                        <a:prstGeom prst="rect">
                          <a:avLst/>
                        </a:prstGeom>
                        <a:ln/>
                      </wps:spPr>
                      <wps:style>
                        <a:lnRef idx="1">
                          <a:schemeClr val="accent3"/>
                        </a:lnRef>
                        <a:fillRef idx="2">
                          <a:schemeClr val="accent3"/>
                        </a:fillRef>
                        <a:effectRef idx="1">
                          <a:schemeClr val="accent3"/>
                        </a:effectRef>
                        <a:fontRef idx="minor">
                          <a:schemeClr val="dk1"/>
                        </a:fontRef>
                      </wps:style>
                      <wps:txbx>
                        <w:txbxContent>
                          <w:p w14:paraId="49094C2B" w14:textId="77777777" w:rsidR="00EF5312" w:rsidRDefault="00EF5312" w:rsidP="00EF5312">
                            <w:pPr>
                              <w:jc w:val="center"/>
                            </w:pPr>
                            <w:r w:rsidRPr="00CA57ED">
                              <w:rPr>
                                <w:rFonts w:ascii="Traditional Arabic" w:hAnsi="Traditional Arabic" w:cs="Traditional Arabic" w:hint="cs"/>
                                <w:b/>
                                <w:bCs/>
                                <w:sz w:val="32"/>
                                <w:szCs w:val="32"/>
                                <w:rtl/>
                                <w:lang w:bidi="ar-EG"/>
                              </w:rPr>
                              <w:t xml:space="preserve">التحول الرقمي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CE5B17F" id="مستطيل 1" o:spid="_x0000_s1026" style="position:absolute;left:0;text-align:left;margin-left:337.05pt;margin-top:20.8pt;width:146.25pt;height:38.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" fillcolor="#cdddac [1622]" strokecolor="#94b64e [3046]">
                <v:fill color2="#f0f4e6 [502]" rotate="t" angle="180" colors="0 #dafda7;22938f #e4fdc2;1 #f5ffe6" focus="100%" type="gradient"/>
                <v:shadow on="t" color="black" opacity="24903f" origin=",.5" offset="0,.55556mm"/>
                <v:textbox>
                  <w:txbxContent>
                    <w:p w14:paraId="49094C2B" w14:textId="77777777" w:rsidR="00EF5312" w:rsidRDefault="00EF5312" w:rsidP="00EF5312">
                      <w:pPr>
                        <w:jc w:val="center"/>
                      </w:pPr>
                      <w:r w:rsidRPr="00CA57ED">
                        <w:rPr>
                          <w:rFonts w:ascii="Traditional Arabic" w:hAnsi="Traditional Arabic" w:cs="Traditional Arabic" w:hint="cs"/>
                          <w:b/>
                          <w:bCs/>
                          <w:sz w:val="32"/>
                          <w:szCs w:val="32"/>
                          <w:rtl/>
                          <w:lang w:bidi="ar-EG"/>
                        </w:rPr>
                        <w:t xml:space="preserve">التحول الرقمي  </w:t>
                      </w:r>
                    </w:p>
                  </w:txbxContent>
                </v:textbox>
              </v:rect>
            </w:pict>
          </mc:Fallback>
        </mc:AlternateContent>
      </w:r>
    </w:p>
    <w:p w14:paraId="0F4A7135"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Pr>
      </w:pPr>
      <w:r w:rsidRPr="00EF5312">
        <w:rPr>
          <w:rFonts w:ascii="Traditional Arabic" w:hAnsi="Traditional Arabic" w:cs="Traditional Arabic"/>
          <w:noProof/>
          <w:color w:val="000000" w:themeColor="text1"/>
          <w:sz w:val="32"/>
          <w:szCs w:val="32"/>
          <w:rtl/>
        </w:rPr>
        <mc:AlternateContent>
          <mc:Choice Requires="wps">
            <w:drawing>
              <wp:anchor distT="0" distB="0" distL="114300" distR="114300" simplePos="0" relativeHeight="251660288" behindDoc="0" locked="0" layoutInCell="1" allowOverlap="1" wp14:anchorId="7EE81B67" wp14:editId="29702EAA">
                <wp:simplePos x="0" y="0"/>
                <wp:positionH relativeFrom="column">
                  <wp:posOffset>-389890</wp:posOffset>
                </wp:positionH>
                <wp:positionV relativeFrom="paragraph">
                  <wp:posOffset>624205</wp:posOffset>
                </wp:positionV>
                <wp:extent cx="1684020" cy="485775"/>
                <wp:effectExtent l="57150" t="38100" r="68580" b="104775"/>
                <wp:wrapNone/>
                <wp:docPr id="467565625" name="مستطيل 2"/>
                <wp:cNvGraphicFramePr/>
                <a:graphic xmlns:a="http://schemas.openxmlformats.org/drawingml/2006/main">
                  <a:graphicData uri="http://schemas.microsoft.com/office/word/2010/wordprocessingShape">
                    <wps:wsp>
                      <wps:cNvSpPr/>
                      <wps:spPr>
                        <a:xfrm>
                          <a:off x="0" y="0"/>
                          <a:ext cx="1684020" cy="485775"/>
                        </a:xfrm>
                        <a:prstGeom prst="rect">
                          <a:avLst/>
                        </a:prstGeom>
                        <a:ln/>
                      </wps:spPr>
                      <wps:style>
                        <a:lnRef idx="1">
                          <a:schemeClr val="accent3"/>
                        </a:lnRef>
                        <a:fillRef idx="2">
                          <a:schemeClr val="accent3"/>
                        </a:fillRef>
                        <a:effectRef idx="1">
                          <a:schemeClr val="accent3"/>
                        </a:effectRef>
                        <a:fontRef idx="minor">
                          <a:schemeClr val="dk1"/>
                        </a:fontRef>
                      </wps:style>
                      <wps:txbx>
                        <w:txbxContent>
                          <w:p w14:paraId="04BBDAE0" w14:textId="77777777" w:rsidR="00EF5312" w:rsidRDefault="00EF5312" w:rsidP="00EF5312">
                            <w:pPr>
                              <w:bidi/>
                              <w:jc w:val="center"/>
                            </w:pPr>
                            <w:r w:rsidRPr="00312F0B">
                              <w:rPr>
                                <w:rFonts w:ascii="Traditional Arabic" w:hAnsi="Traditional Arabic" w:cs="Traditional Arabic"/>
                                <w:b/>
                                <w:bCs/>
                                <w:sz w:val="32"/>
                                <w:szCs w:val="32"/>
                                <w:rtl/>
                              </w:rPr>
                              <w:t>فاعلية اتخاذ القرار الاستراتيجي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EE81B67" id="مستطيل 2" o:spid="_x0000_s1027" style="position:absolute;left:0;text-align:left;margin-left:-30.7pt;margin-top:49.15pt;width:132.6pt;height:38.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" fillcolor="#cdddac [1622]" strokecolor="#94b64e [3046]">
                <v:fill color2="#f0f4e6 [502]" rotate="t" angle="180" colors="0 #dafda7;22938f #e4fdc2;1 #f5ffe6" focus="100%" type="gradient"/>
                <v:shadow on="t" color="black" opacity="24903f" origin=",.5" offset="0,.55556mm"/>
                <v:textbox>
                  <w:txbxContent>
                    <w:p w14:paraId="04BBDAE0" w14:textId="77777777" w:rsidR="00EF5312" w:rsidRDefault="00EF5312" w:rsidP="00EF5312">
                      <w:pPr>
                        <w:bidi/>
                        <w:jc w:val="center"/>
                      </w:pPr>
                      <w:r w:rsidRPr="00312F0B">
                        <w:rPr>
                          <w:rFonts w:ascii="Traditional Arabic" w:hAnsi="Traditional Arabic" w:cs="Traditional Arabic"/>
                          <w:b/>
                          <w:bCs/>
                          <w:sz w:val="32"/>
                          <w:szCs w:val="32"/>
                          <w:rtl/>
                        </w:rPr>
                        <w:t>فاعلية اتخاذ القرار الاستراتيجي</w:t>
                      </w:r>
                    </w:p>
                  </w:txbxContent>
                </v:textbox>
              </v:rect>
            </w:pict>
          </mc:Fallback>
        </mc:AlternateContent>
      </w:r>
      <w:r w:rsidRPr="00EF5312">
        <w:rPr>
          <w:rFonts w:ascii="Traditional Arabic" w:hAnsi="Traditional Arabic" w:cs="Traditional Arabic"/>
          <w:noProof/>
          <w:color w:val="000000" w:themeColor="text1"/>
          <w:sz w:val="32"/>
          <w:szCs w:val="32"/>
        </w:rPr>
        <mc:AlternateContent>
          <mc:Choice Requires="wps">
            <w:drawing>
              <wp:anchor distT="0" distB="0" distL="114300" distR="114300" simplePos="0" relativeHeight="251663360" behindDoc="0" locked="0" layoutInCell="1" allowOverlap="1" wp14:anchorId="4FBAE721" wp14:editId="5041BFBE">
                <wp:simplePos x="0" y="0"/>
                <wp:positionH relativeFrom="column">
                  <wp:posOffset>4484370</wp:posOffset>
                </wp:positionH>
                <wp:positionV relativeFrom="paragraph">
                  <wp:posOffset>332105</wp:posOffset>
                </wp:positionV>
                <wp:extent cx="1485900" cy="400050"/>
                <wp:effectExtent l="57150" t="38100" r="76200" b="95250"/>
                <wp:wrapNone/>
                <wp:docPr id="299532695" name="مستطيل: زوايا مستديرة 9"/>
                <wp:cNvGraphicFramePr/>
                <a:graphic xmlns:a="http://schemas.openxmlformats.org/drawingml/2006/main">
                  <a:graphicData uri="http://schemas.microsoft.com/office/word/2010/wordprocessingShape">
                    <wps:wsp>
                      <wps:cNvSpPr/>
                      <wps:spPr>
                        <a:xfrm>
                          <a:off x="0" y="0"/>
                          <a:ext cx="1485900" cy="400050"/>
                        </a:xfrm>
                        <a:prstGeom prst="roundRect">
                          <a:avLst/>
                        </a:prstGeom>
                        <a:ln/>
                      </wps:spPr>
                      <wps:style>
                        <a:lnRef idx="1">
                          <a:schemeClr val="accent3"/>
                        </a:lnRef>
                        <a:fillRef idx="2">
                          <a:schemeClr val="accent3"/>
                        </a:fillRef>
                        <a:effectRef idx="1">
                          <a:schemeClr val="accent3"/>
                        </a:effectRef>
                        <a:fontRef idx="minor">
                          <a:schemeClr val="dk1"/>
                        </a:fontRef>
                      </wps:style>
                      <wps:txbx>
                        <w:txbxContent>
                          <w:p w14:paraId="35C88144" w14:textId="77777777" w:rsidR="00EF5312" w:rsidRDefault="00EF5312" w:rsidP="00EF5312">
                            <w:pPr>
                              <w:jc w:val="center"/>
                            </w:pPr>
                            <w:r w:rsidRPr="00312F0B">
                              <w:rPr>
                                <w:rtl/>
                              </w:rPr>
                              <w:t xml:space="preserve"> </w:t>
                            </w:r>
                            <w:r w:rsidRPr="00312F0B">
                              <w:rPr>
                                <w:rFonts w:ascii="Traditional Arabic" w:hAnsi="Traditional Arabic" w:cs="Traditional Arabic"/>
                                <w:b/>
                                <w:bCs/>
                                <w:sz w:val="32"/>
                                <w:szCs w:val="32"/>
                                <w:rtl/>
                                <w:lang w:bidi="ar-EG"/>
                              </w:rPr>
                              <w:t>التحول الاستراتيجي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4FBAE721" id="مستطيل: زوايا مستديرة 9" o:spid="_x0000_s1028" style="position:absolute;left:0;text-align:left;margin-left:353.1pt;margin-top:26.15pt;width:117pt;height:3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" fillcolor="#cdddac [1622]" strokecolor="#94b64e [3046]">
                <v:fill color2="#f0f4e6 [502]" rotate="t" angle="180" colors="0 #dafda7;22938f #e4fdc2;1 #f5ffe6" focus="100%" type="gradient"/>
                <v:shadow on="t" color="black" opacity="24903f" origin=",.5" offset="0,.55556mm"/>
                <v:textbox>
                  <w:txbxContent>
                    <w:p w14:paraId="35C88144" w14:textId="77777777" w:rsidR="00EF5312" w:rsidRDefault="00EF5312" w:rsidP="00EF5312">
                      <w:pPr>
                        <w:jc w:val="center"/>
                      </w:pPr>
                      <w:r w:rsidRPr="00312F0B">
                        <w:rPr>
                          <w:rtl/>
                        </w:rPr>
                        <w:t xml:space="preserve"> </w:t>
                      </w:r>
                      <w:r w:rsidRPr="00312F0B">
                        <w:rPr>
                          <w:rFonts w:ascii="Traditional Arabic" w:hAnsi="Traditional Arabic" w:cs="Traditional Arabic"/>
                          <w:b/>
                          <w:bCs/>
                          <w:sz w:val="32"/>
                          <w:szCs w:val="32"/>
                          <w:rtl/>
                          <w:lang w:bidi="ar-EG"/>
                        </w:rPr>
                        <w:t>التحول الاستراتيجي</w:t>
                      </w:r>
                    </w:p>
                  </w:txbxContent>
                </v:textbox>
              </v:roundrect>
            </w:pict>
          </mc:Fallback>
        </mc:AlternateContent>
      </w:r>
      <w:r w:rsidRPr="00EF5312">
        <w:rPr>
          <w:rFonts w:ascii="Traditional Arabic" w:hAnsi="Traditional Arabic" w:cs="Traditional Arabic"/>
          <w:noProof/>
          <w:color w:val="000000" w:themeColor="text1"/>
          <w:sz w:val="32"/>
          <w:szCs w:val="32"/>
        </w:rPr>
        <mc:AlternateContent>
          <mc:Choice Requires="wps">
            <w:drawing>
              <wp:anchor distT="0" distB="0" distL="114300" distR="114300" simplePos="0" relativeHeight="251661312" behindDoc="0" locked="0" layoutInCell="1" allowOverlap="1" wp14:anchorId="0565C54D" wp14:editId="2C4ED651">
                <wp:simplePos x="0" y="0"/>
                <wp:positionH relativeFrom="column">
                  <wp:posOffset>4284345</wp:posOffset>
                </wp:positionH>
                <wp:positionV relativeFrom="paragraph">
                  <wp:posOffset>250190</wp:posOffset>
                </wp:positionV>
                <wp:extent cx="1857375" cy="2705100"/>
                <wp:effectExtent l="57150" t="38100" r="85725" b="95250"/>
                <wp:wrapNone/>
                <wp:docPr id="2066265836" name="مستطيل 3"/>
                <wp:cNvGraphicFramePr/>
                <a:graphic xmlns:a="http://schemas.openxmlformats.org/drawingml/2006/main">
                  <a:graphicData uri="http://schemas.microsoft.com/office/word/2010/wordprocessingShape">
                    <wps:wsp>
                      <wps:cNvSpPr/>
                      <wps:spPr>
                        <a:xfrm>
                          <a:off x="0" y="0"/>
                          <a:ext cx="1857375" cy="2705100"/>
                        </a:xfrm>
                        <a:prstGeom prst="rect">
                          <a:avLst/>
                        </a:prstGeom>
                        <a:ln/>
                      </wps:spPr>
                      <wps:style>
                        <a:lnRef idx="1">
                          <a:schemeClr val="accent5"/>
                        </a:lnRef>
                        <a:fillRef idx="2">
                          <a:schemeClr val="accent5"/>
                        </a:fillRef>
                        <a:effectRef idx="1">
                          <a:schemeClr val="accent5"/>
                        </a:effectRef>
                        <a:fontRef idx="minor">
                          <a:schemeClr val="dk1"/>
                        </a:fontRef>
                      </wps:style>
                      <wps:txbx>
                        <w:txbxContent>
                          <w:p w14:paraId="6813E8E4" w14:textId="77777777" w:rsidR="00EF5312" w:rsidRDefault="00EF5312" w:rsidP="00EF531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565C54D" id="مستطيل 3" o:spid="_x0000_s1029" style="position:absolute;left:0;text-align:left;margin-left:337.35pt;margin-top:19.7pt;width:146.25pt;height:21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" fillcolor="#a5d5e2 [1624]" strokecolor="#40a7c2 [3048]">
                <v:fill color2="#e4f2f6 [504]" rotate="t" angle="180" colors="0 #9eeaff;22938f #bbefff;1 #e4f9ff" focus="100%" type="gradient"/>
                <v:shadow on="t" color="black" opacity="24903f" origin=",.5" offset="0,.55556mm"/>
                <v:textbox>
                  <w:txbxContent>
                    <w:p w14:paraId="6813E8E4" w14:textId="77777777" w:rsidR="00EF5312" w:rsidRDefault="00EF5312" w:rsidP="00EF5312">
                      <w:pPr>
                        <w:jc w:val="center"/>
                      </w:pPr>
                    </w:p>
                  </w:txbxContent>
                </v:textbox>
              </v:rect>
            </w:pict>
          </mc:Fallback>
        </mc:AlternateContent>
      </w:r>
    </w:p>
    <w:p w14:paraId="35E5A72A"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Pr>
      </w:pPr>
      <w:r w:rsidRPr="00EF5312">
        <w:rPr>
          <w:rFonts w:ascii="Traditional Arabic" w:hAnsi="Traditional Arabic" w:cs="Traditional Arabic"/>
          <w:noProof/>
          <w:color w:val="000000" w:themeColor="text1"/>
          <w:sz w:val="32"/>
          <w:szCs w:val="32"/>
          <w:rtl/>
        </w:rPr>
        <mc:AlternateContent>
          <mc:Choice Requires="wps">
            <w:drawing>
              <wp:anchor distT="0" distB="0" distL="114300" distR="114300" simplePos="0" relativeHeight="251669504" behindDoc="0" locked="0" layoutInCell="1" allowOverlap="1" wp14:anchorId="6780B5DE" wp14:editId="4FCDFAB0">
                <wp:simplePos x="0" y="0"/>
                <wp:positionH relativeFrom="column">
                  <wp:posOffset>2265680</wp:posOffset>
                </wp:positionH>
                <wp:positionV relativeFrom="paragraph">
                  <wp:posOffset>59690</wp:posOffset>
                </wp:positionV>
                <wp:extent cx="1562100" cy="485775"/>
                <wp:effectExtent l="57150" t="38100" r="76200" b="104775"/>
                <wp:wrapNone/>
                <wp:docPr id="1766539421" name="مستطيل 1"/>
                <wp:cNvGraphicFramePr/>
                <a:graphic xmlns:a="http://schemas.openxmlformats.org/drawingml/2006/main">
                  <a:graphicData uri="http://schemas.microsoft.com/office/word/2010/wordprocessingShape">
                    <wps:wsp>
                      <wps:cNvSpPr/>
                      <wps:spPr>
                        <a:xfrm>
                          <a:off x="0" y="0"/>
                          <a:ext cx="1562100" cy="485775"/>
                        </a:xfrm>
                        <a:prstGeom prst="rect">
                          <a:avLst/>
                        </a:prstGeom>
                        <a:ln/>
                      </wps:spPr>
                      <wps:style>
                        <a:lnRef idx="1">
                          <a:schemeClr val="accent3"/>
                        </a:lnRef>
                        <a:fillRef idx="2">
                          <a:schemeClr val="accent3"/>
                        </a:fillRef>
                        <a:effectRef idx="1">
                          <a:schemeClr val="accent3"/>
                        </a:effectRef>
                        <a:fontRef idx="minor">
                          <a:schemeClr val="dk1"/>
                        </a:fontRef>
                      </wps:style>
                      <wps:txbx>
                        <w:txbxContent>
                          <w:p w14:paraId="5EDA4ED7" w14:textId="77777777" w:rsidR="00EF5312" w:rsidRDefault="00EF5312" w:rsidP="00EF5312">
                            <w:pPr>
                              <w:jc w:val="center"/>
                            </w:pPr>
                            <w:r w:rsidRPr="00312F0B">
                              <w:rPr>
                                <w:rFonts w:ascii="Traditional Arabic" w:hAnsi="Traditional Arabic" w:cs="Traditional Arabic"/>
                                <w:b/>
                                <w:bCs/>
                                <w:sz w:val="32"/>
                                <w:szCs w:val="32"/>
                                <w:rtl/>
                              </w:rPr>
                              <w:t>الشفافية المعلوماتية</w:t>
                            </w:r>
                            <w:r w:rsidRPr="00312F0B">
                              <w:rPr>
                                <w:rFonts w:ascii="Traditional Arabic" w:hAnsi="Traditional Arabic" w:cs="Traditional Arabic" w:hint="cs"/>
                                <w:b/>
                                <w:bCs/>
                                <w:sz w:val="32"/>
                                <w:szCs w:val="32"/>
                                <w:rtl/>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780B5DE" id="_x0000_s1030" style="position:absolute;left:0;text-align:left;margin-left:178.4pt;margin-top:4.7pt;width:123pt;height:38.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" fillcolor="#cdddac [1622]" strokecolor="#94b64e [3046]">
                <v:fill color2="#f0f4e6 [502]" rotate="t" angle="180" colors="0 #dafda7;22938f #e4fdc2;1 #f5ffe6" focus="100%" type="gradient"/>
                <v:shadow on="t" color="black" opacity="24903f" origin=",.5" offset="0,.55556mm"/>
                <v:textbox>
                  <w:txbxContent>
                    <w:p w14:paraId="5EDA4ED7" w14:textId="77777777" w:rsidR="00EF5312" w:rsidRDefault="00EF5312" w:rsidP="00EF5312">
                      <w:pPr>
                        <w:jc w:val="center"/>
                      </w:pPr>
                      <w:r w:rsidRPr="00312F0B">
                        <w:rPr>
                          <w:rFonts w:ascii="Traditional Arabic" w:hAnsi="Traditional Arabic" w:cs="Traditional Arabic"/>
                          <w:b/>
                          <w:bCs/>
                          <w:sz w:val="32"/>
                          <w:szCs w:val="32"/>
                          <w:rtl/>
                        </w:rPr>
                        <w:t>الشفافية المعلوماتية</w:t>
                      </w:r>
                      <w:r w:rsidRPr="00312F0B">
                        <w:rPr>
                          <w:rFonts w:ascii="Traditional Arabic" w:hAnsi="Traditional Arabic" w:cs="Traditional Arabic" w:hint="cs"/>
                          <w:b/>
                          <w:bCs/>
                          <w:sz w:val="32"/>
                          <w:szCs w:val="32"/>
                          <w:rtl/>
                        </w:rPr>
                        <w:t>.</w:t>
                      </w:r>
                    </w:p>
                  </w:txbxContent>
                </v:textbox>
              </v:rect>
            </w:pict>
          </mc:Fallback>
        </mc:AlternateContent>
      </w:r>
      <w:r w:rsidRPr="00EF5312">
        <w:rPr>
          <w:rFonts w:ascii="Traditional Arabic" w:hAnsi="Traditional Arabic" w:cs="Traditional Arabic"/>
          <w:noProof/>
          <w:color w:val="000000" w:themeColor="text1"/>
          <w:sz w:val="32"/>
          <w:szCs w:val="32"/>
        </w:rPr>
        <mc:AlternateContent>
          <mc:Choice Requires="wps">
            <w:drawing>
              <wp:anchor distT="0" distB="0" distL="114300" distR="114300" simplePos="0" relativeHeight="251664384" behindDoc="0" locked="0" layoutInCell="1" allowOverlap="1" wp14:anchorId="2C170123" wp14:editId="09937555">
                <wp:simplePos x="0" y="0"/>
                <wp:positionH relativeFrom="column">
                  <wp:posOffset>4484370</wp:posOffset>
                </wp:positionH>
                <wp:positionV relativeFrom="paragraph">
                  <wp:posOffset>363220</wp:posOffset>
                </wp:positionV>
                <wp:extent cx="1485900" cy="390525"/>
                <wp:effectExtent l="57150" t="38100" r="76200" b="104775"/>
                <wp:wrapNone/>
                <wp:docPr id="1643192248" name="مستطيل: زوايا مستديرة 10"/>
                <wp:cNvGraphicFramePr/>
                <a:graphic xmlns:a="http://schemas.openxmlformats.org/drawingml/2006/main">
                  <a:graphicData uri="http://schemas.microsoft.com/office/word/2010/wordprocessingShape">
                    <wps:wsp>
                      <wps:cNvSpPr/>
                      <wps:spPr>
                        <a:xfrm>
                          <a:off x="0" y="0"/>
                          <a:ext cx="1485900" cy="390525"/>
                        </a:xfrm>
                        <a:prstGeom prst="roundRect">
                          <a:avLst/>
                        </a:prstGeom>
                        <a:ln/>
                      </wps:spPr>
                      <wps:style>
                        <a:lnRef idx="1">
                          <a:schemeClr val="accent3"/>
                        </a:lnRef>
                        <a:fillRef idx="2">
                          <a:schemeClr val="accent3"/>
                        </a:fillRef>
                        <a:effectRef idx="1">
                          <a:schemeClr val="accent3"/>
                        </a:effectRef>
                        <a:fontRef idx="minor">
                          <a:schemeClr val="dk1"/>
                        </a:fontRef>
                      </wps:style>
                      <wps:txbx>
                        <w:txbxContent>
                          <w:p w14:paraId="780F6A0A" w14:textId="77777777" w:rsidR="00EF5312" w:rsidRPr="00D557E6" w:rsidRDefault="00EF5312" w:rsidP="00EF5312">
                            <w:pPr>
                              <w:jc w:val="center"/>
                              <w:rPr>
                                <w:sz w:val="20"/>
                                <w:szCs w:val="20"/>
                              </w:rPr>
                            </w:pPr>
                            <w:r w:rsidRPr="00312F0B">
                              <w:rPr>
                                <w:rFonts w:ascii="Traditional Arabic" w:hAnsi="Traditional Arabic" w:cs="Traditional Arabic"/>
                                <w:b/>
                                <w:bCs/>
                                <w:sz w:val="28"/>
                                <w:szCs w:val="28"/>
                                <w:rtl/>
                                <w:lang w:bidi="ar-EG"/>
                              </w:rPr>
                              <w:t>التحول الإداري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2C170123" id="مستطيل: زوايا مستديرة 10" o:spid="_x0000_s1031" style="position:absolute;left:0;text-align:left;margin-left:353.1pt;margin-top:28.6pt;width:117pt;height:30.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" fillcolor="#cdddac [1622]" strokecolor="#94b64e [3046]">
                <v:fill color2="#f0f4e6 [502]" rotate="t" angle="180" colors="0 #dafda7;22938f #e4fdc2;1 #f5ffe6" focus="100%" type="gradient"/>
                <v:shadow on="t" color="black" opacity="24903f" origin=",.5" offset="0,.55556mm"/>
                <v:textbox>
                  <w:txbxContent>
                    <w:p w14:paraId="780F6A0A" w14:textId="77777777" w:rsidR="00EF5312" w:rsidRPr="00D557E6" w:rsidRDefault="00EF5312" w:rsidP="00EF5312">
                      <w:pPr>
                        <w:jc w:val="center"/>
                        <w:rPr>
                          <w:sz w:val="20"/>
                          <w:szCs w:val="20"/>
                        </w:rPr>
                      </w:pPr>
                      <w:r w:rsidRPr="00312F0B">
                        <w:rPr>
                          <w:rFonts w:ascii="Traditional Arabic" w:hAnsi="Traditional Arabic" w:cs="Traditional Arabic"/>
                          <w:b/>
                          <w:bCs/>
                          <w:sz w:val="28"/>
                          <w:szCs w:val="28"/>
                          <w:rtl/>
                          <w:lang w:bidi="ar-EG"/>
                        </w:rPr>
                        <w:t>التحول الإداري</w:t>
                      </w:r>
                    </w:p>
                  </w:txbxContent>
                </v:textbox>
              </v:roundrect>
            </w:pict>
          </mc:Fallback>
        </mc:AlternateContent>
      </w:r>
    </w:p>
    <w:p w14:paraId="464AD6D7"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tl/>
        </w:rPr>
      </w:pPr>
      <w:r w:rsidRPr="00EF5312">
        <w:rPr>
          <w:rFonts w:ascii="Traditional Arabic" w:hAnsi="Traditional Arabic" w:cs="Traditional Arabic"/>
          <w:noProof/>
          <w:color w:val="000000" w:themeColor="text1"/>
          <w:sz w:val="32"/>
          <w:szCs w:val="32"/>
        </w:rPr>
        <mc:AlternateContent>
          <mc:Choice Requires="wps">
            <w:drawing>
              <wp:anchor distT="0" distB="0" distL="114300" distR="114300" simplePos="0" relativeHeight="251667456" behindDoc="0" locked="0" layoutInCell="1" allowOverlap="1" wp14:anchorId="7908FAA5" wp14:editId="688471B1">
                <wp:simplePos x="0" y="0"/>
                <wp:positionH relativeFrom="column">
                  <wp:posOffset>-260350</wp:posOffset>
                </wp:positionH>
                <wp:positionV relativeFrom="paragraph">
                  <wp:posOffset>205740</wp:posOffset>
                </wp:positionV>
                <wp:extent cx="1394460" cy="447675"/>
                <wp:effectExtent l="57150" t="38100" r="72390" b="104775"/>
                <wp:wrapNone/>
                <wp:docPr id="1455256876" name="مستطيل: زوايا مستديرة 13"/>
                <wp:cNvGraphicFramePr/>
                <a:graphic xmlns:a="http://schemas.openxmlformats.org/drawingml/2006/main">
                  <a:graphicData uri="http://schemas.microsoft.com/office/word/2010/wordprocessingShape">
                    <wps:wsp>
                      <wps:cNvSpPr/>
                      <wps:spPr>
                        <a:xfrm>
                          <a:off x="0" y="0"/>
                          <a:ext cx="1394460" cy="447675"/>
                        </a:xfrm>
                        <a:prstGeom prst="roundRect">
                          <a:avLst/>
                        </a:prstGeom>
                        <a:ln/>
                      </wps:spPr>
                      <wps:style>
                        <a:lnRef idx="1">
                          <a:schemeClr val="accent3"/>
                        </a:lnRef>
                        <a:fillRef idx="2">
                          <a:schemeClr val="accent3"/>
                        </a:fillRef>
                        <a:effectRef idx="1">
                          <a:schemeClr val="accent3"/>
                        </a:effectRef>
                        <a:fontRef idx="minor">
                          <a:schemeClr val="dk1"/>
                        </a:fontRef>
                      </wps:style>
                      <wps:txbx>
                        <w:txbxContent>
                          <w:p w14:paraId="0263FCF8" w14:textId="77777777" w:rsidR="00EF5312" w:rsidRDefault="00EF5312" w:rsidP="00EF5312">
                            <w:pPr>
                              <w:jc w:val="center"/>
                              <w:rPr>
                                <w:rFonts w:ascii="Traditional Arabic" w:hAnsi="Traditional Arabic" w:cs="Traditional Arabic"/>
                                <w:b/>
                                <w:bCs/>
                                <w:sz w:val="28"/>
                                <w:szCs w:val="28"/>
                              </w:rPr>
                            </w:pPr>
                            <w:r w:rsidRPr="00312F0B">
                              <w:rPr>
                                <w:rFonts w:ascii="Traditional Arabic" w:hAnsi="Traditional Arabic" w:cs="Traditional Arabic"/>
                                <w:b/>
                                <w:bCs/>
                                <w:sz w:val="28"/>
                                <w:szCs w:val="28"/>
                                <w:rtl/>
                              </w:rPr>
                              <w:t>الوعي الاستراتيجي</w:t>
                            </w:r>
                          </w:p>
                          <w:p w14:paraId="50EC68F8" w14:textId="77777777" w:rsidR="00EF5312" w:rsidRDefault="00EF5312" w:rsidP="00EF5312">
                            <w:pPr>
                              <w:jc w:val="center"/>
                              <w:rPr>
                                <w:rFonts w:ascii="Traditional Arabic" w:hAnsi="Traditional Arabic" w:cs="Traditional Arabic"/>
                                <w:b/>
                                <w:bCs/>
                                <w:sz w:val="28"/>
                                <w:szCs w:val="28"/>
                              </w:rPr>
                            </w:pPr>
                          </w:p>
                          <w:p w14:paraId="1883D8C0" w14:textId="77777777" w:rsidR="00EF5312" w:rsidRPr="00455857" w:rsidRDefault="00EF5312" w:rsidP="00EF5312">
                            <w:pPr>
                              <w:jc w:val="center"/>
                              <w:rPr>
                                <w:rFonts w:ascii="Traditional Arabic" w:hAnsi="Traditional Arabic" w:cs="Traditional Arabic"/>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7908FAA5" id="مستطيل: زوايا مستديرة 13" o:spid="_x0000_s1032" style="position:absolute;left:0;text-align:left;margin-left:-20.5pt;margin-top:16.2pt;width:109.8pt;height:35.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" fillcolor="#cdddac [1622]" strokecolor="#94b64e [3046]">
                <v:fill color2="#f0f4e6 [502]" rotate="t" angle="180" colors="0 #dafda7;22938f #e4fdc2;1 #f5ffe6" focus="100%" type="gradient"/>
                <v:shadow on="t" color="black" opacity="24903f" origin=",.5" offset="0,.55556mm"/>
                <v:textbox>
                  <w:txbxContent>
                    <w:p w14:paraId="0263FCF8" w14:textId="77777777" w:rsidR="00EF5312" w:rsidRDefault="00EF5312" w:rsidP="00EF5312">
                      <w:pPr>
                        <w:jc w:val="center"/>
                        <w:rPr>
                          <w:rFonts w:ascii="Traditional Arabic" w:hAnsi="Traditional Arabic" w:cs="Traditional Arabic"/>
                          <w:b/>
                          <w:bCs/>
                          <w:sz w:val="28"/>
                          <w:szCs w:val="28"/>
                        </w:rPr>
                      </w:pPr>
                      <w:r w:rsidRPr="00312F0B">
                        <w:rPr>
                          <w:rFonts w:ascii="Traditional Arabic" w:hAnsi="Traditional Arabic" w:cs="Traditional Arabic"/>
                          <w:b/>
                          <w:bCs/>
                          <w:sz w:val="28"/>
                          <w:szCs w:val="28"/>
                          <w:rtl/>
                        </w:rPr>
                        <w:t>الوعي الاستراتيجي</w:t>
                      </w:r>
                    </w:p>
                    <w:p w14:paraId="50EC68F8" w14:textId="77777777" w:rsidR="00EF5312" w:rsidRDefault="00EF5312" w:rsidP="00EF5312">
                      <w:pPr>
                        <w:jc w:val="center"/>
                        <w:rPr>
                          <w:rFonts w:ascii="Traditional Arabic" w:hAnsi="Traditional Arabic" w:cs="Traditional Arabic"/>
                          <w:b/>
                          <w:bCs/>
                          <w:sz w:val="28"/>
                          <w:szCs w:val="28"/>
                        </w:rPr>
                      </w:pPr>
                    </w:p>
                    <w:p w14:paraId="1883D8C0" w14:textId="77777777" w:rsidR="00EF5312" w:rsidRPr="00455857" w:rsidRDefault="00EF5312" w:rsidP="00EF5312">
                      <w:pPr>
                        <w:jc w:val="center"/>
                        <w:rPr>
                          <w:rFonts w:ascii="Traditional Arabic" w:hAnsi="Traditional Arabic" w:cs="Traditional Arabic"/>
                          <w:sz w:val="32"/>
                          <w:szCs w:val="32"/>
                        </w:rPr>
                      </w:pPr>
                    </w:p>
                  </w:txbxContent>
                </v:textbox>
              </v:roundrect>
            </w:pict>
          </mc:Fallback>
        </mc:AlternateContent>
      </w:r>
      <w:r w:rsidRPr="00EF5312">
        <w:rPr>
          <w:rFonts w:ascii="Traditional Arabic" w:hAnsi="Traditional Arabic" w:cs="Traditional Arabic"/>
          <w:noProof/>
          <w:color w:val="000000" w:themeColor="text1"/>
          <w:sz w:val="32"/>
          <w:szCs w:val="32"/>
        </w:rPr>
        <mc:AlternateContent>
          <mc:Choice Requires="wps">
            <w:drawing>
              <wp:anchor distT="0" distB="0" distL="114300" distR="114300" simplePos="0" relativeHeight="251673600" behindDoc="0" locked="0" layoutInCell="1" allowOverlap="1" wp14:anchorId="3C0A86EA" wp14:editId="7AE6A342">
                <wp:simplePos x="0" y="0"/>
                <wp:positionH relativeFrom="column">
                  <wp:posOffset>3892550</wp:posOffset>
                </wp:positionH>
                <wp:positionV relativeFrom="paragraph">
                  <wp:posOffset>523875</wp:posOffset>
                </wp:positionV>
                <wp:extent cx="388620" cy="0"/>
                <wp:effectExtent l="38100" t="76200" r="0" b="95250"/>
                <wp:wrapNone/>
                <wp:docPr id="616322949" name="رابط كسهم مستقيم 21"/>
                <wp:cNvGraphicFramePr/>
                <a:graphic xmlns:a="http://schemas.openxmlformats.org/drawingml/2006/main">
                  <a:graphicData uri="http://schemas.microsoft.com/office/word/2010/wordprocessingShape">
                    <wps:wsp>
                      <wps:cNvCnPr/>
                      <wps:spPr>
                        <a:xfrm flipH="1">
                          <a:off x="0" y="0"/>
                          <a:ext cx="388620" cy="0"/>
                        </a:xfrm>
                        <a:prstGeom prst="straightConnector1">
                          <a:avLst/>
                        </a:prstGeom>
                        <a:noFill/>
                        <a:ln w="9525" cap="flat" cmpd="sng" algn="ctr">
                          <a:solidFill>
                            <a:srgbClr val="4F81BD">
                              <a:shade val="95000"/>
                              <a:satMod val="105000"/>
                            </a:srgbClr>
                          </a:solidFill>
                          <a:prstDash val="solid"/>
                          <a:tailEnd type="triangle"/>
                        </a:ln>
                        <a:effectLst/>
                      </wps:spPr>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571FC11" id="رابط كسهم مستقيم 21" o:spid="_x0000_s1026" type="#_x0000_t32" style="position:absolute;left:0;text-align:left;margin-left:306.5pt;margin-top:41.25pt;width:30.6pt;height:0;flip:x;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" strokecolor="#4a7ebb">
                <v:stroke endarrow="block"/>
              </v:shape>
            </w:pict>
          </mc:Fallback>
        </mc:AlternateContent>
      </w:r>
      <w:r w:rsidRPr="00EF5312">
        <w:rPr>
          <w:rFonts w:ascii="Traditional Arabic" w:hAnsi="Traditional Arabic" w:cs="Traditional Arabic"/>
          <w:noProof/>
          <w:color w:val="000000" w:themeColor="text1"/>
          <w:sz w:val="32"/>
          <w:szCs w:val="32"/>
        </w:rPr>
        <mc:AlternateContent>
          <mc:Choice Requires="wps">
            <w:drawing>
              <wp:anchor distT="0" distB="0" distL="114300" distR="114300" simplePos="0" relativeHeight="251662336" behindDoc="0" locked="0" layoutInCell="1" allowOverlap="1" wp14:anchorId="7D121C86" wp14:editId="3ADD4321">
                <wp:simplePos x="0" y="0"/>
                <wp:positionH relativeFrom="column">
                  <wp:posOffset>-389889</wp:posOffset>
                </wp:positionH>
                <wp:positionV relativeFrom="paragraph">
                  <wp:posOffset>81915</wp:posOffset>
                </wp:positionV>
                <wp:extent cx="1684020" cy="1981200"/>
                <wp:effectExtent l="57150" t="38100" r="68580" b="95250"/>
                <wp:wrapNone/>
                <wp:docPr id="96191590" name="مستطيل 4"/>
                <wp:cNvGraphicFramePr/>
                <a:graphic xmlns:a="http://schemas.openxmlformats.org/drawingml/2006/main">
                  <a:graphicData uri="http://schemas.microsoft.com/office/word/2010/wordprocessingShape">
                    <wps:wsp>
                      <wps:cNvSpPr/>
                      <wps:spPr>
                        <a:xfrm>
                          <a:off x="0" y="0"/>
                          <a:ext cx="1684020" cy="1981200"/>
                        </a:xfrm>
                        <a:prstGeom prst="rect">
                          <a:avLst/>
                        </a:prstGeom>
                        <a:ln/>
                      </wps:spPr>
                      <wps:style>
                        <a:lnRef idx="1">
                          <a:schemeClr val="accent5"/>
                        </a:lnRef>
                        <a:fillRef idx="2">
                          <a:schemeClr val="accent5"/>
                        </a:fillRef>
                        <a:effectRef idx="1">
                          <a:schemeClr val="accent5"/>
                        </a:effectRef>
                        <a:fontRef idx="minor">
                          <a:schemeClr val="dk1"/>
                        </a:fontRef>
                      </wps:style>
                      <wps:txbx>
                        <w:txbxContent>
                          <w:p w14:paraId="151F0263" w14:textId="77777777" w:rsidR="00EF5312" w:rsidRDefault="00EF5312" w:rsidP="00EF531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D121C86" id="مستطيل 4" o:spid="_x0000_s1033" style="position:absolute;left:0;text-align:left;margin-left:-30.7pt;margin-top:6.45pt;width:132.6pt;height:15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" fillcolor="#a5d5e2 [1624]" strokecolor="#40a7c2 [3048]">
                <v:fill color2="#e4f2f6 [504]" rotate="t" angle="180" colors="0 #9eeaff;22938f #bbefff;1 #e4f9ff" focus="100%" type="gradient"/>
                <v:shadow on="t" color="black" opacity="24903f" origin=",.5" offset="0,.55556mm"/>
                <v:textbox>
                  <w:txbxContent>
                    <w:p w14:paraId="151F0263" w14:textId="77777777" w:rsidR="00EF5312" w:rsidRDefault="00EF5312" w:rsidP="00EF5312">
                      <w:pPr>
                        <w:jc w:val="center"/>
                      </w:pPr>
                    </w:p>
                  </w:txbxContent>
                </v:textbox>
              </v:rect>
            </w:pict>
          </mc:Fallback>
        </mc:AlternateContent>
      </w:r>
      <w:r w:rsidRPr="00EF5312">
        <w:rPr>
          <w:rFonts w:ascii="Traditional Arabic" w:hAnsi="Traditional Arabic" w:cs="Traditional Arabic"/>
          <w:noProof/>
          <w:color w:val="000000" w:themeColor="text1"/>
          <w:sz w:val="32"/>
          <w:szCs w:val="32"/>
        </w:rPr>
        <mc:AlternateContent>
          <mc:Choice Requires="wps">
            <w:drawing>
              <wp:anchor distT="0" distB="0" distL="114300" distR="114300" simplePos="0" relativeHeight="251670528" behindDoc="0" locked="0" layoutInCell="1" allowOverlap="1" wp14:anchorId="55652BF8" wp14:editId="2554A0E9">
                <wp:simplePos x="0" y="0"/>
                <wp:positionH relativeFrom="column">
                  <wp:posOffset>2267585</wp:posOffset>
                </wp:positionH>
                <wp:positionV relativeFrom="paragraph">
                  <wp:posOffset>273685</wp:posOffset>
                </wp:positionV>
                <wp:extent cx="1514475" cy="447675"/>
                <wp:effectExtent l="57150" t="38100" r="85725" b="104775"/>
                <wp:wrapNone/>
                <wp:docPr id="613715084" name="مستطيل: زوايا مستديرة 12"/>
                <wp:cNvGraphicFramePr/>
                <a:graphic xmlns:a="http://schemas.openxmlformats.org/drawingml/2006/main">
                  <a:graphicData uri="http://schemas.microsoft.com/office/word/2010/wordprocessingShape">
                    <wps:wsp>
                      <wps:cNvSpPr/>
                      <wps:spPr>
                        <a:xfrm>
                          <a:off x="0" y="0"/>
                          <a:ext cx="1514475" cy="447675"/>
                        </a:xfrm>
                        <a:prstGeom prst="roundRect">
                          <a:avLst/>
                        </a:prstGeom>
                        <a:ln/>
                      </wps:spPr>
                      <wps:style>
                        <a:lnRef idx="1">
                          <a:schemeClr val="accent3"/>
                        </a:lnRef>
                        <a:fillRef idx="2">
                          <a:schemeClr val="accent3"/>
                        </a:fillRef>
                        <a:effectRef idx="1">
                          <a:schemeClr val="accent3"/>
                        </a:effectRef>
                        <a:fontRef idx="minor">
                          <a:schemeClr val="dk1"/>
                        </a:fontRef>
                      </wps:style>
                      <wps:txbx>
                        <w:txbxContent>
                          <w:p w14:paraId="61AB5220" w14:textId="77777777" w:rsidR="00EF5312" w:rsidRPr="0099019B" w:rsidRDefault="00EF5312" w:rsidP="00EF5312">
                            <w:pPr>
                              <w:jc w:val="center"/>
                              <w:rPr>
                                <w:b/>
                                <w:bCs/>
                              </w:rPr>
                            </w:pPr>
                            <w:r w:rsidRPr="00312F0B">
                              <w:rPr>
                                <w:rFonts w:ascii="Traditional Arabic" w:hAnsi="Traditional Arabic" w:cs="Traditional Arabic"/>
                                <w:b/>
                                <w:bCs/>
                                <w:sz w:val="28"/>
                                <w:szCs w:val="28"/>
                                <w:rtl/>
                              </w:rPr>
                              <w:t>شفافية الأنظمة واللوائح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55652BF8" id="مستطيل: زوايا مستديرة 12" o:spid="_x0000_s1034" style="position:absolute;left:0;text-align:left;margin-left:178.55pt;margin-top:21.55pt;width:119.25pt;height:35.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" fillcolor="#cdddac [1622]" strokecolor="#94b64e [3046]">
                <v:fill color2="#f0f4e6 [502]" rotate="t" angle="180" colors="0 #dafda7;22938f #e4fdc2;1 #f5ffe6" focus="100%" type="gradient"/>
                <v:shadow on="t" color="black" opacity="24903f" origin=",.5" offset="0,.55556mm"/>
                <v:textbox>
                  <w:txbxContent>
                    <w:p w14:paraId="61AB5220" w14:textId="77777777" w:rsidR="00EF5312" w:rsidRPr="0099019B" w:rsidRDefault="00EF5312" w:rsidP="00EF5312">
                      <w:pPr>
                        <w:jc w:val="center"/>
                        <w:rPr>
                          <w:b/>
                          <w:bCs/>
                        </w:rPr>
                      </w:pPr>
                      <w:r w:rsidRPr="00312F0B">
                        <w:rPr>
                          <w:rFonts w:ascii="Traditional Arabic" w:hAnsi="Traditional Arabic" w:cs="Traditional Arabic"/>
                          <w:b/>
                          <w:bCs/>
                          <w:sz w:val="28"/>
                          <w:szCs w:val="28"/>
                          <w:rtl/>
                        </w:rPr>
                        <w:t>شفافية الأنظمة واللوائح</w:t>
                      </w:r>
                    </w:p>
                  </w:txbxContent>
                </v:textbox>
              </v:roundrect>
            </w:pict>
          </mc:Fallback>
        </mc:AlternateContent>
      </w:r>
      <w:r w:rsidRPr="00EF5312">
        <w:rPr>
          <w:rFonts w:ascii="Traditional Arabic" w:hAnsi="Traditional Arabic" w:cs="Traditional Arabic"/>
          <w:noProof/>
          <w:color w:val="000000" w:themeColor="text1"/>
          <w:sz w:val="32"/>
          <w:szCs w:val="32"/>
        </w:rPr>
        <mc:AlternateContent>
          <mc:Choice Requires="wps">
            <w:drawing>
              <wp:anchor distT="0" distB="0" distL="114300" distR="114300" simplePos="0" relativeHeight="251668480" behindDoc="0" locked="0" layoutInCell="1" allowOverlap="1" wp14:anchorId="3AADDFFD" wp14:editId="3B76C27B">
                <wp:simplePos x="0" y="0"/>
                <wp:positionH relativeFrom="column">
                  <wp:posOffset>2219960</wp:posOffset>
                </wp:positionH>
                <wp:positionV relativeFrom="paragraph">
                  <wp:posOffset>74295</wp:posOffset>
                </wp:positionV>
                <wp:extent cx="1624965" cy="2247900"/>
                <wp:effectExtent l="57150" t="38100" r="70485" b="95250"/>
                <wp:wrapNone/>
                <wp:docPr id="1268864295" name="مستطيل 4"/>
                <wp:cNvGraphicFramePr/>
                <a:graphic xmlns:a="http://schemas.openxmlformats.org/drawingml/2006/main">
                  <a:graphicData uri="http://schemas.microsoft.com/office/word/2010/wordprocessingShape">
                    <wps:wsp>
                      <wps:cNvSpPr/>
                      <wps:spPr>
                        <a:xfrm>
                          <a:off x="0" y="0"/>
                          <a:ext cx="1624965" cy="2247900"/>
                        </a:xfrm>
                        <a:prstGeom prst="rect">
                          <a:avLst/>
                        </a:prstGeom>
                        <a:ln/>
                      </wps:spPr>
                      <wps:style>
                        <a:lnRef idx="1">
                          <a:schemeClr val="accent5"/>
                        </a:lnRef>
                        <a:fillRef idx="2">
                          <a:schemeClr val="accent5"/>
                        </a:fillRef>
                        <a:effectRef idx="1">
                          <a:schemeClr val="accent5"/>
                        </a:effectRef>
                        <a:fontRef idx="minor">
                          <a:schemeClr val="dk1"/>
                        </a:fontRef>
                      </wps:style>
                      <wps:txbx>
                        <w:txbxContent>
                          <w:p w14:paraId="047A7E61" w14:textId="77777777" w:rsidR="00EF5312" w:rsidRDefault="00EF5312" w:rsidP="00EF5312">
                            <w:pPr>
                              <w:jc w:val="center"/>
                              <w:rPr>
                                <w:rFonts w:ascii="Times New Roman" w:eastAsia="Calibri" w:hAnsi="Times New Roman" w:cs="Traditional Arabic"/>
                                <w:kern w:val="2"/>
                                <w:sz w:val="32"/>
                                <w:szCs w:val="32"/>
                                <w14:ligatures w14:val="standardContextual"/>
                              </w:rPr>
                            </w:pPr>
                            <w:r>
                              <w:rPr>
                                <w:rFonts w:ascii="Times New Roman" w:eastAsia="Calibri" w:hAnsi="Times New Roman" w:cs="Traditional Arabic"/>
                                <w:kern w:val="2"/>
                                <w:sz w:val="32"/>
                                <w:szCs w:val="32"/>
                                <w14:ligatures w14:val="standardContextual"/>
                              </w:rPr>
                              <w:t xml:space="preserve">     </w:t>
                            </w:r>
                          </w:p>
                          <w:p w14:paraId="6A4F002A" w14:textId="77777777" w:rsidR="00EF5312" w:rsidRDefault="00EF5312" w:rsidP="00EF5312">
                            <w:pPr>
                              <w:jc w:val="center"/>
                              <w:rPr>
                                <w:rFonts w:ascii="Times New Roman" w:eastAsia="Calibri" w:hAnsi="Times New Roman" w:cs="Traditional Arabic"/>
                                <w:kern w:val="2"/>
                                <w:sz w:val="32"/>
                                <w:szCs w:val="32"/>
                                <w14:ligatures w14:val="standardContextual"/>
                              </w:rPr>
                            </w:pPr>
                          </w:p>
                          <w:p w14:paraId="73C63C8C" w14:textId="77777777" w:rsidR="00EF5312" w:rsidRDefault="00EF5312" w:rsidP="00EF5312">
                            <w:pPr>
                              <w:jc w:val="center"/>
                              <w:rPr>
                                <w:rFonts w:ascii="Times New Roman" w:eastAsia="Calibri" w:hAnsi="Times New Roman" w:cs="Traditional Arabic"/>
                                <w:kern w:val="2"/>
                                <w:sz w:val="32"/>
                                <w:szCs w:val="32"/>
                                <w14:ligatures w14:val="standardContextual"/>
                              </w:rPr>
                            </w:pPr>
                          </w:p>
                          <w:p w14:paraId="170DB947" w14:textId="77777777" w:rsidR="00EF5312" w:rsidRDefault="00EF5312" w:rsidP="00EF5312">
                            <w:pPr>
                              <w:jc w:val="center"/>
                              <w:rPr>
                                <w:rFonts w:ascii="Times New Roman" w:eastAsia="Calibri" w:hAnsi="Times New Roman" w:cs="Traditional Arabic"/>
                                <w:kern w:val="2"/>
                                <w:sz w:val="32"/>
                                <w:szCs w:val="32"/>
                                <w:rtl/>
                                <w14:ligatures w14:val="standardContextual"/>
                              </w:rPr>
                            </w:pPr>
                            <w:r w:rsidRPr="00474446">
                              <w:rPr>
                                <w:rFonts w:ascii="Times New Roman" w:eastAsia="Calibri" w:hAnsi="Times New Roman" w:cs="Traditional Arabic" w:hint="cs"/>
                                <w:kern w:val="2"/>
                                <w:sz w:val="32"/>
                                <w:szCs w:val="32"/>
                                <w:rtl/>
                                <w14:ligatures w14:val="standardContextual"/>
                              </w:rPr>
                              <w:t xml:space="preserve"> -</w:t>
                            </w:r>
                          </w:p>
                          <w:p w14:paraId="04899A5C" w14:textId="77777777" w:rsidR="00EF5312" w:rsidRDefault="00EF5312" w:rsidP="00EF5312">
                            <w:pPr>
                              <w:jc w:val="center"/>
                              <w:rPr>
                                <w:rFonts w:ascii="Times New Roman" w:eastAsia="Calibri" w:hAnsi="Times New Roman" w:cs="Traditional Arabic"/>
                                <w:kern w:val="2"/>
                                <w:sz w:val="32"/>
                                <w:szCs w:val="32"/>
                                <w:rtl/>
                                <w14:ligatures w14:val="standardContextual"/>
                              </w:rPr>
                            </w:pPr>
                          </w:p>
                          <w:p w14:paraId="2DF36C6D" w14:textId="77777777" w:rsidR="00EF5312" w:rsidRDefault="00EF5312" w:rsidP="00EF5312">
                            <w:pPr>
                              <w:jc w:val="center"/>
                            </w:pPr>
                          </w:p>
                          <w:p w14:paraId="6E93637E" w14:textId="77777777" w:rsidR="00EF5312" w:rsidRDefault="00EF5312" w:rsidP="00EF531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AADDFFD" id="_x0000_s1035" style="position:absolute;left:0;text-align:left;margin-left:174.8pt;margin-top:5.85pt;width:127.95pt;height:17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" fillcolor="#a5d5e2 [1624]" strokecolor="#40a7c2 [3048]">
                <v:fill color2="#e4f2f6 [504]" rotate="t" angle="180" colors="0 #9eeaff;22938f #bbefff;1 #e4f9ff" focus="100%" type="gradient"/>
                <v:shadow on="t" color="black" opacity="24903f" origin=",.5" offset="0,.55556mm"/>
                <v:textbox>
                  <w:txbxContent>
                    <w:p w14:paraId="047A7E61" w14:textId="77777777" w:rsidR="00EF5312" w:rsidRDefault="00EF5312" w:rsidP="00EF5312">
                      <w:pPr>
                        <w:jc w:val="center"/>
                        <w:rPr>
                          <w:rFonts w:ascii="Times New Roman" w:eastAsia="Calibri" w:hAnsi="Times New Roman" w:cs="Traditional Arabic"/>
                          <w:kern w:val="2"/>
                          <w:sz w:val="32"/>
                          <w:szCs w:val="32"/>
                          <w14:ligatures w14:val="standardContextual"/>
                        </w:rPr>
                      </w:pPr>
                      <w:r>
                        <w:rPr>
                          <w:rFonts w:ascii="Times New Roman" w:eastAsia="Calibri" w:hAnsi="Times New Roman" w:cs="Traditional Arabic"/>
                          <w:kern w:val="2"/>
                          <w:sz w:val="32"/>
                          <w:szCs w:val="32"/>
                          <w14:ligatures w14:val="standardContextual"/>
                        </w:rPr>
                        <w:t xml:space="preserve">     </w:t>
                      </w:r>
                    </w:p>
                    <w:p w14:paraId="6A4F002A" w14:textId="77777777" w:rsidR="00EF5312" w:rsidRDefault="00EF5312" w:rsidP="00EF5312">
                      <w:pPr>
                        <w:jc w:val="center"/>
                        <w:rPr>
                          <w:rFonts w:ascii="Times New Roman" w:eastAsia="Calibri" w:hAnsi="Times New Roman" w:cs="Traditional Arabic"/>
                          <w:kern w:val="2"/>
                          <w:sz w:val="32"/>
                          <w:szCs w:val="32"/>
                          <w14:ligatures w14:val="standardContextual"/>
                        </w:rPr>
                      </w:pPr>
                    </w:p>
                    <w:p w14:paraId="73C63C8C" w14:textId="77777777" w:rsidR="00EF5312" w:rsidRDefault="00EF5312" w:rsidP="00EF5312">
                      <w:pPr>
                        <w:jc w:val="center"/>
                        <w:rPr>
                          <w:rFonts w:ascii="Times New Roman" w:eastAsia="Calibri" w:hAnsi="Times New Roman" w:cs="Traditional Arabic"/>
                          <w:kern w:val="2"/>
                          <w:sz w:val="32"/>
                          <w:szCs w:val="32"/>
                          <w14:ligatures w14:val="standardContextual"/>
                        </w:rPr>
                      </w:pPr>
                    </w:p>
                    <w:p w14:paraId="170DB947" w14:textId="77777777" w:rsidR="00EF5312" w:rsidRDefault="00EF5312" w:rsidP="00EF5312">
                      <w:pPr>
                        <w:jc w:val="center"/>
                        <w:rPr>
                          <w:rFonts w:ascii="Times New Roman" w:eastAsia="Calibri" w:hAnsi="Times New Roman" w:cs="Traditional Arabic"/>
                          <w:kern w:val="2"/>
                          <w:sz w:val="32"/>
                          <w:szCs w:val="32"/>
                          <w:rtl/>
                          <w14:ligatures w14:val="standardContextual"/>
                        </w:rPr>
                      </w:pPr>
                      <w:r w:rsidRPr="00474446">
                        <w:rPr>
                          <w:rFonts w:ascii="Times New Roman" w:eastAsia="Calibri" w:hAnsi="Times New Roman" w:cs="Traditional Arabic" w:hint="cs"/>
                          <w:kern w:val="2"/>
                          <w:sz w:val="32"/>
                          <w:szCs w:val="32"/>
                          <w:rtl/>
                          <w14:ligatures w14:val="standardContextual"/>
                        </w:rPr>
                        <w:t xml:space="preserve"> -</w:t>
                      </w:r>
                    </w:p>
                    <w:p w14:paraId="04899A5C" w14:textId="77777777" w:rsidR="00EF5312" w:rsidRDefault="00EF5312" w:rsidP="00EF5312">
                      <w:pPr>
                        <w:jc w:val="center"/>
                        <w:rPr>
                          <w:rFonts w:ascii="Times New Roman" w:eastAsia="Calibri" w:hAnsi="Times New Roman" w:cs="Traditional Arabic"/>
                          <w:kern w:val="2"/>
                          <w:sz w:val="32"/>
                          <w:szCs w:val="32"/>
                          <w:rtl/>
                          <w14:ligatures w14:val="standardContextual"/>
                        </w:rPr>
                      </w:pPr>
                    </w:p>
                    <w:p w14:paraId="2DF36C6D" w14:textId="77777777" w:rsidR="00EF5312" w:rsidRDefault="00EF5312" w:rsidP="00EF5312">
                      <w:pPr>
                        <w:jc w:val="center"/>
                      </w:pPr>
                    </w:p>
                    <w:p w14:paraId="6E93637E" w14:textId="77777777" w:rsidR="00EF5312" w:rsidRDefault="00EF5312" w:rsidP="00EF5312">
                      <w:pPr>
                        <w:jc w:val="center"/>
                      </w:pPr>
                    </w:p>
                  </w:txbxContent>
                </v:textbox>
              </v:rect>
            </w:pict>
          </mc:Fallback>
        </mc:AlternateContent>
      </w:r>
      <w:r w:rsidRPr="00EF5312">
        <w:rPr>
          <w:rFonts w:ascii="Traditional Arabic" w:hAnsi="Traditional Arabic" w:cs="Traditional Arabic"/>
          <w:noProof/>
          <w:color w:val="000000" w:themeColor="text1"/>
          <w:sz w:val="32"/>
          <w:szCs w:val="32"/>
        </w:rPr>
        <mc:AlternateContent>
          <mc:Choice Requires="wps">
            <w:drawing>
              <wp:anchor distT="0" distB="0" distL="114300" distR="114300" simplePos="0" relativeHeight="251665408" behindDoc="0" locked="0" layoutInCell="1" allowOverlap="1" wp14:anchorId="560FACCB" wp14:editId="3264C5DB">
                <wp:simplePos x="0" y="0"/>
                <wp:positionH relativeFrom="column">
                  <wp:posOffset>4484370</wp:posOffset>
                </wp:positionH>
                <wp:positionV relativeFrom="paragraph">
                  <wp:posOffset>461645</wp:posOffset>
                </wp:positionV>
                <wp:extent cx="1514475" cy="419100"/>
                <wp:effectExtent l="57150" t="38100" r="85725" b="95250"/>
                <wp:wrapNone/>
                <wp:docPr id="1830189023" name="مستطيل: زوايا مستديرة 11"/>
                <wp:cNvGraphicFramePr/>
                <a:graphic xmlns:a="http://schemas.openxmlformats.org/drawingml/2006/main">
                  <a:graphicData uri="http://schemas.microsoft.com/office/word/2010/wordprocessingShape">
                    <wps:wsp>
                      <wps:cNvSpPr/>
                      <wps:spPr>
                        <a:xfrm>
                          <a:off x="0" y="0"/>
                          <a:ext cx="1514475" cy="419100"/>
                        </a:xfrm>
                        <a:prstGeom prst="roundRect">
                          <a:avLst/>
                        </a:prstGeom>
                        <a:ln/>
                      </wps:spPr>
                      <wps:style>
                        <a:lnRef idx="1">
                          <a:schemeClr val="accent3"/>
                        </a:lnRef>
                        <a:fillRef idx="2">
                          <a:schemeClr val="accent3"/>
                        </a:fillRef>
                        <a:effectRef idx="1">
                          <a:schemeClr val="accent3"/>
                        </a:effectRef>
                        <a:fontRef idx="minor">
                          <a:schemeClr val="dk1"/>
                        </a:fontRef>
                      </wps:style>
                      <wps:txbx>
                        <w:txbxContent>
                          <w:p w14:paraId="275CC712" w14:textId="77777777" w:rsidR="00EF5312" w:rsidRPr="0099019B" w:rsidRDefault="00EF5312" w:rsidP="00EF5312">
                            <w:pPr>
                              <w:jc w:val="center"/>
                              <w:rPr>
                                <w:b/>
                                <w:bCs/>
                              </w:rPr>
                            </w:pPr>
                            <w:r w:rsidRPr="00312F0B">
                              <w:rPr>
                                <w:rFonts w:ascii="Traditional Arabic" w:hAnsi="Traditional Arabic" w:cs="Traditional Arabic"/>
                                <w:b/>
                                <w:bCs/>
                                <w:sz w:val="32"/>
                                <w:szCs w:val="32"/>
                                <w:rtl/>
                                <w:lang w:bidi="ar-EG"/>
                              </w:rPr>
                              <w:t>تحول العمليات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560FACCB" id="مستطيل: زوايا مستديرة 11" o:spid="_x0000_s1036" style="position:absolute;left:0;text-align:left;margin-left:353.1pt;margin-top:36.35pt;width:119.25pt;height:3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" fillcolor="#cdddac [1622]" strokecolor="#94b64e [3046]">
                <v:fill color2="#f0f4e6 [502]" rotate="t" angle="180" colors="0 #dafda7;22938f #e4fdc2;1 #f5ffe6" focus="100%" type="gradient"/>
                <v:shadow on="t" color="black" opacity="24903f" origin=",.5" offset="0,.55556mm"/>
                <v:textbox>
                  <w:txbxContent>
                    <w:p w14:paraId="275CC712" w14:textId="77777777" w:rsidR="00EF5312" w:rsidRPr="0099019B" w:rsidRDefault="00EF5312" w:rsidP="00EF5312">
                      <w:pPr>
                        <w:jc w:val="center"/>
                        <w:rPr>
                          <w:b/>
                          <w:bCs/>
                        </w:rPr>
                      </w:pPr>
                      <w:r w:rsidRPr="00312F0B">
                        <w:rPr>
                          <w:rFonts w:ascii="Traditional Arabic" w:hAnsi="Traditional Arabic" w:cs="Traditional Arabic"/>
                          <w:b/>
                          <w:bCs/>
                          <w:sz w:val="32"/>
                          <w:szCs w:val="32"/>
                          <w:rtl/>
                          <w:lang w:bidi="ar-EG"/>
                        </w:rPr>
                        <w:t>تحول العمليات</w:t>
                      </w:r>
                    </w:p>
                  </w:txbxContent>
                </v:textbox>
              </v:roundrect>
            </w:pict>
          </mc:Fallback>
        </mc:AlternateContent>
      </w:r>
      <w:r w:rsidRPr="00EF5312">
        <w:rPr>
          <w:rFonts w:ascii="Traditional Arabic" w:hAnsi="Traditional Arabic" w:cs="Traditional Arabic"/>
          <w:color w:val="000000" w:themeColor="text1"/>
          <w:sz w:val="32"/>
          <w:szCs w:val="32"/>
        </w:rPr>
        <w:t xml:space="preserve">         </w:t>
      </w:r>
      <w:proofErr w:type="spellStart"/>
      <w:proofErr w:type="gramStart"/>
      <w:r w:rsidRPr="00EF5312">
        <w:rPr>
          <w:rFonts w:ascii="Traditional Arabic" w:hAnsi="Traditional Arabic" w:cs="Traditional Arabic" w:hint="cs"/>
          <w:color w:val="000000" w:themeColor="text1"/>
          <w:sz w:val="32"/>
          <w:szCs w:val="32"/>
          <w:rtl/>
        </w:rPr>
        <w:t>فففففف</w:t>
      </w:r>
      <w:proofErr w:type="spellEnd"/>
      <w:r w:rsidRPr="00EF5312">
        <w:rPr>
          <w:rFonts w:ascii="Traditional Arabic" w:hAnsi="Traditional Arabic" w:cs="Traditional Arabic" w:hint="cs"/>
          <w:color w:val="000000" w:themeColor="text1"/>
          <w:sz w:val="32"/>
          <w:szCs w:val="32"/>
          <w:rtl/>
        </w:rPr>
        <w:t xml:space="preserve">  ف</w:t>
      </w:r>
      <w:proofErr w:type="gramEnd"/>
      <w:r w:rsidRPr="00EF5312">
        <w:rPr>
          <w:rFonts w:ascii="Traditional Arabic" w:hAnsi="Traditional Arabic" w:cs="Traditional Arabic" w:hint="cs"/>
          <w:color w:val="000000" w:themeColor="text1"/>
          <w:sz w:val="32"/>
          <w:szCs w:val="32"/>
          <w:rtl/>
        </w:rPr>
        <w:t>2                                         ف3</w:t>
      </w:r>
    </w:p>
    <w:p w14:paraId="4020D51D"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Pr>
      </w:pPr>
      <w:r w:rsidRPr="00EF5312">
        <w:rPr>
          <w:rFonts w:ascii="Traditional Arabic" w:hAnsi="Traditional Arabic" w:cs="Traditional Arabic"/>
          <w:noProof/>
          <w:color w:val="000000" w:themeColor="text1"/>
          <w:sz w:val="32"/>
          <w:szCs w:val="32"/>
        </w:rPr>
        <mc:AlternateContent>
          <mc:Choice Requires="wps">
            <w:drawing>
              <wp:anchor distT="0" distB="0" distL="114300" distR="114300" simplePos="0" relativeHeight="251681792" behindDoc="0" locked="0" layoutInCell="1" allowOverlap="1" wp14:anchorId="5F0741CA" wp14:editId="3473DD6B">
                <wp:simplePos x="0" y="0"/>
                <wp:positionH relativeFrom="column">
                  <wp:posOffset>-260350</wp:posOffset>
                </wp:positionH>
                <wp:positionV relativeFrom="paragraph">
                  <wp:posOffset>217805</wp:posOffset>
                </wp:positionV>
                <wp:extent cx="1394460" cy="447675"/>
                <wp:effectExtent l="57150" t="38100" r="72390" b="104775"/>
                <wp:wrapNone/>
                <wp:docPr id="1047534484" name="مستطيل: زوايا مستديرة 13"/>
                <wp:cNvGraphicFramePr/>
                <a:graphic xmlns:a="http://schemas.openxmlformats.org/drawingml/2006/main">
                  <a:graphicData uri="http://schemas.microsoft.com/office/word/2010/wordprocessingShape">
                    <wps:wsp>
                      <wps:cNvSpPr/>
                      <wps:spPr>
                        <a:xfrm>
                          <a:off x="0" y="0"/>
                          <a:ext cx="1394460" cy="447675"/>
                        </a:xfrm>
                        <a:prstGeom prst="roundRect">
                          <a:avLst/>
                        </a:prstGeom>
                        <a:ln/>
                      </wps:spPr>
                      <wps:style>
                        <a:lnRef idx="1">
                          <a:schemeClr val="accent3"/>
                        </a:lnRef>
                        <a:fillRef idx="2">
                          <a:schemeClr val="accent3"/>
                        </a:fillRef>
                        <a:effectRef idx="1">
                          <a:schemeClr val="accent3"/>
                        </a:effectRef>
                        <a:fontRef idx="minor">
                          <a:schemeClr val="dk1"/>
                        </a:fontRef>
                      </wps:style>
                      <wps:txbx>
                        <w:txbxContent>
                          <w:p w14:paraId="2D4DBF67" w14:textId="77777777" w:rsidR="00EF5312" w:rsidRDefault="00EF5312" w:rsidP="00EF5312">
                            <w:pPr>
                              <w:jc w:val="center"/>
                              <w:rPr>
                                <w:rFonts w:ascii="Traditional Arabic" w:hAnsi="Traditional Arabic" w:cs="Traditional Arabic"/>
                                <w:b/>
                                <w:bCs/>
                                <w:sz w:val="28"/>
                                <w:szCs w:val="28"/>
                              </w:rPr>
                            </w:pPr>
                            <w:r w:rsidRPr="00312F0B">
                              <w:rPr>
                                <w:rtl/>
                              </w:rPr>
                              <w:t xml:space="preserve"> </w:t>
                            </w:r>
                            <w:r w:rsidRPr="00312F0B">
                              <w:rPr>
                                <w:rFonts w:ascii="Traditional Arabic" w:hAnsi="Traditional Arabic" w:cs="Traditional Arabic"/>
                                <w:b/>
                                <w:bCs/>
                                <w:sz w:val="28"/>
                                <w:szCs w:val="28"/>
                                <w:rtl/>
                              </w:rPr>
                              <w:t>القدرة على التكيف</w:t>
                            </w:r>
                          </w:p>
                          <w:p w14:paraId="1AB49F4C" w14:textId="77777777" w:rsidR="00EF5312" w:rsidRPr="00455857" w:rsidRDefault="00EF5312" w:rsidP="00EF5312">
                            <w:pPr>
                              <w:jc w:val="center"/>
                              <w:rPr>
                                <w:rFonts w:ascii="Traditional Arabic" w:hAnsi="Traditional Arabic" w:cs="Traditional Arabic"/>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5F0741CA" id="_x0000_s1037" style="position:absolute;left:0;text-align:left;margin-left:-20.5pt;margin-top:17.15pt;width:109.8pt;height:35.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" fillcolor="#cdddac [1622]" strokecolor="#94b64e [3046]">
                <v:fill color2="#f0f4e6 [502]" rotate="t" angle="180" colors="0 #dafda7;22938f #e4fdc2;1 #f5ffe6" focus="100%" type="gradient"/>
                <v:shadow on="t" color="black" opacity="24903f" origin=",.5" offset="0,.55556mm"/>
                <v:textbox>
                  <w:txbxContent>
                    <w:p w14:paraId="2D4DBF67" w14:textId="77777777" w:rsidR="00EF5312" w:rsidRDefault="00EF5312" w:rsidP="00EF5312">
                      <w:pPr>
                        <w:jc w:val="center"/>
                        <w:rPr>
                          <w:rFonts w:ascii="Traditional Arabic" w:hAnsi="Traditional Arabic" w:cs="Traditional Arabic"/>
                          <w:b/>
                          <w:bCs/>
                          <w:sz w:val="28"/>
                          <w:szCs w:val="28"/>
                        </w:rPr>
                      </w:pPr>
                      <w:r w:rsidRPr="00312F0B">
                        <w:rPr>
                          <w:rtl/>
                        </w:rPr>
                        <w:t xml:space="preserve"> </w:t>
                      </w:r>
                      <w:r w:rsidRPr="00312F0B">
                        <w:rPr>
                          <w:rFonts w:ascii="Traditional Arabic" w:hAnsi="Traditional Arabic" w:cs="Traditional Arabic"/>
                          <w:b/>
                          <w:bCs/>
                          <w:sz w:val="28"/>
                          <w:szCs w:val="28"/>
                          <w:rtl/>
                        </w:rPr>
                        <w:t>القدرة على التكيف</w:t>
                      </w:r>
                    </w:p>
                    <w:p w14:paraId="1AB49F4C" w14:textId="77777777" w:rsidR="00EF5312" w:rsidRPr="00455857" w:rsidRDefault="00EF5312" w:rsidP="00EF5312">
                      <w:pPr>
                        <w:jc w:val="center"/>
                        <w:rPr>
                          <w:rFonts w:ascii="Traditional Arabic" w:hAnsi="Traditional Arabic" w:cs="Traditional Arabic"/>
                          <w:sz w:val="32"/>
                          <w:szCs w:val="32"/>
                        </w:rPr>
                      </w:pPr>
                    </w:p>
                  </w:txbxContent>
                </v:textbox>
              </v:roundrect>
            </w:pict>
          </mc:Fallback>
        </mc:AlternateContent>
      </w:r>
      <w:r w:rsidRPr="00EF5312">
        <w:rPr>
          <w:rFonts w:ascii="Traditional Arabic" w:hAnsi="Traditional Arabic" w:cs="Traditional Arabic"/>
          <w:noProof/>
          <w:color w:val="000000" w:themeColor="text1"/>
          <w:sz w:val="32"/>
          <w:szCs w:val="32"/>
        </w:rPr>
        <mc:AlternateContent>
          <mc:Choice Requires="wps">
            <w:drawing>
              <wp:anchor distT="0" distB="0" distL="114300" distR="114300" simplePos="0" relativeHeight="251674624" behindDoc="1" locked="0" layoutInCell="1" allowOverlap="1" wp14:anchorId="5C020F16" wp14:editId="5609A831">
                <wp:simplePos x="0" y="0"/>
                <wp:positionH relativeFrom="column">
                  <wp:posOffset>1355090</wp:posOffset>
                </wp:positionH>
                <wp:positionV relativeFrom="paragraph">
                  <wp:posOffset>324485</wp:posOffset>
                </wp:positionV>
                <wp:extent cx="792000" cy="0"/>
                <wp:effectExtent l="38100" t="76200" r="0" b="95250"/>
                <wp:wrapTight wrapText="bothSides">
                  <wp:wrapPolygon edited="0">
                    <wp:start x="1039" y="-1"/>
                    <wp:lineTo x="-1039" y="-1"/>
                    <wp:lineTo x="520" y="-1"/>
                    <wp:lineTo x="3118" y="-1"/>
                    <wp:lineTo x="3638" y="-1"/>
                    <wp:lineTo x="3638" y="-1"/>
                    <wp:lineTo x="3118" y="-1"/>
                    <wp:lineTo x="1039" y="-1"/>
                  </wp:wrapPolygon>
                </wp:wrapTight>
                <wp:docPr id="1522275846" name="رابط كسهم مستقيم 22"/>
                <wp:cNvGraphicFramePr/>
                <a:graphic xmlns:a="http://schemas.openxmlformats.org/drawingml/2006/main">
                  <a:graphicData uri="http://schemas.microsoft.com/office/word/2010/wordprocessingShape">
                    <wps:wsp>
                      <wps:cNvCnPr/>
                      <wps:spPr>
                        <a:xfrm flipH="1">
                          <a:off x="0" y="0"/>
                          <a:ext cx="792000" cy="0"/>
                        </a:xfrm>
                        <a:prstGeom prst="straightConnector1">
                          <a:avLst/>
                        </a:prstGeom>
                        <a:noFill/>
                        <a:ln w="9525" cap="flat" cmpd="sng" algn="ctr">
                          <a:solidFill>
                            <a:srgbClr val="4F81BD">
                              <a:shade val="95000"/>
                              <a:satMod val="105000"/>
                            </a:srgbClr>
                          </a:solidFill>
                          <a:prstDash val="solid"/>
                          <a:tailEnd type="triangle"/>
                        </a:ln>
                        <a:effectLst/>
                      </wps:spPr>
                      <wps:bodyPr/>
                    </wps:wsp>
                  </a:graphicData>
                </a:graphic>
                <wp14:sizeRelH relativeFrom="margin">
                  <wp14:pctWidth>0</wp14:pctWidth>
                </wp14:sizeRelH>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C0F2476" id="رابط كسهم مستقيم 22" o:spid="_x0000_s1026" type="#_x0000_t32" style="position:absolute;left:0;text-align:left;margin-left:106.7pt;margin-top:25.55pt;width:62.35pt;height:0;flip:x;z-index:-2516418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" strokecolor="#4a7ebb">
                <v:stroke endarrow="block"/>
                <w10:wrap type="tight"/>
              </v:shape>
            </w:pict>
          </mc:Fallback>
        </mc:AlternateContent>
      </w:r>
      <w:r w:rsidRPr="00EF5312">
        <w:rPr>
          <w:rFonts w:ascii="Traditional Arabic" w:hAnsi="Traditional Arabic" w:cs="Traditional Arabic"/>
          <w:noProof/>
          <w:color w:val="000000" w:themeColor="text1"/>
          <w:sz w:val="32"/>
          <w:szCs w:val="32"/>
        </w:rPr>
        <mc:AlternateContent>
          <mc:Choice Requires="wps">
            <w:drawing>
              <wp:anchor distT="0" distB="0" distL="114300" distR="114300" simplePos="0" relativeHeight="251671552" behindDoc="0" locked="0" layoutInCell="1" allowOverlap="1" wp14:anchorId="4B863A8A" wp14:editId="778098B2">
                <wp:simplePos x="0" y="0"/>
                <wp:positionH relativeFrom="column">
                  <wp:posOffset>2270760</wp:posOffset>
                </wp:positionH>
                <wp:positionV relativeFrom="paragraph">
                  <wp:posOffset>258445</wp:posOffset>
                </wp:positionV>
                <wp:extent cx="1468755" cy="447675"/>
                <wp:effectExtent l="57150" t="38100" r="74295" b="104775"/>
                <wp:wrapNone/>
                <wp:docPr id="475636106" name="مستطيل: زوايا مستديرة 12"/>
                <wp:cNvGraphicFramePr/>
                <a:graphic xmlns:a="http://schemas.openxmlformats.org/drawingml/2006/main">
                  <a:graphicData uri="http://schemas.microsoft.com/office/word/2010/wordprocessingShape">
                    <wps:wsp>
                      <wps:cNvSpPr/>
                      <wps:spPr>
                        <a:xfrm>
                          <a:off x="0" y="0"/>
                          <a:ext cx="1468755" cy="447675"/>
                        </a:xfrm>
                        <a:prstGeom prst="roundRect">
                          <a:avLst/>
                        </a:prstGeom>
                        <a:ln/>
                      </wps:spPr>
                      <wps:style>
                        <a:lnRef idx="1">
                          <a:schemeClr val="accent3"/>
                        </a:lnRef>
                        <a:fillRef idx="2">
                          <a:schemeClr val="accent3"/>
                        </a:fillRef>
                        <a:effectRef idx="1">
                          <a:schemeClr val="accent3"/>
                        </a:effectRef>
                        <a:fontRef idx="minor">
                          <a:schemeClr val="dk1"/>
                        </a:fontRef>
                      </wps:style>
                      <wps:txbx>
                        <w:txbxContent>
                          <w:p w14:paraId="1E4FE806" w14:textId="77777777" w:rsidR="00EF5312" w:rsidRPr="0099019B" w:rsidRDefault="00EF5312" w:rsidP="00EF5312">
                            <w:pPr>
                              <w:jc w:val="center"/>
                              <w:rPr>
                                <w:b/>
                                <w:bCs/>
                              </w:rPr>
                            </w:pPr>
                            <w:r w:rsidRPr="00312F0B">
                              <w:rPr>
                                <w:rtl/>
                              </w:rPr>
                              <w:t xml:space="preserve"> </w:t>
                            </w:r>
                            <w:r w:rsidRPr="00312F0B">
                              <w:rPr>
                                <w:rFonts w:ascii="Times New Roman" w:eastAsia="Calibri" w:hAnsi="Times New Roman" w:cs="Traditional Arabic"/>
                                <w:kern w:val="2"/>
                                <w:sz w:val="32"/>
                                <w:szCs w:val="32"/>
                                <w:rtl/>
                                <w14:ligatures w14:val="standardContextual"/>
                              </w:rPr>
                              <w:t>شفافية الإجراءات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4B863A8A" id="_x0000_s1038" style="position:absolute;left:0;text-align:left;margin-left:178.8pt;margin-top:20.35pt;width:115.65pt;height:35.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" fillcolor="#cdddac [1622]" strokecolor="#94b64e [3046]">
                <v:fill color2="#f0f4e6 [502]" rotate="t" angle="180" colors="0 #dafda7;22938f #e4fdc2;1 #f5ffe6" focus="100%" type="gradient"/>
                <v:shadow on="t" color="black" opacity="24903f" origin=",.5" offset="0,.55556mm"/>
                <v:textbox>
                  <w:txbxContent>
                    <w:p w14:paraId="1E4FE806" w14:textId="77777777" w:rsidR="00EF5312" w:rsidRPr="0099019B" w:rsidRDefault="00EF5312" w:rsidP="00EF5312">
                      <w:pPr>
                        <w:jc w:val="center"/>
                        <w:rPr>
                          <w:b/>
                          <w:bCs/>
                        </w:rPr>
                      </w:pPr>
                      <w:r w:rsidRPr="00312F0B">
                        <w:rPr>
                          <w:rtl/>
                        </w:rPr>
                        <w:t xml:space="preserve"> </w:t>
                      </w:r>
                      <w:r w:rsidRPr="00312F0B">
                        <w:rPr>
                          <w:rFonts w:ascii="Times New Roman" w:eastAsia="Calibri" w:hAnsi="Times New Roman" w:cs="Traditional Arabic"/>
                          <w:kern w:val="2"/>
                          <w:sz w:val="32"/>
                          <w:szCs w:val="32"/>
                          <w:rtl/>
                          <w14:ligatures w14:val="standardContextual"/>
                        </w:rPr>
                        <w:t>شفافية الإجراءات</w:t>
                      </w:r>
                    </w:p>
                  </w:txbxContent>
                </v:textbox>
              </v:roundrect>
            </w:pict>
          </mc:Fallback>
        </mc:AlternateContent>
      </w:r>
      <w:r w:rsidRPr="00EF5312">
        <w:rPr>
          <w:rFonts w:ascii="Traditional Arabic" w:hAnsi="Traditional Arabic" w:cs="Traditional Arabic"/>
          <w:noProof/>
          <w:color w:val="000000" w:themeColor="text1"/>
          <w:sz w:val="32"/>
          <w:szCs w:val="32"/>
        </w:rPr>
        <mc:AlternateContent>
          <mc:Choice Requires="wps">
            <w:drawing>
              <wp:anchor distT="0" distB="0" distL="114300" distR="114300" simplePos="0" relativeHeight="251666432" behindDoc="0" locked="0" layoutInCell="1" allowOverlap="1" wp14:anchorId="1B6ED954" wp14:editId="06943E51">
                <wp:simplePos x="0" y="0"/>
                <wp:positionH relativeFrom="column">
                  <wp:posOffset>4455795</wp:posOffset>
                </wp:positionH>
                <wp:positionV relativeFrom="paragraph">
                  <wp:posOffset>519430</wp:posOffset>
                </wp:positionV>
                <wp:extent cx="1514475" cy="447675"/>
                <wp:effectExtent l="57150" t="38100" r="85725" b="104775"/>
                <wp:wrapNone/>
                <wp:docPr id="2083129267" name="مستطيل: زوايا مستديرة 12"/>
                <wp:cNvGraphicFramePr/>
                <a:graphic xmlns:a="http://schemas.openxmlformats.org/drawingml/2006/main">
                  <a:graphicData uri="http://schemas.microsoft.com/office/word/2010/wordprocessingShape">
                    <wps:wsp>
                      <wps:cNvSpPr/>
                      <wps:spPr>
                        <a:xfrm>
                          <a:off x="0" y="0"/>
                          <a:ext cx="1514475" cy="447675"/>
                        </a:xfrm>
                        <a:prstGeom prst="roundRect">
                          <a:avLst/>
                        </a:prstGeom>
                        <a:ln/>
                      </wps:spPr>
                      <wps:style>
                        <a:lnRef idx="1">
                          <a:schemeClr val="accent3"/>
                        </a:lnRef>
                        <a:fillRef idx="2">
                          <a:schemeClr val="accent3"/>
                        </a:fillRef>
                        <a:effectRef idx="1">
                          <a:schemeClr val="accent3"/>
                        </a:effectRef>
                        <a:fontRef idx="minor">
                          <a:schemeClr val="dk1"/>
                        </a:fontRef>
                      </wps:style>
                      <wps:txbx>
                        <w:txbxContent>
                          <w:p w14:paraId="7A84F79B" w14:textId="77777777" w:rsidR="00EF5312" w:rsidRPr="0099019B" w:rsidRDefault="00EF5312" w:rsidP="00EF5312">
                            <w:pPr>
                              <w:jc w:val="center"/>
                              <w:rPr>
                                <w:b/>
                                <w:bCs/>
                              </w:rPr>
                            </w:pPr>
                            <w:r w:rsidRPr="00312F0B">
                              <w:rPr>
                                <w:rFonts w:ascii="Traditional Arabic" w:hAnsi="Traditional Arabic" w:cs="Traditional Arabic"/>
                                <w:b/>
                                <w:bCs/>
                                <w:sz w:val="28"/>
                                <w:szCs w:val="28"/>
                                <w:rtl/>
                                <w:lang w:bidi="ar-EG"/>
                              </w:rPr>
                              <w:t>مركزية العملاء</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1B6ED954" id="_x0000_s1039" style="position:absolute;left:0;text-align:left;margin-left:350.85pt;margin-top:40.9pt;width:119.25pt;height:35.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" fillcolor="#cdddac [1622]" strokecolor="#94b64e [3046]">
                <v:fill color2="#f0f4e6 [502]" rotate="t" angle="180" colors="0 #dafda7;22938f #e4fdc2;1 #f5ffe6" focus="100%" type="gradient"/>
                <v:shadow on="t" color="black" opacity="24903f" origin=",.5" offset="0,.55556mm"/>
                <v:textbox>
                  <w:txbxContent>
                    <w:p w14:paraId="7A84F79B" w14:textId="77777777" w:rsidR="00EF5312" w:rsidRPr="0099019B" w:rsidRDefault="00EF5312" w:rsidP="00EF5312">
                      <w:pPr>
                        <w:jc w:val="center"/>
                        <w:rPr>
                          <w:b/>
                          <w:bCs/>
                        </w:rPr>
                      </w:pPr>
                      <w:r w:rsidRPr="00312F0B">
                        <w:rPr>
                          <w:rFonts w:ascii="Traditional Arabic" w:hAnsi="Traditional Arabic" w:cs="Traditional Arabic"/>
                          <w:b/>
                          <w:bCs/>
                          <w:sz w:val="28"/>
                          <w:szCs w:val="28"/>
                          <w:rtl/>
                          <w:lang w:bidi="ar-EG"/>
                        </w:rPr>
                        <w:t>مركزية العملاء</w:t>
                      </w:r>
                    </w:p>
                  </w:txbxContent>
                </v:textbox>
              </v:roundrect>
            </w:pict>
          </mc:Fallback>
        </mc:AlternateContent>
      </w:r>
      <w:r w:rsidRPr="00EF5312">
        <w:rPr>
          <w:rFonts w:ascii="Traditional Arabic" w:hAnsi="Traditional Arabic" w:cs="Traditional Arabic"/>
          <w:color w:val="000000" w:themeColor="text1"/>
          <w:sz w:val="32"/>
          <w:szCs w:val="32"/>
        </w:rPr>
        <w:t xml:space="preserve">             </w:t>
      </w:r>
    </w:p>
    <w:p w14:paraId="469C9FAA"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Pr>
      </w:pPr>
      <w:r w:rsidRPr="00EF5312">
        <w:rPr>
          <w:rFonts w:ascii="Traditional Arabic" w:hAnsi="Traditional Arabic" w:cs="Traditional Arabic"/>
          <w:noProof/>
          <w:color w:val="000000" w:themeColor="text1"/>
          <w:sz w:val="32"/>
          <w:szCs w:val="32"/>
        </w:rPr>
        <mc:AlternateContent>
          <mc:Choice Requires="wps">
            <w:drawing>
              <wp:anchor distT="0" distB="0" distL="114300" distR="114300" simplePos="0" relativeHeight="251682816" behindDoc="0" locked="0" layoutInCell="1" allowOverlap="1" wp14:anchorId="002751E4" wp14:editId="7F7D4E99">
                <wp:simplePos x="0" y="0"/>
                <wp:positionH relativeFrom="column">
                  <wp:posOffset>-260350</wp:posOffset>
                </wp:positionH>
                <wp:positionV relativeFrom="paragraph">
                  <wp:posOffset>245745</wp:posOffset>
                </wp:positionV>
                <wp:extent cx="1394460" cy="447675"/>
                <wp:effectExtent l="57150" t="38100" r="72390" b="104775"/>
                <wp:wrapNone/>
                <wp:docPr id="102318745" name="مستطيل: زوايا مستديرة 13"/>
                <wp:cNvGraphicFramePr/>
                <a:graphic xmlns:a="http://schemas.openxmlformats.org/drawingml/2006/main">
                  <a:graphicData uri="http://schemas.microsoft.com/office/word/2010/wordprocessingShape">
                    <wps:wsp>
                      <wps:cNvSpPr/>
                      <wps:spPr>
                        <a:xfrm>
                          <a:off x="0" y="0"/>
                          <a:ext cx="1394460" cy="447675"/>
                        </a:xfrm>
                        <a:prstGeom prst="roundRect">
                          <a:avLst/>
                        </a:prstGeom>
                        <a:ln/>
                      </wps:spPr>
                      <wps:style>
                        <a:lnRef idx="1">
                          <a:schemeClr val="accent3"/>
                        </a:lnRef>
                        <a:fillRef idx="2">
                          <a:schemeClr val="accent3"/>
                        </a:fillRef>
                        <a:effectRef idx="1">
                          <a:schemeClr val="accent3"/>
                        </a:effectRef>
                        <a:fontRef idx="minor">
                          <a:schemeClr val="dk1"/>
                        </a:fontRef>
                      </wps:style>
                      <wps:txbx>
                        <w:txbxContent>
                          <w:p w14:paraId="5A1BF5CF" w14:textId="77777777" w:rsidR="00EF5312" w:rsidRDefault="00EF5312" w:rsidP="00EF5312">
                            <w:pPr>
                              <w:jc w:val="center"/>
                              <w:rPr>
                                <w:rFonts w:ascii="Traditional Arabic" w:hAnsi="Traditional Arabic" w:cs="Traditional Arabic"/>
                                <w:b/>
                                <w:bCs/>
                                <w:sz w:val="28"/>
                                <w:szCs w:val="28"/>
                              </w:rPr>
                            </w:pPr>
                            <w:r w:rsidRPr="00312F0B">
                              <w:rPr>
                                <w:rFonts w:ascii="Traditional Arabic" w:hAnsi="Traditional Arabic" w:cs="Traditional Arabic"/>
                                <w:b/>
                                <w:bCs/>
                                <w:sz w:val="28"/>
                                <w:szCs w:val="28"/>
                                <w:rtl/>
                              </w:rPr>
                              <w:t>التفاعل مع البيانات والمعلومات</w:t>
                            </w:r>
                          </w:p>
                          <w:p w14:paraId="7DB1F3D1" w14:textId="77777777" w:rsidR="00EF5312" w:rsidRPr="00455857" w:rsidRDefault="00EF5312" w:rsidP="00EF5312">
                            <w:pPr>
                              <w:jc w:val="center"/>
                              <w:rPr>
                                <w:rFonts w:ascii="Traditional Arabic" w:hAnsi="Traditional Arabic" w:cs="Traditional Arabic"/>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02751E4" id="_x0000_s1040" style="position:absolute;left:0;text-align:left;margin-left:-20.5pt;margin-top:19.35pt;width:109.8pt;height:35.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" fillcolor="#cdddac [1622]" strokecolor="#94b64e [3046]">
                <v:fill color2="#f0f4e6 [502]" rotate="t" angle="180" colors="0 #dafda7;22938f #e4fdc2;1 #f5ffe6" focus="100%" type="gradient"/>
                <v:shadow on="t" color="black" opacity="24903f" origin=",.5" offset="0,.55556mm"/>
                <v:textbox>
                  <w:txbxContent>
                    <w:p w14:paraId="5A1BF5CF" w14:textId="77777777" w:rsidR="00EF5312" w:rsidRDefault="00EF5312" w:rsidP="00EF5312">
                      <w:pPr>
                        <w:jc w:val="center"/>
                        <w:rPr>
                          <w:rFonts w:ascii="Traditional Arabic" w:hAnsi="Traditional Arabic" w:cs="Traditional Arabic"/>
                          <w:b/>
                          <w:bCs/>
                          <w:sz w:val="28"/>
                          <w:szCs w:val="28"/>
                        </w:rPr>
                      </w:pPr>
                      <w:r w:rsidRPr="00312F0B">
                        <w:rPr>
                          <w:rFonts w:ascii="Traditional Arabic" w:hAnsi="Traditional Arabic" w:cs="Traditional Arabic"/>
                          <w:b/>
                          <w:bCs/>
                          <w:sz w:val="28"/>
                          <w:szCs w:val="28"/>
                          <w:rtl/>
                        </w:rPr>
                        <w:t>التفاعل مع البيانات والمعلومات</w:t>
                      </w:r>
                    </w:p>
                    <w:p w14:paraId="7DB1F3D1" w14:textId="77777777" w:rsidR="00EF5312" w:rsidRPr="00455857" w:rsidRDefault="00EF5312" w:rsidP="00EF5312">
                      <w:pPr>
                        <w:jc w:val="center"/>
                        <w:rPr>
                          <w:rFonts w:ascii="Traditional Arabic" w:hAnsi="Traditional Arabic" w:cs="Traditional Arabic"/>
                          <w:sz w:val="32"/>
                          <w:szCs w:val="32"/>
                        </w:rPr>
                      </w:pPr>
                    </w:p>
                  </w:txbxContent>
                </v:textbox>
              </v:roundrect>
            </w:pict>
          </mc:Fallback>
        </mc:AlternateContent>
      </w:r>
      <w:r w:rsidRPr="00EF5312">
        <w:rPr>
          <w:rFonts w:ascii="Traditional Arabic" w:hAnsi="Traditional Arabic" w:cs="Traditional Arabic"/>
          <w:noProof/>
          <w:color w:val="000000" w:themeColor="text1"/>
          <w:sz w:val="32"/>
          <w:szCs w:val="32"/>
          <w:rtl/>
        </w:rPr>
        <mc:AlternateContent>
          <mc:Choice Requires="wps">
            <w:drawing>
              <wp:anchor distT="0" distB="0" distL="114300" distR="114300" simplePos="0" relativeHeight="251672576" behindDoc="0" locked="0" layoutInCell="1" allowOverlap="1" wp14:anchorId="053D3B53" wp14:editId="191984B2">
                <wp:simplePos x="0" y="0"/>
                <wp:positionH relativeFrom="column">
                  <wp:posOffset>2326640</wp:posOffset>
                </wp:positionH>
                <wp:positionV relativeFrom="paragraph">
                  <wp:posOffset>353060</wp:posOffset>
                </wp:positionV>
                <wp:extent cx="1413510" cy="495300"/>
                <wp:effectExtent l="57150" t="38100" r="72390" b="95250"/>
                <wp:wrapNone/>
                <wp:docPr id="1544359698" name="مستطيل: زوايا مستديرة 25"/>
                <wp:cNvGraphicFramePr/>
                <a:graphic xmlns:a="http://schemas.openxmlformats.org/drawingml/2006/main">
                  <a:graphicData uri="http://schemas.microsoft.com/office/word/2010/wordprocessingShape">
                    <wps:wsp>
                      <wps:cNvSpPr/>
                      <wps:spPr>
                        <a:xfrm>
                          <a:off x="0" y="0"/>
                          <a:ext cx="1413510" cy="495300"/>
                        </a:xfrm>
                        <a:prstGeom prst="roundRect">
                          <a:avLst/>
                        </a:prstGeom>
                        <a:ln/>
                      </wps:spPr>
                      <wps:style>
                        <a:lnRef idx="1">
                          <a:schemeClr val="accent3"/>
                        </a:lnRef>
                        <a:fillRef idx="2">
                          <a:schemeClr val="accent3"/>
                        </a:fillRef>
                        <a:effectRef idx="1">
                          <a:schemeClr val="accent3"/>
                        </a:effectRef>
                        <a:fontRef idx="minor">
                          <a:schemeClr val="dk1"/>
                        </a:fontRef>
                      </wps:style>
                      <wps:txbx>
                        <w:txbxContent>
                          <w:p w14:paraId="2EE38F2A" w14:textId="77777777" w:rsidR="00EF5312" w:rsidRDefault="00EF5312" w:rsidP="00EF5312">
                            <w:pPr>
                              <w:jc w:val="center"/>
                            </w:pPr>
                            <w:r w:rsidRPr="00312F0B">
                              <w:rPr>
                                <w:rFonts w:ascii="Times New Roman" w:eastAsia="Calibri" w:hAnsi="Times New Roman" w:cs="Traditional Arabic"/>
                                <w:kern w:val="2"/>
                                <w:sz w:val="32"/>
                                <w:szCs w:val="32"/>
                                <w:rtl/>
                                <w14:ligatures w14:val="standardContextual"/>
                              </w:rPr>
                              <w:t>شفافية الاتصال والمعلومات</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D3B53" id="مستطيل: زوايا مستديرة 25" o:spid="_x0000_s1041" style="position:absolute;left:0;text-align:left;margin-left:183.2pt;margin-top:27.8pt;width:111.3pt;height:39pt;z-index:25167257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" fillcolor="#cdddac [1622]" strokecolor="#94b64e [3046]">
                <v:fill color2="#f0f4e6 [502]" rotate="t" angle="180" colors="0 #dafda7;22938f #e4fdc2;1 #f5ffe6" focus="100%" type="gradient"/>
                <v:shadow on="t" color="black" opacity="24903f" origin=",.5" offset="0,.55556mm"/>
                <v:textbox>
                  <w:txbxContent>
                    <w:p w14:paraId="2EE38F2A" w14:textId="77777777" w:rsidR="00EF5312" w:rsidRDefault="00EF5312" w:rsidP="00EF5312">
                      <w:pPr>
                        <w:jc w:val="center"/>
                      </w:pPr>
                      <w:r w:rsidRPr="00312F0B">
                        <w:rPr>
                          <w:rFonts w:ascii="Times New Roman" w:eastAsia="Calibri" w:hAnsi="Times New Roman" w:cs="Traditional Arabic"/>
                          <w:kern w:val="2"/>
                          <w:sz w:val="32"/>
                          <w:szCs w:val="32"/>
                          <w:rtl/>
                          <w14:ligatures w14:val="standardContextual"/>
                        </w:rPr>
                        <w:t>شفافية الاتصال والمعلومات</w:t>
                      </w:r>
                    </w:p>
                  </w:txbxContent>
                </v:textbox>
              </v:roundrect>
            </w:pict>
          </mc:Fallback>
        </mc:AlternateContent>
      </w:r>
    </w:p>
    <w:p w14:paraId="01A60657" w14:textId="77777777" w:rsidR="00EF5312" w:rsidRPr="00EF5312" w:rsidRDefault="00EF5312" w:rsidP="00EF5312">
      <w:pPr>
        <w:numPr>
          <w:ilvl w:val="0"/>
          <w:numId w:val="21"/>
        </w:numPr>
        <w:bidi/>
        <w:spacing w:after="200" w:line="276" w:lineRule="auto"/>
        <w:jc w:val="both"/>
        <w:rPr>
          <w:rFonts w:ascii="Traditional Arabic" w:hAnsi="Traditional Arabic" w:cs="Traditional Arabic"/>
          <w:color w:val="000000" w:themeColor="text1"/>
          <w:sz w:val="32"/>
          <w:szCs w:val="32"/>
        </w:rPr>
      </w:pPr>
      <w:r w:rsidRPr="00EF5312">
        <w:rPr>
          <w:rFonts w:ascii="Traditional Arabic" w:hAnsi="Traditional Arabic" w:cs="Traditional Arabic"/>
          <w:noProof/>
          <w:color w:val="000000" w:themeColor="text1"/>
          <w:sz w:val="32"/>
          <w:szCs w:val="32"/>
        </w:rPr>
        <mc:AlternateContent>
          <mc:Choice Requires="wps">
            <w:drawing>
              <wp:anchor distT="0" distB="0" distL="114300" distR="114300" simplePos="0" relativeHeight="251680768" behindDoc="0" locked="0" layoutInCell="1" allowOverlap="1" wp14:anchorId="03045438" wp14:editId="581F9A9F">
                <wp:simplePos x="0" y="0"/>
                <wp:positionH relativeFrom="column">
                  <wp:posOffset>5477510</wp:posOffset>
                </wp:positionH>
                <wp:positionV relativeFrom="paragraph">
                  <wp:posOffset>288290</wp:posOffset>
                </wp:positionV>
                <wp:extent cx="0" cy="849630"/>
                <wp:effectExtent l="0" t="0" r="38100" b="26670"/>
                <wp:wrapNone/>
                <wp:docPr id="1719379477" name="رابط مستقيم 34"/>
                <wp:cNvGraphicFramePr/>
                <a:graphic xmlns:a="http://schemas.openxmlformats.org/drawingml/2006/main">
                  <a:graphicData uri="http://schemas.microsoft.com/office/word/2010/wordprocessingShape">
                    <wps:wsp>
                      <wps:cNvCnPr/>
                      <wps:spPr>
                        <a:xfrm flipV="1">
                          <a:off x="0" y="0"/>
                          <a:ext cx="0" cy="849630"/>
                        </a:xfrm>
                        <a:prstGeom prst="line">
                          <a:avLst/>
                        </a:prstGeom>
                        <a:noFill/>
                        <a:ln w="9525" cap="flat" cmpd="sng" algn="ctr">
                          <a:solidFill>
                            <a:srgbClr val="4F81BD"/>
                          </a:solidFill>
                          <a:prstDash val="dash"/>
                          <a:round/>
                          <a:headEnd type="none" w="med" len="med"/>
                          <a:tailEnd type="none" w="med" len="med"/>
                        </a:ln>
                        <a:effectLst/>
                      </wps:spPr>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7A0AC2D1" id="رابط مستقيم 34" o:spid="_x0000_s1026" style="position:absolute;left:0;text-align:left;flip:y;z-index:251680768;visibility:visible;mso-wrap-style:square;mso-wrap-distance-left:9pt;mso-wrap-distance-top:0;mso-wrap-distance-right:9pt;mso-wrap-distance-bottom:0;mso-position-horizontal:absolute;mso-position-horizontal-relative:text;mso-position-vertical:absolute;mso-position-vertical-relative:text" from="431.3pt,22.7pt" to="431.3pt,8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" strokecolor="#4f81bd">
                <v:stroke dashstyle="dash"/>
              </v:line>
            </w:pict>
          </mc:Fallback>
        </mc:AlternateContent>
      </w:r>
      <w:r w:rsidRPr="00EF5312">
        <w:rPr>
          <w:rFonts w:ascii="Traditional Arabic" w:hAnsi="Traditional Arabic" w:cs="Traditional Arabic"/>
          <w:noProof/>
          <w:color w:val="000000" w:themeColor="text1"/>
          <w:sz w:val="32"/>
          <w:szCs w:val="32"/>
        </w:rPr>
        <mc:AlternateContent>
          <mc:Choice Requires="wps">
            <w:drawing>
              <wp:anchor distT="0" distB="0" distL="114300" distR="114300" simplePos="0" relativeHeight="251679744" behindDoc="0" locked="0" layoutInCell="1" allowOverlap="1" wp14:anchorId="4F7B9B08" wp14:editId="53F76782">
                <wp:simplePos x="0" y="0"/>
                <wp:positionH relativeFrom="column">
                  <wp:posOffset>334010</wp:posOffset>
                </wp:positionH>
                <wp:positionV relativeFrom="paragraph">
                  <wp:posOffset>543560</wp:posOffset>
                </wp:positionV>
                <wp:extent cx="0" cy="594360"/>
                <wp:effectExtent l="95250" t="38100" r="57150" b="15240"/>
                <wp:wrapNone/>
                <wp:docPr id="210919759" name="رابط كسهم مستقيم 33"/>
                <wp:cNvGraphicFramePr/>
                <a:graphic xmlns:a="http://schemas.openxmlformats.org/drawingml/2006/main">
                  <a:graphicData uri="http://schemas.microsoft.com/office/word/2010/wordprocessingShape">
                    <wps:wsp>
                      <wps:cNvCnPr/>
                      <wps:spPr>
                        <a:xfrm flipV="1">
                          <a:off x="0" y="0"/>
                          <a:ext cx="0" cy="594360"/>
                        </a:xfrm>
                        <a:prstGeom prst="straightConnector1">
                          <a:avLst/>
                        </a:prstGeom>
                        <a:noFill/>
                        <a:ln w="9525" cap="flat" cmpd="sng" algn="ctr">
                          <a:solidFill>
                            <a:srgbClr val="4F81BD"/>
                          </a:solidFill>
                          <a:prstDash val="solid"/>
                          <a:round/>
                          <a:headEnd type="none" w="med" len="med"/>
                          <a:tailEnd type="arrow" w="med" len="med"/>
                        </a:ln>
                        <a:effectLst/>
                      </wps:spPr>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BCC85C0" id="رابط كسهم مستقيم 33" o:spid="_x0000_s1026" type="#_x0000_t32" style="position:absolute;left:0;text-align:left;margin-left:26.3pt;margin-top:42.8pt;width:0;height:46.8pt;flip:y;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" strokecolor="#4f81bd">
                <v:stroke endarrow="open"/>
              </v:shape>
            </w:pict>
          </mc:Fallback>
        </mc:AlternateContent>
      </w:r>
    </w:p>
    <w:p w14:paraId="594DF951"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tl/>
        </w:rPr>
      </w:pPr>
    </w:p>
    <w:p w14:paraId="1F627DBB"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tl/>
        </w:rPr>
      </w:pPr>
      <w:r w:rsidRPr="00EF5312">
        <w:rPr>
          <w:rFonts w:ascii="Traditional Arabic" w:hAnsi="Traditional Arabic" w:cs="Traditional Arabic"/>
          <w:noProof/>
          <w:color w:val="000000" w:themeColor="text1"/>
          <w:sz w:val="32"/>
          <w:szCs w:val="32"/>
          <w:rtl/>
        </w:rPr>
        <mc:AlternateContent>
          <mc:Choice Requires="wps">
            <w:drawing>
              <wp:anchor distT="0" distB="0" distL="114300" distR="114300" simplePos="0" relativeHeight="251678720" behindDoc="0" locked="0" layoutInCell="1" allowOverlap="1" wp14:anchorId="554ACBC1" wp14:editId="317789AD">
                <wp:simplePos x="0" y="0"/>
                <wp:positionH relativeFrom="column">
                  <wp:posOffset>334010</wp:posOffset>
                </wp:positionH>
                <wp:positionV relativeFrom="paragraph">
                  <wp:posOffset>77470</wp:posOffset>
                </wp:positionV>
                <wp:extent cx="5143500" cy="0"/>
                <wp:effectExtent l="0" t="0" r="0" b="0"/>
                <wp:wrapNone/>
                <wp:docPr id="1680657871" name="رابط مستقيم 32"/>
                <wp:cNvGraphicFramePr/>
                <a:graphic xmlns:a="http://schemas.openxmlformats.org/drawingml/2006/main">
                  <a:graphicData uri="http://schemas.microsoft.com/office/word/2010/wordprocessingShape">
                    <wps:wsp>
                      <wps:cNvCnPr/>
                      <wps:spPr>
                        <a:xfrm flipH="1">
                          <a:off x="0" y="0"/>
                          <a:ext cx="5143500" cy="0"/>
                        </a:xfrm>
                        <a:prstGeom prst="line">
                          <a:avLst/>
                        </a:prstGeom>
                        <a:noFill/>
                        <a:ln w="9525" cap="flat" cmpd="sng" algn="ctr">
                          <a:solidFill>
                            <a:srgbClr val="4F81BD"/>
                          </a:solidFill>
                          <a:prstDash val="dash"/>
                          <a:round/>
                          <a:headEnd type="none" w="med" len="med"/>
                          <a:tailEnd type="none" w="med" len="med"/>
                        </a:ln>
                        <a:effectLst/>
                      </wps:spPr>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47C04D9F" id="رابط مستقيم 32" o:spid="_x0000_s1026" style="position:absolute;left:0;text-align:left;flip:x;z-index:251678720;visibility:visible;mso-wrap-style:square;mso-wrap-distance-left:9pt;mso-wrap-distance-top:0;mso-wrap-distance-right:9pt;mso-wrap-distance-bottom:0;mso-position-horizontal:absolute;mso-position-horizontal-relative:text;mso-position-vertical:absolute;mso-position-vertical-relative:text" from="26.3pt,6.1pt" to="431.3pt,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" strokecolor="#4f81bd">
                <v:stroke dashstyle="dash"/>
              </v:line>
            </w:pict>
          </mc:Fallback>
        </mc:AlternateContent>
      </w:r>
    </w:p>
    <w:p w14:paraId="207E440E"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tl/>
        </w:rPr>
      </w:pPr>
      <w:proofErr w:type="gramStart"/>
      <w:r w:rsidRPr="00EF5312">
        <w:rPr>
          <w:rFonts w:ascii="Traditional Arabic" w:hAnsi="Traditional Arabic" w:cs="Traditional Arabic" w:hint="cs"/>
          <w:color w:val="000000" w:themeColor="text1"/>
          <w:sz w:val="32"/>
          <w:szCs w:val="32"/>
          <w:rtl/>
        </w:rPr>
        <w:t>المصدر :</w:t>
      </w:r>
      <w:proofErr w:type="gramEnd"/>
      <w:r w:rsidRPr="00EF5312">
        <w:rPr>
          <w:rFonts w:ascii="Traditional Arabic" w:hAnsi="Traditional Arabic" w:cs="Traditional Arabic" w:hint="cs"/>
          <w:color w:val="000000" w:themeColor="text1"/>
          <w:sz w:val="32"/>
          <w:szCs w:val="32"/>
          <w:rtl/>
        </w:rPr>
        <w:t xml:space="preserve"> من إعداد الباحث بالاعتماد على الدراسات السابقة </w:t>
      </w:r>
    </w:p>
    <w:p w14:paraId="17184483" w14:textId="77777777" w:rsidR="001E76CD" w:rsidRPr="001E76CD" w:rsidRDefault="001E76CD" w:rsidP="001E76CD">
      <w:pPr>
        <w:bidi/>
        <w:spacing w:after="200" w:line="276" w:lineRule="auto"/>
        <w:jc w:val="both"/>
        <w:rPr>
          <w:rFonts w:ascii="Traditional Arabic" w:hAnsi="Traditional Arabic" w:cs="Traditional Arabic"/>
          <w:color w:val="000000" w:themeColor="text1"/>
          <w:sz w:val="32"/>
          <w:szCs w:val="32"/>
          <w:rtl/>
        </w:rPr>
      </w:pPr>
    </w:p>
    <w:p w14:paraId="6D311426" w14:textId="77777777" w:rsidR="001E76CD" w:rsidRPr="001E76CD" w:rsidRDefault="001E76CD" w:rsidP="001E76CD">
      <w:pPr>
        <w:bidi/>
        <w:spacing w:after="200" w:line="276" w:lineRule="auto"/>
        <w:jc w:val="both"/>
        <w:rPr>
          <w:rFonts w:ascii="Traditional Arabic" w:hAnsi="Traditional Arabic" w:cs="Traditional Arabic"/>
          <w:color w:val="000000" w:themeColor="text1"/>
          <w:sz w:val="32"/>
          <w:szCs w:val="32"/>
        </w:rPr>
      </w:pPr>
    </w:p>
    <w:p w14:paraId="3FFC6EE2" w14:textId="77777777" w:rsidR="001E76CD" w:rsidRPr="001E76CD" w:rsidRDefault="001E76CD" w:rsidP="001E76CD">
      <w:pPr>
        <w:bidi/>
        <w:spacing w:after="200" w:line="276" w:lineRule="auto"/>
        <w:jc w:val="both"/>
        <w:rPr>
          <w:rFonts w:ascii="Traditional Arabic" w:hAnsi="Traditional Arabic" w:cs="Traditional Arabic"/>
          <w:color w:val="000000" w:themeColor="text1"/>
          <w:sz w:val="32"/>
          <w:szCs w:val="32"/>
        </w:rPr>
      </w:pPr>
    </w:p>
    <w:p w14:paraId="53EF1D88" w14:textId="77777777" w:rsidR="003D5792" w:rsidRPr="003D5792" w:rsidRDefault="003D5792" w:rsidP="00506B64">
      <w:pPr>
        <w:bidi/>
        <w:spacing w:after="200" w:line="276" w:lineRule="auto"/>
        <w:jc w:val="both"/>
        <w:rPr>
          <w:rFonts w:ascii="Traditional Arabic" w:hAnsi="Traditional Arabic" w:cs="Traditional Arabic"/>
          <w:color w:val="000000" w:themeColor="text1"/>
          <w:sz w:val="32"/>
          <w:szCs w:val="32"/>
        </w:rPr>
      </w:pPr>
    </w:p>
    <w:p w14:paraId="7C088E39" w14:textId="77777777" w:rsidR="003D5792" w:rsidRPr="003D5792" w:rsidRDefault="003D5792" w:rsidP="003D5792">
      <w:pPr>
        <w:bidi/>
        <w:spacing w:after="200" w:line="276" w:lineRule="auto"/>
        <w:jc w:val="both"/>
        <w:rPr>
          <w:rFonts w:ascii="Times New Roman" w:hAnsi="Times New Roman" w:cs="Traditional Arabic"/>
          <w:color w:val="000000" w:themeColor="text1"/>
          <w:sz w:val="32"/>
          <w:szCs w:val="32"/>
          <w:rtl/>
        </w:rPr>
      </w:pPr>
    </w:p>
    <w:p w14:paraId="2AD47B1D" w14:textId="77777777" w:rsidR="00002AF3" w:rsidRPr="003E5961" w:rsidRDefault="00002AF3" w:rsidP="00002AF3">
      <w:pPr>
        <w:bidi/>
        <w:spacing w:after="200" w:line="276" w:lineRule="auto"/>
        <w:jc w:val="both"/>
        <w:rPr>
          <w:rFonts w:ascii="Times New Roman" w:hAnsi="Times New Roman" w:cs="Traditional Arabic"/>
          <w:color w:val="000000" w:themeColor="text1"/>
          <w:sz w:val="32"/>
          <w:szCs w:val="32"/>
          <w:rtl/>
        </w:rPr>
      </w:pPr>
    </w:p>
    <w:p w14:paraId="1F7FA582" w14:textId="497E5082" w:rsidR="00735F0D" w:rsidRPr="00C13438" w:rsidRDefault="00735F0D" w:rsidP="006373C8">
      <w:pPr>
        <w:bidi/>
        <w:spacing w:before="100" w:beforeAutospacing="1" w:after="100" w:afterAutospacing="1" w:line="360" w:lineRule="auto"/>
        <w:jc w:val="center"/>
        <w:outlineLvl w:val="0"/>
        <w:rPr>
          <w:rFonts w:ascii="Times New Roman" w:hAnsi="Times New Roman" w:cs="Traditional Arabic"/>
          <w:b/>
          <w:bCs/>
          <w:color w:val="000000" w:themeColor="text1"/>
          <w:sz w:val="36"/>
          <w:szCs w:val="36"/>
          <w:u w:val="single"/>
          <w:rtl/>
        </w:rPr>
      </w:pPr>
      <w:r w:rsidRPr="00C13438">
        <w:rPr>
          <w:rFonts w:ascii="Times New Roman" w:hAnsi="Times New Roman" w:cs="Traditional Arabic" w:hint="cs"/>
          <w:b/>
          <w:bCs/>
          <w:color w:val="000000" w:themeColor="text1"/>
          <w:sz w:val="36"/>
          <w:szCs w:val="36"/>
          <w:u w:val="single"/>
          <w:rtl/>
        </w:rPr>
        <w:t>المراجع</w:t>
      </w:r>
      <w:r w:rsidRPr="00C13438">
        <w:rPr>
          <w:rFonts w:ascii="Times New Roman" w:hAnsi="Times New Roman" w:cs="Traditional Arabic"/>
          <w:b/>
          <w:bCs/>
          <w:color w:val="000000" w:themeColor="text1"/>
          <w:sz w:val="36"/>
          <w:szCs w:val="36"/>
          <w:u w:val="single"/>
          <w:rtl/>
        </w:rPr>
        <w:t>:</w:t>
      </w:r>
      <w:bookmarkEnd w:id="17"/>
    </w:p>
    <w:p w14:paraId="7EFD40D1" w14:textId="77777777" w:rsidR="00735F0D" w:rsidRPr="00C13438" w:rsidRDefault="00735F0D" w:rsidP="006373C8">
      <w:pPr>
        <w:bidi/>
        <w:spacing w:before="100" w:beforeAutospacing="1" w:after="100" w:afterAutospacing="1" w:line="360" w:lineRule="auto"/>
        <w:outlineLvl w:val="1"/>
        <w:rPr>
          <w:rFonts w:ascii="Times New Roman" w:hAnsi="Times New Roman" w:cs="Traditional Arabic"/>
          <w:b/>
          <w:bCs/>
          <w:color w:val="000000" w:themeColor="text1"/>
          <w:sz w:val="36"/>
          <w:szCs w:val="36"/>
          <w:rtl/>
        </w:rPr>
      </w:pPr>
      <w:bookmarkStart w:id="19" w:name="_Toc202226015"/>
      <w:r w:rsidRPr="00C13438">
        <w:rPr>
          <w:rFonts w:ascii="Times New Roman" w:hAnsi="Times New Roman" w:cs="Traditional Arabic" w:hint="cs"/>
          <w:b/>
          <w:bCs/>
          <w:color w:val="000000" w:themeColor="text1"/>
          <w:sz w:val="36"/>
          <w:szCs w:val="36"/>
          <w:rtl/>
        </w:rPr>
        <w:t>المراجع العربية</w:t>
      </w:r>
      <w:bookmarkEnd w:id="19"/>
      <w:r w:rsidRPr="00C13438">
        <w:rPr>
          <w:rFonts w:ascii="Times New Roman" w:hAnsi="Times New Roman" w:cs="Traditional Arabic" w:hint="cs"/>
          <w:b/>
          <w:bCs/>
          <w:color w:val="000000" w:themeColor="text1"/>
          <w:sz w:val="36"/>
          <w:szCs w:val="36"/>
          <w:rtl/>
        </w:rPr>
        <w:t xml:space="preserve"> </w:t>
      </w:r>
    </w:p>
    <w:p w14:paraId="4AB241D4" w14:textId="77777777" w:rsidR="00B414D3" w:rsidRPr="00B71D70" w:rsidRDefault="00B414D3" w:rsidP="00B71D70">
      <w:pPr>
        <w:bidi/>
        <w:spacing w:before="100" w:beforeAutospacing="1" w:after="100" w:afterAutospacing="1" w:line="360" w:lineRule="auto"/>
        <w:ind w:left="426"/>
        <w:jc w:val="lowKashida"/>
        <w:rPr>
          <w:rFonts w:ascii="Times New Roman" w:hAnsi="Times New Roman" w:cs="Traditional Arabic"/>
          <w:b/>
          <w:bCs/>
          <w:noProof/>
          <w:color w:val="000000" w:themeColor="text1"/>
          <w:sz w:val="28"/>
          <w:szCs w:val="28"/>
        </w:rPr>
      </w:pPr>
      <w:r w:rsidRPr="00B71D70">
        <w:rPr>
          <w:rFonts w:ascii="Times New Roman" w:hAnsi="Times New Roman" w:cs="Traditional Arabic" w:hint="cs"/>
          <w:b/>
          <w:bCs/>
          <w:noProof/>
          <w:color w:val="000000" w:themeColor="text1"/>
          <w:sz w:val="28"/>
          <w:szCs w:val="28"/>
          <w:rtl/>
        </w:rPr>
        <w:t xml:space="preserve">المراجع العربية </w:t>
      </w:r>
    </w:p>
    <w:p w14:paraId="5CA123C8" w14:textId="77777777" w:rsidR="00B71D70" w:rsidRPr="00B71D70" w:rsidRDefault="00B71D70" w:rsidP="00B71D70">
      <w:pPr>
        <w:pStyle w:val="ListParagraph"/>
        <w:numPr>
          <w:ilvl w:val="0"/>
          <w:numId w:val="7"/>
        </w:numPr>
        <w:bidi/>
        <w:spacing w:before="100" w:beforeAutospacing="1" w:after="100" w:afterAutospacing="1" w:line="360" w:lineRule="auto"/>
        <w:jc w:val="both"/>
        <w:rPr>
          <w:rFonts w:ascii="Times New Roman" w:hAnsi="Times New Roman" w:cs="Traditional Arabic"/>
          <w:noProof/>
          <w:sz w:val="28"/>
          <w:szCs w:val="28"/>
          <w:rtl/>
        </w:rPr>
      </w:pPr>
      <w:r w:rsidRPr="00B71D70">
        <w:rPr>
          <w:rFonts w:ascii="Times New Roman" w:hAnsi="Times New Roman" w:cs="Traditional Arabic"/>
          <w:noProof/>
          <w:sz w:val="28"/>
          <w:szCs w:val="28"/>
          <w:rtl/>
        </w:rPr>
        <w:t>إسماعيل، محمد، و الراشد، سوسن. (2022). درجة توافر التوجهات الاستراتيجية لدى مديري مدارس التعليم الأساسي وعلاقتها بفاعلية اتخاذ القرار. مجلة جامعة البعث سلسلة العلوم التربوية، مج44, ع7 ، 83 - 106.</w:t>
      </w:r>
    </w:p>
    <w:p w14:paraId="2CE68D05" w14:textId="77777777" w:rsidR="00B71D70" w:rsidRPr="00B71D70" w:rsidRDefault="00B71D70" w:rsidP="00B71D70">
      <w:pPr>
        <w:pStyle w:val="ListParagraph"/>
        <w:numPr>
          <w:ilvl w:val="0"/>
          <w:numId w:val="7"/>
        </w:numPr>
        <w:bidi/>
        <w:spacing w:before="100" w:beforeAutospacing="1" w:after="100" w:afterAutospacing="1" w:line="360" w:lineRule="auto"/>
        <w:jc w:val="both"/>
        <w:rPr>
          <w:rFonts w:ascii="Times New Roman" w:hAnsi="Times New Roman" w:cs="Traditional Arabic"/>
          <w:noProof/>
          <w:sz w:val="28"/>
          <w:szCs w:val="28"/>
          <w:rtl/>
        </w:rPr>
      </w:pPr>
      <w:r w:rsidRPr="00B71D70">
        <w:rPr>
          <w:rFonts w:ascii="Times New Roman" w:hAnsi="Times New Roman" w:cs="Traditional Arabic"/>
          <w:noProof/>
          <w:sz w:val="28"/>
          <w:szCs w:val="28"/>
          <w:rtl/>
        </w:rPr>
        <w:t>تركمان، حنان نبيه، فياض، لينا حسن، و البهلول، ذو الفقار. (2023). دور القرار الاستراتيجي في تحسين الأداء التنظيمي: دراسة ميدانية في جامعة تشرين. مجلة جامعة البعث سلسلة العلوم الاقتصادية، مج45, ع33 ، 87 - 116.</w:t>
      </w:r>
    </w:p>
    <w:p w14:paraId="23BCB8BB" w14:textId="77777777" w:rsidR="00B71D70" w:rsidRPr="00B71D70" w:rsidRDefault="00B71D70" w:rsidP="00B71D70">
      <w:pPr>
        <w:pStyle w:val="ListParagraph"/>
        <w:numPr>
          <w:ilvl w:val="0"/>
          <w:numId w:val="7"/>
        </w:numPr>
        <w:bidi/>
        <w:spacing w:before="100" w:beforeAutospacing="1" w:after="100" w:afterAutospacing="1" w:line="360" w:lineRule="auto"/>
        <w:jc w:val="both"/>
        <w:rPr>
          <w:rFonts w:ascii="Times New Roman" w:hAnsi="Times New Roman" w:cs="Traditional Arabic"/>
          <w:noProof/>
          <w:sz w:val="28"/>
          <w:szCs w:val="28"/>
          <w:rtl/>
        </w:rPr>
      </w:pPr>
      <w:r w:rsidRPr="00B71D70">
        <w:rPr>
          <w:rFonts w:ascii="Times New Roman" w:hAnsi="Times New Roman" w:cs="Traditional Arabic"/>
          <w:noProof/>
          <w:sz w:val="28"/>
          <w:szCs w:val="28"/>
          <w:rtl/>
        </w:rPr>
        <w:t>التركي، خولة، الماوري، أحمد، الزنداني، بكيل، و علاية، موسي. (2021). دور الحوكمة الإلكترونية في تعزيز الشفافية للقطاع الخاص بدولة قطر. مجلة الباحث، مج21, ع1 ، 269 - 283.</w:t>
      </w:r>
    </w:p>
    <w:p w14:paraId="1A07B574" w14:textId="77777777" w:rsidR="00B71D70" w:rsidRPr="00B71D70" w:rsidRDefault="00B71D70" w:rsidP="00B71D70">
      <w:pPr>
        <w:pStyle w:val="ListParagraph"/>
        <w:numPr>
          <w:ilvl w:val="0"/>
          <w:numId w:val="7"/>
        </w:numPr>
        <w:bidi/>
        <w:spacing w:before="100" w:beforeAutospacing="1" w:after="100" w:afterAutospacing="1" w:line="360" w:lineRule="auto"/>
        <w:jc w:val="both"/>
        <w:rPr>
          <w:rFonts w:ascii="Times New Roman" w:hAnsi="Times New Roman" w:cs="Traditional Arabic"/>
          <w:noProof/>
          <w:sz w:val="28"/>
          <w:szCs w:val="28"/>
          <w:rtl/>
        </w:rPr>
      </w:pPr>
      <w:r w:rsidRPr="00B71D70">
        <w:rPr>
          <w:rFonts w:ascii="Times New Roman" w:hAnsi="Times New Roman" w:cs="Traditional Arabic"/>
          <w:noProof/>
          <w:sz w:val="28"/>
          <w:szCs w:val="28"/>
          <w:rtl/>
        </w:rPr>
        <w:t>جاب الله، عاطف مصطفي حسن، الشنهابي، وائل زكريا الصاوي، و علي، السيد أحمد فتحي حسيب. (2023). تأثير التحول الرقمي على الأداء المستدام: دراسة ميدانية. المجلة الدولية للعلوم الإدارية والاقتصادية والمالية، مج2, ع7 ، 57 - 90.</w:t>
      </w:r>
    </w:p>
    <w:p w14:paraId="34C8DC9D" w14:textId="77777777" w:rsidR="00B71D70" w:rsidRPr="00B71D70" w:rsidRDefault="00B71D70" w:rsidP="00B71D70">
      <w:pPr>
        <w:pStyle w:val="ListParagraph"/>
        <w:numPr>
          <w:ilvl w:val="0"/>
          <w:numId w:val="7"/>
        </w:numPr>
        <w:bidi/>
        <w:spacing w:before="100" w:beforeAutospacing="1" w:after="100" w:afterAutospacing="1" w:line="360" w:lineRule="auto"/>
        <w:jc w:val="both"/>
        <w:rPr>
          <w:rFonts w:ascii="Times New Roman" w:hAnsi="Times New Roman" w:cs="Traditional Arabic"/>
          <w:noProof/>
          <w:sz w:val="28"/>
          <w:szCs w:val="28"/>
          <w:rtl/>
        </w:rPr>
      </w:pPr>
      <w:r w:rsidRPr="00B71D70">
        <w:rPr>
          <w:rFonts w:ascii="Times New Roman" w:hAnsi="Times New Roman" w:cs="Traditional Arabic"/>
          <w:noProof/>
          <w:sz w:val="28"/>
          <w:szCs w:val="28"/>
          <w:rtl/>
        </w:rPr>
        <w:t>الطيب، سحر حسن. (2024). تأثير التحول الرقمي على المرونة التنظيمية: الدور الوسيط للثقافة التنظيمية: دراسة تطبيقية على البنوك التجارية الحكومية في مصر. مجلة البحوث الإدارية والمالية والكمية، مج4, ع2 ، 163 - 255.</w:t>
      </w:r>
    </w:p>
    <w:p w14:paraId="18C432BA" w14:textId="77777777" w:rsidR="00B71D70" w:rsidRPr="00B71D70" w:rsidRDefault="00B71D70" w:rsidP="00B71D70">
      <w:pPr>
        <w:pStyle w:val="ListParagraph"/>
        <w:numPr>
          <w:ilvl w:val="0"/>
          <w:numId w:val="7"/>
        </w:numPr>
        <w:bidi/>
        <w:spacing w:before="100" w:beforeAutospacing="1" w:after="100" w:afterAutospacing="1" w:line="360" w:lineRule="auto"/>
        <w:jc w:val="both"/>
        <w:rPr>
          <w:rFonts w:ascii="Times New Roman" w:hAnsi="Times New Roman" w:cs="Traditional Arabic"/>
          <w:noProof/>
          <w:sz w:val="28"/>
          <w:szCs w:val="28"/>
          <w:rtl/>
        </w:rPr>
      </w:pPr>
      <w:r w:rsidRPr="00B71D70">
        <w:rPr>
          <w:rFonts w:ascii="Times New Roman" w:hAnsi="Times New Roman" w:cs="Traditional Arabic"/>
          <w:noProof/>
          <w:sz w:val="28"/>
          <w:szCs w:val="28"/>
          <w:rtl/>
        </w:rPr>
        <w:lastRenderedPageBreak/>
        <w:t>عبدالمنعم، مصطفى سيد خلف الله، و رضوان، كوكب أحمد محمد. (2023). تأثير التحول الرقمي على اليقظة التنظيمية: دراسة ميدانية مطبقة على العاملين بفروع البنك الزراعي المصري بمحافظة الوادي الجديد. مجلة البحوث الإدارية والمالية والكمية، مج3, ع4 ، 239 - 304.</w:t>
      </w:r>
    </w:p>
    <w:p w14:paraId="39DACC2F" w14:textId="77777777" w:rsidR="00B71D70" w:rsidRPr="00B71D70" w:rsidRDefault="00B71D70" w:rsidP="00B71D70">
      <w:pPr>
        <w:pStyle w:val="ListParagraph"/>
        <w:numPr>
          <w:ilvl w:val="0"/>
          <w:numId w:val="7"/>
        </w:numPr>
        <w:bidi/>
        <w:spacing w:before="100" w:beforeAutospacing="1" w:after="100" w:afterAutospacing="1" w:line="360" w:lineRule="auto"/>
        <w:jc w:val="both"/>
        <w:rPr>
          <w:rFonts w:ascii="Times New Roman" w:hAnsi="Times New Roman" w:cs="Traditional Arabic"/>
          <w:noProof/>
          <w:sz w:val="28"/>
          <w:szCs w:val="28"/>
          <w:rtl/>
        </w:rPr>
      </w:pPr>
      <w:r w:rsidRPr="00B71D70">
        <w:rPr>
          <w:rFonts w:ascii="Times New Roman" w:hAnsi="Times New Roman" w:cs="Traditional Arabic"/>
          <w:noProof/>
          <w:sz w:val="28"/>
          <w:szCs w:val="28"/>
          <w:rtl/>
        </w:rPr>
        <w:t>العثامنة، سيف ناصر يوسف، و بطاينة، ثروت صالح محمد. (2022). أثر الذكاء الاستراتيجي في أساليب اتخاذ القرار: دراسة ميدانية على القيادات الإدارية في القطاع الحكومي الأردن. مجلة جامعة الملك سعود - العلوم الإدارية، مج30, ع2 ، 85 - 104.</w:t>
      </w:r>
    </w:p>
    <w:p w14:paraId="19D7ECE9" w14:textId="77777777" w:rsidR="00B71D70" w:rsidRPr="00B71D70" w:rsidRDefault="00B71D70" w:rsidP="00B71D70">
      <w:pPr>
        <w:pStyle w:val="ListParagraph"/>
        <w:numPr>
          <w:ilvl w:val="0"/>
          <w:numId w:val="7"/>
        </w:numPr>
        <w:bidi/>
        <w:spacing w:before="100" w:beforeAutospacing="1" w:after="100" w:afterAutospacing="1" w:line="360" w:lineRule="auto"/>
        <w:jc w:val="both"/>
        <w:rPr>
          <w:rFonts w:ascii="Times New Roman" w:hAnsi="Times New Roman" w:cs="Traditional Arabic"/>
          <w:noProof/>
          <w:sz w:val="28"/>
          <w:szCs w:val="28"/>
          <w:rtl/>
        </w:rPr>
      </w:pPr>
      <w:r w:rsidRPr="00B71D70">
        <w:rPr>
          <w:rFonts w:ascii="Times New Roman" w:hAnsi="Times New Roman" w:cs="Traditional Arabic"/>
          <w:noProof/>
          <w:sz w:val="28"/>
          <w:szCs w:val="28"/>
          <w:rtl/>
        </w:rPr>
        <w:t>العزب، عبدالمقصود محمد عبدالمقصود، قدري، منى أحمد، و متولى، أيمن. (2023). أثر تطبيق تأثير التحول الرقمي على تمكين الموارد البشرية: دراسة تطبيقية على العاملين بديوان عام وزارة الصحة والسكان المصرية. المجلة العلمية للدراسات التجارية والبيئية، مج14, ع1 ، 101 - 120.</w:t>
      </w:r>
    </w:p>
    <w:p w14:paraId="0BA86537" w14:textId="77777777" w:rsidR="00B71D70" w:rsidRPr="00B71D70" w:rsidRDefault="00B71D70" w:rsidP="00B71D70">
      <w:pPr>
        <w:pStyle w:val="ListParagraph"/>
        <w:numPr>
          <w:ilvl w:val="0"/>
          <w:numId w:val="7"/>
        </w:numPr>
        <w:bidi/>
        <w:spacing w:before="100" w:beforeAutospacing="1" w:after="100" w:afterAutospacing="1" w:line="360" w:lineRule="auto"/>
        <w:jc w:val="both"/>
        <w:rPr>
          <w:rFonts w:ascii="Times New Roman" w:hAnsi="Times New Roman" w:cs="Traditional Arabic"/>
          <w:noProof/>
          <w:sz w:val="28"/>
          <w:szCs w:val="28"/>
          <w:rtl/>
        </w:rPr>
      </w:pPr>
      <w:r w:rsidRPr="00B71D70">
        <w:rPr>
          <w:rFonts w:ascii="Times New Roman" w:hAnsi="Times New Roman" w:cs="Traditional Arabic"/>
          <w:noProof/>
          <w:sz w:val="28"/>
          <w:szCs w:val="28"/>
          <w:rtl/>
        </w:rPr>
        <w:t>عمر، عبدالرحيم ناصر أحمد. (2024). دور تكنولوجيا المعلومات في تعزيز الشفافية الإدارية بالمؤسسات الرياضية اليمنية. مجلة التحدي، مج16, ع1 ، 122 - 135.</w:t>
      </w:r>
    </w:p>
    <w:p w14:paraId="563F95CB" w14:textId="77777777" w:rsidR="00B71D70" w:rsidRPr="00B71D70" w:rsidRDefault="00B71D70" w:rsidP="00B71D70">
      <w:pPr>
        <w:pStyle w:val="ListParagraph"/>
        <w:numPr>
          <w:ilvl w:val="0"/>
          <w:numId w:val="7"/>
        </w:numPr>
        <w:bidi/>
        <w:spacing w:before="100" w:beforeAutospacing="1" w:after="100" w:afterAutospacing="1" w:line="360" w:lineRule="auto"/>
        <w:jc w:val="both"/>
        <w:rPr>
          <w:rFonts w:ascii="Times New Roman" w:hAnsi="Times New Roman" w:cs="Traditional Arabic"/>
          <w:noProof/>
          <w:sz w:val="28"/>
          <w:szCs w:val="28"/>
          <w:rtl/>
        </w:rPr>
      </w:pPr>
      <w:r w:rsidRPr="00B71D70">
        <w:rPr>
          <w:rFonts w:ascii="Times New Roman" w:hAnsi="Times New Roman" w:cs="Traditional Arabic"/>
          <w:noProof/>
          <w:sz w:val="28"/>
          <w:szCs w:val="28"/>
          <w:rtl/>
        </w:rPr>
        <w:t>الغرابلي، زينب إسماعيل إبراهيم، و البنا، حاتم محمد محمد. (2022). دور الشفافية الإدارية في تدعيم الالتزام بالعقد النفسي: دراسة تطبيقية. المجلة العربية للإدارة، مج42, ع4 ، 113 - 138.</w:t>
      </w:r>
    </w:p>
    <w:p w14:paraId="60626A08" w14:textId="77777777" w:rsidR="00B71D70" w:rsidRPr="00B71D70" w:rsidRDefault="00B71D70" w:rsidP="00B71D70">
      <w:pPr>
        <w:pStyle w:val="ListParagraph"/>
        <w:numPr>
          <w:ilvl w:val="0"/>
          <w:numId w:val="7"/>
        </w:numPr>
        <w:bidi/>
        <w:spacing w:before="100" w:beforeAutospacing="1" w:after="100" w:afterAutospacing="1" w:line="360" w:lineRule="auto"/>
        <w:jc w:val="both"/>
        <w:rPr>
          <w:rFonts w:ascii="Times New Roman" w:hAnsi="Times New Roman" w:cs="Traditional Arabic"/>
          <w:noProof/>
          <w:sz w:val="28"/>
          <w:szCs w:val="28"/>
          <w:rtl/>
        </w:rPr>
      </w:pPr>
      <w:r w:rsidRPr="00B71D70">
        <w:rPr>
          <w:rFonts w:ascii="Times New Roman" w:hAnsi="Times New Roman" w:cs="Traditional Arabic"/>
          <w:noProof/>
          <w:sz w:val="28"/>
          <w:szCs w:val="28"/>
          <w:rtl/>
        </w:rPr>
        <w:t>المعايطة، عثمان زعل فارس. (2021). أثر الشفافية الإدارية على القطاعات الحكومية. مجلة كلية الشريعة والقانون بطنطا، ع36, ج1 ، 1046 - 1083.</w:t>
      </w:r>
    </w:p>
    <w:p w14:paraId="3A8A9437" w14:textId="77777777" w:rsidR="00B71D70" w:rsidRPr="00B71D70" w:rsidRDefault="00B71D70" w:rsidP="00B71D70">
      <w:pPr>
        <w:pStyle w:val="ListParagraph"/>
        <w:numPr>
          <w:ilvl w:val="0"/>
          <w:numId w:val="7"/>
        </w:numPr>
        <w:bidi/>
        <w:spacing w:before="100" w:beforeAutospacing="1" w:after="100" w:afterAutospacing="1" w:line="360" w:lineRule="auto"/>
        <w:jc w:val="both"/>
        <w:rPr>
          <w:rFonts w:ascii="Times New Roman" w:hAnsi="Times New Roman" w:cs="Traditional Arabic"/>
          <w:noProof/>
          <w:sz w:val="28"/>
          <w:szCs w:val="28"/>
          <w:rtl/>
        </w:rPr>
      </w:pPr>
      <w:r w:rsidRPr="00B71D70">
        <w:rPr>
          <w:rFonts w:ascii="Times New Roman" w:hAnsi="Times New Roman" w:cs="Traditional Arabic"/>
          <w:noProof/>
          <w:sz w:val="28"/>
          <w:szCs w:val="28"/>
          <w:rtl/>
        </w:rPr>
        <w:t>موافي، محمد فتحي طلبة، و بدوي، سحر محمد. (2024). تأثير التحول الرقمي على الأداء الوظيفي للشركات. المجلة العربية للعلوم الاجتماعية، ع25 ، 136 - 177.</w:t>
      </w:r>
    </w:p>
    <w:p w14:paraId="7164DD9D" w14:textId="77777777" w:rsidR="00B71D70" w:rsidRDefault="00B71D70" w:rsidP="00B71D70">
      <w:pPr>
        <w:pStyle w:val="ListParagraph"/>
        <w:numPr>
          <w:ilvl w:val="0"/>
          <w:numId w:val="7"/>
        </w:numPr>
        <w:bidi/>
        <w:spacing w:before="100" w:beforeAutospacing="1" w:after="100" w:afterAutospacing="1" w:line="360" w:lineRule="auto"/>
        <w:jc w:val="both"/>
        <w:rPr>
          <w:rFonts w:ascii="Times New Roman" w:hAnsi="Times New Roman" w:cs="Traditional Arabic"/>
          <w:noProof/>
          <w:sz w:val="28"/>
          <w:szCs w:val="28"/>
        </w:rPr>
      </w:pPr>
      <w:r w:rsidRPr="00B71D70">
        <w:rPr>
          <w:rFonts w:ascii="Times New Roman" w:hAnsi="Times New Roman" w:cs="Traditional Arabic"/>
          <w:noProof/>
          <w:sz w:val="28"/>
          <w:szCs w:val="28"/>
          <w:rtl/>
        </w:rPr>
        <w:t>النايف، سعود بن عيسى. (2021). الذكاء الاستراتيجي وعلاقته باتخاذ القرار الإداري بجامعة حائل بالمملكة العربية السعودية من وجهة نظر أعضاء هيئة التدريس. العلوم التربوية، مج29, ع1 ، 39 - 91.</w:t>
      </w:r>
    </w:p>
    <w:p w14:paraId="05AF4FC6" w14:textId="59FCD984" w:rsidR="00C01F5D" w:rsidRDefault="00C01F5D" w:rsidP="00C01F5D">
      <w:pPr>
        <w:pStyle w:val="ListParagraph"/>
        <w:numPr>
          <w:ilvl w:val="0"/>
          <w:numId w:val="7"/>
        </w:numPr>
        <w:bidi/>
        <w:spacing w:before="100" w:beforeAutospacing="1" w:after="100" w:afterAutospacing="1" w:line="360" w:lineRule="auto"/>
        <w:jc w:val="both"/>
        <w:rPr>
          <w:rFonts w:ascii="Times New Roman" w:hAnsi="Times New Roman" w:cs="Traditional Arabic"/>
          <w:noProof/>
          <w:sz w:val="28"/>
          <w:szCs w:val="28"/>
        </w:rPr>
      </w:pPr>
      <w:r w:rsidRPr="00C01F5D">
        <w:rPr>
          <w:rFonts w:ascii="Times New Roman" w:hAnsi="Times New Roman" w:cs="Traditional Arabic"/>
          <w:noProof/>
          <w:sz w:val="28"/>
          <w:szCs w:val="28"/>
          <w:rtl/>
        </w:rPr>
        <w:t xml:space="preserve">العزي، راما محمد إسماعيل، و الحيت، أحمد فتحي محمد. (2024). دور التحول الرقمي في تحقيق التنمية المستدامة: دراسة حالة أمانة عمان الكبرى (رسالة ماجستير غير منشورة). جامعة عمان الأهلية، السلط. مسترجع من </w:t>
      </w:r>
      <w:hyperlink r:id="rId13" w:history="1">
        <w:r w:rsidRPr="002D5AC7">
          <w:rPr>
            <w:rStyle w:val="Hyperlink"/>
            <w:rFonts w:ascii="Times New Roman" w:hAnsi="Times New Roman" w:cs="Traditional Arabic"/>
            <w:noProof/>
            <w:sz w:val="28"/>
            <w:szCs w:val="28"/>
          </w:rPr>
          <w:t>http://search.mandumah.com/Record/1583468</w:t>
        </w:r>
      </w:hyperlink>
    </w:p>
    <w:p w14:paraId="34B83AFE" w14:textId="00817B39" w:rsidR="00C01F5D" w:rsidRDefault="00C01F5D" w:rsidP="00C01F5D">
      <w:pPr>
        <w:pStyle w:val="ListParagraph"/>
        <w:numPr>
          <w:ilvl w:val="0"/>
          <w:numId w:val="7"/>
        </w:numPr>
        <w:bidi/>
        <w:spacing w:before="100" w:beforeAutospacing="1" w:after="100" w:afterAutospacing="1" w:line="360" w:lineRule="auto"/>
        <w:jc w:val="both"/>
        <w:rPr>
          <w:rFonts w:ascii="Times New Roman" w:hAnsi="Times New Roman" w:cs="Traditional Arabic"/>
          <w:noProof/>
          <w:sz w:val="28"/>
          <w:szCs w:val="28"/>
        </w:rPr>
      </w:pPr>
      <w:r w:rsidRPr="00C01F5D">
        <w:rPr>
          <w:rFonts w:ascii="Times New Roman" w:hAnsi="Times New Roman" w:cs="Traditional Arabic"/>
          <w:noProof/>
          <w:sz w:val="28"/>
          <w:szCs w:val="28"/>
          <w:rtl/>
        </w:rPr>
        <w:lastRenderedPageBreak/>
        <w:t xml:space="preserve">شيهاني، سهام. (2024). دور التحول الرقمي في عمليات إدارة المعرفة: دراسة حالة مؤسسة سوناطراك. مجلة المنهل الإقتصادي، مج7, ع2 ، 401 - 420. مسترجع من </w:t>
      </w:r>
      <w:hyperlink r:id="rId14" w:history="1">
        <w:r w:rsidRPr="002D5AC7">
          <w:rPr>
            <w:rStyle w:val="Hyperlink"/>
            <w:rFonts w:ascii="Times New Roman" w:hAnsi="Times New Roman" w:cs="Traditional Arabic"/>
            <w:noProof/>
            <w:sz w:val="28"/>
            <w:szCs w:val="28"/>
          </w:rPr>
          <w:t>http://search.mandumah.com/Record/1535814</w:t>
        </w:r>
      </w:hyperlink>
    </w:p>
    <w:p w14:paraId="0279A8EB" w14:textId="2882500C" w:rsidR="00C01F5D" w:rsidRDefault="00C01F5D" w:rsidP="00C01F5D">
      <w:pPr>
        <w:pStyle w:val="ListParagraph"/>
        <w:numPr>
          <w:ilvl w:val="0"/>
          <w:numId w:val="7"/>
        </w:numPr>
        <w:bidi/>
        <w:spacing w:before="100" w:beforeAutospacing="1" w:after="100" w:afterAutospacing="1" w:line="360" w:lineRule="auto"/>
        <w:jc w:val="both"/>
        <w:rPr>
          <w:rFonts w:ascii="Times New Roman" w:hAnsi="Times New Roman" w:cs="Traditional Arabic"/>
          <w:noProof/>
          <w:sz w:val="28"/>
          <w:szCs w:val="28"/>
        </w:rPr>
      </w:pPr>
      <w:r w:rsidRPr="00C01F5D">
        <w:rPr>
          <w:rFonts w:ascii="Times New Roman" w:hAnsi="Times New Roman" w:cs="Traditional Arabic"/>
          <w:noProof/>
          <w:sz w:val="28"/>
          <w:szCs w:val="28"/>
          <w:rtl/>
        </w:rPr>
        <w:t xml:space="preserve">الحمداني، علاء عبدالسلام يحيى، العبيدى، نور علي عبود، و الحساوي، معاذ عبدالله هادي. (2023). دور التحول الرقمي في فاعلية القرارات الاستراتيجية: دراسة تحليلية لآراء عينة من القيادات الإدارية العاملة في بعض الجامعات الأهلية العراقية. مجلة اتحاد الجامعات العربية للبحوث في التعليم العالي، مج43, عدد خاص ، 719 - 739. مسترجع من </w:t>
      </w:r>
      <w:hyperlink r:id="rId15" w:history="1">
        <w:r w:rsidRPr="002D5AC7">
          <w:rPr>
            <w:rStyle w:val="Hyperlink"/>
            <w:rFonts w:ascii="Times New Roman" w:hAnsi="Times New Roman" w:cs="Traditional Arabic"/>
            <w:noProof/>
            <w:sz w:val="28"/>
            <w:szCs w:val="28"/>
          </w:rPr>
          <w:t>http://search.mandumah.com/Record/1417983</w:t>
        </w:r>
      </w:hyperlink>
    </w:p>
    <w:p w14:paraId="4B9D7E47" w14:textId="5B9DF260" w:rsidR="00C01F5D" w:rsidRDefault="00C01F5D" w:rsidP="00C01F5D">
      <w:pPr>
        <w:pStyle w:val="ListParagraph"/>
        <w:numPr>
          <w:ilvl w:val="0"/>
          <w:numId w:val="7"/>
        </w:numPr>
        <w:bidi/>
        <w:spacing w:before="100" w:beforeAutospacing="1" w:after="100" w:afterAutospacing="1" w:line="360" w:lineRule="auto"/>
        <w:jc w:val="both"/>
        <w:rPr>
          <w:rFonts w:ascii="Times New Roman" w:hAnsi="Times New Roman" w:cs="Traditional Arabic"/>
          <w:noProof/>
          <w:sz w:val="28"/>
          <w:szCs w:val="28"/>
        </w:rPr>
      </w:pPr>
      <w:r w:rsidRPr="00C01F5D">
        <w:rPr>
          <w:rFonts w:ascii="Times New Roman" w:hAnsi="Times New Roman" w:cs="Traditional Arabic"/>
          <w:noProof/>
          <w:sz w:val="28"/>
          <w:szCs w:val="28"/>
          <w:rtl/>
        </w:rPr>
        <w:t>حماد، محمد محمد محمود. (2020). دور التحول الرقمي في تطوير أداء العاملين: دراسة ميدانية على الشركة المصرية لتجارة الأدوية. المجلة العلم</w:t>
      </w:r>
      <w:r w:rsidRPr="00C01F5D">
        <w:rPr>
          <w:rFonts w:ascii="Times New Roman" w:hAnsi="Times New Roman" w:cs="Traditional Arabic" w:hint="cs"/>
          <w:noProof/>
          <w:sz w:val="28"/>
          <w:szCs w:val="28"/>
          <w:rtl/>
        </w:rPr>
        <w:t>ی</w:t>
      </w:r>
      <w:r w:rsidRPr="00C01F5D">
        <w:rPr>
          <w:rFonts w:ascii="Times New Roman" w:hAnsi="Times New Roman" w:cs="Traditional Arabic" w:hint="eastAsia"/>
          <w:noProof/>
          <w:sz w:val="28"/>
          <w:szCs w:val="28"/>
          <w:rtl/>
        </w:rPr>
        <w:t>ة</w:t>
      </w:r>
      <w:r w:rsidRPr="00C01F5D">
        <w:rPr>
          <w:rFonts w:ascii="Times New Roman" w:hAnsi="Times New Roman" w:cs="Traditional Arabic"/>
          <w:noProof/>
          <w:sz w:val="28"/>
          <w:szCs w:val="28"/>
          <w:rtl/>
        </w:rPr>
        <w:t xml:space="preserve"> للدراسات والبحوث المال</w:t>
      </w:r>
      <w:r w:rsidRPr="00C01F5D">
        <w:rPr>
          <w:rFonts w:ascii="Times New Roman" w:hAnsi="Times New Roman" w:cs="Traditional Arabic" w:hint="cs"/>
          <w:noProof/>
          <w:sz w:val="28"/>
          <w:szCs w:val="28"/>
          <w:rtl/>
        </w:rPr>
        <w:t>ی</w:t>
      </w:r>
      <w:r w:rsidRPr="00C01F5D">
        <w:rPr>
          <w:rFonts w:ascii="Times New Roman" w:hAnsi="Times New Roman" w:cs="Traditional Arabic" w:hint="eastAsia"/>
          <w:noProof/>
          <w:sz w:val="28"/>
          <w:szCs w:val="28"/>
          <w:rtl/>
        </w:rPr>
        <w:t>ة</w:t>
      </w:r>
      <w:r w:rsidRPr="00C01F5D">
        <w:rPr>
          <w:rFonts w:ascii="Times New Roman" w:hAnsi="Times New Roman" w:cs="Traditional Arabic"/>
          <w:noProof/>
          <w:sz w:val="28"/>
          <w:szCs w:val="28"/>
          <w:rtl/>
        </w:rPr>
        <w:t xml:space="preserve"> والإدار</w:t>
      </w:r>
      <w:r w:rsidRPr="00C01F5D">
        <w:rPr>
          <w:rFonts w:ascii="Times New Roman" w:hAnsi="Times New Roman" w:cs="Traditional Arabic" w:hint="cs"/>
          <w:noProof/>
          <w:sz w:val="28"/>
          <w:szCs w:val="28"/>
          <w:rtl/>
        </w:rPr>
        <w:t>ی</w:t>
      </w:r>
      <w:r w:rsidRPr="00C01F5D">
        <w:rPr>
          <w:rFonts w:ascii="Times New Roman" w:hAnsi="Times New Roman" w:cs="Traditional Arabic" w:hint="eastAsia"/>
          <w:noProof/>
          <w:sz w:val="28"/>
          <w:szCs w:val="28"/>
          <w:rtl/>
        </w:rPr>
        <w:t>ة،</w:t>
      </w:r>
      <w:r w:rsidRPr="00C01F5D">
        <w:rPr>
          <w:rFonts w:ascii="Times New Roman" w:hAnsi="Times New Roman" w:cs="Traditional Arabic"/>
          <w:noProof/>
          <w:sz w:val="28"/>
          <w:szCs w:val="28"/>
          <w:rtl/>
        </w:rPr>
        <w:t xml:space="preserve"> مج7, ع2 ، 1 - 23. مسترجع من </w:t>
      </w:r>
      <w:hyperlink r:id="rId16" w:history="1">
        <w:r w:rsidRPr="002D5AC7">
          <w:rPr>
            <w:rStyle w:val="Hyperlink"/>
            <w:rFonts w:ascii="Times New Roman" w:hAnsi="Times New Roman" w:cs="Traditional Arabic"/>
            <w:noProof/>
            <w:sz w:val="28"/>
            <w:szCs w:val="28"/>
          </w:rPr>
          <w:t>http://search.mandumah.com/Record/1141250</w:t>
        </w:r>
      </w:hyperlink>
    </w:p>
    <w:p w14:paraId="09EF9995" w14:textId="29A953AE" w:rsidR="00C01F5D" w:rsidRDefault="00C01F5D" w:rsidP="00C01F5D">
      <w:pPr>
        <w:pStyle w:val="ListParagraph"/>
        <w:numPr>
          <w:ilvl w:val="0"/>
          <w:numId w:val="7"/>
        </w:numPr>
        <w:bidi/>
        <w:spacing w:before="100" w:beforeAutospacing="1" w:after="100" w:afterAutospacing="1" w:line="360" w:lineRule="auto"/>
        <w:jc w:val="both"/>
        <w:rPr>
          <w:rFonts w:ascii="Times New Roman" w:hAnsi="Times New Roman" w:cs="Traditional Arabic"/>
          <w:noProof/>
          <w:sz w:val="28"/>
          <w:szCs w:val="28"/>
        </w:rPr>
      </w:pPr>
      <w:r w:rsidRPr="00C01F5D">
        <w:rPr>
          <w:rFonts w:ascii="Times New Roman" w:hAnsi="Times New Roman" w:cs="Traditional Arabic"/>
          <w:noProof/>
          <w:sz w:val="28"/>
          <w:szCs w:val="28"/>
          <w:rtl/>
        </w:rPr>
        <w:t xml:space="preserve">أحمد، أميرة علي الشبراوي. (2023). العلاقة بين التحول الرقمي والابتكار: الدور الوسيط للتعلم التنظيمي: دراسة تطبيقية على أعضاء هيئة التدريس بكلية التجارة جامعة المنصورة. مجلة راية الدولية للعلوم التجارية، مج2, ع7 ، 605 - 658. مسترجع من </w:t>
      </w:r>
      <w:hyperlink r:id="rId17" w:history="1">
        <w:r w:rsidRPr="002D5AC7">
          <w:rPr>
            <w:rStyle w:val="Hyperlink"/>
            <w:rFonts w:ascii="Times New Roman" w:hAnsi="Times New Roman" w:cs="Traditional Arabic"/>
            <w:noProof/>
            <w:sz w:val="28"/>
            <w:szCs w:val="28"/>
          </w:rPr>
          <w:t>http://search.mandumah.com/Record/1524417</w:t>
        </w:r>
      </w:hyperlink>
    </w:p>
    <w:p w14:paraId="4CBA87A7" w14:textId="28D3A405" w:rsidR="00C01F5D" w:rsidRDefault="00C01F5D" w:rsidP="00C01F5D">
      <w:pPr>
        <w:pStyle w:val="ListParagraph"/>
        <w:numPr>
          <w:ilvl w:val="0"/>
          <w:numId w:val="7"/>
        </w:numPr>
        <w:bidi/>
        <w:spacing w:before="100" w:beforeAutospacing="1" w:after="100" w:afterAutospacing="1" w:line="360" w:lineRule="auto"/>
        <w:jc w:val="both"/>
        <w:rPr>
          <w:rFonts w:ascii="Times New Roman" w:hAnsi="Times New Roman" w:cs="Traditional Arabic"/>
          <w:noProof/>
          <w:sz w:val="28"/>
          <w:szCs w:val="28"/>
        </w:rPr>
      </w:pPr>
      <w:r w:rsidRPr="00C01F5D">
        <w:rPr>
          <w:rFonts w:ascii="Times New Roman" w:hAnsi="Times New Roman" w:cs="Traditional Arabic"/>
          <w:noProof/>
          <w:sz w:val="28"/>
          <w:szCs w:val="28"/>
          <w:rtl/>
        </w:rPr>
        <w:t xml:space="preserve">عبدالعزيز، إبراهيم طه عبدالخالق، جلال، شاذلي يونس علي، و فكري، أحمد يونس محمد محمود. (2021). واقع الشفافية الإدارية ببعض كليات جامعة الأزهر ومقترحات تطويره من وجهة نظر أعضاء هيئة التدريس. مجلة التربية، ع191, ج5 ، 745 - 786. مسترجع من </w:t>
      </w:r>
      <w:hyperlink r:id="rId18" w:history="1">
        <w:r w:rsidRPr="002D5AC7">
          <w:rPr>
            <w:rStyle w:val="Hyperlink"/>
            <w:rFonts w:ascii="Times New Roman" w:hAnsi="Times New Roman" w:cs="Traditional Arabic"/>
            <w:noProof/>
            <w:sz w:val="28"/>
            <w:szCs w:val="28"/>
          </w:rPr>
          <w:t>http://search.mandumah.com/Record/1235768</w:t>
        </w:r>
      </w:hyperlink>
    </w:p>
    <w:p w14:paraId="3333C70B" w14:textId="730DF4BF" w:rsidR="00C01F5D" w:rsidRDefault="00C01F5D" w:rsidP="00C01F5D">
      <w:pPr>
        <w:pStyle w:val="ListParagraph"/>
        <w:numPr>
          <w:ilvl w:val="0"/>
          <w:numId w:val="7"/>
        </w:numPr>
        <w:bidi/>
        <w:spacing w:before="100" w:beforeAutospacing="1" w:after="100" w:afterAutospacing="1" w:line="360" w:lineRule="auto"/>
        <w:jc w:val="both"/>
        <w:rPr>
          <w:rFonts w:ascii="Times New Roman" w:hAnsi="Times New Roman" w:cs="Traditional Arabic"/>
          <w:noProof/>
          <w:sz w:val="28"/>
          <w:szCs w:val="28"/>
        </w:rPr>
      </w:pPr>
      <w:r w:rsidRPr="00C01F5D">
        <w:rPr>
          <w:rFonts w:ascii="Times New Roman" w:hAnsi="Times New Roman" w:cs="Traditional Arabic"/>
          <w:noProof/>
          <w:sz w:val="28"/>
          <w:szCs w:val="28"/>
          <w:rtl/>
        </w:rPr>
        <w:t xml:space="preserve">عزوز، نور الدين. (2024). الدور الوسيط لنظم المعلومات على أثر الشفافية الإدارية في الولاء التنظيمي لدى العاملين: دراسة تطبيقية في مؤسسة ميناء عنابة. مجلة التنمية الإقتصادية، مج9, ع1 ، 126 - 139. مسترجع من </w:t>
      </w:r>
      <w:hyperlink r:id="rId19" w:history="1">
        <w:r w:rsidRPr="002D5AC7">
          <w:rPr>
            <w:rStyle w:val="Hyperlink"/>
            <w:rFonts w:ascii="Times New Roman" w:hAnsi="Times New Roman" w:cs="Traditional Arabic"/>
            <w:noProof/>
            <w:sz w:val="28"/>
            <w:szCs w:val="28"/>
          </w:rPr>
          <w:t>http://search.mandumah.com/Record/1488762</w:t>
        </w:r>
      </w:hyperlink>
    </w:p>
    <w:p w14:paraId="7BD48B20" w14:textId="722F60F5" w:rsidR="00C01F5D" w:rsidRDefault="00C01F5D" w:rsidP="00C01F5D">
      <w:pPr>
        <w:pStyle w:val="ListParagraph"/>
        <w:numPr>
          <w:ilvl w:val="0"/>
          <w:numId w:val="7"/>
        </w:numPr>
        <w:bidi/>
        <w:spacing w:before="100" w:beforeAutospacing="1" w:after="100" w:afterAutospacing="1" w:line="360" w:lineRule="auto"/>
        <w:jc w:val="both"/>
        <w:rPr>
          <w:rFonts w:ascii="Times New Roman" w:hAnsi="Times New Roman" w:cs="Traditional Arabic"/>
          <w:noProof/>
          <w:sz w:val="28"/>
          <w:szCs w:val="28"/>
        </w:rPr>
      </w:pPr>
      <w:r w:rsidRPr="00C01F5D">
        <w:rPr>
          <w:rFonts w:ascii="Times New Roman" w:hAnsi="Times New Roman" w:cs="Traditional Arabic"/>
          <w:noProof/>
          <w:sz w:val="28"/>
          <w:szCs w:val="28"/>
          <w:rtl/>
        </w:rPr>
        <w:t xml:space="preserve">خؤشناو، صباح صابر محمد، و علي، أحمد علي حسين. (2023). دور الشفافية الاستراتيجية في تعزيز الصحة التنظيمية: دراسة تحليلية لعدد من الكليات في جامعة تكريت. مجلة تكريت للعلوم الإدارية والاقتصادية، مج19, </w:t>
      </w:r>
      <w:r w:rsidRPr="00C01F5D">
        <w:rPr>
          <w:rFonts w:ascii="Times New Roman" w:hAnsi="Times New Roman" w:cs="Traditional Arabic"/>
          <w:noProof/>
          <w:sz w:val="28"/>
          <w:szCs w:val="28"/>
          <w:rtl/>
        </w:rPr>
        <w:lastRenderedPageBreak/>
        <w:t xml:space="preserve">ع64 ، 267 - 282. مسترجع من </w:t>
      </w:r>
      <w:hyperlink r:id="rId20" w:history="1">
        <w:r w:rsidRPr="002D5AC7">
          <w:rPr>
            <w:rStyle w:val="Hyperlink"/>
            <w:rFonts w:ascii="Times New Roman" w:hAnsi="Times New Roman" w:cs="Traditional Arabic"/>
            <w:noProof/>
            <w:sz w:val="28"/>
            <w:szCs w:val="28"/>
          </w:rPr>
          <w:t>http://search.mandumah.com/Record/1448264</w:t>
        </w:r>
      </w:hyperlink>
    </w:p>
    <w:p w14:paraId="79649BA2" w14:textId="022BC1B7" w:rsidR="00C01F5D" w:rsidRDefault="00C01F5D" w:rsidP="00C01F5D">
      <w:pPr>
        <w:pStyle w:val="ListParagraph"/>
        <w:numPr>
          <w:ilvl w:val="0"/>
          <w:numId w:val="7"/>
        </w:numPr>
        <w:bidi/>
        <w:spacing w:before="100" w:beforeAutospacing="1" w:after="100" w:afterAutospacing="1" w:line="360" w:lineRule="auto"/>
        <w:jc w:val="both"/>
        <w:rPr>
          <w:rFonts w:ascii="Times New Roman" w:hAnsi="Times New Roman" w:cs="Traditional Arabic"/>
          <w:noProof/>
          <w:sz w:val="28"/>
          <w:szCs w:val="28"/>
        </w:rPr>
      </w:pPr>
      <w:r w:rsidRPr="00C01F5D">
        <w:rPr>
          <w:rFonts w:ascii="Times New Roman" w:hAnsi="Times New Roman" w:cs="Traditional Arabic"/>
          <w:noProof/>
          <w:sz w:val="28"/>
          <w:szCs w:val="28"/>
          <w:rtl/>
        </w:rPr>
        <w:t xml:space="preserve">العبار، بشير محمد. (2020). أثر الشفافية الإدارية على تطبيق الإدارة الإلكترونية: دراسة تطبيقية على صندوق الضمان الاجتماعي بمدينة بنغازي. مجلة البحوث والدراسات الإقتصادية، ع4 ، 399 - 438. مسترجع من </w:t>
      </w:r>
      <w:hyperlink r:id="rId21" w:history="1">
        <w:r w:rsidRPr="002D5AC7">
          <w:rPr>
            <w:rStyle w:val="Hyperlink"/>
            <w:rFonts w:ascii="Times New Roman" w:hAnsi="Times New Roman" w:cs="Traditional Arabic"/>
            <w:noProof/>
            <w:sz w:val="28"/>
            <w:szCs w:val="28"/>
          </w:rPr>
          <w:t>http://search.mandumah.com/Record/1110096</w:t>
        </w:r>
      </w:hyperlink>
    </w:p>
    <w:p w14:paraId="34EC904E" w14:textId="29AB8CEC" w:rsidR="00C01F5D" w:rsidRDefault="00C01F5D" w:rsidP="00C01F5D">
      <w:pPr>
        <w:pStyle w:val="ListParagraph"/>
        <w:numPr>
          <w:ilvl w:val="0"/>
          <w:numId w:val="7"/>
        </w:numPr>
        <w:bidi/>
        <w:spacing w:before="100" w:beforeAutospacing="1" w:after="100" w:afterAutospacing="1" w:line="360" w:lineRule="auto"/>
        <w:jc w:val="both"/>
        <w:rPr>
          <w:rFonts w:ascii="Times New Roman" w:hAnsi="Times New Roman" w:cs="Traditional Arabic"/>
          <w:noProof/>
          <w:sz w:val="28"/>
          <w:szCs w:val="28"/>
        </w:rPr>
      </w:pPr>
      <w:r w:rsidRPr="00C01F5D">
        <w:rPr>
          <w:rFonts w:ascii="Times New Roman" w:hAnsi="Times New Roman" w:cs="Traditional Arabic"/>
          <w:noProof/>
          <w:sz w:val="28"/>
          <w:szCs w:val="28"/>
          <w:rtl/>
        </w:rPr>
        <w:t xml:space="preserve">عبدالعال، إيهاب إبراهيم حامد، العربي، إيمان أحمد، و تمراز، محمد محمد حامد. (2024). أثر مستوى شفافية المعلومات المفصح عنها عبر وسائل التواصل الاجتماعي على الأداء المالي للشركات: دراسة تطبيقية. المجلة العلمية للبحوث والدراسات التجارية، مج38, ع2 ، 363 - 441. مسترجع من </w:t>
      </w:r>
      <w:hyperlink r:id="rId22" w:history="1">
        <w:r w:rsidRPr="002D5AC7">
          <w:rPr>
            <w:rStyle w:val="Hyperlink"/>
            <w:rFonts w:ascii="Times New Roman" w:hAnsi="Times New Roman" w:cs="Traditional Arabic"/>
            <w:noProof/>
            <w:sz w:val="28"/>
            <w:szCs w:val="28"/>
          </w:rPr>
          <w:t>http://search.mandumah.com/Record/1505674</w:t>
        </w:r>
      </w:hyperlink>
    </w:p>
    <w:p w14:paraId="23C2169A" w14:textId="721FB330" w:rsidR="00C01F5D" w:rsidRDefault="00C01F5D" w:rsidP="00C01F5D">
      <w:pPr>
        <w:pStyle w:val="ListParagraph"/>
        <w:numPr>
          <w:ilvl w:val="0"/>
          <w:numId w:val="7"/>
        </w:numPr>
        <w:bidi/>
        <w:spacing w:before="100" w:beforeAutospacing="1" w:after="100" w:afterAutospacing="1" w:line="360" w:lineRule="auto"/>
        <w:jc w:val="both"/>
        <w:rPr>
          <w:rFonts w:ascii="Times New Roman" w:hAnsi="Times New Roman" w:cs="Traditional Arabic"/>
          <w:noProof/>
          <w:sz w:val="28"/>
          <w:szCs w:val="28"/>
        </w:rPr>
      </w:pPr>
      <w:r w:rsidRPr="00C01F5D">
        <w:rPr>
          <w:rFonts w:ascii="Times New Roman" w:hAnsi="Times New Roman" w:cs="Traditional Arabic"/>
          <w:noProof/>
          <w:sz w:val="28"/>
          <w:szCs w:val="28"/>
          <w:rtl/>
        </w:rPr>
        <w:t xml:space="preserve">الحمدان، حمدان بن عبدالرحمن بن إبراهيم، الحكيم، كريم محمد محمود، و مبارك، حسام الدين السيد المرسى. (2020). تحليل شفافية نظم المعلومات والاتصالات بالأندية الرياضية بمنطقة الرياض في المملكة العربية السعودية. المجلة العلمية لعلوم التربية البدنية والرياضة، ع38 ، 359 - 376. مسترجع من </w:t>
      </w:r>
      <w:hyperlink r:id="rId23" w:history="1">
        <w:r w:rsidRPr="002D5AC7">
          <w:rPr>
            <w:rStyle w:val="Hyperlink"/>
            <w:rFonts w:ascii="Times New Roman" w:hAnsi="Times New Roman" w:cs="Traditional Arabic"/>
            <w:noProof/>
            <w:sz w:val="28"/>
            <w:szCs w:val="28"/>
          </w:rPr>
          <w:t>http://search.mandumah.com/Record/1117932</w:t>
        </w:r>
      </w:hyperlink>
    </w:p>
    <w:p w14:paraId="7E087F38" w14:textId="3876FDD6" w:rsidR="00C01F5D" w:rsidRDefault="00C01F5D" w:rsidP="00C01F5D">
      <w:pPr>
        <w:pStyle w:val="ListParagraph"/>
        <w:numPr>
          <w:ilvl w:val="0"/>
          <w:numId w:val="7"/>
        </w:numPr>
        <w:bidi/>
        <w:spacing w:before="100" w:beforeAutospacing="1" w:after="100" w:afterAutospacing="1" w:line="360" w:lineRule="auto"/>
        <w:jc w:val="both"/>
        <w:rPr>
          <w:rFonts w:ascii="Times New Roman" w:hAnsi="Times New Roman" w:cs="Traditional Arabic"/>
          <w:noProof/>
          <w:sz w:val="28"/>
          <w:szCs w:val="28"/>
        </w:rPr>
      </w:pPr>
      <w:r w:rsidRPr="00C01F5D">
        <w:rPr>
          <w:rFonts w:ascii="Times New Roman" w:hAnsi="Times New Roman" w:cs="Traditional Arabic"/>
          <w:noProof/>
          <w:sz w:val="28"/>
          <w:szCs w:val="28"/>
          <w:rtl/>
        </w:rPr>
        <w:t xml:space="preserve">المعايطة، عثمان زعل فارس. (2021). أثر الشفافية الإدارية على القطاعات الحكومية. مجلة كلية الشريعة والقانون بطنطا، ع36, ج1 ، 1046 - 1083. مسترجع من </w:t>
      </w:r>
      <w:hyperlink r:id="rId24" w:history="1">
        <w:r w:rsidRPr="002D5AC7">
          <w:rPr>
            <w:rStyle w:val="Hyperlink"/>
            <w:rFonts w:ascii="Times New Roman" w:hAnsi="Times New Roman" w:cs="Traditional Arabic"/>
            <w:noProof/>
            <w:sz w:val="28"/>
            <w:szCs w:val="28"/>
          </w:rPr>
          <w:t>http://search.mandumah.com/Record/1179229</w:t>
        </w:r>
      </w:hyperlink>
    </w:p>
    <w:p w14:paraId="48A7B883" w14:textId="3DA7E334" w:rsidR="00C01F5D" w:rsidRDefault="00C01F5D" w:rsidP="00C01F5D">
      <w:pPr>
        <w:pStyle w:val="ListParagraph"/>
        <w:numPr>
          <w:ilvl w:val="0"/>
          <w:numId w:val="7"/>
        </w:numPr>
        <w:bidi/>
        <w:spacing w:before="100" w:beforeAutospacing="1" w:after="100" w:afterAutospacing="1" w:line="360" w:lineRule="auto"/>
        <w:jc w:val="both"/>
        <w:rPr>
          <w:rFonts w:ascii="Times New Roman" w:hAnsi="Times New Roman" w:cs="Traditional Arabic"/>
          <w:noProof/>
          <w:sz w:val="28"/>
          <w:szCs w:val="28"/>
        </w:rPr>
      </w:pPr>
      <w:r w:rsidRPr="00C01F5D">
        <w:rPr>
          <w:rFonts w:ascii="Times New Roman" w:hAnsi="Times New Roman" w:cs="Traditional Arabic"/>
          <w:noProof/>
          <w:sz w:val="28"/>
          <w:szCs w:val="28"/>
          <w:rtl/>
        </w:rPr>
        <w:t xml:space="preserve">عمر، عبدالرحيم ناصر أحمد. (2024). دور تكنولوجيا المعلومات في تعزيز الشفافية الإدارية بالمؤسسات الرياضية اليمنية. مجلة التحدي، مج16, ع1 ، 122 - 135. مسترجع من </w:t>
      </w:r>
      <w:hyperlink r:id="rId25" w:history="1">
        <w:r w:rsidRPr="002D5AC7">
          <w:rPr>
            <w:rStyle w:val="Hyperlink"/>
            <w:rFonts w:ascii="Times New Roman" w:hAnsi="Times New Roman" w:cs="Traditional Arabic"/>
            <w:noProof/>
            <w:sz w:val="28"/>
            <w:szCs w:val="28"/>
          </w:rPr>
          <w:t>http://search.mandumah.com/Record/1478130</w:t>
        </w:r>
      </w:hyperlink>
    </w:p>
    <w:p w14:paraId="2611E1B9" w14:textId="5A249A06" w:rsidR="00C01F5D" w:rsidRDefault="00C01F5D" w:rsidP="00C01F5D">
      <w:pPr>
        <w:pStyle w:val="ListParagraph"/>
        <w:numPr>
          <w:ilvl w:val="0"/>
          <w:numId w:val="7"/>
        </w:numPr>
        <w:bidi/>
        <w:spacing w:before="100" w:beforeAutospacing="1" w:after="100" w:afterAutospacing="1" w:line="360" w:lineRule="auto"/>
        <w:jc w:val="both"/>
        <w:rPr>
          <w:rFonts w:ascii="Times New Roman" w:hAnsi="Times New Roman" w:cs="Traditional Arabic"/>
          <w:noProof/>
          <w:sz w:val="28"/>
          <w:szCs w:val="28"/>
        </w:rPr>
      </w:pPr>
      <w:r w:rsidRPr="00C01F5D">
        <w:rPr>
          <w:rFonts w:ascii="Times New Roman" w:hAnsi="Times New Roman" w:cs="Traditional Arabic"/>
          <w:noProof/>
          <w:sz w:val="28"/>
          <w:szCs w:val="28"/>
          <w:rtl/>
        </w:rPr>
        <w:t xml:space="preserve">موسي، أمنة جبريل أبو نصيب. (2021). دور تطبيق مبادئ حوكمة الشركات على تحقيق شفافية المعلومات المحاسبية: دراسة تطبيقية على الاتصالات السعودية </w:t>
      </w:r>
      <w:r w:rsidRPr="00C01F5D">
        <w:rPr>
          <w:rFonts w:ascii="Times New Roman" w:hAnsi="Times New Roman" w:cs="Traditional Arabic"/>
          <w:noProof/>
          <w:sz w:val="28"/>
          <w:szCs w:val="28"/>
        </w:rPr>
        <w:t>STC</w:t>
      </w:r>
      <w:r w:rsidRPr="00C01F5D">
        <w:rPr>
          <w:rFonts w:ascii="Times New Roman" w:hAnsi="Times New Roman" w:cs="Traditional Arabic"/>
          <w:noProof/>
          <w:sz w:val="28"/>
          <w:szCs w:val="28"/>
          <w:rtl/>
        </w:rPr>
        <w:t xml:space="preserve">. مجلة رماح للبحوث والدراسات، ع54 ، 81 - 115. مسترجع من </w:t>
      </w:r>
      <w:hyperlink r:id="rId26" w:history="1">
        <w:r w:rsidRPr="002D5AC7">
          <w:rPr>
            <w:rStyle w:val="Hyperlink"/>
            <w:rFonts w:ascii="Times New Roman" w:hAnsi="Times New Roman" w:cs="Traditional Arabic"/>
            <w:noProof/>
            <w:sz w:val="28"/>
            <w:szCs w:val="28"/>
          </w:rPr>
          <w:t>http://search.mandumah.com/Record/1133705</w:t>
        </w:r>
      </w:hyperlink>
    </w:p>
    <w:p w14:paraId="4B8EC84F" w14:textId="75677FDA" w:rsidR="00C01F5D" w:rsidRDefault="00C01F5D" w:rsidP="00C01F5D">
      <w:pPr>
        <w:pStyle w:val="ListParagraph"/>
        <w:numPr>
          <w:ilvl w:val="0"/>
          <w:numId w:val="7"/>
        </w:numPr>
        <w:bidi/>
        <w:spacing w:before="100" w:beforeAutospacing="1" w:after="100" w:afterAutospacing="1" w:line="360" w:lineRule="auto"/>
        <w:jc w:val="both"/>
        <w:rPr>
          <w:rFonts w:ascii="Times New Roman" w:hAnsi="Times New Roman" w:cs="Traditional Arabic"/>
          <w:noProof/>
          <w:sz w:val="28"/>
          <w:szCs w:val="28"/>
        </w:rPr>
      </w:pPr>
      <w:r w:rsidRPr="00C01F5D">
        <w:rPr>
          <w:rFonts w:ascii="Times New Roman" w:hAnsi="Times New Roman" w:cs="Traditional Arabic"/>
          <w:noProof/>
          <w:sz w:val="28"/>
          <w:szCs w:val="28"/>
          <w:rtl/>
        </w:rPr>
        <w:lastRenderedPageBreak/>
        <w:t xml:space="preserve">عبدالله، وضاح أحمد مصلح، و الدياشي، محمد علي حمود علي. (2021). نهج مفهوم الشفافية وإتاحة المعلومات. مجلة ابن خلدون للدراسات والأبحاث، مج1, ع1 ، 114 - 126. مسترجع من </w:t>
      </w:r>
      <w:hyperlink r:id="rId27" w:history="1">
        <w:r w:rsidRPr="002D5AC7">
          <w:rPr>
            <w:rStyle w:val="Hyperlink"/>
            <w:rFonts w:ascii="Times New Roman" w:hAnsi="Times New Roman" w:cs="Traditional Arabic"/>
            <w:noProof/>
            <w:sz w:val="28"/>
            <w:szCs w:val="28"/>
          </w:rPr>
          <w:t>http://search.mandumah.com/Record/1174685</w:t>
        </w:r>
      </w:hyperlink>
    </w:p>
    <w:p w14:paraId="134D447D" w14:textId="09201B56" w:rsidR="00C01F5D" w:rsidRDefault="00C01F5D" w:rsidP="00C01F5D">
      <w:pPr>
        <w:pStyle w:val="ListParagraph"/>
        <w:numPr>
          <w:ilvl w:val="0"/>
          <w:numId w:val="7"/>
        </w:numPr>
        <w:bidi/>
        <w:spacing w:before="100" w:beforeAutospacing="1" w:after="100" w:afterAutospacing="1" w:line="360" w:lineRule="auto"/>
        <w:jc w:val="both"/>
        <w:rPr>
          <w:rFonts w:ascii="Times New Roman" w:hAnsi="Times New Roman" w:cs="Traditional Arabic"/>
          <w:noProof/>
          <w:sz w:val="28"/>
          <w:szCs w:val="28"/>
        </w:rPr>
      </w:pPr>
      <w:r w:rsidRPr="00C01F5D">
        <w:rPr>
          <w:rFonts w:ascii="Times New Roman" w:hAnsi="Times New Roman" w:cs="Traditional Arabic"/>
          <w:noProof/>
          <w:sz w:val="28"/>
          <w:szCs w:val="28"/>
          <w:rtl/>
        </w:rPr>
        <w:t xml:space="preserve">جلاب، إحسان دهش، و داخل، رحاب عبدالحسن. (2021). دور تجب مزالق التخطيط الاستراتيجي في تحقيق فاعلية القرارات الاستراتيجية: دراسة تحليلية في الجامعات والكليات الأهلية. مجلة الدراسات المستدامة، مج3, ملحق ، 216- 241. مسترجع من </w:t>
      </w:r>
      <w:hyperlink r:id="rId28" w:history="1">
        <w:r w:rsidRPr="002D5AC7">
          <w:rPr>
            <w:rStyle w:val="Hyperlink"/>
            <w:rFonts w:ascii="Times New Roman" w:hAnsi="Times New Roman" w:cs="Traditional Arabic"/>
            <w:noProof/>
            <w:sz w:val="28"/>
            <w:szCs w:val="28"/>
          </w:rPr>
          <w:t>http://search.mandumah.com/Record/1162520</w:t>
        </w:r>
      </w:hyperlink>
    </w:p>
    <w:p w14:paraId="5A680170" w14:textId="77777777" w:rsidR="00C01F5D" w:rsidRPr="00B71D70" w:rsidRDefault="00C01F5D" w:rsidP="00C01F5D">
      <w:pPr>
        <w:pStyle w:val="ListParagraph"/>
        <w:numPr>
          <w:ilvl w:val="0"/>
          <w:numId w:val="7"/>
        </w:numPr>
        <w:bidi/>
        <w:spacing w:before="100" w:beforeAutospacing="1" w:after="100" w:afterAutospacing="1" w:line="360" w:lineRule="auto"/>
        <w:jc w:val="both"/>
        <w:rPr>
          <w:rFonts w:ascii="Times New Roman" w:hAnsi="Times New Roman" w:cs="Traditional Arabic"/>
          <w:noProof/>
          <w:sz w:val="28"/>
          <w:szCs w:val="28"/>
          <w:rtl/>
        </w:rPr>
      </w:pPr>
    </w:p>
    <w:p w14:paraId="46971C48" w14:textId="56FE47C7" w:rsidR="00B71D70" w:rsidRDefault="00B71D70" w:rsidP="00B71D70">
      <w:pPr>
        <w:pStyle w:val="ListParagraph"/>
        <w:spacing w:before="100" w:beforeAutospacing="1" w:after="100" w:afterAutospacing="1" w:line="360" w:lineRule="auto"/>
        <w:ind w:left="1146"/>
        <w:jc w:val="both"/>
        <w:rPr>
          <w:rFonts w:ascii="Times New Roman" w:hAnsi="Times New Roman" w:cs="Traditional Arabic"/>
          <w:noProof/>
          <w:sz w:val="28"/>
          <w:szCs w:val="28"/>
        </w:rPr>
      </w:pPr>
    </w:p>
    <w:p w14:paraId="17DB8091" w14:textId="4596D5DB" w:rsidR="00B71D70" w:rsidRPr="00B71D70" w:rsidRDefault="00B71D70" w:rsidP="00B71D70">
      <w:pPr>
        <w:pStyle w:val="ListParagraph"/>
        <w:numPr>
          <w:ilvl w:val="0"/>
          <w:numId w:val="18"/>
        </w:numPr>
        <w:spacing w:before="100" w:beforeAutospacing="1" w:after="100" w:afterAutospacing="1" w:line="360" w:lineRule="auto"/>
        <w:jc w:val="both"/>
        <w:rPr>
          <w:rFonts w:ascii="Times New Roman" w:hAnsi="Times New Roman" w:cs="Traditional Arabic"/>
          <w:noProof/>
          <w:sz w:val="28"/>
          <w:szCs w:val="28"/>
        </w:rPr>
      </w:pPr>
      <w:r w:rsidRPr="00B71D70">
        <w:rPr>
          <w:rFonts w:ascii="Times New Roman" w:hAnsi="Times New Roman" w:cs="Traditional Arabic"/>
          <w:noProof/>
          <w:sz w:val="28"/>
          <w:szCs w:val="28"/>
        </w:rPr>
        <w:t xml:space="preserve">Bozintan, A. G., Crișan, E. L., &amp; Pinco, O. (2023). The impact of digital transformation on strategic management. </w:t>
      </w:r>
      <w:r w:rsidRPr="00B71D70">
        <w:rPr>
          <w:rFonts w:ascii="Times New Roman" w:hAnsi="Times New Roman" w:cs="Traditional Arabic"/>
          <w:i/>
          <w:iCs/>
          <w:noProof/>
          <w:sz w:val="28"/>
          <w:szCs w:val="28"/>
        </w:rPr>
        <w:t>Ann. Univ. Oradea</w:t>
      </w:r>
      <w:r w:rsidRPr="00B71D70">
        <w:rPr>
          <w:rFonts w:ascii="Times New Roman" w:hAnsi="Times New Roman" w:cs="Traditional Arabic"/>
          <w:noProof/>
          <w:sz w:val="28"/>
          <w:szCs w:val="28"/>
        </w:rPr>
        <w:t xml:space="preserve">, </w:t>
      </w:r>
      <w:r w:rsidRPr="00B71D70">
        <w:rPr>
          <w:rFonts w:ascii="Times New Roman" w:hAnsi="Times New Roman" w:cs="Traditional Arabic"/>
          <w:i/>
          <w:iCs/>
          <w:noProof/>
          <w:sz w:val="28"/>
          <w:szCs w:val="28"/>
        </w:rPr>
        <w:t>32</w:t>
      </w:r>
      <w:r w:rsidRPr="00B71D70">
        <w:rPr>
          <w:rFonts w:ascii="Times New Roman" w:hAnsi="Times New Roman" w:cs="Traditional Arabic"/>
          <w:noProof/>
          <w:sz w:val="28"/>
          <w:szCs w:val="28"/>
        </w:rPr>
        <w:t xml:space="preserve">(1), 647. </w:t>
      </w:r>
      <w:hyperlink r:id="rId29" w:history="1">
        <w:r w:rsidRPr="00B71D70">
          <w:rPr>
            <w:rStyle w:val="Hyperlink"/>
            <w:rFonts w:ascii="Times New Roman" w:hAnsi="Times New Roman" w:cs="Traditional Arabic"/>
            <w:noProof/>
            <w:sz w:val="28"/>
            <w:szCs w:val="28"/>
          </w:rPr>
          <w:t>https://doi.org/10.47535/1991auoes32(1)049</w:t>
        </w:r>
      </w:hyperlink>
    </w:p>
    <w:p w14:paraId="5AE00AFF" w14:textId="77777777" w:rsidR="00B71D70" w:rsidRPr="00B71D70" w:rsidRDefault="00B71D70" w:rsidP="00B71D70">
      <w:pPr>
        <w:pStyle w:val="ListParagraph"/>
        <w:numPr>
          <w:ilvl w:val="0"/>
          <w:numId w:val="18"/>
        </w:numPr>
        <w:spacing w:before="100" w:beforeAutospacing="1" w:after="100" w:afterAutospacing="1" w:line="360" w:lineRule="auto"/>
        <w:jc w:val="both"/>
        <w:rPr>
          <w:rFonts w:ascii="Times New Roman" w:hAnsi="Times New Roman" w:cs="Traditional Arabic"/>
          <w:noProof/>
          <w:sz w:val="28"/>
          <w:szCs w:val="28"/>
        </w:rPr>
      </w:pPr>
      <w:r w:rsidRPr="00B71D70">
        <w:rPr>
          <w:rFonts w:ascii="Times New Roman" w:hAnsi="Times New Roman" w:cs="Traditional Arabic"/>
          <w:noProof/>
          <w:sz w:val="28"/>
          <w:szCs w:val="28"/>
        </w:rPr>
        <w:t xml:space="preserve">Chen, J. Z., Kim, Y., Yang, L. L., &amp; Zhang, J. (2022). Information Transparency and Investment in Follow‐on Innovation. Contemporary Accounting Research, 40(2), 1176–1209. </w:t>
      </w:r>
      <w:hyperlink r:id="rId30" w:history="1">
        <w:r w:rsidRPr="00B71D70">
          <w:rPr>
            <w:rStyle w:val="Hyperlink"/>
            <w:rFonts w:ascii="Times New Roman" w:hAnsi="Times New Roman" w:cs="Traditional Arabic"/>
            <w:noProof/>
            <w:sz w:val="28"/>
            <w:szCs w:val="28"/>
          </w:rPr>
          <w:t>https://doi.org/10.1111/1911-3846.12848</w:t>
        </w:r>
      </w:hyperlink>
    </w:p>
    <w:p w14:paraId="6012CE0C" w14:textId="77777777" w:rsidR="00B71D70" w:rsidRPr="00B71D70" w:rsidRDefault="00B71D70" w:rsidP="0015003F">
      <w:pPr>
        <w:pStyle w:val="ListParagraph"/>
        <w:numPr>
          <w:ilvl w:val="0"/>
          <w:numId w:val="18"/>
        </w:numPr>
        <w:spacing w:before="100" w:beforeAutospacing="1" w:after="100" w:afterAutospacing="1" w:line="360" w:lineRule="auto"/>
        <w:jc w:val="both"/>
        <w:rPr>
          <w:rFonts w:ascii="Times New Roman" w:hAnsi="Times New Roman" w:cs="Traditional Arabic"/>
          <w:noProof/>
          <w:sz w:val="28"/>
          <w:szCs w:val="28"/>
        </w:rPr>
      </w:pPr>
      <w:r w:rsidRPr="00B71D70">
        <w:rPr>
          <w:rFonts w:ascii="Times New Roman" w:hAnsi="Times New Roman" w:cs="Traditional Arabic"/>
          <w:noProof/>
          <w:sz w:val="28"/>
          <w:szCs w:val="28"/>
        </w:rPr>
        <w:t xml:space="preserve">Savchuk, R. R., Vasilchenko, A. V., Kluchko, O. V., Kondratiev, P. A., Akhmedova, T. D., Vorobvov, V. S., ... &amp; Baranchikov, Y. S. (2024, September). Digital Transformation and Business Processes Integration in the Effective Management Decision-Making Mechanism at Transportation Enterprises. In </w:t>
      </w:r>
      <w:r w:rsidRPr="00B71D70">
        <w:rPr>
          <w:rFonts w:ascii="Times New Roman" w:hAnsi="Times New Roman" w:cs="Traditional Arabic"/>
          <w:i/>
          <w:iCs/>
          <w:noProof/>
          <w:sz w:val="28"/>
          <w:szCs w:val="28"/>
        </w:rPr>
        <w:t>2024 International Conference" Quality Management, Transport and Information Security, Information Technologies"(QM&amp;TIS&amp;IT)</w:t>
      </w:r>
      <w:r w:rsidRPr="00B71D70">
        <w:rPr>
          <w:rFonts w:ascii="Times New Roman" w:hAnsi="Times New Roman" w:cs="Traditional Arabic"/>
          <w:noProof/>
          <w:sz w:val="28"/>
          <w:szCs w:val="28"/>
        </w:rPr>
        <w:t xml:space="preserve"> (pp. 115-118). IEEE.</w:t>
      </w:r>
      <w:r w:rsidRPr="00B71D70">
        <w:rPr>
          <w:rFonts w:ascii="Times New Roman" w:hAnsi="Times New Roman" w:cs="Traditional Arabic"/>
          <w:noProof/>
          <w:sz w:val="28"/>
          <w:szCs w:val="28"/>
          <w:rtl/>
        </w:rPr>
        <w:t>‏</w:t>
      </w:r>
      <w:r w:rsidRPr="00B71D70">
        <w:rPr>
          <w:rFonts w:ascii="Times New Roman" w:hAnsi="Times New Roman" w:cs="Traditional Arabic"/>
          <w:noProof/>
          <w:sz w:val="28"/>
          <w:szCs w:val="28"/>
        </w:rPr>
        <w:t xml:space="preserve">. </w:t>
      </w:r>
      <w:hyperlink r:id="rId31" w:history="1">
        <w:r w:rsidRPr="00B71D70">
          <w:rPr>
            <w:rStyle w:val="Hyperlink"/>
            <w:rFonts w:ascii="Times New Roman" w:hAnsi="Times New Roman" w:cs="Traditional Arabic"/>
            <w:noProof/>
            <w:sz w:val="28"/>
            <w:szCs w:val="28"/>
          </w:rPr>
          <w:t>https://doi.org/10.1109/qmtisit63393.2024.10762911</w:t>
        </w:r>
      </w:hyperlink>
    </w:p>
    <w:p w14:paraId="4C779466" w14:textId="77777777" w:rsidR="00B71D70" w:rsidRPr="00B71D70" w:rsidRDefault="00B71D70" w:rsidP="0015003F">
      <w:pPr>
        <w:pStyle w:val="ListParagraph"/>
        <w:numPr>
          <w:ilvl w:val="0"/>
          <w:numId w:val="18"/>
        </w:numPr>
        <w:spacing w:before="100" w:beforeAutospacing="1" w:after="100" w:afterAutospacing="1" w:line="360" w:lineRule="auto"/>
        <w:jc w:val="both"/>
        <w:rPr>
          <w:rFonts w:ascii="Times New Roman" w:hAnsi="Times New Roman" w:cs="Traditional Arabic"/>
          <w:noProof/>
          <w:sz w:val="28"/>
          <w:szCs w:val="28"/>
        </w:rPr>
      </w:pPr>
      <w:r w:rsidRPr="00B71D70">
        <w:rPr>
          <w:rFonts w:ascii="Times New Roman" w:hAnsi="Times New Roman" w:cs="Traditional Arabic"/>
          <w:noProof/>
          <w:sz w:val="28"/>
          <w:szCs w:val="28"/>
        </w:rPr>
        <w:t xml:space="preserve">Shirokova, S., Solovyov, L., Gnatenko, E., &amp; Lohyeeta, N. (2020, November). Implementation of the digital transformation concept </w:t>
      </w:r>
      <w:r w:rsidRPr="00B71D70">
        <w:rPr>
          <w:rFonts w:ascii="Times New Roman" w:hAnsi="Times New Roman" w:cs="Traditional Arabic"/>
          <w:noProof/>
          <w:sz w:val="28"/>
          <w:szCs w:val="28"/>
        </w:rPr>
        <w:lastRenderedPageBreak/>
        <w:t xml:space="preserve">during decision-making process in a construction company: Digital transformation as a driver of strategic decision-making in a commercial organization. In </w:t>
      </w:r>
      <w:r w:rsidRPr="00B71D70">
        <w:rPr>
          <w:rFonts w:ascii="Times New Roman" w:hAnsi="Times New Roman" w:cs="Traditional Arabic"/>
          <w:i/>
          <w:iCs/>
          <w:noProof/>
          <w:sz w:val="28"/>
          <w:szCs w:val="28"/>
        </w:rPr>
        <w:t>Proceedings of the International Scientific Conference-Digital Transformation on Manufacturing, Infrastructure and Service</w:t>
      </w:r>
      <w:r w:rsidRPr="00B71D70">
        <w:rPr>
          <w:rFonts w:ascii="Times New Roman" w:hAnsi="Times New Roman" w:cs="Traditional Arabic"/>
          <w:noProof/>
          <w:sz w:val="28"/>
          <w:szCs w:val="28"/>
        </w:rPr>
        <w:t xml:space="preserve"> (pp. 1-8).</w:t>
      </w:r>
      <w:r w:rsidRPr="00B71D70">
        <w:rPr>
          <w:rFonts w:ascii="Times New Roman" w:hAnsi="Times New Roman" w:cs="Traditional Arabic"/>
          <w:noProof/>
          <w:sz w:val="28"/>
          <w:szCs w:val="28"/>
          <w:rtl/>
        </w:rPr>
        <w:t>‏</w:t>
      </w:r>
      <w:r w:rsidRPr="00B71D70">
        <w:rPr>
          <w:rFonts w:ascii="Times New Roman" w:hAnsi="Times New Roman" w:cs="Traditional Arabic"/>
          <w:noProof/>
          <w:sz w:val="28"/>
          <w:szCs w:val="28"/>
        </w:rPr>
        <w:t xml:space="preserve">. </w:t>
      </w:r>
      <w:hyperlink r:id="rId32" w:history="1">
        <w:r w:rsidRPr="00B71D70">
          <w:rPr>
            <w:rStyle w:val="Hyperlink"/>
            <w:rFonts w:ascii="Times New Roman" w:hAnsi="Times New Roman" w:cs="Traditional Arabic"/>
            <w:noProof/>
            <w:sz w:val="28"/>
            <w:szCs w:val="28"/>
          </w:rPr>
          <w:t>https://doi.org/10.1145/3446434.3446464</w:t>
        </w:r>
      </w:hyperlink>
    </w:p>
    <w:p w14:paraId="2284F86E" w14:textId="77777777" w:rsidR="00B71D70" w:rsidRPr="00B71D70" w:rsidRDefault="00B71D70" w:rsidP="00B71D70">
      <w:pPr>
        <w:pStyle w:val="ListParagraph"/>
        <w:numPr>
          <w:ilvl w:val="0"/>
          <w:numId w:val="18"/>
        </w:numPr>
        <w:spacing w:before="100" w:beforeAutospacing="1" w:after="100" w:afterAutospacing="1" w:line="360" w:lineRule="auto"/>
        <w:jc w:val="both"/>
        <w:rPr>
          <w:rFonts w:ascii="Times New Roman" w:hAnsi="Times New Roman" w:cs="Traditional Arabic"/>
          <w:noProof/>
          <w:sz w:val="28"/>
          <w:szCs w:val="28"/>
        </w:rPr>
      </w:pPr>
      <w:r w:rsidRPr="00B71D70">
        <w:rPr>
          <w:rFonts w:ascii="Times New Roman" w:hAnsi="Times New Roman" w:cs="Traditional Arabic"/>
          <w:noProof/>
          <w:sz w:val="28"/>
          <w:szCs w:val="28"/>
        </w:rPr>
        <w:t xml:space="preserve">Tondolo, R. da R. P., Santos, J. B., Tondolo, V. A. G., &amp; Paiva, E. L. (2023). Information Transparency, Location, and Stakeholder Pressure on the Socially Responsible Partner Selection. RAC: Revista de Administração Contemporânea, 27(2). </w:t>
      </w:r>
      <w:hyperlink r:id="rId33" w:history="1">
        <w:r w:rsidRPr="00B71D70">
          <w:rPr>
            <w:rStyle w:val="Hyperlink"/>
            <w:rFonts w:ascii="Times New Roman" w:hAnsi="Times New Roman" w:cs="Traditional Arabic"/>
            <w:noProof/>
            <w:sz w:val="28"/>
            <w:szCs w:val="28"/>
          </w:rPr>
          <w:t>https://doi.org/10.1590/1982-7849rac2023210290.en</w:t>
        </w:r>
      </w:hyperlink>
    </w:p>
    <w:p w14:paraId="623B5299" w14:textId="77777777" w:rsidR="00B71D70" w:rsidRPr="00B71D70" w:rsidRDefault="00B71D70" w:rsidP="00B71D70">
      <w:pPr>
        <w:pStyle w:val="ListParagraph"/>
        <w:numPr>
          <w:ilvl w:val="0"/>
          <w:numId w:val="18"/>
        </w:numPr>
        <w:spacing w:before="100" w:beforeAutospacing="1" w:after="100" w:afterAutospacing="1" w:line="360" w:lineRule="auto"/>
        <w:jc w:val="both"/>
        <w:rPr>
          <w:rFonts w:ascii="Times New Roman" w:hAnsi="Times New Roman" w:cs="Traditional Arabic"/>
          <w:noProof/>
          <w:sz w:val="28"/>
          <w:szCs w:val="28"/>
        </w:rPr>
      </w:pPr>
      <w:r w:rsidRPr="00B71D70">
        <w:rPr>
          <w:rFonts w:ascii="Times New Roman" w:hAnsi="Times New Roman" w:cs="Traditional Arabic"/>
          <w:noProof/>
          <w:sz w:val="28"/>
          <w:szCs w:val="28"/>
        </w:rPr>
        <w:t xml:space="preserve">van Wyk, I. (2023). Strategic decision-making in small and medium enterprises in South Africa. </w:t>
      </w:r>
      <w:r w:rsidRPr="00B71D70">
        <w:rPr>
          <w:rFonts w:ascii="Times New Roman" w:hAnsi="Times New Roman" w:cs="Traditional Arabic"/>
          <w:i/>
          <w:iCs/>
          <w:noProof/>
          <w:sz w:val="28"/>
          <w:szCs w:val="28"/>
        </w:rPr>
        <w:t>The Southern African Journal of Entrepreneurship and Small Business Management</w:t>
      </w:r>
      <w:r w:rsidRPr="00B71D70">
        <w:rPr>
          <w:rFonts w:ascii="Times New Roman" w:hAnsi="Times New Roman" w:cs="Traditional Arabic"/>
          <w:noProof/>
          <w:sz w:val="28"/>
          <w:szCs w:val="28"/>
        </w:rPr>
        <w:t xml:space="preserve">, </w:t>
      </w:r>
      <w:r w:rsidRPr="00B71D70">
        <w:rPr>
          <w:rFonts w:ascii="Times New Roman" w:hAnsi="Times New Roman" w:cs="Traditional Arabic"/>
          <w:i/>
          <w:iCs/>
          <w:noProof/>
          <w:sz w:val="28"/>
          <w:szCs w:val="28"/>
        </w:rPr>
        <w:t>15</w:t>
      </w:r>
      <w:r w:rsidRPr="00B71D70">
        <w:rPr>
          <w:rFonts w:ascii="Times New Roman" w:hAnsi="Times New Roman" w:cs="Traditional Arabic"/>
          <w:noProof/>
          <w:sz w:val="28"/>
          <w:szCs w:val="28"/>
        </w:rPr>
        <w:t xml:space="preserve">(1), 684.. </w:t>
      </w:r>
      <w:hyperlink r:id="rId34" w:history="1">
        <w:r w:rsidRPr="00B71D70">
          <w:rPr>
            <w:rStyle w:val="Hyperlink"/>
            <w:rFonts w:ascii="Times New Roman" w:hAnsi="Times New Roman" w:cs="Traditional Arabic"/>
            <w:noProof/>
            <w:sz w:val="28"/>
            <w:szCs w:val="28"/>
          </w:rPr>
          <w:t>https://doi.org/10.4102/sajesbm.v15i1.684</w:t>
        </w:r>
      </w:hyperlink>
    </w:p>
    <w:p w14:paraId="18DCB218" w14:textId="77777777" w:rsidR="00B71D70" w:rsidRPr="00B71D70" w:rsidRDefault="00B71D70" w:rsidP="0015003F">
      <w:pPr>
        <w:pStyle w:val="ListParagraph"/>
        <w:numPr>
          <w:ilvl w:val="0"/>
          <w:numId w:val="18"/>
        </w:numPr>
        <w:spacing w:before="100" w:beforeAutospacing="1" w:after="100" w:afterAutospacing="1" w:line="360" w:lineRule="auto"/>
        <w:jc w:val="both"/>
        <w:rPr>
          <w:rFonts w:ascii="Times New Roman" w:hAnsi="Times New Roman" w:cs="Traditional Arabic"/>
          <w:noProof/>
          <w:sz w:val="28"/>
          <w:szCs w:val="28"/>
        </w:rPr>
      </w:pPr>
      <w:r w:rsidRPr="00B71D70">
        <w:rPr>
          <w:rFonts w:ascii="Times New Roman" w:hAnsi="Times New Roman" w:cs="Traditional Arabic"/>
          <w:noProof/>
          <w:sz w:val="28"/>
          <w:szCs w:val="28"/>
        </w:rPr>
        <w:t xml:space="preserve">Xu, Z., &amp; Mustafaraj, E. (2024, October). Tracing the Evolution of Information Transparency for OpenAI’s GPT Models through a Biographical Approach. In </w:t>
      </w:r>
      <w:r w:rsidRPr="00B71D70">
        <w:rPr>
          <w:rFonts w:ascii="Times New Roman" w:hAnsi="Times New Roman" w:cs="Traditional Arabic"/>
          <w:i/>
          <w:iCs/>
          <w:noProof/>
          <w:sz w:val="28"/>
          <w:szCs w:val="28"/>
        </w:rPr>
        <w:t>Proceedings of the AAAI/ACM Conference on AI, Ethics, and Society</w:t>
      </w:r>
      <w:r w:rsidRPr="00B71D70">
        <w:rPr>
          <w:rFonts w:ascii="Times New Roman" w:hAnsi="Times New Roman" w:cs="Traditional Arabic"/>
          <w:noProof/>
          <w:sz w:val="28"/>
          <w:szCs w:val="28"/>
        </w:rPr>
        <w:t xml:space="preserve"> (Vol. 7, pp. 1684-1695).</w:t>
      </w:r>
      <w:r w:rsidRPr="00B71D70">
        <w:rPr>
          <w:rFonts w:ascii="Times New Roman" w:hAnsi="Times New Roman" w:cs="Traditional Arabic"/>
          <w:noProof/>
          <w:sz w:val="28"/>
          <w:szCs w:val="28"/>
          <w:rtl/>
        </w:rPr>
        <w:t>‏</w:t>
      </w:r>
      <w:r w:rsidRPr="00B71D70">
        <w:rPr>
          <w:rFonts w:ascii="Times New Roman" w:hAnsi="Times New Roman" w:cs="Traditional Arabic"/>
          <w:noProof/>
          <w:sz w:val="28"/>
          <w:szCs w:val="28"/>
        </w:rPr>
        <w:t xml:space="preserve">. </w:t>
      </w:r>
      <w:hyperlink r:id="rId35" w:history="1">
        <w:r w:rsidRPr="00B71D70">
          <w:rPr>
            <w:rStyle w:val="Hyperlink"/>
            <w:rFonts w:ascii="Times New Roman" w:hAnsi="Times New Roman" w:cs="Traditional Arabic"/>
            <w:noProof/>
            <w:sz w:val="28"/>
            <w:szCs w:val="28"/>
          </w:rPr>
          <w:t>https://doi.org/10.1609/aies.v7i1.31757</w:t>
        </w:r>
      </w:hyperlink>
    </w:p>
    <w:p w14:paraId="65A8F585" w14:textId="77777777" w:rsidR="00B71D70" w:rsidRPr="00B71D70" w:rsidRDefault="00B71D70" w:rsidP="00B71D70">
      <w:pPr>
        <w:pStyle w:val="ListParagraph"/>
        <w:numPr>
          <w:ilvl w:val="0"/>
          <w:numId w:val="18"/>
        </w:numPr>
        <w:spacing w:before="100" w:beforeAutospacing="1" w:after="100" w:afterAutospacing="1" w:line="360" w:lineRule="auto"/>
        <w:jc w:val="both"/>
        <w:rPr>
          <w:rFonts w:ascii="Times New Roman" w:hAnsi="Times New Roman" w:cs="Traditional Arabic"/>
          <w:noProof/>
          <w:sz w:val="28"/>
          <w:szCs w:val="28"/>
        </w:rPr>
      </w:pPr>
      <w:r w:rsidRPr="00B71D70">
        <w:rPr>
          <w:rFonts w:ascii="Times New Roman" w:hAnsi="Times New Roman" w:cs="Traditional Arabic"/>
          <w:noProof/>
          <w:sz w:val="28"/>
          <w:szCs w:val="28"/>
        </w:rPr>
        <w:t xml:space="preserve">Ye, Q., &amp; Wu, H. (2024). Understanding the role of information transparency in improving patient experience under different uncertainties: a quasi-natural experiment. </w:t>
      </w:r>
      <w:r w:rsidRPr="00B71D70">
        <w:rPr>
          <w:rFonts w:ascii="Times New Roman" w:hAnsi="Times New Roman" w:cs="Traditional Arabic"/>
          <w:i/>
          <w:iCs/>
          <w:noProof/>
          <w:sz w:val="28"/>
          <w:szCs w:val="28"/>
        </w:rPr>
        <w:t>Internet Research</w:t>
      </w:r>
      <w:r w:rsidRPr="00B71D70">
        <w:rPr>
          <w:rFonts w:ascii="Times New Roman" w:hAnsi="Times New Roman" w:cs="Traditional Arabic"/>
          <w:noProof/>
          <w:sz w:val="28"/>
          <w:szCs w:val="28"/>
        </w:rPr>
        <w:t xml:space="preserve">, </w:t>
      </w:r>
      <w:r w:rsidRPr="00B71D70">
        <w:rPr>
          <w:rFonts w:ascii="Times New Roman" w:hAnsi="Times New Roman" w:cs="Traditional Arabic"/>
          <w:i/>
          <w:iCs/>
          <w:noProof/>
          <w:sz w:val="28"/>
          <w:szCs w:val="28"/>
        </w:rPr>
        <w:t>34</w:t>
      </w:r>
      <w:r w:rsidRPr="00B71D70">
        <w:rPr>
          <w:rFonts w:ascii="Times New Roman" w:hAnsi="Times New Roman" w:cs="Traditional Arabic"/>
          <w:noProof/>
          <w:sz w:val="28"/>
          <w:szCs w:val="28"/>
        </w:rPr>
        <w:t xml:space="preserve">(3), 718-747. </w:t>
      </w:r>
      <w:hyperlink r:id="rId36" w:history="1">
        <w:r w:rsidRPr="00B71D70">
          <w:rPr>
            <w:rStyle w:val="Hyperlink"/>
            <w:rFonts w:ascii="Times New Roman" w:hAnsi="Times New Roman" w:cs="Traditional Arabic"/>
            <w:noProof/>
            <w:sz w:val="28"/>
            <w:szCs w:val="28"/>
          </w:rPr>
          <w:t>https://doi.org/10.1108/intr-06-2022-0482</w:t>
        </w:r>
      </w:hyperlink>
    </w:p>
    <w:p w14:paraId="1DDFCF01" w14:textId="77777777" w:rsidR="00B71D70" w:rsidRDefault="00B71D70" w:rsidP="00B71D70">
      <w:pPr>
        <w:pStyle w:val="ListParagraph"/>
        <w:numPr>
          <w:ilvl w:val="0"/>
          <w:numId w:val="18"/>
        </w:numPr>
        <w:spacing w:before="100" w:beforeAutospacing="1" w:after="100" w:afterAutospacing="1" w:line="360" w:lineRule="auto"/>
        <w:jc w:val="both"/>
        <w:rPr>
          <w:rFonts w:ascii="Times New Roman" w:hAnsi="Times New Roman" w:cs="Traditional Arabic"/>
          <w:noProof/>
          <w:sz w:val="28"/>
          <w:szCs w:val="28"/>
        </w:rPr>
      </w:pPr>
      <w:r w:rsidRPr="00B71D70">
        <w:rPr>
          <w:rFonts w:ascii="Times New Roman" w:hAnsi="Times New Roman" w:cs="Traditional Arabic"/>
          <w:noProof/>
          <w:sz w:val="28"/>
          <w:szCs w:val="28"/>
        </w:rPr>
        <w:t xml:space="preserve">Yulion, D. A. P., Alifya, A. R., Damayanti, F. A. K., Nugroho, R. H., &amp; Kusumasari, I. R. (2024). Analysis of Decision Making in Business Strategy of PT GotoGojek Tokopedia. Jurnal Bisnis Dan Komunikasi Digital, 2(2), 9. </w:t>
      </w:r>
      <w:hyperlink r:id="rId37" w:history="1">
        <w:r w:rsidRPr="00B71D70">
          <w:rPr>
            <w:rStyle w:val="Hyperlink"/>
            <w:rFonts w:ascii="Times New Roman" w:hAnsi="Times New Roman" w:cs="Traditional Arabic"/>
            <w:noProof/>
            <w:sz w:val="28"/>
            <w:szCs w:val="28"/>
          </w:rPr>
          <w:t>https://doi.org/10.47134/jbkd.v2i2.3497</w:t>
        </w:r>
      </w:hyperlink>
    </w:p>
    <w:p w14:paraId="111E7542" w14:textId="77777777" w:rsidR="00DF30CE" w:rsidRDefault="00DF30CE" w:rsidP="00DF30CE">
      <w:pPr>
        <w:spacing w:before="100" w:beforeAutospacing="1" w:after="100" w:afterAutospacing="1" w:line="360" w:lineRule="auto"/>
        <w:jc w:val="both"/>
        <w:rPr>
          <w:rFonts w:ascii="Times New Roman" w:hAnsi="Times New Roman" w:cs="Traditional Arabic"/>
          <w:noProof/>
          <w:sz w:val="28"/>
          <w:szCs w:val="28"/>
        </w:rPr>
      </w:pPr>
    </w:p>
    <w:p w14:paraId="2C652A0A" w14:textId="77777777" w:rsidR="00DF30CE" w:rsidRPr="00DF30CE" w:rsidRDefault="00DF30CE" w:rsidP="00DF30CE">
      <w:pPr>
        <w:numPr>
          <w:ilvl w:val="0"/>
          <w:numId w:val="19"/>
        </w:numPr>
        <w:tabs>
          <w:tab w:val="num" w:pos="720"/>
        </w:tabs>
        <w:spacing w:before="100" w:beforeAutospacing="1" w:after="100" w:afterAutospacing="1" w:line="360" w:lineRule="auto"/>
        <w:jc w:val="both"/>
        <w:rPr>
          <w:rFonts w:ascii="Times New Roman" w:hAnsi="Times New Roman" w:cs="Traditional Arabic"/>
          <w:noProof/>
          <w:sz w:val="28"/>
          <w:szCs w:val="28"/>
        </w:rPr>
      </w:pPr>
      <w:r w:rsidRPr="00DF30CE">
        <w:rPr>
          <w:rFonts w:ascii="Times New Roman" w:hAnsi="Times New Roman" w:cs="Traditional Arabic"/>
          <w:noProof/>
          <w:sz w:val="28"/>
          <w:szCs w:val="28"/>
        </w:rPr>
        <w:t xml:space="preserve">Boston Consulting Group. (2024). </w:t>
      </w:r>
      <w:r w:rsidRPr="00DF30CE">
        <w:rPr>
          <w:rFonts w:ascii="Times New Roman" w:hAnsi="Times New Roman" w:cs="Traditional Arabic"/>
          <w:i/>
          <w:iCs/>
          <w:noProof/>
          <w:sz w:val="28"/>
          <w:szCs w:val="28"/>
        </w:rPr>
        <w:t>Championing GCC next-gen citizen services</w:t>
      </w:r>
      <w:r w:rsidRPr="00DF30CE">
        <w:rPr>
          <w:rFonts w:ascii="Times New Roman" w:hAnsi="Times New Roman" w:cs="Traditional Arabic"/>
          <w:noProof/>
          <w:sz w:val="28"/>
          <w:szCs w:val="28"/>
        </w:rPr>
        <w:t xml:space="preserve">. Retrieved from </w:t>
      </w:r>
      <w:hyperlink r:id="rId38" w:tgtFrame="_new" w:history="1">
        <w:r w:rsidRPr="00DF30CE">
          <w:rPr>
            <w:rStyle w:val="Hyperlink"/>
            <w:rFonts w:ascii="Times New Roman" w:hAnsi="Times New Roman" w:cs="Traditional Arabic"/>
            <w:noProof/>
            <w:sz w:val="28"/>
            <w:szCs w:val="28"/>
          </w:rPr>
          <w:t>https://www.bcg.com</w:t>
        </w:r>
      </w:hyperlink>
    </w:p>
    <w:p w14:paraId="400A9195" w14:textId="77777777" w:rsidR="00DF30CE" w:rsidRPr="00DF30CE" w:rsidRDefault="00DF30CE" w:rsidP="00DF30CE">
      <w:pPr>
        <w:numPr>
          <w:ilvl w:val="0"/>
          <w:numId w:val="19"/>
        </w:numPr>
        <w:tabs>
          <w:tab w:val="num" w:pos="720"/>
        </w:tabs>
        <w:spacing w:before="100" w:beforeAutospacing="1" w:after="100" w:afterAutospacing="1" w:line="360" w:lineRule="auto"/>
        <w:jc w:val="both"/>
        <w:rPr>
          <w:rFonts w:ascii="Times New Roman" w:hAnsi="Times New Roman" w:cs="Traditional Arabic"/>
          <w:noProof/>
          <w:sz w:val="28"/>
          <w:szCs w:val="28"/>
        </w:rPr>
      </w:pPr>
      <w:r w:rsidRPr="00DF30CE">
        <w:rPr>
          <w:rFonts w:ascii="Times New Roman" w:hAnsi="Times New Roman" w:cs="Traditional Arabic"/>
          <w:noProof/>
          <w:sz w:val="28"/>
          <w:szCs w:val="28"/>
        </w:rPr>
        <w:t xml:space="preserve">International Monetary Fund. (2025). </w:t>
      </w:r>
      <w:r w:rsidRPr="00DF30CE">
        <w:rPr>
          <w:rFonts w:ascii="Times New Roman" w:hAnsi="Times New Roman" w:cs="Traditional Arabic"/>
          <w:i/>
          <w:iCs/>
          <w:noProof/>
          <w:sz w:val="28"/>
          <w:szCs w:val="28"/>
        </w:rPr>
        <w:t>GCC's digital push nears global standards but gaps remain: IMF report</w:t>
      </w:r>
      <w:r w:rsidRPr="00DF30CE">
        <w:rPr>
          <w:rFonts w:ascii="Times New Roman" w:hAnsi="Times New Roman" w:cs="Traditional Arabic"/>
          <w:noProof/>
          <w:sz w:val="28"/>
          <w:szCs w:val="28"/>
        </w:rPr>
        <w:t xml:space="preserve">. Retrieved from </w:t>
      </w:r>
      <w:hyperlink r:id="rId39" w:tgtFrame="_new" w:history="1">
        <w:r w:rsidRPr="00DF30CE">
          <w:rPr>
            <w:rStyle w:val="Hyperlink"/>
            <w:rFonts w:ascii="Times New Roman" w:hAnsi="Times New Roman" w:cs="Traditional Arabic"/>
            <w:noProof/>
            <w:sz w:val="28"/>
            <w:szCs w:val="28"/>
          </w:rPr>
          <w:t>https://www.imf.org</w:t>
        </w:r>
      </w:hyperlink>
    </w:p>
    <w:p w14:paraId="707FD3B2" w14:textId="77777777" w:rsidR="00DF30CE" w:rsidRPr="00DF30CE" w:rsidRDefault="00DF30CE" w:rsidP="00DF30CE">
      <w:pPr>
        <w:numPr>
          <w:ilvl w:val="0"/>
          <w:numId w:val="19"/>
        </w:numPr>
        <w:tabs>
          <w:tab w:val="num" w:pos="720"/>
        </w:tabs>
        <w:spacing w:before="100" w:beforeAutospacing="1" w:after="100" w:afterAutospacing="1" w:line="360" w:lineRule="auto"/>
        <w:jc w:val="both"/>
        <w:rPr>
          <w:rFonts w:ascii="Times New Roman" w:hAnsi="Times New Roman" w:cs="Traditional Arabic"/>
          <w:noProof/>
          <w:sz w:val="28"/>
          <w:szCs w:val="28"/>
        </w:rPr>
      </w:pPr>
      <w:r w:rsidRPr="00DF30CE">
        <w:rPr>
          <w:rFonts w:ascii="Times New Roman" w:hAnsi="Times New Roman" w:cs="Traditional Arabic"/>
          <w:noProof/>
          <w:sz w:val="28"/>
          <w:szCs w:val="28"/>
        </w:rPr>
        <w:t xml:space="preserve">McKinsey &amp; Company. (2023). </w:t>
      </w:r>
      <w:r w:rsidRPr="00DF30CE">
        <w:rPr>
          <w:rFonts w:ascii="Times New Roman" w:hAnsi="Times New Roman" w:cs="Traditional Arabic"/>
          <w:i/>
          <w:iCs/>
          <w:noProof/>
          <w:sz w:val="28"/>
          <w:szCs w:val="28"/>
        </w:rPr>
        <w:t>Artificial intelligence adoption in the GCC</w:t>
      </w:r>
      <w:r w:rsidRPr="00DF30CE">
        <w:rPr>
          <w:rFonts w:ascii="Times New Roman" w:hAnsi="Times New Roman" w:cs="Traditional Arabic"/>
          <w:noProof/>
          <w:sz w:val="28"/>
          <w:szCs w:val="28"/>
        </w:rPr>
        <w:t xml:space="preserve">. Retrieved from </w:t>
      </w:r>
      <w:hyperlink r:id="rId40" w:tgtFrame="_new" w:history="1">
        <w:r w:rsidRPr="00DF30CE">
          <w:rPr>
            <w:rStyle w:val="Hyperlink"/>
            <w:rFonts w:ascii="Times New Roman" w:hAnsi="Times New Roman" w:cs="Traditional Arabic"/>
            <w:noProof/>
            <w:sz w:val="28"/>
            <w:szCs w:val="28"/>
          </w:rPr>
          <w:t>https://www.mckinsey.com</w:t>
        </w:r>
      </w:hyperlink>
    </w:p>
    <w:p w14:paraId="72E95A4F" w14:textId="77777777" w:rsidR="00DF30CE" w:rsidRPr="00DF30CE" w:rsidRDefault="00DF30CE" w:rsidP="00DF30CE">
      <w:pPr>
        <w:numPr>
          <w:ilvl w:val="0"/>
          <w:numId w:val="19"/>
        </w:numPr>
        <w:tabs>
          <w:tab w:val="num" w:pos="720"/>
        </w:tabs>
        <w:spacing w:before="100" w:beforeAutospacing="1" w:after="100" w:afterAutospacing="1" w:line="360" w:lineRule="auto"/>
        <w:jc w:val="both"/>
        <w:rPr>
          <w:rFonts w:ascii="Times New Roman" w:hAnsi="Times New Roman" w:cs="Traditional Arabic"/>
          <w:noProof/>
          <w:sz w:val="28"/>
          <w:szCs w:val="28"/>
        </w:rPr>
      </w:pPr>
      <w:r w:rsidRPr="00DF30CE">
        <w:rPr>
          <w:rFonts w:ascii="Times New Roman" w:hAnsi="Times New Roman" w:cs="Traditional Arabic"/>
          <w:noProof/>
          <w:sz w:val="28"/>
          <w:szCs w:val="28"/>
        </w:rPr>
        <w:t xml:space="preserve">Transparency International. (2022). </w:t>
      </w:r>
      <w:r w:rsidRPr="00DF30CE">
        <w:rPr>
          <w:rFonts w:ascii="Times New Roman" w:hAnsi="Times New Roman" w:cs="Traditional Arabic"/>
          <w:i/>
          <w:iCs/>
          <w:noProof/>
          <w:sz w:val="28"/>
          <w:szCs w:val="28"/>
        </w:rPr>
        <w:t>Corruption perceptions index 2022</w:t>
      </w:r>
      <w:r w:rsidRPr="00DF30CE">
        <w:rPr>
          <w:rFonts w:ascii="Times New Roman" w:hAnsi="Times New Roman" w:cs="Traditional Arabic"/>
          <w:noProof/>
          <w:sz w:val="28"/>
          <w:szCs w:val="28"/>
        </w:rPr>
        <w:t>. Retrieved from https://www.transparency.org/en/cpi/2022</w:t>
      </w:r>
    </w:p>
    <w:p w14:paraId="7D3A7245" w14:textId="77777777" w:rsidR="00DF30CE" w:rsidRPr="00DF30CE" w:rsidRDefault="00DF30CE" w:rsidP="00DF30CE">
      <w:pPr>
        <w:numPr>
          <w:ilvl w:val="0"/>
          <w:numId w:val="19"/>
        </w:numPr>
        <w:tabs>
          <w:tab w:val="num" w:pos="720"/>
        </w:tabs>
        <w:spacing w:before="100" w:beforeAutospacing="1" w:after="100" w:afterAutospacing="1" w:line="360" w:lineRule="auto"/>
        <w:jc w:val="both"/>
        <w:rPr>
          <w:rFonts w:ascii="Times New Roman" w:hAnsi="Times New Roman" w:cs="Traditional Arabic"/>
          <w:noProof/>
          <w:sz w:val="28"/>
          <w:szCs w:val="28"/>
        </w:rPr>
      </w:pPr>
      <w:r w:rsidRPr="00DF30CE">
        <w:rPr>
          <w:rFonts w:ascii="Times New Roman" w:hAnsi="Times New Roman" w:cs="Traditional Arabic"/>
          <w:noProof/>
          <w:sz w:val="28"/>
          <w:szCs w:val="28"/>
        </w:rPr>
        <w:t xml:space="preserve">Transparency International. (2022). </w:t>
      </w:r>
      <w:r w:rsidRPr="00DF30CE">
        <w:rPr>
          <w:rFonts w:ascii="Times New Roman" w:hAnsi="Times New Roman" w:cs="Traditional Arabic"/>
          <w:i/>
          <w:iCs/>
          <w:noProof/>
          <w:sz w:val="28"/>
          <w:szCs w:val="28"/>
        </w:rPr>
        <w:t>Transparency and accountability in public services: A regional overview</w:t>
      </w:r>
      <w:r w:rsidRPr="00DF30CE">
        <w:rPr>
          <w:rFonts w:ascii="Times New Roman" w:hAnsi="Times New Roman" w:cs="Traditional Arabic"/>
          <w:noProof/>
          <w:sz w:val="28"/>
          <w:szCs w:val="28"/>
        </w:rPr>
        <w:t xml:space="preserve">. Retrieved from </w:t>
      </w:r>
      <w:hyperlink r:id="rId41" w:tgtFrame="_new" w:history="1">
        <w:r w:rsidRPr="00DF30CE">
          <w:rPr>
            <w:rStyle w:val="Hyperlink"/>
            <w:rFonts w:ascii="Times New Roman" w:hAnsi="Times New Roman" w:cs="Traditional Arabic"/>
            <w:noProof/>
            <w:sz w:val="28"/>
            <w:szCs w:val="28"/>
          </w:rPr>
          <w:t>https://images.transparencycdn.org</w:t>
        </w:r>
      </w:hyperlink>
    </w:p>
    <w:p w14:paraId="463EBEB9" w14:textId="77777777" w:rsidR="00DF30CE" w:rsidRPr="00DF30CE" w:rsidRDefault="00DF30CE" w:rsidP="00DF30CE">
      <w:pPr>
        <w:numPr>
          <w:ilvl w:val="0"/>
          <w:numId w:val="19"/>
        </w:numPr>
        <w:tabs>
          <w:tab w:val="num" w:pos="720"/>
        </w:tabs>
        <w:spacing w:before="100" w:beforeAutospacing="1" w:after="100" w:afterAutospacing="1" w:line="360" w:lineRule="auto"/>
        <w:jc w:val="both"/>
        <w:rPr>
          <w:rFonts w:ascii="Times New Roman" w:hAnsi="Times New Roman" w:cs="Traditional Arabic"/>
          <w:noProof/>
          <w:sz w:val="28"/>
          <w:szCs w:val="28"/>
        </w:rPr>
      </w:pPr>
      <w:r w:rsidRPr="00DF30CE">
        <w:rPr>
          <w:rFonts w:ascii="Times New Roman" w:hAnsi="Times New Roman" w:cs="Traditional Arabic"/>
          <w:noProof/>
          <w:sz w:val="28"/>
          <w:szCs w:val="28"/>
        </w:rPr>
        <w:t xml:space="preserve">Arab News. (2023). </w:t>
      </w:r>
      <w:r w:rsidRPr="00DF30CE">
        <w:rPr>
          <w:rFonts w:ascii="Times New Roman" w:hAnsi="Times New Roman" w:cs="Traditional Arabic"/>
          <w:i/>
          <w:iCs/>
          <w:noProof/>
          <w:sz w:val="28"/>
          <w:szCs w:val="28"/>
        </w:rPr>
        <w:t>Saudi Arabia launches national strategy for data and AI</w:t>
      </w:r>
      <w:r w:rsidRPr="00DF30CE">
        <w:rPr>
          <w:rFonts w:ascii="Times New Roman" w:hAnsi="Times New Roman" w:cs="Traditional Arabic"/>
          <w:noProof/>
          <w:sz w:val="28"/>
          <w:szCs w:val="28"/>
        </w:rPr>
        <w:t xml:space="preserve">. Retrieved from </w:t>
      </w:r>
      <w:hyperlink r:id="rId42" w:tgtFrame="_new" w:history="1">
        <w:r w:rsidRPr="00DF30CE">
          <w:rPr>
            <w:rStyle w:val="Hyperlink"/>
            <w:rFonts w:ascii="Times New Roman" w:hAnsi="Times New Roman" w:cs="Traditional Arabic"/>
            <w:noProof/>
            <w:sz w:val="28"/>
            <w:szCs w:val="28"/>
          </w:rPr>
          <w:t>https://www.arabnews.com</w:t>
        </w:r>
      </w:hyperlink>
    </w:p>
    <w:p w14:paraId="70278A35" w14:textId="77777777" w:rsidR="00DF30CE" w:rsidRPr="00DF30CE" w:rsidRDefault="00DF30CE" w:rsidP="00DF30CE">
      <w:pPr>
        <w:numPr>
          <w:ilvl w:val="0"/>
          <w:numId w:val="19"/>
        </w:numPr>
        <w:tabs>
          <w:tab w:val="num" w:pos="720"/>
        </w:tabs>
        <w:spacing w:before="100" w:beforeAutospacing="1" w:after="100" w:afterAutospacing="1" w:line="360" w:lineRule="auto"/>
        <w:jc w:val="both"/>
        <w:rPr>
          <w:rFonts w:ascii="Times New Roman" w:hAnsi="Times New Roman" w:cs="Traditional Arabic"/>
          <w:noProof/>
          <w:sz w:val="28"/>
          <w:szCs w:val="28"/>
        </w:rPr>
      </w:pPr>
      <w:r w:rsidRPr="00DF30CE">
        <w:rPr>
          <w:rFonts w:ascii="Times New Roman" w:hAnsi="Times New Roman" w:cs="Traditional Arabic"/>
          <w:noProof/>
          <w:sz w:val="28"/>
          <w:szCs w:val="28"/>
        </w:rPr>
        <w:t xml:space="preserve">Arab News. (2022). </w:t>
      </w:r>
      <w:r w:rsidRPr="00DF30CE">
        <w:rPr>
          <w:rFonts w:ascii="Times New Roman" w:hAnsi="Times New Roman" w:cs="Traditional Arabic"/>
          <w:i/>
          <w:iCs/>
          <w:noProof/>
          <w:sz w:val="28"/>
          <w:szCs w:val="28"/>
        </w:rPr>
        <w:t>Desalination and smart tech: Future of water in Saudi Arabia</w:t>
      </w:r>
      <w:r w:rsidRPr="00DF30CE">
        <w:rPr>
          <w:rFonts w:ascii="Times New Roman" w:hAnsi="Times New Roman" w:cs="Traditional Arabic"/>
          <w:noProof/>
          <w:sz w:val="28"/>
          <w:szCs w:val="28"/>
        </w:rPr>
        <w:t xml:space="preserve">. Retrieved from </w:t>
      </w:r>
      <w:hyperlink r:id="rId43" w:tgtFrame="_new" w:history="1">
        <w:r w:rsidRPr="00DF30CE">
          <w:rPr>
            <w:rStyle w:val="Hyperlink"/>
            <w:rFonts w:ascii="Times New Roman" w:hAnsi="Times New Roman" w:cs="Traditional Arabic"/>
            <w:noProof/>
            <w:sz w:val="28"/>
            <w:szCs w:val="28"/>
          </w:rPr>
          <w:t>https://www.arabnews.com</w:t>
        </w:r>
      </w:hyperlink>
    </w:p>
    <w:p w14:paraId="37EE0CA3" w14:textId="77777777" w:rsidR="00DF30CE" w:rsidRDefault="00DF30CE" w:rsidP="00DF30CE">
      <w:pPr>
        <w:numPr>
          <w:ilvl w:val="0"/>
          <w:numId w:val="19"/>
        </w:numPr>
        <w:tabs>
          <w:tab w:val="num" w:pos="720"/>
        </w:tabs>
        <w:spacing w:before="100" w:beforeAutospacing="1" w:after="100" w:afterAutospacing="1" w:line="360" w:lineRule="auto"/>
        <w:jc w:val="both"/>
        <w:rPr>
          <w:rFonts w:ascii="Times New Roman" w:hAnsi="Times New Roman" w:cs="Traditional Arabic"/>
          <w:noProof/>
          <w:sz w:val="28"/>
          <w:szCs w:val="28"/>
        </w:rPr>
      </w:pPr>
      <w:r w:rsidRPr="00DF30CE">
        <w:rPr>
          <w:rFonts w:ascii="Times New Roman" w:hAnsi="Times New Roman" w:cs="Traditional Arabic"/>
          <w:noProof/>
          <w:sz w:val="28"/>
          <w:szCs w:val="28"/>
        </w:rPr>
        <w:t xml:space="preserve">ArXiv.org. (2024). </w:t>
      </w:r>
      <w:r w:rsidRPr="00DF30CE">
        <w:rPr>
          <w:rFonts w:ascii="Times New Roman" w:hAnsi="Times New Roman" w:cs="Traditional Arabic"/>
          <w:i/>
          <w:iCs/>
          <w:noProof/>
          <w:sz w:val="28"/>
          <w:szCs w:val="28"/>
        </w:rPr>
        <w:t>Digital transformation and strategic decision-making in emerging economies</w:t>
      </w:r>
      <w:r w:rsidRPr="00DF30CE">
        <w:rPr>
          <w:rFonts w:ascii="Times New Roman" w:hAnsi="Times New Roman" w:cs="Traditional Arabic"/>
          <w:noProof/>
          <w:sz w:val="28"/>
          <w:szCs w:val="28"/>
        </w:rPr>
        <w:t xml:space="preserve">. Retrieved from </w:t>
      </w:r>
      <w:hyperlink r:id="rId44" w:tgtFrame="_new" w:history="1">
        <w:r w:rsidRPr="00DF30CE">
          <w:rPr>
            <w:rStyle w:val="Hyperlink"/>
            <w:rFonts w:ascii="Times New Roman" w:hAnsi="Times New Roman" w:cs="Traditional Arabic"/>
            <w:noProof/>
            <w:sz w:val="28"/>
            <w:szCs w:val="28"/>
          </w:rPr>
          <w:t>https://www.arxiv.org</w:t>
        </w:r>
      </w:hyperlink>
    </w:p>
    <w:p w14:paraId="162520F2" w14:textId="4DC91AC2" w:rsidR="008E7CFB" w:rsidRDefault="008E7CFB" w:rsidP="00DF30CE">
      <w:pPr>
        <w:numPr>
          <w:ilvl w:val="0"/>
          <w:numId w:val="19"/>
        </w:numPr>
        <w:tabs>
          <w:tab w:val="num" w:pos="720"/>
        </w:tabs>
        <w:spacing w:before="100" w:beforeAutospacing="1" w:after="100" w:afterAutospacing="1" w:line="360" w:lineRule="auto"/>
        <w:jc w:val="both"/>
        <w:rPr>
          <w:rFonts w:ascii="Times New Roman" w:hAnsi="Times New Roman" w:cs="Traditional Arabic"/>
          <w:noProof/>
          <w:sz w:val="28"/>
          <w:szCs w:val="28"/>
        </w:rPr>
      </w:pPr>
      <w:r w:rsidRPr="008E7CFB">
        <w:rPr>
          <w:rFonts w:ascii="Times New Roman" w:hAnsi="Times New Roman" w:cs="Traditional Arabic"/>
          <w:noProof/>
          <w:sz w:val="28"/>
          <w:szCs w:val="28"/>
        </w:rPr>
        <w:t>Huy, P. Q., &amp; Phuc, V. K. (2025). Unveiling how business process management capabilities foster dynamic decision-making for effectiveness of sustainable digital transformation. Business Process Management Journal, 31(8), 67-103.</w:t>
      </w:r>
      <w:r w:rsidRPr="008E7CFB">
        <w:rPr>
          <w:rFonts w:ascii="Times New Roman" w:hAnsi="Times New Roman" w:cs="Traditional Arabic"/>
          <w:noProof/>
          <w:sz w:val="28"/>
          <w:szCs w:val="28"/>
          <w:rtl/>
        </w:rPr>
        <w:t>‏</w:t>
      </w:r>
    </w:p>
    <w:p w14:paraId="26197C94" w14:textId="138B9BC8" w:rsidR="008E7CFB" w:rsidRDefault="008E7CFB" w:rsidP="00DF30CE">
      <w:pPr>
        <w:numPr>
          <w:ilvl w:val="0"/>
          <w:numId w:val="19"/>
        </w:numPr>
        <w:tabs>
          <w:tab w:val="num" w:pos="720"/>
        </w:tabs>
        <w:spacing w:before="100" w:beforeAutospacing="1" w:after="100" w:afterAutospacing="1" w:line="360" w:lineRule="auto"/>
        <w:jc w:val="both"/>
        <w:rPr>
          <w:rFonts w:ascii="Times New Roman" w:hAnsi="Times New Roman" w:cs="Traditional Arabic"/>
          <w:noProof/>
          <w:sz w:val="28"/>
          <w:szCs w:val="28"/>
        </w:rPr>
      </w:pPr>
      <w:r w:rsidRPr="008E7CFB">
        <w:rPr>
          <w:rFonts w:ascii="Times New Roman" w:hAnsi="Times New Roman" w:cs="Traditional Arabic"/>
          <w:noProof/>
          <w:sz w:val="28"/>
          <w:szCs w:val="28"/>
        </w:rPr>
        <w:t xml:space="preserve">Nguyen, N. P., &amp; Thanh Hoai, T. (2022). The impacts of digital transformation on data-based ethical decision-making and </w:t>
      </w:r>
      <w:r w:rsidRPr="008E7CFB">
        <w:rPr>
          <w:rFonts w:ascii="Times New Roman" w:hAnsi="Times New Roman" w:cs="Traditional Arabic"/>
          <w:noProof/>
          <w:sz w:val="28"/>
          <w:szCs w:val="28"/>
        </w:rPr>
        <w:lastRenderedPageBreak/>
        <w:t>environmental performance in Vietnamese manufacturing firms: The moderating role of organizational mindfulness. Cogent Business &amp; Management, 9(1), 2101315.</w:t>
      </w:r>
      <w:r w:rsidRPr="008E7CFB">
        <w:rPr>
          <w:rFonts w:ascii="Times New Roman" w:hAnsi="Times New Roman" w:cs="Traditional Arabic"/>
          <w:noProof/>
          <w:sz w:val="28"/>
          <w:szCs w:val="28"/>
          <w:rtl/>
        </w:rPr>
        <w:t>‏</w:t>
      </w:r>
    </w:p>
    <w:p w14:paraId="622B2AB9" w14:textId="14DCBCDA" w:rsidR="008E7CFB" w:rsidRDefault="008E7CFB" w:rsidP="00DF30CE">
      <w:pPr>
        <w:numPr>
          <w:ilvl w:val="0"/>
          <w:numId w:val="19"/>
        </w:numPr>
        <w:tabs>
          <w:tab w:val="num" w:pos="720"/>
        </w:tabs>
        <w:spacing w:before="100" w:beforeAutospacing="1" w:after="100" w:afterAutospacing="1" w:line="360" w:lineRule="auto"/>
        <w:jc w:val="both"/>
        <w:rPr>
          <w:rFonts w:ascii="Times New Roman" w:hAnsi="Times New Roman" w:cs="Traditional Arabic"/>
          <w:noProof/>
          <w:sz w:val="28"/>
          <w:szCs w:val="28"/>
        </w:rPr>
      </w:pPr>
      <w:r w:rsidRPr="008E7CFB">
        <w:rPr>
          <w:rFonts w:ascii="Times New Roman" w:hAnsi="Times New Roman" w:cs="Traditional Arabic"/>
          <w:noProof/>
          <w:sz w:val="28"/>
          <w:szCs w:val="28"/>
        </w:rPr>
        <w:t>Nijhum, A. M. (2025). Artificial intelligence-driven digital transformation models for enhancing organizational communication and decision-making efficiency. American Journal of Scholarly Research and Innovation, 4(01), 536-577</w:t>
      </w:r>
    </w:p>
    <w:p w14:paraId="51752862" w14:textId="34367B34" w:rsidR="008E7CFB" w:rsidRDefault="008E7CFB" w:rsidP="00DF30CE">
      <w:pPr>
        <w:numPr>
          <w:ilvl w:val="0"/>
          <w:numId w:val="19"/>
        </w:numPr>
        <w:tabs>
          <w:tab w:val="num" w:pos="720"/>
        </w:tabs>
        <w:spacing w:before="100" w:beforeAutospacing="1" w:after="100" w:afterAutospacing="1" w:line="360" w:lineRule="auto"/>
        <w:jc w:val="both"/>
        <w:rPr>
          <w:rFonts w:ascii="Times New Roman" w:hAnsi="Times New Roman" w:cs="Traditional Arabic"/>
          <w:noProof/>
          <w:sz w:val="28"/>
          <w:szCs w:val="28"/>
        </w:rPr>
      </w:pPr>
      <w:r w:rsidRPr="008E7CFB">
        <w:rPr>
          <w:rFonts w:ascii="Times New Roman" w:hAnsi="Times New Roman" w:cs="Traditional Arabic"/>
          <w:noProof/>
          <w:sz w:val="28"/>
          <w:szCs w:val="28"/>
        </w:rPr>
        <w:t>Bi, G. B., Ye, W., &amp; Xu, Y. (2024). The impact of information transparency on trade credit: the mediation role of risk. Kybernetes, 53(1), 27-57.</w:t>
      </w:r>
    </w:p>
    <w:p w14:paraId="3408CD5F" w14:textId="77777777" w:rsidR="00314593" w:rsidRDefault="00314593" w:rsidP="00F74A76">
      <w:pPr>
        <w:numPr>
          <w:ilvl w:val="0"/>
          <w:numId w:val="30"/>
        </w:numPr>
        <w:spacing w:before="100" w:beforeAutospacing="1" w:after="100" w:afterAutospacing="1" w:line="240" w:lineRule="auto"/>
        <w:jc w:val="both"/>
        <w:rPr>
          <w:rFonts w:ascii="Times New Roman" w:hAnsi="Times New Roman" w:cs="Traditional Arabic"/>
          <w:noProof/>
          <w:sz w:val="28"/>
          <w:szCs w:val="28"/>
        </w:rPr>
      </w:pPr>
      <w:r w:rsidRPr="00F74A76">
        <w:rPr>
          <w:rFonts w:ascii="Times New Roman" w:hAnsi="Times New Roman" w:cs="Traditional Arabic"/>
          <w:noProof/>
          <w:sz w:val="28"/>
          <w:szCs w:val="28"/>
        </w:rPr>
        <w:t xml:space="preserve">IMF (2025). </w:t>
      </w:r>
      <w:r w:rsidRPr="00F74A76">
        <w:rPr>
          <w:rFonts w:ascii="Times New Roman" w:hAnsi="Times New Roman" w:cs="Traditional Arabic"/>
          <w:i/>
          <w:iCs/>
          <w:noProof/>
          <w:sz w:val="28"/>
          <w:szCs w:val="28"/>
        </w:rPr>
        <w:t>Digital Transformation in the Gulf Cooperation Council Economies</w:t>
      </w:r>
      <w:r w:rsidRPr="00F74A76">
        <w:rPr>
          <w:rFonts w:ascii="Times New Roman" w:hAnsi="Times New Roman" w:cs="Traditional Arabic"/>
          <w:noProof/>
          <w:sz w:val="28"/>
          <w:szCs w:val="28"/>
        </w:rPr>
        <w:t xml:space="preserve">. Departmental Paper. </w:t>
      </w:r>
      <w:hyperlink r:id="rId45" w:tgtFrame="_blank" w:history="1">
        <w:r w:rsidRPr="00F74A76">
          <w:rPr>
            <w:rFonts w:ascii="Times New Roman" w:hAnsi="Times New Roman" w:cs="Traditional Arabic"/>
            <w:noProof/>
            <w:sz w:val="28"/>
            <w:szCs w:val="28"/>
          </w:rPr>
          <w:t>https://www.imf.org/en/publications/departmental-papers-policy-papers/issues/2025/04/01/digital-transformation-in-the-gulf-cooperation-council-economies-557187</w:t>
        </w:r>
      </w:hyperlink>
    </w:p>
    <w:p w14:paraId="50BB8862" w14:textId="77777777" w:rsidR="00314593" w:rsidRPr="00F74A76" w:rsidRDefault="00314593" w:rsidP="00F74A76">
      <w:pPr>
        <w:numPr>
          <w:ilvl w:val="0"/>
          <w:numId w:val="30"/>
        </w:numPr>
        <w:spacing w:before="100" w:beforeAutospacing="1" w:after="100" w:afterAutospacing="1" w:line="240" w:lineRule="auto"/>
        <w:jc w:val="both"/>
        <w:rPr>
          <w:rFonts w:ascii="Times New Roman" w:hAnsi="Times New Roman" w:cs="Traditional Arabic"/>
          <w:noProof/>
          <w:sz w:val="28"/>
          <w:szCs w:val="28"/>
        </w:rPr>
      </w:pPr>
      <w:r w:rsidRPr="00F74A76">
        <w:rPr>
          <w:rFonts w:ascii="Times New Roman" w:hAnsi="Times New Roman" w:cs="Traditional Arabic"/>
          <w:noProof/>
          <w:sz w:val="28"/>
          <w:szCs w:val="28"/>
          <w:rtl/>
        </w:rPr>
        <w:t>وزارة الصناعة والثروة المعدنية (2025أ). مبادرة برنامج مصانع المستقبل</w:t>
      </w:r>
      <w:r w:rsidRPr="00F74A76">
        <w:rPr>
          <w:rFonts w:ascii="Times New Roman" w:hAnsi="Times New Roman" w:cs="Traditional Arabic"/>
          <w:noProof/>
          <w:sz w:val="28"/>
          <w:szCs w:val="28"/>
        </w:rPr>
        <w:t xml:space="preserve">. </w:t>
      </w:r>
      <w:hyperlink r:id="rId46" w:tgtFrame="_blank" w:history="1">
        <w:r w:rsidRPr="00F74A76">
          <w:rPr>
            <w:rFonts w:ascii="Times New Roman" w:hAnsi="Times New Roman" w:cs="Traditional Arabic"/>
            <w:noProof/>
            <w:sz w:val="28"/>
            <w:szCs w:val="28"/>
          </w:rPr>
          <w:t>https://www.mim.gov.sa/ar/initiatives-programs/industrial-sector-initiatives/future-factories-program-initiative</w:t>
        </w:r>
      </w:hyperlink>
    </w:p>
    <w:p w14:paraId="456BED65" w14:textId="77777777" w:rsidR="00314593" w:rsidRDefault="00314593" w:rsidP="00F74A76">
      <w:pPr>
        <w:numPr>
          <w:ilvl w:val="0"/>
          <w:numId w:val="30"/>
        </w:numPr>
        <w:spacing w:before="100" w:beforeAutospacing="1" w:after="100" w:afterAutospacing="1" w:line="240" w:lineRule="auto"/>
        <w:jc w:val="both"/>
        <w:rPr>
          <w:rFonts w:ascii="Times New Roman" w:hAnsi="Times New Roman" w:cs="Traditional Arabic"/>
          <w:noProof/>
          <w:sz w:val="28"/>
          <w:szCs w:val="28"/>
        </w:rPr>
      </w:pPr>
      <w:r w:rsidRPr="00F74A76">
        <w:rPr>
          <w:rFonts w:ascii="Times New Roman" w:hAnsi="Times New Roman" w:cs="Traditional Arabic"/>
          <w:noProof/>
          <w:sz w:val="28"/>
          <w:szCs w:val="28"/>
          <w:rtl/>
        </w:rPr>
        <w:t>وزارة الصناعة والثروة المعدنية (2025ب). مبادرات القطاع الصناعي</w:t>
      </w:r>
      <w:r w:rsidRPr="00F74A76">
        <w:rPr>
          <w:rFonts w:ascii="Times New Roman" w:hAnsi="Times New Roman" w:cs="Traditional Arabic"/>
          <w:noProof/>
          <w:sz w:val="28"/>
          <w:szCs w:val="28"/>
        </w:rPr>
        <w:t xml:space="preserve">. </w:t>
      </w:r>
      <w:hyperlink r:id="rId47" w:tgtFrame="_blank" w:history="1">
        <w:r w:rsidRPr="00F74A76">
          <w:rPr>
            <w:rFonts w:ascii="Times New Roman" w:hAnsi="Times New Roman" w:cs="Traditional Arabic"/>
            <w:noProof/>
            <w:sz w:val="28"/>
            <w:szCs w:val="28"/>
          </w:rPr>
          <w:t>https://www.mim.gov.sa/ar/initiatives-programs/industrial-sector-initiatives</w:t>
        </w:r>
      </w:hyperlink>
    </w:p>
    <w:p w14:paraId="587F14B4" w14:textId="77777777" w:rsidR="00314593" w:rsidRPr="00F74A76" w:rsidRDefault="00314593" w:rsidP="00F74A76">
      <w:pPr>
        <w:numPr>
          <w:ilvl w:val="0"/>
          <w:numId w:val="30"/>
        </w:numPr>
        <w:spacing w:before="100" w:beforeAutospacing="1" w:after="100" w:afterAutospacing="1" w:line="240" w:lineRule="auto"/>
        <w:jc w:val="both"/>
        <w:rPr>
          <w:rFonts w:ascii="Times New Roman" w:hAnsi="Times New Roman" w:cs="Traditional Arabic"/>
          <w:noProof/>
          <w:sz w:val="28"/>
          <w:szCs w:val="28"/>
        </w:rPr>
      </w:pPr>
      <w:r w:rsidRPr="00F74A76">
        <w:rPr>
          <w:rFonts w:ascii="Times New Roman" w:hAnsi="Times New Roman" w:cs="Traditional Arabic"/>
          <w:noProof/>
          <w:sz w:val="28"/>
          <w:szCs w:val="28"/>
          <w:rtl/>
        </w:rPr>
        <w:t>وزارة الصناعة والتكنولوجيا المتقدمة</w:t>
      </w:r>
      <w:r w:rsidRPr="00F74A76">
        <w:rPr>
          <w:rFonts w:ascii="Times New Roman" w:hAnsi="Times New Roman" w:cs="Traditional Arabic"/>
          <w:noProof/>
          <w:sz w:val="28"/>
          <w:szCs w:val="28"/>
        </w:rPr>
        <w:t xml:space="preserve"> (2025). Technology Transformation Program (TTP). </w:t>
      </w:r>
      <w:hyperlink r:id="rId48" w:tgtFrame="_blank" w:history="1">
        <w:r w:rsidRPr="00F74A76">
          <w:rPr>
            <w:rFonts w:ascii="Times New Roman" w:hAnsi="Times New Roman" w:cs="Traditional Arabic"/>
            <w:noProof/>
            <w:sz w:val="28"/>
            <w:szCs w:val="28"/>
          </w:rPr>
          <w:t>https://moiat.gov.ae/en/programs/ttp</w:t>
        </w:r>
      </w:hyperlink>
    </w:p>
    <w:p w14:paraId="1E4A3581" w14:textId="77777777" w:rsidR="00314593" w:rsidRPr="00F74A76" w:rsidRDefault="00314593" w:rsidP="00F74A76">
      <w:pPr>
        <w:numPr>
          <w:ilvl w:val="0"/>
          <w:numId w:val="30"/>
        </w:numPr>
        <w:spacing w:before="100" w:beforeAutospacing="1" w:after="100" w:afterAutospacing="1" w:line="240" w:lineRule="auto"/>
        <w:jc w:val="both"/>
        <w:rPr>
          <w:rFonts w:ascii="Times New Roman" w:hAnsi="Times New Roman" w:cs="Traditional Arabic"/>
          <w:noProof/>
          <w:sz w:val="28"/>
          <w:szCs w:val="28"/>
        </w:rPr>
      </w:pPr>
      <w:r w:rsidRPr="00F74A76">
        <w:rPr>
          <w:rFonts w:ascii="Times New Roman" w:hAnsi="Times New Roman" w:cs="Traditional Arabic"/>
          <w:noProof/>
          <w:sz w:val="28"/>
          <w:szCs w:val="28"/>
        </w:rPr>
        <w:t xml:space="preserve">WAM (2026). UAE launches national industrial transformation track. </w:t>
      </w:r>
      <w:hyperlink r:id="rId49" w:tgtFrame="_blank" w:history="1">
        <w:r w:rsidRPr="00F74A76">
          <w:rPr>
            <w:rFonts w:ascii="Times New Roman" w:hAnsi="Times New Roman" w:cs="Traditional Arabic"/>
            <w:noProof/>
            <w:sz w:val="28"/>
            <w:szCs w:val="28"/>
          </w:rPr>
          <w:t>https://www.wam.ae/en/article/bykkvm6-uae-launches-national-industrial-transformation</w:t>
        </w:r>
      </w:hyperlink>
    </w:p>
    <w:p w14:paraId="1FF34FDC" w14:textId="77777777" w:rsidR="00314593" w:rsidRPr="00F74A76" w:rsidRDefault="00314593" w:rsidP="00F74A76">
      <w:pPr>
        <w:numPr>
          <w:ilvl w:val="0"/>
          <w:numId w:val="30"/>
        </w:numPr>
        <w:spacing w:before="100" w:beforeAutospacing="1" w:after="100" w:afterAutospacing="1" w:line="240" w:lineRule="auto"/>
        <w:jc w:val="both"/>
        <w:rPr>
          <w:rFonts w:ascii="Times New Roman" w:hAnsi="Times New Roman" w:cs="Traditional Arabic"/>
          <w:noProof/>
          <w:sz w:val="28"/>
          <w:szCs w:val="28"/>
        </w:rPr>
      </w:pPr>
      <w:r w:rsidRPr="00F74A76">
        <w:rPr>
          <w:rFonts w:ascii="Times New Roman" w:hAnsi="Times New Roman" w:cs="Traditional Arabic"/>
          <w:noProof/>
          <w:sz w:val="28"/>
          <w:szCs w:val="28"/>
          <w:rtl/>
        </w:rPr>
        <w:t>وزارة التجارة والصناعة ـ قطر (2025). المنصة الموحدة</w:t>
      </w:r>
      <w:r w:rsidRPr="00F74A76">
        <w:rPr>
          <w:rFonts w:ascii="Times New Roman" w:hAnsi="Times New Roman" w:cs="Traditional Arabic"/>
          <w:noProof/>
          <w:sz w:val="28"/>
          <w:szCs w:val="28"/>
        </w:rPr>
        <w:t xml:space="preserve">. </w:t>
      </w:r>
      <w:hyperlink r:id="rId50" w:tgtFrame="_blank" w:history="1">
        <w:r w:rsidRPr="00F74A76">
          <w:rPr>
            <w:rFonts w:ascii="Times New Roman" w:hAnsi="Times New Roman" w:cs="Traditional Arabic"/>
            <w:noProof/>
            <w:sz w:val="28"/>
            <w:szCs w:val="28"/>
          </w:rPr>
          <w:t>https://www.moci.gov.qa</w:t>
        </w:r>
      </w:hyperlink>
    </w:p>
    <w:p w14:paraId="544B7506" w14:textId="77777777" w:rsidR="00314593" w:rsidRPr="00F74A76" w:rsidRDefault="00314593" w:rsidP="00F74A76">
      <w:pPr>
        <w:numPr>
          <w:ilvl w:val="0"/>
          <w:numId w:val="30"/>
        </w:numPr>
        <w:spacing w:before="100" w:beforeAutospacing="1" w:after="100" w:afterAutospacing="1" w:line="240" w:lineRule="auto"/>
        <w:jc w:val="both"/>
        <w:rPr>
          <w:rFonts w:ascii="Times New Roman" w:hAnsi="Times New Roman" w:cs="Traditional Arabic"/>
          <w:noProof/>
          <w:sz w:val="28"/>
          <w:szCs w:val="28"/>
        </w:rPr>
      </w:pPr>
      <w:r w:rsidRPr="00F74A76">
        <w:rPr>
          <w:rFonts w:ascii="Times New Roman" w:hAnsi="Times New Roman" w:cs="Traditional Arabic"/>
          <w:noProof/>
          <w:sz w:val="28"/>
          <w:szCs w:val="28"/>
        </w:rPr>
        <w:t xml:space="preserve">QNA (2025). MOCI holds event on Gulf digital transformation workshops in factories. </w:t>
      </w:r>
      <w:hyperlink r:id="rId51" w:tgtFrame="_blank" w:history="1">
        <w:r w:rsidRPr="00F74A76">
          <w:rPr>
            <w:rFonts w:ascii="Times New Roman" w:hAnsi="Times New Roman" w:cs="Traditional Arabic"/>
            <w:noProof/>
            <w:sz w:val="28"/>
            <w:szCs w:val="28"/>
          </w:rPr>
          <w:t>https://qna.org.qa/en/News-Area/News/2025-12/23/moci-holds-event-on-gulf-digital-transformation-workshops-in-factories</w:t>
        </w:r>
      </w:hyperlink>
    </w:p>
    <w:p w14:paraId="6DD559AB" w14:textId="77777777" w:rsidR="00314593" w:rsidRPr="00F74A76" w:rsidRDefault="00314593" w:rsidP="00F74A76">
      <w:pPr>
        <w:numPr>
          <w:ilvl w:val="0"/>
          <w:numId w:val="30"/>
        </w:numPr>
        <w:spacing w:before="100" w:beforeAutospacing="1" w:after="100" w:afterAutospacing="1" w:line="240" w:lineRule="auto"/>
        <w:jc w:val="both"/>
        <w:rPr>
          <w:rFonts w:ascii="Times New Roman" w:hAnsi="Times New Roman" w:cs="Traditional Arabic"/>
          <w:noProof/>
          <w:sz w:val="28"/>
          <w:szCs w:val="28"/>
        </w:rPr>
      </w:pPr>
      <w:r w:rsidRPr="00F74A76">
        <w:rPr>
          <w:rFonts w:ascii="Times New Roman" w:hAnsi="Times New Roman" w:cs="Traditional Arabic"/>
          <w:noProof/>
          <w:sz w:val="28"/>
          <w:szCs w:val="28"/>
        </w:rPr>
        <w:t xml:space="preserve">BNA (2023). Industry and Commerce Minister launches iFactories. </w:t>
      </w:r>
      <w:hyperlink r:id="rId52" w:tgtFrame="_blank" w:history="1">
        <w:r w:rsidRPr="00F74A76">
          <w:rPr>
            <w:rFonts w:ascii="Times New Roman" w:hAnsi="Times New Roman" w:cs="Traditional Arabic"/>
            <w:noProof/>
            <w:sz w:val="28"/>
            <w:szCs w:val="28"/>
          </w:rPr>
          <w:t>https://www.bna.bh/en/IndustryandCommerceMinisterlaunchesiFactories.aspx</w:t>
        </w:r>
      </w:hyperlink>
    </w:p>
    <w:p w14:paraId="2CDDE3F1" w14:textId="77777777" w:rsidR="00314593" w:rsidRPr="00F74A76" w:rsidRDefault="00314593" w:rsidP="00F74A76">
      <w:pPr>
        <w:numPr>
          <w:ilvl w:val="0"/>
          <w:numId w:val="30"/>
        </w:numPr>
        <w:spacing w:before="100" w:beforeAutospacing="1" w:after="100" w:afterAutospacing="1" w:line="240" w:lineRule="auto"/>
        <w:jc w:val="both"/>
        <w:rPr>
          <w:rFonts w:ascii="Times New Roman" w:hAnsi="Times New Roman" w:cs="Traditional Arabic"/>
          <w:noProof/>
          <w:sz w:val="28"/>
          <w:szCs w:val="28"/>
        </w:rPr>
      </w:pPr>
      <w:r w:rsidRPr="00F74A76">
        <w:rPr>
          <w:rFonts w:ascii="Times New Roman" w:hAnsi="Times New Roman" w:cs="Traditional Arabic"/>
          <w:noProof/>
          <w:sz w:val="28"/>
          <w:szCs w:val="28"/>
        </w:rPr>
        <w:t xml:space="preserve">Bahrain EDB (2025). Transforming Bahrain's manufacturing sector through innovation and technology. </w:t>
      </w:r>
      <w:hyperlink r:id="rId53" w:tgtFrame="_blank" w:history="1">
        <w:r w:rsidRPr="00F74A76">
          <w:rPr>
            <w:rFonts w:ascii="Times New Roman" w:hAnsi="Times New Roman" w:cs="Traditional Arabic"/>
            <w:noProof/>
            <w:sz w:val="28"/>
            <w:szCs w:val="28"/>
          </w:rPr>
          <w:t>https://www.bahrainedb.com/bahrain-pulse/transforming-bahrains-manufacturing-sector-through-innovation-and-technology</w:t>
        </w:r>
      </w:hyperlink>
    </w:p>
    <w:p w14:paraId="577E60E7" w14:textId="77777777" w:rsidR="00314593" w:rsidRPr="00F74A76" w:rsidRDefault="00314593" w:rsidP="00F74A76">
      <w:pPr>
        <w:numPr>
          <w:ilvl w:val="0"/>
          <w:numId w:val="30"/>
        </w:numPr>
        <w:spacing w:before="100" w:beforeAutospacing="1" w:after="100" w:afterAutospacing="1" w:line="240" w:lineRule="auto"/>
        <w:jc w:val="both"/>
        <w:rPr>
          <w:rFonts w:ascii="Times New Roman" w:hAnsi="Times New Roman" w:cs="Traditional Arabic"/>
          <w:noProof/>
          <w:sz w:val="28"/>
          <w:szCs w:val="28"/>
        </w:rPr>
      </w:pPr>
      <w:r w:rsidRPr="00F74A76">
        <w:rPr>
          <w:rFonts w:ascii="Times New Roman" w:hAnsi="Times New Roman" w:cs="Traditional Arabic"/>
          <w:noProof/>
          <w:sz w:val="28"/>
          <w:szCs w:val="28"/>
        </w:rPr>
        <w:t xml:space="preserve">Zawya (2025). Oman Commerce Ministry launches several digital platforms for empowering investors. </w:t>
      </w:r>
      <w:hyperlink r:id="rId54" w:tgtFrame="_blank" w:history="1">
        <w:r w:rsidRPr="00F74A76">
          <w:rPr>
            <w:rFonts w:ascii="Times New Roman" w:hAnsi="Times New Roman" w:cs="Traditional Arabic"/>
            <w:noProof/>
            <w:sz w:val="28"/>
            <w:szCs w:val="28"/>
          </w:rPr>
          <w:t>https://www.zawya.com/en/economy/gcc/oman-commerce-ministry-launches-several-digital-platforms-for-empowering-investors-bia9vrs7</w:t>
        </w:r>
      </w:hyperlink>
    </w:p>
    <w:p w14:paraId="26585B48" w14:textId="77777777" w:rsidR="00314593" w:rsidRPr="00F74A76" w:rsidRDefault="00314593" w:rsidP="00F74A76">
      <w:pPr>
        <w:numPr>
          <w:ilvl w:val="0"/>
          <w:numId w:val="30"/>
        </w:numPr>
        <w:spacing w:before="100" w:beforeAutospacing="1" w:after="100" w:afterAutospacing="1" w:line="240" w:lineRule="auto"/>
        <w:jc w:val="both"/>
        <w:rPr>
          <w:rFonts w:ascii="Times New Roman" w:hAnsi="Times New Roman" w:cs="Traditional Arabic"/>
          <w:noProof/>
          <w:sz w:val="28"/>
          <w:szCs w:val="28"/>
        </w:rPr>
      </w:pPr>
      <w:r w:rsidRPr="00F74A76">
        <w:rPr>
          <w:rFonts w:ascii="Times New Roman" w:hAnsi="Times New Roman" w:cs="Traditional Arabic"/>
          <w:noProof/>
          <w:sz w:val="28"/>
          <w:szCs w:val="28"/>
          <w:rtl/>
        </w:rPr>
        <w:t>وكالة الأنباء العمانية (2026). قانون التنظيم الصناعي الموحّد الخليجي</w:t>
      </w:r>
      <w:r w:rsidRPr="00F74A76">
        <w:rPr>
          <w:rFonts w:ascii="Times New Roman" w:hAnsi="Times New Roman" w:cs="Traditional Arabic"/>
          <w:noProof/>
          <w:sz w:val="28"/>
          <w:szCs w:val="28"/>
        </w:rPr>
        <w:t xml:space="preserve">. </w:t>
      </w:r>
      <w:hyperlink r:id="rId55" w:tgtFrame="_blank" w:history="1">
        <w:r w:rsidRPr="00F74A76">
          <w:rPr>
            <w:rFonts w:ascii="Times New Roman" w:hAnsi="Times New Roman" w:cs="Traditional Arabic"/>
            <w:noProof/>
            <w:sz w:val="28"/>
            <w:szCs w:val="28"/>
          </w:rPr>
          <w:t>https://omannews.gov.om/topics/ar/7/show/463678/ona</w:t>
        </w:r>
      </w:hyperlink>
    </w:p>
    <w:p w14:paraId="26B29912" w14:textId="77777777" w:rsidR="00314593" w:rsidRPr="00F74A76" w:rsidRDefault="00314593" w:rsidP="00F74A76">
      <w:pPr>
        <w:numPr>
          <w:ilvl w:val="0"/>
          <w:numId w:val="30"/>
        </w:numPr>
        <w:spacing w:before="100" w:beforeAutospacing="1" w:after="100" w:afterAutospacing="1" w:line="240" w:lineRule="auto"/>
        <w:jc w:val="both"/>
        <w:rPr>
          <w:rFonts w:ascii="Times New Roman" w:hAnsi="Times New Roman" w:cs="Traditional Arabic"/>
          <w:noProof/>
          <w:sz w:val="28"/>
          <w:szCs w:val="28"/>
        </w:rPr>
      </w:pPr>
      <w:r w:rsidRPr="00F74A76">
        <w:rPr>
          <w:rFonts w:ascii="Times New Roman" w:hAnsi="Times New Roman" w:cs="Traditional Arabic"/>
          <w:noProof/>
          <w:sz w:val="28"/>
          <w:szCs w:val="28"/>
        </w:rPr>
        <w:t xml:space="preserve">Kuwait Times (2025). MoCI, MoI launch new e-services. </w:t>
      </w:r>
      <w:hyperlink r:id="rId56" w:tgtFrame="_blank" w:history="1">
        <w:r w:rsidRPr="00F74A76">
          <w:rPr>
            <w:rFonts w:ascii="Times New Roman" w:hAnsi="Times New Roman" w:cs="Traditional Arabic"/>
            <w:noProof/>
            <w:sz w:val="28"/>
            <w:szCs w:val="28"/>
          </w:rPr>
          <w:t>https://kuwaittimes.com/article/35017/kuwait/other-news/moci-moi-launch-new-e-services/</w:t>
        </w:r>
      </w:hyperlink>
    </w:p>
    <w:p w14:paraId="2CA71F0F" w14:textId="77777777" w:rsidR="00314593" w:rsidRPr="00F74A76" w:rsidRDefault="00314593" w:rsidP="00F74A76">
      <w:pPr>
        <w:numPr>
          <w:ilvl w:val="0"/>
          <w:numId w:val="30"/>
        </w:numPr>
        <w:spacing w:before="100" w:beforeAutospacing="1" w:after="100" w:afterAutospacing="1" w:line="240" w:lineRule="auto"/>
        <w:jc w:val="both"/>
        <w:rPr>
          <w:rFonts w:ascii="Times New Roman" w:hAnsi="Times New Roman" w:cs="Traditional Arabic"/>
          <w:noProof/>
          <w:sz w:val="28"/>
          <w:szCs w:val="28"/>
        </w:rPr>
      </w:pPr>
      <w:r w:rsidRPr="00F74A76">
        <w:rPr>
          <w:rFonts w:ascii="Times New Roman" w:hAnsi="Times New Roman" w:cs="Traditional Arabic"/>
          <w:noProof/>
          <w:sz w:val="28"/>
          <w:szCs w:val="28"/>
        </w:rPr>
        <w:t xml:space="preserve">Arab Times (2025). Kuwait to transition from digital services to smart journeys. </w:t>
      </w:r>
      <w:hyperlink r:id="rId57" w:tgtFrame="_blank" w:history="1">
        <w:r w:rsidRPr="00F74A76">
          <w:rPr>
            <w:rFonts w:ascii="Times New Roman" w:hAnsi="Times New Roman" w:cs="Traditional Arabic"/>
            <w:noProof/>
            <w:sz w:val="28"/>
            <w:szCs w:val="28"/>
          </w:rPr>
          <w:t>https://www.arabtimesonline.com/news/kuwait-to-transition-from-digital-services-to-smart-journeys/</w:t>
        </w:r>
      </w:hyperlink>
    </w:p>
    <w:p w14:paraId="225F3BEC" w14:textId="77777777" w:rsidR="00314593" w:rsidRPr="00F74A76" w:rsidRDefault="00314593" w:rsidP="00F74A76">
      <w:pPr>
        <w:numPr>
          <w:ilvl w:val="0"/>
          <w:numId w:val="30"/>
        </w:numPr>
        <w:spacing w:before="100" w:beforeAutospacing="1" w:after="100" w:afterAutospacing="1" w:line="240" w:lineRule="auto"/>
        <w:jc w:val="both"/>
        <w:rPr>
          <w:rFonts w:ascii="Times New Roman" w:hAnsi="Times New Roman" w:cs="Traditional Arabic"/>
          <w:noProof/>
          <w:sz w:val="28"/>
          <w:szCs w:val="28"/>
        </w:rPr>
      </w:pPr>
      <w:r w:rsidRPr="00F74A76">
        <w:rPr>
          <w:rFonts w:ascii="Times New Roman" w:hAnsi="Times New Roman" w:cs="Traditional Arabic"/>
          <w:noProof/>
          <w:sz w:val="28"/>
          <w:szCs w:val="28"/>
        </w:rPr>
        <w:t xml:space="preserve">GOIC (2025). The Digital Transformation Journey in Factories. </w:t>
      </w:r>
      <w:hyperlink r:id="rId58" w:tgtFrame="_blank" w:history="1">
        <w:r w:rsidRPr="00F74A76">
          <w:rPr>
            <w:rFonts w:ascii="Times New Roman" w:hAnsi="Times New Roman" w:cs="Traditional Arabic"/>
            <w:noProof/>
            <w:sz w:val="28"/>
            <w:szCs w:val="28"/>
          </w:rPr>
          <w:t>https://www.goic.org.qa/goiccms/WebsiteNews_346_EN.html</w:t>
        </w:r>
      </w:hyperlink>
    </w:p>
    <w:p w14:paraId="7BBEBF52" w14:textId="77777777" w:rsidR="008E7CFB" w:rsidRPr="00DF30CE" w:rsidRDefault="008E7CFB" w:rsidP="00F74A76">
      <w:pPr>
        <w:bidi/>
        <w:spacing w:before="100" w:beforeAutospacing="1" w:after="100" w:afterAutospacing="1" w:line="360" w:lineRule="auto"/>
        <w:jc w:val="both"/>
        <w:rPr>
          <w:rFonts w:ascii="Times New Roman" w:hAnsi="Times New Roman" w:cs="Traditional Arabic"/>
          <w:noProof/>
          <w:sz w:val="28"/>
          <w:szCs w:val="28"/>
        </w:rPr>
      </w:pPr>
    </w:p>
    <w:p w14:paraId="5EB22588" w14:textId="77777777" w:rsidR="00DF30CE" w:rsidRPr="00DF30CE" w:rsidRDefault="00DF30CE" w:rsidP="00DF30CE">
      <w:pPr>
        <w:spacing w:before="100" w:beforeAutospacing="1" w:after="100" w:afterAutospacing="1" w:line="360" w:lineRule="auto"/>
        <w:jc w:val="both"/>
        <w:rPr>
          <w:rFonts w:ascii="Times New Roman" w:hAnsi="Times New Roman" w:cs="Traditional Arabic"/>
          <w:noProof/>
          <w:sz w:val="28"/>
          <w:szCs w:val="28"/>
        </w:rPr>
      </w:pPr>
    </w:p>
    <w:p w14:paraId="31A71C11" w14:textId="77777777" w:rsidR="0027677B" w:rsidRDefault="0027677B" w:rsidP="0027677B">
      <w:pPr>
        <w:spacing w:before="100" w:beforeAutospacing="1" w:after="100" w:afterAutospacing="1" w:line="360" w:lineRule="auto"/>
        <w:ind w:left="426"/>
        <w:jc w:val="both"/>
        <w:rPr>
          <w:rFonts w:ascii="Times New Roman" w:hAnsi="Times New Roman" w:cs="Traditional Arabic"/>
          <w:noProof/>
          <w:sz w:val="28"/>
          <w:szCs w:val="28"/>
        </w:rPr>
      </w:pPr>
    </w:p>
    <w:p w14:paraId="1A5A2AE3" w14:textId="77777777" w:rsidR="00375661" w:rsidRPr="00E00DF6" w:rsidRDefault="00375661" w:rsidP="00375661">
      <w:pPr>
        <w:bidi/>
        <w:spacing w:before="100" w:beforeAutospacing="1" w:after="100" w:afterAutospacing="1" w:line="360" w:lineRule="auto"/>
        <w:ind w:left="426"/>
        <w:jc w:val="both"/>
        <w:rPr>
          <w:rFonts w:ascii="Times New Roman" w:hAnsi="Times New Roman" w:cs="Traditional Arabic"/>
          <w:noProof/>
          <w:sz w:val="28"/>
          <w:szCs w:val="28"/>
        </w:rPr>
      </w:pPr>
      <w:bookmarkStart w:id="20" w:name="_GoBack"/>
      <w:bookmarkEnd w:id="20"/>
    </w:p>
    <w:sectPr w:rsidR="00375661" w:rsidRPr="00E00DF6" w:rsidSect="00476CBD">
      <w:footerReference w:type="first" r:id="rId59"/>
      <w:pgSz w:w="11906" w:h="16838"/>
      <w:pgMar w:top="1418" w:right="1701" w:bottom="1418" w:left="1418" w:header="709" w:footer="709" w:gutter="284"/>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91FA25" w14:textId="77777777" w:rsidR="007B68BD" w:rsidRDefault="007B68BD" w:rsidP="00F628F0">
      <w:pPr>
        <w:spacing w:after="0" w:line="240" w:lineRule="auto"/>
      </w:pPr>
      <w:r>
        <w:separator/>
      </w:r>
    </w:p>
  </w:endnote>
  <w:endnote w:type="continuationSeparator" w:id="0">
    <w:p w14:paraId="5C1EA061" w14:textId="77777777" w:rsidR="007B68BD" w:rsidRDefault="007B68BD"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Sakkal Majalla" w:hAnsi="Sakkal Majalla" w:cs="Sakkal Majalla"/>
      </w:rPr>
      <w:id w:val="618331194"/>
      <w:docPartObj>
        <w:docPartGallery w:val="Page Numbers (Bottom of Page)"/>
        <w:docPartUnique/>
      </w:docPartObj>
    </w:sdtPr>
    <w:sdtEndPr/>
    <w:sdtContent>
      <w:p w14:paraId="05E3B47E" w14:textId="6702C137" w:rsidR="00140115" w:rsidRPr="00FA7D05" w:rsidRDefault="00140115">
        <w:pPr>
          <w:pStyle w:val="Footer"/>
          <w:jc w:val="center"/>
          <w:rPr>
            <w:rFonts w:ascii="Sakkal Majalla" w:hAnsi="Sakkal Majalla" w:cs="Sakkal Majalla"/>
          </w:rPr>
        </w:pPr>
        <w:r w:rsidRPr="00FA7D05">
          <w:rPr>
            <w:rFonts w:ascii="Sakkal Majalla" w:hAnsi="Sakkal Majalla" w:cs="Sakkal Majalla"/>
          </w:rPr>
          <w:t>[</w:t>
        </w:r>
        <w:r w:rsidRPr="00FA7D05">
          <w:rPr>
            <w:rFonts w:ascii="Sakkal Majalla" w:hAnsi="Sakkal Majalla" w:cs="Sakkal Majalla"/>
          </w:rPr>
          <w:fldChar w:fldCharType="begin"/>
        </w:r>
        <w:r w:rsidRPr="00FA7D05">
          <w:rPr>
            <w:rFonts w:ascii="Sakkal Majalla" w:hAnsi="Sakkal Majalla" w:cs="Sakkal Majalla"/>
          </w:rPr>
          <w:instrText xml:space="preserve"> PAGE   \* MERGEFORMAT </w:instrText>
        </w:r>
        <w:r w:rsidRPr="00FA7D05">
          <w:rPr>
            <w:rFonts w:ascii="Sakkal Majalla" w:hAnsi="Sakkal Majalla" w:cs="Sakkal Majalla"/>
          </w:rPr>
          <w:fldChar w:fldCharType="separate"/>
        </w:r>
        <w:r w:rsidR="00ED4FE6">
          <w:rPr>
            <w:rFonts w:ascii="Sakkal Majalla" w:hAnsi="Sakkal Majalla" w:cs="Sakkal Majalla"/>
            <w:noProof/>
          </w:rPr>
          <w:t>92</w:t>
        </w:r>
        <w:r w:rsidRPr="00FA7D05">
          <w:rPr>
            <w:rFonts w:ascii="Sakkal Majalla" w:hAnsi="Sakkal Majalla" w:cs="Sakkal Majalla"/>
            <w:noProof/>
          </w:rPr>
          <w:fldChar w:fldCharType="end"/>
        </w:r>
        <w:r w:rsidRPr="00FA7D05">
          <w:rPr>
            <w:rFonts w:ascii="Sakkal Majalla" w:hAnsi="Sakkal Majalla" w:cs="Sakkal Majalla"/>
          </w:rPr>
          <w:t>]</w:t>
        </w:r>
      </w:p>
    </w:sdtContent>
  </w:sdt>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7C54D4" w14:textId="77777777" w:rsidR="00140115" w:rsidRDefault="0014011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11B4AF" w14:textId="77777777" w:rsidR="007B68BD" w:rsidRDefault="007B68BD" w:rsidP="00F628F0">
      <w:pPr>
        <w:spacing w:after="0" w:line="240" w:lineRule="auto"/>
      </w:pPr>
      <w:r>
        <w:separator/>
      </w:r>
    </w:p>
  </w:footnote>
  <w:footnote w:type="continuationSeparator" w:id="0">
    <w:p w14:paraId="5DFE603C" w14:textId="77777777" w:rsidR="007B68BD" w:rsidRDefault="007B68BD"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47FFEA" w14:textId="16CF0CA6" w:rsidR="00140115" w:rsidRDefault="00140115">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A84697" w14:textId="2200B9D0" w:rsidR="00140115" w:rsidRDefault="00140115">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8A3A7D"/>
    <w:multiLevelType w:val="hybridMultilevel"/>
    <w:tmpl w:val="A3044986"/>
    <w:lvl w:ilvl="0" w:tplc="3EACADB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8F0208"/>
    <w:multiLevelType w:val="multilevel"/>
    <w:tmpl w:val="31CCE2C4"/>
    <w:lvl w:ilvl="0">
      <w:start w:val="1"/>
      <w:numFmt w:val="decimal"/>
      <w:lvlText w:val="%1"/>
      <w:lvlJc w:val="left"/>
      <w:pPr>
        <w:ind w:left="420" w:hanging="42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3" w15:restartNumberingAfterBreak="0">
    <w:nsid w:val="08E73886"/>
    <w:multiLevelType w:val="hybridMultilevel"/>
    <w:tmpl w:val="6B0C1EE4"/>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A477789"/>
    <w:multiLevelType w:val="hybridMultilevel"/>
    <w:tmpl w:val="163C500E"/>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5" w15:restartNumberingAfterBreak="0">
    <w:nsid w:val="0A964D1A"/>
    <w:multiLevelType w:val="hybridMultilevel"/>
    <w:tmpl w:val="62D4DE4A"/>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01B09C4"/>
    <w:multiLevelType w:val="multilevel"/>
    <w:tmpl w:val="B9B26B4E"/>
    <w:lvl w:ilvl="0">
      <w:start w:val="1"/>
      <w:numFmt w:val="bullet"/>
      <w:lvlText w:val=""/>
      <w:lvlJc w:val="left"/>
      <w:pPr>
        <w:tabs>
          <w:tab w:val="num" w:pos="1352"/>
        </w:tabs>
        <w:ind w:left="1352" w:hanging="360"/>
      </w:pPr>
      <w:rPr>
        <w:rFonts w:ascii="Symbol" w:hAnsi="Symbol" w:hint="default"/>
        <w:sz w:val="20"/>
      </w:rPr>
    </w:lvl>
    <w:lvl w:ilvl="1" w:tentative="1">
      <w:start w:val="1"/>
      <w:numFmt w:val="bullet"/>
      <w:lvlText w:val="o"/>
      <w:lvlJc w:val="left"/>
      <w:pPr>
        <w:tabs>
          <w:tab w:val="num" w:pos="2072"/>
        </w:tabs>
        <w:ind w:left="2072" w:hanging="360"/>
      </w:pPr>
      <w:rPr>
        <w:rFonts w:ascii="Courier New" w:hAnsi="Courier New" w:hint="default"/>
        <w:sz w:val="20"/>
      </w:rPr>
    </w:lvl>
    <w:lvl w:ilvl="2" w:tentative="1">
      <w:start w:val="1"/>
      <w:numFmt w:val="bullet"/>
      <w:lvlText w:val=""/>
      <w:lvlJc w:val="left"/>
      <w:pPr>
        <w:tabs>
          <w:tab w:val="num" w:pos="2792"/>
        </w:tabs>
        <w:ind w:left="2792" w:hanging="360"/>
      </w:pPr>
      <w:rPr>
        <w:rFonts w:ascii="Wingdings" w:hAnsi="Wingdings" w:hint="default"/>
        <w:sz w:val="20"/>
      </w:rPr>
    </w:lvl>
    <w:lvl w:ilvl="3" w:tentative="1">
      <w:start w:val="1"/>
      <w:numFmt w:val="bullet"/>
      <w:lvlText w:val=""/>
      <w:lvlJc w:val="left"/>
      <w:pPr>
        <w:tabs>
          <w:tab w:val="num" w:pos="3512"/>
        </w:tabs>
        <w:ind w:left="3512" w:hanging="360"/>
      </w:pPr>
      <w:rPr>
        <w:rFonts w:ascii="Wingdings" w:hAnsi="Wingdings" w:hint="default"/>
        <w:sz w:val="20"/>
      </w:rPr>
    </w:lvl>
    <w:lvl w:ilvl="4" w:tentative="1">
      <w:start w:val="1"/>
      <w:numFmt w:val="bullet"/>
      <w:lvlText w:val=""/>
      <w:lvlJc w:val="left"/>
      <w:pPr>
        <w:tabs>
          <w:tab w:val="num" w:pos="4232"/>
        </w:tabs>
        <w:ind w:left="4232" w:hanging="360"/>
      </w:pPr>
      <w:rPr>
        <w:rFonts w:ascii="Wingdings" w:hAnsi="Wingdings" w:hint="default"/>
        <w:sz w:val="20"/>
      </w:rPr>
    </w:lvl>
    <w:lvl w:ilvl="5" w:tentative="1">
      <w:start w:val="1"/>
      <w:numFmt w:val="bullet"/>
      <w:lvlText w:val=""/>
      <w:lvlJc w:val="left"/>
      <w:pPr>
        <w:tabs>
          <w:tab w:val="num" w:pos="4952"/>
        </w:tabs>
        <w:ind w:left="4952" w:hanging="360"/>
      </w:pPr>
      <w:rPr>
        <w:rFonts w:ascii="Wingdings" w:hAnsi="Wingdings" w:hint="default"/>
        <w:sz w:val="20"/>
      </w:rPr>
    </w:lvl>
    <w:lvl w:ilvl="6" w:tentative="1">
      <w:start w:val="1"/>
      <w:numFmt w:val="bullet"/>
      <w:lvlText w:val=""/>
      <w:lvlJc w:val="left"/>
      <w:pPr>
        <w:tabs>
          <w:tab w:val="num" w:pos="5672"/>
        </w:tabs>
        <w:ind w:left="5672" w:hanging="360"/>
      </w:pPr>
      <w:rPr>
        <w:rFonts w:ascii="Wingdings" w:hAnsi="Wingdings" w:hint="default"/>
        <w:sz w:val="20"/>
      </w:rPr>
    </w:lvl>
    <w:lvl w:ilvl="7" w:tentative="1">
      <w:start w:val="1"/>
      <w:numFmt w:val="bullet"/>
      <w:lvlText w:val=""/>
      <w:lvlJc w:val="left"/>
      <w:pPr>
        <w:tabs>
          <w:tab w:val="num" w:pos="6392"/>
        </w:tabs>
        <w:ind w:left="6392" w:hanging="360"/>
      </w:pPr>
      <w:rPr>
        <w:rFonts w:ascii="Wingdings" w:hAnsi="Wingdings" w:hint="default"/>
        <w:sz w:val="20"/>
      </w:rPr>
    </w:lvl>
    <w:lvl w:ilvl="8" w:tentative="1">
      <w:start w:val="1"/>
      <w:numFmt w:val="bullet"/>
      <w:lvlText w:val=""/>
      <w:lvlJc w:val="left"/>
      <w:pPr>
        <w:tabs>
          <w:tab w:val="num" w:pos="7112"/>
        </w:tabs>
        <w:ind w:left="7112" w:hanging="360"/>
      </w:pPr>
      <w:rPr>
        <w:rFonts w:ascii="Wingdings" w:hAnsi="Wingdings" w:hint="default"/>
        <w:sz w:val="20"/>
      </w:rPr>
    </w:lvl>
  </w:abstractNum>
  <w:abstractNum w:abstractNumId="7" w15:restartNumberingAfterBreak="0">
    <w:nsid w:val="18163FD7"/>
    <w:multiLevelType w:val="multilevel"/>
    <w:tmpl w:val="D5CA22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9A17E82"/>
    <w:multiLevelType w:val="hybridMultilevel"/>
    <w:tmpl w:val="2C504B9E"/>
    <w:lvl w:ilvl="0" w:tplc="06B83980">
      <w:start w:val="1"/>
      <w:numFmt w:val="bullet"/>
      <w:lvlText w:val=""/>
      <w:lvlJc w:val="left"/>
      <w:pPr>
        <w:ind w:left="1211" w:hanging="360"/>
      </w:pPr>
      <w:rPr>
        <w:rFonts w:ascii="Symbol" w:hAnsi="Symbol" w:hint="default"/>
      </w:rPr>
    </w:lvl>
    <w:lvl w:ilvl="1" w:tplc="04090003">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9" w15:restartNumberingAfterBreak="0">
    <w:nsid w:val="1A6E35AC"/>
    <w:multiLevelType w:val="hybridMultilevel"/>
    <w:tmpl w:val="88021538"/>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1B106D62"/>
    <w:multiLevelType w:val="multilevel"/>
    <w:tmpl w:val="1994AB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FF4070B"/>
    <w:multiLevelType w:val="hybridMultilevel"/>
    <w:tmpl w:val="776CF4AA"/>
    <w:lvl w:ilvl="0" w:tplc="04090005">
      <w:start w:val="1"/>
      <w:numFmt w:val="bullet"/>
      <w:lvlText w:val=""/>
      <w:lvlJc w:val="left"/>
      <w:pPr>
        <w:ind w:left="786"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BF4FB5"/>
    <w:multiLevelType w:val="hybridMultilevel"/>
    <w:tmpl w:val="15F6FCA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3" w15:restartNumberingAfterBreak="0">
    <w:nsid w:val="21EE6B22"/>
    <w:multiLevelType w:val="multilevel"/>
    <w:tmpl w:val="7706C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4B86483"/>
    <w:multiLevelType w:val="hybridMultilevel"/>
    <w:tmpl w:val="CEA6432E"/>
    <w:lvl w:ilvl="0" w:tplc="88C0D52E">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9F84F28"/>
    <w:multiLevelType w:val="multilevel"/>
    <w:tmpl w:val="F9805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BCD0A99"/>
    <w:multiLevelType w:val="hybridMultilevel"/>
    <w:tmpl w:val="7D1C3D3C"/>
    <w:lvl w:ilvl="0" w:tplc="06B83980">
      <w:start w:val="1"/>
      <w:numFmt w:val="bullet"/>
      <w:lvlText w:val=""/>
      <w:lvlJc w:val="left"/>
      <w:pPr>
        <w:ind w:left="1494"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7" w15:restartNumberingAfterBreak="0">
    <w:nsid w:val="321465CD"/>
    <w:multiLevelType w:val="hybridMultilevel"/>
    <w:tmpl w:val="631A6754"/>
    <w:lvl w:ilvl="0" w:tplc="06B83980">
      <w:start w:val="1"/>
      <w:numFmt w:val="bullet"/>
      <w:lvlText w:val=""/>
      <w:lvlJc w:val="left"/>
      <w:pPr>
        <w:ind w:left="669" w:hanging="360"/>
      </w:pPr>
      <w:rPr>
        <w:rFonts w:ascii="Symbol" w:hAnsi="Symbol" w:hint="default"/>
        <w:color w:val="auto"/>
      </w:rPr>
    </w:lvl>
    <w:lvl w:ilvl="1" w:tplc="04090003">
      <w:start w:val="1"/>
      <w:numFmt w:val="bullet"/>
      <w:lvlText w:val="o"/>
      <w:lvlJc w:val="left"/>
      <w:pPr>
        <w:ind w:left="1389" w:hanging="360"/>
      </w:pPr>
      <w:rPr>
        <w:rFonts w:ascii="Courier New" w:hAnsi="Courier New" w:cs="Courier New" w:hint="default"/>
      </w:rPr>
    </w:lvl>
    <w:lvl w:ilvl="2" w:tplc="04090005">
      <w:start w:val="1"/>
      <w:numFmt w:val="bullet"/>
      <w:lvlText w:val=""/>
      <w:lvlJc w:val="left"/>
      <w:pPr>
        <w:ind w:left="2109" w:hanging="360"/>
      </w:pPr>
      <w:rPr>
        <w:rFonts w:ascii="Wingdings" w:hAnsi="Wingdings" w:hint="default"/>
      </w:rPr>
    </w:lvl>
    <w:lvl w:ilvl="3" w:tplc="04090001">
      <w:start w:val="1"/>
      <w:numFmt w:val="bullet"/>
      <w:lvlText w:val=""/>
      <w:lvlJc w:val="left"/>
      <w:pPr>
        <w:ind w:left="2829" w:hanging="360"/>
      </w:pPr>
      <w:rPr>
        <w:rFonts w:ascii="Symbol" w:hAnsi="Symbol" w:hint="default"/>
      </w:rPr>
    </w:lvl>
    <w:lvl w:ilvl="4" w:tplc="04090003">
      <w:start w:val="1"/>
      <w:numFmt w:val="bullet"/>
      <w:lvlText w:val="o"/>
      <w:lvlJc w:val="left"/>
      <w:pPr>
        <w:ind w:left="3549" w:hanging="360"/>
      </w:pPr>
      <w:rPr>
        <w:rFonts w:ascii="Courier New" w:hAnsi="Courier New" w:cs="Courier New" w:hint="default"/>
      </w:rPr>
    </w:lvl>
    <w:lvl w:ilvl="5" w:tplc="04090005">
      <w:start w:val="1"/>
      <w:numFmt w:val="bullet"/>
      <w:lvlText w:val=""/>
      <w:lvlJc w:val="left"/>
      <w:pPr>
        <w:ind w:left="4269" w:hanging="360"/>
      </w:pPr>
      <w:rPr>
        <w:rFonts w:ascii="Wingdings" w:hAnsi="Wingdings" w:hint="default"/>
      </w:rPr>
    </w:lvl>
    <w:lvl w:ilvl="6" w:tplc="04090001">
      <w:start w:val="1"/>
      <w:numFmt w:val="bullet"/>
      <w:lvlText w:val=""/>
      <w:lvlJc w:val="left"/>
      <w:pPr>
        <w:ind w:left="4989" w:hanging="360"/>
      </w:pPr>
      <w:rPr>
        <w:rFonts w:ascii="Symbol" w:hAnsi="Symbol" w:hint="default"/>
      </w:rPr>
    </w:lvl>
    <w:lvl w:ilvl="7" w:tplc="04090003">
      <w:start w:val="1"/>
      <w:numFmt w:val="bullet"/>
      <w:lvlText w:val="o"/>
      <w:lvlJc w:val="left"/>
      <w:pPr>
        <w:ind w:left="5709" w:hanging="360"/>
      </w:pPr>
      <w:rPr>
        <w:rFonts w:ascii="Courier New" w:hAnsi="Courier New" w:cs="Courier New" w:hint="default"/>
      </w:rPr>
    </w:lvl>
    <w:lvl w:ilvl="8" w:tplc="04090005">
      <w:start w:val="1"/>
      <w:numFmt w:val="bullet"/>
      <w:lvlText w:val=""/>
      <w:lvlJc w:val="left"/>
      <w:pPr>
        <w:ind w:left="6429" w:hanging="360"/>
      </w:pPr>
      <w:rPr>
        <w:rFonts w:ascii="Wingdings" w:hAnsi="Wingdings" w:hint="default"/>
      </w:rPr>
    </w:lvl>
  </w:abstractNum>
  <w:abstractNum w:abstractNumId="18" w15:restartNumberingAfterBreak="0">
    <w:nsid w:val="39007A12"/>
    <w:multiLevelType w:val="multilevel"/>
    <w:tmpl w:val="91726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AFD4578"/>
    <w:multiLevelType w:val="multilevel"/>
    <w:tmpl w:val="98CE9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BC776DF"/>
    <w:multiLevelType w:val="multilevel"/>
    <w:tmpl w:val="4A2E5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0BD394D"/>
    <w:multiLevelType w:val="hybridMultilevel"/>
    <w:tmpl w:val="26F035CA"/>
    <w:lvl w:ilvl="0" w:tplc="06B83980">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529E4568"/>
    <w:multiLevelType w:val="hybridMultilevel"/>
    <w:tmpl w:val="F7503CFA"/>
    <w:lvl w:ilvl="0" w:tplc="B4EC47DC">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54D10F33"/>
    <w:multiLevelType w:val="multilevel"/>
    <w:tmpl w:val="8B860A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7576C94"/>
    <w:multiLevelType w:val="hybridMultilevel"/>
    <w:tmpl w:val="07906C16"/>
    <w:lvl w:ilvl="0" w:tplc="88C0D52E">
      <w:start w:val="1"/>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625404FB"/>
    <w:multiLevelType w:val="multilevel"/>
    <w:tmpl w:val="CEAE79A0"/>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3A909A9"/>
    <w:multiLevelType w:val="hybridMultilevel"/>
    <w:tmpl w:val="6EFC299A"/>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7" w15:restartNumberingAfterBreak="0">
    <w:nsid w:val="675B6CE9"/>
    <w:multiLevelType w:val="multilevel"/>
    <w:tmpl w:val="D15C60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40C492D"/>
    <w:multiLevelType w:val="multilevel"/>
    <w:tmpl w:val="332A2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B2B6264"/>
    <w:multiLevelType w:val="multilevel"/>
    <w:tmpl w:val="C0647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1"/>
  </w:num>
  <w:num w:numId="2">
    <w:abstractNumId w:val="8"/>
  </w:num>
  <w:num w:numId="3">
    <w:abstractNumId w:val="14"/>
  </w:num>
  <w:num w:numId="4">
    <w:abstractNumId w:val="24"/>
  </w:num>
  <w:num w:numId="5">
    <w:abstractNumId w:val="26"/>
  </w:num>
  <w:num w:numId="6">
    <w:abstractNumId w:val="22"/>
  </w:num>
  <w:num w:numId="7">
    <w:abstractNumId w:val="11"/>
  </w:num>
  <w:num w:numId="8">
    <w:abstractNumId w:val="1"/>
  </w:num>
  <w:num w:numId="9">
    <w:abstractNumId w:val="0"/>
  </w:num>
  <w:num w:numId="10">
    <w:abstractNumId w:val="3"/>
  </w:num>
  <w:num w:numId="11">
    <w:abstractNumId w:val="5"/>
  </w:num>
  <w:num w:numId="12">
    <w:abstractNumId w:val="9"/>
  </w:num>
  <w:num w:numId="13">
    <w:abstractNumId w:val="16"/>
  </w:num>
  <w:num w:numId="14">
    <w:abstractNumId w:val="17"/>
  </w:num>
  <w:num w:numId="15">
    <w:abstractNumId w:val="12"/>
  </w:num>
  <w:num w:numId="16">
    <w:abstractNumId w:val="11"/>
  </w:num>
  <w:num w:numId="17">
    <w:abstractNumId w:val="24"/>
  </w:num>
  <w:num w:numId="18">
    <w:abstractNumId w:val="4"/>
  </w:num>
  <w:num w:numId="19">
    <w:abstractNumId w:val="6"/>
  </w:num>
  <w:num w:numId="20">
    <w:abstractNumId w:val="2"/>
  </w:num>
  <w:num w:numId="21">
    <w:abstractNumId w:val="25"/>
  </w:num>
  <w:num w:numId="22">
    <w:abstractNumId w:val="27"/>
  </w:num>
  <w:num w:numId="23">
    <w:abstractNumId w:val="10"/>
  </w:num>
  <w:num w:numId="24">
    <w:abstractNumId w:val="20"/>
  </w:num>
  <w:num w:numId="25">
    <w:abstractNumId w:val="15"/>
  </w:num>
  <w:num w:numId="26">
    <w:abstractNumId w:val="19"/>
  </w:num>
  <w:num w:numId="27">
    <w:abstractNumId w:val="28"/>
  </w:num>
  <w:num w:numId="28">
    <w:abstractNumId w:val="18"/>
  </w:num>
  <w:num w:numId="29">
    <w:abstractNumId w:val="13"/>
  </w:num>
  <w:num w:numId="30">
    <w:abstractNumId w:val="29"/>
  </w:num>
  <w:num w:numId="31">
    <w:abstractNumId w:val="23"/>
  </w:num>
  <w:num w:numId="32">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7F04"/>
    <w:rsid w:val="00002AF3"/>
    <w:rsid w:val="000042BD"/>
    <w:rsid w:val="000146BB"/>
    <w:rsid w:val="00015F0D"/>
    <w:rsid w:val="00027A34"/>
    <w:rsid w:val="000322E7"/>
    <w:rsid w:val="000368D5"/>
    <w:rsid w:val="00044CFD"/>
    <w:rsid w:val="000454A3"/>
    <w:rsid w:val="000479BF"/>
    <w:rsid w:val="00047E13"/>
    <w:rsid w:val="00050370"/>
    <w:rsid w:val="00053B05"/>
    <w:rsid w:val="00053E0A"/>
    <w:rsid w:val="000541B5"/>
    <w:rsid w:val="0005494E"/>
    <w:rsid w:val="000568B5"/>
    <w:rsid w:val="00061A09"/>
    <w:rsid w:val="00067AC7"/>
    <w:rsid w:val="0007061D"/>
    <w:rsid w:val="00074754"/>
    <w:rsid w:val="00081722"/>
    <w:rsid w:val="00082B2B"/>
    <w:rsid w:val="00083922"/>
    <w:rsid w:val="00087E4F"/>
    <w:rsid w:val="00090A9C"/>
    <w:rsid w:val="00092C24"/>
    <w:rsid w:val="000940A0"/>
    <w:rsid w:val="00094A9B"/>
    <w:rsid w:val="00096F9D"/>
    <w:rsid w:val="000A0523"/>
    <w:rsid w:val="000A1D3E"/>
    <w:rsid w:val="000A1E46"/>
    <w:rsid w:val="000A282D"/>
    <w:rsid w:val="000A310D"/>
    <w:rsid w:val="000A49ED"/>
    <w:rsid w:val="000A5590"/>
    <w:rsid w:val="000A5B81"/>
    <w:rsid w:val="000A749C"/>
    <w:rsid w:val="000B0B32"/>
    <w:rsid w:val="000B706D"/>
    <w:rsid w:val="000C4F67"/>
    <w:rsid w:val="000C5B07"/>
    <w:rsid w:val="000C6942"/>
    <w:rsid w:val="000D0869"/>
    <w:rsid w:val="000D3EAE"/>
    <w:rsid w:val="000D489C"/>
    <w:rsid w:val="000D4D99"/>
    <w:rsid w:val="000D5131"/>
    <w:rsid w:val="000D7CDC"/>
    <w:rsid w:val="000E0B2E"/>
    <w:rsid w:val="000E23AB"/>
    <w:rsid w:val="000E6379"/>
    <w:rsid w:val="000E6887"/>
    <w:rsid w:val="000F0A0D"/>
    <w:rsid w:val="000F7F04"/>
    <w:rsid w:val="0010520B"/>
    <w:rsid w:val="00107382"/>
    <w:rsid w:val="00110665"/>
    <w:rsid w:val="0011126E"/>
    <w:rsid w:val="00116AE4"/>
    <w:rsid w:val="00117CA1"/>
    <w:rsid w:val="00125BC1"/>
    <w:rsid w:val="00132AAC"/>
    <w:rsid w:val="00140115"/>
    <w:rsid w:val="00142A4A"/>
    <w:rsid w:val="0015003F"/>
    <w:rsid w:val="00152104"/>
    <w:rsid w:val="001541B2"/>
    <w:rsid w:val="00156C1D"/>
    <w:rsid w:val="001603EF"/>
    <w:rsid w:val="001618EF"/>
    <w:rsid w:val="001624C4"/>
    <w:rsid w:val="001654CD"/>
    <w:rsid w:val="0017187E"/>
    <w:rsid w:val="00171B98"/>
    <w:rsid w:val="001741F0"/>
    <w:rsid w:val="001762F4"/>
    <w:rsid w:val="00180799"/>
    <w:rsid w:val="00180A9B"/>
    <w:rsid w:val="00185F71"/>
    <w:rsid w:val="001862CB"/>
    <w:rsid w:val="001873B0"/>
    <w:rsid w:val="0019238A"/>
    <w:rsid w:val="001924CF"/>
    <w:rsid w:val="00195226"/>
    <w:rsid w:val="001A5804"/>
    <w:rsid w:val="001A680C"/>
    <w:rsid w:val="001B18B1"/>
    <w:rsid w:val="001B2F19"/>
    <w:rsid w:val="001C01BE"/>
    <w:rsid w:val="001C30E5"/>
    <w:rsid w:val="001C3DA0"/>
    <w:rsid w:val="001C426A"/>
    <w:rsid w:val="001C7C30"/>
    <w:rsid w:val="001C7DB2"/>
    <w:rsid w:val="001D47AD"/>
    <w:rsid w:val="001E1F86"/>
    <w:rsid w:val="001E252D"/>
    <w:rsid w:val="001E32DF"/>
    <w:rsid w:val="001E3406"/>
    <w:rsid w:val="001E35A9"/>
    <w:rsid w:val="001E6AA0"/>
    <w:rsid w:val="001E76CD"/>
    <w:rsid w:val="001F524B"/>
    <w:rsid w:val="001F5950"/>
    <w:rsid w:val="0020239B"/>
    <w:rsid w:val="00207057"/>
    <w:rsid w:val="00207C3B"/>
    <w:rsid w:val="00212693"/>
    <w:rsid w:val="0021424A"/>
    <w:rsid w:val="00214473"/>
    <w:rsid w:val="00215757"/>
    <w:rsid w:val="0022051E"/>
    <w:rsid w:val="00220F9C"/>
    <w:rsid w:val="00221A34"/>
    <w:rsid w:val="00222468"/>
    <w:rsid w:val="002267E3"/>
    <w:rsid w:val="00230984"/>
    <w:rsid w:val="00231AB1"/>
    <w:rsid w:val="00232A16"/>
    <w:rsid w:val="00232AC0"/>
    <w:rsid w:val="00233AC3"/>
    <w:rsid w:val="0024045F"/>
    <w:rsid w:val="00242116"/>
    <w:rsid w:val="00245DC6"/>
    <w:rsid w:val="00250CC6"/>
    <w:rsid w:val="00251580"/>
    <w:rsid w:val="00255D3B"/>
    <w:rsid w:val="00257F01"/>
    <w:rsid w:val="002616CF"/>
    <w:rsid w:val="00263244"/>
    <w:rsid w:val="00263733"/>
    <w:rsid w:val="00264677"/>
    <w:rsid w:val="00265C31"/>
    <w:rsid w:val="00274C5B"/>
    <w:rsid w:val="0027677B"/>
    <w:rsid w:val="00276783"/>
    <w:rsid w:val="00282FF5"/>
    <w:rsid w:val="00283AD4"/>
    <w:rsid w:val="002853AE"/>
    <w:rsid w:val="00286C12"/>
    <w:rsid w:val="0029057C"/>
    <w:rsid w:val="00294AE2"/>
    <w:rsid w:val="002A113E"/>
    <w:rsid w:val="002A1313"/>
    <w:rsid w:val="002A4CCC"/>
    <w:rsid w:val="002A7AAA"/>
    <w:rsid w:val="002B243D"/>
    <w:rsid w:val="002B6766"/>
    <w:rsid w:val="002C2285"/>
    <w:rsid w:val="002C2827"/>
    <w:rsid w:val="002C6291"/>
    <w:rsid w:val="002D019D"/>
    <w:rsid w:val="002D13F2"/>
    <w:rsid w:val="002D3349"/>
    <w:rsid w:val="002D638C"/>
    <w:rsid w:val="002D68BB"/>
    <w:rsid w:val="002E03CF"/>
    <w:rsid w:val="002E3DB5"/>
    <w:rsid w:val="002E4D70"/>
    <w:rsid w:val="002E5C32"/>
    <w:rsid w:val="002F0EEA"/>
    <w:rsid w:val="002F2087"/>
    <w:rsid w:val="002F20A7"/>
    <w:rsid w:val="002F20B5"/>
    <w:rsid w:val="003011C4"/>
    <w:rsid w:val="003027DA"/>
    <w:rsid w:val="00312766"/>
    <w:rsid w:val="00312F0B"/>
    <w:rsid w:val="00314593"/>
    <w:rsid w:val="00316776"/>
    <w:rsid w:val="00321FB6"/>
    <w:rsid w:val="003223F2"/>
    <w:rsid w:val="00322A0D"/>
    <w:rsid w:val="00322CDE"/>
    <w:rsid w:val="003235C8"/>
    <w:rsid w:val="00327555"/>
    <w:rsid w:val="00333FF1"/>
    <w:rsid w:val="00334002"/>
    <w:rsid w:val="00334CE9"/>
    <w:rsid w:val="003402F5"/>
    <w:rsid w:val="00342563"/>
    <w:rsid w:val="0034351F"/>
    <w:rsid w:val="00343773"/>
    <w:rsid w:val="0034427B"/>
    <w:rsid w:val="003472D4"/>
    <w:rsid w:val="0035289B"/>
    <w:rsid w:val="00354B7A"/>
    <w:rsid w:val="00355D22"/>
    <w:rsid w:val="00356156"/>
    <w:rsid w:val="00360A3F"/>
    <w:rsid w:val="00361E25"/>
    <w:rsid w:val="00364C07"/>
    <w:rsid w:val="00371223"/>
    <w:rsid w:val="00372D73"/>
    <w:rsid w:val="003732C0"/>
    <w:rsid w:val="003748CA"/>
    <w:rsid w:val="00375661"/>
    <w:rsid w:val="00376661"/>
    <w:rsid w:val="00377CB0"/>
    <w:rsid w:val="00381E67"/>
    <w:rsid w:val="00386491"/>
    <w:rsid w:val="00395E1F"/>
    <w:rsid w:val="00395FDA"/>
    <w:rsid w:val="00396D37"/>
    <w:rsid w:val="00397058"/>
    <w:rsid w:val="00397A68"/>
    <w:rsid w:val="00397C0D"/>
    <w:rsid w:val="003A0D11"/>
    <w:rsid w:val="003A251B"/>
    <w:rsid w:val="003A280A"/>
    <w:rsid w:val="003A36CD"/>
    <w:rsid w:val="003A41BB"/>
    <w:rsid w:val="003A4334"/>
    <w:rsid w:val="003A5F92"/>
    <w:rsid w:val="003A619C"/>
    <w:rsid w:val="003B0F00"/>
    <w:rsid w:val="003B1418"/>
    <w:rsid w:val="003B142F"/>
    <w:rsid w:val="003B192F"/>
    <w:rsid w:val="003B27EF"/>
    <w:rsid w:val="003B6969"/>
    <w:rsid w:val="003B7D12"/>
    <w:rsid w:val="003C05E1"/>
    <w:rsid w:val="003C3394"/>
    <w:rsid w:val="003C79C6"/>
    <w:rsid w:val="003D0606"/>
    <w:rsid w:val="003D3563"/>
    <w:rsid w:val="003D5792"/>
    <w:rsid w:val="003D5F89"/>
    <w:rsid w:val="003D65EB"/>
    <w:rsid w:val="003D7E7F"/>
    <w:rsid w:val="003E1E60"/>
    <w:rsid w:val="003E5961"/>
    <w:rsid w:val="003E5CF5"/>
    <w:rsid w:val="003F0047"/>
    <w:rsid w:val="003F403E"/>
    <w:rsid w:val="003F43D4"/>
    <w:rsid w:val="003F6189"/>
    <w:rsid w:val="003F69BC"/>
    <w:rsid w:val="0040510D"/>
    <w:rsid w:val="00412E72"/>
    <w:rsid w:val="0041761D"/>
    <w:rsid w:val="00427BE4"/>
    <w:rsid w:val="0043069A"/>
    <w:rsid w:val="00430E83"/>
    <w:rsid w:val="004338E8"/>
    <w:rsid w:val="004343C5"/>
    <w:rsid w:val="0043449E"/>
    <w:rsid w:val="004360CC"/>
    <w:rsid w:val="00436B59"/>
    <w:rsid w:val="004413CD"/>
    <w:rsid w:val="0044258D"/>
    <w:rsid w:val="00442F78"/>
    <w:rsid w:val="00443A60"/>
    <w:rsid w:val="00443EC3"/>
    <w:rsid w:val="00444B1D"/>
    <w:rsid w:val="00444B3C"/>
    <w:rsid w:val="00445C8C"/>
    <w:rsid w:val="00447987"/>
    <w:rsid w:val="00455708"/>
    <w:rsid w:val="00457676"/>
    <w:rsid w:val="004655B6"/>
    <w:rsid w:val="00466097"/>
    <w:rsid w:val="00466D89"/>
    <w:rsid w:val="00466E3F"/>
    <w:rsid w:val="00473D1D"/>
    <w:rsid w:val="00473F99"/>
    <w:rsid w:val="00474855"/>
    <w:rsid w:val="00476CBD"/>
    <w:rsid w:val="00483305"/>
    <w:rsid w:val="00485167"/>
    <w:rsid w:val="00485BD0"/>
    <w:rsid w:val="00486B51"/>
    <w:rsid w:val="00487152"/>
    <w:rsid w:val="00492E40"/>
    <w:rsid w:val="004957C8"/>
    <w:rsid w:val="00496D25"/>
    <w:rsid w:val="00497B7D"/>
    <w:rsid w:val="004A10BC"/>
    <w:rsid w:val="004A16BC"/>
    <w:rsid w:val="004A6996"/>
    <w:rsid w:val="004B484B"/>
    <w:rsid w:val="004B78C6"/>
    <w:rsid w:val="004B7BF0"/>
    <w:rsid w:val="004C1CC5"/>
    <w:rsid w:val="004C7B52"/>
    <w:rsid w:val="004D075E"/>
    <w:rsid w:val="004D2A39"/>
    <w:rsid w:val="004D499E"/>
    <w:rsid w:val="004D6DB2"/>
    <w:rsid w:val="004D7783"/>
    <w:rsid w:val="004D7F28"/>
    <w:rsid w:val="004E01F6"/>
    <w:rsid w:val="004E327B"/>
    <w:rsid w:val="004E41E9"/>
    <w:rsid w:val="004E4C47"/>
    <w:rsid w:val="004F1607"/>
    <w:rsid w:val="004F1964"/>
    <w:rsid w:val="004F1CF1"/>
    <w:rsid w:val="004F21C1"/>
    <w:rsid w:val="004F7584"/>
    <w:rsid w:val="004F7E52"/>
    <w:rsid w:val="0050023D"/>
    <w:rsid w:val="00502E05"/>
    <w:rsid w:val="0050451B"/>
    <w:rsid w:val="00506B64"/>
    <w:rsid w:val="005078A8"/>
    <w:rsid w:val="0051068E"/>
    <w:rsid w:val="00512DF3"/>
    <w:rsid w:val="005144E3"/>
    <w:rsid w:val="00515088"/>
    <w:rsid w:val="00516288"/>
    <w:rsid w:val="00516FE7"/>
    <w:rsid w:val="0052019E"/>
    <w:rsid w:val="005217FD"/>
    <w:rsid w:val="00522BB6"/>
    <w:rsid w:val="005300A6"/>
    <w:rsid w:val="005306E8"/>
    <w:rsid w:val="00532D92"/>
    <w:rsid w:val="0053336F"/>
    <w:rsid w:val="00533AA9"/>
    <w:rsid w:val="005340A1"/>
    <w:rsid w:val="00535ED5"/>
    <w:rsid w:val="0053681E"/>
    <w:rsid w:val="005433BE"/>
    <w:rsid w:val="00544DCE"/>
    <w:rsid w:val="00545742"/>
    <w:rsid w:val="00546BB3"/>
    <w:rsid w:val="005532E5"/>
    <w:rsid w:val="00560CC1"/>
    <w:rsid w:val="00562624"/>
    <w:rsid w:val="005733F6"/>
    <w:rsid w:val="00573702"/>
    <w:rsid w:val="00574689"/>
    <w:rsid w:val="00586E14"/>
    <w:rsid w:val="00595574"/>
    <w:rsid w:val="00597208"/>
    <w:rsid w:val="00597B2B"/>
    <w:rsid w:val="005A3266"/>
    <w:rsid w:val="005A3959"/>
    <w:rsid w:val="005A4F66"/>
    <w:rsid w:val="005A76D0"/>
    <w:rsid w:val="005A7EB2"/>
    <w:rsid w:val="005B25B6"/>
    <w:rsid w:val="005B2E32"/>
    <w:rsid w:val="005B65AE"/>
    <w:rsid w:val="005B75F2"/>
    <w:rsid w:val="005C24FE"/>
    <w:rsid w:val="005C3DA2"/>
    <w:rsid w:val="005C598F"/>
    <w:rsid w:val="005C6C2E"/>
    <w:rsid w:val="005D174D"/>
    <w:rsid w:val="005D1768"/>
    <w:rsid w:val="005D2492"/>
    <w:rsid w:val="005D6EE1"/>
    <w:rsid w:val="005E1426"/>
    <w:rsid w:val="005E1B7D"/>
    <w:rsid w:val="005E24FB"/>
    <w:rsid w:val="005F0833"/>
    <w:rsid w:val="005F2661"/>
    <w:rsid w:val="005F4E08"/>
    <w:rsid w:val="005F5AF5"/>
    <w:rsid w:val="005F6175"/>
    <w:rsid w:val="00601ED8"/>
    <w:rsid w:val="00604424"/>
    <w:rsid w:val="0061026F"/>
    <w:rsid w:val="00610F62"/>
    <w:rsid w:val="00611CCB"/>
    <w:rsid w:val="00612B5E"/>
    <w:rsid w:val="006230BE"/>
    <w:rsid w:val="0062589E"/>
    <w:rsid w:val="00625A3C"/>
    <w:rsid w:val="00627A22"/>
    <w:rsid w:val="00633630"/>
    <w:rsid w:val="00633F98"/>
    <w:rsid w:val="00634932"/>
    <w:rsid w:val="00636D0A"/>
    <w:rsid w:val="006373C8"/>
    <w:rsid w:val="006422CD"/>
    <w:rsid w:val="006442CA"/>
    <w:rsid w:val="006447D8"/>
    <w:rsid w:val="00644F28"/>
    <w:rsid w:val="00647907"/>
    <w:rsid w:val="0065187E"/>
    <w:rsid w:val="00653432"/>
    <w:rsid w:val="00655684"/>
    <w:rsid w:val="00661A1D"/>
    <w:rsid w:val="00662C63"/>
    <w:rsid w:val="00663219"/>
    <w:rsid w:val="00664041"/>
    <w:rsid w:val="00667BBF"/>
    <w:rsid w:val="0067132D"/>
    <w:rsid w:val="00671B98"/>
    <w:rsid w:val="006731F3"/>
    <w:rsid w:val="00676B85"/>
    <w:rsid w:val="0068215A"/>
    <w:rsid w:val="0068230F"/>
    <w:rsid w:val="006825F6"/>
    <w:rsid w:val="0068337C"/>
    <w:rsid w:val="00687F77"/>
    <w:rsid w:val="0069209F"/>
    <w:rsid w:val="00692672"/>
    <w:rsid w:val="00692FB6"/>
    <w:rsid w:val="00693D5F"/>
    <w:rsid w:val="006A4643"/>
    <w:rsid w:val="006A7BE3"/>
    <w:rsid w:val="006A7DC3"/>
    <w:rsid w:val="006B1075"/>
    <w:rsid w:val="006B366F"/>
    <w:rsid w:val="006B4276"/>
    <w:rsid w:val="006B51C2"/>
    <w:rsid w:val="006C10F3"/>
    <w:rsid w:val="006C2E76"/>
    <w:rsid w:val="006C4F9D"/>
    <w:rsid w:val="006C54C9"/>
    <w:rsid w:val="006D4FE2"/>
    <w:rsid w:val="006F1837"/>
    <w:rsid w:val="006F3CD1"/>
    <w:rsid w:val="0070272D"/>
    <w:rsid w:val="00703A9A"/>
    <w:rsid w:val="00704C25"/>
    <w:rsid w:val="00704FA8"/>
    <w:rsid w:val="00705F1D"/>
    <w:rsid w:val="00706AC7"/>
    <w:rsid w:val="007070FF"/>
    <w:rsid w:val="00711248"/>
    <w:rsid w:val="00717CC2"/>
    <w:rsid w:val="00723000"/>
    <w:rsid w:val="007239AC"/>
    <w:rsid w:val="00723E95"/>
    <w:rsid w:val="00727C5E"/>
    <w:rsid w:val="00727E28"/>
    <w:rsid w:val="00733953"/>
    <w:rsid w:val="00735F0D"/>
    <w:rsid w:val="00736364"/>
    <w:rsid w:val="0073642B"/>
    <w:rsid w:val="00740AB1"/>
    <w:rsid w:val="00741B2F"/>
    <w:rsid w:val="00743E5A"/>
    <w:rsid w:val="007507AF"/>
    <w:rsid w:val="00750F2F"/>
    <w:rsid w:val="00752172"/>
    <w:rsid w:val="00752353"/>
    <w:rsid w:val="00754496"/>
    <w:rsid w:val="007577C6"/>
    <w:rsid w:val="00762B15"/>
    <w:rsid w:val="00765536"/>
    <w:rsid w:val="00766445"/>
    <w:rsid w:val="0076684E"/>
    <w:rsid w:val="00766939"/>
    <w:rsid w:val="00766A58"/>
    <w:rsid w:val="007725B8"/>
    <w:rsid w:val="0077566C"/>
    <w:rsid w:val="007764F4"/>
    <w:rsid w:val="00776AB8"/>
    <w:rsid w:val="00780666"/>
    <w:rsid w:val="007810E9"/>
    <w:rsid w:val="00781550"/>
    <w:rsid w:val="007822A3"/>
    <w:rsid w:val="00783F5F"/>
    <w:rsid w:val="00790119"/>
    <w:rsid w:val="00793616"/>
    <w:rsid w:val="007969DC"/>
    <w:rsid w:val="00796B3A"/>
    <w:rsid w:val="00797AF9"/>
    <w:rsid w:val="007A31DC"/>
    <w:rsid w:val="007A607B"/>
    <w:rsid w:val="007A7916"/>
    <w:rsid w:val="007B05F3"/>
    <w:rsid w:val="007B29E4"/>
    <w:rsid w:val="007B39D4"/>
    <w:rsid w:val="007B3A5C"/>
    <w:rsid w:val="007B68BD"/>
    <w:rsid w:val="007C068B"/>
    <w:rsid w:val="007C0F16"/>
    <w:rsid w:val="007C1D5E"/>
    <w:rsid w:val="007C1F01"/>
    <w:rsid w:val="007C428F"/>
    <w:rsid w:val="007D39B9"/>
    <w:rsid w:val="007D436E"/>
    <w:rsid w:val="007D7D94"/>
    <w:rsid w:val="007E07A2"/>
    <w:rsid w:val="007E0BF8"/>
    <w:rsid w:val="007E2EE6"/>
    <w:rsid w:val="007E3985"/>
    <w:rsid w:val="007E4402"/>
    <w:rsid w:val="007F0FE4"/>
    <w:rsid w:val="007F4183"/>
    <w:rsid w:val="007F503C"/>
    <w:rsid w:val="008022F1"/>
    <w:rsid w:val="00802EEF"/>
    <w:rsid w:val="008048BA"/>
    <w:rsid w:val="00810AE7"/>
    <w:rsid w:val="00811A21"/>
    <w:rsid w:val="008145B7"/>
    <w:rsid w:val="00816EFF"/>
    <w:rsid w:val="008173B3"/>
    <w:rsid w:val="00817E2A"/>
    <w:rsid w:val="00820847"/>
    <w:rsid w:val="008216FE"/>
    <w:rsid w:val="0082248C"/>
    <w:rsid w:val="0082543C"/>
    <w:rsid w:val="0082727D"/>
    <w:rsid w:val="00831B04"/>
    <w:rsid w:val="00840269"/>
    <w:rsid w:val="00841521"/>
    <w:rsid w:val="00852DFA"/>
    <w:rsid w:val="00854E14"/>
    <w:rsid w:val="0086333D"/>
    <w:rsid w:val="0086480D"/>
    <w:rsid w:val="00864B2B"/>
    <w:rsid w:val="00872FCF"/>
    <w:rsid w:val="008806D9"/>
    <w:rsid w:val="00880942"/>
    <w:rsid w:val="0088118B"/>
    <w:rsid w:val="0088241E"/>
    <w:rsid w:val="0088287A"/>
    <w:rsid w:val="0088301D"/>
    <w:rsid w:val="008838D1"/>
    <w:rsid w:val="00883E09"/>
    <w:rsid w:val="00886510"/>
    <w:rsid w:val="00894F92"/>
    <w:rsid w:val="008A09DC"/>
    <w:rsid w:val="008A2025"/>
    <w:rsid w:val="008A69EA"/>
    <w:rsid w:val="008A7D25"/>
    <w:rsid w:val="008B0F36"/>
    <w:rsid w:val="008B11F0"/>
    <w:rsid w:val="008B4EB6"/>
    <w:rsid w:val="008B5438"/>
    <w:rsid w:val="008B5953"/>
    <w:rsid w:val="008C140C"/>
    <w:rsid w:val="008C26C6"/>
    <w:rsid w:val="008C2AA8"/>
    <w:rsid w:val="008C6C4F"/>
    <w:rsid w:val="008D1B67"/>
    <w:rsid w:val="008D5F2C"/>
    <w:rsid w:val="008E10DA"/>
    <w:rsid w:val="008E18C4"/>
    <w:rsid w:val="008E1DF8"/>
    <w:rsid w:val="008E22BF"/>
    <w:rsid w:val="008E5EC1"/>
    <w:rsid w:val="008E6FC7"/>
    <w:rsid w:val="008E7006"/>
    <w:rsid w:val="008E7947"/>
    <w:rsid w:val="008E7CFB"/>
    <w:rsid w:val="008F2F98"/>
    <w:rsid w:val="008F3699"/>
    <w:rsid w:val="008F46B2"/>
    <w:rsid w:val="008F57B4"/>
    <w:rsid w:val="008F78D1"/>
    <w:rsid w:val="0090102E"/>
    <w:rsid w:val="0090249C"/>
    <w:rsid w:val="00903D33"/>
    <w:rsid w:val="009139AE"/>
    <w:rsid w:val="00916122"/>
    <w:rsid w:val="00917C97"/>
    <w:rsid w:val="00922314"/>
    <w:rsid w:val="00933B0B"/>
    <w:rsid w:val="0093756B"/>
    <w:rsid w:val="009400C2"/>
    <w:rsid w:val="009462FA"/>
    <w:rsid w:val="009505DD"/>
    <w:rsid w:val="009557EE"/>
    <w:rsid w:val="00955905"/>
    <w:rsid w:val="00962E14"/>
    <w:rsid w:val="0096751C"/>
    <w:rsid w:val="0096761A"/>
    <w:rsid w:val="009705B3"/>
    <w:rsid w:val="00971016"/>
    <w:rsid w:val="00974523"/>
    <w:rsid w:val="00975E90"/>
    <w:rsid w:val="00977C67"/>
    <w:rsid w:val="00977D35"/>
    <w:rsid w:val="00980B06"/>
    <w:rsid w:val="009813A6"/>
    <w:rsid w:val="00985118"/>
    <w:rsid w:val="009913B4"/>
    <w:rsid w:val="00995D84"/>
    <w:rsid w:val="009B0AE3"/>
    <w:rsid w:val="009B7B1F"/>
    <w:rsid w:val="009C197F"/>
    <w:rsid w:val="009C2244"/>
    <w:rsid w:val="009C3C7B"/>
    <w:rsid w:val="009C65EC"/>
    <w:rsid w:val="009D176E"/>
    <w:rsid w:val="009D1D31"/>
    <w:rsid w:val="009D23A5"/>
    <w:rsid w:val="009D2B2D"/>
    <w:rsid w:val="009E4604"/>
    <w:rsid w:val="009E7604"/>
    <w:rsid w:val="009F076E"/>
    <w:rsid w:val="009F1183"/>
    <w:rsid w:val="009F1514"/>
    <w:rsid w:val="009F2F7B"/>
    <w:rsid w:val="009F44B4"/>
    <w:rsid w:val="009F4A53"/>
    <w:rsid w:val="009F589F"/>
    <w:rsid w:val="009F7119"/>
    <w:rsid w:val="00A0038E"/>
    <w:rsid w:val="00A00401"/>
    <w:rsid w:val="00A043DE"/>
    <w:rsid w:val="00A05BAE"/>
    <w:rsid w:val="00A062E9"/>
    <w:rsid w:val="00A1113E"/>
    <w:rsid w:val="00A11618"/>
    <w:rsid w:val="00A12405"/>
    <w:rsid w:val="00A14CF4"/>
    <w:rsid w:val="00A1570C"/>
    <w:rsid w:val="00A15C4F"/>
    <w:rsid w:val="00A16E60"/>
    <w:rsid w:val="00A23560"/>
    <w:rsid w:val="00A2576E"/>
    <w:rsid w:val="00A266D6"/>
    <w:rsid w:val="00A26DB0"/>
    <w:rsid w:val="00A2724A"/>
    <w:rsid w:val="00A338B3"/>
    <w:rsid w:val="00A35818"/>
    <w:rsid w:val="00A37539"/>
    <w:rsid w:val="00A40B4C"/>
    <w:rsid w:val="00A41A91"/>
    <w:rsid w:val="00A47D50"/>
    <w:rsid w:val="00A47EFE"/>
    <w:rsid w:val="00A51842"/>
    <w:rsid w:val="00A53B1F"/>
    <w:rsid w:val="00A60347"/>
    <w:rsid w:val="00A6226C"/>
    <w:rsid w:val="00A62487"/>
    <w:rsid w:val="00A63AF0"/>
    <w:rsid w:val="00A67DDE"/>
    <w:rsid w:val="00A67E70"/>
    <w:rsid w:val="00A702D0"/>
    <w:rsid w:val="00A70534"/>
    <w:rsid w:val="00A70BD6"/>
    <w:rsid w:val="00A71383"/>
    <w:rsid w:val="00A73A46"/>
    <w:rsid w:val="00A74A2B"/>
    <w:rsid w:val="00A7525C"/>
    <w:rsid w:val="00A773F3"/>
    <w:rsid w:val="00A77B25"/>
    <w:rsid w:val="00A77CFD"/>
    <w:rsid w:val="00A80645"/>
    <w:rsid w:val="00A83153"/>
    <w:rsid w:val="00A8785A"/>
    <w:rsid w:val="00A90432"/>
    <w:rsid w:val="00A92820"/>
    <w:rsid w:val="00A96318"/>
    <w:rsid w:val="00A979FF"/>
    <w:rsid w:val="00AA19E2"/>
    <w:rsid w:val="00AA2138"/>
    <w:rsid w:val="00AA2CA6"/>
    <w:rsid w:val="00AB0DB7"/>
    <w:rsid w:val="00AB0E27"/>
    <w:rsid w:val="00AB5DDC"/>
    <w:rsid w:val="00AC02E4"/>
    <w:rsid w:val="00AC24D4"/>
    <w:rsid w:val="00AC46F5"/>
    <w:rsid w:val="00AC4F32"/>
    <w:rsid w:val="00AD191A"/>
    <w:rsid w:val="00AD1BAC"/>
    <w:rsid w:val="00AD5DDB"/>
    <w:rsid w:val="00AD6F6D"/>
    <w:rsid w:val="00AD783C"/>
    <w:rsid w:val="00AE3281"/>
    <w:rsid w:val="00AE6B9C"/>
    <w:rsid w:val="00AE78F9"/>
    <w:rsid w:val="00AF62C2"/>
    <w:rsid w:val="00B00D76"/>
    <w:rsid w:val="00B016B1"/>
    <w:rsid w:val="00B02247"/>
    <w:rsid w:val="00B03D10"/>
    <w:rsid w:val="00B05FDA"/>
    <w:rsid w:val="00B06DFE"/>
    <w:rsid w:val="00B10B67"/>
    <w:rsid w:val="00B1359D"/>
    <w:rsid w:val="00B146C0"/>
    <w:rsid w:val="00B15883"/>
    <w:rsid w:val="00B228D0"/>
    <w:rsid w:val="00B31B58"/>
    <w:rsid w:val="00B32E4E"/>
    <w:rsid w:val="00B414D3"/>
    <w:rsid w:val="00B43F32"/>
    <w:rsid w:val="00B4456F"/>
    <w:rsid w:val="00B45DCC"/>
    <w:rsid w:val="00B61F61"/>
    <w:rsid w:val="00B63BBC"/>
    <w:rsid w:val="00B67923"/>
    <w:rsid w:val="00B702FA"/>
    <w:rsid w:val="00B71D70"/>
    <w:rsid w:val="00B75A77"/>
    <w:rsid w:val="00B76BF5"/>
    <w:rsid w:val="00B802A8"/>
    <w:rsid w:val="00B86CDB"/>
    <w:rsid w:val="00B90CF8"/>
    <w:rsid w:val="00B91986"/>
    <w:rsid w:val="00B96E4F"/>
    <w:rsid w:val="00BA30DC"/>
    <w:rsid w:val="00BA3469"/>
    <w:rsid w:val="00BA35F6"/>
    <w:rsid w:val="00BA4DAA"/>
    <w:rsid w:val="00BA688E"/>
    <w:rsid w:val="00BA7641"/>
    <w:rsid w:val="00BB3408"/>
    <w:rsid w:val="00BB4052"/>
    <w:rsid w:val="00BB46BB"/>
    <w:rsid w:val="00BB5DCC"/>
    <w:rsid w:val="00BC1BB4"/>
    <w:rsid w:val="00BC6CF7"/>
    <w:rsid w:val="00BC7341"/>
    <w:rsid w:val="00BC78DA"/>
    <w:rsid w:val="00BD17E4"/>
    <w:rsid w:val="00BD269F"/>
    <w:rsid w:val="00BD352C"/>
    <w:rsid w:val="00BD4333"/>
    <w:rsid w:val="00BE04A7"/>
    <w:rsid w:val="00BE07E2"/>
    <w:rsid w:val="00BE0809"/>
    <w:rsid w:val="00BE2447"/>
    <w:rsid w:val="00BE2AD6"/>
    <w:rsid w:val="00BE38AE"/>
    <w:rsid w:val="00BE418E"/>
    <w:rsid w:val="00BE4F5E"/>
    <w:rsid w:val="00BE5411"/>
    <w:rsid w:val="00BE609B"/>
    <w:rsid w:val="00BF00BC"/>
    <w:rsid w:val="00BF0678"/>
    <w:rsid w:val="00BF10E4"/>
    <w:rsid w:val="00BF20DB"/>
    <w:rsid w:val="00BF2A76"/>
    <w:rsid w:val="00BF4225"/>
    <w:rsid w:val="00BF4D9E"/>
    <w:rsid w:val="00C01F5D"/>
    <w:rsid w:val="00C03D85"/>
    <w:rsid w:val="00C04EEC"/>
    <w:rsid w:val="00C1095F"/>
    <w:rsid w:val="00C10CF1"/>
    <w:rsid w:val="00C11026"/>
    <w:rsid w:val="00C1168C"/>
    <w:rsid w:val="00C125F1"/>
    <w:rsid w:val="00C1324B"/>
    <w:rsid w:val="00C1435D"/>
    <w:rsid w:val="00C144E4"/>
    <w:rsid w:val="00C17214"/>
    <w:rsid w:val="00C2122A"/>
    <w:rsid w:val="00C2376A"/>
    <w:rsid w:val="00C24869"/>
    <w:rsid w:val="00C25CDE"/>
    <w:rsid w:val="00C34D41"/>
    <w:rsid w:val="00C35EB8"/>
    <w:rsid w:val="00C4040D"/>
    <w:rsid w:val="00C44E75"/>
    <w:rsid w:val="00C45804"/>
    <w:rsid w:val="00C472D8"/>
    <w:rsid w:val="00C476E1"/>
    <w:rsid w:val="00C50EFE"/>
    <w:rsid w:val="00C56B6D"/>
    <w:rsid w:val="00C61182"/>
    <w:rsid w:val="00C62DC1"/>
    <w:rsid w:val="00C62E4F"/>
    <w:rsid w:val="00C66B8F"/>
    <w:rsid w:val="00C71CFC"/>
    <w:rsid w:val="00C72A24"/>
    <w:rsid w:val="00C74AAF"/>
    <w:rsid w:val="00C74B9F"/>
    <w:rsid w:val="00C76706"/>
    <w:rsid w:val="00C77BF0"/>
    <w:rsid w:val="00C83806"/>
    <w:rsid w:val="00C84257"/>
    <w:rsid w:val="00C852D0"/>
    <w:rsid w:val="00C85AC3"/>
    <w:rsid w:val="00C87AB5"/>
    <w:rsid w:val="00C90005"/>
    <w:rsid w:val="00C93ED6"/>
    <w:rsid w:val="00C97B69"/>
    <w:rsid w:val="00CA1B14"/>
    <w:rsid w:val="00CA2871"/>
    <w:rsid w:val="00CA2D8A"/>
    <w:rsid w:val="00CB0A76"/>
    <w:rsid w:val="00CB0E67"/>
    <w:rsid w:val="00CB7A07"/>
    <w:rsid w:val="00CC1402"/>
    <w:rsid w:val="00CC15B6"/>
    <w:rsid w:val="00CC365B"/>
    <w:rsid w:val="00CC3C32"/>
    <w:rsid w:val="00CD24E9"/>
    <w:rsid w:val="00CD4FB4"/>
    <w:rsid w:val="00CD67C0"/>
    <w:rsid w:val="00CE0661"/>
    <w:rsid w:val="00CE13A5"/>
    <w:rsid w:val="00CE39F0"/>
    <w:rsid w:val="00CE3DD5"/>
    <w:rsid w:val="00CE45FE"/>
    <w:rsid w:val="00CF38E8"/>
    <w:rsid w:val="00CF3A28"/>
    <w:rsid w:val="00CF7871"/>
    <w:rsid w:val="00D0035F"/>
    <w:rsid w:val="00D012B5"/>
    <w:rsid w:val="00D046CC"/>
    <w:rsid w:val="00D04E07"/>
    <w:rsid w:val="00D05D41"/>
    <w:rsid w:val="00D05EDF"/>
    <w:rsid w:val="00D1286C"/>
    <w:rsid w:val="00D20E96"/>
    <w:rsid w:val="00D21049"/>
    <w:rsid w:val="00D214CD"/>
    <w:rsid w:val="00D23079"/>
    <w:rsid w:val="00D235C5"/>
    <w:rsid w:val="00D23CA7"/>
    <w:rsid w:val="00D25A48"/>
    <w:rsid w:val="00D31D7E"/>
    <w:rsid w:val="00D34F3D"/>
    <w:rsid w:val="00D448CE"/>
    <w:rsid w:val="00D47F4C"/>
    <w:rsid w:val="00D518F8"/>
    <w:rsid w:val="00D53587"/>
    <w:rsid w:val="00D600B4"/>
    <w:rsid w:val="00D64EB1"/>
    <w:rsid w:val="00D664BF"/>
    <w:rsid w:val="00D66F8C"/>
    <w:rsid w:val="00D679D6"/>
    <w:rsid w:val="00D70797"/>
    <w:rsid w:val="00D73F64"/>
    <w:rsid w:val="00D74A9F"/>
    <w:rsid w:val="00D851C9"/>
    <w:rsid w:val="00D9144F"/>
    <w:rsid w:val="00D95B38"/>
    <w:rsid w:val="00DA5FAE"/>
    <w:rsid w:val="00DA6668"/>
    <w:rsid w:val="00DB4841"/>
    <w:rsid w:val="00DB67ED"/>
    <w:rsid w:val="00DC034B"/>
    <w:rsid w:val="00DC1071"/>
    <w:rsid w:val="00DC29C5"/>
    <w:rsid w:val="00DC7903"/>
    <w:rsid w:val="00DD4E9D"/>
    <w:rsid w:val="00DE0B0A"/>
    <w:rsid w:val="00DE21E0"/>
    <w:rsid w:val="00DE21E6"/>
    <w:rsid w:val="00DE4849"/>
    <w:rsid w:val="00DE6A06"/>
    <w:rsid w:val="00DF30CE"/>
    <w:rsid w:val="00DF30DF"/>
    <w:rsid w:val="00DF3DF5"/>
    <w:rsid w:val="00DF5C78"/>
    <w:rsid w:val="00DF6DD4"/>
    <w:rsid w:val="00E00DF6"/>
    <w:rsid w:val="00E01563"/>
    <w:rsid w:val="00E031FB"/>
    <w:rsid w:val="00E06F27"/>
    <w:rsid w:val="00E11EF3"/>
    <w:rsid w:val="00E139C7"/>
    <w:rsid w:val="00E17844"/>
    <w:rsid w:val="00E22FD3"/>
    <w:rsid w:val="00E248A7"/>
    <w:rsid w:val="00E24E8B"/>
    <w:rsid w:val="00E3299D"/>
    <w:rsid w:val="00E34F6D"/>
    <w:rsid w:val="00E3576C"/>
    <w:rsid w:val="00E36535"/>
    <w:rsid w:val="00E3717D"/>
    <w:rsid w:val="00E415CF"/>
    <w:rsid w:val="00E45FD8"/>
    <w:rsid w:val="00E501DC"/>
    <w:rsid w:val="00E51FA1"/>
    <w:rsid w:val="00E52742"/>
    <w:rsid w:val="00E56A10"/>
    <w:rsid w:val="00E5722F"/>
    <w:rsid w:val="00E57A74"/>
    <w:rsid w:val="00E57E7F"/>
    <w:rsid w:val="00E638A6"/>
    <w:rsid w:val="00E667FB"/>
    <w:rsid w:val="00E70A28"/>
    <w:rsid w:val="00E70E4C"/>
    <w:rsid w:val="00E71AC5"/>
    <w:rsid w:val="00E71CC6"/>
    <w:rsid w:val="00E72E0F"/>
    <w:rsid w:val="00E83685"/>
    <w:rsid w:val="00E841DB"/>
    <w:rsid w:val="00E845C1"/>
    <w:rsid w:val="00E8604C"/>
    <w:rsid w:val="00E90086"/>
    <w:rsid w:val="00E90663"/>
    <w:rsid w:val="00E907BE"/>
    <w:rsid w:val="00E911C2"/>
    <w:rsid w:val="00E96D71"/>
    <w:rsid w:val="00EA0044"/>
    <w:rsid w:val="00EA2C08"/>
    <w:rsid w:val="00EA3393"/>
    <w:rsid w:val="00EA69AC"/>
    <w:rsid w:val="00EB21B6"/>
    <w:rsid w:val="00EB3BBD"/>
    <w:rsid w:val="00EB684E"/>
    <w:rsid w:val="00EB71A3"/>
    <w:rsid w:val="00EC11E0"/>
    <w:rsid w:val="00EC25CF"/>
    <w:rsid w:val="00EC38D9"/>
    <w:rsid w:val="00EC4694"/>
    <w:rsid w:val="00ED4FE6"/>
    <w:rsid w:val="00EE0EB5"/>
    <w:rsid w:val="00EE53C6"/>
    <w:rsid w:val="00EE53D8"/>
    <w:rsid w:val="00EE58BA"/>
    <w:rsid w:val="00EE7D55"/>
    <w:rsid w:val="00EF040F"/>
    <w:rsid w:val="00EF1678"/>
    <w:rsid w:val="00EF1C8D"/>
    <w:rsid w:val="00EF5312"/>
    <w:rsid w:val="00F01945"/>
    <w:rsid w:val="00F05002"/>
    <w:rsid w:val="00F05169"/>
    <w:rsid w:val="00F10F0F"/>
    <w:rsid w:val="00F11C8F"/>
    <w:rsid w:val="00F1554E"/>
    <w:rsid w:val="00F17A30"/>
    <w:rsid w:val="00F20254"/>
    <w:rsid w:val="00F20D35"/>
    <w:rsid w:val="00F256C7"/>
    <w:rsid w:val="00F314A8"/>
    <w:rsid w:val="00F338CC"/>
    <w:rsid w:val="00F340CD"/>
    <w:rsid w:val="00F43BA7"/>
    <w:rsid w:val="00F4536C"/>
    <w:rsid w:val="00F46C8B"/>
    <w:rsid w:val="00F55531"/>
    <w:rsid w:val="00F55F0E"/>
    <w:rsid w:val="00F563C4"/>
    <w:rsid w:val="00F5781A"/>
    <w:rsid w:val="00F628F0"/>
    <w:rsid w:val="00F713D9"/>
    <w:rsid w:val="00F71C4B"/>
    <w:rsid w:val="00F73EE4"/>
    <w:rsid w:val="00F74068"/>
    <w:rsid w:val="00F74A76"/>
    <w:rsid w:val="00F77CC4"/>
    <w:rsid w:val="00F8177D"/>
    <w:rsid w:val="00F81782"/>
    <w:rsid w:val="00F82404"/>
    <w:rsid w:val="00F8304E"/>
    <w:rsid w:val="00F909EF"/>
    <w:rsid w:val="00F92126"/>
    <w:rsid w:val="00F92EA4"/>
    <w:rsid w:val="00F9635F"/>
    <w:rsid w:val="00FA28F4"/>
    <w:rsid w:val="00FA4160"/>
    <w:rsid w:val="00FA5E79"/>
    <w:rsid w:val="00FA7D05"/>
    <w:rsid w:val="00FA7EA0"/>
    <w:rsid w:val="00FB40CE"/>
    <w:rsid w:val="00FB4EC1"/>
    <w:rsid w:val="00FB5943"/>
    <w:rsid w:val="00FB599B"/>
    <w:rsid w:val="00FB67F2"/>
    <w:rsid w:val="00FB7B59"/>
    <w:rsid w:val="00FC3BCE"/>
    <w:rsid w:val="00FC4679"/>
    <w:rsid w:val="00FC675D"/>
    <w:rsid w:val="00FD131E"/>
    <w:rsid w:val="00FD157E"/>
    <w:rsid w:val="00FD65D4"/>
    <w:rsid w:val="00FD754F"/>
    <w:rsid w:val="00FE05A2"/>
    <w:rsid w:val="00FE23FC"/>
    <w:rsid w:val="00FE2D95"/>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2B2D"/>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5F6175"/>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aliases w:val="عنوان رئيسي,سرد الفقراتCxSpLast"/>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styleId="Hyperlink">
    <w:name w:val="Hyperlink"/>
    <w:basedOn w:val="DefaultParagraphFont"/>
    <w:uiPriority w:val="99"/>
    <w:unhideWhenUsed/>
    <w:rsid w:val="00A0038E"/>
    <w:rPr>
      <w:color w:val="0000FF" w:themeColor="hyperlink"/>
      <w:u w:val="single"/>
    </w:rPr>
  </w:style>
  <w:style w:type="character" w:customStyle="1" w:styleId="1">
    <w:name w:val="إشارة لم يتم حلها1"/>
    <w:basedOn w:val="DefaultParagraphFont"/>
    <w:uiPriority w:val="99"/>
    <w:semiHidden/>
    <w:unhideWhenUsed/>
    <w:rsid w:val="00A0038E"/>
    <w:rPr>
      <w:color w:val="605E5C"/>
      <w:shd w:val="clear" w:color="auto" w:fill="E1DFDD"/>
    </w:rPr>
  </w:style>
  <w:style w:type="character" w:customStyle="1" w:styleId="Heading3Char">
    <w:name w:val="Heading 3 Char"/>
    <w:basedOn w:val="DefaultParagraphFont"/>
    <w:link w:val="Heading3"/>
    <w:uiPriority w:val="9"/>
    <w:semiHidden/>
    <w:rsid w:val="005F6175"/>
    <w:rPr>
      <w:rFonts w:asciiTheme="majorHAnsi" w:eastAsiaTheme="majorEastAsia" w:hAnsiTheme="majorHAnsi" w:cstheme="majorBidi"/>
      <w:color w:val="243F60" w:themeColor="accent1" w:themeShade="7F"/>
      <w:sz w:val="24"/>
      <w:szCs w:val="24"/>
    </w:rPr>
  </w:style>
  <w:style w:type="table" w:customStyle="1" w:styleId="7-51">
    <w:name w:val="جدول قائمة 7 ملون - تمييز 51"/>
    <w:basedOn w:val="TableNormal"/>
    <w:next w:val="ListTable7Colorful-Accent5"/>
    <w:uiPriority w:val="52"/>
    <w:rsid w:val="00B228D0"/>
    <w:pPr>
      <w:bidi/>
      <w:spacing w:after="0" w:line="240" w:lineRule="auto"/>
      <w:ind w:left="862" w:hanging="142"/>
    </w:pPr>
    <w:rPr>
      <w:color w:val="2E74B5"/>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5B9BD5"/>
        </w:tcBorders>
        <w:shd w:val="clear" w:color="auto" w:fill="FFFFFF"/>
      </w:tcPr>
    </w:tblStylePr>
    <w:tblStylePr w:type="lastRow">
      <w:rPr>
        <w:rFonts w:ascii="Calibri Light" w:eastAsia="Times New Roman" w:hAnsi="Calibri Light" w:cs="Times New Roman"/>
        <w:i/>
        <w:iCs/>
        <w:sz w:val="26"/>
      </w:rPr>
      <w:tblPr/>
      <w:tcPr>
        <w:tcBorders>
          <w:top w:val="single" w:sz="4" w:space="0" w:color="5B9BD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5B9BD5"/>
        </w:tcBorders>
        <w:shd w:val="clear" w:color="auto" w:fill="FFFFFF"/>
      </w:tcPr>
    </w:tblStylePr>
    <w:tblStylePr w:type="lastCol">
      <w:rPr>
        <w:rFonts w:ascii="Calibri Light" w:eastAsia="Times New Roman" w:hAnsi="Calibri Light" w:cs="Times New Roman"/>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B228D0"/>
    <w:pPr>
      <w:spacing w:after="0" w:line="240" w:lineRule="auto"/>
    </w:pPr>
    <w:rPr>
      <w:color w:val="31849B"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BACC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BACC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BACC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BACC6" w:themeColor="accent5"/>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52">
    <w:name w:val="جدول قائمة 7 ملون - تمييز 52"/>
    <w:basedOn w:val="TableNormal"/>
    <w:next w:val="ListTable7Colorful-Accent5"/>
    <w:uiPriority w:val="52"/>
    <w:rsid w:val="00E24E8B"/>
    <w:pPr>
      <w:bidi/>
      <w:spacing w:after="0" w:line="240" w:lineRule="auto"/>
      <w:ind w:left="862" w:hanging="142"/>
    </w:pPr>
    <w:rPr>
      <w:color w:val="2E74B5"/>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5B9BD5"/>
        </w:tcBorders>
        <w:shd w:val="clear" w:color="auto" w:fill="FFFFFF"/>
      </w:tcPr>
    </w:tblStylePr>
    <w:tblStylePr w:type="lastRow">
      <w:rPr>
        <w:rFonts w:ascii="Calibri Light" w:eastAsia="Times New Roman" w:hAnsi="Calibri Light" w:cs="Times New Roman"/>
        <w:i/>
        <w:iCs/>
        <w:sz w:val="26"/>
      </w:rPr>
      <w:tblPr/>
      <w:tcPr>
        <w:tcBorders>
          <w:top w:val="single" w:sz="4" w:space="0" w:color="5B9BD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5B9BD5"/>
        </w:tcBorders>
        <w:shd w:val="clear" w:color="auto" w:fill="FFFFFF"/>
      </w:tcPr>
    </w:tblStylePr>
    <w:tblStylePr w:type="lastCol">
      <w:rPr>
        <w:rFonts w:ascii="Calibri Light" w:eastAsia="Times New Roman" w:hAnsi="Calibri Light" w:cs="Times New Roman"/>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51">
    <w:name w:val="جدول عادي 51"/>
    <w:basedOn w:val="TableNormal"/>
    <w:next w:val="PlainTable5"/>
    <w:uiPriority w:val="45"/>
    <w:rsid w:val="003011C4"/>
    <w:pPr>
      <w:bidi/>
      <w:spacing w:after="0" w:line="240" w:lineRule="auto"/>
      <w:ind w:left="862" w:hanging="142"/>
    </w:p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5">
    <w:name w:val="Plain Table 5"/>
    <w:basedOn w:val="TableNormal"/>
    <w:uiPriority w:val="45"/>
    <w:rsid w:val="003011C4"/>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61">
    <w:name w:val="جدول قائمة 7 ملون - تمييز 61"/>
    <w:basedOn w:val="TableNormal"/>
    <w:next w:val="ListTable7Colorful-Accent6"/>
    <w:uiPriority w:val="52"/>
    <w:rsid w:val="00B1359D"/>
    <w:pPr>
      <w:bidi/>
      <w:spacing w:after="0" w:line="240" w:lineRule="auto"/>
      <w:ind w:firstLine="720"/>
    </w:pPr>
    <w:rPr>
      <w:color w:val="538135"/>
      <w:kern w:val="2"/>
      <w14:ligatures w14:val="standardContextual"/>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0AD47"/>
        </w:tcBorders>
        <w:shd w:val="clear" w:color="auto" w:fill="FFFFFF"/>
      </w:tcPr>
    </w:tblStylePr>
    <w:tblStylePr w:type="lastRow">
      <w:rPr>
        <w:rFonts w:ascii="Calibri Light" w:eastAsia="Times New Roman" w:hAnsi="Calibri Light" w:cs="Times New Roman"/>
        <w:i/>
        <w:iCs/>
        <w:sz w:val="26"/>
      </w:rPr>
      <w:tblPr/>
      <w:tcPr>
        <w:tcBorders>
          <w:top w:val="single" w:sz="4" w:space="0" w:color="70AD47"/>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0AD47"/>
        </w:tcBorders>
        <w:shd w:val="clear" w:color="auto" w:fill="FFFFFF"/>
      </w:tcPr>
    </w:tblStylePr>
    <w:tblStylePr w:type="lastCol">
      <w:rPr>
        <w:rFonts w:ascii="Calibri Light" w:eastAsia="Times New Roman" w:hAnsi="Calibri Light" w:cs="Times New Roman"/>
        <w:i/>
        <w:iCs/>
        <w:sz w:val="26"/>
      </w:rPr>
      <w:tblPr/>
      <w:tcPr>
        <w:tcBorders>
          <w:left w:val="single" w:sz="4" w:space="0" w:color="70AD47"/>
        </w:tcBorders>
        <w:shd w:val="clear" w:color="auto" w:fill="FFFFFF"/>
      </w:tcPr>
    </w:tblStylePr>
    <w:tblStylePr w:type="band1Vert">
      <w:tblPr/>
      <w:tcPr>
        <w:shd w:val="clear" w:color="auto" w:fill="E2EFD9"/>
      </w:tcPr>
    </w:tblStylePr>
    <w:tblStylePr w:type="band1Horz">
      <w:tblPr/>
      <w:tcPr>
        <w:shd w:val="clear" w:color="auto" w:fill="E2EFD9"/>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B1359D"/>
    <w:pPr>
      <w:spacing w:after="0" w:line="240" w:lineRule="auto"/>
    </w:pPr>
    <w:rPr>
      <w:color w:val="E36C0A"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79646"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79646"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79646"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79646" w:themeColor="accent6"/>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mmentReference">
    <w:name w:val="annotation reference"/>
    <w:basedOn w:val="DefaultParagraphFont"/>
    <w:uiPriority w:val="99"/>
    <w:semiHidden/>
    <w:unhideWhenUsed/>
    <w:rsid w:val="009C65EC"/>
    <w:rPr>
      <w:sz w:val="16"/>
      <w:szCs w:val="16"/>
    </w:rPr>
  </w:style>
  <w:style w:type="paragraph" w:styleId="CommentText">
    <w:name w:val="annotation text"/>
    <w:basedOn w:val="Normal"/>
    <w:link w:val="CommentTextChar"/>
    <w:uiPriority w:val="99"/>
    <w:semiHidden/>
    <w:unhideWhenUsed/>
    <w:rsid w:val="009C65EC"/>
    <w:pPr>
      <w:spacing w:line="240" w:lineRule="auto"/>
    </w:pPr>
    <w:rPr>
      <w:sz w:val="20"/>
      <w:szCs w:val="20"/>
    </w:rPr>
  </w:style>
  <w:style w:type="character" w:customStyle="1" w:styleId="CommentTextChar">
    <w:name w:val="Comment Text Char"/>
    <w:basedOn w:val="DefaultParagraphFont"/>
    <w:link w:val="CommentText"/>
    <w:uiPriority w:val="99"/>
    <w:semiHidden/>
    <w:rsid w:val="009C65EC"/>
    <w:rPr>
      <w:sz w:val="20"/>
      <w:szCs w:val="20"/>
    </w:rPr>
  </w:style>
  <w:style w:type="paragraph" w:styleId="CommentSubject">
    <w:name w:val="annotation subject"/>
    <w:basedOn w:val="CommentText"/>
    <w:next w:val="CommentText"/>
    <w:link w:val="CommentSubjectChar"/>
    <w:uiPriority w:val="99"/>
    <w:semiHidden/>
    <w:unhideWhenUsed/>
    <w:rsid w:val="009C65EC"/>
    <w:rPr>
      <w:b/>
      <w:bCs/>
    </w:rPr>
  </w:style>
  <w:style w:type="character" w:customStyle="1" w:styleId="CommentSubjectChar">
    <w:name w:val="Comment Subject Char"/>
    <w:basedOn w:val="CommentTextChar"/>
    <w:link w:val="CommentSubject"/>
    <w:uiPriority w:val="99"/>
    <w:semiHidden/>
    <w:rsid w:val="009C65EC"/>
    <w:rPr>
      <w:b/>
      <w:bCs/>
      <w:sz w:val="20"/>
      <w:szCs w:val="20"/>
    </w:rPr>
  </w:style>
  <w:style w:type="table" w:styleId="GridTable1Light">
    <w:name w:val="Grid Table 1 Light"/>
    <w:basedOn w:val="TableNormal"/>
    <w:uiPriority w:val="46"/>
    <w:rsid w:val="00BA30D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OCHeading">
    <w:name w:val="TOC Heading"/>
    <w:basedOn w:val="Heading1"/>
    <w:next w:val="Normal"/>
    <w:uiPriority w:val="39"/>
    <w:unhideWhenUsed/>
    <w:qFormat/>
    <w:rsid w:val="00476CBD"/>
    <w:pPr>
      <w:outlineLvl w:val="9"/>
    </w:pPr>
  </w:style>
  <w:style w:type="paragraph" w:styleId="TOC1">
    <w:name w:val="toc 1"/>
    <w:basedOn w:val="Normal"/>
    <w:next w:val="Normal"/>
    <w:autoRedefine/>
    <w:uiPriority w:val="39"/>
    <w:unhideWhenUsed/>
    <w:rsid w:val="00476CBD"/>
    <w:pPr>
      <w:spacing w:after="100"/>
    </w:pPr>
  </w:style>
  <w:style w:type="paragraph" w:styleId="TOC2">
    <w:name w:val="toc 2"/>
    <w:basedOn w:val="Normal"/>
    <w:next w:val="Normal"/>
    <w:autoRedefine/>
    <w:uiPriority w:val="39"/>
    <w:unhideWhenUsed/>
    <w:rsid w:val="00476CBD"/>
    <w:pPr>
      <w:spacing w:after="100"/>
      <w:ind w:left="220"/>
    </w:pPr>
  </w:style>
  <w:style w:type="paragraph" w:styleId="TOC3">
    <w:name w:val="toc 3"/>
    <w:basedOn w:val="Normal"/>
    <w:next w:val="Normal"/>
    <w:autoRedefine/>
    <w:uiPriority w:val="39"/>
    <w:unhideWhenUsed/>
    <w:rsid w:val="00476CBD"/>
    <w:pPr>
      <w:spacing w:after="100"/>
      <w:ind w:left="440"/>
    </w:pPr>
  </w:style>
  <w:style w:type="table" w:customStyle="1" w:styleId="7-521">
    <w:name w:val="جدول قائمة 7 ملون - تمييز 521"/>
    <w:basedOn w:val="TableNormal"/>
    <w:uiPriority w:val="52"/>
    <w:rsid w:val="003C3394"/>
    <w:pPr>
      <w:spacing w:after="0" w:line="240" w:lineRule="auto"/>
      <w:ind w:right="862" w:hanging="142"/>
      <w:jc w:val="right"/>
    </w:pPr>
    <w:rPr>
      <w:rFonts w:ascii="Calibri" w:eastAsia="Calibri" w:hAnsi="Calibri" w:cs="Arial"/>
      <w:color w:val="2E74B5"/>
    </w:rPr>
    <w:tblPr>
      <w:tblStyleRowBandSize w:val="1"/>
      <w:tblStyleColBandSize w:val="1"/>
      <w:tblInd w:w="0" w:type="nil"/>
    </w:tblPr>
    <w:tblStylePr w:type="firstRow">
      <w:rPr>
        <w:rFonts w:ascii="Calibri Light" w:eastAsia="Times New Roman" w:hAnsi="Calibri Light" w:cs="Times New Roman" w:hint="default"/>
        <w:i/>
        <w:iCs/>
        <w:sz w:val="26"/>
        <w:szCs w:val="26"/>
      </w:rPr>
      <w:tblPr/>
      <w:tcPr>
        <w:tcBorders>
          <w:bottom w:val="single" w:sz="4" w:space="0" w:color="5B9BD5"/>
        </w:tcBorders>
        <w:shd w:val="clear" w:color="auto" w:fill="FFFFFF"/>
      </w:tcPr>
    </w:tblStylePr>
    <w:tblStylePr w:type="lastRow">
      <w:rPr>
        <w:rFonts w:ascii="Calibri Light" w:eastAsia="Times New Roman" w:hAnsi="Calibri Light" w:cs="Times New Roman" w:hint="default"/>
        <w:i/>
        <w:iCs/>
        <w:sz w:val="26"/>
        <w:szCs w:val="26"/>
      </w:rPr>
      <w:tblPr/>
      <w:tcPr>
        <w:tcBorders>
          <w:top w:val="single" w:sz="4" w:space="0" w:color="5B9BD5"/>
        </w:tcBorders>
        <w:shd w:val="clear" w:color="auto" w:fill="FFFFFF"/>
      </w:tcPr>
    </w:tblStylePr>
    <w:tblStylePr w:type="firstCol">
      <w:pPr>
        <w:jc w:val="left"/>
      </w:pPr>
      <w:rPr>
        <w:rFonts w:ascii="Calibri Light" w:eastAsia="Times New Roman" w:hAnsi="Calibri Light" w:cs="Times New Roman" w:hint="default"/>
        <w:i/>
        <w:iCs/>
        <w:sz w:val="26"/>
        <w:szCs w:val="26"/>
      </w:rPr>
      <w:tblPr/>
      <w:tcPr>
        <w:tcBorders>
          <w:right w:val="single" w:sz="4" w:space="0" w:color="5B9BD5"/>
        </w:tcBorders>
        <w:shd w:val="clear" w:color="auto" w:fill="FFFFFF"/>
      </w:tcPr>
    </w:tblStylePr>
    <w:tblStylePr w:type="lastCol">
      <w:rPr>
        <w:rFonts w:ascii="Calibri Light" w:eastAsia="Times New Roman" w:hAnsi="Calibri Light" w:cs="Times New Roman" w:hint="default"/>
        <w:i/>
        <w:iCs/>
        <w:sz w:val="26"/>
        <w:szCs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ListParagraphChar">
    <w:name w:val="List Paragraph Char"/>
    <w:aliases w:val="عنوان رئيسي Char,سرد الفقراتCxSpLast Char"/>
    <w:link w:val="ListParagraph"/>
    <w:uiPriority w:val="34"/>
    <w:locked/>
    <w:rsid w:val="00312F0B"/>
  </w:style>
  <w:style w:type="table" w:styleId="GridTable4">
    <w:name w:val="Grid Table 4"/>
    <w:basedOn w:val="TableNormal"/>
    <w:uiPriority w:val="49"/>
    <w:rsid w:val="00074754"/>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2">
    <w:name w:val="إشارة لم يتم حلها2"/>
    <w:basedOn w:val="DefaultParagraphFont"/>
    <w:uiPriority w:val="99"/>
    <w:semiHidden/>
    <w:unhideWhenUsed/>
    <w:rsid w:val="00C01F5D"/>
    <w:rPr>
      <w:color w:val="605E5C"/>
      <w:shd w:val="clear" w:color="auto" w:fill="E1DFDD"/>
    </w:rPr>
  </w:style>
  <w:style w:type="character" w:styleId="Emphasis">
    <w:name w:val="Emphasis"/>
    <w:basedOn w:val="DefaultParagraphFont"/>
    <w:uiPriority w:val="20"/>
    <w:qFormat/>
    <w:rsid w:val="0031459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14074">
      <w:bodyDiv w:val="1"/>
      <w:marLeft w:val="0"/>
      <w:marRight w:val="0"/>
      <w:marTop w:val="0"/>
      <w:marBottom w:val="0"/>
      <w:divBdr>
        <w:top w:val="none" w:sz="0" w:space="0" w:color="auto"/>
        <w:left w:val="none" w:sz="0" w:space="0" w:color="auto"/>
        <w:bottom w:val="none" w:sz="0" w:space="0" w:color="auto"/>
        <w:right w:val="none" w:sz="0" w:space="0" w:color="auto"/>
      </w:divBdr>
    </w:div>
    <w:div w:id="11421407">
      <w:bodyDiv w:val="1"/>
      <w:marLeft w:val="0"/>
      <w:marRight w:val="0"/>
      <w:marTop w:val="0"/>
      <w:marBottom w:val="0"/>
      <w:divBdr>
        <w:top w:val="none" w:sz="0" w:space="0" w:color="auto"/>
        <w:left w:val="none" w:sz="0" w:space="0" w:color="auto"/>
        <w:bottom w:val="none" w:sz="0" w:space="0" w:color="auto"/>
        <w:right w:val="none" w:sz="0" w:space="0" w:color="auto"/>
      </w:divBdr>
    </w:div>
    <w:div w:id="66928503">
      <w:bodyDiv w:val="1"/>
      <w:marLeft w:val="0"/>
      <w:marRight w:val="0"/>
      <w:marTop w:val="0"/>
      <w:marBottom w:val="0"/>
      <w:divBdr>
        <w:top w:val="none" w:sz="0" w:space="0" w:color="auto"/>
        <w:left w:val="none" w:sz="0" w:space="0" w:color="auto"/>
        <w:bottom w:val="none" w:sz="0" w:space="0" w:color="auto"/>
        <w:right w:val="none" w:sz="0" w:space="0" w:color="auto"/>
      </w:divBdr>
    </w:div>
    <w:div w:id="92022078">
      <w:bodyDiv w:val="1"/>
      <w:marLeft w:val="0"/>
      <w:marRight w:val="0"/>
      <w:marTop w:val="0"/>
      <w:marBottom w:val="0"/>
      <w:divBdr>
        <w:top w:val="none" w:sz="0" w:space="0" w:color="auto"/>
        <w:left w:val="none" w:sz="0" w:space="0" w:color="auto"/>
        <w:bottom w:val="none" w:sz="0" w:space="0" w:color="auto"/>
        <w:right w:val="none" w:sz="0" w:space="0" w:color="auto"/>
      </w:divBdr>
    </w:div>
    <w:div w:id="96676203">
      <w:bodyDiv w:val="1"/>
      <w:marLeft w:val="0"/>
      <w:marRight w:val="0"/>
      <w:marTop w:val="0"/>
      <w:marBottom w:val="0"/>
      <w:divBdr>
        <w:top w:val="none" w:sz="0" w:space="0" w:color="auto"/>
        <w:left w:val="none" w:sz="0" w:space="0" w:color="auto"/>
        <w:bottom w:val="none" w:sz="0" w:space="0" w:color="auto"/>
        <w:right w:val="none" w:sz="0" w:space="0" w:color="auto"/>
      </w:divBdr>
    </w:div>
    <w:div w:id="118302678">
      <w:bodyDiv w:val="1"/>
      <w:marLeft w:val="0"/>
      <w:marRight w:val="0"/>
      <w:marTop w:val="0"/>
      <w:marBottom w:val="0"/>
      <w:divBdr>
        <w:top w:val="none" w:sz="0" w:space="0" w:color="auto"/>
        <w:left w:val="none" w:sz="0" w:space="0" w:color="auto"/>
        <w:bottom w:val="none" w:sz="0" w:space="0" w:color="auto"/>
        <w:right w:val="none" w:sz="0" w:space="0" w:color="auto"/>
      </w:divBdr>
      <w:divsChild>
        <w:div w:id="1017660528">
          <w:marLeft w:val="0"/>
          <w:marRight w:val="0"/>
          <w:marTop w:val="0"/>
          <w:marBottom w:val="0"/>
          <w:divBdr>
            <w:top w:val="none" w:sz="0" w:space="0" w:color="auto"/>
            <w:left w:val="none" w:sz="0" w:space="0" w:color="auto"/>
            <w:bottom w:val="none" w:sz="0" w:space="0" w:color="auto"/>
            <w:right w:val="none" w:sz="0" w:space="0" w:color="auto"/>
          </w:divBdr>
        </w:div>
      </w:divsChild>
    </w:div>
    <w:div w:id="134184101">
      <w:bodyDiv w:val="1"/>
      <w:marLeft w:val="0"/>
      <w:marRight w:val="0"/>
      <w:marTop w:val="0"/>
      <w:marBottom w:val="0"/>
      <w:divBdr>
        <w:top w:val="none" w:sz="0" w:space="0" w:color="auto"/>
        <w:left w:val="none" w:sz="0" w:space="0" w:color="auto"/>
        <w:bottom w:val="none" w:sz="0" w:space="0" w:color="auto"/>
        <w:right w:val="none" w:sz="0" w:space="0" w:color="auto"/>
      </w:divBdr>
    </w:div>
    <w:div w:id="148180923">
      <w:bodyDiv w:val="1"/>
      <w:marLeft w:val="0"/>
      <w:marRight w:val="0"/>
      <w:marTop w:val="0"/>
      <w:marBottom w:val="0"/>
      <w:divBdr>
        <w:top w:val="none" w:sz="0" w:space="0" w:color="auto"/>
        <w:left w:val="none" w:sz="0" w:space="0" w:color="auto"/>
        <w:bottom w:val="none" w:sz="0" w:space="0" w:color="auto"/>
        <w:right w:val="none" w:sz="0" w:space="0" w:color="auto"/>
      </w:divBdr>
    </w:div>
    <w:div w:id="162091385">
      <w:bodyDiv w:val="1"/>
      <w:marLeft w:val="0"/>
      <w:marRight w:val="0"/>
      <w:marTop w:val="0"/>
      <w:marBottom w:val="0"/>
      <w:divBdr>
        <w:top w:val="none" w:sz="0" w:space="0" w:color="auto"/>
        <w:left w:val="none" w:sz="0" w:space="0" w:color="auto"/>
        <w:bottom w:val="none" w:sz="0" w:space="0" w:color="auto"/>
        <w:right w:val="none" w:sz="0" w:space="0" w:color="auto"/>
      </w:divBdr>
    </w:div>
    <w:div w:id="173766637">
      <w:bodyDiv w:val="1"/>
      <w:marLeft w:val="0"/>
      <w:marRight w:val="0"/>
      <w:marTop w:val="0"/>
      <w:marBottom w:val="0"/>
      <w:divBdr>
        <w:top w:val="none" w:sz="0" w:space="0" w:color="auto"/>
        <w:left w:val="none" w:sz="0" w:space="0" w:color="auto"/>
        <w:bottom w:val="none" w:sz="0" w:space="0" w:color="auto"/>
        <w:right w:val="none" w:sz="0" w:space="0" w:color="auto"/>
      </w:divBdr>
    </w:div>
    <w:div w:id="185411161">
      <w:bodyDiv w:val="1"/>
      <w:marLeft w:val="0"/>
      <w:marRight w:val="0"/>
      <w:marTop w:val="0"/>
      <w:marBottom w:val="0"/>
      <w:divBdr>
        <w:top w:val="none" w:sz="0" w:space="0" w:color="auto"/>
        <w:left w:val="none" w:sz="0" w:space="0" w:color="auto"/>
        <w:bottom w:val="none" w:sz="0" w:space="0" w:color="auto"/>
        <w:right w:val="none" w:sz="0" w:space="0" w:color="auto"/>
      </w:divBdr>
    </w:div>
    <w:div w:id="185412145">
      <w:bodyDiv w:val="1"/>
      <w:marLeft w:val="0"/>
      <w:marRight w:val="0"/>
      <w:marTop w:val="0"/>
      <w:marBottom w:val="0"/>
      <w:divBdr>
        <w:top w:val="none" w:sz="0" w:space="0" w:color="auto"/>
        <w:left w:val="none" w:sz="0" w:space="0" w:color="auto"/>
        <w:bottom w:val="none" w:sz="0" w:space="0" w:color="auto"/>
        <w:right w:val="none" w:sz="0" w:space="0" w:color="auto"/>
      </w:divBdr>
      <w:divsChild>
        <w:div w:id="962348784">
          <w:marLeft w:val="0"/>
          <w:marRight w:val="0"/>
          <w:marTop w:val="0"/>
          <w:marBottom w:val="0"/>
          <w:divBdr>
            <w:top w:val="none" w:sz="0" w:space="0" w:color="auto"/>
            <w:left w:val="none" w:sz="0" w:space="0" w:color="auto"/>
            <w:bottom w:val="none" w:sz="0" w:space="0" w:color="auto"/>
            <w:right w:val="none" w:sz="0" w:space="0" w:color="auto"/>
          </w:divBdr>
        </w:div>
      </w:divsChild>
    </w:div>
    <w:div w:id="249437240">
      <w:bodyDiv w:val="1"/>
      <w:marLeft w:val="0"/>
      <w:marRight w:val="0"/>
      <w:marTop w:val="0"/>
      <w:marBottom w:val="0"/>
      <w:divBdr>
        <w:top w:val="none" w:sz="0" w:space="0" w:color="auto"/>
        <w:left w:val="none" w:sz="0" w:space="0" w:color="auto"/>
        <w:bottom w:val="none" w:sz="0" w:space="0" w:color="auto"/>
        <w:right w:val="none" w:sz="0" w:space="0" w:color="auto"/>
      </w:divBdr>
    </w:div>
    <w:div w:id="287519213">
      <w:bodyDiv w:val="1"/>
      <w:marLeft w:val="0"/>
      <w:marRight w:val="0"/>
      <w:marTop w:val="0"/>
      <w:marBottom w:val="0"/>
      <w:divBdr>
        <w:top w:val="none" w:sz="0" w:space="0" w:color="auto"/>
        <w:left w:val="none" w:sz="0" w:space="0" w:color="auto"/>
        <w:bottom w:val="none" w:sz="0" w:space="0" w:color="auto"/>
        <w:right w:val="none" w:sz="0" w:space="0" w:color="auto"/>
      </w:divBdr>
    </w:div>
    <w:div w:id="310063282">
      <w:bodyDiv w:val="1"/>
      <w:marLeft w:val="0"/>
      <w:marRight w:val="0"/>
      <w:marTop w:val="0"/>
      <w:marBottom w:val="0"/>
      <w:divBdr>
        <w:top w:val="none" w:sz="0" w:space="0" w:color="auto"/>
        <w:left w:val="none" w:sz="0" w:space="0" w:color="auto"/>
        <w:bottom w:val="none" w:sz="0" w:space="0" w:color="auto"/>
        <w:right w:val="none" w:sz="0" w:space="0" w:color="auto"/>
      </w:divBdr>
      <w:divsChild>
        <w:div w:id="28798504">
          <w:marLeft w:val="0"/>
          <w:marRight w:val="0"/>
          <w:marTop w:val="0"/>
          <w:marBottom w:val="0"/>
          <w:divBdr>
            <w:top w:val="none" w:sz="0" w:space="0" w:color="auto"/>
            <w:left w:val="none" w:sz="0" w:space="0" w:color="auto"/>
            <w:bottom w:val="none" w:sz="0" w:space="0" w:color="auto"/>
            <w:right w:val="none" w:sz="0" w:space="0" w:color="auto"/>
          </w:divBdr>
          <w:divsChild>
            <w:div w:id="1291009475">
              <w:marLeft w:val="0"/>
              <w:marRight w:val="0"/>
              <w:marTop w:val="0"/>
              <w:marBottom w:val="0"/>
              <w:divBdr>
                <w:top w:val="none" w:sz="0" w:space="0" w:color="auto"/>
                <w:left w:val="none" w:sz="0" w:space="0" w:color="auto"/>
                <w:bottom w:val="none" w:sz="0" w:space="0" w:color="auto"/>
                <w:right w:val="none" w:sz="0" w:space="0" w:color="auto"/>
              </w:divBdr>
              <w:divsChild>
                <w:div w:id="1829592846">
                  <w:marLeft w:val="0"/>
                  <w:marRight w:val="0"/>
                  <w:marTop w:val="0"/>
                  <w:marBottom w:val="0"/>
                  <w:divBdr>
                    <w:top w:val="none" w:sz="0" w:space="0" w:color="auto"/>
                    <w:left w:val="none" w:sz="0" w:space="0" w:color="auto"/>
                    <w:bottom w:val="none" w:sz="0" w:space="0" w:color="auto"/>
                    <w:right w:val="none" w:sz="0" w:space="0" w:color="auto"/>
                  </w:divBdr>
                  <w:divsChild>
                    <w:div w:id="1328286303">
                      <w:marLeft w:val="0"/>
                      <w:marRight w:val="0"/>
                      <w:marTop w:val="0"/>
                      <w:marBottom w:val="0"/>
                      <w:divBdr>
                        <w:top w:val="none" w:sz="0" w:space="0" w:color="auto"/>
                        <w:left w:val="none" w:sz="0" w:space="0" w:color="auto"/>
                        <w:bottom w:val="none" w:sz="0" w:space="0" w:color="auto"/>
                        <w:right w:val="none" w:sz="0" w:space="0" w:color="auto"/>
                      </w:divBdr>
                      <w:divsChild>
                        <w:div w:id="338119694">
                          <w:marLeft w:val="0"/>
                          <w:marRight w:val="0"/>
                          <w:marTop w:val="0"/>
                          <w:marBottom w:val="0"/>
                          <w:divBdr>
                            <w:top w:val="none" w:sz="0" w:space="0" w:color="auto"/>
                            <w:left w:val="none" w:sz="0" w:space="0" w:color="auto"/>
                            <w:bottom w:val="none" w:sz="0" w:space="0" w:color="auto"/>
                            <w:right w:val="none" w:sz="0" w:space="0" w:color="auto"/>
                          </w:divBdr>
                          <w:divsChild>
                            <w:div w:id="1307928477">
                              <w:marLeft w:val="0"/>
                              <w:marRight w:val="0"/>
                              <w:marTop w:val="0"/>
                              <w:marBottom w:val="0"/>
                              <w:divBdr>
                                <w:top w:val="none" w:sz="0" w:space="0" w:color="auto"/>
                                <w:left w:val="none" w:sz="0" w:space="0" w:color="auto"/>
                                <w:bottom w:val="none" w:sz="0" w:space="0" w:color="auto"/>
                                <w:right w:val="none" w:sz="0" w:space="0" w:color="auto"/>
                              </w:divBdr>
                              <w:divsChild>
                                <w:div w:id="1279793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10644882">
      <w:bodyDiv w:val="1"/>
      <w:marLeft w:val="0"/>
      <w:marRight w:val="0"/>
      <w:marTop w:val="0"/>
      <w:marBottom w:val="0"/>
      <w:divBdr>
        <w:top w:val="none" w:sz="0" w:space="0" w:color="auto"/>
        <w:left w:val="none" w:sz="0" w:space="0" w:color="auto"/>
        <w:bottom w:val="none" w:sz="0" w:space="0" w:color="auto"/>
        <w:right w:val="none" w:sz="0" w:space="0" w:color="auto"/>
      </w:divBdr>
    </w:div>
    <w:div w:id="369308511">
      <w:bodyDiv w:val="1"/>
      <w:marLeft w:val="0"/>
      <w:marRight w:val="0"/>
      <w:marTop w:val="0"/>
      <w:marBottom w:val="0"/>
      <w:divBdr>
        <w:top w:val="none" w:sz="0" w:space="0" w:color="auto"/>
        <w:left w:val="none" w:sz="0" w:space="0" w:color="auto"/>
        <w:bottom w:val="none" w:sz="0" w:space="0" w:color="auto"/>
        <w:right w:val="none" w:sz="0" w:space="0" w:color="auto"/>
      </w:divBdr>
    </w:div>
    <w:div w:id="378096970">
      <w:bodyDiv w:val="1"/>
      <w:marLeft w:val="0"/>
      <w:marRight w:val="0"/>
      <w:marTop w:val="0"/>
      <w:marBottom w:val="0"/>
      <w:divBdr>
        <w:top w:val="none" w:sz="0" w:space="0" w:color="auto"/>
        <w:left w:val="none" w:sz="0" w:space="0" w:color="auto"/>
        <w:bottom w:val="none" w:sz="0" w:space="0" w:color="auto"/>
        <w:right w:val="none" w:sz="0" w:space="0" w:color="auto"/>
      </w:divBdr>
    </w:div>
    <w:div w:id="423259645">
      <w:bodyDiv w:val="1"/>
      <w:marLeft w:val="0"/>
      <w:marRight w:val="0"/>
      <w:marTop w:val="0"/>
      <w:marBottom w:val="0"/>
      <w:divBdr>
        <w:top w:val="none" w:sz="0" w:space="0" w:color="auto"/>
        <w:left w:val="none" w:sz="0" w:space="0" w:color="auto"/>
        <w:bottom w:val="none" w:sz="0" w:space="0" w:color="auto"/>
        <w:right w:val="none" w:sz="0" w:space="0" w:color="auto"/>
      </w:divBdr>
    </w:div>
    <w:div w:id="439447457">
      <w:bodyDiv w:val="1"/>
      <w:marLeft w:val="0"/>
      <w:marRight w:val="0"/>
      <w:marTop w:val="0"/>
      <w:marBottom w:val="0"/>
      <w:divBdr>
        <w:top w:val="none" w:sz="0" w:space="0" w:color="auto"/>
        <w:left w:val="none" w:sz="0" w:space="0" w:color="auto"/>
        <w:bottom w:val="none" w:sz="0" w:space="0" w:color="auto"/>
        <w:right w:val="none" w:sz="0" w:space="0" w:color="auto"/>
      </w:divBdr>
    </w:div>
    <w:div w:id="457725405">
      <w:bodyDiv w:val="1"/>
      <w:marLeft w:val="0"/>
      <w:marRight w:val="0"/>
      <w:marTop w:val="0"/>
      <w:marBottom w:val="0"/>
      <w:divBdr>
        <w:top w:val="none" w:sz="0" w:space="0" w:color="auto"/>
        <w:left w:val="none" w:sz="0" w:space="0" w:color="auto"/>
        <w:bottom w:val="none" w:sz="0" w:space="0" w:color="auto"/>
        <w:right w:val="none" w:sz="0" w:space="0" w:color="auto"/>
      </w:divBdr>
    </w:div>
    <w:div w:id="496966091">
      <w:bodyDiv w:val="1"/>
      <w:marLeft w:val="0"/>
      <w:marRight w:val="0"/>
      <w:marTop w:val="0"/>
      <w:marBottom w:val="0"/>
      <w:divBdr>
        <w:top w:val="none" w:sz="0" w:space="0" w:color="auto"/>
        <w:left w:val="none" w:sz="0" w:space="0" w:color="auto"/>
        <w:bottom w:val="none" w:sz="0" w:space="0" w:color="auto"/>
        <w:right w:val="none" w:sz="0" w:space="0" w:color="auto"/>
      </w:divBdr>
      <w:divsChild>
        <w:div w:id="2103917283">
          <w:marLeft w:val="0"/>
          <w:marRight w:val="0"/>
          <w:marTop w:val="0"/>
          <w:marBottom w:val="0"/>
          <w:divBdr>
            <w:top w:val="none" w:sz="0" w:space="0" w:color="auto"/>
            <w:left w:val="none" w:sz="0" w:space="0" w:color="auto"/>
            <w:bottom w:val="none" w:sz="0" w:space="0" w:color="auto"/>
            <w:right w:val="none" w:sz="0" w:space="0" w:color="auto"/>
          </w:divBdr>
        </w:div>
      </w:divsChild>
    </w:div>
    <w:div w:id="497959346">
      <w:bodyDiv w:val="1"/>
      <w:marLeft w:val="0"/>
      <w:marRight w:val="0"/>
      <w:marTop w:val="0"/>
      <w:marBottom w:val="0"/>
      <w:divBdr>
        <w:top w:val="none" w:sz="0" w:space="0" w:color="auto"/>
        <w:left w:val="none" w:sz="0" w:space="0" w:color="auto"/>
        <w:bottom w:val="none" w:sz="0" w:space="0" w:color="auto"/>
        <w:right w:val="none" w:sz="0" w:space="0" w:color="auto"/>
      </w:divBdr>
    </w:div>
    <w:div w:id="512383569">
      <w:bodyDiv w:val="1"/>
      <w:marLeft w:val="0"/>
      <w:marRight w:val="0"/>
      <w:marTop w:val="0"/>
      <w:marBottom w:val="0"/>
      <w:divBdr>
        <w:top w:val="none" w:sz="0" w:space="0" w:color="auto"/>
        <w:left w:val="none" w:sz="0" w:space="0" w:color="auto"/>
        <w:bottom w:val="none" w:sz="0" w:space="0" w:color="auto"/>
        <w:right w:val="none" w:sz="0" w:space="0" w:color="auto"/>
      </w:divBdr>
    </w:div>
    <w:div w:id="551698641">
      <w:bodyDiv w:val="1"/>
      <w:marLeft w:val="0"/>
      <w:marRight w:val="0"/>
      <w:marTop w:val="0"/>
      <w:marBottom w:val="0"/>
      <w:divBdr>
        <w:top w:val="none" w:sz="0" w:space="0" w:color="auto"/>
        <w:left w:val="none" w:sz="0" w:space="0" w:color="auto"/>
        <w:bottom w:val="none" w:sz="0" w:space="0" w:color="auto"/>
        <w:right w:val="none" w:sz="0" w:space="0" w:color="auto"/>
      </w:divBdr>
      <w:divsChild>
        <w:div w:id="1293638890">
          <w:marLeft w:val="0"/>
          <w:marRight w:val="0"/>
          <w:marTop w:val="0"/>
          <w:marBottom w:val="0"/>
          <w:divBdr>
            <w:top w:val="none" w:sz="0" w:space="0" w:color="auto"/>
            <w:left w:val="none" w:sz="0" w:space="0" w:color="auto"/>
            <w:bottom w:val="none" w:sz="0" w:space="0" w:color="auto"/>
            <w:right w:val="none" w:sz="0" w:space="0" w:color="auto"/>
          </w:divBdr>
        </w:div>
      </w:divsChild>
    </w:div>
    <w:div w:id="570118663">
      <w:bodyDiv w:val="1"/>
      <w:marLeft w:val="0"/>
      <w:marRight w:val="0"/>
      <w:marTop w:val="0"/>
      <w:marBottom w:val="0"/>
      <w:divBdr>
        <w:top w:val="none" w:sz="0" w:space="0" w:color="auto"/>
        <w:left w:val="none" w:sz="0" w:space="0" w:color="auto"/>
        <w:bottom w:val="none" w:sz="0" w:space="0" w:color="auto"/>
        <w:right w:val="none" w:sz="0" w:space="0" w:color="auto"/>
      </w:divBdr>
      <w:divsChild>
        <w:div w:id="349768879">
          <w:marLeft w:val="0"/>
          <w:marRight w:val="0"/>
          <w:marTop w:val="0"/>
          <w:marBottom w:val="0"/>
          <w:divBdr>
            <w:top w:val="none" w:sz="0" w:space="0" w:color="auto"/>
            <w:left w:val="none" w:sz="0" w:space="0" w:color="auto"/>
            <w:bottom w:val="none" w:sz="0" w:space="0" w:color="auto"/>
            <w:right w:val="none" w:sz="0" w:space="0" w:color="auto"/>
          </w:divBdr>
          <w:divsChild>
            <w:div w:id="1017923283">
              <w:marLeft w:val="0"/>
              <w:marRight w:val="0"/>
              <w:marTop w:val="0"/>
              <w:marBottom w:val="0"/>
              <w:divBdr>
                <w:top w:val="none" w:sz="0" w:space="0" w:color="auto"/>
                <w:left w:val="none" w:sz="0" w:space="0" w:color="auto"/>
                <w:bottom w:val="none" w:sz="0" w:space="0" w:color="auto"/>
                <w:right w:val="none" w:sz="0" w:space="0" w:color="auto"/>
              </w:divBdr>
              <w:divsChild>
                <w:div w:id="1537304848">
                  <w:marLeft w:val="0"/>
                  <w:marRight w:val="0"/>
                  <w:marTop w:val="0"/>
                  <w:marBottom w:val="0"/>
                  <w:divBdr>
                    <w:top w:val="none" w:sz="0" w:space="0" w:color="auto"/>
                    <w:left w:val="none" w:sz="0" w:space="0" w:color="auto"/>
                    <w:bottom w:val="none" w:sz="0" w:space="0" w:color="auto"/>
                    <w:right w:val="none" w:sz="0" w:space="0" w:color="auto"/>
                  </w:divBdr>
                  <w:divsChild>
                    <w:div w:id="81269643">
                      <w:marLeft w:val="0"/>
                      <w:marRight w:val="0"/>
                      <w:marTop w:val="0"/>
                      <w:marBottom w:val="0"/>
                      <w:divBdr>
                        <w:top w:val="none" w:sz="0" w:space="0" w:color="auto"/>
                        <w:left w:val="none" w:sz="0" w:space="0" w:color="auto"/>
                        <w:bottom w:val="none" w:sz="0" w:space="0" w:color="auto"/>
                        <w:right w:val="none" w:sz="0" w:space="0" w:color="auto"/>
                      </w:divBdr>
                      <w:divsChild>
                        <w:div w:id="661348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1799121">
              <w:marLeft w:val="0"/>
              <w:marRight w:val="0"/>
              <w:marTop w:val="0"/>
              <w:marBottom w:val="0"/>
              <w:divBdr>
                <w:top w:val="none" w:sz="0" w:space="0" w:color="auto"/>
                <w:left w:val="none" w:sz="0" w:space="0" w:color="auto"/>
                <w:bottom w:val="none" w:sz="0" w:space="0" w:color="auto"/>
                <w:right w:val="none" w:sz="0" w:space="0" w:color="auto"/>
              </w:divBdr>
              <w:divsChild>
                <w:div w:id="449975652">
                  <w:marLeft w:val="0"/>
                  <w:marRight w:val="0"/>
                  <w:marTop w:val="0"/>
                  <w:marBottom w:val="0"/>
                  <w:divBdr>
                    <w:top w:val="none" w:sz="0" w:space="0" w:color="auto"/>
                    <w:left w:val="none" w:sz="0" w:space="0" w:color="auto"/>
                    <w:bottom w:val="none" w:sz="0" w:space="0" w:color="auto"/>
                    <w:right w:val="none" w:sz="0" w:space="0" w:color="auto"/>
                  </w:divBdr>
                  <w:divsChild>
                    <w:div w:id="1277450340">
                      <w:marLeft w:val="0"/>
                      <w:marRight w:val="0"/>
                      <w:marTop w:val="0"/>
                      <w:marBottom w:val="0"/>
                      <w:divBdr>
                        <w:top w:val="none" w:sz="0" w:space="0" w:color="auto"/>
                        <w:left w:val="none" w:sz="0" w:space="0" w:color="auto"/>
                        <w:bottom w:val="none" w:sz="0" w:space="0" w:color="auto"/>
                        <w:right w:val="none" w:sz="0" w:space="0" w:color="auto"/>
                      </w:divBdr>
                      <w:divsChild>
                        <w:div w:id="674697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2738667">
      <w:bodyDiv w:val="1"/>
      <w:marLeft w:val="0"/>
      <w:marRight w:val="0"/>
      <w:marTop w:val="0"/>
      <w:marBottom w:val="0"/>
      <w:divBdr>
        <w:top w:val="none" w:sz="0" w:space="0" w:color="auto"/>
        <w:left w:val="none" w:sz="0" w:space="0" w:color="auto"/>
        <w:bottom w:val="none" w:sz="0" w:space="0" w:color="auto"/>
        <w:right w:val="none" w:sz="0" w:space="0" w:color="auto"/>
      </w:divBdr>
    </w:div>
    <w:div w:id="573050335">
      <w:bodyDiv w:val="1"/>
      <w:marLeft w:val="0"/>
      <w:marRight w:val="0"/>
      <w:marTop w:val="0"/>
      <w:marBottom w:val="0"/>
      <w:divBdr>
        <w:top w:val="none" w:sz="0" w:space="0" w:color="auto"/>
        <w:left w:val="none" w:sz="0" w:space="0" w:color="auto"/>
        <w:bottom w:val="none" w:sz="0" w:space="0" w:color="auto"/>
        <w:right w:val="none" w:sz="0" w:space="0" w:color="auto"/>
      </w:divBdr>
      <w:divsChild>
        <w:div w:id="1125149761">
          <w:marLeft w:val="0"/>
          <w:marRight w:val="0"/>
          <w:marTop w:val="0"/>
          <w:marBottom w:val="0"/>
          <w:divBdr>
            <w:top w:val="none" w:sz="0" w:space="0" w:color="auto"/>
            <w:left w:val="none" w:sz="0" w:space="0" w:color="auto"/>
            <w:bottom w:val="none" w:sz="0" w:space="0" w:color="auto"/>
            <w:right w:val="none" w:sz="0" w:space="0" w:color="auto"/>
          </w:divBdr>
        </w:div>
      </w:divsChild>
    </w:div>
    <w:div w:id="575747716">
      <w:bodyDiv w:val="1"/>
      <w:marLeft w:val="0"/>
      <w:marRight w:val="0"/>
      <w:marTop w:val="0"/>
      <w:marBottom w:val="0"/>
      <w:divBdr>
        <w:top w:val="none" w:sz="0" w:space="0" w:color="auto"/>
        <w:left w:val="none" w:sz="0" w:space="0" w:color="auto"/>
        <w:bottom w:val="none" w:sz="0" w:space="0" w:color="auto"/>
        <w:right w:val="none" w:sz="0" w:space="0" w:color="auto"/>
      </w:divBdr>
    </w:div>
    <w:div w:id="597642636">
      <w:bodyDiv w:val="1"/>
      <w:marLeft w:val="0"/>
      <w:marRight w:val="0"/>
      <w:marTop w:val="0"/>
      <w:marBottom w:val="0"/>
      <w:divBdr>
        <w:top w:val="none" w:sz="0" w:space="0" w:color="auto"/>
        <w:left w:val="none" w:sz="0" w:space="0" w:color="auto"/>
        <w:bottom w:val="none" w:sz="0" w:space="0" w:color="auto"/>
        <w:right w:val="none" w:sz="0" w:space="0" w:color="auto"/>
      </w:divBdr>
    </w:div>
    <w:div w:id="628898392">
      <w:bodyDiv w:val="1"/>
      <w:marLeft w:val="0"/>
      <w:marRight w:val="0"/>
      <w:marTop w:val="0"/>
      <w:marBottom w:val="0"/>
      <w:divBdr>
        <w:top w:val="none" w:sz="0" w:space="0" w:color="auto"/>
        <w:left w:val="none" w:sz="0" w:space="0" w:color="auto"/>
        <w:bottom w:val="none" w:sz="0" w:space="0" w:color="auto"/>
        <w:right w:val="none" w:sz="0" w:space="0" w:color="auto"/>
      </w:divBdr>
      <w:divsChild>
        <w:div w:id="725766067">
          <w:marLeft w:val="0"/>
          <w:marRight w:val="0"/>
          <w:marTop w:val="0"/>
          <w:marBottom w:val="0"/>
          <w:divBdr>
            <w:top w:val="none" w:sz="0" w:space="0" w:color="auto"/>
            <w:left w:val="none" w:sz="0" w:space="0" w:color="auto"/>
            <w:bottom w:val="none" w:sz="0" w:space="0" w:color="auto"/>
            <w:right w:val="none" w:sz="0" w:space="0" w:color="auto"/>
          </w:divBdr>
        </w:div>
      </w:divsChild>
    </w:div>
    <w:div w:id="660281010">
      <w:bodyDiv w:val="1"/>
      <w:marLeft w:val="0"/>
      <w:marRight w:val="0"/>
      <w:marTop w:val="0"/>
      <w:marBottom w:val="0"/>
      <w:divBdr>
        <w:top w:val="none" w:sz="0" w:space="0" w:color="auto"/>
        <w:left w:val="none" w:sz="0" w:space="0" w:color="auto"/>
        <w:bottom w:val="none" w:sz="0" w:space="0" w:color="auto"/>
        <w:right w:val="none" w:sz="0" w:space="0" w:color="auto"/>
      </w:divBdr>
    </w:div>
    <w:div w:id="671033564">
      <w:bodyDiv w:val="1"/>
      <w:marLeft w:val="0"/>
      <w:marRight w:val="0"/>
      <w:marTop w:val="0"/>
      <w:marBottom w:val="0"/>
      <w:divBdr>
        <w:top w:val="none" w:sz="0" w:space="0" w:color="auto"/>
        <w:left w:val="none" w:sz="0" w:space="0" w:color="auto"/>
        <w:bottom w:val="none" w:sz="0" w:space="0" w:color="auto"/>
        <w:right w:val="none" w:sz="0" w:space="0" w:color="auto"/>
      </w:divBdr>
    </w:div>
    <w:div w:id="701395812">
      <w:bodyDiv w:val="1"/>
      <w:marLeft w:val="0"/>
      <w:marRight w:val="0"/>
      <w:marTop w:val="0"/>
      <w:marBottom w:val="0"/>
      <w:divBdr>
        <w:top w:val="none" w:sz="0" w:space="0" w:color="auto"/>
        <w:left w:val="none" w:sz="0" w:space="0" w:color="auto"/>
        <w:bottom w:val="none" w:sz="0" w:space="0" w:color="auto"/>
        <w:right w:val="none" w:sz="0" w:space="0" w:color="auto"/>
      </w:divBdr>
      <w:divsChild>
        <w:div w:id="640840883">
          <w:marLeft w:val="0"/>
          <w:marRight w:val="0"/>
          <w:marTop w:val="0"/>
          <w:marBottom w:val="0"/>
          <w:divBdr>
            <w:top w:val="none" w:sz="0" w:space="0" w:color="auto"/>
            <w:left w:val="none" w:sz="0" w:space="0" w:color="auto"/>
            <w:bottom w:val="none" w:sz="0" w:space="0" w:color="auto"/>
            <w:right w:val="none" w:sz="0" w:space="0" w:color="auto"/>
          </w:divBdr>
        </w:div>
      </w:divsChild>
    </w:div>
    <w:div w:id="743451192">
      <w:bodyDiv w:val="1"/>
      <w:marLeft w:val="0"/>
      <w:marRight w:val="0"/>
      <w:marTop w:val="0"/>
      <w:marBottom w:val="0"/>
      <w:divBdr>
        <w:top w:val="none" w:sz="0" w:space="0" w:color="auto"/>
        <w:left w:val="none" w:sz="0" w:space="0" w:color="auto"/>
        <w:bottom w:val="none" w:sz="0" w:space="0" w:color="auto"/>
        <w:right w:val="none" w:sz="0" w:space="0" w:color="auto"/>
      </w:divBdr>
    </w:div>
    <w:div w:id="744301456">
      <w:bodyDiv w:val="1"/>
      <w:marLeft w:val="0"/>
      <w:marRight w:val="0"/>
      <w:marTop w:val="0"/>
      <w:marBottom w:val="0"/>
      <w:divBdr>
        <w:top w:val="none" w:sz="0" w:space="0" w:color="auto"/>
        <w:left w:val="none" w:sz="0" w:space="0" w:color="auto"/>
        <w:bottom w:val="none" w:sz="0" w:space="0" w:color="auto"/>
        <w:right w:val="none" w:sz="0" w:space="0" w:color="auto"/>
      </w:divBdr>
      <w:divsChild>
        <w:div w:id="1920628926">
          <w:marLeft w:val="0"/>
          <w:marRight w:val="0"/>
          <w:marTop w:val="0"/>
          <w:marBottom w:val="0"/>
          <w:divBdr>
            <w:top w:val="none" w:sz="0" w:space="0" w:color="auto"/>
            <w:left w:val="none" w:sz="0" w:space="0" w:color="auto"/>
            <w:bottom w:val="none" w:sz="0" w:space="0" w:color="auto"/>
            <w:right w:val="none" w:sz="0" w:space="0" w:color="auto"/>
          </w:divBdr>
          <w:divsChild>
            <w:div w:id="214434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8410058">
      <w:bodyDiv w:val="1"/>
      <w:marLeft w:val="0"/>
      <w:marRight w:val="0"/>
      <w:marTop w:val="0"/>
      <w:marBottom w:val="0"/>
      <w:divBdr>
        <w:top w:val="none" w:sz="0" w:space="0" w:color="auto"/>
        <w:left w:val="none" w:sz="0" w:space="0" w:color="auto"/>
        <w:bottom w:val="none" w:sz="0" w:space="0" w:color="auto"/>
        <w:right w:val="none" w:sz="0" w:space="0" w:color="auto"/>
      </w:divBdr>
    </w:div>
    <w:div w:id="758601162">
      <w:bodyDiv w:val="1"/>
      <w:marLeft w:val="0"/>
      <w:marRight w:val="0"/>
      <w:marTop w:val="0"/>
      <w:marBottom w:val="0"/>
      <w:divBdr>
        <w:top w:val="none" w:sz="0" w:space="0" w:color="auto"/>
        <w:left w:val="none" w:sz="0" w:space="0" w:color="auto"/>
        <w:bottom w:val="none" w:sz="0" w:space="0" w:color="auto"/>
        <w:right w:val="none" w:sz="0" w:space="0" w:color="auto"/>
      </w:divBdr>
    </w:div>
    <w:div w:id="787312639">
      <w:bodyDiv w:val="1"/>
      <w:marLeft w:val="0"/>
      <w:marRight w:val="0"/>
      <w:marTop w:val="0"/>
      <w:marBottom w:val="0"/>
      <w:divBdr>
        <w:top w:val="none" w:sz="0" w:space="0" w:color="auto"/>
        <w:left w:val="none" w:sz="0" w:space="0" w:color="auto"/>
        <w:bottom w:val="none" w:sz="0" w:space="0" w:color="auto"/>
        <w:right w:val="none" w:sz="0" w:space="0" w:color="auto"/>
      </w:divBdr>
    </w:div>
    <w:div w:id="795946221">
      <w:bodyDiv w:val="1"/>
      <w:marLeft w:val="0"/>
      <w:marRight w:val="0"/>
      <w:marTop w:val="0"/>
      <w:marBottom w:val="0"/>
      <w:divBdr>
        <w:top w:val="none" w:sz="0" w:space="0" w:color="auto"/>
        <w:left w:val="none" w:sz="0" w:space="0" w:color="auto"/>
        <w:bottom w:val="none" w:sz="0" w:space="0" w:color="auto"/>
        <w:right w:val="none" w:sz="0" w:space="0" w:color="auto"/>
      </w:divBdr>
    </w:div>
    <w:div w:id="839154232">
      <w:bodyDiv w:val="1"/>
      <w:marLeft w:val="0"/>
      <w:marRight w:val="0"/>
      <w:marTop w:val="0"/>
      <w:marBottom w:val="0"/>
      <w:divBdr>
        <w:top w:val="none" w:sz="0" w:space="0" w:color="auto"/>
        <w:left w:val="none" w:sz="0" w:space="0" w:color="auto"/>
        <w:bottom w:val="none" w:sz="0" w:space="0" w:color="auto"/>
        <w:right w:val="none" w:sz="0" w:space="0" w:color="auto"/>
      </w:divBdr>
      <w:divsChild>
        <w:div w:id="1920871151">
          <w:marLeft w:val="0"/>
          <w:marRight w:val="0"/>
          <w:marTop w:val="0"/>
          <w:marBottom w:val="0"/>
          <w:divBdr>
            <w:top w:val="none" w:sz="0" w:space="0" w:color="auto"/>
            <w:left w:val="none" w:sz="0" w:space="0" w:color="auto"/>
            <w:bottom w:val="none" w:sz="0" w:space="0" w:color="auto"/>
            <w:right w:val="none" w:sz="0" w:space="0" w:color="auto"/>
          </w:divBdr>
        </w:div>
      </w:divsChild>
    </w:div>
    <w:div w:id="850990913">
      <w:bodyDiv w:val="1"/>
      <w:marLeft w:val="0"/>
      <w:marRight w:val="0"/>
      <w:marTop w:val="0"/>
      <w:marBottom w:val="0"/>
      <w:divBdr>
        <w:top w:val="none" w:sz="0" w:space="0" w:color="auto"/>
        <w:left w:val="none" w:sz="0" w:space="0" w:color="auto"/>
        <w:bottom w:val="none" w:sz="0" w:space="0" w:color="auto"/>
        <w:right w:val="none" w:sz="0" w:space="0" w:color="auto"/>
      </w:divBdr>
    </w:div>
    <w:div w:id="932084585">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74405991">
      <w:bodyDiv w:val="1"/>
      <w:marLeft w:val="0"/>
      <w:marRight w:val="0"/>
      <w:marTop w:val="0"/>
      <w:marBottom w:val="0"/>
      <w:divBdr>
        <w:top w:val="none" w:sz="0" w:space="0" w:color="auto"/>
        <w:left w:val="none" w:sz="0" w:space="0" w:color="auto"/>
        <w:bottom w:val="none" w:sz="0" w:space="0" w:color="auto"/>
        <w:right w:val="none" w:sz="0" w:space="0" w:color="auto"/>
      </w:divBdr>
    </w:div>
    <w:div w:id="1044865916">
      <w:bodyDiv w:val="1"/>
      <w:marLeft w:val="0"/>
      <w:marRight w:val="0"/>
      <w:marTop w:val="0"/>
      <w:marBottom w:val="0"/>
      <w:divBdr>
        <w:top w:val="none" w:sz="0" w:space="0" w:color="auto"/>
        <w:left w:val="none" w:sz="0" w:space="0" w:color="auto"/>
        <w:bottom w:val="none" w:sz="0" w:space="0" w:color="auto"/>
        <w:right w:val="none" w:sz="0" w:space="0" w:color="auto"/>
      </w:divBdr>
    </w:div>
    <w:div w:id="1072317829">
      <w:bodyDiv w:val="1"/>
      <w:marLeft w:val="0"/>
      <w:marRight w:val="0"/>
      <w:marTop w:val="0"/>
      <w:marBottom w:val="0"/>
      <w:divBdr>
        <w:top w:val="none" w:sz="0" w:space="0" w:color="auto"/>
        <w:left w:val="none" w:sz="0" w:space="0" w:color="auto"/>
        <w:bottom w:val="none" w:sz="0" w:space="0" w:color="auto"/>
        <w:right w:val="none" w:sz="0" w:space="0" w:color="auto"/>
      </w:divBdr>
    </w:div>
    <w:div w:id="1121802894">
      <w:bodyDiv w:val="1"/>
      <w:marLeft w:val="0"/>
      <w:marRight w:val="0"/>
      <w:marTop w:val="0"/>
      <w:marBottom w:val="0"/>
      <w:divBdr>
        <w:top w:val="none" w:sz="0" w:space="0" w:color="auto"/>
        <w:left w:val="none" w:sz="0" w:space="0" w:color="auto"/>
        <w:bottom w:val="none" w:sz="0" w:space="0" w:color="auto"/>
        <w:right w:val="none" w:sz="0" w:space="0" w:color="auto"/>
      </w:divBdr>
    </w:div>
    <w:div w:id="1148472079">
      <w:bodyDiv w:val="1"/>
      <w:marLeft w:val="0"/>
      <w:marRight w:val="0"/>
      <w:marTop w:val="0"/>
      <w:marBottom w:val="0"/>
      <w:divBdr>
        <w:top w:val="none" w:sz="0" w:space="0" w:color="auto"/>
        <w:left w:val="none" w:sz="0" w:space="0" w:color="auto"/>
        <w:bottom w:val="none" w:sz="0" w:space="0" w:color="auto"/>
        <w:right w:val="none" w:sz="0" w:space="0" w:color="auto"/>
      </w:divBdr>
    </w:div>
    <w:div w:id="1159928040">
      <w:bodyDiv w:val="1"/>
      <w:marLeft w:val="0"/>
      <w:marRight w:val="0"/>
      <w:marTop w:val="0"/>
      <w:marBottom w:val="0"/>
      <w:divBdr>
        <w:top w:val="none" w:sz="0" w:space="0" w:color="auto"/>
        <w:left w:val="none" w:sz="0" w:space="0" w:color="auto"/>
        <w:bottom w:val="none" w:sz="0" w:space="0" w:color="auto"/>
        <w:right w:val="none" w:sz="0" w:space="0" w:color="auto"/>
      </w:divBdr>
    </w:div>
    <w:div w:id="1331759306">
      <w:bodyDiv w:val="1"/>
      <w:marLeft w:val="0"/>
      <w:marRight w:val="0"/>
      <w:marTop w:val="0"/>
      <w:marBottom w:val="0"/>
      <w:divBdr>
        <w:top w:val="none" w:sz="0" w:space="0" w:color="auto"/>
        <w:left w:val="none" w:sz="0" w:space="0" w:color="auto"/>
        <w:bottom w:val="none" w:sz="0" w:space="0" w:color="auto"/>
        <w:right w:val="none" w:sz="0" w:space="0" w:color="auto"/>
      </w:divBdr>
      <w:divsChild>
        <w:div w:id="1683121378">
          <w:marLeft w:val="0"/>
          <w:marRight w:val="0"/>
          <w:marTop w:val="0"/>
          <w:marBottom w:val="0"/>
          <w:divBdr>
            <w:top w:val="none" w:sz="0" w:space="0" w:color="auto"/>
            <w:left w:val="none" w:sz="0" w:space="0" w:color="auto"/>
            <w:bottom w:val="none" w:sz="0" w:space="0" w:color="auto"/>
            <w:right w:val="none" w:sz="0" w:space="0" w:color="auto"/>
          </w:divBdr>
        </w:div>
      </w:divsChild>
    </w:div>
    <w:div w:id="1355570238">
      <w:bodyDiv w:val="1"/>
      <w:marLeft w:val="0"/>
      <w:marRight w:val="0"/>
      <w:marTop w:val="0"/>
      <w:marBottom w:val="0"/>
      <w:divBdr>
        <w:top w:val="none" w:sz="0" w:space="0" w:color="auto"/>
        <w:left w:val="none" w:sz="0" w:space="0" w:color="auto"/>
        <w:bottom w:val="none" w:sz="0" w:space="0" w:color="auto"/>
        <w:right w:val="none" w:sz="0" w:space="0" w:color="auto"/>
      </w:divBdr>
    </w:div>
    <w:div w:id="1396321269">
      <w:bodyDiv w:val="1"/>
      <w:marLeft w:val="0"/>
      <w:marRight w:val="0"/>
      <w:marTop w:val="0"/>
      <w:marBottom w:val="0"/>
      <w:divBdr>
        <w:top w:val="none" w:sz="0" w:space="0" w:color="auto"/>
        <w:left w:val="none" w:sz="0" w:space="0" w:color="auto"/>
        <w:bottom w:val="none" w:sz="0" w:space="0" w:color="auto"/>
        <w:right w:val="none" w:sz="0" w:space="0" w:color="auto"/>
      </w:divBdr>
      <w:divsChild>
        <w:div w:id="67384649">
          <w:marLeft w:val="0"/>
          <w:marRight w:val="0"/>
          <w:marTop w:val="0"/>
          <w:marBottom w:val="0"/>
          <w:divBdr>
            <w:top w:val="none" w:sz="0" w:space="0" w:color="auto"/>
            <w:left w:val="none" w:sz="0" w:space="0" w:color="auto"/>
            <w:bottom w:val="none" w:sz="0" w:space="0" w:color="auto"/>
            <w:right w:val="none" w:sz="0" w:space="0" w:color="auto"/>
          </w:divBdr>
          <w:divsChild>
            <w:div w:id="1993946049">
              <w:marLeft w:val="0"/>
              <w:marRight w:val="0"/>
              <w:marTop w:val="0"/>
              <w:marBottom w:val="0"/>
              <w:divBdr>
                <w:top w:val="none" w:sz="0" w:space="0" w:color="auto"/>
                <w:left w:val="none" w:sz="0" w:space="0" w:color="auto"/>
                <w:bottom w:val="none" w:sz="0" w:space="0" w:color="auto"/>
                <w:right w:val="none" w:sz="0" w:space="0" w:color="auto"/>
              </w:divBdr>
              <w:divsChild>
                <w:div w:id="2024014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4473595">
      <w:bodyDiv w:val="1"/>
      <w:marLeft w:val="0"/>
      <w:marRight w:val="0"/>
      <w:marTop w:val="0"/>
      <w:marBottom w:val="0"/>
      <w:divBdr>
        <w:top w:val="none" w:sz="0" w:space="0" w:color="auto"/>
        <w:left w:val="none" w:sz="0" w:space="0" w:color="auto"/>
        <w:bottom w:val="none" w:sz="0" w:space="0" w:color="auto"/>
        <w:right w:val="none" w:sz="0" w:space="0" w:color="auto"/>
      </w:divBdr>
    </w:div>
    <w:div w:id="1442801658">
      <w:bodyDiv w:val="1"/>
      <w:marLeft w:val="0"/>
      <w:marRight w:val="0"/>
      <w:marTop w:val="0"/>
      <w:marBottom w:val="0"/>
      <w:divBdr>
        <w:top w:val="none" w:sz="0" w:space="0" w:color="auto"/>
        <w:left w:val="none" w:sz="0" w:space="0" w:color="auto"/>
        <w:bottom w:val="none" w:sz="0" w:space="0" w:color="auto"/>
        <w:right w:val="none" w:sz="0" w:space="0" w:color="auto"/>
      </w:divBdr>
      <w:divsChild>
        <w:div w:id="631597309">
          <w:marLeft w:val="0"/>
          <w:marRight w:val="0"/>
          <w:marTop w:val="0"/>
          <w:marBottom w:val="0"/>
          <w:divBdr>
            <w:top w:val="none" w:sz="0" w:space="0" w:color="auto"/>
            <w:left w:val="none" w:sz="0" w:space="0" w:color="auto"/>
            <w:bottom w:val="none" w:sz="0" w:space="0" w:color="auto"/>
            <w:right w:val="none" w:sz="0" w:space="0" w:color="auto"/>
          </w:divBdr>
          <w:divsChild>
            <w:div w:id="1937325518">
              <w:marLeft w:val="0"/>
              <w:marRight w:val="0"/>
              <w:marTop w:val="0"/>
              <w:marBottom w:val="0"/>
              <w:divBdr>
                <w:top w:val="none" w:sz="0" w:space="0" w:color="auto"/>
                <w:left w:val="none" w:sz="0" w:space="0" w:color="auto"/>
                <w:bottom w:val="none" w:sz="0" w:space="0" w:color="auto"/>
                <w:right w:val="none" w:sz="0" w:space="0" w:color="auto"/>
              </w:divBdr>
              <w:divsChild>
                <w:div w:id="1274555628">
                  <w:marLeft w:val="0"/>
                  <w:marRight w:val="0"/>
                  <w:marTop w:val="0"/>
                  <w:marBottom w:val="0"/>
                  <w:divBdr>
                    <w:top w:val="none" w:sz="0" w:space="0" w:color="auto"/>
                    <w:left w:val="none" w:sz="0" w:space="0" w:color="auto"/>
                    <w:bottom w:val="none" w:sz="0" w:space="0" w:color="auto"/>
                    <w:right w:val="none" w:sz="0" w:space="0" w:color="auto"/>
                  </w:divBdr>
                  <w:divsChild>
                    <w:div w:id="1781024525">
                      <w:marLeft w:val="0"/>
                      <w:marRight w:val="0"/>
                      <w:marTop w:val="0"/>
                      <w:marBottom w:val="0"/>
                      <w:divBdr>
                        <w:top w:val="none" w:sz="0" w:space="0" w:color="auto"/>
                        <w:left w:val="none" w:sz="0" w:space="0" w:color="auto"/>
                        <w:bottom w:val="none" w:sz="0" w:space="0" w:color="auto"/>
                        <w:right w:val="none" w:sz="0" w:space="0" w:color="auto"/>
                      </w:divBdr>
                      <w:divsChild>
                        <w:div w:id="1076393531">
                          <w:marLeft w:val="0"/>
                          <w:marRight w:val="0"/>
                          <w:marTop w:val="0"/>
                          <w:marBottom w:val="0"/>
                          <w:divBdr>
                            <w:top w:val="none" w:sz="0" w:space="0" w:color="auto"/>
                            <w:left w:val="none" w:sz="0" w:space="0" w:color="auto"/>
                            <w:bottom w:val="none" w:sz="0" w:space="0" w:color="auto"/>
                            <w:right w:val="none" w:sz="0" w:space="0" w:color="auto"/>
                          </w:divBdr>
                          <w:divsChild>
                            <w:div w:id="415246721">
                              <w:marLeft w:val="0"/>
                              <w:marRight w:val="0"/>
                              <w:marTop w:val="0"/>
                              <w:marBottom w:val="0"/>
                              <w:divBdr>
                                <w:top w:val="none" w:sz="0" w:space="0" w:color="auto"/>
                                <w:left w:val="none" w:sz="0" w:space="0" w:color="auto"/>
                                <w:bottom w:val="none" w:sz="0" w:space="0" w:color="auto"/>
                                <w:right w:val="none" w:sz="0" w:space="0" w:color="auto"/>
                              </w:divBdr>
                              <w:divsChild>
                                <w:div w:id="91553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53866402">
      <w:bodyDiv w:val="1"/>
      <w:marLeft w:val="0"/>
      <w:marRight w:val="0"/>
      <w:marTop w:val="0"/>
      <w:marBottom w:val="0"/>
      <w:divBdr>
        <w:top w:val="none" w:sz="0" w:space="0" w:color="auto"/>
        <w:left w:val="none" w:sz="0" w:space="0" w:color="auto"/>
        <w:bottom w:val="none" w:sz="0" w:space="0" w:color="auto"/>
        <w:right w:val="none" w:sz="0" w:space="0" w:color="auto"/>
      </w:divBdr>
    </w:div>
    <w:div w:id="1484158100">
      <w:bodyDiv w:val="1"/>
      <w:marLeft w:val="0"/>
      <w:marRight w:val="0"/>
      <w:marTop w:val="0"/>
      <w:marBottom w:val="0"/>
      <w:divBdr>
        <w:top w:val="none" w:sz="0" w:space="0" w:color="auto"/>
        <w:left w:val="none" w:sz="0" w:space="0" w:color="auto"/>
        <w:bottom w:val="none" w:sz="0" w:space="0" w:color="auto"/>
        <w:right w:val="none" w:sz="0" w:space="0" w:color="auto"/>
      </w:divBdr>
    </w:div>
    <w:div w:id="1527598712">
      <w:bodyDiv w:val="1"/>
      <w:marLeft w:val="0"/>
      <w:marRight w:val="0"/>
      <w:marTop w:val="0"/>
      <w:marBottom w:val="0"/>
      <w:divBdr>
        <w:top w:val="none" w:sz="0" w:space="0" w:color="auto"/>
        <w:left w:val="none" w:sz="0" w:space="0" w:color="auto"/>
        <w:bottom w:val="none" w:sz="0" w:space="0" w:color="auto"/>
        <w:right w:val="none" w:sz="0" w:space="0" w:color="auto"/>
      </w:divBdr>
    </w:div>
    <w:div w:id="1567566167">
      <w:bodyDiv w:val="1"/>
      <w:marLeft w:val="0"/>
      <w:marRight w:val="0"/>
      <w:marTop w:val="0"/>
      <w:marBottom w:val="0"/>
      <w:divBdr>
        <w:top w:val="none" w:sz="0" w:space="0" w:color="auto"/>
        <w:left w:val="none" w:sz="0" w:space="0" w:color="auto"/>
        <w:bottom w:val="none" w:sz="0" w:space="0" w:color="auto"/>
        <w:right w:val="none" w:sz="0" w:space="0" w:color="auto"/>
      </w:divBdr>
    </w:div>
    <w:div w:id="1571234462">
      <w:bodyDiv w:val="1"/>
      <w:marLeft w:val="0"/>
      <w:marRight w:val="0"/>
      <w:marTop w:val="0"/>
      <w:marBottom w:val="0"/>
      <w:divBdr>
        <w:top w:val="none" w:sz="0" w:space="0" w:color="auto"/>
        <w:left w:val="none" w:sz="0" w:space="0" w:color="auto"/>
        <w:bottom w:val="none" w:sz="0" w:space="0" w:color="auto"/>
        <w:right w:val="none" w:sz="0" w:space="0" w:color="auto"/>
      </w:divBdr>
    </w:div>
    <w:div w:id="1576011926">
      <w:bodyDiv w:val="1"/>
      <w:marLeft w:val="0"/>
      <w:marRight w:val="0"/>
      <w:marTop w:val="0"/>
      <w:marBottom w:val="0"/>
      <w:divBdr>
        <w:top w:val="none" w:sz="0" w:space="0" w:color="auto"/>
        <w:left w:val="none" w:sz="0" w:space="0" w:color="auto"/>
        <w:bottom w:val="none" w:sz="0" w:space="0" w:color="auto"/>
        <w:right w:val="none" w:sz="0" w:space="0" w:color="auto"/>
      </w:divBdr>
    </w:div>
    <w:div w:id="1630237945">
      <w:bodyDiv w:val="1"/>
      <w:marLeft w:val="0"/>
      <w:marRight w:val="0"/>
      <w:marTop w:val="0"/>
      <w:marBottom w:val="0"/>
      <w:divBdr>
        <w:top w:val="none" w:sz="0" w:space="0" w:color="auto"/>
        <w:left w:val="none" w:sz="0" w:space="0" w:color="auto"/>
        <w:bottom w:val="none" w:sz="0" w:space="0" w:color="auto"/>
        <w:right w:val="none" w:sz="0" w:space="0" w:color="auto"/>
      </w:divBdr>
    </w:div>
    <w:div w:id="1666395642">
      <w:bodyDiv w:val="1"/>
      <w:marLeft w:val="0"/>
      <w:marRight w:val="0"/>
      <w:marTop w:val="0"/>
      <w:marBottom w:val="0"/>
      <w:divBdr>
        <w:top w:val="none" w:sz="0" w:space="0" w:color="auto"/>
        <w:left w:val="none" w:sz="0" w:space="0" w:color="auto"/>
        <w:bottom w:val="none" w:sz="0" w:space="0" w:color="auto"/>
        <w:right w:val="none" w:sz="0" w:space="0" w:color="auto"/>
      </w:divBdr>
    </w:div>
    <w:div w:id="1700470459">
      <w:bodyDiv w:val="1"/>
      <w:marLeft w:val="0"/>
      <w:marRight w:val="0"/>
      <w:marTop w:val="0"/>
      <w:marBottom w:val="0"/>
      <w:divBdr>
        <w:top w:val="none" w:sz="0" w:space="0" w:color="auto"/>
        <w:left w:val="none" w:sz="0" w:space="0" w:color="auto"/>
        <w:bottom w:val="none" w:sz="0" w:space="0" w:color="auto"/>
        <w:right w:val="none" w:sz="0" w:space="0" w:color="auto"/>
      </w:divBdr>
      <w:divsChild>
        <w:div w:id="626937868">
          <w:marLeft w:val="0"/>
          <w:marRight w:val="0"/>
          <w:marTop w:val="0"/>
          <w:marBottom w:val="0"/>
          <w:divBdr>
            <w:top w:val="none" w:sz="0" w:space="0" w:color="auto"/>
            <w:left w:val="none" w:sz="0" w:space="0" w:color="auto"/>
            <w:bottom w:val="none" w:sz="0" w:space="0" w:color="auto"/>
            <w:right w:val="none" w:sz="0" w:space="0" w:color="auto"/>
          </w:divBdr>
          <w:divsChild>
            <w:div w:id="812336077">
              <w:marLeft w:val="0"/>
              <w:marRight w:val="0"/>
              <w:marTop w:val="0"/>
              <w:marBottom w:val="0"/>
              <w:divBdr>
                <w:top w:val="none" w:sz="0" w:space="0" w:color="auto"/>
                <w:left w:val="none" w:sz="0" w:space="0" w:color="auto"/>
                <w:bottom w:val="none" w:sz="0" w:space="0" w:color="auto"/>
                <w:right w:val="none" w:sz="0" w:space="0" w:color="auto"/>
              </w:divBdr>
              <w:divsChild>
                <w:div w:id="62605688">
                  <w:marLeft w:val="0"/>
                  <w:marRight w:val="0"/>
                  <w:marTop w:val="0"/>
                  <w:marBottom w:val="0"/>
                  <w:divBdr>
                    <w:top w:val="none" w:sz="0" w:space="0" w:color="auto"/>
                    <w:left w:val="none" w:sz="0" w:space="0" w:color="auto"/>
                    <w:bottom w:val="none" w:sz="0" w:space="0" w:color="auto"/>
                    <w:right w:val="none" w:sz="0" w:space="0" w:color="auto"/>
                  </w:divBdr>
                  <w:divsChild>
                    <w:div w:id="539827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3695912">
          <w:marLeft w:val="0"/>
          <w:marRight w:val="0"/>
          <w:marTop w:val="0"/>
          <w:marBottom w:val="0"/>
          <w:divBdr>
            <w:top w:val="none" w:sz="0" w:space="0" w:color="auto"/>
            <w:left w:val="none" w:sz="0" w:space="0" w:color="auto"/>
            <w:bottom w:val="none" w:sz="0" w:space="0" w:color="auto"/>
            <w:right w:val="none" w:sz="0" w:space="0" w:color="auto"/>
          </w:divBdr>
          <w:divsChild>
            <w:div w:id="414013081">
              <w:marLeft w:val="0"/>
              <w:marRight w:val="0"/>
              <w:marTop w:val="0"/>
              <w:marBottom w:val="0"/>
              <w:divBdr>
                <w:top w:val="none" w:sz="0" w:space="0" w:color="auto"/>
                <w:left w:val="none" w:sz="0" w:space="0" w:color="auto"/>
                <w:bottom w:val="none" w:sz="0" w:space="0" w:color="auto"/>
                <w:right w:val="none" w:sz="0" w:space="0" w:color="auto"/>
              </w:divBdr>
              <w:divsChild>
                <w:div w:id="1777165930">
                  <w:marLeft w:val="0"/>
                  <w:marRight w:val="0"/>
                  <w:marTop w:val="0"/>
                  <w:marBottom w:val="0"/>
                  <w:divBdr>
                    <w:top w:val="none" w:sz="0" w:space="0" w:color="auto"/>
                    <w:left w:val="none" w:sz="0" w:space="0" w:color="auto"/>
                    <w:bottom w:val="none" w:sz="0" w:space="0" w:color="auto"/>
                    <w:right w:val="none" w:sz="0" w:space="0" w:color="auto"/>
                  </w:divBdr>
                  <w:divsChild>
                    <w:div w:id="1915776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9207558">
      <w:bodyDiv w:val="1"/>
      <w:marLeft w:val="0"/>
      <w:marRight w:val="0"/>
      <w:marTop w:val="0"/>
      <w:marBottom w:val="0"/>
      <w:divBdr>
        <w:top w:val="none" w:sz="0" w:space="0" w:color="auto"/>
        <w:left w:val="none" w:sz="0" w:space="0" w:color="auto"/>
        <w:bottom w:val="none" w:sz="0" w:space="0" w:color="auto"/>
        <w:right w:val="none" w:sz="0" w:space="0" w:color="auto"/>
      </w:divBdr>
    </w:div>
    <w:div w:id="1750690535">
      <w:bodyDiv w:val="1"/>
      <w:marLeft w:val="0"/>
      <w:marRight w:val="0"/>
      <w:marTop w:val="0"/>
      <w:marBottom w:val="0"/>
      <w:divBdr>
        <w:top w:val="none" w:sz="0" w:space="0" w:color="auto"/>
        <w:left w:val="none" w:sz="0" w:space="0" w:color="auto"/>
        <w:bottom w:val="none" w:sz="0" w:space="0" w:color="auto"/>
        <w:right w:val="none" w:sz="0" w:space="0" w:color="auto"/>
      </w:divBdr>
    </w:div>
    <w:div w:id="1758480034">
      <w:bodyDiv w:val="1"/>
      <w:marLeft w:val="0"/>
      <w:marRight w:val="0"/>
      <w:marTop w:val="0"/>
      <w:marBottom w:val="0"/>
      <w:divBdr>
        <w:top w:val="none" w:sz="0" w:space="0" w:color="auto"/>
        <w:left w:val="none" w:sz="0" w:space="0" w:color="auto"/>
        <w:bottom w:val="none" w:sz="0" w:space="0" w:color="auto"/>
        <w:right w:val="none" w:sz="0" w:space="0" w:color="auto"/>
      </w:divBdr>
      <w:divsChild>
        <w:div w:id="383261390">
          <w:marLeft w:val="0"/>
          <w:marRight w:val="0"/>
          <w:marTop w:val="0"/>
          <w:marBottom w:val="0"/>
          <w:divBdr>
            <w:top w:val="none" w:sz="0" w:space="0" w:color="auto"/>
            <w:left w:val="none" w:sz="0" w:space="0" w:color="auto"/>
            <w:bottom w:val="none" w:sz="0" w:space="0" w:color="auto"/>
            <w:right w:val="none" w:sz="0" w:space="0" w:color="auto"/>
          </w:divBdr>
        </w:div>
      </w:divsChild>
    </w:div>
    <w:div w:id="1779373616">
      <w:bodyDiv w:val="1"/>
      <w:marLeft w:val="0"/>
      <w:marRight w:val="0"/>
      <w:marTop w:val="0"/>
      <w:marBottom w:val="0"/>
      <w:divBdr>
        <w:top w:val="none" w:sz="0" w:space="0" w:color="auto"/>
        <w:left w:val="none" w:sz="0" w:space="0" w:color="auto"/>
        <w:bottom w:val="none" w:sz="0" w:space="0" w:color="auto"/>
        <w:right w:val="none" w:sz="0" w:space="0" w:color="auto"/>
      </w:divBdr>
      <w:divsChild>
        <w:div w:id="139155031">
          <w:marLeft w:val="0"/>
          <w:marRight w:val="0"/>
          <w:marTop w:val="0"/>
          <w:marBottom w:val="0"/>
          <w:divBdr>
            <w:top w:val="none" w:sz="0" w:space="0" w:color="auto"/>
            <w:left w:val="none" w:sz="0" w:space="0" w:color="auto"/>
            <w:bottom w:val="none" w:sz="0" w:space="0" w:color="auto"/>
            <w:right w:val="none" w:sz="0" w:space="0" w:color="auto"/>
          </w:divBdr>
        </w:div>
      </w:divsChild>
    </w:div>
    <w:div w:id="1851606931">
      <w:bodyDiv w:val="1"/>
      <w:marLeft w:val="0"/>
      <w:marRight w:val="0"/>
      <w:marTop w:val="0"/>
      <w:marBottom w:val="0"/>
      <w:divBdr>
        <w:top w:val="none" w:sz="0" w:space="0" w:color="auto"/>
        <w:left w:val="none" w:sz="0" w:space="0" w:color="auto"/>
        <w:bottom w:val="none" w:sz="0" w:space="0" w:color="auto"/>
        <w:right w:val="none" w:sz="0" w:space="0" w:color="auto"/>
      </w:divBdr>
    </w:div>
    <w:div w:id="1896431518">
      <w:bodyDiv w:val="1"/>
      <w:marLeft w:val="0"/>
      <w:marRight w:val="0"/>
      <w:marTop w:val="0"/>
      <w:marBottom w:val="0"/>
      <w:divBdr>
        <w:top w:val="none" w:sz="0" w:space="0" w:color="auto"/>
        <w:left w:val="none" w:sz="0" w:space="0" w:color="auto"/>
        <w:bottom w:val="none" w:sz="0" w:space="0" w:color="auto"/>
        <w:right w:val="none" w:sz="0" w:space="0" w:color="auto"/>
      </w:divBdr>
    </w:div>
    <w:div w:id="1937444553">
      <w:bodyDiv w:val="1"/>
      <w:marLeft w:val="0"/>
      <w:marRight w:val="0"/>
      <w:marTop w:val="0"/>
      <w:marBottom w:val="0"/>
      <w:divBdr>
        <w:top w:val="none" w:sz="0" w:space="0" w:color="auto"/>
        <w:left w:val="none" w:sz="0" w:space="0" w:color="auto"/>
        <w:bottom w:val="none" w:sz="0" w:space="0" w:color="auto"/>
        <w:right w:val="none" w:sz="0" w:space="0" w:color="auto"/>
      </w:divBdr>
    </w:div>
    <w:div w:id="1990136118">
      <w:bodyDiv w:val="1"/>
      <w:marLeft w:val="0"/>
      <w:marRight w:val="0"/>
      <w:marTop w:val="0"/>
      <w:marBottom w:val="0"/>
      <w:divBdr>
        <w:top w:val="none" w:sz="0" w:space="0" w:color="auto"/>
        <w:left w:val="none" w:sz="0" w:space="0" w:color="auto"/>
        <w:bottom w:val="none" w:sz="0" w:space="0" w:color="auto"/>
        <w:right w:val="none" w:sz="0" w:space="0" w:color="auto"/>
      </w:divBdr>
      <w:divsChild>
        <w:div w:id="76173384">
          <w:marLeft w:val="0"/>
          <w:marRight w:val="0"/>
          <w:marTop w:val="0"/>
          <w:marBottom w:val="0"/>
          <w:divBdr>
            <w:top w:val="none" w:sz="0" w:space="0" w:color="auto"/>
            <w:left w:val="none" w:sz="0" w:space="0" w:color="auto"/>
            <w:bottom w:val="none" w:sz="0" w:space="0" w:color="auto"/>
            <w:right w:val="none" w:sz="0" w:space="0" w:color="auto"/>
          </w:divBdr>
        </w:div>
      </w:divsChild>
    </w:div>
    <w:div w:id="2015376776">
      <w:bodyDiv w:val="1"/>
      <w:marLeft w:val="0"/>
      <w:marRight w:val="0"/>
      <w:marTop w:val="0"/>
      <w:marBottom w:val="0"/>
      <w:divBdr>
        <w:top w:val="none" w:sz="0" w:space="0" w:color="auto"/>
        <w:left w:val="none" w:sz="0" w:space="0" w:color="auto"/>
        <w:bottom w:val="none" w:sz="0" w:space="0" w:color="auto"/>
        <w:right w:val="none" w:sz="0" w:space="0" w:color="auto"/>
      </w:divBdr>
    </w:div>
    <w:div w:id="2027705322">
      <w:bodyDiv w:val="1"/>
      <w:marLeft w:val="0"/>
      <w:marRight w:val="0"/>
      <w:marTop w:val="0"/>
      <w:marBottom w:val="0"/>
      <w:divBdr>
        <w:top w:val="none" w:sz="0" w:space="0" w:color="auto"/>
        <w:left w:val="none" w:sz="0" w:space="0" w:color="auto"/>
        <w:bottom w:val="none" w:sz="0" w:space="0" w:color="auto"/>
        <w:right w:val="none" w:sz="0" w:space="0" w:color="auto"/>
      </w:divBdr>
    </w:div>
    <w:div w:id="2029063019">
      <w:bodyDiv w:val="1"/>
      <w:marLeft w:val="0"/>
      <w:marRight w:val="0"/>
      <w:marTop w:val="0"/>
      <w:marBottom w:val="0"/>
      <w:divBdr>
        <w:top w:val="none" w:sz="0" w:space="0" w:color="auto"/>
        <w:left w:val="none" w:sz="0" w:space="0" w:color="auto"/>
        <w:bottom w:val="none" w:sz="0" w:space="0" w:color="auto"/>
        <w:right w:val="none" w:sz="0" w:space="0" w:color="auto"/>
      </w:divBdr>
      <w:divsChild>
        <w:div w:id="2075859342">
          <w:marLeft w:val="0"/>
          <w:marRight w:val="0"/>
          <w:marTop w:val="0"/>
          <w:marBottom w:val="0"/>
          <w:divBdr>
            <w:top w:val="none" w:sz="0" w:space="0" w:color="auto"/>
            <w:left w:val="none" w:sz="0" w:space="0" w:color="auto"/>
            <w:bottom w:val="none" w:sz="0" w:space="0" w:color="auto"/>
            <w:right w:val="none" w:sz="0" w:space="0" w:color="auto"/>
          </w:divBdr>
        </w:div>
      </w:divsChild>
    </w:div>
    <w:div w:id="2075616189">
      <w:bodyDiv w:val="1"/>
      <w:marLeft w:val="0"/>
      <w:marRight w:val="0"/>
      <w:marTop w:val="0"/>
      <w:marBottom w:val="0"/>
      <w:divBdr>
        <w:top w:val="none" w:sz="0" w:space="0" w:color="auto"/>
        <w:left w:val="none" w:sz="0" w:space="0" w:color="auto"/>
        <w:bottom w:val="none" w:sz="0" w:space="0" w:color="auto"/>
        <w:right w:val="none" w:sz="0" w:space="0" w:color="auto"/>
      </w:divBdr>
    </w:div>
    <w:div w:id="2087989679">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37984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arch.mandumah.com/Record/1583468" TargetMode="External"/><Relationship Id="rId18" Type="http://schemas.openxmlformats.org/officeDocument/2006/relationships/hyperlink" Target="http://search.mandumah.com/Record/1235768" TargetMode="External"/><Relationship Id="rId26" Type="http://schemas.openxmlformats.org/officeDocument/2006/relationships/hyperlink" Target="http://search.mandumah.com/Record/1133705" TargetMode="External"/><Relationship Id="rId39" Type="http://schemas.openxmlformats.org/officeDocument/2006/relationships/hyperlink" Target="https://www.imf.org" TargetMode="External"/><Relationship Id="rId21" Type="http://schemas.openxmlformats.org/officeDocument/2006/relationships/hyperlink" Target="http://search.mandumah.com/Record/1110096" TargetMode="External"/><Relationship Id="rId34" Type="http://schemas.openxmlformats.org/officeDocument/2006/relationships/hyperlink" Target="https://doi.org/10.4102/sajesbm.v15i1.684" TargetMode="External"/><Relationship Id="rId42" Type="http://schemas.openxmlformats.org/officeDocument/2006/relationships/hyperlink" Target="https://www.arabnews.com" TargetMode="External"/><Relationship Id="rId47" Type="http://schemas.openxmlformats.org/officeDocument/2006/relationships/hyperlink" Target="https://www.mim.gov.sa/ar/initiatives-programs/industrial-sector-initiatives" TargetMode="External"/><Relationship Id="rId50" Type="http://schemas.openxmlformats.org/officeDocument/2006/relationships/hyperlink" Target="https://www.moci.gov.qa" TargetMode="External"/><Relationship Id="rId55" Type="http://schemas.openxmlformats.org/officeDocument/2006/relationships/hyperlink" Target="https://omannews.gov.om/topics/ar/7/show/463678/ona"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earch.mandumah.com/Record/1141250" TargetMode="External"/><Relationship Id="rId20" Type="http://schemas.openxmlformats.org/officeDocument/2006/relationships/hyperlink" Target="http://search.mandumah.com/Record/1448264" TargetMode="External"/><Relationship Id="rId29" Type="http://schemas.openxmlformats.org/officeDocument/2006/relationships/hyperlink" Target="https://doi.org/10.47535/1991auoes32(1)049" TargetMode="External"/><Relationship Id="rId41" Type="http://schemas.openxmlformats.org/officeDocument/2006/relationships/hyperlink" Target="https://images.transparencycdn.org" TargetMode="External"/><Relationship Id="rId54" Type="http://schemas.openxmlformats.org/officeDocument/2006/relationships/hyperlink" Target="https://www.zawya.com/en/economy/gcc/oman-commerce-ministry-launches-several-digital-platforms-for-empowering-investors-bia9vrs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earch.mandumah.com/Record/1179229" TargetMode="External"/><Relationship Id="rId32" Type="http://schemas.openxmlformats.org/officeDocument/2006/relationships/hyperlink" Target="https://doi.org/10.1145/3446434.3446464" TargetMode="External"/><Relationship Id="rId37" Type="http://schemas.openxmlformats.org/officeDocument/2006/relationships/hyperlink" Target="https://doi.org/10.47134/jbkd.v2i2.3497" TargetMode="External"/><Relationship Id="rId40" Type="http://schemas.openxmlformats.org/officeDocument/2006/relationships/hyperlink" Target="https://www.mckinsey.com" TargetMode="External"/><Relationship Id="rId45" Type="http://schemas.openxmlformats.org/officeDocument/2006/relationships/hyperlink" Target="https://www.imf.org/en/publications/departmental-papers-policy-papers/issues/2025/04/01/digital-transformation-in-the-gulf-cooperation-council-economies-557187" TargetMode="External"/><Relationship Id="rId53" Type="http://schemas.openxmlformats.org/officeDocument/2006/relationships/hyperlink" Target="https://www.bahrainedb.com/bahrain-pulse/transforming-bahrains-manufacturing-sector-through-innovation-and-technology" TargetMode="External"/><Relationship Id="rId58" Type="http://schemas.openxmlformats.org/officeDocument/2006/relationships/hyperlink" Target="https://www.goic.org.qa/goiccms/WebsiteNews_346_EN.html" TargetMode="External"/><Relationship Id="rId5" Type="http://schemas.openxmlformats.org/officeDocument/2006/relationships/webSettings" Target="webSettings.xml"/><Relationship Id="rId15" Type="http://schemas.openxmlformats.org/officeDocument/2006/relationships/hyperlink" Target="http://search.mandumah.com/Record/1417983" TargetMode="External"/><Relationship Id="rId23" Type="http://schemas.openxmlformats.org/officeDocument/2006/relationships/hyperlink" Target="http://search.mandumah.com/Record/1117932" TargetMode="External"/><Relationship Id="rId28" Type="http://schemas.openxmlformats.org/officeDocument/2006/relationships/hyperlink" Target="http://search.mandumah.com/Record/1162520" TargetMode="External"/><Relationship Id="rId36" Type="http://schemas.openxmlformats.org/officeDocument/2006/relationships/hyperlink" Target="https://doi.org/10.1108/intr-06-2022-0482" TargetMode="External"/><Relationship Id="rId49" Type="http://schemas.openxmlformats.org/officeDocument/2006/relationships/hyperlink" Target="https://www.wam.ae/en/article/bykkvm6-uae-launches-national-industrial-transformation" TargetMode="External"/><Relationship Id="rId57" Type="http://schemas.openxmlformats.org/officeDocument/2006/relationships/hyperlink" Target="https://www.arabtimesonline.com/news/kuwait-to-transition-from-digital-services-to-smart-journeys/" TargetMode="External"/><Relationship Id="rId61"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http://search.mandumah.com/Record/1488762" TargetMode="External"/><Relationship Id="rId31" Type="http://schemas.openxmlformats.org/officeDocument/2006/relationships/hyperlink" Target="https://doi.org/10.1109/qmtisit63393.2024.10762911" TargetMode="External"/><Relationship Id="rId44" Type="http://schemas.openxmlformats.org/officeDocument/2006/relationships/hyperlink" Target="https://www.arxiv.org" TargetMode="External"/><Relationship Id="rId52" Type="http://schemas.openxmlformats.org/officeDocument/2006/relationships/hyperlink" Target="https://www.bna.bh/en/IndustryandCommerceMinisterlaunchesiFactories.aspx"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earch.mandumah.com/Record/1535814" TargetMode="External"/><Relationship Id="rId22" Type="http://schemas.openxmlformats.org/officeDocument/2006/relationships/hyperlink" Target="http://search.mandumah.com/Record/1505674" TargetMode="External"/><Relationship Id="rId27" Type="http://schemas.openxmlformats.org/officeDocument/2006/relationships/hyperlink" Target="http://search.mandumah.com/Record/1174685" TargetMode="External"/><Relationship Id="rId30" Type="http://schemas.openxmlformats.org/officeDocument/2006/relationships/hyperlink" Target="https://doi.org/10.1111/1911-3846.12848" TargetMode="External"/><Relationship Id="rId35" Type="http://schemas.openxmlformats.org/officeDocument/2006/relationships/hyperlink" Target="https://doi.org/10.1609/aies.v7i1.31757" TargetMode="External"/><Relationship Id="rId43" Type="http://schemas.openxmlformats.org/officeDocument/2006/relationships/hyperlink" Target="https://www.arabnews.com" TargetMode="External"/><Relationship Id="rId48" Type="http://schemas.openxmlformats.org/officeDocument/2006/relationships/hyperlink" Target="https://moiat.gov.ae/en/programs/ttp" TargetMode="External"/><Relationship Id="rId56" Type="http://schemas.openxmlformats.org/officeDocument/2006/relationships/hyperlink" Target="https://kuwaittimes.com/article/35017/kuwait/other-news/moci-moi-launch-new-e-services/" TargetMode="External"/><Relationship Id="rId8" Type="http://schemas.openxmlformats.org/officeDocument/2006/relationships/image" Target="media/image1.png"/><Relationship Id="rId51" Type="http://schemas.openxmlformats.org/officeDocument/2006/relationships/hyperlink" Target="https://qna.org.qa/en/News-Area/News/2025-12/23/moci-holds-event-on-gulf-digital-transformation-workshops-in-factories" TargetMode="External"/><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hyperlink" Target="http://search.mandumah.com/Record/1524417" TargetMode="External"/><Relationship Id="rId25" Type="http://schemas.openxmlformats.org/officeDocument/2006/relationships/hyperlink" Target="http://search.mandumah.com/Record/1478130" TargetMode="External"/><Relationship Id="rId33" Type="http://schemas.openxmlformats.org/officeDocument/2006/relationships/hyperlink" Target="https://doi.org/10.1590/1982-7849rac2023210290.en" TargetMode="External"/><Relationship Id="rId38" Type="http://schemas.openxmlformats.org/officeDocument/2006/relationships/hyperlink" Target="https://www.bcg.com" TargetMode="External"/><Relationship Id="rId46" Type="http://schemas.openxmlformats.org/officeDocument/2006/relationships/hyperlink" Target="https://www.mim.gov.sa/ar/initiatives-programs/industrial-sector-initiatives/future-factories-program-initiative" TargetMode="External"/><Relationship Id="rId59" Type="http://schemas.openxmlformats.org/officeDocument/2006/relationships/footer" Target="footer2.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07E1DB-4344-4220-B757-7F85AB1231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24484</Words>
  <Characters>139559</Characters>
  <Application>Microsoft Office Word</Application>
  <DocSecurity>0</DocSecurity>
  <Lines>1162</Lines>
  <Paragraphs>327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163716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Naif Z. Almotairy    نايف المطيري</cp:lastModifiedBy>
  <cp:revision>7</cp:revision>
  <cp:lastPrinted>2026-03-22T13:25:00Z</cp:lastPrinted>
  <dcterms:created xsi:type="dcterms:W3CDTF">2026-02-27T13:28:00Z</dcterms:created>
  <dcterms:modified xsi:type="dcterms:W3CDTF">2026-04-01T20:22:00Z</dcterms:modified>
</cp:coreProperties>
</file>