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4DCCEC">
      <w:pPr>
        <w:spacing w:before="100" w:beforeAutospacing="1" w:after="100" w:afterAutospacing="1" w:line="360" w:lineRule="auto"/>
        <w:jc w:val="both"/>
        <w:rPr>
          <w:rFonts w:ascii="Sakkal Majalla" w:hAnsi="Sakkal Majalla" w:eastAsia="Simplified Arabic" w:cs="Sakkal Majalla"/>
          <w:bCs/>
          <w:color w:val="000000" w:themeColor="text1"/>
          <w:sz w:val="32"/>
          <w:szCs w:val="32"/>
          <w14:textFill>
            <w14:solidFill>
              <w14:schemeClr w14:val="tx1"/>
            </w14:solidFill>
          </w14:textFill>
        </w:rPr>
      </w:pPr>
      <w:r>
        <w:rPr>
          <w:rFonts w:ascii="Sakkal Majalla" w:hAnsi="Sakkal Majalla" w:eastAsia="Simplified Arabic" w:cs="Sakkal Majalla"/>
          <w:bCs/>
          <w:color w:val="000000" w:themeColor="text1"/>
          <w:sz w:val="32"/>
          <w:szCs w:val="32"/>
          <w:lang w:val="en-US"/>
          <w14:textFill>
            <w14:solidFill>
              <w14:schemeClr w14:val="tx1"/>
            </w14:solidFill>
          </w14:textFill>
        </w:rPr>
        <w:drawing>
          <wp:anchor distT="0" distB="0" distL="114300" distR="114300" simplePos="0" relativeHeight="251659264" behindDoc="0" locked="0" layoutInCell="1" allowOverlap="1">
            <wp:simplePos x="0" y="0"/>
            <wp:positionH relativeFrom="margin">
              <wp:posOffset>402590</wp:posOffset>
            </wp:positionH>
            <wp:positionV relativeFrom="margin">
              <wp:posOffset>7620</wp:posOffset>
            </wp:positionV>
            <wp:extent cx="1823085" cy="1440180"/>
            <wp:effectExtent l="0" t="0" r="5715" b="7620"/>
            <wp:wrapSquare wrapText="bothSides"/>
            <wp:docPr id="5"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2.png" descr="A logo for a university&#10;&#10;Description automatically generated"/>
                    <pic:cNvPicPr preferRelativeResize="0"/>
                  </pic:nvPicPr>
                  <pic:blipFill>
                    <a:blip r:embed="rId9"/>
                    <a:srcRect/>
                    <a:stretch>
                      <a:fillRect/>
                    </a:stretch>
                  </pic:blipFill>
                  <pic:spPr>
                    <a:xfrm>
                      <a:off x="0" y="0"/>
                      <a:ext cx="1823085" cy="1440180"/>
                    </a:xfrm>
                    <a:prstGeom prst="rect">
                      <a:avLst/>
                    </a:prstGeom>
                  </pic:spPr>
                </pic:pic>
              </a:graphicData>
            </a:graphic>
          </wp:anchor>
        </w:drawing>
      </w:r>
      <w:r>
        <w:rPr>
          <w:rFonts w:ascii="Sakkal Majalla" w:hAnsi="Sakkal Majalla" w:eastAsia="Simplified Arabic" w:cs="Sakkal Majalla"/>
          <w:bCs/>
          <w:color w:val="000000" w:themeColor="text1"/>
          <w:sz w:val="32"/>
          <w:szCs w:val="32"/>
          <w:rtl/>
          <w14:textFill>
            <w14:solidFill>
              <w14:schemeClr w14:val="tx1"/>
            </w14:solidFill>
          </w14:textFill>
        </w:rPr>
        <w:t xml:space="preserve">جامعة ميدأوشن </w:t>
      </w:r>
    </w:p>
    <w:p w14:paraId="7FBB5B36">
      <w:pPr>
        <w:spacing w:before="100" w:beforeAutospacing="1" w:after="100" w:afterAutospacing="1" w:line="360" w:lineRule="auto"/>
        <w:jc w:val="both"/>
        <w:rPr>
          <w:rFonts w:ascii="Sakkal Majalla" w:hAnsi="Sakkal Majalla" w:eastAsia="Simplified Arabic" w:cs="Sakkal Majalla"/>
          <w:bCs/>
          <w:color w:val="000000" w:themeColor="text1"/>
          <w:sz w:val="32"/>
          <w:szCs w:val="32"/>
          <w14:textFill>
            <w14:solidFill>
              <w14:schemeClr w14:val="tx1"/>
            </w14:solidFill>
          </w14:textFill>
        </w:rPr>
      </w:pPr>
      <w:r>
        <w:rPr>
          <w:rFonts w:ascii="Sakkal Majalla" w:hAnsi="Sakkal Majalla" w:eastAsia="Simplified Arabic" w:cs="Sakkal Majalla"/>
          <w:bCs/>
          <w:color w:val="000000" w:themeColor="text1"/>
          <w:sz w:val="32"/>
          <w:szCs w:val="32"/>
          <w:rtl/>
          <w14:textFill>
            <w14:solidFill>
              <w14:schemeClr w14:val="tx1"/>
            </w14:solidFill>
          </w14:textFill>
        </w:rPr>
        <w:t xml:space="preserve"> كلية الإدارة </w:t>
      </w:r>
    </w:p>
    <w:p w14:paraId="165AC317">
      <w:pPr>
        <w:spacing w:before="100" w:beforeAutospacing="1" w:after="100" w:afterAutospacing="1" w:line="360" w:lineRule="auto"/>
        <w:jc w:val="both"/>
        <w:rPr>
          <w:rFonts w:ascii="Sakkal Majalla" w:hAnsi="Sakkal Majalla" w:eastAsia="Simplified Arabic" w:cs="Sakkal Majalla"/>
          <w:bCs/>
          <w:color w:val="000000" w:themeColor="text1"/>
          <w:sz w:val="32"/>
          <w:szCs w:val="32"/>
          <w14:textFill>
            <w14:solidFill>
              <w14:schemeClr w14:val="tx1"/>
            </w14:solidFill>
          </w14:textFill>
        </w:rPr>
      </w:pPr>
      <w:r>
        <w:rPr>
          <w:rFonts w:ascii="Sakkal Majalla" w:hAnsi="Sakkal Majalla" w:eastAsia="Simplified Arabic" w:cs="Sakkal Majalla"/>
          <w:bCs/>
          <w:color w:val="000000" w:themeColor="text1"/>
          <w:sz w:val="32"/>
          <w:szCs w:val="32"/>
          <w:rtl/>
          <w14:textFill>
            <w14:solidFill>
              <w14:schemeClr w14:val="tx1"/>
            </w14:solidFill>
          </w14:textFill>
        </w:rPr>
        <w:t>تخصص إدارة مشاريع</w:t>
      </w:r>
    </w:p>
    <w:p w14:paraId="32BE1820">
      <w:pPr>
        <w:spacing w:before="100" w:beforeAutospacing="1" w:after="100" w:afterAutospacing="1" w:line="360" w:lineRule="auto"/>
        <w:jc w:val="center"/>
        <w:rPr>
          <w:rFonts w:ascii="Sakkal Majalla" w:hAnsi="Sakkal Majalla" w:eastAsia="Simplified Arabic" w:cs="Sakkal Majalla"/>
          <w:bCs/>
          <w:color w:val="000000" w:themeColor="text1"/>
          <w:sz w:val="40"/>
          <w:szCs w:val="40"/>
          <w14:textFill>
            <w14:solidFill>
              <w14:schemeClr w14:val="tx1"/>
            </w14:solidFill>
          </w14:textFill>
        </w:rPr>
      </w:pPr>
      <w:r>
        <w:rPr>
          <w:rFonts w:ascii="Sakkal Majalla" w:hAnsi="Sakkal Majalla" w:eastAsia="Simplified Arabic" w:cs="Sakkal Majalla"/>
          <w:bCs/>
          <w:color w:val="000000" w:themeColor="text1"/>
          <w:sz w:val="40"/>
          <w:szCs w:val="40"/>
          <w:rtl/>
          <w14:textFill>
            <w14:solidFill>
              <w14:schemeClr w14:val="tx1"/>
            </w14:solidFill>
          </w14:textFill>
        </w:rPr>
        <w:t>أثر تطبيق إدارة المخاطر على نجاح المشاريع الكبرى في إطار رؤية المملكة 2030: دراسة تطبيقية على المشاريع الحكومية في المملكة العربية السعودية</w:t>
      </w:r>
    </w:p>
    <w:p w14:paraId="41B04BA2">
      <w:pPr>
        <w:spacing w:before="100" w:beforeAutospacing="1" w:after="100" w:afterAutospacing="1" w:line="360" w:lineRule="auto"/>
        <w:jc w:val="center"/>
        <w:rPr>
          <w:rFonts w:ascii="Sakkal Majalla" w:hAnsi="Sakkal Majalla" w:eastAsia="Simplified Arabic" w:cs="Sakkal Majalla"/>
          <w:bCs/>
          <w:color w:val="000000" w:themeColor="text1"/>
          <w:sz w:val="36"/>
          <w:szCs w:val="36"/>
          <w14:textFill>
            <w14:solidFill>
              <w14:schemeClr w14:val="tx1"/>
            </w14:solidFill>
          </w14:textFill>
        </w:rPr>
      </w:pPr>
      <w:r>
        <w:rPr>
          <w:rFonts w:ascii="Sakkal Majalla" w:hAnsi="Sakkal Majalla" w:eastAsia="Simplified Arabic" w:cs="Sakkal Majalla"/>
          <w:bCs/>
          <w:color w:val="000000" w:themeColor="text1"/>
          <w:sz w:val="36"/>
          <w:szCs w:val="36"/>
          <w:rtl/>
          <w14:textFill>
            <w14:solidFill>
              <w14:schemeClr w14:val="tx1"/>
            </w14:solidFill>
          </w14:textFill>
        </w:rPr>
        <w:t>إعداد الطالب/</w:t>
      </w:r>
    </w:p>
    <w:p w14:paraId="23524EAF">
      <w:pPr>
        <w:spacing w:before="100" w:beforeAutospacing="1" w:after="100" w:afterAutospacing="1" w:line="360" w:lineRule="auto"/>
        <w:jc w:val="center"/>
        <w:rPr>
          <w:rFonts w:ascii="Sakkal Majalla" w:hAnsi="Sakkal Majalla" w:eastAsia="Simplified Arabic" w:cs="Sakkal Majalla"/>
          <w:bCs/>
          <w:color w:val="000000" w:themeColor="text1"/>
          <w:sz w:val="36"/>
          <w:szCs w:val="36"/>
          <w14:textFill>
            <w14:solidFill>
              <w14:schemeClr w14:val="tx1"/>
            </w14:solidFill>
          </w14:textFill>
        </w:rPr>
      </w:pPr>
      <w:r>
        <w:rPr>
          <w:rFonts w:hint="eastAsia" w:ascii="Sakkal Majalla" w:hAnsi="Sakkal Majalla" w:eastAsia="Simplified Arabic" w:cs="Sakkal Majalla"/>
          <w:bCs/>
          <w:color w:val="000000" w:themeColor="text1"/>
          <w:sz w:val="36"/>
          <w:szCs w:val="36"/>
          <w:rtl/>
          <w14:textFill>
            <w14:solidFill>
              <w14:schemeClr w14:val="tx1"/>
            </w14:solidFill>
          </w14:textFill>
        </w:rPr>
        <w:t>عبد</w:t>
      </w:r>
      <w:r>
        <w:rPr>
          <w:rFonts w:ascii="Sakkal Majalla" w:hAnsi="Sakkal Majalla" w:eastAsia="Simplified Arabic" w:cs="Sakkal Majalla"/>
          <w:bCs/>
          <w:color w:val="000000" w:themeColor="text1"/>
          <w:sz w:val="36"/>
          <w:szCs w:val="36"/>
          <w:rtl/>
          <w14:textFill>
            <w14:solidFill>
              <w14:schemeClr w14:val="tx1"/>
            </w14:solidFill>
          </w14:textFill>
        </w:rPr>
        <w:t xml:space="preserve"> </w:t>
      </w:r>
      <w:r>
        <w:rPr>
          <w:rFonts w:hint="eastAsia" w:ascii="Sakkal Majalla" w:hAnsi="Sakkal Majalla" w:eastAsia="Simplified Arabic" w:cs="Sakkal Majalla"/>
          <w:bCs/>
          <w:color w:val="000000" w:themeColor="text1"/>
          <w:sz w:val="36"/>
          <w:szCs w:val="36"/>
          <w:rtl/>
          <w14:textFill>
            <w14:solidFill>
              <w14:schemeClr w14:val="tx1"/>
            </w14:solidFill>
          </w14:textFill>
        </w:rPr>
        <w:t>الرحمن</w:t>
      </w:r>
      <w:r>
        <w:rPr>
          <w:rFonts w:ascii="Sakkal Majalla" w:hAnsi="Sakkal Majalla" w:eastAsia="Simplified Arabic" w:cs="Sakkal Majalla"/>
          <w:bCs/>
          <w:color w:val="000000" w:themeColor="text1"/>
          <w:sz w:val="36"/>
          <w:szCs w:val="36"/>
          <w:rtl/>
          <w14:textFill>
            <w14:solidFill>
              <w14:schemeClr w14:val="tx1"/>
            </w14:solidFill>
          </w14:textFill>
        </w:rPr>
        <w:t xml:space="preserve"> </w:t>
      </w:r>
      <w:r>
        <w:rPr>
          <w:rFonts w:hint="eastAsia" w:ascii="Sakkal Majalla" w:hAnsi="Sakkal Majalla" w:eastAsia="Simplified Arabic" w:cs="Sakkal Majalla"/>
          <w:bCs/>
          <w:color w:val="000000" w:themeColor="text1"/>
          <w:sz w:val="36"/>
          <w:szCs w:val="36"/>
          <w:rtl/>
          <w14:textFill>
            <w14:solidFill>
              <w14:schemeClr w14:val="tx1"/>
            </w14:solidFill>
          </w14:textFill>
        </w:rPr>
        <w:t>عوض</w:t>
      </w:r>
      <w:r>
        <w:rPr>
          <w:rFonts w:ascii="Sakkal Majalla" w:hAnsi="Sakkal Majalla" w:eastAsia="Simplified Arabic" w:cs="Sakkal Majalla"/>
          <w:bCs/>
          <w:color w:val="000000" w:themeColor="text1"/>
          <w:sz w:val="36"/>
          <w:szCs w:val="36"/>
          <w:rtl/>
          <w14:textFill>
            <w14:solidFill>
              <w14:schemeClr w14:val="tx1"/>
            </w14:solidFill>
          </w14:textFill>
        </w:rPr>
        <w:t xml:space="preserve"> </w:t>
      </w:r>
      <w:r>
        <w:rPr>
          <w:rFonts w:hint="eastAsia" w:ascii="Sakkal Majalla" w:hAnsi="Sakkal Majalla" w:eastAsia="Simplified Arabic" w:cs="Sakkal Majalla"/>
          <w:bCs/>
          <w:color w:val="000000" w:themeColor="text1"/>
          <w:sz w:val="36"/>
          <w:szCs w:val="36"/>
          <w:rtl/>
          <w14:textFill>
            <w14:solidFill>
              <w14:schemeClr w14:val="tx1"/>
            </w14:solidFill>
          </w14:textFill>
        </w:rPr>
        <w:t>صويلح</w:t>
      </w:r>
    </w:p>
    <w:p w14:paraId="27A15855">
      <w:pPr>
        <w:spacing w:before="100" w:beforeAutospacing="1" w:after="100" w:afterAutospacing="1" w:line="360" w:lineRule="auto"/>
        <w:jc w:val="center"/>
        <w:rPr>
          <w:rFonts w:ascii="Sakkal Majalla" w:hAnsi="Sakkal Majalla" w:eastAsia="Simplified Arabic" w:cs="Sakkal Majalla"/>
          <w:bCs/>
          <w:color w:val="000000" w:themeColor="text1"/>
          <w:sz w:val="36"/>
          <w:szCs w:val="36"/>
          <w14:textFill>
            <w14:solidFill>
              <w14:schemeClr w14:val="tx1"/>
            </w14:solidFill>
          </w14:textFill>
        </w:rPr>
      </w:pPr>
      <w:r>
        <w:rPr>
          <w:rFonts w:ascii="Sakkal Majalla" w:hAnsi="Sakkal Majalla" w:eastAsia="Simplified Arabic" w:cs="Sakkal Majalla"/>
          <w:bCs/>
          <w:color w:val="000000" w:themeColor="text1"/>
          <w:sz w:val="36"/>
          <w:szCs w:val="36"/>
          <w:rtl/>
          <w14:textFill>
            <w14:solidFill>
              <w14:schemeClr w14:val="tx1"/>
            </w14:solidFill>
          </w14:textFill>
        </w:rPr>
        <w:t>251000172</w:t>
      </w:r>
    </w:p>
    <w:p w14:paraId="73C676AA">
      <w:pPr>
        <w:spacing w:before="100" w:beforeAutospacing="1" w:after="100" w:afterAutospacing="1" w:line="360" w:lineRule="auto"/>
        <w:jc w:val="center"/>
        <w:rPr>
          <w:rFonts w:ascii="Sakkal Majalla" w:hAnsi="Sakkal Majalla" w:eastAsia="Simplified Arabic" w:cs="Sakkal Majalla"/>
          <w:bCs/>
          <w:color w:val="000000" w:themeColor="text1"/>
          <w:sz w:val="36"/>
          <w:szCs w:val="36"/>
          <w14:textFill>
            <w14:solidFill>
              <w14:schemeClr w14:val="tx1"/>
            </w14:solidFill>
          </w14:textFill>
        </w:rPr>
      </w:pPr>
      <w:r>
        <w:rPr>
          <w:rFonts w:ascii="Sakkal Majalla" w:hAnsi="Sakkal Majalla" w:eastAsia="Simplified Arabic" w:cs="Sakkal Majalla"/>
          <w:bCs/>
          <w:color w:val="000000" w:themeColor="text1"/>
          <w:sz w:val="36"/>
          <w:szCs w:val="36"/>
          <w:rtl/>
          <w14:textFill>
            <w14:solidFill>
              <w14:schemeClr w14:val="tx1"/>
            </w14:solidFill>
          </w14:textFill>
        </w:rPr>
        <w:t>إشراف/</w:t>
      </w:r>
    </w:p>
    <w:p w14:paraId="1FC34408">
      <w:pPr>
        <w:spacing w:before="100" w:beforeAutospacing="1" w:after="100" w:afterAutospacing="1" w:line="360" w:lineRule="auto"/>
        <w:jc w:val="center"/>
        <w:rPr>
          <w:rFonts w:ascii="Sakkal Majalla" w:hAnsi="Sakkal Majalla" w:eastAsia="Simplified Arabic" w:cs="Sakkal Majalla"/>
          <w:bCs/>
          <w:color w:val="000000" w:themeColor="text1"/>
          <w:sz w:val="36"/>
          <w:szCs w:val="36"/>
          <w:rtl/>
          <w14:textFill>
            <w14:solidFill>
              <w14:schemeClr w14:val="tx1"/>
            </w14:solidFill>
          </w14:textFill>
        </w:rPr>
      </w:pPr>
      <w:r>
        <w:rPr>
          <w:rFonts w:ascii="Sakkal Majalla" w:hAnsi="Sakkal Majalla" w:eastAsia="Simplified Arabic" w:cs="Sakkal Majalla"/>
          <w:bCs/>
          <w:color w:val="000000" w:themeColor="text1"/>
          <w:sz w:val="36"/>
          <w:szCs w:val="36"/>
          <w:rtl/>
          <w14:textFill>
            <w14:solidFill>
              <w14:schemeClr w14:val="tx1"/>
            </w14:solidFill>
          </w14:textFill>
        </w:rPr>
        <w:t>د. الفيصل عبد الحميد محمد حسن</w:t>
      </w:r>
    </w:p>
    <w:p w14:paraId="189B1DC1">
      <w:pPr>
        <w:spacing w:before="100" w:beforeAutospacing="1" w:after="100" w:afterAutospacing="1" w:line="360" w:lineRule="auto"/>
        <w:jc w:val="center"/>
        <w:rPr>
          <w:rFonts w:ascii="Sakkal Majalla" w:hAnsi="Sakkal Majalla" w:eastAsia="Simplified Arabic" w:cs="Sakkal Majalla"/>
          <w:bCs/>
          <w:color w:val="000000" w:themeColor="text1"/>
          <w:sz w:val="36"/>
          <w:szCs w:val="36"/>
          <w14:textFill>
            <w14:solidFill>
              <w14:schemeClr w14:val="tx1"/>
            </w14:solidFill>
          </w14:textFill>
        </w:rPr>
      </w:pPr>
      <w:r>
        <w:rPr>
          <w:rFonts w:ascii="Sakkal Majalla" w:hAnsi="Sakkal Majalla" w:eastAsia="Simplified Arabic" w:cs="Sakkal Majalla"/>
          <w:bCs/>
          <w:color w:val="000000" w:themeColor="text1"/>
          <w:sz w:val="36"/>
          <w:szCs w:val="36"/>
          <w:rtl/>
          <w14:textFill>
            <w14:solidFill>
              <w14:schemeClr w14:val="tx1"/>
            </w14:solidFill>
          </w14:textFill>
        </w:rPr>
        <w:t>د. فايز جراد</w:t>
      </w:r>
    </w:p>
    <w:p w14:paraId="2115AC84">
      <w:pPr>
        <w:spacing w:before="100" w:beforeAutospacing="1" w:after="100" w:afterAutospacing="1" w:line="360" w:lineRule="auto"/>
        <w:jc w:val="center"/>
        <w:rPr>
          <w:rFonts w:ascii="Sakkal Majalla" w:hAnsi="Sakkal Majalla" w:eastAsia="Simplified Arabic" w:cs="Sakkal Majalla"/>
          <w:bCs/>
          <w:color w:val="000000" w:themeColor="text1"/>
          <w:sz w:val="36"/>
          <w:szCs w:val="36"/>
          <w14:textFill>
            <w14:solidFill>
              <w14:schemeClr w14:val="tx1"/>
            </w14:solidFill>
          </w14:textFill>
        </w:rPr>
      </w:pPr>
      <w:r>
        <w:rPr>
          <w:rFonts w:ascii="Sakkal Majalla" w:hAnsi="Sakkal Majalla" w:eastAsia="Simplified Arabic" w:cs="Sakkal Majalla"/>
          <w:bCs/>
          <w:color w:val="000000" w:themeColor="text1"/>
          <w:sz w:val="36"/>
          <w:szCs w:val="36"/>
          <w:rtl/>
          <w14:textFill>
            <w14:solidFill>
              <w14:schemeClr w14:val="tx1"/>
            </w14:solidFill>
          </w14:textFill>
        </w:rPr>
        <w:t>العام الدراسي:</w:t>
      </w:r>
    </w:p>
    <w:p w14:paraId="51AA5A6B">
      <w:pPr>
        <w:spacing w:before="100" w:beforeAutospacing="1" w:after="100" w:afterAutospacing="1" w:line="360" w:lineRule="auto"/>
        <w:jc w:val="center"/>
        <w:rPr>
          <w:rFonts w:ascii="Sakkal Majalla" w:hAnsi="Sakkal Majalla" w:eastAsia="Simplified Arabic" w:cs="Sakkal Majalla"/>
          <w:b/>
          <w:color w:val="000000" w:themeColor="text1"/>
          <w:sz w:val="36"/>
          <w:szCs w:val="36"/>
          <w:rtl/>
          <w:lang w:bidi="ar-EG"/>
          <w14:textFill>
            <w14:solidFill>
              <w14:schemeClr w14:val="tx1"/>
            </w14:solidFill>
          </w14:textFill>
        </w:rPr>
        <w:sectPr>
          <w:footerReference r:id="rId5" w:type="default"/>
          <w:type w:val="continuous"/>
          <w:pgSz w:w="11906" w:h="16838"/>
          <w:pgMar w:top="1440" w:right="1985" w:bottom="1440" w:left="1418" w:header="720" w:footer="720" w:gutter="567"/>
          <w:pgNumType w:fmt="arabicAbjad" w:start="1"/>
          <w:cols w:space="720" w:num="1"/>
          <w:bidi/>
          <w:rtlGutter w:val="1"/>
        </w:sectPr>
      </w:pPr>
      <w:r>
        <w:rPr>
          <w:rFonts w:ascii="Sakkal Majalla" w:hAnsi="Sakkal Majalla" w:eastAsia="Simplified Arabic" w:cs="Sakkal Majalla"/>
          <w:b/>
          <w:color w:val="000000" w:themeColor="text1"/>
          <w:sz w:val="36"/>
          <w:szCs w:val="36"/>
          <w14:textFill>
            <w14:solidFill>
              <w14:schemeClr w14:val="tx1"/>
            </w14:solidFill>
          </w14:textFill>
        </w:rPr>
        <w:t>1447 - 2025</w:t>
      </w:r>
    </w:p>
    <w:p w14:paraId="6632C794">
      <w:pPr>
        <w:spacing w:before="100" w:beforeAutospacing="1" w:after="100" w:afterAutospacing="1" w:line="360" w:lineRule="auto"/>
        <w:jc w:val="center"/>
        <w:outlineLvl w:val="0"/>
        <w:rPr>
          <w:rFonts w:ascii="Sakkal Majalla" w:hAnsi="Sakkal Majalla" w:eastAsia="Sakkal Majalla" w:cs="Sakkal Majalla"/>
          <w:bCs/>
          <w:color w:val="000000" w:themeColor="text1"/>
          <w:sz w:val="40"/>
          <w:szCs w:val="40"/>
          <w:rtl/>
          <w:lang w:bidi="ar-EG"/>
          <w14:textFill>
            <w14:solidFill>
              <w14:schemeClr w14:val="tx1"/>
            </w14:solidFill>
          </w14:textFill>
        </w:rPr>
      </w:pPr>
      <w:bookmarkStart w:id="0" w:name="_Toc211696009"/>
      <w:r>
        <w:rPr>
          <w:rFonts w:hint="cs" w:ascii="Sakkal Majalla" w:hAnsi="Sakkal Majalla" w:eastAsia="Sakkal Majalla" w:cs="Sakkal Majalla"/>
          <w:bCs/>
          <w:color w:val="000000" w:themeColor="text1"/>
          <w:sz w:val="40"/>
          <w:szCs w:val="40"/>
          <w:rtl/>
          <w:lang w:bidi="ar-EG"/>
          <w14:textFill>
            <w14:solidFill>
              <w14:schemeClr w14:val="tx1"/>
            </w14:solidFill>
          </w14:textFill>
        </w:rPr>
        <w:t>الفصل الأول: الإطار العام للدراسة</w:t>
      </w:r>
      <w:bookmarkEnd w:id="0"/>
    </w:p>
    <w:p w14:paraId="201EFB74">
      <w:pPr>
        <w:spacing w:before="100" w:beforeAutospacing="1" w:after="100" w:afterAutospacing="1" w:line="360" w:lineRule="auto"/>
        <w:jc w:val="both"/>
        <w:outlineLvl w:val="1"/>
        <w:rPr>
          <w:rFonts w:ascii="Sakkal Majalla" w:hAnsi="Sakkal Majalla" w:eastAsia="Sakkal Majalla" w:cs="Sakkal Majalla"/>
          <w:bCs/>
          <w:color w:val="000000" w:themeColor="text1"/>
          <w:sz w:val="36"/>
          <w:szCs w:val="36"/>
          <w:rtl/>
          <w:lang w:bidi="ar-EG"/>
          <w14:textFill>
            <w14:solidFill>
              <w14:schemeClr w14:val="tx1"/>
            </w14:solidFill>
          </w14:textFill>
        </w:rPr>
      </w:pPr>
      <w:bookmarkStart w:id="1" w:name="_Toc211696010"/>
      <w:r>
        <w:rPr>
          <w:rFonts w:hint="cs" w:ascii="Sakkal Majalla" w:hAnsi="Sakkal Majalla" w:eastAsia="Sakkal Majalla" w:cs="Sakkal Majalla"/>
          <w:bCs/>
          <w:color w:val="000000" w:themeColor="text1"/>
          <w:sz w:val="36"/>
          <w:szCs w:val="36"/>
          <w:rtl/>
          <w:lang w:bidi="ar-EG"/>
          <w14:textFill>
            <w14:solidFill>
              <w14:schemeClr w14:val="tx1"/>
            </w14:solidFill>
          </w14:textFill>
        </w:rPr>
        <w:t>1.1 المقدمة</w:t>
      </w:r>
      <w:bookmarkEnd w:id="1"/>
    </w:p>
    <w:p w14:paraId="2D7CEF5B">
      <w:pPr>
        <w:spacing w:before="100" w:beforeAutospacing="1" w:after="100" w:afterAutospacing="1" w:line="360" w:lineRule="auto"/>
        <w:ind w:firstLine="706"/>
        <w:jc w:val="both"/>
        <w:rPr>
          <w:rFonts w:ascii="Sakkal Majalla" w:hAnsi="Sakkal Majalla" w:eastAsia="Sakkal Majalla" w:cs="Sakkal Majalla"/>
          <w:b/>
          <w:color w:val="000000" w:themeColor="text1"/>
          <w:sz w:val="28"/>
          <w:szCs w:val="28"/>
          <w14:textFill>
            <w14:solidFill>
              <w14:schemeClr w14:val="tx1"/>
            </w14:solidFill>
          </w14:textFill>
        </w:rPr>
      </w:pPr>
      <w:r>
        <w:rPr>
          <w:rFonts w:ascii="Sakkal Majalla" w:hAnsi="Sakkal Majalla" w:eastAsia="Sakkal Majalla" w:cs="Sakkal Majalla"/>
          <w:b/>
          <w:color w:val="000000" w:themeColor="text1"/>
          <w:sz w:val="28"/>
          <w:szCs w:val="28"/>
          <w:rtl/>
          <w14:textFill>
            <w14:solidFill>
              <w14:schemeClr w14:val="tx1"/>
            </w14:solidFill>
          </w14:textFill>
        </w:rPr>
        <w:t>تُعد إدارة المخاطر من الركائز الأساسية التي تعتمد عليها المؤسسات والمنظمات الحديثة لضمان الاستدامة التشغيلية وتحقيق الأهداف الإستراتيجية في بيئة أعمال معقدة ومتغيرة. وتمثل إدارة المخاطر منظومة شاملة من السياسات والإجراءات التي تهدف إلى التعرف على الأخطار المحتملة التي قد تواجه المؤسسة، وتقييم احتمالية حدوثها، وتحليل آثارها، ووضع الخطط اللازمة للتعامل معها سواء بالمنع أو بالتقليل من حدتها أو التكيف معها. وتكمن أهمية هذا المجال في أنه لا يقتصر على الأزمات أو الكوارث الكبرى، بل يشمل أيضًا المخاطر اليومية التي قد تؤثر على الإنتاجية، أو السمعة، أو الموارد المالية والبشرية.</w:t>
      </w:r>
    </w:p>
    <w:p w14:paraId="23FDDC0B">
      <w:pPr>
        <w:spacing w:before="100" w:beforeAutospacing="1" w:after="100" w:afterAutospacing="1" w:line="360" w:lineRule="auto"/>
        <w:ind w:firstLine="720"/>
        <w:jc w:val="both"/>
        <w:rPr>
          <w:rFonts w:ascii="Sakkal Majalla" w:hAnsi="Sakkal Majalla" w:eastAsia="Sakkal Majalla" w:cs="Sakkal Majalla"/>
          <w:b/>
          <w:color w:val="000000" w:themeColor="text1"/>
          <w:sz w:val="28"/>
          <w:szCs w:val="28"/>
          <w14:textFill>
            <w14:solidFill>
              <w14:schemeClr w14:val="tx1"/>
            </w14:solidFill>
          </w14:textFill>
        </w:rPr>
      </w:pPr>
      <w:r>
        <w:rPr>
          <w:rFonts w:ascii="Sakkal Majalla" w:hAnsi="Sakkal Majalla" w:eastAsia="Sakkal Majalla" w:cs="Sakkal Majalla"/>
          <w:b/>
          <w:color w:val="000000" w:themeColor="text1"/>
          <w:sz w:val="28"/>
          <w:szCs w:val="28"/>
          <w:rtl/>
          <w14:textFill>
            <w14:solidFill>
              <w14:schemeClr w14:val="tx1"/>
            </w14:solidFill>
          </w14:textFill>
        </w:rPr>
        <w:t>ويتخذ إطار إدارة المخاطر في المؤسسات طابعًا منهجيًا ومتكاملًا، حيث يُدمج في مختلف مستويات التخطيط والتشغيل، مما يسمح للإدارات والفرق المختلفة بفهم المخاطر التي تؤثر على أهدافها وكيفية التفاعل معها ضمن حدود المسؤولية. وقد تطورت إدارة المخاطر لتشمل مجالات متعددة، كالمخاطر التشغيلية، والمالية، والتكنولوجية، والاستراتيجية، والامتثال القانوني، بل وحتى المخاطر المرتبطة بالسمعة والحوكمة. لذلك، أصبحت المؤسسات التي تتبنى أنظمة إدارة مخاطر ناضجة أكثر قدرة على التكيف مع الأزمات، واتخاذ قرارات رشيدة في ظل عدم اليقين، وتحقيق أفضل استثمار للموارد.</w:t>
      </w:r>
    </w:p>
    <w:p w14:paraId="5CEF555B">
      <w:pPr>
        <w:spacing w:before="100" w:beforeAutospacing="1" w:after="100" w:afterAutospacing="1" w:line="360" w:lineRule="auto"/>
        <w:ind w:firstLine="720"/>
        <w:jc w:val="both"/>
        <w:rPr>
          <w:rFonts w:ascii="Sakkal Majalla" w:hAnsi="Sakkal Majalla" w:eastAsia="Sakkal Majalla" w:cs="Sakkal Majalla"/>
          <w:b/>
          <w:color w:val="000000" w:themeColor="text1"/>
          <w:sz w:val="28"/>
          <w:szCs w:val="28"/>
          <w14:textFill>
            <w14:solidFill>
              <w14:schemeClr w14:val="tx1"/>
            </w14:solidFill>
          </w14:textFill>
        </w:rPr>
      </w:pPr>
      <w:r>
        <w:rPr>
          <w:rFonts w:ascii="Sakkal Majalla" w:hAnsi="Sakkal Majalla" w:eastAsia="Sakkal Majalla" w:cs="Sakkal Majalla"/>
          <w:b/>
          <w:color w:val="000000" w:themeColor="text1"/>
          <w:sz w:val="28"/>
          <w:szCs w:val="28"/>
          <w:rtl/>
          <w14:textFill>
            <w14:solidFill>
              <w14:schemeClr w14:val="tx1"/>
            </w14:solidFill>
          </w14:textFill>
        </w:rPr>
        <w:t xml:space="preserve">في السياق المؤسسي الحديث، لا تُعد إدارة المخاطر مجرد وظيفة فنية تُسند إلى إدارة معينة، بل تُنظر إليها كمسؤولية تنظيمية شاملة تبدأ من مجلس الإدارة وتمتد إلى جميع الموظفين. ولذلك، تعتمد المؤسسات الرائدة على أنظمة متقدمة لإدارة المخاطر (مثل معيار </w:t>
      </w:r>
      <w:r>
        <w:rPr>
          <w:rFonts w:ascii="Sakkal Majalla" w:hAnsi="Sakkal Majalla" w:eastAsia="Sakkal Majalla" w:cs="Sakkal Majalla"/>
          <w:b/>
          <w:color w:val="000000" w:themeColor="text1"/>
          <w:sz w:val="28"/>
          <w:szCs w:val="28"/>
          <w14:textFill>
            <w14:solidFill>
              <w14:schemeClr w14:val="tx1"/>
            </w14:solidFill>
          </w14:textFill>
        </w:rPr>
        <w:t>ISO</w:t>
      </w:r>
      <w:r>
        <w:rPr>
          <w:rFonts w:ascii="Sakkal Majalla" w:hAnsi="Sakkal Majalla" w:eastAsia="Sakkal Majalla" w:cs="Sakkal Majalla"/>
          <w:b/>
          <w:color w:val="000000" w:themeColor="text1"/>
          <w:sz w:val="28"/>
          <w:szCs w:val="28"/>
          <w:rtl/>
          <w14:textFill>
            <w14:solidFill>
              <w14:schemeClr w14:val="tx1"/>
            </w14:solidFill>
          </w14:textFill>
        </w:rPr>
        <w:t xml:space="preserve"> 31000) والذي يضع إطارًا عامًا يربط بين الحوكمة المؤسسية وإدارة الأداء وإدارة المخاطر، مؤكدًا على أهمية السياق الخارجي والداخلي في تقييم الخطر.</w:t>
      </w:r>
    </w:p>
    <w:p w14:paraId="78931EB2">
      <w:pPr>
        <w:spacing w:before="100" w:beforeAutospacing="1" w:after="100" w:afterAutospacing="1" w:line="360" w:lineRule="auto"/>
        <w:ind w:firstLine="720"/>
        <w:jc w:val="both"/>
        <w:rPr>
          <w:rFonts w:ascii="Sakkal Majalla" w:hAnsi="Sakkal Majalla" w:eastAsia="Sakkal Majalla" w:cs="Sakkal Majalla"/>
          <w:b/>
          <w:color w:val="000000" w:themeColor="text1"/>
          <w:sz w:val="28"/>
          <w:szCs w:val="28"/>
          <w14:textFill>
            <w14:solidFill>
              <w14:schemeClr w14:val="tx1"/>
            </w14:solidFill>
          </w14:textFill>
        </w:rPr>
      </w:pPr>
      <w:r>
        <w:rPr>
          <w:rFonts w:ascii="Sakkal Majalla" w:hAnsi="Sakkal Majalla" w:eastAsia="Sakkal Majalla" w:cs="Sakkal Majalla"/>
          <w:b/>
          <w:color w:val="000000" w:themeColor="text1"/>
          <w:sz w:val="28"/>
          <w:szCs w:val="28"/>
          <w:rtl/>
          <w14:textFill>
            <w14:solidFill>
              <w14:schemeClr w14:val="tx1"/>
            </w14:solidFill>
          </w14:textFill>
        </w:rPr>
        <w:t>تُعد إدارة المخاطر نهجًا استراتيجيًا لا غنى عنه للمؤسسات الراغبة في النمو المستدام والقدرة على المنافسة. فهي تُمكّن متخذي القرار من النظر إلى المستقبل بواقعية ومرونة، وتمنحهم أدوات فعّالة لحماية مصالحهم، وتعزيز الثقة بين جميع أصحاب المصلحة، من موظفين ومتعاملين ومستثمرين وجهات تنظيمية.</w:t>
      </w:r>
    </w:p>
    <w:p w14:paraId="3F0D89F3">
      <w:pPr>
        <w:spacing w:before="100" w:beforeAutospacing="1" w:after="100" w:afterAutospacing="1" w:line="360" w:lineRule="auto"/>
        <w:ind w:firstLine="720"/>
        <w:jc w:val="both"/>
        <w:rPr>
          <w:rFonts w:ascii="Sakkal Majalla" w:hAnsi="Sakkal Majalla" w:eastAsia="Sakkal Majalla" w:cs="Sakkal Majalla"/>
          <w:b/>
          <w:color w:val="000000" w:themeColor="text1"/>
          <w:sz w:val="28"/>
          <w:szCs w:val="28"/>
          <w14:textFill>
            <w14:solidFill>
              <w14:schemeClr w14:val="tx1"/>
            </w14:solidFill>
          </w14:textFill>
        </w:rPr>
      </w:pPr>
      <w:r>
        <w:rPr>
          <w:rFonts w:ascii="Sakkal Majalla" w:hAnsi="Sakkal Majalla" w:eastAsia="Sakkal Majalla" w:cs="Sakkal Majalla"/>
          <w:b/>
          <w:color w:val="000000" w:themeColor="text1"/>
          <w:sz w:val="28"/>
          <w:szCs w:val="28"/>
          <w:rtl/>
          <w14:textFill>
            <w14:solidFill>
              <w14:schemeClr w14:val="tx1"/>
            </w14:solidFill>
          </w14:textFill>
        </w:rPr>
        <w:t>يُعد نجاح المشاريع من أهم القضايا التي تشغل بال المؤسسات والممارسين في ميادين الإدارة والتنمية، حيث إن تحقيق أهداف المشروع ضمن الإطار الزمني والميزانية المحددين، وبالجودة المطلوبة، يمثل انعكاسًا مباشرًا لكفاءة التخطيط والتنفيذ والرقابة. ويتجاوز مفهوم النجاح في إدارة المشاريع مجرد إتمام الأنشطة وفق الجداول الزمنية، ليشمل أيضًا رضا أصحاب المصلحة، واستدامة الأثر، وتحقيق قيمة مضافة للمؤسسة أو المجتمع. ولذلك، أصبح نجاح المشروع يُقاس بمجموعة متكاملة من المؤشرات الكمية والنوعية، ما يستدعي بيئة تنظيمية فعالة، وأدوات إدارية متطورة، وقدرة على التفاعل مع التحديات والمتغيرات.</w:t>
      </w:r>
    </w:p>
    <w:p w14:paraId="03D18A32">
      <w:pPr>
        <w:spacing w:before="100" w:beforeAutospacing="1" w:after="100" w:afterAutospacing="1" w:line="360" w:lineRule="auto"/>
        <w:ind w:firstLine="720"/>
        <w:jc w:val="both"/>
        <w:rPr>
          <w:rFonts w:ascii="Sakkal Majalla" w:hAnsi="Sakkal Majalla" w:eastAsia="Sakkal Majalla" w:cs="Sakkal Majalla"/>
          <w:b/>
          <w:color w:val="000000" w:themeColor="text1"/>
          <w:sz w:val="28"/>
          <w:szCs w:val="28"/>
          <w14:textFill>
            <w14:solidFill>
              <w14:schemeClr w14:val="tx1"/>
            </w14:solidFill>
          </w14:textFill>
        </w:rPr>
      </w:pPr>
      <w:r>
        <w:rPr>
          <w:rFonts w:ascii="Sakkal Majalla" w:hAnsi="Sakkal Majalla" w:eastAsia="Sakkal Majalla" w:cs="Sakkal Majalla"/>
          <w:b/>
          <w:color w:val="000000" w:themeColor="text1"/>
          <w:sz w:val="28"/>
          <w:szCs w:val="28"/>
          <w:rtl/>
          <w14:textFill>
            <w14:solidFill>
              <w14:schemeClr w14:val="tx1"/>
            </w14:solidFill>
          </w14:textFill>
        </w:rPr>
        <w:t>علاوة على ذلك، يلعب إدارة الوقت والتكلفة والجودة دورًا محوريًا في تحقيق النجاح. إذ يتعين على مديري المشاريع الموازنة بين هذه العناصر الثلاثة دون الإخلال بأي منها، وهو ما يُعرف بمثلث إدارة المشاريع. فعلى سبيل المثال، قد يؤدي تسريع تنفيذ المشروع إلى تجاوز الميزانية أو انخفاض جودة التنفيذ. وبالتالي، فإن النجاح يكمن في قدرة فريق المشروع على اتخاذ قرارات متوازنة تراعي أولويات المؤسسة والظروف المحيطة، عبر استخدام أدوات مثل تحليل القيمة المكتسبة (</w:t>
      </w:r>
      <w:r>
        <w:rPr>
          <w:rFonts w:ascii="Sakkal Majalla" w:hAnsi="Sakkal Majalla" w:eastAsia="Sakkal Majalla" w:cs="Sakkal Majalla"/>
          <w:b/>
          <w:color w:val="000000" w:themeColor="text1"/>
          <w:sz w:val="28"/>
          <w:szCs w:val="28"/>
          <w14:textFill>
            <w14:solidFill>
              <w14:schemeClr w14:val="tx1"/>
            </w14:solidFill>
          </w14:textFill>
        </w:rPr>
        <w:t>Earned Value Analysis</w:t>
      </w:r>
      <w:r>
        <w:rPr>
          <w:rFonts w:ascii="Sakkal Majalla" w:hAnsi="Sakkal Majalla" w:eastAsia="Sakkal Majalla" w:cs="Sakkal Majalla"/>
          <w:b/>
          <w:color w:val="000000" w:themeColor="text1"/>
          <w:sz w:val="28"/>
          <w:szCs w:val="28"/>
          <w:rtl/>
          <w14:textFill>
            <w14:solidFill>
              <w14:schemeClr w14:val="tx1"/>
            </w14:solidFill>
          </w14:textFill>
        </w:rPr>
        <w:t xml:space="preserve">)، وبرامج إدارة الوقت (مثل </w:t>
      </w:r>
      <w:r>
        <w:rPr>
          <w:rFonts w:ascii="Sakkal Majalla" w:hAnsi="Sakkal Majalla" w:eastAsia="Sakkal Majalla" w:cs="Sakkal Majalla"/>
          <w:b/>
          <w:color w:val="000000" w:themeColor="text1"/>
          <w:sz w:val="28"/>
          <w:szCs w:val="28"/>
          <w14:textFill>
            <w14:solidFill>
              <w14:schemeClr w14:val="tx1"/>
            </w14:solidFill>
          </w14:textFill>
        </w:rPr>
        <w:t>MS Project</w:t>
      </w:r>
      <w:r>
        <w:rPr>
          <w:rFonts w:ascii="Sakkal Majalla" w:hAnsi="Sakkal Majalla" w:eastAsia="Sakkal Majalla" w:cs="Sakkal Majalla"/>
          <w:b/>
          <w:color w:val="000000" w:themeColor="text1"/>
          <w:sz w:val="28"/>
          <w:szCs w:val="28"/>
          <w:rtl/>
          <w14:textFill>
            <w14:solidFill>
              <w14:schemeClr w14:val="tx1"/>
            </w14:solidFill>
          </w14:textFill>
        </w:rPr>
        <w:t xml:space="preserve"> أو </w:t>
      </w:r>
      <w:r>
        <w:rPr>
          <w:rFonts w:ascii="Sakkal Majalla" w:hAnsi="Sakkal Majalla" w:eastAsia="Sakkal Majalla" w:cs="Sakkal Majalla"/>
          <w:b/>
          <w:color w:val="000000" w:themeColor="text1"/>
          <w:sz w:val="28"/>
          <w:szCs w:val="28"/>
          <w14:textFill>
            <w14:solidFill>
              <w14:schemeClr w14:val="tx1"/>
            </w14:solidFill>
          </w14:textFill>
        </w:rPr>
        <w:t>Primavera</w:t>
      </w:r>
      <w:r>
        <w:rPr>
          <w:rFonts w:ascii="Sakkal Majalla" w:hAnsi="Sakkal Majalla" w:eastAsia="Sakkal Majalla" w:cs="Sakkal Majalla"/>
          <w:b/>
          <w:color w:val="000000" w:themeColor="text1"/>
          <w:sz w:val="28"/>
          <w:szCs w:val="28"/>
          <w:rtl/>
          <w14:textFill>
            <w14:solidFill>
              <w14:schemeClr w14:val="tx1"/>
            </w14:solidFill>
          </w14:textFill>
        </w:rPr>
        <w:t>)، ونماذج ضبط الجودة.</w:t>
      </w:r>
    </w:p>
    <w:p w14:paraId="5A2B6D8B">
      <w:pPr>
        <w:spacing w:before="100" w:beforeAutospacing="1" w:after="100" w:afterAutospacing="1" w:line="360" w:lineRule="auto"/>
        <w:ind w:firstLine="720"/>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انطلاقًا من ذلك، يتمثل هدف الدراسة في تحليل أثر تطبيق إدارة المخاطر بأبعادها مجمعة والمتمثلة في (تحديد المخاطر، تحليل المخاطر، الاستجابة للمخاطر، مراقبة المخاطر) على نجاح المشاريع الكبرى في إطار رؤية المملكة 2030: دراسة تطبيقية على المشاريع الحكومية في المملكة العربية السعودية.</w:t>
      </w:r>
    </w:p>
    <w:p w14:paraId="3FB3E6C1">
      <w:pPr>
        <w:spacing w:before="100" w:beforeAutospacing="1" w:after="100" w:afterAutospacing="1" w:line="360" w:lineRule="auto"/>
        <w:jc w:val="both"/>
        <w:outlineLvl w:val="1"/>
        <w:rPr>
          <w:rFonts w:ascii="Sakkal Majalla" w:hAnsi="Sakkal Majalla" w:cs="Sakkal Majalla"/>
          <w:bCs/>
          <w:color w:val="000000" w:themeColor="text1"/>
          <w:sz w:val="36"/>
          <w:szCs w:val="36"/>
          <w:rtl/>
          <w14:textFill>
            <w14:solidFill>
              <w14:schemeClr w14:val="tx1"/>
            </w14:solidFill>
          </w14:textFill>
        </w:rPr>
      </w:pPr>
      <w:bookmarkStart w:id="2" w:name="_6zx7xdcz4i4v" w:colFirst="0" w:colLast="0"/>
      <w:bookmarkEnd w:id="2"/>
      <w:bookmarkStart w:id="3" w:name="_Toc211696011"/>
      <w:r>
        <w:rPr>
          <w:rFonts w:ascii="Sakkal Majalla" w:hAnsi="Sakkal Majalla" w:cs="Sakkal Majalla"/>
          <w:bCs/>
          <w:color w:val="000000" w:themeColor="text1"/>
          <w:sz w:val="36"/>
          <w:szCs w:val="36"/>
          <w:rtl/>
          <w14:textFill>
            <w14:solidFill>
              <w14:schemeClr w14:val="tx1"/>
            </w14:solidFill>
          </w14:textFill>
        </w:rPr>
        <w:t>2.1 مشكلة الدراسة</w:t>
      </w:r>
      <w:bookmarkEnd w:id="3"/>
    </w:p>
    <w:p w14:paraId="277EA01A">
      <w:pPr>
        <w:spacing w:before="100" w:beforeAutospacing="1" w:after="100" w:afterAutospacing="1" w:line="360" w:lineRule="auto"/>
        <w:ind w:firstLine="720"/>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تشهد المملكة العربية السعودية في ظل رؤية 2030 تحولات نوعية وجذرية على صعيد التنمية الشاملة، حيث تتجه الحكومة إلى تنفيذ عدد من المشاريع الكبرى التي تتسم بالضخامة والتعقيد والطموح، مثل مشاريع "نيوم"، و"البحر الأحمر"، و"القدية"، وغيرها من المشاريع الحكومية التي تهدف إلى تنويع الاقتصاد، وتحقيق التنمية المستدامة، وتعزيز جودة الحياة. غير أن هذا النوع من المشاريع، بما يحمله من استثمارات ضخمة وأطر زمنية محددة وأهداف تنموية عالية، يرتبط ارتباطًا وثيقًا بمدى قدرة الجهات المنفذة على إدارة المخاطر المحيطة به بفعالية واحترافية. وهنا تبرز المشكلة البحثية التي تسعى الدراسة الحالية إلى معالجتها، والمتمثلة في التساؤل المحوري حول: "ما مدى أثر تطبيق إدارة المخاطر على نجاح المشاريع الكبرى في المملكة العربية السعودية ضمن إطار رؤية 2030؟"</w:t>
      </w:r>
    </w:p>
    <w:p w14:paraId="3FD0CE80">
      <w:pPr>
        <w:spacing w:before="100" w:beforeAutospacing="1" w:after="100" w:afterAutospacing="1" w:line="360" w:lineRule="auto"/>
        <w:ind w:firstLine="720"/>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تنبع هذه المشكلة من ملاحظة أن الكثير من المشاريع الكبرى على المستوى العالمي، وكذلك في البيئة المحلية، غالبًا ما تواجه تحديات تعيق نجاحها الكامل، مثل تجاوز التكلفة الزمنية والمالية، أو الإخفاق في تحقيق الأهداف المحددة، أو التراجع في جودة التنفيذ. وتُعد المخاطر – سواء كانت مالية، أو تنظيمية، أو تكنولوجية، أو بيئية، أو متعلقة بالقوى العاملة – من أبرز العوامل التي تؤثر سلبًا على فرص نجاح هذه المشاريع. وبالرغم من إدراك الجهات الحكومية لأهمية إدارة المخاطر، فإن الممارسات الواقعية تختلف من جهة إلى أخرى، ويُلاحظ تفاوت كبير في فهم وتطبيق منهجيات إدارة المخاطر بشكل منهجي ومؤسسي.</w:t>
      </w:r>
    </w:p>
    <w:p w14:paraId="488EE229">
      <w:pPr>
        <w:spacing w:before="100" w:beforeAutospacing="1" w:after="100" w:afterAutospacing="1" w:line="360" w:lineRule="auto"/>
        <w:ind w:firstLine="720"/>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وتمثل المشاريع الكبرى التي تُنفذ ضمن رؤية المملكة 2030 نموذجًا مثاليًا لتحليل هذا الإشكال، حيث أنها تتطلب تنسيقًا عاليًا بين الجهات، وتخطيطًا دقيقًا طويل الأمد، ونماذج حوكمة واضحة، علاوة على الاستجابة السريعة للتقلبات المحلية والدولية. ومن هنا، تأتي أهمية دراسة العلاقة بين مدى تطبيق أدوات وأساليب إدارة المخاطر وبين تحقيق أبعاد النجاح المتعارف عليها في المشاريع الكبرى (مثل الالتزام بالجدول الزمني، تحقيق الأهداف الاستراتيجية، رضا أصحاب العلاقة، واستدامة النتائج).</w:t>
      </w:r>
    </w:p>
    <w:p w14:paraId="2C871AAF">
      <w:pPr>
        <w:spacing w:before="100" w:beforeAutospacing="1" w:after="100" w:afterAutospacing="1" w:line="360" w:lineRule="auto"/>
        <w:ind w:firstLine="720"/>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إن إشكالية البحث تنطلق من الفجوة الملحوظة بين التنظير في مجال إدارة المخاطر وبين التطبيق الفعلي لها في بيئة المشاريع الحكومية السعودية. فهناك حاجة ملحة لفهم كيف تؤثر الممارسات الواقعية لإدارة المخاطر على سير المشاريع الكبرى، وهل يتم اعتماد استراتيجيات متكاملة لتحديد وتقييم والاستجابة للمخاطر في مختلف مراحل المشروع؟ وهل لهذه الاستراتيجيات تأثير فعلي ملموس على معدلات النجاح في المشاريع الجاري تنفيذها ضمن الرؤية الوطنية؟</w:t>
      </w:r>
    </w:p>
    <w:p w14:paraId="5617729B">
      <w:pPr>
        <w:spacing w:before="100" w:beforeAutospacing="1" w:after="100" w:afterAutospacing="1" w:line="360" w:lineRule="auto"/>
        <w:ind w:firstLine="720"/>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من هذا المنطلق، تهدف الدراسة إلى تشخيص هذه الفجوة وتحليل أبعادها، من خلال دراسة تطبيقية على عدد من المشاريع الحكومية الكبرى، لاستخلاص النتائج التي يمكن أن تسهم في تحسين ممارسات إدارة المخاطر وتعزيز فرص نجاح المشاريع مستقبلاً. وتسعى الدراسة إلى تقديم صورة متكاملة تربط بين النظرية والتطبيق، وبين إدارة المخاطر ونجاح المشاريع، في إطار بيئة إدارية وتنموية تتسم بالديناميكية والطموح، كما هو الحال في المملكة العربية السعودية تحت مظلة رؤية 2030.</w:t>
      </w:r>
    </w:p>
    <w:p w14:paraId="6CAC7961">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outlineLvl w:val="1"/>
        <w:rPr>
          <w:rFonts w:ascii="Sakkal Majalla" w:hAnsi="Sakkal Majalla" w:eastAsia="Times New Roman" w:cs="Sakkal Majalla"/>
          <w:bCs/>
          <w:color w:val="000000" w:themeColor="text1"/>
          <w:sz w:val="36"/>
          <w:szCs w:val="36"/>
          <w:rtl/>
          <w14:textFill>
            <w14:solidFill>
              <w14:schemeClr w14:val="tx1"/>
            </w14:solidFill>
          </w14:textFill>
        </w:rPr>
      </w:pPr>
      <w:bookmarkStart w:id="4" w:name="_nlbwpzufwcox" w:colFirst="0" w:colLast="0"/>
      <w:bookmarkEnd w:id="4"/>
      <w:bookmarkStart w:id="5" w:name="_4ojx3c1n50ns" w:colFirst="0" w:colLast="0"/>
      <w:bookmarkEnd w:id="5"/>
      <w:bookmarkStart w:id="6" w:name="_Toc211696012"/>
      <w:r>
        <w:rPr>
          <w:rFonts w:ascii="Sakkal Majalla" w:hAnsi="Sakkal Majalla" w:eastAsia="Times New Roman" w:cs="Sakkal Majalla"/>
          <w:bCs/>
          <w:color w:val="000000" w:themeColor="text1"/>
          <w:sz w:val="36"/>
          <w:szCs w:val="36"/>
          <w:rtl/>
          <w14:textFill>
            <w14:solidFill>
              <w14:schemeClr w14:val="tx1"/>
            </w14:solidFill>
          </w14:textFill>
        </w:rPr>
        <w:t>3.1 أهمية الدراسة:</w:t>
      </w:r>
      <w:bookmarkEnd w:id="6"/>
    </w:p>
    <w:p w14:paraId="48D7BC8B">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eastAsia="Times New Roman" w:cs="Sakkal Majalla"/>
          <w:b/>
          <w:color w:val="000000" w:themeColor="text1"/>
          <w:sz w:val="28"/>
          <w:szCs w:val="28"/>
          <w14:textFill>
            <w14:solidFill>
              <w14:schemeClr w14:val="tx1"/>
            </w14:solidFill>
          </w14:textFill>
        </w:rPr>
      </w:pPr>
      <w:r>
        <w:rPr>
          <w:rFonts w:ascii="Sakkal Majalla" w:hAnsi="Sakkal Majalla" w:eastAsia="Times New Roman" w:cs="Sakkal Majalla"/>
          <w:b/>
          <w:color w:val="000000" w:themeColor="text1"/>
          <w:sz w:val="28"/>
          <w:szCs w:val="28"/>
          <w:rtl/>
          <w14:textFill>
            <w14:solidFill>
              <w14:schemeClr w14:val="tx1"/>
            </w14:solidFill>
          </w14:textFill>
        </w:rPr>
        <w:t>تعتمد أهمية هذه الدراسة على إسهاماتها النظرية والتطبيقية فيما يلي:</w:t>
      </w:r>
    </w:p>
    <w:p w14:paraId="176903C7">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rPr>
          <w:rFonts w:ascii="Sakkal Majalla" w:hAnsi="Sakkal Majalla" w:eastAsia="Times New Roman" w:cs="Sakkal Majalla"/>
          <w:bCs/>
          <w:color w:val="000000" w:themeColor="text1"/>
          <w:sz w:val="32"/>
          <w:szCs w:val="32"/>
          <w14:textFill>
            <w14:solidFill>
              <w14:schemeClr w14:val="tx1"/>
            </w14:solidFill>
          </w14:textFill>
        </w:rPr>
      </w:pPr>
      <w:r>
        <w:rPr>
          <w:rFonts w:ascii="Sakkal Majalla" w:hAnsi="Sakkal Majalla" w:eastAsia="Times New Roman" w:cs="Sakkal Majalla"/>
          <w:bCs/>
          <w:color w:val="000000" w:themeColor="text1"/>
          <w:sz w:val="32"/>
          <w:szCs w:val="32"/>
          <w:rtl/>
          <w14:textFill>
            <w14:solidFill>
              <w14:schemeClr w14:val="tx1"/>
            </w14:solidFill>
          </w14:textFill>
        </w:rPr>
        <w:t>الأهمية النظرية:</w:t>
      </w:r>
    </w:p>
    <w:p w14:paraId="32C2B69F">
      <w:pPr>
        <w:numPr>
          <w:ilvl w:val="0"/>
          <w:numId w:val="1"/>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Times New Roman" w:cs="Sakkal Majalla"/>
          <w:b/>
          <w:color w:val="000000" w:themeColor="text1"/>
          <w:sz w:val="28"/>
          <w:szCs w:val="28"/>
          <w:rtl/>
          <w14:textFill>
            <w14:solidFill>
              <w14:schemeClr w14:val="tx1"/>
            </w14:solidFill>
          </w14:textFill>
        </w:rPr>
        <w:t>تمثل الدراسة إضافة علمية مهمة للأدبيات المتخصصة في مجالي إدارة المخاطر وإدارة المشاريع، خصوصًا في سياق المشاريع الحكومية الكبرى في المملكة العربية السعودية.</w:t>
      </w:r>
    </w:p>
    <w:p w14:paraId="72E4B69E">
      <w:pPr>
        <w:numPr>
          <w:ilvl w:val="0"/>
          <w:numId w:val="1"/>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Times New Roman" w:cs="Sakkal Majalla"/>
          <w:b/>
          <w:color w:val="000000" w:themeColor="text1"/>
          <w:sz w:val="28"/>
          <w:szCs w:val="28"/>
          <w:rtl/>
          <w14:textFill>
            <w14:solidFill>
              <w14:schemeClr w14:val="tx1"/>
            </w14:solidFill>
          </w14:textFill>
        </w:rPr>
        <w:t>تبرز أهمية تطبيق أدوات وأساليب إدارة المخاطر الاحترافية في رفع معدلات نجاح المشاريع الكبرى من حيث الوقت، التكلفة، الجودة، وتحقيق الأهداف الاستراتيجية.</w:t>
      </w:r>
    </w:p>
    <w:p w14:paraId="4B3EC8D4">
      <w:pPr>
        <w:numPr>
          <w:ilvl w:val="0"/>
          <w:numId w:val="1"/>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Times New Roman" w:cs="Sakkal Majalla"/>
          <w:b/>
          <w:color w:val="000000" w:themeColor="text1"/>
          <w:sz w:val="28"/>
          <w:szCs w:val="28"/>
          <w:rtl/>
          <w14:textFill>
            <w14:solidFill>
              <w14:schemeClr w14:val="tx1"/>
            </w14:solidFill>
          </w14:textFill>
        </w:rPr>
        <w:t>تسعى لبناء إطار نظري يربط بين عناصر إدارة المخاطر (مثل التقييم المبكر، التخطيط للاستجابة، مراقبة المخاطر، إدارة التغيير) ومؤشرات نجاح المشروع (مثل الالتزام بالجدول الزمني، الكفاءة التشغيلية، رضا أصحاب المصلحة).</w:t>
      </w:r>
    </w:p>
    <w:p w14:paraId="42AB498D">
      <w:pPr>
        <w:numPr>
          <w:ilvl w:val="0"/>
          <w:numId w:val="1"/>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Times New Roman" w:cs="Sakkal Majalla"/>
          <w:b/>
          <w:color w:val="000000" w:themeColor="text1"/>
          <w:sz w:val="28"/>
          <w:szCs w:val="28"/>
          <w:rtl/>
          <w14:textFill>
            <w14:solidFill>
              <w14:schemeClr w14:val="tx1"/>
            </w14:solidFill>
          </w14:textFill>
        </w:rPr>
        <w:t>تسد فجوة معرفية في الدراسات الإدارية العربية، التي تركز غالبًا على إدارة المشاريع في القطاع الخاص أو المشاريع الصغيرة، مع قلة في الدراسات المتعلقة بالمشاريع الحكومية الكبرى ضمن رؤية 2030.</w:t>
      </w:r>
    </w:p>
    <w:p w14:paraId="40318C93">
      <w:pPr>
        <w:numPr>
          <w:ilvl w:val="0"/>
          <w:numId w:val="1"/>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Times New Roman" w:cs="Sakkal Majalla"/>
          <w:b/>
          <w:color w:val="000000" w:themeColor="text1"/>
          <w:sz w:val="28"/>
          <w:szCs w:val="28"/>
          <w:rtl/>
          <w14:textFill>
            <w14:solidFill>
              <w14:schemeClr w14:val="tx1"/>
            </w14:solidFill>
          </w14:textFill>
        </w:rPr>
        <w:t>تعزز الفهم النظري لمفاهيم مثل إدارة المخاطر الاستباقية، الحوكمة في المشاريع الكبرى، واستراتيجيات التخفيف من المخاطر في البيئة الحكومية.</w:t>
      </w:r>
    </w:p>
    <w:p w14:paraId="47EAC1E3">
      <w:pPr>
        <w:numPr>
          <w:ilvl w:val="0"/>
          <w:numId w:val="1"/>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Times New Roman" w:cs="Sakkal Majalla"/>
          <w:b/>
          <w:color w:val="000000" w:themeColor="text1"/>
          <w:sz w:val="28"/>
          <w:szCs w:val="28"/>
          <w:rtl/>
          <w14:textFill>
            <w14:solidFill>
              <w14:schemeClr w14:val="tx1"/>
            </w14:solidFill>
          </w14:textFill>
        </w:rPr>
        <w:t>تمهد الطريق لأبحاث مستقبلية تركّز على التكامل بين إدارة المخاطر والمكونات الأخرى لإدارة المشاريع كالتخطيط الاستراتيجي، الميزانية، وإدارة أصحاب العلاقة.</w:t>
      </w:r>
    </w:p>
    <w:p w14:paraId="141CFD2E">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rPr>
          <w:rFonts w:ascii="Sakkal Majalla" w:hAnsi="Sakkal Majalla" w:eastAsia="Times New Roman" w:cs="Sakkal Majalla"/>
          <w:bCs/>
          <w:color w:val="000000" w:themeColor="text1"/>
          <w:sz w:val="32"/>
          <w:szCs w:val="32"/>
          <w14:textFill>
            <w14:solidFill>
              <w14:schemeClr w14:val="tx1"/>
            </w14:solidFill>
          </w14:textFill>
        </w:rPr>
      </w:pPr>
      <w:r>
        <w:rPr>
          <w:rFonts w:ascii="Sakkal Majalla" w:hAnsi="Sakkal Majalla" w:eastAsia="Times New Roman" w:cs="Sakkal Majalla"/>
          <w:bCs/>
          <w:color w:val="000000" w:themeColor="text1"/>
          <w:sz w:val="32"/>
          <w:szCs w:val="32"/>
          <w:rtl/>
          <w14:textFill>
            <w14:solidFill>
              <w14:schemeClr w14:val="tx1"/>
            </w14:solidFill>
          </w14:textFill>
        </w:rPr>
        <w:t>الأهمية التطبيقية:</w:t>
      </w:r>
    </w:p>
    <w:p w14:paraId="37298DC7">
      <w:pPr>
        <w:numPr>
          <w:ilvl w:val="0"/>
          <w:numId w:val="2"/>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Times New Roman" w:cs="Sakkal Majalla"/>
          <w:b/>
          <w:color w:val="000000" w:themeColor="text1"/>
          <w:sz w:val="28"/>
          <w:szCs w:val="28"/>
          <w:rtl/>
          <w14:textFill>
            <w14:solidFill>
              <w14:schemeClr w14:val="tx1"/>
            </w14:solidFill>
          </w14:textFill>
        </w:rPr>
        <w:t>تقدم مرجعًا عمليًا للجهات الحكومية المنفذة للمشاريع الكبرى حول كيفية تبني نهج احترافي في إدارة المخاطر لرفع فرص نجاح المشاريع.</w:t>
      </w:r>
    </w:p>
    <w:p w14:paraId="5030CA62">
      <w:pPr>
        <w:numPr>
          <w:ilvl w:val="0"/>
          <w:numId w:val="2"/>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Times New Roman" w:cs="Sakkal Majalla"/>
          <w:b/>
          <w:color w:val="000000" w:themeColor="text1"/>
          <w:sz w:val="28"/>
          <w:szCs w:val="28"/>
          <w:rtl/>
          <w14:textFill>
            <w14:solidFill>
              <w14:schemeClr w14:val="tx1"/>
            </w14:solidFill>
          </w14:textFill>
        </w:rPr>
        <w:t>تساعد في تطوير سياسات وآليات لرصد المخاطر وتحليلها وتحديد أولوياتها في مراحل المشروع المختلفة.</w:t>
      </w:r>
    </w:p>
    <w:p w14:paraId="7AD0E931">
      <w:pPr>
        <w:numPr>
          <w:ilvl w:val="0"/>
          <w:numId w:val="2"/>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Times New Roman" w:cs="Sakkal Majalla"/>
          <w:b/>
          <w:color w:val="000000" w:themeColor="text1"/>
          <w:sz w:val="28"/>
          <w:szCs w:val="28"/>
          <w:rtl/>
          <w14:textFill>
            <w14:solidFill>
              <w14:schemeClr w14:val="tx1"/>
            </w14:solidFill>
          </w14:textFill>
        </w:rPr>
        <w:t>تمكّن مديري المشاريع من استخدام أدوات تقنية لتحليل سيناريوهات الخطر، ووضع خطط طوارئ قابلة للتنفيذ.</w:t>
      </w:r>
    </w:p>
    <w:p w14:paraId="3B8EE39A">
      <w:pPr>
        <w:numPr>
          <w:ilvl w:val="0"/>
          <w:numId w:val="2"/>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Times New Roman" w:cs="Sakkal Majalla"/>
          <w:b/>
          <w:color w:val="000000" w:themeColor="text1"/>
          <w:sz w:val="28"/>
          <w:szCs w:val="28"/>
          <w:rtl/>
          <w14:textFill>
            <w14:solidFill>
              <w14:schemeClr w14:val="tx1"/>
            </w14:solidFill>
          </w14:textFill>
        </w:rPr>
        <w:t>تسهم في تقليل التكاليف غير المتوقعة، وتقليل نسب التأخير، من خلال اتخاذ قرارات مبنية على التقييمات الواقعية للمخاطر المحتملة.</w:t>
      </w:r>
    </w:p>
    <w:p w14:paraId="73BE6CE0">
      <w:pPr>
        <w:numPr>
          <w:ilvl w:val="0"/>
          <w:numId w:val="2"/>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Times New Roman" w:cs="Sakkal Majalla"/>
          <w:b/>
          <w:color w:val="000000" w:themeColor="text1"/>
          <w:sz w:val="28"/>
          <w:szCs w:val="28"/>
          <w:rtl/>
          <w14:textFill>
            <w14:solidFill>
              <w14:schemeClr w14:val="tx1"/>
            </w14:solidFill>
          </w14:textFill>
        </w:rPr>
        <w:t>تدعم الامتثال لمتطلبات الرقابة والحوكمة من خلال اعتماد آليات توثيق ومتابعة دورية للمخاطر والإجراءات التصحيحية.</w:t>
      </w:r>
    </w:p>
    <w:p w14:paraId="6B63B6B9">
      <w:pPr>
        <w:numPr>
          <w:ilvl w:val="0"/>
          <w:numId w:val="2"/>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Times New Roman" w:cs="Sakkal Majalla"/>
          <w:b/>
          <w:color w:val="000000" w:themeColor="text1"/>
          <w:sz w:val="28"/>
          <w:szCs w:val="28"/>
          <w:rtl/>
          <w14:textFill>
            <w14:solidFill>
              <w14:schemeClr w14:val="tx1"/>
            </w14:solidFill>
          </w14:textFill>
        </w:rPr>
        <w:t>تعزز قدرة المشاريع الكبرى على التكيف مع التغيّرات الاقتصادية والسياسية والبيئية، من خلال نظام مرن لإدارة المخاطر.</w:t>
      </w:r>
    </w:p>
    <w:p w14:paraId="6B65C008">
      <w:pPr>
        <w:numPr>
          <w:ilvl w:val="0"/>
          <w:numId w:val="2"/>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Times New Roman" w:cs="Sakkal Majalla"/>
          <w:b/>
          <w:color w:val="000000" w:themeColor="text1"/>
          <w:sz w:val="28"/>
          <w:szCs w:val="28"/>
          <w:rtl/>
          <w14:textFill>
            <w14:solidFill>
              <w14:schemeClr w14:val="tx1"/>
            </w14:solidFill>
          </w14:textFill>
        </w:rPr>
        <w:t>تسهم في تحسين صورة الجهات الحكومية ككيانات ذات كفاءة عالية في التخطيط والتنفيذ، مما يدعم أهداف رؤية المملكة 2030 في تطوير القطاع الحكومي.</w:t>
      </w:r>
    </w:p>
    <w:p w14:paraId="0FE3B11D">
      <w:pPr>
        <w:spacing w:before="100" w:beforeAutospacing="1" w:after="100" w:afterAutospacing="1" w:line="360" w:lineRule="auto"/>
        <w:jc w:val="both"/>
        <w:outlineLvl w:val="1"/>
        <w:rPr>
          <w:rFonts w:ascii="Sakkal Majalla" w:hAnsi="Sakkal Majalla" w:cs="Sakkal Majalla"/>
          <w:bCs/>
          <w:color w:val="000000" w:themeColor="text1"/>
          <w:sz w:val="36"/>
          <w:szCs w:val="36"/>
          <w:rtl/>
          <w14:textFill>
            <w14:solidFill>
              <w14:schemeClr w14:val="tx1"/>
            </w14:solidFill>
          </w14:textFill>
        </w:rPr>
      </w:pPr>
      <w:bookmarkStart w:id="7" w:name="_fzc3ejkbj1je" w:colFirst="0" w:colLast="0"/>
      <w:bookmarkEnd w:id="7"/>
      <w:bookmarkStart w:id="8" w:name="_1a9oloneld5w" w:colFirst="0" w:colLast="0"/>
      <w:bookmarkEnd w:id="8"/>
      <w:bookmarkStart w:id="9" w:name="_Toc211696013"/>
      <w:r>
        <w:rPr>
          <w:rFonts w:ascii="Sakkal Majalla" w:hAnsi="Sakkal Majalla" w:cs="Sakkal Majalla"/>
          <w:bCs/>
          <w:color w:val="000000" w:themeColor="text1"/>
          <w:sz w:val="36"/>
          <w:szCs w:val="36"/>
          <w:rtl/>
          <w14:textFill>
            <w14:solidFill>
              <w14:schemeClr w14:val="tx1"/>
            </w14:solidFill>
          </w14:textFill>
        </w:rPr>
        <w:t>4.1 أهداف الدراسة:</w:t>
      </w:r>
      <w:bookmarkEnd w:id="9"/>
    </w:p>
    <w:p w14:paraId="375C0560">
      <w:pPr>
        <w:spacing w:before="100" w:beforeAutospacing="1" w:after="100" w:afterAutospacing="1" w:line="360" w:lineRule="auto"/>
        <w:ind w:firstLine="706"/>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تهدف الدراسة إلى معرفة أثر تطبيق إدارة المخاطر بأبعادها مجمعة والمتمثلة في (تحديد المخاطر، تحليل المخاطر، الاستجابة للمخاطر، مراقبة المخاطر) على نجاح المشاريع الكبرى في إطار رؤية المملكة 2030: دراسة تطبيقية على المشاريع الحكومية في المملكة العربية السعودية، ويتفرع منه مجموعة من الأهداف الفرعية:</w:t>
      </w:r>
    </w:p>
    <w:p w14:paraId="60470326">
      <w:pPr>
        <w:numPr>
          <w:ilvl w:val="0"/>
          <w:numId w:val="3"/>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bookmarkStart w:id="10" w:name="_75rbvfcxh2m4" w:colFirst="0" w:colLast="0"/>
      <w:bookmarkEnd w:id="10"/>
      <w:r>
        <w:rPr>
          <w:rFonts w:ascii="Sakkal Majalla" w:hAnsi="Sakkal Majalla" w:cs="Sakkal Majalla"/>
          <w:b/>
          <w:color w:val="000000" w:themeColor="text1"/>
          <w:sz w:val="28"/>
          <w:szCs w:val="28"/>
          <w:rtl/>
          <w14:textFill>
            <w14:solidFill>
              <w14:schemeClr w14:val="tx1"/>
            </w14:solidFill>
          </w14:textFill>
        </w:rPr>
        <w:t xml:space="preserve">التعرف على مستوى </w:t>
      </w:r>
      <w:r>
        <w:rPr>
          <w:rFonts w:ascii="Sakkal Majalla" w:hAnsi="Sakkal Majalla" w:eastAsia="Times New Roman" w:cs="Sakkal Majalla"/>
          <w:b/>
          <w:color w:val="000000" w:themeColor="text1"/>
          <w:sz w:val="28"/>
          <w:szCs w:val="28"/>
          <w:rtl/>
          <w14:textFill>
            <w14:solidFill>
              <w14:schemeClr w14:val="tx1"/>
            </w14:solidFill>
          </w14:textFill>
        </w:rPr>
        <w:t>تحديد المخاطر على نجاح المشاريع الكبرى في إطار رؤية المملكة 2030 وذلك بالتطبيق على المشاريع الحكومية في المملكة العربية السعودية</w:t>
      </w:r>
      <w:r>
        <w:rPr>
          <w:rFonts w:ascii="Sakkal Majalla" w:hAnsi="Sakkal Majalla" w:cs="Sakkal Majalla"/>
          <w:b/>
          <w:color w:val="000000" w:themeColor="text1"/>
          <w:sz w:val="28"/>
          <w:szCs w:val="28"/>
          <w14:textFill>
            <w14:solidFill>
              <w14:schemeClr w14:val="tx1"/>
            </w14:solidFill>
          </w14:textFill>
        </w:rPr>
        <w:t>.</w:t>
      </w:r>
    </w:p>
    <w:p w14:paraId="1F50A964">
      <w:pPr>
        <w:numPr>
          <w:ilvl w:val="0"/>
          <w:numId w:val="3"/>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 xml:space="preserve">التعرف على مستوى </w:t>
      </w:r>
      <w:r>
        <w:rPr>
          <w:rFonts w:ascii="Sakkal Majalla" w:hAnsi="Sakkal Majalla" w:eastAsia="Times New Roman" w:cs="Sakkal Majalla"/>
          <w:b/>
          <w:color w:val="000000" w:themeColor="text1"/>
          <w:sz w:val="28"/>
          <w:szCs w:val="28"/>
          <w:rtl/>
          <w14:textFill>
            <w14:solidFill>
              <w14:schemeClr w14:val="tx1"/>
            </w14:solidFill>
          </w14:textFill>
        </w:rPr>
        <w:t>تحليل المخاطر على نجاح المشاريع الكبرى في إطار رؤية المملكة 2030 وذلك بالتطبيق على المشاريع الحكومية في المملكة العربية السعودية</w:t>
      </w:r>
      <w:r>
        <w:rPr>
          <w:rFonts w:ascii="Sakkal Majalla" w:hAnsi="Sakkal Majalla" w:cs="Sakkal Majalla"/>
          <w:b/>
          <w:color w:val="000000" w:themeColor="text1"/>
          <w:sz w:val="28"/>
          <w:szCs w:val="28"/>
          <w14:textFill>
            <w14:solidFill>
              <w14:schemeClr w14:val="tx1"/>
            </w14:solidFill>
          </w14:textFill>
        </w:rPr>
        <w:t>.</w:t>
      </w:r>
    </w:p>
    <w:p w14:paraId="747F19F9">
      <w:pPr>
        <w:numPr>
          <w:ilvl w:val="0"/>
          <w:numId w:val="3"/>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 xml:space="preserve">التعرف على مستوى </w:t>
      </w:r>
      <w:r>
        <w:rPr>
          <w:rFonts w:ascii="Sakkal Majalla" w:hAnsi="Sakkal Majalla" w:eastAsia="Times New Roman" w:cs="Sakkal Majalla"/>
          <w:b/>
          <w:color w:val="000000" w:themeColor="text1"/>
          <w:sz w:val="28"/>
          <w:szCs w:val="28"/>
          <w:rtl/>
          <w14:textFill>
            <w14:solidFill>
              <w14:schemeClr w14:val="tx1"/>
            </w14:solidFill>
          </w14:textFill>
        </w:rPr>
        <w:t>الاستجابة للمخاطر على نجاح المشاريع الكبرى في إطار رؤية المملكة 2030 وذلك بالتطبيق على المشاريع الحكومية في المملكة العربية السعودية</w:t>
      </w:r>
      <w:r>
        <w:rPr>
          <w:rFonts w:ascii="Sakkal Majalla" w:hAnsi="Sakkal Majalla" w:cs="Sakkal Majalla"/>
          <w:b/>
          <w:color w:val="000000" w:themeColor="text1"/>
          <w:sz w:val="28"/>
          <w:szCs w:val="28"/>
          <w14:textFill>
            <w14:solidFill>
              <w14:schemeClr w14:val="tx1"/>
            </w14:solidFill>
          </w14:textFill>
        </w:rPr>
        <w:t>.</w:t>
      </w:r>
    </w:p>
    <w:p w14:paraId="4B144B95">
      <w:pPr>
        <w:numPr>
          <w:ilvl w:val="0"/>
          <w:numId w:val="3"/>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 xml:space="preserve">التعرف على مستوى </w:t>
      </w:r>
      <w:r>
        <w:rPr>
          <w:rFonts w:ascii="Sakkal Majalla" w:hAnsi="Sakkal Majalla" w:eastAsia="Times New Roman" w:cs="Sakkal Majalla"/>
          <w:b/>
          <w:color w:val="000000" w:themeColor="text1"/>
          <w:sz w:val="28"/>
          <w:szCs w:val="28"/>
          <w:rtl/>
          <w14:textFill>
            <w14:solidFill>
              <w14:schemeClr w14:val="tx1"/>
            </w14:solidFill>
          </w14:textFill>
        </w:rPr>
        <w:t>مراقبة المخاطر على نجاح المشاريع الكبرى في إطار رؤية المملكة 2030 وذلك بالتطبيق على المشاريع الحكومية في المملكة العربية السعودية</w:t>
      </w:r>
      <w:r>
        <w:rPr>
          <w:rFonts w:ascii="Sakkal Majalla" w:hAnsi="Sakkal Majalla" w:cs="Sakkal Majalla"/>
          <w:b/>
          <w:color w:val="000000" w:themeColor="text1"/>
          <w:sz w:val="28"/>
          <w:szCs w:val="28"/>
          <w14:textFill>
            <w14:solidFill>
              <w14:schemeClr w14:val="tx1"/>
            </w14:solidFill>
          </w14:textFill>
        </w:rPr>
        <w:t>.</w:t>
      </w:r>
    </w:p>
    <w:p w14:paraId="2AC96141">
      <w:pPr>
        <w:spacing w:before="100" w:beforeAutospacing="1" w:after="100" w:afterAutospacing="1" w:line="360" w:lineRule="auto"/>
        <w:jc w:val="both"/>
        <w:outlineLvl w:val="1"/>
        <w:rPr>
          <w:rFonts w:ascii="Sakkal Majalla" w:hAnsi="Sakkal Majalla" w:eastAsia="Simplified Arabic" w:cs="Sakkal Majalla"/>
          <w:bCs/>
          <w:color w:val="000000" w:themeColor="text1"/>
          <w:sz w:val="36"/>
          <w:szCs w:val="36"/>
          <w:rtl/>
          <w14:textFill>
            <w14:solidFill>
              <w14:schemeClr w14:val="tx1"/>
            </w14:solidFill>
          </w14:textFill>
        </w:rPr>
      </w:pPr>
      <w:bookmarkStart w:id="11" w:name="_f733u1u4uq0x" w:colFirst="0" w:colLast="0"/>
      <w:bookmarkEnd w:id="11"/>
      <w:bookmarkStart w:id="12" w:name="_khithsco9suo" w:colFirst="0" w:colLast="0"/>
      <w:bookmarkEnd w:id="12"/>
      <w:bookmarkStart w:id="13" w:name="_Toc211696014"/>
      <w:r>
        <w:rPr>
          <w:rFonts w:ascii="Sakkal Majalla" w:hAnsi="Sakkal Majalla" w:eastAsia="Simplified Arabic" w:cs="Sakkal Majalla"/>
          <w:bCs/>
          <w:color w:val="000000" w:themeColor="text1"/>
          <w:sz w:val="36"/>
          <w:szCs w:val="36"/>
          <w:rtl/>
          <w14:textFill>
            <w14:solidFill>
              <w14:schemeClr w14:val="tx1"/>
            </w14:solidFill>
          </w14:textFill>
        </w:rPr>
        <w:t>5.1 تساؤلات الدراسة</w:t>
      </w:r>
      <w:bookmarkEnd w:id="13"/>
    </w:p>
    <w:p w14:paraId="1648117D">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السؤال الرئيسي الأول</w:t>
      </w:r>
      <w:r>
        <w:rPr>
          <w:rFonts w:ascii="Sakkal Majalla" w:hAnsi="Sakkal Majalla" w:eastAsia="Simplified Arabic" w:cs="Sakkal Majalla"/>
          <w:b/>
          <w:color w:val="000000" w:themeColor="text1"/>
          <w:sz w:val="28"/>
          <w:szCs w:val="28"/>
          <w:rtl/>
          <w14:textFill>
            <w14:solidFill>
              <w14:schemeClr w14:val="tx1"/>
            </w14:solidFill>
          </w14:textFill>
        </w:rPr>
        <w:t xml:space="preserve">: ما أثر تطبيق إدارة المخاطر بأبعادها مجمعة والمتمثلة في (تحديد المخاطر، تحليل المخاطر، الاستجابة للمخاطر، مراقبة المخاطر) على نجاح المشاريع الكبرى في إطار رؤية المملكة 2030: دراسة تطبيقية على المشاريع الحكومية في المملكة العربية السعودية، وتتفرع منه عدة أسئلة فرعية كالتالي: </w:t>
      </w:r>
    </w:p>
    <w:p w14:paraId="65D3A33A">
      <w:pPr>
        <w:numPr>
          <w:ilvl w:val="0"/>
          <w:numId w:val="4"/>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إلى أي مدى يسهم تحديد المخاطر على نجاح المشاريع الكبرى في إطار رؤية المملكة 2030 وذلك بالتطبيق على المشاريع الحكومية في المملكة العربية السعودية.</w:t>
      </w:r>
    </w:p>
    <w:p w14:paraId="0329D877">
      <w:pPr>
        <w:numPr>
          <w:ilvl w:val="0"/>
          <w:numId w:val="4"/>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إلى أي مدى يسهم تحليل المخاطر على نجاح المشاريع الكبرى في إطار رؤية المملكة 2030 وذلك بالتطبيق على المشاريع الحكومية في المملكة العربية السعودية.</w:t>
      </w:r>
    </w:p>
    <w:p w14:paraId="77621263">
      <w:pPr>
        <w:numPr>
          <w:ilvl w:val="0"/>
          <w:numId w:val="4"/>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إلى أي مدى يسهم الاستجابة للمخاطر على نجاح المشاريع الكبرى في إطار رؤية المملكة 2030 وذلك بالتطبيق على المشاريع الحكومية في المملكة العربية السعودية.</w:t>
      </w:r>
    </w:p>
    <w:p w14:paraId="086852E9">
      <w:pPr>
        <w:numPr>
          <w:ilvl w:val="0"/>
          <w:numId w:val="4"/>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إلى أي مدى يسهم مراقبة المخاطر على نجاح المشاريع الكبرى في إطار رؤية المملكة 2030 وذلك بالتطبيق على المشاريع الحكومية في المملكة العربية السعودية.</w:t>
      </w:r>
    </w:p>
    <w:p w14:paraId="391A0FB2">
      <w:pPr>
        <w:spacing w:before="100" w:beforeAutospacing="1" w:after="100" w:afterAutospacing="1" w:line="360" w:lineRule="auto"/>
        <w:jc w:val="both"/>
        <w:outlineLvl w:val="1"/>
        <w:rPr>
          <w:rFonts w:ascii="Sakkal Majalla" w:hAnsi="Sakkal Majalla" w:eastAsia="Sakkal Majalla" w:cs="Sakkal Majalla"/>
          <w:bCs/>
          <w:color w:val="000000" w:themeColor="text1"/>
          <w:sz w:val="36"/>
          <w:szCs w:val="36"/>
          <w:lang w:bidi="ar-EG"/>
          <w14:textFill>
            <w14:solidFill>
              <w14:schemeClr w14:val="tx1"/>
            </w14:solidFill>
          </w14:textFill>
        </w:rPr>
      </w:pPr>
      <w:bookmarkStart w:id="14" w:name="_54hb6fgl8aco" w:colFirst="0" w:colLast="0"/>
      <w:bookmarkEnd w:id="14"/>
      <w:bookmarkStart w:id="15" w:name="_icaw7emqrfs" w:colFirst="0" w:colLast="0"/>
      <w:bookmarkEnd w:id="15"/>
      <w:bookmarkStart w:id="16" w:name="_Toc211696015"/>
      <w:r>
        <w:rPr>
          <w:rFonts w:ascii="Sakkal Majalla" w:hAnsi="Sakkal Majalla" w:eastAsia="Sakkal Majalla" w:cs="Sakkal Majalla"/>
          <w:bCs/>
          <w:color w:val="000000" w:themeColor="text1"/>
          <w:sz w:val="36"/>
          <w:szCs w:val="36"/>
          <w:rtl/>
          <w:lang w:bidi="ar-EG"/>
          <w14:textFill>
            <w14:solidFill>
              <w14:schemeClr w14:val="tx1"/>
            </w14:solidFill>
          </w14:textFill>
        </w:rPr>
        <w:t>6.1   فروض الدراسة:</w:t>
      </w:r>
      <w:bookmarkEnd w:id="16"/>
    </w:p>
    <w:p w14:paraId="5AA2EF28">
      <w:pPr>
        <w:spacing w:before="100" w:beforeAutospacing="1" w:after="100" w:afterAutospacing="1" w:line="360" w:lineRule="auto"/>
        <w:ind w:firstLine="706"/>
        <w:jc w:val="both"/>
        <w:rPr>
          <w:rFonts w:ascii="Sakkal Majalla" w:hAnsi="Sakkal Majalla" w:eastAsia="Sakkal Majalla" w:cs="Sakkal Majalla"/>
          <w:b/>
          <w:color w:val="000000" w:themeColor="text1"/>
          <w:sz w:val="28"/>
          <w:szCs w:val="28"/>
          <w14:textFill>
            <w14:solidFill>
              <w14:schemeClr w14:val="tx1"/>
            </w14:solidFill>
          </w14:textFill>
        </w:rPr>
      </w:pPr>
      <w:r>
        <w:rPr>
          <w:rFonts w:ascii="Sakkal Majalla" w:hAnsi="Sakkal Majalla" w:eastAsia="Sakkal Majalla" w:cs="Sakkal Majalla"/>
          <w:b/>
          <w:color w:val="000000" w:themeColor="text1"/>
          <w:sz w:val="28"/>
          <w:szCs w:val="28"/>
          <w:rtl/>
          <w14:textFill>
            <w14:solidFill>
              <w14:schemeClr w14:val="tx1"/>
            </w14:solidFill>
          </w14:textFill>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p>
    <w:p w14:paraId="37BDA6E0">
      <w:pPr>
        <w:spacing w:before="100" w:beforeAutospacing="1" w:after="100" w:afterAutospacing="1" w:line="360" w:lineRule="auto"/>
        <w:ind w:firstLine="706"/>
        <w:jc w:val="both"/>
        <w:rPr>
          <w:rFonts w:ascii="Sakkal Majalla" w:hAnsi="Sakkal Majalla" w:eastAsia="Sakkal Majalla" w:cs="Sakkal Majalla"/>
          <w:b/>
          <w:color w:val="000000" w:themeColor="text1"/>
          <w:sz w:val="28"/>
          <w:szCs w:val="28"/>
          <w14:textFill>
            <w14:solidFill>
              <w14:schemeClr w14:val="tx1"/>
            </w14:solidFill>
          </w14:textFill>
        </w:rPr>
      </w:pPr>
      <w:r>
        <w:rPr>
          <w:rFonts w:ascii="Sakkal Majalla" w:hAnsi="Sakkal Majalla" w:eastAsia="Sakkal Majalla" w:cs="Sakkal Majalla"/>
          <w:bCs/>
          <w:color w:val="000000" w:themeColor="text1"/>
          <w:sz w:val="28"/>
          <w:szCs w:val="28"/>
          <w:rtl/>
          <w14:textFill>
            <w14:solidFill>
              <w14:schemeClr w14:val="tx1"/>
            </w14:solidFill>
          </w14:textFill>
        </w:rPr>
        <w:t>الفرضية الرئيسة الأول</w:t>
      </w:r>
      <w:r>
        <w:rPr>
          <w:rFonts w:ascii="Sakkal Majalla" w:hAnsi="Sakkal Majalla" w:eastAsia="Sakkal Majalla" w:cs="Sakkal Majalla"/>
          <w:b/>
          <w:color w:val="000000" w:themeColor="text1"/>
          <w:sz w:val="28"/>
          <w:szCs w:val="28"/>
          <w:rtl/>
          <w14:textFill>
            <w14:solidFill>
              <w14:schemeClr w14:val="tx1"/>
            </w14:solidFill>
          </w14:textFill>
        </w:rPr>
        <w:t>: لا يوجد أثر ذو دلالة إحصائية لتطبيق إدارة المخاطر بأبعادها مجمعة والمتمثلة في (تحديد المخاطر، تحليل المخاطر، الاستجابة للمخاطر، مراقبة المخاطر) على نجاح المشاريع الكبرى في إطار رؤية المملكة 2030: دراسة تطبيقية على المشاريع الحكومية في المملكة العربية السعودية.</w:t>
      </w:r>
    </w:p>
    <w:p w14:paraId="01B7B4F2">
      <w:pPr>
        <w:spacing w:before="100" w:beforeAutospacing="1" w:after="100" w:afterAutospacing="1" w:line="360" w:lineRule="auto"/>
        <w:ind w:firstLine="706"/>
        <w:jc w:val="both"/>
        <w:rPr>
          <w:rFonts w:ascii="Sakkal Majalla" w:hAnsi="Sakkal Majalla" w:eastAsia="Sakkal Majalla" w:cs="Sakkal Majalla"/>
          <w:bCs/>
          <w:color w:val="000000" w:themeColor="text1"/>
          <w:sz w:val="28"/>
          <w:szCs w:val="28"/>
          <w14:textFill>
            <w14:solidFill>
              <w14:schemeClr w14:val="tx1"/>
            </w14:solidFill>
          </w14:textFill>
        </w:rPr>
      </w:pPr>
      <w:r>
        <w:rPr>
          <w:rFonts w:ascii="Sakkal Majalla" w:hAnsi="Sakkal Majalla" w:eastAsia="Sakkal Majalla" w:cs="Sakkal Majalla"/>
          <w:bCs/>
          <w:color w:val="000000" w:themeColor="text1"/>
          <w:sz w:val="28"/>
          <w:szCs w:val="28"/>
          <w:rtl/>
          <w14:textFill>
            <w14:solidFill>
              <w14:schemeClr w14:val="tx1"/>
            </w14:solidFill>
          </w14:textFill>
        </w:rPr>
        <w:t>وينبثق من هذه الفرضية الفرضيات الفرعية الأربع التالية:</w:t>
      </w:r>
    </w:p>
    <w:p w14:paraId="7FA56C05">
      <w:pPr>
        <w:numPr>
          <w:ilvl w:val="0"/>
          <w:numId w:val="5"/>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bookmarkStart w:id="17" w:name="_55v97h6le8z" w:colFirst="0" w:colLast="0"/>
      <w:bookmarkEnd w:id="17"/>
      <w:r>
        <w:rPr>
          <w:rFonts w:ascii="Sakkal Majalla" w:hAnsi="Sakkal Majalla" w:eastAsia="Sakkal Majalla" w:cs="Sakkal Majalla"/>
          <w:b/>
          <w:color w:val="000000" w:themeColor="text1"/>
          <w:sz w:val="28"/>
          <w:szCs w:val="28"/>
          <w:rtl/>
          <w14:textFill>
            <w14:solidFill>
              <w14:schemeClr w14:val="tx1"/>
            </w14:solidFill>
          </w14:textFill>
        </w:rPr>
        <w:t>لا يوجد أثر ذو دلالة إحصائية لتحديد المخاطر على نجاح المشاريع الكبرى في إطار رؤية المملكة 2030 وذلك بالتطبيق على المشاريع الحكومية في المملكة العربية السعودية.</w:t>
      </w:r>
    </w:p>
    <w:p w14:paraId="082E004C">
      <w:pPr>
        <w:numPr>
          <w:ilvl w:val="0"/>
          <w:numId w:val="5"/>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Sakkal Majalla" w:cs="Sakkal Majalla"/>
          <w:b/>
          <w:color w:val="000000" w:themeColor="text1"/>
          <w:sz w:val="28"/>
          <w:szCs w:val="28"/>
          <w:rtl/>
          <w14:textFill>
            <w14:solidFill>
              <w14:schemeClr w14:val="tx1"/>
            </w14:solidFill>
          </w14:textFill>
        </w:rPr>
        <w:t>لا يوجد أثر ذو دلالة إحصائية لتحليل المخاطر على نجاح المشاريع الكبرى في إطار رؤية المملكة 2030 وذلك بالتطبيق على المشاريع الحكومية في المملكة العربية السعودية</w:t>
      </w:r>
    </w:p>
    <w:p w14:paraId="67CE0D31">
      <w:pPr>
        <w:numPr>
          <w:ilvl w:val="0"/>
          <w:numId w:val="5"/>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Sakkal Majalla" w:cs="Sakkal Majalla"/>
          <w:b/>
          <w:color w:val="000000" w:themeColor="text1"/>
          <w:sz w:val="28"/>
          <w:szCs w:val="28"/>
          <w:rtl/>
          <w14:textFill>
            <w14:solidFill>
              <w14:schemeClr w14:val="tx1"/>
            </w14:solidFill>
          </w14:textFill>
        </w:rPr>
        <w:t>لا يوجد أثر ذو دلالة إحصائية للاستجابة للمخاطر على نجاح المشاريع الكبرى في إطار رؤية المملكة 2030 وذلك بالتطبيق على المشاريع الحكومية في المملكة العربية السعودية</w:t>
      </w:r>
    </w:p>
    <w:p w14:paraId="66DD09BC">
      <w:pPr>
        <w:numPr>
          <w:ilvl w:val="0"/>
          <w:numId w:val="5"/>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Sakkal Majalla" w:cs="Sakkal Majalla"/>
          <w:b/>
          <w:color w:val="000000" w:themeColor="text1"/>
          <w:sz w:val="28"/>
          <w:szCs w:val="28"/>
          <w:rtl/>
          <w14:textFill>
            <w14:solidFill>
              <w14:schemeClr w14:val="tx1"/>
            </w14:solidFill>
          </w14:textFill>
        </w:rPr>
        <w:t>لا يوجد أثر ذو دلالة إحصائية لمراقبة المخاطر على نجاح المشاريع الكبرى في إطار رؤية المملكة 2030 وذلك بالتطبيق على المشاريع الحكومية في المملكة العربية السعودية</w:t>
      </w:r>
    </w:p>
    <w:p w14:paraId="48CB5194">
      <w:pPr>
        <w:spacing w:before="100" w:beforeAutospacing="1" w:after="100" w:afterAutospacing="1" w:line="360" w:lineRule="auto"/>
        <w:jc w:val="both"/>
        <w:outlineLvl w:val="1"/>
        <w:rPr>
          <w:rFonts w:ascii="Sakkal Majalla" w:hAnsi="Sakkal Majalla" w:eastAsia="Sakkal Majalla" w:cs="Sakkal Majalla"/>
          <w:bCs/>
          <w:color w:val="000000" w:themeColor="text1"/>
          <w:sz w:val="36"/>
          <w:szCs w:val="36"/>
          <w14:textFill>
            <w14:solidFill>
              <w14:schemeClr w14:val="tx1"/>
            </w14:solidFill>
          </w14:textFill>
        </w:rPr>
      </w:pPr>
      <w:bookmarkStart w:id="18" w:name="_Toc211696016"/>
      <w:r>
        <w:rPr>
          <w:rFonts w:ascii="Sakkal Majalla" w:hAnsi="Sakkal Majalla" w:eastAsia="Sakkal Majalla" w:cs="Sakkal Majalla"/>
          <w:bCs/>
          <w:color w:val="000000" w:themeColor="text1"/>
          <w:sz w:val="36"/>
          <w:szCs w:val="36"/>
          <w:rtl/>
          <w14:textFill>
            <w14:solidFill>
              <w14:schemeClr w14:val="tx1"/>
            </w14:solidFill>
          </w14:textFill>
        </w:rPr>
        <w:t>7.1 نموذج الدراسة:</w:t>
      </w:r>
      <w:bookmarkEnd w:id="18"/>
    </w:p>
    <w:p w14:paraId="51701501">
      <w:pPr>
        <w:pStyle w:val="25"/>
        <w:numPr>
          <w:ilvl w:val="0"/>
          <w:numId w:val="6"/>
        </w:numP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bookmarkStart w:id="19" w:name="_jwrarnpz66kc" w:colFirst="0" w:colLast="0"/>
      <w:bookmarkEnd w:id="19"/>
      <w:r>
        <w:rPr>
          <w:rFonts w:ascii="Sakkal Majalla" w:hAnsi="Sakkal Majalla" w:eastAsia="Simplified Arabic" w:cs="Sakkal Majalla"/>
          <w:bCs/>
          <w:color w:val="000000" w:themeColor="text1"/>
          <w:sz w:val="28"/>
          <w:szCs w:val="28"/>
          <w:rtl/>
          <w14:textFill>
            <w14:solidFill>
              <w14:schemeClr w14:val="tx1"/>
            </w14:solidFill>
          </w14:textFill>
        </w:rPr>
        <w:t>المتغير المستقل:</w:t>
      </w:r>
      <w:r>
        <w:rPr>
          <w:rFonts w:ascii="Sakkal Majalla" w:hAnsi="Sakkal Majalla" w:eastAsia="Simplified Arabic" w:cs="Sakkal Majalla"/>
          <w:b/>
          <w:color w:val="000000" w:themeColor="text1"/>
          <w:sz w:val="28"/>
          <w:szCs w:val="28"/>
          <w:rtl/>
          <w14:textFill>
            <w14:solidFill>
              <w14:schemeClr w14:val="tx1"/>
            </w14:solidFill>
          </w14:textFill>
        </w:rPr>
        <w:t xml:space="preserve"> إدارة المخاطر بأبعادها مجمعة والمتمثلة في (تحديد المخاطر، تحليل المخاطر، الاستجابة للمخاطر، مراقبة المخاطر).</w:t>
      </w:r>
    </w:p>
    <w:p w14:paraId="53E2B25C">
      <w:pPr>
        <w:pStyle w:val="25"/>
        <w:numPr>
          <w:ilvl w:val="0"/>
          <w:numId w:val="6"/>
        </w:numP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المتغير التابع:</w:t>
      </w:r>
      <w:r>
        <w:rPr>
          <w:rFonts w:ascii="Sakkal Majalla" w:hAnsi="Sakkal Majalla" w:eastAsia="Simplified Arabic" w:cs="Sakkal Majalla"/>
          <w:b/>
          <w:color w:val="000000" w:themeColor="text1"/>
          <w:sz w:val="28"/>
          <w:szCs w:val="28"/>
          <w:rtl/>
          <w14:textFill>
            <w14:solidFill>
              <w14:schemeClr w14:val="tx1"/>
            </w14:solidFill>
          </w14:textFill>
        </w:rPr>
        <w:t xml:space="preserve"> نجاح المشاريع الكبرى.</w:t>
      </w:r>
    </w:p>
    <w:p w14:paraId="19BDC135">
      <w:pPr>
        <w:spacing w:before="100" w:beforeAutospacing="1" w:after="100" w:afterAutospacing="1" w:line="360" w:lineRule="auto"/>
        <w:jc w:val="center"/>
        <w:rPr>
          <w:rFonts w:ascii="Sakkal Majalla" w:hAnsi="Sakkal Majalla" w:eastAsia="Simplified Arabic" w:cs="Sakkal Majalla"/>
          <w:bCs/>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lang w:val="en-US"/>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margin">
                  <wp:posOffset>2610485</wp:posOffset>
                </wp:positionH>
                <wp:positionV relativeFrom="paragraph">
                  <wp:posOffset>238125</wp:posOffset>
                </wp:positionV>
                <wp:extent cx="2200910" cy="2305685"/>
                <wp:effectExtent l="52705" t="33020" r="70485" b="80645"/>
                <wp:wrapNone/>
                <wp:docPr id="1" name="مستطيل: زوايا مستديرة 1"/>
                <wp:cNvGraphicFramePr/>
                <a:graphic xmlns:a="http://schemas.openxmlformats.org/drawingml/2006/main">
                  <a:graphicData uri="http://schemas.microsoft.com/office/word/2010/wordprocessingShape">
                    <wps:wsp>
                      <wps:cNvSpPr/>
                      <wps:spPr>
                        <a:xfrm>
                          <a:off x="0" y="0"/>
                          <a:ext cx="2200910" cy="2305685"/>
                        </a:xfrm>
                        <a:prstGeom prst="round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مستطيل: زوايا مستديرة 1" o:spid="_x0000_s1026" o:spt="2" style="position:absolute;left:0pt;margin-left:205.55pt;margin-top:18.75pt;height:181.55pt;width:173.3pt;mso-position-horizontal-relative:margin;z-index:251660288;v-text-anchor:middle;mso-width-relative:page;mso-height-relative:page;" fillcolor="#8064A2 [3207]" filled="t" stroked="t" coordsize="21600,21600" arcsize="0.166666666666667" o:gfxdata="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bWH21wAAAAoBAAAPAAAAAAAAAAEAIAAAACIAAABkcnMvZG93bnJldi54bWxQSwECFAAU&#10;AAAACACHTuJAYg4W4NYCAACwBQAADgAAAAAAAAABACAAAAAmAQAAZHJzL2Uyb0RvYy54bWxQSwUG&#10;AAAAAAYABgBZAQAAbgYAAAAA&#10;">
                <v:fill on="t" focussize="0,0"/>
                <v:stroke weight="3pt" color="#FFFFFF [3201]" joinstyle="round"/>
                <v:imagedata o:title=""/>
                <o:lock v:ext="edit" aspectratio="f"/>
                <v:shadow on="t" color="#000000" opacity="24903f" offset="0pt,1.5748031496063pt" origin="0f,32768f" matrix="65536f,0f,0f,65536f"/>
              </v:roundrect>
            </w:pict>
          </mc:Fallback>
        </mc:AlternateContent>
      </w:r>
      <w:r>
        <w:rPr>
          <w:rFonts w:ascii="Sakkal Majalla" w:hAnsi="Sakkal Majalla" w:cs="Sakkal Majalla"/>
          <w:b/>
          <w:color w:val="000000" w:themeColor="text1"/>
          <w:sz w:val="28"/>
          <w:szCs w:val="28"/>
          <w:lang w:val="en-US"/>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2677160</wp:posOffset>
                </wp:positionH>
                <wp:positionV relativeFrom="paragraph">
                  <wp:posOffset>415925</wp:posOffset>
                </wp:positionV>
                <wp:extent cx="2066925" cy="2286000"/>
                <wp:effectExtent l="0" t="0" r="0" b="0"/>
                <wp:wrapNone/>
                <wp:docPr id="4" name="مربع نص 4"/>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3E75FC92">
                            <w:pPr>
                              <w:jc w:val="center"/>
                              <w:rPr>
                                <w:rFonts w:ascii="Traditional Arabic" w:hAnsi="Traditional Arabic" w:cs="Traditional Arabic"/>
                                <w:b/>
                                <w:bCs/>
                                <w:sz w:val="28"/>
                                <w:szCs w:val="28"/>
                                <w:rtl/>
                              </w:rPr>
                            </w:pPr>
                            <w:r>
                              <w:rPr>
                                <w:rFonts w:ascii="Traditional Arabic" w:hAnsi="Traditional Arabic" w:cs="Traditional Arabic"/>
                                <w:b/>
                                <w:bCs/>
                                <w:sz w:val="28"/>
                                <w:szCs w:val="28"/>
                                <w:rtl/>
                              </w:rPr>
                              <w:t>المتغير المستقل</w:t>
                            </w:r>
                          </w:p>
                          <w:p w14:paraId="4F6738B7">
                            <w:pPr>
                              <w:jc w:val="center"/>
                              <w:rPr>
                                <w:rFonts w:ascii="Traditional Arabic" w:hAnsi="Traditional Arabic" w:cs="Traditional Arabic"/>
                                <w:b/>
                                <w:bCs/>
                                <w:sz w:val="28"/>
                                <w:szCs w:val="28"/>
                                <w:rtl/>
                              </w:rPr>
                            </w:pPr>
                            <w:r>
                              <w:rPr>
                                <w:rFonts w:hint="cs" w:ascii="Traditional Arabic" w:hAnsi="Traditional Arabic" w:cs="Traditional Arabic"/>
                                <w:b/>
                                <w:bCs/>
                                <w:sz w:val="28"/>
                                <w:szCs w:val="28"/>
                                <w:rtl/>
                              </w:rPr>
                              <w:t>إدارة المخاطر</w:t>
                            </w:r>
                          </w:p>
                          <w:p w14:paraId="45F7AFDA">
                            <w:pPr>
                              <w:numPr>
                                <w:ilvl w:val="0"/>
                                <w:numId w:val="7"/>
                              </w:numPr>
                              <w:ind w:left="412" w:hanging="425"/>
                              <w:rPr>
                                <w:rFonts w:ascii="Traditional Arabic" w:hAnsi="Traditional Arabic" w:cs="Traditional Arabic"/>
                                <w:sz w:val="28"/>
                                <w:szCs w:val="28"/>
                              </w:rPr>
                            </w:pPr>
                            <w:r>
                              <w:rPr>
                                <w:rFonts w:ascii="Traditional Arabic" w:hAnsi="Traditional Arabic" w:cs="Traditional Arabic"/>
                                <w:sz w:val="28"/>
                                <w:szCs w:val="28"/>
                                <w:rtl/>
                              </w:rPr>
                              <w:t>تحديد المخاط</w:t>
                            </w:r>
                            <w:r>
                              <w:rPr>
                                <w:rFonts w:hint="cs" w:ascii="Traditional Arabic" w:hAnsi="Traditional Arabic" w:cs="Traditional Arabic"/>
                                <w:sz w:val="28"/>
                                <w:szCs w:val="28"/>
                                <w:rtl/>
                              </w:rPr>
                              <w:t>ر</w:t>
                            </w:r>
                          </w:p>
                          <w:p w14:paraId="4A222333">
                            <w:pPr>
                              <w:numPr>
                                <w:ilvl w:val="0"/>
                                <w:numId w:val="7"/>
                              </w:numPr>
                              <w:ind w:left="412" w:hanging="425"/>
                              <w:rPr>
                                <w:rFonts w:ascii="Traditional Arabic" w:hAnsi="Traditional Arabic" w:cs="Traditional Arabic"/>
                                <w:sz w:val="28"/>
                                <w:szCs w:val="28"/>
                              </w:rPr>
                            </w:pPr>
                            <w:r>
                              <w:rPr>
                                <w:rFonts w:ascii="Traditional Arabic" w:hAnsi="Traditional Arabic" w:cs="Traditional Arabic"/>
                                <w:sz w:val="28"/>
                                <w:szCs w:val="28"/>
                                <w:rtl/>
                              </w:rPr>
                              <w:t>تحليل المخاطر</w:t>
                            </w:r>
                          </w:p>
                          <w:p w14:paraId="1AAD2FAD">
                            <w:pPr>
                              <w:numPr>
                                <w:ilvl w:val="0"/>
                                <w:numId w:val="7"/>
                              </w:numPr>
                              <w:ind w:left="412" w:hanging="425"/>
                              <w:rPr>
                                <w:rFonts w:ascii="Traditional Arabic" w:hAnsi="Traditional Arabic" w:cs="Traditional Arabic"/>
                                <w:sz w:val="28"/>
                                <w:szCs w:val="28"/>
                              </w:rPr>
                            </w:pPr>
                            <w:r>
                              <w:rPr>
                                <w:rFonts w:ascii="Traditional Arabic" w:hAnsi="Traditional Arabic" w:cs="Traditional Arabic"/>
                                <w:sz w:val="28"/>
                                <w:szCs w:val="28"/>
                                <w:rtl/>
                              </w:rPr>
                              <w:t>الاستجابة للمخاطر</w:t>
                            </w:r>
                          </w:p>
                          <w:p w14:paraId="010AB2A7">
                            <w:pPr>
                              <w:numPr>
                                <w:ilvl w:val="0"/>
                                <w:numId w:val="7"/>
                              </w:numPr>
                              <w:ind w:left="412" w:hanging="425"/>
                              <w:rPr>
                                <w:rFonts w:ascii="Traditional Arabic" w:hAnsi="Traditional Arabic" w:cs="Traditional Arabic"/>
                                <w:sz w:val="28"/>
                                <w:szCs w:val="28"/>
                              </w:rPr>
                            </w:pPr>
                            <w:r>
                              <w:rPr>
                                <w:rFonts w:ascii="Traditional Arabic" w:hAnsi="Traditional Arabic" w:cs="Traditional Arabic"/>
                                <w:sz w:val="28"/>
                                <w:szCs w:val="28"/>
                                <w:rtl/>
                              </w:rPr>
                              <w:t>مراقبة المخاطر</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مربع نص 4" o:spid="_x0000_s1026" o:spt="202" type="#_x0000_t202" style="position:absolute;left:0pt;margin-left:210.8pt;margin-top:32.75pt;height:180pt;width:162.75pt;z-index:251661312;mso-width-relative:page;mso-height-relative:page;" filled="f" stroked="f" coordsize="21600,21600" o:gfxdata="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xMUoJNoAAAAKAQAADwAAAAAAAAABACAAAAAi&#10;AAAAZHJzL2Rvd25yZXYueG1sUEsBAhQAFAAAAAgAh07iQIzSpeJBAgAAawQAAA4AAAAAAAAAAQAg&#10;AAAAKQEAAGRycy9lMm9Eb2MueG1sUEsFBgAAAAAGAAYAWQEAANwFAAAAAA==&#10;">
                <v:fill on="f" focussize="0,0"/>
                <v:stroke on="f" weight="0.5pt"/>
                <v:imagedata o:title=""/>
                <o:lock v:ext="edit" aspectratio="f"/>
                <v:textbox>
                  <w:txbxContent>
                    <w:p w14:paraId="3E75FC92">
                      <w:pPr>
                        <w:jc w:val="center"/>
                        <w:rPr>
                          <w:rFonts w:ascii="Traditional Arabic" w:hAnsi="Traditional Arabic" w:cs="Traditional Arabic"/>
                          <w:b/>
                          <w:bCs/>
                          <w:sz w:val="28"/>
                          <w:szCs w:val="28"/>
                          <w:rtl/>
                        </w:rPr>
                      </w:pPr>
                      <w:r>
                        <w:rPr>
                          <w:rFonts w:ascii="Traditional Arabic" w:hAnsi="Traditional Arabic" w:cs="Traditional Arabic"/>
                          <w:b/>
                          <w:bCs/>
                          <w:sz w:val="28"/>
                          <w:szCs w:val="28"/>
                          <w:rtl/>
                        </w:rPr>
                        <w:t>المتغير المستقل</w:t>
                      </w:r>
                    </w:p>
                    <w:p w14:paraId="4F6738B7">
                      <w:pPr>
                        <w:jc w:val="center"/>
                        <w:rPr>
                          <w:rFonts w:ascii="Traditional Arabic" w:hAnsi="Traditional Arabic" w:cs="Traditional Arabic"/>
                          <w:b/>
                          <w:bCs/>
                          <w:sz w:val="28"/>
                          <w:szCs w:val="28"/>
                          <w:rtl/>
                        </w:rPr>
                      </w:pPr>
                      <w:r>
                        <w:rPr>
                          <w:rFonts w:hint="cs" w:ascii="Traditional Arabic" w:hAnsi="Traditional Arabic" w:cs="Traditional Arabic"/>
                          <w:b/>
                          <w:bCs/>
                          <w:sz w:val="28"/>
                          <w:szCs w:val="28"/>
                          <w:rtl/>
                        </w:rPr>
                        <w:t>إدارة المخاطر</w:t>
                      </w:r>
                    </w:p>
                    <w:p w14:paraId="45F7AFDA">
                      <w:pPr>
                        <w:numPr>
                          <w:ilvl w:val="0"/>
                          <w:numId w:val="7"/>
                        </w:numPr>
                        <w:ind w:left="412" w:hanging="425"/>
                        <w:rPr>
                          <w:rFonts w:ascii="Traditional Arabic" w:hAnsi="Traditional Arabic" w:cs="Traditional Arabic"/>
                          <w:sz w:val="28"/>
                          <w:szCs w:val="28"/>
                        </w:rPr>
                      </w:pPr>
                      <w:r>
                        <w:rPr>
                          <w:rFonts w:ascii="Traditional Arabic" w:hAnsi="Traditional Arabic" w:cs="Traditional Arabic"/>
                          <w:sz w:val="28"/>
                          <w:szCs w:val="28"/>
                          <w:rtl/>
                        </w:rPr>
                        <w:t>تحديد المخاط</w:t>
                      </w:r>
                      <w:r>
                        <w:rPr>
                          <w:rFonts w:hint="cs" w:ascii="Traditional Arabic" w:hAnsi="Traditional Arabic" w:cs="Traditional Arabic"/>
                          <w:sz w:val="28"/>
                          <w:szCs w:val="28"/>
                          <w:rtl/>
                        </w:rPr>
                        <w:t>ر</w:t>
                      </w:r>
                    </w:p>
                    <w:p w14:paraId="4A222333">
                      <w:pPr>
                        <w:numPr>
                          <w:ilvl w:val="0"/>
                          <w:numId w:val="7"/>
                        </w:numPr>
                        <w:ind w:left="412" w:hanging="425"/>
                        <w:rPr>
                          <w:rFonts w:ascii="Traditional Arabic" w:hAnsi="Traditional Arabic" w:cs="Traditional Arabic"/>
                          <w:sz w:val="28"/>
                          <w:szCs w:val="28"/>
                        </w:rPr>
                      </w:pPr>
                      <w:r>
                        <w:rPr>
                          <w:rFonts w:ascii="Traditional Arabic" w:hAnsi="Traditional Arabic" w:cs="Traditional Arabic"/>
                          <w:sz w:val="28"/>
                          <w:szCs w:val="28"/>
                          <w:rtl/>
                        </w:rPr>
                        <w:t>تحليل المخاطر</w:t>
                      </w:r>
                    </w:p>
                    <w:p w14:paraId="1AAD2FAD">
                      <w:pPr>
                        <w:numPr>
                          <w:ilvl w:val="0"/>
                          <w:numId w:val="7"/>
                        </w:numPr>
                        <w:ind w:left="412" w:hanging="425"/>
                        <w:rPr>
                          <w:rFonts w:ascii="Traditional Arabic" w:hAnsi="Traditional Arabic" w:cs="Traditional Arabic"/>
                          <w:sz w:val="28"/>
                          <w:szCs w:val="28"/>
                        </w:rPr>
                      </w:pPr>
                      <w:r>
                        <w:rPr>
                          <w:rFonts w:ascii="Traditional Arabic" w:hAnsi="Traditional Arabic" w:cs="Traditional Arabic"/>
                          <w:sz w:val="28"/>
                          <w:szCs w:val="28"/>
                          <w:rtl/>
                        </w:rPr>
                        <w:t>الاستجابة للمخاطر</w:t>
                      </w:r>
                    </w:p>
                    <w:p w14:paraId="010AB2A7">
                      <w:pPr>
                        <w:numPr>
                          <w:ilvl w:val="0"/>
                          <w:numId w:val="7"/>
                        </w:numPr>
                        <w:ind w:left="412" w:hanging="425"/>
                        <w:rPr>
                          <w:rFonts w:ascii="Traditional Arabic" w:hAnsi="Traditional Arabic" w:cs="Traditional Arabic"/>
                          <w:sz w:val="28"/>
                          <w:szCs w:val="28"/>
                        </w:rPr>
                      </w:pPr>
                      <w:r>
                        <w:rPr>
                          <w:rFonts w:ascii="Traditional Arabic" w:hAnsi="Traditional Arabic" w:cs="Traditional Arabic"/>
                          <w:sz w:val="28"/>
                          <w:szCs w:val="28"/>
                          <w:rtl/>
                        </w:rPr>
                        <w:t>مراقبة المخاطر</w:t>
                      </w:r>
                    </w:p>
                  </w:txbxContent>
                </v:textbox>
              </v:shape>
            </w:pict>
          </mc:Fallback>
        </mc:AlternateContent>
      </w:r>
      <w:r>
        <w:rPr>
          <w:rFonts w:hint="cs" w:ascii="Sakkal Majalla" w:hAnsi="Sakkal Majalla" w:eastAsia="Simplified Arabic" w:cs="Sakkal Majalla"/>
          <w:bCs/>
          <w:color w:val="000000" w:themeColor="text1"/>
          <w:sz w:val="28"/>
          <w:szCs w:val="28"/>
          <w:rtl/>
          <w14:textFill>
            <w14:solidFill>
              <w14:schemeClr w14:val="tx1"/>
            </w14:solidFill>
          </w14:textFill>
        </w:rPr>
        <w:t>الشكل رقم (1) نموذج الدراسة</w:t>
      </w:r>
    </w:p>
    <w:p w14:paraId="3AE15BF3">
      <w:pPr>
        <w:spacing w:before="100" w:beforeAutospacing="1" w:after="100" w:afterAutospacing="1" w:line="360" w:lineRule="auto"/>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lang w:val="en-US"/>
          <w14:textFill>
            <w14:solidFill>
              <w14:schemeClr w14:val="tx1"/>
            </w14:solidFill>
          </w14:textFill>
        </w:rPr>
        <mc:AlternateContent>
          <mc:Choice Requires="wpg">
            <w:drawing>
              <wp:anchor distT="0" distB="0" distL="114300" distR="114300" simplePos="0" relativeHeight="251662336" behindDoc="0" locked="0" layoutInCell="1" allowOverlap="1">
                <wp:simplePos x="0" y="0"/>
                <wp:positionH relativeFrom="column">
                  <wp:posOffset>225425</wp:posOffset>
                </wp:positionH>
                <wp:positionV relativeFrom="paragraph">
                  <wp:posOffset>32385</wp:posOffset>
                </wp:positionV>
                <wp:extent cx="2076450" cy="1476375"/>
                <wp:effectExtent l="76200" t="57150" r="76200" b="104775"/>
                <wp:wrapNone/>
                <wp:docPr id="3" name="مجموعة 3"/>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607352600" name="مستطيل: زوايا مستديرة 607352600"/>
                        <wps:cNvSpPr/>
                        <wps:spPr>
                          <a:xfrm>
                            <a:off x="0" y="0"/>
                            <a:ext cx="2057400" cy="1476375"/>
                          </a:xfrm>
                          <a:prstGeom prst="round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31465944" name="مربع نص 1431465944"/>
                        <wps:cNvSpPr txBox="1"/>
                        <wps:spPr>
                          <a:xfrm>
                            <a:off x="9525" y="371475"/>
                            <a:ext cx="2066925" cy="933450"/>
                          </a:xfrm>
                          <a:prstGeom prst="rect">
                            <a:avLst/>
                          </a:prstGeom>
                        </wps:spPr>
                        <wps:style>
                          <a:lnRef idx="3">
                            <a:schemeClr val="lt1"/>
                          </a:lnRef>
                          <a:fillRef idx="1">
                            <a:schemeClr val="accent4"/>
                          </a:fillRef>
                          <a:effectRef idx="1">
                            <a:schemeClr val="accent4"/>
                          </a:effectRef>
                          <a:fontRef idx="minor">
                            <a:schemeClr val="lt1"/>
                          </a:fontRef>
                        </wps:style>
                        <wps:txbx>
                          <w:txbxContent>
                            <w:p w14:paraId="1712E708">
                              <w:pPr>
                                <w:jc w:val="center"/>
                                <w:rPr>
                                  <w:rFonts w:ascii="Traditional Arabic" w:hAnsi="Traditional Arabic" w:cs="Traditional Arabic"/>
                                  <w:b/>
                                  <w:bCs/>
                                  <w:sz w:val="28"/>
                                  <w:szCs w:val="28"/>
                                  <w:rtl/>
                                </w:rPr>
                              </w:pPr>
                              <w:r>
                                <w:rPr>
                                  <w:rFonts w:ascii="Traditional Arabic" w:hAnsi="Traditional Arabic" w:cs="Traditional Arabic"/>
                                  <w:b/>
                                  <w:bCs/>
                                  <w:sz w:val="28"/>
                                  <w:szCs w:val="28"/>
                                  <w:rtl/>
                                </w:rPr>
                                <w:t>المتغير ال</w:t>
                              </w:r>
                              <w:r>
                                <w:rPr>
                                  <w:rFonts w:hint="cs" w:ascii="Traditional Arabic" w:hAnsi="Traditional Arabic" w:cs="Traditional Arabic"/>
                                  <w:b/>
                                  <w:bCs/>
                                  <w:sz w:val="28"/>
                                  <w:szCs w:val="28"/>
                                  <w:rtl/>
                                </w:rPr>
                                <w:t>تابع</w:t>
                              </w:r>
                            </w:p>
                            <w:p w14:paraId="4B35CDE6">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نجاح المشاريع الكبرى</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مجموعة 3" o:spid="_x0000_s1026" o:spt="203" style="position:absolute;left:0pt;margin-left:17.75pt;margin-top:2.55pt;height:116.25pt;width:163.5pt;z-index:251662336;mso-width-relative:page;mso-height-relative:page;" coordsize="2076450,1476375" o:gfxdata="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">
                <o:lock v:ext="edit" aspectratio="f"/>
                <v:roundrect id="مستطيل: زوايا مستديرة 607352600" o:spid="_x0000_s1026" o:spt="2" style="position:absolute;left:0;top:0;height:1476375;width:2057400;v-text-anchor:middle;" fillcolor="#8064A2 [3207]" filled="t" stroked="t" coordsize="21600,21600" arcsize="0.166666666666667" o:gfxdata="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4YE&#10;q8EAAADiAAAADwAAAAAAAAABACAAAAAiAAAAZHJzL2Rvd25yZXYueG1sUEsBAhQAFAAAAAgAh07i&#10;QDMvBZ47AAAAOQAAABAAAAAAAAAAAQAgAAAAEAEAAGRycy9zaGFwZXhtbC54bWxQSwUGAAAAAAYA&#10;BgBbAQAAugMAAAAA&#10;">
                  <v:fill on="t" focussize="0,0"/>
                  <v:stroke weight="3pt" color="#FFFFFF [3201]" joinstyle="round"/>
                  <v:imagedata o:title=""/>
                  <o:lock v:ext="edit" aspectratio="f"/>
                  <v:shadow on="t" color="#000000" opacity="24903f" offset="0pt,1.5748031496063pt" origin="0f,32768f" matrix="65536f,0f,0f,65536f"/>
                </v:roundrect>
                <v:shape id="مربع نص 1431465944" o:spid="_x0000_s1026" o:spt="202" type="#_x0000_t202" style="position:absolute;left:9525;top:371475;height:933450;width:2066925;" fillcolor="#8064A2 [3207]" filled="t" stroked="t" coordsize="21600,21600" o:gfxdata="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">
                  <v:fill on="t" focussize="0,0"/>
                  <v:stroke weight="3pt" color="#FFFFFF [3201]" joinstyle="round"/>
                  <v:imagedata o:title=""/>
                  <o:lock v:ext="edit" aspectratio="f"/>
                  <v:shadow on="t" color="#000000" opacity="24903f" offset="0pt,1.5748031496063pt" origin="0f,32768f" matrix="65536f,0f,0f,65536f"/>
                  <v:textbox>
                    <w:txbxContent>
                      <w:p w14:paraId="1712E708">
                        <w:pPr>
                          <w:jc w:val="center"/>
                          <w:rPr>
                            <w:rFonts w:ascii="Traditional Arabic" w:hAnsi="Traditional Arabic" w:cs="Traditional Arabic"/>
                            <w:b/>
                            <w:bCs/>
                            <w:sz w:val="28"/>
                            <w:szCs w:val="28"/>
                            <w:rtl/>
                          </w:rPr>
                        </w:pPr>
                        <w:r>
                          <w:rPr>
                            <w:rFonts w:ascii="Traditional Arabic" w:hAnsi="Traditional Arabic" w:cs="Traditional Arabic"/>
                            <w:b/>
                            <w:bCs/>
                            <w:sz w:val="28"/>
                            <w:szCs w:val="28"/>
                            <w:rtl/>
                          </w:rPr>
                          <w:t>المتغير ال</w:t>
                        </w:r>
                        <w:r>
                          <w:rPr>
                            <w:rFonts w:hint="cs" w:ascii="Traditional Arabic" w:hAnsi="Traditional Arabic" w:cs="Traditional Arabic"/>
                            <w:b/>
                            <w:bCs/>
                            <w:sz w:val="28"/>
                            <w:szCs w:val="28"/>
                            <w:rtl/>
                          </w:rPr>
                          <w:t>تابع</w:t>
                        </w:r>
                      </w:p>
                      <w:p w14:paraId="4B35CDE6">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نجاح المشاريع الكبرى</w:t>
                        </w:r>
                      </w:p>
                    </w:txbxContent>
                  </v:textbox>
                </v:shape>
              </v:group>
            </w:pict>
          </mc:Fallback>
        </mc:AlternateContent>
      </w:r>
    </w:p>
    <w:p w14:paraId="72913BA9">
      <w:pPr>
        <w:spacing w:before="100" w:beforeAutospacing="1" w:after="100" w:afterAutospacing="1" w:line="360" w:lineRule="auto"/>
        <w:jc w:val="both"/>
        <w:rPr>
          <w:rFonts w:ascii="Sakkal Majalla" w:hAnsi="Sakkal Majalla" w:eastAsia="Simplified Arabic" w:cs="Sakkal Majalla"/>
          <w:b/>
          <w:color w:val="000000" w:themeColor="text1"/>
          <w:sz w:val="28"/>
          <w:szCs w:val="28"/>
          <w14:textFill>
            <w14:solidFill>
              <w14:schemeClr w14:val="tx1"/>
            </w14:solidFill>
          </w14:textFill>
        </w:rPr>
      </w:pPr>
    </w:p>
    <w:p w14:paraId="48AAC00D">
      <w:pPr>
        <w:spacing w:before="100" w:beforeAutospacing="1" w:after="100" w:afterAutospacing="1" w:line="360" w:lineRule="auto"/>
        <w:jc w:val="both"/>
        <w:rPr>
          <w:rFonts w:ascii="Sakkal Majalla" w:hAnsi="Sakkal Majalla" w:eastAsia="Simplified Arabic" w:cs="Sakkal Majalla"/>
          <w:b/>
          <w:color w:val="000000" w:themeColor="text1"/>
          <w:sz w:val="28"/>
          <w:szCs w:val="28"/>
          <w14:textFill>
            <w14:solidFill>
              <w14:schemeClr w14:val="tx1"/>
            </w14:solidFill>
          </w14:textFill>
        </w:rPr>
      </w:pPr>
    </w:p>
    <w:p w14:paraId="37C95396">
      <w:pPr>
        <w:spacing w:before="100" w:beforeAutospacing="1" w:after="100" w:afterAutospacing="1" w:line="360" w:lineRule="auto"/>
        <w:jc w:val="both"/>
        <w:rPr>
          <w:rFonts w:ascii="Sakkal Majalla" w:hAnsi="Sakkal Majalla" w:eastAsia="Simplified Arabic" w:cs="Sakkal Majalla"/>
          <w:b/>
          <w:color w:val="000000" w:themeColor="text1"/>
          <w:sz w:val="28"/>
          <w:szCs w:val="28"/>
          <w14:textFill>
            <w14:solidFill>
              <w14:schemeClr w14:val="tx1"/>
            </w14:solidFill>
          </w14:textFill>
        </w:rPr>
      </w:pPr>
    </w:p>
    <w:p w14:paraId="41987257">
      <w:pPr>
        <w:spacing w:before="100" w:beforeAutospacing="1" w:after="100" w:afterAutospacing="1" w:line="360" w:lineRule="auto"/>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المصدر: من عمل الباحث</w:t>
      </w:r>
    </w:p>
    <w:p w14:paraId="3910AE93">
      <w:pPr>
        <w:spacing w:before="100" w:beforeAutospacing="1" w:after="100" w:afterAutospacing="1" w:line="360" w:lineRule="auto"/>
        <w:jc w:val="both"/>
        <w:outlineLvl w:val="1"/>
        <w:rPr>
          <w:rFonts w:ascii="Sakkal Majalla" w:hAnsi="Sakkal Majalla" w:eastAsia="Simplified Arabic" w:cs="Sakkal Majalla"/>
          <w:bCs/>
          <w:color w:val="000000" w:themeColor="text1"/>
          <w:sz w:val="36"/>
          <w:szCs w:val="36"/>
          <w:rtl/>
          <w14:textFill>
            <w14:solidFill>
              <w14:schemeClr w14:val="tx1"/>
            </w14:solidFill>
          </w14:textFill>
        </w:rPr>
      </w:pPr>
      <w:bookmarkStart w:id="20" w:name="_Toc211696017"/>
      <w:r>
        <w:rPr>
          <w:rFonts w:ascii="Sakkal Majalla" w:hAnsi="Sakkal Majalla" w:eastAsia="Simplified Arabic" w:cs="Sakkal Majalla"/>
          <w:bCs/>
          <w:color w:val="000000" w:themeColor="text1"/>
          <w:sz w:val="36"/>
          <w:szCs w:val="36"/>
          <w:rtl/>
          <w14:textFill>
            <w14:solidFill>
              <w14:schemeClr w14:val="tx1"/>
            </w14:solidFill>
          </w14:textFill>
        </w:rPr>
        <w:t>8.1 الدراسات السابقة:</w:t>
      </w:r>
      <w:bookmarkEnd w:id="20"/>
      <w:bookmarkStart w:id="21" w:name="_thkhk0ll4q82" w:colFirst="0" w:colLast="0"/>
      <w:bookmarkEnd w:id="21"/>
    </w:p>
    <w:p w14:paraId="61AE3759">
      <w:pPr>
        <w:pStyle w:val="25"/>
        <w:numPr>
          <w:ilvl w:val="0"/>
          <w:numId w:val="8"/>
        </w:numP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 xml:space="preserve">دراسة </w:t>
      </w:r>
      <w:r>
        <w:rPr>
          <w:rFonts w:ascii="Sakkal Majalla" w:hAnsi="Sakkal Majalla" w:eastAsia="Simplified Arabic" w:cs="Sakkal Majalla"/>
          <w:b/>
          <w:color w:val="000000" w:themeColor="text1"/>
          <w:sz w:val="28"/>
          <w:szCs w:val="28"/>
          <w14:textFill>
            <w14:solidFill>
              <w14:schemeClr w14:val="tx1"/>
            </w14:solidFill>
          </w14:textFill>
        </w:rPr>
        <w:t>Al-Janabi, Jabbar &amp; Syms</w:t>
      </w:r>
      <w:r>
        <w:rPr>
          <w:rFonts w:ascii="Sakkal Majalla" w:hAnsi="Sakkal Majalla" w:eastAsia="Simplified Arabic" w:cs="Sakkal Majalla"/>
          <w:b/>
          <w:color w:val="000000" w:themeColor="text1"/>
          <w:sz w:val="28"/>
          <w:szCs w:val="28"/>
          <w:rtl/>
          <w14:textFill>
            <w14:solidFill>
              <w14:schemeClr w14:val="tx1"/>
            </w14:solidFill>
          </w14:textFill>
        </w:rPr>
        <w:t xml:space="preserve"> (2024)</w:t>
      </w:r>
    </w:p>
    <w:p w14:paraId="738E28EC">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 xml:space="preserve">هدفت الدراسة إلى التعرف على أثر دمج إدارة مخاطر الأمن السيبراني بأبعادها (تحديد المخاطر، وتقييمها، وتخفيفها، والمراجعة المستمرة) ضمن دورة حياة مشاريع تكنولوجيا المعلومات على كفاءة وأمان تنفيذ المشروع، واستخدمت الدراسة المنهج الوصفي من خلال تحليل حالة تطبيقية، وتكوّنت العينة من تطبيق إطار </w:t>
      </w:r>
      <w:r>
        <w:rPr>
          <w:rFonts w:ascii="Sakkal Majalla" w:hAnsi="Sakkal Majalla" w:eastAsia="Simplified Arabic" w:cs="Sakkal Majalla"/>
          <w:bCs/>
          <w:color w:val="000000" w:themeColor="text1"/>
          <w:sz w:val="28"/>
          <w:szCs w:val="28"/>
          <w14:textFill>
            <w14:solidFill>
              <w14:schemeClr w14:val="tx1"/>
            </w14:solidFill>
          </w14:textFill>
        </w:rPr>
        <w:t>CYBITJET</w:t>
      </w:r>
      <w:r>
        <w:rPr>
          <w:rFonts w:ascii="Sakkal Majalla" w:hAnsi="Sakkal Majalla" w:eastAsia="Simplified Arabic" w:cs="Sakkal Majalla"/>
          <w:b/>
          <w:color w:val="000000" w:themeColor="text1"/>
          <w:sz w:val="28"/>
          <w:szCs w:val="28"/>
          <w:rtl/>
          <w14:textFill>
            <w14:solidFill>
              <w14:schemeClr w14:val="tx1"/>
            </w14:solidFill>
          </w14:textFill>
        </w:rPr>
        <w:t xml:space="preserve"> على مشروع نظام السجل الصحي الشخصي (</w:t>
      </w:r>
      <w:r>
        <w:rPr>
          <w:rFonts w:ascii="Sakkal Majalla" w:hAnsi="Sakkal Majalla" w:eastAsia="Simplified Arabic" w:cs="Sakkal Majalla"/>
          <w:bCs/>
          <w:color w:val="000000" w:themeColor="text1"/>
          <w:sz w:val="28"/>
          <w:szCs w:val="28"/>
          <w14:textFill>
            <w14:solidFill>
              <w14:schemeClr w14:val="tx1"/>
            </w14:solidFill>
          </w14:textFill>
        </w:rPr>
        <w:t>PHR</w:t>
      </w:r>
      <w:r>
        <w:rPr>
          <w:rFonts w:ascii="Sakkal Majalla" w:hAnsi="Sakkal Majalla" w:eastAsia="Simplified Arabic" w:cs="Sakkal Majalla"/>
          <w:b/>
          <w:color w:val="000000" w:themeColor="text1"/>
          <w:sz w:val="28"/>
          <w:szCs w:val="28"/>
          <w:rtl/>
          <w14:textFill>
            <w14:solidFill>
              <w14:schemeClr w14:val="tx1"/>
            </w14:solidFill>
          </w14:textFill>
        </w:rPr>
        <w:t xml:space="preserve">). وتوصلت النتائج إلى أن التطبيق المنتظم للإطار عزّز الأمان ورفع مرونة التنفيذ، مما أدى إلى مستوى أمان وجودة تنفيذ أفضل، وأوصت الدراسة بضرورة دمج الإطار ضمن منهجيات إدارة مشاريع تكنولوجيا المعلومات وتوافقه مع معايير </w:t>
      </w:r>
      <w:r>
        <w:rPr>
          <w:rFonts w:ascii="Sakkal Majalla" w:hAnsi="Sakkal Majalla" w:eastAsia="Simplified Arabic" w:cs="Sakkal Majalla"/>
          <w:b/>
          <w:color w:val="000000" w:themeColor="text1"/>
          <w:sz w:val="28"/>
          <w:szCs w:val="28"/>
          <w14:textFill>
            <w14:solidFill>
              <w14:schemeClr w14:val="tx1"/>
            </w14:solidFill>
          </w14:textFill>
        </w:rPr>
        <w:t>ISO/IEC</w:t>
      </w:r>
      <w:r>
        <w:rPr>
          <w:rFonts w:ascii="Sakkal Majalla" w:hAnsi="Sakkal Majalla" w:eastAsia="Simplified Arabic" w:cs="Sakkal Majalla"/>
          <w:b/>
          <w:color w:val="000000" w:themeColor="text1"/>
          <w:sz w:val="28"/>
          <w:szCs w:val="28"/>
          <w:rtl/>
          <w14:textFill>
            <w14:solidFill>
              <w14:schemeClr w14:val="tx1"/>
            </w14:solidFill>
          </w14:textFill>
        </w:rPr>
        <w:t xml:space="preserve"> 27001 و</w:t>
      </w:r>
      <w:r>
        <w:rPr>
          <w:rFonts w:ascii="Sakkal Majalla" w:hAnsi="Sakkal Majalla" w:eastAsia="Simplified Arabic" w:cs="Sakkal Majalla"/>
          <w:b/>
          <w:color w:val="000000" w:themeColor="text1"/>
          <w:sz w:val="28"/>
          <w:szCs w:val="28"/>
          <w14:textFill>
            <w14:solidFill>
              <w14:schemeClr w14:val="tx1"/>
            </w14:solidFill>
          </w14:textFill>
        </w:rPr>
        <w:t>COBIT</w:t>
      </w:r>
      <w:r>
        <w:rPr>
          <w:rFonts w:ascii="Times New Roman" w:hAnsi="Times New Roman" w:eastAsia="Times New Roman" w:cs="Times New Roman"/>
          <w:b/>
          <w:color w:val="000000" w:themeColor="text1"/>
          <w:sz w:val="28"/>
          <w:szCs w:val="28"/>
          <w14:textFill>
            <w14:solidFill>
              <w14:schemeClr w14:val="tx1"/>
            </w14:solidFill>
          </w14:textFill>
        </w:rPr>
        <w:t> </w:t>
      </w:r>
      <w:r>
        <w:rPr>
          <w:rFonts w:ascii="Sakkal Majalla" w:hAnsi="Sakkal Majalla" w:eastAsia="Simplified Arabic" w:cs="Sakkal Majalla"/>
          <w:b/>
          <w:color w:val="000000" w:themeColor="text1"/>
          <w:sz w:val="28"/>
          <w:szCs w:val="28"/>
          <w:rtl/>
          <w14:textFill>
            <w14:solidFill>
              <w14:schemeClr w14:val="tx1"/>
            </w14:solidFill>
          </w14:textFill>
        </w:rPr>
        <w:t>2019 لضمان أمن وجودة أعلى.</w:t>
      </w:r>
    </w:p>
    <w:p w14:paraId="2FC4CC8A">
      <w:pPr>
        <w:pStyle w:val="25"/>
        <w:numPr>
          <w:ilvl w:val="0"/>
          <w:numId w:val="8"/>
        </w:numPr>
        <w:spacing w:before="100" w:beforeAutospacing="1" w:after="100" w:afterAutospacing="1" w:line="360" w:lineRule="auto"/>
        <w:ind w:left="423"/>
        <w:jc w:val="both"/>
        <w:rPr>
          <w:rFonts w:ascii="Sakkal Majalla" w:hAnsi="Sakkal Majalla" w:eastAsia="Simplified Arabic" w:cs="Sakkal Majalla"/>
          <w:bCs/>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 xml:space="preserve">دراسة  </w:t>
      </w:r>
      <w:r>
        <w:rPr>
          <w:rFonts w:ascii="Sakkal Majalla" w:hAnsi="Sakkal Majalla" w:eastAsia="Simplified Arabic" w:cs="Sakkal Majalla"/>
          <w:b/>
          <w:color w:val="000000" w:themeColor="text1"/>
          <w:sz w:val="28"/>
          <w:szCs w:val="28"/>
          <w14:textFill>
            <w14:solidFill>
              <w14:schemeClr w14:val="tx1"/>
            </w14:solidFill>
          </w14:textFill>
        </w:rPr>
        <w:t>Zhu</w:t>
      </w:r>
      <w:r>
        <w:rPr>
          <w:rFonts w:ascii="Sakkal Majalla" w:hAnsi="Sakkal Majalla" w:eastAsia="Simplified Arabic" w:cs="Sakkal Majalla"/>
          <w:bCs/>
          <w:color w:val="000000" w:themeColor="text1"/>
          <w:sz w:val="28"/>
          <w:szCs w:val="28"/>
          <w:rtl/>
          <w14:textFill>
            <w14:solidFill>
              <w14:schemeClr w14:val="tx1"/>
            </w14:solidFill>
          </w14:textFill>
        </w:rPr>
        <w:t xml:space="preserve"> (2024)</w:t>
      </w:r>
    </w:p>
    <w:p w14:paraId="2BE785B4">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هدفت الدراسة إلى التعرف على أثر دمج الأطر النظرية بأبعادها (نظرية الألعاب، نظرية التحكم، والتعلُّم الآلي) على كفاءة استجابة المؤسسات وتصميم استراتيجيات مرنة ضد المخاطر السيبرانية، واستخدمت المنهج النظري المنهجي من خلال تحليل ومعالجة أطر نظرية متعددة، وتكوّنت العينة من تحليل نماذج نظرية فقط، وتوصلت الدراسة إلى أن الدمج الأولي لهذه النظريات يوفر إطارًا عمليًا لتصميم استجابات تلقائية ومرنة للهجمات، وأوصت بتحويل تلك الأطر إلى أدوات تنفيذية فعّالة ضمن بيئة المؤسسات لتعزيز استراتيجيات الأمن السيبراني.</w:t>
      </w:r>
    </w:p>
    <w:p w14:paraId="6C010D60">
      <w:pPr>
        <w:pStyle w:val="25"/>
        <w:numPr>
          <w:ilvl w:val="0"/>
          <w:numId w:val="8"/>
        </w:numP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دراسة</w:t>
      </w:r>
      <w:r>
        <w:rPr>
          <w:rFonts w:ascii="Sakkal Majalla" w:hAnsi="Sakkal Majalla" w:eastAsia="Simplified Arabic" w:cs="Sakkal Majalla"/>
          <w:b/>
          <w:color w:val="000000" w:themeColor="text1"/>
          <w:sz w:val="28"/>
          <w:szCs w:val="28"/>
          <w:rtl/>
          <w14:textFill>
            <w14:solidFill>
              <w14:schemeClr w14:val="tx1"/>
            </w14:solidFill>
          </w14:textFill>
        </w:rPr>
        <w:t xml:space="preserve"> </w:t>
      </w:r>
      <w:r>
        <w:rPr>
          <w:rFonts w:ascii="Sakkal Majalla" w:hAnsi="Sakkal Majalla" w:eastAsia="Simplified Arabic" w:cs="Sakkal Majalla"/>
          <w:b/>
          <w:color w:val="000000" w:themeColor="text1"/>
          <w:sz w:val="28"/>
          <w:szCs w:val="28"/>
          <w14:textFill>
            <w14:solidFill>
              <w14:schemeClr w14:val="tx1"/>
            </w14:solidFill>
          </w14:textFill>
        </w:rPr>
        <w:t xml:space="preserve">Araujo et al. (2024) </w:t>
      </w:r>
    </w:p>
    <w:p w14:paraId="7F6B048C">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هدفت الدراسة إلى التعرف على أثر دمج مراحل إدارة المخاطر بأبعادها (الاستعداد، والرصد والكشف، والمقاومة، والاستجابة، والتعافي، والتعلم) على كفاءة تنفيذ الاستجابة ومتابعة الهجمات السيبرانية لدى المؤسسات؛ واستخدمت المنهج النظري المنهجي استنادًا إلى مراجعة أدبية لكُتب ومقالات علمية بين 2015 و2023؛ وتكونت العينة من 62 ورقة علمية تم تحليلها.</w:t>
      </w:r>
    </w:p>
    <w:p w14:paraId="479A659F">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u w:val="single"/>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 xml:space="preserve"> وتوصلت النتائج إلى تحديد ست مراحل أساسية للمرونة السيبرانية التي تدعم كفاءة التنفيذ الكامل؛ وأوصت الدراسة بإدماج هذه المراحل في عمليات إدارة المخاطر والاستجابة كإطار معياري مؤسسي</w:t>
      </w:r>
      <w:r>
        <w:rPr>
          <w:rFonts w:ascii="Times New Roman" w:hAnsi="Times New Roman" w:eastAsia="Times New Roman" w:cs="Times New Roman"/>
          <w:b/>
          <w:color w:val="000000" w:themeColor="text1"/>
          <w:sz w:val="28"/>
          <w:szCs w:val="28"/>
          <w14:textFill>
            <w14:solidFill>
              <w14:schemeClr w14:val="tx1"/>
            </w14:solidFill>
          </w14:textFill>
        </w:rPr>
        <w:t> </w:t>
      </w:r>
    </w:p>
    <w:p w14:paraId="09395ADC">
      <w:pPr>
        <w:pStyle w:val="25"/>
        <w:numPr>
          <w:ilvl w:val="0"/>
          <w:numId w:val="8"/>
        </w:numP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دراسة</w:t>
      </w:r>
      <w:r>
        <w:rPr>
          <w:rFonts w:ascii="Sakkal Majalla" w:hAnsi="Sakkal Majalla" w:eastAsia="Simplified Arabic" w:cs="Sakkal Majalla"/>
          <w:b/>
          <w:color w:val="000000" w:themeColor="text1"/>
          <w:sz w:val="28"/>
          <w:szCs w:val="28"/>
          <w:rtl/>
          <w14:textFill>
            <w14:solidFill>
              <w14:schemeClr w14:val="tx1"/>
            </w14:solidFill>
          </w14:textFill>
        </w:rPr>
        <w:t xml:space="preserve"> </w:t>
      </w:r>
      <w:r>
        <w:rPr>
          <w:rFonts w:ascii="Sakkal Majalla" w:hAnsi="Sakkal Majalla" w:eastAsia="Simplified Arabic" w:cs="Sakkal Majalla"/>
          <w:b/>
          <w:color w:val="000000" w:themeColor="text1"/>
          <w:sz w:val="28"/>
          <w:szCs w:val="28"/>
          <w14:textFill>
            <w14:solidFill>
              <w14:schemeClr w14:val="tx1"/>
            </w14:solidFill>
          </w14:textFill>
        </w:rPr>
        <w:t>Jabbar et al</w:t>
      </w:r>
      <w:r>
        <w:rPr>
          <w:rFonts w:ascii="Sakkal Majalla" w:hAnsi="Sakkal Majalla" w:eastAsia="Simplified Arabic" w:cs="Sakkal Majalla"/>
          <w:b/>
          <w:color w:val="000000" w:themeColor="text1"/>
          <w:sz w:val="28"/>
          <w:szCs w:val="28"/>
          <w:rtl/>
          <w14:textFill>
            <w14:solidFill>
              <w14:schemeClr w14:val="tx1"/>
            </w14:solidFill>
          </w14:textFill>
        </w:rPr>
        <w:t>. (2024)</w:t>
      </w:r>
    </w:p>
    <w:p w14:paraId="785F5215">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 xml:space="preserve">هدفت الدراسة إلى التعرف على أثر دمج تقنيات الذكاء الاصطناعي بأبعاده (التحليلات التنبؤية، والتعلم الآلي، والاستجابة التلقائية للحوادث) على كفاءة إدارة مخاطر الأمن السيبراني في مشاريع تكنولوجيا المعلومات، وذلك في سياق مواجهة التهديدات المتزايدة والمعقدة. واستخدمت الدراسة المنهج التحليلي التطبيقي من خلال تصميم إطار عمل مدمج يتضمن التكامل بين تقنيات الذكاء الاصطناعي والمبادئ التقليدية لإدارة المشاريع، وتكوّنت العينة من حالات تطبيق افتراضية في مجالات متعددة مثل الطب الشرعي والرعاية الصحية. </w:t>
      </w:r>
    </w:p>
    <w:p w14:paraId="7BDCD740">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وتوصلت نتائج الدراسة إلى أن دمج الذكاء الاصطناعي ضمن الإطار يسهم في التقييم الاستباقي للمخاطر، وكشف التهديدات في الوقت الحقيقي، والاستجابة التلقائية للحوادث، مما يعزز من مرونة المشاريع في مواجهة التهديدات السيبرانية المتطورة، وأوصت الدراسة بتعميم تطبيق الإطار في المشاريع ذات الحساسية العالية للبيانات ضمن القطاعات الحيوية.</w:t>
      </w:r>
    </w:p>
    <w:p w14:paraId="623ABA8B">
      <w:pPr>
        <w:pStyle w:val="25"/>
        <w:numPr>
          <w:ilvl w:val="0"/>
          <w:numId w:val="8"/>
        </w:numP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دراسة</w:t>
      </w:r>
      <w:r>
        <w:rPr>
          <w:rFonts w:ascii="Sakkal Majalla" w:hAnsi="Sakkal Majalla" w:eastAsia="Simplified Arabic" w:cs="Sakkal Majalla"/>
          <w:b/>
          <w:color w:val="000000" w:themeColor="text1"/>
          <w:sz w:val="28"/>
          <w:szCs w:val="28"/>
          <w:rtl/>
          <w14:textFill>
            <w14:solidFill>
              <w14:schemeClr w14:val="tx1"/>
            </w14:solidFill>
          </w14:textFill>
        </w:rPr>
        <w:t xml:space="preserve"> </w:t>
      </w:r>
      <w:r>
        <w:rPr>
          <w:rFonts w:ascii="Sakkal Majalla" w:hAnsi="Sakkal Majalla" w:eastAsia="Simplified Arabic" w:cs="Sakkal Majalla"/>
          <w:b/>
          <w:color w:val="000000" w:themeColor="text1"/>
          <w:sz w:val="28"/>
          <w:szCs w:val="28"/>
          <w14:textFill>
            <w14:solidFill>
              <w14:schemeClr w14:val="tx1"/>
            </w14:solidFill>
          </w14:textFill>
        </w:rPr>
        <w:t>Eltaeib et al</w:t>
      </w:r>
      <w:r>
        <w:rPr>
          <w:rFonts w:ascii="Sakkal Majalla" w:hAnsi="Sakkal Majalla" w:eastAsia="Simplified Arabic" w:cs="Sakkal Majalla"/>
          <w:b/>
          <w:color w:val="000000" w:themeColor="text1"/>
          <w:sz w:val="28"/>
          <w:szCs w:val="28"/>
          <w:rtl/>
          <w14:textFill>
            <w14:solidFill>
              <w14:schemeClr w14:val="tx1"/>
            </w14:solidFill>
          </w14:textFill>
        </w:rPr>
        <w:t>. (2024)</w:t>
      </w:r>
    </w:p>
    <w:p w14:paraId="02134FED">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هدفت الدراسة إلى التعرف على أثر تبني إستراتيجية شاملة لإدارة مخاطر الأمن السيبراني بأبعادها (التخطيط الاستراتيجي، إشراك أصحاب المصلحة، وتمكين الحوكمة العليا) على قدرة المؤسسات في الوقاية من التهديدات السيبرانية والتعامل معها بفعالية في بيئات تقنية متغيرة، وذلك انطلاقًا من الحاجة إلى تجاوز حصر إدارة الأمن في أقسام تكنولوجيا المعلومات فقط، واستخدمت الدراسة المنهج التحليلي النظري من خلال تصميم إطار استراتيجي شامل يربط بين الأدوار القيادية وممارسات الأمن، وتكوّنت العينة من مراجعة ممارسات مؤسسية نموذجية وتحليل ثغراتها التنظيمية.</w:t>
      </w:r>
    </w:p>
    <w:p w14:paraId="39EDDA04">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 xml:space="preserve"> وتوصلت نتائج الدراسة إلى أن إشراك مجالس الإدارة وأصحاب القرار في التخطيط الأمني يعزز من صمود المؤسسات أمام التهديدات، وأن غياب التفاعل المؤسسي الكامل يُعد نقطة ضعف خطرة في أي نظام حماية. وأوصت الدراسة بتبني إطار متكامل لإدارة المخاطر السيبرانية يشمل التخطيط المؤسسي طويل المدى، وتفعيل دور الحوكمة، وإعادة النظر في توزيع المسؤوليات الأمنية لتصبح مؤسسية لا فنية فقط.</w:t>
      </w:r>
    </w:p>
    <w:p w14:paraId="74D197A8">
      <w:pPr>
        <w:pStyle w:val="25"/>
        <w:numPr>
          <w:ilvl w:val="0"/>
          <w:numId w:val="8"/>
        </w:numP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دراسة</w:t>
      </w:r>
      <w:r>
        <w:rPr>
          <w:rFonts w:ascii="Sakkal Majalla" w:hAnsi="Sakkal Majalla" w:eastAsia="Simplified Arabic" w:cs="Sakkal Majalla"/>
          <w:b/>
          <w:color w:val="000000" w:themeColor="text1"/>
          <w:sz w:val="28"/>
          <w:szCs w:val="28"/>
          <w:rtl/>
          <w14:textFill>
            <w14:solidFill>
              <w14:schemeClr w14:val="tx1"/>
            </w14:solidFill>
          </w14:textFill>
        </w:rPr>
        <w:t xml:space="preserve"> </w:t>
      </w:r>
      <w:r>
        <w:rPr>
          <w:rFonts w:ascii="Sakkal Majalla" w:hAnsi="Sakkal Majalla" w:eastAsia="Simplified Arabic" w:cs="Sakkal Majalla"/>
          <w:b/>
          <w:color w:val="000000" w:themeColor="text1"/>
          <w:sz w:val="28"/>
          <w:szCs w:val="28"/>
          <w14:textFill>
            <w14:solidFill>
              <w14:schemeClr w14:val="tx1"/>
            </w14:solidFill>
          </w14:textFill>
        </w:rPr>
        <w:t>Rekunenko et al</w:t>
      </w:r>
      <w:r>
        <w:rPr>
          <w:rFonts w:ascii="Sakkal Majalla" w:hAnsi="Sakkal Majalla" w:eastAsia="Simplified Arabic" w:cs="Sakkal Majalla"/>
          <w:b/>
          <w:color w:val="000000" w:themeColor="text1"/>
          <w:sz w:val="28"/>
          <w:szCs w:val="28"/>
          <w:rtl/>
          <w14:textFill>
            <w14:solidFill>
              <w14:schemeClr w14:val="tx1"/>
            </w14:solidFill>
          </w14:textFill>
        </w:rPr>
        <w:t>. (2024)</w:t>
      </w:r>
    </w:p>
    <w:p w14:paraId="27B3EE76">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 xml:space="preserve">هدفت الدراسة إلى التعرف على أثر تطبيق استراتيجيات إدارة المخاطر بأبعادها (التهديدات السيبرانية، الامتثال التنظيمي، الكفاءة التشغيلية، التكيف السوقي، الاستقرار المالي، التخطيط الاستراتيجي، وإدارة الموارد البشرية) على تعزيز القدرة التنافسية والمرونة المؤسسية في شركات تكنولوجيا المعلومات. واستخدمت الدراسة المنهج النوعي التحليلي بالاعتماد على تحليل ثيمي للأدبيات والتقارير الصناعية ومصادر البيانات الثانوية، وتكوّنت العينة من مراجعة تحليلية لوثائق وتقارير صادرة عن شركات رائدة في مجال تكنولوجيا المعلومات، ودراسات سابقة تغطي المخاطر الشائعة في هذا القطاع. </w:t>
      </w:r>
    </w:p>
    <w:p w14:paraId="3CCFE408">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وتوصلت نتائج الدراسة إلى أن اعتماد إدارة مخاطر شاملة تشمل الأمن السيبراني والامتثال والتخطيط المالي يُعدّ أحد العوامل الحاسمة في الحفاظ على التنافسية والقدرة على التكيف مع بيئة تكنولوجية متغيرة وسريعة النمو، كما أكدت على ضرورة إدارة المواهب البشرية كجزء من معادلة الصمود المؤسسي، وأوصت الدراسة بدمج إدارة المخاطر ضمن الرؤية الاستراتيجية للمؤسسة، وتحديث الأدوات باستمرار، مع توسيع الدراسات المستقبلية لتشمل أثر التكنولوجيا الناشئة وتغير أنماط التهديدات على فاعلية الاستراتيجيات</w:t>
      </w:r>
      <w:r>
        <w:rPr>
          <w:rFonts w:ascii="Sakkal Majalla" w:hAnsi="Sakkal Majalla" w:eastAsia="Simplified Arabic" w:cs="Sakkal Majalla"/>
          <w:b/>
          <w:color w:val="000000" w:themeColor="text1"/>
          <w:sz w:val="28"/>
          <w:szCs w:val="28"/>
          <w14:textFill>
            <w14:solidFill>
              <w14:schemeClr w14:val="tx1"/>
            </w14:solidFill>
          </w14:textFill>
        </w:rPr>
        <w:t>.</w:t>
      </w:r>
    </w:p>
    <w:p w14:paraId="0E6BE578">
      <w:pPr>
        <w:pStyle w:val="25"/>
        <w:numPr>
          <w:ilvl w:val="0"/>
          <w:numId w:val="8"/>
        </w:numP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دراسة</w:t>
      </w:r>
      <w:r>
        <w:rPr>
          <w:rFonts w:ascii="Sakkal Majalla" w:hAnsi="Sakkal Majalla" w:eastAsia="Simplified Arabic" w:cs="Sakkal Majalla"/>
          <w:b/>
          <w:color w:val="000000" w:themeColor="text1"/>
          <w:sz w:val="28"/>
          <w:szCs w:val="28"/>
          <w:rtl/>
          <w14:textFill>
            <w14:solidFill>
              <w14:schemeClr w14:val="tx1"/>
            </w14:solidFill>
          </w14:textFill>
        </w:rPr>
        <w:t xml:space="preserve"> </w:t>
      </w:r>
      <w:r>
        <w:rPr>
          <w:rFonts w:ascii="Sakkal Majalla" w:hAnsi="Sakkal Majalla" w:eastAsia="Simplified Arabic" w:cs="Sakkal Majalla"/>
          <w:b/>
          <w:color w:val="000000" w:themeColor="text1"/>
          <w:sz w:val="28"/>
          <w:szCs w:val="28"/>
          <w14:textFill>
            <w14:solidFill>
              <w14:schemeClr w14:val="tx1"/>
            </w14:solidFill>
          </w14:textFill>
        </w:rPr>
        <w:t>Al Jarrah et al</w:t>
      </w:r>
      <w:r>
        <w:rPr>
          <w:rFonts w:ascii="Sakkal Majalla" w:hAnsi="Sakkal Majalla" w:eastAsia="Simplified Arabic" w:cs="Sakkal Majalla"/>
          <w:b/>
          <w:color w:val="000000" w:themeColor="text1"/>
          <w:sz w:val="28"/>
          <w:szCs w:val="28"/>
          <w:rtl/>
          <w14:textFill>
            <w14:solidFill>
              <w14:schemeClr w14:val="tx1"/>
            </w14:solidFill>
          </w14:textFill>
        </w:rPr>
        <w:t>. (2022)</w:t>
      </w:r>
    </w:p>
    <w:p w14:paraId="5C4EE8E9">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 xml:space="preserve">هدفت الدراسة إلى التعرف على أثر تكامل عمليات إدارة المشروع بأبعادها (بدء المشروع، التخطيط، التنفيذ، المراقبة والتحكم، والإغلاق) على نجاح تنفيذ المشروع في الأردن، مع اعتبار إدارة مخاطر المشروع كمتغير وسيط، واستخدمت الدراسة المنهج الكمي التحليلي، من خلال توزيع استبانة مكونة من ثلاثة محاور على عينة مكوّنة من 96 مدير مشروع منتمين إلى نقابة المهندسين الأردنيين، جمعية المقاولين الأردنيين، ومركز الملك عبدالله للتصميم والتطوير، وتكونت العينة من مشاريع إنشائية وهندسية متنوعة تمثل القطاع العام والخاص. وأُجريت التحليلات باستخدام برنامج </w:t>
      </w:r>
      <w:r>
        <w:rPr>
          <w:rFonts w:ascii="Sakkal Majalla" w:hAnsi="Sakkal Majalla" w:eastAsia="Simplified Arabic" w:cs="Sakkal Majalla"/>
          <w:bCs/>
          <w:color w:val="000000" w:themeColor="text1"/>
          <w:sz w:val="28"/>
          <w:szCs w:val="28"/>
          <w14:textFill>
            <w14:solidFill>
              <w14:schemeClr w14:val="tx1"/>
            </w14:solidFill>
          </w14:textFill>
        </w:rPr>
        <w:t>Partial Least Squares (PLS</w:t>
      </w:r>
      <w:r>
        <w:rPr>
          <w:rFonts w:ascii="Sakkal Majalla" w:hAnsi="Sakkal Majalla" w:eastAsia="Simplified Arabic" w:cs="Sakkal Majalla"/>
          <w:bCs/>
          <w:color w:val="000000" w:themeColor="text1"/>
          <w:sz w:val="28"/>
          <w:szCs w:val="28"/>
          <w:rtl/>
          <w14:textFill>
            <w14:solidFill>
              <w14:schemeClr w14:val="tx1"/>
            </w14:solidFill>
          </w14:textFill>
        </w:rPr>
        <w:t xml:space="preserve"> </w:t>
      </w:r>
      <w:r>
        <w:rPr>
          <w:rFonts w:ascii="Sakkal Majalla" w:hAnsi="Sakkal Majalla" w:eastAsia="Simplified Arabic" w:cs="Sakkal Majalla"/>
          <w:b/>
          <w:color w:val="000000" w:themeColor="text1"/>
          <w:sz w:val="28"/>
          <w:szCs w:val="28"/>
          <w:rtl/>
          <w14:textFill>
            <w14:solidFill>
              <w14:schemeClr w14:val="tx1"/>
            </w14:solidFill>
          </w14:textFill>
        </w:rPr>
        <w:t xml:space="preserve">3.3.3). </w:t>
      </w:r>
    </w:p>
    <w:p w14:paraId="5A4A14F3">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وتوصلت نتائج الدراسة إلى أن إدارة مخاطر المشروع تلعب دورًا وسيطًا ذا دلالة إحصائية بين عمليات إدارة المشروع ونجاح تنفيذ المشروع، حيث تبيّن أن دمج ممارسات إدارة المخاطر ضمن خطوات المشروع يسهم في تحسين جودة التنفيذ وتقليل الفجوات المرتبطة بالزمن والتكلفة، وأوصت الدراسة بضرورة اعتماد منهج متكامل يربط إدارة المشروع بإدارة المخاطر كجزء أساسي في ثقافة تنفيذ المشاريع، خصوصًا لدى مديري المشاريع في الأردن</w:t>
      </w:r>
      <w:r>
        <w:rPr>
          <w:rFonts w:ascii="Sakkal Majalla" w:hAnsi="Sakkal Majalla" w:eastAsia="Simplified Arabic" w:cs="Sakkal Majalla"/>
          <w:b/>
          <w:color w:val="000000" w:themeColor="text1"/>
          <w:sz w:val="28"/>
          <w:szCs w:val="28"/>
          <w14:textFill>
            <w14:solidFill>
              <w14:schemeClr w14:val="tx1"/>
            </w14:solidFill>
          </w14:textFill>
        </w:rPr>
        <w:t>.</w:t>
      </w:r>
    </w:p>
    <w:p w14:paraId="6712941A">
      <w:pPr>
        <w:pStyle w:val="25"/>
        <w:numPr>
          <w:ilvl w:val="0"/>
          <w:numId w:val="8"/>
        </w:numP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دراسة</w:t>
      </w:r>
      <w:r>
        <w:rPr>
          <w:rFonts w:ascii="Sakkal Majalla" w:hAnsi="Sakkal Majalla" w:eastAsia="Simplified Arabic" w:cs="Sakkal Majalla"/>
          <w:b/>
          <w:color w:val="000000" w:themeColor="text1"/>
          <w:sz w:val="28"/>
          <w:szCs w:val="28"/>
          <w:rtl/>
          <w14:textFill>
            <w14:solidFill>
              <w14:schemeClr w14:val="tx1"/>
            </w14:solidFill>
          </w14:textFill>
        </w:rPr>
        <w:t xml:space="preserve"> </w:t>
      </w:r>
      <w:r>
        <w:rPr>
          <w:rFonts w:ascii="Sakkal Majalla" w:hAnsi="Sakkal Majalla" w:eastAsia="Simplified Arabic" w:cs="Sakkal Majalla"/>
          <w:b/>
          <w:color w:val="000000" w:themeColor="text1"/>
          <w:sz w:val="28"/>
          <w:szCs w:val="28"/>
          <w14:textFill>
            <w14:solidFill>
              <w14:schemeClr w14:val="tx1"/>
            </w14:solidFill>
          </w14:textFill>
        </w:rPr>
        <w:t>Al-Janabi et al</w:t>
      </w:r>
      <w:r>
        <w:rPr>
          <w:rFonts w:ascii="Sakkal Majalla" w:hAnsi="Sakkal Majalla" w:eastAsia="Simplified Arabic" w:cs="Sakkal Majalla"/>
          <w:b/>
          <w:color w:val="000000" w:themeColor="text1"/>
          <w:sz w:val="28"/>
          <w:szCs w:val="28"/>
          <w:rtl/>
          <w14:textFill>
            <w14:solidFill>
              <w14:schemeClr w14:val="tx1"/>
            </w14:solidFill>
          </w14:textFill>
        </w:rPr>
        <w:t>. (2024)</w:t>
      </w:r>
    </w:p>
    <w:p w14:paraId="4EC8A3E1">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هدفت الدراسة إلى التعرف على أثر دمج متطلبات الأمن السيبراني بأبعاده (الدمج المرحلي، الحوكمة، وإدارة المخاطر السيبرانية) على كفاءة تنفيذ مشاريع تكنولوجيا المعلومات في سياق إدارة دورة حياة المشروع، وذلك عبر تطوير إطار عمل متكامل يراعي الأمان منذ مراحل التخطيط وحتى إنهاء المشروع، واستخدمت الدراسة المنهج التطبيقي من خلال تصميم إطار "الإدارة السيبرانية القادرة على التكيّف" وتطبيقه فعليًا عبر دراسة حالة على نظام السجل الصحي الشخصي (</w:t>
      </w:r>
      <w:r>
        <w:rPr>
          <w:rFonts w:ascii="Sakkal Majalla" w:hAnsi="Sakkal Majalla" w:eastAsia="Simplified Arabic" w:cs="Sakkal Majalla"/>
          <w:bCs/>
          <w:color w:val="000000" w:themeColor="text1"/>
          <w:sz w:val="28"/>
          <w:szCs w:val="28"/>
          <w14:textFill>
            <w14:solidFill>
              <w14:schemeClr w14:val="tx1"/>
            </w14:solidFill>
          </w14:textFill>
        </w:rPr>
        <w:t>PHR</w:t>
      </w:r>
      <w:r>
        <w:rPr>
          <w:rFonts w:ascii="Sakkal Majalla" w:hAnsi="Sakkal Majalla" w:eastAsia="Simplified Arabic" w:cs="Sakkal Majalla"/>
          <w:b/>
          <w:color w:val="000000" w:themeColor="text1"/>
          <w:sz w:val="28"/>
          <w:szCs w:val="28"/>
          <w:rtl/>
          <w14:textFill>
            <w14:solidFill>
              <w14:schemeClr w14:val="tx1"/>
            </w14:solidFill>
          </w14:textFill>
        </w:rPr>
        <w:t xml:space="preserve">). وتكوّنت العينة من سلسلة مراحل مشروع </w:t>
      </w:r>
      <w:r>
        <w:rPr>
          <w:rFonts w:ascii="Sakkal Majalla" w:hAnsi="Sakkal Majalla" w:eastAsia="Simplified Arabic" w:cs="Sakkal Majalla"/>
          <w:bCs/>
          <w:color w:val="000000" w:themeColor="text1"/>
          <w:sz w:val="28"/>
          <w:szCs w:val="28"/>
          <w14:textFill>
            <w14:solidFill>
              <w14:schemeClr w14:val="tx1"/>
            </w14:solidFill>
          </w14:textFill>
        </w:rPr>
        <w:t>PHR</w:t>
      </w:r>
      <w:r>
        <w:rPr>
          <w:rFonts w:ascii="Sakkal Majalla" w:hAnsi="Sakkal Majalla" w:eastAsia="Simplified Arabic" w:cs="Sakkal Majalla"/>
          <w:b/>
          <w:color w:val="000000" w:themeColor="text1"/>
          <w:sz w:val="28"/>
          <w:szCs w:val="28"/>
          <w:rtl/>
          <w14:textFill>
            <w14:solidFill>
              <w14:schemeClr w14:val="tx1"/>
            </w14:solidFill>
          </w14:textFill>
        </w:rPr>
        <w:t xml:space="preserve"> كمثال واقعي لاختبار الإطار المقترح. </w:t>
      </w:r>
    </w:p>
    <w:p w14:paraId="0243C0F0">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وتوصلت نتائج الدراسة إلى أن دمج ممارسات الأمن السيبراني في كل مرحلة من مراحل المشروع يعزز من الوضع الأمني العام، ويزيد من قابلية التكيّف والاستجابة للمخاطر المحتملة، كما أظهر الإطار قابلية عالية للتطبيق والتوسع في قطاعات متعددة، وأوصت الدراسة بتبني الإطار كمكوّن أساسي في منهجيات إدارة مشاريع تكنولوجيا المعلومات، وضمان التكامل المستمر بين متطلبات الأمان وعمليات التطوير والتنفيذ</w:t>
      </w:r>
      <w:r>
        <w:rPr>
          <w:rFonts w:ascii="Sakkal Majalla" w:hAnsi="Sakkal Majalla" w:eastAsia="Simplified Arabic" w:cs="Sakkal Majalla"/>
          <w:b/>
          <w:color w:val="000000" w:themeColor="text1"/>
          <w:sz w:val="28"/>
          <w:szCs w:val="28"/>
          <w14:textFill>
            <w14:solidFill>
              <w14:schemeClr w14:val="tx1"/>
            </w14:solidFill>
          </w14:textFill>
        </w:rPr>
        <w:t>.</w:t>
      </w:r>
    </w:p>
    <w:p w14:paraId="7C4D74A0">
      <w:pPr>
        <w:pStyle w:val="25"/>
        <w:numPr>
          <w:ilvl w:val="0"/>
          <w:numId w:val="8"/>
        </w:numP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دراسة</w:t>
      </w:r>
      <w:r>
        <w:rPr>
          <w:rFonts w:ascii="Sakkal Majalla" w:hAnsi="Sakkal Majalla" w:eastAsia="Simplified Arabic" w:cs="Sakkal Majalla"/>
          <w:b/>
          <w:color w:val="000000" w:themeColor="text1"/>
          <w:sz w:val="28"/>
          <w:szCs w:val="28"/>
          <w:rtl/>
          <w14:textFill>
            <w14:solidFill>
              <w14:schemeClr w14:val="tx1"/>
            </w14:solidFill>
          </w14:textFill>
        </w:rPr>
        <w:t xml:space="preserve"> </w:t>
      </w:r>
      <w:r>
        <w:rPr>
          <w:rFonts w:ascii="Sakkal Majalla" w:hAnsi="Sakkal Majalla" w:eastAsia="Simplified Arabic" w:cs="Sakkal Majalla"/>
          <w:b/>
          <w:color w:val="000000" w:themeColor="text1"/>
          <w:sz w:val="28"/>
          <w:szCs w:val="28"/>
          <w14:textFill>
            <w14:solidFill>
              <w14:schemeClr w14:val="tx1"/>
            </w14:solidFill>
          </w14:textFill>
        </w:rPr>
        <w:t>Prikhodko et al</w:t>
      </w:r>
      <w:r>
        <w:rPr>
          <w:rFonts w:ascii="Sakkal Majalla" w:hAnsi="Sakkal Majalla" w:eastAsia="Simplified Arabic" w:cs="Sakkal Majalla"/>
          <w:b/>
          <w:color w:val="000000" w:themeColor="text1"/>
          <w:sz w:val="28"/>
          <w:szCs w:val="28"/>
          <w:rtl/>
          <w14:textFill>
            <w14:solidFill>
              <w14:schemeClr w14:val="tx1"/>
            </w14:solidFill>
          </w14:textFill>
        </w:rPr>
        <w:t>. (2024)</w:t>
      </w:r>
    </w:p>
    <w:p w14:paraId="42801C3B">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هدفت الدراسة إلى التعرف على أثر تطبيق ممارسات إدارة مخاطر المشاريع بأبعادها (تحديد المخاطر، تحليلها، مراقبتها، وتخفيفها) على كفاءة تنفيذ المشاريع وضمان نجاحها في البيئات المتغيرة، واستخدمت الدراسة المنهج التحليلي الوصفي من خلال تحليل الإجراءات الأساسية لإدارة المخاطر في مراحل مختلفة من المشروع، وتكوّنت العينة من مراجعة تجريبية لممارسات تقييم المخاطر والتخطيط في مشروعات صناعية وهندسية متعددة.</w:t>
      </w:r>
    </w:p>
    <w:p w14:paraId="47C7E8D0">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 xml:space="preserve"> وتوصلت نتائج الدراسة إلى أن التقييم المبكر للمخاطر وتحليلها الدقيق يساعد في تحديد تأثيراتها المحتملة وتقليل آثارها على جودة تنفيذ المشروع، كما أن الرقابة المستمرة والتخطيط الوقائي يُعدّان عنصرين حاسمين في ضمان استقرار التنفيذ وتحقيق النتائج المرجوة، وأوصت الدراسة بضرورة دمج أدوات تحليل المخاطر ضمن جميع مراحل إدارة المشروع، والتأكيد على تدريب الفرق على أساليب السيطرة الوقائية لضمان أقصى درجات الفعالية.</w:t>
      </w:r>
    </w:p>
    <w:p w14:paraId="5B3B442F">
      <w:pPr>
        <w:pStyle w:val="25"/>
        <w:numPr>
          <w:ilvl w:val="0"/>
          <w:numId w:val="8"/>
        </w:numPr>
        <w:tabs>
          <w:tab w:val="left" w:pos="423"/>
        </w:tabs>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دراسة</w:t>
      </w:r>
      <w:r>
        <w:rPr>
          <w:rFonts w:ascii="Sakkal Majalla" w:hAnsi="Sakkal Majalla" w:eastAsia="Simplified Arabic" w:cs="Sakkal Majalla"/>
          <w:b/>
          <w:color w:val="000000" w:themeColor="text1"/>
          <w:sz w:val="28"/>
          <w:szCs w:val="28"/>
          <w:rtl/>
          <w14:textFill>
            <w14:solidFill>
              <w14:schemeClr w14:val="tx1"/>
            </w14:solidFill>
          </w14:textFill>
        </w:rPr>
        <w:t xml:space="preserve"> </w:t>
      </w:r>
      <w:r>
        <w:rPr>
          <w:rFonts w:ascii="Sakkal Majalla" w:hAnsi="Sakkal Majalla" w:eastAsia="Simplified Arabic" w:cs="Sakkal Majalla"/>
          <w:b/>
          <w:color w:val="000000" w:themeColor="text1"/>
          <w:sz w:val="28"/>
          <w:szCs w:val="28"/>
          <w14:textFill>
            <w14:solidFill>
              <w14:schemeClr w14:val="tx1"/>
            </w14:solidFill>
          </w14:textFill>
        </w:rPr>
        <w:t>Alshehhi et al</w:t>
      </w:r>
      <w:r>
        <w:rPr>
          <w:rFonts w:ascii="Sakkal Majalla" w:hAnsi="Sakkal Majalla" w:eastAsia="Simplified Arabic" w:cs="Sakkal Majalla"/>
          <w:b/>
          <w:color w:val="000000" w:themeColor="text1"/>
          <w:sz w:val="28"/>
          <w:szCs w:val="28"/>
          <w:rtl/>
          <w14:textFill>
            <w14:solidFill>
              <w14:schemeClr w14:val="tx1"/>
            </w14:solidFill>
          </w14:textFill>
        </w:rPr>
        <w:t>. (2024)</w:t>
      </w:r>
    </w:p>
    <w:p w14:paraId="0BB3AA00">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 xml:space="preserve">هدفت الدراسة إلى التعرف على أثر تطبيق إدارة المخاطر بأبعادها (تحديد المخاطر، تصنيفها، التخفيف الاستباقي، واستخدام التحليلات التنبؤية) على كفاءة تنفيذ مشاريع البناء، وذلك في ضوء التحديات المتكررة التي تواجه هذا القطاع مثل التأخيرات وتجاوز الميزانيات، واستخدمت الدراسة المنهج الوصفي التحليلي، من خلال تحليل بيانات مشاريع بناء متنوعة ومقارنة مستويات الأداء بين المشاريع التي تبنت ممارسات استباقية في إدارة المخاطر وتلك التي لم تطبقها،وتكوّنت العينة من مشروعات بناء مختلفة في بيئات متقاربة، خضعت لقياسات الكفاءة والفعالية. </w:t>
      </w:r>
    </w:p>
    <w:p w14:paraId="068D7D32">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وتوصلت نتائج الدراسة إلى وجود علاقة إيجابية قوية بين تبني إدارة مخاطر استباقية وارتفاع كفاءة تنفيذ المشروع، إذ أظهرت المشاريع التي اعتمدت هذه الممارسات انخفاضًا ملحوظًا في التأخيرات والتكاليف الزائدة، وزيادة القدرة على التكيف مع الظروف الطارئة، وأوصت الدراسة بأهمية اعتماد استراتيجيات إدارة المخاطر المبكرة، وتدريب أصحاب المصلحة على أساليب التقييم والتقليل، إضافة إلى دمج الحلول التقنية مثل التحليلات التنبؤية ونماذج المحاكاة لتحسين اتخاذ القرار في إدارة المشاريع</w:t>
      </w:r>
      <w:r>
        <w:rPr>
          <w:rFonts w:ascii="Sakkal Majalla" w:hAnsi="Sakkal Majalla" w:eastAsia="Simplified Arabic" w:cs="Sakkal Majalla"/>
          <w:b/>
          <w:color w:val="000000" w:themeColor="text1"/>
          <w:sz w:val="28"/>
          <w:szCs w:val="28"/>
          <w14:textFill>
            <w14:solidFill>
              <w14:schemeClr w14:val="tx1"/>
            </w14:solidFill>
          </w14:textFill>
        </w:rPr>
        <w:t>.</w:t>
      </w:r>
    </w:p>
    <w:p w14:paraId="7D08ADAB">
      <w:pPr>
        <w:pStyle w:val="25"/>
        <w:numPr>
          <w:ilvl w:val="0"/>
          <w:numId w:val="8"/>
        </w:numP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دراسة</w:t>
      </w:r>
      <w:r>
        <w:rPr>
          <w:rFonts w:ascii="Sakkal Majalla" w:hAnsi="Sakkal Majalla" w:eastAsia="Simplified Arabic" w:cs="Sakkal Majalla"/>
          <w:b/>
          <w:color w:val="000000" w:themeColor="text1"/>
          <w:sz w:val="28"/>
          <w:szCs w:val="28"/>
          <w:rtl/>
          <w14:textFill>
            <w14:solidFill>
              <w14:schemeClr w14:val="tx1"/>
            </w14:solidFill>
          </w14:textFill>
        </w:rPr>
        <w:t xml:space="preserve"> </w:t>
      </w:r>
      <w:r>
        <w:rPr>
          <w:rFonts w:ascii="Sakkal Majalla" w:hAnsi="Sakkal Majalla" w:eastAsia="Simplified Arabic" w:cs="Sakkal Majalla"/>
          <w:b/>
          <w:color w:val="000000" w:themeColor="text1"/>
          <w:sz w:val="28"/>
          <w:szCs w:val="28"/>
          <w14:textFill>
            <w14:solidFill>
              <w14:schemeClr w14:val="tx1"/>
            </w14:solidFill>
          </w14:textFill>
        </w:rPr>
        <w:t>Babenko et al</w:t>
      </w:r>
      <w:r>
        <w:rPr>
          <w:rFonts w:ascii="Sakkal Majalla" w:hAnsi="Sakkal Majalla" w:eastAsia="Simplified Arabic" w:cs="Sakkal Majalla"/>
          <w:b/>
          <w:color w:val="000000" w:themeColor="text1"/>
          <w:sz w:val="28"/>
          <w:szCs w:val="28"/>
          <w:rtl/>
          <w14:textFill>
            <w14:solidFill>
              <w14:schemeClr w14:val="tx1"/>
            </w14:solidFill>
          </w14:textFill>
        </w:rPr>
        <w:t>. (2022)</w:t>
      </w:r>
    </w:p>
    <w:p w14:paraId="50FB7667">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 xml:space="preserve">هدفت الدراسة إلى التعرف على أثر تطبيق نموذج قائم على المعرفة لإدارة مخاطر مشاريع تكنولوجيا المعلومات بأبعاده (قواعد البيانات الخاصة بالمخاطر، مستودعات المعرفة، التحديث التفاعلي للمعلومات، والتعلم من الخبرات المكتسبة) على كفاءة اتخاذ القرار وإدارة تنفيذ المشاريع التقنية في بيئة ديناميكية. واستخدمت الدراسة المنهج التطويري النظري من خلال تصميم نموذج معرفي تراكمي يعكس كيفية إدخال المعلومات وتحليلها وصياغة القواعد التفسيرية لتغذية نظام خبير مخصص لإدارة مخاطر مشاريع تكنولوجيا المعلومات، وتكوّنت العينة من تحليل وظيفي لأنظمة إدارة مشاريع قابلة للتغير في متطلباتها ومجالاتها. </w:t>
      </w:r>
    </w:p>
    <w:p w14:paraId="59FA1BDE">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وتوصلت نتائج الدراسة إلى أن استخدام قاعدة معرفية مرنة تتضمن سجلًا للمخاطر، وحلولًا سابقة، وخبرات ضمنية من أصحاب العلاقة، يسهم في تحسين آليات التنبؤ بالمخاطر واتخاذ قرارات فعّالة ومبنية على معرفة تراكمية، مما يعزز قدرة المؤسسات على التعامل مع التحديات المتغيرة، وأوصت الدراسة بتبني النماذج المعرفية القائمة على الخبرة التراكمية كأداة قياسية لإدارة المخاطر في المشاريع التقنية المعقدة، وتفعيل مستودعات المعرفة المؤسسية لضمان التعلم المستمر والتحسين الذاتي في إدارة المشاريع</w:t>
      </w:r>
      <w:r>
        <w:rPr>
          <w:rFonts w:ascii="Sakkal Majalla" w:hAnsi="Sakkal Majalla" w:eastAsia="Simplified Arabic" w:cs="Sakkal Majalla"/>
          <w:b/>
          <w:color w:val="000000" w:themeColor="text1"/>
          <w:sz w:val="28"/>
          <w:szCs w:val="28"/>
          <w14:textFill>
            <w14:solidFill>
              <w14:schemeClr w14:val="tx1"/>
            </w14:solidFill>
          </w14:textFill>
        </w:rPr>
        <w:t>.</w:t>
      </w:r>
    </w:p>
    <w:p w14:paraId="6B0BF44E">
      <w:pPr>
        <w:pStyle w:val="25"/>
        <w:numPr>
          <w:ilvl w:val="0"/>
          <w:numId w:val="8"/>
        </w:numP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دراسة</w:t>
      </w:r>
      <w:r>
        <w:rPr>
          <w:rFonts w:ascii="Sakkal Majalla" w:hAnsi="Sakkal Majalla" w:eastAsia="Simplified Arabic" w:cs="Sakkal Majalla"/>
          <w:b/>
          <w:color w:val="000000" w:themeColor="text1"/>
          <w:sz w:val="28"/>
          <w:szCs w:val="28"/>
          <w:rtl/>
          <w14:textFill>
            <w14:solidFill>
              <w14:schemeClr w14:val="tx1"/>
            </w14:solidFill>
          </w14:textFill>
        </w:rPr>
        <w:t xml:space="preserve"> </w:t>
      </w:r>
      <w:r>
        <w:rPr>
          <w:rFonts w:ascii="Sakkal Majalla" w:hAnsi="Sakkal Majalla" w:eastAsia="Simplified Arabic" w:cs="Sakkal Majalla"/>
          <w:b/>
          <w:color w:val="000000" w:themeColor="text1"/>
          <w:sz w:val="28"/>
          <w:szCs w:val="28"/>
          <w14:textFill>
            <w14:solidFill>
              <w14:schemeClr w14:val="tx1"/>
            </w14:solidFill>
          </w14:textFill>
        </w:rPr>
        <w:t>Latif</w:t>
      </w:r>
      <w:r>
        <w:rPr>
          <w:rFonts w:ascii="Sakkal Majalla" w:hAnsi="Sakkal Majalla" w:eastAsia="Simplified Arabic" w:cs="Sakkal Majalla"/>
          <w:b/>
          <w:color w:val="000000" w:themeColor="text1"/>
          <w:sz w:val="28"/>
          <w:szCs w:val="28"/>
          <w:rtl/>
          <w14:textFill>
            <w14:solidFill>
              <w14:schemeClr w14:val="tx1"/>
            </w14:solidFill>
          </w14:textFill>
        </w:rPr>
        <w:t xml:space="preserve"> (2024)</w:t>
      </w:r>
    </w:p>
    <w:p w14:paraId="44A83A50">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هدفت الدراسة إلى التعرف على أثر ممارسات تقييم المخاطر بأبعادها (تحديد التهديدات، التقييم الكمي والنوعي، وتحليل العوامل التنظيمية المؤثرة) على تحسين أداء المشاريع خلال مختلف مراحل دورة حياتها. واستخدمت الدراسة المنهج الكمي، من خلال إجراء استبيانات ومقابلات مع 50 من مديري المشاريع وأعضاء الفرق في مؤسسات متنوعة، بهدف جمع بيانات أولية حول ممارسات تقييم المخاطر المطبقة ومدى فعاليتها، وتكوّنت العينة من عدد من المشاريع ذات الطابع المؤسسي المتنوع (تقني، هندسي، خدمي).</w:t>
      </w:r>
    </w:p>
    <w:p w14:paraId="04D1F126">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 xml:space="preserve"> وقد توصلت نتائج الدراسة إلى وجود ارتباط إيجابي بين تطبيق تقييم شامل ومنهجي للمخاطر وتحقيق أداء أعلى للمشاريع، حيث أظهرت التحليلات الإحصائية والنصية أن استخدام أدوات تقييم المخاطر يسهم في خفض التكاليف، وتقليص الانحرافات الزمنية، وتحسين التكيف مع التغيرات، وأوصت الدراسة بتعزيز ثقافة التقييم الوقائي للمخاطر في المؤسسات، وتدريب العاملين على استخدام أدوات التحليل الكمي والنوعي، إلى جانب تخصيص موارد كافية لتفعيل هذا الجانب الحيوي في إدارة المشاريع</w:t>
      </w:r>
      <w:r>
        <w:rPr>
          <w:rFonts w:ascii="Sakkal Majalla" w:hAnsi="Sakkal Majalla" w:eastAsia="Simplified Arabic" w:cs="Sakkal Majalla"/>
          <w:b/>
          <w:color w:val="000000" w:themeColor="text1"/>
          <w:sz w:val="28"/>
          <w:szCs w:val="28"/>
          <w14:textFill>
            <w14:solidFill>
              <w14:schemeClr w14:val="tx1"/>
            </w14:solidFill>
          </w14:textFill>
        </w:rPr>
        <w:t>.</w:t>
      </w:r>
    </w:p>
    <w:p w14:paraId="04E13BDF">
      <w:pPr>
        <w:spacing w:before="100" w:beforeAutospacing="1" w:after="100" w:afterAutospacing="1" w:line="360" w:lineRule="auto"/>
        <w:jc w:val="both"/>
        <w:outlineLvl w:val="1"/>
        <w:rPr>
          <w:rFonts w:ascii="Sakkal Majalla" w:hAnsi="Sakkal Majalla" w:cs="Sakkal Majalla"/>
          <w:bCs/>
          <w:color w:val="000000" w:themeColor="text1"/>
          <w:sz w:val="36"/>
          <w:szCs w:val="36"/>
          <w:rtl/>
          <w14:textFill>
            <w14:solidFill>
              <w14:schemeClr w14:val="tx1"/>
            </w14:solidFill>
          </w14:textFill>
        </w:rPr>
      </w:pPr>
      <w:bookmarkStart w:id="22" w:name="_e22ucaf88ea5" w:colFirst="0" w:colLast="0"/>
      <w:bookmarkEnd w:id="22"/>
      <w:bookmarkStart w:id="23" w:name="_gfi3783rn7gp" w:colFirst="0" w:colLast="0"/>
      <w:bookmarkEnd w:id="23"/>
      <w:bookmarkStart w:id="24" w:name="_Toc211696018"/>
      <w:r>
        <w:rPr>
          <w:rFonts w:ascii="Sakkal Majalla" w:hAnsi="Sakkal Majalla" w:cs="Sakkal Majalla"/>
          <w:bCs/>
          <w:color w:val="000000" w:themeColor="text1"/>
          <w:sz w:val="36"/>
          <w:szCs w:val="36"/>
          <w:rtl/>
          <w14:textFill>
            <w14:solidFill>
              <w14:schemeClr w14:val="tx1"/>
            </w14:solidFill>
          </w14:textFill>
        </w:rPr>
        <w:t>9.1 الفجوة البحثية:</w:t>
      </w:r>
      <w:bookmarkEnd w:id="24"/>
    </w:p>
    <w:p w14:paraId="41317538">
      <w:pPr>
        <w:spacing w:before="100" w:beforeAutospacing="1" w:after="100" w:afterAutospacing="1" w:line="360" w:lineRule="auto"/>
        <w:ind w:firstLine="706"/>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تُعدّ الفجوة البحثية التي تسعى الدراسة الحالية إلى معالجتها واضحة ومهمة في سياق الأدبيات المعاصرة المتعلقة بإدارة المشاريع وإدارة المخاطر، لاسيما في ظل التوجهات الاستراتيجية الكبرى التي تشهدها المملكة العربية السعودية ضمن إطار رؤية 2030. وعلى الرغم من وفرة الدراسات التي تناولت موضوع إدارة المخاطر، سواء من خلال النماذج التقنية أو المفاهيم التنظيمية أو حتى التحليل النظري، فإن غالبية هذه الدراسات بقيت مقيدة بسياقات محددة لا تُلامس جوهر المشاريع الحكومية الكبرى ذات البعد الوطني والاستراتيجي، والتي تمثل عصب التغيرات التنموية الطموحة في المملكة.</w:t>
      </w:r>
    </w:p>
    <w:p w14:paraId="216AB66B">
      <w:pPr>
        <w:spacing w:before="100" w:beforeAutospacing="1" w:after="100" w:afterAutospacing="1" w:line="360" w:lineRule="auto"/>
        <w:ind w:firstLine="706"/>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 xml:space="preserve">فعند النظر إلى الدراسات التي ركزت على الأمن السيبراني وتكنولوجيا المعلومات مثل دراسة </w:t>
      </w:r>
      <w:r>
        <w:rPr>
          <w:rFonts w:ascii="Sakkal Majalla" w:hAnsi="Sakkal Majalla" w:cs="Sakkal Majalla"/>
          <w:b/>
          <w:color w:val="000000" w:themeColor="text1"/>
          <w:sz w:val="28"/>
          <w:szCs w:val="28"/>
          <w14:textFill>
            <w14:solidFill>
              <w14:schemeClr w14:val="tx1"/>
            </w14:solidFill>
          </w14:textFill>
        </w:rPr>
        <w:t xml:space="preserve">Al </w:t>
      </w:r>
      <w:r>
        <w:rPr>
          <w:rFonts w:ascii="Sakkal Majalla" w:hAnsi="Sakkal Majalla" w:cs="Sakkal Majalla"/>
          <w:bCs/>
          <w:color w:val="000000" w:themeColor="text1"/>
          <w:sz w:val="28"/>
          <w:szCs w:val="28"/>
          <w14:textFill>
            <w14:solidFill>
              <w14:schemeClr w14:val="tx1"/>
            </w14:solidFill>
          </w14:textFill>
        </w:rPr>
        <w:t>Janabi</w:t>
      </w:r>
      <w:r>
        <w:rPr>
          <w:rFonts w:ascii="Sakkal Majalla" w:hAnsi="Sakkal Majalla" w:cs="Sakkal Majalla"/>
          <w:b/>
          <w:color w:val="000000" w:themeColor="text1"/>
          <w:sz w:val="28"/>
          <w:szCs w:val="28"/>
          <w14:textFill>
            <w14:solidFill>
              <w14:schemeClr w14:val="tx1"/>
            </w14:solidFill>
          </w14:textFill>
        </w:rPr>
        <w:t xml:space="preserve"> </w:t>
      </w:r>
      <w:r>
        <w:rPr>
          <w:rFonts w:ascii="Sakkal Majalla" w:hAnsi="Sakkal Majalla" w:cs="Sakkal Majalla"/>
          <w:bCs/>
          <w:color w:val="000000" w:themeColor="text1"/>
          <w:sz w:val="28"/>
          <w:szCs w:val="28"/>
          <w14:textFill>
            <w14:solidFill>
              <w14:schemeClr w14:val="tx1"/>
            </w14:solidFill>
          </w14:textFill>
        </w:rPr>
        <w:t>et</w:t>
      </w:r>
      <w:r>
        <w:rPr>
          <w:rFonts w:ascii="Sakkal Majalla" w:hAnsi="Sakkal Majalla" w:cs="Sakkal Majalla"/>
          <w:b/>
          <w:color w:val="000000" w:themeColor="text1"/>
          <w:sz w:val="28"/>
          <w:szCs w:val="28"/>
          <w14:textFill>
            <w14:solidFill>
              <w14:schemeClr w14:val="tx1"/>
            </w14:solidFill>
          </w14:textFill>
        </w:rPr>
        <w:t xml:space="preserve"> </w:t>
      </w:r>
      <w:r>
        <w:rPr>
          <w:rFonts w:ascii="Sakkal Majalla" w:hAnsi="Sakkal Majalla" w:cs="Sakkal Majalla"/>
          <w:bCs/>
          <w:color w:val="000000" w:themeColor="text1"/>
          <w:sz w:val="28"/>
          <w:szCs w:val="28"/>
          <w14:textFill>
            <w14:solidFill>
              <w14:schemeClr w14:val="tx1"/>
            </w14:solidFill>
          </w14:textFill>
        </w:rPr>
        <w:t>al</w:t>
      </w:r>
      <w:r>
        <w:rPr>
          <w:rFonts w:ascii="Sakkal Majalla" w:hAnsi="Sakkal Majalla" w:cs="Sakkal Majalla"/>
          <w:b/>
          <w:color w:val="000000" w:themeColor="text1"/>
          <w:sz w:val="28"/>
          <w:szCs w:val="28"/>
          <w:rtl/>
          <w14:textFill>
            <w14:solidFill>
              <w14:schemeClr w14:val="tx1"/>
            </w14:solidFill>
          </w14:textFill>
        </w:rPr>
        <w:t xml:space="preserve">. (2024) ودراسة </w:t>
      </w:r>
      <w:r>
        <w:rPr>
          <w:rFonts w:ascii="Sakkal Majalla" w:hAnsi="Sakkal Majalla" w:cs="Sakkal Majalla"/>
          <w:bCs/>
          <w:color w:val="000000" w:themeColor="text1"/>
          <w:sz w:val="28"/>
          <w:szCs w:val="28"/>
          <w14:textFill>
            <w14:solidFill>
              <w14:schemeClr w14:val="tx1"/>
            </w14:solidFill>
          </w14:textFill>
        </w:rPr>
        <w:t>Jabbar</w:t>
      </w:r>
      <w:r>
        <w:rPr>
          <w:rFonts w:ascii="Sakkal Majalla" w:hAnsi="Sakkal Majalla" w:cs="Sakkal Majalla"/>
          <w:b/>
          <w:color w:val="000000" w:themeColor="text1"/>
          <w:sz w:val="28"/>
          <w:szCs w:val="28"/>
          <w14:textFill>
            <w14:solidFill>
              <w14:schemeClr w14:val="tx1"/>
            </w14:solidFill>
          </w14:textFill>
        </w:rPr>
        <w:t xml:space="preserve"> </w:t>
      </w:r>
      <w:r>
        <w:rPr>
          <w:rFonts w:ascii="Sakkal Majalla" w:hAnsi="Sakkal Majalla" w:cs="Sakkal Majalla"/>
          <w:bCs/>
          <w:color w:val="000000" w:themeColor="text1"/>
          <w:sz w:val="28"/>
          <w:szCs w:val="28"/>
          <w14:textFill>
            <w14:solidFill>
              <w14:schemeClr w14:val="tx1"/>
            </w14:solidFill>
          </w14:textFill>
        </w:rPr>
        <w:t>et</w:t>
      </w:r>
      <w:r>
        <w:rPr>
          <w:rFonts w:ascii="Sakkal Majalla" w:hAnsi="Sakkal Majalla" w:cs="Sakkal Majalla"/>
          <w:b/>
          <w:color w:val="000000" w:themeColor="text1"/>
          <w:sz w:val="28"/>
          <w:szCs w:val="28"/>
          <w14:textFill>
            <w14:solidFill>
              <w14:schemeClr w14:val="tx1"/>
            </w14:solidFill>
          </w14:textFill>
        </w:rPr>
        <w:t xml:space="preserve"> </w:t>
      </w:r>
      <w:r>
        <w:rPr>
          <w:rFonts w:ascii="Sakkal Majalla" w:hAnsi="Sakkal Majalla" w:cs="Sakkal Majalla"/>
          <w:bCs/>
          <w:color w:val="000000" w:themeColor="text1"/>
          <w:sz w:val="28"/>
          <w:szCs w:val="28"/>
          <w14:textFill>
            <w14:solidFill>
              <w14:schemeClr w14:val="tx1"/>
            </w14:solidFill>
          </w14:textFill>
        </w:rPr>
        <w:t>al</w:t>
      </w:r>
      <w:r>
        <w:rPr>
          <w:rFonts w:ascii="Sakkal Majalla" w:hAnsi="Sakkal Majalla" w:cs="Sakkal Majalla"/>
          <w:b/>
          <w:color w:val="000000" w:themeColor="text1"/>
          <w:sz w:val="28"/>
          <w:szCs w:val="28"/>
          <w:rtl/>
          <w14:textFill>
            <w14:solidFill>
              <w14:schemeClr w14:val="tx1"/>
            </w14:solidFill>
          </w14:textFill>
        </w:rPr>
        <w:t>. (2024)، نجد أنها تناولت إدارة المخاطر من زاوية ضيقة ترتبط بالتهديدات الرقمية أو المشاريع التقنية، وركزت على مفاهيم مثل الأمان السيبراني والاستجابة التكنولوجية والتكامل مع أنظمة أمن المعلومات. ورغم أهمية تلك الأبعاد، إلا أنها لا تعكس تعقيدات المشاريع الحكومية الكبرى التي تتداخل فيها عوامل بشرية، مالية، تنظيمية، وتنموية، وتواجه مخاطر من نوع مختلف يتعلق بالتكلفة، الوقت، تعقيد أصحاب المصلحة، والضغوط السياسية.</w:t>
      </w:r>
    </w:p>
    <w:p w14:paraId="15E4EEE1">
      <w:pPr>
        <w:spacing w:before="100" w:beforeAutospacing="1" w:after="100" w:afterAutospacing="1" w:line="360" w:lineRule="auto"/>
        <w:ind w:firstLine="706"/>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 xml:space="preserve">كما أن بعض الدراسات مثل </w:t>
      </w:r>
      <w:r>
        <w:rPr>
          <w:rFonts w:ascii="Sakkal Majalla" w:hAnsi="Sakkal Majalla" w:cs="Sakkal Majalla"/>
          <w:bCs/>
          <w:color w:val="000000" w:themeColor="text1"/>
          <w:sz w:val="28"/>
          <w:szCs w:val="28"/>
          <w14:textFill>
            <w14:solidFill>
              <w14:schemeClr w14:val="tx1"/>
            </w14:solidFill>
          </w14:textFill>
        </w:rPr>
        <w:t>Araujo et al</w:t>
      </w:r>
      <w:r>
        <w:rPr>
          <w:rFonts w:ascii="Sakkal Majalla" w:hAnsi="Sakkal Majalla" w:cs="Sakkal Majalla"/>
          <w:bCs/>
          <w:color w:val="000000" w:themeColor="text1"/>
          <w:sz w:val="28"/>
          <w:szCs w:val="28"/>
          <w:rtl/>
          <w14:textFill>
            <w14:solidFill>
              <w14:schemeClr w14:val="tx1"/>
            </w14:solidFill>
          </w14:textFill>
        </w:rPr>
        <w:t>.</w:t>
      </w:r>
      <w:r>
        <w:rPr>
          <w:rFonts w:ascii="Sakkal Majalla" w:hAnsi="Sakkal Majalla" w:cs="Sakkal Majalla"/>
          <w:b/>
          <w:color w:val="000000" w:themeColor="text1"/>
          <w:sz w:val="28"/>
          <w:szCs w:val="28"/>
          <w:rtl/>
          <w14:textFill>
            <w14:solidFill>
              <w14:schemeClr w14:val="tx1"/>
            </w14:solidFill>
          </w14:textFill>
        </w:rPr>
        <w:t xml:space="preserve"> (2024) أو </w:t>
      </w:r>
      <w:r>
        <w:rPr>
          <w:rFonts w:ascii="Sakkal Majalla" w:hAnsi="Sakkal Majalla" w:cs="Sakkal Majalla"/>
          <w:bCs/>
          <w:color w:val="000000" w:themeColor="text1"/>
          <w:sz w:val="28"/>
          <w:szCs w:val="28"/>
          <w14:textFill>
            <w14:solidFill>
              <w14:schemeClr w14:val="tx1"/>
            </w14:solidFill>
          </w14:textFill>
        </w:rPr>
        <w:t>Zhu</w:t>
      </w:r>
      <w:r>
        <w:rPr>
          <w:rFonts w:ascii="Sakkal Majalla" w:hAnsi="Sakkal Majalla" w:cs="Sakkal Majalla"/>
          <w:b/>
          <w:color w:val="000000" w:themeColor="text1"/>
          <w:sz w:val="28"/>
          <w:szCs w:val="28"/>
          <w:rtl/>
          <w14:textFill>
            <w14:solidFill>
              <w14:schemeClr w14:val="tx1"/>
            </w14:solidFill>
          </w14:textFill>
        </w:rPr>
        <w:t xml:space="preserve"> (2024) تبنّت مناهج نظرية أو تحليلية تعتمد على مراجعة الأدبيات أو النماذج المفاهيمية، دون إجراء اختبارات تطبيقية على أرض الواقع، ما يجعل نتائجها أقل عملية عند النظر في كيفية تنفيذ مشاريع ضخمة في بيئة مليئة بالمتغيرات المؤسسية والتنظيمية، كما هو الحال في المشروعات الحكومية السعودية. إضافة إلى ذلك، فإن الدراسات التي ركزت على مراحل إدارة المشروع كدراسة </w:t>
      </w:r>
      <w:r>
        <w:rPr>
          <w:rFonts w:ascii="Sakkal Majalla" w:hAnsi="Sakkal Majalla" w:cs="Sakkal Majalla"/>
          <w:bCs/>
          <w:color w:val="000000" w:themeColor="text1"/>
          <w:sz w:val="28"/>
          <w:szCs w:val="28"/>
          <w14:textFill>
            <w14:solidFill>
              <w14:schemeClr w14:val="tx1"/>
            </w14:solidFill>
          </w14:textFill>
        </w:rPr>
        <w:t>Al Jarrah et al</w:t>
      </w:r>
      <w:r>
        <w:rPr>
          <w:rFonts w:ascii="Sakkal Majalla" w:hAnsi="Sakkal Majalla" w:cs="Sakkal Majalla"/>
          <w:b/>
          <w:color w:val="000000" w:themeColor="text1"/>
          <w:sz w:val="28"/>
          <w:szCs w:val="28"/>
          <w:rtl/>
          <w14:textFill>
            <w14:solidFill>
              <w14:schemeClr w14:val="tx1"/>
            </w14:solidFill>
          </w14:textFill>
        </w:rPr>
        <w:t>. (2022)، رغم أنها دمجت بين إدارة المشروع وإدارة المخاطر، إلا أنها أجريت في الأردن، وفي سياق مشاريع هندسية أصغر نسبيًا من المشاريع العملاقة التي تنفذها الحكومة السعودية كجزء من برامج الرؤية الوطنية.</w:t>
      </w:r>
    </w:p>
    <w:p w14:paraId="0AACF692">
      <w:pPr>
        <w:spacing w:before="100" w:beforeAutospacing="1" w:after="100" w:afterAutospacing="1" w:line="360" w:lineRule="auto"/>
        <w:ind w:firstLine="706"/>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 xml:space="preserve">ومن جانب آخر، فإن بعض الدراسات مثل </w:t>
      </w:r>
      <w:r>
        <w:rPr>
          <w:rFonts w:ascii="Sakkal Majalla" w:hAnsi="Sakkal Majalla" w:cs="Sakkal Majalla"/>
          <w:bCs/>
          <w:color w:val="000000" w:themeColor="text1"/>
          <w:sz w:val="28"/>
          <w:szCs w:val="28"/>
          <w14:textFill>
            <w14:solidFill>
              <w14:schemeClr w14:val="tx1"/>
            </w14:solidFill>
          </w14:textFill>
        </w:rPr>
        <w:t>Alshehhi et al</w:t>
      </w:r>
      <w:r>
        <w:rPr>
          <w:rFonts w:ascii="Sakkal Majalla" w:hAnsi="Sakkal Majalla" w:cs="Sakkal Majalla"/>
          <w:bCs/>
          <w:color w:val="000000" w:themeColor="text1"/>
          <w:sz w:val="28"/>
          <w:szCs w:val="28"/>
          <w:rtl/>
          <w14:textFill>
            <w14:solidFill>
              <w14:schemeClr w14:val="tx1"/>
            </w14:solidFill>
          </w14:textFill>
        </w:rPr>
        <w:t>.</w:t>
      </w:r>
      <w:r>
        <w:rPr>
          <w:rFonts w:ascii="Sakkal Majalla" w:hAnsi="Sakkal Majalla" w:cs="Sakkal Majalla"/>
          <w:b/>
          <w:color w:val="000000" w:themeColor="text1"/>
          <w:sz w:val="28"/>
          <w:szCs w:val="28"/>
          <w:rtl/>
          <w14:textFill>
            <w14:solidFill>
              <w14:schemeClr w14:val="tx1"/>
            </w14:solidFill>
          </w14:textFill>
        </w:rPr>
        <w:t xml:space="preserve"> (2024) و</w:t>
      </w:r>
      <w:r>
        <w:rPr>
          <w:rFonts w:ascii="Sakkal Majalla" w:hAnsi="Sakkal Majalla" w:cs="Sakkal Majalla"/>
          <w:b/>
          <w:color w:val="000000" w:themeColor="text1"/>
          <w:sz w:val="28"/>
          <w:szCs w:val="28"/>
          <w14:textFill>
            <w14:solidFill>
              <w14:schemeClr w14:val="tx1"/>
            </w14:solidFill>
          </w14:textFill>
        </w:rPr>
        <w:t>Latif</w:t>
      </w:r>
      <w:r>
        <w:rPr>
          <w:rFonts w:ascii="Sakkal Majalla" w:hAnsi="Sakkal Majalla" w:cs="Sakkal Majalla"/>
          <w:b/>
          <w:color w:val="000000" w:themeColor="text1"/>
          <w:sz w:val="28"/>
          <w:szCs w:val="28"/>
          <w:rtl/>
          <w14:textFill>
            <w14:solidFill>
              <w14:schemeClr w14:val="tx1"/>
            </w14:solidFill>
          </w14:textFill>
        </w:rPr>
        <w:t xml:space="preserve"> (2024) قدمت تحليلات قيّمة لفاعلية التقييم المبكر للمخاطر وأثره على تحسين الأداء، ولكنها اقتصرت على مشاريع البناء التقليدية أو مؤسسات خدمية غير حكومية، كما أنها لم تتطرق إلى مشاريع ذات أبعاد متعددة تشمل الأمن، الطاقة، البيئة، والإسكان، كما هو شائع في المشاريع الحكومية الكبرى في المملكة. وحتى الدراسات التي طرحت أطرًا معرفية وتكنولوجية مثل </w:t>
      </w:r>
      <w:r>
        <w:rPr>
          <w:rFonts w:ascii="Sakkal Majalla" w:hAnsi="Sakkal Majalla" w:cs="Sakkal Majalla"/>
          <w:bCs/>
          <w:color w:val="000000" w:themeColor="text1"/>
          <w:sz w:val="28"/>
          <w:szCs w:val="28"/>
          <w14:textFill>
            <w14:solidFill>
              <w14:schemeClr w14:val="tx1"/>
            </w14:solidFill>
          </w14:textFill>
        </w:rPr>
        <w:t>Babenko et al</w:t>
      </w:r>
      <w:r>
        <w:rPr>
          <w:rFonts w:ascii="Sakkal Majalla" w:hAnsi="Sakkal Majalla" w:cs="Sakkal Majalla"/>
          <w:b/>
          <w:color w:val="000000" w:themeColor="text1"/>
          <w:sz w:val="28"/>
          <w:szCs w:val="28"/>
          <w:rtl/>
          <w14:textFill>
            <w14:solidFill>
              <w14:schemeClr w14:val="tx1"/>
            </w14:solidFill>
          </w14:textFill>
        </w:rPr>
        <w:t xml:space="preserve">. (2022) أو </w:t>
      </w:r>
      <w:r>
        <w:rPr>
          <w:rFonts w:ascii="Sakkal Majalla" w:hAnsi="Sakkal Majalla" w:cs="Sakkal Majalla"/>
          <w:bCs/>
          <w:color w:val="000000" w:themeColor="text1"/>
          <w:sz w:val="28"/>
          <w:szCs w:val="28"/>
          <w14:textFill>
            <w14:solidFill>
              <w14:schemeClr w14:val="tx1"/>
            </w14:solidFill>
          </w14:textFill>
        </w:rPr>
        <w:t>Rekunenko et al</w:t>
      </w:r>
      <w:r>
        <w:rPr>
          <w:rFonts w:ascii="Sakkal Majalla" w:hAnsi="Sakkal Majalla" w:cs="Sakkal Majalla"/>
          <w:b/>
          <w:color w:val="000000" w:themeColor="text1"/>
          <w:sz w:val="28"/>
          <w:szCs w:val="28"/>
          <w:rtl/>
          <w14:textFill>
            <w14:solidFill>
              <w14:schemeClr w14:val="tx1"/>
            </w14:solidFill>
          </w14:textFill>
        </w:rPr>
        <w:t>. (2024)، فقد ظلت في سياق تكنولوجيا المعلومات، ولم تُعمم نتائجها على بيئة المشاريع الكبرى متعددة الأبعاد والقطاعات.</w:t>
      </w:r>
    </w:p>
    <w:p w14:paraId="287C07CC">
      <w:pPr>
        <w:spacing w:before="100" w:beforeAutospacing="1" w:after="100" w:afterAutospacing="1" w:line="360" w:lineRule="auto"/>
        <w:ind w:firstLine="706"/>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الفجوة الحقيقية التي تسعى الدراسة الحالية إلى معالجتها تتعلق بغياب الأبحاث التي تُقيم بشكل عملي وميداني أثر تطبيق إدارة المخاطر بجميع مراحلها (تحديد، تقييم، تخفيف، متابعة) على نجاح المشاريع الحكومية العملاقة التي تنفذها المملكة ضمن إطار رؤية 2030، والتي تتطلب مقاربات دقيقة لخفض نسب الفشل، وضمان الجودة، وتحقيق الجداول الزمنية والتكاليف المخطط لها. كذلك، لا توجد دراسات سابقة – في حدود ما توفر من مراجعات – ربطت بشكل واضح بين نجاح المشروع كمفهوم متعدد الأبعاد (يشمل الرضا المجتمعي، الكفاءة الاقتصادية، الاستدامة، الإنجاز في الوقت المحدد) وبين فاعلية إدارة المخاطر كممارسة إدارية مؤسسية متكاملة.</w:t>
      </w:r>
    </w:p>
    <w:p w14:paraId="3943DEE6">
      <w:pPr>
        <w:spacing w:before="100" w:beforeAutospacing="1" w:after="100" w:afterAutospacing="1" w:line="360" w:lineRule="auto"/>
        <w:ind w:firstLine="706"/>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إنّ البيئة السعودية تمثل نموذجًا فريدًا من حيث حجم الاستثمارات، وضغط الزمن، وتنوع المشاريع، والتغيرات التنظيمية المستمرة، مما يجعل من الضروري تقديم دراسة بحثية ذات طابع تطبيقي تُعنى بفهم الواقع التنفيذي، وتحليل العلاقة بين ممارسات إدارة المخاطر ونجاح المشاريع وفق محددات وطنية، وليس فقط مفاهيم عامة. وتُعد هذه الدراسة مساهمة بحثية حقيقية من شأنها سدّ هذه الفجوة المعرفية والتطبيقية، من خلال تقديم نموذج تحليلي مبني على معطيات واقعية لمشاريع حكومية قائمة، ما يفتح المجال أمام تحسين إدارة المشاريع الوطنية مستقبلاً، ووضع أُطر منهجية تساعد الجهات المعنية على تعزيز ثقافة التقييم الوقائي للمخاطر، وزيادة مرونة المشاريع وتحقيق أهداف رؤية المملكة 2030 بكفاءة وفعالية.</w:t>
      </w:r>
    </w:p>
    <w:p w14:paraId="0715F8AC">
      <w:pPr>
        <w:spacing w:before="100" w:beforeAutospacing="1" w:after="100" w:afterAutospacing="1" w:line="360" w:lineRule="auto"/>
        <w:jc w:val="both"/>
        <w:outlineLvl w:val="1"/>
        <w:rPr>
          <w:rFonts w:ascii="Sakkal Majalla" w:hAnsi="Sakkal Majalla" w:cs="Sakkal Majalla"/>
          <w:bCs/>
          <w:color w:val="000000" w:themeColor="text1"/>
          <w:sz w:val="36"/>
          <w:szCs w:val="36"/>
          <w:rtl/>
          <w14:textFill>
            <w14:solidFill>
              <w14:schemeClr w14:val="tx1"/>
            </w14:solidFill>
          </w14:textFill>
        </w:rPr>
      </w:pPr>
      <w:bookmarkStart w:id="25" w:name="_v1slmrxe8jsp" w:colFirst="0" w:colLast="0"/>
      <w:bookmarkEnd w:id="25"/>
      <w:bookmarkStart w:id="26" w:name="_i9li21g4cj9g" w:colFirst="0" w:colLast="0"/>
      <w:bookmarkEnd w:id="26"/>
      <w:bookmarkStart w:id="27" w:name="_Toc211696019"/>
      <w:r>
        <w:rPr>
          <w:rFonts w:ascii="Sakkal Majalla" w:hAnsi="Sakkal Majalla" w:cs="Sakkal Majalla"/>
          <w:bCs/>
          <w:color w:val="000000" w:themeColor="text1"/>
          <w:sz w:val="36"/>
          <w:szCs w:val="36"/>
          <w:rtl/>
          <w14:textFill>
            <w14:solidFill>
              <w14:schemeClr w14:val="tx1"/>
            </w14:solidFill>
          </w14:textFill>
        </w:rPr>
        <w:t>10.1 المنطلقات النظرية للدراسة:</w:t>
      </w:r>
      <w:bookmarkEnd w:id="27"/>
    </w:p>
    <w:p w14:paraId="318511C4">
      <w:pPr>
        <w:spacing w:before="100" w:beforeAutospacing="1" w:after="100" w:afterAutospacing="1" w:line="360" w:lineRule="auto"/>
        <w:ind w:firstLine="706"/>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ترتكز المنطلقات النظرية للدراسة الحالية، التي تبحث في "أثر تطبيق إدارة المخاطر على نجاح المشاريع الكبرى في إطار رؤية المملكة 2030: دراسة تطبيقية على المشاريع الحكومية في المملكة العربية السعودية"، على مجموعة من المفاهيم والنظريات الإدارية التي تشكل الإطار الفكري الذي تنطلق منه الدراسة لتفسير العلاقة بين إدارة المخاطر ونجاح المشاريع. وتُعد إدارة المخاطر من أبرز ممارسات الإدارة الحديثة التي تطورت في ظل تعقّد المشاريع وتزايد حجم الاستثمارات، لا سيما في القطاعات الحكومية التي أصبحت معنية بتحقيق نتائج ملموسة ضمن أطر زمنية ومالية محددة. فقد أصبح النظر إلى المخاطر ليس باعتبارها أحداثاً سلبية عارضة فقط، بل كعناصر متوقعة وقابلة للإدارة، يمثل نقلة نوعية في فلسفة إدارة المشاريع، مما يعزز الحاجة إلى فهم أعمق لتطبيقاتها وأثرها على النجاح الاستراتيجي للمشروعات.</w:t>
      </w:r>
    </w:p>
    <w:p w14:paraId="59075542">
      <w:pPr>
        <w:spacing w:before="100" w:beforeAutospacing="1" w:after="100" w:afterAutospacing="1" w:line="360" w:lineRule="auto"/>
        <w:ind w:firstLine="706"/>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ويستند الإطار النظري للدراسة إلى النظرية النظامية (</w:t>
      </w:r>
      <w:r>
        <w:rPr>
          <w:rFonts w:ascii="Sakkal Majalla" w:hAnsi="Sakkal Majalla" w:cs="Sakkal Majalla"/>
          <w:bCs/>
          <w:color w:val="000000" w:themeColor="text1"/>
          <w:sz w:val="28"/>
          <w:szCs w:val="28"/>
          <w14:textFill>
            <w14:solidFill>
              <w14:schemeClr w14:val="tx1"/>
            </w14:solidFill>
          </w14:textFill>
        </w:rPr>
        <w:t>Systems Theory</w:t>
      </w:r>
      <w:r>
        <w:rPr>
          <w:rFonts w:ascii="Sakkal Majalla" w:hAnsi="Sakkal Majalla" w:cs="Sakkal Majalla"/>
          <w:b/>
          <w:color w:val="000000" w:themeColor="text1"/>
          <w:sz w:val="28"/>
          <w:szCs w:val="28"/>
          <w:rtl/>
          <w14:textFill>
            <w14:solidFill>
              <w14:schemeClr w14:val="tx1"/>
            </w14:solidFill>
          </w14:textFill>
        </w:rPr>
        <w:t>) التي تنظر إلى المشروع كمنظومة مترابطة من الأنشطة والعلاقات والموارد، تتأثر بالبيئة المحيطة بها داخليًا وخارجيًا، ما يجعل من إدارة المخاطر وظيفة حيوية لحماية هذا النظام من الانهيار أو التعثر في ظل التهديدات أو المتغيرات المفاجئة. كذلك، تستفيد الدراسة من مفاهيم "مثلث إدارة المشروع" (</w:t>
      </w:r>
      <w:r>
        <w:rPr>
          <w:rFonts w:ascii="Sakkal Majalla" w:hAnsi="Sakkal Majalla" w:cs="Sakkal Majalla"/>
          <w:bCs/>
          <w:color w:val="000000" w:themeColor="text1"/>
          <w:sz w:val="28"/>
          <w:szCs w:val="28"/>
          <w14:textFill>
            <w14:solidFill>
              <w14:schemeClr w14:val="tx1"/>
            </w14:solidFill>
          </w14:textFill>
        </w:rPr>
        <w:t>Project Management Triangle</w:t>
      </w:r>
      <w:r>
        <w:rPr>
          <w:rFonts w:ascii="Sakkal Majalla" w:hAnsi="Sakkal Majalla" w:cs="Sakkal Majalla"/>
          <w:b/>
          <w:color w:val="000000" w:themeColor="text1"/>
          <w:sz w:val="28"/>
          <w:szCs w:val="28"/>
          <w:rtl/>
          <w14:textFill>
            <w14:solidFill>
              <w14:schemeClr w14:val="tx1"/>
            </w14:solidFill>
          </w14:textFill>
        </w:rPr>
        <w:t>)، الذي يتكون من الوقت والتكلفة والجودة، باعتبارها المحددات الرئيسية لنجاح المشاريع، وتفترض أن المخاطر التي تؤثر في أحد هذه الأبعاد قادرة على التأثير على المشروع ككل. وهنا تلعب إدارة المخاطر دوراً محورياً في تقليل الانحرافات وضمان الاستدامة التنفيذية.</w:t>
      </w:r>
    </w:p>
    <w:p w14:paraId="095EA2A4">
      <w:pPr>
        <w:spacing w:before="100" w:beforeAutospacing="1" w:after="100" w:afterAutospacing="1" w:line="360" w:lineRule="auto"/>
        <w:ind w:firstLine="706"/>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إضافة إلى ذلك، تعتمد الدراسة على الإطار المعرفي الذي توفره "نظرية اتخاذ القرار في ظل عدم اليقين" (</w:t>
      </w:r>
      <w:r>
        <w:rPr>
          <w:rFonts w:ascii="Sakkal Majalla" w:hAnsi="Sakkal Majalla" w:cs="Sakkal Majalla"/>
          <w:bCs/>
          <w:color w:val="000000" w:themeColor="text1"/>
          <w:sz w:val="28"/>
          <w:szCs w:val="28"/>
          <w14:textFill>
            <w14:solidFill>
              <w14:schemeClr w14:val="tx1"/>
            </w14:solidFill>
          </w14:textFill>
        </w:rPr>
        <w:t>Decision-Making Under Uncertainty</w:t>
      </w:r>
      <w:r>
        <w:rPr>
          <w:rFonts w:ascii="Sakkal Majalla" w:hAnsi="Sakkal Majalla" w:cs="Sakkal Majalla"/>
          <w:b/>
          <w:color w:val="000000" w:themeColor="text1"/>
          <w:sz w:val="28"/>
          <w:szCs w:val="28"/>
          <w:rtl/>
          <w14:textFill>
            <w14:solidFill>
              <w14:schemeClr w14:val="tx1"/>
            </w14:solidFill>
          </w14:textFill>
        </w:rPr>
        <w:t>)، وهي نظرية تُعنى بكيفية اتخاذ قرارات عقلانية عندما تكون النتائج المحتملة غير مؤكدة أو عندما تكون البيانات المتوفرة غير مكتملة. ووفقًا لهذه النظرية، فإن عملية إدارة المخاطر، بدءاً من تحديدها مروراً بتقييمها وانتهاءً بخطط الاستجابة، تعد شكلاً من أشكال القرار الاستراتيجي الذي يهدف إلى الحد من الأثر السلبي للمجهول على المشروع، وتعظيم فرص النجاح، خاصة في المشاريع ذات الطابع الوطني والتمويل المرتفع.</w:t>
      </w:r>
    </w:p>
    <w:p w14:paraId="0E922301">
      <w:pPr>
        <w:spacing w:before="100" w:beforeAutospacing="1" w:after="100" w:afterAutospacing="1" w:line="360" w:lineRule="auto"/>
        <w:ind w:firstLine="706"/>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 xml:space="preserve">كما تستند الدراسة إلى أدبيات ونماذج عالمية في إدارة المخاطر، مثل معيار إدارة المخاطر المؤسسية </w:t>
      </w:r>
      <w:r>
        <w:rPr>
          <w:rFonts w:ascii="Sakkal Majalla" w:hAnsi="Sakkal Majalla" w:cs="Sakkal Majalla"/>
          <w:b/>
          <w:color w:val="000000" w:themeColor="text1"/>
          <w:sz w:val="28"/>
          <w:szCs w:val="28"/>
          <w14:textFill>
            <w14:solidFill>
              <w14:schemeClr w14:val="tx1"/>
            </w14:solidFill>
          </w14:textFill>
        </w:rPr>
        <w:t>ISO</w:t>
      </w:r>
      <w:r>
        <w:rPr>
          <w:rFonts w:ascii="Sakkal Majalla" w:hAnsi="Sakkal Majalla" w:cs="Sakkal Majalla"/>
          <w:b/>
          <w:color w:val="000000" w:themeColor="text1"/>
          <w:sz w:val="28"/>
          <w:szCs w:val="28"/>
          <w:rtl/>
          <w14:textFill>
            <w14:solidFill>
              <w14:schemeClr w14:val="tx1"/>
            </w14:solidFill>
          </w14:textFill>
        </w:rPr>
        <w:t xml:space="preserve"> 31000، الذي يوفّر إطاراً منهجيًا لتحديد، وتقييم، ومعالجة، ومراقبة المخاطر. ويعزز هذا المعيار من أهمية دمج إدارة المخاطر في جميع مراحل المشروع، وليس فقط التعامل معها كردّ فعل بعد وقوع المشكلة. كما يُبرز أهمية ثقافة إدارة المخاطر في المؤسسات الحكومية، باعتبارها ثقافة وقائية واستباقية تسعى إلى تحقيق أعلى درجات الفعالية في تحقيق الأهداف الوطنية، لا سيما في ظل رؤية 2030 التي تحث على الحوكمة والشفافية وتعظيم العائد على الاستثمار العام.</w:t>
      </w:r>
    </w:p>
    <w:p w14:paraId="1755A466">
      <w:pPr>
        <w:spacing w:before="100" w:beforeAutospacing="1" w:after="100" w:afterAutospacing="1" w:line="360" w:lineRule="auto"/>
        <w:ind w:firstLine="706"/>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وتنطلق الدراسة أيضًا من الفهم المعاصر لمفهوم "نجاح المشروع"، الذي لم يعد يقتصر على الإنجاز الفني في الوقت المحدد وضمن الميزانية المحددة، بل بات يشمل مؤشرات أكثر تعقيدًا كمدى تحقيق أهداف المشروع التنموية، ورضا أصحاب المصلحة، والاستدامة البيئية والاجتماعية، ومدى قابلية المشروع للتوسع أو التكامل مع مشاريع أخرى. هذا التحول في تعريف النجاح يتطلب إطارًا أكثر مرونة لإدارة المخاطر، لا يركز فقط على تقليل الخسائر، وإنما على تعزيز فرص النجاح وتحقيق القيمة المضافة.</w:t>
      </w:r>
    </w:p>
    <w:p w14:paraId="4B909806">
      <w:pPr>
        <w:spacing w:before="100" w:beforeAutospacing="1" w:after="100" w:afterAutospacing="1" w:line="360" w:lineRule="auto"/>
        <w:ind w:firstLine="706"/>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في ضوء ما سبق، فإن الدراسة الحالية لا تسعى فقط إلى تحليل مدى تطبيق أدوات إدارة المخاطر، بل تهدف إلى الكشف عن طبيعة العلاقة بين تلك الأدوات ونجاح المشاريع الحكومية في المملكة ضمن سياق اقتصادي واجتماعي متسارع التغير، تحكمه التزامات ضخمة وتوقعات عالية. وبالتالي، فإن المنطلقات النظرية للدراسة تتيح لها بناء نموذج تحليلي يرتكز على فهم شمولي وعلمي لمفاهيم إدارة المخاطر ونجاح المشاريع، ضمن بيئة تنفيذية تحفز الابتكار والحوكمة وتسعى لتحقيق الاستدامة في إطار رؤية طموحة كـرؤية 2030.</w:t>
      </w:r>
    </w:p>
    <w:p w14:paraId="2A648CB7">
      <w:pPr>
        <w:spacing w:before="100" w:beforeAutospacing="1" w:after="100" w:afterAutospacing="1" w:line="360" w:lineRule="auto"/>
        <w:jc w:val="both"/>
        <w:outlineLvl w:val="1"/>
        <w:rPr>
          <w:rFonts w:ascii="Sakkal Majalla" w:hAnsi="Sakkal Majalla" w:eastAsia="Simplified Arabic" w:cs="Sakkal Majalla"/>
          <w:bCs/>
          <w:color w:val="000000" w:themeColor="text1"/>
          <w:sz w:val="36"/>
          <w:szCs w:val="36"/>
          <w:rtl/>
          <w14:textFill>
            <w14:solidFill>
              <w14:schemeClr w14:val="tx1"/>
            </w14:solidFill>
          </w14:textFill>
        </w:rPr>
      </w:pPr>
      <w:bookmarkStart w:id="28" w:name="_rgt9xgh370m9" w:colFirst="0" w:colLast="0"/>
      <w:bookmarkEnd w:id="28"/>
      <w:bookmarkStart w:id="29" w:name="_Toc211696020"/>
      <w:r>
        <w:rPr>
          <w:rFonts w:ascii="Sakkal Majalla" w:hAnsi="Sakkal Majalla" w:eastAsia="Simplified Arabic" w:cs="Sakkal Majalla"/>
          <w:bCs/>
          <w:color w:val="000000" w:themeColor="text1"/>
          <w:sz w:val="36"/>
          <w:szCs w:val="36"/>
          <w:rtl/>
          <w14:textFill>
            <w14:solidFill>
              <w14:schemeClr w14:val="tx1"/>
            </w14:solidFill>
          </w14:textFill>
        </w:rPr>
        <w:t>11.1 المنهجية وطرق البحث:</w:t>
      </w:r>
      <w:bookmarkEnd w:id="29"/>
    </w:p>
    <w:p w14:paraId="7603CCB8">
      <w:pPr>
        <w:spacing w:before="100" w:beforeAutospacing="1" w:after="100" w:afterAutospacing="1" w:line="360" w:lineRule="auto"/>
        <w:ind w:firstLine="720"/>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0AD1A289">
      <w:pPr>
        <w:spacing w:before="100" w:beforeAutospacing="1" w:after="100" w:afterAutospacing="1" w:line="360" w:lineRule="auto"/>
        <w:ind w:firstLine="720"/>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6CA85796">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outlineLvl w:val="1"/>
        <w:rPr>
          <w:rFonts w:ascii="Sakkal Majalla" w:hAnsi="Sakkal Majalla" w:cs="Sakkal Majalla"/>
          <w:bCs/>
          <w:color w:val="000000" w:themeColor="text1"/>
          <w:sz w:val="36"/>
          <w:szCs w:val="36"/>
          <w14:textFill>
            <w14:solidFill>
              <w14:schemeClr w14:val="tx1"/>
            </w14:solidFill>
          </w14:textFill>
        </w:rPr>
      </w:pPr>
      <w:bookmarkStart w:id="30" w:name="_k09wadmqlo0k" w:colFirst="0" w:colLast="0"/>
      <w:bookmarkEnd w:id="30"/>
      <w:bookmarkStart w:id="31" w:name="_Toc211696021"/>
      <w:r>
        <w:rPr>
          <w:rFonts w:ascii="Sakkal Majalla" w:hAnsi="Sakkal Majalla" w:cs="Sakkal Majalla"/>
          <w:bCs/>
          <w:color w:val="000000" w:themeColor="text1"/>
          <w:sz w:val="36"/>
          <w:szCs w:val="36"/>
          <w:rtl/>
          <w14:textFill>
            <w14:solidFill>
              <w14:schemeClr w14:val="tx1"/>
            </w14:solidFill>
          </w14:textFill>
        </w:rPr>
        <w:t>12.1 مصادر جمع البيانات</w:t>
      </w:r>
      <w:bookmarkEnd w:id="31"/>
    </w:p>
    <w:p w14:paraId="08B7C58F">
      <w:pPr>
        <w:numPr>
          <w:ilvl w:val="0"/>
          <w:numId w:val="9"/>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المصادر الثانوية</w:t>
      </w:r>
      <w:r>
        <w:rPr>
          <w:rFonts w:ascii="Sakkal Majalla" w:hAnsi="Sakkal Majalla" w:eastAsia="Simplified Arabic" w:cs="Sakkal Majalla"/>
          <w:b/>
          <w:color w:val="000000" w:themeColor="text1"/>
          <w:sz w:val="28"/>
          <w:szCs w:val="28"/>
          <w:rtl/>
          <w14:textFill>
            <w14:solidFill>
              <w14:schemeClr w14:val="tx1"/>
            </w14:solidFill>
          </w14:textFil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0D22B4FA">
      <w:pPr>
        <w:numPr>
          <w:ilvl w:val="0"/>
          <w:numId w:val="9"/>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المصادر الأولية</w:t>
      </w:r>
      <w:r>
        <w:rPr>
          <w:rFonts w:ascii="Sakkal Majalla" w:hAnsi="Sakkal Majalla" w:eastAsia="Simplified Arabic" w:cs="Sakkal Majalla"/>
          <w:b/>
          <w:color w:val="000000" w:themeColor="text1"/>
          <w:sz w:val="28"/>
          <w:szCs w:val="28"/>
          <w:rtl/>
          <w14:textFill>
            <w14:solidFill>
              <w14:schemeClr w14:val="tx1"/>
            </w14:solidFill>
          </w14:textFill>
        </w:rPr>
        <w:t xml:space="preserve">: اعتمدت الدراسة على الاستبانة كأداة رئيسية في جمع البيانات من مصادرها والتي تم تصميمها خصيصاً لهذا الغرض على </w:t>
      </w:r>
      <w:r>
        <w:rPr>
          <w:rFonts w:ascii="Sakkal Majalla" w:hAnsi="Sakkal Majalla" w:eastAsia="Simplified Arabic" w:cs="Sakkal Majalla"/>
          <w:b/>
          <w:color w:val="000000" w:themeColor="text1"/>
          <w:sz w:val="28"/>
          <w:szCs w:val="28"/>
          <w14:textFill>
            <w14:solidFill>
              <w14:schemeClr w14:val="tx1"/>
            </w14:solidFill>
          </w14:textFill>
        </w:rPr>
        <w:t>Google Forms</w:t>
      </w:r>
      <w:r>
        <w:rPr>
          <w:rFonts w:ascii="Sakkal Majalla" w:hAnsi="Sakkal Majalla" w:eastAsia="Simplified Arabic" w:cs="Sakkal Majalla"/>
          <w:b/>
          <w:color w:val="000000" w:themeColor="text1"/>
          <w:sz w:val="28"/>
          <w:szCs w:val="28"/>
          <w:rtl/>
          <w14:textFill>
            <w14:solidFill>
              <w14:schemeClr w14:val="tx1"/>
            </w14:solidFill>
          </w14:textFill>
        </w:rPr>
        <w:t xml:space="preserve"> وإرسال رابطها إلى مجتمع البحث.</w:t>
      </w:r>
    </w:p>
    <w:p w14:paraId="670E7A3E">
      <w:pPr>
        <w:spacing w:before="100" w:beforeAutospacing="1" w:after="100" w:afterAutospacing="1" w:line="360" w:lineRule="auto"/>
        <w:jc w:val="both"/>
        <w:outlineLvl w:val="1"/>
        <w:rPr>
          <w:rFonts w:ascii="Sakkal Majalla" w:hAnsi="Sakkal Majalla" w:eastAsia="Simplified Arabic" w:cs="Sakkal Majalla"/>
          <w:bCs/>
          <w:color w:val="000000" w:themeColor="text1"/>
          <w:sz w:val="36"/>
          <w:szCs w:val="36"/>
          <w:rtl/>
          <w14:textFill>
            <w14:solidFill>
              <w14:schemeClr w14:val="tx1"/>
            </w14:solidFill>
          </w14:textFill>
        </w:rPr>
      </w:pPr>
      <w:bookmarkStart w:id="32" w:name="_5ygj8lo7urvl" w:colFirst="0" w:colLast="0"/>
      <w:bookmarkEnd w:id="32"/>
      <w:bookmarkStart w:id="33" w:name="_Toc211696022"/>
      <w:r>
        <w:rPr>
          <w:rFonts w:ascii="Sakkal Majalla" w:hAnsi="Sakkal Majalla" w:eastAsia="Simplified Arabic" w:cs="Sakkal Majalla"/>
          <w:bCs/>
          <w:color w:val="000000" w:themeColor="text1"/>
          <w:sz w:val="36"/>
          <w:szCs w:val="36"/>
          <w:rtl/>
          <w14:textFill>
            <w14:solidFill>
              <w14:schemeClr w14:val="tx1"/>
            </w14:solidFill>
          </w14:textFill>
        </w:rPr>
        <w:t>13.1 أدوات الدراسة:</w:t>
      </w:r>
      <w:bookmarkEnd w:id="33"/>
    </w:p>
    <w:p w14:paraId="297A2DBD">
      <w:pPr>
        <w:spacing w:before="100" w:beforeAutospacing="1" w:after="100" w:afterAutospacing="1" w:line="360" w:lineRule="auto"/>
        <w:ind w:firstLine="720"/>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"صيغة محددة من الفقرات والأسئلة تهدف إلى جمع البيانات من أفراد البحث"</w:t>
      </w:r>
    </w:p>
    <w:p w14:paraId="4F39869F">
      <w:pPr>
        <w:spacing w:before="100" w:beforeAutospacing="1" w:after="100" w:afterAutospacing="1" w:line="360" w:lineRule="auto"/>
        <w:jc w:val="both"/>
        <w:rPr>
          <w:rFonts w:ascii="Sakkal Majalla" w:hAnsi="Sakkal Majalla" w:eastAsia="Simplified Arabic" w:cs="Sakkal Majalla"/>
          <w:bCs/>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حيث تكونت من قسمين رئيسين هما:</w:t>
      </w:r>
    </w:p>
    <w:p w14:paraId="6CEE6F3B">
      <w:pPr>
        <w:numPr>
          <w:ilvl w:val="0"/>
          <w:numId w:val="10"/>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القسم الأول</w:t>
      </w:r>
      <w:r>
        <w:rPr>
          <w:rFonts w:ascii="Sakkal Majalla" w:hAnsi="Sakkal Majalla" w:eastAsia="Simplified Arabic" w:cs="Sakkal Majalla"/>
          <w:b/>
          <w:color w:val="000000" w:themeColor="text1"/>
          <w:sz w:val="28"/>
          <w:szCs w:val="28"/>
          <w:rtl/>
          <w14:textFill>
            <w14:solidFill>
              <w14:schemeClr w14:val="tx1"/>
            </w14:solidFill>
          </w14:textFill>
        </w:rPr>
        <w:t>: وهو الجزء الخاص بالمتغيرات الديمغرافية لأفراد عينة الدراسة، والمتمثلة بـ: النوع، والعمر، والمؤهل العلمي، والمستوى الوظيفى.</w:t>
      </w:r>
    </w:p>
    <w:p w14:paraId="122E12BD">
      <w:pPr>
        <w:numPr>
          <w:ilvl w:val="0"/>
          <w:numId w:val="10"/>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u w:val="single"/>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القسم الثاني</w:t>
      </w:r>
      <w:r>
        <w:rPr>
          <w:rFonts w:ascii="Sakkal Majalla" w:hAnsi="Sakkal Majalla" w:eastAsia="Simplified Arabic" w:cs="Sakkal Majalla"/>
          <w:b/>
          <w:color w:val="000000" w:themeColor="text1"/>
          <w:sz w:val="28"/>
          <w:szCs w:val="28"/>
          <w:rtl/>
          <w14:textFill>
            <w14:solidFill>
              <w14:schemeClr w14:val="tx1"/>
            </w14:solidFill>
          </w14:textFill>
        </w:rPr>
        <w:t>: اشتمل القسم الثاني على الفقرات والأبعاد التي تقيس متغيرات الدراسة المستقل والتابع.</w:t>
      </w:r>
    </w:p>
    <w:p w14:paraId="0C918A25">
      <w:pPr>
        <w:spacing w:before="100" w:beforeAutospacing="1" w:after="100" w:afterAutospacing="1" w:line="360" w:lineRule="auto"/>
        <w:jc w:val="both"/>
        <w:outlineLvl w:val="1"/>
        <w:rPr>
          <w:rFonts w:ascii="Sakkal Majalla" w:hAnsi="Sakkal Majalla" w:eastAsia="Simplified Arabic" w:cs="Sakkal Majalla"/>
          <w:bCs/>
          <w:color w:val="000000" w:themeColor="text1"/>
          <w:sz w:val="36"/>
          <w:szCs w:val="36"/>
          <w14:textFill>
            <w14:solidFill>
              <w14:schemeClr w14:val="tx1"/>
            </w14:solidFill>
          </w14:textFill>
        </w:rPr>
      </w:pPr>
      <w:bookmarkStart w:id="34" w:name="_bde9kl52kmhr" w:colFirst="0" w:colLast="0"/>
      <w:bookmarkEnd w:id="34"/>
      <w:bookmarkStart w:id="35" w:name="_Toc211696023"/>
      <w:r>
        <w:rPr>
          <w:rFonts w:hint="cs" w:ascii="Sakkal Majalla" w:hAnsi="Sakkal Majalla" w:eastAsia="Simplified Arabic" w:cs="Sakkal Majalla"/>
          <w:bCs/>
          <w:color w:val="000000" w:themeColor="text1"/>
          <w:sz w:val="36"/>
          <w:szCs w:val="36"/>
          <w:rtl/>
          <w14:textFill>
            <w14:solidFill>
              <w14:schemeClr w14:val="tx1"/>
            </w14:solidFill>
          </w14:textFill>
        </w:rPr>
        <w:t xml:space="preserve">14.1 </w:t>
      </w:r>
      <w:r>
        <w:rPr>
          <w:rFonts w:ascii="Sakkal Majalla" w:hAnsi="Sakkal Majalla" w:eastAsia="Simplified Arabic" w:cs="Sakkal Majalla"/>
          <w:bCs/>
          <w:color w:val="000000" w:themeColor="text1"/>
          <w:sz w:val="36"/>
          <w:szCs w:val="36"/>
          <w:rtl/>
          <w14:textFill>
            <w14:solidFill>
              <w14:schemeClr w14:val="tx1"/>
            </w14:solidFill>
          </w14:textFill>
        </w:rPr>
        <w:t>الأساليب الإحصائية المستخدمة</w:t>
      </w:r>
      <w:bookmarkEnd w:id="35"/>
    </w:p>
    <w:p w14:paraId="466D6ABC">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تم استخدام الأساليب الإحصائية التالية لتحقيق أهداف الدراسة:</w:t>
      </w:r>
    </w:p>
    <w:p w14:paraId="6EA47819">
      <w:pPr>
        <w:numPr>
          <w:ilvl w:val="1"/>
          <w:numId w:val="11"/>
        </w:numP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bookmarkStart w:id="36" w:name="_vdxlbceea6xi" w:colFirst="0" w:colLast="0"/>
      <w:bookmarkEnd w:id="36"/>
      <w:r>
        <w:rPr>
          <w:rFonts w:ascii="Sakkal Majalla" w:hAnsi="Sakkal Majalla" w:eastAsia="Simplified Arabic" w:cs="Sakkal Majalla"/>
          <w:b/>
          <w:color w:val="000000" w:themeColor="text1"/>
          <w:sz w:val="28"/>
          <w:szCs w:val="28"/>
          <w:rtl/>
          <w14:textFill>
            <w14:solidFill>
              <w14:schemeClr w14:val="tx1"/>
            </w14:solidFill>
          </w14:textFill>
        </w:rPr>
        <w:t xml:space="preserve">معامل " ألفا كرونباخ" لقياس ثبات أداة الدراسة ومعامل الارتباط بيرسون لقياس صدق أداة الدراسة والعلاقة بين المتغيرات </w:t>
      </w:r>
    </w:p>
    <w:p w14:paraId="36A05410">
      <w:pPr>
        <w:numPr>
          <w:ilvl w:val="1"/>
          <w:numId w:val="11"/>
        </w:numP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3FC5C2C1">
      <w:pPr>
        <w:numPr>
          <w:ilvl w:val="1"/>
          <w:numId w:val="11"/>
        </w:numP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 xml:space="preserve">معامل الانحدار الخطي البسيط لقياس أثر كل بعد من أبعاد المتغير المستقل على المتغير التابع </w:t>
      </w:r>
    </w:p>
    <w:p w14:paraId="20CD30E5">
      <w:pPr>
        <w:spacing w:before="100" w:beforeAutospacing="1" w:after="100" w:afterAutospacing="1" w:line="360" w:lineRule="auto"/>
        <w:jc w:val="both"/>
        <w:outlineLvl w:val="1"/>
        <w:rPr>
          <w:rFonts w:ascii="Sakkal Majalla" w:hAnsi="Sakkal Majalla" w:eastAsia="Simplified Arabic" w:cs="Sakkal Majalla"/>
          <w:bCs/>
          <w:color w:val="000000" w:themeColor="text1"/>
          <w:sz w:val="36"/>
          <w:szCs w:val="36"/>
          <w14:textFill>
            <w14:solidFill>
              <w14:schemeClr w14:val="tx1"/>
            </w14:solidFill>
          </w14:textFill>
        </w:rPr>
      </w:pPr>
      <w:bookmarkStart w:id="37" w:name="_2o72zhtw1n38" w:colFirst="0" w:colLast="0"/>
      <w:bookmarkEnd w:id="37"/>
      <w:bookmarkStart w:id="38" w:name="_Toc211696024"/>
      <w:r>
        <w:rPr>
          <w:rFonts w:hint="cs" w:ascii="Sakkal Majalla" w:hAnsi="Sakkal Majalla" w:eastAsia="Simplified Arabic" w:cs="Sakkal Majalla"/>
          <w:bCs/>
          <w:color w:val="000000" w:themeColor="text1"/>
          <w:sz w:val="36"/>
          <w:szCs w:val="36"/>
          <w:rtl/>
          <w14:textFill>
            <w14:solidFill>
              <w14:schemeClr w14:val="tx1"/>
            </w14:solidFill>
          </w14:textFill>
        </w:rPr>
        <w:t xml:space="preserve">15.1 </w:t>
      </w:r>
      <w:r>
        <w:rPr>
          <w:rFonts w:ascii="Sakkal Majalla" w:hAnsi="Sakkal Majalla" w:eastAsia="Simplified Arabic" w:cs="Sakkal Majalla"/>
          <w:bCs/>
          <w:color w:val="000000" w:themeColor="text1"/>
          <w:sz w:val="36"/>
          <w:szCs w:val="36"/>
          <w:rtl/>
          <w14:textFill>
            <w14:solidFill>
              <w14:schemeClr w14:val="tx1"/>
            </w14:solidFill>
          </w14:textFill>
        </w:rPr>
        <w:t>أداة الدراسة</w:t>
      </w:r>
      <w:bookmarkEnd w:id="38"/>
      <w:r>
        <w:rPr>
          <w:rFonts w:ascii="Sakkal Majalla" w:hAnsi="Sakkal Majalla" w:eastAsia="Simplified Arabic" w:cs="Sakkal Majalla"/>
          <w:bCs/>
          <w:color w:val="000000" w:themeColor="text1"/>
          <w:sz w:val="36"/>
          <w:szCs w:val="36"/>
          <w:rtl/>
          <w14:textFill>
            <w14:solidFill>
              <w14:schemeClr w14:val="tx1"/>
            </w14:solidFill>
          </w14:textFill>
        </w:rPr>
        <w:t xml:space="preserve"> </w:t>
      </w:r>
    </w:p>
    <w:p w14:paraId="7AD97F4E">
      <w:pPr>
        <w:spacing w:before="100" w:beforeAutospacing="1" w:after="100" w:afterAutospacing="1" w:line="360" w:lineRule="auto"/>
        <w:ind w:firstLine="706"/>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04F5C36F">
      <w:pPr>
        <w:pStyle w:val="25"/>
        <w:numPr>
          <w:ilvl w:val="0"/>
          <w:numId w:val="12"/>
        </w:numPr>
        <w:spacing w:before="100" w:beforeAutospacing="1" w:after="100" w:afterAutospacing="1" w:line="360" w:lineRule="auto"/>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القسم الأول</w:t>
      </w:r>
      <w:r>
        <w:rPr>
          <w:rFonts w:ascii="Sakkal Majalla" w:hAnsi="Sakkal Majalla" w:eastAsia="Simplified Arabic" w:cs="Sakkal Majalla"/>
          <w:b/>
          <w:color w:val="000000" w:themeColor="text1"/>
          <w:sz w:val="28"/>
          <w:szCs w:val="28"/>
          <w:rtl/>
          <w14:textFill>
            <w14:solidFill>
              <w14:schemeClr w14:val="tx1"/>
            </w14:solidFill>
          </w14:textFill>
        </w:rPr>
        <w:t>: يتناول المتغيرات الديمغرافية لأفراد عينة الدراسة من العاملين في المشاريع الحكومية في المملكة العربية السعودية، ويشمل المسمى الوظيفي، العمر، المستوى التعليمي، وعدد سنوات الخبرة.</w:t>
      </w:r>
    </w:p>
    <w:p w14:paraId="6357229C">
      <w:pPr>
        <w:pStyle w:val="25"/>
        <w:numPr>
          <w:ilvl w:val="0"/>
          <w:numId w:val="12"/>
        </w:numP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القسم الثاني</w:t>
      </w:r>
      <w:r>
        <w:rPr>
          <w:rFonts w:ascii="Sakkal Majalla" w:hAnsi="Sakkal Majalla" w:eastAsia="Simplified Arabic" w:cs="Sakkal Majalla"/>
          <w:b/>
          <w:color w:val="000000" w:themeColor="text1"/>
          <w:sz w:val="28"/>
          <w:szCs w:val="28"/>
          <w:rtl/>
          <w14:textFill>
            <w14:solidFill>
              <w14:schemeClr w14:val="tx1"/>
            </w14:solidFill>
          </w14:textFill>
        </w:rPr>
        <w:t>: يحتوي على الفقرات التي تقيس المتغيرات المستقلة والتابعة في الدراسة.</w:t>
      </w:r>
    </w:p>
    <w:p w14:paraId="20D797BC">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rPr>
          <w:rFonts w:ascii="Sakkal Majalla" w:hAnsi="Sakkal Majalla" w:eastAsia="Simplified Arabic" w:cs="Sakkal Majalla"/>
          <w:bCs/>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أولًا: المتغير المستقل – إدارة المخاطر، ويُقاس من خلال 20 فقرة مقسمة لأربعة أبعاد رئيسية:</w:t>
      </w:r>
    </w:p>
    <w:p w14:paraId="09E4D1B4">
      <w:pPr>
        <w:numPr>
          <w:ilvl w:val="0"/>
          <w:numId w:val="13"/>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تحديد المخاطر</w:t>
      </w:r>
    </w:p>
    <w:p w14:paraId="2A4DA808">
      <w:pPr>
        <w:numPr>
          <w:ilvl w:val="0"/>
          <w:numId w:val="13"/>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تحليل المخاطر</w:t>
      </w:r>
    </w:p>
    <w:p w14:paraId="0033F2E2">
      <w:pPr>
        <w:numPr>
          <w:ilvl w:val="0"/>
          <w:numId w:val="13"/>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الاستجابة للمخاطر</w:t>
      </w:r>
    </w:p>
    <w:p w14:paraId="63F96F83">
      <w:pPr>
        <w:numPr>
          <w:ilvl w:val="0"/>
          <w:numId w:val="13"/>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rtl/>
          <w14:textFill>
            <w14:solidFill>
              <w14:schemeClr w14:val="tx1"/>
            </w14:solidFill>
          </w14:textFill>
        </w:rPr>
        <w:t>مراقبة المخاطر</w:t>
      </w:r>
    </w:p>
    <w:p w14:paraId="7337E342">
      <w:pPr>
        <w:spacing w:before="100" w:beforeAutospacing="1" w:after="100" w:afterAutospacing="1" w:line="360" w:lineRule="auto"/>
        <w:jc w:val="both"/>
        <w:rPr>
          <w:rFonts w:ascii="Sakkal Majalla" w:hAnsi="Sakkal Majalla" w:eastAsia="Simplified Arabic" w:cs="Sakkal Majalla"/>
          <w:bCs/>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ثانيًا: المتغير التابع – نجاح المشاريع الكبرى، ويُقاس من خلال (10) فقرة موزعة.</w:t>
      </w:r>
      <w:r>
        <w:rPr>
          <w:rFonts w:ascii="Sakkal Majalla" w:hAnsi="Sakkal Majalla" w:cs="Sakkal Majalla"/>
          <w:bCs/>
          <w:color w:val="000000" w:themeColor="text1"/>
          <w:sz w:val="28"/>
          <w:szCs w:val="28"/>
          <w14:textFill>
            <w14:solidFill>
              <w14:schemeClr w14:val="tx1"/>
            </w14:solidFill>
          </w14:textFill>
        </w:rPr>
        <w:t xml:space="preserve"> </w:t>
      </w:r>
    </w:p>
    <w:p w14:paraId="245983C0">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outlineLvl w:val="1"/>
        <w:rPr>
          <w:rFonts w:ascii="Sakkal Majalla" w:hAnsi="Sakkal Majalla" w:cs="Sakkal Majalla"/>
          <w:bCs/>
          <w:color w:val="000000" w:themeColor="text1"/>
          <w:sz w:val="36"/>
          <w:szCs w:val="36"/>
          <w14:textFill>
            <w14:solidFill>
              <w14:schemeClr w14:val="tx1"/>
            </w14:solidFill>
          </w14:textFill>
        </w:rPr>
      </w:pPr>
      <w:bookmarkStart w:id="39" w:name="_bf9k5m8gtigg" w:colFirst="0" w:colLast="0"/>
      <w:bookmarkEnd w:id="39"/>
      <w:bookmarkStart w:id="40" w:name="_Toc211696025"/>
      <w:r>
        <w:rPr>
          <w:rFonts w:ascii="Sakkal Majalla" w:hAnsi="Sakkal Majalla" w:cs="Sakkal Majalla"/>
          <w:bCs/>
          <w:color w:val="000000" w:themeColor="text1"/>
          <w:sz w:val="36"/>
          <w:szCs w:val="36"/>
          <w:rtl/>
          <w14:textFill>
            <w14:solidFill>
              <w14:schemeClr w14:val="tx1"/>
            </w14:solidFill>
          </w14:textFill>
        </w:rPr>
        <w:t>16.1 حدود الدراسة:</w:t>
      </w:r>
      <w:bookmarkEnd w:id="40"/>
    </w:p>
    <w:p w14:paraId="6CBDBC03">
      <w:pPr>
        <w:numPr>
          <w:ilvl w:val="0"/>
          <w:numId w:val="14"/>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حدود موضوعية</w:t>
      </w:r>
      <w:r>
        <w:rPr>
          <w:rFonts w:ascii="Sakkal Majalla" w:hAnsi="Sakkal Majalla" w:eastAsia="Simplified Arabic" w:cs="Sakkal Majalla"/>
          <w:b/>
          <w:color w:val="000000" w:themeColor="text1"/>
          <w:sz w:val="28"/>
          <w:szCs w:val="28"/>
          <w:rtl/>
          <w14:textFill>
            <w14:solidFill>
              <w14:schemeClr w14:val="tx1"/>
            </w14:solidFill>
          </w14:textFill>
        </w:rPr>
        <w:t xml:space="preserve">: تقتصر الدراسة على أثر تطبيق إدارة المخاطر بأبعادها مجمعة والمتمثلة في (تحديد المخاطر، تحليل المخاطر، الاستجابة للمخاطر، مراقبة المخاطر) على نجاح المشاريع الكبرى في إطار رؤية المملكة 2030: دراسة تطبيقية على المشاريع الحكومية في المملكة العربية السعودية. </w:t>
      </w:r>
    </w:p>
    <w:p w14:paraId="45E2B720">
      <w:pPr>
        <w:numPr>
          <w:ilvl w:val="0"/>
          <w:numId w:val="14"/>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حدود مكانية</w:t>
      </w:r>
      <w:r>
        <w:rPr>
          <w:rFonts w:ascii="Sakkal Majalla" w:hAnsi="Sakkal Majalla" w:eastAsia="Simplified Arabic" w:cs="Sakkal Majalla"/>
          <w:b/>
          <w:color w:val="000000" w:themeColor="text1"/>
          <w:sz w:val="28"/>
          <w:szCs w:val="28"/>
          <w:rtl/>
          <w14:textFill>
            <w14:solidFill>
              <w14:schemeClr w14:val="tx1"/>
            </w14:solidFill>
          </w14:textFill>
        </w:rPr>
        <w:t>: تُجرى الدراسة على المشاريع الحكومية في المملكة العربية السعودية.</w:t>
      </w:r>
    </w:p>
    <w:p w14:paraId="2598202B">
      <w:pPr>
        <w:numPr>
          <w:ilvl w:val="0"/>
          <w:numId w:val="14"/>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u w:val="single"/>
          <w14:textFill>
            <w14:solidFill>
              <w14:schemeClr w14:val="tx1"/>
            </w14:solidFill>
          </w14:textFill>
        </w:rPr>
      </w:pPr>
      <w:r>
        <w:rPr>
          <w:rFonts w:ascii="Sakkal Majalla" w:hAnsi="Sakkal Majalla" w:eastAsia="Simplified Arabic" w:cs="Sakkal Majalla"/>
          <w:bCs/>
          <w:color w:val="000000" w:themeColor="text1"/>
          <w:sz w:val="28"/>
          <w:szCs w:val="28"/>
          <w:rtl/>
          <w14:textFill>
            <w14:solidFill>
              <w14:schemeClr w14:val="tx1"/>
            </w14:solidFill>
          </w14:textFill>
        </w:rPr>
        <w:t>حدود</w:t>
      </w:r>
      <w:r>
        <w:rPr>
          <w:rFonts w:ascii="Sakkal Majalla" w:hAnsi="Sakkal Majalla" w:eastAsia="Simplified Arabic" w:cs="Sakkal Majalla"/>
          <w:b/>
          <w:color w:val="000000" w:themeColor="text1"/>
          <w:sz w:val="28"/>
          <w:szCs w:val="28"/>
          <w:rtl/>
          <w14:textFill>
            <w14:solidFill>
              <w14:schemeClr w14:val="tx1"/>
            </w14:solidFill>
          </w14:textFill>
        </w:rPr>
        <w:t xml:space="preserve"> </w:t>
      </w:r>
      <w:r>
        <w:rPr>
          <w:rFonts w:ascii="Sakkal Majalla" w:hAnsi="Sakkal Majalla" w:eastAsia="Simplified Arabic" w:cs="Sakkal Majalla"/>
          <w:bCs/>
          <w:color w:val="000000" w:themeColor="text1"/>
          <w:sz w:val="28"/>
          <w:szCs w:val="28"/>
          <w:rtl/>
          <w14:textFill>
            <w14:solidFill>
              <w14:schemeClr w14:val="tx1"/>
            </w14:solidFill>
          </w14:textFill>
        </w:rPr>
        <w:t>زمانية</w:t>
      </w:r>
      <w:r>
        <w:rPr>
          <w:rFonts w:ascii="Sakkal Majalla" w:hAnsi="Sakkal Majalla" w:eastAsia="Simplified Arabic" w:cs="Sakkal Majalla"/>
          <w:b/>
          <w:color w:val="000000" w:themeColor="text1"/>
          <w:sz w:val="28"/>
          <w:szCs w:val="28"/>
          <w:rtl/>
          <w14:textFill>
            <w14:solidFill>
              <w14:schemeClr w14:val="tx1"/>
            </w14:solidFill>
          </w14:textFill>
        </w:rPr>
        <w:t>: تم إعداد الدراسة في عام 2025.</w:t>
      </w:r>
    </w:p>
    <w:p w14:paraId="5816C76B">
      <w:pPr>
        <w:numPr>
          <w:ilvl w:val="0"/>
          <w:numId w:val="14"/>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
          <w:color w:val="000000" w:themeColor="text1"/>
          <w:sz w:val="28"/>
          <w:szCs w:val="28"/>
          <w14:textFill>
            <w14:solidFill>
              <w14:schemeClr w14:val="tx1"/>
            </w14:solidFill>
          </w14:textFill>
        </w:rPr>
      </w:pPr>
      <w:bookmarkStart w:id="41" w:name="_vl4lmixyis5p" w:colFirst="0" w:colLast="0"/>
      <w:bookmarkEnd w:id="41"/>
      <w:r>
        <w:rPr>
          <w:rFonts w:ascii="Sakkal Majalla" w:hAnsi="Sakkal Majalla" w:eastAsia="Simplified Arabic" w:cs="Sakkal Majalla"/>
          <w:bCs/>
          <w:color w:val="000000" w:themeColor="text1"/>
          <w:sz w:val="28"/>
          <w:szCs w:val="28"/>
          <w:rtl/>
          <w14:textFill>
            <w14:solidFill>
              <w14:schemeClr w14:val="tx1"/>
            </w14:solidFill>
          </w14:textFill>
        </w:rPr>
        <w:t>حدود بشرية</w:t>
      </w:r>
      <w:r>
        <w:rPr>
          <w:rFonts w:ascii="Sakkal Majalla" w:hAnsi="Sakkal Majalla" w:eastAsia="Simplified Arabic" w:cs="Sakkal Majalla"/>
          <w:b/>
          <w:color w:val="000000" w:themeColor="text1"/>
          <w:sz w:val="28"/>
          <w:szCs w:val="28"/>
          <w:rtl/>
          <w14:textFill>
            <w14:solidFill>
              <w14:schemeClr w14:val="tx1"/>
            </w14:solidFill>
          </w14:textFill>
        </w:rPr>
        <w:t>: تقتصر الحدود البشرية لهذه الدراسة على العاملين في المشاريع الحكومية في المملكة العربية السعودية.</w:t>
      </w:r>
      <w:r>
        <w:rPr>
          <w:rFonts w:ascii="Sakkal Majalla" w:hAnsi="Sakkal Majalla" w:cs="Sakkal Majalla"/>
          <w:b/>
          <w:color w:val="000000" w:themeColor="text1"/>
          <w:sz w:val="28"/>
          <w:szCs w:val="28"/>
          <w14:textFill>
            <w14:solidFill>
              <w14:schemeClr w14:val="tx1"/>
            </w14:solidFill>
          </w14:textFill>
        </w:rPr>
        <w:br w:type="page"/>
      </w:r>
    </w:p>
    <w:p w14:paraId="0B22C638">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center"/>
        <w:outlineLvl w:val="0"/>
        <w:rPr>
          <w:rFonts w:ascii="Sakkal Majalla" w:hAnsi="Sakkal Majalla" w:cs="Sakkal Majalla"/>
          <w:bCs/>
          <w:color w:val="000000" w:themeColor="text1"/>
          <w:sz w:val="40"/>
          <w:szCs w:val="40"/>
          <w:rtl/>
          <w:lang w:val="en-US"/>
          <w14:textFill>
            <w14:solidFill>
              <w14:schemeClr w14:val="tx1"/>
            </w14:solidFill>
          </w14:textFill>
        </w:rPr>
      </w:pPr>
      <w:bookmarkStart w:id="42" w:name="_Toc211696026"/>
      <w:r>
        <w:rPr>
          <w:rFonts w:hint="cs" w:ascii="Sakkal Majalla" w:hAnsi="Sakkal Majalla" w:cs="Sakkal Majalla"/>
          <w:bCs/>
          <w:color w:val="000000" w:themeColor="text1"/>
          <w:sz w:val="40"/>
          <w:szCs w:val="40"/>
          <w:rtl/>
          <w:lang w:val="en-US"/>
          <w14:textFill>
            <w14:solidFill>
              <w14:schemeClr w14:val="tx1"/>
            </w14:solidFill>
          </w14:textFill>
        </w:rPr>
        <w:t>الفصل الثاني: الإطار النظري</w:t>
      </w:r>
      <w:bookmarkEnd w:id="42"/>
    </w:p>
    <w:p w14:paraId="5FE331E2">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center"/>
        <w:outlineLvl w:val="1"/>
        <w:rPr>
          <w:rFonts w:ascii="Sakkal Majalla" w:hAnsi="Sakkal Majalla" w:cs="Sakkal Majalla"/>
          <w:bCs/>
          <w:color w:val="000000" w:themeColor="text1"/>
          <w:sz w:val="36"/>
          <w:szCs w:val="36"/>
          <w:lang w:val="en-US"/>
          <w14:textFill>
            <w14:solidFill>
              <w14:schemeClr w14:val="tx1"/>
            </w14:solidFill>
          </w14:textFill>
        </w:rPr>
      </w:pPr>
      <w:bookmarkStart w:id="43" w:name="_Toc211696027"/>
      <w:r>
        <w:rPr>
          <w:rFonts w:ascii="Sakkal Majalla" w:hAnsi="Sakkal Majalla" w:cs="Sakkal Majalla"/>
          <w:bCs/>
          <w:color w:val="000000" w:themeColor="text1"/>
          <w:sz w:val="36"/>
          <w:szCs w:val="36"/>
          <w:rtl/>
          <w:lang w:val="en-US"/>
          <w14:textFill>
            <w14:solidFill>
              <w14:schemeClr w14:val="tx1"/>
            </w14:solidFill>
          </w14:textFill>
        </w:rPr>
        <w:t>المبحث الأول: إدارة المخاطر</w:t>
      </w:r>
      <w:bookmarkEnd w:id="43"/>
    </w:p>
    <w:p w14:paraId="29FD96A0">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outlineLvl w:val="2"/>
        <w:rPr>
          <w:rFonts w:ascii="Sakkal Majalla" w:hAnsi="Sakkal Majalla" w:cs="Sakkal Majalla"/>
          <w:bCs/>
          <w:color w:val="000000" w:themeColor="text1"/>
          <w:sz w:val="32"/>
          <w:szCs w:val="32"/>
          <w:rtl/>
          <w:lang w:val="en-US"/>
          <w14:textFill>
            <w14:solidFill>
              <w14:schemeClr w14:val="tx1"/>
            </w14:solidFill>
          </w14:textFill>
        </w:rPr>
      </w:pPr>
      <w:bookmarkStart w:id="44" w:name="_Toc211696028"/>
      <w:r>
        <w:rPr>
          <w:rFonts w:hint="cs" w:ascii="Sakkal Majalla" w:hAnsi="Sakkal Majalla" w:cs="Sakkal Majalla"/>
          <w:bCs/>
          <w:color w:val="000000" w:themeColor="text1"/>
          <w:sz w:val="32"/>
          <w:szCs w:val="32"/>
          <w:rtl/>
          <w:lang w:val="en-US"/>
          <w14:textFill>
            <w14:solidFill>
              <w14:schemeClr w14:val="tx1"/>
            </w14:solidFill>
          </w14:textFill>
        </w:rPr>
        <w:t xml:space="preserve">1.1.2 </w:t>
      </w:r>
      <w:r>
        <w:rPr>
          <w:rFonts w:ascii="Sakkal Majalla" w:hAnsi="Sakkal Majalla" w:cs="Sakkal Majalla"/>
          <w:bCs/>
          <w:color w:val="000000" w:themeColor="text1"/>
          <w:sz w:val="32"/>
          <w:szCs w:val="32"/>
          <w:rtl/>
          <w:lang w:val="en-US"/>
          <w14:textFill>
            <w14:solidFill>
              <w14:schemeClr w14:val="tx1"/>
            </w14:solidFill>
          </w14:textFill>
        </w:rPr>
        <w:t>التمهيد</w:t>
      </w:r>
      <w:bookmarkEnd w:id="44"/>
    </w:p>
    <w:p w14:paraId="03885CAC">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rtl/>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أصبحت إدارة المخاطر في العقود الأخيرة أحد الأعمدة الأساسية التي تقوم عليها استراتيجيات المؤسسات والمشروعات الكبرى في مختلف القطاعات، فمع تزايد التعقيدات الاقتصادية، وتسارع الابتكارات التكنولوجية، واتساع نطاق العولمة، باتت المشاريع معرضة لأشكال متعددة من المخاطر التي قد تؤثر سلبًا في تحقيق أهدافها الاستراتيجية، ومن هنا برزت الحاجة إلى تطبيق منهجيات علمية لإدارة المخاطر، تتضمن التحديد المسبق للمهددات المحتملة، وتحليلها بدقة، ووضع خطط استجابة مناسبة، ومتابعة تنفيذها عبر آليات مراقبة مستمرة (المطيري، 2023).</w:t>
      </w:r>
    </w:p>
    <w:p w14:paraId="462EC83E">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rtl/>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ويكتسب موضوع إدارة المخاطر أهمية خاصة مع إطلاق رؤية المملكة 2030 التي تهدف إلى تنفيذ مشاريع كبرى ذات طبيعة استراتيجية في مجالات الطاقة والبنية التحتية والاتصالات والخدمات العامة،و هذه المشاريع الضخمة تمثل تحديًا حقيقيًا يتطلب نظمًا متقدمة لإدارة المخاطر، ليس فقط لضمان إنجازها في الوقت المحدد وضمن الميزانية المرصودة، بل أيضًا لتحقيق استدامتها ورفع كفاءتها بما يتماشى مع تطلعات الرؤية (حمدان والبشابشة، 2024).</w:t>
      </w:r>
    </w:p>
    <w:p w14:paraId="19288EB7">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rtl/>
          <w:lang w:val="en-US" w:bidi="ar-EG"/>
          <w14:textFill>
            <w14:solidFill>
              <w14:schemeClr w14:val="tx1"/>
            </w14:solidFill>
          </w14:textFill>
        </w:rPr>
      </w:pPr>
      <w:r>
        <w:rPr>
          <w:rFonts w:hint="cs" w:ascii="Sakkal Majalla" w:hAnsi="Sakkal Majalla" w:cs="Sakkal Majalla"/>
          <w:b/>
          <w:color w:val="000000" w:themeColor="text1"/>
          <w:sz w:val="28"/>
          <w:szCs w:val="28"/>
          <w:rtl/>
          <w:lang w:val="en-US" w:bidi="ar-EG"/>
          <w14:textFill>
            <w14:solidFill>
              <w14:schemeClr w14:val="tx1"/>
            </w14:solidFill>
          </w14:textFill>
        </w:rPr>
        <w:t>كما أن المؤسسات الحكومية التي تضطلع بمسؤولية تنفيذ هذه المشاريع تجد نفسها أمام ضغوط متزايدة لتبني أنظمة متكاملة لإدارة المخاطر، نظرًا لدورها المباشر في تعزيز الشفافية والمساءلة وتحقيق الكفاءة التشغيلية. (</w:t>
      </w:r>
      <w:r>
        <w:rPr>
          <w:rFonts w:hint="cs" w:ascii="Sakkal Majalla" w:hAnsi="Sakkal Majalla" w:cs="Sakkal Majalla"/>
          <w:bCs/>
          <w:color w:val="000000" w:themeColor="text1"/>
          <w:sz w:val="28"/>
          <w:szCs w:val="28"/>
          <w:lang w:val="en-US" w:bidi="ar-EG"/>
          <w14:textFill>
            <w14:solidFill>
              <w14:schemeClr w14:val="tx1"/>
            </w14:solidFill>
          </w14:textFill>
        </w:rPr>
        <w:t>Alshehhi et al., 2024</w:t>
      </w:r>
      <w:r>
        <w:rPr>
          <w:rFonts w:hint="cs" w:ascii="Sakkal Majalla" w:hAnsi="Sakkal Majalla" w:cs="Sakkal Majalla"/>
          <w:bCs/>
          <w:color w:val="000000" w:themeColor="text1"/>
          <w:sz w:val="28"/>
          <w:szCs w:val="28"/>
          <w:rtl/>
          <w:lang w:val="en-US" w:bidi="ar-EG"/>
          <w14:textFill>
            <w14:solidFill>
              <w14:schemeClr w14:val="tx1"/>
            </w14:solidFill>
          </w14:textFill>
        </w:rPr>
        <w:t>).</w:t>
      </w:r>
    </w:p>
    <w:p w14:paraId="1F85632B">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وانطلاقًا من ذلك، فإن تناول إدارة المخاطر في هذا المبحث سيشمل مناقشة مفهومها، وأهميتها، وأهدافها، مع التعمق في أبعادها الأربعة الرئيسة: تحديد المخاطر، تحليلها، الاستجابة لها، ومراقبتها. كما سيتم ربط هذه الأبعاد بما ورد في الأدبيات والدراسات السابقة العربية والأجنبية، لتوضيح كيف يمكن لإدارة المخاطر أن تكون أداة فاعلة في ضمان نجاح المشاريع الكبرى في إطار رؤية المملكة 2030.</w:t>
      </w:r>
    </w:p>
    <w:p w14:paraId="78E6424F">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outlineLvl w:val="2"/>
        <w:rPr>
          <w:rFonts w:ascii="Sakkal Majalla" w:hAnsi="Sakkal Majalla" w:cs="Sakkal Majalla"/>
          <w:bCs/>
          <w:color w:val="000000" w:themeColor="text1"/>
          <w:sz w:val="32"/>
          <w:szCs w:val="32"/>
          <w:lang w:val="en-US"/>
          <w14:textFill>
            <w14:solidFill>
              <w14:schemeClr w14:val="tx1"/>
            </w14:solidFill>
          </w14:textFill>
        </w:rPr>
      </w:pPr>
      <w:bookmarkStart w:id="45" w:name="_Toc211696029"/>
      <w:r>
        <w:rPr>
          <w:rFonts w:hint="cs" w:ascii="Sakkal Majalla" w:hAnsi="Sakkal Majalla" w:cs="Sakkal Majalla"/>
          <w:bCs/>
          <w:color w:val="000000" w:themeColor="text1"/>
          <w:sz w:val="32"/>
          <w:szCs w:val="32"/>
          <w:rtl/>
          <w:lang w:val="en-US"/>
          <w14:textFill>
            <w14:solidFill>
              <w14:schemeClr w14:val="tx1"/>
            </w14:solidFill>
          </w14:textFill>
        </w:rPr>
        <w:t xml:space="preserve">2.1.2 </w:t>
      </w:r>
      <w:r>
        <w:rPr>
          <w:rFonts w:ascii="Sakkal Majalla" w:hAnsi="Sakkal Majalla" w:cs="Sakkal Majalla"/>
          <w:bCs/>
          <w:color w:val="000000" w:themeColor="text1"/>
          <w:sz w:val="32"/>
          <w:szCs w:val="32"/>
          <w:rtl/>
          <w:lang w:val="en-US"/>
          <w14:textFill>
            <w14:solidFill>
              <w14:schemeClr w14:val="tx1"/>
            </w14:solidFill>
          </w14:textFill>
        </w:rPr>
        <w:t>مفهوم إدارة المخاطر</w:t>
      </w:r>
      <w:bookmarkEnd w:id="45"/>
    </w:p>
    <w:p w14:paraId="348AC630">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إدارة المخاطر مصطلح أخذ بالانتشار في الأدبيات الإدارية منذ النصف الثاني من القرن العشرين، وأصبح مع مرور الوقت علمًا قائمًا بذاته له نظرياته ونماذجه وتطبيقاته العملية، وقد تعددت التعريفات باختلاف الباحثين والجهات الدولية، غير أنها تتفق على كونها عملية منهجية تهدف إلى تقليل أثر المخاطر المحتملة وتعزيز فرص نجاح المشاريع</w:t>
      </w:r>
      <w:r>
        <w:rPr>
          <w:rFonts w:ascii="Sakkal Majalla" w:hAnsi="Sakkal Majalla" w:cs="Sakkal Majalla"/>
          <w:b/>
          <w:color w:val="000000" w:themeColor="text1"/>
          <w:sz w:val="28"/>
          <w:szCs w:val="28"/>
          <w:lang w:val="en-US"/>
          <w14:textFill>
            <w14:solidFill>
              <w14:schemeClr w14:val="tx1"/>
            </w14:solidFill>
          </w14:textFill>
        </w:rPr>
        <w:t>.</w:t>
      </w:r>
    </w:p>
    <w:p w14:paraId="4AE1F215">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يشير بوداود</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2021</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إلى أن إدارة المخاطر تمثل "منهجًا متكاملًا يهدف إلى التعرف على مصادر الخطر التي قد تهدد استقرار المشروع، وتقدير احتمالية وقوعها، ثم تطوير إجراءات للحد من انعكاساتها السلبية"، بينما يذهب المطيري</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2023</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إلى اعتبارها "مجموعة من الأنشطة المتتابعة التي تبدأ برصد الخطر مرورًا بتحليله واستجابة المؤسسة له، وانتهاءً بمتابعة تنفيذه عبر آليات رقابية منظمة</w:t>
      </w:r>
      <w:r>
        <w:rPr>
          <w:rFonts w:ascii="Sakkal Majalla" w:hAnsi="Sakkal Majalla" w:cs="Sakkal Majalla"/>
          <w:b/>
          <w:color w:val="000000" w:themeColor="text1"/>
          <w:sz w:val="28"/>
          <w:szCs w:val="28"/>
          <w:lang w:val="en-US"/>
          <w14:textFill>
            <w14:solidFill>
              <w14:schemeClr w14:val="tx1"/>
            </w14:solidFill>
          </w14:textFill>
        </w:rPr>
        <w:t>".</w:t>
      </w:r>
    </w:p>
    <w:p w14:paraId="5910F6E1">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عرّفت المنظمة الدولية للمعايير</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ISO 31000</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إدارة المخاطر بأنها "الأنشطة المنسقة لتوجيه المؤسسة والتحكم فيها فيما يتعلق بالمخاطر"، وهو تعريف يبرز بعدها الاستراتيجي بوصفها وظيفة مؤسسية أساسية وليست مجرد نشاط ثانوي</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Prikhodko &amp; Sokolova, 2024</w:t>
      </w:r>
      <w:r>
        <w:rPr>
          <w:rFonts w:ascii="Sakkal Majalla" w:hAnsi="Sakkal Majalla" w:cs="Sakkal Majalla"/>
          <w:b/>
          <w:color w:val="000000" w:themeColor="text1"/>
          <w:sz w:val="28"/>
          <w:szCs w:val="28"/>
          <w:lang w:val="en-US"/>
          <w14:textFill>
            <w14:solidFill>
              <w14:schemeClr w14:val="tx1"/>
            </w14:solidFill>
          </w14:textFill>
        </w:rPr>
        <w:t>).</w:t>
      </w:r>
    </w:p>
    <w:p w14:paraId="7ADBFB1D">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وتوضح الأدبيات الحديثة أن إدارة المخاطر ليست مجرد رد فعل للمشكلات، بل هي عملية استباقية تسعى إلى التنبؤ بالمهددات قبل وقوعها، وتحويلها من عناصر غير متوقعة إلى متغيرات يمكن التحكم فيها نسبيًا، أظهرت دراسة حمدان والبشابشة</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 xml:space="preserve">أن المؤسسات التي تبنت أنظمة متقدمة لإدارة المخاطر في قطاع الأدوية الأردني تمكنت من تعزيز الفاعلية التنظيمية وتقليل فرص التعثر، وهو ما يتفق مع ما أشار إليه </w:t>
      </w:r>
      <w:r>
        <w:rPr>
          <w:rFonts w:ascii="Sakkal Majalla" w:hAnsi="Sakkal Majalla" w:cs="Sakkal Majalla"/>
          <w:bCs/>
          <w:color w:val="000000" w:themeColor="text1"/>
          <w:sz w:val="28"/>
          <w:szCs w:val="28"/>
          <w:lang w:val="en-US"/>
          <w14:textFill>
            <w14:solidFill>
              <w14:schemeClr w14:val="tx1"/>
            </w14:solidFill>
          </w14:textFill>
        </w:rPr>
        <w:t>Alshehhi</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بأن إدارة المخاطر تعد أداة رئيسة لرفع كفاءة تنفيذ المشاريع الإنشائية وضمان مرونتها التشغيلية</w:t>
      </w:r>
      <w:r>
        <w:rPr>
          <w:rFonts w:ascii="Sakkal Majalla" w:hAnsi="Sakkal Majalla" w:cs="Sakkal Majalla"/>
          <w:b/>
          <w:color w:val="000000" w:themeColor="text1"/>
          <w:sz w:val="28"/>
          <w:szCs w:val="28"/>
          <w:lang w:val="en-US"/>
          <w14:textFill>
            <w14:solidFill>
              <w14:schemeClr w14:val="tx1"/>
            </w14:solidFill>
          </w14:textFill>
        </w:rPr>
        <w:t>.</w:t>
      </w:r>
    </w:p>
    <w:p w14:paraId="643D7E85">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bidi="ar-EG"/>
          <w14:textFill>
            <w14:solidFill>
              <w14:schemeClr w14:val="tx1"/>
            </w14:solidFill>
          </w14:textFill>
        </w:rPr>
      </w:pPr>
      <w:r>
        <w:rPr>
          <w:rFonts w:hint="cs" w:ascii="Sakkal Majalla" w:hAnsi="Sakkal Majalla" w:cs="Sakkal Majalla"/>
          <w:b/>
          <w:color w:val="000000" w:themeColor="text1"/>
          <w:sz w:val="28"/>
          <w:szCs w:val="28"/>
          <w:rtl/>
          <w:lang w:val="en-US" w:bidi="ar-EG"/>
          <w14:textFill>
            <w14:solidFill>
              <w14:schemeClr w14:val="tx1"/>
            </w14:solidFill>
          </w14:textFill>
        </w:rPr>
        <w:t>كما أن البعد الشمولي لتعريف إدارة المخاطر يبرز من خلال ارتباطها بالتخطيط الاستراتيجي، حيث يؤكد أبو نصرة وآخرون</w:t>
      </w:r>
      <w:r>
        <w:rPr>
          <w:rFonts w:hint="cs" w:ascii="Sakkal Majalla" w:hAnsi="Sakkal Majalla" w:cs="Sakkal Majalla"/>
          <w:b/>
          <w:color w:val="000000" w:themeColor="text1"/>
          <w:sz w:val="28"/>
          <w:szCs w:val="28"/>
          <w:lang w:val="en-US" w:bidi="ar-EG"/>
          <w14:textFill>
            <w14:solidFill>
              <w14:schemeClr w14:val="tx1"/>
            </w14:solidFill>
          </w14:textFill>
        </w:rPr>
        <w:t xml:space="preserve"> (2020) </w:t>
      </w:r>
      <w:r>
        <w:rPr>
          <w:rFonts w:hint="cs" w:ascii="Sakkal Majalla" w:hAnsi="Sakkal Majalla" w:cs="Sakkal Majalla"/>
          <w:b/>
          <w:color w:val="000000" w:themeColor="text1"/>
          <w:sz w:val="28"/>
          <w:szCs w:val="28"/>
          <w:rtl/>
          <w:lang w:val="en-US" w:bidi="ar-EG"/>
          <w14:textFill>
            <w14:solidFill>
              <w14:schemeClr w14:val="tx1"/>
            </w14:solidFill>
          </w14:textFill>
        </w:rPr>
        <w:t>أن إدماج إدارة المخاطر في الخطط الاستراتيجية للبنوك التجارية أدى إلى رفع مستوى الاستقرار المالي وتقوية القدرة على مواجهة الأزمات، ويعكس هذا الطرح البعد المؤسسي لإدارة المخاطر بوصفها عملية متكاملة تتقاطع مع مختلف وظائف الإدارة مثل التمويل، الموارد البشرية، الجودة، وإدارة المشاريع</w:t>
      </w:r>
      <w:r>
        <w:rPr>
          <w:rFonts w:hint="cs" w:ascii="Sakkal Majalla" w:hAnsi="Sakkal Majalla" w:cs="Sakkal Majalla"/>
          <w:b/>
          <w:color w:val="000000" w:themeColor="text1"/>
          <w:sz w:val="28"/>
          <w:szCs w:val="28"/>
          <w:lang w:val="en-US" w:bidi="ar-EG"/>
          <w14:textFill>
            <w14:solidFill>
              <w14:schemeClr w14:val="tx1"/>
            </w14:solidFill>
          </w14:textFill>
        </w:rPr>
        <w:t>.</w:t>
      </w:r>
    </w:p>
    <w:p w14:paraId="79BA4BAA">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rtl/>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وبناءً عليه، يرى الباحث أن التعريف الأكثر شمولًا هو ذلك الذي ينظر إلى إدارة المخاطر على أنها عملية مستمرة، استراتيجية، وثقافية، تعمل على دمج الرؤية المستقبلية مع آليات الرصد والتحليل والتنفيذ والرقابة، بهدف ضمان استدامة المشاريع الكبرى وتحقيق القيمة المضافة المرجوة منها في إطار التحول الوطني</w:t>
      </w:r>
      <w:r>
        <w:rPr>
          <w:rFonts w:ascii="Sakkal Majalla" w:hAnsi="Sakkal Majalla" w:cs="Sakkal Majalla"/>
          <w:b/>
          <w:color w:val="000000" w:themeColor="text1"/>
          <w:sz w:val="28"/>
          <w:szCs w:val="28"/>
          <w14:textFill>
            <w14:solidFill>
              <w14:schemeClr w14:val="tx1"/>
            </w14:solidFill>
          </w14:textFill>
        </w:rPr>
        <w:t>.</w:t>
      </w:r>
    </w:p>
    <w:p w14:paraId="0D5DE975">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outlineLvl w:val="2"/>
        <w:rPr>
          <w:rFonts w:ascii="Sakkal Majalla" w:hAnsi="Sakkal Majalla" w:cs="Sakkal Majalla"/>
          <w:bCs/>
          <w:color w:val="000000" w:themeColor="text1"/>
          <w:sz w:val="32"/>
          <w:szCs w:val="32"/>
          <w:lang w:val="en-US"/>
          <w14:textFill>
            <w14:solidFill>
              <w14:schemeClr w14:val="tx1"/>
            </w14:solidFill>
          </w14:textFill>
        </w:rPr>
      </w:pPr>
      <w:bookmarkStart w:id="46" w:name="_Toc211696030"/>
      <w:r>
        <w:rPr>
          <w:rFonts w:hint="cs" w:ascii="Sakkal Majalla" w:hAnsi="Sakkal Majalla" w:cs="Sakkal Majalla"/>
          <w:bCs/>
          <w:color w:val="000000" w:themeColor="text1"/>
          <w:sz w:val="32"/>
          <w:szCs w:val="32"/>
          <w:rtl/>
          <w14:textFill>
            <w14:solidFill>
              <w14:schemeClr w14:val="tx1"/>
            </w14:solidFill>
          </w14:textFill>
        </w:rPr>
        <w:t xml:space="preserve">3.1.2 </w:t>
      </w:r>
      <w:r>
        <w:rPr>
          <w:rFonts w:ascii="Sakkal Majalla" w:hAnsi="Sakkal Majalla" w:cs="Sakkal Majalla"/>
          <w:bCs/>
          <w:color w:val="000000" w:themeColor="text1"/>
          <w:sz w:val="32"/>
          <w:szCs w:val="32"/>
          <w:rtl/>
          <w14:textFill>
            <w14:solidFill>
              <w14:schemeClr w14:val="tx1"/>
            </w14:solidFill>
          </w14:textFill>
        </w:rPr>
        <w:t>أهمية إدارة المخاطر</w:t>
      </w:r>
      <w:bookmarkEnd w:id="46"/>
    </w:p>
    <w:p w14:paraId="29D81096">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rtl/>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تُعد إدارة المخاطر من المرتكزات الأساسية التي تقوم عليها استدامة المؤسسات ونجاح مشاريعها، خاصة في بيئات العمل المعاصرة التي تتسم بالتعقيد والتغير السريع. فالمشروعات الكبرى التي تنفذها الحكومات في إطار خطط التنمية، مثل رؤية المملكة العربية السعودية 2030، تواجه طيفًا واسعًا من المخاطر المالية والإدارية والتشغيلية التي قد تهدد استمراريتها أو تؤثر في جودة مخرجاتها.</w:t>
      </w:r>
    </w:p>
    <w:p w14:paraId="66D1D54A">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 xml:space="preserve"> ومن ثمّ، برزت أهمية إدارة المخاطر كمنهج إداري يهدف إلى استشراف المخاطر المحتملة، ووضع الخطط الكفيلة بتقليل احتمالية وقوعها أو الحد من آثارها في حال حدوثها</w:t>
      </w:r>
      <w:r>
        <w:rPr>
          <w:rFonts w:ascii="Sakkal Majalla" w:hAnsi="Sakkal Majalla" w:cs="Sakkal Majalla"/>
          <w:b/>
          <w:color w:val="000000" w:themeColor="text1"/>
          <w:sz w:val="28"/>
          <w:szCs w:val="28"/>
          <w:lang w:val="en-US"/>
          <w14:textFill>
            <w14:solidFill>
              <w14:schemeClr w14:val="tx1"/>
            </w14:solidFill>
          </w14:textFill>
        </w:rPr>
        <w:t>.</w:t>
      </w:r>
    </w:p>
    <w:p w14:paraId="1AF06308">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ويشير الرواشدة وسودة</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2020</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14:textFill>
            <w14:solidFill>
              <w14:schemeClr w14:val="tx1"/>
            </w14:solidFill>
          </w14:textFill>
        </w:rPr>
        <w:t>إلى أن أهمية إدارة المخاطر تتجلى في قدرتها على تحقيق الاستقرار المؤسسي من خلال ثلاث نقاط رئيسية</w:t>
      </w:r>
      <w:r>
        <w:rPr>
          <w:rFonts w:ascii="Sakkal Majalla" w:hAnsi="Sakkal Majalla" w:cs="Sakkal Majalla"/>
          <w:b/>
          <w:color w:val="000000" w:themeColor="text1"/>
          <w:sz w:val="28"/>
          <w:szCs w:val="28"/>
          <w:lang w:val="en-US"/>
          <w14:textFill>
            <w14:solidFill>
              <w14:schemeClr w14:val="tx1"/>
            </w14:solidFill>
          </w14:textFill>
        </w:rPr>
        <w:t>:</w:t>
      </w:r>
    </w:p>
    <w:p w14:paraId="1313FA02">
      <w:pPr>
        <w:numPr>
          <w:ilvl w:val="0"/>
          <w:numId w:val="15"/>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الوقاية المسبقة</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14:textFill>
            <w14:solidFill>
              <w14:schemeClr w14:val="tx1"/>
            </w14:solidFill>
          </w14:textFill>
        </w:rPr>
        <w:t>إذ تعمل إدارة المخاطر كآلية استباقية تمنع وقوع الأزمات عبر تشخيص المهددات في وقت مبكر</w:t>
      </w:r>
      <w:r>
        <w:rPr>
          <w:rFonts w:ascii="Sakkal Majalla" w:hAnsi="Sakkal Majalla" w:cs="Sakkal Majalla"/>
          <w:b/>
          <w:color w:val="000000" w:themeColor="text1"/>
          <w:sz w:val="28"/>
          <w:szCs w:val="28"/>
          <w:lang w:val="en-US"/>
          <w14:textFill>
            <w14:solidFill>
              <w14:schemeClr w14:val="tx1"/>
            </w14:solidFill>
          </w14:textFill>
        </w:rPr>
        <w:t>.</w:t>
      </w:r>
    </w:p>
    <w:p w14:paraId="006AD8E0">
      <w:pPr>
        <w:numPr>
          <w:ilvl w:val="0"/>
          <w:numId w:val="15"/>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تقليل الخسائر</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14:textFill>
            <w14:solidFill>
              <w14:schemeClr w14:val="tx1"/>
            </w14:solidFill>
          </w14:textFill>
        </w:rPr>
        <w:t>من خلال الحد من الآثار السلبية للمخاطر عند حدوثها بما يساهم في تقليل التكاليف غير المتوقعة</w:t>
      </w:r>
      <w:r>
        <w:rPr>
          <w:rFonts w:ascii="Sakkal Majalla" w:hAnsi="Sakkal Majalla" w:cs="Sakkal Majalla"/>
          <w:b/>
          <w:color w:val="000000" w:themeColor="text1"/>
          <w:sz w:val="28"/>
          <w:szCs w:val="28"/>
          <w:lang w:val="en-US"/>
          <w14:textFill>
            <w14:solidFill>
              <w14:schemeClr w14:val="tx1"/>
            </w14:solidFill>
          </w14:textFill>
        </w:rPr>
        <w:t>.</w:t>
      </w:r>
    </w:p>
    <w:p w14:paraId="1E0EBB0E">
      <w:pPr>
        <w:numPr>
          <w:ilvl w:val="0"/>
          <w:numId w:val="15"/>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تعزيز الكفاءة التشغيلية</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14:textFill>
            <w14:solidFill>
              <w14:schemeClr w14:val="tx1"/>
            </w14:solidFill>
          </w14:textFill>
        </w:rPr>
        <w:t>حيث تسهم في تحسين فعالية العمليات وتحقيق التوازن بين المخاطر والعوائد</w:t>
      </w:r>
      <w:r>
        <w:rPr>
          <w:rFonts w:ascii="Sakkal Majalla" w:hAnsi="Sakkal Majalla" w:cs="Sakkal Majalla"/>
          <w:b/>
          <w:color w:val="000000" w:themeColor="text1"/>
          <w:sz w:val="28"/>
          <w:szCs w:val="28"/>
          <w:lang w:val="en-US"/>
          <w14:textFill>
            <w14:solidFill>
              <w14:schemeClr w14:val="tx1"/>
            </w14:solidFill>
          </w14:textFill>
        </w:rPr>
        <w:t>.</w:t>
      </w:r>
    </w:p>
    <w:p w14:paraId="362ACBF9">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كما يرى حمدان والبشابشة</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14:textFill>
            <w14:solidFill>
              <w14:schemeClr w14:val="tx1"/>
            </w14:solidFill>
          </w14:textFill>
        </w:rPr>
        <w:t>أن أهمية إدارة المخاطر تكمن في كونها أداة استراتيجية تساعد المؤسسات على تعزيز مرونتها في مواجهة الأزمات الطارئة، إذ إنها تدعم اتخاذ قرارات مدروسة وتبني خطط بديلة تضمن استمرار العمليات الحيوية دون انقطاع</w:t>
      </w:r>
      <w:r>
        <w:rPr>
          <w:rFonts w:ascii="Sakkal Majalla" w:hAnsi="Sakkal Majalla" w:cs="Sakkal Majalla"/>
          <w:b/>
          <w:color w:val="000000" w:themeColor="text1"/>
          <w:sz w:val="28"/>
          <w:szCs w:val="28"/>
          <w:lang w:val="en-US"/>
          <w14:textFill>
            <w14:solidFill>
              <w14:schemeClr w14:val="tx1"/>
            </w14:solidFill>
          </w14:textFill>
        </w:rPr>
        <w:t>.</w:t>
      </w:r>
    </w:p>
    <w:p w14:paraId="22DFE42A">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ويؤكد بوداود</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2021</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14:textFill>
            <w14:solidFill>
              <w14:schemeClr w14:val="tx1"/>
            </w14:solidFill>
          </w14:textFill>
        </w:rPr>
        <w:t>أن القيمة الجوهرية لإدارة المخاطر لا تقتصر على كونها أداة لمعالجة الأزمات، بل تتعداها لتصبح نظامًا إنذاريًا مبكرًا يسهم في كشف التهديدات المحتملة قبل تفاقمها، مما يمنح المؤسسات ميزة تنافسية في بيئة تتسم بعدم اليقين</w:t>
      </w:r>
      <w:r>
        <w:rPr>
          <w:rFonts w:ascii="Sakkal Majalla" w:hAnsi="Sakkal Majalla" w:cs="Sakkal Majalla"/>
          <w:b/>
          <w:color w:val="000000" w:themeColor="text1"/>
          <w:sz w:val="28"/>
          <w:szCs w:val="28"/>
          <w:lang w:val="en-US"/>
          <w14:textFill>
            <w14:solidFill>
              <w14:schemeClr w14:val="tx1"/>
            </w14:solidFill>
          </w14:textFill>
        </w:rPr>
        <w:t>.</w:t>
      </w:r>
    </w:p>
    <w:p w14:paraId="0240F32E">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 xml:space="preserve">في حين يوضح </w:t>
      </w:r>
      <w:r>
        <w:rPr>
          <w:rFonts w:ascii="Sakkal Majalla" w:hAnsi="Sakkal Majalla" w:cs="Sakkal Majalla"/>
          <w:bCs/>
          <w:color w:val="000000" w:themeColor="text1"/>
          <w:sz w:val="28"/>
          <w:szCs w:val="28"/>
          <w:lang w:val="en-US"/>
          <w14:textFill>
            <w14:solidFill>
              <w14:schemeClr w14:val="tx1"/>
            </w14:solidFill>
          </w14:textFill>
        </w:rPr>
        <w:t>Alshehhi</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14:textFill>
            <w14:solidFill>
              <w14:schemeClr w14:val="tx1"/>
            </w14:solidFill>
          </w14:textFill>
        </w:rPr>
        <w:t>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14:textFill>
            <w14:solidFill>
              <w14:schemeClr w14:val="tx1"/>
            </w14:solidFill>
          </w14:textFill>
        </w:rPr>
        <w:t>أن إدارة المخاطر تمثل وسيلة أساسية في المشروعات الإنشائية الكبرى لتقليل احتمالية التأخير والحد من التكلفة الزائدة، وبالتالي رفع جودة التنفيذ وضمان الالتزام بالمعايير الزمنية والمالية المحددة</w:t>
      </w:r>
      <w:r>
        <w:rPr>
          <w:rFonts w:ascii="Sakkal Majalla" w:hAnsi="Sakkal Majalla" w:cs="Sakkal Majalla"/>
          <w:b/>
          <w:color w:val="000000" w:themeColor="text1"/>
          <w:sz w:val="28"/>
          <w:szCs w:val="28"/>
          <w:lang w:val="en-US"/>
          <w14:textFill>
            <w14:solidFill>
              <w14:schemeClr w14:val="tx1"/>
            </w14:solidFill>
          </w14:textFill>
        </w:rPr>
        <w:t>.</w:t>
      </w:r>
    </w:p>
    <w:p w14:paraId="10BDEFF9">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14:textFill>
            <w14:solidFill>
              <w14:schemeClr w14:val="tx1"/>
            </w14:solidFill>
          </w14:textFill>
        </w:rPr>
        <w:t xml:space="preserve">وعلى المستوى التنموي، يؤكد </w:t>
      </w:r>
      <w:r>
        <w:rPr>
          <w:rFonts w:ascii="Sakkal Majalla" w:hAnsi="Sakkal Majalla" w:cs="Sakkal Majalla"/>
          <w:bCs/>
          <w:color w:val="000000" w:themeColor="text1"/>
          <w:sz w:val="28"/>
          <w:szCs w:val="28"/>
          <w:lang w:val="en-US"/>
          <w14:textFill>
            <w14:solidFill>
              <w14:schemeClr w14:val="tx1"/>
            </w14:solidFill>
          </w14:textFill>
        </w:rPr>
        <w:t>Prikhodko &amp; Sokolova</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14:textFill>
            <w14:solidFill>
              <w14:schemeClr w14:val="tx1"/>
            </w14:solidFill>
          </w14:textFill>
        </w:rPr>
        <w:t>أن أهمية إدارة المخاطر تتجسد أيضًا في تعزيز الشفافية والمساءلة المؤسسية، حيث يساهم تطبيقها وفق معايير عالمية في توزيع المسؤوليات بوضوح، ودعم نظم الحوكمة الرشيدة، بما يعزز ثقة أصحاب المصلحة في أداء المؤسسات</w:t>
      </w:r>
      <w:r>
        <w:rPr>
          <w:rFonts w:ascii="Sakkal Majalla" w:hAnsi="Sakkal Majalla" w:cs="Sakkal Majalla"/>
          <w:b/>
          <w:color w:val="000000" w:themeColor="text1"/>
          <w:sz w:val="28"/>
          <w:szCs w:val="28"/>
          <w:lang w:val="en-US"/>
          <w14:textFill>
            <w14:solidFill>
              <w14:schemeClr w14:val="tx1"/>
            </w14:solidFill>
          </w14:textFill>
        </w:rPr>
        <w:t>.</w:t>
      </w:r>
    </w:p>
    <w:p w14:paraId="6672B74C">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outlineLvl w:val="2"/>
        <w:rPr>
          <w:rFonts w:ascii="Sakkal Majalla" w:hAnsi="Sakkal Majalla" w:cs="Sakkal Majalla"/>
          <w:bCs/>
          <w:color w:val="000000" w:themeColor="text1"/>
          <w:sz w:val="32"/>
          <w:szCs w:val="32"/>
          <w:lang w:val="en-US"/>
          <w14:textFill>
            <w14:solidFill>
              <w14:schemeClr w14:val="tx1"/>
            </w14:solidFill>
          </w14:textFill>
        </w:rPr>
      </w:pPr>
      <w:bookmarkStart w:id="47" w:name="_Toc211696031"/>
      <w:r>
        <w:rPr>
          <w:rFonts w:hint="cs" w:ascii="Sakkal Majalla" w:hAnsi="Sakkal Majalla" w:cs="Sakkal Majalla"/>
          <w:bCs/>
          <w:color w:val="000000" w:themeColor="text1"/>
          <w:sz w:val="32"/>
          <w:szCs w:val="32"/>
          <w:rtl/>
          <w:lang w:val="en-US"/>
          <w14:textFill>
            <w14:solidFill>
              <w14:schemeClr w14:val="tx1"/>
            </w14:solidFill>
          </w14:textFill>
        </w:rPr>
        <w:t xml:space="preserve">4.1.2 </w:t>
      </w:r>
      <w:r>
        <w:rPr>
          <w:rFonts w:ascii="Sakkal Majalla" w:hAnsi="Sakkal Majalla" w:cs="Sakkal Majalla"/>
          <w:bCs/>
          <w:color w:val="000000" w:themeColor="text1"/>
          <w:sz w:val="32"/>
          <w:szCs w:val="32"/>
          <w:rtl/>
          <w:lang w:val="en-US"/>
          <w14:textFill>
            <w14:solidFill>
              <w14:schemeClr w14:val="tx1"/>
            </w14:solidFill>
          </w14:textFill>
        </w:rPr>
        <w:t>أهداف إدارة المخاطر</w:t>
      </w:r>
      <w:bookmarkEnd w:id="47"/>
    </w:p>
    <w:p w14:paraId="59EEC0C4">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تتحدد أهداف إدارة المخاطر في مجموعة من الغايات الاستراتيجية والتشغيلية التي تسعى المؤسسات إلى تحقيقها من أجل ضمان استدامة أعمالها وتحقيق النجاح لمشروعاتها، ولا تقتصر هذه الأهداف على تقليل احتمالية وقوع المخاطر فحسب، بل تمتد لتشمل بناء قدرات استباقية، وتعزيز المرونة، ورفع مستوى الكفاءة المؤسسية</w:t>
      </w:r>
      <w:r>
        <w:rPr>
          <w:rFonts w:ascii="Sakkal Majalla" w:hAnsi="Sakkal Majalla" w:cs="Sakkal Majalla"/>
          <w:b/>
          <w:color w:val="000000" w:themeColor="text1"/>
          <w:sz w:val="28"/>
          <w:szCs w:val="28"/>
          <w:lang w:val="en-US"/>
          <w14:textFill>
            <w14:solidFill>
              <w14:schemeClr w14:val="tx1"/>
            </w14:solidFill>
          </w14:textFill>
        </w:rPr>
        <w:t>.</w:t>
      </w:r>
    </w:p>
    <w:p w14:paraId="3765F718">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ويشير أبو نصرة وآخرون</w:t>
      </w:r>
      <w:r>
        <w:rPr>
          <w:rFonts w:ascii="Sakkal Majalla" w:hAnsi="Sakkal Majalla" w:cs="Sakkal Majalla"/>
          <w:b/>
          <w:color w:val="000000" w:themeColor="text1"/>
          <w:sz w:val="28"/>
          <w:szCs w:val="28"/>
          <w:lang w:val="en-US"/>
          <w14:textFill>
            <w14:solidFill>
              <w14:schemeClr w14:val="tx1"/>
            </w14:solidFill>
          </w14:textFill>
        </w:rPr>
        <w:t xml:space="preserve"> (2020) </w:t>
      </w:r>
      <w:r>
        <w:rPr>
          <w:rFonts w:ascii="Sakkal Majalla" w:hAnsi="Sakkal Majalla" w:cs="Sakkal Majalla"/>
          <w:b/>
          <w:color w:val="000000" w:themeColor="text1"/>
          <w:sz w:val="28"/>
          <w:szCs w:val="28"/>
          <w:rtl/>
          <w:lang w:val="en-US"/>
          <w14:textFill>
            <w14:solidFill>
              <w14:schemeClr w14:val="tx1"/>
            </w14:solidFill>
          </w14:textFill>
        </w:rPr>
        <w:t>إلى أن أهداف إدارة المخاطر تتلخص في ثلاث نقاط رئيسية</w:t>
      </w:r>
      <w:r>
        <w:rPr>
          <w:rFonts w:ascii="Sakkal Majalla" w:hAnsi="Sakkal Majalla" w:cs="Sakkal Majalla"/>
          <w:b/>
          <w:color w:val="000000" w:themeColor="text1"/>
          <w:sz w:val="28"/>
          <w:szCs w:val="28"/>
          <w:lang w:val="en-US"/>
          <w14:textFill>
            <w14:solidFill>
              <w14:schemeClr w14:val="tx1"/>
            </w14:solidFill>
          </w14:textFill>
        </w:rPr>
        <w:t>:</w:t>
      </w:r>
    </w:p>
    <w:p w14:paraId="5DC53007">
      <w:pPr>
        <w:numPr>
          <w:ilvl w:val="0"/>
          <w:numId w:val="16"/>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تحديد أولويات المخاطر</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من خلال تصنيفها وفقًا لدرجة خطورتها وأثرها المحتمل على المشروع</w:t>
      </w:r>
      <w:r>
        <w:rPr>
          <w:rFonts w:ascii="Sakkal Majalla" w:hAnsi="Sakkal Majalla" w:cs="Sakkal Majalla"/>
          <w:b/>
          <w:color w:val="000000" w:themeColor="text1"/>
          <w:sz w:val="28"/>
          <w:szCs w:val="28"/>
          <w:lang w:val="en-US"/>
          <w14:textFill>
            <w14:solidFill>
              <w14:schemeClr w14:val="tx1"/>
            </w14:solidFill>
          </w14:textFill>
        </w:rPr>
        <w:t>.</w:t>
      </w:r>
    </w:p>
    <w:p w14:paraId="70D0745A">
      <w:pPr>
        <w:numPr>
          <w:ilvl w:val="0"/>
          <w:numId w:val="16"/>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تطوير استراتيجيات الاستجابة</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وذلك عبر وضع خطط بديلة للتعامل مع مختلف السيناريوهات المحتملة</w:t>
      </w:r>
      <w:r>
        <w:rPr>
          <w:rFonts w:ascii="Sakkal Majalla" w:hAnsi="Sakkal Majalla" w:cs="Sakkal Majalla"/>
          <w:b/>
          <w:color w:val="000000" w:themeColor="text1"/>
          <w:sz w:val="28"/>
          <w:szCs w:val="28"/>
          <w:lang w:val="en-US"/>
          <w14:textFill>
            <w14:solidFill>
              <w14:schemeClr w14:val="tx1"/>
            </w14:solidFill>
          </w14:textFill>
        </w:rPr>
        <w:t>.</w:t>
      </w:r>
    </w:p>
    <w:p w14:paraId="080C8B8C">
      <w:pPr>
        <w:numPr>
          <w:ilvl w:val="0"/>
          <w:numId w:val="16"/>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دعم متخذي القرار</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من خلال توفير معلومات دقيقة وشاملة عن طبيعة المخاطر وتداعياتها</w:t>
      </w:r>
      <w:r>
        <w:rPr>
          <w:rFonts w:ascii="Sakkal Majalla" w:hAnsi="Sakkal Majalla" w:cs="Sakkal Majalla"/>
          <w:b/>
          <w:color w:val="000000" w:themeColor="text1"/>
          <w:sz w:val="28"/>
          <w:szCs w:val="28"/>
          <w:lang w:val="en-US"/>
          <w14:textFill>
            <w14:solidFill>
              <w14:schemeClr w14:val="tx1"/>
            </w14:solidFill>
          </w14:textFill>
        </w:rPr>
        <w:t>.</w:t>
      </w:r>
    </w:p>
    <w:p w14:paraId="64522E3B">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كما يوضح الخريسات والدحيات</w:t>
      </w:r>
      <w:r>
        <w:rPr>
          <w:rFonts w:ascii="Sakkal Majalla" w:hAnsi="Sakkal Majalla" w:cs="Sakkal Majalla"/>
          <w:b/>
          <w:color w:val="000000" w:themeColor="text1"/>
          <w:sz w:val="28"/>
          <w:szCs w:val="28"/>
          <w:lang w:val="en-US"/>
          <w14:textFill>
            <w14:solidFill>
              <w14:schemeClr w14:val="tx1"/>
            </w14:solidFill>
          </w14:textFill>
        </w:rPr>
        <w:t xml:space="preserve"> (2021) </w:t>
      </w:r>
      <w:r>
        <w:rPr>
          <w:rFonts w:ascii="Sakkal Majalla" w:hAnsi="Sakkal Majalla" w:cs="Sakkal Majalla"/>
          <w:b/>
          <w:color w:val="000000" w:themeColor="text1"/>
          <w:sz w:val="28"/>
          <w:szCs w:val="28"/>
          <w:rtl/>
          <w:lang w:val="en-US"/>
          <w14:textFill>
            <w14:solidFill>
              <w14:schemeClr w14:val="tx1"/>
            </w14:solidFill>
          </w14:textFill>
        </w:rPr>
        <w:t>أن أهداف إدارة المخاطر تتمحور حول</w:t>
      </w:r>
      <w:r>
        <w:rPr>
          <w:rFonts w:ascii="Sakkal Majalla" w:hAnsi="Sakkal Majalla" w:cs="Sakkal Majalla"/>
          <w:b/>
          <w:color w:val="000000" w:themeColor="text1"/>
          <w:sz w:val="28"/>
          <w:szCs w:val="28"/>
          <w:lang w:val="en-US"/>
          <w14:textFill>
            <w14:solidFill>
              <w14:schemeClr w14:val="tx1"/>
            </w14:solidFill>
          </w14:textFill>
        </w:rPr>
        <w:t>:</w:t>
      </w:r>
    </w:p>
    <w:p w14:paraId="3FC48C5D">
      <w:pPr>
        <w:numPr>
          <w:ilvl w:val="0"/>
          <w:numId w:val="17"/>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الحفاظ على جودة النتائج المالية والإدارية عبر الحد من الانحرافات غير المتوقعة</w:t>
      </w:r>
      <w:r>
        <w:rPr>
          <w:rFonts w:ascii="Sakkal Majalla" w:hAnsi="Sakkal Majalla" w:cs="Sakkal Majalla"/>
          <w:b/>
          <w:color w:val="000000" w:themeColor="text1"/>
          <w:sz w:val="28"/>
          <w:szCs w:val="28"/>
          <w:lang w:val="en-US"/>
          <w14:textFill>
            <w14:solidFill>
              <w14:schemeClr w14:val="tx1"/>
            </w14:solidFill>
          </w14:textFill>
        </w:rPr>
        <w:t>.</w:t>
      </w:r>
    </w:p>
    <w:p w14:paraId="72499A15">
      <w:pPr>
        <w:numPr>
          <w:ilvl w:val="0"/>
          <w:numId w:val="17"/>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تعزيز ثقة أصحاب المصلحة في المؤسسة من خلال قدرتها على السيطرة على التهديدات</w:t>
      </w:r>
      <w:r>
        <w:rPr>
          <w:rFonts w:ascii="Sakkal Majalla" w:hAnsi="Sakkal Majalla" w:cs="Sakkal Majalla"/>
          <w:b/>
          <w:color w:val="000000" w:themeColor="text1"/>
          <w:sz w:val="28"/>
          <w:szCs w:val="28"/>
          <w:lang w:val="en-US"/>
          <w14:textFill>
            <w14:solidFill>
              <w14:schemeClr w14:val="tx1"/>
            </w14:solidFill>
          </w14:textFill>
        </w:rPr>
        <w:t>.</w:t>
      </w:r>
    </w:p>
    <w:p w14:paraId="0CA910B7">
      <w:pPr>
        <w:numPr>
          <w:ilvl w:val="0"/>
          <w:numId w:val="17"/>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تحقيق التوازن بين المخاطر والعوائد بما يضمن استدامة الأداء المؤسسي</w:t>
      </w:r>
      <w:r>
        <w:rPr>
          <w:rFonts w:ascii="Sakkal Majalla" w:hAnsi="Sakkal Majalla" w:cs="Sakkal Majalla"/>
          <w:b/>
          <w:color w:val="000000" w:themeColor="text1"/>
          <w:sz w:val="28"/>
          <w:szCs w:val="28"/>
          <w:lang w:val="en-US"/>
          <w14:textFill>
            <w14:solidFill>
              <w14:schemeClr w14:val="tx1"/>
            </w14:solidFill>
          </w14:textFill>
        </w:rPr>
        <w:t>.</w:t>
      </w:r>
    </w:p>
    <w:p w14:paraId="4CF30456">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bidi="ar-EG"/>
          <w14:textFill>
            <w14:solidFill>
              <w14:schemeClr w14:val="tx1"/>
            </w14:solidFill>
          </w14:textFill>
        </w:rPr>
      </w:pPr>
      <w:r>
        <w:rPr>
          <w:rFonts w:hint="cs" w:ascii="Sakkal Majalla" w:hAnsi="Sakkal Majalla" w:cs="Sakkal Majalla"/>
          <w:b/>
          <w:color w:val="000000" w:themeColor="text1"/>
          <w:sz w:val="28"/>
          <w:szCs w:val="28"/>
          <w:rtl/>
          <w:lang w:val="en-US" w:bidi="ar-EG"/>
          <w14:textFill>
            <w14:solidFill>
              <w14:schemeClr w14:val="tx1"/>
            </w14:solidFill>
          </w14:textFill>
        </w:rPr>
        <w:t xml:space="preserve">ويرى </w:t>
      </w:r>
      <w:r>
        <w:rPr>
          <w:rFonts w:ascii="Sakkal Majalla" w:hAnsi="Sakkal Majalla" w:cs="Sakkal Majalla"/>
          <w:bCs/>
          <w:color w:val="000000" w:themeColor="text1"/>
          <w:sz w:val="28"/>
          <w:szCs w:val="28"/>
          <w:rtl/>
          <w:lang w:val="en-US" w:bidi="ar-EG"/>
          <w14:textFill>
            <w14:solidFill>
              <w14:schemeClr w14:val="tx1"/>
            </w14:solidFill>
          </w14:textFill>
        </w:rPr>
        <w:t>المطيري</w:t>
      </w:r>
      <w:r>
        <w:rPr>
          <w:rFonts w:ascii="Sakkal Majalla" w:hAnsi="Sakkal Majalla" w:cs="Sakkal Majalla"/>
          <w:b/>
          <w:bCs/>
          <w:color w:val="000000" w:themeColor="text1"/>
          <w:sz w:val="28"/>
          <w:szCs w:val="28"/>
          <w:rtl/>
          <w:lang w:val="en-US" w:bidi="ar-EG"/>
          <w14:textFill>
            <w14:solidFill>
              <w14:schemeClr w14:val="tx1"/>
            </w14:solidFill>
          </w14:textFill>
        </w:rPr>
        <w:t xml:space="preserve"> </w:t>
      </w:r>
      <w:r>
        <w:rPr>
          <w:rFonts w:hint="cs" w:ascii="Sakkal Majalla" w:hAnsi="Sakkal Majalla" w:cs="Sakkal Majalla"/>
          <w:b/>
          <w:color w:val="000000" w:themeColor="text1"/>
          <w:sz w:val="28"/>
          <w:szCs w:val="28"/>
          <w:lang w:val="en-US" w:bidi="ar-EG"/>
          <w14:textFill>
            <w14:solidFill>
              <w14:schemeClr w14:val="tx1"/>
            </w14:solidFill>
          </w14:textFill>
        </w:rPr>
        <w:t>(</w:t>
      </w:r>
      <w:r>
        <w:rPr>
          <w:rFonts w:hint="cs" w:ascii="Sakkal Majalla" w:hAnsi="Sakkal Majalla" w:cs="Sakkal Majalla"/>
          <w:bCs/>
          <w:color w:val="000000" w:themeColor="text1"/>
          <w:sz w:val="28"/>
          <w:szCs w:val="28"/>
          <w:lang w:val="en-US" w:bidi="ar-EG"/>
          <w14:textFill>
            <w14:solidFill>
              <w14:schemeClr w14:val="tx1"/>
            </w14:solidFill>
          </w14:textFill>
        </w:rPr>
        <w:t>2023</w:t>
      </w:r>
      <w:r>
        <w:rPr>
          <w:rFonts w:hint="cs" w:ascii="Sakkal Majalla" w:hAnsi="Sakkal Majalla" w:cs="Sakkal Majalla"/>
          <w:b/>
          <w:color w:val="000000" w:themeColor="text1"/>
          <w:sz w:val="28"/>
          <w:szCs w:val="28"/>
          <w:lang w:val="en-US" w:bidi="ar-EG"/>
          <w14:textFill>
            <w14:solidFill>
              <w14:schemeClr w14:val="tx1"/>
            </w14:solidFill>
          </w14:textFill>
        </w:rPr>
        <w:t xml:space="preserve">) </w:t>
      </w:r>
      <w:r>
        <w:rPr>
          <w:rFonts w:hint="cs" w:ascii="Sakkal Majalla" w:hAnsi="Sakkal Majalla" w:cs="Sakkal Majalla"/>
          <w:b/>
          <w:color w:val="000000" w:themeColor="text1"/>
          <w:sz w:val="28"/>
          <w:szCs w:val="28"/>
          <w:rtl/>
          <w:lang w:val="en-US" w:bidi="ar-EG"/>
          <w14:textFill>
            <w14:solidFill>
              <w14:schemeClr w14:val="tx1"/>
            </w14:solidFill>
          </w14:textFill>
        </w:rPr>
        <w:t>أن أهداف إدارة المخاطر في قطاع الخدمات الصحية يمكن أن تتركز في</w:t>
      </w:r>
      <w:r>
        <w:rPr>
          <w:rFonts w:hint="cs" w:ascii="Sakkal Majalla" w:hAnsi="Sakkal Majalla" w:cs="Sakkal Majalla"/>
          <w:b/>
          <w:color w:val="000000" w:themeColor="text1"/>
          <w:sz w:val="28"/>
          <w:szCs w:val="28"/>
          <w:lang w:val="en-US" w:bidi="ar-EG"/>
          <w14:textFill>
            <w14:solidFill>
              <w14:schemeClr w14:val="tx1"/>
            </w14:solidFill>
          </w14:textFill>
        </w:rPr>
        <w:t>:</w:t>
      </w:r>
    </w:p>
    <w:p w14:paraId="21FA3880">
      <w:pPr>
        <w:numPr>
          <w:ilvl w:val="0"/>
          <w:numId w:val="18"/>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تحسين جودة الخدمة المقدمة عبر تقليل احتمالية الأخطاء التشغيلية</w:t>
      </w:r>
      <w:r>
        <w:rPr>
          <w:rFonts w:ascii="Sakkal Majalla" w:hAnsi="Sakkal Majalla" w:cs="Sakkal Majalla"/>
          <w:b/>
          <w:color w:val="000000" w:themeColor="text1"/>
          <w:sz w:val="28"/>
          <w:szCs w:val="28"/>
          <w:lang w:val="en-US"/>
          <w14:textFill>
            <w14:solidFill>
              <w14:schemeClr w14:val="tx1"/>
            </w14:solidFill>
          </w14:textFill>
        </w:rPr>
        <w:t>.</w:t>
      </w:r>
    </w:p>
    <w:p w14:paraId="17565780">
      <w:pPr>
        <w:numPr>
          <w:ilvl w:val="0"/>
          <w:numId w:val="18"/>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تعزيز الكفاءة التشغيلية للمؤسسات الصحية من خلال السيطرة على مصادر الهدر</w:t>
      </w:r>
      <w:r>
        <w:rPr>
          <w:rFonts w:ascii="Sakkal Majalla" w:hAnsi="Sakkal Majalla" w:cs="Sakkal Majalla"/>
          <w:b/>
          <w:color w:val="000000" w:themeColor="text1"/>
          <w:sz w:val="28"/>
          <w:szCs w:val="28"/>
          <w:lang w:val="en-US"/>
          <w14:textFill>
            <w14:solidFill>
              <w14:schemeClr w14:val="tx1"/>
            </w14:solidFill>
          </w14:textFill>
        </w:rPr>
        <w:t>.</w:t>
      </w:r>
    </w:p>
    <w:p w14:paraId="66678A89">
      <w:pPr>
        <w:numPr>
          <w:ilvl w:val="0"/>
          <w:numId w:val="18"/>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ضمان سلامة المستفيدين بما يعزز سمعة المؤسسة وثقة المجتمع بها</w:t>
      </w:r>
      <w:r>
        <w:rPr>
          <w:rFonts w:ascii="Sakkal Majalla" w:hAnsi="Sakkal Majalla" w:cs="Sakkal Majalla"/>
          <w:b/>
          <w:color w:val="000000" w:themeColor="text1"/>
          <w:sz w:val="28"/>
          <w:szCs w:val="28"/>
          <w:lang w:val="en-US"/>
          <w14:textFill>
            <w14:solidFill>
              <w14:schemeClr w14:val="tx1"/>
            </w14:solidFill>
          </w14:textFill>
        </w:rPr>
        <w:t>.</w:t>
      </w:r>
    </w:p>
    <w:p w14:paraId="2D3A9D16">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bidi="ar-EG"/>
          <w14:textFill>
            <w14:solidFill>
              <w14:schemeClr w14:val="tx1"/>
            </w14:solidFill>
          </w14:textFill>
        </w:rPr>
      </w:pPr>
      <w:r>
        <w:rPr>
          <w:rFonts w:hint="cs" w:ascii="Sakkal Majalla" w:hAnsi="Sakkal Majalla" w:cs="Sakkal Majalla"/>
          <w:b/>
          <w:color w:val="000000" w:themeColor="text1"/>
          <w:sz w:val="28"/>
          <w:szCs w:val="28"/>
          <w:rtl/>
          <w:lang w:val="en-US" w:bidi="ar-EG"/>
          <w14:textFill>
            <w14:solidFill>
              <w14:schemeClr w14:val="tx1"/>
            </w14:solidFill>
          </w14:textFill>
        </w:rPr>
        <w:t xml:space="preserve">كما يشير </w:t>
      </w:r>
      <w:r>
        <w:rPr>
          <w:rFonts w:hint="cs" w:ascii="Sakkal Majalla" w:hAnsi="Sakkal Majalla" w:cs="Sakkal Majalla"/>
          <w:bCs/>
          <w:color w:val="000000" w:themeColor="text1"/>
          <w:sz w:val="28"/>
          <w:szCs w:val="28"/>
          <w:lang w:val="en-US" w:bidi="ar-EG"/>
          <w14:textFill>
            <w14:solidFill>
              <w14:schemeClr w14:val="tx1"/>
            </w14:solidFill>
          </w14:textFill>
        </w:rPr>
        <w:t>Adedokun</w:t>
      </w:r>
      <w:r>
        <w:rPr>
          <w:rFonts w:hint="cs" w:ascii="Sakkal Majalla" w:hAnsi="Sakkal Majalla" w:cs="Sakkal Majalla"/>
          <w:b/>
          <w:color w:val="000000" w:themeColor="text1"/>
          <w:sz w:val="28"/>
          <w:szCs w:val="28"/>
          <w:lang w:val="en-US" w:bidi="ar-EG"/>
          <w14:textFill>
            <w14:solidFill>
              <w14:schemeClr w14:val="tx1"/>
            </w14:solidFill>
          </w14:textFill>
        </w:rPr>
        <w:t xml:space="preserve"> </w:t>
      </w:r>
      <w:r>
        <w:rPr>
          <w:rFonts w:hint="cs" w:ascii="Sakkal Majalla" w:hAnsi="Sakkal Majalla" w:cs="Sakkal Majalla"/>
          <w:b/>
          <w:color w:val="000000" w:themeColor="text1"/>
          <w:sz w:val="28"/>
          <w:szCs w:val="28"/>
          <w:rtl/>
          <w:lang w:val="en-US" w:bidi="ar-EG"/>
          <w14:textFill>
            <w14:solidFill>
              <w14:schemeClr w14:val="tx1"/>
            </w14:solidFill>
          </w14:textFill>
        </w:rPr>
        <w:t>وآخرون</w:t>
      </w:r>
      <w:r>
        <w:rPr>
          <w:rFonts w:hint="cs" w:ascii="Sakkal Majalla" w:hAnsi="Sakkal Majalla" w:cs="Sakkal Majalla"/>
          <w:b/>
          <w:color w:val="000000" w:themeColor="text1"/>
          <w:sz w:val="28"/>
          <w:szCs w:val="28"/>
          <w:lang w:val="en-US" w:bidi="ar-EG"/>
          <w14:textFill>
            <w14:solidFill>
              <w14:schemeClr w14:val="tx1"/>
            </w14:solidFill>
          </w14:textFill>
        </w:rPr>
        <w:t xml:space="preserve"> (</w:t>
      </w:r>
      <w:r>
        <w:rPr>
          <w:rFonts w:hint="cs" w:ascii="Sakkal Majalla" w:hAnsi="Sakkal Majalla" w:cs="Sakkal Majalla"/>
          <w:bCs/>
          <w:color w:val="000000" w:themeColor="text1"/>
          <w:sz w:val="28"/>
          <w:szCs w:val="28"/>
          <w:lang w:val="en-US" w:bidi="ar-EG"/>
          <w14:textFill>
            <w14:solidFill>
              <w14:schemeClr w14:val="tx1"/>
            </w14:solidFill>
          </w14:textFill>
        </w:rPr>
        <w:t>2023</w:t>
      </w:r>
      <w:r>
        <w:rPr>
          <w:rFonts w:hint="cs" w:ascii="Sakkal Majalla" w:hAnsi="Sakkal Majalla" w:cs="Sakkal Majalla"/>
          <w:b/>
          <w:color w:val="000000" w:themeColor="text1"/>
          <w:sz w:val="28"/>
          <w:szCs w:val="28"/>
          <w:lang w:val="en-US" w:bidi="ar-EG"/>
          <w14:textFill>
            <w14:solidFill>
              <w14:schemeClr w14:val="tx1"/>
            </w14:solidFill>
          </w14:textFill>
        </w:rPr>
        <w:t xml:space="preserve">) </w:t>
      </w:r>
      <w:r>
        <w:rPr>
          <w:rFonts w:hint="cs" w:ascii="Sakkal Majalla" w:hAnsi="Sakkal Majalla" w:cs="Sakkal Majalla"/>
          <w:b/>
          <w:color w:val="000000" w:themeColor="text1"/>
          <w:sz w:val="28"/>
          <w:szCs w:val="28"/>
          <w:rtl/>
          <w:lang w:val="en-US" w:bidi="ar-EG"/>
          <w14:textFill>
            <w14:solidFill>
              <w14:schemeClr w14:val="tx1"/>
            </w14:solidFill>
          </w14:textFill>
        </w:rPr>
        <w:t>إلى أن أهداف إدارة المخاطر في المشروعات التعليمية تتجسد في</w:t>
      </w:r>
      <w:r>
        <w:rPr>
          <w:rFonts w:hint="cs" w:ascii="Sakkal Majalla" w:hAnsi="Sakkal Majalla" w:cs="Sakkal Majalla"/>
          <w:b/>
          <w:color w:val="000000" w:themeColor="text1"/>
          <w:sz w:val="28"/>
          <w:szCs w:val="28"/>
          <w:lang w:val="en-US" w:bidi="ar-EG"/>
          <w14:textFill>
            <w14:solidFill>
              <w14:schemeClr w14:val="tx1"/>
            </w14:solidFill>
          </w14:textFill>
        </w:rPr>
        <w:t>:</w:t>
      </w:r>
    </w:p>
    <w:p w14:paraId="3CA91D60">
      <w:pPr>
        <w:numPr>
          <w:ilvl w:val="0"/>
          <w:numId w:val="19"/>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ضمان استمرارية تنفيذ المشاريع دون تعطيل نتيجة للأزمات غير المتوقعة</w:t>
      </w:r>
      <w:r>
        <w:rPr>
          <w:rFonts w:ascii="Sakkal Majalla" w:hAnsi="Sakkal Majalla" w:cs="Sakkal Majalla"/>
          <w:b/>
          <w:color w:val="000000" w:themeColor="text1"/>
          <w:sz w:val="28"/>
          <w:szCs w:val="28"/>
          <w:lang w:val="en-US"/>
          <w14:textFill>
            <w14:solidFill>
              <w14:schemeClr w14:val="tx1"/>
            </w14:solidFill>
          </w14:textFill>
        </w:rPr>
        <w:t>.</w:t>
      </w:r>
    </w:p>
    <w:p w14:paraId="3ED8B12F">
      <w:pPr>
        <w:numPr>
          <w:ilvl w:val="0"/>
          <w:numId w:val="19"/>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تحسين استغلال الموارد المتاحة وتوظيفها بكفاءة عالية</w:t>
      </w:r>
      <w:r>
        <w:rPr>
          <w:rFonts w:ascii="Sakkal Majalla" w:hAnsi="Sakkal Majalla" w:cs="Sakkal Majalla"/>
          <w:b/>
          <w:color w:val="000000" w:themeColor="text1"/>
          <w:sz w:val="28"/>
          <w:szCs w:val="28"/>
          <w:lang w:val="en-US"/>
          <w14:textFill>
            <w14:solidFill>
              <w14:schemeClr w14:val="tx1"/>
            </w14:solidFill>
          </w14:textFill>
        </w:rPr>
        <w:t>.</w:t>
      </w:r>
    </w:p>
    <w:p w14:paraId="1A123297">
      <w:pPr>
        <w:numPr>
          <w:ilvl w:val="0"/>
          <w:numId w:val="19"/>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تحقيق معايير النجاح المرتبطة بالوقت والجودة والتكلفة التي تعد أساسًا في تقييم المشاريع الكبرى</w:t>
      </w:r>
      <w:r>
        <w:rPr>
          <w:rFonts w:ascii="Sakkal Majalla" w:hAnsi="Sakkal Majalla" w:cs="Sakkal Majalla"/>
          <w:b/>
          <w:color w:val="000000" w:themeColor="text1"/>
          <w:sz w:val="28"/>
          <w:szCs w:val="28"/>
          <w:lang w:val="en-US"/>
          <w14:textFill>
            <w14:solidFill>
              <w14:schemeClr w14:val="tx1"/>
            </w14:solidFill>
          </w14:textFill>
        </w:rPr>
        <w:t>.</w:t>
      </w:r>
    </w:p>
    <w:p w14:paraId="472B8E84">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ومن جانب آخر، يؤكد </w:t>
      </w:r>
      <w:r>
        <w:rPr>
          <w:rFonts w:ascii="Sakkal Majalla" w:hAnsi="Sakkal Majalla" w:cs="Sakkal Majalla"/>
          <w:bCs/>
          <w:color w:val="000000" w:themeColor="text1"/>
          <w:sz w:val="28"/>
          <w:szCs w:val="28"/>
          <w:lang w:val="en-US"/>
          <w14:textFill>
            <w14:solidFill>
              <w14:schemeClr w14:val="tx1"/>
            </w14:solidFill>
          </w14:textFill>
        </w:rPr>
        <w:t>Ciric Lalic</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2022</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أن أهداف إدارة المخاطر تمتد إلى تعزيز قدرة الفرق على العمل وفق منهجيات مرنة مثل الإدارة الرشيقة، حيث تسعى إلى</w:t>
      </w:r>
      <w:r>
        <w:rPr>
          <w:rFonts w:ascii="Sakkal Majalla" w:hAnsi="Sakkal Majalla" w:cs="Sakkal Majalla"/>
          <w:b/>
          <w:color w:val="000000" w:themeColor="text1"/>
          <w:sz w:val="28"/>
          <w:szCs w:val="28"/>
          <w:lang w:val="en-US"/>
          <w14:textFill>
            <w14:solidFill>
              <w14:schemeClr w14:val="tx1"/>
            </w14:solidFill>
          </w14:textFill>
        </w:rPr>
        <w:t>:</w:t>
      </w:r>
    </w:p>
    <w:p w14:paraId="6D07389D">
      <w:pPr>
        <w:numPr>
          <w:ilvl w:val="0"/>
          <w:numId w:val="20"/>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تقليل مقاومة التغيير داخل فرق العمل</w:t>
      </w:r>
      <w:r>
        <w:rPr>
          <w:rFonts w:ascii="Sakkal Majalla" w:hAnsi="Sakkal Majalla" w:cs="Sakkal Majalla"/>
          <w:b/>
          <w:color w:val="000000" w:themeColor="text1"/>
          <w:sz w:val="28"/>
          <w:szCs w:val="28"/>
          <w:lang w:val="en-US"/>
          <w14:textFill>
            <w14:solidFill>
              <w14:schemeClr w14:val="tx1"/>
            </w14:solidFill>
          </w14:textFill>
        </w:rPr>
        <w:t>.</w:t>
      </w:r>
    </w:p>
    <w:p w14:paraId="4913D6FF">
      <w:pPr>
        <w:numPr>
          <w:ilvl w:val="0"/>
          <w:numId w:val="20"/>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زيادة القدرة على التكيف مع المتغيرات البيئية والتكنولوجية</w:t>
      </w:r>
      <w:r>
        <w:rPr>
          <w:rFonts w:ascii="Sakkal Majalla" w:hAnsi="Sakkal Majalla" w:cs="Sakkal Majalla"/>
          <w:b/>
          <w:color w:val="000000" w:themeColor="text1"/>
          <w:sz w:val="28"/>
          <w:szCs w:val="28"/>
          <w:lang w:val="en-US"/>
          <w14:textFill>
            <w14:solidFill>
              <w14:schemeClr w14:val="tx1"/>
            </w14:solidFill>
          </w14:textFill>
        </w:rPr>
        <w:t>.</w:t>
      </w:r>
    </w:p>
    <w:p w14:paraId="192BC723">
      <w:pPr>
        <w:numPr>
          <w:ilvl w:val="0"/>
          <w:numId w:val="20"/>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تحقيق تكامل أكبر بين فرق المشروع بما يضمن استجابة أسرع للتحديات</w:t>
      </w:r>
      <w:r>
        <w:rPr>
          <w:rFonts w:ascii="Sakkal Majalla" w:hAnsi="Sakkal Majalla" w:cs="Sakkal Majalla"/>
          <w:b/>
          <w:color w:val="000000" w:themeColor="text1"/>
          <w:sz w:val="28"/>
          <w:szCs w:val="28"/>
          <w:lang w:val="en-US"/>
          <w14:textFill>
            <w14:solidFill>
              <w14:schemeClr w14:val="tx1"/>
            </w14:solidFill>
          </w14:textFill>
        </w:rPr>
        <w:t>.</w:t>
      </w:r>
    </w:p>
    <w:p w14:paraId="426CA488">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outlineLvl w:val="2"/>
        <w:rPr>
          <w:rFonts w:ascii="Sakkal Majalla" w:hAnsi="Sakkal Majalla" w:cs="Sakkal Majalla"/>
          <w:bCs/>
          <w:color w:val="000000" w:themeColor="text1"/>
          <w:sz w:val="32"/>
          <w:szCs w:val="32"/>
          <w:rtl/>
          <w:lang w:val="en-US"/>
          <w14:textFill>
            <w14:solidFill>
              <w14:schemeClr w14:val="tx1"/>
            </w14:solidFill>
          </w14:textFill>
        </w:rPr>
      </w:pPr>
      <w:bookmarkStart w:id="48" w:name="_Toc211696032"/>
      <w:r>
        <w:rPr>
          <w:rFonts w:hint="cs" w:ascii="Sakkal Majalla" w:hAnsi="Sakkal Majalla" w:cs="Sakkal Majalla"/>
          <w:bCs/>
          <w:color w:val="000000" w:themeColor="text1"/>
          <w:sz w:val="32"/>
          <w:szCs w:val="32"/>
          <w:rtl/>
          <w:lang w:val="en-US" w:bidi="ar-EG"/>
          <w14:textFill>
            <w14:solidFill>
              <w14:schemeClr w14:val="tx1"/>
            </w14:solidFill>
          </w14:textFill>
        </w:rPr>
        <w:t xml:space="preserve">5.1.2 </w:t>
      </w:r>
      <w:r>
        <w:rPr>
          <w:rFonts w:ascii="Sakkal Majalla" w:hAnsi="Sakkal Majalla" w:cs="Sakkal Majalla"/>
          <w:bCs/>
          <w:color w:val="000000" w:themeColor="text1"/>
          <w:sz w:val="32"/>
          <w:szCs w:val="32"/>
          <w:rtl/>
          <w:lang w:val="en-US"/>
          <w14:textFill>
            <w14:solidFill>
              <w14:schemeClr w14:val="tx1"/>
            </w14:solidFill>
          </w14:textFill>
        </w:rPr>
        <w:t>أبعاد إدارة المخاطر</w:t>
      </w:r>
      <w:bookmarkEnd w:id="48"/>
    </w:p>
    <w:p w14:paraId="197D0C8C">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تم تحديد أبعاد إدارة المخاطر في هذه الدراسة بالاستناد إلى ما عرضه العنزي 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 المطيري</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2023</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 بوداود</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2021</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وغيرهم من الباحثين، حيث تتفق معظم الأدبيات على أن الأبعاد الرئيسة التي تشكّل عملية إدارة المخاطر تتمثل في</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تحديد المخاطر، تحليل المخاطر، الاستجابة للمخاطر، ومراقبة المخاطر، هذه الأبعاد تمثل سلسلة مترابطة من الإجراءات التي تبدأ باستكشاف مصادر التهديد، ثم تقييمها، ومن ثم وضع الاستراتيجيات للتعامل معها، وأخيرًا متابعة تنفيذ تلك الاستراتيجيات وتطويرها بشكل مستمر، بما يعزز نجاح المشاريع الكبرى في بيئات شديدة التعقيد مثل المشاريع الحكومية في إطار رؤية المملكة 2030</w:t>
      </w:r>
      <w:r>
        <w:rPr>
          <w:rFonts w:ascii="Sakkal Majalla" w:hAnsi="Sakkal Majalla" w:cs="Sakkal Majalla"/>
          <w:b/>
          <w:color w:val="000000" w:themeColor="text1"/>
          <w:sz w:val="28"/>
          <w:szCs w:val="28"/>
          <w:lang w:val="en-US"/>
          <w14:textFill>
            <w14:solidFill>
              <w14:schemeClr w14:val="tx1"/>
            </w14:solidFill>
          </w14:textFill>
        </w:rPr>
        <w:t>.</w:t>
      </w:r>
    </w:p>
    <w:p w14:paraId="6D5708AF">
      <w:pPr>
        <w:pStyle w:val="25"/>
        <w:numPr>
          <w:ilvl w:val="0"/>
          <w:numId w:val="21"/>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Cs/>
          <w:color w:val="000000" w:themeColor="text1"/>
          <w:sz w:val="28"/>
          <w:szCs w:val="28"/>
          <w:lang w:val="en-US"/>
          <w14:textFill>
            <w14:solidFill>
              <w14:schemeClr w14:val="tx1"/>
            </w14:solidFill>
          </w14:textFill>
        </w:rPr>
      </w:pPr>
      <w:r>
        <w:rPr>
          <w:rFonts w:ascii="Sakkal Majalla" w:hAnsi="Sakkal Majalla" w:cs="Sakkal Majalla"/>
          <w:bCs/>
          <w:color w:val="000000" w:themeColor="text1"/>
          <w:sz w:val="28"/>
          <w:szCs w:val="28"/>
          <w:rtl/>
          <w:lang w:val="en-US"/>
          <w14:textFill>
            <w14:solidFill>
              <w14:schemeClr w14:val="tx1"/>
            </w14:solidFill>
          </w14:textFill>
        </w:rPr>
        <w:t>تحديد المخاطر</w:t>
      </w:r>
    </w:p>
    <w:p w14:paraId="3EF519C2">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يُعتبر تحديد المخاطر الخطوة التأسيسية في أي نظام متكامل لإدارة المخاطر، إذ يقوم على عملية استكشافية تهدف إلى الكشف عن جميع التهديدات المحتملة التي قد تواجه المشروع، سواء كانت تهديدات مالية أو تشغيلية أو تنظيمية أو تقنية، ويرى </w:t>
      </w:r>
      <w:r>
        <w:rPr>
          <w:rFonts w:ascii="Sakkal Majalla" w:hAnsi="Sakkal Majalla" w:cs="Sakkal Majalla"/>
          <w:bCs/>
          <w:color w:val="000000" w:themeColor="text1"/>
          <w:sz w:val="28"/>
          <w:szCs w:val="28"/>
          <w:lang w:val="en-US"/>
          <w14:textFill>
            <w14:solidFill>
              <w14:schemeClr w14:val="tx1"/>
            </w14:solidFill>
          </w14:textFill>
        </w:rPr>
        <w:t>Prikhodko &amp; Sokolova (2024)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أن عملية التحديد تمثل بمثابة "بوصلة" لإدارة المخاطر، لأنها توفر خريطة أولية للمجالات الحرجة التي يجب أن يركز عليها المديرون، أما بوداود</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2021</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فقد أشار إلى أن إغفال مرحلة التحديد يؤدي إلى خلل في كامل العملية، حيث يمكن أن تُبنى استراتيجيات الاستجابة على بيانات غير مكتملة ، ويؤكد المطيري</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2023</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أن دقة تحديد المخاطر في القطاعات الصحية  كمستشفيات القصيم  انعكست إيجابًا على جودة الرعاية الصحية وتقليل احتمالية وقوع الأخطاء الطبية. وهذا ما يعزز القول بأن عملية تحديد المخاطر ليست عملية شكلية، بل هي ركيزة أساسية لضمان نجاح المشاريع</w:t>
      </w:r>
      <w:r>
        <w:rPr>
          <w:rFonts w:ascii="Sakkal Majalla" w:hAnsi="Sakkal Majalla" w:cs="Sakkal Majalla"/>
          <w:b/>
          <w:color w:val="000000" w:themeColor="text1"/>
          <w:sz w:val="28"/>
          <w:szCs w:val="28"/>
          <w:lang w:val="en-US"/>
          <w14:textFill>
            <w14:solidFill>
              <w14:schemeClr w14:val="tx1"/>
            </w14:solidFill>
          </w14:textFill>
        </w:rPr>
        <w:t>.</w:t>
      </w:r>
    </w:p>
    <w:p w14:paraId="5BEA0ECD">
      <w:pPr>
        <w:pStyle w:val="25"/>
        <w:numPr>
          <w:ilvl w:val="0"/>
          <w:numId w:val="21"/>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Cs/>
          <w:color w:val="000000" w:themeColor="text1"/>
          <w:sz w:val="28"/>
          <w:szCs w:val="28"/>
          <w:lang w:val="en-US"/>
          <w14:textFill>
            <w14:solidFill>
              <w14:schemeClr w14:val="tx1"/>
            </w14:solidFill>
          </w14:textFill>
        </w:rPr>
      </w:pPr>
      <w:r>
        <w:rPr>
          <w:rFonts w:ascii="Sakkal Majalla" w:hAnsi="Sakkal Majalla" w:cs="Sakkal Majalla"/>
          <w:bCs/>
          <w:color w:val="000000" w:themeColor="text1"/>
          <w:sz w:val="28"/>
          <w:szCs w:val="28"/>
          <w:rtl/>
          <w:lang w:val="en-US"/>
          <w14:textFill>
            <w14:solidFill>
              <w14:schemeClr w14:val="tx1"/>
            </w14:solidFill>
          </w14:textFill>
        </w:rPr>
        <w:t>تحليل المخاطر</w:t>
      </w:r>
    </w:p>
    <w:p w14:paraId="3D46BAD2">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بعد تحديد قائمة المخاطر المحتملة، تأتي مرحلة التحليل التي تُعنى بفهم عمق هذه المخاطر وتقدير احتمالية حدوثها وتأثيرها الكلي على المشروع، يرى </w:t>
      </w:r>
      <w:r>
        <w:rPr>
          <w:rFonts w:ascii="Sakkal Majalla" w:hAnsi="Sakkal Majalla" w:cs="Sakkal Majalla"/>
          <w:bCs/>
          <w:color w:val="000000" w:themeColor="text1"/>
          <w:sz w:val="28"/>
          <w:szCs w:val="28"/>
          <w:lang w:val="en-US"/>
          <w14:textFill>
            <w14:solidFill>
              <w14:schemeClr w14:val="tx1"/>
            </w14:solidFill>
          </w14:textFill>
        </w:rPr>
        <w:t>Afzal</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2021</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 xml:space="preserve">أن التحليل لا يجب أن يقتصر على الأساليب التقليدية مثل المصفوفات البسيطة، بل ينبغي دمج تقنيات الذكاء الاصطناعي لتحليل التداخلات بين المخاطر المعقدة والمتشابكة، كما قدّم </w:t>
      </w:r>
      <w:r>
        <w:rPr>
          <w:rFonts w:ascii="Sakkal Majalla" w:hAnsi="Sakkal Majalla" w:cs="Sakkal Majalla"/>
          <w:bCs/>
          <w:color w:val="000000" w:themeColor="text1"/>
          <w:sz w:val="28"/>
          <w:szCs w:val="28"/>
          <w:lang w:val="en-US"/>
          <w14:textFill>
            <w14:solidFill>
              <w14:schemeClr w14:val="tx1"/>
            </w14:solidFill>
          </w14:textFill>
        </w:rPr>
        <w:t>Moniri</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2021</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مثالًا على استخدام المنهجيات الهجينة التي تجمع بين النماذج الضبابية وطرق تقييم متعددة المعايير في مشروعات النفط، مما أتاح الوصول إلى قرارات دقيقة حتى في ظل الغموض وعدم اليقين. أما في المشاريع التنظيمية، فقد أظهرت دراسة حمدان والبشابشة</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أن التحليل العميق للمخاطر التنظيمية بشركات الأدوية ساعد على تعزيز الفاعلية المؤسسية، عبر اكتشاف نقاط الضعف في النظام الإداري والعمليات التشغيلية. ومن ثم، فإن التحليل يمثل الجسر الذي يربط بين مجرد رصد المخاطر وبين القدرة على الاستجابة الفعّالة لها</w:t>
      </w:r>
      <w:r>
        <w:rPr>
          <w:rFonts w:ascii="Sakkal Majalla" w:hAnsi="Sakkal Majalla" w:cs="Sakkal Majalla"/>
          <w:b/>
          <w:color w:val="000000" w:themeColor="text1"/>
          <w:sz w:val="28"/>
          <w:szCs w:val="28"/>
          <w:lang w:val="en-US"/>
          <w14:textFill>
            <w14:solidFill>
              <w14:schemeClr w14:val="tx1"/>
            </w14:solidFill>
          </w14:textFill>
        </w:rPr>
        <w:t>.</w:t>
      </w:r>
    </w:p>
    <w:p w14:paraId="5D79D6CA">
      <w:pPr>
        <w:pStyle w:val="25"/>
        <w:numPr>
          <w:ilvl w:val="0"/>
          <w:numId w:val="21"/>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Cs/>
          <w:color w:val="000000" w:themeColor="text1"/>
          <w:sz w:val="28"/>
          <w:szCs w:val="28"/>
          <w:lang w:val="en-US"/>
          <w14:textFill>
            <w14:solidFill>
              <w14:schemeClr w14:val="tx1"/>
            </w14:solidFill>
          </w14:textFill>
        </w:rPr>
      </w:pPr>
      <w:r>
        <w:rPr>
          <w:rFonts w:ascii="Sakkal Majalla" w:hAnsi="Sakkal Majalla" w:cs="Sakkal Majalla"/>
          <w:bCs/>
          <w:color w:val="000000" w:themeColor="text1"/>
          <w:sz w:val="28"/>
          <w:szCs w:val="28"/>
          <w:rtl/>
          <w:lang w:val="en-US"/>
          <w14:textFill>
            <w14:solidFill>
              <w14:schemeClr w14:val="tx1"/>
            </w14:solidFill>
          </w14:textFill>
        </w:rPr>
        <w:t>الاستجابة للمخاطر</w:t>
      </w:r>
    </w:p>
    <w:p w14:paraId="2631EEAF">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تمثل الاستجابة للمخاطر المرحلة التطبيقية التي تُترجم نتائج التحديد والتحليل إلى خطط وإجراءات عملية. وقد صنّف الباحثون هذه الاستجابات إلى استراتيجيات متعددة مثل: التجنب، والقبول، والنقل، والتقليل، يشير أبو نصرة 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2020</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 xml:space="preserve">إلى أن المؤسسات المالية الأردنية ربطت استراتيجيات الاستجابة بخططها الاستراتيجية لضمان أن تكون القرارات متسقة مع التوجه المؤسسي العام، ومن منظور تكنولوجي، طوّر </w:t>
      </w:r>
      <w:r>
        <w:rPr>
          <w:rFonts w:ascii="Sakkal Majalla" w:hAnsi="Sakkal Majalla" w:cs="Sakkal Majalla"/>
          <w:bCs/>
          <w:color w:val="000000" w:themeColor="text1"/>
          <w:sz w:val="28"/>
          <w:szCs w:val="28"/>
          <w:lang w:val="en-US"/>
          <w14:textFill>
            <w14:solidFill>
              <w14:schemeClr w14:val="tx1"/>
            </w14:solidFill>
          </w14:textFill>
        </w:rPr>
        <w:t>Al-Janabi</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إطارًا لإدارة المخاطر في مشاريع تقنية المعلومات يعتمد على الذكاء الاصطناعي لتقديم استجابات فورية ضد الهجمات السيبرانية. في المقابل، أوضحت دراسة العنزي 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أن الشركات الخاصة بالمنطقة الشرقية في المملكة العربية السعودية حققت نجاحًا أكبر في مشاريعها عندما كانت استجاباتها للمخاطر مرنة ومرتبطة بآليات مراقبة الأداء. هذا التنوع في الاستراتيجيات يبرز أن فعالية الاستجابة لا تكمن في اختيار نوع محدد، بل في ملاءمته لطبيعة المخاطر وظروف المشروع</w:t>
      </w:r>
      <w:r>
        <w:rPr>
          <w:rFonts w:ascii="Sakkal Majalla" w:hAnsi="Sakkal Majalla" w:cs="Sakkal Majalla"/>
          <w:b/>
          <w:color w:val="000000" w:themeColor="text1"/>
          <w:sz w:val="28"/>
          <w:szCs w:val="28"/>
          <w:lang w:val="en-US"/>
          <w14:textFill>
            <w14:solidFill>
              <w14:schemeClr w14:val="tx1"/>
            </w14:solidFill>
          </w14:textFill>
        </w:rPr>
        <w:t>.</w:t>
      </w:r>
    </w:p>
    <w:p w14:paraId="649E673E">
      <w:pPr>
        <w:pStyle w:val="25"/>
        <w:numPr>
          <w:ilvl w:val="0"/>
          <w:numId w:val="21"/>
        </w:num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left="423"/>
        <w:jc w:val="both"/>
        <w:rPr>
          <w:rFonts w:ascii="Sakkal Majalla" w:hAnsi="Sakkal Majalla" w:cs="Sakkal Majalla"/>
          <w:bCs/>
          <w:color w:val="000000" w:themeColor="text1"/>
          <w:sz w:val="28"/>
          <w:szCs w:val="28"/>
          <w:lang w:val="en-US"/>
          <w14:textFill>
            <w14:solidFill>
              <w14:schemeClr w14:val="tx1"/>
            </w14:solidFill>
          </w14:textFill>
        </w:rPr>
      </w:pPr>
      <w:r>
        <w:rPr>
          <w:rFonts w:ascii="Sakkal Majalla" w:hAnsi="Sakkal Majalla" w:cs="Sakkal Majalla"/>
          <w:bCs/>
          <w:color w:val="000000" w:themeColor="text1"/>
          <w:sz w:val="28"/>
          <w:szCs w:val="28"/>
          <w:rtl/>
          <w:lang w:val="en-US"/>
          <w14:textFill>
            <w14:solidFill>
              <w14:schemeClr w14:val="tx1"/>
            </w14:solidFill>
          </w14:textFill>
        </w:rPr>
        <w:t>مراقبة المخاطر</w:t>
      </w:r>
    </w:p>
    <w:p w14:paraId="2BEBB427">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تُعد مراقبة المخاطر حلقة الوصل الأخيرة في دورة إدارة المخاطر، وهي المسؤولة عن متابعة تنفيذ الاستراتيجيات وتقييم فعاليتها بشكل دوري، يرى </w:t>
      </w:r>
      <w:r>
        <w:rPr>
          <w:rFonts w:ascii="Sakkal Majalla" w:hAnsi="Sakkal Majalla" w:cs="Sakkal Majalla"/>
          <w:bCs/>
          <w:color w:val="000000" w:themeColor="text1"/>
          <w:sz w:val="28"/>
          <w:szCs w:val="28"/>
          <w:lang w:val="en-US"/>
          <w14:textFill>
            <w14:solidFill>
              <w14:schemeClr w14:val="tx1"/>
            </w14:solidFill>
          </w14:textFill>
        </w:rPr>
        <w:t>Hohenstein (2022)</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أن غياب آليات المراقبة الفعّالة أدى إلى تعرض سلاسل الإمداد العالمية لاضطرابات جسيمة خلال أزمة كورونا، في حين أن المؤسسات التي تبنّت أنظمة مراقبة آنية كانت أكثر قدرة على الصمود، أما الرواشدة والشورة</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2023</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 xml:space="preserve">فأكدا أن المتابعة المستمرة ساعدت شركة البوتاس العربية على تعزيز مرونتها التشغيلية في بيئة تتسم بعدم اليقين. وفي السياق الإنشائي، بيّنت دراسة </w:t>
      </w:r>
      <w:r>
        <w:rPr>
          <w:rFonts w:ascii="Sakkal Majalla" w:hAnsi="Sakkal Majalla" w:cs="Sakkal Majalla"/>
          <w:bCs/>
          <w:color w:val="000000" w:themeColor="text1"/>
          <w:sz w:val="28"/>
          <w:szCs w:val="28"/>
          <w:lang w:val="en-US"/>
          <w14:textFill>
            <w14:solidFill>
              <w14:schemeClr w14:val="tx1"/>
            </w14:solidFill>
          </w14:textFill>
        </w:rPr>
        <w:t xml:space="preserve">Alshehhi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 xml:space="preserve">أن مراقبة المخاطر رفعت كفاءة تنفيذ المشاريع عبر الاكتشاف المبكر للانحرافات عن الخطة، بينما أشار </w:t>
      </w:r>
      <w:r>
        <w:rPr>
          <w:rFonts w:ascii="Sakkal Majalla" w:hAnsi="Sakkal Majalla" w:cs="Sakkal Majalla"/>
          <w:bCs/>
          <w:color w:val="000000" w:themeColor="text1"/>
          <w:sz w:val="28"/>
          <w:szCs w:val="28"/>
          <w:lang w:val="en-US"/>
          <w14:textFill>
            <w14:solidFill>
              <w14:schemeClr w14:val="tx1"/>
            </w14:solidFill>
          </w14:textFill>
        </w:rPr>
        <w:t>Zhu (2024)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إلى أن التطوير المستقبلي لآليات المراقبة يحتاج إلى دمج مبادئ الذكاء الاصطناعي مع نظريات الألعاب والتحكم لبناء أنظمة قادرة على التنبؤ بالتهديدات والتكيف معها قبل حدوثها. وعليه، فإن مراقبة المخاطر لا تمثل مجرد عملية تقييم لاحق، بل هي عنصر استراتيجي لتجديد وتطوير أنظمة إدارة المخاطر بما يتواءم مع التغيرات المستمرة</w:t>
      </w:r>
      <w:r>
        <w:rPr>
          <w:rFonts w:ascii="Sakkal Majalla" w:hAnsi="Sakkal Majalla" w:cs="Sakkal Majalla"/>
          <w:b/>
          <w:color w:val="000000" w:themeColor="text1"/>
          <w:sz w:val="28"/>
          <w:szCs w:val="28"/>
          <w:lang w:val="en-US"/>
          <w14:textFill>
            <w14:solidFill>
              <w14:schemeClr w14:val="tx1"/>
            </w14:solidFill>
          </w14:textFill>
        </w:rPr>
        <w:t>.</w:t>
      </w:r>
    </w:p>
    <w:p w14:paraId="6988E47A">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outlineLvl w:val="2"/>
        <w:rPr>
          <w:rFonts w:ascii="Sakkal Majalla" w:hAnsi="Sakkal Majalla" w:cs="Sakkal Majalla"/>
          <w:bCs/>
          <w:color w:val="000000" w:themeColor="text1"/>
          <w:sz w:val="32"/>
          <w:szCs w:val="32"/>
          <w:lang w:val="en-US"/>
          <w14:textFill>
            <w14:solidFill>
              <w14:schemeClr w14:val="tx1"/>
            </w14:solidFill>
          </w14:textFill>
        </w:rPr>
      </w:pPr>
      <w:bookmarkStart w:id="49" w:name="_Toc211696033"/>
      <w:r>
        <w:rPr>
          <w:rFonts w:hint="cs" w:ascii="Sakkal Majalla" w:hAnsi="Sakkal Majalla" w:cs="Sakkal Majalla"/>
          <w:bCs/>
          <w:color w:val="000000" w:themeColor="text1"/>
          <w:sz w:val="32"/>
          <w:szCs w:val="32"/>
          <w:rtl/>
          <w:lang w:val="en-US" w:bidi="ar-EG"/>
          <w14:textFill>
            <w14:solidFill>
              <w14:schemeClr w14:val="tx1"/>
            </w14:solidFill>
          </w14:textFill>
        </w:rPr>
        <w:t xml:space="preserve">6.1.2 </w:t>
      </w:r>
      <w:r>
        <w:rPr>
          <w:rFonts w:ascii="Sakkal Majalla" w:hAnsi="Sakkal Majalla" w:cs="Sakkal Majalla"/>
          <w:bCs/>
          <w:color w:val="000000" w:themeColor="text1"/>
          <w:sz w:val="32"/>
          <w:szCs w:val="32"/>
          <w:rtl/>
          <w:lang w:val="en-US"/>
          <w14:textFill>
            <w14:solidFill>
              <w14:schemeClr w14:val="tx1"/>
            </w14:solidFill>
          </w14:textFill>
        </w:rPr>
        <w:t>النماذج والمعايير العالمية لإدارة المخاطر</w:t>
      </w:r>
      <w:bookmarkEnd w:id="49"/>
    </w:p>
    <w:p w14:paraId="43B2066B">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تُظهر الأدبيات أن إدارة المخاطر لا تقتصر على إجراءات فردية داخل المؤسسات، بل تأخذ شكل أطر ونماذج عالمية متكاملة وضعتها منظمات دولية بهدف توحيد الممارسات ورفع كفاءتها، ومن أبرز هذه النماذج ما أصدرته لجنة </w:t>
      </w:r>
      <w:r>
        <w:rPr>
          <w:rFonts w:ascii="Sakkal Majalla" w:hAnsi="Sakkal Majalla" w:cs="Sakkal Majalla"/>
          <w:b/>
          <w:color w:val="000000" w:themeColor="text1"/>
          <w:sz w:val="28"/>
          <w:szCs w:val="28"/>
          <w:lang w:val="en-US"/>
          <w14:textFill>
            <w14:solidFill>
              <w14:schemeClr w14:val="tx1"/>
            </w14:solidFill>
          </w14:textFill>
        </w:rPr>
        <w:t xml:space="preserve">COSO </w:t>
      </w:r>
      <w:r>
        <w:rPr>
          <w:rFonts w:ascii="Sakkal Majalla" w:hAnsi="Sakkal Majalla" w:cs="Sakkal Majalla"/>
          <w:b/>
          <w:color w:val="000000" w:themeColor="text1"/>
          <w:sz w:val="28"/>
          <w:szCs w:val="28"/>
          <w:rtl/>
          <w:lang w:val="en-US"/>
          <w14:textFill>
            <w14:solidFill>
              <w14:schemeClr w14:val="tx1"/>
            </w14:solidFill>
          </w14:textFill>
        </w:rPr>
        <w:t xml:space="preserve">والمعيار الدولي </w:t>
      </w:r>
      <w:r>
        <w:rPr>
          <w:rFonts w:ascii="Sakkal Majalla" w:hAnsi="Sakkal Majalla" w:cs="Sakkal Majalla"/>
          <w:b/>
          <w:color w:val="000000" w:themeColor="text1"/>
          <w:sz w:val="28"/>
          <w:szCs w:val="28"/>
          <w:lang w:val="en-US"/>
          <w14:textFill>
            <w14:solidFill>
              <w14:schemeClr w14:val="tx1"/>
            </w14:solidFill>
          </w14:textFill>
        </w:rPr>
        <w:t>ISO 31000</w:t>
      </w:r>
      <w:r>
        <w:rPr>
          <w:rFonts w:ascii="Sakkal Majalla" w:hAnsi="Sakkal Majalla" w:cs="Sakkal Majalla"/>
          <w:b/>
          <w:color w:val="000000" w:themeColor="text1"/>
          <w:sz w:val="28"/>
          <w:szCs w:val="28"/>
          <w:rtl/>
          <w:lang w:val="en-US"/>
          <w14:textFill>
            <w14:solidFill>
              <w14:schemeClr w14:val="tx1"/>
            </w14:solidFill>
          </w14:textFill>
        </w:rPr>
        <w:t>، واللذان يمثلان مرجعيتين رئيسيتين في هذا المجال، إضافة إلى إسهامات حديثة تناولتها دراسات متخصصة في إدارة المشاريع ومخاطرها</w:t>
      </w:r>
      <w:r>
        <w:rPr>
          <w:rFonts w:ascii="Sakkal Majalla" w:hAnsi="Sakkal Majalla" w:cs="Sakkal Majalla"/>
          <w:b/>
          <w:color w:val="000000" w:themeColor="text1"/>
          <w:sz w:val="28"/>
          <w:szCs w:val="28"/>
          <w:lang w:val="en-US"/>
          <w14:textFill>
            <w14:solidFill>
              <w14:schemeClr w14:val="tx1"/>
            </w14:solidFill>
          </w14:textFill>
        </w:rPr>
        <w:t>.</w:t>
      </w:r>
    </w:p>
    <w:p w14:paraId="1FAD1881">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rPr>
          <w:rFonts w:ascii="Sakkal Majalla" w:hAnsi="Sakkal Majalla" w:cs="Sakkal Majalla"/>
          <w:bCs/>
          <w:color w:val="000000" w:themeColor="text1"/>
          <w:sz w:val="28"/>
          <w:szCs w:val="28"/>
          <w:lang w:val="en-US"/>
          <w14:textFill>
            <w14:solidFill>
              <w14:schemeClr w14:val="tx1"/>
            </w14:solidFill>
          </w14:textFill>
        </w:rPr>
      </w:pPr>
      <w:r>
        <w:rPr>
          <w:rFonts w:ascii="Sakkal Majalla" w:hAnsi="Sakkal Majalla" w:cs="Sakkal Majalla"/>
          <w:bCs/>
          <w:color w:val="000000" w:themeColor="text1"/>
          <w:sz w:val="28"/>
          <w:szCs w:val="28"/>
          <w:rtl/>
          <w:lang w:val="en-US"/>
          <w14:textFill>
            <w14:solidFill>
              <w14:schemeClr w14:val="tx1"/>
            </w14:solidFill>
          </w14:textFill>
        </w:rPr>
        <w:t xml:space="preserve">أولًا: إطار </w:t>
      </w:r>
      <w:r>
        <w:rPr>
          <w:rFonts w:ascii="Sakkal Majalla" w:hAnsi="Sakkal Majalla" w:cs="Sakkal Majalla"/>
          <w:bCs/>
          <w:color w:val="000000" w:themeColor="text1"/>
          <w:sz w:val="28"/>
          <w:szCs w:val="28"/>
          <w:lang w:val="en-US"/>
          <w14:textFill>
            <w14:solidFill>
              <w14:schemeClr w14:val="tx1"/>
            </w14:solidFill>
          </w14:textFill>
        </w:rPr>
        <w:t xml:space="preserve">COSO </w:t>
      </w:r>
      <w:r>
        <w:rPr>
          <w:rFonts w:ascii="Sakkal Majalla" w:hAnsi="Sakkal Majalla" w:cs="Sakkal Majalla"/>
          <w:bCs/>
          <w:color w:val="000000" w:themeColor="text1"/>
          <w:sz w:val="28"/>
          <w:szCs w:val="28"/>
          <w:rtl/>
          <w:lang w:val="en-US"/>
          <w14:textFill>
            <w14:solidFill>
              <w14:schemeClr w14:val="tx1"/>
            </w14:solidFill>
          </w14:textFill>
        </w:rPr>
        <w:t>لإدارة المخاطر المؤسسية</w:t>
      </w:r>
    </w:p>
    <w:p w14:paraId="4E91DA57">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يُعتبر إطار </w:t>
      </w:r>
      <w:r>
        <w:rPr>
          <w:rFonts w:ascii="Sakkal Majalla" w:hAnsi="Sakkal Majalla" w:cs="Sakkal Majalla"/>
          <w:bCs/>
          <w:color w:val="000000" w:themeColor="text1"/>
          <w:sz w:val="28"/>
          <w:szCs w:val="28"/>
          <w:lang w:val="en-US"/>
          <w14:textFill>
            <w14:solidFill>
              <w14:schemeClr w14:val="tx1"/>
            </w14:solidFill>
          </w14:textFill>
        </w:rPr>
        <w:t xml:space="preserve">COSO (Committee of Sponsoring Organizations of the Treadway Commission) </w:t>
      </w:r>
      <w:r>
        <w:rPr>
          <w:rFonts w:ascii="Sakkal Majalla" w:hAnsi="Sakkal Majalla" w:cs="Sakkal Majalla"/>
          <w:b/>
          <w:color w:val="000000" w:themeColor="text1"/>
          <w:sz w:val="28"/>
          <w:szCs w:val="28"/>
          <w:rtl/>
          <w:lang w:val="en-US"/>
          <w14:textFill>
            <w14:solidFill>
              <w14:schemeClr w14:val="tx1"/>
            </w14:solidFill>
          </w14:textFill>
        </w:rPr>
        <w:t>من أكثر النماذج استخدامًا على المستوى الدولي، حيث يركز على دمج إدارة المخاطر ضمن استراتيجيات المؤسسة وعملياتها،ويشير الخريسات والدحيات</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2021</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إلى أن هذا الإطار يقوم على ثمانية مكونات أساسية تبدأ بتحديد بيئة المخاطر، وتمر بتحديد الأحداث وتقييمها، ثم الاستجابة لها، وتنتهي بالرقابة والمراجعة، ويتميز إطار</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COSO</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بتركيزه على العلاقة بين المخاطر والأهداف الاستراتيجية للمؤسسة، ما يجعله أداة استراتيجية أكثر من كونه مجرد أداة تشغيلية، كما أوضح أبو نصرة 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2020</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أن تطبيق إطار</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COSO</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في البنوك الأردنية أسهم في تعزيز القدرة على التنبؤ بالمخاطر الائتمانية ودمجها في عملية اتخاذ القرار</w:t>
      </w:r>
      <w:r>
        <w:rPr>
          <w:rFonts w:ascii="Sakkal Majalla" w:hAnsi="Sakkal Majalla" w:cs="Sakkal Majalla"/>
          <w:b/>
          <w:color w:val="000000" w:themeColor="text1"/>
          <w:sz w:val="28"/>
          <w:szCs w:val="28"/>
          <w:lang w:val="en-US"/>
          <w14:textFill>
            <w14:solidFill>
              <w14:schemeClr w14:val="tx1"/>
            </w14:solidFill>
          </w14:textFill>
        </w:rPr>
        <w:t>.</w:t>
      </w:r>
    </w:p>
    <w:p w14:paraId="4C720E67">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rPr>
          <w:rFonts w:ascii="Sakkal Majalla" w:hAnsi="Sakkal Majalla" w:cs="Sakkal Majalla"/>
          <w:b/>
          <w:color w:val="000000" w:themeColor="text1"/>
          <w:sz w:val="28"/>
          <w:szCs w:val="28"/>
          <w:rtl/>
          <w:lang w:val="en-US" w:bidi="ar-EG"/>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ثانيًا: معيار </w:t>
      </w:r>
      <w:r>
        <w:rPr>
          <w:rFonts w:ascii="Sakkal Majalla" w:hAnsi="Sakkal Majalla" w:cs="Sakkal Majalla"/>
          <w:b/>
          <w:color w:val="000000" w:themeColor="text1"/>
          <w:sz w:val="28"/>
          <w:szCs w:val="28"/>
          <w:lang w:val="en-US"/>
          <w14:textFill>
            <w14:solidFill>
              <w14:schemeClr w14:val="tx1"/>
            </w14:solidFill>
          </w14:textFill>
        </w:rPr>
        <w:t>ISO 31000</w:t>
      </w:r>
    </w:p>
    <w:p w14:paraId="274F185D">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rtl/>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أما معيار </w:t>
      </w:r>
      <w:r>
        <w:rPr>
          <w:rFonts w:ascii="Sakkal Majalla" w:hAnsi="Sakkal Majalla" w:cs="Sakkal Majalla"/>
          <w:bCs/>
          <w:color w:val="000000" w:themeColor="text1"/>
          <w:sz w:val="28"/>
          <w:szCs w:val="28"/>
          <w:lang w:val="en-US"/>
          <w14:textFill>
            <w14:solidFill>
              <w14:schemeClr w14:val="tx1"/>
            </w14:solidFill>
          </w14:textFill>
        </w:rPr>
        <w:t>ISO 31000</w:t>
      </w:r>
      <w:r>
        <w:rPr>
          <w:rFonts w:ascii="Sakkal Majalla" w:hAnsi="Sakkal Majalla" w:cs="Sakkal Majalla"/>
          <w:b/>
          <w:color w:val="000000" w:themeColor="text1"/>
          <w:sz w:val="28"/>
          <w:szCs w:val="28"/>
          <w:rtl/>
          <w:lang w:val="en-US"/>
          <w14:textFill>
            <w14:solidFill>
              <w14:schemeClr w14:val="tx1"/>
            </w14:solidFill>
          </w14:textFill>
        </w:rPr>
        <w:t xml:space="preserve"> فهو المرجعية الأكثر انتشارًا عالميًا لإدارة المخاطر، حيث يحدد المبادئ والإرشادات العامة دون أن يفرض خطوات جامدة، مما يمنح المؤسسات مرونة في التكيف معه وفقًا لاحتياجاتها، ويشير </w:t>
      </w:r>
      <w:r>
        <w:rPr>
          <w:rFonts w:ascii="Sakkal Majalla" w:hAnsi="Sakkal Majalla" w:cs="Sakkal Majalla"/>
          <w:bCs/>
          <w:color w:val="000000" w:themeColor="text1"/>
          <w:sz w:val="28"/>
          <w:szCs w:val="28"/>
          <w:lang w:val="en-US"/>
          <w14:textFill>
            <w14:solidFill>
              <w14:schemeClr w14:val="tx1"/>
            </w14:solidFill>
          </w14:textFill>
        </w:rPr>
        <w:t>Alshehhi</w:t>
      </w:r>
      <w:r>
        <w:rPr>
          <w:rFonts w:ascii="Sakkal Majalla" w:hAnsi="Sakkal Majalla" w:cs="Sakkal Majalla"/>
          <w:b/>
          <w:color w:val="000000" w:themeColor="text1"/>
          <w:sz w:val="28"/>
          <w:szCs w:val="28"/>
          <w:rtl/>
          <w:lang w:val="en-US"/>
          <w14:textFill>
            <w14:solidFill>
              <w14:schemeClr w14:val="tx1"/>
            </w14:solidFill>
          </w14:textFill>
        </w:rPr>
        <w:t xml:space="preserve"> وآخرون (2024) إلى أن تطبيق معيار </w:t>
      </w:r>
      <w:r>
        <w:rPr>
          <w:rFonts w:ascii="Sakkal Majalla" w:hAnsi="Sakkal Majalla" w:cs="Sakkal Majalla"/>
          <w:bCs/>
          <w:color w:val="000000" w:themeColor="text1"/>
          <w:sz w:val="28"/>
          <w:szCs w:val="28"/>
          <w:lang w:val="en-US"/>
          <w14:textFill>
            <w14:solidFill>
              <w14:schemeClr w14:val="tx1"/>
            </w14:solidFill>
          </w14:textFill>
        </w:rPr>
        <w:t>ISO</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31000</w:t>
      </w:r>
      <w:r>
        <w:rPr>
          <w:rFonts w:ascii="Sakkal Majalla" w:hAnsi="Sakkal Majalla" w:cs="Sakkal Majalla"/>
          <w:b/>
          <w:color w:val="000000" w:themeColor="text1"/>
          <w:sz w:val="28"/>
          <w:szCs w:val="28"/>
          <w:rtl/>
          <w:lang w:val="en-US"/>
          <w14:textFill>
            <w14:solidFill>
              <w14:schemeClr w14:val="tx1"/>
            </w14:solidFill>
          </w14:textFill>
        </w:rPr>
        <w:t xml:space="preserve"> في قطاع المشاريع الإنشائية بدولة الإمارات أدى إلى تحسين كفاءة التنفيذ وتقليل معدلات التأخير، وذلك بفضل اعتماده على دورة متكاملة تشمل التحديد، التقييم، الاستجابة، والمراجعة،  ويرى بوداود (2021) أن هذا المعيار يتسم بالقدرة على التطبيق في بيئات متنوعة، سواء كانت صناعية أو خدمية أو مالية، وهو ما جعله شائع الاستخدام في المنطقة العربية أيضًا،  كما يضيف </w:t>
      </w:r>
      <w:r>
        <w:rPr>
          <w:rFonts w:ascii="Sakkal Majalla" w:hAnsi="Sakkal Majalla" w:cs="Sakkal Majalla"/>
          <w:bCs/>
          <w:color w:val="000000" w:themeColor="text1"/>
          <w:sz w:val="28"/>
          <w:szCs w:val="28"/>
          <w:lang w:val="en-US"/>
          <w14:textFill>
            <w14:solidFill>
              <w14:schemeClr w14:val="tx1"/>
            </w14:solidFill>
          </w14:textFill>
        </w:rPr>
        <w:t>Latif</w:t>
      </w:r>
      <w:r>
        <w:rPr>
          <w:rFonts w:ascii="Sakkal Majalla" w:hAnsi="Sakkal Majalla" w:cs="Sakkal Majalla"/>
          <w:b/>
          <w:color w:val="000000" w:themeColor="text1"/>
          <w:sz w:val="28"/>
          <w:szCs w:val="28"/>
          <w:rtl/>
          <w:lang w:val="en-US"/>
          <w14:textFill>
            <w14:solidFill>
              <w14:schemeClr w14:val="tx1"/>
            </w14:solidFill>
          </w14:textFill>
        </w:rPr>
        <w:t xml:space="preserve"> (2024) أن معيار </w:t>
      </w:r>
      <w:r>
        <w:rPr>
          <w:rFonts w:ascii="Sakkal Majalla" w:hAnsi="Sakkal Majalla" w:cs="Sakkal Majalla"/>
          <w:bCs/>
          <w:color w:val="000000" w:themeColor="text1"/>
          <w:sz w:val="28"/>
          <w:szCs w:val="28"/>
          <w:lang w:val="en-US"/>
          <w14:textFill>
            <w14:solidFill>
              <w14:schemeClr w14:val="tx1"/>
            </w14:solidFill>
          </w14:textFill>
        </w:rPr>
        <w:t>ISO</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31000</w:t>
      </w:r>
      <w:r>
        <w:rPr>
          <w:rFonts w:ascii="Sakkal Majalla" w:hAnsi="Sakkal Majalla" w:cs="Sakkal Majalla"/>
          <w:b/>
          <w:color w:val="000000" w:themeColor="text1"/>
          <w:sz w:val="28"/>
          <w:szCs w:val="28"/>
          <w:rtl/>
          <w:lang w:val="en-US"/>
          <w14:textFill>
            <w14:solidFill>
              <w14:schemeClr w14:val="tx1"/>
            </w14:solidFill>
          </w14:textFill>
        </w:rPr>
        <w:t xml:space="preserve"> يوفّر إطارًا تحليليًا يساعد على تحسين الأداء العام للمشاريع من خلال ربط نتائج إدارة المخاطر بمؤشرات الأداء.</w:t>
      </w:r>
    </w:p>
    <w:p w14:paraId="516FABA9">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rPr>
          <w:rFonts w:ascii="Sakkal Majalla" w:hAnsi="Sakkal Majalla" w:cs="Sakkal Majalla"/>
          <w:bCs/>
          <w:color w:val="000000" w:themeColor="text1"/>
          <w:sz w:val="28"/>
          <w:szCs w:val="28"/>
          <w:lang w:val="en-US"/>
          <w14:textFill>
            <w14:solidFill>
              <w14:schemeClr w14:val="tx1"/>
            </w14:solidFill>
          </w14:textFill>
        </w:rPr>
      </w:pPr>
      <w:r>
        <w:rPr>
          <w:rFonts w:ascii="Sakkal Majalla" w:hAnsi="Sakkal Majalla" w:cs="Sakkal Majalla"/>
          <w:bCs/>
          <w:color w:val="000000" w:themeColor="text1"/>
          <w:sz w:val="28"/>
          <w:szCs w:val="28"/>
          <w:rtl/>
          <w:lang w:val="en-US"/>
          <w14:textFill>
            <w14:solidFill>
              <w14:schemeClr w14:val="tx1"/>
            </w14:solidFill>
          </w14:textFill>
        </w:rPr>
        <w:t>ثالثًا: النماذج الحديثة المتخصصة</w:t>
      </w:r>
    </w:p>
    <w:p w14:paraId="441943C4">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إلى جانب الإطارين الرئيسيين، برزت نماذج متخصصة ظهرت نتيجة التغيرات التكنولوجية والبيئية. على سبيل المثال، يقترح </w:t>
      </w:r>
      <w:r>
        <w:rPr>
          <w:rFonts w:ascii="Sakkal Majalla" w:hAnsi="Sakkal Majalla" w:cs="Sakkal Majalla"/>
          <w:b/>
          <w:color w:val="000000" w:themeColor="text1"/>
          <w:sz w:val="28"/>
          <w:szCs w:val="28"/>
          <w:lang w:val="en-US"/>
          <w14:textFill>
            <w14:solidFill>
              <w14:schemeClr w14:val="tx1"/>
            </w14:solidFill>
          </w14:textFill>
        </w:rPr>
        <w:t>Al-</w:t>
      </w:r>
      <w:r>
        <w:rPr>
          <w:rFonts w:ascii="Sakkal Majalla" w:hAnsi="Sakkal Majalla" w:cs="Sakkal Majalla"/>
          <w:bCs/>
          <w:color w:val="000000" w:themeColor="text1"/>
          <w:sz w:val="28"/>
          <w:szCs w:val="28"/>
          <w:lang w:val="en-US"/>
          <w14:textFill>
            <w14:solidFill>
              <w14:schemeClr w14:val="tx1"/>
            </w14:solidFill>
          </w14:textFill>
        </w:rPr>
        <w:t>Janabi</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 xml:space="preserve">إطارًا متكاملًا لإدارة مخاطر الأمن السيبراني في مشاريع تقنية المعلومات، قائمًا على دمج الذكاء الاصطناعي لتحليل المخاطر والتعامل معها في الوقت الفعلي، كما طوّر </w:t>
      </w:r>
      <w:r>
        <w:rPr>
          <w:rFonts w:ascii="Sakkal Majalla" w:hAnsi="Sakkal Majalla" w:cs="Sakkal Majalla"/>
          <w:bCs/>
          <w:color w:val="000000" w:themeColor="text1"/>
          <w:sz w:val="28"/>
          <w:szCs w:val="28"/>
          <w:lang w:val="en-US"/>
          <w14:textFill>
            <w14:solidFill>
              <w14:schemeClr w14:val="tx1"/>
            </w14:solidFill>
          </w14:textFill>
        </w:rPr>
        <w:t>Araujo</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 xml:space="preserve">نموذجًا مفاهيميًا للمرونة السيبرانية يدمج بين مبادئ الاستدامة والتعلم الذاتي في مواجهة التهديدات الرقمية، وأشار </w:t>
      </w:r>
      <w:r>
        <w:rPr>
          <w:rFonts w:ascii="Sakkal Majalla" w:hAnsi="Sakkal Majalla" w:cs="Sakkal Majalla"/>
          <w:bCs/>
          <w:color w:val="000000" w:themeColor="text1"/>
          <w:sz w:val="28"/>
          <w:szCs w:val="28"/>
          <w:lang w:val="en-US"/>
          <w14:textFill>
            <w14:solidFill>
              <w14:schemeClr w14:val="tx1"/>
            </w14:solidFill>
          </w14:textFill>
        </w:rPr>
        <w:t>Zhu</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2024</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 xml:space="preserve">إلى أن دمج نظريات التحكم ونظرية الألعاب مع التعلم الآلي أسهم في بناء نماذج قادرة على التنبؤ بالمخاطر المستقبلية وإدارتها بشكل ديناميكي، وقد عرض </w:t>
      </w:r>
      <w:r>
        <w:rPr>
          <w:rFonts w:ascii="Sakkal Majalla" w:hAnsi="Sakkal Majalla" w:cs="Sakkal Majalla"/>
          <w:bCs/>
          <w:color w:val="000000" w:themeColor="text1"/>
          <w:sz w:val="28"/>
          <w:szCs w:val="28"/>
          <w:lang w:val="en-US"/>
          <w14:textFill>
            <w14:solidFill>
              <w14:schemeClr w14:val="tx1"/>
            </w14:solidFill>
          </w14:textFill>
        </w:rPr>
        <w:t>Ciric</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Lalic</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2022</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كيفية تأثير الانتقال من النهج التقليدي إلى النهج الرشيق في إدارة المشاريع على تقليل المخاطر وزيادة معدلات النجاح</w:t>
      </w:r>
      <w:r>
        <w:rPr>
          <w:rFonts w:ascii="Sakkal Majalla" w:hAnsi="Sakkal Majalla" w:cs="Sakkal Majalla"/>
          <w:b/>
          <w:color w:val="000000" w:themeColor="text1"/>
          <w:sz w:val="28"/>
          <w:szCs w:val="28"/>
          <w:lang w:val="en-US"/>
          <w14:textFill>
            <w14:solidFill>
              <w14:schemeClr w14:val="tx1"/>
            </w14:solidFill>
          </w14:textFill>
        </w:rPr>
        <w:t>.</w:t>
      </w:r>
    </w:p>
    <w:p w14:paraId="5AA8F656">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وتكشف المقارنة بين هذه النماذج أن </w:t>
      </w:r>
      <w:r>
        <w:rPr>
          <w:rFonts w:ascii="Sakkal Majalla" w:hAnsi="Sakkal Majalla" w:cs="Sakkal Majalla"/>
          <w:bCs/>
          <w:color w:val="000000" w:themeColor="text1"/>
          <w:sz w:val="28"/>
          <w:szCs w:val="28"/>
          <w:lang w:val="en-US"/>
          <w14:textFill>
            <w14:solidFill>
              <w14:schemeClr w14:val="tx1"/>
            </w14:solidFill>
          </w14:textFill>
        </w:rPr>
        <w:t>COSO</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 xml:space="preserve">يتميز بالتركيز على ربط المخاطر بالأهداف الاستراتيجية، بينما يمنح </w:t>
      </w:r>
      <w:r>
        <w:rPr>
          <w:rFonts w:ascii="Sakkal Majalla" w:hAnsi="Sakkal Majalla" w:cs="Sakkal Majalla"/>
          <w:bCs/>
          <w:color w:val="000000" w:themeColor="text1"/>
          <w:sz w:val="28"/>
          <w:szCs w:val="28"/>
          <w:lang w:val="en-US"/>
          <w14:textFill>
            <w14:solidFill>
              <w14:schemeClr w14:val="tx1"/>
            </w14:solidFill>
          </w14:textFill>
        </w:rPr>
        <w:t>ISO</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31000</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 xml:space="preserve">مرونة أكبر في التكيف مع مختلف القطاعات، أما النماذج الحديثة، فتتسم بتركيزها على البيئات الديناميكية عالية التعقيد مثل بيئات تكنولوجيا المعلومات والأمن السيبراني، مع اعتمادها على أدوات متقدمة كالذكاء الاصطناعي والتحليلات التنبؤية، ويؤكد </w:t>
      </w:r>
      <w:r>
        <w:rPr>
          <w:rFonts w:ascii="Sakkal Majalla" w:hAnsi="Sakkal Majalla" w:cs="Sakkal Majalla"/>
          <w:bCs/>
          <w:color w:val="000000" w:themeColor="text1"/>
          <w:sz w:val="28"/>
          <w:szCs w:val="28"/>
          <w:lang w:val="en-US"/>
          <w14:textFill>
            <w14:solidFill>
              <w14:schemeClr w14:val="tx1"/>
            </w14:solidFill>
          </w14:textFill>
        </w:rPr>
        <w:t>Gemino</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(2021)</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أن الدمج بين النماذج التقليدية والحديثة يوفّر إطارًا هجينًا أكثر ملاءمة لنجاح المشاريع الكبرى، خاصة تلك التي تنفذها الحكومات في ظل رؤية 2030</w:t>
      </w:r>
      <w:r>
        <w:rPr>
          <w:rFonts w:ascii="Sakkal Majalla" w:hAnsi="Sakkal Majalla" w:cs="Sakkal Majalla"/>
          <w:b/>
          <w:color w:val="000000" w:themeColor="text1"/>
          <w:sz w:val="28"/>
          <w:szCs w:val="28"/>
          <w:lang w:val="en-US"/>
          <w14:textFill>
            <w14:solidFill>
              <w14:schemeClr w14:val="tx1"/>
            </w14:solidFill>
          </w14:textFill>
        </w:rPr>
        <w:t>.</w:t>
      </w:r>
    </w:p>
    <w:p w14:paraId="14A0FBCB">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rPr>
          <w:rFonts w:ascii="Sakkal Majalla" w:hAnsi="Sakkal Majalla" w:cs="Sakkal Majalla"/>
          <w:b/>
          <w:color w:val="000000" w:themeColor="text1"/>
          <w:sz w:val="28"/>
          <w:szCs w:val="28"/>
          <w:rtl/>
          <w:lang w:val="en-US"/>
          <w14:textFill>
            <w14:solidFill>
              <w14:schemeClr w14:val="tx1"/>
            </w14:solidFill>
          </w14:textFill>
        </w:rPr>
      </w:pPr>
    </w:p>
    <w:p w14:paraId="07E51E44">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rPr>
          <w:rFonts w:ascii="Sakkal Majalla" w:hAnsi="Sakkal Majalla" w:cs="Sakkal Majalla"/>
          <w:b/>
          <w:color w:val="000000" w:themeColor="text1"/>
          <w:sz w:val="28"/>
          <w:szCs w:val="28"/>
          <w:rtl/>
          <w:lang w:val="en-US"/>
          <w14:textFill>
            <w14:solidFill>
              <w14:schemeClr w14:val="tx1"/>
            </w14:solidFill>
          </w14:textFill>
        </w:rPr>
      </w:pPr>
    </w:p>
    <w:p w14:paraId="154F8C7D">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rPr>
          <w:rFonts w:ascii="Sakkal Majalla" w:hAnsi="Sakkal Majalla" w:cs="Sakkal Majalla"/>
          <w:b/>
          <w:color w:val="000000" w:themeColor="text1"/>
          <w:sz w:val="28"/>
          <w:szCs w:val="28"/>
          <w:rtl/>
          <w:lang w:val="en-US"/>
          <w14:textFill>
            <w14:solidFill>
              <w14:schemeClr w14:val="tx1"/>
            </w14:solidFill>
          </w14:textFill>
        </w:rPr>
      </w:pPr>
    </w:p>
    <w:p w14:paraId="1AD52997">
      <w:pPr>
        <w:rPr>
          <w:rFonts w:ascii="Sakkal Majalla" w:hAnsi="Sakkal Majalla" w:cs="Sakkal Majalla"/>
          <w:b/>
          <w:color w:val="000000" w:themeColor="text1"/>
          <w:sz w:val="28"/>
          <w:szCs w:val="28"/>
          <w:rtl/>
          <w:lang w:val="en-US" w:bidi="ar-EG"/>
          <w14:textFill>
            <w14:solidFill>
              <w14:schemeClr w14:val="tx1"/>
            </w14:solidFill>
          </w14:textFill>
        </w:rPr>
      </w:pPr>
      <w:r>
        <w:rPr>
          <w:rFonts w:ascii="Sakkal Majalla" w:hAnsi="Sakkal Majalla" w:cs="Sakkal Majalla"/>
          <w:b/>
          <w:color w:val="000000" w:themeColor="text1"/>
          <w:sz w:val="28"/>
          <w:szCs w:val="28"/>
          <w:rtl/>
          <w:lang w:val="en-US" w:bidi="ar-EG"/>
          <w14:textFill>
            <w14:solidFill>
              <w14:schemeClr w14:val="tx1"/>
            </w14:solidFill>
          </w14:textFill>
        </w:rPr>
        <w:br w:type="page"/>
      </w:r>
    </w:p>
    <w:p w14:paraId="0A5FB0E6">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center"/>
        <w:outlineLvl w:val="1"/>
        <w:rPr>
          <w:rFonts w:ascii="Sakkal Majalla" w:hAnsi="Sakkal Majalla" w:cs="Sakkal Majalla"/>
          <w:bCs/>
          <w:color w:val="000000" w:themeColor="text1"/>
          <w:sz w:val="40"/>
          <w:szCs w:val="40"/>
          <w:rtl/>
          <w:lang w:val="en-US"/>
          <w14:textFill>
            <w14:solidFill>
              <w14:schemeClr w14:val="tx1"/>
            </w14:solidFill>
          </w14:textFill>
        </w:rPr>
      </w:pPr>
      <w:bookmarkStart w:id="50" w:name="_Toc211696034"/>
      <w:r>
        <w:rPr>
          <w:rFonts w:ascii="Sakkal Majalla" w:hAnsi="Sakkal Majalla" w:cs="Sakkal Majalla"/>
          <w:bCs/>
          <w:color w:val="000000" w:themeColor="text1"/>
          <w:sz w:val="40"/>
          <w:szCs w:val="40"/>
          <w:rtl/>
          <w:lang w:val="en-US"/>
          <w14:textFill>
            <w14:solidFill>
              <w14:schemeClr w14:val="tx1"/>
            </w14:solidFill>
          </w14:textFill>
        </w:rPr>
        <w:t>المبحث الثاني</w:t>
      </w:r>
      <w:r>
        <w:rPr>
          <w:rFonts w:ascii="Sakkal Majalla" w:hAnsi="Sakkal Majalla" w:cs="Sakkal Majalla"/>
          <w:bCs/>
          <w:color w:val="000000" w:themeColor="text1"/>
          <w:sz w:val="40"/>
          <w:szCs w:val="40"/>
          <w14:textFill>
            <w14:solidFill>
              <w14:schemeClr w14:val="tx1"/>
            </w14:solidFill>
          </w14:textFill>
        </w:rPr>
        <w:t xml:space="preserve">: </w:t>
      </w:r>
      <w:r>
        <w:rPr>
          <w:rFonts w:ascii="Sakkal Majalla" w:hAnsi="Sakkal Majalla" w:cs="Sakkal Majalla"/>
          <w:bCs/>
          <w:color w:val="000000" w:themeColor="text1"/>
          <w:sz w:val="40"/>
          <w:szCs w:val="40"/>
          <w:rtl/>
          <w:lang w:val="en-US"/>
          <w14:textFill>
            <w14:solidFill>
              <w14:schemeClr w14:val="tx1"/>
            </w14:solidFill>
          </w14:textFill>
        </w:rPr>
        <w:t>نجاح المشاريع الكبرى</w:t>
      </w:r>
      <w:bookmarkEnd w:id="50"/>
    </w:p>
    <w:p w14:paraId="3DEEA442">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outlineLvl w:val="2"/>
        <w:rPr>
          <w:rFonts w:ascii="Sakkal Majalla" w:hAnsi="Sakkal Majalla" w:cs="Sakkal Majalla"/>
          <w:bCs/>
          <w:color w:val="000000" w:themeColor="text1"/>
          <w:sz w:val="32"/>
          <w:szCs w:val="32"/>
          <w:lang w:val="en-US"/>
          <w14:textFill>
            <w14:solidFill>
              <w14:schemeClr w14:val="tx1"/>
            </w14:solidFill>
          </w14:textFill>
        </w:rPr>
      </w:pPr>
      <w:bookmarkStart w:id="51" w:name="_Toc211696035"/>
      <w:r>
        <w:rPr>
          <w:rFonts w:hint="cs" w:ascii="Sakkal Majalla" w:hAnsi="Sakkal Majalla" w:cs="Sakkal Majalla"/>
          <w:bCs/>
          <w:color w:val="000000" w:themeColor="text1"/>
          <w:sz w:val="32"/>
          <w:szCs w:val="32"/>
          <w:rtl/>
          <w:lang w:val="en-US"/>
          <w14:textFill>
            <w14:solidFill>
              <w14:schemeClr w14:val="tx1"/>
            </w14:solidFill>
          </w14:textFill>
        </w:rPr>
        <w:t xml:space="preserve">1.2.2 </w:t>
      </w:r>
      <w:r>
        <w:rPr>
          <w:rFonts w:ascii="Sakkal Majalla" w:hAnsi="Sakkal Majalla" w:cs="Sakkal Majalla"/>
          <w:bCs/>
          <w:color w:val="000000" w:themeColor="text1"/>
          <w:sz w:val="32"/>
          <w:szCs w:val="32"/>
          <w:rtl/>
          <w:lang w:val="en-US"/>
          <w14:textFill>
            <w14:solidFill>
              <w14:schemeClr w14:val="tx1"/>
            </w14:solidFill>
          </w14:textFill>
        </w:rPr>
        <w:t>تمهيد</w:t>
      </w:r>
      <w:bookmarkEnd w:id="51"/>
    </w:p>
    <w:p w14:paraId="07205B69">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يمثل نجاح المشاريع أحد المحاور الأساسية التي تقوم عليها خطط التنمية الاقتصادية والاجتماعية، لا سيما في ظل توجه الحكومات نحو تنفيذ مشاريع كبرى تتوافق مع متطلبات التطور التكنولوجي والتحول الحضري، وتشير العزاوي والجبوري</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hint="cs" w:ascii="Sakkal Majalla" w:hAnsi="Sakkal Majalla" w:cs="Sakkal Majalla"/>
          <w:bCs/>
          <w:color w:val="000000" w:themeColor="text1"/>
          <w:sz w:val="28"/>
          <w:szCs w:val="28"/>
          <w:lang w:val="en-US" w:bidi="ar-EG"/>
          <w14:textFill>
            <w14:solidFill>
              <w14:schemeClr w14:val="tx1"/>
            </w14:solidFill>
          </w14:textFill>
        </w:rPr>
        <w:t>2022</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إلى أن المشاريع لا تُقاس قيمتها بمجرد إنجازها، بل بمدى قدرتها على تحقيق الأهداف المرسومة لها ضمن نطاق زمني ومالي محدد، وبما يضمن استدامة العوائد ورضا أصحاب المصلحة، ومن هنا فإن نجاح المشاريع لا يعد هدفًا بحد ذاته، وإنما وسيلة لتحقيق الكفاءة التنظيمية والميزة التنافسية والاستجابة لمتطلبات التنمية المستدامة</w:t>
      </w:r>
      <w:r>
        <w:rPr>
          <w:rFonts w:ascii="Sakkal Majalla" w:hAnsi="Sakkal Majalla" w:cs="Sakkal Majalla"/>
          <w:b/>
          <w:color w:val="000000" w:themeColor="text1"/>
          <w:sz w:val="28"/>
          <w:szCs w:val="28"/>
          <w:lang w:val="en-US"/>
          <w14:textFill>
            <w14:solidFill>
              <w14:schemeClr w14:val="tx1"/>
            </w14:solidFill>
          </w14:textFill>
        </w:rPr>
        <w:t>.</w:t>
      </w:r>
    </w:p>
    <w:p w14:paraId="618FE63D">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outlineLvl w:val="2"/>
        <w:rPr>
          <w:rFonts w:ascii="Sakkal Majalla" w:hAnsi="Sakkal Majalla" w:cs="Sakkal Majalla"/>
          <w:bCs/>
          <w:color w:val="000000" w:themeColor="text1"/>
          <w:sz w:val="32"/>
          <w:szCs w:val="32"/>
          <w:lang w:val="en-US"/>
          <w14:textFill>
            <w14:solidFill>
              <w14:schemeClr w14:val="tx1"/>
            </w14:solidFill>
          </w14:textFill>
        </w:rPr>
      </w:pPr>
      <w:bookmarkStart w:id="52" w:name="_Toc211696036"/>
      <w:r>
        <w:rPr>
          <w:rFonts w:hint="cs" w:ascii="Sakkal Majalla" w:hAnsi="Sakkal Majalla" w:cs="Sakkal Majalla"/>
          <w:bCs/>
          <w:color w:val="000000" w:themeColor="text1"/>
          <w:sz w:val="32"/>
          <w:szCs w:val="32"/>
          <w:rtl/>
          <w:lang w:val="en-US"/>
          <w14:textFill>
            <w14:solidFill>
              <w14:schemeClr w14:val="tx1"/>
            </w14:solidFill>
          </w14:textFill>
        </w:rPr>
        <w:t xml:space="preserve">2.2.2 </w:t>
      </w:r>
      <w:r>
        <w:rPr>
          <w:rFonts w:ascii="Sakkal Majalla" w:hAnsi="Sakkal Majalla" w:cs="Sakkal Majalla"/>
          <w:bCs/>
          <w:color w:val="000000" w:themeColor="text1"/>
          <w:sz w:val="32"/>
          <w:szCs w:val="32"/>
          <w:rtl/>
          <w:lang w:val="en-US"/>
          <w14:textFill>
            <w14:solidFill>
              <w14:schemeClr w14:val="tx1"/>
            </w14:solidFill>
          </w14:textFill>
        </w:rPr>
        <w:t>مفهوم نجاح المشاريع</w:t>
      </w:r>
      <w:bookmarkEnd w:id="52"/>
    </w:p>
    <w:p w14:paraId="68809EA7">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يُعد مفهوم نجاح المشاريع من المفاهيم الجدلية التي حظيت باهتمام واسع من الباحثين والممارسين على حد سواء، نظرًا لتعدد زوايا النظر إليه واختلاف المعايير التي يُقاس على أساسها، ففي حين ركزت الأدبيات الكلاسيكية على "المثلث الحديدي" المتمثل في الوقت، التكلفة، والجودة باعتبارها المحددات الأساسية للنجاح، فإن الأدبيات الحديثة تجاوزت هذا الطرح الضيق لتؤكد أن النجاح مفهوم متعدد الأبعاد يشمل الجوانب الاستراتيجية والتنظيمية والاجتماعية إلى جانب الجوانب الفنية</w:t>
      </w:r>
      <w:r>
        <w:rPr>
          <w:rFonts w:ascii="Sakkal Majalla" w:hAnsi="Sakkal Majalla" w:cs="Sakkal Majalla"/>
          <w:b/>
          <w:color w:val="000000" w:themeColor="text1"/>
          <w:sz w:val="28"/>
          <w:szCs w:val="28"/>
          <w:lang w:val="en-US"/>
          <w14:textFill>
            <w14:solidFill>
              <w14:schemeClr w14:val="tx1"/>
            </w14:solidFill>
          </w14:textFill>
        </w:rPr>
        <w:t>.</w:t>
      </w:r>
    </w:p>
    <w:p w14:paraId="29536D79">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يشير </w:t>
      </w:r>
      <w:r>
        <w:rPr>
          <w:rFonts w:hint="cs" w:ascii="Sakkal Majalla" w:hAnsi="Sakkal Majalla" w:cs="Sakkal Majalla"/>
          <w:bCs/>
          <w:color w:val="000000" w:themeColor="text1"/>
          <w:sz w:val="28"/>
          <w:szCs w:val="28"/>
          <w:lang w:val="en-US" w:bidi="ar-EG"/>
          <w14:textFill>
            <w14:solidFill>
              <w14:schemeClr w14:val="tx1"/>
            </w14:solidFill>
          </w14:textFill>
        </w:rPr>
        <w:t>Adedokun</w:t>
      </w:r>
      <w:r>
        <w:rPr>
          <w:rFonts w:hint="cs" w:ascii="Sakkal Majalla" w:hAnsi="Sakkal Majalla" w:cs="Sakkal Majalla"/>
          <w:b/>
          <w:color w:val="000000" w:themeColor="text1"/>
          <w:sz w:val="28"/>
          <w:szCs w:val="28"/>
          <w:lang w:val="en-US" w:bidi="ar-EG"/>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hint="cs" w:ascii="Sakkal Majalla" w:hAnsi="Sakkal Majalla" w:cs="Sakkal Majalla"/>
          <w:bCs/>
          <w:color w:val="000000" w:themeColor="text1"/>
          <w:sz w:val="28"/>
          <w:szCs w:val="28"/>
          <w:lang w:val="en-US" w:bidi="ar-EG"/>
          <w14:textFill>
            <w14:solidFill>
              <w14:schemeClr w14:val="tx1"/>
            </w14:solidFill>
          </w14:textFill>
        </w:rPr>
        <w:t>2023</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إلى أن نجاح المشروع يعني قدرة القائمين عليه على إنجاز ج</w:t>
      </w:r>
      <w:r>
        <w:rPr>
          <w:rFonts w:hint="cs" w:ascii="Sakkal Majalla" w:hAnsi="Sakkal Majalla" w:cs="Sakkal Majalla"/>
          <w:b/>
          <w:color w:val="000000" w:themeColor="text1"/>
          <w:sz w:val="28"/>
          <w:szCs w:val="28"/>
          <w:rtl/>
          <w:lang w:val="en-US" w:bidi="ar-EG"/>
          <w14:textFill>
            <w14:solidFill>
              <w14:schemeClr w14:val="tx1"/>
            </w14:solidFill>
          </w14:textFill>
        </w:rPr>
        <w:t>م</w:t>
      </w:r>
      <w:r>
        <w:rPr>
          <w:rFonts w:ascii="Sakkal Majalla" w:hAnsi="Sakkal Majalla" w:cs="Sakkal Majalla"/>
          <w:b/>
          <w:color w:val="000000" w:themeColor="text1"/>
          <w:sz w:val="28"/>
          <w:szCs w:val="28"/>
          <w:rtl/>
          <w:lang w:val="en-US"/>
          <w14:textFill>
            <w14:solidFill>
              <w14:schemeClr w14:val="tx1"/>
            </w14:solidFill>
          </w14:textFill>
        </w:rPr>
        <w:t xml:space="preserve">يع الأنشطة ضمن الإطار الزمني المحدد والميزانية المرصودة، مع تحقيق الجودة المطلوبة،  بينما يرى </w:t>
      </w:r>
      <w:r>
        <w:rPr>
          <w:rFonts w:ascii="Sakkal Majalla" w:hAnsi="Sakkal Majalla" w:cs="Sakkal Majalla"/>
          <w:bCs/>
          <w:color w:val="000000" w:themeColor="text1"/>
          <w:sz w:val="28"/>
          <w:szCs w:val="28"/>
          <w:lang w:val="en-US"/>
          <w14:textFill>
            <w14:solidFill>
              <w14:schemeClr w14:val="tx1"/>
            </w14:solidFill>
          </w14:textFill>
        </w:rPr>
        <w:t>Gemino</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hint="cs" w:ascii="Sakkal Majalla" w:hAnsi="Sakkal Majalla" w:cs="Sakkal Majalla"/>
          <w:bCs/>
          <w:color w:val="000000" w:themeColor="text1"/>
          <w:sz w:val="28"/>
          <w:szCs w:val="28"/>
          <w:lang w:val="en-US" w:bidi="ar-EG"/>
          <w14:textFill>
            <w14:solidFill>
              <w14:schemeClr w14:val="tx1"/>
            </w14:solidFill>
          </w14:textFill>
        </w:rPr>
        <w:t>2021</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أن نجاح المشروع يجب أن يُفهم على أنه قيمة مضافة تتحقق للمؤسسة ولأصحاب المصلحة، سواء على المدى القصير من خلال تسليم منتجات أو خدمات بجودة عالية، أو على المدى الطويل من خلال استدامة النتائج وتعزيز تنافسية المؤسسة</w:t>
      </w:r>
      <w:r>
        <w:rPr>
          <w:rFonts w:ascii="Sakkal Majalla" w:hAnsi="Sakkal Majalla" w:cs="Sakkal Majalla"/>
          <w:b/>
          <w:color w:val="000000" w:themeColor="text1"/>
          <w:sz w:val="28"/>
          <w:szCs w:val="28"/>
          <w:lang w:val="en-US"/>
          <w14:textFill>
            <w14:solidFill>
              <w14:schemeClr w14:val="tx1"/>
            </w14:solidFill>
          </w14:textFill>
        </w:rPr>
        <w:t>.</w:t>
      </w:r>
    </w:p>
    <w:p w14:paraId="009B77A7">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كما يوضح </w:t>
      </w:r>
      <w:r>
        <w:rPr>
          <w:rFonts w:hint="cs" w:ascii="Sakkal Majalla" w:hAnsi="Sakkal Majalla" w:cs="Sakkal Majalla"/>
          <w:bCs/>
          <w:color w:val="000000" w:themeColor="text1"/>
          <w:sz w:val="28"/>
          <w:szCs w:val="28"/>
          <w:lang w:val="en-US" w:bidi="ar-EG"/>
          <w14:textFill>
            <w14:solidFill>
              <w14:schemeClr w14:val="tx1"/>
            </w14:solidFill>
          </w14:textFill>
        </w:rPr>
        <w:t>Ciric Lalic</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hint="cs" w:ascii="Sakkal Majalla" w:hAnsi="Sakkal Majalla" w:cs="Sakkal Majalla"/>
          <w:bCs/>
          <w:color w:val="000000" w:themeColor="text1"/>
          <w:sz w:val="28"/>
          <w:szCs w:val="28"/>
          <w:lang w:val="en-US" w:bidi="ar-EG"/>
          <w14:textFill>
            <w14:solidFill>
              <w14:schemeClr w14:val="tx1"/>
            </w14:solidFill>
          </w14:textFill>
        </w:rPr>
        <w:t>2022</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 xml:space="preserve">أن النجاح لا يُقاس فقط بالنتائج الملموسة بل أيضًا بمدى قدرة المشروع على التكيف مع التغيرات البيئية والاقتصادية والاجتماعية، وتحقيق رضا مختلف الأطراف ذات العلاقة، ويؤكد </w:t>
      </w:r>
      <w:r>
        <w:rPr>
          <w:rFonts w:hint="cs" w:ascii="Sakkal Majalla" w:hAnsi="Sakkal Majalla" w:cs="Sakkal Majalla"/>
          <w:bCs/>
          <w:color w:val="000000" w:themeColor="text1"/>
          <w:sz w:val="28"/>
          <w:szCs w:val="28"/>
          <w:lang w:val="en-US" w:bidi="ar-EG"/>
          <w14:textFill>
            <w14:solidFill>
              <w14:schemeClr w14:val="tx1"/>
            </w14:solidFill>
          </w14:textFill>
        </w:rPr>
        <w:t>Babenko</w:t>
      </w:r>
      <w:r>
        <w:rPr>
          <w:rFonts w:hint="cs" w:ascii="Sakkal Majalla" w:hAnsi="Sakkal Majalla" w:cs="Sakkal Majalla"/>
          <w:b/>
          <w:color w:val="000000" w:themeColor="text1"/>
          <w:sz w:val="28"/>
          <w:szCs w:val="28"/>
          <w:lang w:val="en-US" w:bidi="ar-EG"/>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hint="cs" w:ascii="Sakkal Majalla" w:hAnsi="Sakkal Majalla" w:cs="Sakkal Majalla"/>
          <w:bCs/>
          <w:color w:val="000000" w:themeColor="text1"/>
          <w:sz w:val="28"/>
          <w:szCs w:val="28"/>
          <w:lang w:val="en-US" w:bidi="ar-EG"/>
          <w14:textFill>
            <w14:solidFill>
              <w14:schemeClr w14:val="tx1"/>
            </w14:solidFill>
          </w14:textFill>
        </w:rPr>
        <w:t>2022</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أن نجاح المشاريع الكبرى لا يمكن عزله عن مفهوم الاستدامة، حيث يتجلى النجاح في المشاريع التي توازن بين تحقيق الأهداف الاقتصادية وتقليل الأثر البيئي وتعزيز العدالة الاجتماعية</w:t>
      </w:r>
      <w:r>
        <w:rPr>
          <w:rFonts w:ascii="Sakkal Majalla" w:hAnsi="Sakkal Majalla" w:cs="Sakkal Majalla"/>
          <w:b/>
          <w:color w:val="000000" w:themeColor="text1"/>
          <w:sz w:val="28"/>
          <w:szCs w:val="28"/>
          <w:lang w:val="en-US"/>
          <w14:textFill>
            <w14:solidFill>
              <w14:schemeClr w14:val="tx1"/>
            </w14:solidFill>
          </w14:textFill>
        </w:rPr>
        <w:t>.</w:t>
      </w:r>
    </w:p>
    <w:p w14:paraId="6749FA16">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وعليه، فإن مفهوم نجاح المشاريع بات أوسع وأشمل من مجرد إنجاز مشروع في الوقت المحدد وضمن التكلفة والجودة المتوقعة، ليتضمن أيضًا رضا المستفيدين، المساهمة في الأهداف الاستراتيجية، تعزيز الابتكار، وضمان استمرارية النتائج بعد إغلاق المشروع، وهذا ما يجعل نجاح المشاريع يُفهم باعتباره عملية ديناميكية تتطلب مرونة إدارية وقدرة على المواءمة بين المعايير التقليدية والتوجهات الحديثة في إدارة المشاريع</w:t>
      </w:r>
      <w:r>
        <w:rPr>
          <w:rFonts w:ascii="Sakkal Majalla" w:hAnsi="Sakkal Majalla" w:cs="Sakkal Majalla"/>
          <w:b/>
          <w:color w:val="000000" w:themeColor="text1"/>
          <w:sz w:val="28"/>
          <w:szCs w:val="28"/>
          <w:lang w:val="en-US"/>
          <w14:textFill>
            <w14:solidFill>
              <w14:schemeClr w14:val="tx1"/>
            </w14:solidFill>
          </w14:textFill>
        </w:rPr>
        <w:t>.</w:t>
      </w:r>
    </w:p>
    <w:p w14:paraId="6B276222">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outlineLvl w:val="2"/>
        <w:rPr>
          <w:rFonts w:ascii="Sakkal Majalla" w:hAnsi="Sakkal Majalla" w:cs="Sakkal Majalla"/>
          <w:bCs/>
          <w:color w:val="000000" w:themeColor="text1"/>
          <w:sz w:val="32"/>
          <w:szCs w:val="32"/>
          <w:lang w:val="en-US"/>
          <w14:textFill>
            <w14:solidFill>
              <w14:schemeClr w14:val="tx1"/>
            </w14:solidFill>
          </w14:textFill>
        </w:rPr>
      </w:pPr>
      <w:bookmarkStart w:id="53" w:name="_Toc211696037"/>
      <w:r>
        <w:rPr>
          <w:rFonts w:hint="cs" w:ascii="Sakkal Majalla" w:hAnsi="Sakkal Majalla" w:cs="Sakkal Majalla"/>
          <w:bCs/>
          <w:color w:val="000000" w:themeColor="text1"/>
          <w:sz w:val="32"/>
          <w:szCs w:val="32"/>
          <w:rtl/>
          <w:lang w:val="en-US"/>
          <w14:textFill>
            <w14:solidFill>
              <w14:schemeClr w14:val="tx1"/>
            </w14:solidFill>
          </w14:textFill>
        </w:rPr>
        <w:t xml:space="preserve">3.2.2 </w:t>
      </w:r>
      <w:r>
        <w:rPr>
          <w:rFonts w:ascii="Sakkal Majalla" w:hAnsi="Sakkal Majalla" w:cs="Sakkal Majalla"/>
          <w:bCs/>
          <w:color w:val="000000" w:themeColor="text1"/>
          <w:sz w:val="32"/>
          <w:szCs w:val="32"/>
          <w:rtl/>
          <w:lang w:val="en-US"/>
          <w14:textFill>
            <w14:solidFill>
              <w14:schemeClr w14:val="tx1"/>
            </w14:solidFill>
          </w14:textFill>
        </w:rPr>
        <w:t>أهمية نجاح المشاريع</w:t>
      </w:r>
      <w:bookmarkEnd w:id="53"/>
    </w:p>
    <w:p w14:paraId="60EC933B">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تُعد المشاريع أداة رئيسية لتحقيق التنمية المستدامة وتعزيز التنافسية المؤسسية، ولهذا فإن نجاحها لا يُنظر إليه على أنه مجرد إنجاز إداري أو فني، بل يمثل قيمة استراتيجية تنعكس على كفاءة المؤسسات واستدامة خططها المستقبلية، وتشير الأدبيات الحديثة إلى أن أهمية نجاح المشاريع تتجاوز حدود المشروع نفسه لتشمل الاقتصاد الكلي، إذ تسهم المشاريع الناجحة في رفع معدلات النمو الاقتصادي، وتحقيق أهداف التنمية، وتعزيز الثقة بين المؤسسات والمستفيدين</w:t>
      </w:r>
      <w:r>
        <w:rPr>
          <w:rFonts w:ascii="Sakkal Majalla" w:hAnsi="Sakkal Majalla" w:cs="Sakkal Majalla"/>
          <w:b/>
          <w:color w:val="000000" w:themeColor="text1"/>
          <w:sz w:val="28"/>
          <w:szCs w:val="28"/>
          <w:lang w:val="en-US"/>
          <w14:textFill>
            <w14:solidFill>
              <w14:schemeClr w14:val="tx1"/>
            </w14:solidFill>
          </w14:textFill>
        </w:rPr>
        <w:t>.</w:t>
      </w:r>
    </w:p>
    <w:p w14:paraId="6ED93963">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ويشير </w:t>
      </w:r>
      <w:r>
        <w:rPr>
          <w:rFonts w:ascii="Sakkal Majalla" w:hAnsi="Sakkal Majalla" w:cs="Sakkal Majalla"/>
          <w:bCs/>
          <w:color w:val="000000" w:themeColor="text1"/>
          <w:sz w:val="28"/>
          <w:szCs w:val="28"/>
          <w:lang w:val="en-US"/>
          <w14:textFill>
            <w14:solidFill>
              <w14:schemeClr w14:val="tx1"/>
            </w14:solidFill>
          </w14:textFill>
        </w:rPr>
        <w:t xml:space="preserve">Kerzner (2019) </w:t>
      </w:r>
      <w:r>
        <w:rPr>
          <w:rFonts w:ascii="Sakkal Majalla" w:hAnsi="Sakkal Majalla" w:cs="Sakkal Majalla"/>
          <w:b/>
          <w:color w:val="000000" w:themeColor="text1"/>
          <w:sz w:val="28"/>
          <w:szCs w:val="28"/>
          <w:rtl/>
          <w:lang w:val="en-US"/>
          <w14:textFill>
            <w14:solidFill>
              <w14:schemeClr w14:val="tx1"/>
            </w14:solidFill>
          </w14:textFill>
        </w:rPr>
        <w:t>إلى أن نجاح المشاريع له أهمية بالغة لعدة اعتبارات، من أبرزها</w:t>
      </w:r>
      <w:r>
        <w:rPr>
          <w:rFonts w:ascii="Sakkal Majalla" w:hAnsi="Sakkal Majalla" w:cs="Sakkal Majalla"/>
          <w:b/>
          <w:color w:val="000000" w:themeColor="text1"/>
          <w:sz w:val="28"/>
          <w:szCs w:val="28"/>
          <w:lang w:val="en-US"/>
          <w14:textFill>
            <w14:solidFill>
              <w14:schemeClr w14:val="tx1"/>
            </w14:solidFill>
          </w14:textFill>
        </w:rPr>
        <w:t>:</w:t>
      </w:r>
    </w:p>
    <w:p w14:paraId="1E7B8DF1">
      <w:pPr>
        <w:numPr>
          <w:ilvl w:val="0"/>
          <w:numId w:val="22"/>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تحقيق الأهداف الاستراتيجية للمؤسسة</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إذ يمثل المشروع أداة عملية لترجمة الخطط الاستراتيجية إلى نتائج ملموسة</w:t>
      </w:r>
      <w:r>
        <w:rPr>
          <w:rFonts w:ascii="Sakkal Majalla" w:hAnsi="Sakkal Majalla" w:cs="Sakkal Majalla"/>
          <w:b/>
          <w:color w:val="000000" w:themeColor="text1"/>
          <w:sz w:val="28"/>
          <w:szCs w:val="28"/>
          <w:lang w:val="en-US"/>
          <w14:textFill>
            <w14:solidFill>
              <w14:schemeClr w14:val="tx1"/>
            </w14:solidFill>
          </w14:textFill>
        </w:rPr>
        <w:t>.</w:t>
      </w:r>
    </w:p>
    <w:p w14:paraId="05011D83">
      <w:pPr>
        <w:numPr>
          <w:ilvl w:val="0"/>
          <w:numId w:val="22"/>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رفع مستوى رضا العملاء والمستفيدين</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من خلال الالتزام بمستويات الجودة العالية وتحقيق توقعاتهم</w:t>
      </w:r>
      <w:r>
        <w:rPr>
          <w:rFonts w:ascii="Sakkal Majalla" w:hAnsi="Sakkal Majalla" w:cs="Sakkal Majalla"/>
          <w:b/>
          <w:color w:val="000000" w:themeColor="text1"/>
          <w:sz w:val="28"/>
          <w:szCs w:val="28"/>
          <w:lang w:val="en-US"/>
          <w14:textFill>
            <w14:solidFill>
              <w14:schemeClr w14:val="tx1"/>
            </w14:solidFill>
          </w14:textFill>
        </w:rPr>
        <w:t>.</w:t>
      </w:r>
    </w:p>
    <w:p w14:paraId="16D5DE98">
      <w:pPr>
        <w:numPr>
          <w:ilvl w:val="0"/>
          <w:numId w:val="22"/>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تعزيز القدرة التنافسية للمؤسسات</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حيث تُمكن المشاريع الناجحة من ابتكار حلول جديدة والتفوق على المنافسين</w:t>
      </w:r>
      <w:r>
        <w:rPr>
          <w:rFonts w:ascii="Sakkal Majalla" w:hAnsi="Sakkal Majalla" w:cs="Sakkal Majalla"/>
          <w:b/>
          <w:color w:val="000000" w:themeColor="text1"/>
          <w:sz w:val="28"/>
          <w:szCs w:val="28"/>
          <w:lang w:val="en-US"/>
          <w14:textFill>
            <w14:solidFill>
              <w14:schemeClr w14:val="tx1"/>
            </w14:solidFill>
          </w14:textFill>
        </w:rPr>
        <w:t>.</w:t>
      </w:r>
    </w:p>
    <w:p w14:paraId="25C922F2">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ويرى </w:t>
      </w:r>
      <w:r>
        <w:rPr>
          <w:rFonts w:ascii="Sakkal Majalla" w:hAnsi="Sakkal Majalla" w:cs="Sakkal Majalla"/>
          <w:bCs/>
          <w:color w:val="000000" w:themeColor="text1"/>
          <w:sz w:val="28"/>
          <w:szCs w:val="28"/>
          <w:lang w:val="en-US"/>
          <w14:textFill>
            <w14:solidFill>
              <w14:schemeClr w14:val="tx1"/>
            </w14:solidFill>
          </w14:textFill>
        </w:rPr>
        <w:t>Gemino</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(2021)</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أن أهمية نجاح المشاريع تتجلى في</w:t>
      </w:r>
      <w:r>
        <w:rPr>
          <w:rFonts w:ascii="Sakkal Majalla" w:hAnsi="Sakkal Majalla" w:cs="Sakkal Majalla"/>
          <w:b/>
          <w:color w:val="000000" w:themeColor="text1"/>
          <w:sz w:val="28"/>
          <w:szCs w:val="28"/>
          <w:lang w:val="en-US"/>
          <w14:textFill>
            <w14:solidFill>
              <w14:schemeClr w14:val="tx1"/>
            </w14:solidFill>
          </w14:textFill>
        </w:rPr>
        <w:t>:</w:t>
      </w:r>
    </w:p>
    <w:p w14:paraId="304E5A75">
      <w:pPr>
        <w:numPr>
          <w:ilvl w:val="0"/>
          <w:numId w:val="23"/>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إدارة الموارد بكفاءة</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حيث يُسهم النجاح في تقليل الهدر وتحقيق أفضل استغلال ممكن للموارد المالية والبشرية</w:t>
      </w:r>
      <w:r>
        <w:rPr>
          <w:rFonts w:ascii="Sakkal Majalla" w:hAnsi="Sakkal Majalla" w:cs="Sakkal Majalla"/>
          <w:b/>
          <w:color w:val="000000" w:themeColor="text1"/>
          <w:sz w:val="28"/>
          <w:szCs w:val="28"/>
          <w:lang w:val="en-US"/>
          <w14:textFill>
            <w14:solidFill>
              <w14:schemeClr w14:val="tx1"/>
            </w14:solidFill>
          </w14:textFill>
        </w:rPr>
        <w:t>.</w:t>
      </w:r>
    </w:p>
    <w:p w14:paraId="48F10B5A">
      <w:pPr>
        <w:numPr>
          <w:ilvl w:val="0"/>
          <w:numId w:val="23"/>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تحقيق الاستدامة التنظيمية</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إذ تمثل المشاريع الناجحة حجر الأساس لبناء بيئة عمل قادرة على التكيف مع التغيرات</w:t>
      </w:r>
      <w:r>
        <w:rPr>
          <w:rFonts w:ascii="Sakkal Majalla" w:hAnsi="Sakkal Majalla" w:cs="Sakkal Majalla"/>
          <w:b/>
          <w:color w:val="000000" w:themeColor="text1"/>
          <w:sz w:val="28"/>
          <w:szCs w:val="28"/>
          <w:lang w:val="en-US"/>
          <w14:textFill>
            <w14:solidFill>
              <w14:schemeClr w14:val="tx1"/>
            </w14:solidFill>
          </w14:textFill>
        </w:rPr>
        <w:t>.</w:t>
      </w:r>
    </w:p>
    <w:p w14:paraId="624D5528">
      <w:pPr>
        <w:numPr>
          <w:ilvl w:val="0"/>
          <w:numId w:val="23"/>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زيادة ثقة الأطراف ذات العلاقة</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سواء من داخل المؤسسة أو من البيئة الخارجية، وهو ما يعزز سمعة المؤسسة ومصداقيتها</w:t>
      </w:r>
      <w:r>
        <w:rPr>
          <w:rFonts w:ascii="Sakkal Majalla" w:hAnsi="Sakkal Majalla" w:cs="Sakkal Majalla"/>
          <w:b/>
          <w:color w:val="000000" w:themeColor="text1"/>
          <w:sz w:val="28"/>
          <w:szCs w:val="28"/>
          <w:lang w:val="en-US"/>
          <w14:textFill>
            <w14:solidFill>
              <w14:schemeClr w14:val="tx1"/>
            </w14:solidFill>
          </w14:textFill>
        </w:rPr>
        <w:t>.</w:t>
      </w:r>
    </w:p>
    <w:p w14:paraId="4BC8DB16">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كما يوضح </w:t>
      </w:r>
      <w:r>
        <w:rPr>
          <w:rFonts w:ascii="Sakkal Majalla" w:hAnsi="Sakkal Majalla" w:cs="Sakkal Majalla"/>
          <w:bCs/>
          <w:color w:val="000000" w:themeColor="text1"/>
          <w:sz w:val="28"/>
          <w:szCs w:val="28"/>
          <w:lang w:val="en-US"/>
          <w14:textFill>
            <w14:solidFill>
              <w14:schemeClr w14:val="tx1"/>
            </w14:solidFill>
          </w14:textFill>
        </w:rPr>
        <w:t>Babenko</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(2022)</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أن نجاح المشاريع، خاصة المشاريع الكبرى، له دور حاسم في</w:t>
      </w:r>
      <w:r>
        <w:rPr>
          <w:rFonts w:ascii="Sakkal Majalla" w:hAnsi="Sakkal Majalla" w:cs="Sakkal Majalla"/>
          <w:b/>
          <w:color w:val="000000" w:themeColor="text1"/>
          <w:sz w:val="28"/>
          <w:szCs w:val="28"/>
          <w:lang w:val="en-US"/>
          <w14:textFill>
            <w14:solidFill>
              <w14:schemeClr w14:val="tx1"/>
            </w14:solidFill>
          </w14:textFill>
        </w:rPr>
        <w:t>:</w:t>
      </w:r>
    </w:p>
    <w:p w14:paraId="7389C8FC">
      <w:pPr>
        <w:numPr>
          <w:ilvl w:val="0"/>
          <w:numId w:val="24"/>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تحقيق التنمية المستدامة من خلال التوازن بين العوائد الاقتصادية والحفاظ على البيئة</w:t>
      </w:r>
      <w:r>
        <w:rPr>
          <w:rFonts w:ascii="Sakkal Majalla" w:hAnsi="Sakkal Majalla" w:cs="Sakkal Majalla"/>
          <w:b/>
          <w:color w:val="000000" w:themeColor="text1"/>
          <w:sz w:val="28"/>
          <w:szCs w:val="28"/>
          <w:lang w:val="en-US"/>
          <w14:textFill>
            <w14:solidFill>
              <w14:schemeClr w14:val="tx1"/>
            </w14:solidFill>
          </w14:textFill>
        </w:rPr>
        <w:t>.</w:t>
      </w:r>
    </w:p>
    <w:p w14:paraId="07F05E44">
      <w:pPr>
        <w:numPr>
          <w:ilvl w:val="0"/>
          <w:numId w:val="24"/>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تعزيز العدالة الاجتماعية عبر توفير فرص عمل جديدة وتحسين جودة الحياة للمجتمعات المحلية</w:t>
      </w:r>
      <w:r>
        <w:rPr>
          <w:rFonts w:ascii="Sakkal Majalla" w:hAnsi="Sakkal Majalla" w:cs="Sakkal Majalla"/>
          <w:b/>
          <w:color w:val="000000" w:themeColor="text1"/>
          <w:sz w:val="28"/>
          <w:szCs w:val="28"/>
          <w:lang w:val="en-US"/>
          <w14:textFill>
            <w14:solidFill>
              <w14:schemeClr w14:val="tx1"/>
            </w14:solidFill>
          </w14:textFill>
        </w:rPr>
        <w:t>.</w:t>
      </w:r>
    </w:p>
    <w:p w14:paraId="2B5D0DC7">
      <w:pPr>
        <w:numPr>
          <w:ilvl w:val="0"/>
          <w:numId w:val="24"/>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ضمان استمرارية المنفعة بعد إغلاق المشروع، بحيث تستمر النتائج الإيجابية في دعم المؤسسة والمجتمع على حد سواء</w:t>
      </w:r>
      <w:r>
        <w:rPr>
          <w:rFonts w:ascii="Sakkal Majalla" w:hAnsi="Sakkal Majalla" w:cs="Sakkal Majalla"/>
          <w:b/>
          <w:color w:val="000000" w:themeColor="text1"/>
          <w:sz w:val="28"/>
          <w:szCs w:val="28"/>
          <w:lang w:val="en-US"/>
          <w14:textFill>
            <w14:solidFill>
              <w14:schemeClr w14:val="tx1"/>
            </w14:solidFill>
          </w14:textFill>
        </w:rPr>
        <w:t>.</w:t>
      </w:r>
    </w:p>
    <w:p w14:paraId="2BE6522D">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وعليه، فإن أهمية نجاح المشاريع لا تقتصر على تحسين الأداء الداخلي للمؤسسات، بل تمتد لتشكل عنصرًا فاعلًا في تحقيق مستهدفات رؤية المملكة 2030، عبر ضمان التنفيذ الفعال للمشاريع الحكومية الكبرى، وتحقيق القيمة الاقتصادية والاجتماعية المرجوة منها</w:t>
      </w:r>
      <w:r>
        <w:rPr>
          <w:rFonts w:ascii="Sakkal Majalla" w:hAnsi="Sakkal Majalla" w:cs="Sakkal Majalla"/>
          <w:b/>
          <w:color w:val="000000" w:themeColor="text1"/>
          <w:sz w:val="28"/>
          <w:szCs w:val="28"/>
          <w:lang w:val="en-US"/>
          <w14:textFill>
            <w14:solidFill>
              <w14:schemeClr w14:val="tx1"/>
            </w14:solidFill>
          </w14:textFill>
        </w:rPr>
        <w:t>.</w:t>
      </w:r>
    </w:p>
    <w:p w14:paraId="0100696C">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outlineLvl w:val="2"/>
        <w:rPr>
          <w:rFonts w:ascii="Sakkal Majalla" w:hAnsi="Sakkal Majalla" w:cs="Sakkal Majalla"/>
          <w:bCs/>
          <w:color w:val="000000" w:themeColor="text1"/>
          <w:sz w:val="32"/>
          <w:szCs w:val="32"/>
          <w:lang w:val="en-US"/>
          <w14:textFill>
            <w14:solidFill>
              <w14:schemeClr w14:val="tx1"/>
            </w14:solidFill>
          </w14:textFill>
        </w:rPr>
      </w:pPr>
      <w:bookmarkStart w:id="54" w:name="_Toc211696038"/>
      <w:r>
        <w:rPr>
          <w:rFonts w:hint="cs" w:ascii="Sakkal Majalla" w:hAnsi="Sakkal Majalla" w:cs="Sakkal Majalla"/>
          <w:bCs/>
          <w:color w:val="000000" w:themeColor="text1"/>
          <w:sz w:val="32"/>
          <w:szCs w:val="32"/>
          <w:rtl/>
          <w:lang w:val="en-US"/>
          <w14:textFill>
            <w14:solidFill>
              <w14:schemeClr w14:val="tx1"/>
            </w14:solidFill>
          </w14:textFill>
        </w:rPr>
        <w:t xml:space="preserve">4.2.2 </w:t>
      </w:r>
      <w:r>
        <w:rPr>
          <w:rFonts w:ascii="Sakkal Majalla" w:hAnsi="Sakkal Majalla" w:cs="Sakkal Majalla"/>
          <w:bCs/>
          <w:color w:val="000000" w:themeColor="text1"/>
          <w:sz w:val="32"/>
          <w:szCs w:val="32"/>
          <w:rtl/>
          <w:lang w:val="en-US"/>
          <w14:textFill>
            <w14:solidFill>
              <w14:schemeClr w14:val="tx1"/>
            </w14:solidFill>
          </w14:textFill>
        </w:rPr>
        <w:t>أهداف نجاح المشاريع</w:t>
      </w:r>
      <w:bookmarkEnd w:id="54"/>
    </w:p>
    <w:p w14:paraId="07D8F8CE">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bidi="ar-EG"/>
          <w14:textFill>
            <w14:solidFill>
              <w14:schemeClr w14:val="tx1"/>
            </w14:solidFill>
          </w14:textFill>
        </w:rPr>
      </w:pPr>
      <w:r>
        <w:rPr>
          <w:rFonts w:hint="cs" w:ascii="Sakkal Majalla" w:hAnsi="Sakkal Majalla" w:cs="Sakkal Majalla"/>
          <w:b/>
          <w:color w:val="000000" w:themeColor="text1"/>
          <w:sz w:val="28"/>
          <w:szCs w:val="28"/>
          <w:rtl/>
          <w:lang w:val="en-US" w:bidi="ar-EG"/>
          <w14:textFill>
            <w14:solidFill>
              <w14:schemeClr w14:val="tx1"/>
            </w14:solidFill>
          </w14:textFill>
        </w:rPr>
        <w:t>تسعى المؤسسات إلى تحقيق مجموعة من الأهداف الجوهرية من خلال ضمان نجاح مشاريعها، وهذه الأهداف لا تنعكس فقط على إنجاز المشروع في حد ذاته، بل تتعداه إلى تحسين الأداء المؤسسي ودعم الاستراتيجيات الوطنية. ويؤكد الباحثون أن أهداف نجاح المشاريع ترتبط بتحقيق القيمة المضافة، وتعزيز الكفاءة التشغيلية، وضمان استدامة النتائج</w:t>
      </w:r>
      <w:r>
        <w:rPr>
          <w:rFonts w:hint="cs" w:ascii="Sakkal Majalla" w:hAnsi="Sakkal Majalla" w:cs="Sakkal Majalla"/>
          <w:b/>
          <w:color w:val="000000" w:themeColor="text1"/>
          <w:sz w:val="28"/>
          <w:szCs w:val="28"/>
          <w:lang w:val="en-US" w:bidi="ar-EG"/>
          <w14:textFill>
            <w14:solidFill>
              <w14:schemeClr w14:val="tx1"/>
            </w14:solidFill>
          </w14:textFill>
        </w:rPr>
        <w:t>.</w:t>
      </w:r>
    </w:p>
    <w:p w14:paraId="29CD9C87">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bidi="ar-EG"/>
          <w14:textFill>
            <w14:solidFill>
              <w14:schemeClr w14:val="tx1"/>
            </w14:solidFill>
          </w14:textFill>
        </w:rPr>
      </w:pPr>
      <w:r>
        <w:rPr>
          <w:rFonts w:hint="cs" w:ascii="Sakkal Majalla" w:hAnsi="Sakkal Majalla" w:cs="Sakkal Majalla"/>
          <w:b/>
          <w:color w:val="000000" w:themeColor="text1"/>
          <w:sz w:val="28"/>
          <w:szCs w:val="28"/>
          <w:rtl/>
          <w:lang w:val="en-US" w:bidi="ar-EG"/>
          <w14:textFill>
            <w14:solidFill>
              <w14:schemeClr w14:val="tx1"/>
            </w14:solidFill>
          </w14:textFill>
        </w:rPr>
        <w:t xml:space="preserve">ويشير </w:t>
      </w:r>
      <w:r>
        <w:rPr>
          <w:rFonts w:hint="cs" w:ascii="Sakkal Majalla" w:hAnsi="Sakkal Majalla" w:cs="Sakkal Majalla"/>
          <w:bCs/>
          <w:color w:val="000000" w:themeColor="text1"/>
          <w:sz w:val="28"/>
          <w:szCs w:val="28"/>
          <w:lang w:val="en-US" w:bidi="ar-EG"/>
          <w14:textFill>
            <w14:solidFill>
              <w14:schemeClr w14:val="tx1"/>
            </w14:solidFill>
          </w14:textFill>
        </w:rPr>
        <w:t>Kerzner (2019)</w:t>
      </w:r>
      <w:r>
        <w:rPr>
          <w:rFonts w:hint="cs" w:ascii="Sakkal Majalla" w:hAnsi="Sakkal Majalla" w:cs="Sakkal Majalla"/>
          <w:b/>
          <w:color w:val="000000" w:themeColor="text1"/>
          <w:sz w:val="28"/>
          <w:szCs w:val="28"/>
          <w:lang w:val="en-US" w:bidi="ar-EG"/>
          <w14:textFill>
            <w14:solidFill>
              <w14:schemeClr w14:val="tx1"/>
            </w14:solidFill>
          </w14:textFill>
        </w:rPr>
        <w:t xml:space="preserve"> </w:t>
      </w:r>
      <w:r>
        <w:rPr>
          <w:rFonts w:hint="cs" w:ascii="Sakkal Majalla" w:hAnsi="Sakkal Majalla" w:cs="Sakkal Majalla"/>
          <w:b/>
          <w:color w:val="000000" w:themeColor="text1"/>
          <w:sz w:val="28"/>
          <w:szCs w:val="28"/>
          <w:rtl/>
          <w:lang w:val="en-US" w:bidi="ar-EG"/>
          <w14:textFill>
            <w14:solidFill>
              <w14:schemeClr w14:val="tx1"/>
            </w14:solidFill>
          </w14:textFill>
        </w:rPr>
        <w:t>إلى أن أبرز أهداف نجاح المشاريع تتمثل في</w:t>
      </w:r>
      <w:r>
        <w:rPr>
          <w:rFonts w:hint="cs" w:ascii="Sakkal Majalla" w:hAnsi="Sakkal Majalla" w:cs="Sakkal Majalla"/>
          <w:b/>
          <w:color w:val="000000" w:themeColor="text1"/>
          <w:sz w:val="28"/>
          <w:szCs w:val="28"/>
          <w:lang w:val="en-US" w:bidi="ar-EG"/>
          <w14:textFill>
            <w14:solidFill>
              <w14:schemeClr w14:val="tx1"/>
            </w14:solidFill>
          </w14:textFill>
        </w:rPr>
        <w:t>:</w:t>
      </w:r>
    </w:p>
    <w:p w14:paraId="4FFAB408">
      <w:pPr>
        <w:numPr>
          <w:ilvl w:val="0"/>
          <w:numId w:val="25"/>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تحقيق نطاق المشروع كما هو مخطط له، بما يشمل الأهداف الوظيفية والفنية دون إخلال بالمتطلبات الأساسية</w:t>
      </w:r>
      <w:r>
        <w:rPr>
          <w:rFonts w:ascii="Sakkal Majalla" w:hAnsi="Sakkal Majalla" w:cs="Sakkal Majalla"/>
          <w:b/>
          <w:color w:val="000000" w:themeColor="text1"/>
          <w:sz w:val="28"/>
          <w:szCs w:val="28"/>
          <w:lang w:val="en-US"/>
          <w14:textFill>
            <w14:solidFill>
              <w14:schemeClr w14:val="tx1"/>
            </w14:solidFill>
          </w14:textFill>
        </w:rPr>
        <w:t>.</w:t>
      </w:r>
    </w:p>
    <w:p w14:paraId="5FD975F4">
      <w:pPr>
        <w:numPr>
          <w:ilvl w:val="0"/>
          <w:numId w:val="25"/>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الالتزام بالجدول الزمني، بما يضمن تسليم مخرجات المشروع في الوقت المحدد</w:t>
      </w:r>
      <w:r>
        <w:rPr>
          <w:rFonts w:ascii="Sakkal Majalla" w:hAnsi="Sakkal Majalla" w:cs="Sakkal Majalla"/>
          <w:b/>
          <w:color w:val="000000" w:themeColor="text1"/>
          <w:sz w:val="28"/>
          <w:szCs w:val="28"/>
          <w:lang w:val="en-US"/>
          <w14:textFill>
            <w14:solidFill>
              <w14:schemeClr w14:val="tx1"/>
            </w14:solidFill>
          </w14:textFill>
        </w:rPr>
        <w:t>.</w:t>
      </w:r>
    </w:p>
    <w:p w14:paraId="348EE81C">
      <w:pPr>
        <w:numPr>
          <w:ilvl w:val="0"/>
          <w:numId w:val="25"/>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إدارة التكاليف بكفاءة، عبر الحفاظ على الميزانية المخصصة ومنع أي انحرافات مالية غير مبررة</w:t>
      </w:r>
      <w:r>
        <w:rPr>
          <w:rFonts w:ascii="Sakkal Majalla" w:hAnsi="Sakkal Majalla" w:cs="Sakkal Majalla"/>
          <w:b/>
          <w:color w:val="000000" w:themeColor="text1"/>
          <w:sz w:val="28"/>
          <w:szCs w:val="28"/>
          <w:lang w:val="en-US"/>
          <w14:textFill>
            <w14:solidFill>
              <w14:schemeClr w14:val="tx1"/>
            </w14:solidFill>
          </w14:textFill>
        </w:rPr>
        <w:t>.</w:t>
      </w:r>
    </w:p>
    <w:p w14:paraId="696B452C">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كما يرى </w:t>
      </w:r>
      <w:r>
        <w:rPr>
          <w:rFonts w:ascii="Sakkal Majalla" w:hAnsi="Sakkal Majalla" w:cs="Sakkal Majalla"/>
          <w:bCs/>
          <w:color w:val="000000" w:themeColor="text1"/>
          <w:sz w:val="28"/>
          <w:szCs w:val="28"/>
          <w:lang w:val="en-US"/>
          <w14:textFill>
            <w14:solidFill>
              <w14:schemeClr w14:val="tx1"/>
            </w14:solidFill>
          </w14:textFill>
        </w:rPr>
        <w:t>Gemino</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(2021)</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أن نجاح المشاريع يستهدف تحقيق</w:t>
      </w:r>
      <w:r>
        <w:rPr>
          <w:rFonts w:ascii="Sakkal Majalla" w:hAnsi="Sakkal Majalla" w:cs="Sakkal Majalla"/>
          <w:b/>
          <w:color w:val="000000" w:themeColor="text1"/>
          <w:sz w:val="28"/>
          <w:szCs w:val="28"/>
          <w:lang w:val="en-US"/>
          <w14:textFill>
            <w14:solidFill>
              <w14:schemeClr w14:val="tx1"/>
            </w14:solidFill>
          </w14:textFill>
        </w:rPr>
        <w:t>:</w:t>
      </w:r>
    </w:p>
    <w:p w14:paraId="5349A25E">
      <w:pPr>
        <w:numPr>
          <w:ilvl w:val="0"/>
          <w:numId w:val="26"/>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رفع جودة المخرجات النهائية، بحيث تلبي أو تتجاوز توقعات المستفيدين</w:t>
      </w:r>
      <w:r>
        <w:rPr>
          <w:rFonts w:ascii="Sakkal Majalla" w:hAnsi="Sakkal Majalla" w:cs="Sakkal Majalla"/>
          <w:b/>
          <w:color w:val="000000" w:themeColor="text1"/>
          <w:sz w:val="28"/>
          <w:szCs w:val="28"/>
          <w:lang w:val="en-US"/>
          <w14:textFill>
            <w14:solidFill>
              <w14:schemeClr w14:val="tx1"/>
            </w14:solidFill>
          </w14:textFill>
        </w:rPr>
        <w:t>.</w:t>
      </w:r>
    </w:p>
    <w:p w14:paraId="4AE6D3E1">
      <w:pPr>
        <w:numPr>
          <w:ilvl w:val="0"/>
          <w:numId w:val="26"/>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تعزيز رضا أصحاب المصلحة، من خلال تلبية متطلباتهم وإشراكهم في عمليات اتخاذ القرار</w:t>
      </w:r>
      <w:r>
        <w:rPr>
          <w:rFonts w:ascii="Sakkal Majalla" w:hAnsi="Sakkal Majalla" w:cs="Sakkal Majalla"/>
          <w:b/>
          <w:color w:val="000000" w:themeColor="text1"/>
          <w:sz w:val="28"/>
          <w:szCs w:val="28"/>
          <w:lang w:val="en-US"/>
          <w14:textFill>
            <w14:solidFill>
              <w14:schemeClr w14:val="tx1"/>
            </w14:solidFill>
          </w14:textFill>
        </w:rPr>
        <w:t>.</w:t>
      </w:r>
    </w:p>
    <w:p w14:paraId="145B2F84">
      <w:pPr>
        <w:numPr>
          <w:ilvl w:val="0"/>
          <w:numId w:val="26"/>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ضمان المرونة التنظيمية، بما يمكن المؤسسات من الاستجابة للتغيرات البيئية أو التكنولوجية أثناء تنفيذ المشاريع</w:t>
      </w:r>
      <w:r>
        <w:rPr>
          <w:rFonts w:ascii="Sakkal Majalla" w:hAnsi="Sakkal Majalla" w:cs="Sakkal Majalla"/>
          <w:b/>
          <w:color w:val="000000" w:themeColor="text1"/>
          <w:sz w:val="28"/>
          <w:szCs w:val="28"/>
          <w:lang w:val="en-US"/>
          <w14:textFill>
            <w14:solidFill>
              <w14:schemeClr w14:val="tx1"/>
            </w14:solidFill>
          </w14:textFill>
        </w:rPr>
        <w:t>.</w:t>
      </w:r>
    </w:p>
    <w:p w14:paraId="093A8717">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 xml:space="preserve">ويؤكد </w:t>
      </w:r>
      <w:r>
        <w:rPr>
          <w:rFonts w:ascii="Sakkal Majalla" w:hAnsi="Sakkal Majalla" w:cs="Sakkal Majalla"/>
          <w:bCs/>
          <w:color w:val="000000" w:themeColor="text1"/>
          <w:sz w:val="28"/>
          <w:szCs w:val="28"/>
          <w:lang w:val="en-US"/>
          <w14:textFill>
            <w14:solidFill>
              <w14:schemeClr w14:val="tx1"/>
            </w14:solidFill>
          </w14:textFill>
        </w:rPr>
        <w:t xml:space="preserve">Babenko </w:t>
      </w:r>
      <w:r>
        <w:rPr>
          <w:rFonts w:ascii="Sakkal Majalla" w:hAnsi="Sakkal Majalla" w:cs="Sakkal Majalla"/>
          <w:b/>
          <w:color w:val="000000" w:themeColor="text1"/>
          <w:sz w:val="28"/>
          <w:szCs w:val="28"/>
          <w:rtl/>
          <w:lang w:val="en-US"/>
          <w14:textFill>
            <w14:solidFill>
              <w14:schemeClr w14:val="tx1"/>
            </w14:solidFill>
          </w14:textFill>
        </w:rPr>
        <w:t>وآخرون</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(2022)</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أن أهداف نجاح المشاريع الكبرى تتجسد في</w:t>
      </w:r>
      <w:r>
        <w:rPr>
          <w:rFonts w:ascii="Sakkal Majalla" w:hAnsi="Sakkal Majalla" w:cs="Sakkal Majalla"/>
          <w:b/>
          <w:color w:val="000000" w:themeColor="text1"/>
          <w:sz w:val="28"/>
          <w:szCs w:val="28"/>
          <w:lang w:val="en-US"/>
          <w14:textFill>
            <w14:solidFill>
              <w14:schemeClr w14:val="tx1"/>
            </w14:solidFill>
          </w14:textFill>
        </w:rPr>
        <w:t>:</w:t>
      </w:r>
    </w:p>
    <w:p w14:paraId="255D304F">
      <w:pPr>
        <w:numPr>
          <w:ilvl w:val="0"/>
          <w:numId w:val="27"/>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الإسهام في تحقيق التنمية الاقتصادية والاجتماعية عبر توفير فرص جديدة للنمو</w:t>
      </w:r>
      <w:r>
        <w:rPr>
          <w:rFonts w:ascii="Sakkal Majalla" w:hAnsi="Sakkal Majalla" w:cs="Sakkal Majalla"/>
          <w:b/>
          <w:color w:val="000000" w:themeColor="text1"/>
          <w:sz w:val="28"/>
          <w:szCs w:val="28"/>
          <w:lang w:val="en-US"/>
          <w14:textFill>
            <w14:solidFill>
              <w14:schemeClr w14:val="tx1"/>
            </w14:solidFill>
          </w14:textFill>
        </w:rPr>
        <w:t>.</w:t>
      </w:r>
    </w:p>
    <w:p w14:paraId="03130DF6">
      <w:pPr>
        <w:numPr>
          <w:ilvl w:val="0"/>
          <w:numId w:val="27"/>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تعزيز الابتكار المؤسسي من خلال تطوير أساليب جديدة للعمل وتحسين العمليات</w:t>
      </w:r>
      <w:r>
        <w:rPr>
          <w:rFonts w:ascii="Sakkal Majalla" w:hAnsi="Sakkal Majalla" w:cs="Sakkal Majalla"/>
          <w:b/>
          <w:color w:val="000000" w:themeColor="text1"/>
          <w:sz w:val="28"/>
          <w:szCs w:val="28"/>
          <w:lang w:val="en-US"/>
          <w14:textFill>
            <w14:solidFill>
              <w14:schemeClr w14:val="tx1"/>
            </w14:solidFill>
          </w14:textFill>
        </w:rPr>
        <w:t>.</w:t>
      </w:r>
    </w:p>
    <w:p w14:paraId="0D0B3FE2">
      <w:pPr>
        <w:numPr>
          <w:ilvl w:val="0"/>
          <w:numId w:val="27"/>
        </w:numPr>
        <w:pBdr>
          <w:top w:val="none" w:color="auto" w:sz="0" w:space="0"/>
          <w:left w:val="none" w:color="auto" w:sz="0" w:space="0"/>
          <w:bottom w:val="none" w:color="auto" w:sz="0" w:space="0"/>
          <w:right w:val="none" w:color="auto" w:sz="0" w:space="0"/>
          <w:between w:val="none" w:color="auto" w:sz="0" w:space="0"/>
        </w:pBdr>
        <w:tabs>
          <w:tab w:val="left" w:pos="423"/>
          <w:tab w:val="clear" w:pos="720"/>
        </w:tabs>
        <w:spacing w:before="100" w:beforeAutospacing="1" w:after="100" w:afterAutospacing="1" w:line="360" w:lineRule="auto"/>
        <w:ind w:left="423"/>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دعم استمرارية الاستفادة من نتائج المشروع على المدى الطويل، بما يضمن استدامة أثره</w:t>
      </w:r>
      <w:r>
        <w:rPr>
          <w:rFonts w:ascii="Sakkal Majalla" w:hAnsi="Sakkal Majalla" w:cs="Sakkal Majalla"/>
          <w:b/>
          <w:color w:val="000000" w:themeColor="text1"/>
          <w:sz w:val="28"/>
          <w:szCs w:val="28"/>
          <w:lang w:val="en-US"/>
          <w14:textFill>
            <w14:solidFill>
              <w14:schemeClr w14:val="tx1"/>
            </w14:solidFill>
          </w14:textFill>
        </w:rPr>
        <w:t>.</w:t>
      </w:r>
    </w:p>
    <w:p w14:paraId="56246145">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jc w:val="both"/>
        <w:outlineLvl w:val="2"/>
        <w:rPr>
          <w:rFonts w:ascii="Sakkal Majalla" w:hAnsi="Sakkal Majalla" w:cs="Sakkal Majalla"/>
          <w:bCs/>
          <w:color w:val="000000" w:themeColor="text1"/>
          <w:sz w:val="32"/>
          <w:szCs w:val="32"/>
          <w:lang w:val="en-US"/>
          <w14:textFill>
            <w14:solidFill>
              <w14:schemeClr w14:val="tx1"/>
            </w14:solidFill>
          </w14:textFill>
        </w:rPr>
      </w:pPr>
      <w:bookmarkStart w:id="55" w:name="_Toc211696039"/>
      <w:r>
        <w:rPr>
          <w:rFonts w:hint="cs" w:ascii="Sakkal Majalla" w:hAnsi="Sakkal Majalla" w:cs="Sakkal Majalla"/>
          <w:bCs/>
          <w:color w:val="000000" w:themeColor="text1"/>
          <w:sz w:val="32"/>
          <w:szCs w:val="32"/>
          <w:rtl/>
          <w:lang w:val="en-US" w:bidi="ar-EG"/>
          <w14:textFill>
            <w14:solidFill>
              <w14:schemeClr w14:val="tx1"/>
            </w14:solidFill>
          </w14:textFill>
        </w:rPr>
        <w:t xml:space="preserve">5.2.2 </w:t>
      </w:r>
      <w:r>
        <w:rPr>
          <w:rFonts w:ascii="Sakkal Majalla" w:hAnsi="Sakkal Majalla" w:cs="Sakkal Majalla"/>
          <w:bCs/>
          <w:color w:val="000000" w:themeColor="text1"/>
          <w:sz w:val="32"/>
          <w:szCs w:val="32"/>
          <w:rtl/>
          <w:lang w:val="en-US"/>
          <w14:textFill>
            <w14:solidFill>
              <w14:schemeClr w14:val="tx1"/>
            </w14:solidFill>
          </w14:textFill>
        </w:rPr>
        <w:t>النماذج والمعايير العالمية لقياس نجاح المشاريع</w:t>
      </w:r>
      <w:bookmarkEnd w:id="55"/>
    </w:p>
    <w:p w14:paraId="4CB47EC4">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لقد حظي موضوع قياس نجاح المشاريع باهتمام واسع من الباحثين والممارسين في حقل إدارة المشاريع، إذ برزت عدة نماذج ومعايير عالمية سعت إلى وضع أطر مرجعية لتحديد متى يمكن اعتبار المشروع ناجحًا، وما هي الأبعاد والمعايير التي ينبغي قياسها، وقد ساهمت هذه النماذج في الانتقال من النظرة التقليدية لنجاح المشاريع التي كانت تقصره على عناصر الوقت والتكلفة والجودة إلى منظور أوسع يشمل الأبعاد الاستراتيجية والتنظيمية والاجتماعية</w:t>
      </w:r>
      <w:r>
        <w:rPr>
          <w:rFonts w:ascii="Sakkal Majalla" w:hAnsi="Sakkal Majalla" w:cs="Sakkal Majalla"/>
          <w:b/>
          <w:color w:val="000000" w:themeColor="text1"/>
          <w:sz w:val="28"/>
          <w:szCs w:val="28"/>
          <w:lang w:val="en-US"/>
          <w14:textFill>
            <w14:solidFill>
              <w14:schemeClr w14:val="tx1"/>
            </w14:solidFill>
          </w14:textFill>
        </w:rPr>
        <w:t>.</w:t>
      </w:r>
    </w:p>
    <w:p w14:paraId="436FF1DB">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فمن أبرز هذه النماذج مثلث الحديد</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hint="cs" w:ascii="Sakkal Majalla" w:hAnsi="Sakkal Majalla" w:cs="Sakkal Majalla"/>
          <w:bCs/>
          <w:color w:val="000000" w:themeColor="text1"/>
          <w:sz w:val="28"/>
          <w:szCs w:val="28"/>
          <w:lang w:val="en-US" w:bidi="ar-EG"/>
          <w14:textFill>
            <w14:solidFill>
              <w14:schemeClr w14:val="tx1"/>
            </w14:solidFill>
          </w14:textFill>
        </w:rPr>
        <w:t>(Iron Triangle)</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الذي يُعد من أقدم الأدوات التي صاغت مفهوم النجاح في المشاريع، حيث يركز على ثلاثة أبعاد رئيسية</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الالتزام بالوقت، الالتزام بالتكلفة، وتحقيق الجودة،</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وعلى الرغم من الانتقادات التي وُجهت إليه باعتباره ضيق الأفق ويغفل الجوانب الاستراتيجية طويلة المدى، إلا أنه لا يزال يُستخدم كمعيار أساسي لتقييم الأداء التشغيلي للمشاريع (العزاوي والجبوري، 2022)</w:t>
      </w:r>
      <w:r>
        <w:rPr>
          <w:rFonts w:ascii="Sakkal Majalla" w:hAnsi="Sakkal Majalla" w:cs="Sakkal Majalla"/>
          <w:b/>
          <w:color w:val="000000" w:themeColor="text1"/>
          <w:sz w:val="28"/>
          <w:szCs w:val="28"/>
          <w:lang w:val="en-US"/>
          <w14:textFill>
            <w14:solidFill>
              <w14:schemeClr w14:val="tx1"/>
            </w14:solidFill>
          </w14:textFill>
        </w:rPr>
        <w:t>.</w:t>
      </w:r>
    </w:p>
    <w:p w14:paraId="389E316E">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كما قدم معهد إدارة المشاريع</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hint="cs" w:ascii="Sakkal Majalla" w:hAnsi="Sakkal Majalla" w:cs="Sakkal Majalla"/>
          <w:bCs/>
          <w:color w:val="000000" w:themeColor="text1"/>
          <w:sz w:val="28"/>
          <w:szCs w:val="28"/>
          <w:lang w:val="en-US" w:bidi="ar-EG"/>
          <w14:textFill>
            <w14:solidFill>
              <w14:schemeClr w14:val="tx1"/>
            </w14:solidFill>
          </w14:textFill>
        </w:rPr>
        <w:t>(PMI)</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من خلال دليل إدارة المشاريع</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(PMBOK)</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إطارًا أكثر شمولية، حيث اعتبر أن نجاح المشروع لا يقتصر على الأبعاد التشغيلية فقط، وإنما يتضمن أيضًا رضا أصحاب المصلحة، واستدامة مخرجات المشروع، وتحقيق الأهداف الاستراتيجية للمؤسسة،</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وقد أصبح هذا النموذج معتمداً في عدد من الدراسات الأكاديمية التي سعت إلى ربط نجاح المشاريع برؤية المؤسسات وأهدافها الكبرى، خاصة في البيئات الحكومية (أحمد ومهدي، 2024)</w:t>
      </w:r>
      <w:r>
        <w:rPr>
          <w:rFonts w:ascii="Sakkal Majalla" w:hAnsi="Sakkal Majalla" w:cs="Sakkal Majalla"/>
          <w:b/>
          <w:color w:val="000000" w:themeColor="text1"/>
          <w:sz w:val="28"/>
          <w:szCs w:val="28"/>
          <w:lang w:val="en-US"/>
          <w14:textFill>
            <w14:solidFill>
              <w14:schemeClr w14:val="tx1"/>
            </w14:solidFill>
          </w14:textFill>
        </w:rPr>
        <w:t>.</w:t>
      </w:r>
    </w:p>
    <w:p w14:paraId="27DB1EC1">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أما النموذج الأوروبي لإدارة الجودة</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(EFQM)</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 xml:space="preserve">ومعايير </w:t>
      </w:r>
      <w:r>
        <w:rPr>
          <w:rFonts w:ascii="Sakkal Majalla" w:hAnsi="Sakkal Majalla" w:cs="Sakkal Majalla"/>
          <w:bCs/>
          <w:color w:val="000000" w:themeColor="text1"/>
          <w:sz w:val="28"/>
          <w:szCs w:val="28"/>
          <w:lang w:val="en-US"/>
          <w14:textFill>
            <w14:solidFill>
              <w14:schemeClr w14:val="tx1"/>
            </w14:solidFill>
          </w14:textFill>
        </w:rPr>
        <w:t>Baldrige</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فقد وسعا من نطاق تقييم النجاح ليشمل معايير الابتكار، والقيمة المضافة، والقدرة على التكيف مع التغيرات، إضافة إلى التركيز على القيادة، وإدارة الموارد، والنتائج المحققة على صعيد المستفيدين الداخليين والخارجيين،</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ويُنظر إلى هذه النماذج باعتبارها أدوات استراتيجية تعكس مدى قدرة المشروع على الإسهام في التميز المؤسسي وتحقيق الميزة التنافسية المستدامة (بكوش وبوغازي، 2022)</w:t>
      </w:r>
      <w:r>
        <w:rPr>
          <w:rFonts w:ascii="Sakkal Majalla" w:hAnsi="Sakkal Majalla" w:cs="Sakkal Majalla"/>
          <w:b/>
          <w:color w:val="000000" w:themeColor="text1"/>
          <w:sz w:val="28"/>
          <w:szCs w:val="28"/>
          <w:lang w:val="en-US"/>
          <w14:textFill>
            <w14:solidFill>
              <w14:schemeClr w14:val="tx1"/>
            </w14:solidFill>
          </w14:textFill>
        </w:rPr>
        <w:t>.</w:t>
      </w:r>
    </w:p>
    <w:p w14:paraId="1C37AB21">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ويرى بعض الباحثين أن هذه النماذج والمعايير لا تُستخدم على نحو منفصل، بل يتم دمجها أحيانًا في أدوات هجينة تراعي خصوصية بيئة المشروع، فقد أشار</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hint="cs" w:ascii="Sakkal Majalla" w:hAnsi="Sakkal Majalla" w:cs="Sakkal Majalla"/>
          <w:bCs/>
          <w:color w:val="000000" w:themeColor="text1"/>
          <w:sz w:val="28"/>
          <w:szCs w:val="28"/>
          <w:lang w:val="en-US" w:bidi="ar-EG"/>
          <w14:textFill>
            <w14:solidFill>
              <w14:schemeClr w14:val="tx1"/>
            </w14:solidFill>
          </w14:textFill>
        </w:rPr>
        <w:t xml:space="preserve">Ciric Lalic </w:t>
      </w:r>
      <w:r>
        <w:rPr>
          <w:rFonts w:ascii="Sakkal Majalla" w:hAnsi="Sakkal Majalla" w:cs="Sakkal Majalla"/>
          <w:b/>
          <w:color w:val="000000" w:themeColor="text1"/>
          <w:sz w:val="28"/>
          <w:szCs w:val="28"/>
          <w:rtl/>
          <w:lang w:val="en-US"/>
          <w14:textFill>
            <w14:solidFill>
              <w14:schemeClr w14:val="tx1"/>
            </w14:solidFill>
          </w14:textFill>
        </w:rPr>
        <w:t>وآخرون (2022) إلى أن الجمع بين منهجيات الإدارة التقليدية والرشاقة</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(Agile)</w:t>
      </w:r>
      <w:r>
        <w:rPr>
          <w:rFonts w:ascii="Sakkal Majalla" w:hAnsi="Sakkal Majalla" w:cs="Sakkal Majalla"/>
          <w:b/>
          <w:color w:val="000000" w:themeColor="text1"/>
          <w:sz w:val="28"/>
          <w:szCs w:val="28"/>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أفرز مقاييس أكثر مرونة في الحكم على النجاح، حيث يتم الربط بين الإنجاز التشغيلي والاستجابة لمتطلبات أصحاب المصلحة المتغيرة</w:t>
      </w:r>
      <w:r>
        <w:rPr>
          <w:rFonts w:ascii="Sakkal Majalla" w:hAnsi="Sakkal Majalla" w:cs="Sakkal Majalla"/>
          <w:b/>
          <w:color w:val="000000" w:themeColor="text1"/>
          <w:sz w:val="28"/>
          <w:szCs w:val="28"/>
          <w:lang w:val="en-US"/>
          <w14:textFill>
            <w14:solidFill>
              <w14:schemeClr w14:val="tx1"/>
            </w14:solidFill>
          </w14:textFill>
        </w:rPr>
        <w:t>.</w:t>
      </w:r>
    </w:p>
    <w:p w14:paraId="1EACE2BD">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من جهة أخرى، ساهمت التطورات الحديثة في التحول الرقمي وإدارة المخاطر في إعادة تعريف مؤشرات نجاح المشاريع، بحيث لم يعد النجاح محصورًا في تحقيق مثلث الحديد، وإنما أصبح مشروطًا بقدرة المشروع على الصمود أمام المخاطر، واستيعاب التقنيات الرقمية، وتحقيق الاستدامة،</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وهو ما يؤكده</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Cs/>
          <w:color w:val="000000" w:themeColor="text1"/>
          <w:sz w:val="28"/>
          <w:szCs w:val="28"/>
          <w:lang w:val="en-US"/>
          <w14:textFill>
            <w14:solidFill>
              <w14:schemeClr w14:val="tx1"/>
            </w14:solidFill>
          </w14:textFill>
        </w:rPr>
        <w:t xml:space="preserve">Hohenstein (2022) </w:t>
      </w:r>
      <w:r>
        <w:rPr>
          <w:rFonts w:ascii="Sakkal Majalla" w:hAnsi="Sakkal Majalla" w:cs="Sakkal Majalla"/>
          <w:b/>
          <w:color w:val="000000" w:themeColor="text1"/>
          <w:sz w:val="28"/>
          <w:szCs w:val="28"/>
          <w:rtl/>
          <w:lang w:val="en-US"/>
          <w14:textFill>
            <w14:solidFill>
              <w14:schemeClr w14:val="tx1"/>
            </w14:solidFill>
          </w14:textFill>
        </w:rPr>
        <w:t>في دراسته حول سلاسل الإمداد خلال جائحة كورونا، حيث أوضح أن المشاريع التي تبنت مقاييس مرنة وشاملة للنجاح تمكنت من تعزيز استمراريتها رغم الأزمات</w:t>
      </w:r>
      <w:r>
        <w:rPr>
          <w:rFonts w:ascii="Sakkal Majalla" w:hAnsi="Sakkal Majalla" w:cs="Sakkal Majalla"/>
          <w:b/>
          <w:color w:val="000000" w:themeColor="text1"/>
          <w:sz w:val="28"/>
          <w:szCs w:val="28"/>
          <w:lang w:val="en-US"/>
          <w14:textFill>
            <w14:solidFill>
              <w14:schemeClr w14:val="tx1"/>
            </w14:solidFill>
          </w14:textFill>
        </w:rPr>
        <w:t>.</w:t>
      </w:r>
    </w:p>
    <w:p w14:paraId="698326A7">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360" w:lineRule="auto"/>
        <w:ind w:firstLine="706"/>
        <w:jc w:val="both"/>
        <w:rPr>
          <w:rFonts w:ascii="Sakkal Majalla" w:hAnsi="Sakkal Majalla" w:cs="Sakkal Majalla"/>
          <w:b/>
          <w:color w:val="000000" w:themeColor="text1"/>
          <w:sz w:val="28"/>
          <w:szCs w:val="28"/>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t>وعليه يمكن القول إن النماذج والمعايير العالمية لتقييم نجاح المشاريع تمثل تدرجًا معرفيًا وتطوريًا انتقل من التركيز الضيق على التكلفة والوقت والجودة، إلى نظرة أكثر شمولية تشمل الأبعاد الاستراتيجية والتنظيمية والمجتمعية</w:t>
      </w:r>
      <w:r>
        <w:rPr>
          <w:rFonts w:ascii="Sakkal Majalla" w:hAnsi="Sakkal Majalla" w:cs="Sakkal Majalla"/>
          <w:b/>
          <w:color w:val="000000" w:themeColor="text1"/>
          <w:sz w:val="28"/>
          <w:szCs w:val="28"/>
          <w:rtl/>
          <w:lang w:val="en-US" w:bidi="ar-EG"/>
          <w14:textFill>
            <w14:solidFill>
              <w14:schemeClr w14:val="tx1"/>
            </w14:solidFill>
          </w14:textFill>
        </w:rPr>
        <w:t>، و</w:t>
      </w:r>
      <w:r>
        <w:rPr>
          <w:rFonts w:ascii="Sakkal Majalla" w:hAnsi="Sakkal Majalla" w:cs="Sakkal Majalla"/>
          <w:b/>
          <w:bCs/>
          <w:color w:val="000000" w:themeColor="text1"/>
          <w:sz w:val="28"/>
          <w:szCs w:val="28"/>
          <w:rtl/>
          <w:lang w:val="en-US"/>
          <w14:textFill>
            <w14:solidFill>
              <w14:schemeClr w14:val="tx1"/>
            </w14:solidFill>
          </w14:textFill>
        </w:rPr>
        <w:t xml:space="preserve"> </w:t>
      </w:r>
      <w:r>
        <w:rPr>
          <w:rFonts w:ascii="Sakkal Majalla" w:hAnsi="Sakkal Majalla" w:cs="Sakkal Majalla"/>
          <w:b/>
          <w:color w:val="000000" w:themeColor="text1"/>
          <w:sz w:val="28"/>
          <w:szCs w:val="28"/>
          <w:rtl/>
          <w:lang w:val="en-US"/>
          <w14:textFill>
            <w14:solidFill>
              <w14:schemeClr w14:val="tx1"/>
            </w14:solidFill>
          </w14:textFill>
        </w:rPr>
        <w:t>وهذا التطور يتوافق مع متطلبات المشاريع الكبرى في إطار رؤية المملكة 2030، حيث لا يكفي أن ينجز المشروع في الوقت المحدد وضمن الميزانية، بل يجب أن يسهم في تحقيق أهداف التنمية الوطنية وتعزيز القيمة المضافة للمجتمع والاقتصاد</w:t>
      </w:r>
      <w:r>
        <w:rPr>
          <w:rFonts w:ascii="Sakkal Majalla" w:hAnsi="Sakkal Majalla" w:cs="Sakkal Majalla"/>
          <w:b/>
          <w:color w:val="000000" w:themeColor="text1"/>
          <w:sz w:val="28"/>
          <w:szCs w:val="28"/>
          <w:lang w:val="en-US"/>
          <w14:textFill>
            <w14:solidFill>
              <w14:schemeClr w14:val="tx1"/>
            </w14:solidFill>
          </w14:textFill>
        </w:rPr>
        <w:t>.</w:t>
      </w:r>
    </w:p>
    <w:p w14:paraId="66F57AC3">
      <w:pPr>
        <w:rPr>
          <w:rFonts w:ascii="Sakkal Majalla" w:hAnsi="Sakkal Majalla" w:cs="Sakkal Majalla"/>
          <w:b/>
          <w:color w:val="000000" w:themeColor="text1"/>
          <w:sz w:val="28"/>
          <w:szCs w:val="28"/>
          <w:rtl/>
          <w:lang w:val="en-US"/>
          <w14:textFill>
            <w14:solidFill>
              <w14:schemeClr w14:val="tx1"/>
            </w14:solidFill>
          </w14:textFill>
        </w:rPr>
      </w:pPr>
      <w:r>
        <w:rPr>
          <w:rFonts w:ascii="Sakkal Majalla" w:hAnsi="Sakkal Majalla" w:cs="Sakkal Majalla"/>
          <w:b/>
          <w:color w:val="000000" w:themeColor="text1"/>
          <w:sz w:val="28"/>
          <w:szCs w:val="28"/>
          <w:rtl/>
          <w:lang w:val="en-US"/>
          <w14:textFill>
            <w14:solidFill>
              <w14:schemeClr w14:val="tx1"/>
            </w14:solidFill>
          </w14:textFill>
        </w:rPr>
        <w:br w:type="page"/>
      </w:r>
    </w:p>
    <w:p w14:paraId="1CC48193">
      <w:pPr>
        <w:spacing w:before="100" w:beforeAutospacing="1" w:after="100" w:afterAutospacing="1" w:line="360" w:lineRule="auto"/>
        <w:ind w:left="720"/>
        <w:jc w:val="center"/>
        <w:rPr>
          <w:rFonts w:cs="Sakkal Majalla"/>
          <w:b/>
          <w:bCs/>
          <w:color w:val="000000" w:themeColor="text1"/>
          <w:szCs w:val="28"/>
          <w:rtl/>
          <w14:textFill>
            <w14:solidFill>
              <w14:schemeClr w14:val="tx1"/>
            </w14:solidFill>
          </w14:textFill>
        </w:rPr>
        <w:sectPr>
          <w:footerReference r:id="rId6" w:type="default"/>
          <w:pgSz w:w="11906" w:h="16838"/>
          <w:pgMar w:top="1440" w:right="1985" w:bottom="1440" w:left="1418" w:header="720" w:footer="720" w:gutter="567"/>
          <w:pgNumType w:start="1"/>
          <w:cols w:space="720" w:num="1"/>
          <w:bidi/>
          <w:rtlGutter w:val="1"/>
        </w:sectPr>
      </w:pPr>
    </w:p>
    <w:p w14:paraId="23C47645">
      <w:pPr>
        <w:bidi w:val="0"/>
        <w:spacing w:before="100" w:beforeAutospacing="1" w:after="100" w:afterAutospacing="1" w:line="360" w:lineRule="auto"/>
        <w:jc w:val="both"/>
        <w:rPr>
          <w:rFonts w:ascii="Sakkal Majalla" w:hAnsi="Sakkal Majalla" w:eastAsia="Simplified Arabic" w:cs="Sakkal Majalla"/>
          <w:b/>
          <w:color w:val="000000" w:themeColor="text1"/>
          <w:sz w:val="24"/>
          <w:szCs w:val="24"/>
          <w14:textFill>
            <w14:solidFill>
              <w14:schemeClr w14:val="tx1"/>
            </w14:solidFill>
          </w14:textFill>
        </w:rPr>
      </w:pPr>
      <w:r>
        <w:rPr>
          <w:rFonts w:ascii="Sakkal Majalla" w:hAnsi="Sakkal Majalla" w:cs="Sakkal Majalla"/>
          <w:b/>
          <w:color w:val="000000" w:themeColor="text1"/>
          <w:sz w:val="24"/>
          <w:szCs w:val="24"/>
          <w:lang w:val="en-US"/>
          <w14:textFill>
            <w14:solidFill>
              <w14:schemeClr w14:val="tx1"/>
            </w14:solidFill>
          </w14:textFill>
        </w:rPr>
        <w:drawing>
          <wp:anchor distT="0" distB="0" distL="114300" distR="114300" simplePos="0" relativeHeight="251663360" behindDoc="0" locked="0" layoutInCell="1" allowOverlap="1">
            <wp:simplePos x="0" y="0"/>
            <wp:positionH relativeFrom="margin">
              <wp:posOffset>3972560</wp:posOffset>
            </wp:positionH>
            <wp:positionV relativeFrom="paragraph">
              <wp:posOffset>-171450</wp:posOffset>
            </wp:positionV>
            <wp:extent cx="1885950" cy="1281430"/>
            <wp:effectExtent l="0" t="0" r="0" b="13970"/>
            <wp:wrapSquare wrapText="bothSides"/>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referRelativeResize="0"/>
                  </pic:nvPicPr>
                  <pic:blipFill>
                    <a:blip r:embed="rId10"/>
                    <a:srcRect/>
                    <a:stretch>
                      <a:fillRect/>
                    </a:stretch>
                  </pic:blipFill>
                  <pic:spPr>
                    <a:xfrm>
                      <a:off x="0" y="0"/>
                      <a:ext cx="1885950" cy="1281430"/>
                    </a:xfrm>
                    <a:prstGeom prst="rect">
                      <a:avLst/>
                    </a:prstGeom>
                  </pic:spPr>
                </pic:pic>
              </a:graphicData>
            </a:graphic>
          </wp:anchor>
        </w:drawing>
      </w:r>
      <w:r>
        <w:rPr>
          <w:rFonts w:ascii="Sakkal Majalla" w:hAnsi="Sakkal Majalla" w:eastAsia="Simplified Arabic" w:cs="Sakkal Majalla"/>
          <w:b/>
          <w:color w:val="000000" w:themeColor="text1"/>
          <w:sz w:val="24"/>
          <w:szCs w:val="24"/>
          <w14:textFill>
            <w14:solidFill>
              <w14:schemeClr w14:val="tx1"/>
            </w14:solidFill>
          </w14:textFill>
        </w:rPr>
        <w:t>Mid-Ocean University</w:t>
      </w:r>
    </w:p>
    <w:p w14:paraId="42FA016B">
      <w:pPr>
        <w:bidi w:val="0"/>
        <w:spacing w:before="100" w:beforeAutospacing="1" w:after="100" w:afterAutospacing="1" w:line="360" w:lineRule="auto"/>
        <w:jc w:val="left"/>
        <w:rPr>
          <w:rFonts w:ascii="Sakkal Majalla" w:hAnsi="Sakkal Majalla" w:eastAsia="Simplified Arabic" w:cs="Sakkal Majalla"/>
          <w:b/>
          <w:color w:val="000000" w:themeColor="text1"/>
          <w:sz w:val="24"/>
          <w:szCs w:val="24"/>
          <w14:textFill>
            <w14:solidFill>
              <w14:schemeClr w14:val="tx1"/>
            </w14:solidFill>
          </w14:textFill>
        </w:rPr>
      </w:pPr>
      <w:r>
        <w:rPr>
          <w:rFonts w:ascii="Sakkal Majalla" w:hAnsi="Sakkal Majalla" w:eastAsia="Simplified Arabic" w:cs="Sakkal Majalla"/>
          <w:b/>
          <w:color w:val="000000" w:themeColor="text1"/>
          <w:sz w:val="24"/>
          <w:szCs w:val="24"/>
          <w14:textFill>
            <w14:solidFill>
              <w14:schemeClr w14:val="tx1"/>
            </w14:solidFill>
          </w14:textFill>
        </w:rPr>
        <w:t>College</w:t>
      </w:r>
      <w:r>
        <w:rPr>
          <w:rFonts w:hint="default" w:ascii="Sakkal Majalla" w:hAnsi="Sakkal Majalla" w:eastAsia="Simplified Arabic" w:cs="Sakkal Majalla"/>
          <w:b/>
          <w:color w:val="000000" w:themeColor="text1"/>
          <w:sz w:val="24"/>
          <w:szCs w:val="24"/>
          <w:lang w:val="en-US"/>
          <w14:textFill>
            <w14:solidFill>
              <w14:schemeClr w14:val="tx1"/>
            </w14:solidFill>
          </w14:textFill>
        </w:rPr>
        <w:t xml:space="preserve"> </w:t>
      </w:r>
      <w:r>
        <w:rPr>
          <w:rFonts w:ascii="Sakkal Majalla" w:hAnsi="Sakkal Majalla" w:eastAsia="Simplified Arabic" w:cs="Sakkal Majalla"/>
          <w:b/>
          <w:color w:val="000000" w:themeColor="text1"/>
          <w:sz w:val="24"/>
          <w:szCs w:val="24"/>
          <w14:textFill>
            <w14:solidFill>
              <w14:schemeClr w14:val="tx1"/>
            </w14:solidFill>
          </w14:textFill>
        </w:rPr>
        <w:t>of Management</w:t>
      </w:r>
    </w:p>
    <w:p w14:paraId="26C114B6">
      <w:pPr>
        <w:bidi w:val="0"/>
        <w:spacing w:before="100" w:beforeAutospacing="1" w:after="100" w:afterAutospacing="1" w:line="360" w:lineRule="auto"/>
        <w:jc w:val="left"/>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4"/>
          <w:szCs w:val="24"/>
          <w14:textFill>
            <w14:solidFill>
              <w14:schemeClr w14:val="tx1"/>
            </w14:solidFill>
          </w14:textFill>
        </w:rPr>
        <w:t xml:space="preserve">Department of project </w:t>
      </w:r>
      <w:r>
        <w:rPr>
          <w:rFonts w:ascii="Sakkal Majalla" w:hAnsi="Sakkal Majalla" w:eastAsia="Simplified Arabic" w:cs="Sakkal Majalla"/>
          <w:b/>
          <w:color w:val="000000" w:themeColor="text1"/>
          <w:sz w:val="24"/>
          <w:szCs w:val="24"/>
          <w:lang w:val="en-US"/>
          <w14:textFill>
            <w14:solidFill>
              <w14:schemeClr w14:val="tx1"/>
            </w14:solidFill>
          </w14:textFill>
        </w:rPr>
        <w:t>management</w:t>
      </w:r>
      <w:bookmarkStart w:id="56" w:name="_GoBack"/>
      <w:bookmarkEnd w:id="56"/>
    </w:p>
    <w:p w14:paraId="526263AF">
      <w:pPr>
        <w:bidi w:val="0"/>
        <w:spacing w:before="100" w:beforeAutospacing="1" w:after="100" w:afterAutospacing="1" w:line="360" w:lineRule="auto"/>
        <w:jc w:val="center"/>
        <w:rPr>
          <w:rFonts w:ascii="Sakkal Majalla" w:hAnsi="Sakkal Majalla" w:eastAsia="Simplified Arabic" w:cs="Sakkal Majalla"/>
          <w:b/>
          <w:color w:val="000000" w:themeColor="text1"/>
          <w:sz w:val="32"/>
          <w:szCs w:val="32"/>
          <w14:textFill>
            <w14:solidFill>
              <w14:schemeClr w14:val="tx1"/>
            </w14:solidFill>
          </w14:textFill>
        </w:rPr>
      </w:pPr>
      <w:r>
        <w:rPr>
          <w:rFonts w:ascii="Sakkal Majalla" w:hAnsi="Sakkal Majalla" w:eastAsia="Simplified Arabic" w:cs="Sakkal Majalla"/>
          <w:b/>
          <w:color w:val="000000" w:themeColor="text1"/>
          <w:sz w:val="32"/>
          <w:szCs w:val="32"/>
          <w14:textFill>
            <w14:solidFill>
              <w14:schemeClr w14:val="tx1"/>
            </w14:solidFill>
          </w14:textFill>
        </w:rPr>
        <w:t>"</w:t>
      </w:r>
      <w:r>
        <w:rPr>
          <w:rFonts w:ascii="Sakkal Majalla" w:hAnsi="Sakkal Majalla" w:cs="Sakkal Majalla"/>
          <w:b/>
          <w:color w:val="000000" w:themeColor="text1"/>
          <w:sz w:val="32"/>
          <w:szCs w:val="32"/>
          <w14:textFill>
            <w14:solidFill>
              <w14:schemeClr w14:val="tx1"/>
            </w14:solidFill>
          </w14:textFill>
        </w:rPr>
        <w:t>The</w:t>
      </w:r>
      <w:r>
        <w:rPr>
          <w:rFonts w:ascii="Sakkal Majalla" w:hAnsi="Sakkal Majalla" w:eastAsia="Simplified Arabic" w:cs="Sakkal Majalla"/>
          <w:b/>
          <w:color w:val="000000" w:themeColor="text1"/>
          <w:sz w:val="32"/>
          <w:szCs w:val="32"/>
          <w14:textFill>
            <w14:solidFill>
              <w14:schemeClr w14:val="tx1"/>
            </w14:solidFill>
          </w14:textFill>
        </w:rPr>
        <w:t xml:space="preserve"> Impact of Risk Management on the Success of Major Projects Under the Saudi Vision 2030: An Applied Study of Government Projects in the Kingdom of Saudi Arabia"</w:t>
      </w:r>
    </w:p>
    <w:p w14:paraId="06810147">
      <w:pPr>
        <w:bidi w:val="0"/>
        <w:spacing w:before="100" w:beforeAutospacing="1" w:after="100" w:afterAutospacing="1" w:line="360" w:lineRule="auto"/>
        <w:jc w:val="both"/>
        <w:rPr>
          <w:rFonts w:ascii="Sakkal Majalla" w:hAnsi="Sakkal Majalla" w:eastAsia="Simplified Arabic" w:cs="Sakkal Majalla"/>
          <w:b/>
          <w:color w:val="000000" w:themeColor="text1"/>
          <w:sz w:val="40"/>
          <w:szCs w:val="40"/>
          <w14:textFill>
            <w14:solidFill>
              <w14:schemeClr w14:val="tx1"/>
            </w14:solidFill>
          </w14:textFill>
        </w:rPr>
      </w:pPr>
    </w:p>
    <w:p w14:paraId="239716A1">
      <w:pPr>
        <w:bidi w:val="0"/>
        <w:spacing w:before="100" w:beforeAutospacing="1" w:after="100" w:afterAutospacing="1" w:line="360" w:lineRule="auto"/>
        <w:jc w:val="center"/>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14:textFill>
            <w14:solidFill>
              <w14:schemeClr w14:val="tx1"/>
            </w14:solidFill>
          </w14:textFill>
        </w:rPr>
        <w:t>Preparation:</w:t>
      </w:r>
    </w:p>
    <w:p w14:paraId="764BE119">
      <w:pPr>
        <w:bidi w:val="0"/>
        <w:spacing w:before="100" w:beforeAutospacing="1" w:after="100" w:afterAutospacing="1" w:line="360" w:lineRule="auto"/>
        <w:jc w:val="center"/>
        <w:rPr>
          <w:rFonts w:ascii="Sakkal Majalla" w:hAnsi="Sakkal Majalla" w:eastAsia="Simplified Arabic" w:cs="Sakkal Majalla"/>
          <w:b/>
          <w:color w:val="000000" w:themeColor="text1"/>
          <w:sz w:val="28"/>
          <w:szCs w:val="28"/>
          <w:rtl/>
          <w14:textFill>
            <w14:solidFill>
              <w14:schemeClr w14:val="tx1"/>
            </w14:solidFill>
          </w14:textFill>
        </w:rPr>
      </w:pPr>
      <w:r>
        <w:rPr>
          <w:rFonts w:ascii="Sakkal Majalla" w:hAnsi="Sakkal Majalla" w:eastAsia="Simplified Arabic" w:cs="Sakkal Majalla"/>
          <w:b/>
          <w:color w:val="000000" w:themeColor="text1"/>
          <w:sz w:val="28"/>
          <w:szCs w:val="28"/>
          <w14:textFill>
            <w14:solidFill>
              <w14:schemeClr w14:val="tx1"/>
            </w14:solidFill>
          </w14:textFill>
        </w:rPr>
        <w:t>Abdulrahman Awad Sawelih</w:t>
      </w:r>
    </w:p>
    <w:p w14:paraId="58076847">
      <w:pPr>
        <w:bidi w:val="0"/>
        <w:spacing w:before="100" w:beforeAutospacing="1" w:after="100" w:afterAutospacing="1" w:line="360" w:lineRule="auto"/>
        <w:jc w:val="center"/>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14:textFill>
            <w14:solidFill>
              <w14:schemeClr w14:val="tx1"/>
            </w14:solidFill>
          </w14:textFill>
        </w:rPr>
        <w:t>251000172</w:t>
      </w:r>
    </w:p>
    <w:p w14:paraId="2F3850B9">
      <w:pPr>
        <w:bidi w:val="0"/>
        <w:spacing w:before="100" w:beforeAutospacing="1" w:after="100" w:afterAutospacing="1" w:line="360" w:lineRule="auto"/>
        <w:jc w:val="center"/>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14:textFill>
            <w14:solidFill>
              <w14:schemeClr w14:val="tx1"/>
            </w14:solidFill>
          </w14:textFill>
        </w:rPr>
        <w:t>Supervision:</w:t>
      </w:r>
    </w:p>
    <w:p w14:paraId="1E7D9663">
      <w:pPr>
        <w:bidi w:val="0"/>
        <w:spacing w:before="100" w:beforeAutospacing="1" w:after="100" w:afterAutospacing="1" w:line="360" w:lineRule="auto"/>
        <w:jc w:val="center"/>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14:textFill>
            <w14:solidFill>
              <w14:schemeClr w14:val="tx1"/>
            </w14:solidFill>
          </w14:textFill>
        </w:rPr>
        <w:t>Dr. Al-Faisal Abdelhamid Mohamed Hassan</w:t>
      </w:r>
    </w:p>
    <w:p w14:paraId="429B9507">
      <w:pPr>
        <w:bidi w:val="0"/>
        <w:spacing w:before="100" w:beforeAutospacing="1" w:after="100" w:afterAutospacing="1" w:line="360" w:lineRule="auto"/>
        <w:jc w:val="center"/>
        <w:rPr>
          <w:rFonts w:ascii="Sakkal Majalla" w:hAnsi="Sakkal Majalla" w:eastAsia="Simplified Arabic" w:cs="Sakkal Majalla"/>
          <w:b/>
          <w:color w:val="000000" w:themeColor="text1"/>
          <w:sz w:val="28"/>
          <w:szCs w:val="28"/>
          <w14:textFill>
            <w14:solidFill>
              <w14:schemeClr w14:val="tx1"/>
            </w14:solidFill>
          </w14:textFill>
        </w:rPr>
      </w:pPr>
      <w:r>
        <w:rPr>
          <w:rFonts w:ascii="Sakkal Majalla" w:hAnsi="Sakkal Majalla" w:eastAsia="Simplified Arabic" w:cs="Sakkal Majalla"/>
          <w:b/>
          <w:color w:val="000000" w:themeColor="text1"/>
          <w:sz w:val="28"/>
          <w:szCs w:val="28"/>
          <w14:textFill>
            <w14:solidFill>
              <w14:schemeClr w14:val="tx1"/>
            </w14:solidFill>
          </w14:textFill>
        </w:rPr>
        <w:t>Dr. Fayez Grad</w:t>
      </w:r>
    </w:p>
    <w:p w14:paraId="52FF0AE3">
      <w:pPr>
        <w:bidi w:val="0"/>
        <w:spacing w:before="100" w:beforeAutospacing="1" w:after="100" w:afterAutospacing="1" w:line="360" w:lineRule="auto"/>
        <w:jc w:val="center"/>
        <w:rPr>
          <w:rFonts w:ascii="Sakkal Majalla" w:hAnsi="Sakkal Majalla" w:eastAsia="Simplified Arabic" w:cs="Sakkal Majalla"/>
          <w:b/>
          <w:color w:val="000000" w:themeColor="text1"/>
          <w:sz w:val="28"/>
          <w:szCs w:val="28"/>
          <w:u w:val="single"/>
          <w14:textFill>
            <w14:solidFill>
              <w14:schemeClr w14:val="tx1"/>
            </w14:solidFill>
          </w14:textFill>
        </w:rPr>
      </w:pPr>
      <w:r>
        <w:rPr>
          <w:rFonts w:ascii="Sakkal Majalla" w:hAnsi="Sakkal Majalla" w:eastAsia="Simplified Arabic" w:cs="Sakkal Majalla"/>
          <w:b/>
          <w:color w:val="000000" w:themeColor="text1"/>
          <w:sz w:val="28"/>
          <w:szCs w:val="28"/>
          <w14:textFill>
            <w14:solidFill>
              <w14:schemeClr w14:val="tx1"/>
            </w14:solidFill>
          </w14:textFill>
        </w:rPr>
        <w:t xml:space="preserve">1447 – 2025 </w:t>
      </w:r>
    </w:p>
    <w:sectPr>
      <w:footerReference r:id="rId7" w:type="default"/>
      <w:pgSz w:w="11906" w:h="16838"/>
      <w:pgMar w:top="1440" w:right="1985" w:bottom="1440" w:left="1418" w:header="720" w:footer="720" w:gutter="567"/>
      <w:pgNumType w:start="1"/>
      <w:cols w:space="720" w:num="1"/>
      <w:bidi/>
      <w:rtlGutter w:val="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2"/>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Verdana">
    <w:panose1 w:val="020B0604030504040204"/>
    <w:charset w:val="01"/>
    <w:family w:val="swiss"/>
    <w:pitch w:val="default"/>
    <w:sig w:usb0="A00006FF" w:usb1="4000205B" w:usb2="00000010" w:usb3="00000000" w:csb0="2000019F" w:csb1="00000000"/>
  </w:font>
  <w:font w:name="Tahoma">
    <w:panose1 w:val="020B0604030504040204"/>
    <w:charset w:val="01"/>
    <w:family w:val="swiss"/>
    <w:pitch w:val="default"/>
    <w:sig w:usb0="E1002EFF" w:usb1="C000605B" w:usb2="00000029" w:usb3="00000000" w:csb0="200101FF" w:csb1="20280000"/>
  </w:font>
  <w:font w:name="Sakkal Majalla">
    <w:altName w:val="Wide Latin"/>
    <w:panose1 w:val="02000000000000000000"/>
    <w:charset w:val="B2"/>
    <w:family w:val="auto"/>
    <w:pitch w:val="default"/>
    <w:sig w:usb0="00000000" w:usb1="00000000" w:usb2="00000008" w:usb3="00000000" w:csb0="000000D3" w:csb1="00000000"/>
  </w:font>
  <w:font w:name="Georgia">
    <w:panose1 w:val="02040502050405020303"/>
    <w:charset w:val="00"/>
    <w:family w:val="roman"/>
    <w:pitch w:val="default"/>
    <w:sig w:usb0="00000287" w:usb1="00000000" w:usb2="00000000" w:usb3="00000000" w:csb0="2000009F" w:csb1="00000000"/>
  </w:font>
  <w:font w:name="Cambria">
    <w:panose1 w:val="02040503050406030204"/>
    <w:charset w:val="00"/>
    <w:family w:val="roman"/>
    <w:pitch w:val="default"/>
    <w:sig w:usb0="E00006FF" w:usb1="420024FF" w:usb2="02000000" w:usb3="00000000" w:csb0="2000019F" w:csb1="00000000"/>
  </w:font>
  <w:font w:name="Simplified Arabic">
    <w:altName w:val="Times New Roman"/>
    <w:panose1 w:val="02020603050405020304"/>
    <w:charset w:val="B2"/>
    <w:family w:val="roman"/>
    <w:pitch w:val="default"/>
    <w:sig w:usb0="00000000" w:usb1="00000000" w:usb2="00000008" w:usb3="00000000" w:csb0="00000041" w:csb1="00000000"/>
  </w:font>
  <w:font w:name="Noto Sans Symbols">
    <w:altName w:val="Sans Serif Collection"/>
    <w:panose1 w:val="020B0502040504020204"/>
    <w:charset w:val="00"/>
    <w:family w:val="swiss"/>
    <w:pitch w:val="default"/>
    <w:sig w:usb0="00000000" w:usb1="00000000" w:usb2="00000000" w:usb3="00000000" w:csb0="00000001" w:csb1="00000000"/>
  </w:font>
  <w:font w:name="Symbol">
    <w:panose1 w:val="05050102010706020507"/>
    <w:charset w:val="02"/>
    <w:family w:val="decorative"/>
    <w:pitch w:val="default"/>
    <w:sig w:usb0="00000000" w:usb1="00000000" w:usb2="00000000" w:usb3="00000000" w:csb0="80000000" w:csb1="00000000"/>
  </w:font>
  <w:font w:name="Traditional Arabic">
    <w:altName w:val="Times New Roman"/>
    <w:panose1 w:val="02020603050405020304"/>
    <w:charset w:val="B2"/>
    <w:family w:val="roman"/>
    <w:pitch w:val="default"/>
    <w:sig w:usb0="00000000" w:usb1="00000000" w:usb2="00000008" w:usb3="00000000" w:csb0="00000041" w:csb1="00000000"/>
  </w:font>
  <w:font w:name="Wide Latin">
    <w:panose1 w:val="020A0A07050505020404"/>
    <w:charset w:val="00"/>
    <w:family w:val="auto"/>
    <w:pitch w:val="default"/>
    <w:sig w:usb0="00000003" w:usb1="00000000" w:usb2="00000000" w:usb3="00000000" w:csb0="20000001" w:csb1="00000000"/>
  </w:font>
  <w:font w:name="Wide Latin">
    <w:panose1 w:val="020A0A07050505020404"/>
    <w:charset w:val="B2"/>
    <w:family w:val="auto"/>
    <w:pitch w:val="default"/>
    <w:sig w:usb0="00000003" w:usb1="00000000" w:usb2="00000000" w:usb3="00000000" w:csb0="20000001" w:csb1="00000000"/>
  </w:font>
  <w:font w:name="Tahoma">
    <w:panose1 w:val="020B0604030504040204"/>
    <w:charset w:val="00"/>
    <w:family w:val="auto"/>
    <w:pitch w:val="default"/>
    <w:sig w:usb0="E1002EFF" w:usb1="C000605B" w:usb2="00000029" w:usb3="00000000" w:csb0="200101FF" w:csb1="20280000"/>
  </w:font>
  <w:font w:name="Sans Serif Collection">
    <w:panose1 w:val="020B0502040504020204"/>
    <w:charset w:val="00"/>
    <w:family w:val="auto"/>
    <w:pitch w:val="default"/>
    <w:sig w:usb0="E857A3FF" w:usb1="4200605F" w:usb2="29100029" w:usb3="007B0631" w:csb0="000001D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A45B5">
    <w:pPr>
      <w:pBdr>
        <w:top w:val="none" w:color="auto" w:sz="0" w:space="0"/>
        <w:left w:val="none" w:color="auto" w:sz="0" w:space="0"/>
        <w:bottom w:val="none" w:color="auto" w:sz="0" w:space="0"/>
        <w:right w:val="none" w:color="auto" w:sz="0" w:space="0"/>
        <w:between w:val="none" w:color="auto" w:sz="0" w:space="0"/>
      </w:pBdr>
      <w:tabs>
        <w:tab w:val="center" w:pos="4153"/>
        <w:tab w:val="right" w:pos="8306"/>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color w:val="000000"/>
        <w:rtl/>
      </w:rPr>
      <w:id w:val="2036456544"/>
      <w:docPartObj>
        <w:docPartGallery w:val="AutoText"/>
      </w:docPartObj>
    </w:sdtPr>
    <w:sdtEndPr>
      <w:rPr>
        <w:color w:val="000000"/>
        <w:rtl/>
      </w:rPr>
    </w:sdtEndPr>
    <w:sdtContent>
      <w:p w14:paraId="392FD0C8">
        <w:pPr>
          <w:pBdr>
            <w:top w:val="none" w:color="auto" w:sz="0" w:space="0"/>
            <w:left w:val="none" w:color="auto" w:sz="0" w:space="0"/>
            <w:bottom w:val="none" w:color="auto" w:sz="0" w:space="0"/>
            <w:right w:val="none" w:color="auto" w:sz="0" w:space="0"/>
            <w:between w:val="none" w:color="auto" w:sz="0" w:space="0"/>
          </w:pBdr>
          <w:tabs>
            <w:tab w:val="center" w:pos="4153"/>
            <w:tab w:val="right" w:pos="8306"/>
          </w:tabs>
          <w:spacing w:after="0" w:line="240" w:lineRule="auto"/>
          <w:rPr>
            <w:color w:val="000000"/>
          </w:rPr>
        </w:pPr>
        <w:r>
          <w:rPr>
            <w:color w:val="000000"/>
            <w:lang w:val="en-US"/>
          </w:rPr>
          <mc:AlternateContent>
            <mc:Choice Requires="wpg">
              <w:drawing>
                <wp:anchor distT="0" distB="0" distL="114300" distR="114300" simplePos="0" relativeHeight="251663360" behindDoc="0" locked="0" layoutInCell="1" allowOverlap="1">
                  <wp:simplePos x="0" y="0"/>
                  <wp:positionH relativeFrom="margin">
                    <wp:align>center</wp:align>
                  </wp:positionH>
                  <wp:positionV relativeFrom="page">
                    <wp:align>bottom</wp:align>
                  </wp:positionV>
                  <wp:extent cx="436880" cy="716915"/>
                  <wp:effectExtent l="9525" t="9525" r="10795" b="6985"/>
                  <wp:wrapNone/>
                  <wp:docPr id="16" name="Group 16"/>
                  <wp:cNvGraphicFramePr/>
                  <a:graphic xmlns:a="http://schemas.openxmlformats.org/drawingml/2006/main">
                    <a:graphicData uri="http://schemas.microsoft.com/office/word/2010/wordprocessingGroup">
                      <wpg:wgp>
                        <wpg:cNvGrpSpPr/>
                        <wpg:grpSpPr>
                          <a:xfrm>
                            <a:off x="0" y="0"/>
                            <a:ext cx="436880" cy="716915"/>
                            <a:chOff x="1743" y="14699"/>
                            <a:chExt cx="688" cy="1129"/>
                          </a:xfrm>
                        </wpg:grpSpPr>
                        <wps:wsp>
                          <wps:cNvPr id="17" name="AutoShape 77"/>
                          <wps:cNvCnPr>
                            <a:cxnSpLocks noChangeShapeType="1"/>
                          </wps:cNvCnPr>
                          <wps:spPr bwMode="auto">
                            <a:xfrm flipV="1">
                              <a:off x="2111" y="15387"/>
                              <a:ext cx="0" cy="441"/>
                            </a:xfrm>
                            <a:prstGeom prst="straightConnector1">
                              <a:avLst/>
                            </a:prstGeom>
                            <a:noFill/>
                            <a:ln w="9525">
                              <a:solidFill>
                                <a:srgbClr val="7F7F7F"/>
                              </a:solidFill>
                              <a:round/>
                            </a:ln>
                          </wps:spPr>
                          <wps:bodyPr/>
                        </wps:wsp>
                        <wps:wsp>
                          <wps:cNvPr id="18" name="Rectangle 78"/>
                          <wps:cNvSpPr>
                            <a:spLocks noChangeArrowheads="1"/>
                          </wps:cNvSpPr>
                          <wps:spPr bwMode="auto">
                            <a:xfrm>
                              <a:off x="1743" y="14699"/>
                              <a:ext cx="688" cy="688"/>
                            </a:xfrm>
                            <a:prstGeom prst="rect">
                              <a:avLst/>
                            </a:prstGeom>
                            <a:noFill/>
                            <a:ln w="9525">
                              <a:solidFill>
                                <a:srgbClr val="7F7F7F"/>
                              </a:solidFill>
                              <a:miter lim="800000"/>
                            </a:ln>
                          </wps:spPr>
                          <wps:txbx>
                            <w:txbxContent>
                              <w:p w14:paraId="5DC3BCD3">
                                <w:pPr>
                                  <w:pStyle w:val="10"/>
                                  <w:jc w:val="center"/>
                                  <w:rPr>
                                    <w:rFonts w:ascii="Sakkal Majalla" w:hAnsi="Sakkal Majalla" w:cs="Sakkal Majalla"/>
                                    <w:b/>
                                    <w:bCs/>
                                    <w:sz w:val="24"/>
                                    <w:szCs w:val="24"/>
                                  </w:rPr>
                                </w:pPr>
                                <w:r>
                                  <w:rPr>
                                    <w:rFonts w:ascii="Sakkal Majalla" w:hAnsi="Sakkal Majalla" w:cs="Sakkal Majalla"/>
                                    <w:b/>
                                    <w:bCs/>
                                    <w:sz w:val="24"/>
                                    <w:szCs w:val="24"/>
                                  </w:rPr>
                                  <w:fldChar w:fldCharType="begin"/>
                                </w:r>
                                <w:r>
                                  <w:rPr>
                                    <w:rFonts w:ascii="Sakkal Majalla" w:hAnsi="Sakkal Majalla" w:cs="Sakkal Majalla"/>
                                    <w:b/>
                                    <w:bCs/>
                                    <w:sz w:val="24"/>
                                    <w:szCs w:val="24"/>
                                  </w:rPr>
                                  <w:instrText xml:space="preserve"> PAGE    \* MERGEFORMAT </w:instrText>
                                </w:r>
                                <w:r>
                                  <w:rPr>
                                    <w:rFonts w:ascii="Sakkal Majalla" w:hAnsi="Sakkal Majalla" w:cs="Sakkal Majalla"/>
                                    <w:b/>
                                    <w:bCs/>
                                    <w:sz w:val="24"/>
                                    <w:szCs w:val="24"/>
                                  </w:rPr>
                                  <w:fldChar w:fldCharType="separate"/>
                                </w:r>
                                <w:r>
                                  <w:rPr>
                                    <w:rFonts w:ascii="Sakkal Majalla" w:hAnsi="Sakkal Majalla" w:cs="Sakkal Majalla"/>
                                    <w:b/>
                                    <w:bCs/>
                                    <w:sz w:val="24"/>
                                    <w:szCs w:val="24"/>
                                    <w:rtl/>
                                  </w:rPr>
                                  <w:t>37</w:t>
                                </w:r>
                                <w:r>
                                  <w:rPr>
                                    <w:rFonts w:ascii="Sakkal Majalla" w:hAnsi="Sakkal Majalla" w:cs="Sakkal Majalla"/>
                                    <w:b/>
                                    <w:bCs/>
                                    <w:sz w:val="24"/>
                                    <w:szCs w:val="24"/>
                                  </w:rPr>
                                  <w:fldChar w:fldCharType="end"/>
                                </w:r>
                              </w:p>
                            </w:txbxContent>
                          </wps:txbx>
                          <wps:bodyPr rot="0" vert="horz" wrap="square" lIns="91440" tIns="45720" rIns="91440" bIns="45720" anchor="ctr" anchorCtr="0" upright="1">
                            <a:noAutofit/>
                          </wps:bodyPr>
                        </wps:wsp>
                      </wpg:wgp>
                    </a:graphicData>
                  </a:graphic>
                </wp:anchor>
              </w:drawing>
            </mc:Choice>
            <mc:Fallback>
              <w:pict>
                <v:group id="_x0000_s1026" o:spid="_x0000_s1026" o:spt="203" style="position:absolute;left:0pt;height:56.45pt;width:34.4pt;mso-position-horizontal:center;mso-position-horizontal-relative:margin;mso-position-vertical:bottom;mso-position-vertical-relative:page;z-index:251663360;mso-width-relative:page;mso-height-relative:page;" coordorigin="1743,14699" coordsize="688,1129" o:gfxdata="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">
                  <o:lock v:ext="edit" aspectratio="f"/>
                  <v:shape id="AutoShape 77" o:spid="_x0000_s1026" o:spt="32" type="#_x0000_t32" style="position:absolute;left:2111;top:15387;flip:y;height:441;width:0;" filled="f" stroked="t" coordsize="21600,21600" o:gfxdata="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Af8qu8AAAA&#10;2wAAAA8AAAAAAAAAAQAgAAAAIgAAAGRycy9kb3ducmV2LnhtbFBLAQIUABQAAAAIAIdO4kAzLwWe&#10;OwAAADkAAAAQAAAAAAAAAAEAIAAAAAsBAABkcnMvc2hhcGV4bWwueG1sUEsFBgAAAAAGAAYAWwEA&#10;ALUDAAAAAA==&#10;">
                    <v:fill on="f" focussize="0,0"/>
                    <v:stroke color="#7F7F7F" joinstyle="round"/>
                    <v:imagedata o:title=""/>
                    <o:lock v:ext="edit" aspectratio="f"/>
                  </v:shape>
                  <v:rect id="Rectangle 78" o:spid="_x0000_s1026" o:spt="1" style="position:absolute;left:1743;top:14699;height:688;width:688;v-text-anchor:middle;" filled="f" stroked="t" coordsize="21600,21600" o:gfxdata="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uwdci/&#10;AAAA2wAAAA8AAAAAAAAAAQAgAAAAIgAAAGRycy9kb3ducmV2LnhtbFBLAQIUABQAAAAIAIdO4kAz&#10;LwWeOwAAADkAAAAQAAAAAAAAAAEAIAAAAA4BAABkcnMvc2hhcGV4bWwueG1sUEsFBgAAAAAGAAYA&#10;WwEAALgDAAAAAA==&#10;">
                    <v:fill on="f" focussize="0,0"/>
                    <v:stroke color="#7F7F7F" miterlimit="8" joinstyle="miter"/>
                    <v:imagedata o:title=""/>
                    <o:lock v:ext="edit" aspectratio="f"/>
                    <v:textbox>
                      <w:txbxContent>
                        <w:p w14:paraId="5DC3BCD3">
                          <w:pPr>
                            <w:pStyle w:val="10"/>
                            <w:jc w:val="center"/>
                            <w:rPr>
                              <w:rFonts w:ascii="Sakkal Majalla" w:hAnsi="Sakkal Majalla" w:cs="Sakkal Majalla"/>
                              <w:b/>
                              <w:bCs/>
                              <w:sz w:val="24"/>
                              <w:szCs w:val="24"/>
                            </w:rPr>
                          </w:pPr>
                          <w:r>
                            <w:rPr>
                              <w:rFonts w:ascii="Sakkal Majalla" w:hAnsi="Sakkal Majalla" w:cs="Sakkal Majalla"/>
                              <w:b/>
                              <w:bCs/>
                              <w:sz w:val="24"/>
                              <w:szCs w:val="24"/>
                            </w:rPr>
                            <w:fldChar w:fldCharType="begin"/>
                          </w:r>
                          <w:r>
                            <w:rPr>
                              <w:rFonts w:ascii="Sakkal Majalla" w:hAnsi="Sakkal Majalla" w:cs="Sakkal Majalla"/>
                              <w:b/>
                              <w:bCs/>
                              <w:sz w:val="24"/>
                              <w:szCs w:val="24"/>
                            </w:rPr>
                            <w:instrText xml:space="preserve"> PAGE    \* MERGEFORMAT </w:instrText>
                          </w:r>
                          <w:r>
                            <w:rPr>
                              <w:rFonts w:ascii="Sakkal Majalla" w:hAnsi="Sakkal Majalla" w:cs="Sakkal Majalla"/>
                              <w:b/>
                              <w:bCs/>
                              <w:sz w:val="24"/>
                              <w:szCs w:val="24"/>
                            </w:rPr>
                            <w:fldChar w:fldCharType="separate"/>
                          </w:r>
                          <w:r>
                            <w:rPr>
                              <w:rFonts w:ascii="Sakkal Majalla" w:hAnsi="Sakkal Majalla" w:cs="Sakkal Majalla"/>
                              <w:b/>
                              <w:bCs/>
                              <w:sz w:val="24"/>
                              <w:szCs w:val="24"/>
                              <w:rtl/>
                            </w:rPr>
                            <w:t>37</w:t>
                          </w:r>
                          <w:r>
                            <w:rPr>
                              <w:rFonts w:ascii="Sakkal Majalla" w:hAnsi="Sakkal Majalla" w:cs="Sakkal Majalla"/>
                              <w:b/>
                              <w:bCs/>
                              <w:sz w:val="24"/>
                              <w:szCs w:val="24"/>
                            </w:rPr>
                            <w:fldChar w:fldCharType="end"/>
                          </w:r>
                        </w:p>
                      </w:txbxContent>
                    </v:textbox>
                  </v:rect>
                </v:group>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BDAF0">
    <w:pPr>
      <w:pBdr>
        <w:top w:val="none" w:color="auto" w:sz="0" w:space="0"/>
        <w:left w:val="none" w:color="auto" w:sz="0" w:space="0"/>
        <w:bottom w:val="none" w:color="auto" w:sz="0" w:space="0"/>
        <w:right w:val="none" w:color="auto" w:sz="0" w:space="0"/>
        <w:between w:val="none" w:color="auto" w:sz="0" w:space="0"/>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1E1D06"/>
    <w:multiLevelType w:val="multilevel"/>
    <w:tmpl w:val="011E1D0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889183F"/>
    <w:multiLevelType w:val="multilevel"/>
    <w:tmpl w:val="0889183F"/>
    <w:lvl w:ilvl="0" w:tentative="0">
      <w:start w:val="1"/>
      <w:numFmt w:val="bullet"/>
      <w:lvlText w:val="✔"/>
      <w:lvlJc w:val="left"/>
      <w:pPr>
        <w:ind w:left="1080" w:hanging="360"/>
      </w:pPr>
      <w:rPr>
        <w:rFonts w:ascii="Noto Sans Symbols" w:hAnsi="Noto Sans Symbols" w:eastAsia="Noto Sans Symbols" w:cs="Noto Sans Symbols"/>
      </w:rPr>
    </w:lvl>
    <w:lvl w:ilvl="1" w:tentative="0">
      <w:start w:val="1"/>
      <w:numFmt w:val="bullet"/>
      <w:lvlText w:val="o"/>
      <w:lvlJc w:val="left"/>
      <w:pPr>
        <w:ind w:left="1800" w:hanging="360"/>
      </w:pPr>
      <w:rPr>
        <w:rFonts w:ascii="Courier New" w:hAnsi="Courier New" w:eastAsia="Courier New" w:cs="Courier New"/>
      </w:rPr>
    </w:lvl>
    <w:lvl w:ilvl="2" w:tentative="0">
      <w:start w:val="1"/>
      <w:numFmt w:val="bullet"/>
      <w:lvlText w:val="▪"/>
      <w:lvlJc w:val="left"/>
      <w:pPr>
        <w:ind w:left="2520" w:hanging="360"/>
      </w:pPr>
      <w:rPr>
        <w:rFonts w:ascii="Noto Sans Symbols" w:hAnsi="Noto Sans Symbols" w:eastAsia="Noto Sans Symbols" w:cs="Noto Sans Symbols"/>
      </w:rPr>
    </w:lvl>
    <w:lvl w:ilvl="3" w:tentative="0">
      <w:start w:val="1"/>
      <w:numFmt w:val="bullet"/>
      <w:lvlText w:val="●"/>
      <w:lvlJc w:val="left"/>
      <w:pPr>
        <w:ind w:left="3240" w:hanging="360"/>
      </w:pPr>
      <w:rPr>
        <w:rFonts w:ascii="Noto Sans Symbols" w:hAnsi="Noto Sans Symbols" w:eastAsia="Noto Sans Symbols" w:cs="Noto Sans Symbols"/>
      </w:rPr>
    </w:lvl>
    <w:lvl w:ilvl="4" w:tentative="0">
      <w:start w:val="1"/>
      <w:numFmt w:val="bullet"/>
      <w:lvlText w:val="o"/>
      <w:lvlJc w:val="left"/>
      <w:pPr>
        <w:ind w:left="3960" w:hanging="360"/>
      </w:pPr>
      <w:rPr>
        <w:rFonts w:ascii="Courier New" w:hAnsi="Courier New" w:eastAsia="Courier New" w:cs="Courier New"/>
      </w:rPr>
    </w:lvl>
    <w:lvl w:ilvl="5" w:tentative="0">
      <w:start w:val="1"/>
      <w:numFmt w:val="bullet"/>
      <w:lvlText w:val="▪"/>
      <w:lvlJc w:val="left"/>
      <w:pPr>
        <w:ind w:left="4680" w:hanging="360"/>
      </w:pPr>
      <w:rPr>
        <w:rFonts w:ascii="Noto Sans Symbols" w:hAnsi="Noto Sans Symbols" w:eastAsia="Noto Sans Symbols" w:cs="Noto Sans Symbols"/>
      </w:rPr>
    </w:lvl>
    <w:lvl w:ilvl="6" w:tentative="0">
      <w:start w:val="1"/>
      <w:numFmt w:val="bullet"/>
      <w:lvlText w:val="●"/>
      <w:lvlJc w:val="left"/>
      <w:pPr>
        <w:ind w:left="5400" w:hanging="360"/>
      </w:pPr>
      <w:rPr>
        <w:rFonts w:ascii="Noto Sans Symbols" w:hAnsi="Noto Sans Symbols" w:eastAsia="Noto Sans Symbols" w:cs="Noto Sans Symbols"/>
      </w:rPr>
    </w:lvl>
    <w:lvl w:ilvl="7" w:tentative="0">
      <w:start w:val="1"/>
      <w:numFmt w:val="bullet"/>
      <w:lvlText w:val="o"/>
      <w:lvlJc w:val="left"/>
      <w:pPr>
        <w:ind w:left="6120" w:hanging="360"/>
      </w:pPr>
      <w:rPr>
        <w:rFonts w:ascii="Courier New" w:hAnsi="Courier New" w:eastAsia="Courier New" w:cs="Courier New"/>
      </w:rPr>
    </w:lvl>
    <w:lvl w:ilvl="8" w:tentative="0">
      <w:start w:val="1"/>
      <w:numFmt w:val="bullet"/>
      <w:lvlText w:val="▪"/>
      <w:lvlJc w:val="left"/>
      <w:pPr>
        <w:ind w:left="6840" w:hanging="360"/>
      </w:pPr>
      <w:rPr>
        <w:rFonts w:ascii="Noto Sans Symbols" w:hAnsi="Noto Sans Symbols" w:eastAsia="Noto Sans Symbols" w:cs="Noto Sans Symbols"/>
      </w:rPr>
    </w:lvl>
  </w:abstractNum>
  <w:abstractNum w:abstractNumId="2">
    <w:nsid w:val="0A5E62AF"/>
    <w:multiLevelType w:val="multilevel"/>
    <w:tmpl w:val="0A5E62A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B381477"/>
    <w:multiLevelType w:val="multilevel"/>
    <w:tmpl w:val="0B381477"/>
    <w:lvl w:ilvl="0" w:tentative="0">
      <w:start w:val="1"/>
      <w:numFmt w:val="bullet"/>
      <w:lvlText w:val=""/>
      <w:lvlJc w:val="left"/>
      <w:pPr>
        <w:ind w:left="888" w:hanging="360"/>
      </w:pPr>
      <w:rPr>
        <w:rFonts w:hint="default" w:ascii="Symbol" w:hAnsi="Symbol"/>
      </w:rPr>
    </w:lvl>
    <w:lvl w:ilvl="1" w:tentative="0">
      <w:start w:val="1"/>
      <w:numFmt w:val="bullet"/>
      <w:lvlText w:val="o"/>
      <w:lvlJc w:val="left"/>
      <w:pPr>
        <w:ind w:left="1608" w:hanging="360"/>
      </w:pPr>
      <w:rPr>
        <w:rFonts w:hint="default" w:ascii="Courier New" w:hAnsi="Courier New" w:cs="Courier New"/>
      </w:rPr>
    </w:lvl>
    <w:lvl w:ilvl="2" w:tentative="0">
      <w:start w:val="1"/>
      <w:numFmt w:val="bullet"/>
      <w:lvlText w:val=""/>
      <w:lvlJc w:val="left"/>
      <w:pPr>
        <w:ind w:left="2328" w:hanging="360"/>
      </w:pPr>
      <w:rPr>
        <w:rFonts w:hint="default" w:ascii="Wingdings" w:hAnsi="Wingdings"/>
      </w:rPr>
    </w:lvl>
    <w:lvl w:ilvl="3" w:tentative="0">
      <w:start w:val="1"/>
      <w:numFmt w:val="bullet"/>
      <w:lvlText w:val=""/>
      <w:lvlJc w:val="left"/>
      <w:pPr>
        <w:ind w:left="3048" w:hanging="360"/>
      </w:pPr>
      <w:rPr>
        <w:rFonts w:hint="default" w:ascii="Symbol" w:hAnsi="Symbol"/>
      </w:rPr>
    </w:lvl>
    <w:lvl w:ilvl="4" w:tentative="0">
      <w:start w:val="1"/>
      <w:numFmt w:val="bullet"/>
      <w:lvlText w:val="o"/>
      <w:lvlJc w:val="left"/>
      <w:pPr>
        <w:ind w:left="3768" w:hanging="360"/>
      </w:pPr>
      <w:rPr>
        <w:rFonts w:hint="default" w:ascii="Courier New" w:hAnsi="Courier New" w:cs="Courier New"/>
      </w:rPr>
    </w:lvl>
    <w:lvl w:ilvl="5" w:tentative="0">
      <w:start w:val="1"/>
      <w:numFmt w:val="bullet"/>
      <w:lvlText w:val=""/>
      <w:lvlJc w:val="left"/>
      <w:pPr>
        <w:ind w:left="4488" w:hanging="360"/>
      </w:pPr>
      <w:rPr>
        <w:rFonts w:hint="default" w:ascii="Wingdings" w:hAnsi="Wingdings"/>
      </w:rPr>
    </w:lvl>
    <w:lvl w:ilvl="6" w:tentative="0">
      <w:start w:val="1"/>
      <w:numFmt w:val="bullet"/>
      <w:lvlText w:val=""/>
      <w:lvlJc w:val="left"/>
      <w:pPr>
        <w:ind w:left="5208" w:hanging="360"/>
      </w:pPr>
      <w:rPr>
        <w:rFonts w:hint="default" w:ascii="Symbol" w:hAnsi="Symbol"/>
      </w:rPr>
    </w:lvl>
    <w:lvl w:ilvl="7" w:tentative="0">
      <w:start w:val="1"/>
      <w:numFmt w:val="bullet"/>
      <w:lvlText w:val="o"/>
      <w:lvlJc w:val="left"/>
      <w:pPr>
        <w:ind w:left="5928" w:hanging="360"/>
      </w:pPr>
      <w:rPr>
        <w:rFonts w:hint="default" w:ascii="Courier New" w:hAnsi="Courier New" w:cs="Courier New"/>
      </w:rPr>
    </w:lvl>
    <w:lvl w:ilvl="8" w:tentative="0">
      <w:start w:val="1"/>
      <w:numFmt w:val="bullet"/>
      <w:lvlText w:val=""/>
      <w:lvlJc w:val="left"/>
      <w:pPr>
        <w:ind w:left="6648" w:hanging="360"/>
      </w:pPr>
      <w:rPr>
        <w:rFonts w:hint="default" w:ascii="Wingdings" w:hAnsi="Wingdings"/>
      </w:rPr>
    </w:lvl>
  </w:abstractNum>
  <w:abstractNum w:abstractNumId="4">
    <w:nsid w:val="0BF143A9"/>
    <w:multiLevelType w:val="multilevel"/>
    <w:tmpl w:val="0BF143A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10386916"/>
    <w:multiLevelType w:val="multilevel"/>
    <w:tmpl w:val="10386916"/>
    <w:lvl w:ilvl="0" w:tentative="0">
      <w:start w:val="1"/>
      <w:numFmt w:val="bullet"/>
      <w:lvlText w:val="✔"/>
      <w:lvlJc w:val="left"/>
      <w:pPr>
        <w:ind w:left="768" w:hanging="408"/>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6">
    <w:nsid w:val="123B1F41"/>
    <w:multiLevelType w:val="multilevel"/>
    <w:tmpl w:val="123B1F4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18407449"/>
    <w:multiLevelType w:val="multilevel"/>
    <w:tmpl w:val="1840744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20C31354"/>
    <w:multiLevelType w:val="multilevel"/>
    <w:tmpl w:val="20C31354"/>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9">
    <w:nsid w:val="22CF2106"/>
    <w:multiLevelType w:val="multilevel"/>
    <w:tmpl w:val="22CF210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2535123C"/>
    <w:multiLevelType w:val="multilevel"/>
    <w:tmpl w:val="2535123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26624A7B"/>
    <w:multiLevelType w:val="multilevel"/>
    <w:tmpl w:val="26624A7B"/>
    <w:lvl w:ilvl="0" w:tentative="0">
      <w:start w:val="1"/>
      <w:numFmt w:val="bullet"/>
      <w:lvlText w:val="✔"/>
      <w:lvlJc w:val="left"/>
      <w:pPr>
        <w:ind w:left="816" w:hanging="456"/>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2">
    <w:nsid w:val="302F339D"/>
    <w:multiLevelType w:val="multilevel"/>
    <w:tmpl w:val="302F339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36AD48FE"/>
    <w:multiLevelType w:val="multilevel"/>
    <w:tmpl w:val="36AD48FE"/>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4">
    <w:nsid w:val="40147E58"/>
    <w:multiLevelType w:val="multilevel"/>
    <w:tmpl w:val="40147E58"/>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5">
    <w:nsid w:val="495B6C18"/>
    <w:multiLevelType w:val="multilevel"/>
    <w:tmpl w:val="495B6C1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52D87CEE"/>
    <w:multiLevelType w:val="multilevel"/>
    <w:tmpl w:val="52D87CE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548F35A5"/>
    <w:multiLevelType w:val="multilevel"/>
    <w:tmpl w:val="548F35A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566E010E"/>
    <w:multiLevelType w:val="multilevel"/>
    <w:tmpl w:val="566E010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5F446C6E"/>
    <w:multiLevelType w:val="multilevel"/>
    <w:tmpl w:val="5F446C6E"/>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decimal"/>
      <w:lvlText w:val="%3."/>
      <w:lvlJc w:val="left"/>
      <w:pPr>
        <w:ind w:left="2160" w:hanging="360"/>
      </w:pPr>
    </w:lvl>
    <w:lvl w:ilvl="3" w:tentative="0">
      <w:start w:val="1"/>
      <w:numFmt w:val="decimal"/>
      <w:lvlText w:val="%4."/>
      <w:lvlJc w:val="left"/>
      <w:pPr>
        <w:ind w:left="2880" w:hanging="360"/>
      </w:pPr>
    </w:lvl>
    <w:lvl w:ilvl="4" w:tentative="0">
      <w:start w:val="1"/>
      <w:numFmt w:val="decimal"/>
      <w:lvlText w:val="%5."/>
      <w:lvlJc w:val="left"/>
      <w:pPr>
        <w:ind w:left="3600" w:hanging="360"/>
      </w:pPr>
    </w:lvl>
    <w:lvl w:ilvl="5" w:tentative="0">
      <w:start w:val="1"/>
      <w:numFmt w:val="decimal"/>
      <w:lvlText w:val="%6."/>
      <w:lvlJc w:val="left"/>
      <w:pPr>
        <w:ind w:left="4320" w:hanging="360"/>
      </w:pPr>
    </w:lvl>
    <w:lvl w:ilvl="6" w:tentative="0">
      <w:start w:val="1"/>
      <w:numFmt w:val="decimal"/>
      <w:lvlText w:val="%7."/>
      <w:lvlJc w:val="left"/>
      <w:pPr>
        <w:ind w:left="5040" w:hanging="360"/>
      </w:pPr>
    </w:lvl>
    <w:lvl w:ilvl="7" w:tentative="0">
      <w:start w:val="1"/>
      <w:numFmt w:val="decimal"/>
      <w:lvlText w:val="%8."/>
      <w:lvlJc w:val="left"/>
      <w:pPr>
        <w:ind w:left="5760" w:hanging="360"/>
      </w:pPr>
    </w:lvl>
    <w:lvl w:ilvl="8" w:tentative="0">
      <w:start w:val="1"/>
      <w:numFmt w:val="decimal"/>
      <w:lvlText w:val="%9."/>
      <w:lvlJc w:val="left"/>
      <w:pPr>
        <w:ind w:left="6480" w:hanging="360"/>
      </w:pPr>
    </w:lvl>
  </w:abstractNum>
  <w:abstractNum w:abstractNumId="20">
    <w:nsid w:val="61194705"/>
    <w:multiLevelType w:val="multilevel"/>
    <w:tmpl w:val="61194705"/>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
      <w:lvlJc w:val="left"/>
      <w:pPr>
        <w:ind w:left="1080" w:hanging="360"/>
      </w:pPr>
      <w:rPr>
        <w:rFonts w:ascii="Noto Sans Symbols" w:hAnsi="Noto Sans Symbols" w:eastAsia="Noto Sans Symbols" w:cs="Noto Sans Symbols"/>
      </w:rPr>
    </w:lvl>
    <w:lvl w:ilvl="2" w:tentative="0">
      <w:start w:val="13"/>
      <w:numFmt w:val="bullet"/>
      <w:lvlText w:val="-"/>
      <w:lvlJc w:val="left"/>
      <w:pPr>
        <w:ind w:left="360" w:hanging="360"/>
      </w:pPr>
      <w:rPr>
        <w:rFonts w:ascii="Sakkal Majalla" w:hAnsi="Sakkal Majalla" w:eastAsia="Sakkal Majalla" w:cs="Sakkal Majalla"/>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21">
    <w:nsid w:val="628C573F"/>
    <w:multiLevelType w:val="multilevel"/>
    <w:tmpl w:val="628C573F"/>
    <w:lvl w:ilvl="0" w:tentative="0">
      <w:start w:val="1"/>
      <w:numFmt w:val="bullet"/>
      <w:lvlText w:val=""/>
      <w:lvlJc w:val="left"/>
      <w:pPr>
        <w:ind w:left="720" w:hanging="360"/>
      </w:pPr>
      <w:rPr>
        <w:rFonts w:hint="default" w:ascii="Wingdings" w:hAnsi="Wingdings" w:cs="Wingdings"/>
        <w:b/>
        <w:bCs/>
        <w:color w:val="000000" w:themeColor="text1"/>
        <w:sz w:val="32"/>
        <w:szCs w:val="32"/>
        <w:vertAlign w:val="baseline"/>
        <w14:textFill>
          <w14:solidFill>
            <w14:schemeClr w14:val="tx1"/>
          </w14:solidFill>
        </w14:textFil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66650A4B"/>
    <w:multiLevelType w:val="multilevel"/>
    <w:tmpl w:val="66650A4B"/>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23">
    <w:nsid w:val="77F249FD"/>
    <w:multiLevelType w:val="multilevel"/>
    <w:tmpl w:val="77F249FD"/>
    <w:lvl w:ilvl="0" w:tentative="0">
      <w:start w:val="1"/>
      <w:numFmt w:val="bullet"/>
      <w:lvlText w:val=""/>
      <w:lvlJc w:val="left"/>
      <w:pPr>
        <w:ind w:left="720" w:hanging="360"/>
      </w:pPr>
      <w:rPr>
        <w:rFonts w:hint="default" w:ascii="Wingdings" w:hAnsi="Wingdings" w:cs="Wingdings"/>
        <w:b/>
        <w:bCs/>
        <w:color w:val="000000" w:themeColor="text1"/>
        <w:sz w:val="32"/>
        <w:szCs w:val="32"/>
        <w:vertAlign w:val="baseline"/>
        <w14:textFill>
          <w14:solidFill>
            <w14:schemeClr w14:val="tx1"/>
          </w14:solidFill>
        </w14:textFil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4">
    <w:nsid w:val="7A973E58"/>
    <w:multiLevelType w:val="multilevel"/>
    <w:tmpl w:val="7A973E58"/>
    <w:lvl w:ilvl="0" w:tentative="0">
      <w:start w:val="1"/>
      <w:numFmt w:val="bullet"/>
      <w:lvlText w:val="⮚"/>
      <w:lvlJc w:val="left"/>
      <w:pPr>
        <w:ind w:left="1080" w:hanging="360"/>
      </w:pPr>
      <w:rPr>
        <w:rFonts w:ascii="Noto Sans Symbols" w:hAnsi="Noto Sans Symbols" w:eastAsia="Noto Sans Symbols" w:cs="Noto Sans Symbols"/>
      </w:rPr>
    </w:lvl>
    <w:lvl w:ilvl="1" w:tentative="0">
      <w:start w:val="1"/>
      <w:numFmt w:val="bullet"/>
      <w:lvlText w:val="o"/>
      <w:lvlJc w:val="left"/>
      <w:pPr>
        <w:ind w:left="1800" w:hanging="360"/>
      </w:pPr>
      <w:rPr>
        <w:rFonts w:ascii="Courier New" w:hAnsi="Courier New" w:eastAsia="Courier New" w:cs="Courier New"/>
      </w:rPr>
    </w:lvl>
    <w:lvl w:ilvl="2" w:tentative="0">
      <w:start w:val="1"/>
      <w:numFmt w:val="bullet"/>
      <w:lvlText w:val="▪"/>
      <w:lvlJc w:val="left"/>
      <w:pPr>
        <w:ind w:left="2520" w:hanging="360"/>
      </w:pPr>
      <w:rPr>
        <w:rFonts w:ascii="Noto Sans Symbols" w:hAnsi="Noto Sans Symbols" w:eastAsia="Noto Sans Symbols" w:cs="Noto Sans Symbols"/>
      </w:rPr>
    </w:lvl>
    <w:lvl w:ilvl="3" w:tentative="0">
      <w:start w:val="1"/>
      <w:numFmt w:val="bullet"/>
      <w:lvlText w:val="●"/>
      <w:lvlJc w:val="left"/>
      <w:pPr>
        <w:ind w:left="3240" w:hanging="360"/>
      </w:pPr>
      <w:rPr>
        <w:rFonts w:ascii="Noto Sans Symbols" w:hAnsi="Noto Sans Symbols" w:eastAsia="Noto Sans Symbols" w:cs="Noto Sans Symbols"/>
      </w:rPr>
    </w:lvl>
    <w:lvl w:ilvl="4" w:tentative="0">
      <w:start w:val="1"/>
      <w:numFmt w:val="bullet"/>
      <w:lvlText w:val="o"/>
      <w:lvlJc w:val="left"/>
      <w:pPr>
        <w:ind w:left="3960" w:hanging="360"/>
      </w:pPr>
      <w:rPr>
        <w:rFonts w:ascii="Courier New" w:hAnsi="Courier New" w:eastAsia="Courier New" w:cs="Courier New"/>
      </w:rPr>
    </w:lvl>
    <w:lvl w:ilvl="5" w:tentative="0">
      <w:start w:val="1"/>
      <w:numFmt w:val="bullet"/>
      <w:lvlText w:val="▪"/>
      <w:lvlJc w:val="left"/>
      <w:pPr>
        <w:ind w:left="4680" w:hanging="360"/>
      </w:pPr>
      <w:rPr>
        <w:rFonts w:ascii="Noto Sans Symbols" w:hAnsi="Noto Sans Symbols" w:eastAsia="Noto Sans Symbols" w:cs="Noto Sans Symbols"/>
      </w:rPr>
    </w:lvl>
    <w:lvl w:ilvl="6" w:tentative="0">
      <w:start w:val="1"/>
      <w:numFmt w:val="bullet"/>
      <w:lvlText w:val="●"/>
      <w:lvlJc w:val="left"/>
      <w:pPr>
        <w:ind w:left="5400" w:hanging="360"/>
      </w:pPr>
      <w:rPr>
        <w:rFonts w:ascii="Noto Sans Symbols" w:hAnsi="Noto Sans Symbols" w:eastAsia="Noto Sans Symbols" w:cs="Noto Sans Symbols"/>
      </w:rPr>
    </w:lvl>
    <w:lvl w:ilvl="7" w:tentative="0">
      <w:start w:val="1"/>
      <w:numFmt w:val="bullet"/>
      <w:lvlText w:val="o"/>
      <w:lvlJc w:val="left"/>
      <w:pPr>
        <w:ind w:left="6120" w:hanging="360"/>
      </w:pPr>
      <w:rPr>
        <w:rFonts w:ascii="Courier New" w:hAnsi="Courier New" w:eastAsia="Courier New" w:cs="Courier New"/>
      </w:rPr>
    </w:lvl>
    <w:lvl w:ilvl="8" w:tentative="0">
      <w:start w:val="1"/>
      <w:numFmt w:val="bullet"/>
      <w:lvlText w:val="▪"/>
      <w:lvlJc w:val="left"/>
      <w:pPr>
        <w:ind w:left="6840" w:hanging="360"/>
      </w:pPr>
      <w:rPr>
        <w:rFonts w:ascii="Noto Sans Symbols" w:hAnsi="Noto Sans Symbols" w:eastAsia="Noto Sans Symbols" w:cs="Noto Sans Symbols"/>
      </w:rPr>
    </w:lvl>
  </w:abstractNum>
  <w:abstractNum w:abstractNumId="25">
    <w:nsid w:val="7C1A3789"/>
    <w:multiLevelType w:val="multilevel"/>
    <w:tmpl w:val="7C1A3789"/>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26">
    <w:nsid w:val="7EA1497F"/>
    <w:multiLevelType w:val="multilevel"/>
    <w:tmpl w:val="7EA1497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1"/>
  </w:num>
  <w:num w:numId="2">
    <w:abstractNumId w:val="5"/>
  </w:num>
  <w:num w:numId="3">
    <w:abstractNumId w:val="1"/>
  </w:num>
  <w:num w:numId="4">
    <w:abstractNumId w:val="24"/>
  </w:num>
  <w:num w:numId="5">
    <w:abstractNumId w:val="14"/>
  </w:num>
  <w:num w:numId="6">
    <w:abstractNumId w:val="26"/>
  </w:num>
  <w:num w:numId="7">
    <w:abstractNumId w:val="25"/>
  </w:num>
  <w:num w:numId="8">
    <w:abstractNumId w:val="21"/>
  </w:num>
  <w:num w:numId="9">
    <w:abstractNumId w:val="22"/>
  </w:num>
  <w:num w:numId="10">
    <w:abstractNumId w:val="8"/>
  </w:num>
  <w:num w:numId="11">
    <w:abstractNumId w:val="20"/>
  </w:num>
  <w:num w:numId="12">
    <w:abstractNumId w:val="3"/>
  </w:num>
  <w:num w:numId="13">
    <w:abstractNumId w:val="19"/>
  </w:num>
  <w:num w:numId="14">
    <w:abstractNumId w:val="13"/>
  </w:num>
  <w:num w:numId="15">
    <w:abstractNumId w:val="18"/>
  </w:num>
  <w:num w:numId="16">
    <w:abstractNumId w:val="4"/>
  </w:num>
  <w:num w:numId="17">
    <w:abstractNumId w:val="0"/>
  </w:num>
  <w:num w:numId="18">
    <w:abstractNumId w:val="10"/>
  </w:num>
  <w:num w:numId="19">
    <w:abstractNumId w:val="16"/>
  </w:num>
  <w:num w:numId="20">
    <w:abstractNumId w:val="7"/>
  </w:num>
  <w:num w:numId="21">
    <w:abstractNumId w:val="23"/>
  </w:num>
  <w:num w:numId="22">
    <w:abstractNumId w:val="6"/>
  </w:num>
  <w:num w:numId="23">
    <w:abstractNumId w:val="9"/>
  </w:num>
  <w:num w:numId="24">
    <w:abstractNumId w:val="2"/>
  </w:num>
  <w:num w:numId="25">
    <w:abstractNumId w:val="17"/>
  </w:num>
  <w:num w:numId="26">
    <w:abstractNumId w:val="12"/>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EE9"/>
    <w:rsid w:val="00087CE1"/>
    <w:rsid w:val="000C204D"/>
    <w:rsid w:val="001044EB"/>
    <w:rsid w:val="00184445"/>
    <w:rsid w:val="0020297B"/>
    <w:rsid w:val="00330A5B"/>
    <w:rsid w:val="003653C8"/>
    <w:rsid w:val="003A2437"/>
    <w:rsid w:val="004963EC"/>
    <w:rsid w:val="005E4EE9"/>
    <w:rsid w:val="006052CF"/>
    <w:rsid w:val="0068369A"/>
    <w:rsid w:val="006E19B8"/>
    <w:rsid w:val="0079015D"/>
    <w:rsid w:val="00834DA6"/>
    <w:rsid w:val="00844E48"/>
    <w:rsid w:val="008F3B89"/>
    <w:rsid w:val="00955504"/>
    <w:rsid w:val="009F57A1"/>
    <w:rsid w:val="00B2603F"/>
    <w:rsid w:val="00B41009"/>
    <w:rsid w:val="00B619AB"/>
    <w:rsid w:val="00B85F43"/>
    <w:rsid w:val="00B866CF"/>
    <w:rsid w:val="00B90B83"/>
    <w:rsid w:val="00B90F1A"/>
    <w:rsid w:val="00C24D76"/>
    <w:rsid w:val="00CE6E4E"/>
    <w:rsid w:val="00D84373"/>
    <w:rsid w:val="00E372E8"/>
    <w:rsid w:val="00E763DB"/>
    <w:rsid w:val="00E87F94"/>
    <w:rsid w:val="00F27B33"/>
    <w:rsid w:val="00FA1380"/>
    <w:rsid w:val="00FB1004"/>
    <w:rsid w:val="2ACD03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59" w:lineRule="auto"/>
    </w:pPr>
    <w:rPr>
      <w:rFonts w:ascii="Calibri" w:hAnsi="Calibri" w:eastAsia="Calibri" w:cs="Calibri"/>
      <w:sz w:val="22"/>
      <w:szCs w:val="22"/>
      <w:lang w:val="en" w:eastAsia="en-US" w:bidi="ar-SA"/>
    </w:rPr>
  </w:style>
  <w:style w:type="paragraph" w:styleId="2">
    <w:name w:val="heading 1"/>
    <w:basedOn w:val="1"/>
    <w:next w:val="1"/>
    <w:qFormat/>
    <w:uiPriority w:val="9"/>
    <w:pPr>
      <w:keepNext/>
      <w:keepLines/>
      <w:spacing w:before="480" w:after="240"/>
      <w:outlineLvl w:val="0"/>
    </w:pPr>
    <w:rPr>
      <w:rFonts w:ascii="Sakkal Majalla" w:hAnsi="Sakkal Majalla" w:eastAsia="Sakkal Majalla" w:cs="Sakkal Majalla"/>
      <w:b/>
      <w:sz w:val="40"/>
      <w:szCs w:val="40"/>
      <w:u w:val="single"/>
    </w:rPr>
  </w:style>
  <w:style w:type="paragraph" w:styleId="3">
    <w:name w:val="heading 2"/>
    <w:basedOn w:val="1"/>
    <w:next w:val="1"/>
    <w:semiHidden/>
    <w:unhideWhenUsed/>
    <w:qFormat/>
    <w:uiPriority w:val="9"/>
    <w:pPr>
      <w:keepNext/>
      <w:keepLines/>
      <w:spacing w:before="40" w:after="0"/>
      <w:outlineLvl w:val="1"/>
    </w:pPr>
    <w:rPr>
      <w:color w:val="2F5496"/>
      <w:sz w:val="26"/>
      <w:szCs w:val="26"/>
    </w:rPr>
  </w:style>
  <w:style w:type="paragraph" w:styleId="4">
    <w:name w:val="heading 3"/>
    <w:basedOn w:val="1"/>
    <w:next w:val="1"/>
    <w:semiHidden/>
    <w:unhideWhenUsed/>
    <w:qFormat/>
    <w:uiPriority w:val="9"/>
    <w:pPr>
      <w:keepNext/>
      <w:keepLines/>
      <w:spacing w:before="40" w:after="0"/>
      <w:outlineLvl w:val="2"/>
    </w:pPr>
    <w:rPr>
      <w:color w:val="1F3863"/>
      <w:sz w:val="24"/>
      <w:szCs w:val="24"/>
    </w:rPr>
  </w:style>
  <w:style w:type="paragraph" w:styleId="5">
    <w:name w:val="heading 4"/>
    <w:basedOn w:val="1"/>
    <w:next w:val="1"/>
    <w:semiHidden/>
    <w:unhideWhenUsed/>
    <w:qFormat/>
    <w:uiPriority w:val="9"/>
    <w:pPr>
      <w:keepNext/>
      <w:keepLines/>
      <w:spacing w:before="40" w:after="0"/>
      <w:outlineLvl w:val="3"/>
    </w:pPr>
    <w:rPr>
      <w:i/>
      <w:color w:val="2F5496"/>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23"/>
    <w:unhideWhenUsed/>
    <w:qFormat/>
    <w:uiPriority w:val="99"/>
    <w:pPr>
      <w:tabs>
        <w:tab w:val="center" w:pos="4513"/>
        <w:tab w:val="right" w:pos="9026"/>
      </w:tabs>
      <w:spacing w:after="0" w:line="240" w:lineRule="auto"/>
    </w:pPr>
  </w:style>
  <w:style w:type="paragraph" w:styleId="11">
    <w:name w:val="header"/>
    <w:basedOn w:val="1"/>
    <w:link w:val="22"/>
    <w:unhideWhenUsed/>
    <w:qFormat/>
    <w:uiPriority w:val="99"/>
    <w:pPr>
      <w:tabs>
        <w:tab w:val="center" w:pos="4513"/>
        <w:tab w:val="right" w:pos="9026"/>
      </w:tabs>
      <w:spacing w:after="0"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Normal (Web)"/>
    <w:basedOn w:val="1"/>
    <w:semiHidden/>
    <w:unhideWhenUsed/>
    <w:uiPriority w:val="99"/>
    <w:rPr>
      <w:rFonts w:ascii="Times New Roman" w:hAnsi="Times New Roman" w:cs="Times New Roman"/>
      <w:sz w:val="24"/>
      <w:szCs w:val="24"/>
    </w:rPr>
  </w:style>
  <w:style w:type="paragraph" w:styleId="14">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5">
    <w:name w:val="Table Grid"/>
    <w:basedOn w:val="9"/>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6">
    <w:name w:val="Title"/>
    <w:basedOn w:val="1"/>
    <w:next w:val="1"/>
    <w:qFormat/>
    <w:uiPriority w:val="10"/>
    <w:pPr>
      <w:keepNext/>
      <w:keepLines/>
      <w:spacing w:before="480" w:after="120"/>
    </w:pPr>
    <w:rPr>
      <w:b/>
      <w:sz w:val="72"/>
      <w:szCs w:val="72"/>
    </w:rPr>
  </w:style>
  <w:style w:type="paragraph" w:styleId="17">
    <w:name w:val="toc 1"/>
    <w:basedOn w:val="1"/>
    <w:next w:val="1"/>
    <w:autoRedefine/>
    <w:unhideWhenUsed/>
    <w:uiPriority w:val="39"/>
    <w:pPr>
      <w:spacing w:after="100"/>
    </w:pPr>
  </w:style>
  <w:style w:type="paragraph" w:styleId="18">
    <w:name w:val="toc 2"/>
    <w:basedOn w:val="1"/>
    <w:next w:val="1"/>
    <w:autoRedefine/>
    <w:unhideWhenUsed/>
    <w:uiPriority w:val="39"/>
    <w:pPr>
      <w:spacing w:after="100"/>
      <w:ind w:left="220"/>
    </w:pPr>
  </w:style>
  <w:style w:type="paragraph" w:styleId="19">
    <w:name w:val="toc 3"/>
    <w:basedOn w:val="1"/>
    <w:next w:val="1"/>
    <w:autoRedefine/>
    <w:unhideWhenUsed/>
    <w:uiPriority w:val="39"/>
    <w:pPr>
      <w:spacing w:after="100"/>
      <w:ind w:left="440"/>
    </w:pPr>
  </w:style>
  <w:style w:type="table" w:customStyle="1" w:styleId="20">
    <w:name w:val="TableNormal"/>
    <w:qFormat/>
    <w:uiPriority w:val="0"/>
    <w:tblPr>
      <w:tblCellMar>
        <w:top w:w="0" w:type="dxa"/>
        <w:left w:w="0" w:type="dxa"/>
        <w:bottom w:w="0" w:type="dxa"/>
        <w:right w:w="0" w:type="dxa"/>
      </w:tblCellMar>
    </w:tblPr>
  </w:style>
  <w:style w:type="character" w:customStyle="1" w:styleId="21">
    <w:name w:val="إشارة لم يتم حلها1"/>
    <w:basedOn w:val="8"/>
    <w:semiHidden/>
    <w:unhideWhenUsed/>
    <w:uiPriority w:val="99"/>
    <w:rPr>
      <w:color w:val="605E5C"/>
      <w:shd w:val="clear" w:color="auto" w:fill="E1DFDD"/>
    </w:rPr>
  </w:style>
  <w:style w:type="character" w:customStyle="1" w:styleId="22">
    <w:name w:val="رأس الصفحة Char"/>
    <w:basedOn w:val="8"/>
    <w:link w:val="11"/>
    <w:uiPriority w:val="99"/>
  </w:style>
  <w:style w:type="character" w:customStyle="1" w:styleId="23">
    <w:name w:val="تذييل الصفحة Char"/>
    <w:basedOn w:val="8"/>
    <w:link w:val="10"/>
    <w:uiPriority w:val="99"/>
  </w:style>
  <w:style w:type="table" w:customStyle="1" w:styleId="24">
    <w:name w:val="Grid Table 4 Accent 4"/>
    <w:basedOn w:val="9"/>
    <w:qFormat/>
    <w:uiPriority w:val="49"/>
    <w:pPr>
      <w:spacing w:after="0" w:line="240" w:lineRule="auto"/>
    </w:pPr>
    <w:tblPr>
      <w:tblBorders>
        <w:top w:val="single" w:color="B2A1C7" w:themeColor="accent4" w:themeTint="99" w:sz="4" w:space="0"/>
        <w:left w:val="single" w:color="B2A1C7" w:themeColor="accent4" w:themeTint="99" w:sz="4" w:space="0"/>
        <w:bottom w:val="single" w:color="B2A1C7" w:themeColor="accent4" w:themeTint="99" w:sz="4" w:space="0"/>
        <w:right w:val="single" w:color="B2A1C7" w:themeColor="accent4" w:themeTint="99" w:sz="4" w:space="0"/>
        <w:insideH w:val="single" w:color="B2A1C7" w:themeColor="accent4" w:themeTint="99" w:sz="4" w:space="0"/>
        <w:insideV w:val="single" w:color="B2A1C7" w:themeColor="accent4" w:themeTint="99" w:sz="4" w:space="0"/>
      </w:tblBorders>
    </w:tblPr>
    <w:tblStylePr w:type="firstRow">
      <w:rPr>
        <w:b/>
        <w:bCs/>
        <w:color w:val="FFFFFF" w:themeColor="background1"/>
        <w14:textFill>
          <w14:solidFill>
            <w14:schemeClr w14:val="bg1"/>
          </w14:solidFill>
        </w14:textFill>
      </w:rPr>
      <w:tcPr>
        <w:tcBorders>
          <w:top w:val="single" w:color="8064A2" w:themeColor="accent4" w:sz="4" w:space="0"/>
          <w:left w:val="single" w:color="8064A2" w:themeColor="accent4" w:sz="4" w:space="0"/>
          <w:bottom w:val="single" w:color="8064A2" w:themeColor="accent4" w:sz="4" w:space="0"/>
          <w:right w:val="single" w:color="8064A2" w:themeColor="accent4" w:sz="4" w:space="0"/>
          <w:insideH w:val="nil"/>
          <w:insideV w:val="nil"/>
        </w:tcBorders>
        <w:shd w:val="clear" w:color="auto" w:fill="8064A2" w:themeFill="accent4"/>
      </w:tcPr>
    </w:tblStylePr>
    <w:tblStylePr w:type="lastRow">
      <w:rPr>
        <w:b/>
        <w:bCs/>
      </w:rPr>
      <w:tcPr>
        <w:tcBorders>
          <w:top w:val="double" w:color="8064A2" w:themeColor="accent4" w:sz="4" w:space="0"/>
        </w:tcBorders>
      </w:tcPr>
    </w:tblStylePr>
    <w:tblStylePr w:type="firstCol">
      <w:rPr>
        <w:b/>
        <w:bCs/>
      </w:rPr>
    </w:tblStylePr>
    <w:tblStylePr w:type="lastCol">
      <w:rPr>
        <w:b/>
        <w:bCs/>
      </w:rPr>
    </w:tblStylePr>
    <w:tblStylePr w:type="band1Vert">
      <w:tcPr>
        <w:shd w:val="clear" w:color="auto" w:fill="E5DFEC" w:themeFill="accent4" w:themeFillTint="33"/>
      </w:tcPr>
    </w:tblStylePr>
    <w:tblStylePr w:type="band1Horz">
      <w:tcPr>
        <w:shd w:val="clear" w:color="auto" w:fill="E5DFEC" w:themeFill="accent4" w:themeFillTint="33"/>
      </w:tcPr>
    </w:tblStylePr>
  </w:style>
  <w:style w:type="paragraph" w:styleId="25">
    <w:name w:val="List Paragraph"/>
    <w:basedOn w:val="1"/>
    <w:link w:val="26"/>
    <w:qFormat/>
    <w:uiPriority w:val="34"/>
    <w:pPr>
      <w:ind w:left="720"/>
      <w:contextualSpacing/>
    </w:pPr>
  </w:style>
  <w:style w:type="character" w:customStyle="1" w:styleId="26">
    <w:name w:val="سرد الفقرات Char"/>
    <w:link w:val="25"/>
    <w:qFormat/>
    <w:uiPriority w:val="34"/>
  </w:style>
  <w:style w:type="table" w:customStyle="1" w:styleId="27">
    <w:name w:val="Grid Table 6 Colorful Accent 3"/>
    <w:basedOn w:val="9"/>
    <w:qFormat/>
    <w:uiPriority w:val="51"/>
    <w:pPr>
      <w:bidi w:val="0"/>
      <w:spacing w:after="0" w:line="240" w:lineRule="auto"/>
    </w:pPr>
    <w:rPr>
      <w:rFonts w:cs="Simplified Arabic" w:asciiTheme="minorHAnsi" w:hAnsiTheme="minorHAnsi" w:eastAsiaTheme="minorHAnsi"/>
      <w:color w:val="77933C" w:themeColor="accent3" w:themeShade="BF"/>
      <w:kern w:val="2"/>
      <w:sz w:val="28"/>
      <w:szCs w:val="28"/>
      <w:lang w:val="en-US"/>
      <w14:ligatures w14:val="standardContextual"/>
    </w:rPr>
    <w:tblPr>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rPr>
      <w:tcPr>
        <w:tcBorders>
          <w:bottom w:val="single" w:color="C2D69B" w:themeColor="accent3" w:themeTint="99" w:sz="12" w:space="0"/>
        </w:tcBorders>
      </w:tcPr>
    </w:tblStylePr>
    <w:tblStylePr w:type="lastRow">
      <w:rPr>
        <w:b/>
        <w:bCs/>
      </w:rPr>
      <w:tcPr>
        <w:tcBorders>
          <w:top w:val="double" w:color="C2D69B" w:themeColor="accent3" w:themeTint="99" w:sz="4" w:space="0"/>
        </w:tcBorders>
      </w:tcPr>
    </w:tblStylePr>
    <w:tblStylePr w:type="firstCol">
      <w:rPr>
        <w:b/>
        <w:bCs/>
      </w:rPr>
    </w:tblStylePr>
    <w:tblStylePr w:type="lastCol">
      <w:rPr>
        <w:b/>
        <w:bCs/>
      </w:rPr>
    </w:tblStylePr>
    <w:tblStylePr w:type="band1Vert">
      <w:tcPr>
        <w:shd w:val="clear" w:color="auto" w:fill="EAF1DD" w:themeFill="accent3" w:themeFillTint="33"/>
      </w:tcPr>
    </w:tblStylePr>
    <w:tblStylePr w:type="band1Horz">
      <w:tcPr>
        <w:shd w:val="clear" w:color="auto" w:fill="EAF1DD" w:themeFill="accent3" w:themeFillTint="33"/>
      </w:tcPr>
    </w:tblStylePr>
  </w:style>
  <w:style w:type="paragraph" w:customStyle="1" w:styleId="28">
    <w:name w:val="TOC Heading"/>
    <w:basedOn w:val="2"/>
    <w:next w:val="1"/>
    <w:unhideWhenUsed/>
    <w:qFormat/>
    <w:uiPriority w:val="39"/>
    <w:pPr>
      <w:bidi w:val="0"/>
      <w:spacing w:before="240" w:after="0"/>
      <w:outlineLvl w:val="9"/>
    </w:pPr>
    <w:rPr>
      <w:rFonts w:asciiTheme="majorHAnsi" w:hAnsiTheme="majorHAnsi" w:eastAsiaTheme="majorEastAsia" w:cstheme="majorBidi"/>
      <w:b w:val="0"/>
      <w:color w:val="376092" w:themeColor="accent1" w:themeShade="BF"/>
      <w:sz w:val="32"/>
      <w:szCs w:val="32"/>
      <w:u w:val="none"/>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434EAB-287B-4781-85E0-F73133A945EE}">
  <ds:schemaRefs/>
</ds:datastoreItem>
</file>

<file path=docProps/app.xml><?xml version="1.0" encoding="utf-8"?>
<Properties xmlns="http://schemas.openxmlformats.org/officeDocument/2006/extended-properties" xmlns:vt="http://schemas.openxmlformats.org/officeDocument/2006/docPropsVTypes">
  <Template>Normal</Template>
  <Pages>42</Pages>
  <Words>8286</Words>
  <Characters>47235</Characters>
  <Lines>393</Lines>
  <Paragraphs>110</Paragraphs>
  <TotalTime>11</TotalTime>
  <ScaleCrop>false</ScaleCrop>
  <LinksUpToDate>false</LinksUpToDate>
  <CharactersWithSpaces>55411</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2025-11-09T17:50:00Z</dcterms:created>
  <dc:creator>MG</dc:creator>
  <cp:lastModifiedBy>aasuwaylih</cp:lastModifiedBy>
  <cp:lastPrinted>2025-10-18T13:15:00Z</cp:lastPrinted>
  <dcterms:modified xsi:type="dcterms:W3CDTF">2025-11-12T07:00:41Z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F6BFE2610C73440393409F5DF1E908C9_12</vt:lpwstr>
  </property>
</Properties>
</file>