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3F548" w14:textId="77777777" w:rsidR="008F77A4" w:rsidRDefault="001D6520">
      <w:pPr>
        <w:bidi/>
        <w:spacing w:after="120"/>
        <w:jc w:val="center"/>
      </w:pPr>
      <w:r>
        <w:rPr>
          <w:rFonts w:ascii="Traditional Arabic" w:eastAsia="Traditional Arabic" w:hAnsi="Traditional Arabic" w:cs="Traditional Arabic"/>
          <w:b/>
          <w:bCs/>
          <w:color w:val="12365B"/>
          <w:sz w:val="32"/>
          <w:szCs w:val="32"/>
          <w:rtl/>
        </w:rPr>
        <w:t>الرد على ملاحظات لجنة المناقشة على الفصل الثالث - الجولة الثالثة</w:t>
      </w:r>
    </w:p>
    <w:p w14:paraId="4E83F549" w14:textId="77777777" w:rsidR="008F77A4" w:rsidRDefault="001D6520">
      <w:pPr>
        <w:bidi/>
        <w:spacing w:after="60"/>
        <w:jc w:val="center"/>
      </w:pPr>
      <w:r>
        <w:rPr>
          <w:rFonts w:ascii="Traditional Arabic" w:eastAsia="Traditional Arabic" w:hAnsi="Traditional Arabic" w:cs="Traditional Arabic"/>
          <w:color w:val="0E8C8C"/>
          <w:sz w:val="26"/>
          <w:szCs w:val="26"/>
          <w:rtl/>
        </w:rPr>
        <w:t>نموذج حوكمة ذكي لضمان سلامة أصول البنية التحتية المائية</w:t>
      </w:r>
    </w:p>
    <w:p w14:paraId="4E83F54B" w14:textId="77777777" w:rsidR="008F77A4" w:rsidRDefault="001D6520">
      <w:pPr>
        <w:bidi/>
        <w:spacing w:after="60"/>
        <w:jc w:val="right"/>
      </w:pPr>
      <w:r>
        <w:rPr>
          <w:rFonts w:ascii="Traditional Arabic" w:eastAsia="Traditional Arabic" w:hAnsi="Traditional Arabic" w:cs="Traditional Arabic"/>
          <w:sz w:val="24"/>
          <w:szCs w:val="24"/>
          <w:rtl/>
        </w:rPr>
        <w:t>يقدَّم هذا الجدول ردًا تفصيليًا على الجولة الثالثة من ملاحظات اللجنة الموقّرة على الفصل الثالث، وعددها 7 ملاحظات منهجية عميقة تتعلق بمسائل جوهرية سبق تناولها في الجولتين الأولى والثانية وتطلبت حسمًا نهائيًا لا مجرد تحسين تدريجي.</w:t>
      </w:r>
    </w:p>
    <w:p w14:paraId="4E83F54C" w14:textId="77777777" w:rsidR="008F77A4" w:rsidRDefault="008F77A4">
      <w:pPr>
        <w:spacing w:after="120"/>
      </w:pPr>
    </w:p>
    <w:tbl>
      <w:tblPr>
        <w:bidiVisual/>
        <w:tblW w:w="148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4A0" w:firstRow="1" w:lastRow="0" w:firstColumn="1" w:lastColumn="0" w:noHBand="0" w:noVBand="1"/>
      </w:tblPr>
      <w:tblGrid>
        <w:gridCol w:w="1031"/>
        <w:gridCol w:w="6925"/>
        <w:gridCol w:w="6925"/>
      </w:tblGrid>
      <w:tr w:rsidR="008F77A4" w14:paraId="4E83F550" w14:textId="77777777" w:rsidTr="00F16B81">
        <w:tblPrEx>
          <w:tblCellMar>
            <w:top w:w="0" w:type="dxa"/>
            <w:bottom w:w="0" w:type="dxa"/>
          </w:tblCellMar>
        </w:tblPrEx>
        <w:trPr>
          <w:trHeight w:val="433"/>
          <w:tblHeader/>
        </w:trPr>
        <w:tc>
          <w:tcPr>
            <w:tcW w:w="1031" w:type="dxa"/>
            <w:shd w:val="clear" w:color="auto" w:fill="12365B"/>
            <w:vAlign w:val="center"/>
          </w:tcPr>
          <w:p w14:paraId="4E83F54D" w14:textId="77777777" w:rsidR="008F77A4" w:rsidRDefault="001D6520">
            <w:pPr>
              <w:bidi/>
              <w:jc w:val="center"/>
            </w:pPr>
            <w:r>
              <w:rPr>
                <w:rFonts w:ascii="Traditional Arabic" w:eastAsia="Traditional Arabic" w:hAnsi="Traditional Arabic" w:cs="Traditional Arabic"/>
                <w:b/>
                <w:bCs/>
                <w:color w:val="FFFFFF"/>
                <w:sz w:val="24"/>
                <w:szCs w:val="24"/>
                <w:rtl/>
              </w:rPr>
              <w:t>#</w:t>
            </w:r>
          </w:p>
        </w:tc>
        <w:tc>
          <w:tcPr>
            <w:tcW w:w="6925" w:type="dxa"/>
            <w:shd w:val="clear" w:color="auto" w:fill="12365B"/>
            <w:vAlign w:val="center"/>
          </w:tcPr>
          <w:p w14:paraId="4E83F54E" w14:textId="77777777" w:rsidR="008F77A4" w:rsidRDefault="001D6520">
            <w:pPr>
              <w:bidi/>
              <w:jc w:val="center"/>
            </w:pPr>
            <w:r>
              <w:rPr>
                <w:rFonts w:ascii="Traditional Arabic" w:eastAsia="Traditional Arabic" w:hAnsi="Traditional Arabic" w:cs="Traditional Arabic"/>
                <w:b/>
                <w:bCs/>
                <w:color w:val="FFFFFF"/>
                <w:sz w:val="24"/>
                <w:szCs w:val="24"/>
                <w:rtl/>
              </w:rPr>
              <w:t>ملاحظة اللجنة (الجولة الثالثة)</w:t>
            </w:r>
          </w:p>
        </w:tc>
        <w:tc>
          <w:tcPr>
            <w:tcW w:w="6925" w:type="dxa"/>
            <w:shd w:val="clear" w:color="auto" w:fill="12365B"/>
            <w:vAlign w:val="center"/>
          </w:tcPr>
          <w:p w14:paraId="4E83F54F" w14:textId="77777777" w:rsidR="008F77A4" w:rsidRDefault="001D6520">
            <w:pPr>
              <w:bidi/>
              <w:jc w:val="center"/>
            </w:pPr>
            <w:r>
              <w:rPr>
                <w:rFonts w:ascii="Traditional Arabic" w:eastAsia="Traditional Arabic" w:hAnsi="Traditional Arabic" w:cs="Traditional Arabic"/>
                <w:b/>
                <w:bCs/>
                <w:color w:val="FFFFFF"/>
                <w:sz w:val="24"/>
                <w:szCs w:val="24"/>
                <w:rtl/>
              </w:rPr>
              <w:t>الإجراء المتخذ في الفصل الثالث</w:t>
            </w:r>
          </w:p>
        </w:tc>
      </w:tr>
      <w:tr w:rsidR="008F77A4" w14:paraId="4E83F554" w14:textId="77777777" w:rsidTr="00F16B81">
        <w:tblPrEx>
          <w:tblCellMar>
            <w:top w:w="0" w:type="dxa"/>
            <w:bottom w:w="0" w:type="dxa"/>
          </w:tblCellMar>
        </w:tblPrEx>
        <w:trPr>
          <w:trHeight w:val="3088"/>
        </w:trPr>
        <w:tc>
          <w:tcPr>
            <w:tcW w:w="1031" w:type="dxa"/>
            <w:vAlign w:val="center"/>
          </w:tcPr>
          <w:p w14:paraId="4E83F551" w14:textId="77777777" w:rsidR="008F77A4" w:rsidRDefault="001D6520">
            <w:pPr>
              <w:bidi/>
              <w:jc w:val="center"/>
            </w:pPr>
            <w:r>
              <w:rPr>
                <w:rFonts w:ascii="Traditional Arabic" w:eastAsia="Traditional Arabic" w:hAnsi="Traditional Arabic" w:cs="Traditional Arabic"/>
                <w:b/>
                <w:bCs/>
                <w:sz w:val="22"/>
                <w:szCs w:val="22"/>
                <w:rtl/>
              </w:rPr>
              <w:t>1</w:t>
            </w:r>
          </w:p>
        </w:tc>
        <w:tc>
          <w:tcPr>
            <w:tcW w:w="6925" w:type="dxa"/>
            <w:vAlign w:val="center"/>
          </w:tcPr>
          <w:p w14:paraId="4E83F552" w14:textId="77777777" w:rsidR="008F77A4" w:rsidRDefault="001D6520">
            <w:pPr>
              <w:bidi/>
              <w:jc w:val="right"/>
            </w:pPr>
            <w:r>
              <w:rPr>
                <w:rFonts w:ascii="Traditional Arabic" w:eastAsia="Traditional Arabic" w:hAnsi="Traditional Arabic" w:cs="Traditional Arabic"/>
                <w:sz w:val="22"/>
                <w:szCs w:val="22"/>
                <w:rtl/>
              </w:rPr>
              <w:t>مشكلة وحدة التحليل ما زالت قائمة رغم تحسن النص؛ لا يمكن الجمع بين القول إن «المؤسسة هي وحدة التحليل» والقول إن «الاستجابة الفردية هي وحدة التحليل الإحصائي» مع افتراض استقلال جميع الاستجابات. فحص الحساسية باستبعاد الجهة الأكبر لا يحل Clustering إحصائيًا. يجب اختيار أحد مسارين بصورة حاسمة: إما اعتماد Key Informant / Individual Perception رسميًا، أو معالجة تعدد المستجيبين داخل المؤسسة عبر التجميع أو النمذجة متعددة المستويات.</w:t>
            </w:r>
          </w:p>
        </w:tc>
        <w:tc>
          <w:tcPr>
            <w:tcW w:w="6925" w:type="dxa"/>
            <w:vAlign w:val="center"/>
          </w:tcPr>
          <w:p w14:paraId="4E83F553" w14:textId="77777777" w:rsidR="008F77A4" w:rsidRDefault="001D6520">
            <w:pPr>
              <w:bidi/>
              <w:jc w:val="right"/>
            </w:pPr>
            <w:r>
              <w:rPr>
                <w:rFonts w:ascii="Traditional Arabic" w:eastAsia="Traditional Arabic" w:hAnsi="Traditional Arabic" w:cs="Traditional Arabic"/>
                <w:sz w:val="22"/>
                <w:szCs w:val="22"/>
                <w:rtl/>
              </w:rPr>
              <w:t>حُسمت المسألة نهائيًا باعتماد المسار الأول (كما اقترحت اللجنة): أُعيدت صياغة فقرة وحدة التحليل بالكامل لتنص صراحة على أن وحدة التحليل هي الفرد المستجيب بوصفه Key Informant يعكس إدراكًا فرديًا لممارسات مؤسسية (Individual Perception of Institutional Practices)، وأُزيل نهائيًا الادعاء المتناقض بأن «المؤسسة هي وحدة التحليل». وأُزيل أيضًا فحص الحساسية الذي كان يُقدَّم كحل جزئي لمشكلة Clustering، لأن المشكلة انتفت أصلًا بتبني وحدة التحليل الفردية بصورة معلنة ومتسقة مع نموذج PLS-SEM أحادي المستوى.</w:t>
            </w:r>
          </w:p>
        </w:tc>
      </w:tr>
      <w:tr w:rsidR="008F77A4" w14:paraId="4E83F558" w14:textId="77777777" w:rsidTr="00F16B81">
        <w:tblPrEx>
          <w:tblCellMar>
            <w:top w:w="0" w:type="dxa"/>
            <w:bottom w:w="0" w:type="dxa"/>
          </w:tblCellMar>
        </w:tblPrEx>
        <w:trPr>
          <w:trHeight w:val="4252"/>
        </w:trPr>
        <w:tc>
          <w:tcPr>
            <w:tcW w:w="1031" w:type="dxa"/>
            <w:shd w:val="clear" w:color="auto" w:fill="F2F2F2"/>
            <w:vAlign w:val="center"/>
          </w:tcPr>
          <w:p w14:paraId="4E83F555" w14:textId="77777777" w:rsidR="008F77A4" w:rsidRDefault="001D6520">
            <w:pPr>
              <w:bidi/>
              <w:jc w:val="center"/>
            </w:pPr>
            <w:r>
              <w:rPr>
                <w:rFonts w:ascii="Traditional Arabic" w:eastAsia="Traditional Arabic" w:hAnsi="Traditional Arabic" w:cs="Traditional Arabic"/>
                <w:b/>
                <w:bCs/>
                <w:sz w:val="22"/>
                <w:szCs w:val="22"/>
                <w:rtl/>
              </w:rPr>
              <w:t>2</w:t>
            </w:r>
          </w:p>
        </w:tc>
        <w:tc>
          <w:tcPr>
            <w:tcW w:w="6925" w:type="dxa"/>
            <w:shd w:val="clear" w:color="auto" w:fill="F2F2F2"/>
            <w:vAlign w:val="center"/>
          </w:tcPr>
          <w:p w14:paraId="4E83F556" w14:textId="77777777" w:rsidR="008F77A4" w:rsidRDefault="001D6520">
            <w:pPr>
              <w:bidi/>
              <w:jc w:val="right"/>
            </w:pPr>
            <w:r>
              <w:rPr>
                <w:rFonts w:ascii="Traditional Arabic" w:eastAsia="Traditional Arabic" w:hAnsi="Traditional Arabic" w:cs="Traditional Arabic"/>
                <w:sz w:val="22"/>
                <w:szCs w:val="22"/>
                <w:rtl/>
              </w:rPr>
              <w:t>الشق النوعي ما زال غير مكتمل مقارنة بقوة الشق الكمي، ولم يحدد الفصل: عدد المقابلات، طريقة اختيار المشاركين النوعيين، معيار التشبع، مدة المقابلة، دليل المقابلة، أسلوب التسجيل والتفريغ، مراحل الترميز، التحقق من الموثوقية النوعية، ولا آلية الدمج التفصيلية. وبما أن الدراسة أصبحت رسميًا Convergent Parallel Mixed Methods، فهذا الجزء يجب أن يُبنى بصورة كاملة.</w:t>
            </w:r>
          </w:p>
        </w:tc>
        <w:tc>
          <w:tcPr>
            <w:tcW w:w="6925" w:type="dxa"/>
            <w:shd w:val="clear" w:color="auto" w:fill="F2F2F2"/>
            <w:vAlign w:val="center"/>
          </w:tcPr>
          <w:p w14:paraId="4E83F557" w14:textId="77777777" w:rsidR="008F77A4" w:rsidRDefault="001D6520">
            <w:pPr>
              <w:bidi/>
              <w:jc w:val="right"/>
            </w:pPr>
            <w:r>
              <w:rPr>
                <w:rFonts w:ascii="Traditional Arabic" w:eastAsia="Traditional Arabic" w:hAnsi="Traditional Arabic" w:cs="Traditional Arabic"/>
                <w:sz w:val="22"/>
                <w:szCs w:val="22"/>
                <w:rtl/>
              </w:rPr>
              <w:t>بُني الشق النوعي بالكامل عبر خمس فقرات جديدة مفصّلة: (1) أسلوب اختيار المشاركين النوعيين (عينة قصدية بتباين أقصى عبر القطاعات الست والجهات المختلفة)؛ (2) دليل مقابلة شبه منظم من ثلاثة أقسام (استهلالي، أساسي بأسئلة موزعة على محاور النموذج، ختامي) يخضع للتحكيم؛ (3) ثلاث مراحل ترميز متتابعة وفق Braun &amp; Clarke (2006): ترميز مفتوح، ترميز محوري، تصنيف موضوعي انتقائي، مع مراجعة المشرف لعيّنة لا تقل عن 20% من الترميز؛ (4) معايير الموثوقية النوعية الثلاثة وفق Lincoln &amp; Guba (1985): المصداقية، إمكانية التتبع (Audit T</w:t>
            </w:r>
            <w:r>
              <w:rPr>
                <w:rFonts w:ascii="Traditional Arabic" w:eastAsia="Traditional Arabic" w:hAnsi="Traditional Arabic" w:cs="Traditional Arabic"/>
                <w:sz w:val="22"/>
                <w:szCs w:val="22"/>
                <w:rtl/>
              </w:rPr>
              <w:t>rail)، وقابلية التثبت (Reflexivity)؛ (5) آلية دمج تفصيلية عبر تقنية العرض المشترك (Joint Display) وفق Fetters, Curry &amp; Creswell (2013) بجدول مقارنة جنبًا إلى جنب في الفصل الرابع.</w:t>
            </w:r>
          </w:p>
        </w:tc>
      </w:tr>
      <w:tr w:rsidR="008F77A4" w14:paraId="4E83F55C" w14:textId="77777777" w:rsidTr="00F16B81">
        <w:tblPrEx>
          <w:tblCellMar>
            <w:top w:w="0" w:type="dxa"/>
            <w:bottom w:w="0" w:type="dxa"/>
          </w:tblCellMar>
        </w:tblPrEx>
        <w:trPr>
          <w:trHeight w:val="1151"/>
        </w:trPr>
        <w:tc>
          <w:tcPr>
            <w:tcW w:w="1031" w:type="dxa"/>
            <w:vAlign w:val="center"/>
          </w:tcPr>
          <w:p w14:paraId="4E83F559" w14:textId="77777777" w:rsidR="008F77A4" w:rsidRDefault="001D6520">
            <w:pPr>
              <w:bidi/>
              <w:jc w:val="center"/>
            </w:pPr>
            <w:r>
              <w:rPr>
                <w:rFonts w:ascii="Traditional Arabic" w:eastAsia="Traditional Arabic" w:hAnsi="Traditional Arabic" w:cs="Traditional Arabic"/>
                <w:b/>
                <w:bCs/>
                <w:sz w:val="22"/>
                <w:szCs w:val="22"/>
                <w:rtl/>
              </w:rPr>
              <w:lastRenderedPageBreak/>
              <w:t>3</w:t>
            </w:r>
          </w:p>
        </w:tc>
        <w:tc>
          <w:tcPr>
            <w:tcW w:w="6925" w:type="dxa"/>
            <w:vAlign w:val="center"/>
          </w:tcPr>
          <w:p w14:paraId="4E83F55A" w14:textId="77777777" w:rsidR="008F77A4" w:rsidRDefault="001D6520">
            <w:pPr>
              <w:bidi/>
              <w:jc w:val="right"/>
            </w:pPr>
            <w:r>
              <w:rPr>
                <w:rFonts w:ascii="Traditional Arabic" w:eastAsia="Traditional Arabic" w:hAnsi="Traditional Arabic" w:cs="Traditional Arabic"/>
                <w:sz w:val="22"/>
                <w:szCs w:val="22"/>
                <w:rtl/>
              </w:rPr>
              <w:t>G*Power ما زال مؤقتًا وليس نهائيًا؛ فعدد المتنبئات (3) وُصف بأنه «تحفظي» مع الإشارة إلى إعادة التحقق «عند حسم الفروض النهائية». يجب حسم الفروض والنموذج البنائي أولًا، وإذا وُجدت مسارات مباشرة من التحول الرقمي والاستدامة إلى الأداء إلى جانب الحوكمة الذكية وسلامة الأصول، فقد يصبح عدد المتنبئات 4 لا 3.</w:t>
            </w:r>
          </w:p>
        </w:tc>
        <w:tc>
          <w:tcPr>
            <w:tcW w:w="6925" w:type="dxa"/>
            <w:vAlign w:val="center"/>
          </w:tcPr>
          <w:p w14:paraId="4E83F55B" w14:textId="77777777" w:rsidR="008F77A4" w:rsidRDefault="001D6520">
            <w:pPr>
              <w:bidi/>
              <w:jc w:val="right"/>
            </w:pPr>
            <w:r>
              <w:rPr>
                <w:rFonts w:ascii="Traditional Arabic" w:eastAsia="Traditional Arabic" w:hAnsi="Traditional Arabic" w:cs="Traditional Arabic"/>
                <w:sz w:val="22"/>
                <w:szCs w:val="22"/>
                <w:rtl/>
              </w:rPr>
              <w:t>حُسم النموذج البنائي نهائيًا كنموذج وساطة جزئية (Partial Mediation) يتضمن أربعة مسارات مباشرة إلى الأداء المؤسسي (من التحول الرقمي، الاستدامة المؤسسية، الحوكمة الذكية، وسلامة الأصول)، وأُعيد حساب G*Power على هذا الأساس النهائي بعدد متنبئات = 4، مع تحديث الحد الأدنى المطلوب إلى (≥85)، وإزالة كل لغة "تحفظي" أو "سيعاد التحقق لاحقًا".</w:t>
            </w:r>
          </w:p>
        </w:tc>
      </w:tr>
      <w:tr w:rsidR="008F77A4" w14:paraId="4E83F560" w14:textId="77777777" w:rsidTr="00F16B81">
        <w:tblPrEx>
          <w:tblCellMar>
            <w:top w:w="0" w:type="dxa"/>
            <w:bottom w:w="0" w:type="dxa"/>
          </w:tblCellMar>
        </w:tblPrEx>
        <w:trPr>
          <w:trHeight w:val="169"/>
        </w:trPr>
        <w:tc>
          <w:tcPr>
            <w:tcW w:w="1031" w:type="dxa"/>
            <w:shd w:val="clear" w:color="auto" w:fill="F2F2F2"/>
            <w:vAlign w:val="center"/>
          </w:tcPr>
          <w:p w14:paraId="4E83F55D" w14:textId="77777777" w:rsidR="008F77A4" w:rsidRDefault="001D6520">
            <w:pPr>
              <w:bidi/>
              <w:jc w:val="center"/>
            </w:pPr>
            <w:r>
              <w:rPr>
                <w:rFonts w:ascii="Traditional Arabic" w:eastAsia="Traditional Arabic" w:hAnsi="Traditional Arabic" w:cs="Traditional Arabic"/>
                <w:b/>
                <w:bCs/>
                <w:sz w:val="22"/>
                <w:szCs w:val="22"/>
                <w:rtl/>
              </w:rPr>
              <w:t>4</w:t>
            </w:r>
          </w:p>
        </w:tc>
        <w:tc>
          <w:tcPr>
            <w:tcW w:w="6925" w:type="dxa"/>
            <w:shd w:val="clear" w:color="auto" w:fill="F2F2F2"/>
            <w:vAlign w:val="center"/>
          </w:tcPr>
          <w:p w14:paraId="4E83F55E" w14:textId="77777777" w:rsidR="008F77A4" w:rsidRDefault="001D6520">
            <w:pPr>
              <w:bidi/>
              <w:jc w:val="right"/>
            </w:pPr>
            <w:r>
              <w:rPr>
                <w:rFonts w:ascii="Traditional Arabic" w:eastAsia="Traditional Arabic" w:hAnsi="Traditional Arabic" w:cs="Traditional Arabic"/>
                <w:sz w:val="22"/>
                <w:szCs w:val="22"/>
                <w:rtl/>
              </w:rPr>
              <w:t>توجد مشكلة رياضية بين تقدير المجتمع (150-250) والعينة المستهدفة (235)؛ فإذا كان المجتمع المؤهل قريبًا من 150 فلا يمكن الحصول على 235 استجابة مستقلة، وحتى مع 250 فإن الحصول على 235 يعني استجابة شبه كاملة. يجب تحديد المجتمع المتاح (Accessible Population) بصورة أكثر واقعية، ثم تحديد عدد الاستبانات التي ستوزع للحصول على 200 استجابة صالحة.</w:t>
            </w:r>
          </w:p>
        </w:tc>
        <w:tc>
          <w:tcPr>
            <w:tcW w:w="6925" w:type="dxa"/>
            <w:shd w:val="clear" w:color="auto" w:fill="F2F2F2"/>
            <w:vAlign w:val="center"/>
          </w:tcPr>
          <w:p w14:paraId="4E83F55F" w14:textId="77777777" w:rsidR="008F77A4" w:rsidRDefault="001D6520">
            <w:pPr>
              <w:bidi/>
              <w:jc w:val="right"/>
            </w:pPr>
            <w:r>
              <w:rPr>
                <w:rFonts w:ascii="Traditional Arabic" w:eastAsia="Traditional Arabic" w:hAnsi="Traditional Arabic" w:cs="Traditional Arabic"/>
                <w:sz w:val="22"/>
                <w:szCs w:val="22"/>
                <w:rtl/>
              </w:rPr>
              <w:t>فُصل التقدير إلى مستويين: المجتمع النظري الدقيق (150-250 فردًا، للخبراء الأعلى تخصصًا) والمجتمع المتاح الأوسع فعليًا (450-600 فردًا، يشمل المستوى الإداري والتخصصي المساند عبر جميع الجهات). ستُوزَّع الاستبانة على المجتمع المتاح، لتحقيق (235) استجابة صالحة بمعدل استجابة واقعي متوقع (39%-52%) بدل استهداف شبه كامل لمجتمع محدود العدد.</w:t>
            </w:r>
          </w:p>
        </w:tc>
      </w:tr>
      <w:tr w:rsidR="008F77A4" w14:paraId="4E83F564" w14:textId="77777777" w:rsidTr="00F16B81">
        <w:tblPrEx>
          <w:tblCellMar>
            <w:top w:w="0" w:type="dxa"/>
            <w:bottom w:w="0" w:type="dxa"/>
          </w:tblCellMar>
        </w:tblPrEx>
        <w:trPr>
          <w:trHeight w:val="169"/>
        </w:trPr>
        <w:tc>
          <w:tcPr>
            <w:tcW w:w="1031" w:type="dxa"/>
            <w:vAlign w:val="center"/>
          </w:tcPr>
          <w:p w14:paraId="4E83F561" w14:textId="77777777" w:rsidR="008F77A4" w:rsidRDefault="001D6520">
            <w:pPr>
              <w:bidi/>
              <w:jc w:val="center"/>
            </w:pPr>
            <w:r>
              <w:rPr>
                <w:rFonts w:ascii="Traditional Arabic" w:eastAsia="Traditional Arabic" w:hAnsi="Traditional Arabic" w:cs="Traditional Arabic"/>
                <w:b/>
                <w:bCs/>
                <w:sz w:val="22"/>
                <w:szCs w:val="22"/>
                <w:rtl/>
              </w:rPr>
              <w:t>5</w:t>
            </w:r>
          </w:p>
        </w:tc>
        <w:tc>
          <w:tcPr>
            <w:tcW w:w="6925" w:type="dxa"/>
            <w:vAlign w:val="center"/>
          </w:tcPr>
          <w:p w14:paraId="4E83F562" w14:textId="77777777" w:rsidR="008F77A4" w:rsidRDefault="001D6520">
            <w:pPr>
              <w:bidi/>
              <w:jc w:val="right"/>
            </w:pPr>
            <w:r>
              <w:rPr>
                <w:rFonts w:ascii="Traditional Arabic" w:eastAsia="Traditional Arabic" w:hAnsi="Traditional Arabic" w:cs="Traditional Arabic"/>
                <w:sz w:val="22"/>
                <w:szCs w:val="22"/>
                <w:rtl/>
              </w:rPr>
              <w:t>لا ينبغي وصف الاستبانة بـ82 فقرة بأنها «النسخة النهائية» بينما سيُستخدم Pilot Study لاحقًا لحذف أو دمج فقرات؛ الأدق وصفها بأنها نسخة أولية/ما قبل نهائية يُحدَّد العدد النهائي بعدها.</w:t>
            </w:r>
          </w:p>
        </w:tc>
        <w:tc>
          <w:tcPr>
            <w:tcW w:w="6925" w:type="dxa"/>
            <w:vAlign w:val="center"/>
          </w:tcPr>
          <w:p w14:paraId="4E83F563" w14:textId="77777777" w:rsidR="008F77A4" w:rsidRDefault="001D6520">
            <w:pPr>
              <w:bidi/>
              <w:jc w:val="right"/>
            </w:pPr>
            <w:r>
              <w:rPr>
                <w:rFonts w:ascii="Traditional Arabic" w:eastAsia="Traditional Arabic" w:hAnsi="Traditional Arabic" w:cs="Traditional Arabic"/>
                <w:sz w:val="22"/>
                <w:szCs w:val="22"/>
                <w:rtl/>
              </w:rPr>
              <w:t>استُبدل وصف "النسخة النهائية" بـ"النسخة الأولية (ما قبل النهائية)"، مع توضيح صريح أن العدد النهائي الفعلي سيُحدَّد بعد استكمال إجراءات التحكيم (CVR) والدراسة الاستطلاعية وما قد ينتج عنهما من حذف أو دمج.</w:t>
            </w:r>
          </w:p>
        </w:tc>
      </w:tr>
      <w:tr w:rsidR="008F77A4" w14:paraId="4E83F568" w14:textId="77777777" w:rsidTr="00F16B81">
        <w:tblPrEx>
          <w:tblCellMar>
            <w:top w:w="0" w:type="dxa"/>
            <w:bottom w:w="0" w:type="dxa"/>
          </w:tblCellMar>
        </w:tblPrEx>
        <w:trPr>
          <w:trHeight w:val="169"/>
        </w:trPr>
        <w:tc>
          <w:tcPr>
            <w:tcW w:w="1031" w:type="dxa"/>
            <w:shd w:val="clear" w:color="auto" w:fill="F2F2F2"/>
            <w:vAlign w:val="center"/>
          </w:tcPr>
          <w:p w14:paraId="4E83F565" w14:textId="77777777" w:rsidR="008F77A4" w:rsidRDefault="001D6520">
            <w:pPr>
              <w:bidi/>
              <w:jc w:val="center"/>
            </w:pPr>
            <w:r>
              <w:rPr>
                <w:rFonts w:ascii="Traditional Arabic" w:eastAsia="Traditional Arabic" w:hAnsi="Traditional Arabic" w:cs="Traditional Arabic"/>
                <w:b/>
                <w:bCs/>
                <w:sz w:val="22"/>
                <w:szCs w:val="22"/>
                <w:rtl/>
              </w:rPr>
              <w:t>6</w:t>
            </w:r>
          </w:p>
        </w:tc>
        <w:tc>
          <w:tcPr>
            <w:tcW w:w="6925" w:type="dxa"/>
            <w:shd w:val="clear" w:color="auto" w:fill="F2F2F2"/>
            <w:vAlign w:val="center"/>
          </w:tcPr>
          <w:p w14:paraId="4E83F566" w14:textId="77777777" w:rsidR="008F77A4" w:rsidRDefault="001D6520">
            <w:pPr>
              <w:bidi/>
              <w:jc w:val="right"/>
            </w:pPr>
            <w:r>
              <w:rPr>
                <w:rFonts w:ascii="Traditional Arabic" w:eastAsia="Traditional Arabic" w:hAnsi="Traditional Arabic" w:cs="Traditional Arabic"/>
                <w:sz w:val="22"/>
                <w:szCs w:val="22"/>
                <w:rtl/>
              </w:rPr>
              <w:t>يوجد عدم اتساق متبقٍ في الأزمنة المتعلقة بالتحكيم؛ ورد في موضع «ستُعرض الاستبانة على 12 محكمًا» بصيغة المستقبل، بينما ورد لاحقًا «بلغ عدد المحكمين 12» و«تألفت هيئة التحكيم من 12 محكمًا» بصيغة الماضي وكأن التحكيم قد تم فعليًا.</w:t>
            </w:r>
          </w:p>
        </w:tc>
        <w:tc>
          <w:tcPr>
            <w:tcW w:w="6925" w:type="dxa"/>
            <w:shd w:val="clear" w:color="auto" w:fill="F2F2F2"/>
            <w:vAlign w:val="center"/>
          </w:tcPr>
          <w:p w14:paraId="4E83F567" w14:textId="77777777" w:rsidR="008F77A4" w:rsidRDefault="001D6520">
            <w:pPr>
              <w:bidi/>
              <w:jc w:val="right"/>
            </w:pPr>
            <w:r>
              <w:rPr>
                <w:rFonts w:ascii="Traditional Arabic" w:eastAsia="Traditional Arabic" w:hAnsi="Traditional Arabic" w:cs="Traditional Arabic"/>
                <w:sz w:val="22"/>
                <w:szCs w:val="22"/>
                <w:rtl/>
              </w:rPr>
              <w:t>صُححت جميع الأفعال المتبقية بصيغة الماضي (بلغ، تألفت) إلى صيغة الحاضر/المستقبل (يبلغ، تتألف/سيتوزَّعون)، بما يوحّد الزمن بالكامل عبر قسمي وصف هيئة التحكيم ومعادلة CVR.</w:t>
            </w:r>
          </w:p>
        </w:tc>
      </w:tr>
      <w:tr w:rsidR="008F77A4" w14:paraId="4E83F56C" w14:textId="77777777" w:rsidTr="00F16B81">
        <w:tblPrEx>
          <w:tblCellMar>
            <w:top w:w="0" w:type="dxa"/>
            <w:bottom w:w="0" w:type="dxa"/>
          </w:tblCellMar>
        </w:tblPrEx>
        <w:trPr>
          <w:trHeight w:val="2316"/>
        </w:trPr>
        <w:tc>
          <w:tcPr>
            <w:tcW w:w="1031" w:type="dxa"/>
            <w:vAlign w:val="center"/>
          </w:tcPr>
          <w:p w14:paraId="4E83F569" w14:textId="77777777" w:rsidR="008F77A4" w:rsidRDefault="001D6520">
            <w:pPr>
              <w:bidi/>
              <w:jc w:val="center"/>
            </w:pPr>
            <w:r>
              <w:rPr>
                <w:rFonts w:ascii="Traditional Arabic" w:eastAsia="Traditional Arabic" w:hAnsi="Traditional Arabic" w:cs="Traditional Arabic"/>
                <w:b/>
                <w:bCs/>
                <w:sz w:val="22"/>
                <w:szCs w:val="22"/>
                <w:rtl/>
              </w:rPr>
              <w:t>7</w:t>
            </w:r>
          </w:p>
        </w:tc>
        <w:tc>
          <w:tcPr>
            <w:tcW w:w="6925" w:type="dxa"/>
            <w:vAlign w:val="center"/>
          </w:tcPr>
          <w:p w14:paraId="4E83F56A" w14:textId="77777777" w:rsidR="008F77A4" w:rsidRDefault="001D6520">
            <w:pPr>
              <w:bidi/>
              <w:jc w:val="right"/>
            </w:pPr>
            <w:r>
              <w:rPr>
                <w:rFonts w:ascii="Traditional Arabic" w:eastAsia="Traditional Arabic" w:hAnsi="Traditional Arabic" w:cs="Traditional Arabic"/>
                <w:sz w:val="22"/>
                <w:szCs w:val="22"/>
                <w:rtl/>
              </w:rPr>
              <w:t>النموذج Reflective-Reflective يحتاج تثبيتًا نظريًا قبل التحليل؛ فالعبارة التي تقول إن التصنيف سيُعاد فحصه تجريبيًا لاحقًا ليست الأفضل. تحديد ما إذا كانت البنية انعكاسية أو تكوينية يجب أن يعتمد على طبيعة العلاقة النظرية بين البنية وأبعادها، لا على أن نتائج الاتساق الداخلي ظهرت جيدة أو ضعيفة.</w:t>
            </w:r>
          </w:p>
        </w:tc>
        <w:tc>
          <w:tcPr>
            <w:tcW w:w="6925" w:type="dxa"/>
            <w:vAlign w:val="center"/>
          </w:tcPr>
          <w:p w14:paraId="4E83F56B" w14:textId="77777777" w:rsidR="008F77A4" w:rsidRDefault="001D6520">
            <w:pPr>
              <w:bidi/>
              <w:jc w:val="right"/>
            </w:pPr>
            <w:r>
              <w:rPr>
                <w:rFonts w:ascii="Traditional Arabic" w:eastAsia="Traditional Arabic" w:hAnsi="Traditional Arabic" w:cs="Traditional Arabic"/>
                <w:sz w:val="22"/>
                <w:szCs w:val="22"/>
                <w:rtl/>
              </w:rPr>
              <w:t>حُذفت عبارة "سيُعاد الفحص تجريبيًا في الفصل الرابع" نهائيًا، واستُبدلت بتأسيس نظري صريح مسبق (A Priori) وفق محكات Jarvis, MacKenzie &amp; Podsakoff (2003) الأربعة (اتجاه العلاقة السببية، قابلية تبادل المؤشرات، توقع التعاون بين الأبعاد، اتساق الشبكة النوموثيقية)، مطبَّقة نظريًا على كل متغير قبل اعتماد التصنيف، مع تنويه صريح بأن الاستدلال من النتائج الإحصائية اللاحقة على صحة القرار النظري يُعدّ خطأً منهجيًا معكوس الاتجاه.</w:t>
            </w:r>
          </w:p>
        </w:tc>
      </w:tr>
    </w:tbl>
    <w:p w14:paraId="4E83F56D" w14:textId="77777777" w:rsidR="001D6520" w:rsidRDefault="001D6520"/>
    <w:sectPr w:rsidR="001D6520">
      <w:pgSz w:w="16838" w:h="11906"/>
      <w:pgMar w:top="900" w:right="700" w:bottom="900" w:left="7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550FE"/>
    <w:multiLevelType w:val="hybridMultilevel"/>
    <w:tmpl w:val="CBC4923C"/>
    <w:lvl w:ilvl="0" w:tplc="8D2E9FB8">
      <w:start w:val="1"/>
      <w:numFmt w:val="bullet"/>
      <w:lvlText w:val="●"/>
      <w:lvlJc w:val="left"/>
      <w:pPr>
        <w:ind w:left="720" w:hanging="360"/>
      </w:pPr>
    </w:lvl>
    <w:lvl w:ilvl="1" w:tplc="C5D8921C">
      <w:start w:val="1"/>
      <w:numFmt w:val="bullet"/>
      <w:lvlText w:val="○"/>
      <w:lvlJc w:val="left"/>
      <w:pPr>
        <w:ind w:left="1440" w:hanging="360"/>
      </w:pPr>
    </w:lvl>
    <w:lvl w:ilvl="2" w:tplc="B12A46D0">
      <w:start w:val="1"/>
      <w:numFmt w:val="bullet"/>
      <w:lvlText w:val="■"/>
      <w:lvlJc w:val="left"/>
      <w:pPr>
        <w:ind w:left="2160" w:hanging="360"/>
      </w:pPr>
    </w:lvl>
    <w:lvl w:ilvl="3" w:tplc="EDA475CA">
      <w:start w:val="1"/>
      <w:numFmt w:val="bullet"/>
      <w:lvlText w:val="●"/>
      <w:lvlJc w:val="left"/>
      <w:pPr>
        <w:ind w:left="2880" w:hanging="360"/>
      </w:pPr>
    </w:lvl>
    <w:lvl w:ilvl="4" w:tplc="556EF2A0">
      <w:start w:val="1"/>
      <w:numFmt w:val="bullet"/>
      <w:lvlText w:val="○"/>
      <w:lvlJc w:val="left"/>
      <w:pPr>
        <w:ind w:left="3600" w:hanging="360"/>
      </w:pPr>
    </w:lvl>
    <w:lvl w:ilvl="5" w:tplc="676E7378">
      <w:start w:val="1"/>
      <w:numFmt w:val="bullet"/>
      <w:lvlText w:val="■"/>
      <w:lvlJc w:val="left"/>
      <w:pPr>
        <w:ind w:left="4320" w:hanging="360"/>
      </w:pPr>
    </w:lvl>
    <w:lvl w:ilvl="6" w:tplc="4FAA8168">
      <w:start w:val="1"/>
      <w:numFmt w:val="bullet"/>
      <w:lvlText w:val="●"/>
      <w:lvlJc w:val="left"/>
      <w:pPr>
        <w:ind w:left="5040" w:hanging="360"/>
      </w:pPr>
    </w:lvl>
    <w:lvl w:ilvl="7" w:tplc="F7307F56">
      <w:start w:val="1"/>
      <w:numFmt w:val="bullet"/>
      <w:lvlText w:val="●"/>
      <w:lvlJc w:val="left"/>
      <w:pPr>
        <w:ind w:left="5760" w:hanging="360"/>
      </w:pPr>
    </w:lvl>
    <w:lvl w:ilvl="8" w:tplc="62A4BA4E">
      <w:start w:val="1"/>
      <w:numFmt w:val="bullet"/>
      <w:lvlText w:val="●"/>
      <w:lvlJc w:val="left"/>
      <w:pPr>
        <w:ind w:left="6480" w:hanging="360"/>
      </w:pPr>
    </w:lvl>
  </w:abstractNum>
  <w:num w:numId="1" w16cid:durableId="9609213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7A4"/>
    <w:rsid w:val="001D6520"/>
    <w:rsid w:val="008F77A4"/>
    <w:rsid w:val="009144C4"/>
    <w:rsid w:val="00B21551"/>
    <w:rsid w:val="00F16B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3F548"/>
  <w15:docId w15:val="{BFCAC807-A704-44B0-A416-460BCFA94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4424</Characters>
  <Application>Microsoft Office Word</Application>
  <DocSecurity>0</DocSecurity>
  <Lines>36</Lines>
  <Paragraphs>10</Paragraphs>
  <ScaleCrop>false</ScaleCrop>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maged hilal</cp:lastModifiedBy>
  <cp:revision>2</cp:revision>
  <dcterms:created xsi:type="dcterms:W3CDTF">2026-08-17T17:31:00Z</dcterms:created>
  <dcterms:modified xsi:type="dcterms:W3CDTF">2026-08-17T17:31:00Z</dcterms:modified>
</cp:coreProperties>
</file>