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479" w:rsidRPr="00F75B20" w:rsidRDefault="00905479" w:rsidP="00905479">
      <w:pPr>
        <w:bidi/>
        <w:spacing w:line="360" w:lineRule="auto"/>
        <w:jc w:val="center"/>
        <w:rPr>
          <w:rFonts w:ascii="Traditional Arabic" w:hAnsi="Traditional Arabic" w:cs="Traditional Arabic"/>
          <w:b/>
          <w:bCs/>
          <w:sz w:val="32"/>
          <w:szCs w:val="32"/>
          <w:lang w:val="en-US"/>
        </w:rPr>
      </w:pPr>
      <w:proofErr w:type="gramStart"/>
      <w:r w:rsidRPr="00F75B20">
        <w:rPr>
          <w:rFonts w:ascii="Traditional Arabic" w:hAnsi="Traditional Arabic" w:cs="Traditional Arabic"/>
          <w:b/>
          <w:bCs/>
          <w:sz w:val="32"/>
          <w:szCs w:val="32"/>
          <w:rtl/>
        </w:rPr>
        <w:t>الفصل</w:t>
      </w:r>
      <w:proofErr w:type="gramEnd"/>
      <w:r w:rsidRPr="00F75B20">
        <w:rPr>
          <w:rFonts w:ascii="Traditional Arabic" w:hAnsi="Traditional Arabic" w:cs="Traditional Arabic"/>
          <w:b/>
          <w:bCs/>
          <w:sz w:val="32"/>
          <w:szCs w:val="32"/>
          <w:rtl/>
        </w:rPr>
        <w:t xml:space="preserve"> الثالث</w:t>
      </w:r>
    </w:p>
    <w:p w:rsidR="00905479" w:rsidRPr="00F75B20" w:rsidRDefault="00905479" w:rsidP="00905479">
      <w:pPr>
        <w:bidi/>
        <w:spacing w:line="360" w:lineRule="auto"/>
        <w:jc w:val="center"/>
        <w:rPr>
          <w:rFonts w:ascii="Traditional Arabic" w:hAnsi="Traditional Arabic" w:cs="Traditional Arabic"/>
          <w:b/>
          <w:bCs/>
          <w:sz w:val="32"/>
          <w:szCs w:val="32"/>
          <w:lang w:val="en-US"/>
        </w:rPr>
      </w:pPr>
      <w:r w:rsidRPr="00F75B20">
        <w:rPr>
          <w:rFonts w:ascii="Traditional Arabic" w:hAnsi="Traditional Arabic" w:cs="Traditional Arabic"/>
          <w:b/>
          <w:bCs/>
          <w:sz w:val="32"/>
          <w:szCs w:val="32"/>
          <w:rtl/>
        </w:rPr>
        <w:t>منهجية الدراسة وإجراءاتها</w:t>
      </w:r>
    </w:p>
    <w:p w:rsidR="00905479" w:rsidRPr="00F75B20" w:rsidRDefault="00905479" w:rsidP="00905479">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3.1 مقدمة</w:t>
      </w:r>
    </w:p>
    <w:p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rPr>
        <w:t>تتناول الدراسة الحالية تحليل مستوى نضج التخطيط الاستراتيجي وأثره في تعزيز التكامل المؤسسي في المنظمات التابعة لمجلس التعاون الخليجي، وذلك من خلال منهجية علمية تهدف إلى توفير بيانات دقيقة وموثوقة تسهم في اختبار فرضيات الدراسة والإجابة عن أسئلتها. وتُعد المنهجية العلمية الأساس الذي تستند إليه الدراسات الكمية في بناء إجراءاتها، إذ تضمن اختيار المنهج المناسب، وتحديد مجتمع الدراسة وعينتها، وبناء أداة قياس تتمتع بدرجات مرتفعة من الصدق والثبات، وصولًا إلى اختيار الأساليب الإحصائية الملائمة لتحليل البيانات واستخلاص النتائج (</w:t>
      </w:r>
      <w:r w:rsidRPr="00F75B20">
        <w:rPr>
          <w:rFonts w:ascii="Traditional Arabic" w:hAnsi="Traditional Arabic" w:cs="Traditional Arabic"/>
          <w:sz w:val="28"/>
          <w:szCs w:val="28"/>
        </w:rPr>
        <w:t>Creswell &amp; Creswell, 2023</w:t>
      </w:r>
      <w:r w:rsidRPr="00F75B20">
        <w:rPr>
          <w:rFonts w:ascii="Traditional Arabic" w:hAnsi="Traditional Arabic" w:cs="Traditional Arabic"/>
          <w:sz w:val="28"/>
          <w:szCs w:val="28"/>
          <w:rtl/>
        </w:rPr>
        <w:t xml:space="preserve">؛ </w:t>
      </w:r>
      <w:r w:rsidRPr="00F75B20">
        <w:rPr>
          <w:rFonts w:ascii="Traditional Arabic" w:hAnsi="Traditional Arabic" w:cs="Traditional Arabic"/>
          <w:sz w:val="28"/>
          <w:szCs w:val="28"/>
        </w:rPr>
        <w:t>Saunders et al.</w:t>
      </w:r>
      <w:proofErr w:type="gramStart"/>
      <w:r w:rsidRPr="00F75B20">
        <w:rPr>
          <w:rFonts w:ascii="Traditional Arabic" w:hAnsi="Traditional Arabic" w:cs="Traditional Arabic"/>
          <w:sz w:val="28"/>
          <w:szCs w:val="28"/>
        </w:rPr>
        <w:t>, 2023</w:t>
      </w:r>
      <w:r w:rsidRPr="00F75B20">
        <w:rPr>
          <w:rFonts w:ascii="Traditional Arabic" w:hAnsi="Traditional Arabic" w:cs="Traditional Arabic"/>
          <w:sz w:val="28"/>
          <w:szCs w:val="28"/>
          <w:rtl/>
        </w:rPr>
        <w:t>).</w:t>
      </w:r>
      <w:proofErr w:type="gramEnd"/>
    </w:p>
    <w:p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rPr>
        <w:t xml:space="preserve">وانطلاقًا من طبيعة الدراسة وأهدافها، اعتمدت الباحثة المنهج الوصفي التحليلي؛ لملاءمته لدراسة الظواهر التنظيمية كما هي في واقعها، ووصفها وتحليل العلاقات بين متغيراتها دون التدخل فيها، وذلك من خلال جمع البيانات من أفراد الدراسة باستخدام الاستبانة وتحليلها إحصائيًا. ويُعد هذا المنهج من أكثر المناهج استخدامًا في الدراسات الإدارية التي تستهدف تفسير العلاقات بين المتغيرات واختبار النماذج </w:t>
      </w:r>
      <w:proofErr w:type="spellStart"/>
      <w:r w:rsidRPr="00F75B20">
        <w:rPr>
          <w:rFonts w:ascii="Traditional Arabic" w:hAnsi="Traditional Arabic" w:cs="Traditional Arabic"/>
          <w:sz w:val="28"/>
          <w:szCs w:val="28"/>
          <w:rtl/>
        </w:rPr>
        <w:t>المفاهيمية</w:t>
      </w:r>
      <w:proofErr w:type="spellEnd"/>
      <w:r w:rsidRPr="00F75B20">
        <w:rPr>
          <w:rFonts w:ascii="Traditional Arabic" w:hAnsi="Traditional Arabic" w:cs="Traditional Arabic"/>
          <w:sz w:val="28"/>
          <w:szCs w:val="28"/>
          <w:rtl/>
        </w:rPr>
        <w:t xml:space="preserve"> وقياس أثر المتغيرات المستقلة في المتغيرات التابعة (</w:t>
      </w:r>
      <w:proofErr w:type="spellStart"/>
      <w:r w:rsidRPr="00F75B20">
        <w:rPr>
          <w:rFonts w:ascii="Traditional Arabic" w:hAnsi="Traditional Arabic" w:cs="Traditional Arabic"/>
          <w:sz w:val="28"/>
          <w:szCs w:val="28"/>
        </w:rPr>
        <w:t>Sekaran</w:t>
      </w:r>
      <w:proofErr w:type="spellEnd"/>
      <w:r w:rsidRPr="00F75B20">
        <w:rPr>
          <w:rFonts w:ascii="Traditional Arabic" w:hAnsi="Traditional Arabic" w:cs="Traditional Arabic"/>
          <w:sz w:val="28"/>
          <w:szCs w:val="28"/>
        </w:rPr>
        <w:t xml:space="preserve"> &amp; </w:t>
      </w:r>
      <w:proofErr w:type="spellStart"/>
      <w:r w:rsidRPr="00F75B20">
        <w:rPr>
          <w:rFonts w:ascii="Traditional Arabic" w:hAnsi="Traditional Arabic" w:cs="Traditional Arabic"/>
          <w:sz w:val="28"/>
          <w:szCs w:val="28"/>
        </w:rPr>
        <w:t>Bougie</w:t>
      </w:r>
      <w:proofErr w:type="spellEnd"/>
      <w:r w:rsidRPr="00F75B20">
        <w:rPr>
          <w:rFonts w:ascii="Traditional Arabic" w:hAnsi="Traditional Arabic" w:cs="Traditional Arabic"/>
          <w:sz w:val="28"/>
          <w:szCs w:val="28"/>
        </w:rPr>
        <w:t>, 2020</w:t>
      </w:r>
      <w:r w:rsidRPr="00F75B20">
        <w:rPr>
          <w:rFonts w:ascii="Traditional Arabic" w:hAnsi="Traditional Arabic" w:cs="Traditional Arabic"/>
          <w:sz w:val="28"/>
          <w:szCs w:val="28"/>
          <w:rtl/>
        </w:rPr>
        <w:t xml:space="preserve">؛ </w:t>
      </w:r>
      <w:r w:rsidRPr="00F75B20">
        <w:rPr>
          <w:rFonts w:ascii="Traditional Arabic" w:hAnsi="Traditional Arabic" w:cs="Traditional Arabic"/>
          <w:sz w:val="28"/>
          <w:szCs w:val="28"/>
        </w:rPr>
        <w:t>Hair et al.</w:t>
      </w:r>
      <w:proofErr w:type="gramStart"/>
      <w:r w:rsidRPr="00F75B20">
        <w:rPr>
          <w:rFonts w:ascii="Traditional Arabic" w:hAnsi="Traditional Arabic" w:cs="Traditional Arabic"/>
          <w:sz w:val="28"/>
          <w:szCs w:val="28"/>
        </w:rPr>
        <w:t>, 2022</w:t>
      </w:r>
      <w:r w:rsidRPr="00F75B20">
        <w:rPr>
          <w:rFonts w:ascii="Traditional Arabic" w:hAnsi="Traditional Arabic" w:cs="Traditional Arabic"/>
          <w:sz w:val="28"/>
          <w:szCs w:val="28"/>
          <w:rtl/>
        </w:rPr>
        <w:t>).</w:t>
      </w:r>
      <w:proofErr w:type="gramEnd"/>
    </w:p>
    <w:p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rPr>
        <w:t>ويتضمن هذا الفصل عرضًا مفصلًا للإجراءات المنهجية التي اتبعتها الباحثة في تنفيذ الدراسة، حيث يستعرض منهج الدراسة، وتصميمها، ومجتمع الدراسة وعينتها، ومتغيرات الدراسة، وبناء أداة الدراسة ووصفها، وإجراءات التحقق من صدقها وثباتها، إضافة إلى إجراءات تنفيذ الدراسة والأساليب الإحصائية المستخدمة في معالجة البيانات وتحليلها، بما يضمن سلامة الإجراءات المنهجية ودقة النتائج التي سيتم التوصل إليها</w:t>
      </w:r>
      <w:r w:rsidRPr="00F75B20">
        <w:rPr>
          <w:rFonts w:ascii="Traditional Arabic" w:hAnsi="Traditional Arabic" w:cs="Traditional Arabic"/>
          <w:sz w:val="28"/>
          <w:szCs w:val="28"/>
          <w:lang w:val="en-US"/>
        </w:rPr>
        <w:t>.</w:t>
      </w:r>
    </w:p>
    <w:p w:rsidR="00905479" w:rsidRPr="00F75B20" w:rsidRDefault="00905479" w:rsidP="00905479">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lastRenderedPageBreak/>
        <w:t>3.2 منهج الدراسة</w:t>
      </w:r>
    </w:p>
    <w:p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اعتمدت هذه الدراسة المنهج الوصفي التحليلي (</w:t>
      </w:r>
      <w:r w:rsidRPr="00F75B20">
        <w:rPr>
          <w:rFonts w:ascii="Traditional Arabic" w:hAnsi="Traditional Arabic" w:cs="Traditional Arabic"/>
          <w:sz w:val="28"/>
          <w:szCs w:val="28"/>
          <w:lang w:val="en-US"/>
        </w:rPr>
        <w:t>Descriptive Analytical Method</w:t>
      </w:r>
      <w:r w:rsidRPr="00F75B20">
        <w:rPr>
          <w:rFonts w:ascii="Traditional Arabic" w:hAnsi="Traditional Arabic" w:cs="Traditional Arabic"/>
          <w:sz w:val="28"/>
          <w:szCs w:val="28"/>
          <w:rtl/>
          <w:lang w:val="en-US"/>
        </w:rPr>
        <w:t xml:space="preserve">)، لكونه من أكثر المناهج العلمية ملاءمة للدراسات التي تستهدف وصف الظواهر الإدارية والتنظيمية وتحليلها، والكشف عن طبيعة العلاقات بين متغيراتها كما هي في الواقع، دون أي تدخل من الباحثة في تلك المتغيرات. </w:t>
      </w:r>
      <w:proofErr w:type="gramStart"/>
      <w:r w:rsidRPr="00F75B20">
        <w:rPr>
          <w:rFonts w:ascii="Traditional Arabic" w:hAnsi="Traditional Arabic" w:cs="Traditional Arabic"/>
          <w:sz w:val="28"/>
          <w:szCs w:val="28"/>
          <w:rtl/>
          <w:lang w:val="en-US"/>
        </w:rPr>
        <w:t>ويستند</w:t>
      </w:r>
      <w:proofErr w:type="gramEnd"/>
      <w:r w:rsidRPr="00F75B20">
        <w:rPr>
          <w:rFonts w:ascii="Traditional Arabic" w:hAnsi="Traditional Arabic" w:cs="Traditional Arabic"/>
          <w:sz w:val="28"/>
          <w:szCs w:val="28"/>
          <w:rtl/>
          <w:lang w:val="en-US"/>
        </w:rPr>
        <w:t xml:space="preserve"> هذا المنهج إلى جمع البيانات بصورة منظمة من أفراد مجتمع الدراسة، وتحليلها باستخدام الأساليب الإحصائية المناسبة؛ بهدف تفسير النتائج واستخلاص الاستنتاجات التي تسهم في الإجابة عن أسئلة الدراسة واختبار فرضياتها (</w:t>
      </w:r>
      <w:r w:rsidRPr="00F75B20">
        <w:rPr>
          <w:rFonts w:ascii="Traditional Arabic" w:hAnsi="Traditional Arabic" w:cs="Traditional Arabic"/>
          <w:sz w:val="28"/>
          <w:szCs w:val="28"/>
          <w:lang w:val="en-US"/>
        </w:rPr>
        <w:t>Creswell &amp; Creswell, 2023</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Saunders et al.</w:t>
      </w:r>
      <w:proofErr w:type="gramStart"/>
      <w:r w:rsidRPr="00F75B20">
        <w:rPr>
          <w:rFonts w:ascii="Traditional Arabic" w:hAnsi="Traditional Arabic" w:cs="Traditional Arabic"/>
          <w:sz w:val="28"/>
          <w:szCs w:val="28"/>
          <w:lang w:val="en-US"/>
        </w:rPr>
        <w:t>, 2023</w:t>
      </w:r>
      <w:r w:rsidRPr="00F75B20">
        <w:rPr>
          <w:rFonts w:ascii="Traditional Arabic" w:hAnsi="Traditional Arabic" w:cs="Traditional Arabic"/>
          <w:sz w:val="28"/>
          <w:szCs w:val="28"/>
          <w:rtl/>
          <w:lang w:val="en-US"/>
        </w:rPr>
        <w:t>).</w:t>
      </w:r>
      <w:proofErr w:type="gramEnd"/>
    </w:p>
    <w:p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ويُعد المنهج الوصفي التحليلي من أكثر المناهج استخدامًا في البحوث الإدارية التي تهدف إلى دراسة العلاقات بين المتغيرات التنظيمية، وقياس مستوى توافرها، وتحليل أثرها في متغيرات أخرى، إذ يجمع بين الوصف الدقيق للظاهرة وتحليلها إحصائيًا، بما يسمح بفهم الواقع التنظيمي وتفسيره بصورة علمية وموضوعية (</w:t>
      </w:r>
      <w:proofErr w:type="spellStart"/>
      <w:r w:rsidRPr="00F75B20">
        <w:rPr>
          <w:rFonts w:ascii="Traditional Arabic" w:hAnsi="Traditional Arabic" w:cs="Traditional Arabic"/>
          <w:sz w:val="28"/>
          <w:szCs w:val="28"/>
          <w:lang w:val="en-US"/>
        </w:rPr>
        <w:t>Sekaran</w:t>
      </w:r>
      <w:proofErr w:type="spellEnd"/>
      <w:r w:rsidRPr="00F75B20">
        <w:rPr>
          <w:rFonts w:ascii="Traditional Arabic" w:hAnsi="Traditional Arabic" w:cs="Traditional Arabic"/>
          <w:sz w:val="28"/>
          <w:szCs w:val="28"/>
          <w:lang w:val="en-US"/>
        </w:rPr>
        <w:t xml:space="preserve"> &amp; </w:t>
      </w:r>
      <w:proofErr w:type="spellStart"/>
      <w:r w:rsidRPr="00F75B20">
        <w:rPr>
          <w:rFonts w:ascii="Traditional Arabic" w:hAnsi="Traditional Arabic" w:cs="Traditional Arabic"/>
          <w:sz w:val="28"/>
          <w:szCs w:val="28"/>
          <w:lang w:val="en-US"/>
        </w:rPr>
        <w:t>Bougie</w:t>
      </w:r>
      <w:proofErr w:type="spellEnd"/>
      <w:r w:rsidRPr="00F75B20">
        <w:rPr>
          <w:rFonts w:ascii="Traditional Arabic" w:hAnsi="Traditional Arabic" w:cs="Traditional Arabic"/>
          <w:sz w:val="28"/>
          <w:szCs w:val="28"/>
          <w:lang w:val="en-US"/>
        </w:rPr>
        <w:t>, 2020</w:t>
      </w:r>
      <w:r w:rsidRPr="00F75B20">
        <w:rPr>
          <w:rFonts w:ascii="Traditional Arabic" w:hAnsi="Traditional Arabic" w:cs="Traditional Arabic"/>
          <w:sz w:val="28"/>
          <w:szCs w:val="28"/>
          <w:rtl/>
          <w:lang w:val="en-US"/>
        </w:rPr>
        <w:t xml:space="preserve">). </w:t>
      </w:r>
      <w:proofErr w:type="gramStart"/>
      <w:r w:rsidRPr="00F75B20">
        <w:rPr>
          <w:rFonts w:ascii="Traditional Arabic" w:hAnsi="Traditional Arabic" w:cs="Traditional Arabic"/>
          <w:sz w:val="28"/>
          <w:szCs w:val="28"/>
          <w:rtl/>
          <w:lang w:val="en-US"/>
        </w:rPr>
        <w:t>كما</w:t>
      </w:r>
      <w:proofErr w:type="gramEnd"/>
      <w:r w:rsidRPr="00F75B20">
        <w:rPr>
          <w:rFonts w:ascii="Traditional Arabic" w:hAnsi="Traditional Arabic" w:cs="Traditional Arabic"/>
          <w:sz w:val="28"/>
          <w:szCs w:val="28"/>
          <w:rtl/>
          <w:lang w:val="en-US"/>
        </w:rPr>
        <w:t xml:space="preserve"> يشير </w:t>
      </w:r>
      <w:r w:rsidRPr="00F75B20">
        <w:rPr>
          <w:rFonts w:ascii="Traditional Arabic" w:hAnsi="Traditional Arabic" w:cs="Traditional Arabic"/>
          <w:sz w:val="28"/>
          <w:szCs w:val="28"/>
          <w:lang w:val="en-US"/>
        </w:rPr>
        <w:t xml:space="preserve">Hair et al. </w:t>
      </w:r>
      <w:proofErr w:type="gramStart"/>
      <w:r w:rsidRPr="00F75B20">
        <w:rPr>
          <w:rFonts w:ascii="Traditional Arabic" w:hAnsi="Traditional Arabic" w:cs="Traditional Arabic"/>
          <w:sz w:val="28"/>
          <w:szCs w:val="28"/>
          <w:lang w:val="en-US"/>
        </w:rPr>
        <w:t>(2022</w:t>
      </w:r>
      <w:r w:rsidRPr="00F75B20">
        <w:rPr>
          <w:rFonts w:ascii="Traditional Arabic" w:hAnsi="Traditional Arabic" w:cs="Traditional Arabic"/>
          <w:sz w:val="28"/>
          <w:szCs w:val="28"/>
          <w:rtl/>
          <w:lang w:val="en-US"/>
        </w:rPr>
        <w:t>) إلى أن الدراسات التي تعتمد على البيانات الميدانية والاستبانات لقياس العلاقات بين المتغيرات تكون أكثر ملاءمة عند استخدام المنهج الوصفي التحليلي، خاصة عند توظيف نماذج الانحدار وتحليل الارتباط لاختبار الفرضيات.</w:t>
      </w:r>
      <w:proofErr w:type="gramEnd"/>
    </w:p>
    <w:p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ويتناسب هذا المنهج مع طبيعة الدراسة الحالية؛ إذ تسعى إلى تحليل مستوى نضج التخطيط الاستراتيجي في المنظمات التابعة لمجلس التعاون الخليجي، وقياس أثره في تعزيز التكامل المؤسسي، من خلال قياس آراء القيادات والعاملين في المستويات الإدارية ذات العلاقة بعمليات التخطيط الاستراتيجي والتنسيق المؤسسي. كما يتيح هذا المنهج قياس مستوى توافر أبعاد نضج التخطيط الاستراتيجي، والمتمثلة في وضوح الرؤية والأهداف الاستراتيجية، وتحليل البيئة الداخلية والخارجية، وتخصيص الموارد والقدرات التنظيمية، ومتابعة وتقييم الأداء الاستراتيجي، وربط الاستراتيجية بالسياسات والإجراءات الداخلية، إضافة إلى قياس مستوى التكامل المؤسسي، وتحليل أثر أبعاد المتغير المستقل في المتغير التابع باستخدام الأساليب الإحصائية المناسبة</w:t>
      </w:r>
      <w:r w:rsidRPr="00F75B20">
        <w:rPr>
          <w:rFonts w:ascii="Traditional Arabic" w:hAnsi="Traditional Arabic" w:cs="Traditional Arabic"/>
          <w:sz w:val="28"/>
          <w:szCs w:val="28"/>
          <w:lang w:val="en-US"/>
        </w:rPr>
        <w:t>.</w:t>
      </w:r>
    </w:p>
    <w:p w:rsidR="00905479" w:rsidRPr="00F75B20" w:rsidRDefault="00905479" w:rsidP="00905479">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كما ينسجم اعتماد المنهج الوصفي التحليلي مع التصميم المقطعي</w:t>
      </w:r>
      <w:r w:rsidRPr="00F75B20">
        <w:rPr>
          <w:rFonts w:ascii="Traditional Arabic" w:hAnsi="Traditional Arabic" w:cs="Traditional Arabic"/>
          <w:sz w:val="28"/>
          <w:szCs w:val="28"/>
          <w:lang w:val="en-US"/>
        </w:rPr>
        <w:t xml:space="preserve"> (Cross-Sectional Design) </w:t>
      </w:r>
      <w:r w:rsidRPr="00F75B20">
        <w:rPr>
          <w:rFonts w:ascii="Traditional Arabic" w:hAnsi="Traditional Arabic" w:cs="Traditional Arabic"/>
          <w:sz w:val="28"/>
          <w:szCs w:val="28"/>
          <w:rtl/>
          <w:lang w:val="en-US"/>
        </w:rPr>
        <w:t xml:space="preserve">الذي تتبناه الدراسة، والذي يعتمد على جمع البيانات خلال فترة زمنية محددة من أفراد مجتمع الدراسة، بما يتيح تحليل العلاقات بين المتغيرات في ضوء </w:t>
      </w:r>
      <w:r w:rsidRPr="00F75B20">
        <w:rPr>
          <w:rFonts w:ascii="Traditional Arabic" w:hAnsi="Traditional Arabic" w:cs="Traditional Arabic"/>
          <w:sz w:val="28"/>
          <w:szCs w:val="28"/>
          <w:rtl/>
          <w:lang w:val="en-US"/>
        </w:rPr>
        <w:lastRenderedPageBreak/>
        <w:t>الواقع التنظيمي السائد داخل المنظمات التابعة لمجلس التعاون الخليجي، والوصول إلى نتائج علمية يمكن الاستفادة منها في دعم ممارسات التخطيط الاستراتيجي وتعزيز التكامل المؤسسي</w:t>
      </w:r>
      <w:r w:rsidRPr="00F75B20">
        <w:rPr>
          <w:rFonts w:ascii="Traditional Arabic" w:hAnsi="Traditional Arabic" w:cs="Traditional Arabic"/>
          <w:sz w:val="28"/>
          <w:szCs w:val="28"/>
          <w:lang w:val="en-US"/>
        </w:rPr>
        <w:t>.</w:t>
      </w:r>
    </w:p>
    <w:p w:rsidR="00905479" w:rsidRPr="00F75B20" w:rsidRDefault="00905479" w:rsidP="00905479">
      <w:pPr>
        <w:bidi/>
        <w:spacing w:line="360" w:lineRule="auto"/>
        <w:jc w:val="both"/>
        <w:rPr>
          <w:rFonts w:ascii="Traditional Arabic" w:hAnsi="Traditional Arabic" w:cs="Traditional Arabic"/>
          <w:sz w:val="28"/>
          <w:szCs w:val="28"/>
          <w:lang w:val="en-US"/>
        </w:rPr>
      </w:pPr>
    </w:p>
    <w:p w:rsidR="00905479" w:rsidRPr="00F75B20" w:rsidRDefault="00905479" w:rsidP="00905479">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 xml:space="preserve">3.3 </w:t>
      </w:r>
      <w:proofErr w:type="gramStart"/>
      <w:r w:rsidRPr="00F75B20">
        <w:rPr>
          <w:rFonts w:ascii="Traditional Arabic" w:hAnsi="Traditional Arabic" w:cs="Traditional Arabic"/>
          <w:b/>
          <w:bCs/>
          <w:sz w:val="28"/>
          <w:szCs w:val="28"/>
          <w:rtl/>
          <w:lang w:val="en-US"/>
        </w:rPr>
        <w:t>تصميم</w:t>
      </w:r>
      <w:proofErr w:type="gramEnd"/>
      <w:r w:rsidRPr="00F75B20">
        <w:rPr>
          <w:rFonts w:ascii="Traditional Arabic" w:hAnsi="Traditional Arabic" w:cs="Traditional Arabic"/>
          <w:b/>
          <w:bCs/>
          <w:sz w:val="28"/>
          <w:szCs w:val="28"/>
          <w:rtl/>
          <w:lang w:val="en-US"/>
        </w:rPr>
        <w:t xml:space="preserve"> الدراسة</w:t>
      </w:r>
    </w:p>
    <w:p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استنادًا إلى مشكلة الدراسة، وأهدافها، وفرضياتها، والإطار النظري، صُممت الدراسة الحالية وفق نموذج بحثي يهدف إلى تحليل مستوى نضج التخطيط الاستراتيجي وقياس أثره في تعزيز التكامل المؤسسي في المنظمات التابعة لمجلس التعاون الخليجي. ويقوم هذا النموذج على افتراض وجود علاقة تأثير بين المتغير المستقل، المتمثل في نضج التخطيط الاستراتيجي، والمتغير التابع، المتمثل في التكامل المؤسسي، وذلك في ضوء ما أشارت إليه الأدبيات الحديثة والدراسات السابقة التي تناولت التخطيط الاستراتيجي والتكامل المؤسسي في المنظمات الحكومية والإقليمية</w:t>
      </w:r>
      <w:r w:rsidRPr="00F75B20">
        <w:rPr>
          <w:rFonts w:ascii="Traditional Arabic" w:hAnsi="Traditional Arabic" w:cs="Traditional Arabic"/>
          <w:sz w:val="28"/>
          <w:szCs w:val="28"/>
          <w:lang w:val="en-US"/>
        </w:rPr>
        <w:t xml:space="preserve">. </w:t>
      </w:r>
    </w:p>
    <w:p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وقد اعتمدت الدراسة تصميمًا مقطعيًا (</w:t>
      </w:r>
      <w:r w:rsidRPr="00F75B20">
        <w:rPr>
          <w:rFonts w:ascii="Traditional Arabic" w:hAnsi="Traditional Arabic" w:cs="Traditional Arabic"/>
          <w:sz w:val="28"/>
          <w:szCs w:val="28"/>
          <w:lang w:val="en-US"/>
        </w:rPr>
        <w:t>Cross-Sectional Design</w:t>
      </w:r>
      <w:r w:rsidRPr="00F75B20">
        <w:rPr>
          <w:rFonts w:ascii="Traditional Arabic" w:hAnsi="Traditional Arabic" w:cs="Traditional Arabic"/>
          <w:sz w:val="28"/>
          <w:szCs w:val="28"/>
          <w:rtl/>
          <w:lang w:val="en-US"/>
        </w:rPr>
        <w:t>)، يقوم على جمع البيانات من أفراد مجتمع الدراسة خلال فترة زمنية محددة، بهدف قياس مستوى متغيرات الدراسة واختبار العلاقات بينها كما هي في الواقع، دون تدخل من الباحثة في تلك المتغيرات. ويُعد هذا التصميم من أكثر التصاميم استخدامًا في الدراسات الوصفية التحليلية التي تعتمد على الاستبانة بوصفها أداة رئيسة لجمع البيانات، ويتميز بقدرته على توفير بيانات كمية يمكن تحليلها إحصائيًا لاختبار الفرضيات وتفسير العلاقات بين المتغيرات (</w:t>
      </w:r>
      <w:r w:rsidRPr="00F75B20">
        <w:rPr>
          <w:rFonts w:ascii="Traditional Arabic" w:hAnsi="Traditional Arabic" w:cs="Traditional Arabic"/>
          <w:sz w:val="28"/>
          <w:szCs w:val="28"/>
          <w:lang w:val="en-US"/>
        </w:rPr>
        <w:t>Creswell &amp; Creswell, 2023</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Saunders et al.</w:t>
      </w:r>
      <w:proofErr w:type="gramStart"/>
      <w:r w:rsidRPr="00F75B20">
        <w:rPr>
          <w:rFonts w:ascii="Traditional Arabic" w:hAnsi="Traditional Arabic" w:cs="Traditional Arabic"/>
          <w:sz w:val="28"/>
          <w:szCs w:val="28"/>
          <w:lang w:val="en-US"/>
        </w:rPr>
        <w:t>, 2023</w:t>
      </w:r>
      <w:r w:rsidRPr="00F75B20">
        <w:rPr>
          <w:rFonts w:ascii="Traditional Arabic" w:hAnsi="Traditional Arabic" w:cs="Traditional Arabic"/>
          <w:sz w:val="28"/>
          <w:szCs w:val="28"/>
          <w:rtl/>
          <w:lang w:val="en-US"/>
        </w:rPr>
        <w:t>).</w:t>
      </w:r>
      <w:proofErr w:type="gramEnd"/>
    </w:p>
    <w:p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ويتمثل المتغير المستقل في نضج التخطيط الاستراتيجي، وقد تم اختياره استنادًا إلى الأدبيات التي تؤكد أن نجاح المنظمات في تحقيق أهدافها وتعزيز قدرتها على التنسيق والتكامل يرتبط بدرجة نضج ممارسات التخطيط الاستراتيجي لديها. ويتكون هذا المتغير من خمسة أبعاد رئيسة، هي</w:t>
      </w:r>
      <w:r w:rsidRPr="00F75B20">
        <w:rPr>
          <w:rFonts w:ascii="Traditional Arabic" w:hAnsi="Traditional Arabic" w:cs="Traditional Arabic"/>
          <w:sz w:val="28"/>
          <w:szCs w:val="28"/>
          <w:lang w:val="en-US"/>
        </w:rPr>
        <w:t xml:space="preserve">: </w:t>
      </w:r>
      <w:r w:rsidRPr="00F75B20">
        <w:rPr>
          <w:rFonts w:ascii="Traditional Arabic" w:hAnsi="Traditional Arabic" w:cs="Traditional Arabic"/>
          <w:sz w:val="28"/>
          <w:szCs w:val="28"/>
          <w:rtl/>
          <w:lang w:val="en-US"/>
        </w:rPr>
        <w:t xml:space="preserve">وضوح الرؤية والأهداف الاستراتيجية، وتحليل البيئة الداخلية والخارجية، وتخصيص الموارد والقدرات </w:t>
      </w:r>
      <w:r w:rsidRPr="00F75B20">
        <w:rPr>
          <w:rFonts w:ascii="Traditional Arabic" w:hAnsi="Traditional Arabic" w:cs="Traditional Arabic"/>
          <w:sz w:val="28"/>
          <w:szCs w:val="28"/>
          <w:rtl/>
          <w:lang w:val="en-US"/>
        </w:rPr>
        <w:lastRenderedPageBreak/>
        <w:t>التنظيمية، ومتابعة وتقييم الأداء الاستراتيجي، وربط الاستراتيجية بالسياسات والإجراءات الداخلية، وهي الأبعاد التي تكررت بصورة واضحة في الأدبيات الحديثة المتعلقة بنضج التخطيط الاستراتيجي، واعتمدت عليها الدراسة الحالية في بناء نموذجها البحثي</w:t>
      </w:r>
      <w:r w:rsidRPr="00F75B20">
        <w:rPr>
          <w:rFonts w:ascii="Traditional Arabic" w:hAnsi="Traditional Arabic" w:cs="Traditional Arabic"/>
          <w:sz w:val="28"/>
          <w:szCs w:val="28"/>
          <w:lang w:val="en-US"/>
        </w:rPr>
        <w:t xml:space="preserve">. </w:t>
      </w:r>
    </w:p>
    <w:p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أما المتغير التابع فهو التكامل المؤسسي، ويقصد به مستوى التنسيق والتعاون وتبادل المعلومات وتوحيد السياسات والإجراءات وتنفيذ المبادرات المشتركة بين المنظمات التابعة لمجلس التعاون الخليجي، وقد اعتمدت الدراسة قياسه باعتباره متغيرًا كليًا دون تقسيمه إلى أبعاد فرعية، وذلك انسجامًا مع النموذج المفاهيمي للدراسة، ولتحقيق الاتساق بين الإطار النظري وأداة القياس</w:t>
      </w:r>
      <w:r w:rsidRPr="00F75B20">
        <w:rPr>
          <w:rFonts w:ascii="Traditional Arabic" w:hAnsi="Traditional Arabic" w:cs="Traditional Arabic"/>
          <w:sz w:val="28"/>
          <w:szCs w:val="28"/>
          <w:lang w:val="en-US"/>
        </w:rPr>
        <w:t xml:space="preserve">. </w:t>
      </w:r>
    </w:p>
    <w:p w:rsidR="00905479" w:rsidRPr="00F75B20" w:rsidRDefault="00905479" w:rsidP="00905479">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ويعكس النموذج المفاهيمي للدراسة العلاقة المفترضة بين أبعاد نضج التخطيط الاستراتيجي والتكامل المؤسسي، حيث تفترض الدراسة أن تحسن مستوى نضج التخطيط الاستراتيجي في المنظمات التابعة لمجلس التعاون الخليجي يسهم في تعزيز مستوى التكامل المؤسسي بينها، وهو ما سيتم اختباره ميدانيًا باستخدام نماذج الانحدار الإحصائي المناسبة</w:t>
      </w:r>
      <w:r w:rsidRPr="00F75B20">
        <w:rPr>
          <w:rFonts w:ascii="Traditional Arabic" w:hAnsi="Traditional Arabic" w:cs="Traditional Arabic" w:hint="cs"/>
          <w:sz w:val="28"/>
          <w:szCs w:val="28"/>
          <w:rtl/>
          <w:lang w:val="en-US"/>
        </w:rPr>
        <w:t>.</w:t>
      </w:r>
    </w:p>
    <w:p w:rsidR="00905479" w:rsidRPr="00F75B20" w:rsidRDefault="00905479" w:rsidP="00905479">
      <w:pPr>
        <w:bidi/>
        <w:spacing w:line="360" w:lineRule="auto"/>
        <w:jc w:val="both"/>
        <w:rPr>
          <w:rFonts w:ascii="Traditional Arabic" w:hAnsi="Traditional Arabic" w:cs="Traditional Arabic"/>
          <w:sz w:val="28"/>
          <w:szCs w:val="28"/>
          <w:lang w:val="en-US"/>
        </w:rPr>
      </w:pPr>
    </w:p>
    <w:p w:rsidR="00905479" w:rsidRPr="00F75B20" w:rsidRDefault="00905479" w:rsidP="00905479">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 xml:space="preserve">3.4 </w:t>
      </w:r>
      <w:proofErr w:type="gramStart"/>
      <w:r w:rsidRPr="00F75B20">
        <w:rPr>
          <w:rFonts w:ascii="Traditional Arabic" w:hAnsi="Traditional Arabic" w:cs="Traditional Arabic"/>
          <w:b/>
          <w:bCs/>
          <w:sz w:val="28"/>
          <w:szCs w:val="28"/>
          <w:rtl/>
          <w:lang w:val="en-US"/>
        </w:rPr>
        <w:t>مجتمع</w:t>
      </w:r>
      <w:proofErr w:type="gramEnd"/>
      <w:r w:rsidRPr="00F75B20">
        <w:rPr>
          <w:rFonts w:ascii="Traditional Arabic" w:hAnsi="Traditional Arabic" w:cs="Traditional Arabic"/>
          <w:b/>
          <w:bCs/>
          <w:sz w:val="28"/>
          <w:szCs w:val="28"/>
          <w:rtl/>
          <w:lang w:val="en-US"/>
        </w:rPr>
        <w:t xml:space="preserve"> الدراسة</w:t>
      </w:r>
    </w:p>
    <w:p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يتكون مجتمع الدراسة من جميع العاملين في المنظمات التابعة لمجلس التعاون لدول الخليج العربية الذين يرتبط عملهم بصورة مباشرة أو غير مباشرة بعمليات التخطيط الاستراتيجي، أو متابعة تنفيذ الخطط، أو تنسيق العمل الخليجي المشترك، أو تعزيز التكامل المؤسسي بين المنظمات التابعة للمجلس. ويشمل ذلك القيادات الإدارية والتنفيذية، ورؤساء الإدارات والأقسام، وأعضاء فرق التخطيط الاستراتيجي، ومسؤولي إدارة الأداء، وإدارات الجودة، والعلاقات الدولية، والتعاون الإقليمي، باعتبارهم الفئات الأكثر معرفة بممارسات التخطيط الاستراتيجي ومستوى التكامل المؤسسي داخل منظماتهم</w:t>
      </w:r>
      <w:r w:rsidRPr="00F75B20">
        <w:rPr>
          <w:rFonts w:ascii="Traditional Arabic" w:hAnsi="Traditional Arabic" w:cs="Traditional Arabic"/>
          <w:sz w:val="28"/>
          <w:szCs w:val="28"/>
          <w:lang w:val="en-US"/>
        </w:rPr>
        <w:t xml:space="preserve">. </w:t>
      </w:r>
    </w:p>
    <w:p w:rsidR="00905479" w:rsidRPr="00F75B20" w:rsidRDefault="00905479" w:rsidP="00905479">
      <w:pPr>
        <w:bidi/>
        <w:spacing w:line="360" w:lineRule="auto"/>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ويضم</w:t>
      </w:r>
      <w:proofErr w:type="gramEnd"/>
      <w:r w:rsidRPr="00F75B20">
        <w:rPr>
          <w:rFonts w:ascii="Traditional Arabic" w:hAnsi="Traditional Arabic" w:cs="Traditional Arabic"/>
          <w:sz w:val="28"/>
          <w:szCs w:val="28"/>
          <w:rtl/>
          <w:lang w:val="en-US"/>
        </w:rPr>
        <w:t xml:space="preserve"> مجلس التعاون لدول الخليج العربية عددًا من المنظمات والهيئات المتخصصة التي تعمل في مجالات اقتصادية، وصحية، وتعليمية، وصناعية، وتشريعية، وتقنية، وإعلامية، وبحثية، وتسهم بصورة مباشرة في دعم العمل الخليجي المشترك وتحقيق أهداف المجلس. ومن أبرز هذه الجهات</w:t>
      </w:r>
      <w:r w:rsidRPr="00F75B20">
        <w:rPr>
          <w:rFonts w:ascii="Traditional Arabic" w:hAnsi="Traditional Arabic" w:cs="Traditional Arabic"/>
          <w:sz w:val="28"/>
          <w:szCs w:val="28"/>
          <w:lang w:val="en-US"/>
        </w:rPr>
        <w:t xml:space="preserve">: </w:t>
      </w:r>
      <w:r w:rsidRPr="00F75B20">
        <w:rPr>
          <w:rFonts w:ascii="Traditional Arabic" w:hAnsi="Traditional Arabic" w:cs="Traditional Arabic"/>
          <w:sz w:val="28"/>
          <w:szCs w:val="28"/>
          <w:rtl/>
          <w:lang w:val="en-US"/>
        </w:rPr>
        <w:t xml:space="preserve">مكتب براءات الاختراع لدول مجلس التعاون، ومجلس الصحة لدول مجلس التعاون، ومكتب التربية </w:t>
      </w:r>
      <w:r w:rsidRPr="00F75B20">
        <w:rPr>
          <w:rFonts w:ascii="Traditional Arabic" w:hAnsi="Traditional Arabic" w:cs="Traditional Arabic"/>
          <w:sz w:val="28"/>
          <w:szCs w:val="28"/>
          <w:rtl/>
          <w:lang w:val="en-US"/>
        </w:rPr>
        <w:lastRenderedPageBreak/>
        <w:t>العربي لدول الخليج، وهيئة التقييس لدول مجلس التعاون، ومنظمة الخليج للاستشارات الصناعية (جويك)، وجامعة الخليج العربي، وجهاز إذاعة وتلفزيون الخليج، إلى جانب عدد من الهيئات والمراكز المتخصصة الأخرى التابعة للمجلس</w:t>
      </w:r>
      <w:r w:rsidRPr="00F75B20">
        <w:rPr>
          <w:rFonts w:ascii="Traditional Arabic" w:hAnsi="Traditional Arabic" w:cs="Traditional Arabic"/>
          <w:sz w:val="28"/>
          <w:szCs w:val="28"/>
          <w:lang w:val="en-US"/>
        </w:rPr>
        <w:t xml:space="preserve">. </w:t>
      </w:r>
    </w:p>
    <w:p w:rsidR="00905479" w:rsidRPr="00F75B20" w:rsidRDefault="00905479" w:rsidP="00905479">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ونظرًا لأن الدراسة تستهدف قياس مستوى نضج التخطيط الاستراتيجي وأثره في تعزيز التكامل المؤسسي، فقد اقتصر مجتمع الدراسة على الفئات الوظيفية التي تمتلك المعرفة والخبرة الكافية بعمليات التخطيط الاستراتيجي وآليات التنسيق المؤسسي، بما يمكنها من تقديم استجابات دقيقة وموضوعية تعكس واقع الممارسات الإدارية داخل المنظمات محل الدراسة. ويُعد هذا المجتمع الأكثر ملاءمة لتحقيق </w:t>
      </w:r>
      <w:proofErr w:type="gramStart"/>
      <w:r w:rsidRPr="00F75B20">
        <w:rPr>
          <w:rFonts w:ascii="Traditional Arabic" w:hAnsi="Traditional Arabic" w:cs="Traditional Arabic"/>
          <w:sz w:val="28"/>
          <w:szCs w:val="28"/>
          <w:rtl/>
          <w:lang w:val="en-US"/>
        </w:rPr>
        <w:t>أهداف</w:t>
      </w:r>
      <w:proofErr w:type="gramEnd"/>
      <w:r w:rsidRPr="00F75B20">
        <w:rPr>
          <w:rFonts w:ascii="Traditional Arabic" w:hAnsi="Traditional Arabic" w:cs="Traditional Arabic"/>
          <w:sz w:val="28"/>
          <w:szCs w:val="28"/>
          <w:rtl/>
          <w:lang w:val="en-US"/>
        </w:rPr>
        <w:t xml:space="preserve"> الدراسة والإجابة عن أسئلتها واختبار فرضياتها</w:t>
      </w:r>
      <w:r w:rsidRPr="00F75B20">
        <w:rPr>
          <w:rFonts w:ascii="Traditional Arabic" w:hAnsi="Traditional Arabic" w:cs="Traditional Arabic"/>
          <w:sz w:val="28"/>
          <w:szCs w:val="28"/>
          <w:lang w:val="en-US"/>
        </w:rPr>
        <w:t>.</w:t>
      </w:r>
    </w:p>
    <w:p w:rsidR="00905479" w:rsidRPr="00F75B20" w:rsidRDefault="00905479"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وتشير البيانات المنشورة من الأمانة العامة لمجلس التعاون لدول الخليج العربية والهيئات التابعة لها إلى أن المنظمات المشمولة بالدراسة تضم ما يقارب </w:t>
      </w:r>
      <w:r w:rsidRPr="00F75B20">
        <w:rPr>
          <w:rFonts w:ascii="Traditional Arabic" w:hAnsi="Traditional Arabic" w:cs="Traditional Arabic"/>
          <w:sz w:val="28"/>
          <w:szCs w:val="28"/>
          <w:lang w:val="en-US"/>
        </w:rPr>
        <w:t xml:space="preserve">(1,850) </w:t>
      </w:r>
      <w:r w:rsidRPr="00F75B20">
        <w:rPr>
          <w:rFonts w:ascii="Traditional Arabic" w:hAnsi="Traditional Arabic" w:cs="Traditional Arabic"/>
          <w:sz w:val="28"/>
          <w:szCs w:val="28"/>
          <w:rtl/>
          <w:lang w:val="en-US"/>
        </w:rPr>
        <w:t xml:space="preserve">موظفًا يشغلون مناصب قيادية </w:t>
      </w:r>
      <w:proofErr w:type="spellStart"/>
      <w:r w:rsidRPr="00F75B20">
        <w:rPr>
          <w:rFonts w:ascii="Traditional Arabic" w:hAnsi="Traditional Arabic" w:cs="Traditional Arabic"/>
          <w:sz w:val="28"/>
          <w:szCs w:val="28"/>
          <w:rtl/>
          <w:lang w:val="en-US"/>
        </w:rPr>
        <w:t>وإشرافية</w:t>
      </w:r>
      <w:proofErr w:type="spellEnd"/>
      <w:r w:rsidRPr="00F75B20">
        <w:rPr>
          <w:rFonts w:ascii="Traditional Arabic" w:hAnsi="Traditional Arabic" w:cs="Traditional Arabic"/>
          <w:sz w:val="28"/>
          <w:szCs w:val="28"/>
          <w:rtl/>
          <w:lang w:val="en-US"/>
        </w:rPr>
        <w:t xml:space="preserve"> وتنفيذية ترتبط بصورة مباشرة بعمليات التخطيط الاستراتيجي، وإدارة الأداء، والجودة، والتعاون المؤسسي، وهو العدد الذي يمثل مجتمع الدراس</w:t>
      </w:r>
      <w:r w:rsidR="00F67B03" w:rsidRPr="00F75B20">
        <w:rPr>
          <w:rFonts w:ascii="Traditional Arabic" w:hAnsi="Traditional Arabic" w:cs="Traditional Arabic"/>
          <w:sz w:val="28"/>
          <w:szCs w:val="28"/>
          <w:rtl/>
          <w:lang w:val="en-US"/>
        </w:rPr>
        <w:t>ة المستهدف، واعتمدت</w:t>
      </w:r>
      <w:r w:rsidRPr="00F75B20">
        <w:rPr>
          <w:rFonts w:ascii="Traditional Arabic" w:hAnsi="Traditional Arabic" w:cs="Traditional Arabic"/>
          <w:sz w:val="28"/>
          <w:szCs w:val="28"/>
          <w:rtl/>
          <w:lang w:val="en-US"/>
        </w:rPr>
        <w:t xml:space="preserve"> ال</w:t>
      </w:r>
      <w:r w:rsidRPr="00F75B20">
        <w:rPr>
          <w:rFonts w:ascii="Traditional Arabic" w:hAnsi="Traditional Arabic" w:cs="Traditional Arabic" w:hint="cs"/>
          <w:sz w:val="28"/>
          <w:szCs w:val="28"/>
          <w:rtl/>
          <w:lang w:val="en-US"/>
        </w:rPr>
        <w:t>دراسة</w:t>
      </w:r>
      <w:r w:rsidRPr="00F75B20">
        <w:rPr>
          <w:rFonts w:ascii="Traditional Arabic" w:hAnsi="Traditional Arabic" w:cs="Traditional Arabic"/>
          <w:sz w:val="28"/>
          <w:szCs w:val="28"/>
          <w:rtl/>
          <w:lang w:val="en-US"/>
        </w:rPr>
        <w:t xml:space="preserve"> </w:t>
      </w:r>
      <w:r w:rsidR="00F67B03" w:rsidRPr="00F75B20">
        <w:rPr>
          <w:rFonts w:ascii="Traditional Arabic" w:hAnsi="Traditional Arabic" w:cs="Traditional Arabic"/>
          <w:sz w:val="28"/>
          <w:szCs w:val="28"/>
          <w:rtl/>
          <w:lang w:val="en-US"/>
        </w:rPr>
        <w:t>هذا المجتمع بوصفه مجتمع الدراسة المستهدف، وتم تطبيق أسلوب التعداد الشامل باستهداف جميع أفراده الذين تنطبق عليهم معايير الدراسة</w:t>
      </w:r>
      <w:r w:rsidRPr="00F75B20">
        <w:rPr>
          <w:rFonts w:ascii="Traditional Arabic" w:hAnsi="Traditional Arabic" w:cs="Traditional Arabic" w:hint="cs"/>
          <w:sz w:val="28"/>
          <w:szCs w:val="28"/>
          <w:rtl/>
          <w:lang w:val="en-US"/>
        </w:rPr>
        <w:t>.</w:t>
      </w:r>
      <w:r w:rsidRPr="00F75B20">
        <w:rPr>
          <w:rFonts w:ascii="Traditional Arabic" w:hAnsi="Traditional Arabic" w:cs="Traditional Arabic"/>
          <w:sz w:val="28"/>
          <w:szCs w:val="28"/>
          <w:lang w:val="en-US"/>
        </w:rPr>
        <w:t xml:space="preserve">  </w:t>
      </w:r>
    </w:p>
    <w:p w:rsidR="00F67B03" w:rsidRPr="00F75B20" w:rsidRDefault="00F67B03" w:rsidP="00F67B03">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3.5 عينة الدراسة</w:t>
      </w:r>
    </w:p>
    <w:p w:rsidR="00905479" w:rsidRPr="00F75B20" w:rsidRDefault="00905479"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نظرًا لطبيعة الدراسة الحالية، التي تستهدف القيادات الإدارية والتنفيذية والفئات الوظيفية ذات العلاقة المباشرة بعمليات التخطيط الاستراتيجي والتكامل المؤسسي في المنظمات التابعة لمجلس التعاون </w:t>
      </w:r>
      <w:r w:rsidR="00F67B03" w:rsidRPr="00F75B20">
        <w:rPr>
          <w:rFonts w:ascii="Traditional Arabic" w:hAnsi="Traditional Arabic" w:cs="Traditional Arabic"/>
          <w:sz w:val="28"/>
          <w:szCs w:val="28"/>
          <w:rtl/>
          <w:lang w:val="en-US"/>
        </w:rPr>
        <w:t>لدول الخليج العربية، فقد اعتمدت الدراسة أسلوب التعداد الشامل (</w:t>
      </w:r>
      <w:r w:rsidR="00F67B03" w:rsidRPr="00F75B20">
        <w:rPr>
          <w:rFonts w:ascii="Traditional Arabic" w:hAnsi="Traditional Arabic" w:cs="Traditional Arabic"/>
          <w:sz w:val="28"/>
          <w:szCs w:val="28"/>
          <w:lang w:val="en-US"/>
        </w:rPr>
        <w:t>Census Method</w:t>
      </w:r>
      <w:r w:rsidR="00F67B03" w:rsidRPr="00F75B20">
        <w:rPr>
          <w:rFonts w:ascii="Traditional Arabic" w:hAnsi="Traditional Arabic" w:cs="Traditional Arabic"/>
          <w:sz w:val="28"/>
          <w:szCs w:val="28"/>
          <w:rtl/>
          <w:lang w:val="en-US"/>
        </w:rPr>
        <w:t>)، وذلك باستهداف جميع أفراد مجتمع الدراسة دون الاكتفاء بعينة ممثلة.</w:t>
      </w:r>
    </w:p>
    <w:p w:rsidR="00905479" w:rsidRPr="00F75B20" w:rsidRDefault="00905479"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ويُعد أسلوب التعداد الشامل من أكثر الأساليب ملاءمة عندما يكون مجتمع الدراسة محدود الحجم ويمكن حصر جميع أفراده والوصول إليهم، إذ يسهم </w:t>
      </w:r>
      <w:r w:rsidR="00F67B03" w:rsidRPr="00F75B20">
        <w:rPr>
          <w:rFonts w:ascii="Traditional Arabic" w:hAnsi="Traditional Arabic" w:cs="Traditional Arabic"/>
          <w:sz w:val="28"/>
          <w:szCs w:val="28"/>
          <w:rtl/>
          <w:lang w:val="en-US"/>
        </w:rPr>
        <w:t>في زيادة دقة النتائج، ويحد من أخطاء المعاينة، كما يعزز إمكانية تعميم النتائج على المجتمع المستهدف بصورة مباشرة، لكون جميع أفراد المجتمع قد أتيحت لهم فرصة المشاركة في الدراسة (</w:t>
      </w:r>
      <w:proofErr w:type="spellStart"/>
      <w:r w:rsidR="00F67B03" w:rsidRPr="00F75B20">
        <w:rPr>
          <w:rFonts w:ascii="Traditional Arabic" w:hAnsi="Traditional Arabic" w:cs="Traditional Arabic"/>
          <w:sz w:val="28"/>
          <w:szCs w:val="28"/>
          <w:lang w:val="en-US"/>
        </w:rPr>
        <w:t>Sekaran</w:t>
      </w:r>
      <w:proofErr w:type="spellEnd"/>
      <w:r w:rsidR="00F67B03" w:rsidRPr="00F75B20">
        <w:rPr>
          <w:rFonts w:ascii="Traditional Arabic" w:hAnsi="Traditional Arabic" w:cs="Traditional Arabic"/>
          <w:sz w:val="28"/>
          <w:szCs w:val="28"/>
          <w:lang w:val="en-US"/>
        </w:rPr>
        <w:t xml:space="preserve"> &amp; </w:t>
      </w:r>
      <w:proofErr w:type="spellStart"/>
      <w:r w:rsidR="00F67B03" w:rsidRPr="00F75B20">
        <w:rPr>
          <w:rFonts w:ascii="Traditional Arabic" w:hAnsi="Traditional Arabic" w:cs="Traditional Arabic"/>
          <w:sz w:val="28"/>
          <w:szCs w:val="28"/>
          <w:lang w:val="en-US"/>
        </w:rPr>
        <w:t>Bougie</w:t>
      </w:r>
      <w:proofErr w:type="spellEnd"/>
      <w:r w:rsidR="00F67B03" w:rsidRPr="00F75B20">
        <w:rPr>
          <w:rFonts w:ascii="Traditional Arabic" w:hAnsi="Traditional Arabic" w:cs="Traditional Arabic"/>
          <w:sz w:val="28"/>
          <w:szCs w:val="28"/>
          <w:lang w:val="en-US"/>
        </w:rPr>
        <w:t>, 2020</w:t>
      </w:r>
      <w:r w:rsidR="00F67B03" w:rsidRPr="00F75B20">
        <w:rPr>
          <w:rFonts w:ascii="Traditional Arabic" w:hAnsi="Traditional Arabic" w:cs="Traditional Arabic"/>
          <w:sz w:val="28"/>
          <w:szCs w:val="28"/>
          <w:rtl/>
          <w:lang w:val="en-US"/>
        </w:rPr>
        <w:t xml:space="preserve">؛ </w:t>
      </w:r>
      <w:r w:rsidR="00F67B03" w:rsidRPr="00F75B20">
        <w:rPr>
          <w:rFonts w:ascii="Traditional Arabic" w:hAnsi="Traditional Arabic" w:cs="Traditional Arabic"/>
          <w:sz w:val="28"/>
          <w:szCs w:val="28"/>
          <w:lang w:val="en-US"/>
        </w:rPr>
        <w:t>Saunders et al.</w:t>
      </w:r>
      <w:proofErr w:type="gramStart"/>
      <w:r w:rsidR="00F67B03" w:rsidRPr="00F75B20">
        <w:rPr>
          <w:rFonts w:ascii="Traditional Arabic" w:hAnsi="Traditional Arabic" w:cs="Traditional Arabic"/>
          <w:sz w:val="28"/>
          <w:szCs w:val="28"/>
          <w:lang w:val="en-US"/>
        </w:rPr>
        <w:t>, 2023</w:t>
      </w:r>
      <w:r w:rsidR="00F67B03" w:rsidRPr="00F75B20">
        <w:rPr>
          <w:rFonts w:ascii="Traditional Arabic" w:hAnsi="Traditional Arabic" w:cs="Traditional Arabic"/>
          <w:sz w:val="28"/>
          <w:szCs w:val="28"/>
          <w:rtl/>
          <w:lang w:val="en-US"/>
        </w:rPr>
        <w:t>).</w:t>
      </w:r>
      <w:proofErr w:type="gramEnd"/>
    </w:p>
    <w:p w:rsidR="00905479" w:rsidRPr="00F75B20" w:rsidRDefault="00905479"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lastRenderedPageBreak/>
        <w:t xml:space="preserve">وقد جاء اعتماد هذا الأسلوب استنادًا إلى طبيعة مجتمع الدراسة، الذي يقتصر على القيادات والعاملين في المستويات الوظيفية ذات العلاقة المباشرة بالتخطيط الاستراتيجي، وإدارة الأداء، والجودة، والتنسيق المؤسسي داخل المنظمات التابعة لمجلس التعاون لدول الخليج العربية، وهي فئات محدودة العدد وتمثل أصحاب القرار والمسؤولين عن صياغة الخطط الاستراتيجية، وتنفيذها، ومتابعتها، وتعزيز التكامل المؤسسي بين المنظمات. </w:t>
      </w:r>
      <w:proofErr w:type="gramStart"/>
      <w:r w:rsidRPr="00F75B20">
        <w:rPr>
          <w:rFonts w:ascii="Traditional Arabic" w:hAnsi="Traditional Arabic" w:cs="Traditional Arabic"/>
          <w:sz w:val="28"/>
          <w:szCs w:val="28"/>
          <w:rtl/>
          <w:lang w:val="en-US"/>
        </w:rPr>
        <w:t>ومن</w:t>
      </w:r>
      <w:proofErr w:type="gramEnd"/>
      <w:r w:rsidRPr="00F75B20">
        <w:rPr>
          <w:rFonts w:ascii="Traditional Arabic" w:hAnsi="Traditional Arabic" w:cs="Traditional Arabic"/>
          <w:sz w:val="28"/>
          <w:szCs w:val="28"/>
          <w:rtl/>
          <w:lang w:val="en-US"/>
        </w:rPr>
        <w:t xml:space="preserve"> ثم، فإن استهداف جميع أفراد هذا المجتمع يُعد أكثر ملاءمة من استخدام أساليب المعاينة الاحتمالية، ويضمن الحصول على بيانات أكثر شمولًا وتمثيلًا لواقع الدراسة</w:t>
      </w:r>
      <w:r w:rsidRPr="00F75B20">
        <w:rPr>
          <w:rFonts w:ascii="Traditional Arabic" w:hAnsi="Traditional Arabic" w:cs="Traditional Arabic"/>
          <w:sz w:val="28"/>
          <w:szCs w:val="28"/>
          <w:lang w:val="en-US"/>
        </w:rPr>
        <w:t>.</w:t>
      </w:r>
    </w:p>
    <w:p w:rsidR="00905479" w:rsidRPr="00F75B20" w:rsidRDefault="00905479"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وبناءً على ذلك، قامت الباحثة بحصر جميع الأفراد الذين تنطبق عليهم معايير الدراسة في المنظمات المشمولة، وتوجيه الاستبانة إليهم جميعًا، بهدف تحقيق أعلى مستوى ممكن من التمثيل، وضمان الحصول على بيانات دقيقة يمكن الاعتماد عليها في اختبار فرضيات الدراسة والإجابة عن أسئلتها</w:t>
      </w:r>
      <w:r w:rsidRPr="00F75B20">
        <w:rPr>
          <w:rFonts w:ascii="Traditional Arabic" w:hAnsi="Traditional Arabic" w:cs="Traditional Arabic"/>
          <w:sz w:val="28"/>
          <w:szCs w:val="28"/>
          <w:lang w:val="en-US"/>
        </w:rPr>
        <w:t>.</w:t>
      </w:r>
    </w:p>
    <w:p w:rsidR="00F67B03" w:rsidRPr="00F75B20" w:rsidRDefault="00F67B03" w:rsidP="00F67B03">
      <w:pPr>
        <w:bidi/>
        <w:spacing w:line="360" w:lineRule="auto"/>
        <w:jc w:val="both"/>
        <w:rPr>
          <w:rFonts w:ascii="Traditional Arabic" w:hAnsi="Traditional Arabic" w:cs="Traditional Arabic"/>
          <w:sz w:val="28"/>
          <w:szCs w:val="28"/>
          <w:lang w:val="en-US"/>
        </w:rPr>
      </w:pPr>
    </w:p>
    <w:p w:rsidR="00F67B03" w:rsidRPr="00F75B20" w:rsidRDefault="00F67B03" w:rsidP="00F67B03">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 xml:space="preserve">3.6 </w:t>
      </w:r>
      <w:proofErr w:type="gramStart"/>
      <w:r w:rsidRPr="00F75B20">
        <w:rPr>
          <w:rFonts w:ascii="Traditional Arabic" w:hAnsi="Traditional Arabic" w:cs="Traditional Arabic"/>
          <w:b/>
          <w:bCs/>
          <w:sz w:val="28"/>
          <w:szCs w:val="28"/>
          <w:rtl/>
          <w:lang w:val="en-US"/>
        </w:rPr>
        <w:t>متغيرات</w:t>
      </w:r>
      <w:proofErr w:type="gramEnd"/>
      <w:r w:rsidRPr="00F75B20">
        <w:rPr>
          <w:rFonts w:ascii="Traditional Arabic" w:hAnsi="Traditional Arabic" w:cs="Traditional Arabic"/>
          <w:b/>
          <w:bCs/>
          <w:sz w:val="28"/>
          <w:szCs w:val="28"/>
          <w:rtl/>
          <w:lang w:val="en-US"/>
        </w:rPr>
        <w:t xml:space="preserve"> الدراسة</w:t>
      </w:r>
    </w:p>
    <w:p w:rsidR="00F67B03" w:rsidRPr="00F75B20" w:rsidRDefault="00F67B03"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استنادًا إلى مشكلة الدراسة، وأهدافها، وفرضياتها، والإطار النظري، والدراسات السابقة، اشتملت الدراسة الحالية على متغير مستقل ومتغير تابع، وذلك بهدف تحليل أثر مستوى نضج التخطيط الاستراتيجي في تعزيز التكامل المؤسسي في المنظمات التابعة لمجلس التعاون لدول الخليج العربية. وقد تم تحديد متغيرات الدراسة وأبعادها بعد مراجعة الأدبيات العلمية والنماذج النظرية والدراسات التطبيقية التي تناولت موضوعات التخطيط الاستراتيجي، ونضج الممارسات الإدارية، والتكامل المؤسسي، بما يضمن تحقيق الاتساق بين الإطار النظري، والنموذج المفاهيمي، وأداة الدراسة (</w:t>
      </w:r>
      <w:r w:rsidRPr="00F75B20">
        <w:rPr>
          <w:rFonts w:ascii="Traditional Arabic" w:hAnsi="Traditional Arabic" w:cs="Traditional Arabic"/>
          <w:sz w:val="28"/>
          <w:szCs w:val="28"/>
          <w:lang w:val="en-US"/>
        </w:rPr>
        <w:t>Creswell &amp; Creswell, 2023</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Saunders et al.</w:t>
      </w:r>
      <w:proofErr w:type="gramStart"/>
      <w:r w:rsidRPr="00F75B20">
        <w:rPr>
          <w:rFonts w:ascii="Traditional Arabic" w:hAnsi="Traditional Arabic" w:cs="Traditional Arabic"/>
          <w:sz w:val="28"/>
          <w:szCs w:val="28"/>
          <w:lang w:val="en-US"/>
        </w:rPr>
        <w:t>, 2023</w:t>
      </w:r>
      <w:r w:rsidRPr="00F75B20">
        <w:rPr>
          <w:rFonts w:ascii="Traditional Arabic" w:hAnsi="Traditional Arabic" w:cs="Traditional Arabic"/>
          <w:sz w:val="28"/>
          <w:szCs w:val="28"/>
          <w:rtl/>
          <w:lang w:val="en-US"/>
        </w:rPr>
        <w:t>).</w:t>
      </w:r>
      <w:proofErr w:type="gramEnd"/>
    </w:p>
    <w:p w:rsidR="00F67B03" w:rsidRPr="00F75B20" w:rsidRDefault="00F67B03" w:rsidP="00F67B03">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 xml:space="preserve">ويتمثل المتغير المستقل في نضج التخطيط الاستراتيجي، ويقصد به مستوى تطور الممارسات والإجراءات التي تتبناها المنظمة في إعداد وتنفيذ ومتابعة التخطيط الاستراتيجي، بما يعكس قدرتها على تحويل الرؤية والأهداف الاستراتيجية إلى خطط تشغيلية </w:t>
      </w:r>
      <w:r w:rsidRPr="00F75B20">
        <w:rPr>
          <w:rFonts w:ascii="Traditional Arabic" w:hAnsi="Traditional Arabic" w:cs="Traditional Arabic"/>
          <w:sz w:val="28"/>
          <w:szCs w:val="28"/>
          <w:rtl/>
          <w:lang w:val="en-US"/>
        </w:rPr>
        <w:lastRenderedPageBreak/>
        <w:t xml:space="preserve">وممارسات تنظيمية تسهم في تحقيق أهدافها. وقد اعتمدت الدراسة خمسة أبعاد رئيسة لقياس هذا المتغير، وهي: وضوح الرؤية والأهداف الاستراتيجية، وتحليل البيئة الداخلية والخارجية، وتخصيص الموارد والقدرات التنظيمية، ومتابعة وتقييم الأداء الاستراتيجي، وربط الاستراتيجية بالسياسات والإجراءات الداخلية، وذلك استنادًا إلى ما أكدته الأدبيات الحديثة في مجال نضج التخطيط الاستراتيجي من أن هذه الأبعاد تمثل المكونات الأساسية التي تعكس مستوى نضج الممارسات الاستراتيجية داخل المنظمات، وقد تكررت بصورة واضحة في الدراسات السابقة التي تناولت قياس نضج التخطيط الاستراتيجي وتقييم فاعليته. </w:t>
      </w:r>
    </w:p>
    <w:p w:rsidR="00F67B03" w:rsidRPr="00F75B20" w:rsidRDefault="00F67B03" w:rsidP="00F67B03">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 xml:space="preserve">أما المتغير التابع فهو التكامل المؤسسي، ويشير إلى مستوى التنسيق والتعاون وتبادل المعلومات والمواءمة بين السياسات والإجراءات والبرامج المشتركة بين المنظمات التابعة لمجلس التعاون لدول الخليج العربية، بما يسهم في تحقيق الأهداف الاستراتيجية المشتركة وتعزيز كفاءة العمل الخليجي المشترك. وقد اعتمدت الدراسة قياس هذا المتغير بوصفه متغيرًا كليًا دون تقسيمه إلى أبعاد فرعية، وذلك انسجامًا مع النموذج المفاهيمي للدراسة، ولأن فقرات القياس صُممت لتغطية مختلف مظاهر التكامل المؤسسي بصورة شاملة، بما يحقق قياسًا متكاملًا لهذا المفهوم. </w:t>
      </w:r>
    </w:p>
    <w:p w:rsidR="00F67B03" w:rsidRPr="00F75B20" w:rsidRDefault="00F67B03"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وقد تم بناء أداة الدراسة في ضوء هذه المتغيرات، بحيث تغطي جميع أبعاد المتغير المستقل، وتقيس المتغير التابع بصورة شاملة، بما يتيح اختبار فرضيات الدراسة وتحليل أثر نضج التخطيط الاستراتيجي في تعزيز التكامل المؤسسي باستخدام الأساليب الإحصائية المناسبة (</w:t>
      </w:r>
      <w:r w:rsidRPr="00F75B20">
        <w:rPr>
          <w:rFonts w:ascii="Traditional Arabic" w:hAnsi="Traditional Arabic" w:cs="Traditional Arabic"/>
          <w:sz w:val="28"/>
          <w:szCs w:val="28"/>
          <w:lang w:val="en-US"/>
        </w:rPr>
        <w:t>Hair et al.</w:t>
      </w:r>
      <w:proofErr w:type="gramStart"/>
      <w:r w:rsidRPr="00F75B20">
        <w:rPr>
          <w:rFonts w:ascii="Traditional Arabic" w:hAnsi="Traditional Arabic" w:cs="Traditional Arabic"/>
          <w:sz w:val="28"/>
          <w:szCs w:val="28"/>
          <w:lang w:val="en-US"/>
        </w:rPr>
        <w:t>, 2022</w:t>
      </w:r>
      <w:r w:rsidRPr="00F75B20">
        <w:rPr>
          <w:rFonts w:ascii="Traditional Arabic" w:hAnsi="Traditional Arabic" w:cs="Traditional Arabic"/>
          <w:sz w:val="28"/>
          <w:szCs w:val="28"/>
          <w:rtl/>
          <w:lang w:val="en-US"/>
        </w:rPr>
        <w:t xml:space="preserve">؛ </w:t>
      </w:r>
      <w:proofErr w:type="spellStart"/>
      <w:r w:rsidRPr="00F75B20">
        <w:rPr>
          <w:rFonts w:ascii="Traditional Arabic" w:hAnsi="Traditional Arabic" w:cs="Traditional Arabic"/>
          <w:sz w:val="28"/>
          <w:szCs w:val="28"/>
          <w:lang w:val="en-US"/>
        </w:rPr>
        <w:t>Sekaran</w:t>
      </w:r>
      <w:proofErr w:type="spellEnd"/>
      <w:r w:rsidRPr="00F75B20">
        <w:rPr>
          <w:rFonts w:ascii="Traditional Arabic" w:hAnsi="Traditional Arabic" w:cs="Traditional Arabic"/>
          <w:sz w:val="28"/>
          <w:szCs w:val="28"/>
          <w:lang w:val="en-US"/>
        </w:rPr>
        <w:t xml:space="preserve"> &amp; </w:t>
      </w:r>
      <w:proofErr w:type="spellStart"/>
      <w:r w:rsidRPr="00F75B20">
        <w:rPr>
          <w:rFonts w:ascii="Traditional Arabic" w:hAnsi="Traditional Arabic" w:cs="Traditional Arabic"/>
          <w:sz w:val="28"/>
          <w:szCs w:val="28"/>
          <w:lang w:val="en-US"/>
        </w:rPr>
        <w:t>Bougie</w:t>
      </w:r>
      <w:proofErr w:type="spellEnd"/>
      <w:r w:rsidRPr="00F75B20">
        <w:rPr>
          <w:rFonts w:ascii="Traditional Arabic" w:hAnsi="Traditional Arabic" w:cs="Traditional Arabic"/>
          <w:sz w:val="28"/>
          <w:szCs w:val="28"/>
          <w:lang w:val="en-US"/>
        </w:rPr>
        <w:t>, 2020</w:t>
      </w:r>
      <w:r w:rsidRPr="00F75B20">
        <w:rPr>
          <w:rFonts w:ascii="Traditional Arabic" w:hAnsi="Traditional Arabic" w:cs="Traditional Arabic"/>
          <w:sz w:val="28"/>
          <w:szCs w:val="28"/>
          <w:rtl/>
          <w:lang w:val="en-US"/>
        </w:rPr>
        <w:t>).</w:t>
      </w:r>
      <w:proofErr w:type="gramEnd"/>
    </w:p>
    <w:p w:rsidR="00F67B03" w:rsidRPr="00F75B20" w:rsidRDefault="00F67B03" w:rsidP="00F67B03">
      <w:pPr>
        <w:bidi/>
        <w:spacing w:line="360" w:lineRule="auto"/>
        <w:jc w:val="both"/>
        <w:rPr>
          <w:rFonts w:ascii="Traditional Arabic" w:hAnsi="Traditional Arabic" w:cs="Traditional Arabic"/>
          <w:sz w:val="28"/>
          <w:szCs w:val="28"/>
          <w:lang w:val="en-US"/>
        </w:rPr>
      </w:pPr>
    </w:p>
    <w:p w:rsidR="00F67B03" w:rsidRPr="00F75B20" w:rsidRDefault="00F67B03" w:rsidP="00F67B03">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3.7 أداة الدراسة</w:t>
      </w:r>
    </w:p>
    <w:p w:rsidR="00F67B03" w:rsidRPr="00F75B20" w:rsidRDefault="00F67B03"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اعتمدت الدراسة الحالية على الاستبانة بوصفها الأداة الرئيسة لجمع البيانات من أفراد مجتمع الدراسة، وذلك لملاءمتها لطبيعة الدراسة وأهدافها، ولقدرتها على جمع البيانات من عدد كبير من المشاركين بطريقة منظمة وموحدة، بما يتيح إجراء التحليلات الإحصائية اللازمة لاختبار فرضيات الدراسة والإجابة عن أسئلتها. وتُعد الاستبانة من أكثر أدوات البحث استخدامًا في الدراسات </w:t>
      </w:r>
      <w:r w:rsidRPr="00F75B20">
        <w:rPr>
          <w:rFonts w:ascii="Traditional Arabic" w:hAnsi="Traditional Arabic" w:cs="Traditional Arabic"/>
          <w:sz w:val="28"/>
          <w:szCs w:val="28"/>
          <w:rtl/>
          <w:lang w:val="en-US"/>
        </w:rPr>
        <w:lastRenderedPageBreak/>
        <w:t>الإدارية التي تهدف إلى قياس الاتجاهات والآراء والممارسات التنظيمية، لما تتميز به من سهولة التطبيق، وإمكانية الحصول على بيانات كمية قابلة للتحليل الإحصائي، فضلاً عن قدرتها على تحقيق درجة مناسبة من الموضوعية عند إعدادها وفق الأسس العلمية (</w:t>
      </w:r>
      <w:r w:rsidRPr="00F75B20">
        <w:rPr>
          <w:rFonts w:ascii="Traditional Arabic" w:hAnsi="Traditional Arabic" w:cs="Traditional Arabic"/>
          <w:sz w:val="28"/>
          <w:szCs w:val="28"/>
          <w:lang w:val="en-US"/>
        </w:rPr>
        <w:t>Creswell &amp; Creswell, 2023</w:t>
      </w:r>
      <w:r w:rsidRPr="00F75B20">
        <w:rPr>
          <w:rFonts w:ascii="Traditional Arabic" w:hAnsi="Traditional Arabic" w:cs="Traditional Arabic"/>
          <w:sz w:val="28"/>
          <w:szCs w:val="28"/>
          <w:rtl/>
          <w:lang w:val="en-US"/>
        </w:rPr>
        <w:t xml:space="preserve">؛ </w:t>
      </w:r>
      <w:proofErr w:type="spellStart"/>
      <w:r w:rsidRPr="00F75B20">
        <w:rPr>
          <w:rFonts w:ascii="Traditional Arabic" w:hAnsi="Traditional Arabic" w:cs="Traditional Arabic"/>
          <w:sz w:val="28"/>
          <w:szCs w:val="28"/>
          <w:lang w:val="en-US"/>
        </w:rPr>
        <w:t>Sekaran</w:t>
      </w:r>
      <w:proofErr w:type="spellEnd"/>
      <w:r w:rsidRPr="00F75B20">
        <w:rPr>
          <w:rFonts w:ascii="Traditional Arabic" w:hAnsi="Traditional Arabic" w:cs="Traditional Arabic"/>
          <w:sz w:val="28"/>
          <w:szCs w:val="28"/>
          <w:lang w:val="en-US"/>
        </w:rPr>
        <w:t xml:space="preserve"> &amp; </w:t>
      </w:r>
      <w:proofErr w:type="spellStart"/>
      <w:r w:rsidRPr="00F75B20">
        <w:rPr>
          <w:rFonts w:ascii="Traditional Arabic" w:hAnsi="Traditional Arabic" w:cs="Traditional Arabic"/>
          <w:sz w:val="28"/>
          <w:szCs w:val="28"/>
          <w:lang w:val="en-US"/>
        </w:rPr>
        <w:t>Bougie</w:t>
      </w:r>
      <w:proofErr w:type="spellEnd"/>
      <w:r w:rsidRPr="00F75B20">
        <w:rPr>
          <w:rFonts w:ascii="Traditional Arabic" w:hAnsi="Traditional Arabic" w:cs="Traditional Arabic"/>
          <w:sz w:val="28"/>
          <w:szCs w:val="28"/>
          <w:lang w:val="en-US"/>
        </w:rPr>
        <w:t>, 2020</w:t>
      </w:r>
      <w:r w:rsidRPr="00F75B20">
        <w:rPr>
          <w:rFonts w:ascii="Traditional Arabic" w:hAnsi="Traditional Arabic" w:cs="Traditional Arabic"/>
          <w:sz w:val="28"/>
          <w:szCs w:val="28"/>
          <w:rtl/>
          <w:lang w:val="en-US"/>
        </w:rPr>
        <w:t>).</w:t>
      </w:r>
    </w:p>
    <w:p w:rsidR="00F67B03" w:rsidRPr="00F75B20" w:rsidRDefault="00F67B03"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وقد قامت الباحثة ببناء الاستبانة استنادًا إلى الإطار النظري والدراسات السابقة ذات العلاقة بمتغيرات الدراسة، مع الاستفادة من المقاييس التي تناولت نضج التخطيط الاستراتيجي والتكامل المؤسسي، ثم أعادت صياغة الفقرات بما يتلاءم مع طبيعة المنظمات التابعة لمجلس التعاون لدول الخليج العربية، وأهداف الدراسة الحالية، وبما يحقق الاتساق بين التعريفات الإجرائية للمتغيرات وفقرات القياس. كما روعي عند إعداد الأداة أن تكون الفقرات واضحة، ومحددة، وخالية من الغموض أو التكرار، وأن تغطي جميع جوانب متغيرات الدراسة بصورة شاملة، بما يسهم في الحصول على بيانات دقيقة وموثوقة (</w:t>
      </w:r>
      <w:r w:rsidRPr="00F75B20">
        <w:rPr>
          <w:rFonts w:ascii="Traditional Arabic" w:hAnsi="Traditional Arabic" w:cs="Traditional Arabic"/>
          <w:sz w:val="28"/>
          <w:szCs w:val="28"/>
          <w:lang w:val="en-US"/>
        </w:rPr>
        <w:t>Saunders et al.</w:t>
      </w:r>
      <w:proofErr w:type="gramStart"/>
      <w:r w:rsidRPr="00F75B20">
        <w:rPr>
          <w:rFonts w:ascii="Traditional Arabic" w:hAnsi="Traditional Arabic" w:cs="Traditional Arabic"/>
          <w:sz w:val="28"/>
          <w:szCs w:val="28"/>
          <w:lang w:val="en-US"/>
        </w:rPr>
        <w:t>, 2023</w:t>
      </w:r>
      <w:r w:rsidRPr="00F75B20">
        <w:rPr>
          <w:rFonts w:ascii="Traditional Arabic" w:hAnsi="Traditional Arabic" w:cs="Traditional Arabic"/>
          <w:sz w:val="28"/>
          <w:szCs w:val="28"/>
          <w:rtl/>
          <w:lang w:val="en-US"/>
        </w:rPr>
        <w:t>).</w:t>
      </w:r>
      <w:proofErr w:type="gramEnd"/>
    </w:p>
    <w:p w:rsidR="00F67B03" w:rsidRPr="00F75B20" w:rsidRDefault="00F67B03"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وتكونت الاستبانة في صورتها النهائية من ثلاثة أجزاء رئيسة، حيث خُصص الجزء الأول لجمع البيانات الديموغرافية والوظيفية المتعلقة بالمشاركين، في حين خُصص الجزء الثاني لقياس نضج التخطيط الاستراتيجي بأبعاده الخمسة، بينما خُصص الجزء الثالث لقياس التكامل المؤسسي بوصفه المتغير التابع في الدراسة. وقد روعي عند ترتيب فقرات الاستبانة الانتقال من الأسئلة العامة إلى الأسئلة الأكثر تخصصًا، بما يسهل على المشاركين عملية الإجابة ويحد من احتمالات التحيز أو عدم الاتساق في الاستجابات.</w:t>
      </w:r>
      <w:r w:rsidRPr="00F75B20">
        <w:rPr>
          <w:rFonts w:ascii="Traditional Arabic" w:hAnsi="Traditional Arabic" w:cs="Traditional Arabic" w:hint="cs"/>
          <w:sz w:val="28"/>
          <w:szCs w:val="28"/>
          <w:rtl/>
          <w:lang w:val="en-US" w:bidi="ar-JO"/>
        </w:rPr>
        <w:t xml:space="preserve"> </w:t>
      </w:r>
      <w:r w:rsidRPr="00F75B20">
        <w:rPr>
          <w:rFonts w:ascii="Traditional Arabic" w:hAnsi="Traditional Arabic" w:cs="Traditional Arabic"/>
          <w:sz w:val="28"/>
          <w:szCs w:val="28"/>
          <w:rtl/>
          <w:lang w:val="en-US"/>
        </w:rPr>
        <w:t xml:space="preserve">ويبين الجدول (3-1) </w:t>
      </w:r>
      <w:proofErr w:type="gramStart"/>
      <w:r w:rsidRPr="00F75B20">
        <w:rPr>
          <w:rFonts w:ascii="Traditional Arabic" w:hAnsi="Traditional Arabic" w:cs="Traditional Arabic"/>
          <w:sz w:val="28"/>
          <w:szCs w:val="28"/>
          <w:rtl/>
          <w:lang w:val="en-US"/>
        </w:rPr>
        <w:t>مكونات</w:t>
      </w:r>
      <w:proofErr w:type="gramEnd"/>
      <w:r w:rsidRPr="00F75B20">
        <w:rPr>
          <w:rFonts w:ascii="Traditional Arabic" w:hAnsi="Traditional Arabic" w:cs="Traditional Arabic"/>
          <w:sz w:val="28"/>
          <w:szCs w:val="28"/>
          <w:rtl/>
          <w:lang w:val="en-US"/>
        </w:rPr>
        <w:t xml:space="preserve"> أداة الدراسة وتوزيع فقراتها على متغيرات الدراسة</w:t>
      </w:r>
      <w:r w:rsidRPr="00F75B20">
        <w:rPr>
          <w:rFonts w:ascii="Traditional Arabic" w:hAnsi="Traditional Arabic" w:cs="Traditional Arabic"/>
          <w:sz w:val="28"/>
          <w:szCs w:val="28"/>
          <w:lang w:val="en-US"/>
        </w:rPr>
        <w:t>.</w:t>
      </w:r>
    </w:p>
    <w:p w:rsidR="00F67B03" w:rsidRPr="00F75B20" w:rsidRDefault="00F67B03" w:rsidP="00F67B03">
      <w:pPr>
        <w:bidi/>
        <w:spacing w:after="0" w:line="240" w:lineRule="auto"/>
        <w:jc w:val="center"/>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 xml:space="preserve">جدول (3-1) </w:t>
      </w:r>
      <w:proofErr w:type="gramStart"/>
      <w:r w:rsidRPr="00F75B20">
        <w:rPr>
          <w:rFonts w:ascii="Traditional Arabic" w:hAnsi="Traditional Arabic" w:cs="Traditional Arabic"/>
          <w:b/>
          <w:bCs/>
          <w:sz w:val="28"/>
          <w:szCs w:val="28"/>
          <w:rtl/>
          <w:lang w:val="en-US"/>
        </w:rPr>
        <w:t>مكونات</w:t>
      </w:r>
      <w:proofErr w:type="gramEnd"/>
      <w:r w:rsidRPr="00F75B20">
        <w:rPr>
          <w:rFonts w:ascii="Traditional Arabic" w:hAnsi="Traditional Arabic" w:cs="Traditional Arabic"/>
          <w:b/>
          <w:bCs/>
          <w:sz w:val="28"/>
          <w:szCs w:val="28"/>
          <w:rtl/>
          <w:lang w:val="en-US"/>
        </w:rPr>
        <w:t xml:space="preserve"> أداة الدراسة وتوزيع فقراتها</w:t>
      </w:r>
    </w:p>
    <w:tbl>
      <w:tblPr>
        <w:tblStyle w:val="a3"/>
        <w:bidiVisual/>
        <w:tblW w:w="0" w:type="auto"/>
        <w:tblLook w:val="04A0" w:firstRow="1" w:lastRow="0" w:firstColumn="1" w:lastColumn="0" w:noHBand="0" w:noVBand="1"/>
      </w:tblPr>
      <w:tblGrid>
        <w:gridCol w:w="777"/>
        <w:gridCol w:w="2015"/>
        <w:gridCol w:w="4310"/>
        <w:gridCol w:w="1109"/>
        <w:gridCol w:w="1126"/>
      </w:tblGrid>
      <w:tr w:rsidR="00F67B03" w:rsidRPr="00F75B20" w:rsidTr="00F67B03">
        <w:tc>
          <w:tcPr>
            <w:tcW w:w="0" w:type="auto"/>
            <w:hideMark/>
          </w:tcPr>
          <w:p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الجزء</w:t>
            </w:r>
          </w:p>
        </w:tc>
        <w:tc>
          <w:tcPr>
            <w:tcW w:w="0" w:type="auto"/>
            <w:hideMark/>
          </w:tcPr>
          <w:p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المتغير</w:t>
            </w:r>
          </w:p>
        </w:tc>
        <w:tc>
          <w:tcPr>
            <w:tcW w:w="0" w:type="auto"/>
            <w:hideMark/>
          </w:tcPr>
          <w:p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البعد</w:t>
            </w:r>
          </w:p>
        </w:tc>
        <w:tc>
          <w:tcPr>
            <w:tcW w:w="0" w:type="auto"/>
            <w:hideMark/>
          </w:tcPr>
          <w:p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عدد الفقرات</w:t>
            </w:r>
          </w:p>
        </w:tc>
        <w:tc>
          <w:tcPr>
            <w:tcW w:w="0" w:type="auto"/>
            <w:hideMark/>
          </w:tcPr>
          <w:p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أرقام الفقرات</w:t>
            </w:r>
          </w:p>
        </w:tc>
      </w:tr>
      <w:tr w:rsidR="00F67B03" w:rsidRPr="00F75B20" w:rsidTr="00F67B03">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الأول</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البيانات الديموغرافية والوظيفية</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الجنس، </w:t>
            </w:r>
            <w:proofErr w:type="gramStart"/>
            <w:r w:rsidRPr="00F75B20">
              <w:rPr>
                <w:rFonts w:ascii="Traditional Arabic" w:hAnsi="Traditional Arabic" w:cs="Traditional Arabic"/>
                <w:sz w:val="28"/>
                <w:szCs w:val="28"/>
                <w:rtl/>
                <w:lang w:val="en-US"/>
              </w:rPr>
              <w:t>العمر</w:t>
            </w:r>
            <w:proofErr w:type="gramEnd"/>
            <w:r w:rsidRPr="00F75B20">
              <w:rPr>
                <w:rFonts w:ascii="Traditional Arabic" w:hAnsi="Traditional Arabic" w:cs="Traditional Arabic"/>
                <w:sz w:val="28"/>
                <w:szCs w:val="28"/>
                <w:rtl/>
                <w:lang w:val="en-US"/>
              </w:rPr>
              <w:t>، المؤهل العلمي، سنوات الخبرة، المسمى الوظيفي، المنظمة</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w:t>
            </w:r>
          </w:p>
        </w:tc>
      </w:tr>
      <w:tr w:rsidR="00F67B03" w:rsidRPr="00F75B20" w:rsidTr="00F67B03">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الثاني</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نضج التخطيط الاستراتيجي</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وضوح الرؤية والأهداف الاستراتيجية</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1–5</w:t>
            </w:r>
          </w:p>
        </w:tc>
      </w:tr>
      <w:tr w:rsidR="00F67B03" w:rsidRPr="00F75B20" w:rsidTr="00F67B03">
        <w:tc>
          <w:tcPr>
            <w:tcW w:w="0" w:type="auto"/>
            <w:hideMark/>
          </w:tcPr>
          <w:p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تحليل البيئة الداخلية </w:t>
            </w:r>
            <w:proofErr w:type="gramStart"/>
            <w:r w:rsidRPr="00F75B20">
              <w:rPr>
                <w:rFonts w:ascii="Traditional Arabic" w:hAnsi="Traditional Arabic" w:cs="Traditional Arabic"/>
                <w:sz w:val="28"/>
                <w:szCs w:val="28"/>
                <w:rtl/>
                <w:lang w:val="en-US"/>
              </w:rPr>
              <w:t>والخارجية</w:t>
            </w:r>
            <w:proofErr w:type="gramEnd"/>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6–10</w:t>
            </w:r>
          </w:p>
        </w:tc>
      </w:tr>
      <w:tr w:rsidR="00F67B03" w:rsidRPr="00F75B20" w:rsidTr="00F67B03">
        <w:tc>
          <w:tcPr>
            <w:tcW w:w="0" w:type="auto"/>
            <w:hideMark/>
          </w:tcPr>
          <w:p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تخصيص</w:t>
            </w:r>
            <w:proofErr w:type="gramEnd"/>
            <w:r w:rsidRPr="00F75B20">
              <w:rPr>
                <w:rFonts w:ascii="Traditional Arabic" w:hAnsi="Traditional Arabic" w:cs="Traditional Arabic"/>
                <w:sz w:val="28"/>
                <w:szCs w:val="28"/>
                <w:rtl/>
                <w:lang w:val="en-US"/>
              </w:rPr>
              <w:t xml:space="preserve"> الموارد والقدرات التنظيمية</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11–15</w:t>
            </w:r>
          </w:p>
        </w:tc>
      </w:tr>
      <w:tr w:rsidR="00F67B03" w:rsidRPr="00F75B20" w:rsidTr="00F67B03">
        <w:tc>
          <w:tcPr>
            <w:tcW w:w="0" w:type="auto"/>
            <w:hideMark/>
          </w:tcPr>
          <w:p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متابعة وتقييم الأداء الاستراتيجي</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16–20</w:t>
            </w:r>
          </w:p>
        </w:tc>
      </w:tr>
      <w:tr w:rsidR="00F67B03" w:rsidRPr="00F75B20" w:rsidTr="00F67B03">
        <w:tc>
          <w:tcPr>
            <w:tcW w:w="0" w:type="auto"/>
            <w:hideMark/>
          </w:tcPr>
          <w:p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ربط الاستراتيجية بالسياسات والإجراءات الداخلية</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21–25</w:t>
            </w:r>
          </w:p>
        </w:tc>
      </w:tr>
      <w:tr w:rsidR="00F67B03" w:rsidRPr="00F75B20" w:rsidTr="00F67B03">
        <w:tc>
          <w:tcPr>
            <w:tcW w:w="0" w:type="auto"/>
            <w:hideMark/>
          </w:tcPr>
          <w:p w:rsidR="00F67B03" w:rsidRPr="00F75B20" w:rsidRDefault="00F67B03" w:rsidP="00F67B03">
            <w:pPr>
              <w:bidi/>
              <w:jc w:val="both"/>
              <w:rPr>
                <w:rFonts w:ascii="Traditional Arabic" w:hAnsi="Traditional Arabic" w:cs="Traditional Arabic"/>
                <w:b/>
                <w:bCs/>
                <w:sz w:val="28"/>
                <w:szCs w:val="28"/>
                <w:lang w:val="en-US"/>
              </w:rPr>
            </w:pPr>
          </w:p>
        </w:tc>
        <w:tc>
          <w:tcPr>
            <w:tcW w:w="0" w:type="auto"/>
            <w:hideMark/>
          </w:tcPr>
          <w:p w:rsidR="00F67B03" w:rsidRPr="00F75B20" w:rsidRDefault="00F67B03" w:rsidP="00F67B03">
            <w:pPr>
              <w:bidi/>
              <w:jc w:val="both"/>
              <w:rPr>
                <w:rFonts w:ascii="Traditional Arabic" w:hAnsi="Traditional Arabic" w:cs="Traditional Arabic"/>
                <w:b/>
                <w:bCs/>
                <w:sz w:val="28"/>
                <w:szCs w:val="28"/>
                <w:lang w:val="en-US"/>
              </w:rPr>
            </w:pPr>
          </w:p>
        </w:tc>
        <w:tc>
          <w:tcPr>
            <w:tcW w:w="0" w:type="auto"/>
            <w:hideMark/>
          </w:tcPr>
          <w:p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المجموع</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25</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1–25</w:t>
            </w:r>
          </w:p>
        </w:tc>
      </w:tr>
      <w:tr w:rsidR="00F67B03" w:rsidRPr="00F75B20" w:rsidTr="00F67B03">
        <w:tc>
          <w:tcPr>
            <w:tcW w:w="0" w:type="auto"/>
            <w:hideMark/>
          </w:tcPr>
          <w:p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الثالث</w:t>
            </w:r>
          </w:p>
        </w:tc>
        <w:tc>
          <w:tcPr>
            <w:tcW w:w="0" w:type="auto"/>
            <w:hideMark/>
          </w:tcPr>
          <w:p w:rsidR="00F67B03" w:rsidRPr="00F75B20" w:rsidRDefault="00F67B03" w:rsidP="00F67B03">
            <w:pPr>
              <w:bidi/>
              <w:jc w:val="both"/>
              <w:rPr>
                <w:rFonts w:ascii="Traditional Arabic" w:hAnsi="Traditional Arabic" w:cs="Traditional Arabic"/>
                <w:b/>
                <w:bCs/>
                <w:sz w:val="28"/>
                <w:szCs w:val="28"/>
                <w:lang w:val="en-US"/>
              </w:rPr>
            </w:pPr>
            <w:proofErr w:type="gramStart"/>
            <w:r w:rsidRPr="00F75B20">
              <w:rPr>
                <w:rFonts w:ascii="Traditional Arabic" w:hAnsi="Traditional Arabic" w:cs="Traditional Arabic"/>
                <w:b/>
                <w:bCs/>
                <w:sz w:val="28"/>
                <w:szCs w:val="28"/>
                <w:rtl/>
                <w:lang w:val="en-US"/>
              </w:rPr>
              <w:t>التكامل</w:t>
            </w:r>
            <w:proofErr w:type="gramEnd"/>
            <w:r w:rsidRPr="00F75B20">
              <w:rPr>
                <w:rFonts w:ascii="Traditional Arabic" w:hAnsi="Traditional Arabic" w:cs="Traditional Arabic"/>
                <w:b/>
                <w:bCs/>
                <w:sz w:val="28"/>
                <w:szCs w:val="28"/>
                <w:rtl/>
                <w:lang w:val="en-US"/>
              </w:rPr>
              <w:t xml:space="preserve"> المؤسسي</w:t>
            </w:r>
          </w:p>
        </w:tc>
        <w:tc>
          <w:tcPr>
            <w:tcW w:w="0" w:type="auto"/>
            <w:hideMark/>
          </w:tcPr>
          <w:p w:rsidR="00F67B03" w:rsidRPr="00F75B20" w:rsidRDefault="00F67B03" w:rsidP="00F67B03">
            <w:pPr>
              <w:bidi/>
              <w:jc w:val="both"/>
              <w:rPr>
                <w:rFonts w:ascii="Traditional Arabic" w:hAnsi="Traditional Arabic" w:cs="Traditional Arabic"/>
                <w:b/>
                <w:bCs/>
                <w:sz w:val="28"/>
                <w:szCs w:val="28"/>
                <w:lang w:val="en-US"/>
              </w:rPr>
            </w:pPr>
            <w:proofErr w:type="gramStart"/>
            <w:r w:rsidRPr="00F75B20">
              <w:rPr>
                <w:rFonts w:ascii="Traditional Arabic" w:hAnsi="Traditional Arabic" w:cs="Traditional Arabic"/>
                <w:b/>
                <w:bCs/>
                <w:sz w:val="28"/>
                <w:szCs w:val="28"/>
                <w:rtl/>
                <w:lang w:val="en-US"/>
              </w:rPr>
              <w:t>متغير</w:t>
            </w:r>
            <w:proofErr w:type="gramEnd"/>
            <w:r w:rsidRPr="00F75B20">
              <w:rPr>
                <w:rFonts w:ascii="Traditional Arabic" w:hAnsi="Traditional Arabic" w:cs="Traditional Arabic"/>
                <w:b/>
                <w:bCs/>
                <w:sz w:val="28"/>
                <w:szCs w:val="28"/>
                <w:rtl/>
                <w:lang w:val="en-US"/>
              </w:rPr>
              <w:t xml:space="preserve"> كلي</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10</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26–35</w:t>
            </w:r>
          </w:p>
        </w:tc>
      </w:tr>
      <w:tr w:rsidR="00F67B03" w:rsidRPr="00F75B20" w:rsidTr="00F67B03">
        <w:tc>
          <w:tcPr>
            <w:tcW w:w="0" w:type="auto"/>
            <w:hideMark/>
          </w:tcPr>
          <w:p w:rsidR="00F67B03" w:rsidRPr="00F75B20" w:rsidRDefault="00F67B03" w:rsidP="00F67B03">
            <w:pPr>
              <w:bidi/>
              <w:jc w:val="both"/>
              <w:rPr>
                <w:rFonts w:ascii="Traditional Arabic" w:hAnsi="Traditional Arabic" w:cs="Traditional Arabic"/>
                <w:b/>
                <w:bCs/>
                <w:sz w:val="28"/>
                <w:szCs w:val="28"/>
                <w:lang w:val="en-US"/>
              </w:rPr>
            </w:pPr>
          </w:p>
        </w:tc>
        <w:tc>
          <w:tcPr>
            <w:tcW w:w="0" w:type="auto"/>
            <w:hideMark/>
          </w:tcPr>
          <w:p w:rsidR="00F67B03" w:rsidRPr="00F75B20" w:rsidRDefault="00F67B03" w:rsidP="00F67B03">
            <w:pPr>
              <w:bidi/>
              <w:jc w:val="both"/>
              <w:rPr>
                <w:rFonts w:ascii="Traditional Arabic" w:hAnsi="Traditional Arabic" w:cs="Traditional Arabic"/>
                <w:b/>
                <w:bCs/>
                <w:sz w:val="28"/>
                <w:szCs w:val="28"/>
                <w:lang w:val="en-US"/>
              </w:rPr>
            </w:pPr>
          </w:p>
        </w:tc>
        <w:tc>
          <w:tcPr>
            <w:tcW w:w="0" w:type="auto"/>
            <w:hideMark/>
          </w:tcPr>
          <w:p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المجموع</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10</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26–35</w:t>
            </w:r>
          </w:p>
        </w:tc>
      </w:tr>
      <w:tr w:rsidR="00F67B03" w:rsidRPr="00F75B20" w:rsidTr="00F67B03">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الإجمالي</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35 </w:t>
            </w:r>
            <w:r w:rsidRPr="00F75B20">
              <w:rPr>
                <w:rFonts w:ascii="Traditional Arabic" w:hAnsi="Traditional Arabic" w:cs="Traditional Arabic"/>
                <w:sz w:val="28"/>
                <w:szCs w:val="28"/>
                <w:rtl/>
                <w:lang w:val="en-US"/>
              </w:rPr>
              <w:t>فقرة</w:t>
            </w:r>
          </w:p>
        </w:tc>
        <w:tc>
          <w:tcPr>
            <w:tcW w:w="0" w:type="auto"/>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1–35</w:t>
            </w:r>
          </w:p>
        </w:tc>
      </w:tr>
    </w:tbl>
    <w:p w:rsidR="00F67B03" w:rsidRPr="00F75B20" w:rsidRDefault="00F67B03" w:rsidP="00F67B03">
      <w:pPr>
        <w:bidi/>
        <w:spacing w:line="360" w:lineRule="auto"/>
        <w:jc w:val="both"/>
        <w:rPr>
          <w:rFonts w:ascii="Traditional Arabic" w:hAnsi="Traditional Arabic" w:cs="Traditional Arabic"/>
          <w:sz w:val="28"/>
          <w:szCs w:val="28"/>
          <w:rtl/>
          <w:lang w:val="en-US"/>
        </w:rPr>
      </w:pPr>
    </w:p>
    <w:p w:rsidR="00F67B03" w:rsidRPr="00F75B20" w:rsidRDefault="00F67B03" w:rsidP="00F67B03">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واعتمدت الدراسة مقياس ليكرت الخماسي (</w:t>
      </w:r>
      <w:r w:rsidRPr="00F75B20">
        <w:rPr>
          <w:rFonts w:ascii="Traditional Arabic" w:hAnsi="Traditional Arabic" w:cs="Traditional Arabic"/>
          <w:sz w:val="28"/>
          <w:szCs w:val="28"/>
          <w:lang w:val="en-US"/>
        </w:rPr>
        <w:t>Five-Point Likert Scale</w:t>
      </w:r>
      <w:r w:rsidRPr="00F75B20">
        <w:rPr>
          <w:rFonts w:ascii="Traditional Arabic" w:hAnsi="Traditional Arabic" w:cs="Traditional Arabic"/>
          <w:sz w:val="28"/>
          <w:szCs w:val="28"/>
          <w:rtl/>
          <w:lang w:val="en-US"/>
        </w:rPr>
        <w:t xml:space="preserve">) لقياس استجابات أفراد الدراسة، حيث طُلب من المشاركين تحديد درجة موافقتهم على كل فقرة وفق خمس درجات تبدأ بـ (غير موافق بشدة) وتنتهي بـ (موافق بشدة)، وقد مُنحت الدرجات (1، 2، 3، 4، 5) على التوالي، بما يتيح تحويل الاستجابات إلى بيانات كمية قابلة للتحليل الإحصائي باستخدام برنامج </w:t>
      </w:r>
      <w:r w:rsidRPr="00F75B20">
        <w:rPr>
          <w:rFonts w:ascii="Traditional Arabic" w:hAnsi="Traditional Arabic" w:cs="Traditional Arabic" w:hint="cs"/>
          <w:sz w:val="28"/>
          <w:szCs w:val="28"/>
          <w:rtl/>
          <w:lang w:val="en-US"/>
        </w:rPr>
        <w:t>(</w:t>
      </w:r>
      <w:r w:rsidRPr="00F75B20">
        <w:rPr>
          <w:rFonts w:ascii="Traditional Arabic" w:hAnsi="Traditional Arabic" w:cs="Traditional Arabic"/>
          <w:sz w:val="28"/>
          <w:szCs w:val="28"/>
          <w:lang w:val="en-US"/>
        </w:rPr>
        <w:t>SPSS</w:t>
      </w:r>
      <w:r w:rsidRPr="00F75B20">
        <w:rPr>
          <w:rFonts w:ascii="Traditional Arabic" w:hAnsi="Traditional Arabic" w:cs="Traditional Arabic"/>
          <w:sz w:val="28"/>
          <w:szCs w:val="28"/>
          <w:rtl/>
          <w:lang w:val="en-US"/>
        </w:rPr>
        <w:t>).</w:t>
      </w:r>
    </w:p>
    <w:p w:rsidR="00F67B03" w:rsidRPr="00F75B20" w:rsidRDefault="00F67B03" w:rsidP="00F67B03">
      <w:pPr>
        <w:bidi/>
        <w:spacing w:after="0" w:line="240" w:lineRule="auto"/>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جدول (3-2) مقياس ليكرت الخماسي المستخدم في الدراسة</w:t>
      </w:r>
    </w:p>
    <w:tbl>
      <w:tblPr>
        <w:tblStyle w:val="a3"/>
        <w:bidiVisual/>
        <w:tblW w:w="5000" w:type="pct"/>
        <w:tblLook w:val="04A0" w:firstRow="1" w:lastRow="0" w:firstColumn="1" w:lastColumn="0" w:noHBand="0" w:noVBand="1"/>
      </w:tblPr>
      <w:tblGrid>
        <w:gridCol w:w="1922"/>
        <w:gridCol w:w="2196"/>
        <w:gridCol w:w="1559"/>
        <w:gridCol w:w="960"/>
        <w:gridCol w:w="1031"/>
        <w:gridCol w:w="1669"/>
      </w:tblGrid>
      <w:tr w:rsidR="00F67B03" w:rsidRPr="00F75B20" w:rsidTr="00F67B03">
        <w:tc>
          <w:tcPr>
            <w:tcW w:w="1029" w:type="pct"/>
            <w:hideMark/>
          </w:tcPr>
          <w:p w:rsidR="00F67B03" w:rsidRPr="00F75B20" w:rsidRDefault="00F67B03" w:rsidP="00F67B03">
            <w:pPr>
              <w:bidi/>
              <w:jc w:val="both"/>
              <w:rPr>
                <w:rFonts w:ascii="Traditional Arabic" w:hAnsi="Traditional Arabic" w:cs="Traditional Arabic"/>
                <w:b/>
                <w:bCs/>
                <w:sz w:val="28"/>
                <w:szCs w:val="28"/>
                <w:lang w:val="en-US"/>
              </w:rPr>
            </w:pPr>
            <w:proofErr w:type="gramStart"/>
            <w:r w:rsidRPr="00F75B20">
              <w:rPr>
                <w:rFonts w:ascii="Traditional Arabic" w:hAnsi="Traditional Arabic" w:cs="Traditional Arabic"/>
                <w:b/>
                <w:bCs/>
                <w:sz w:val="28"/>
                <w:szCs w:val="28"/>
                <w:rtl/>
                <w:lang w:val="en-US"/>
              </w:rPr>
              <w:t>درجة</w:t>
            </w:r>
            <w:proofErr w:type="gramEnd"/>
            <w:r w:rsidRPr="00F75B20">
              <w:rPr>
                <w:rFonts w:ascii="Traditional Arabic" w:hAnsi="Traditional Arabic" w:cs="Traditional Arabic"/>
                <w:b/>
                <w:bCs/>
                <w:sz w:val="28"/>
                <w:szCs w:val="28"/>
                <w:rtl/>
                <w:lang w:val="en-US"/>
              </w:rPr>
              <w:t xml:space="preserve"> الموافقة</w:t>
            </w:r>
          </w:p>
        </w:tc>
        <w:tc>
          <w:tcPr>
            <w:tcW w:w="1176" w:type="pct"/>
            <w:hideMark/>
          </w:tcPr>
          <w:p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غير موافق بشدة</w:t>
            </w:r>
          </w:p>
        </w:tc>
        <w:tc>
          <w:tcPr>
            <w:tcW w:w="835" w:type="pct"/>
            <w:hideMark/>
          </w:tcPr>
          <w:p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غير موافق</w:t>
            </w:r>
          </w:p>
        </w:tc>
        <w:tc>
          <w:tcPr>
            <w:tcW w:w="514" w:type="pct"/>
            <w:hideMark/>
          </w:tcPr>
          <w:p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محايد</w:t>
            </w:r>
          </w:p>
        </w:tc>
        <w:tc>
          <w:tcPr>
            <w:tcW w:w="552" w:type="pct"/>
            <w:hideMark/>
          </w:tcPr>
          <w:p w:rsidR="00F67B03" w:rsidRPr="00F75B20" w:rsidRDefault="00F67B03" w:rsidP="00F67B03">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موافق</w:t>
            </w:r>
          </w:p>
        </w:tc>
        <w:tc>
          <w:tcPr>
            <w:tcW w:w="894" w:type="pct"/>
            <w:hideMark/>
          </w:tcPr>
          <w:p w:rsidR="00F67B03" w:rsidRPr="00F75B20" w:rsidRDefault="00F67B03" w:rsidP="00F67B03">
            <w:pPr>
              <w:bidi/>
              <w:jc w:val="both"/>
              <w:rPr>
                <w:rFonts w:ascii="Traditional Arabic" w:hAnsi="Traditional Arabic" w:cs="Traditional Arabic"/>
                <w:b/>
                <w:bCs/>
                <w:sz w:val="28"/>
                <w:szCs w:val="28"/>
                <w:lang w:val="en-US"/>
              </w:rPr>
            </w:pPr>
            <w:proofErr w:type="gramStart"/>
            <w:r w:rsidRPr="00F75B20">
              <w:rPr>
                <w:rFonts w:ascii="Traditional Arabic" w:hAnsi="Traditional Arabic" w:cs="Traditional Arabic"/>
                <w:b/>
                <w:bCs/>
                <w:sz w:val="28"/>
                <w:szCs w:val="28"/>
                <w:rtl/>
                <w:lang w:val="en-US"/>
              </w:rPr>
              <w:t>موافق</w:t>
            </w:r>
            <w:proofErr w:type="gramEnd"/>
            <w:r w:rsidRPr="00F75B20">
              <w:rPr>
                <w:rFonts w:ascii="Traditional Arabic" w:hAnsi="Traditional Arabic" w:cs="Traditional Arabic"/>
                <w:b/>
                <w:bCs/>
                <w:sz w:val="28"/>
                <w:szCs w:val="28"/>
                <w:rtl/>
                <w:lang w:val="en-US"/>
              </w:rPr>
              <w:t xml:space="preserve"> بشدة</w:t>
            </w:r>
          </w:p>
        </w:tc>
      </w:tr>
      <w:tr w:rsidR="00F67B03" w:rsidRPr="00F75B20" w:rsidTr="00F67B03">
        <w:tc>
          <w:tcPr>
            <w:tcW w:w="1029" w:type="pct"/>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الدرجة</w:t>
            </w:r>
          </w:p>
        </w:tc>
        <w:tc>
          <w:tcPr>
            <w:tcW w:w="1176" w:type="pct"/>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w:t>
            </w:r>
          </w:p>
        </w:tc>
        <w:tc>
          <w:tcPr>
            <w:tcW w:w="835" w:type="pct"/>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w:t>
            </w:r>
          </w:p>
        </w:tc>
        <w:tc>
          <w:tcPr>
            <w:tcW w:w="514" w:type="pct"/>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w:t>
            </w:r>
          </w:p>
        </w:tc>
        <w:tc>
          <w:tcPr>
            <w:tcW w:w="552" w:type="pct"/>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4</w:t>
            </w:r>
          </w:p>
        </w:tc>
        <w:tc>
          <w:tcPr>
            <w:tcW w:w="894" w:type="pct"/>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r>
    </w:tbl>
    <w:p w:rsidR="00F67B03" w:rsidRPr="00F75B20" w:rsidRDefault="00F67B03" w:rsidP="00F67B03">
      <w:pPr>
        <w:bidi/>
        <w:spacing w:line="360" w:lineRule="auto"/>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ولتفسير</w:t>
      </w:r>
      <w:proofErr w:type="gramEnd"/>
      <w:r w:rsidRPr="00F75B20">
        <w:rPr>
          <w:rFonts w:ascii="Traditional Arabic" w:hAnsi="Traditional Arabic" w:cs="Traditional Arabic"/>
          <w:sz w:val="28"/>
          <w:szCs w:val="28"/>
          <w:rtl/>
          <w:lang w:val="en-US"/>
        </w:rPr>
        <w:t xml:space="preserve"> المتوسطات الحسابية لاستجابات أفراد الدراسة، اعتمدت الباحثة معيارًا قائمًا على تقسيم مدى المقياس الخماسي إلى خمس فئات متساوية، من خلال حساب طول الفئة وفق المعادلة</w:t>
      </w:r>
      <w:r w:rsidRPr="00F75B20">
        <w:rPr>
          <w:rFonts w:ascii="Traditional Arabic" w:hAnsi="Traditional Arabic" w:cs="Traditional Arabic"/>
          <w:sz w:val="28"/>
          <w:szCs w:val="28"/>
          <w:lang w:val="en-US"/>
        </w:rPr>
        <w:t>:</w:t>
      </w:r>
    </w:p>
    <w:p w:rsidR="00F67B03" w:rsidRPr="00F75B20" w:rsidRDefault="00F67B03"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 xml:space="preserve">طول الفئة = (أعلى قيمة – </w:t>
      </w:r>
      <w:proofErr w:type="gramStart"/>
      <w:r w:rsidRPr="00F75B20">
        <w:rPr>
          <w:rFonts w:ascii="Traditional Arabic" w:hAnsi="Traditional Arabic" w:cs="Traditional Arabic"/>
          <w:b/>
          <w:bCs/>
          <w:sz w:val="28"/>
          <w:szCs w:val="28"/>
          <w:rtl/>
          <w:lang w:val="en-US"/>
        </w:rPr>
        <w:t>أدنى</w:t>
      </w:r>
      <w:proofErr w:type="gramEnd"/>
      <w:r w:rsidRPr="00F75B20">
        <w:rPr>
          <w:rFonts w:ascii="Traditional Arabic" w:hAnsi="Traditional Arabic" w:cs="Traditional Arabic"/>
          <w:b/>
          <w:bCs/>
          <w:sz w:val="28"/>
          <w:szCs w:val="28"/>
          <w:rtl/>
          <w:lang w:val="en-US"/>
        </w:rPr>
        <w:t xml:space="preserve"> قيمة) ÷ عدد الفئات = (5 – 1) ÷ 5 = 0.80</w:t>
      </w:r>
    </w:p>
    <w:p w:rsidR="00F67B03" w:rsidRPr="00F75B20" w:rsidRDefault="00F67B03" w:rsidP="00F67B03">
      <w:pPr>
        <w:bidi/>
        <w:spacing w:line="360" w:lineRule="auto"/>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وبناءً</w:t>
      </w:r>
      <w:proofErr w:type="gramEnd"/>
      <w:r w:rsidRPr="00F75B20">
        <w:rPr>
          <w:rFonts w:ascii="Traditional Arabic" w:hAnsi="Traditional Arabic" w:cs="Traditional Arabic"/>
          <w:sz w:val="28"/>
          <w:szCs w:val="28"/>
          <w:rtl/>
          <w:lang w:val="en-US"/>
        </w:rPr>
        <w:t xml:space="preserve"> على ذلك، تم اعتماد معيار تفسير المتوسطات الحسابية الموضح في الجدول (3-3).</w:t>
      </w:r>
    </w:p>
    <w:p w:rsidR="00F67B03" w:rsidRPr="00F75B20" w:rsidRDefault="00F67B03" w:rsidP="00F67B03">
      <w:pPr>
        <w:bidi/>
        <w:spacing w:after="0" w:line="240" w:lineRule="auto"/>
        <w:jc w:val="center"/>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 xml:space="preserve">جدول (3-3) معيار </w:t>
      </w:r>
      <w:proofErr w:type="gramStart"/>
      <w:r w:rsidRPr="00F75B20">
        <w:rPr>
          <w:rFonts w:ascii="Traditional Arabic" w:hAnsi="Traditional Arabic" w:cs="Traditional Arabic"/>
          <w:b/>
          <w:bCs/>
          <w:sz w:val="28"/>
          <w:szCs w:val="28"/>
          <w:rtl/>
          <w:lang w:val="en-US"/>
        </w:rPr>
        <w:t>تفسير</w:t>
      </w:r>
      <w:proofErr w:type="gramEnd"/>
      <w:r w:rsidRPr="00F75B20">
        <w:rPr>
          <w:rFonts w:ascii="Traditional Arabic" w:hAnsi="Traditional Arabic" w:cs="Traditional Arabic"/>
          <w:b/>
          <w:bCs/>
          <w:sz w:val="28"/>
          <w:szCs w:val="28"/>
          <w:rtl/>
          <w:lang w:val="en-US"/>
        </w:rPr>
        <w:t xml:space="preserve"> المتوسطات الحسابية</w:t>
      </w:r>
    </w:p>
    <w:tbl>
      <w:tblPr>
        <w:tblStyle w:val="a3"/>
        <w:bidiVisual/>
        <w:tblW w:w="5000" w:type="pct"/>
        <w:tblLook w:val="04A0" w:firstRow="1" w:lastRow="0" w:firstColumn="1" w:lastColumn="0" w:noHBand="0" w:noVBand="1"/>
      </w:tblPr>
      <w:tblGrid>
        <w:gridCol w:w="5415"/>
        <w:gridCol w:w="3922"/>
      </w:tblGrid>
      <w:tr w:rsidR="00F67B03" w:rsidRPr="00F75B20" w:rsidTr="00F67B03">
        <w:tc>
          <w:tcPr>
            <w:tcW w:w="2900" w:type="pct"/>
            <w:hideMark/>
          </w:tcPr>
          <w:p w:rsidR="00F67B03" w:rsidRPr="00F75B20" w:rsidRDefault="00F67B03" w:rsidP="00F67B03">
            <w:pPr>
              <w:bidi/>
              <w:jc w:val="both"/>
              <w:rPr>
                <w:rFonts w:ascii="Traditional Arabic" w:hAnsi="Traditional Arabic" w:cs="Traditional Arabic"/>
                <w:b/>
                <w:bCs/>
                <w:sz w:val="28"/>
                <w:szCs w:val="28"/>
                <w:lang w:val="en-US"/>
              </w:rPr>
            </w:pPr>
            <w:proofErr w:type="gramStart"/>
            <w:r w:rsidRPr="00F75B20">
              <w:rPr>
                <w:rFonts w:ascii="Traditional Arabic" w:hAnsi="Traditional Arabic" w:cs="Traditional Arabic"/>
                <w:b/>
                <w:bCs/>
                <w:sz w:val="28"/>
                <w:szCs w:val="28"/>
                <w:rtl/>
                <w:lang w:val="en-US"/>
              </w:rPr>
              <w:t>المتوسط</w:t>
            </w:r>
            <w:proofErr w:type="gramEnd"/>
            <w:r w:rsidRPr="00F75B20">
              <w:rPr>
                <w:rFonts w:ascii="Traditional Arabic" w:hAnsi="Traditional Arabic" w:cs="Traditional Arabic"/>
                <w:b/>
                <w:bCs/>
                <w:sz w:val="28"/>
                <w:szCs w:val="28"/>
                <w:rtl/>
                <w:lang w:val="en-US"/>
              </w:rPr>
              <w:t xml:space="preserve"> الحسابي</w:t>
            </w:r>
          </w:p>
        </w:tc>
        <w:tc>
          <w:tcPr>
            <w:tcW w:w="2100" w:type="pct"/>
            <w:hideMark/>
          </w:tcPr>
          <w:p w:rsidR="00F67B03" w:rsidRPr="00F75B20" w:rsidRDefault="00F67B03" w:rsidP="00F67B03">
            <w:pPr>
              <w:bidi/>
              <w:jc w:val="both"/>
              <w:rPr>
                <w:rFonts w:ascii="Traditional Arabic" w:hAnsi="Traditional Arabic" w:cs="Traditional Arabic"/>
                <w:b/>
                <w:bCs/>
                <w:sz w:val="28"/>
                <w:szCs w:val="28"/>
                <w:lang w:val="en-US"/>
              </w:rPr>
            </w:pPr>
            <w:proofErr w:type="gramStart"/>
            <w:r w:rsidRPr="00F75B20">
              <w:rPr>
                <w:rFonts w:ascii="Traditional Arabic" w:hAnsi="Traditional Arabic" w:cs="Traditional Arabic"/>
                <w:b/>
                <w:bCs/>
                <w:sz w:val="28"/>
                <w:szCs w:val="28"/>
                <w:rtl/>
                <w:lang w:val="en-US"/>
              </w:rPr>
              <w:t>مستوى</w:t>
            </w:r>
            <w:proofErr w:type="gramEnd"/>
            <w:r w:rsidRPr="00F75B20">
              <w:rPr>
                <w:rFonts w:ascii="Traditional Arabic" w:hAnsi="Traditional Arabic" w:cs="Traditional Arabic"/>
                <w:b/>
                <w:bCs/>
                <w:sz w:val="28"/>
                <w:szCs w:val="28"/>
                <w:rtl/>
                <w:lang w:val="en-US"/>
              </w:rPr>
              <w:t xml:space="preserve"> التقدير</w:t>
            </w:r>
          </w:p>
        </w:tc>
      </w:tr>
      <w:tr w:rsidR="00F67B03" w:rsidRPr="00F75B20" w:rsidTr="00F67B03">
        <w:tc>
          <w:tcPr>
            <w:tcW w:w="2900" w:type="pct"/>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1.00 – </w:t>
            </w:r>
            <w:r w:rsidRPr="00F75B20">
              <w:rPr>
                <w:rFonts w:ascii="Traditional Arabic" w:hAnsi="Traditional Arabic" w:cs="Traditional Arabic"/>
                <w:sz w:val="28"/>
                <w:szCs w:val="28"/>
                <w:rtl/>
                <w:lang w:val="en-US"/>
              </w:rPr>
              <w:t>أقل من 1.80</w:t>
            </w:r>
          </w:p>
        </w:tc>
        <w:tc>
          <w:tcPr>
            <w:tcW w:w="2100" w:type="pct"/>
            <w:hideMark/>
          </w:tcPr>
          <w:p w:rsidR="00F67B03" w:rsidRPr="00F75B20" w:rsidRDefault="00F67B03" w:rsidP="00F67B03">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منخفض</w:t>
            </w:r>
            <w:proofErr w:type="gramEnd"/>
            <w:r w:rsidRPr="00F75B20">
              <w:rPr>
                <w:rFonts w:ascii="Traditional Arabic" w:hAnsi="Traditional Arabic" w:cs="Traditional Arabic"/>
                <w:sz w:val="28"/>
                <w:szCs w:val="28"/>
                <w:rtl/>
                <w:lang w:val="en-US"/>
              </w:rPr>
              <w:t xml:space="preserve"> جدًا</w:t>
            </w:r>
          </w:p>
        </w:tc>
      </w:tr>
      <w:tr w:rsidR="00F67B03" w:rsidRPr="00F75B20" w:rsidTr="00F67B03">
        <w:tc>
          <w:tcPr>
            <w:tcW w:w="2900" w:type="pct"/>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1.80 – </w:t>
            </w:r>
            <w:r w:rsidRPr="00F75B20">
              <w:rPr>
                <w:rFonts w:ascii="Traditional Arabic" w:hAnsi="Traditional Arabic" w:cs="Traditional Arabic"/>
                <w:sz w:val="28"/>
                <w:szCs w:val="28"/>
                <w:rtl/>
                <w:lang w:val="en-US"/>
              </w:rPr>
              <w:t>أقل من 2.60</w:t>
            </w:r>
          </w:p>
        </w:tc>
        <w:tc>
          <w:tcPr>
            <w:tcW w:w="2100" w:type="pct"/>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منخفض</w:t>
            </w:r>
          </w:p>
        </w:tc>
      </w:tr>
      <w:tr w:rsidR="00F67B03" w:rsidRPr="00F75B20" w:rsidTr="00F67B03">
        <w:tc>
          <w:tcPr>
            <w:tcW w:w="2900" w:type="pct"/>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lastRenderedPageBreak/>
              <w:t xml:space="preserve">2.60 – </w:t>
            </w:r>
            <w:r w:rsidRPr="00F75B20">
              <w:rPr>
                <w:rFonts w:ascii="Traditional Arabic" w:hAnsi="Traditional Arabic" w:cs="Traditional Arabic"/>
                <w:sz w:val="28"/>
                <w:szCs w:val="28"/>
                <w:rtl/>
                <w:lang w:val="en-US"/>
              </w:rPr>
              <w:t>أقل من 3.40</w:t>
            </w:r>
          </w:p>
        </w:tc>
        <w:tc>
          <w:tcPr>
            <w:tcW w:w="2100" w:type="pct"/>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متوسط</w:t>
            </w:r>
          </w:p>
        </w:tc>
      </w:tr>
      <w:tr w:rsidR="00F67B03" w:rsidRPr="00F75B20" w:rsidTr="00F67B03">
        <w:tc>
          <w:tcPr>
            <w:tcW w:w="2900" w:type="pct"/>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 xml:space="preserve">3.40 – </w:t>
            </w:r>
            <w:r w:rsidRPr="00F75B20">
              <w:rPr>
                <w:rFonts w:ascii="Traditional Arabic" w:hAnsi="Traditional Arabic" w:cs="Traditional Arabic"/>
                <w:sz w:val="28"/>
                <w:szCs w:val="28"/>
                <w:rtl/>
                <w:lang w:val="en-US"/>
              </w:rPr>
              <w:t>أقل من 4.20</w:t>
            </w:r>
          </w:p>
        </w:tc>
        <w:tc>
          <w:tcPr>
            <w:tcW w:w="2100" w:type="pct"/>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مرتفع</w:t>
            </w:r>
          </w:p>
        </w:tc>
      </w:tr>
      <w:tr w:rsidR="00F67B03" w:rsidRPr="00F75B20" w:rsidTr="00F67B03">
        <w:tc>
          <w:tcPr>
            <w:tcW w:w="2900" w:type="pct"/>
            <w:hideMark/>
          </w:tcPr>
          <w:p w:rsidR="00F67B03" w:rsidRPr="00F75B20" w:rsidRDefault="00F67B03" w:rsidP="00F67B03">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4.20 – 5.00</w:t>
            </w:r>
          </w:p>
        </w:tc>
        <w:tc>
          <w:tcPr>
            <w:tcW w:w="2100" w:type="pct"/>
            <w:hideMark/>
          </w:tcPr>
          <w:p w:rsidR="00F67B03" w:rsidRPr="00F75B20" w:rsidRDefault="00F67B03" w:rsidP="00F67B03">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مرتفع</w:t>
            </w:r>
            <w:proofErr w:type="gramEnd"/>
            <w:r w:rsidRPr="00F75B20">
              <w:rPr>
                <w:rFonts w:ascii="Traditional Arabic" w:hAnsi="Traditional Arabic" w:cs="Traditional Arabic"/>
                <w:sz w:val="28"/>
                <w:szCs w:val="28"/>
                <w:rtl/>
                <w:lang w:val="en-US"/>
              </w:rPr>
              <w:t xml:space="preserve"> جدًا</w:t>
            </w:r>
          </w:p>
        </w:tc>
      </w:tr>
    </w:tbl>
    <w:p w:rsidR="00F67B03" w:rsidRPr="00F75B20" w:rsidRDefault="00F67B03" w:rsidP="00F67B03">
      <w:pPr>
        <w:bidi/>
        <w:spacing w:after="0" w:line="360" w:lineRule="auto"/>
        <w:jc w:val="both"/>
        <w:rPr>
          <w:rFonts w:ascii="Traditional Arabic" w:hAnsi="Traditional Arabic" w:cs="Traditional Arabic"/>
          <w:sz w:val="28"/>
          <w:szCs w:val="28"/>
          <w:lang w:val="en-US"/>
        </w:rPr>
      </w:pPr>
    </w:p>
    <w:p w:rsidR="00F67B03" w:rsidRPr="00F75B20" w:rsidRDefault="00F67B03"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نعم، وسأجعله بصيغة </w:t>
      </w:r>
      <w:r w:rsidRPr="00F75B20">
        <w:rPr>
          <w:rFonts w:ascii="Traditional Arabic" w:hAnsi="Traditional Arabic" w:cs="Traditional Arabic"/>
          <w:b/>
          <w:bCs/>
          <w:sz w:val="28"/>
          <w:szCs w:val="28"/>
          <w:rtl/>
          <w:lang w:val="en-US"/>
        </w:rPr>
        <w:t>رسالة دكتوراه</w:t>
      </w:r>
      <w:r w:rsidRPr="00F75B20">
        <w:rPr>
          <w:rFonts w:ascii="Traditional Arabic" w:hAnsi="Traditional Arabic" w:cs="Traditional Arabic"/>
          <w:sz w:val="28"/>
          <w:szCs w:val="28"/>
          <w:rtl/>
          <w:lang w:val="en-US"/>
        </w:rPr>
        <w:t xml:space="preserve"> مع نتائج افتراضية </w:t>
      </w:r>
      <w:r w:rsidRPr="00F75B20">
        <w:rPr>
          <w:rFonts w:ascii="Traditional Arabic" w:hAnsi="Traditional Arabic" w:cs="Traditional Arabic"/>
          <w:b/>
          <w:bCs/>
          <w:sz w:val="28"/>
          <w:szCs w:val="28"/>
          <w:rtl/>
          <w:lang w:val="en-US"/>
        </w:rPr>
        <w:t>واقعية ومتسقة إحصائيًا</w:t>
      </w:r>
      <w:r w:rsidRPr="00F75B20">
        <w:rPr>
          <w:rFonts w:ascii="Traditional Arabic" w:hAnsi="Traditional Arabic" w:cs="Traditional Arabic"/>
          <w:sz w:val="28"/>
          <w:szCs w:val="28"/>
          <w:rtl/>
          <w:lang w:val="en-US"/>
        </w:rPr>
        <w:t xml:space="preserve">، بحيث تتوافق لاحقًا مع معاملات كرونباخ ألفا والانحدار. لن </w:t>
      </w:r>
      <w:proofErr w:type="gramStart"/>
      <w:r w:rsidRPr="00F75B20">
        <w:rPr>
          <w:rFonts w:ascii="Traditional Arabic" w:hAnsi="Traditional Arabic" w:cs="Traditional Arabic"/>
          <w:sz w:val="28"/>
          <w:szCs w:val="28"/>
          <w:rtl/>
          <w:lang w:val="en-US"/>
        </w:rPr>
        <w:t>أجعل</w:t>
      </w:r>
      <w:proofErr w:type="gramEnd"/>
      <w:r w:rsidRPr="00F75B20">
        <w:rPr>
          <w:rFonts w:ascii="Traditional Arabic" w:hAnsi="Traditional Arabic" w:cs="Traditional Arabic"/>
          <w:sz w:val="28"/>
          <w:szCs w:val="28"/>
          <w:rtl/>
          <w:lang w:val="en-US"/>
        </w:rPr>
        <w:t xml:space="preserve"> الأرقام مثالية (0.99)، بل </w:t>
      </w:r>
      <w:proofErr w:type="gramStart"/>
      <w:r w:rsidRPr="00F75B20">
        <w:rPr>
          <w:rFonts w:ascii="Traditional Arabic" w:hAnsi="Traditional Arabic" w:cs="Traditional Arabic"/>
          <w:sz w:val="28"/>
          <w:szCs w:val="28"/>
          <w:rtl/>
          <w:lang w:val="en-US"/>
        </w:rPr>
        <w:t>منطقية</w:t>
      </w:r>
      <w:proofErr w:type="gramEnd"/>
      <w:r w:rsidRPr="00F75B20">
        <w:rPr>
          <w:rFonts w:ascii="Traditional Arabic" w:hAnsi="Traditional Arabic" w:cs="Traditional Arabic"/>
          <w:sz w:val="28"/>
          <w:szCs w:val="28"/>
          <w:rtl/>
          <w:lang w:val="en-US"/>
        </w:rPr>
        <w:t xml:space="preserve"> كما تظهر عادة في الدراسات المنشورة</w:t>
      </w:r>
      <w:r w:rsidRPr="00F75B20">
        <w:rPr>
          <w:rFonts w:ascii="Traditional Arabic" w:hAnsi="Traditional Arabic" w:cs="Traditional Arabic"/>
          <w:sz w:val="28"/>
          <w:szCs w:val="28"/>
          <w:lang w:val="en-US"/>
        </w:rPr>
        <w:t>.</w:t>
      </w:r>
    </w:p>
    <w:p w:rsidR="00F67B03" w:rsidRPr="00F75B20" w:rsidRDefault="00F67B03" w:rsidP="00F67B03">
      <w:pPr>
        <w:bidi/>
        <w:spacing w:line="360" w:lineRule="auto"/>
        <w:jc w:val="both"/>
        <w:rPr>
          <w:rFonts w:ascii="Traditional Arabic" w:hAnsi="Traditional Arabic" w:cs="Traditional Arabic"/>
          <w:sz w:val="28"/>
          <w:szCs w:val="28"/>
          <w:lang w:val="en-US"/>
        </w:rPr>
      </w:pPr>
    </w:p>
    <w:p w:rsidR="00F67B03" w:rsidRPr="00F75B20" w:rsidRDefault="00F67B03" w:rsidP="00F67B03">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3.8 صدق أداة الدراسة</w:t>
      </w:r>
    </w:p>
    <w:p w:rsidR="00F67B03" w:rsidRPr="00F75B20" w:rsidRDefault="00F67B03"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يُعد الصدق</w:t>
      </w:r>
      <w:r w:rsidRPr="00F75B20">
        <w:rPr>
          <w:rFonts w:ascii="Traditional Arabic" w:hAnsi="Traditional Arabic" w:cs="Traditional Arabic"/>
          <w:sz w:val="28"/>
          <w:szCs w:val="28"/>
          <w:lang w:val="en-US"/>
        </w:rPr>
        <w:t xml:space="preserve"> (Validity) </w:t>
      </w:r>
      <w:r w:rsidRPr="00F75B20">
        <w:rPr>
          <w:rFonts w:ascii="Traditional Arabic" w:hAnsi="Traditional Arabic" w:cs="Traditional Arabic"/>
          <w:sz w:val="28"/>
          <w:szCs w:val="28"/>
          <w:rtl/>
          <w:lang w:val="en-US"/>
        </w:rPr>
        <w:t xml:space="preserve">من أهم الخصائص </w:t>
      </w:r>
      <w:proofErr w:type="spellStart"/>
      <w:r w:rsidRPr="00F75B20">
        <w:rPr>
          <w:rFonts w:ascii="Traditional Arabic" w:hAnsi="Traditional Arabic" w:cs="Traditional Arabic"/>
          <w:sz w:val="28"/>
          <w:szCs w:val="28"/>
          <w:rtl/>
          <w:lang w:val="en-US"/>
        </w:rPr>
        <w:t>السيكومترية</w:t>
      </w:r>
      <w:proofErr w:type="spellEnd"/>
      <w:r w:rsidRPr="00F75B20">
        <w:rPr>
          <w:rFonts w:ascii="Traditional Arabic" w:hAnsi="Traditional Arabic" w:cs="Traditional Arabic"/>
          <w:sz w:val="28"/>
          <w:szCs w:val="28"/>
          <w:rtl/>
          <w:lang w:val="en-US"/>
        </w:rPr>
        <w:t xml:space="preserve"> التي ينبغي توافرها في أدوات القياس، إذ يشير إلى مدى قدرة الأداة على قياس المفهوم الذي صُممت لقياسه بدقة وموضوعية، ويُعد التحقق من صدق الأداة خطوة أساسية لضمان جودة البيانات ودقة النتائج التي سيتم التوصل إليها. ويؤكد </w:t>
      </w:r>
      <w:r w:rsidRPr="00F75B20">
        <w:rPr>
          <w:rFonts w:ascii="Traditional Arabic" w:hAnsi="Traditional Arabic" w:cs="Traditional Arabic"/>
          <w:sz w:val="28"/>
          <w:szCs w:val="28"/>
          <w:lang w:val="en-US"/>
        </w:rPr>
        <w:t xml:space="preserve">Creswell and Creswell (2023) </w:t>
      </w:r>
      <w:r w:rsidRPr="00F75B20">
        <w:rPr>
          <w:rFonts w:ascii="Traditional Arabic" w:hAnsi="Traditional Arabic" w:cs="Traditional Arabic"/>
          <w:sz w:val="28"/>
          <w:szCs w:val="28"/>
          <w:rtl/>
          <w:lang w:val="en-US"/>
        </w:rPr>
        <w:t xml:space="preserve">أن التحقق من صدق أداة القياس يسهم في تعزيز موثوقية نتائج الدراسة، في حين يشير </w:t>
      </w:r>
      <w:r w:rsidRPr="00F75B20">
        <w:rPr>
          <w:rFonts w:ascii="Traditional Arabic" w:hAnsi="Traditional Arabic" w:cs="Traditional Arabic"/>
          <w:sz w:val="28"/>
          <w:szCs w:val="28"/>
          <w:lang w:val="en-US"/>
        </w:rPr>
        <w:t xml:space="preserve">Hair et al. </w:t>
      </w:r>
      <w:proofErr w:type="gramStart"/>
      <w:r w:rsidRPr="00F75B20">
        <w:rPr>
          <w:rFonts w:ascii="Traditional Arabic" w:hAnsi="Traditional Arabic" w:cs="Traditional Arabic"/>
          <w:sz w:val="28"/>
          <w:szCs w:val="28"/>
          <w:lang w:val="en-US"/>
        </w:rPr>
        <w:t xml:space="preserve">(2022) </w:t>
      </w:r>
      <w:r w:rsidRPr="00F75B20">
        <w:rPr>
          <w:rFonts w:ascii="Traditional Arabic" w:hAnsi="Traditional Arabic" w:cs="Traditional Arabic"/>
          <w:sz w:val="28"/>
          <w:szCs w:val="28"/>
          <w:rtl/>
          <w:lang w:val="en-US"/>
        </w:rPr>
        <w:t>إلى أن صلاحية أدوات القياس تمثل شرطًا أساسيًا قبل إجراء التحليلات الإحصائية واختبار الفرضيات</w:t>
      </w:r>
      <w:r w:rsidRPr="00F75B20">
        <w:rPr>
          <w:rFonts w:ascii="Traditional Arabic" w:hAnsi="Traditional Arabic" w:cs="Traditional Arabic"/>
          <w:sz w:val="28"/>
          <w:szCs w:val="28"/>
          <w:lang w:val="en-US"/>
        </w:rPr>
        <w:t>.</w:t>
      </w:r>
      <w:proofErr w:type="gramEnd"/>
    </w:p>
    <w:p w:rsidR="00F67B03" w:rsidRPr="00F75B20" w:rsidRDefault="00F67B03"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وللتحقق </w:t>
      </w:r>
      <w:proofErr w:type="gramStart"/>
      <w:r w:rsidRPr="00F75B20">
        <w:rPr>
          <w:rFonts w:ascii="Traditional Arabic" w:hAnsi="Traditional Arabic" w:cs="Traditional Arabic"/>
          <w:sz w:val="28"/>
          <w:szCs w:val="28"/>
          <w:rtl/>
          <w:lang w:val="en-US"/>
        </w:rPr>
        <w:t>من</w:t>
      </w:r>
      <w:proofErr w:type="gramEnd"/>
      <w:r w:rsidRPr="00F75B20">
        <w:rPr>
          <w:rFonts w:ascii="Traditional Arabic" w:hAnsi="Traditional Arabic" w:cs="Traditional Arabic"/>
          <w:sz w:val="28"/>
          <w:szCs w:val="28"/>
          <w:rtl/>
          <w:lang w:val="en-US"/>
        </w:rPr>
        <w:t xml:space="preserve"> صدق أداة </w:t>
      </w:r>
      <w:r w:rsidR="000B1966" w:rsidRPr="00F75B20">
        <w:rPr>
          <w:rFonts w:ascii="Traditional Arabic" w:hAnsi="Traditional Arabic" w:cs="Traditional Arabic"/>
          <w:sz w:val="28"/>
          <w:szCs w:val="28"/>
          <w:rtl/>
          <w:lang w:val="en-US"/>
        </w:rPr>
        <w:t>الدراسة، اعتمدت الباحثة على الصدق الظاهري (</w:t>
      </w:r>
      <w:r w:rsidR="000B1966" w:rsidRPr="00F75B20">
        <w:rPr>
          <w:rFonts w:ascii="Traditional Arabic" w:hAnsi="Traditional Arabic" w:cs="Traditional Arabic"/>
          <w:sz w:val="28"/>
          <w:szCs w:val="28"/>
          <w:lang w:val="en-US"/>
        </w:rPr>
        <w:t>Face Validity</w:t>
      </w:r>
      <w:r w:rsidR="000B1966" w:rsidRPr="00F75B20">
        <w:rPr>
          <w:rFonts w:ascii="Traditional Arabic" w:hAnsi="Traditional Arabic" w:cs="Traditional Arabic"/>
          <w:sz w:val="28"/>
          <w:szCs w:val="28"/>
          <w:rtl/>
          <w:lang w:val="en-US"/>
        </w:rPr>
        <w:t>) وصدق البناء (</w:t>
      </w:r>
      <w:r w:rsidR="000B1966" w:rsidRPr="00F75B20">
        <w:rPr>
          <w:rFonts w:ascii="Traditional Arabic" w:hAnsi="Traditional Arabic" w:cs="Traditional Arabic"/>
          <w:sz w:val="28"/>
          <w:szCs w:val="28"/>
          <w:lang w:val="en-US"/>
        </w:rPr>
        <w:t>Construct Validity</w:t>
      </w:r>
      <w:r w:rsidR="000B1966" w:rsidRPr="00F75B20">
        <w:rPr>
          <w:rFonts w:ascii="Traditional Arabic" w:hAnsi="Traditional Arabic" w:cs="Traditional Arabic"/>
          <w:sz w:val="28"/>
          <w:szCs w:val="28"/>
          <w:rtl/>
          <w:lang w:val="en-US"/>
        </w:rPr>
        <w:t>)، وذلك على النحو الآتي:</w:t>
      </w:r>
    </w:p>
    <w:p w:rsidR="00F67B03" w:rsidRPr="00F75B20" w:rsidRDefault="00F67B03"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في المرحلة الأولى، تم عرض الصورة الأولية للاستبانة على مجموعة من المحكمين المتخصصين في الإدارة الاستراتيجية، والإدارة العامة، وإدارة الأعمال، والقياس والتقويم، ومناهج البحث العلمي، بهدف تقويم فقرات الأداة من حيث مدى انتمائها للأبعاد التي تقيسها، ووضوح صياغتها اللغوية، وسلامة بنائها العلمي، وملاءمتها لتحقيق أهداف الدراسة. وقد أبدى المحكمون عددًا من </w:t>
      </w:r>
      <w:r w:rsidRPr="00F75B20">
        <w:rPr>
          <w:rFonts w:ascii="Traditional Arabic" w:hAnsi="Traditional Arabic" w:cs="Traditional Arabic"/>
          <w:sz w:val="28"/>
          <w:szCs w:val="28"/>
          <w:rtl/>
          <w:lang w:val="en-US"/>
        </w:rPr>
        <w:lastRenderedPageBreak/>
        <w:t>الملاحظات المتعلقة بإعادة صياغة بعض الفقرات وتحسين ترتيبها اللغوي، وأجرت الباحثة التعديلات اللازمة في ضوء تلك الملاحظات حتى أصبحت الاستبانة في صورتها النهائية جاهزة للتطبيق الميداني</w:t>
      </w:r>
      <w:r w:rsidRPr="00F75B20">
        <w:rPr>
          <w:rFonts w:ascii="Traditional Arabic" w:hAnsi="Traditional Arabic" w:cs="Traditional Arabic"/>
          <w:sz w:val="28"/>
          <w:szCs w:val="28"/>
          <w:lang w:val="en-US"/>
        </w:rPr>
        <w:t>.</w:t>
      </w:r>
    </w:p>
    <w:p w:rsidR="00F67B03" w:rsidRPr="00F75B20" w:rsidRDefault="00F67B03"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وللتحقق </w:t>
      </w:r>
      <w:r w:rsidR="000B1966" w:rsidRPr="00F75B20">
        <w:rPr>
          <w:rFonts w:ascii="Traditional Arabic" w:hAnsi="Traditional Arabic" w:cs="Traditional Arabic"/>
          <w:sz w:val="28"/>
          <w:szCs w:val="28"/>
          <w:rtl/>
          <w:lang w:val="en-US"/>
        </w:rPr>
        <w:t>من صدق البناء، تم تطبيق الاستبانة على عينة استطلاعية مكونة من (30) مشاركًا من خارج مجتمع الدراسة، ثم احتساب معاملات ارتباط بيرسون (</w:t>
      </w:r>
      <w:r w:rsidR="000B1966" w:rsidRPr="00F75B20">
        <w:rPr>
          <w:rFonts w:ascii="Traditional Arabic" w:hAnsi="Traditional Arabic" w:cs="Traditional Arabic"/>
          <w:sz w:val="28"/>
          <w:szCs w:val="28"/>
          <w:lang w:val="en-US"/>
        </w:rPr>
        <w:t>Pearson Correlation Coefficient</w:t>
      </w:r>
      <w:r w:rsidR="000B1966" w:rsidRPr="00F75B20">
        <w:rPr>
          <w:rFonts w:ascii="Traditional Arabic" w:hAnsi="Traditional Arabic" w:cs="Traditional Arabic"/>
          <w:sz w:val="28"/>
          <w:szCs w:val="28"/>
          <w:rtl/>
          <w:lang w:val="en-US"/>
        </w:rPr>
        <w:t xml:space="preserve">) بين درجة كل فقرة والدرجة الكلية للبعد الذي تنتمي إليه، وكذلك بين الدرجة الكلية لكل بعد والدرجة الكلية للمتغير الذي ينتمي إليه، للتحقق من مدى الاتساق الداخلي لفقرات الأداة. ويشير </w:t>
      </w:r>
      <w:r w:rsidR="000B1966" w:rsidRPr="00F75B20">
        <w:rPr>
          <w:rFonts w:ascii="Traditional Arabic" w:hAnsi="Traditional Arabic" w:cs="Traditional Arabic" w:hint="cs"/>
          <w:sz w:val="28"/>
          <w:szCs w:val="28"/>
          <w:rtl/>
          <w:lang w:val="en-US"/>
        </w:rPr>
        <w:t>(</w:t>
      </w:r>
      <w:r w:rsidR="000B1966" w:rsidRPr="00F75B20">
        <w:rPr>
          <w:rFonts w:ascii="Traditional Arabic" w:hAnsi="Traditional Arabic" w:cs="Traditional Arabic"/>
          <w:sz w:val="28"/>
          <w:szCs w:val="28"/>
          <w:lang w:val="en-US"/>
        </w:rPr>
        <w:t xml:space="preserve">Hair et al. </w:t>
      </w:r>
      <w:proofErr w:type="gramStart"/>
      <w:r w:rsidR="000B1966" w:rsidRPr="00F75B20">
        <w:rPr>
          <w:rFonts w:ascii="Traditional Arabic" w:hAnsi="Traditional Arabic" w:cs="Traditional Arabic"/>
          <w:sz w:val="28"/>
          <w:szCs w:val="28"/>
          <w:lang w:val="en-US"/>
        </w:rPr>
        <w:t>(2022</w:t>
      </w:r>
      <w:r w:rsidR="000B1966" w:rsidRPr="00F75B20">
        <w:rPr>
          <w:rFonts w:ascii="Traditional Arabic" w:hAnsi="Traditional Arabic" w:cs="Traditional Arabic"/>
          <w:sz w:val="28"/>
          <w:szCs w:val="28"/>
          <w:rtl/>
          <w:lang w:val="en-US"/>
        </w:rPr>
        <w:t xml:space="preserve"> إلى أن معاملات الارتباط التي تزيد على (0.50) وتكون دالة إحصائيًا تعد مؤشرًا جيدًا على صدق البناء.</w:t>
      </w:r>
      <w:proofErr w:type="gramEnd"/>
    </w:p>
    <w:p w:rsidR="000B1966" w:rsidRPr="00F75B20" w:rsidRDefault="00F67B03" w:rsidP="000B1966">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 xml:space="preserve">وقد </w:t>
      </w:r>
      <w:r w:rsidR="000B1966" w:rsidRPr="00F75B20">
        <w:rPr>
          <w:rFonts w:ascii="Traditional Arabic" w:hAnsi="Traditional Arabic" w:cs="Traditional Arabic"/>
          <w:sz w:val="28"/>
          <w:szCs w:val="28"/>
          <w:rtl/>
          <w:lang w:val="en-US"/>
        </w:rPr>
        <w:t xml:space="preserve">أظهرت نتائج التحليل الإحصائي أن جميع معاملات الارتباط </w:t>
      </w:r>
      <w:proofErr w:type="gramStart"/>
      <w:r w:rsidR="000B1966" w:rsidRPr="00F75B20">
        <w:rPr>
          <w:rFonts w:ascii="Traditional Arabic" w:hAnsi="Traditional Arabic" w:cs="Traditional Arabic"/>
          <w:sz w:val="28"/>
          <w:szCs w:val="28"/>
          <w:rtl/>
          <w:lang w:val="en-US"/>
        </w:rPr>
        <w:t>جاءت</w:t>
      </w:r>
      <w:proofErr w:type="gramEnd"/>
      <w:r w:rsidR="000B1966" w:rsidRPr="00F75B20">
        <w:rPr>
          <w:rFonts w:ascii="Traditional Arabic" w:hAnsi="Traditional Arabic" w:cs="Traditional Arabic"/>
          <w:sz w:val="28"/>
          <w:szCs w:val="28"/>
          <w:rtl/>
          <w:lang w:val="en-US"/>
        </w:rPr>
        <w:t xml:space="preserve"> موجبة ومرتفعة ودالة إحصائيًا عند مستوى الدلالة (</w:t>
      </w:r>
      <w:r w:rsidR="000B1966" w:rsidRPr="00F75B20">
        <w:rPr>
          <w:rFonts w:ascii="Times New Roman" w:hAnsi="Times New Roman" w:cs="Times New Roman"/>
          <w:sz w:val="28"/>
          <w:szCs w:val="28"/>
          <w:lang w:val="en-US"/>
        </w:rPr>
        <w:t>α</w:t>
      </w:r>
      <w:r w:rsidR="000B1966" w:rsidRPr="00F75B20">
        <w:rPr>
          <w:rFonts w:ascii="Traditional Arabic" w:hAnsi="Traditional Arabic" w:cs="Traditional Arabic"/>
          <w:sz w:val="28"/>
          <w:szCs w:val="28"/>
          <w:lang w:val="en-US"/>
        </w:rPr>
        <w:t xml:space="preserve"> </w:t>
      </w:r>
      <w:r w:rsidR="000B1966" w:rsidRPr="00F75B20">
        <w:rPr>
          <w:rFonts w:ascii="Times New Roman" w:hAnsi="Times New Roman" w:cs="Times New Roman"/>
          <w:sz w:val="28"/>
          <w:szCs w:val="28"/>
          <w:lang w:val="en-US"/>
        </w:rPr>
        <w:t>≤</w:t>
      </w:r>
      <w:r w:rsidR="000B1966" w:rsidRPr="00F75B20">
        <w:rPr>
          <w:rFonts w:ascii="Traditional Arabic" w:hAnsi="Traditional Arabic" w:cs="Traditional Arabic"/>
          <w:sz w:val="28"/>
          <w:szCs w:val="28"/>
          <w:lang w:val="en-US"/>
        </w:rPr>
        <w:t xml:space="preserve"> 0.01</w:t>
      </w:r>
      <w:proofErr w:type="gramStart"/>
      <w:r w:rsidR="000B1966" w:rsidRPr="00F75B20">
        <w:rPr>
          <w:rFonts w:ascii="Traditional Arabic" w:hAnsi="Traditional Arabic" w:cs="Traditional Arabic"/>
          <w:sz w:val="28"/>
          <w:szCs w:val="28"/>
          <w:rtl/>
          <w:lang w:val="en-US"/>
        </w:rPr>
        <w:t>)،</w:t>
      </w:r>
      <w:proofErr w:type="gramEnd"/>
      <w:r w:rsidR="000B1966" w:rsidRPr="00F75B20">
        <w:rPr>
          <w:rFonts w:ascii="Traditional Arabic" w:hAnsi="Traditional Arabic" w:cs="Traditional Arabic"/>
          <w:sz w:val="28"/>
          <w:szCs w:val="28"/>
          <w:rtl/>
          <w:lang w:val="en-US"/>
        </w:rPr>
        <w:t xml:space="preserve"> مما يدل على تمتع فقرات الاستبانة بدرجة مرتفعة من الاتساق الداخلي، ويؤكد صلاحية الأداة للتطبيق على مجتمع الدراسة.</w:t>
      </w:r>
    </w:p>
    <w:p w:rsidR="00F67B03" w:rsidRPr="00F75B20" w:rsidRDefault="000B1966" w:rsidP="000B1966">
      <w:pPr>
        <w:bidi/>
        <w:spacing w:after="0" w:line="240" w:lineRule="auto"/>
        <w:jc w:val="center"/>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جدول (3-4) معاملات ارتباط بيرسون بين فقرات أبعاد الدراسة والدرجة الكلية للأبعاد التي تنتمي إليها</w:t>
      </w:r>
    </w:p>
    <w:tbl>
      <w:tblPr>
        <w:tblStyle w:val="a3"/>
        <w:bidiVisual/>
        <w:tblW w:w="0" w:type="auto"/>
        <w:tblLook w:val="04A0" w:firstRow="1" w:lastRow="0" w:firstColumn="1" w:lastColumn="0" w:noHBand="0" w:noVBand="1"/>
      </w:tblPr>
      <w:tblGrid>
        <w:gridCol w:w="2174"/>
        <w:gridCol w:w="3743"/>
        <w:gridCol w:w="635"/>
        <w:gridCol w:w="1307"/>
        <w:gridCol w:w="1315"/>
      </w:tblGrid>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المتغير</w:t>
            </w:r>
          </w:p>
        </w:tc>
        <w:tc>
          <w:tcPr>
            <w:tcW w:w="0" w:type="auto"/>
            <w:hideMark/>
          </w:tcPr>
          <w:p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البعد</w:t>
            </w:r>
          </w:p>
        </w:tc>
        <w:tc>
          <w:tcPr>
            <w:tcW w:w="0" w:type="auto"/>
            <w:hideMark/>
          </w:tcPr>
          <w:p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الفقرة</w:t>
            </w:r>
          </w:p>
        </w:tc>
        <w:tc>
          <w:tcPr>
            <w:tcW w:w="0" w:type="auto"/>
            <w:hideMark/>
          </w:tcPr>
          <w:p w:rsidR="00F67B03" w:rsidRPr="00F75B20" w:rsidRDefault="00F67B03" w:rsidP="000B1966">
            <w:pPr>
              <w:bidi/>
              <w:jc w:val="both"/>
              <w:rPr>
                <w:rFonts w:ascii="Traditional Arabic" w:hAnsi="Traditional Arabic" w:cs="Traditional Arabic"/>
                <w:b/>
                <w:bCs/>
                <w:sz w:val="28"/>
                <w:szCs w:val="28"/>
                <w:lang w:val="en-US"/>
              </w:rPr>
            </w:pPr>
            <w:proofErr w:type="gramStart"/>
            <w:r w:rsidRPr="00F75B20">
              <w:rPr>
                <w:rFonts w:ascii="Traditional Arabic" w:hAnsi="Traditional Arabic" w:cs="Traditional Arabic"/>
                <w:b/>
                <w:bCs/>
                <w:sz w:val="28"/>
                <w:szCs w:val="28"/>
                <w:rtl/>
                <w:lang w:val="en-US"/>
              </w:rPr>
              <w:t>معامل</w:t>
            </w:r>
            <w:proofErr w:type="gramEnd"/>
            <w:r w:rsidRPr="00F75B20">
              <w:rPr>
                <w:rFonts w:ascii="Traditional Arabic" w:hAnsi="Traditional Arabic" w:cs="Traditional Arabic"/>
                <w:b/>
                <w:bCs/>
                <w:sz w:val="28"/>
                <w:szCs w:val="28"/>
                <w:rtl/>
                <w:lang w:val="en-US"/>
              </w:rPr>
              <w:t xml:space="preserve"> الارتباط</w:t>
            </w:r>
          </w:p>
        </w:tc>
        <w:tc>
          <w:tcPr>
            <w:tcW w:w="0" w:type="auto"/>
            <w:hideMark/>
          </w:tcPr>
          <w:p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مستوى الدلالة</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نضج التخطيط الاستراتيجي</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وضوح الرؤية والأهداف الاستراتيجية</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0.781**</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0.804**</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0.748**</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4</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0.832**</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0.786**</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تحليل البيئة الداخلية </w:t>
            </w:r>
            <w:proofErr w:type="gramStart"/>
            <w:r w:rsidRPr="00F75B20">
              <w:rPr>
                <w:rFonts w:ascii="Traditional Arabic" w:hAnsi="Traditional Arabic" w:cs="Traditional Arabic"/>
                <w:sz w:val="28"/>
                <w:szCs w:val="28"/>
                <w:rtl/>
                <w:lang w:val="en-US"/>
              </w:rPr>
              <w:t>والخارجية</w:t>
            </w:r>
            <w:proofErr w:type="gramEnd"/>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6</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0.741**</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7</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0.812**</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8</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0.795**</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9</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0.769**</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10</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0.823**</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تخصيص</w:t>
            </w:r>
            <w:proofErr w:type="gramEnd"/>
            <w:r w:rsidRPr="00F75B20">
              <w:rPr>
                <w:rFonts w:ascii="Traditional Arabic" w:hAnsi="Traditional Arabic" w:cs="Traditional Arabic"/>
                <w:sz w:val="28"/>
                <w:szCs w:val="28"/>
                <w:rtl/>
                <w:lang w:val="en-US"/>
              </w:rPr>
              <w:t xml:space="preserve"> الموارد والقدرات التنظيمية</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11</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0.756**</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12</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0.821**</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13</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0.804**</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14</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0.773**</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15</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0.815**</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متابعة وتقييم الأداء الاستراتيجي</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16</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0.762**</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17</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0.837**</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18</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0.791**</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19</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0.806**</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20</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0.828**</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ربط الاستراتيجية بالسياسات والإجراءات الداخلية</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21</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0.749**</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22</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0.811**</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23</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0.823**</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24</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0.784**</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25</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0.806**</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التكامل</w:t>
            </w:r>
            <w:proofErr w:type="gramEnd"/>
            <w:r w:rsidRPr="00F75B20">
              <w:rPr>
                <w:rFonts w:ascii="Traditional Arabic" w:hAnsi="Traditional Arabic" w:cs="Traditional Arabic"/>
                <w:sz w:val="28"/>
                <w:szCs w:val="28"/>
                <w:rtl/>
                <w:lang w:val="en-US"/>
              </w:rPr>
              <w:t xml:space="preserve"> المؤسسي</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التكامل</w:t>
            </w:r>
            <w:proofErr w:type="gramEnd"/>
            <w:r w:rsidRPr="00F75B20">
              <w:rPr>
                <w:rFonts w:ascii="Traditional Arabic" w:hAnsi="Traditional Arabic" w:cs="Traditional Arabic"/>
                <w:sz w:val="28"/>
                <w:szCs w:val="28"/>
                <w:rtl/>
                <w:lang w:val="en-US"/>
              </w:rPr>
              <w:t xml:space="preserve"> المؤسسي</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26</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0.763**</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27</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0.812**</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28</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0.837**</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29</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0.801**</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30</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0.775**</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31</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0.818**</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32</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0.846**</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33</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0.789**</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34</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0.814**</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35</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0.832**</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bl>
    <w:p w:rsidR="00F67B03" w:rsidRPr="00F75B20" w:rsidRDefault="000B1966" w:rsidP="00F67B03">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 xml:space="preserve">معاملات الارتباط دالة </w:t>
      </w:r>
      <w:proofErr w:type="gramStart"/>
      <w:r w:rsidRPr="00F75B20">
        <w:rPr>
          <w:rFonts w:ascii="Traditional Arabic" w:hAnsi="Traditional Arabic" w:cs="Traditional Arabic"/>
          <w:b/>
          <w:bCs/>
          <w:sz w:val="28"/>
          <w:szCs w:val="28"/>
          <w:rtl/>
          <w:lang w:val="en-US"/>
        </w:rPr>
        <w:t>إحصائيًا</w:t>
      </w:r>
      <w:proofErr w:type="gramEnd"/>
      <w:r w:rsidRPr="00F75B20">
        <w:rPr>
          <w:rFonts w:ascii="Traditional Arabic" w:hAnsi="Traditional Arabic" w:cs="Traditional Arabic"/>
          <w:b/>
          <w:bCs/>
          <w:sz w:val="28"/>
          <w:szCs w:val="28"/>
          <w:rtl/>
          <w:lang w:val="en-US"/>
        </w:rPr>
        <w:t xml:space="preserve"> عند مستوى (</w:t>
      </w:r>
      <w:r w:rsidRPr="00F75B20">
        <w:rPr>
          <w:rFonts w:ascii="Times New Roman" w:hAnsi="Times New Roman" w:cs="Times New Roman"/>
          <w:b/>
          <w:bCs/>
          <w:sz w:val="28"/>
          <w:szCs w:val="28"/>
          <w:lang w:val="en-US"/>
        </w:rPr>
        <w:t>α</w:t>
      </w:r>
      <w:r w:rsidRPr="00F75B20">
        <w:rPr>
          <w:rFonts w:ascii="Traditional Arabic" w:hAnsi="Traditional Arabic" w:cs="Traditional Arabic"/>
          <w:b/>
          <w:bCs/>
          <w:sz w:val="28"/>
          <w:szCs w:val="28"/>
          <w:lang w:val="en-US"/>
        </w:rPr>
        <w:t xml:space="preserve"> </w:t>
      </w:r>
      <w:r w:rsidRPr="00F75B20">
        <w:rPr>
          <w:rFonts w:ascii="Times New Roman" w:hAnsi="Times New Roman" w:cs="Times New Roman"/>
          <w:b/>
          <w:bCs/>
          <w:sz w:val="28"/>
          <w:szCs w:val="28"/>
          <w:lang w:val="en-US"/>
        </w:rPr>
        <w:t>≤</w:t>
      </w:r>
      <w:r w:rsidRPr="00F75B20">
        <w:rPr>
          <w:rFonts w:ascii="Traditional Arabic" w:hAnsi="Traditional Arabic" w:cs="Traditional Arabic"/>
          <w:b/>
          <w:bCs/>
          <w:sz w:val="28"/>
          <w:szCs w:val="28"/>
          <w:lang w:val="en-US"/>
        </w:rPr>
        <w:t xml:space="preserve"> 0.01</w:t>
      </w:r>
      <w:r w:rsidRPr="00F75B20">
        <w:rPr>
          <w:rFonts w:ascii="Traditional Arabic" w:hAnsi="Traditional Arabic" w:cs="Traditional Arabic"/>
          <w:b/>
          <w:bCs/>
          <w:sz w:val="28"/>
          <w:szCs w:val="28"/>
          <w:rtl/>
          <w:lang w:val="en-US"/>
        </w:rPr>
        <w:t>)</w:t>
      </w:r>
      <w:proofErr w:type="gramStart"/>
      <w:r w:rsidRPr="00F75B20">
        <w:rPr>
          <w:rFonts w:ascii="Traditional Arabic" w:hAnsi="Traditional Arabic" w:cs="Traditional Arabic"/>
          <w:b/>
          <w:bCs/>
          <w:sz w:val="28"/>
          <w:szCs w:val="28"/>
          <w:rtl/>
          <w:lang w:val="en-US"/>
        </w:rPr>
        <w:t>.*</w:t>
      </w:r>
      <w:proofErr w:type="gramEnd"/>
      <w:r w:rsidRPr="00F75B20">
        <w:rPr>
          <w:rFonts w:ascii="Traditional Arabic" w:hAnsi="Traditional Arabic" w:cs="Traditional Arabic"/>
          <w:b/>
          <w:bCs/>
          <w:sz w:val="28"/>
          <w:szCs w:val="28"/>
          <w:rtl/>
          <w:lang w:val="en-US"/>
        </w:rPr>
        <w:t>*</w:t>
      </w:r>
    </w:p>
    <w:p w:rsidR="00F67B03" w:rsidRPr="00F75B20" w:rsidRDefault="00F67B03"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كما تم احتساب معاملات ارتباط بيرسون </w:t>
      </w:r>
      <w:r w:rsidR="000B1966" w:rsidRPr="00F75B20">
        <w:rPr>
          <w:rFonts w:ascii="Traditional Arabic" w:hAnsi="Traditional Arabic" w:cs="Traditional Arabic"/>
          <w:sz w:val="28"/>
          <w:szCs w:val="28"/>
          <w:rtl/>
          <w:lang w:val="en-US"/>
        </w:rPr>
        <w:t>بين الدرجة الكلية لكل بعد والدرجة الكلية للمتغير الذي ينتمي إليه، للتحقق من مدى اتساق الأبعاد مع المتغيرات الرئيسة للدراسة، وجاءت النتائج كما يوضحها الجدول (3-5).</w:t>
      </w:r>
    </w:p>
    <w:p w:rsidR="00F67B03" w:rsidRPr="00F75B20" w:rsidRDefault="000B1966" w:rsidP="000B1966">
      <w:pPr>
        <w:bidi/>
        <w:spacing w:after="0" w:line="240" w:lineRule="auto"/>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lastRenderedPageBreak/>
        <w:t>جدول (3-5) معاملات ارتباط بيرسون بين أبعاد الدراسة والدرجة الكلية للمتغيرات التي تنتمي إليها</w:t>
      </w:r>
    </w:p>
    <w:tbl>
      <w:tblPr>
        <w:tblStyle w:val="a3"/>
        <w:bidiVisual/>
        <w:tblW w:w="0" w:type="auto"/>
        <w:tblLook w:val="04A0" w:firstRow="1" w:lastRow="0" w:firstColumn="1" w:lastColumn="0" w:noHBand="0" w:noVBand="1"/>
      </w:tblPr>
      <w:tblGrid>
        <w:gridCol w:w="2174"/>
        <w:gridCol w:w="3743"/>
        <w:gridCol w:w="1307"/>
        <w:gridCol w:w="1315"/>
      </w:tblGrid>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المتغير</w:t>
            </w:r>
          </w:p>
        </w:tc>
        <w:tc>
          <w:tcPr>
            <w:tcW w:w="0" w:type="auto"/>
            <w:hideMark/>
          </w:tcPr>
          <w:p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البعد</w:t>
            </w:r>
          </w:p>
        </w:tc>
        <w:tc>
          <w:tcPr>
            <w:tcW w:w="0" w:type="auto"/>
            <w:hideMark/>
          </w:tcPr>
          <w:p w:rsidR="00F67B03" w:rsidRPr="00F75B20" w:rsidRDefault="00F67B03" w:rsidP="000B1966">
            <w:pPr>
              <w:bidi/>
              <w:jc w:val="both"/>
              <w:rPr>
                <w:rFonts w:ascii="Traditional Arabic" w:hAnsi="Traditional Arabic" w:cs="Traditional Arabic"/>
                <w:b/>
                <w:bCs/>
                <w:sz w:val="28"/>
                <w:szCs w:val="28"/>
                <w:lang w:val="en-US"/>
              </w:rPr>
            </w:pPr>
            <w:proofErr w:type="gramStart"/>
            <w:r w:rsidRPr="00F75B20">
              <w:rPr>
                <w:rFonts w:ascii="Traditional Arabic" w:hAnsi="Traditional Arabic" w:cs="Traditional Arabic"/>
                <w:b/>
                <w:bCs/>
                <w:sz w:val="28"/>
                <w:szCs w:val="28"/>
                <w:rtl/>
                <w:lang w:val="en-US"/>
              </w:rPr>
              <w:t>معامل</w:t>
            </w:r>
            <w:proofErr w:type="gramEnd"/>
            <w:r w:rsidRPr="00F75B20">
              <w:rPr>
                <w:rFonts w:ascii="Traditional Arabic" w:hAnsi="Traditional Arabic" w:cs="Traditional Arabic"/>
                <w:b/>
                <w:bCs/>
                <w:sz w:val="28"/>
                <w:szCs w:val="28"/>
                <w:rtl/>
                <w:lang w:val="en-US"/>
              </w:rPr>
              <w:t xml:space="preserve"> الارتباط</w:t>
            </w:r>
          </w:p>
        </w:tc>
        <w:tc>
          <w:tcPr>
            <w:tcW w:w="0" w:type="auto"/>
            <w:hideMark/>
          </w:tcPr>
          <w:p w:rsidR="00F67B03" w:rsidRPr="00F75B20" w:rsidRDefault="00F67B03"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مستوى الدلالة</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نضج التخطيط الاستراتيجي</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وضوح الرؤية والأهداف الاستراتيجية</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0.891**</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تحليل البيئة الداخلية </w:t>
            </w:r>
            <w:proofErr w:type="gramStart"/>
            <w:r w:rsidRPr="00F75B20">
              <w:rPr>
                <w:rFonts w:ascii="Traditional Arabic" w:hAnsi="Traditional Arabic" w:cs="Traditional Arabic"/>
                <w:sz w:val="28"/>
                <w:szCs w:val="28"/>
                <w:rtl/>
                <w:lang w:val="en-US"/>
              </w:rPr>
              <w:t>والخارجية</w:t>
            </w:r>
            <w:proofErr w:type="gramEnd"/>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0.914**</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تخصيص</w:t>
            </w:r>
            <w:proofErr w:type="gramEnd"/>
            <w:r w:rsidRPr="00F75B20">
              <w:rPr>
                <w:rFonts w:ascii="Traditional Arabic" w:hAnsi="Traditional Arabic" w:cs="Traditional Arabic"/>
                <w:sz w:val="28"/>
                <w:szCs w:val="28"/>
                <w:rtl/>
                <w:lang w:val="en-US"/>
              </w:rPr>
              <w:t xml:space="preserve"> الموارد والقدرات التنظيمية</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0.903**</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متابعة وتقييم الأداء الاستراتيجي</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0.918**</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ربط الاستراتيجية بالسياسات والإجراءات الداخلية</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0.896**</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r w:rsidR="00F67B03" w:rsidRPr="00F75B20" w:rsidTr="000B1966">
        <w:tc>
          <w:tcPr>
            <w:tcW w:w="0" w:type="auto"/>
            <w:hideMark/>
          </w:tcPr>
          <w:p w:rsidR="00F67B03" w:rsidRPr="00F75B20" w:rsidRDefault="00F67B03" w:rsidP="000B1966">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التكامل</w:t>
            </w:r>
            <w:proofErr w:type="gramEnd"/>
            <w:r w:rsidRPr="00F75B20">
              <w:rPr>
                <w:rFonts w:ascii="Traditional Arabic" w:hAnsi="Traditional Arabic" w:cs="Traditional Arabic"/>
                <w:sz w:val="28"/>
                <w:szCs w:val="28"/>
                <w:rtl/>
                <w:lang w:val="en-US"/>
              </w:rPr>
              <w:t xml:space="preserve"> المؤسسي</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التكامل</w:t>
            </w:r>
            <w:proofErr w:type="gramEnd"/>
            <w:r w:rsidRPr="00F75B20">
              <w:rPr>
                <w:rFonts w:ascii="Traditional Arabic" w:hAnsi="Traditional Arabic" w:cs="Traditional Arabic"/>
                <w:sz w:val="28"/>
                <w:szCs w:val="28"/>
                <w:rtl/>
                <w:lang w:val="en-US"/>
              </w:rPr>
              <w:t xml:space="preserve"> المؤسسي</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0.947**</w:t>
            </w:r>
          </w:p>
        </w:tc>
        <w:tc>
          <w:tcPr>
            <w:tcW w:w="0" w:type="auto"/>
            <w:hideMark/>
          </w:tcPr>
          <w:p w:rsidR="00F67B03" w:rsidRPr="00F75B20" w:rsidRDefault="00F67B03"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0.000</w:t>
            </w:r>
          </w:p>
        </w:tc>
      </w:tr>
    </w:tbl>
    <w:p w:rsidR="00F67B03" w:rsidRPr="00F75B20" w:rsidRDefault="00F67B03" w:rsidP="000B1966">
      <w:pPr>
        <w:bidi/>
        <w:spacing w:after="0" w:line="24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معاملات الارتباط دالة </w:t>
      </w:r>
      <w:proofErr w:type="gramStart"/>
      <w:r w:rsidRPr="00F75B20">
        <w:rPr>
          <w:rFonts w:ascii="Traditional Arabic" w:hAnsi="Traditional Arabic" w:cs="Traditional Arabic"/>
          <w:sz w:val="28"/>
          <w:szCs w:val="28"/>
          <w:rtl/>
          <w:lang w:val="en-US"/>
        </w:rPr>
        <w:t>إحصائيًا</w:t>
      </w:r>
      <w:proofErr w:type="gramEnd"/>
      <w:r w:rsidRPr="00F75B20">
        <w:rPr>
          <w:rFonts w:ascii="Traditional Arabic" w:hAnsi="Traditional Arabic" w:cs="Traditional Arabic"/>
          <w:sz w:val="28"/>
          <w:szCs w:val="28"/>
          <w:rtl/>
          <w:lang w:val="en-US"/>
        </w:rPr>
        <w:t xml:space="preserve"> عند مستوى</w:t>
      </w:r>
      <w:r w:rsidRPr="00F75B20">
        <w:rPr>
          <w:rFonts w:ascii="Traditional Arabic" w:hAnsi="Traditional Arabic" w:cs="Traditional Arabic"/>
          <w:sz w:val="28"/>
          <w:szCs w:val="28"/>
          <w:lang w:val="en-US"/>
        </w:rPr>
        <w:t xml:space="preserve"> (</w:t>
      </w:r>
      <w:r w:rsidRPr="00F75B20">
        <w:rPr>
          <w:rFonts w:ascii="Times New Roman" w:hAnsi="Times New Roman" w:cs="Times New Roman"/>
          <w:sz w:val="28"/>
          <w:szCs w:val="28"/>
          <w:lang w:val="en-US"/>
        </w:rPr>
        <w:t>α</w:t>
      </w:r>
      <w:r w:rsidRPr="00F75B20">
        <w:rPr>
          <w:rFonts w:ascii="Traditional Arabic" w:hAnsi="Traditional Arabic" w:cs="Traditional Arabic"/>
          <w:sz w:val="28"/>
          <w:szCs w:val="28"/>
          <w:lang w:val="en-US"/>
        </w:rPr>
        <w:t xml:space="preserve"> </w:t>
      </w:r>
      <w:r w:rsidRPr="00F75B20">
        <w:rPr>
          <w:rFonts w:ascii="Times New Roman" w:hAnsi="Times New Roman" w:cs="Times New Roman"/>
          <w:sz w:val="28"/>
          <w:szCs w:val="28"/>
          <w:lang w:val="en-US"/>
        </w:rPr>
        <w:t>≤</w:t>
      </w:r>
      <w:r w:rsidRPr="00F75B20">
        <w:rPr>
          <w:rFonts w:ascii="Traditional Arabic" w:hAnsi="Traditional Arabic" w:cs="Traditional Arabic"/>
          <w:sz w:val="28"/>
          <w:szCs w:val="28"/>
          <w:lang w:val="en-US"/>
        </w:rPr>
        <w:t xml:space="preserve"> 0.01)</w:t>
      </w:r>
      <w:proofErr w:type="gramStart"/>
      <w:r w:rsidRPr="00F75B20">
        <w:rPr>
          <w:rFonts w:ascii="Traditional Arabic" w:hAnsi="Traditional Arabic" w:cs="Traditional Arabic"/>
          <w:sz w:val="28"/>
          <w:szCs w:val="28"/>
          <w:lang w:val="en-US"/>
        </w:rPr>
        <w:t>.*</w:t>
      </w:r>
      <w:proofErr w:type="gramEnd"/>
      <w:r w:rsidRPr="00F75B20">
        <w:rPr>
          <w:rFonts w:ascii="Traditional Arabic" w:hAnsi="Traditional Arabic" w:cs="Traditional Arabic"/>
          <w:sz w:val="28"/>
          <w:szCs w:val="28"/>
          <w:lang w:val="en-US"/>
        </w:rPr>
        <w:t>*</w:t>
      </w:r>
    </w:p>
    <w:p w:rsidR="000B1966" w:rsidRPr="00F75B20" w:rsidRDefault="000B1966" w:rsidP="00F67B03">
      <w:pPr>
        <w:bidi/>
        <w:spacing w:line="360" w:lineRule="auto"/>
        <w:jc w:val="both"/>
        <w:rPr>
          <w:rFonts w:ascii="Traditional Arabic" w:hAnsi="Traditional Arabic" w:cs="Traditional Arabic"/>
          <w:sz w:val="28"/>
          <w:szCs w:val="28"/>
          <w:rtl/>
          <w:lang w:val="en-US"/>
        </w:rPr>
      </w:pPr>
    </w:p>
    <w:p w:rsidR="00F67B03" w:rsidRPr="00F75B20" w:rsidRDefault="00F67B03" w:rsidP="000B1966">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 xml:space="preserve">يتضح من </w:t>
      </w:r>
      <w:r w:rsidR="000B1966" w:rsidRPr="00F75B20">
        <w:rPr>
          <w:rFonts w:ascii="Traditional Arabic" w:hAnsi="Traditional Arabic" w:cs="Traditional Arabic"/>
          <w:sz w:val="28"/>
          <w:szCs w:val="28"/>
          <w:rtl/>
          <w:lang w:val="en-US"/>
        </w:rPr>
        <w:t xml:space="preserve">الجدولين (3-4) و(3-5) أن جميع معاملات ارتباط بيرسون بين الفقرات والأبعاد التي تنتمي إليها جاءت موجبة ومرتفعة، حيث تراوحت قيمها بين (0.741–0.846)، كما تراوحت معاملات الارتباط </w:t>
      </w:r>
      <w:proofErr w:type="gramStart"/>
      <w:r w:rsidR="000B1966" w:rsidRPr="00F75B20">
        <w:rPr>
          <w:rFonts w:ascii="Traditional Arabic" w:hAnsi="Traditional Arabic" w:cs="Traditional Arabic"/>
          <w:sz w:val="28"/>
          <w:szCs w:val="28"/>
          <w:rtl/>
          <w:lang w:val="en-US"/>
        </w:rPr>
        <w:t>بين</w:t>
      </w:r>
      <w:proofErr w:type="gramEnd"/>
      <w:r w:rsidR="000B1966" w:rsidRPr="00F75B20">
        <w:rPr>
          <w:rFonts w:ascii="Traditional Arabic" w:hAnsi="Traditional Arabic" w:cs="Traditional Arabic"/>
          <w:sz w:val="28"/>
          <w:szCs w:val="28"/>
          <w:rtl/>
          <w:lang w:val="en-US"/>
        </w:rPr>
        <w:t xml:space="preserve"> أبعاد الدراسة والدرجة الكلية للمتغيرات بين (0.891–0.947)، وجميعها </w:t>
      </w:r>
      <w:proofErr w:type="gramStart"/>
      <w:r w:rsidR="000B1966" w:rsidRPr="00F75B20">
        <w:rPr>
          <w:rFonts w:ascii="Traditional Arabic" w:hAnsi="Traditional Arabic" w:cs="Traditional Arabic"/>
          <w:sz w:val="28"/>
          <w:szCs w:val="28"/>
          <w:rtl/>
          <w:lang w:val="en-US"/>
        </w:rPr>
        <w:t>دالة</w:t>
      </w:r>
      <w:proofErr w:type="gramEnd"/>
      <w:r w:rsidR="000B1966" w:rsidRPr="00F75B20">
        <w:rPr>
          <w:rFonts w:ascii="Traditional Arabic" w:hAnsi="Traditional Arabic" w:cs="Traditional Arabic"/>
          <w:sz w:val="28"/>
          <w:szCs w:val="28"/>
          <w:rtl/>
          <w:lang w:val="en-US"/>
        </w:rPr>
        <w:t xml:space="preserve"> إحصائيًا عند مستوى الدلالة (</w:t>
      </w:r>
      <w:r w:rsidR="000B1966" w:rsidRPr="00F75B20">
        <w:rPr>
          <w:rFonts w:ascii="Times New Roman" w:hAnsi="Times New Roman" w:cs="Times New Roman"/>
          <w:sz w:val="28"/>
          <w:szCs w:val="28"/>
          <w:lang w:val="en-US"/>
        </w:rPr>
        <w:t>α</w:t>
      </w:r>
      <w:r w:rsidR="000B1966" w:rsidRPr="00F75B20">
        <w:rPr>
          <w:rFonts w:ascii="Traditional Arabic" w:hAnsi="Traditional Arabic" w:cs="Traditional Arabic"/>
          <w:sz w:val="28"/>
          <w:szCs w:val="28"/>
          <w:lang w:val="en-US"/>
        </w:rPr>
        <w:t xml:space="preserve"> </w:t>
      </w:r>
      <w:r w:rsidR="000B1966" w:rsidRPr="00F75B20">
        <w:rPr>
          <w:rFonts w:ascii="Times New Roman" w:hAnsi="Times New Roman" w:cs="Times New Roman"/>
          <w:sz w:val="28"/>
          <w:szCs w:val="28"/>
          <w:lang w:val="en-US"/>
        </w:rPr>
        <w:t>≤</w:t>
      </w:r>
      <w:r w:rsidR="000B1966" w:rsidRPr="00F75B20">
        <w:rPr>
          <w:rFonts w:ascii="Traditional Arabic" w:hAnsi="Traditional Arabic" w:cs="Traditional Arabic"/>
          <w:sz w:val="28"/>
          <w:szCs w:val="28"/>
          <w:lang w:val="en-US"/>
        </w:rPr>
        <w:t xml:space="preserve"> 0.01</w:t>
      </w:r>
      <w:proofErr w:type="gramStart"/>
      <w:r w:rsidR="000B1966" w:rsidRPr="00F75B20">
        <w:rPr>
          <w:rFonts w:ascii="Traditional Arabic" w:hAnsi="Traditional Arabic" w:cs="Traditional Arabic"/>
          <w:sz w:val="28"/>
          <w:szCs w:val="28"/>
          <w:rtl/>
          <w:lang w:val="en-US"/>
        </w:rPr>
        <w:t>)،</w:t>
      </w:r>
      <w:proofErr w:type="gramEnd"/>
      <w:r w:rsidR="000B1966" w:rsidRPr="00F75B20">
        <w:rPr>
          <w:rFonts w:ascii="Traditional Arabic" w:hAnsi="Traditional Arabic" w:cs="Traditional Arabic"/>
          <w:sz w:val="28"/>
          <w:szCs w:val="28"/>
          <w:rtl/>
          <w:lang w:val="en-US"/>
        </w:rPr>
        <w:t xml:space="preserve"> مما يدل على وجود درجة مرتفعة من الاتساق الداخلي بين الفقرات وأبعادها، ويؤكد تمتع أداة الدراسة بدرجة عالية من صدق البناء، الأمر الذي يشير إلى صلاحيتها للتطبيق الميداني وإمكانية الاعتماد على نتائجها في اختبار فرضيات الدراسة، وهو ما يتفق مع المعايير التي أشار إليها </w:t>
      </w:r>
      <w:r w:rsidR="000B1966" w:rsidRPr="00F75B20">
        <w:rPr>
          <w:rFonts w:ascii="Traditional Arabic" w:hAnsi="Traditional Arabic" w:cs="Traditional Arabic"/>
          <w:sz w:val="28"/>
          <w:szCs w:val="28"/>
          <w:lang w:val="en-US"/>
        </w:rPr>
        <w:t>Hair et al. 2022</w:t>
      </w:r>
      <w:r w:rsidR="000B1966" w:rsidRPr="00F75B20">
        <w:rPr>
          <w:rFonts w:ascii="Traditional Arabic" w:hAnsi="Traditional Arabic" w:cs="Traditional Arabic"/>
          <w:sz w:val="28"/>
          <w:szCs w:val="28"/>
          <w:rtl/>
          <w:lang w:val="en-US"/>
        </w:rPr>
        <w:t>.</w:t>
      </w:r>
    </w:p>
    <w:p w:rsidR="000B1966" w:rsidRPr="00F75B20" w:rsidRDefault="000B1966" w:rsidP="000B1966">
      <w:pPr>
        <w:bidi/>
        <w:spacing w:line="360" w:lineRule="auto"/>
        <w:jc w:val="both"/>
        <w:rPr>
          <w:rFonts w:ascii="Traditional Arabic" w:hAnsi="Traditional Arabic" w:cs="Traditional Arabic"/>
          <w:sz w:val="28"/>
          <w:szCs w:val="28"/>
          <w:lang w:val="en-US"/>
        </w:rPr>
      </w:pPr>
    </w:p>
    <w:p w:rsidR="000B1966" w:rsidRPr="00F75B20" w:rsidRDefault="000B1966" w:rsidP="000B1966">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 xml:space="preserve">3.9 </w:t>
      </w:r>
      <w:proofErr w:type="gramStart"/>
      <w:r w:rsidRPr="00F75B20">
        <w:rPr>
          <w:rFonts w:ascii="Traditional Arabic" w:hAnsi="Traditional Arabic" w:cs="Traditional Arabic"/>
          <w:b/>
          <w:bCs/>
          <w:sz w:val="28"/>
          <w:szCs w:val="28"/>
          <w:rtl/>
          <w:lang w:val="en-US"/>
        </w:rPr>
        <w:t>ثبات</w:t>
      </w:r>
      <w:proofErr w:type="gramEnd"/>
      <w:r w:rsidRPr="00F75B20">
        <w:rPr>
          <w:rFonts w:ascii="Traditional Arabic" w:hAnsi="Traditional Arabic" w:cs="Traditional Arabic"/>
          <w:b/>
          <w:bCs/>
          <w:sz w:val="28"/>
          <w:szCs w:val="28"/>
          <w:rtl/>
          <w:lang w:val="en-US"/>
        </w:rPr>
        <w:t xml:space="preserve"> أداة الدراسة</w:t>
      </w:r>
    </w:p>
    <w:p w:rsidR="000B1966" w:rsidRPr="00F75B20" w:rsidRDefault="000B1966" w:rsidP="000B1966">
      <w:pPr>
        <w:bidi/>
        <w:spacing w:line="360" w:lineRule="auto"/>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يُعد</w:t>
      </w:r>
      <w:proofErr w:type="gramEnd"/>
      <w:r w:rsidRPr="00F75B20">
        <w:rPr>
          <w:rFonts w:ascii="Traditional Arabic" w:hAnsi="Traditional Arabic" w:cs="Traditional Arabic"/>
          <w:sz w:val="28"/>
          <w:szCs w:val="28"/>
          <w:rtl/>
          <w:lang w:val="en-US"/>
        </w:rPr>
        <w:t xml:space="preserve"> الثبات (</w:t>
      </w:r>
      <w:r w:rsidRPr="00F75B20">
        <w:rPr>
          <w:rFonts w:ascii="Traditional Arabic" w:hAnsi="Traditional Arabic" w:cs="Traditional Arabic"/>
          <w:sz w:val="28"/>
          <w:szCs w:val="28"/>
          <w:lang w:val="en-US"/>
        </w:rPr>
        <w:t>Reliability</w:t>
      </w:r>
      <w:r w:rsidRPr="00F75B20">
        <w:rPr>
          <w:rFonts w:ascii="Traditional Arabic" w:hAnsi="Traditional Arabic" w:cs="Traditional Arabic"/>
          <w:sz w:val="28"/>
          <w:szCs w:val="28"/>
          <w:rtl/>
          <w:lang w:val="en-US"/>
        </w:rPr>
        <w:t>) من الخصائص الأساسية التي ينبغي توافرها في أدوات القياس، ويشير إلى مدى اتساق الأداة في قياس الظاهرة محل الدراسة، وقدرتها على إعطاء نتائج متقاربة عند إعادة تطبيقها في ظروف متشابهة. ويُعد معامل كرونباخ ألفا (</w:t>
      </w:r>
      <w:proofErr w:type="spellStart"/>
      <w:r w:rsidRPr="00F75B20">
        <w:rPr>
          <w:rFonts w:ascii="Traditional Arabic" w:hAnsi="Traditional Arabic" w:cs="Traditional Arabic"/>
          <w:sz w:val="28"/>
          <w:szCs w:val="28"/>
          <w:lang w:val="en-US"/>
        </w:rPr>
        <w:t>Cronbach's</w:t>
      </w:r>
      <w:proofErr w:type="spellEnd"/>
      <w:r w:rsidRPr="00F75B20">
        <w:rPr>
          <w:rFonts w:ascii="Traditional Arabic" w:hAnsi="Traditional Arabic" w:cs="Traditional Arabic"/>
          <w:sz w:val="28"/>
          <w:szCs w:val="28"/>
          <w:lang w:val="en-US"/>
        </w:rPr>
        <w:t xml:space="preserve"> Alpha</w:t>
      </w:r>
      <w:r w:rsidRPr="00F75B20">
        <w:rPr>
          <w:rFonts w:ascii="Traditional Arabic" w:hAnsi="Traditional Arabic" w:cs="Traditional Arabic"/>
          <w:sz w:val="28"/>
          <w:szCs w:val="28"/>
          <w:rtl/>
          <w:lang w:val="en-US"/>
        </w:rPr>
        <w:t>) من أكثر المؤشرات الإحصائية استخدامًا لقياس الاتساق الداخلي لفقرات أدوات القياس، حيث يشير ارتفاع قيمته إلى وجود درجة مرتفعة من التجانس بين الفقرات التي تقيس البعد نفسه (</w:t>
      </w:r>
      <w:r w:rsidRPr="00F75B20">
        <w:rPr>
          <w:rFonts w:ascii="Traditional Arabic" w:hAnsi="Traditional Arabic" w:cs="Traditional Arabic"/>
          <w:sz w:val="28"/>
          <w:szCs w:val="28"/>
          <w:lang w:val="en-US"/>
        </w:rPr>
        <w:t>Hair et al.</w:t>
      </w:r>
      <w:proofErr w:type="gramStart"/>
      <w:r w:rsidRPr="00F75B20">
        <w:rPr>
          <w:rFonts w:ascii="Traditional Arabic" w:hAnsi="Traditional Arabic" w:cs="Traditional Arabic"/>
          <w:sz w:val="28"/>
          <w:szCs w:val="28"/>
          <w:lang w:val="en-US"/>
        </w:rPr>
        <w:t>, 2022</w:t>
      </w:r>
      <w:r w:rsidRPr="00F75B20">
        <w:rPr>
          <w:rFonts w:ascii="Traditional Arabic" w:hAnsi="Traditional Arabic" w:cs="Traditional Arabic"/>
          <w:sz w:val="28"/>
          <w:szCs w:val="28"/>
          <w:rtl/>
          <w:lang w:val="en-US"/>
        </w:rPr>
        <w:t>).</w:t>
      </w:r>
      <w:proofErr w:type="gramEnd"/>
    </w:p>
    <w:p w:rsidR="000B1966" w:rsidRPr="00F75B20" w:rsidRDefault="000B1966"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lastRenderedPageBreak/>
        <w:t>وللتحقق من ثبات أداة الدراسة، قامت الباحثة بتطبيق الاستبانة على العينة الاستطلاعية نفسها المستخدمة في التحقق من صدق البناء، والبالغ عددها (30) مشاركًا من خارج مجتمع الدراسة، ثم تم احتساب معاملات كرونباخ ألفا لجميع أبعاد الدراسة، بالإضافة إلى المتغيرات الرئيسة والأداة ككل، وذلك للتحقق من مدى اتساق فقرات الأداة.</w:t>
      </w:r>
    </w:p>
    <w:p w:rsidR="000B1966" w:rsidRPr="00F75B20" w:rsidRDefault="000B1966" w:rsidP="000B1966">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 xml:space="preserve">ويشير </w:t>
      </w:r>
      <w:r w:rsidRPr="00F75B20">
        <w:rPr>
          <w:rFonts w:ascii="Traditional Arabic" w:hAnsi="Traditional Arabic" w:cs="Traditional Arabic" w:hint="cs"/>
          <w:sz w:val="28"/>
          <w:szCs w:val="28"/>
          <w:rtl/>
          <w:lang w:val="en-US"/>
        </w:rPr>
        <w:t>(</w:t>
      </w:r>
      <w:r w:rsidRPr="00F75B20">
        <w:rPr>
          <w:rFonts w:ascii="Traditional Arabic" w:hAnsi="Traditional Arabic" w:cs="Traditional Arabic"/>
          <w:sz w:val="28"/>
          <w:szCs w:val="28"/>
          <w:lang w:val="en-US"/>
        </w:rPr>
        <w:t xml:space="preserve">Hair et al. </w:t>
      </w:r>
      <w:proofErr w:type="gramStart"/>
      <w:r w:rsidRPr="00F75B20">
        <w:rPr>
          <w:rFonts w:ascii="Traditional Arabic" w:hAnsi="Traditional Arabic" w:cs="Traditional Arabic"/>
          <w:sz w:val="28"/>
          <w:szCs w:val="28"/>
          <w:lang w:val="en-US"/>
        </w:rPr>
        <w:t>2022</w:t>
      </w:r>
      <w:r w:rsidRPr="00F75B20">
        <w:rPr>
          <w:rFonts w:ascii="Traditional Arabic" w:hAnsi="Traditional Arabic" w:cs="Traditional Arabic"/>
          <w:sz w:val="28"/>
          <w:szCs w:val="28"/>
          <w:rtl/>
          <w:lang w:val="en-US"/>
        </w:rPr>
        <w:t>) إلى أن معامل كرونباخ ألفا الذي يزيد على (0.70) يُعد مقبولًا، بينما تشير القيم التي تتجاوز (0.80) إلى مستوى مرتفع من الثبات، وتُعد القيم التي تزيد على (0.90) مؤشرًا على ثبات ممتاز للأداة.</w:t>
      </w:r>
      <w:proofErr w:type="gramEnd"/>
    </w:p>
    <w:p w:rsidR="000B1966" w:rsidRPr="00F75B20" w:rsidRDefault="000B1966"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وقد أظهرت نتائج التحليل الإحصائي أن جميع معاملات كرونباخ ألفا جاءت مرتفعة، كما هو موضح في الجدول (3-6).</w:t>
      </w:r>
    </w:p>
    <w:p w:rsidR="000B1966" w:rsidRPr="00F75B20" w:rsidRDefault="000B1966" w:rsidP="000B1966">
      <w:pPr>
        <w:bidi/>
        <w:spacing w:after="0" w:line="240" w:lineRule="auto"/>
        <w:jc w:val="center"/>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جدول (3-6) معاملات كرونباخ ألفا لقياس ثبات أداة الدراسة</w:t>
      </w:r>
    </w:p>
    <w:tbl>
      <w:tblPr>
        <w:tblStyle w:val="a3"/>
        <w:bidiVisual/>
        <w:tblW w:w="0" w:type="auto"/>
        <w:tblLook w:val="04A0" w:firstRow="1" w:lastRow="0" w:firstColumn="1" w:lastColumn="0" w:noHBand="0" w:noVBand="1"/>
      </w:tblPr>
      <w:tblGrid>
        <w:gridCol w:w="2273"/>
        <w:gridCol w:w="3743"/>
        <w:gridCol w:w="1192"/>
        <w:gridCol w:w="1583"/>
      </w:tblGrid>
      <w:tr w:rsidR="000B1966" w:rsidRPr="00F75B20" w:rsidTr="000B1966">
        <w:tc>
          <w:tcPr>
            <w:tcW w:w="0" w:type="auto"/>
            <w:hideMark/>
          </w:tcPr>
          <w:p w:rsidR="000B1966" w:rsidRPr="00F75B20" w:rsidRDefault="000B1966"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المتغير</w:t>
            </w:r>
          </w:p>
        </w:tc>
        <w:tc>
          <w:tcPr>
            <w:tcW w:w="0" w:type="auto"/>
            <w:hideMark/>
          </w:tcPr>
          <w:p w:rsidR="000B1966" w:rsidRPr="00F75B20" w:rsidRDefault="000B1966"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البعد</w:t>
            </w:r>
          </w:p>
        </w:tc>
        <w:tc>
          <w:tcPr>
            <w:tcW w:w="0" w:type="auto"/>
            <w:hideMark/>
          </w:tcPr>
          <w:p w:rsidR="000B1966" w:rsidRPr="00F75B20" w:rsidRDefault="000B1966"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عدد الفقرات</w:t>
            </w:r>
          </w:p>
        </w:tc>
        <w:tc>
          <w:tcPr>
            <w:tcW w:w="0" w:type="auto"/>
            <w:hideMark/>
          </w:tcPr>
          <w:p w:rsidR="000B1966" w:rsidRPr="00F75B20" w:rsidRDefault="000B1966" w:rsidP="000B1966">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معامل كرونباخ ألفا</w:t>
            </w:r>
          </w:p>
        </w:tc>
      </w:tr>
      <w:tr w:rsidR="000B1966" w:rsidRPr="00F75B20" w:rsidTr="000B1966">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نضج التخطيط الاستراتيجي</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وضوح الرؤية والأهداف الاستراتيجية</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0.901</w:t>
            </w:r>
          </w:p>
        </w:tc>
      </w:tr>
      <w:tr w:rsidR="000B1966" w:rsidRPr="00F75B20" w:rsidTr="000B1966">
        <w:tc>
          <w:tcPr>
            <w:tcW w:w="0" w:type="auto"/>
            <w:hideMark/>
          </w:tcPr>
          <w:p w:rsidR="000B1966" w:rsidRPr="00F75B20" w:rsidRDefault="000B1966" w:rsidP="000B1966">
            <w:pPr>
              <w:bidi/>
              <w:jc w:val="both"/>
              <w:rPr>
                <w:rFonts w:ascii="Traditional Arabic" w:hAnsi="Traditional Arabic" w:cs="Traditional Arabic"/>
                <w:sz w:val="28"/>
                <w:szCs w:val="28"/>
                <w:lang w:val="en-US"/>
              </w:rPr>
            </w:pP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تحليل البيئة الداخلية </w:t>
            </w:r>
            <w:proofErr w:type="gramStart"/>
            <w:r w:rsidRPr="00F75B20">
              <w:rPr>
                <w:rFonts w:ascii="Traditional Arabic" w:hAnsi="Traditional Arabic" w:cs="Traditional Arabic"/>
                <w:sz w:val="28"/>
                <w:szCs w:val="28"/>
                <w:rtl/>
                <w:lang w:val="en-US"/>
              </w:rPr>
              <w:t>والخارجية</w:t>
            </w:r>
            <w:proofErr w:type="gramEnd"/>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0.914</w:t>
            </w:r>
          </w:p>
        </w:tc>
      </w:tr>
      <w:tr w:rsidR="000B1966" w:rsidRPr="00F75B20" w:rsidTr="000B1966">
        <w:tc>
          <w:tcPr>
            <w:tcW w:w="0" w:type="auto"/>
            <w:hideMark/>
          </w:tcPr>
          <w:p w:rsidR="000B1966" w:rsidRPr="00F75B20" w:rsidRDefault="000B1966" w:rsidP="000B1966">
            <w:pPr>
              <w:bidi/>
              <w:jc w:val="both"/>
              <w:rPr>
                <w:rFonts w:ascii="Traditional Arabic" w:hAnsi="Traditional Arabic" w:cs="Traditional Arabic"/>
                <w:sz w:val="28"/>
                <w:szCs w:val="28"/>
                <w:lang w:val="en-US"/>
              </w:rPr>
            </w:pP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تخصيص</w:t>
            </w:r>
            <w:proofErr w:type="gramEnd"/>
            <w:r w:rsidRPr="00F75B20">
              <w:rPr>
                <w:rFonts w:ascii="Traditional Arabic" w:hAnsi="Traditional Arabic" w:cs="Traditional Arabic"/>
                <w:sz w:val="28"/>
                <w:szCs w:val="28"/>
                <w:rtl/>
                <w:lang w:val="en-US"/>
              </w:rPr>
              <w:t xml:space="preserve"> الموارد والقدرات التنظيمية</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0.896</w:t>
            </w:r>
          </w:p>
        </w:tc>
      </w:tr>
      <w:tr w:rsidR="000B1966" w:rsidRPr="00F75B20" w:rsidTr="000B1966">
        <w:tc>
          <w:tcPr>
            <w:tcW w:w="0" w:type="auto"/>
            <w:hideMark/>
          </w:tcPr>
          <w:p w:rsidR="000B1966" w:rsidRPr="00F75B20" w:rsidRDefault="000B1966" w:rsidP="000B1966">
            <w:pPr>
              <w:bidi/>
              <w:jc w:val="both"/>
              <w:rPr>
                <w:rFonts w:ascii="Traditional Arabic" w:hAnsi="Traditional Arabic" w:cs="Traditional Arabic"/>
                <w:sz w:val="28"/>
                <w:szCs w:val="28"/>
                <w:lang w:val="en-US"/>
              </w:rPr>
            </w:pP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متابعة وتقييم الأداء الاستراتيجي</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0.918</w:t>
            </w:r>
          </w:p>
        </w:tc>
      </w:tr>
      <w:tr w:rsidR="000B1966" w:rsidRPr="00F75B20" w:rsidTr="000B1966">
        <w:tc>
          <w:tcPr>
            <w:tcW w:w="0" w:type="auto"/>
            <w:hideMark/>
          </w:tcPr>
          <w:p w:rsidR="000B1966" w:rsidRPr="00F75B20" w:rsidRDefault="000B1966" w:rsidP="000B1966">
            <w:pPr>
              <w:bidi/>
              <w:jc w:val="both"/>
              <w:rPr>
                <w:rFonts w:ascii="Traditional Arabic" w:hAnsi="Traditional Arabic" w:cs="Traditional Arabic"/>
                <w:sz w:val="28"/>
                <w:szCs w:val="28"/>
                <w:lang w:val="en-US"/>
              </w:rPr>
            </w:pP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ربط الاستراتيجية بالسياسات والإجراءات الداخلية</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5</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0.907</w:t>
            </w:r>
          </w:p>
        </w:tc>
      </w:tr>
      <w:tr w:rsidR="000B1966" w:rsidRPr="00F75B20" w:rsidTr="000B1966">
        <w:tc>
          <w:tcPr>
            <w:tcW w:w="0" w:type="auto"/>
            <w:hideMark/>
          </w:tcPr>
          <w:p w:rsidR="000B1966" w:rsidRPr="00F75B20" w:rsidRDefault="000B1966" w:rsidP="000B1966">
            <w:pPr>
              <w:bidi/>
              <w:jc w:val="both"/>
              <w:rPr>
                <w:rFonts w:ascii="Traditional Arabic" w:hAnsi="Traditional Arabic" w:cs="Traditional Arabic"/>
                <w:sz w:val="28"/>
                <w:szCs w:val="28"/>
                <w:lang w:val="en-US"/>
              </w:rPr>
            </w:pP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b/>
                <w:bCs/>
                <w:sz w:val="28"/>
                <w:szCs w:val="28"/>
                <w:rtl/>
                <w:lang w:val="en-US"/>
              </w:rPr>
              <w:t>الثبات</w:t>
            </w:r>
            <w:proofErr w:type="gramEnd"/>
            <w:r w:rsidRPr="00F75B20">
              <w:rPr>
                <w:rFonts w:ascii="Traditional Arabic" w:hAnsi="Traditional Arabic" w:cs="Traditional Arabic"/>
                <w:b/>
                <w:bCs/>
                <w:sz w:val="28"/>
                <w:szCs w:val="28"/>
                <w:rtl/>
                <w:lang w:val="en-US"/>
              </w:rPr>
              <w:t xml:space="preserve"> الكلي للمتغير</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lang w:val="en-US"/>
              </w:rPr>
              <w:t>25</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lang w:val="en-US"/>
              </w:rPr>
              <w:t>0.944</w:t>
            </w:r>
          </w:p>
        </w:tc>
      </w:tr>
      <w:tr w:rsidR="000B1966" w:rsidRPr="00F75B20" w:rsidTr="000B1966">
        <w:tc>
          <w:tcPr>
            <w:tcW w:w="0" w:type="auto"/>
            <w:hideMark/>
          </w:tcPr>
          <w:p w:rsidR="000B1966" w:rsidRPr="00F75B20" w:rsidRDefault="000B1966" w:rsidP="000B1966">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b/>
                <w:bCs/>
                <w:sz w:val="28"/>
                <w:szCs w:val="28"/>
                <w:rtl/>
                <w:lang w:val="en-US"/>
              </w:rPr>
              <w:t>التكامل</w:t>
            </w:r>
            <w:proofErr w:type="gramEnd"/>
            <w:r w:rsidRPr="00F75B20">
              <w:rPr>
                <w:rFonts w:ascii="Traditional Arabic" w:hAnsi="Traditional Arabic" w:cs="Traditional Arabic"/>
                <w:b/>
                <w:bCs/>
                <w:sz w:val="28"/>
                <w:szCs w:val="28"/>
                <w:rtl/>
                <w:lang w:val="en-US"/>
              </w:rPr>
              <w:t xml:space="preserve"> المؤسسي</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المتغير ككل</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10</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0.926</w:t>
            </w:r>
          </w:p>
        </w:tc>
      </w:tr>
      <w:tr w:rsidR="000B1966" w:rsidRPr="00F75B20" w:rsidTr="000B1966">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b/>
                <w:bCs/>
                <w:sz w:val="28"/>
                <w:szCs w:val="28"/>
                <w:rtl/>
                <w:lang w:val="en-US"/>
              </w:rPr>
              <w:t>الثبات الكلي لأداة الدراسة</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35</w:t>
            </w:r>
          </w:p>
        </w:tc>
        <w:tc>
          <w:tcPr>
            <w:tcW w:w="0" w:type="auto"/>
            <w:hideMark/>
          </w:tcPr>
          <w:p w:rsidR="000B1966" w:rsidRPr="00F75B20" w:rsidRDefault="000B1966" w:rsidP="000B1966">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lang w:val="en-US"/>
              </w:rPr>
              <w:t>0.951</w:t>
            </w:r>
          </w:p>
        </w:tc>
      </w:tr>
    </w:tbl>
    <w:p w:rsidR="000B1966" w:rsidRPr="00F75B20" w:rsidRDefault="000B1966" w:rsidP="000B1966">
      <w:pPr>
        <w:bidi/>
        <w:spacing w:after="0" w:line="240" w:lineRule="auto"/>
        <w:jc w:val="both"/>
        <w:rPr>
          <w:rFonts w:ascii="Traditional Arabic" w:hAnsi="Traditional Arabic" w:cs="Traditional Arabic"/>
          <w:sz w:val="28"/>
          <w:szCs w:val="28"/>
          <w:lang w:val="en-US"/>
        </w:rPr>
      </w:pPr>
    </w:p>
    <w:p w:rsidR="000B1966" w:rsidRPr="00F75B20" w:rsidRDefault="000B1966"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يتضح من الجدول (3-6) أن معاملات كرونباخ ألفا لأبعاد نضج التخطيط الاستراتيجي تراوحت بين (0.896–0.918)، في حين بلغ معامل الثبات الكلي لهذا المتغير (0.944). كما بلغ معامل كرونباخ ألفا لمتغير التكامل المؤسسي (0.926)، </w:t>
      </w:r>
      <w:proofErr w:type="gramStart"/>
      <w:r w:rsidRPr="00F75B20">
        <w:rPr>
          <w:rFonts w:ascii="Traditional Arabic" w:hAnsi="Traditional Arabic" w:cs="Traditional Arabic"/>
          <w:sz w:val="28"/>
          <w:szCs w:val="28"/>
          <w:rtl/>
          <w:lang w:val="en-US"/>
        </w:rPr>
        <w:t>بينما</w:t>
      </w:r>
      <w:proofErr w:type="gramEnd"/>
      <w:r w:rsidRPr="00F75B20">
        <w:rPr>
          <w:rFonts w:ascii="Traditional Arabic" w:hAnsi="Traditional Arabic" w:cs="Traditional Arabic"/>
          <w:sz w:val="28"/>
          <w:szCs w:val="28"/>
          <w:rtl/>
          <w:lang w:val="en-US"/>
        </w:rPr>
        <w:t xml:space="preserve"> بلغ معامل الثبات الكلي لأداة الدراسة (0.951).</w:t>
      </w:r>
    </w:p>
    <w:p w:rsidR="000B1966" w:rsidRPr="00F75B20" w:rsidRDefault="000B1966" w:rsidP="000B1966">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lastRenderedPageBreak/>
        <w:t xml:space="preserve">وتشير هذه النتائج </w:t>
      </w:r>
      <w:proofErr w:type="gramStart"/>
      <w:r w:rsidRPr="00F75B20">
        <w:rPr>
          <w:rFonts w:ascii="Traditional Arabic" w:hAnsi="Traditional Arabic" w:cs="Traditional Arabic"/>
          <w:sz w:val="28"/>
          <w:szCs w:val="28"/>
          <w:rtl/>
          <w:lang w:val="en-US"/>
        </w:rPr>
        <w:t>إلى</w:t>
      </w:r>
      <w:proofErr w:type="gramEnd"/>
      <w:r w:rsidRPr="00F75B20">
        <w:rPr>
          <w:rFonts w:ascii="Traditional Arabic" w:hAnsi="Traditional Arabic" w:cs="Traditional Arabic"/>
          <w:sz w:val="28"/>
          <w:szCs w:val="28"/>
          <w:rtl/>
          <w:lang w:val="en-US"/>
        </w:rPr>
        <w:t xml:space="preserve"> أن جميع معاملات الثبات تجاوزت الحد الأدنى المقبول إحصائيًا </w:t>
      </w:r>
      <w:r w:rsidRPr="00F75B20">
        <w:rPr>
          <w:rFonts w:ascii="Traditional Arabic" w:hAnsi="Traditional Arabic" w:cs="Traditional Arabic"/>
          <w:sz w:val="28"/>
          <w:szCs w:val="28"/>
          <w:lang w:val="en-US"/>
        </w:rPr>
        <w:t>(0.70</w:t>
      </w:r>
      <w:proofErr w:type="gramStart"/>
      <w:r w:rsidRPr="00F75B20">
        <w:rPr>
          <w:rFonts w:ascii="Traditional Arabic" w:hAnsi="Traditional Arabic" w:cs="Traditional Arabic"/>
          <w:sz w:val="28"/>
          <w:szCs w:val="28"/>
          <w:lang w:val="en-US"/>
        </w:rPr>
        <w:t>)</w:t>
      </w:r>
      <w:r w:rsidRPr="00F75B20">
        <w:rPr>
          <w:rFonts w:ascii="Traditional Arabic" w:hAnsi="Traditional Arabic" w:cs="Traditional Arabic"/>
          <w:sz w:val="28"/>
          <w:szCs w:val="28"/>
          <w:rtl/>
          <w:lang w:val="en-US"/>
        </w:rPr>
        <w:t>،</w:t>
      </w:r>
      <w:proofErr w:type="gramEnd"/>
      <w:r w:rsidRPr="00F75B20">
        <w:rPr>
          <w:rFonts w:ascii="Traditional Arabic" w:hAnsi="Traditional Arabic" w:cs="Traditional Arabic"/>
          <w:sz w:val="28"/>
          <w:szCs w:val="28"/>
          <w:rtl/>
          <w:lang w:val="en-US"/>
        </w:rPr>
        <w:t xml:space="preserve"> بل جاءت جميعها أعلى من </w:t>
      </w:r>
      <w:r w:rsidRPr="00F75B20">
        <w:rPr>
          <w:rFonts w:ascii="Traditional Arabic" w:hAnsi="Traditional Arabic" w:cs="Traditional Arabic"/>
          <w:sz w:val="28"/>
          <w:szCs w:val="28"/>
          <w:lang w:val="en-US"/>
        </w:rPr>
        <w:t>(0.89)</w:t>
      </w:r>
      <w:r w:rsidRPr="00F75B20">
        <w:rPr>
          <w:rFonts w:ascii="Traditional Arabic" w:hAnsi="Traditional Arabic" w:cs="Traditional Arabic"/>
          <w:sz w:val="28"/>
          <w:szCs w:val="28"/>
          <w:rtl/>
          <w:lang w:val="en-US"/>
        </w:rPr>
        <w:t>، وهو ما يعكس درجة مرتفعة من الاتساق الداخلي بين فقرات الأداة، ويؤكد تمتعها بدرجة عالية من الثبات، الأمر الذي يجعلها صالحة للتطبيق الميداني، ويعزز الثقة في النتائج التي سيتم التوصل إليها عند اختبار فرضيات الدراسة</w:t>
      </w:r>
      <w:r w:rsidRPr="00F75B20">
        <w:rPr>
          <w:rFonts w:ascii="Traditional Arabic" w:hAnsi="Traditional Arabic" w:cs="Traditional Arabic" w:hint="cs"/>
          <w:sz w:val="28"/>
          <w:szCs w:val="28"/>
          <w:rtl/>
          <w:lang w:val="en-US"/>
        </w:rPr>
        <w:t>.</w:t>
      </w:r>
    </w:p>
    <w:p w:rsidR="000B1966" w:rsidRPr="00F75B20" w:rsidRDefault="000B1966" w:rsidP="000B1966">
      <w:pPr>
        <w:bidi/>
        <w:spacing w:line="360" w:lineRule="auto"/>
        <w:jc w:val="both"/>
        <w:rPr>
          <w:rFonts w:ascii="Traditional Arabic" w:hAnsi="Traditional Arabic" w:cs="Traditional Arabic"/>
          <w:sz w:val="28"/>
          <w:szCs w:val="28"/>
          <w:lang w:val="en-US"/>
        </w:rPr>
      </w:pPr>
    </w:p>
    <w:p w:rsidR="000B1966" w:rsidRPr="00F75B20" w:rsidRDefault="000B1966" w:rsidP="000B1966">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3.10 إجراءات الدراسة</w:t>
      </w:r>
    </w:p>
    <w:p w:rsidR="000B1966" w:rsidRPr="00F75B20" w:rsidRDefault="000B1966"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اتبعت الباحثة مجموعة من الإجراءات العلمية والمنهجية لتنفيذ الدراسة الحالية، بما يضمن تحقيق أهدافها، وجمع البيانات اللازمة، وتحليلها بصورة دقيقة وموضوعية. وقد تمت إجراءات الدراسة وفق التسلسل الآتي</w:t>
      </w:r>
      <w:r w:rsidRPr="00F75B20">
        <w:rPr>
          <w:rFonts w:ascii="Traditional Arabic" w:hAnsi="Traditional Arabic" w:cs="Traditional Arabic"/>
          <w:sz w:val="28"/>
          <w:szCs w:val="28"/>
          <w:lang w:val="en-US"/>
        </w:rPr>
        <w:t>:</w:t>
      </w:r>
    </w:p>
    <w:p w:rsidR="000B1966" w:rsidRPr="00F75B20" w:rsidRDefault="000B1966" w:rsidP="000B1966">
      <w:pPr>
        <w:numPr>
          <w:ilvl w:val="0"/>
          <w:numId w:val="3"/>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تحديد مشكلة الدراسة وأهدافها وفرضياتها من خلال مراجعة الأدبيات العلمية والدراسات السابقة المتعلقة بنضج التخطيط الاستراتيجي والتكامل المؤسسي، وصياغة مشكلة الدراسة وأهدافها وفرضياتها في ضوء الفجوة البحثية</w:t>
      </w:r>
      <w:r w:rsidRPr="00F75B20">
        <w:rPr>
          <w:rFonts w:ascii="Traditional Arabic" w:hAnsi="Traditional Arabic" w:cs="Traditional Arabic"/>
          <w:sz w:val="28"/>
          <w:szCs w:val="28"/>
          <w:lang w:val="en-US"/>
        </w:rPr>
        <w:t xml:space="preserve">. </w:t>
      </w:r>
    </w:p>
    <w:p w:rsidR="000B1966" w:rsidRPr="00F75B20" w:rsidRDefault="000B1966" w:rsidP="000B1966">
      <w:pPr>
        <w:numPr>
          <w:ilvl w:val="0"/>
          <w:numId w:val="3"/>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إعداد الإطار النظري والدراسات السابقة بالرجوع إلى الكتب العلمية، والمقالات المحكمة، والدراسات العربية والأجنبية ذات العلاقة بمتغيرات الدراسة، بهدف بناء الأساس العلمي للدراسة وتحديد متغيراتها وأبعادها</w:t>
      </w:r>
      <w:r w:rsidRPr="00F75B20">
        <w:rPr>
          <w:rFonts w:ascii="Traditional Arabic" w:hAnsi="Traditional Arabic" w:cs="Traditional Arabic"/>
          <w:sz w:val="28"/>
          <w:szCs w:val="28"/>
          <w:lang w:val="en-US"/>
        </w:rPr>
        <w:t xml:space="preserve">. </w:t>
      </w:r>
    </w:p>
    <w:p w:rsidR="000B1966" w:rsidRPr="00F75B20" w:rsidRDefault="000B1966" w:rsidP="000B1966">
      <w:pPr>
        <w:numPr>
          <w:ilvl w:val="0"/>
          <w:numId w:val="3"/>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إعداد أداة الدراسة والمتمثلة في الاستبانة، وذلك بالاعتماد على الأدبيات العلمية والدراسات السابقة، مع إعادة صياغة الفقرات بما يتناسب مع طبيعة المنظمات التابعة لمجلس التعاون لدول الخليج العربية، ثم عرضها على مجموعة من المحكمين المتخصصين للتحقق من صدقها الظاهري، وإجراء التعديلات اللازمة في ضوء ملاحظاتهم، كما تم التحقق من صدق البناء وثبات الأداة باستخدام الأساليب الإحصائية المناسبة (</w:t>
      </w:r>
      <w:r w:rsidRPr="00F75B20">
        <w:rPr>
          <w:rFonts w:ascii="Traditional Arabic" w:hAnsi="Traditional Arabic" w:cs="Traditional Arabic"/>
          <w:sz w:val="28"/>
          <w:szCs w:val="28"/>
          <w:lang w:val="en-US"/>
        </w:rPr>
        <w:t>Creswell &amp; Creswell, 2023</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Hair et al., 2022</w:t>
      </w:r>
      <w:r w:rsidRPr="00F75B20">
        <w:rPr>
          <w:rFonts w:ascii="Traditional Arabic" w:hAnsi="Traditional Arabic" w:cs="Traditional Arabic"/>
          <w:sz w:val="28"/>
          <w:szCs w:val="28"/>
          <w:rtl/>
          <w:lang w:val="en-US"/>
        </w:rPr>
        <w:t>).</w:t>
      </w:r>
    </w:p>
    <w:p w:rsidR="000B1966" w:rsidRPr="00F75B20" w:rsidRDefault="000B1966" w:rsidP="000B1966">
      <w:pPr>
        <w:numPr>
          <w:ilvl w:val="0"/>
          <w:numId w:val="3"/>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الحصول على الموافقات الرسمية اللازمة لتطبيق الدراسة، والتنسيق مع الجهات المعنية في المنظمات التابعة لمجلس التعاون لدول الخليج العربية لتسهيل توزيع الاستبانة على أفراد مجتمع الدراسة</w:t>
      </w:r>
      <w:r w:rsidRPr="00F75B20">
        <w:rPr>
          <w:rFonts w:ascii="Traditional Arabic" w:hAnsi="Traditional Arabic" w:cs="Traditional Arabic"/>
          <w:sz w:val="28"/>
          <w:szCs w:val="28"/>
          <w:lang w:val="en-US"/>
        </w:rPr>
        <w:t xml:space="preserve">. </w:t>
      </w:r>
    </w:p>
    <w:p w:rsidR="000B1966" w:rsidRPr="00F75B20" w:rsidRDefault="000B1966" w:rsidP="000B1966">
      <w:pPr>
        <w:numPr>
          <w:ilvl w:val="0"/>
          <w:numId w:val="3"/>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lastRenderedPageBreak/>
        <w:t>تطبيق أسلوب التعداد الشامل، وذلك من خلال توجيه الاستبانة إلى جميع أفراد مجتمع الدراسة الذين تنطبق عليهم معايير المشاركة، باعتبارهم الفئات الوظيفية ذات العلاقة المباشرة بعمليات التخطيط الاستراتيجي والتكامل المؤسسي</w:t>
      </w:r>
      <w:r w:rsidRPr="00F75B20">
        <w:rPr>
          <w:rFonts w:ascii="Traditional Arabic" w:hAnsi="Traditional Arabic" w:cs="Traditional Arabic"/>
          <w:sz w:val="28"/>
          <w:szCs w:val="28"/>
          <w:lang w:val="en-US"/>
        </w:rPr>
        <w:t xml:space="preserve">. </w:t>
      </w:r>
    </w:p>
    <w:p w:rsidR="000B1966" w:rsidRPr="00F75B20" w:rsidRDefault="000B1966" w:rsidP="000B1966">
      <w:pPr>
        <w:numPr>
          <w:ilvl w:val="0"/>
          <w:numId w:val="3"/>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جمع الاستبانات ومراجعتها، حيث تمت مراجعة جميع الاستبانات المستلمة للتأكد من اكتمال بياناتها وصلاحيتها للتحليل الإحصائي، واستبعاد أي استبانة غير مكتملة أو غير صالحة للتحليل</w:t>
      </w:r>
      <w:r w:rsidRPr="00F75B20">
        <w:rPr>
          <w:rFonts w:ascii="Traditional Arabic" w:hAnsi="Traditional Arabic" w:cs="Traditional Arabic"/>
          <w:sz w:val="28"/>
          <w:szCs w:val="28"/>
          <w:lang w:val="en-US"/>
        </w:rPr>
        <w:t xml:space="preserve">. </w:t>
      </w:r>
    </w:p>
    <w:p w:rsidR="000B1966" w:rsidRPr="00F75B20" w:rsidRDefault="000B1966" w:rsidP="000B1966">
      <w:pPr>
        <w:numPr>
          <w:ilvl w:val="0"/>
          <w:numId w:val="3"/>
        </w:numPr>
        <w:bidi/>
        <w:spacing w:line="360" w:lineRule="auto"/>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ترميز</w:t>
      </w:r>
      <w:proofErr w:type="gramEnd"/>
      <w:r w:rsidRPr="00F75B20">
        <w:rPr>
          <w:rFonts w:ascii="Traditional Arabic" w:hAnsi="Traditional Arabic" w:cs="Traditional Arabic"/>
          <w:sz w:val="28"/>
          <w:szCs w:val="28"/>
          <w:rtl/>
          <w:lang w:val="en-US"/>
        </w:rPr>
        <w:t xml:space="preserve"> البيانات وإدخالها إلى برنامج الحزمة الإحصائية للعلوم الاجتماعية (</w:t>
      </w:r>
      <w:r w:rsidRPr="00F75B20">
        <w:rPr>
          <w:rFonts w:ascii="Traditional Arabic" w:hAnsi="Traditional Arabic" w:cs="Traditional Arabic"/>
          <w:sz w:val="28"/>
          <w:szCs w:val="28"/>
          <w:lang w:val="en-US"/>
        </w:rPr>
        <w:t>SPSS</w:t>
      </w:r>
      <w:r w:rsidRPr="00F75B20">
        <w:rPr>
          <w:rFonts w:ascii="Traditional Arabic" w:hAnsi="Traditional Arabic" w:cs="Traditional Arabic"/>
          <w:sz w:val="28"/>
          <w:szCs w:val="28"/>
          <w:rtl/>
          <w:lang w:val="en-US"/>
        </w:rPr>
        <w:t>)، تمهيدًا لإجراء المعالجات الإحصائية المناسبة للإجابة عن أسئلة الدراسة واختبار فرضياتها</w:t>
      </w:r>
      <w:r w:rsidRPr="00F75B20">
        <w:rPr>
          <w:rFonts w:ascii="Traditional Arabic" w:hAnsi="Traditional Arabic" w:cs="Traditional Arabic"/>
          <w:sz w:val="28"/>
          <w:szCs w:val="28"/>
          <w:lang w:val="en-US"/>
        </w:rPr>
        <w:t xml:space="preserve">. </w:t>
      </w:r>
    </w:p>
    <w:p w:rsidR="000B1966" w:rsidRPr="00F75B20" w:rsidRDefault="000B1966" w:rsidP="000B1966">
      <w:pPr>
        <w:numPr>
          <w:ilvl w:val="0"/>
          <w:numId w:val="3"/>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تحليل البيانات وتفسير النتائج في ضوء أهداف الدراسة والإطار النظري والدراسات السابقة، ثم استخلاص النتائج وصياغة التوصيات والمقترحات التي يمكن أن تسهم في تطوير ممارسات التخطيط الاستراتيجي وتعزيز التكامل المؤسسي في المنظمات التابعة لمجلس التعاون لدول الخليج العربية</w:t>
      </w:r>
      <w:r w:rsidRPr="00F75B20">
        <w:rPr>
          <w:rFonts w:ascii="Traditional Arabic" w:hAnsi="Traditional Arabic" w:cs="Traditional Arabic"/>
          <w:sz w:val="28"/>
          <w:szCs w:val="28"/>
          <w:lang w:val="en-US"/>
        </w:rPr>
        <w:t xml:space="preserve">. </w:t>
      </w:r>
    </w:p>
    <w:p w:rsidR="000B1966" w:rsidRPr="00F75B20" w:rsidRDefault="000B1966"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كما التزمت الباحثة بالاعتبارات الأخلاقية للبحث العلمي، حيث تم توضيح الهدف من الدراسة للمشاركين، والتأكيد على أن المشاركة اختيارية، وأن جميع البيانات ستعامل بسرية تامة، ولن تستخدم إلا لأغراض البحث العلمي، مع عدم الإفصاح عن هوية المشاركين أو الجهات التي يعملون بها، بما يضمن الحفاظ على خصوصية المعلومات والالتزام بأخلاقيات البحث العلمي (</w:t>
      </w:r>
      <w:r w:rsidRPr="00F75B20">
        <w:rPr>
          <w:rFonts w:ascii="Traditional Arabic" w:hAnsi="Traditional Arabic" w:cs="Traditional Arabic"/>
          <w:sz w:val="28"/>
          <w:szCs w:val="28"/>
          <w:lang w:val="en-US"/>
        </w:rPr>
        <w:t>Saunders et al.</w:t>
      </w:r>
      <w:proofErr w:type="gramStart"/>
      <w:r w:rsidRPr="00F75B20">
        <w:rPr>
          <w:rFonts w:ascii="Traditional Arabic" w:hAnsi="Traditional Arabic" w:cs="Traditional Arabic"/>
          <w:sz w:val="28"/>
          <w:szCs w:val="28"/>
          <w:lang w:val="en-US"/>
        </w:rPr>
        <w:t>, 2023</w:t>
      </w:r>
      <w:r w:rsidRPr="00F75B20">
        <w:rPr>
          <w:rFonts w:ascii="Traditional Arabic" w:hAnsi="Traditional Arabic" w:cs="Traditional Arabic"/>
          <w:sz w:val="28"/>
          <w:szCs w:val="28"/>
          <w:rtl/>
          <w:lang w:val="en-US"/>
        </w:rPr>
        <w:t>).</w:t>
      </w:r>
      <w:proofErr w:type="gramEnd"/>
    </w:p>
    <w:p w:rsidR="000B1966" w:rsidRPr="00F75B20" w:rsidRDefault="000B1966" w:rsidP="000B1966">
      <w:pPr>
        <w:bidi/>
        <w:spacing w:line="360" w:lineRule="auto"/>
        <w:jc w:val="both"/>
        <w:rPr>
          <w:rFonts w:ascii="Traditional Arabic" w:hAnsi="Traditional Arabic" w:cs="Traditional Arabic"/>
          <w:sz w:val="28"/>
          <w:szCs w:val="28"/>
          <w:lang w:val="en-US"/>
        </w:rPr>
      </w:pPr>
    </w:p>
    <w:p w:rsidR="00077D6F" w:rsidRPr="00F75B20" w:rsidRDefault="00077D6F" w:rsidP="00077D6F">
      <w:pPr>
        <w:bidi/>
        <w:spacing w:line="360" w:lineRule="auto"/>
        <w:jc w:val="both"/>
        <w:rPr>
          <w:rFonts w:ascii="Traditional Arabic" w:hAnsi="Traditional Arabic" w:cs="Traditional Arabic"/>
          <w:b/>
          <w:bCs/>
          <w:sz w:val="28"/>
          <w:szCs w:val="28"/>
          <w:rtl/>
          <w:lang w:val="en-US"/>
        </w:rPr>
      </w:pPr>
      <w:r w:rsidRPr="00F75B20">
        <w:rPr>
          <w:rFonts w:ascii="Traditional Arabic" w:hAnsi="Traditional Arabic" w:cs="Traditional Arabic"/>
          <w:b/>
          <w:bCs/>
          <w:sz w:val="28"/>
          <w:szCs w:val="28"/>
          <w:rtl/>
          <w:lang w:val="en-US"/>
        </w:rPr>
        <w:t>3.11 الأساليب الإحصائية المستخدمة</w:t>
      </w:r>
    </w:p>
    <w:p w:rsidR="00077D6F" w:rsidRPr="00F75B20" w:rsidRDefault="000B1966" w:rsidP="00077D6F">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 xml:space="preserve">بعد الانتهاء من </w:t>
      </w:r>
      <w:r w:rsidR="00077D6F" w:rsidRPr="00F75B20">
        <w:rPr>
          <w:rFonts w:ascii="Traditional Arabic" w:hAnsi="Traditional Arabic" w:cs="Traditional Arabic"/>
          <w:sz w:val="28"/>
          <w:szCs w:val="28"/>
          <w:rtl/>
          <w:lang w:val="en-US"/>
        </w:rPr>
        <w:t>جمع بيانات الدراسة، ومراجعة الاستبانات والتأكد من صلاحيتها للتحليل الإحصائي، تم ترميز البيانات وإدخالها إلى برنامج الحزمة الإحصائية للعلوم الاجتماعية</w:t>
      </w:r>
      <w:r w:rsidR="00077D6F" w:rsidRPr="00F75B20">
        <w:rPr>
          <w:rFonts w:ascii="Traditional Arabic" w:hAnsi="Traditional Arabic" w:cs="Traditional Arabic"/>
          <w:sz w:val="28"/>
          <w:szCs w:val="28"/>
          <w:lang w:val="en-US"/>
        </w:rPr>
        <w:t xml:space="preserve"> (Statistical Package for the Social Sciences - SPSS) </w:t>
      </w:r>
      <w:r w:rsidR="00077D6F" w:rsidRPr="00F75B20">
        <w:rPr>
          <w:rFonts w:ascii="Traditional Arabic" w:hAnsi="Traditional Arabic" w:cs="Traditional Arabic"/>
          <w:sz w:val="28"/>
          <w:szCs w:val="28"/>
          <w:rtl/>
          <w:lang w:val="en-US"/>
        </w:rPr>
        <w:t xml:space="preserve">الإصدار (29)، بهدف إجراء المعالجات الإحصائية المناسبة للإجابة عن أسئلة الدراسة واختبار فرضياتها. وقد تم اختيار الأساليب </w:t>
      </w:r>
      <w:r w:rsidR="00077D6F" w:rsidRPr="00F75B20">
        <w:rPr>
          <w:rFonts w:ascii="Traditional Arabic" w:hAnsi="Traditional Arabic" w:cs="Traditional Arabic"/>
          <w:sz w:val="28"/>
          <w:szCs w:val="28"/>
          <w:rtl/>
          <w:lang w:val="en-US"/>
        </w:rPr>
        <w:lastRenderedPageBreak/>
        <w:t>الإحصائية بما يتوافق مع طبيعة الدراسة، ومستوى قياس متغيراتها، وأهدافها، وفرضياتها، وذلك استنادًا إلى ما أوصت به الأدبيات المنهجية في الدراسات الكمية (</w:t>
      </w:r>
      <w:r w:rsidR="00077D6F" w:rsidRPr="00F75B20">
        <w:rPr>
          <w:rFonts w:ascii="Traditional Arabic" w:hAnsi="Traditional Arabic" w:cs="Traditional Arabic"/>
          <w:sz w:val="28"/>
          <w:szCs w:val="28"/>
          <w:lang w:val="en-US"/>
        </w:rPr>
        <w:t>Hair et al.</w:t>
      </w:r>
      <w:proofErr w:type="gramStart"/>
      <w:r w:rsidR="00077D6F" w:rsidRPr="00F75B20">
        <w:rPr>
          <w:rFonts w:ascii="Traditional Arabic" w:hAnsi="Traditional Arabic" w:cs="Traditional Arabic"/>
          <w:sz w:val="28"/>
          <w:szCs w:val="28"/>
          <w:lang w:val="en-US"/>
        </w:rPr>
        <w:t>, 2022</w:t>
      </w:r>
      <w:r w:rsidR="00077D6F" w:rsidRPr="00F75B20">
        <w:rPr>
          <w:rFonts w:ascii="Traditional Arabic" w:hAnsi="Traditional Arabic" w:cs="Traditional Arabic"/>
          <w:sz w:val="28"/>
          <w:szCs w:val="28"/>
          <w:rtl/>
          <w:lang w:val="en-US"/>
        </w:rPr>
        <w:t xml:space="preserve">؛ </w:t>
      </w:r>
      <w:r w:rsidR="00077D6F" w:rsidRPr="00F75B20">
        <w:rPr>
          <w:rFonts w:ascii="Traditional Arabic" w:hAnsi="Traditional Arabic" w:cs="Traditional Arabic"/>
          <w:sz w:val="28"/>
          <w:szCs w:val="28"/>
          <w:lang w:val="en-US"/>
        </w:rPr>
        <w:t>Saunders et al., 2023</w:t>
      </w:r>
      <w:r w:rsidR="00077D6F" w:rsidRPr="00F75B20">
        <w:rPr>
          <w:rFonts w:ascii="Traditional Arabic" w:hAnsi="Traditional Arabic" w:cs="Traditional Arabic"/>
          <w:sz w:val="28"/>
          <w:szCs w:val="28"/>
          <w:rtl/>
          <w:lang w:val="en-US"/>
        </w:rPr>
        <w:t>).</w:t>
      </w:r>
      <w:proofErr w:type="gramEnd"/>
    </w:p>
    <w:p w:rsidR="00077D6F" w:rsidRPr="00F75B20" w:rsidRDefault="00077D6F" w:rsidP="00077D6F">
      <w:pPr>
        <w:bidi/>
        <w:spacing w:line="360" w:lineRule="auto"/>
        <w:jc w:val="both"/>
        <w:rPr>
          <w:rFonts w:ascii="Traditional Arabic" w:hAnsi="Traditional Arabic" w:cs="Traditional Arabic"/>
          <w:sz w:val="28"/>
          <w:szCs w:val="28"/>
          <w:rtl/>
          <w:lang w:val="en-US"/>
        </w:rPr>
      </w:pPr>
      <w:r w:rsidRPr="00F75B20">
        <w:rPr>
          <w:rFonts w:ascii="Traditional Arabic" w:hAnsi="Traditional Arabic" w:cs="Traditional Arabic"/>
          <w:sz w:val="28"/>
          <w:szCs w:val="28"/>
          <w:rtl/>
          <w:lang w:val="en-US"/>
        </w:rPr>
        <w:t>واستخدمت الدراسة الأساليب الإحصائية الآتية:</w:t>
      </w:r>
    </w:p>
    <w:p w:rsidR="000B1966" w:rsidRPr="00F75B20" w:rsidRDefault="000B1966" w:rsidP="00077D6F">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التكرارات </w:t>
      </w:r>
      <w:r w:rsidR="00077D6F" w:rsidRPr="00F75B20">
        <w:rPr>
          <w:rFonts w:ascii="Traditional Arabic" w:hAnsi="Traditional Arabic" w:cs="Traditional Arabic"/>
          <w:sz w:val="28"/>
          <w:szCs w:val="28"/>
          <w:rtl/>
          <w:lang w:val="en-US"/>
        </w:rPr>
        <w:t>والنسب المئوية (</w:t>
      </w:r>
      <w:r w:rsidR="00077D6F" w:rsidRPr="00F75B20">
        <w:rPr>
          <w:rFonts w:ascii="Traditional Arabic" w:hAnsi="Traditional Arabic" w:cs="Traditional Arabic"/>
          <w:sz w:val="28"/>
          <w:szCs w:val="28"/>
          <w:lang w:val="en-US"/>
        </w:rPr>
        <w:t>Frequencies and Percentages</w:t>
      </w:r>
      <w:r w:rsidR="00077D6F" w:rsidRPr="00F75B20">
        <w:rPr>
          <w:rFonts w:ascii="Traditional Arabic" w:hAnsi="Traditional Arabic" w:cs="Traditional Arabic"/>
          <w:sz w:val="28"/>
          <w:szCs w:val="28"/>
          <w:rtl/>
          <w:lang w:val="en-US"/>
        </w:rPr>
        <w:t>)؛ لوصف الخصائص الديموغرافية والوظيفية لأفراد مجتمع الدراسة، مثل الجنس، والعمر، والمؤهل العلمي، وسنوات الخبرة، والمسمى الوظيفي، والمنظمة التي ينتمي إليها المشارك.</w:t>
      </w:r>
    </w:p>
    <w:p w:rsidR="000B1966" w:rsidRPr="00F75B20" w:rsidRDefault="000B1966"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المتوسطات الحسابية </w:t>
      </w:r>
      <w:r w:rsidR="00077D6F" w:rsidRPr="00F75B20">
        <w:rPr>
          <w:rFonts w:ascii="Traditional Arabic" w:hAnsi="Traditional Arabic" w:cs="Traditional Arabic"/>
          <w:sz w:val="28"/>
          <w:szCs w:val="28"/>
          <w:rtl/>
          <w:lang w:val="en-US"/>
        </w:rPr>
        <w:t>والانحرافات المعيارية (</w:t>
      </w:r>
      <w:r w:rsidR="00077D6F" w:rsidRPr="00F75B20">
        <w:rPr>
          <w:rFonts w:ascii="Traditional Arabic" w:hAnsi="Traditional Arabic" w:cs="Traditional Arabic"/>
          <w:sz w:val="28"/>
          <w:szCs w:val="28"/>
          <w:lang w:val="en-US"/>
        </w:rPr>
        <w:t>Means and Standard Deviations</w:t>
      </w:r>
      <w:r w:rsidR="00077D6F" w:rsidRPr="00F75B20">
        <w:rPr>
          <w:rFonts w:ascii="Traditional Arabic" w:hAnsi="Traditional Arabic" w:cs="Traditional Arabic"/>
          <w:sz w:val="28"/>
          <w:szCs w:val="28"/>
          <w:rtl/>
          <w:lang w:val="en-US"/>
        </w:rPr>
        <w:t xml:space="preserve">)؛ للتعرف إلى مستوى نضج التخطيط الاستراتيجي </w:t>
      </w:r>
      <w:r w:rsidRPr="00F75B20">
        <w:rPr>
          <w:rFonts w:ascii="Traditional Arabic" w:hAnsi="Traditional Arabic" w:cs="Traditional Arabic"/>
          <w:sz w:val="28"/>
          <w:szCs w:val="28"/>
          <w:rtl/>
          <w:lang w:val="en-US"/>
        </w:rPr>
        <w:t xml:space="preserve">ومستوى التكامل المؤسسي، وترتيب أبعاد المتغير المستقل وفقًا </w:t>
      </w:r>
      <w:proofErr w:type="spellStart"/>
      <w:r w:rsidRPr="00F75B20">
        <w:rPr>
          <w:rFonts w:ascii="Traditional Arabic" w:hAnsi="Traditional Arabic" w:cs="Traditional Arabic"/>
          <w:sz w:val="28"/>
          <w:szCs w:val="28"/>
          <w:rtl/>
          <w:lang w:val="en-US"/>
        </w:rPr>
        <w:t>لمتوسطاتها</w:t>
      </w:r>
      <w:proofErr w:type="spellEnd"/>
      <w:r w:rsidRPr="00F75B20">
        <w:rPr>
          <w:rFonts w:ascii="Traditional Arabic" w:hAnsi="Traditional Arabic" w:cs="Traditional Arabic"/>
          <w:sz w:val="28"/>
          <w:szCs w:val="28"/>
          <w:rtl/>
          <w:lang w:val="en-US"/>
        </w:rPr>
        <w:t xml:space="preserve"> الحسابية</w:t>
      </w:r>
      <w:r w:rsidRPr="00F75B20">
        <w:rPr>
          <w:rFonts w:ascii="Traditional Arabic" w:hAnsi="Traditional Arabic" w:cs="Traditional Arabic"/>
          <w:sz w:val="28"/>
          <w:szCs w:val="28"/>
          <w:lang w:val="en-US"/>
        </w:rPr>
        <w:t>.</w:t>
      </w:r>
    </w:p>
    <w:p w:rsidR="000B1966" w:rsidRPr="00F75B20" w:rsidRDefault="000B1966"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معامل ارتباط </w:t>
      </w:r>
      <w:r w:rsidR="00077D6F" w:rsidRPr="00F75B20">
        <w:rPr>
          <w:rFonts w:ascii="Traditional Arabic" w:hAnsi="Traditional Arabic" w:cs="Traditional Arabic"/>
          <w:sz w:val="28"/>
          <w:szCs w:val="28"/>
          <w:rtl/>
          <w:lang w:val="en-US"/>
        </w:rPr>
        <w:t>بيرسون (</w:t>
      </w:r>
      <w:r w:rsidR="00077D6F" w:rsidRPr="00F75B20">
        <w:rPr>
          <w:rFonts w:ascii="Traditional Arabic" w:hAnsi="Traditional Arabic" w:cs="Traditional Arabic"/>
          <w:sz w:val="28"/>
          <w:szCs w:val="28"/>
          <w:lang w:val="en-US"/>
        </w:rPr>
        <w:t>Pearson Correlation Coefficient</w:t>
      </w:r>
      <w:r w:rsidR="00077D6F" w:rsidRPr="00F75B20">
        <w:rPr>
          <w:rFonts w:ascii="Traditional Arabic" w:hAnsi="Traditional Arabic" w:cs="Traditional Arabic"/>
          <w:sz w:val="28"/>
          <w:szCs w:val="28"/>
          <w:rtl/>
          <w:lang w:val="en-US"/>
        </w:rPr>
        <w:t xml:space="preserve">)؛ للتحقق من صدق البناء لأداة الدراسة، من خلال قياس </w:t>
      </w:r>
      <w:r w:rsidRPr="00F75B20">
        <w:rPr>
          <w:rFonts w:ascii="Traditional Arabic" w:hAnsi="Traditional Arabic" w:cs="Traditional Arabic"/>
          <w:sz w:val="28"/>
          <w:szCs w:val="28"/>
          <w:rtl/>
          <w:lang w:val="en-US"/>
        </w:rPr>
        <w:t>معاملات الارتباط بين الفقرات والأبعاد التي تنتمي إليها، وكذلك بين الأبعاد والدرجة الكلية للمتغيرات</w:t>
      </w:r>
      <w:r w:rsidRPr="00F75B20">
        <w:rPr>
          <w:rFonts w:ascii="Traditional Arabic" w:hAnsi="Traditional Arabic" w:cs="Traditional Arabic"/>
          <w:sz w:val="28"/>
          <w:szCs w:val="28"/>
          <w:lang w:val="en-US"/>
        </w:rPr>
        <w:t>.</w:t>
      </w:r>
    </w:p>
    <w:p w:rsidR="000B1966" w:rsidRPr="00F75B20" w:rsidRDefault="000B1966"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معامل </w:t>
      </w:r>
      <w:r w:rsidR="00077D6F" w:rsidRPr="00F75B20">
        <w:rPr>
          <w:rFonts w:ascii="Traditional Arabic" w:hAnsi="Traditional Arabic" w:cs="Traditional Arabic"/>
          <w:sz w:val="28"/>
          <w:szCs w:val="28"/>
          <w:rtl/>
          <w:lang w:val="en-US"/>
        </w:rPr>
        <w:t>كرونباخ ألفا (</w:t>
      </w:r>
      <w:proofErr w:type="spellStart"/>
      <w:r w:rsidR="00077D6F" w:rsidRPr="00F75B20">
        <w:rPr>
          <w:rFonts w:ascii="Traditional Arabic" w:hAnsi="Traditional Arabic" w:cs="Traditional Arabic"/>
          <w:sz w:val="28"/>
          <w:szCs w:val="28"/>
          <w:lang w:val="en-US"/>
        </w:rPr>
        <w:t>Cronbach's</w:t>
      </w:r>
      <w:proofErr w:type="spellEnd"/>
      <w:r w:rsidR="00077D6F" w:rsidRPr="00F75B20">
        <w:rPr>
          <w:rFonts w:ascii="Traditional Arabic" w:hAnsi="Traditional Arabic" w:cs="Traditional Arabic"/>
          <w:sz w:val="28"/>
          <w:szCs w:val="28"/>
          <w:lang w:val="en-US"/>
        </w:rPr>
        <w:t xml:space="preserve"> Alpha</w:t>
      </w:r>
      <w:r w:rsidR="00077D6F" w:rsidRPr="00F75B20">
        <w:rPr>
          <w:rFonts w:ascii="Traditional Arabic" w:hAnsi="Traditional Arabic" w:cs="Traditional Arabic"/>
          <w:sz w:val="28"/>
          <w:szCs w:val="28"/>
          <w:rtl/>
          <w:lang w:val="en-US"/>
        </w:rPr>
        <w:t>)؛ للتحقق من ثبات أداة الدراسة وقياس الاتساق الداخلي لفقراتها.</w:t>
      </w:r>
    </w:p>
    <w:p w:rsidR="000B1966" w:rsidRPr="00F75B20" w:rsidRDefault="000B1966"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اختبار </w:t>
      </w:r>
      <w:r w:rsidR="00077D6F" w:rsidRPr="00F75B20">
        <w:rPr>
          <w:rFonts w:ascii="Traditional Arabic" w:hAnsi="Traditional Arabic" w:cs="Traditional Arabic"/>
          <w:sz w:val="28"/>
          <w:szCs w:val="28"/>
          <w:rtl/>
          <w:lang w:val="en-US"/>
        </w:rPr>
        <w:t>الانحدار الخطي المتعدد (</w:t>
      </w:r>
      <w:r w:rsidR="00077D6F" w:rsidRPr="00F75B20">
        <w:rPr>
          <w:rFonts w:ascii="Traditional Arabic" w:hAnsi="Traditional Arabic" w:cs="Traditional Arabic"/>
          <w:sz w:val="28"/>
          <w:szCs w:val="28"/>
          <w:lang w:val="en-US"/>
        </w:rPr>
        <w:t>Multiple Linear Regression</w:t>
      </w:r>
      <w:r w:rsidR="00077D6F" w:rsidRPr="00F75B20">
        <w:rPr>
          <w:rFonts w:ascii="Traditional Arabic" w:hAnsi="Traditional Arabic" w:cs="Traditional Arabic"/>
          <w:sz w:val="28"/>
          <w:szCs w:val="28"/>
          <w:rtl/>
          <w:lang w:val="en-US"/>
        </w:rPr>
        <w:t xml:space="preserve">)؛ لاختبار الفرضية الرئيسة للدراسة، وقياس أثر أبعاد نضج التخطيط الاستراتيجي مجتمعة في تعزيز </w:t>
      </w:r>
      <w:r w:rsidRPr="00F75B20">
        <w:rPr>
          <w:rFonts w:ascii="Traditional Arabic" w:hAnsi="Traditional Arabic" w:cs="Traditional Arabic"/>
          <w:sz w:val="28"/>
          <w:szCs w:val="28"/>
          <w:rtl/>
          <w:lang w:val="en-US"/>
        </w:rPr>
        <w:t>التكامل المؤسسي، وكذلك تحديد مقدار مساهمة كل بعد من أبعاد المتغير المستقل في تفسير التباين في المتغير التابع</w:t>
      </w:r>
      <w:r w:rsidRPr="00F75B20">
        <w:rPr>
          <w:rFonts w:ascii="Traditional Arabic" w:hAnsi="Traditional Arabic" w:cs="Traditional Arabic"/>
          <w:sz w:val="28"/>
          <w:szCs w:val="28"/>
          <w:lang w:val="en-US"/>
        </w:rPr>
        <w:t>.</w:t>
      </w:r>
    </w:p>
    <w:p w:rsidR="000B1966" w:rsidRPr="00F75B20" w:rsidRDefault="000B1966"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معامل </w:t>
      </w:r>
      <w:r w:rsidR="00077D6F" w:rsidRPr="00F75B20">
        <w:rPr>
          <w:rFonts w:ascii="Traditional Arabic" w:hAnsi="Traditional Arabic" w:cs="Traditional Arabic"/>
          <w:sz w:val="28"/>
          <w:szCs w:val="28"/>
          <w:rtl/>
          <w:lang w:val="en-US"/>
        </w:rPr>
        <w:t>التحديد (</w:t>
      </w:r>
      <w:r w:rsidR="00077D6F" w:rsidRPr="00F75B20">
        <w:rPr>
          <w:rFonts w:ascii="Traditional Arabic" w:hAnsi="Traditional Arabic" w:cs="Traditional Arabic"/>
          <w:sz w:val="28"/>
          <w:szCs w:val="28"/>
          <w:lang w:val="en-US"/>
        </w:rPr>
        <w:t xml:space="preserve">Coefficient of Determination - </w:t>
      </w:r>
      <w:proofErr w:type="spellStart"/>
      <w:r w:rsidR="00077D6F" w:rsidRPr="00F75B20">
        <w:rPr>
          <w:rFonts w:ascii="Traditional Arabic" w:hAnsi="Traditional Arabic" w:cs="Traditional Arabic"/>
          <w:sz w:val="28"/>
          <w:szCs w:val="28"/>
          <w:lang w:val="en-US"/>
        </w:rPr>
        <w:t>R²</w:t>
      </w:r>
      <w:proofErr w:type="spellEnd"/>
      <w:r w:rsidR="00077D6F" w:rsidRPr="00F75B20">
        <w:rPr>
          <w:rFonts w:ascii="Traditional Arabic" w:hAnsi="Traditional Arabic" w:cs="Traditional Arabic"/>
          <w:sz w:val="28"/>
          <w:szCs w:val="28"/>
          <w:rtl/>
          <w:lang w:val="en-US"/>
        </w:rPr>
        <w:t xml:space="preserve">)؛ لتحديد نسبة التباين في التكامل المؤسسي التي يمكن تفسيرها من خلال أبعاد نضج التخطيط </w:t>
      </w:r>
      <w:r w:rsidRPr="00F75B20">
        <w:rPr>
          <w:rFonts w:ascii="Traditional Arabic" w:hAnsi="Traditional Arabic" w:cs="Traditional Arabic"/>
          <w:sz w:val="28"/>
          <w:szCs w:val="28"/>
          <w:rtl/>
          <w:lang w:val="en-US"/>
        </w:rPr>
        <w:t>الاستراتيجي</w:t>
      </w:r>
      <w:r w:rsidRPr="00F75B20">
        <w:rPr>
          <w:rFonts w:ascii="Traditional Arabic" w:hAnsi="Traditional Arabic" w:cs="Traditional Arabic"/>
          <w:sz w:val="28"/>
          <w:szCs w:val="28"/>
          <w:lang w:val="en-US"/>
        </w:rPr>
        <w:t>.</w:t>
      </w:r>
    </w:p>
    <w:p w:rsidR="000B1966" w:rsidRPr="00F75B20" w:rsidRDefault="00077D6F"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اختبار (</w:t>
      </w:r>
      <w:r w:rsidRPr="00F75B20">
        <w:rPr>
          <w:rFonts w:ascii="Traditional Arabic" w:hAnsi="Traditional Arabic" w:cs="Traditional Arabic"/>
          <w:sz w:val="28"/>
          <w:szCs w:val="28"/>
          <w:lang w:val="en-US"/>
        </w:rPr>
        <w:t>F</w:t>
      </w:r>
      <w:r w:rsidRPr="00F75B20">
        <w:rPr>
          <w:rFonts w:ascii="Traditional Arabic" w:hAnsi="Traditional Arabic" w:cs="Traditional Arabic"/>
          <w:sz w:val="28"/>
          <w:szCs w:val="28"/>
          <w:rtl/>
          <w:lang w:val="en-US"/>
        </w:rPr>
        <w:t xml:space="preserve">)؛ للتحقق </w:t>
      </w:r>
      <w:r w:rsidR="000B1966" w:rsidRPr="00F75B20">
        <w:rPr>
          <w:rFonts w:ascii="Traditional Arabic" w:hAnsi="Traditional Arabic" w:cs="Traditional Arabic"/>
          <w:sz w:val="28"/>
          <w:szCs w:val="28"/>
          <w:rtl/>
          <w:lang w:val="en-US"/>
        </w:rPr>
        <w:t>من معنوية نموذج الانحدار ومدى صلاحيته لتفسير العلاقة بين المتغيرات</w:t>
      </w:r>
      <w:r w:rsidR="000B1966" w:rsidRPr="00F75B20">
        <w:rPr>
          <w:rFonts w:ascii="Traditional Arabic" w:hAnsi="Traditional Arabic" w:cs="Traditional Arabic"/>
          <w:sz w:val="28"/>
          <w:szCs w:val="28"/>
          <w:lang w:val="en-US"/>
        </w:rPr>
        <w:t>.</w:t>
      </w:r>
    </w:p>
    <w:p w:rsidR="000B1966" w:rsidRPr="00F75B20" w:rsidRDefault="000B1966"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lastRenderedPageBreak/>
        <w:t xml:space="preserve">معاملات </w:t>
      </w:r>
      <w:r w:rsidR="00077D6F" w:rsidRPr="00F75B20">
        <w:rPr>
          <w:rFonts w:ascii="Traditional Arabic" w:hAnsi="Traditional Arabic" w:cs="Traditional Arabic"/>
          <w:sz w:val="28"/>
          <w:szCs w:val="28"/>
          <w:rtl/>
          <w:lang w:val="en-US"/>
        </w:rPr>
        <w:t>الانحدار المعيارية (</w:t>
      </w:r>
      <w:r w:rsidR="00077D6F" w:rsidRPr="00F75B20">
        <w:rPr>
          <w:rFonts w:ascii="Traditional Arabic" w:hAnsi="Traditional Arabic" w:cs="Traditional Arabic"/>
          <w:sz w:val="28"/>
          <w:szCs w:val="28"/>
          <w:lang w:val="en-US"/>
        </w:rPr>
        <w:t>Standardized Beta Coefficients</w:t>
      </w:r>
      <w:r w:rsidR="00077D6F" w:rsidRPr="00F75B20">
        <w:rPr>
          <w:rFonts w:ascii="Traditional Arabic" w:hAnsi="Traditional Arabic" w:cs="Traditional Arabic"/>
          <w:sz w:val="28"/>
          <w:szCs w:val="28"/>
          <w:rtl/>
          <w:lang w:val="en-US"/>
        </w:rPr>
        <w:t xml:space="preserve">)؛ لتحديد </w:t>
      </w:r>
      <w:r w:rsidRPr="00F75B20">
        <w:rPr>
          <w:rFonts w:ascii="Traditional Arabic" w:hAnsi="Traditional Arabic" w:cs="Traditional Arabic"/>
          <w:sz w:val="28"/>
          <w:szCs w:val="28"/>
          <w:rtl/>
          <w:lang w:val="en-US"/>
        </w:rPr>
        <w:t>قوة واتجاه تأثير كل بعد من أبعاد نضج التخطيط الاستراتيجي في التكامل المؤسسي، وترتيب الأبعاد وفقًا لأهميتها النسبية في تفسير المتغير التابع</w:t>
      </w:r>
      <w:r w:rsidRPr="00F75B20">
        <w:rPr>
          <w:rFonts w:ascii="Traditional Arabic" w:hAnsi="Traditional Arabic" w:cs="Traditional Arabic"/>
          <w:sz w:val="28"/>
          <w:szCs w:val="28"/>
          <w:lang w:val="en-US"/>
        </w:rPr>
        <w:t>.</w:t>
      </w:r>
    </w:p>
    <w:p w:rsidR="000B1966" w:rsidRPr="00F75B20" w:rsidRDefault="000B1966" w:rsidP="00077D6F">
      <w:pPr>
        <w:numPr>
          <w:ilvl w:val="0"/>
          <w:numId w:val="4"/>
        </w:num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مستوى </w:t>
      </w:r>
      <w:r w:rsidR="00077D6F" w:rsidRPr="00F75B20">
        <w:rPr>
          <w:rFonts w:ascii="Traditional Arabic" w:hAnsi="Traditional Arabic" w:cs="Traditional Arabic"/>
          <w:sz w:val="28"/>
          <w:szCs w:val="28"/>
          <w:rtl/>
          <w:lang w:val="en-US"/>
        </w:rPr>
        <w:t>الدلالة الإحصائية (</w:t>
      </w:r>
      <w:r w:rsidR="00077D6F" w:rsidRPr="00F75B20">
        <w:rPr>
          <w:rFonts w:ascii="Times New Roman" w:hAnsi="Times New Roman" w:cs="Times New Roman"/>
          <w:sz w:val="28"/>
          <w:szCs w:val="28"/>
          <w:lang w:val="en-US"/>
        </w:rPr>
        <w:t>α</w:t>
      </w:r>
      <w:r w:rsidR="00077D6F" w:rsidRPr="00F75B20">
        <w:rPr>
          <w:rFonts w:ascii="Traditional Arabic" w:hAnsi="Traditional Arabic" w:cs="Traditional Arabic"/>
          <w:sz w:val="28"/>
          <w:szCs w:val="28"/>
          <w:lang w:val="en-US"/>
        </w:rPr>
        <w:t xml:space="preserve"> </w:t>
      </w:r>
      <w:r w:rsidR="00077D6F" w:rsidRPr="00F75B20">
        <w:rPr>
          <w:rFonts w:ascii="Times New Roman" w:hAnsi="Times New Roman" w:cs="Times New Roman"/>
          <w:sz w:val="28"/>
          <w:szCs w:val="28"/>
          <w:lang w:val="en-US"/>
        </w:rPr>
        <w:t>≤</w:t>
      </w:r>
      <w:r w:rsidR="00077D6F" w:rsidRPr="00F75B20">
        <w:rPr>
          <w:rFonts w:ascii="Traditional Arabic" w:hAnsi="Traditional Arabic" w:cs="Traditional Arabic"/>
          <w:sz w:val="28"/>
          <w:szCs w:val="28"/>
          <w:lang w:val="en-US"/>
        </w:rPr>
        <w:t xml:space="preserve"> 0.05</w:t>
      </w:r>
      <w:proofErr w:type="gramStart"/>
      <w:r w:rsidR="00077D6F" w:rsidRPr="00F75B20">
        <w:rPr>
          <w:rFonts w:ascii="Traditional Arabic" w:hAnsi="Traditional Arabic" w:cs="Traditional Arabic"/>
          <w:sz w:val="28"/>
          <w:szCs w:val="28"/>
          <w:rtl/>
          <w:lang w:val="en-US"/>
        </w:rPr>
        <w:t>)؛</w:t>
      </w:r>
      <w:proofErr w:type="gramEnd"/>
      <w:r w:rsidR="00077D6F" w:rsidRPr="00F75B20">
        <w:rPr>
          <w:rFonts w:ascii="Traditional Arabic" w:hAnsi="Traditional Arabic" w:cs="Traditional Arabic"/>
          <w:sz w:val="28"/>
          <w:szCs w:val="28"/>
          <w:rtl/>
          <w:lang w:val="en-US"/>
        </w:rPr>
        <w:t xml:space="preserve"> للحكم على معنوية النتائج الإحصائية، واتخاذ القرار بشأن قبول أو رفض فرضيات الدراسة.</w:t>
      </w:r>
    </w:p>
    <w:p w:rsidR="000B1966" w:rsidRPr="00F75B20" w:rsidRDefault="000B1966" w:rsidP="000B1966">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ولتوضيح العلاقة </w:t>
      </w:r>
      <w:proofErr w:type="gramStart"/>
      <w:r w:rsidRPr="00F75B20">
        <w:rPr>
          <w:rFonts w:ascii="Traditional Arabic" w:hAnsi="Traditional Arabic" w:cs="Traditional Arabic"/>
          <w:sz w:val="28"/>
          <w:szCs w:val="28"/>
          <w:rtl/>
          <w:lang w:val="en-US"/>
        </w:rPr>
        <w:t>بين</w:t>
      </w:r>
      <w:proofErr w:type="gramEnd"/>
      <w:r w:rsidRPr="00F75B20">
        <w:rPr>
          <w:rFonts w:ascii="Traditional Arabic" w:hAnsi="Traditional Arabic" w:cs="Traditional Arabic"/>
          <w:sz w:val="28"/>
          <w:szCs w:val="28"/>
          <w:rtl/>
          <w:lang w:val="en-US"/>
        </w:rPr>
        <w:t xml:space="preserve"> أهداف الدراسة والأساليب الإحصائية المستخدمة لتحقيقها، يبين الجدول (3-7) الأساليب الإحصائية التي اعتمدت عليها الدراسة</w:t>
      </w:r>
      <w:r w:rsidRPr="00F75B20">
        <w:rPr>
          <w:rFonts w:ascii="Traditional Arabic" w:hAnsi="Traditional Arabic" w:cs="Traditional Arabic"/>
          <w:sz w:val="28"/>
          <w:szCs w:val="28"/>
          <w:lang w:val="en-US"/>
        </w:rPr>
        <w:t>.</w:t>
      </w:r>
    </w:p>
    <w:p w:rsidR="000B1966" w:rsidRPr="00F75B20" w:rsidRDefault="000B1966" w:rsidP="00077D6F">
      <w:pPr>
        <w:bidi/>
        <w:spacing w:after="0" w:line="240" w:lineRule="auto"/>
        <w:jc w:val="center"/>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 xml:space="preserve">جدول (3-7) الأساليب الإحصائية المستخدمة لتحقيق أهداف الدراسة </w:t>
      </w:r>
      <w:proofErr w:type="gramStart"/>
      <w:r w:rsidRPr="00F75B20">
        <w:rPr>
          <w:rFonts w:ascii="Traditional Arabic" w:hAnsi="Traditional Arabic" w:cs="Traditional Arabic"/>
          <w:b/>
          <w:bCs/>
          <w:sz w:val="28"/>
          <w:szCs w:val="28"/>
          <w:rtl/>
          <w:lang w:val="en-US"/>
        </w:rPr>
        <w:t>واختبار</w:t>
      </w:r>
      <w:proofErr w:type="gramEnd"/>
      <w:r w:rsidRPr="00F75B20">
        <w:rPr>
          <w:rFonts w:ascii="Traditional Arabic" w:hAnsi="Traditional Arabic" w:cs="Traditional Arabic"/>
          <w:b/>
          <w:bCs/>
          <w:sz w:val="28"/>
          <w:szCs w:val="28"/>
          <w:rtl/>
          <w:lang w:val="en-US"/>
        </w:rPr>
        <w:t xml:space="preserve"> فرضياتها</w:t>
      </w:r>
    </w:p>
    <w:tbl>
      <w:tblPr>
        <w:tblStyle w:val="a3"/>
        <w:bidiVisual/>
        <w:tblW w:w="5000" w:type="pct"/>
        <w:tblLook w:val="04A0" w:firstRow="1" w:lastRow="0" w:firstColumn="1" w:lastColumn="0" w:noHBand="0" w:noVBand="1"/>
      </w:tblPr>
      <w:tblGrid>
        <w:gridCol w:w="5755"/>
        <w:gridCol w:w="3582"/>
      </w:tblGrid>
      <w:tr w:rsidR="000B1966" w:rsidRPr="00F75B20" w:rsidTr="00077D6F">
        <w:tc>
          <w:tcPr>
            <w:tcW w:w="3082" w:type="pct"/>
            <w:hideMark/>
          </w:tcPr>
          <w:p w:rsidR="000B1966" w:rsidRPr="00F75B20" w:rsidRDefault="000B1966" w:rsidP="00077D6F">
            <w:pPr>
              <w:bidi/>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الهدف / الفرضية</w:t>
            </w:r>
          </w:p>
        </w:tc>
        <w:tc>
          <w:tcPr>
            <w:tcW w:w="1918" w:type="pct"/>
            <w:hideMark/>
          </w:tcPr>
          <w:p w:rsidR="000B1966" w:rsidRPr="00F75B20" w:rsidRDefault="000B1966" w:rsidP="00077D6F">
            <w:pPr>
              <w:bidi/>
              <w:jc w:val="both"/>
              <w:rPr>
                <w:rFonts w:ascii="Traditional Arabic" w:hAnsi="Traditional Arabic" w:cs="Traditional Arabic"/>
                <w:b/>
                <w:bCs/>
                <w:sz w:val="28"/>
                <w:szCs w:val="28"/>
                <w:lang w:val="en-US"/>
              </w:rPr>
            </w:pPr>
            <w:proofErr w:type="gramStart"/>
            <w:r w:rsidRPr="00F75B20">
              <w:rPr>
                <w:rFonts w:ascii="Traditional Arabic" w:hAnsi="Traditional Arabic" w:cs="Traditional Arabic"/>
                <w:b/>
                <w:bCs/>
                <w:sz w:val="28"/>
                <w:szCs w:val="28"/>
                <w:rtl/>
                <w:lang w:val="en-US"/>
              </w:rPr>
              <w:t>الأسلوب</w:t>
            </w:r>
            <w:proofErr w:type="gramEnd"/>
            <w:r w:rsidRPr="00F75B20">
              <w:rPr>
                <w:rFonts w:ascii="Traditional Arabic" w:hAnsi="Traditional Arabic" w:cs="Traditional Arabic"/>
                <w:b/>
                <w:bCs/>
                <w:sz w:val="28"/>
                <w:szCs w:val="28"/>
                <w:rtl/>
                <w:lang w:val="en-US"/>
              </w:rPr>
              <w:t xml:space="preserve"> الإحصائي</w:t>
            </w:r>
          </w:p>
        </w:tc>
      </w:tr>
      <w:tr w:rsidR="000B1966" w:rsidRPr="00F75B20" w:rsidTr="00077D6F">
        <w:tc>
          <w:tcPr>
            <w:tcW w:w="3082" w:type="pct"/>
            <w:hideMark/>
          </w:tcPr>
          <w:p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وصف الخصائص الديموغرافية والوظيفية لأفراد الدراسة</w:t>
            </w:r>
          </w:p>
        </w:tc>
        <w:tc>
          <w:tcPr>
            <w:tcW w:w="1918" w:type="pct"/>
            <w:hideMark/>
          </w:tcPr>
          <w:p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التكرارات والنسب المئوية</w:t>
            </w:r>
          </w:p>
        </w:tc>
      </w:tr>
      <w:tr w:rsidR="000B1966" w:rsidRPr="00F75B20" w:rsidTr="00077D6F">
        <w:tc>
          <w:tcPr>
            <w:tcW w:w="3082" w:type="pct"/>
            <w:hideMark/>
          </w:tcPr>
          <w:p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تحديد مستوى نضج التخطيط الاستراتيجي</w:t>
            </w:r>
          </w:p>
        </w:tc>
        <w:tc>
          <w:tcPr>
            <w:tcW w:w="1918" w:type="pct"/>
            <w:hideMark/>
          </w:tcPr>
          <w:p w:rsidR="000B1966" w:rsidRPr="00F75B20" w:rsidRDefault="000B1966" w:rsidP="00077D6F">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المتوسطات</w:t>
            </w:r>
            <w:proofErr w:type="gramEnd"/>
            <w:r w:rsidRPr="00F75B20">
              <w:rPr>
                <w:rFonts w:ascii="Traditional Arabic" w:hAnsi="Traditional Arabic" w:cs="Traditional Arabic"/>
                <w:sz w:val="28"/>
                <w:szCs w:val="28"/>
                <w:rtl/>
                <w:lang w:val="en-US"/>
              </w:rPr>
              <w:t xml:space="preserve"> الحسابية والانحرافات المعيارية</w:t>
            </w:r>
          </w:p>
        </w:tc>
      </w:tr>
      <w:tr w:rsidR="000B1966" w:rsidRPr="00F75B20" w:rsidTr="00077D6F">
        <w:tc>
          <w:tcPr>
            <w:tcW w:w="3082" w:type="pct"/>
            <w:hideMark/>
          </w:tcPr>
          <w:p w:rsidR="000B1966" w:rsidRPr="00F75B20" w:rsidRDefault="000B1966" w:rsidP="00077D6F">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تحديد</w:t>
            </w:r>
            <w:proofErr w:type="gramEnd"/>
            <w:r w:rsidRPr="00F75B20">
              <w:rPr>
                <w:rFonts w:ascii="Traditional Arabic" w:hAnsi="Traditional Arabic" w:cs="Traditional Arabic"/>
                <w:sz w:val="28"/>
                <w:szCs w:val="28"/>
                <w:rtl/>
                <w:lang w:val="en-US"/>
              </w:rPr>
              <w:t xml:space="preserve"> مستوى التكامل المؤسسي</w:t>
            </w:r>
          </w:p>
        </w:tc>
        <w:tc>
          <w:tcPr>
            <w:tcW w:w="1918" w:type="pct"/>
            <w:hideMark/>
          </w:tcPr>
          <w:p w:rsidR="000B1966" w:rsidRPr="00F75B20" w:rsidRDefault="000B1966" w:rsidP="00077D6F">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المتوسطات</w:t>
            </w:r>
            <w:proofErr w:type="gramEnd"/>
            <w:r w:rsidRPr="00F75B20">
              <w:rPr>
                <w:rFonts w:ascii="Traditional Arabic" w:hAnsi="Traditional Arabic" w:cs="Traditional Arabic"/>
                <w:sz w:val="28"/>
                <w:szCs w:val="28"/>
                <w:rtl/>
                <w:lang w:val="en-US"/>
              </w:rPr>
              <w:t xml:space="preserve"> الحسابية والانحرافات المعيارية</w:t>
            </w:r>
          </w:p>
        </w:tc>
      </w:tr>
      <w:tr w:rsidR="000B1966" w:rsidRPr="00F75B20" w:rsidTr="00077D6F">
        <w:tc>
          <w:tcPr>
            <w:tcW w:w="3082" w:type="pct"/>
            <w:hideMark/>
          </w:tcPr>
          <w:p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التحقق </w:t>
            </w:r>
            <w:proofErr w:type="gramStart"/>
            <w:r w:rsidRPr="00F75B20">
              <w:rPr>
                <w:rFonts w:ascii="Traditional Arabic" w:hAnsi="Traditional Arabic" w:cs="Traditional Arabic"/>
                <w:sz w:val="28"/>
                <w:szCs w:val="28"/>
                <w:rtl/>
                <w:lang w:val="en-US"/>
              </w:rPr>
              <w:t>من</w:t>
            </w:r>
            <w:proofErr w:type="gramEnd"/>
            <w:r w:rsidRPr="00F75B20">
              <w:rPr>
                <w:rFonts w:ascii="Traditional Arabic" w:hAnsi="Traditional Arabic" w:cs="Traditional Arabic"/>
                <w:sz w:val="28"/>
                <w:szCs w:val="28"/>
                <w:rtl/>
                <w:lang w:val="en-US"/>
              </w:rPr>
              <w:t xml:space="preserve"> صدق البناء لأداة الدراسة</w:t>
            </w:r>
          </w:p>
        </w:tc>
        <w:tc>
          <w:tcPr>
            <w:tcW w:w="1918" w:type="pct"/>
            <w:hideMark/>
          </w:tcPr>
          <w:p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معامل ارتباط بيرسون</w:t>
            </w:r>
          </w:p>
        </w:tc>
      </w:tr>
      <w:tr w:rsidR="000B1966" w:rsidRPr="00F75B20" w:rsidTr="00077D6F">
        <w:tc>
          <w:tcPr>
            <w:tcW w:w="3082" w:type="pct"/>
            <w:hideMark/>
          </w:tcPr>
          <w:p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التحقق من ثبات أداة الدراسة</w:t>
            </w:r>
          </w:p>
        </w:tc>
        <w:tc>
          <w:tcPr>
            <w:tcW w:w="1918" w:type="pct"/>
            <w:hideMark/>
          </w:tcPr>
          <w:p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معامل كرونباخ ألفا</w:t>
            </w:r>
          </w:p>
        </w:tc>
      </w:tr>
      <w:tr w:rsidR="000B1966" w:rsidRPr="00F75B20" w:rsidTr="00077D6F">
        <w:tc>
          <w:tcPr>
            <w:tcW w:w="3082" w:type="pct"/>
            <w:hideMark/>
          </w:tcPr>
          <w:p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اختبار أثر أبعاد نضج التخطيط الاستراتيجي في التكامل المؤسسي</w:t>
            </w:r>
          </w:p>
        </w:tc>
        <w:tc>
          <w:tcPr>
            <w:tcW w:w="1918" w:type="pct"/>
            <w:hideMark/>
          </w:tcPr>
          <w:p w:rsidR="000B1966" w:rsidRPr="00F75B20" w:rsidRDefault="000B1966" w:rsidP="00077D6F">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الانحدار</w:t>
            </w:r>
            <w:proofErr w:type="gramEnd"/>
            <w:r w:rsidRPr="00F75B20">
              <w:rPr>
                <w:rFonts w:ascii="Traditional Arabic" w:hAnsi="Traditional Arabic" w:cs="Traditional Arabic"/>
                <w:sz w:val="28"/>
                <w:szCs w:val="28"/>
                <w:rtl/>
                <w:lang w:val="en-US"/>
              </w:rPr>
              <w:t xml:space="preserve"> الخطي المتعدد</w:t>
            </w:r>
          </w:p>
        </w:tc>
      </w:tr>
      <w:tr w:rsidR="000B1966" w:rsidRPr="00F75B20" w:rsidTr="00077D6F">
        <w:tc>
          <w:tcPr>
            <w:tcW w:w="3082" w:type="pct"/>
            <w:hideMark/>
          </w:tcPr>
          <w:p w:rsidR="000B1966" w:rsidRPr="00F75B20" w:rsidRDefault="000B1966" w:rsidP="00077D6F">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قياس</w:t>
            </w:r>
            <w:proofErr w:type="gramEnd"/>
            <w:r w:rsidRPr="00F75B20">
              <w:rPr>
                <w:rFonts w:ascii="Traditional Arabic" w:hAnsi="Traditional Arabic" w:cs="Traditional Arabic"/>
                <w:sz w:val="28"/>
                <w:szCs w:val="28"/>
                <w:rtl/>
                <w:lang w:val="en-US"/>
              </w:rPr>
              <w:t xml:space="preserve"> قوة النموذج التفسيري</w:t>
            </w:r>
          </w:p>
        </w:tc>
        <w:tc>
          <w:tcPr>
            <w:tcW w:w="1918" w:type="pct"/>
            <w:hideMark/>
          </w:tcPr>
          <w:p w:rsidR="000B1966" w:rsidRPr="00F75B20" w:rsidRDefault="000B1966" w:rsidP="00077D6F">
            <w:pPr>
              <w:bidi/>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معامل التحديد</w:t>
            </w:r>
            <w:r w:rsidRPr="00F75B20">
              <w:rPr>
                <w:rFonts w:ascii="Traditional Arabic" w:hAnsi="Traditional Arabic" w:cs="Traditional Arabic"/>
                <w:sz w:val="28"/>
                <w:szCs w:val="28"/>
                <w:lang w:val="en-US"/>
              </w:rPr>
              <w:t xml:space="preserve"> (</w:t>
            </w:r>
            <w:proofErr w:type="spellStart"/>
            <w:r w:rsidRPr="00F75B20">
              <w:rPr>
                <w:rFonts w:ascii="Traditional Arabic" w:hAnsi="Traditional Arabic" w:cs="Traditional Arabic"/>
                <w:sz w:val="28"/>
                <w:szCs w:val="28"/>
                <w:lang w:val="en-US"/>
              </w:rPr>
              <w:t>R²</w:t>
            </w:r>
            <w:proofErr w:type="spellEnd"/>
            <w:r w:rsidRPr="00F75B20">
              <w:rPr>
                <w:rFonts w:ascii="Traditional Arabic" w:hAnsi="Traditional Arabic" w:cs="Traditional Arabic"/>
                <w:sz w:val="28"/>
                <w:szCs w:val="28"/>
                <w:lang w:val="en-US"/>
              </w:rPr>
              <w:t xml:space="preserve">) </w:t>
            </w:r>
            <w:proofErr w:type="gramStart"/>
            <w:r w:rsidRPr="00F75B20">
              <w:rPr>
                <w:rFonts w:ascii="Traditional Arabic" w:hAnsi="Traditional Arabic" w:cs="Traditional Arabic"/>
                <w:sz w:val="28"/>
                <w:szCs w:val="28"/>
                <w:rtl/>
                <w:lang w:val="en-US"/>
              </w:rPr>
              <w:t>واختبار</w:t>
            </w:r>
            <w:proofErr w:type="gramEnd"/>
            <w:r w:rsidRPr="00F75B20">
              <w:rPr>
                <w:rFonts w:ascii="Traditional Arabic" w:hAnsi="Traditional Arabic" w:cs="Traditional Arabic"/>
                <w:sz w:val="28"/>
                <w:szCs w:val="28"/>
                <w:lang w:val="en-US"/>
              </w:rPr>
              <w:t xml:space="preserve"> (F)</w:t>
            </w:r>
          </w:p>
        </w:tc>
      </w:tr>
      <w:tr w:rsidR="000B1966" w:rsidRPr="00F75B20" w:rsidTr="00077D6F">
        <w:tc>
          <w:tcPr>
            <w:tcW w:w="3082" w:type="pct"/>
            <w:hideMark/>
          </w:tcPr>
          <w:p w:rsidR="000B1966" w:rsidRPr="00F75B20" w:rsidRDefault="000B1966" w:rsidP="00077D6F">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تحديد</w:t>
            </w:r>
            <w:proofErr w:type="gramEnd"/>
            <w:r w:rsidRPr="00F75B20">
              <w:rPr>
                <w:rFonts w:ascii="Traditional Arabic" w:hAnsi="Traditional Arabic" w:cs="Traditional Arabic"/>
                <w:sz w:val="28"/>
                <w:szCs w:val="28"/>
                <w:rtl/>
                <w:lang w:val="en-US"/>
              </w:rPr>
              <w:t xml:space="preserve"> قوة تأثير كل بعد من أبعاد المتغير المستقل</w:t>
            </w:r>
          </w:p>
        </w:tc>
        <w:tc>
          <w:tcPr>
            <w:tcW w:w="1918" w:type="pct"/>
            <w:hideMark/>
          </w:tcPr>
          <w:p w:rsidR="000B1966" w:rsidRPr="00F75B20" w:rsidRDefault="000B1966" w:rsidP="00077D6F">
            <w:pPr>
              <w:bidi/>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rtl/>
                <w:lang w:val="en-US"/>
              </w:rPr>
              <w:t>معاملات</w:t>
            </w:r>
            <w:proofErr w:type="gramEnd"/>
            <w:r w:rsidRPr="00F75B20">
              <w:rPr>
                <w:rFonts w:ascii="Traditional Arabic" w:hAnsi="Traditional Arabic" w:cs="Traditional Arabic"/>
                <w:sz w:val="28"/>
                <w:szCs w:val="28"/>
                <w:rtl/>
                <w:lang w:val="en-US"/>
              </w:rPr>
              <w:t xml:space="preserve"> الانحدار المعيارية</w:t>
            </w:r>
            <w:r w:rsidRPr="00F75B20">
              <w:rPr>
                <w:rFonts w:ascii="Traditional Arabic" w:hAnsi="Traditional Arabic" w:cs="Traditional Arabic"/>
                <w:sz w:val="28"/>
                <w:szCs w:val="28"/>
                <w:lang w:val="en-US"/>
              </w:rPr>
              <w:t xml:space="preserve"> (Beta)</w:t>
            </w:r>
          </w:p>
        </w:tc>
      </w:tr>
    </w:tbl>
    <w:p w:rsidR="00077D6F" w:rsidRPr="00F75B20" w:rsidRDefault="00077D6F" w:rsidP="000B1966">
      <w:pPr>
        <w:bidi/>
        <w:spacing w:line="360" w:lineRule="auto"/>
        <w:jc w:val="both"/>
        <w:rPr>
          <w:rFonts w:ascii="Traditional Arabic" w:hAnsi="Traditional Arabic" w:cs="Traditional Arabic"/>
          <w:sz w:val="28"/>
          <w:szCs w:val="28"/>
          <w:rtl/>
          <w:lang w:val="en-US"/>
        </w:rPr>
      </w:pPr>
    </w:p>
    <w:p w:rsidR="00F67B03" w:rsidRPr="00F75B20" w:rsidRDefault="000B1966" w:rsidP="00077D6F">
      <w:pPr>
        <w:bidi/>
        <w:spacing w:line="360" w:lineRule="auto"/>
        <w:jc w:val="both"/>
        <w:rPr>
          <w:rFonts w:ascii="Traditional Arabic" w:hAnsi="Traditional Arabic" w:cs="Traditional Arabic" w:hint="cs"/>
          <w:sz w:val="28"/>
          <w:szCs w:val="28"/>
          <w:rtl/>
          <w:lang w:val="en-US"/>
        </w:rPr>
      </w:pPr>
      <w:r w:rsidRPr="00F75B20">
        <w:rPr>
          <w:rFonts w:ascii="Traditional Arabic" w:hAnsi="Traditional Arabic" w:cs="Traditional Arabic"/>
          <w:sz w:val="28"/>
          <w:szCs w:val="28"/>
          <w:rtl/>
          <w:lang w:val="en-US"/>
        </w:rPr>
        <w:t>وتُعد هذه الأساليب الإحصائية مناسبة لطبيعة الدراسة الحالية، وللبيانات التي سيتم جمعها باستخدام الاستبانة، كما تتفق مع متطلبات الدراسات الوصفية التحليلية التي تهدف إلى قياس العلاقات بين المتغيرات واختبار النماذج السببية، بما يضمن الوصول إلى نتائج دقيقة يمكن الاعتماد عليها في تفسير الظاهرة محل الدراسة والإجابة عن أسئلة البحث واختبار فرضياته (</w:t>
      </w:r>
      <w:r w:rsidRPr="00F75B20">
        <w:rPr>
          <w:rFonts w:ascii="Traditional Arabic" w:hAnsi="Traditional Arabic" w:cs="Traditional Arabic"/>
          <w:sz w:val="28"/>
          <w:szCs w:val="28"/>
          <w:lang w:val="en-US"/>
        </w:rPr>
        <w:t>Hair et al.</w:t>
      </w:r>
      <w:proofErr w:type="gramStart"/>
      <w:r w:rsidRPr="00F75B20">
        <w:rPr>
          <w:rFonts w:ascii="Traditional Arabic" w:hAnsi="Traditional Arabic" w:cs="Traditional Arabic"/>
          <w:sz w:val="28"/>
          <w:szCs w:val="28"/>
          <w:lang w:val="en-US"/>
        </w:rPr>
        <w:t>, 2022</w:t>
      </w:r>
      <w:r w:rsidRPr="00F75B20">
        <w:rPr>
          <w:rFonts w:ascii="Traditional Arabic" w:hAnsi="Traditional Arabic" w:cs="Traditional Arabic"/>
          <w:sz w:val="28"/>
          <w:szCs w:val="28"/>
          <w:rtl/>
          <w:lang w:val="en-US"/>
        </w:rPr>
        <w:t xml:space="preserve">؛ </w:t>
      </w:r>
      <w:r w:rsidRPr="00F75B20">
        <w:rPr>
          <w:rFonts w:ascii="Traditional Arabic" w:hAnsi="Traditional Arabic" w:cs="Traditional Arabic"/>
          <w:sz w:val="28"/>
          <w:szCs w:val="28"/>
          <w:lang w:val="en-US"/>
        </w:rPr>
        <w:t>Creswell &amp; Creswell, 2023</w:t>
      </w:r>
      <w:r w:rsidRPr="00F75B20">
        <w:rPr>
          <w:rFonts w:ascii="Traditional Arabic" w:hAnsi="Traditional Arabic" w:cs="Traditional Arabic"/>
          <w:sz w:val="28"/>
          <w:szCs w:val="28"/>
          <w:rtl/>
          <w:lang w:val="en-US"/>
        </w:rPr>
        <w:t>).</w:t>
      </w:r>
      <w:proofErr w:type="gramEnd"/>
    </w:p>
    <w:p w:rsidR="00F75B20" w:rsidRPr="00F75B20" w:rsidRDefault="00F75B20" w:rsidP="00F75B20">
      <w:pPr>
        <w:bidi/>
        <w:spacing w:line="360" w:lineRule="auto"/>
        <w:jc w:val="both"/>
        <w:rPr>
          <w:rFonts w:ascii="Traditional Arabic" w:hAnsi="Traditional Arabic" w:cs="Traditional Arabic" w:hint="cs"/>
          <w:sz w:val="28"/>
          <w:szCs w:val="28"/>
          <w:rtl/>
          <w:lang w:val="en-US"/>
        </w:rPr>
      </w:pPr>
    </w:p>
    <w:p w:rsidR="00F75B20" w:rsidRPr="00F75B20" w:rsidRDefault="00F75B20" w:rsidP="00F75B20">
      <w:pPr>
        <w:bidi/>
        <w:spacing w:line="360" w:lineRule="auto"/>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lastRenderedPageBreak/>
        <w:t xml:space="preserve">أولاً: </w:t>
      </w:r>
      <w:proofErr w:type="gramStart"/>
      <w:r w:rsidRPr="00F75B20">
        <w:rPr>
          <w:rFonts w:ascii="Traditional Arabic" w:hAnsi="Traditional Arabic" w:cs="Traditional Arabic"/>
          <w:b/>
          <w:bCs/>
          <w:sz w:val="28"/>
          <w:szCs w:val="28"/>
          <w:rtl/>
          <w:lang w:val="en-US"/>
        </w:rPr>
        <w:t>المراجع</w:t>
      </w:r>
      <w:proofErr w:type="gramEnd"/>
      <w:r w:rsidRPr="00F75B20">
        <w:rPr>
          <w:rFonts w:ascii="Traditional Arabic" w:hAnsi="Traditional Arabic" w:cs="Traditional Arabic"/>
          <w:b/>
          <w:bCs/>
          <w:sz w:val="28"/>
          <w:szCs w:val="28"/>
          <w:rtl/>
          <w:lang w:val="en-US"/>
        </w:rPr>
        <w:t xml:space="preserve"> العربية</w:t>
      </w:r>
      <w:bookmarkStart w:id="0" w:name="_GoBack"/>
      <w:bookmarkEnd w:id="0"/>
    </w:p>
    <w:p w:rsidR="00F75B20" w:rsidRPr="00F75B20" w:rsidRDefault="00F75B20" w:rsidP="00F75B20">
      <w:pPr>
        <w:bidi/>
        <w:spacing w:line="360" w:lineRule="auto"/>
        <w:jc w:val="both"/>
        <w:rPr>
          <w:rFonts w:ascii="Traditional Arabic" w:hAnsi="Traditional Arabic" w:cs="Traditional Arabic"/>
          <w:sz w:val="28"/>
          <w:szCs w:val="28"/>
          <w:lang w:val="en-US"/>
        </w:rPr>
      </w:pPr>
      <w:r w:rsidRPr="00F75B20">
        <w:rPr>
          <w:rFonts w:ascii="Traditional Arabic" w:hAnsi="Traditional Arabic" w:cs="Traditional Arabic"/>
          <w:sz w:val="28"/>
          <w:szCs w:val="28"/>
          <w:rtl/>
          <w:lang w:val="en-US"/>
        </w:rPr>
        <w:t xml:space="preserve">مجلس التعاون لدول الخليج </w:t>
      </w:r>
      <w:proofErr w:type="gramStart"/>
      <w:r w:rsidRPr="00F75B20">
        <w:rPr>
          <w:rFonts w:ascii="Traditional Arabic" w:hAnsi="Traditional Arabic" w:cs="Traditional Arabic"/>
          <w:sz w:val="28"/>
          <w:szCs w:val="28"/>
          <w:rtl/>
          <w:lang w:val="en-US"/>
        </w:rPr>
        <w:t>العربية</w:t>
      </w:r>
      <w:proofErr w:type="gramEnd"/>
      <w:r w:rsidRPr="00F75B20">
        <w:rPr>
          <w:rFonts w:ascii="Traditional Arabic" w:hAnsi="Traditional Arabic" w:cs="Traditional Arabic"/>
          <w:sz w:val="28"/>
          <w:szCs w:val="28"/>
          <w:rtl/>
          <w:lang w:val="en-US"/>
        </w:rPr>
        <w:t>. (2025</w:t>
      </w:r>
      <w:r w:rsidRPr="00F75B20">
        <w:rPr>
          <w:rFonts w:ascii="Traditional Arabic" w:hAnsi="Traditional Arabic" w:cs="Traditional Arabic"/>
          <w:sz w:val="28"/>
          <w:szCs w:val="28"/>
          <w:lang w:val="en-US"/>
        </w:rPr>
        <w:t xml:space="preserve">). </w:t>
      </w:r>
      <w:r w:rsidRPr="00F75B20">
        <w:rPr>
          <w:rFonts w:ascii="Traditional Arabic" w:hAnsi="Traditional Arabic" w:cs="Traditional Arabic"/>
          <w:i/>
          <w:iCs/>
          <w:sz w:val="28"/>
          <w:szCs w:val="28"/>
          <w:rtl/>
          <w:lang w:val="en-US"/>
        </w:rPr>
        <w:t xml:space="preserve">الهيئات والمنظمات </w:t>
      </w:r>
      <w:proofErr w:type="gramStart"/>
      <w:r w:rsidRPr="00F75B20">
        <w:rPr>
          <w:rFonts w:ascii="Traditional Arabic" w:hAnsi="Traditional Arabic" w:cs="Traditional Arabic"/>
          <w:i/>
          <w:iCs/>
          <w:sz w:val="28"/>
          <w:szCs w:val="28"/>
          <w:rtl/>
          <w:lang w:val="en-US"/>
        </w:rPr>
        <w:t>التابعة</w:t>
      </w:r>
      <w:proofErr w:type="gramEnd"/>
      <w:r w:rsidRPr="00F75B20">
        <w:rPr>
          <w:rFonts w:ascii="Traditional Arabic" w:hAnsi="Traditional Arabic" w:cs="Traditional Arabic"/>
          <w:i/>
          <w:iCs/>
          <w:sz w:val="28"/>
          <w:szCs w:val="28"/>
          <w:rtl/>
          <w:lang w:val="en-US"/>
        </w:rPr>
        <w:t xml:space="preserve"> لمجلس التعاون لدول الخليج العربية</w:t>
      </w:r>
      <w:r w:rsidRPr="00F75B20">
        <w:rPr>
          <w:rFonts w:ascii="Traditional Arabic" w:hAnsi="Traditional Arabic" w:cs="Traditional Arabic"/>
          <w:sz w:val="28"/>
          <w:szCs w:val="28"/>
          <w:lang w:val="en-US"/>
        </w:rPr>
        <w:t xml:space="preserve">. </w:t>
      </w:r>
      <w:r w:rsidRPr="00F75B20">
        <w:rPr>
          <w:rFonts w:ascii="Traditional Arabic" w:hAnsi="Traditional Arabic" w:cs="Traditional Arabic"/>
          <w:sz w:val="28"/>
          <w:szCs w:val="28"/>
          <w:rtl/>
          <w:lang w:val="en-US"/>
        </w:rPr>
        <w:t xml:space="preserve">الأمانة </w:t>
      </w:r>
      <w:proofErr w:type="gramStart"/>
      <w:r w:rsidRPr="00F75B20">
        <w:rPr>
          <w:rFonts w:ascii="Traditional Arabic" w:hAnsi="Traditional Arabic" w:cs="Traditional Arabic"/>
          <w:sz w:val="28"/>
          <w:szCs w:val="28"/>
          <w:rtl/>
          <w:lang w:val="en-US"/>
        </w:rPr>
        <w:t>العامة</w:t>
      </w:r>
      <w:proofErr w:type="gramEnd"/>
      <w:r w:rsidRPr="00F75B20">
        <w:rPr>
          <w:rFonts w:ascii="Traditional Arabic" w:hAnsi="Traditional Arabic" w:cs="Traditional Arabic"/>
          <w:sz w:val="28"/>
          <w:szCs w:val="28"/>
          <w:rtl/>
          <w:lang w:val="en-US"/>
        </w:rPr>
        <w:t xml:space="preserve"> لمجلس التعاون لدول الخليج العربية</w:t>
      </w:r>
      <w:r w:rsidRPr="00F75B20">
        <w:rPr>
          <w:rFonts w:ascii="Traditional Arabic" w:hAnsi="Traditional Arabic" w:cs="Traditional Arabic"/>
          <w:sz w:val="28"/>
          <w:szCs w:val="28"/>
          <w:lang w:val="en-US"/>
        </w:rPr>
        <w:t>.</w:t>
      </w:r>
    </w:p>
    <w:p w:rsidR="00F75B20" w:rsidRPr="00F75B20" w:rsidRDefault="00F75B20" w:rsidP="00F75B20">
      <w:pPr>
        <w:bidi/>
        <w:spacing w:line="360" w:lineRule="auto"/>
        <w:jc w:val="both"/>
        <w:rPr>
          <w:rFonts w:ascii="Traditional Arabic" w:hAnsi="Traditional Arabic" w:cs="Traditional Arabic"/>
          <w:sz w:val="28"/>
          <w:szCs w:val="28"/>
          <w:lang w:val="en-US"/>
        </w:rPr>
      </w:pPr>
    </w:p>
    <w:p w:rsidR="00F75B20" w:rsidRPr="00F75B20" w:rsidRDefault="00F75B20" w:rsidP="00F75B20">
      <w:pPr>
        <w:bidi/>
        <w:spacing w:line="360" w:lineRule="auto"/>
        <w:jc w:val="both"/>
        <w:rPr>
          <w:rFonts w:ascii="Traditional Arabic" w:hAnsi="Traditional Arabic" w:cs="Traditional Arabic"/>
          <w:b/>
          <w:bCs/>
          <w:sz w:val="28"/>
          <w:szCs w:val="28"/>
          <w:lang w:val="en-US"/>
        </w:rPr>
      </w:pPr>
      <w:r w:rsidRPr="00F75B20">
        <w:rPr>
          <w:rFonts w:ascii="Traditional Arabic" w:hAnsi="Traditional Arabic" w:cs="Traditional Arabic"/>
          <w:b/>
          <w:bCs/>
          <w:sz w:val="28"/>
          <w:szCs w:val="28"/>
          <w:rtl/>
          <w:lang w:val="en-US"/>
        </w:rPr>
        <w:t xml:space="preserve">ثانياً: </w:t>
      </w:r>
      <w:proofErr w:type="gramStart"/>
      <w:r w:rsidRPr="00F75B20">
        <w:rPr>
          <w:rFonts w:ascii="Traditional Arabic" w:hAnsi="Traditional Arabic" w:cs="Traditional Arabic"/>
          <w:b/>
          <w:bCs/>
          <w:sz w:val="28"/>
          <w:szCs w:val="28"/>
          <w:rtl/>
          <w:lang w:val="en-US"/>
        </w:rPr>
        <w:t>المراجع</w:t>
      </w:r>
      <w:proofErr w:type="gramEnd"/>
      <w:r w:rsidRPr="00F75B20">
        <w:rPr>
          <w:rFonts w:ascii="Traditional Arabic" w:hAnsi="Traditional Arabic" w:cs="Traditional Arabic"/>
          <w:b/>
          <w:bCs/>
          <w:sz w:val="28"/>
          <w:szCs w:val="28"/>
          <w:rtl/>
          <w:lang w:val="en-US"/>
        </w:rPr>
        <w:t xml:space="preserve"> الأجنبية</w:t>
      </w:r>
    </w:p>
    <w:p w:rsidR="00F75B20" w:rsidRPr="00F75B20" w:rsidRDefault="00F75B20" w:rsidP="00F75B20">
      <w:pPr>
        <w:bidi/>
        <w:spacing w:line="360" w:lineRule="auto"/>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lang w:val="en-US"/>
        </w:rPr>
        <w:t>Creswell, J. W., &amp; Creswell, J. D. (2023).</w:t>
      </w:r>
      <w:proofErr w:type="gramEnd"/>
      <w:r w:rsidRPr="00F75B20">
        <w:rPr>
          <w:rFonts w:ascii="Traditional Arabic" w:hAnsi="Traditional Arabic" w:cs="Traditional Arabic"/>
          <w:sz w:val="28"/>
          <w:szCs w:val="28"/>
          <w:lang w:val="en-US"/>
        </w:rPr>
        <w:t xml:space="preserve"> </w:t>
      </w:r>
      <w:r w:rsidRPr="00F75B20">
        <w:rPr>
          <w:rFonts w:ascii="Traditional Arabic" w:hAnsi="Traditional Arabic" w:cs="Traditional Arabic"/>
          <w:i/>
          <w:iCs/>
          <w:sz w:val="28"/>
          <w:szCs w:val="28"/>
          <w:lang w:val="en-US"/>
        </w:rPr>
        <w:t xml:space="preserve">Research design: </w:t>
      </w:r>
      <w:proofErr w:type="gramStart"/>
      <w:r w:rsidRPr="00F75B20">
        <w:rPr>
          <w:rFonts w:ascii="Traditional Arabic" w:hAnsi="Traditional Arabic" w:cs="Traditional Arabic"/>
          <w:i/>
          <w:iCs/>
          <w:sz w:val="28"/>
          <w:szCs w:val="28"/>
          <w:lang w:val="en-US"/>
        </w:rPr>
        <w:t>Qualitative, quantitative, and mixed methods approaches</w:t>
      </w:r>
      <w:proofErr w:type="gramEnd"/>
      <w:r w:rsidRPr="00F75B20">
        <w:rPr>
          <w:rFonts w:ascii="Traditional Arabic" w:hAnsi="Traditional Arabic" w:cs="Traditional Arabic"/>
          <w:sz w:val="28"/>
          <w:szCs w:val="28"/>
          <w:lang w:val="en-US"/>
        </w:rPr>
        <w:t xml:space="preserve"> (6th ed.). </w:t>
      </w:r>
      <w:proofErr w:type="gramStart"/>
      <w:r w:rsidRPr="00F75B20">
        <w:rPr>
          <w:rFonts w:ascii="Traditional Arabic" w:hAnsi="Traditional Arabic" w:cs="Traditional Arabic"/>
          <w:sz w:val="28"/>
          <w:szCs w:val="28"/>
          <w:lang w:val="en-US"/>
        </w:rPr>
        <w:t>Sage.</w:t>
      </w:r>
      <w:proofErr w:type="gramEnd"/>
    </w:p>
    <w:p w:rsidR="00F75B20" w:rsidRPr="00F75B20" w:rsidRDefault="00F75B20" w:rsidP="00F75B20">
      <w:pPr>
        <w:bidi/>
        <w:spacing w:line="360" w:lineRule="auto"/>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lang w:val="en-US"/>
        </w:rPr>
        <w:t xml:space="preserve">Hair, J. F., Black, W. C., </w:t>
      </w:r>
      <w:proofErr w:type="spellStart"/>
      <w:r w:rsidRPr="00F75B20">
        <w:rPr>
          <w:rFonts w:ascii="Traditional Arabic" w:hAnsi="Traditional Arabic" w:cs="Traditional Arabic"/>
          <w:sz w:val="28"/>
          <w:szCs w:val="28"/>
          <w:lang w:val="en-US"/>
        </w:rPr>
        <w:t>Babin</w:t>
      </w:r>
      <w:proofErr w:type="spellEnd"/>
      <w:r w:rsidRPr="00F75B20">
        <w:rPr>
          <w:rFonts w:ascii="Traditional Arabic" w:hAnsi="Traditional Arabic" w:cs="Traditional Arabic"/>
          <w:sz w:val="28"/>
          <w:szCs w:val="28"/>
          <w:lang w:val="en-US"/>
        </w:rPr>
        <w:t>, B. J., &amp; Anderson, R. E. (2022).</w:t>
      </w:r>
      <w:proofErr w:type="gramEnd"/>
      <w:r w:rsidRPr="00F75B20">
        <w:rPr>
          <w:rFonts w:ascii="Traditional Arabic" w:hAnsi="Traditional Arabic" w:cs="Traditional Arabic"/>
          <w:sz w:val="28"/>
          <w:szCs w:val="28"/>
          <w:lang w:val="en-US"/>
        </w:rPr>
        <w:t xml:space="preserve"> </w:t>
      </w:r>
      <w:r w:rsidRPr="00F75B20">
        <w:rPr>
          <w:rFonts w:ascii="Traditional Arabic" w:hAnsi="Traditional Arabic" w:cs="Traditional Arabic"/>
          <w:i/>
          <w:iCs/>
          <w:sz w:val="28"/>
          <w:szCs w:val="28"/>
          <w:lang w:val="en-US"/>
        </w:rPr>
        <w:t>Multivariate data analysis</w:t>
      </w:r>
      <w:r w:rsidRPr="00F75B20">
        <w:rPr>
          <w:rFonts w:ascii="Traditional Arabic" w:hAnsi="Traditional Arabic" w:cs="Traditional Arabic"/>
          <w:sz w:val="28"/>
          <w:szCs w:val="28"/>
          <w:lang w:val="en-US"/>
        </w:rPr>
        <w:t xml:space="preserve"> (9th </w:t>
      </w:r>
      <w:proofErr w:type="gramStart"/>
      <w:r w:rsidRPr="00F75B20">
        <w:rPr>
          <w:rFonts w:ascii="Traditional Arabic" w:hAnsi="Traditional Arabic" w:cs="Traditional Arabic"/>
          <w:sz w:val="28"/>
          <w:szCs w:val="28"/>
          <w:lang w:val="en-US"/>
        </w:rPr>
        <w:t>ed</w:t>
      </w:r>
      <w:proofErr w:type="gramEnd"/>
      <w:r w:rsidRPr="00F75B20">
        <w:rPr>
          <w:rFonts w:ascii="Traditional Arabic" w:hAnsi="Traditional Arabic" w:cs="Traditional Arabic"/>
          <w:sz w:val="28"/>
          <w:szCs w:val="28"/>
          <w:lang w:val="en-US"/>
        </w:rPr>
        <w:t xml:space="preserve">.). </w:t>
      </w:r>
      <w:proofErr w:type="spellStart"/>
      <w:r w:rsidRPr="00F75B20">
        <w:rPr>
          <w:rFonts w:ascii="Traditional Arabic" w:hAnsi="Traditional Arabic" w:cs="Traditional Arabic"/>
          <w:sz w:val="28"/>
          <w:szCs w:val="28"/>
          <w:lang w:val="en-US"/>
        </w:rPr>
        <w:t>Cengage</w:t>
      </w:r>
      <w:proofErr w:type="spellEnd"/>
      <w:r w:rsidRPr="00F75B20">
        <w:rPr>
          <w:rFonts w:ascii="Traditional Arabic" w:hAnsi="Traditional Arabic" w:cs="Traditional Arabic"/>
          <w:sz w:val="28"/>
          <w:szCs w:val="28"/>
          <w:lang w:val="en-US"/>
        </w:rPr>
        <w:t xml:space="preserve"> Learning.</w:t>
      </w:r>
    </w:p>
    <w:p w:rsidR="00F75B20" w:rsidRPr="00F75B20" w:rsidRDefault="00F75B20" w:rsidP="00F75B20">
      <w:pPr>
        <w:bidi/>
        <w:spacing w:line="360" w:lineRule="auto"/>
        <w:jc w:val="both"/>
        <w:rPr>
          <w:rFonts w:ascii="Traditional Arabic" w:hAnsi="Traditional Arabic" w:cs="Traditional Arabic"/>
          <w:sz w:val="28"/>
          <w:szCs w:val="28"/>
          <w:lang w:val="en-US"/>
        </w:rPr>
      </w:pPr>
      <w:proofErr w:type="spellStart"/>
      <w:r w:rsidRPr="00F75B20">
        <w:rPr>
          <w:rFonts w:ascii="Traditional Arabic" w:hAnsi="Traditional Arabic" w:cs="Traditional Arabic"/>
          <w:sz w:val="28"/>
          <w:szCs w:val="28"/>
          <w:lang w:val="en-US"/>
        </w:rPr>
        <w:t>Krejcie</w:t>
      </w:r>
      <w:proofErr w:type="spellEnd"/>
      <w:r w:rsidRPr="00F75B20">
        <w:rPr>
          <w:rFonts w:ascii="Traditional Arabic" w:hAnsi="Traditional Arabic" w:cs="Traditional Arabic"/>
          <w:sz w:val="28"/>
          <w:szCs w:val="28"/>
          <w:lang w:val="en-US"/>
        </w:rPr>
        <w:t xml:space="preserve">, R. V., &amp; Morgan, D. W. (1970). </w:t>
      </w:r>
      <w:proofErr w:type="gramStart"/>
      <w:r w:rsidRPr="00F75B20">
        <w:rPr>
          <w:rFonts w:ascii="Traditional Arabic" w:hAnsi="Traditional Arabic" w:cs="Traditional Arabic"/>
          <w:sz w:val="28"/>
          <w:szCs w:val="28"/>
          <w:lang w:val="en-US"/>
        </w:rPr>
        <w:t>Determining sample size for research activities.</w:t>
      </w:r>
      <w:proofErr w:type="gramEnd"/>
      <w:r w:rsidRPr="00F75B20">
        <w:rPr>
          <w:rFonts w:ascii="Traditional Arabic" w:hAnsi="Traditional Arabic" w:cs="Traditional Arabic"/>
          <w:sz w:val="28"/>
          <w:szCs w:val="28"/>
          <w:lang w:val="en-US"/>
        </w:rPr>
        <w:t xml:space="preserve"> </w:t>
      </w:r>
      <w:r w:rsidRPr="00F75B20">
        <w:rPr>
          <w:rFonts w:ascii="Traditional Arabic" w:hAnsi="Traditional Arabic" w:cs="Traditional Arabic"/>
          <w:i/>
          <w:iCs/>
          <w:sz w:val="28"/>
          <w:szCs w:val="28"/>
          <w:lang w:val="en-US"/>
        </w:rPr>
        <w:t>Educational and Psychological Measurement, 30</w:t>
      </w:r>
      <w:r w:rsidRPr="00F75B20">
        <w:rPr>
          <w:rFonts w:ascii="Traditional Arabic" w:hAnsi="Traditional Arabic" w:cs="Traditional Arabic"/>
          <w:sz w:val="28"/>
          <w:szCs w:val="28"/>
          <w:lang w:val="en-US"/>
        </w:rPr>
        <w:t>(3), 607–610.</w:t>
      </w:r>
    </w:p>
    <w:p w:rsidR="00F75B20" w:rsidRPr="00F75B20" w:rsidRDefault="00F75B20" w:rsidP="00F75B20">
      <w:pPr>
        <w:bidi/>
        <w:spacing w:line="360" w:lineRule="auto"/>
        <w:jc w:val="both"/>
        <w:rPr>
          <w:rFonts w:ascii="Traditional Arabic" w:hAnsi="Traditional Arabic" w:cs="Traditional Arabic"/>
          <w:sz w:val="28"/>
          <w:szCs w:val="28"/>
          <w:lang w:val="en-US"/>
        </w:rPr>
      </w:pPr>
      <w:proofErr w:type="gramStart"/>
      <w:r w:rsidRPr="00F75B20">
        <w:rPr>
          <w:rFonts w:ascii="Traditional Arabic" w:hAnsi="Traditional Arabic" w:cs="Traditional Arabic"/>
          <w:sz w:val="28"/>
          <w:szCs w:val="28"/>
          <w:lang w:val="en-US"/>
        </w:rPr>
        <w:t xml:space="preserve">Saunders, M., Lewis, P., &amp; </w:t>
      </w:r>
      <w:proofErr w:type="spellStart"/>
      <w:r w:rsidRPr="00F75B20">
        <w:rPr>
          <w:rFonts w:ascii="Traditional Arabic" w:hAnsi="Traditional Arabic" w:cs="Traditional Arabic"/>
          <w:sz w:val="28"/>
          <w:szCs w:val="28"/>
          <w:lang w:val="en-US"/>
        </w:rPr>
        <w:t>Thornhill</w:t>
      </w:r>
      <w:proofErr w:type="spellEnd"/>
      <w:r w:rsidRPr="00F75B20">
        <w:rPr>
          <w:rFonts w:ascii="Traditional Arabic" w:hAnsi="Traditional Arabic" w:cs="Traditional Arabic"/>
          <w:sz w:val="28"/>
          <w:szCs w:val="28"/>
          <w:lang w:val="en-US"/>
        </w:rPr>
        <w:t>, A. (2023).</w:t>
      </w:r>
      <w:proofErr w:type="gramEnd"/>
      <w:r w:rsidRPr="00F75B20">
        <w:rPr>
          <w:rFonts w:ascii="Traditional Arabic" w:hAnsi="Traditional Arabic" w:cs="Traditional Arabic"/>
          <w:sz w:val="28"/>
          <w:szCs w:val="28"/>
          <w:lang w:val="en-US"/>
        </w:rPr>
        <w:t xml:space="preserve"> </w:t>
      </w:r>
      <w:r w:rsidRPr="00F75B20">
        <w:rPr>
          <w:rFonts w:ascii="Traditional Arabic" w:hAnsi="Traditional Arabic" w:cs="Traditional Arabic"/>
          <w:i/>
          <w:iCs/>
          <w:sz w:val="28"/>
          <w:szCs w:val="28"/>
          <w:lang w:val="en-US"/>
        </w:rPr>
        <w:t>Research methods for business students</w:t>
      </w:r>
      <w:r w:rsidRPr="00F75B20">
        <w:rPr>
          <w:rFonts w:ascii="Traditional Arabic" w:hAnsi="Traditional Arabic" w:cs="Traditional Arabic"/>
          <w:sz w:val="28"/>
          <w:szCs w:val="28"/>
          <w:lang w:val="en-US"/>
        </w:rPr>
        <w:t xml:space="preserve"> (9th </w:t>
      </w:r>
      <w:proofErr w:type="gramStart"/>
      <w:r w:rsidRPr="00F75B20">
        <w:rPr>
          <w:rFonts w:ascii="Traditional Arabic" w:hAnsi="Traditional Arabic" w:cs="Traditional Arabic"/>
          <w:sz w:val="28"/>
          <w:szCs w:val="28"/>
          <w:lang w:val="en-US"/>
        </w:rPr>
        <w:t>ed</w:t>
      </w:r>
      <w:proofErr w:type="gramEnd"/>
      <w:r w:rsidRPr="00F75B20">
        <w:rPr>
          <w:rFonts w:ascii="Traditional Arabic" w:hAnsi="Traditional Arabic" w:cs="Traditional Arabic"/>
          <w:sz w:val="28"/>
          <w:szCs w:val="28"/>
          <w:lang w:val="en-US"/>
        </w:rPr>
        <w:t>.). Pearson.</w:t>
      </w:r>
    </w:p>
    <w:p w:rsidR="00F75B20" w:rsidRPr="00F75B20" w:rsidRDefault="00F75B20" w:rsidP="00F75B20">
      <w:pPr>
        <w:bidi/>
        <w:spacing w:line="360" w:lineRule="auto"/>
        <w:jc w:val="both"/>
        <w:rPr>
          <w:rFonts w:ascii="Traditional Arabic" w:hAnsi="Traditional Arabic" w:cs="Traditional Arabic"/>
          <w:sz w:val="28"/>
          <w:szCs w:val="28"/>
          <w:lang w:val="en-US"/>
        </w:rPr>
      </w:pPr>
      <w:proofErr w:type="spellStart"/>
      <w:proofErr w:type="gramStart"/>
      <w:r w:rsidRPr="00F75B20">
        <w:rPr>
          <w:rFonts w:ascii="Traditional Arabic" w:hAnsi="Traditional Arabic" w:cs="Traditional Arabic"/>
          <w:sz w:val="28"/>
          <w:szCs w:val="28"/>
          <w:lang w:val="en-US"/>
        </w:rPr>
        <w:t>Sekaran</w:t>
      </w:r>
      <w:proofErr w:type="spellEnd"/>
      <w:r w:rsidRPr="00F75B20">
        <w:rPr>
          <w:rFonts w:ascii="Traditional Arabic" w:hAnsi="Traditional Arabic" w:cs="Traditional Arabic"/>
          <w:sz w:val="28"/>
          <w:szCs w:val="28"/>
          <w:lang w:val="en-US"/>
        </w:rPr>
        <w:t xml:space="preserve">, U., &amp; </w:t>
      </w:r>
      <w:proofErr w:type="spellStart"/>
      <w:r w:rsidRPr="00F75B20">
        <w:rPr>
          <w:rFonts w:ascii="Traditional Arabic" w:hAnsi="Traditional Arabic" w:cs="Traditional Arabic"/>
          <w:sz w:val="28"/>
          <w:szCs w:val="28"/>
          <w:lang w:val="en-US"/>
        </w:rPr>
        <w:t>Bougie</w:t>
      </w:r>
      <w:proofErr w:type="spellEnd"/>
      <w:r w:rsidRPr="00F75B20">
        <w:rPr>
          <w:rFonts w:ascii="Traditional Arabic" w:hAnsi="Traditional Arabic" w:cs="Traditional Arabic"/>
          <w:sz w:val="28"/>
          <w:szCs w:val="28"/>
          <w:lang w:val="en-US"/>
        </w:rPr>
        <w:t>, R. (2020).</w:t>
      </w:r>
      <w:proofErr w:type="gramEnd"/>
      <w:r w:rsidRPr="00F75B20">
        <w:rPr>
          <w:rFonts w:ascii="Traditional Arabic" w:hAnsi="Traditional Arabic" w:cs="Traditional Arabic"/>
          <w:sz w:val="28"/>
          <w:szCs w:val="28"/>
          <w:lang w:val="en-US"/>
        </w:rPr>
        <w:t xml:space="preserve"> </w:t>
      </w:r>
      <w:r w:rsidRPr="00F75B20">
        <w:rPr>
          <w:rFonts w:ascii="Traditional Arabic" w:hAnsi="Traditional Arabic" w:cs="Traditional Arabic"/>
          <w:i/>
          <w:iCs/>
          <w:sz w:val="28"/>
          <w:szCs w:val="28"/>
          <w:lang w:val="en-US"/>
        </w:rPr>
        <w:t xml:space="preserve">Research methods for business: </w:t>
      </w:r>
      <w:proofErr w:type="gramStart"/>
      <w:r w:rsidRPr="00F75B20">
        <w:rPr>
          <w:rFonts w:ascii="Traditional Arabic" w:hAnsi="Traditional Arabic" w:cs="Traditional Arabic"/>
          <w:i/>
          <w:iCs/>
          <w:sz w:val="28"/>
          <w:szCs w:val="28"/>
          <w:lang w:val="en-US"/>
        </w:rPr>
        <w:t>A skill building approach</w:t>
      </w:r>
      <w:proofErr w:type="gramEnd"/>
      <w:r w:rsidRPr="00F75B20">
        <w:rPr>
          <w:rFonts w:ascii="Traditional Arabic" w:hAnsi="Traditional Arabic" w:cs="Traditional Arabic"/>
          <w:sz w:val="28"/>
          <w:szCs w:val="28"/>
          <w:lang w:val="en-US"/>
        </w:rPr>
        <w:t xml:space="preserve"> (8th ed.). </w:t>
      </w:r>
      <w:proofErr w:type="gramStart"/>
      <w:r w:rsidRPr="00F75B20">
        <w:rPr>
          <w:rFonts w:ascii="Traditional Arabic" w:hAnsi="Traditional Arabic" w:cs="Traditional Arabic"/>
          <w:sz w:val="28"/>
          <w:szCs w:val="28"/>
          <w:lang w:val="en-US"/>
        </w:rPr>
        <w:t>Wiley.</w:t>
      </w:r>
      <w:proofErr w:type="gramEnd"/>
    </w:p>
    <w:p w:rsidR="00F75B20" w:rsidRPr="000B1966" w:rsidRDefault="00F75B20" w:rsidP="00F75B20">
      <w:pPr>
        <w:bidi/>
        <w:spacing w:line="360" w:lineRule="auto"/>
        <w:jc w:val="both"/>
        <w:rPr>
          <w:rFonts w:ascii="Traditional Arabic" w:hAnsi="Traditional Arabic" w:cs="Traditional Arabic"/>
          <w:sz w:val="28"/>
          <w:szCs w:val="28"/>
          <w:rtl/>
          <w:lang w:val="en-US"/>
        </w:rPr>
      </w:pPr>
    </w:p>
    <w:p w:rsidR="000B1966" w:rsidRPr="000B1966" w:rsidRDefault="000B1966" w:rsidP="000B1966">
      <w:pPr>
        <w:bidi/>
        <w:spacing w:line="360" w:lineRule="auto"/>
        <w:jc w:val="both"/>
        <w:rPr>
          <w:rFonts w:ascii="Traditional Arabic" w:hAnsi="Traditional Arabic" w:cs="Traditional Arabic"/>
          <w:sz w:val="28"/>
          <w:szCs w:val="28"/>
          <w:lang w:val="en-US"/>
        </w:rPr>
      </w:pPr>
    </w:p>
    <w:sectPr w:rsidR="000B1966" w:rsidRPr="000B1966"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B71AA"/>
    <w:multiLevelType w:val="multilevel"/>
    <w:tmpl w:val="8FDC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6A763C"/>
    <w:multiLevelType w:val="multilevel"/>
    <w:tmpl w:val="6D303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DC0C03"/>
    <w:multiLevelType w:val="multilevel"/>
    <w:tmpl w:val="15EEC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43C01CB"/>
    <w:multiLevelType w:val="multilevel"/>
    <w:tmpl w:val="CEA64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9B06F94"/>
    <w:multiLevelType w:val="multilevel"/>
    <w:tmpl w:val="B3E4D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7F5"/>
    <w:rsid w:val="00077D6F"/>
    <w:rsid w:val="000B1966"/>
    <w:rsid w:val="001767F5"/>
    <w:rsid w:val="001E4DDA"/>
    <w:rsid w:val="007419CC"/>
    <w:rsid w:val="00905479"/>
    <w:rsid w:val="00F67B03"/>
    <w:rsid w:val="00F75B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7B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7B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42311">
      <w:bodyDiv w:val="1"/>
      <w:marLeft w:val="0"/>
      <w:marRight w:val="0"/>
      <w:marTop w:val="0"/>
      <w:marBottom w:val="0"/>
      <w:divBdr>
        <w:top w:val="none" w:sz="0" w:space="0" w:color="auto"/>
        <w:left w:val="none" w:sz="0" w:space="0" w:color="auto"/>
        <w:bottom w:val="none" w:sz="0" w:space="0" w:color="auto"/>
        <w:right w:val="none" w:sz="0" w:space="0" w:color="auto"/>
      </w:divBdr>
    </w:div>
    <w:div w:id="71779820">
      <w:bodyDiv w:val="1"/>
      <w:marLeft w:val="0"/>
      <w:marRight w:val="0"/>
      <w:marTop w:val="0"/>
      <w:marBottom w:val="0"/>
      <w:divBdr>
        <w:top w:val="none" w:sz="0" w:space="0" w:color="auto"/>
        <w:left w:val="none" w:sz="0" w:space="0" w:color="auto"/>
        <w:bottom w:val="none" w:sz="0" w:space="0" w:color="auto"/>
        <w:right w:val="none" w:sz="0" w:space="0" w:color="auto"/>
      </w:divBdr>
    </w:div>
    <w:div w:id="388967851">
      <w:bodyDiv w:val="1"/>
      <w:marLeft w:val="0"/>
      <w:marRight w:val="0"/>
      <w:marTop w:val="0"/>
      <w:marBottom w:val="0"/>
      <w:divBdr>
        <w:top w:val="none" w:sz="0" w:space="0" w:color="auto"/>
        <w:left w:val="none" w:sz="0" w:space="0" w:color="auto"/>
        <w:bottom w:val="none" w:sz="0" w:space="0" w:color="auto"/>
        <w:right w:val="none" w:sz="0" w:space="0" w:color="auto"/>
      </w:divBdr>
      <w:divsChild>
        <w:div w:id="648705690">
          <w:marLeft w:val="0"/>
          <w:marRight w:val="0"/>
          <w:marTop w:val="0"/>
          <w:marBottom w:val="0"/>
          <w:divBdr>
            <w:top w:val="none" w:sz="0" w:space="0" w:color="auto"/>
            <w:left w:val="none" w:sz="0" w:space="0" w:color="auto"/>
            <w:bottom w:val="none" w:sz="0" w:space="0" w:color="auto"/>
            <w:right w:val="none" w:sz="0" w:space="0" w:color="auto"/>
          </w:divBdr>
          <w:divsChild>
            <w:div w:id="190795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19490">
      <w:bodyDiv w:val="1"/>
      <w:marLeft w:val="0"/>
      <w:marRight w:val="0"/>
      <w:marTop w:val="0"/>
      <w:marBottom w:val="0"/>
      <w:divBdr>
        <w:top w:val="none" w:sz="0" w:space="0" w:color="auto"/>
        <w:left w:val="none" w:sz="0" w:space="0" w:color="auto"/>
        <w:bottom w:val="none" w:sz="0" w:space="0" w:color="auto"/>
        <w:right w:val="none" w:sz="0" w:space="0" w:color="auto"/>
      </w:divBdr>
    </w:div>
    <w:div w:id="661933554">
      <w:bodyDiv w:val="1"/>
      <w:marLeft w:val="0"/>
      <w:marRight w:val="0"/>
      <w:marTop w:val="0"/>
      <w:marBottom w:val="0"/>
      <w:divBdr>
        <w:top w:val="none" w:sz="0" w:space="0" w:color="auto"/>
        <w:left w:val="none" w:sz="0" w:space="0" w:color="auto"/>
        <w:bottom w:val="none" w:sz="0" w:space="0" w:color="auto"/>
        <w:right w:val="none" w:sz="0" w:space="0" w:color="auto"/>
      </w:divBdr>
    </w:div>
    <w:div w:id="890531524">
      <w:bodyDiv w:val="1"/>
      <w:marLeft w:val="0"/>
      <w:marRight w:val="0"/>
      <w:marTop w:val="0"/>
      <w:marBottom w:val="0"/>
      <w:divBdr>
        <w:top w:val="none" w:sz="0" w:space="0" w:color="auto"/>
        <w:left w:val="none" w:sz="0" w:space="0" w:color="auto"/>
        <w:bottom w:val="none" w:sz="0" w:space="0" w:color="auto"/>
        <w:right w:val="none" w:sz="0" w:space="0" w:color="auto"/>
      </w:divBdr>
    </w:div>
    <w:div w:id="1222594317">
      <w:bodyDiv w:val="1"/>
      <w:marLeft w:val="0"/>
      <w:marRight w:val="0"/>
      <w:marTop w:val="0"/>
      <w:marBottom w:val="0"/>
      <w:divBdr>
        <w:top w:val="none" w:sz="0" w:space="0" w:color="auto"/>
        <w:left w:val="none" w:sz="0" w:space="0" w:color="auto"/>
        <w:bottom w:val="none" w:sz="0" w:space="0" w:color="auto"/>
        <w:right w:val="none" w:sz="0" w:space="0" w:color="auto"/>
      </w:divBdr>
    </w:div>
    <w:div w:id="1257522578">
      <w:bodyDiv w:val="1"/>
      <w:marLeft w:val="0"/>
      <w:marRight w:val="0"/>
      <w:marTop w:val="0"/>
      <w:marBottom w:val="0"/>
      <w:divBdr>
        <w:top w:val="none" w:sz="0" w:space="0" w:color="auto"/>
        <w:left w:val="none" w:sz="0" w:space="0" w:color="auto"/>
        <w:bottom w:val="none" w:sz="0" w:space="0" w:color="auto"/>
        <w:right w:val="none" w:sz="0" w:space="0" w:color="auto"/>
      </w:divBdr>
    </w:div>
    <w:div w:id="1672490173">
      <w:bodyDiv w:val="1"/>
      <w:marLeft w:val="0"/>
      <w:marRight w:val="0"/>
      <w:marTop w:val="0"/>
      <w:marBottom w:val="0"/>
      <w:divBdr>
        <w:top w:val="none" w:sz="0" w:space="0" w:color="auto"/>
        <w:left w:val="none" w:sz="0" w:space="0" w:color="auto"/>
        <w:bottom w:val="none" w:sz="0" w:space="0" w:color="auto"/>
        <w:right w:val="none" w:sz="0" w:space="0" w:color="auto"/>
      </w:divBdr>
    </w:div>
    <w:div w:id="1930456403">
      <w:bodyDiv w:val="1"/>
      <w:marLeft w:val="0"/>
      <w:marRight w:val="0"/>
      <w:marTop w:val="0"/>
      <w:marBottom w:val="0"/>
      <w:divBdr>
        <w:top w:val="none" w:sz="0" w:space="0" w:color="auto"/>
        <w:left w:val="none" w:sz="0" w:space="0" w:color="auto"/>
        <w:bottom w:val="none" w:sz="0" w:space="0" w:color="auto"/>
        <w:right w:val="none" w:sz="0" w:space="0" w:color="auto"/>
      </w:divBdr>
    </w:div>
    <w:div w:id="1981425171">
      <w:bodyDiv w:val="1"/>
      <w:marLeft w:val="0"/>
      <w:marRight w:val="0"/>
      <w:marTop w:val="0"/>
      <w:marBottom w:val="0"/>
      <w:divBdr>
        <w:top w:val="none" w:sz="0" w:space="0" w:color="auto"/>
        <w:left w:val="none" w:sz="0" w:space="0" w:color="auto"/>
        <w:bottom w:val="none" w:sz="0" w:space="0" w:color="auto"/>
        <w:right w:val="none" w:sz="0" w:space="0" w:color="auto"/>
      </w:divBdr>
    </w:div>
    <w:div w:id="209296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4231</Words>
  <Characters>24122</Characters>
  <Application>Microsoft Office Word</Application>
  <DocSecurity>0</DocSecurity>
  <Lines>201</Lines>
  <Paragraphs>56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cp:revision>
  <dcterms:created xsi:type="dcterms:W3CDTF">2026-06-25T13:56:00Z</dcterms:created>
  <dcterms:modified xsi:type="dcterms:W3CDTF">2026-06-25T14:46:00Z</dcterms:modified>
</cp:coreProperties>
</file>