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4"/>
        </w:rPr>
        <w:t>Midocean University</w:t>
      </w:r>
    </w:p>
    <w:p>
      <w:pPr>
        <w:jc w:val="center"/>
      </w:pPr>
      <w:r>
        <w:rPr>
          <w:b/>
          <w:sz w:val="24"/>
        </w:rPr>
        <w:t>College of Management</w:t>
      </w:r>
    </w:p>
    <w:p>
      <w:pPr>
        <w:jc w:val="center"/>
      </w:pPr>
      <w:r>
        <w:rPr>
          <w:b/>
          <w:sz w:val="24"/>
        </w:rPr>
        <w:t>Department / Major: Risk Management</w:t>
      </w:r>
    </w:p>
    <w:p/>
    <w:p/>
    <w:p/>
    <w:p/>
    <w:p/>
    <w:p/>
    <w:p>
      <w:pPr>
        <w:jc w:val="center"/>
      </w:pPr>
      <w:r>
        <w:rPr>
          <w:b/>
          <w:sz w:val="32"/>
        </w:rPr>
        <w:t>Cascading Risk in Saudi Giga-Projects: A Dynamic Assessment Framework for Vision 2030</w:t>
      </w:r>
    </w:p>
    <w:p/>
    <w:p/>
    <w:p/>
    <w:p/>
    <w:p/>
    <w:p/>
    <w:p>
      <w:pPr>
        <w:jc w:val="center"/>
      </w:pPr>
      <w:r>
        <w:rPr>
          <w:b w:val="0"/>
          <w:sz w:val="24"/>
        </w:rPr>
        <w:t>Prepared by: Hassan Mansour Bantan</w:t>
      </w:r>
    </w:p>
    <w:p>
      <w:pPr>
        <w:jc w:val="center"/>
      </w:pPr>
      <w:r>
        <w:rPr>
          <w:b w:val="0"/>
          <w:sz w:val="24"/>
        </w:rPr>
        <w:t>Supervised by: Nour Affour</w:t>
      </w:r>
    </w:p>
    <w:p/>
    <w:p/>
    <w:p>
      <w:pPr>
        <w:jc w:val="center"/>
      </w:pPr>
      <w:r>
        <w:rPr>
          <w:b w:val="0"/>
          <w:sz w:val="24"/>
        </w:rPr>
        <w:t>2026</w:t>
      </w:r>
    </w:p>
    <w:p>
      <w:r>
        <w:br w:type="page"/>
      </w:r>
    </w:p>
    <w:p>
      <w:r>
        <w:br w:type="page"/>
      </w:r>
    </w:p>
    <w:p>
      <w:pPr>
        <w:pStyle w:val="Heading1"/>
      </w:pPr>
      <w:r>
        <w:t>Contents</w:t>
      </w:r>
    </w:p>
    <w:p>
      <w:pPr>
        <w:pStyle w:val="Heading2"/>
      </w:pPr>
      <w:r>
        <w:t>Chapter 1: Introduction</w:t>
      </w:r>
    </w:p>
    <w:p>
      <w:pPr>
        <w:pStyle w:val="ListBullet"/>
      </w:pPr>
      <w:r>
        <w:t>1.1 Vision 2030 and the transformation agenda</w:t>
      </w:r>
    </w:p>
    <w:p>
      <w:pPr>
        <w:pStyle w:val="ListBullet"/>
      </w:pPr>
      <w:r>
        <w:t>1.2 What distinguishes a giga-project</w:t>
      </w:r>
    </w:p>
    <w:p>
      <w:pPr>
        <w:pStyle w:val="ListBullet"/>
      </w:pPr>
      <w:r>
        <w:t>1.3 The research problem</w:t>
      </w:r>
    </w:p>
    <w:p>
      <w:pPr>
        <w:pStyle w:val="ListBullet"/>
      </w:pPr>
      <w:r>
        <w:t>1.4 Significance of the study</w:t>
      </w:r>
    </w:p>
    <w:p>
      <w:pPr>
        <w:pStyle w:val="ListBullet"/>
      </w:pPr>
      <w:r>
        <w:t>1.5 Objectives and research questions</w:t>
      </w:r>
    </w:p>
    <w:p>
      <w:pPr>
        <w:pStyle w:val="ListBullet"/>
      </w:pPr>
      <w:r>
        <w:t>1.6 Propositions</w:t>
      </w:r>
    </w:p>
    <w:p>
      <w:pPr>
        <w:pStyle w:val="Heading2"/>
      </w:pPr>
      <w:r>
        <w:t>Chapter 2: Literature Review</w:t>
      </w:r>
    </w:p>
    <w:p>
      <w:pPr>
        <w:pStyle w:val="ListBullet"/>
      </w:pPr>
      <w:r>
        <w:t>2.1 The iron law of megaprojects</w:t>
      </w:r>
    </w:p>
    <w:p>
      <w:pPr>
        <w:pStyle w:val="ListBullet"/>
      </w:pPr>
      <w:r>
        <w:t>2.2 Complicated systems and complex ones</w:t>
      </w:r>
    </w:p>
    <w:p>
      <w:pPr>
        <w:pStyle w:val="ListBullet"/>
      </w:pPr>
      <w:r>
        <w:t>2.3 Optimism bias and strategic misrepresentation</w:t>
      </w:r>
    </w:p>
    <w:p>
      <w:pPr>
        <w:pStyle w:val="ListBullet"/>
      </w:pPr>
      <w:r>
        <w:t>2.4 The limits of the probability-impact matrix</w:t>
      </w:r>
    </w:p>
    <w:p>
      <w:pPr>
        <w:pStyle w:val="ListBullet"/>
      </w:pPr>
      <w:r>
        <w:t>2.5 The Saudi evidence base</w:t>
      </w:r>
    </w:p>
    <w:p>
      <w:pPr>
        <w:pStyle w:val="Heading2"/>
      </w:pPr>
      <w:r>
        <w:t>Chapter 3: Theoretical Framework</w:t>
      </w:r>
    </w:p>
    <w:p>
      <w:pPr>
        <w:pStyle w:val="ListBullet"/>
      </w:pPr>
      <w:r>
        <w:t>3.1 Complexity theory and the limits of prediction</w:t>
      </w:r>
    </w:p>
    <w:p>
      <w:pPr>
        <w:pStyle w:val="ListBullet"/>
      </w:pPr>
      <w:r>
        <w:t>3.2 Tight coupling and normal accidents</w:t>
      </w:r>
    </w:p>
    <w:p>
      <w:pPr>
        <w:pStyle w:val="ListBullet"/>
      </w:pPr>
      <w:r>
        <w:t>3.3 Decision-making under mandate pressure</w:t>
      </w:r>
    </w:p>
    <w:p>
      <w:pPr>
        <w:pStyle w:val="ListBullet"/>
      </w:pPr>
      <w:r>
        <w:t>3.4 From robustness to antifragility</w:t>
      </w:r>
    </w:p>
    <w:p>
      <w:pPr>
        <w:pStyle w:val="ListBullet"/>
      </w:pPr>
      <w:r>
        <w:t>3.5 How the frameworks interface in the proposed model</w:t>
      </w:r>
    </w:p>
    <w:p>
      <w:pPr>
        <w:pStyle w:val="Heading2"/>
      </w:pPr>
      <w:r>
        <w:t>Chapter 4: Research Methodology</w:t>
      </w:r>
    </w:p>
    <w:p>
      <w:pPr>
        <w:pStyle w:val="ListBullet"/>
      </w:pPr>
      <w:r>
        <w:t>4.1 Research philosophy</w:t>
      </w:r>
    </w:p>
    <w:p>
      <w:pPr>
        <w:pStyle w:val="ListBullet"/>
      </w:pPr>
      <w:r>
        <w:t>4.2 Research design</w:t>
      </w:r>
    </w:p>
    <w:p>
      <w:pPr>
        <w:pStyle w:val="ListBullet"/>
      </w:pPr>
      <w:r>
        <w:t>4.3 Access constraints and sampling strategy</w:t>
      </w:r>
    </w:p>
    <w:p>
      <w:pPr>
        <w:pStyle w:val="ListBullet"/>
      </w:pPr>
      <w:r>
        <w:t>4.4 The documentary strand</w:t>
      </w:r>
    </w:p>
    <w:p>
      <w:pPr>
        <w:pStyle w:val="ListBullet"/>
      </w:pPr>
      <w:r>
        <w:t>4.5 The expert panel</w:t>
      </w:r>
    </w:p>
    <w:p>
      <w:pPr>
        <w:pStyle w:val="ListBullet"/>
      </w:pPr>
      <w:r>
        <w:t>4.6 Data analysis</w:t>
      </w:r>
    </w:p>
    <w:p>
      <w:pPr>
        <w:pStyle w:val="Heading2"/>
      </w:pPr>
      <w:r>
        <w:t>Chapter 5: Instruments</w:t>
      </w:r>
    </w:p>
    <w:p>
      <w:pPr>
        <w:pStyle w:val="ListBullet"/>
      </w:pPr>
      <w:r>
        <w:t>5.1 Interview protocol</w:t>
      </w:r>
    </w:p>
    <w:p>
      <w:pPr>
        <w:pStyle w:val="ListBullet"/>
      </w:pPr>
      <w:r>
        <w:t>5.2 Delphi survey instrument</w:t>
      </w:r>
    </w:p>
    <w:p>
      <w:pPr>
        <w:pStyle w:val="ListBullet"/>
      </w:pPr>
      <w:r>
        <w:t>5.3 The interdependency map</w:t>
      </w:r>
    </w:p>
    <w:p>
      <w:pPr>
        <w:pStyle w:val="Heading2"/>
      </w:pPr>
      <w:r>
        <w:t>Chapter 6: Limitations, Ethics, and Conclusion</w:t>
      </w:r>
    </w:p>
    <w:p>
      <w:pPr>
        <w:pStyle w:val="ListBullet"/>
      </w:pPr>
      <w:r>
        <w:t>6.1 Limitations and delimitations</w:t>
      </w:r>
    </w:p>
    <w:p>
      <w:pPr>
        <w:pStyle w:val="ListBullet"/>
      </w:pPr>
      <w:r>
        <w:t>6.2 Ethical considerations</w:t>
      </w:r>
    </w:p>
    <w:p>
      <w:pPr>
        <w:pStyle w:val="ListBullet"/>
      </w:pPr>
      <w:r>
        <w:t>6.3 Conclusion</w:t>
      </w:r>
    </w:p>
    <w:p>
      <w:pPr>
        <w:pStyle w:val="Heading2"/>
      </w:pPr>
      <w:r>
        <w:t>References</w:t>
      </w:r>
    </w:p>
    <w:p>
      <w:pPr>
        <w:pStyle w:val="Heading1"/>
      </w:pPr>
      <w:r>
        <w:t>Chapter 1: Introduction</w:t>
      </w:r>
    </w:p>
    <w:p>
      <w:pPr>
        <w:pStyle w:val="Heading2"/>
      </w:pPr>
      <w:r>
        <w:t>1.1 Vision 2030 and the transformation agenda</w:t>
      </w:r>
    </w:p>
    <w:p>
      <w:pPr/>
      <w:r>
        <w:t>Vision 2030, announced in 2016, committed Saudi Arabia to reducing the share of hydrocarbon revenue in its national accounts within a compressed period. Its most visible instruments are a small number of very large development programs, among them NEOM on the north-western coast, the Red Sea tourism development, and Qiddiya outside Riyadh. The trade press calls these giga-projects, a label that has circulated widely without acquiring a settled definition, and which risk tools can reasonably be applied depends on how the category is drawn.</w:t>
      </w:r>
    </w:p>
    <w:p>
      <w:pPr/>
      <w:r>
        <w:t>A megaproject is conventionally any capital program above one billion dollars, a threshold broad enough to include the Channel Tunnel, Boston's Central Artery replacement, and most national rail schemes (Flyvbjerg, Bruzelius, &amp; Rothengatter, 2003). Announced budgets for the Saudi programs run into the tens and in some cases hundreds of billions, with delivery horizons longer than a single political or commercial cycle. Scale by itself is a thin basis on which to declare a new category. What separates these programs from large conventional infrastructure is that each bundles together several development problems normally solved in sequence, by different institutions, under different regulatory regimes. NEOM is a construction program. It is also a legislative project, an energy project, and an attempt to establish a resident population in a location that has almost none. None of these can be completed independently of the others.</w:t>
      </w:r>
    </w:p>
    <w:p>
      <w:pPr>
        <w:pStyle w:val="Heading2"/>
      </w:pPr>
      <w:r>
        <w:t>1.2 What distinguishes a giga-project</w:t>
      </w:r>
    </w:p>
    <w:p>
      <w:pPr/>
      <w:r>
        <w:t>Interdependency, therefore, is the distinguishing property. Baccarini (1996) defines project complexity through differentiation, the number of distinct elements, and interdependency, the degree to which those elements are connected, and argues that complexity so defined calls for management through integration. Giga-projects score high on both components, though it is the second that governs their risk behavior. Delay in commissioning the energy grid postpones the construction that draws on it, and the consequences continue past that point. It can leave a regulatory framework drafted around a technology that has since moved on, and it can undermine the demand assumptions on which the original investment case rested.</w:t>
      </w:r>
    </w:p>
    <w:p>
      <w:pPr/>
      <w:r>
        <w:t>The two components differ in how they can be recorded. Differentiation is countable, and a work breakdown structure counts it. Interdependency is a property of the relations between elements, representable only as a matrix or a graph, and a conventional risk register contains no field of that kind.</w:t>
      </w:r>
    </w:p>
    <w:p>
      <w:pPr>
        <w:pStyle w:val="Heading2"/>
      </w:pPr>
      <w:r>
        <w:t>1.3 The research problem</w:t>
      </w:r>
    </w:p>
    <w:p>
      <w:pPr/>
      <w:r>
        <w:t>Risk assessment practice has not tracked this change. The dominant instrument across the industry remains the risk register: a list of identified hazards, each carrying a probability score, an impact score, and a mitigation owner. The register performs well when the hazard set is largely known and the probabilities can be estimated from comparable completed work. Neither condition holds securely here. Parts of the technology specified for THE LINE have no operating precedent, which leaves no population from which a failure rate could be drawn. Conditions relevant to a twenty-year delivery horizon, particularly in energy markets and regional politics, can move faster than the quarterly reporting cycle that is supposed to capture them.</w:t>
      </w:r>
    </w:p>
    <w:p>
      <w:pPr/>
      <w:r>
        <w:t>Standard risk instruments are built on predict-and-control assumptions. Giga-projects do not behave in a way those assumptions accommodate, and this study examines what follows when the instruments are applied anyway.</w:t>
      </w:r>
    </w:p>
    <w:p>
      <w:pPr/>
      <w:r>
        <w:t>Two mechanisms sustain the mismatch. One is behavioral, and it does its damage early. Around nine in ten megaprojects exceed their approved budgets (Flyvbjerg &amp; Gardner, 2023), a rate too stable across sectors and decades to be attributed to circumstance, and the estimates that anchor every later decision are produced by people with a professional stake in approval. Proportionally the error may be no larger at giga scale. Its absolute consequence changes character: a ten percent overrun on a conventional megaproject is absorbed as variance, while the same proportion applied across a sovereign portfolio of this size becomes a fiscal question for the state that underwrites it.</w:t>
      </w:r>
    </w:p>
    <w:p>
      <w:pPr/>
      <w:r>
        <w:t>The second mechanism has no equivalent moment of onset, being a standing property of how these programs are assembled. Construction, regulation, and finance are bound together tightly enough that a disturbance originating outside all three does not remain inside the project that first absorbs it. A movement in energy prices reaches the capital program, the revenue projections, and the sovereign budget underwriting both, and it reaches them at the same time. The two mechanisms are also connected. An appraisal that understates cost understates the buffer that would have absorbed the transmitted shock, so the behavioral failure at the front end is part of why the structural failure later is expensive.</w:t>
      </w:r>
    </w:p>
    <w:p>
      <w:pPr/>
      <w:r>
        <w:t>No risk framework in general use is calibrated for that combination. Building one is the purpose of this study.</w:t>
      </w:r>
    </w:p>
    <w:p>
      <w:pPr>
        <w:pStyle w:val="Heading2"/>
      </w:pPr>
      <w:r>
        <w:t>1.4 Significance of the study</w:t>
      </w:r>
    </w:p>
    <w:p>
      <w:pPr/>
      <w:r>
        <w:t>The Public Investment Fund's development portfolio and the National Transformation Program are close to coextensive in practice. Risk assessment inside those projects therefore reaches beyond project management and into the fiscal position of the state underwriting them.</w:t>
      </w:r>
    </w:p>
    <w:p>
      <w:pPr/>
      <w:r>
        <w:t>A second contribution is narrower and academic. Complexity theory is well developed as a description of how certain systems behave and much less developed as a source of usable decision rules. Applying it to projects of this scale, where the claim that cause and effect are legible only in retrospect carries immediate operational consequences, offers one way to establish whether the theory does analytical work or only descriptive work.</w:t>
      </w:r>
    </w:p>
    <w:p>
      <w:pPr/>
      <w:r>
        <w:t>A third audience is practical. Contingency on programs of this size is normally set at a stated confidence level read off a simulated cost distribution. If the distribution is built on assumptions that do not hold, the confidence level attached to it is a number without a referent, and the sum it produces is defended in budget documents as though it were a measurement.</w:t>
      </w:r>
    </w:p>
    <w:p>
      <w:pPr/>
      <w:r>
        <w:t>There is also the question of what these projects were promised to deliver. The housing, employment, and diversification commitments made under Vision 2030 rest on them.</w:t>
      </w:r>
    </w:p>
    <w:p>
      <w:pPr>
        <w:pStyle w:val="Heading2"/>
      </w:pPr>
      <w:r>
        <w:t>1.5 Objectives and research questions</w:t>
      </w:r>
    </w:p>
    <w:p>
      <w:pPr/>
      <w:r>
        <w:t>The study pursues one governing objective, with subordinate questions that follow from it.</w:t>
      </w:r>
    </w:p>
    <w:p>
      <w:pPr/>
      <w:r>
        <w:t>The governing objective is to develop, and partially validate, a risk assessment framework calibrated for conditions of high interdependency and low precedent, using the Saudi giga-project portfolio as the case environment.</w:t>
      </w:r>
    </w:p>
    <w:p>
      <w:pPr/>
      <w:r>
        <w:t>Reaching it requires answering several narrower questions, which differ in kind as well as in scope.</w:t>
      </w:r>
    </w:p>
    <w:p>
      <w:pPr/>
      <w:r>
        <w:t>The first is diagnostic. Where exactly do ISO 31000 and PMBOK-derived methods fail when applied to projects of this type, and is the failure one of implementation or of underlying assumption? Implementation failures are answerable by training and compliance. A failure lodged in the assumptions of the instrument is beyond the reach of both, and mistaking one for the other produces a correction aimed at the wrong target.</w:t>
      </w:r>
    </w:p>
    <w:p>
      <w:pPr/>
      <w:r>
        <w:t>The second concerns transmission. Risks in these programs are correlated: by what route does a local disruption, a delayed material delivery at the Red Sea site for example, become a portfolio-level exposure, and are those routes stable enough to be mapped in advance?</w:t>
      </w:r>
    </w:p>
    <w:p>
      <w:pPr/>
      <w:r>
        <w:t>The third is a design question and depends on answers to the first two. What must a risk framework contain, structurally, for a cascading exposure to register early enough that a decision-maker can still act on it?</w:t>
      </w:r>
    </w:p>
    <w:p>
      <w:pPr/>
      <w:r>
        <w:t>A fourth question runs underneath the others and is methodological in character. Given that the internal risk documentation of these projects is largely inaccessible, how much can be inferred about risk governance from external evidence, and where does that inference stop? An answer is required before the first three can be defended.</w:t>
      </w:r>
    </w:p>
    <w:p>
      <w:pPr>
        <w:pStyle w:val="Heading2"/>
      </w:pPr>
      <w:r>
        <w:t>1.6 Propositions</w:t>
      </w:r>
    </w:p>
    <w:p>
      <w:pPr/>
      <w:r>
        <w:t>The study advances three propositions:</w:t>
      </w:r>
    </w:p>
    <w:p>
      <w:pPr/>
      <w:r>
        <w:t>Proposition 1. Static risk registers understate cascading exposure systematically. A register records each risk as an independent line item and offers no field in which a dependency between two entries can be expressed. The resulting omission is directional, since it can only bias the aggregate downward. It also enters at the feasibility stage, where estimates are most durable, and it is inherited by whatever quantitative model the register subsequently feeds, where it reappears as an unpopulated off-diagonal in the correlation matrix.</w:t>
      </w:r>
    </w:p>
    <w:p>
      <w:pPr/>
      <w:r>
        <w:t>Proposition 2. The review cycle is itself a source of risk. Where regulatory, technological, and market conditions change faster than the interval between formal risk reviews, the register in circulation describes a superseded state of the world, and the length of the interval sets the size of the discrepancy.</w:t>
      </w:r>
    </w:p>
    <w:p>
      <w:pPr/>
      <w:r>
        <w:t>Proposition 3 is comparative. Assessed twice on the same project, once with a conventional probability-impact register and once with a method combining reference class forecasting with an explicit dependency map, the two assessments will yield materially different risk sets, with the divergence concentrated in exposures whose transmission path crosses an organizational or contractual boundary. The proposition fails if the two methods return substantially the same risks with differences confined to ordering, in which case the additional analytical machinery is not justified and the register should be retained.</w:t>
      </w:r>
    </w:p>
    <w:p>
      <w:pPr>
        <w:pStyle w:val="Heading1"/>
      </w:pPr>
      <w:r>
        <w:t>Chapter 2: Literature Review</w:t>
      </w:r>
    </w:p>
    <w:p>
      <w:pPr>
        <w:pStyle w:val="Heading2"/>
      </w:pPr>
      <w:r>
        <w:t>2.1 The iron law of megaprojects</w:t>
      </w:r>
    </w:p>
    <w:p>
      <w:pPr/>
      <w:r>
        <w:t>Flyvbjerg and Gardner (2023) report that nine of every ten megaprojects exceed their budgets, a finding drawn from a database assembled over two decades and consistent enough across sectors and jurisdictions to warrant the name the literature has given it. The earlier study of transport infrastructure across twenty countries by Flyvbjerg, Bruzelius, and Rothengatter (2003) had established the pattern and traced it to systematic misinformation at the approval stage. The Sydney Opera House, delivered at roughly fourteen times its approved cost, is the standard illustration; the first phase of the Channel Tunnel produced losses of a comparable order.</w:t>
      </w:r>
    </w:p>
    <w:p>
      <w:pPr/>
      <w:r>
        <w:t>The stability of the distribution is what rules out the convenient explanation. Failures spread this evenly across countries, sectors, and decades are not plausibly the product of local incompetence, which directs attention to the estimating method itself.</w:t>
      </w:r>
    </w:p>
    <w:p>
      <w:pPr/>
      <w:r>
        <w:t>Flyvbjerg's (2006) proposed correction, reference class forecasting, replaces the estimator's inside view with the outcome distribution of a class of completed comparators and applies an uplift read off that distribution at a chosen confidence level. Adopted in UK Treasury appraisal guidance and supported by an empirical record, the method rests on a precondition that giga-projects strain, since it requires a class populated well enough for a percentile to mean something.</w:t>
      </w:r>
    </w:p>
    <w:p>
      <w:pPr/>
      <w:r>
        <w:t>What the finding does not settle is why the method persists once its record is known. That question belongs to the behavioral literature considered below.</w:t>
      </w:r>
    </w:p>
    <w:p>
      <w:pPr>
        <w:pStyle w:val="Heading2"/>
      </w:pPr>
      <w:r>
        <w:t>2.2 Complicated systems and complex ones</w:t>
      </w:r>
    </w:p>
    <w:p>
      <w:pPr/>
      <w:r>
        <w:t>A recurring distinction separates complicated systems, which contain many parts but behave predictably enough to be decomposed and scheduled, from complex systems, whose behavior emerges from interaction and cannot be recovered from an inventory of components. Baccarini (1996) provided the early operational treatment. Williams (2002) extended it by modeling the feedback loops through which a local change propagates, showing that above a certain density of connection the effect of a delay ceases to be proportional to its duration.</w:t>
      </w:r>
    </w:p>
    <w:p>
      <w:pPr/>
      <w:r>
        <w:t>The modeling consequence is specific. Feedback of the kind Williams describes is cyclic: a delay triggers rework, the rework consumes the resource that would have absorbed the next delay, and the loop closes on itself. Most quantitative risk tools cannot represent a cycle at all. Critical path analysis operates on a directed acyclic graph by construction, and the Bayesian networks discussed in section 2.4 carry the same restriction.</w:t>
      </w:r>
    </w:p>
    <w:p>
      <w:pPr/>
      <w:r>
        <w:t>Giga-projects sit clearly in the second category. The practical consequence is that the work breakdown structure, which assumes decomposability, describes them incompletely.</w:t>
      </w:r>
    </w:p>
    <w:p>
      <w:pPr>
        <w:pStyle w:val="Heading2"/>
      </w:pPr>
      <w:r>
        <w:t>2.3 Optimism bias and strategic misrepresentation</w:t>
      </w:r>
    </w:p>
    <w:p>
      <w:pPr/>
      <w:r>
        <w:t>Behavioral economics supplies two competing accounts of why cost estimates fail, and they imply different corrections. Under the first, planners are subject to optimism bias and believe the figures they produce, a pattern consistent with the finding that people evaluate prospects relative to a reference point (Kahneman &amp; Tversky, 1979). Under the second, planners understate costs deliberately, because a candid estimate would not survive approval. Optimism is a cognitive failure and responds to procedural correction such as mandatory external review. Strategic misrepresentation is an incentive failure, and the reviewer applying the correction usually sits inside the same incentive structure as the estimator being corrected.</w:t>
      </w:r>
    </w:p>
    <w:p>
      <w:pPr/>
      <w:r>
        <w:t>Distinguishing the two empirically is difficult, and this study does not claim that it can. It treats the design implication as unavoidable regardless of which account holds: a framework that functions only when the estimator is candid is not a risk framework.</w:t>
      </w:r>
    </w:p>
    <w:p>
      <w:pPr>
        <w:pStyle w:val="Heading2"/>
      </w:pPr>
      <w:r>
        <w:t>2.4 The limits of the probability-impact matrix</w:t>
      </w:r>
    </w:p>
    <w:p>
      <w:pPr/>
      <w:r>
        <w:t>The probability-impact matrix remains the default instrument in practice, and its defects are documented in the risk analysis literature more thoroughly than its continued use would suggest. Cox (2008) set out the formal case. Matrix scores are ordinal, so a probability band labeled 4 denotes an interval and not a quantity, and multiplying two ordinal labels yields a product with no interpretation. Cox demonstrated that matrices of the common three-by-three and five-by-five designs can assign a higher qualitative rating to a risk that is quantitatively smaller, that the coloring of cells cannot be made consistent with an underlying continuous risk measure except under restrictive conditions, and that range compression inside a band conceals differences of one or two orders of magnitude between risks that share a cell.</w:t>
      </w:r>
    </w:p>
    <w:p>
      <w:pPr/>
      <w:r>
        <w:t>Independence is the second defect and the one this study takes up. Ranking the products of probability and impact presumes the ranked risks are separable, so that aggregate exposure is the sum of the individual entries. In a densely coupled program the presumption is false, and the error runs one way, because correlated risks arrive together and simultaneity is the condition for which contingency is sized. A matrix populated correctly, by competent people, using accurate individual estimates, can still understate portfolio exposure for this reason alone.</w:t>
      </w:r>
    </w:p>
    <w:p>
      <w:pPr/>
      <w:r>
        <w:t>Quantitative escalation does not by itself resolve either defect. Cost and schedule risk analysis on programs of this size is normally run as a Monte Carlo simulation, with a triangular or PERT-beta distribution fitted to each line item and ten thousand or more iterations sampled to produce an aggregate distribution from which contingency is drawn at a stated confidence level, commonly the eightieth percentile (Vose, 2008). Sampled independently, the line items behave as the central limit theorem says they should. Adding uncorrelated variances produces an aggregate whose coefficient of variation falls as the number of items rises, so a two-hundred-line register returns a portfolio distribution tighter than any single line inside it. That is the opposite of how a tightly coupled program behaves, and the analyst is given a narrower answer for having itemized more carefully.</w:t>
      </w:r>
    </w:p>
    <w:p>
      <w:pPr/>
      <w:r>
        <w:t>The tooling permits correction. Rank-order correlation can be induced among sampled inputs by the procedure of Iman and Conover (1982), implemented in the standard commercial packages, which preserves each input's marginal distribution while imposing a specified Spearman correlation structure. The obstacle is elicitation volume. A correlation matrix over n risks requires n(n-1)/2 coefficients, so a register of sixty entries calls for one thousand seven hundred and seventy pairwise judgments, and the completed matrix must still be positive semi-definite. Analysts populate a handful of pairs and leave the rest at zero. Independence returns as a default, and the model reports its result to two decimal places regardless.</w:t>
      </w:r>
    </w:p>
    <w:p>
      <w:pPr/>
      <w:r>
        <w:t>Schedule analysis carries a related defect. Where parallel paths converge on a milestone, the expected date of the merge point falls later than the expected date of any path feeding it, since the merge takes the maximum of several random variables and the expected maximum of a set of distributions exceeds the maximum of their means. Hulett (2009) treats this merge bias as a routine correction and a routinely omitted one. Deterministic critical path method ignores it altogether, and the error is largest on schedules carrying many near-critical parallel paths, which describes every giga-project site running concurrent contractors.</w:t>
      </w:r>
    </w:p>
    <w:p>
      <w:pPr/>
      <w:r>
        <w:t>Bayesian networks are the most developed alternative for representing dependency directly. A network encodes risks as nodes in a directed acyclic graph and stores a conditional probability table at each node, so the effect of one risk on another is stated explicitly and evidence about an observed event propagates through the graph to update the remainder (Fenton &amp; Neil, 2012). The representational gain is real, and so is its price. A node with k parents each taking m states requires m to the power k entries in its table, so elicitation grows exponentially in the number of dependencies the analyst is willing to admit, and the acyclicity requirement excludes exactly the feedback loops Williams (2002) identified as the mechanism of nonlinear propagation. Neither the matrix nor its quantitative successors dispose of the problem. They relocate it.</w:t>
      </w:r>
    </w:p>
    <w:p>
      <w:pPr>
        <w:pStyle w:val="Heading2"/>
      </w:pPr>
      <w:r>
        <w:t>2.5 The Saudi evidence base</w:t>
      </w:r>
    </w:p>
    <w:p>
      <w:pPr/>
      <w:r>
        <w:t>The literature specific to Saudi giga-projects is thin, recent, and dominated by commercial sources. Knight Frank's (2025) annual survey of contract awards is among the more substantial public datasets, reporting awards of US$196 billion in 2025, though its focus is commercial activity. Academic treatment has tracked the projects' announcements more closely than their delivery, and where peer-reviewed work exists it is largely conceptual. Empirical studies of delivery performance on these specific programs have not appeared. Chapter 4 accordingly leans on documentary sources produced for other purposes.</w:t>
      </w:r>
    </w:p>
    <w:p>
      <w:pPr>
        <w:pStyle w:val="Heading1"/>
      </w:pPr>
      <w:r>
        <w:t>Chapter 3: Theoretical Framework</w:t>
      </w:r>
    </w:p>
    <w:p>
      <w:pPr>
        <w:pStyle w:val="Heading2"/>
      </w:pPr>
      <w:r>
        <w:t>3.1 Complexity theory and the limits of prediction</w:t>
      </w:r>
    </w:p>
    <w:p>
      <w:pPr/>
      <w:r>
        <w:t>Complexity theory treats certain systems as adaptive, meaning that their components respond to one another and to their environment in ways that generate system-level behavior no component exhibits alone. Mitchell (2009) surveys the field's development and is careful about the boundary between systems that display this property and those to which the vocabulary has been applied loosely.</w:t>
      </w:r>
    </w:p>
    <w:p>
      <w:pPr/>
      <w:r>
        <w:t>For present purposes the relevant claim is narrower and concerns prediction. Where components adapt to one another, the relationship between an intervention and its effect is not stable over time, because each intervention alters the conditions under which the next one operates. Forecasting methods that assume a stationary relationship will therefore degrade as the horizon lengthens, and they will degrade faster in more densely connected systems.</w:t>
      </w:r>
    </w:p>
    <w:p>
      <w:pPr>
        <w:pStyle w:val="Heading2"/>
      </w:pPr>
      <w:r>
        <w:t>3.2 Tight coupling and normal accidents</w:t>
      </w:r>
    </w:p>
    <w:p>
      <w:pPr/>
      <w:r>
        <w:t>Perrow (1999) argues that two properties taken together make serious accidents a normal statistical outcome. Interactive complexity describes a system in which components can affect one another through unfamiliar or unintended paths. Tight coupling describes one in which processes are time-dependent and little slack exists between stages. Either property alone is manageable. Where both are present, failures appear that cannot be designed out, because the response to one failure becomes an input to the next.</w:t>
      </w:r>
    </w:p>
    <w:p>
      <w:pPr/>
      <w:r>
        <w:t>The Red Sea development illustrates the configuration. Environmental protection obligations, hospitality operations, and the logistics required to supply a remote site are closely connected, so a fault at a desalination facility is not contained within utilities. It reaches the marine environment on which the project's environmental case depends, and through that the commercial proposition that justified the investment.</w:t>
      </w:r>
    </w:p>
    <w:p>
      <w:pPr/>
      <w:r>
        <w:t>Perrow's practical contribution is the observation that the two properties are separable. Coupling can be loosened by adding slack, inventory, or float. Reducing interactive complexity generally means removing an interface the design exists to create, so the two diagnoses call for different responses and should not be collapsed into one score.</w:t>
      </w:r>
    </w:p>
    <w:p>
      <w:pPr>
        <w:pStyle w:val="Heading2"/>
      </w:pPr>
      <w:r>
        <w:t>3.3 Decision-making under mandate pressure</w:t>
      </w:r>
    </w:p>
    <w:p>
      <w:pPr/>
      <w:r>
        <w:t>Prospect theory describes how choices shift once an outcome is framed as a loss. Facing a certain loss, decision-makers become risk-seeking and prefer an uncertain larger loss to a smaller definite one (Kahneman &amp; Tversky, 1979). A project operating under a national mandate reproduces the framing precisely. The cost of reporting a missed milestone falls on the person reporting it, immediately and with certainty. Weighed against that is the possibility that the schedule can still be recovered, and the failure of that possibility would land later, on the institution, and on nobody in particular. The theory predicts the gamble, and it predicts it without assuming that anyone involved is incompetent or dishonest.</w:t>
      </w:r>
    </w:p>
    <w:p>
      <w:pPr/>
      <w:r>
        <w:t>The design consequence follows directly. Escalation cannot depend on the judgment of the person with the most to lose from escalating.</w:t>
      </w:r>
    </w:p>
    <w:p>
      <w:pPr>
        <w:pStyle w:val="Heading2"/>
      </w:pPr>
      <w:r>
        <w:t>3.4 From robustness to antifragility</w:t>
      </w:r>
    </w:p>
    <w:p>
      <w:pPr/>
      <w:r>
        <w:t>Standard risk practice aims at robustness, meaning a system designed to withstand a shock and return to its prior state. Taleb (2012) proposes a further category for systems that improve as a result of volatility, on the argument that exposure to small survivable stresses reveals weaknesses that analysis alone would not surface. Much project management writing invoking the concept stops at the definition and does not specify what a buffer must look like to produce that effect.</w:t>
      </w:r>
    </w:p>
    <w:p>
      <w:pPr/>
      <w:r>
        <w:t>A usable distinction sits underneath it. A robust buffer is consumed by the shock it absorbs, leaving the system where it started and with less reserve than before. A buffer that preserves optionality leaves a decision available afterwards, such as the ability to redirect a supply contract or defer a commitment. The two can be told apart at the design stage by asking what remains once the buffer has been drawn down.</w:t>
      </w:r>
    </w:p>
    <w:p>
      <w:pPr/>
      <w:r>
        <w:t>The difference is visible in the contract documents. Schedule float is consumed and gone. A supply agreement carrying a priced right to switch source or defer a call-off leaves a decision in place after the float has been spent, and that right has a value which can be estimated by the same methods used to price any option, which puts the buffer on a comparable footing with the cost of carrying it.</w:t>
      </w:r>
    </w:p>
    <w:p>
      <w:pPr>
        <w:pStyle w:val="Heading2"/>
      </w:pPr>
      <w:r>
        <w:t>3.5 How the frameworks interface in the proposed model</w:t>
      </w:r>
    </w:p>
    <w:p>
      <w:pPr/>
      <w:r>
        <w:t>The five bodies of theory do not compose into a single procedure without friction. The design of the model has been governed as much by the points at which they conflict as by the division of labor between them, and the conflicts are set out here alongside the assignments.</w:t>
      </w:r>
    </w:p>
    <w:p>
      <w:pPr/>
      <w:r>
        <w:t>Reference class forecasting supplies the estimation layer, and its limitation in this setting is more severe than that of any other component. For a project such as THE LINE the reference class is close to empty, and an uplift factor calculated from three or four loosely comparable projects carries a standard error wide enough to make the correction uninformative. The response adopted here is to forecast at subsystem level, where classes do exist for desalination capacity, tunneling, and grid interconnection, treating integration risk as a residual the method cannot price. That decomposition sits badly with the argument of Chapter 2. Estimating subsystems separately and summing them readmits the independence assumption through the back door, and the residual it leaves is not a small correction term but the portion of the exposure this study takes to be dominant. The framework does not resolve the tension. It records the subsystem estimate and the residual as separate quantities and declines to add them, which at least preserves the information about how much of the total is unestimated.</w:t>
      </w:r>
    </w:p>
    <w:p>
      <w:pPr/>
      <w:r>
        <w:t>Prospect theory determines where triggers sit. If reporting adverse information carries a certain personal cost, escalation cannot depend on it, so the model locates thresholds on observable data: schedule float consumption, procurement lead-time drift, contractor cash-flow indicators. The displacement is only partial, and the qualification matters more than the principle. Contractor cash-flow indicators are produced by contractors. Progress measurement is certified by parties with an interest in certification. The float figure in a program schedule is the output of an update cycle staffed by people inside the reporting line. Placing a trigger on data rather than on judgment moves the discretion upstream into how the data is generated, so the framework prefers indicators with an external counterparty, among them customs clearance dates, letter of credit drawdowns, and vendor delivery confirmations. None of these is clean. All are harder to shade than a self-reported percentage complete.</w:t>
      </w:r>
    </w:p>
    <w:p>
      <w:pPr/>
      <w:r>
        <w:t>Normal accident theory contributes the diagnostic axes. Each interface is scored separately for interactive complexity and for coupling, and the scores are kept apart because the available interventions differ: high coupling indicates buffers and inventory, while high interactive complexity indicates simplification of the interface, or acceptance with monitoring where simplification would compromise the design intent. This scoring exercise overlaps the interdependency map of Chapter 5, and the overlap is untidy. A coupling score is a property of an edge. An interactive complexity score is a property of a neighborhood of edges. The same underlying judgment therefore enters the model twice under two names, and whether the duplication inflates the resulting ranking is a question the pilot application will have to settle.</w:t>
      </w:r>
    </w:p>
    <w:p>
      <w:pPr/>
      <w:r>
        <w:t>Cynefin governs routing between the tools. Snowden and Boone (2007) distinguish ordered contexts, in which cause and effect can be established, from unordered ones, in which the relationship is identifiable only in retrospect. An ordered risk is a candidate for reference class forecasting and conventional quantitative treatment. An unordered one calls for small reversible probes followed by observation, since further analysis in that domain produces estimates whose stated confidence intervals carry no empirical content. Misclassification is the common failure and the expensive one. It is also circular at the point where it bites hardest, because deciding whether cause and effect are legible ordinarily requires the historical data that would have permitted the forecast to begin with, and the routing step cannot be performed cleanly in advance of the analysis it is meant to route. The framework defaults to the unordered treatment wherever classification is contested. That is a conservative rule and it will occasionally spend probe effort on risks that could have been estimated outright.</w:t>
      </w:r>
    </w:p>
    <w:p>
      <w:pPr/>
      <w:r>
        <w:t>Antifragility sets the objective for the buffer layer, using the operational test set out in section 3.4: buffers are specified to preserve a future decision, and the framework records for each buffer which option remains once it has been drawn down. This sits awkwardly against the appraisal problem described in Chapter 2. An option preserved today is a cost carried today against a benefit that materializes only in an adverse scenario, and the same optimism that understates the cost estimate will understate the probability of the scenario giving the option its value. A buffer designed on antifragile principles is, for that reason, among the first line items to be cut during value engineering.</w:t>
      </w:r>
    </w:p>
    <w:p>
      <w:pPr/>
      <w:r>
        <w:t>The components run in a rough sequence: classify, estimate what can be estimated, score the interfaces, size the buffer, and place the trigger outside the reporting line. The sequence is not strict. Classification depends on estimation data, interface scoring feeds back into classification when an interface turns out to couple two risks that were classified separately, and the buffer decision can send the analyst back to the estimation layer to establish what an option is worth. The model is better described as iterative with a defined entry point than as a pipeline.</w:t>
      </w:r>
    </w:p>
    <w:p>
      <w:pPr>
        <w:pStyle w:val="Heading1"/>
      </w:pPr>
      <w:r>
        <w:t>Chapter 4: Research Methodology</w:t>
      </w:r>
    </w:p>
    <w:p>
      <w:pPr>
        <w:pStyle w:val="Heading2"/>
      </w:pPr>
      <w:r>
        <w:t>4.1 Research philosophy</w:t>
      </w:r>
    </w:p>
    <w:p>
      <w:pPr/>
      <w:r>
        <w:t>The study adopts a pragmatist position, on the grounds that its question concerns what works under specified conditions. Pragmatism licenses the combination of quantitative material, principally cost and schedule performance data, with qualitative evidence about how risk is perceived and reported inside these organizations. Neither strand answers the research questions alone.</w:t>
      </w:r>
    </w:p>
    <w:p>
      <w:pPr>
        <w:pStyle w:val="Heading2"/>
      </w:pPr>
      <w:r>
        <w:t>4.2 Research design</w:t>
      </w:r>
    </w:p>
    <w:p>
      <w:pPr/>
      <w:r>
        <w:t>The design is concurrent and mixed, with two evidence strands collected in parallel and brought together for comparison at the analysis stage. Convergence between them strengthens a finding. Divergence is treated as informative in its own right, particularly where official risk framing and practitioner accounts of the same period disagree.</w:t>
      </w:r>
    </w:p>
    <w:p>
      <w:pPr>
        <w:pStyle w:val="Heading2"/>
      </w:pPr>
      <w:r>
        <w:t>4.3 Access constraints and sampling strategy</w:t>
      </w:r>
    </w:p>
    <w:p>
      <w:pPr/>
      <w:r>
        <w:t>The study draws its evidence from two strands with different access profiles. The first is documentary and requires no recruitment. The second is an expert panel of director-level risk managers, PMO leads, cost and schedule control specialists, and consultants engaged on these programs.</w:t>
      </w:r>
    </w:p>
    <w:p>
      <w:pPr/>
      <w:r>
        <w:t>Structuring the evidence this way protects the study from depending on a single channel that might fail to deliver. Public documents carry no risk of non-response. Practitioner panels supply judgment that public documents cannot provide on their own.</w:t>
      </w:r>
    </w:p>
    <w:p>
      <w:pPr/>
      <w:r>
        <w:t>Recruitment for the second strand has to be planned around conditions that are known in advance. Most candidates are bound by non-disclosure agreements covering project specifics, so the approach letter states at the outset that the study asks about method and not about figures, and the instruments are written so that a compliant answer is available at every question. Access is expected to run through professional bodies and personal introduction. A request routed through the communications function of a program with this profile will in most cases be declined, or held past the point where the answer is useful to the timetable.</w:t>
      </w:r>
    </w:p>
    <w:p>
      <w:pPr/>
      <w:r>
        <w:t>Snowball referral from initial participants will probably supply a substantial share of the panel, and it introduces a network bias the analysis has to carry openly, since practitioners who refer one another tend to share professional formation and frequently share an employer. The documentary strand is a partial counterweight, its unit of selection being the organization, but it is not a correction and should not be described as one.</w:t>
      </w:r>
    </w:p>
    <w:p>
      <w:pPr/>
      <w:r>
        <w:t>Ethical approval and consent documentation are prerequisites for the first approach, and the schedule allows for the review period before recruitment opens. Fieldwork avoids the weeks around annual reporting and major contract award announcements, when the target population is least available.</w:t>
      </w:r>
    </w:p>
    <w:p>
      <w:pPr>
        <w:pStyle w:val="Heading2"/>
      </w:pPr>
      <w:r>
        <w:t>4.4 The documentary strand</w:t>
      </w:r>
    </w:p>
    <w:p>
      <w:pPr/>
      <w:r>
        <w:t>The first strand requires no recruitment. Giga-project entities, the Public Investment Fund, and the contractors engaged on these programs generate a substantial public record: annual reports, contract award announcements, environmental impact submissions, and bond prospectuses. The risk-factor sections of debt issuance documents deserve particular attention and are underused in the project management literature. They are drafted under legal exposure, which gives their authors a reason to state institutional risk perception more candidly than promotional material does, and they are dated, which allows that perception to be tracked as it changes.</w:t>
      </w:r>
    </w:p>
    <w:p>
      <w:pPr/>
      <w:r>
        <w:t>Working with them requires care. Risk-factor sections are substantially boilerplate, assembled by counsel to establish disclosure and limit liability, so a word count run across them would measure the drafting habits of the issuer's legal advisers more faithfully than the risk position of the issuer. The analysis therefore builds a baseline of standard-form language from comparable regional issuances and codes only the residual, meaning the passages specific to the program in question. The residual itself has to be read with its purpose in view. A risk disclosed at length may be disclosed because it is material, or because comparable issuers disclosed it and silence would have been conspicuous. Movement in the residual across successive issuances by the same entity is the more reliable signal, drafting conventions being roughly constant between them.</w:t>
      </w:r>
    </w:p>
    <w:p>
      <w:pPr/>
      <w:r>
        <w:t>Document sampling is purposive and the frame is fixed in advance: publicly available issuance documents, annual reports, and regulatory filings from the three named programs and their parent entity from 2019 onward, together with the corresponding filings of the principal international contractors wherever giga-project work is separately identified. Each document is archived locally with its retrieval date, since sources of this kind are revised without notice and a citation to a live page is not reproducible.</w:t>
      </w:r>
    </w:p>
    <w:p>
      <w:pPr/>
      <w:r>
        <w:t>The strand supports a structured content analysis of how risk is officially framed, how the framing shifts around adverse events, and which risk categories appear and disappear over time. It requires no participant to breach an obligation, and it is reproducible by anyone with access to the same documents.</w:t>
      </w:r>
    </w:p>
    <w:p>
      <w:pPr>
        <w:pStyle w:val="Heading2"/>
      </w:pPr>
      <w:r>
        <w:t>4.5 The expert panel</w:t>
      </w:r>
    </w:p>
    <w:p>
      <w:pPr/>
      <w:r>
        <w:t>The panel draws on practitioners at the level where risk assessment is actually carried out: risk managers, PMO leads, cost and schedule control specialists, and consultants engaged on these programs, at director level. This population is reachable through professional bodies and professional networks, and it is willing to discuss method candidly, since the sensitivity attached to what its members know attaches to specific figures more than to the underlying practices.</w:t>
      </w:r>
    </w:p>
    <w:p>
      <w:pPr/>
      <w:r>
        <w:t>The target is eight to twelve participants across two rounds. The first round is open-ended and identifies the risks the panel considers material for the period to 2030. The second asks the panel to rank those risks by transmission potential, and is deliberately the lighter task, since attrition between rounds is the principal threat to a Delphi study of this kind.</w:t>
      </w:r>
    </w:p>
    <w:p>
      <w:pPr/>
      <w:r>
        <w:t>Two rounds is fewer than Delphi practice commonly recommends, and the trade is made with the loss understood: convergence generally improves with iteration, and the study accepts weaker convergence in exchange for a realistic completion rate. Convergence is measured with Kendall's coefficient of concordance, following the nonparametric treatment Schmidt (1997) sets out for ranking data from small panels. With ten respondents the coefficient is unstable and its significance test has little power, so it is reported with a confidence interval and read as a description of this panel. No inference about the wider profession is drawn from it. Where the panel does not converge, the non-convergence is reported as a finding, and a further round is not attempted.</w:t>
      </w:r>
    </w:p>
    <w:p>
      <w:pPr>
        <w:pStyle w:val="Heading2"/>
      </w:pPr>
      <w:r>
        <w:t>4.6 Data analysis</w:t>
      </w:r>
    </w:p>
    <w:p>
      <w:pPr/>
      <w:r>
        <w:t>Interview and panel material is analyzed thematically using NVivo, coded for the vocabulary through which practitioners describe systemic exposure and for the points at which they report standard instruments breaking down. The first coding pass is inductive. The scheme it produces is then applied to the documentary material, which allows official and practitioner framings of the same period to be compared directly. A subset of transcripts is coded twice and the agreement rate reported, though with a single researcher this is a consistency check across time and not a measure of intercoder reliability.</w:t>
      </w:r>
    </w:p>
    <w:p>
      <w:pPr/>
      <w:r>
        <w:t>The interdependency map is analyzed as a directed graph. Out-degree identifies risks that condition many others. Betweenness centrality identifies the intermediaries through which transmission paths run. Cycle detection establishes whether the elicited structure contains feedback loops, which determines whether a Bayesian representation of it is admissible at all. Edge weights come from panel ranking and are treated as ordinal throughout.</w:t>
      </w:r>
    </w:p>
    <w:p>
      <w:pPr/>
      <w:r>
        <w:t>Where cost and schedule data can be obtained at subsystem level, the analysis tests for association between a constructed interdependency score and realized variance. The available sample is likely to fall under thirty observations and will not be randomly drawn, so the test is Spearman's rank correlation evaluated against an exact permutation distribution and reported with a confidence interval. No claim of statistical significance is made from it. Any result is treated as indicative. Reporting it otherwise would repeat the error the study exists to examine.</w:t>
      </w:r>
    </w:p>
    <w:p>
      <w:pPr>
        <w:pStyle w:val="Heading1"/>
      </w:pPr>
      <w:r>
        <w:t>Chapter 5: Instruments</w:t>
      </w:r>
    </w:p>
    <w:p>
      <w:pPr>
        <w:pStyle w:val="Heading2"/>
      </w:pPr>
      <w:r>
        <w:t>5.1 Interview protocol</w:t>
      </w:r>
    </w:p>
    <w:p>
      <w:pPr/>
      <w:r>
        <w:t>The protocol follows the critical incident technique, in the form Flanagan (1954) established to elicit accounts of specific datable events. Participants are asked to describe a particular occasion on which a risk materialized that the register had not anticipated, and to identify where in the process the omission occurred. A representative prompt: "Describe a point at which something went wrong that your risk process had not flagged. What would have had to be different for it to have been flagged?" The target is tacit knowledge, meaning the working judgments practitioners rely on once the documented method stops being useful. Anchoring each answer to a datable incident also limits the drift toward received wisdom about megaproject failure, which participants will have read in the same sources this proposal cites.</w:t>
      </w:r>
    </w:p>
    <w:p>
      <w:pPr>
        <w:pStyle w:val="Heading2"/>
      </w:pPr>
      <w:r>
        <w:t>5.2 Delphi survey instrument</w:t>
      </w:r>
    </w:p>
    <w:p>
      <w:pPr/>
      <w:r>
        <w:t>The survey runs through a secure platform across the two rounds described above. Round one is open-ended. Round two presents the consolidated risk set and asks for ranking by transmission potential, defined for participants as the degree to which the occurrence of one risk raises the likelihood or severity of others. Ranking on transmission rather than on probability marks the substantive departure from standard Delphi practice here, and follows from Proposition 1. Participants rank the set and are not asked to assign scores, since a rank does not require the panel to share a scale, and the concordance statistic described in section 4.5 operates on ranks directly.</w:t>
      </w:r>
    </w:p>
    <w:p>
      <w:pPr>
        <w:pStyle w:val="Heading2"/>
      </w:pPr>
      <w:r>
        <w:t>5.3 The interdependency map</w:t>
      </w:r>
    </w:p>
    <w:p>
      <w:pPr/>
      <w:r>
        <w:t>The third instrument is a network-mapping exercise. Risks identified in the preceding strands are represented as nodes, and a directed edge is drawn wherever the panel or the documentary record indicates that one risk conditions another. The approach follows work on causal mapping for systemic risk, where Ackermann, Howick, Quigley, Walls, and Houghton (2014) show that eliciting risks as a connected structure surfaces exposures that itemized elicitation leaves out, particularly the compound paths no single participant holds a complete view of. The output addresses the transmission question raised in Chapter 1 and supplies the dependency structure that Proposition 3 tests against the conventional register.</w:t>
      </w:r>
    </w:p>
    <w:p>
      <w:pPr/>
      <w:r>
        <w:t>The map functions as a research instrument. Its role is to make dependency claims explicit enough to be disputed.</w:t>
      </w:r>
    </w:p>
    <w:p>
      <w:pPr>
        <w:pStyle w:val="Heading1"/>
      </w:pPr>
      <w:r>
        <w:t>Chapter 6: Limitations, Ethics, and Conclusion</w:t>
      </w:r>
    </w:p>
    <w:p>
      <w:pPr>
        <w:pStyle w:val="Heading2"/>
      </w:pPr>
      <w:r>
        <w:t>6.1 Limitations and delimitations</w:t>
      </w:r>
    </w:p>
    <w:p>
      <w:pPr/>
      <w:r>
        <w:t>The most serious limitation is evidentiary. Substantial parts of these programs fall under national security provisions or commercial confidentiality, so the study works from unclassified material and can support conclusions about strategic-level risk governance. The documentary strand mitigates this without removing it, since documents drafted for investors or regulators disclose what their authors were obliged or willing to disclose and no more.</w:t>
      </w:r>
    </w:p>
    <w:p>
      <w:pPr/>
      <w:r>
        <w:t>A second limitation concerns currency. Vision 2030 moves faster than academic publication, and the account offered here describes the position as of 2026. Findings about specific projects will date. Findings about the adequacy of the instruments should date more slowly, the instruments having changed little in three decades.</w:t>
      </w:r>
    </w:p>
    <w:p>
      <w:pPr/>
      <w:r>
        <w:t>A third limitation is one of validation. Proposition 3 requires a project on which both methods can be run, and the comparison will be conducted on a single program with whatever data is releasable, which supports a demonstration and not a controlled test. A framework that survives one application has not been validated in any strong sense.</w:t>
      </w:r>
    </w:p>
    <w:p>
      <w:pPr/>
      <w:r>
        <w:t>The scope is delimited to Saudi Arabia. Comparable developments in the United Arab Emirates and Qatar share some structural features, and the framework may prove transferable, but the regulatory and institutional conditions differ sufficiently that this study makes no claim about them.</w:t>
      </w:r>
    </w:p>
    <w:p>
      <w:pPr>
        <w:pStyle w:val="Heading2"/>
      </w:pPr>
      <w:r>
        <w:t>6.2 Ethical considerations</w:t>
      </w:r>
    </w:p>
    <w:p>
      <w:pPr/>
      <w:r>
        <w:t>Participants are identified by a code and their professional role, in a form specific enough to be analytically useful and general enough to prevent identification, which requires care given how small the relevant professional community is. Where a described incident would identify a participant even under a code, it is reported at a higher level of abstraction or withheld.</w:t>
      </w:r>
    </w:p>
    <w:p>
      <w:pPr/>
      <w:r>
        <w:t>Consent is obtained in writing after participants have been told what the study examines and how the material will be used, with explicit confirmation that the research examines method only. Participants may withdraw material after the interview, and the recruitment approach states this before consent is given.</w:t>
      </w:r>
    </w:p>
    <w:p>
      <w:pPr>
        <w:pStyle w:val="Heading2"/>
      </w:pPr>
      <w:r>
        <w:t>6.3 Conclusion</w:t>
      </w:r>
    </w:p>
    <w:p>
      <w:pPr/>
      <w:r>
        <w:t>The argument of this proposal is that the instruments in general use for project risk assessment carry an assumption of independence between risks, and that the assumption fails in precisely the conditions Saudi Arabia's giga-projects create. The failure is not confined to the qualitative matrix. It survives the move to simulation, where it reappears as an unpopulated correlation structure, and it limits the Bayesian alternative through the acyclicity requirement that alternative imposes.</w:t>
      </w:r>
    </w:p>
    <w:p>
      <w:pPr/>
      <w:r>
        <w:t>What is proposed in response is an assembly of existing theory, and section 3.5 records where the parts fit badly. Reference class forecasting is applied where a class exists and reports a residual where none does. Cynefin classification decides which risks are candidates for estimation at all, while depending in part on the data it is supposed to route. The two normal accident axes are scored apart so that the intervention follows from the diagnosis, triggers sit on externally generated indicators, and buffers are specified by the option that survives them.</w:t>
      </w:r>
    </w:p>
    <w:p>
      <w:pPr/>
      <w:r>
        <w:t>Whether the assembly performs better than the register it is meant to supplement is an empirical question, and Proposition 3 states the terms on which it can be answered. The program under study offers an unusual test environment, in that the projects are large enough for assessment error to have consequences visible at national scale, and recent enough that the record is still being written.</w:t>
      </w:r>
    </w:p>
    <w:p>
      <w:pPr>
        <w:pStyle w:val="Heading1"/>
      </w:pPr>
      <w:r>
        <w:t>References</w:t>
      </w:r>
    </w:p>
    <w:p>
      <w:pPr>
        <w:spacing w:after="120"/>
        <w:ind w:left="720" w:hanging="720"/>
      </w:pPr>
      <w:r>
        <w:rPr>
          <w:i w:val="0"/>
        </w:rPr>
        <w:t xml:space="preserve">Ackermann, F., Howick, S., Quigley, J., Walls, L., &amp; Houghton, T. (2014). Systemic risk elicitation: Using causal maps to engage stakeholders and build a comprehensive view of risks. </w:t>
      </w:r>
      <w:r>
        <w:rPr>
          <w:i/>
        </w:rPr>
        <w:t>European Journal of Operational Research, 238</w:t>
      </w:r>
      <w:r>
        <w:rPr>
          <w:i w:val="0"/>
        </w:rPr>
        <w:t>(1), 290-299. https://doi.org/10.1016/j.ejor.2014.03.035</w:t>
      </w:r>
    </w:p>
    <w:p>
      <w:pPr>
        <w:spacing w:after="120"/>
        <w:ind w:left="720" w:hanging="720"/>
      </w:pPr>
      <w:r>
        <w:rPr>
          <w:i w:val="0"/>
        </w:rPr>
        <w:t xml:space="preserve">Baccarini, D. (1996). The concept of project complexity: A review. </w:t>
      </w:r>
      <w:r>
        <w:rPr>
          <w:i/>
        </w:rPr>
        <w:t>International Journal of Project Management, 14</w:t>
      </w:r>
      <w:r>
        <w:rPr>
          <w:i w:val="0"/>
        </w:rPr>
        <w:t>(4), 201-204. https://doi.org/10.1016/0263-7863(95)00093-3</w:t>
      </w:r>
    </w:p>
    <w:p>
      <w:pPr>
        <w:spacing w:after="120"/>
        <w:ind w:left="720" w:hanging="720"/>
      </w:pPr>
      <w:r>
        <w:rPr>
          <w:i w:val="0"/>
        </w:rPr>
        <w:t xml:space="preserve">Cox, L. A., Jr. (2008). What's wrong with risk matrices? </w:t>
      </w:r>
      <w:r>
        <w:rPr>
          <w:i/>
        </w:rPr>
        <w:t>Risk Analysis, 28</w:t>
      </w:r>
      <w:r>
        <w:rPr>
          <w:i w:val="0"/>
        </w:rPr>
        <w:t>(2), 497-512. https://doi.org/10.1111/j.1539-6924.2008.01030.x</w:t>
      </w:r>
    </w:p>
    <w:p>
      <w:pPr>
        <w:spacing w:after="120"/>
        <w:ind w:left="720" w:hanging="720"/>
      </w:pPr>
      <w:r>
        <w:rPr>
          <w:i w:val="0"/>
        </w:rPr>
        <w:t xml:space="preserve">Fenton, N., &amp; Neil, M. (2012). </w:t>
      </w:r>
      <w:r>
        <w:rPr>
          <w:i/>
        </w:rPr>
        <w:t>Risk assessment and decision analysis with Bayesian networks</w:t>
      </w:r>
      <w:r>
        <w:rPr>
          <w:i w:val="0"/>
        </w:rPr>
        <w:t>. CRC Press.</w:t>
      </w:r>
    </w:p>
    <w:p>
      <w:pPr>
        <w:spacing w:after="120"/>
        <w:ind w:left="720" w:hanging="720"/>
      </w:pPr>
      <w:r>
        <w:rPr>
          <w:i w:val="0"/>
        </w:rPr>
        <w:t xml:space="preserve">Flanagan, J. C. (1954). The critical incident technique. </w:t>
      </w:r>
      <w:r>
        <w:rPr>
          <w:i/>
        </w:rPr>
        <w:t>Psychological Bulletin, 51</w:t>
      </w:r>
      <w:r>
        <w:rPr>
          <w:i w:val="0"/>
        </w:rPr>
        <w:t>(4), 327-358. https://doi.org/10.1037/h0061470</w:t>
      </w:r>
    </w:p>
    <w:p>
      <w:pPr>
        <w:spacing w:after="120"/>
        <w:ind w:left="720" w:hanging="720"/>
      </w:pPr>
      <w:r>
        <w:rPr>
          <w:i w:val="0"/>
        </w:rPr>
        <w:t xml:space="preserve">Flyvbjerg, B. (2006). From Nobel Prize to project management: Getting risks right. </w:t>
      </w:r>
      <w:r>
        <w:rPr>
          <w:i/>
        </w:rPr>
        <w:t>Project Management Journal, 37</w:t>
      </w:r>
      <w:r>
        <w:rPr>
          <w:i w:val="0"/>
        </w:rPr>
        <w:t>(3), 5-15. https://doi.org/10.1177/875697280603700302</w:t>
      </w:r>
    </w:p>
    <w:p>
      <w:pPr>
        <w:spacing w:after="120"/>
        <w:ind w:left="720" w:hanging="720"/>
      </w:pPr>
      <w:r>
        <w:rPr>
          <w:i w:val="0"/>
        </w:rPr>
        <w:t xml:space="preserve">Flyvbjerg, B., Bruzelius, N., &amp; Rothengatter, W. (2003). </w:t>
      </w:r>
      <w:r>
        <w:rPr>
          <w:i/>
        </w:rPr>
        <w:t>Megaprojects and risk: An anatomy of ambition</w:t>
      </w:r>
      <w:r>
        <w:rPr>
          <w:i w:val="0"/>
        </w:rPr>
        <w:t>. Cambridge University Press.</w:t>
      </w:r>
    </w:p>
    <w:p>
      <w:pPr>
        <w:spacing w:after="120"/>
        <w:ind w:left="720" w:hanging="720"/>
      </w:pPr>
      <w:r>
        <w:rPr>
          <w:i w:val="0"/>
        </w:rPr>
        <w:t xml:space="preserve">Flyvbjerg, B., &amp; Gardner, D. (2023). </w:t>
      </w:r>
      <w:r>
        <w:rPr>
          <w:i/>
        </w:rPr>
        <w:t>How big things get done: The surprising factors that determine the fate of every project, from home renovations to space exploration and everything in between</w:t>
      </w:r>
      <w:r>
        <w:rPr>
          <w:i w:val="0"/>
        </w:rPr>
        <w:t>. Currency.</w:t>
      </w:r>
    </w:p>
    <w:p>
      <w:pPr>
        <w:spacing w:after="120"/>
        <w:ind w:left="720" w:hanging="720"/>
      </w:pPr>
      <w:r>
        <w:rPr>
          <w:i w:val="0"/>
        </w:rPr>
        <w:t xml:space="preserve">Hulett, D. T. (2009). </w:t>
      </w:r>
      <w:r>
        <w:rPr>
          <w:i/>
        </w:rPr>
        <w:t>Practical schedule risk analysis</w:t>
      </w:r>
      <w:r>
        <w:rPr>
          <w:i w:val="0"/>
        </w:rPr>
        <w:t>. Gower.</w:t>
      </w:r>
    </w:p>
    <w:p>
      <w:pPr>
        <w:spacing w:after="120"/>
        <w:ind w:left="720" w:hanging="720"/>
      </w:pPr>
      <w:r>
        <w:rPr>
          <w:i w:val="0"/>
        </w:rPr>
        <w:t xml:space="preserve">Iman, R. L., &amp; Conover, W. J. (1982). A distribution-free approach to inducing rank correlation among input variables. </w:t>
      </w:r>
      <w:r>
        <w:rPr>
          <w:i/>
        </w:rPr>
        <w:t>Communications in Statistics - Simulation and Computation, 11</w:t>
      </w:r>
      <w:r>
        <w:rPr>
          <w:i w:val="0"/>
        </w:rPr>
        <w:t>(3), 311-334. https://doi.org/10.1080/03610918208812265</w:t>
      </w:r>
    </w:p>
    <w:p>
      <w:pPr>
        <w:spacing w:after="120"/>
        <w:ind w:left="720" w:hanging="720"/>
      </w:pPr>
      <w:r>
        <w:rPr>
          <w:i w:val="0"/>
        </w:rPr>
        <w:t xml:space="preserve">Kahneman, D., &amp; Tversky, A. (1979). Prospect theory: An analysis of decision under risk. </w:t>
      </w:r>
      <w:r>
        <w:rPr>
          <w:i/>
        </w:rPr>
        <w:t>Econometrica, 47</w:t>
      </w:r>
      <w:r>
        <w:rPr>
          <w:i w:val="0"/>
        </w:rPr>
        <w:t>(2), 263-291. https://doi.org/10.2307/1914185</w:t>
      </w:r>
    </w:p>
    <w:p>
      <w:pPr>
        <w:spacing w:after="120"/>
        <w:ind w:left="720" w:hanging="720"/>
      </w:pPr>
      <w:r>
        <w:rPr>
          <w:i w:val="0"/>
        </w:rPr>
        <w:t xml:space="preserve">Knight Frank. (2025, October 6). </w:t>
      </w:r>
      <w:r>
        <w:rPr>
          <w:i/>
        </w:rPr>
        <w:t>Saudi Arabia giga projects report 2025</w:t>
      </w:r>
      <w:r>
        <w:rPr>
          <w:i w:val="0"/>
        </w:rPr>
        <w:t>. https://www.knightfrank.ae/newsroom/article/2025/10/saudi-arabia-giga-projects-report-2025</w:t>
      </w:r>
    </w:p>
    <w:p>
      <w:pPr>
        <w:spacing w:after="120"/>
        <w:ind w:left="720" w:hanging="720"/>
      </w:pPr>
      <w:r>
        <w:rPr>
          <w:i w:val="0"/>
        </w:rPr>
        <w:t xml:space="preserve">Mitchell, M. (2009). </w:t>
      </w:r>
      <w:r>
        <w:rPr>
          <w:i/>
        </w:rPr>
        <w:t>Complexity: A guided tour</w:t>
      </w:r>
      <w:r>
        <w:rPr>
          <w:i w:val="0"/>
        </w:rPr>
        <w:t>. Oxford University Press.</w:t>
      </w:r>
    </w:p>
    <w:p>
      <w:pPr>
        <w:spacing w:after="120"/>
        <w:ind w:left="720" w:hanging="720"/>
      </w:pPr>
      <w:r>
        <w:rPr>
          <w:i w:val="0"/>
        </w:rPr>
        <w:t xml:space="preserve">Perrow, C. (1999). </w:t>
      </w:r>
      <w:r>
        <w:rPr>
          <w:i/>
        </w:rPr>
        <w:t>Normal accidents: Living with high-risk technologies</w:t>
      </w:r>
      <w:r>
        <w:rPr>
          <w:i w:val="0"/>
        </w:rPr>
        <w:t xml:space="preserve"> (Updated ed.). Princeton University Press. (Original work published 1984)</w:t>
      </w:r>
    </w:p>
    <w:p>
      <w:pPr>
        <w:spacing w:after="120"/>
        <w:ind w:left="720" w:hanging="720"/>
      </w:pPr>
      <w:r>
        <w:rPr>
          <w:i w:val="0"/>
        </w:rPr>
        <w:t xml:space="preserve">Schmidt, R. C. (1997). Managing Delphi surveys using nonparametric statistical techniques. </w:t>
      </w:r>
      <w:r>
        <w:rPr>
          <w:i/>
        </w:rPr>
        <w:t>Decision Sciences, 28</w:t>
      </w:r>
      <w:r>
        <w:rPr>
          <w:i w:val="0"/>
        </w:rPr>
        <w:t>(3), 763-774. https://doi.org/10.1111/j.1540-5915.1997.tb01330.x</w:t>
      </w:r>
    </w:p>
    <w:p>
      <w:pPr>
        <w:spacing w:after="120"/>
        <w:ind w:left="720" w:hanging="720"/>
      </w:pPr>
      <w:r>
        <w:rPr>
          <w:i w:val="0"/>
        </w:rPr>
        <w:t xml:space="preserve">Snowden, D. J., &amp; Boone, M. E. (2007). A leader's framework for decision making. </w:t>
      </w:r>
      <w:r>
        <w:rPr>
          <w:i/>
        </w:rPr>
        <w:t>Harvard Business Review, 85</w:t>
      </w:r>
      <w:r>
        <w:rPr>
          <w:i w:val="0"/>
        </w:rPr>
        <w:t>(11), 68-76.</w:t>
      </w:r>
    </w:p>
    <w:p>
      <w:pPr>
        <w:spacing w:after="120"/>
        <w:ind w:left="720" w:hanging="720"/>
      </w:pPr>
      <w:r>
        <w:rPr>
          <w:i w:val="0"/>
        </w:rPr>
        <w:t xml:space="preserve">Taleb, N. N. (2012). </w:t>
      </w:r>
      <w:r>
        <w:rPr>
          <w:i/>
        </w:rPr>
        <w:t>Antifragile: Things that gain from disorder</w:t>
      </w:r>
      <w:r>
        <w:rPr>
          <w:i w:val="0"/>
        </w:rPr>
        <w:t>. Random House.</w:t>
      </w:r>
    </w:p>
    <w:p>
      <w:pPr>
        <w:spacing w:after="120"/>
        <w:ind w:left="720" w:hanging="720"/>
      </w:pPr>
      <w:r>
        <w:rPr>
          <w:i w:val="0"/>
        </w:rPr>
        <w:t xml:space="preserve">Vose, D. (2008). </w:t>
      </w:r>
      <w:r>
        <w:rPr>
          <w:i/>
        </w:rPr>
        <w:t>Risk analysis: A quantitative guide</w:t>
      </w:r>
      <w:r>
        <w:rPr>
          <w:i w:val="0"/>
        </w:rPr>
        <w:t xml:space="preserve"> (3rd ed.). Wiley.</w:t>
      </w:r>
    </w:p>
    <w:p>
      <w:pPr>
        <w:spacing w:after="120"/>
        <w:ind w:left="720" w:hanging="720"/>
      </w:pPr>
      <w:r>
        <w:rPr>
          <w:i w:val="0"/>
        </w:rPr>
        <w:t xml:space="preserve">Williams, T. M. (2002). </w:t>
      </w:r>
      <w:r>
        <w:rPr>
          <w:i/>
        </w:rPr>
        <w:t>Modelling complex projects</w:t>
      </w:r>
      <w:r>
        <w:rPr>
          <w:i w:val="0"/>
        </w:rPr>
        <w:t>. Wiley.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