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Style w:val="MdHeading1"/>
      </w:pPr>
      <w:r>
        <w:t xml:space="preserve">Qualitative Content Analysis of JSWP Meeting Minutes</w:t>
      </w:r>
    </w:p>
    <w:p>
      <w:pPr>
        <w:pStyle w:val="Heading2"/>
        <w:pStyle w:val="MdHeading2"/>
      </w:pPr>
      <w:r>
        <w:t xml:space="preserve">Research Methodology Explanation — Thesis Defence Support Document</w:t>
      </w:r>
    </w:p>
    <w:p>
      <w:pPr>
        <w:pStyle w:val="MdParagraph"/>
      </w:pPr>
      <w:r>
        <w:rPr>
          <w:rStyle w:val="MdStrong"/>
          <w:b/>
          <w:bCs/>
        </w:rPr>
        <w:t xml:space="preserve">Program:</w:t>
      </w:r>
      <w:r>
        <w:t xml:space="preserve"> Jeddah Stormwater Program (JSWP)
</w:t>
      </w:r>
      <w:r>
        <w:rPr>
          <w:rStyle w:val="MdStrong"/>
          <w:b/>
          <w:bCs/>
        </w:rPr>
        <w:t xml:space="preserve">Document Type:</w:t>
      </w:r>
      <w:r>
        <w:t xml:space="preserve"> Methodology Explanation — Mixed Methods Research
</w:t>
      </w:r>
      <w:r>
        <w:rPr>
          <w:rStyle w:val="MdStrong"/>
          <w:b/>
          <w:bCs/>
        </w:rPr>
        <w:t xml:space="preserve">Prepared by:</w:t>
      </w:r>
      <w:r>
        <w:t xml:space="preserve"> Ismail Ujaimi
</w:t>
      </w:r>
      <w:r>
        <w:rPr>
          <w:rStyle w:val="MdStrong"/>
          <w:b/>
          <w:bCs/>
        </w:rPr>
        <w:t xml:space="preserve">Date:</w:t>
      </w:r>
      <w:r>
        <w:t xml:space="preserve"> March 2026
</w:t>
      </w:r>
      <w:r>
        <w:rPr>
          <w:rStyle w:val="MdStrong"/>
          <w:b/>
          <w:bCs/>
        </w:rPr>
        <w:t xml:space="preserve">Version:</w:t>
      </w:r>
      <w:r>
        <w:t xml:space="preserve"> 1.0</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Purpose of This Document</w:t>
      </w:r>
    </w:p>
    <w:p>
      <w:pPr>
        <w:pStyle w:val="MdParagraph"/>
      </w:pPr>
      <w:r>
        <w:t xml:space="preserve">This document provides a plain-language explanation of the methodology used to analyse 243 Minutes of Meeting (MOM) documents and progress reports as part of the JSWP Quality Intelligence Model research. It is intended to support the thesis defence by clearly explaining what was done, why it was done, and how it is methodologically justified. The document is structured to anticipate likely supervisor questions.</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1. Overview: What Was Done</w:t>
      </w:r>
    </w:p>
    <w:p>
      <w:pPr>
        <w:pStyle w:val="MdParagraph"/>
      </w:pPr>
      <w:r>
        <w:t xml:space="preserve">The analysis involved three main activities: (1) collecting and extracting text from all available MOM documents, (2) systematically coding the extracted text against a predefined set of quality themes, and (3) comparing the coded themes against the quantitative AI risk model results to identify convergence. The entire process is summarised in the diagram below.</w:t>
      </w:r>
    </w:p>
    <w:p>
      <w:pPr>
        <w:pStyle w:val="MdSpace"/>
        <w:spacing w:before="0" w:after="60"/>
      </w:pPr>
    </w:p>
    <w:tbl>
      <w:tblPr>
        <w:tblStyle w:val="MdTable"/>
        <w:tblW w:type="pct" w:w="100%"/>
        <w:tblBorders>
          <w:top w:val="single" w:color="E1E4E8" w:sz="4"/>
          <w:left w:val="none"/>
          <w:bottom w:val="single" w:color="E1E4E8" w:sz="4"/>
          <w:right w:val="none"/>
          <w:insideH w:val="single" w:color="E1E4E8" w:sz="2"/>
          <w:insideV w:val="single" w:color="F6F8FA" w:sz="2"/>
        </w:tblBorders>
      </w:tblPr>
      <w:tblGrid>
        <w:gridCol w:w="100"/>
        <w:gridCol w:w="100"/>
        <w:gridCol w:w="100"/>
        <w:gridCol w:w="100"/>
      </w:tblGrid>
      <w:tr>
        <w:trPr>
          <w:cantSplit/>
          <w:tblHeader/>
          <w:trHeight w:val="720" w:hRule="atLeast"/>
        </w:trPr>
        <w:tc>
          <w:tcPr>
            <w:tcBorders>
              <w:left w:val="none"/>
            </w:tcBorders>
            <w:tcMar>
              <w:top w:type="dxa" w:w="100"/>
              <w:left w:type="dxa" w:w="120"/>
              <w:bottom w:type="dxa" w:w="100"/>
              <w:right w:type="dxa" w:w="120"/>
            </w:tcMar>
            <w:vAlign w:val="center"/>
          </w:tcPr>
          <w:p>
            <w:pPr>
              <w:pStyle w:val="MdTableHeader"/>
            </w:pPr>
            <w:r>
              <w:t xml:space="preserve">Stage</w:t>
            </w:r>
          </w:p>
        </w:tc>
        <w:tc>
          <w:tcPr>
            <w:tcMar>
              <w:top w:type="dxa" w:w="100"/>
              <w:left w:type="dxa" w:w="120"/>
              <w:bottom w:type="dxa" w:w="100"/>
              <w:right w:type="dxa" w:w="120"/>
            </w:tcMar>
            <w:vAlign w:val="center"/>
          </w:tcPr>
          <w:p>
            <w:pPr>
              <w:pStyle w:val="MdTableHeader"/>
            </w:pPr>
            <w:r>
              <w:t xml:space="preserve">Activity</w:t>
            </w:r>
          </w:p>
        </w:tc>
        <w:tc>
          <w:tcPr>
            <w:tcMar>
              <w:top w:type="dxa" w:w="100"/>
              <w:left w:type="dxa" w:w="120"/>
              <w:bottom w:type="dxa" w:w="100"/>
              <w:right w:type="dxa" w:w="120"/>
            </w:tcMar>
            <w:vAlign w:val="center"/>
          </w:tcPr>
          <w:p>
            <w:pPr>
              <w:pStyle w:val="MdTableHeader"/>
            </w:pPr>
            <w:r>
              <w:t xml:space="preserve">Method</w:t>
            </w:r>
          </w:p>
        </w:tc>
        <w:tc>
          <w:tcPr>
            <w:tcBorders>
              <w:right w:val="none"/>
            </w:tcBorders>
            <w:tcMar>
              <w:top w:type="dxa" w:w="100"/>
              <w:left w:type="dxa" w:w="120"/>
              <w:bottom w:type="dxa" w:w="100"/>
              <w:right w:type="dxa" w:w="120"/>
            </w:tcMar>
            <w:vAlign w:val="center"/>
          </w:tcPr>
          <w:p>
            <w:pPr>
              <w:pStyle w:val="MdTableHeader"/>
            </w:pPr>
            <w:r>
              <w:t xml:space="preserve">Output</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rPr>
                <w:rStyle w:val="MdStrong"/>
                <w:b/>
                <w:bCs/>
              </w:rPr>
              <w:t xml:space="preserve">1</w:t>
            </w:r>
          </w:p>
        </w:tc>
        <w:tc>
          <w:tcPr>
            <w:tcMar>
              <w:top w:type="dxa" w:w="80"/>
              <w:left w:type="dxa" w:w="120"/>
              <w:bottom w:type="dxa" w:w="80"/>
              <w:right w:type="dxa" w:w="120"/>
            </w:tcMar>
            <w:vAlign w:val="center"/>
          </w:tcPr>
          <w:p>
            <w:pPr>
              <w:pStyle w:val="MdTableCell"/>
            </w:pPr>
            <w:r>
              <w:t xml:space="preserve">Document collection</w:t>
            </w:r>
          </w:p>
        </w:tc>
        <w:tc>
          <w:tcPr>
            <w:tcMar>
              <w:top w:type="dxa" w:w="80"/>
              <w:left w:type="dxa" w:w="120"/>
              <w:bottom w:type="dxa" w:w="80"/>
              <w:right w:type="dxa" w:w="120"/>
            </w:tcMar>
            <w:vAlign w:val="center"/>
          </w:tcPr>
          <w:p>
            <w:pPr>
              <w:pStyle w:val="MdTableCell"/>
            </w:pPr>
            <w:r>
              <w:t xml:space="preserve">Automated download from Google Drive</w:t>
            </w:r>
          </w:p>
        </w:tc>
        <w:tc>
          <w:tcPr>
            <w:tcBorders>
              <w:right w:val="none"/>
            </w:tcBorders>
            <w:tcMar>
              <w:top w:type="dxa" w:w="80"/>
              <w:left w:type="dxa" w:w="120"/>
              <w:bottom w:type="dxa" w:w="80"/>
              <w:right w:type="dxa" w:w="120"/>
            </w:tcMar>
            <w:vAlign w:val="center"/>
          </w:tcPr>
          <w:p>
            <w:pPr>
              <w:pStyle w:val="MdTableCell"/>
            </w:pPr>
            <w:r>
              <w:t xml:space="preserve">243 Word files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rPr>
                <w:rStyle w:val="MdStrong"/>
                <w:b/>
                <w:bCs/>
              </w:rPr>
              <w:t xml:space="preserve">2</w:t>
            </w:r>
          </w:p>
        </w:tc>
        <w:tc>
          <w:tcPr>
            <w:tcMar>
              <w:top w:type="dxa" w:w="80"/>
              <w:left w:type="dxa" w:w="120"/>
              <w:bottom w:type="dxa" w:w="80"/>
              <w:right w:type="dxa" w:w="120"/>
            </w:tcMar>
            <w:vAlign w:val="center"/>
          </w:tcPr>
          <w:p>
            <w:pPr>
              <w:pStyle w:val="MdTableCell"/>
            </w:pPr>
            <w:r>
              <w:t xml:space="preserve">Text extraction</w:t>
            </w:r>
          </w:p>
        </w:tc>
        <w:tc>
          <w:tcPr>
            <w:tcMar>
              <w:top w:type="dxa" w:w="80"/>
              <w:left w:type="dxa" w:w="120"/>
              <w:bottom w:type="dxa" w:w="80"/>
              <w:right w:type="dxa" w:w="120"/>
            </w:tcMar>
            <w:vAlign w:val="center"/>
          </w:tcPr>
          <w:p>
            <w:pPr>
              <w:pStyle w:val="MdTableCell"/>
            </w:pPr>
            <w:r>
              <w:t xml:space="preserve">XML parsing of Office Open XML format</w:t>
            </w:r>
          </w:p>
        </w:tc>
        <w:tc>
          <w:tcPr>
            <w:tcBorders>
              <w:right w:val="none"/>
            </w:tcBorders>
            <w:tcMar>
              <w:top w:type="dxa" w:w="80"/>
              <w:left w:type="dxa" w:w="120"/>
              <w:bottom w:type="dxa" w:w="80"/>
              <w:right w:type="dxa" w:w="120"/>
            </w:tcMar>
            <w:vAlign w:val="center"/>
          </w:tcPr>
          <w:p>
            <w:pPr>
              <w:pStyle w:val="MdTableCell"/>
            </w:pPr>
            <w:r>
              <w:t xml:space="preserve">~1.2 million characters of raw text</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rPr>
                <w:rStyle w:val="MdStrong"/>
                <w:b/>
                <w:bCs/>
              </w:rPr>
              <w:t xml:space="preserve">3</w:t>
            </w:r>
          </w:p>
        </w:tc>
        <w:tc>
          <w:tcPr>
            <w:tcMar>
              <w:top w:type="dxa" w:w="80"/>
              <w:left w:type="dxa" w:w="120"/>
              <w:bottom w:type="dxa" w:w="80"/>
              <w:right w:type="dxa" w:w="120"/>
            </w:tcMar>
            <w:vAlign w:val="center"/>
          </w:tcPr>
          <w:p>
            <w:pPr>
              <w:pStyle w:val="MdTableCell"/>
            </w:pPr>
            <w:r>
              <w:t xml:space="preserve">Sentence segmentation</w:t>
            </w:r>
          </w:p>
        </w:tc>
        <w:tc>
          <w:tcPr>
            <w:tcMar>
              <w:top w:type="dxa" w:w="80"/>
              <w:left w:type="dxa" w:w="120"/>
              <w:bottom w:type="dxa" w:w="80"/>
              <w:right w:type="dxa" w:w="120"/>
            </w:tcMar>
            <w:vAlign w:val="center"/>
          </w:tcPr>
          <w:p>
            <w:pPr>
              <w:pStyle w:val="MdTableCell"/>
            </w:pPr>
            <w:r>
              <w:t xml:space="preserve">Rule-based text splitting</w:t>
            </w:r>
          </w:p>
        </w:tc>
        <w:tc>
          <w:tcPr>
            <w:tcBorders>
              <w:right w:val="none"/>
            </w:tcBorders>
            <w:tcMar>
              <w:top w:type="dxa" w:w="80"/>
              <w:left w:type="dxa" w:w="120"/>
              <w:bottom w:type="dxa" w:w="80"/>
              <w:right w:type="dxa" w:w="120"/>
            </w:tcMar>
            <w:vAlign w:val="center"/>
          </w:tcPr>
          <w:p>
            <w:pPr>
              <w:pStyle w:val="MdTableCell"/>
            </w:pPr>
            <w:r>
              <w:t xml:space="preserve">11,090 individual statements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rPr>
                <w:rStyle w:val="MdStrong"/>
                <w:b/>
                <w:bCs/>
              </w:rPr>
              <w:t xml:space="preserve">4</w:t>
            </w:r>
          </w:p>
        </w:tc>
        <w:tc>
          <w:tcPr>
            <w:tcMar>
              <w:top w:type="dxa" w:w="80"/>
              <w:left w:type="dxa" w:w="120"/>
              <w:bottom w:type="dxa" w:w="80"/>
              <w:right w:type="dxa" w:w="120"/>
            </w:tcMar>
            <w:vAlign w:val="center"/>
          </w:tcPr>
          <w:p>
            <w:pPr>
              <w:pStyle w:val="MdTableCell"/>
            </w:pPr>
            <w:r>
              <w:t xml:space="preserve">Thematic coding</w:t>
            </w:r>
          </w:p>
        </w:tc>
        <w:tc>
          <w:tcPr>
            <w:tcMar>
              <w:top w:type="dxa" w:w="80"/>
              <w:left w:type="dxa" w:w="120"/>
              <w:bottom w:type="dxa" w:w="80"/>
              <w:right w:type="dxa" w:w="120"/>
            </w:tcMar>
            <w:vAlign w:val="center"/>
          </w:tcPr>
          <w:p>
            <w:pPr>
              <w:pStyle w:val="MdTableCell"/>
            </w:pPr>
            <w:r>
              <w:t xml:space="preserve">Deductive keyword matching</w:t>
            </w:r>
          </w:p>
        </w:tc>
        <w:tc>
          <w:tcPr>
            <w:tcBorders>
              <w:right w:val="none"/>
            </w:tcBorders>
            <w:tcMar>
              <w:top w:type="dxa" w:w="80"/>
              <w:left w:type="dxa" w:w="120"/>
              <w:bottom w:type="dxa" w:w="80"/>
              <w:right w:type="dxa" w:w="120"/>
            </w:tcMar>
            <w:vAlign w:val="center"/>
          </w:tcPr>
          <w:p>
            <w:pPr>
              <w:pStyle w:val="MdTableCell"/>
            </w:pPr>
            <w:r>
              <w:t xml:space="preserve">11,090 coded statements across 10 themes</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rPr>
                <w:rStyle w:val="MdStrong"/>
                <w:b/>
                <w:bCs/>
              </w:rPr>
              <w:t xml:space="preserve">5</w:t>
            </w:r>
          </w:p>
        </w:tc>
        <w:tc>
          <w:tcPr>
            <w:tcMar>
              <w:top w:type="dxa" w:w="80"/>
              <w:left w:type="dxa" w:w="120"/>
              <w:bottom w:type="dxa" w:w="80"/>
              <w:right w:type="dxa" w:w="120"/>
            </w:tcMar>
            <w:vAlign w:val="center"/>
          </w:tcPr>
          <w:p>
            <w:pPr>
              <w:pStyle w:val="MdTableCell"/>
            </w:pPr>
            <w:r>
              <w:t xml:space="preserve">Frequency analysis</w:t>
            </w:r>
          </w:p>
        </w:tc>
        <w:tc>
          <w:tcPr>
            <w:tcMar>
              <w:top w:type="dxa" w:w="80"/>
              <w:left w:type="dxa" w:w="120"/>
              <w:bottom w:type="dxa" w:w="80"/>
              <w:right w:type="dxa" w:w="120"/>
            </w:tcMar>
            <w:vAlign w:val="center"/>
          </w:tcPr>
          <w:p>
            <w:pPr>
              <w:pStyle w:val="MdTableCell"/>
            </w:pPr>
            <w:r>
              <w:t xml:space="preserve">Counting and aggregation</w:t>
            </w:r>
          </w:p>
        </w:tc>
        <w:tc>
          <w:tcPr>
            <w:tcBorders>
              <w:right w:val="none"/>
            </w:tcBorders>
            <w:tcMar>
              <w:top w:type="dxa" w:w="80"/>
              <w:left w:type="dxa" w:w="120"/>
              <w:bottom w:type="dxa" w:w="80"/>
              <w:right w:type="dxa" w:w="120"/>
            </w:tcMar>
            <w:vAlign w:val="center"/>
          </w:tcPr>
          <w:p>
            <w:pPr>
              <w:pStyle w:val="MdTableCell"/>
            </w:pPr>
            <w:r>
              <w:t xml:space="preserve">Thematic frequency table</w:t>
            </w:r>
          </w:p>
        </w:tc>
      </w:tr>
      <w:tr>
        <w:trPr>
          <w:cantSplit/>
          <w:trHeight w:val="576" w:hRule="atLeast"/>
        </w:trPr>
        <w:tc>
          <w:tcPr>
            <w:tcBorders>
              <w:left w:val="none"/>
              <w:bottom w:val="single" w:color="E1E4E8" w:sz="4"/>
            </w:tcBorders>
            <w:tcMar>
              <w:top w:type="dxa" w:w="80"/>
              <w:left w:type="dxa" w:w="120"/>
              <w:bottom w:type="dxa" w:w="80"/>
              <w:right w:type="dxa" w:w="120"/>
            </w:tcMar>
            <w:vAlign w:val="center"/>
          </w:tcPr>
          <w:p>
            <w:pPr>
              <w:pStyle w:val="MdTableCell"/>
            </w:pPr>
            <w:r>
              <w:rPr>
                <w:rStyle w:val="MdStrong"/>
                <w:b/>
                <w:bCs/>
              </w:rPr>
              <w:t xml:space="preserve">6</w:t>
            </w:r>
          </w:p>
        </w:tc>
        <w:tc>
          <w:tcPr>
            <w:tcBorders>
              <w:bottom w:val="single" w:color="E1E4E8" w:sz="4"/>
            </w:tcBorders>
            <w:tcMar>
              <w:top w:type="dxa" w:w="80"/>
              <w:left w:type="dxa" w:w="120"/>
              <w:bottom w:type="dxa" w:w="80"/>
              <w:right w:type="dxa" w:w="120"/>
            </w:tcMar>
            <w:vAlign w:val="center"/>
          </w:tcPr>
          <w:p>
            <w:pPr>
              <w:pStyle w:val="MdTableCell"/>
            </w:pPr>
            <w:r>
              <w:t xml:space="preserve">Triangulation</w:t>
            </w:r>
          </w:p>
        </w:tc>
        <w:tc>
          <w:tcPr>
            <w:tcBorders>
              <w:bottom w:val="single" w:color="E1E4E8" w:sz="4"/>
            </w:tcBorders>
            <w:tcMar>
              <w:top w:type="dxa" w:w="80"/>
              <w:left w:type="dxa" w:w="120"/>
              <w:bottom w:type="dxa" w:w="80"/>
              <w:right w:type="dxa" w:w="120"/>
            </w:tcMar>
            <w:vAlign w:val="center"/>
          </w:tcPr>
          <w:p>
            <w:pPr>
              <w:pStyle w:val="MdTableCell"/>
            </w:pPr>
            <w:r>
              <w:t xml:space="preserve">Analytical comparison with AI model results</w:t>
            </w:r>
          </w:p>
        </w:tc>
        <w:tc>
          <w:tcPr>
            <w:tcBorders>
              <w:bottom w:val="single" w:color="E1E4E8" w:sz="4"/>
              <w:right w:val="none"/>
            </w:tcBorders>
            <w:tcMar>
              <w:top w:type="dxa" w:w="80"/>
              <w:left w:type="dxa" w:w="120"/>
              <w:bottom w:type="dxa" w:w="80"/>
              <w:right w:type="dxa" w:w="120"/>
            </w:tcMar>
            <w:vAlign w:val="center"/>
          </w:tcPr>
          <w:p>
            <w:pPr>
              <w:pStyle w:val="MdTableCell"/>
            </w:pPr>
            <w:r>
              <w:t xml:space="preserve">Convergence findings</w:t>
            </w:r>
          </w:p>
        </w:tc>
      </w:tr>
    </w:tbl>
    <w:p>
      <w:pPr>
        <w:pStyle w:val="MdBlockquote"/>
      </w:pPr>
      <w:r>
        <w:rPr>
          <w:rStyle w:val="MdStrong"/>
          <w:b/>
          <w:bCs/>
        </w:rPr>
        <w:t xml:space="preserve">Important clarification:</w:t>
      </w:r>
      <w:r>
        <w:t xml:space="preserve"> This analysis does </w:t>
      </w:r>
      <w:r>
        <w:rPr>
          <w:rStyle w:val="MdStrong"/>
          <w:b/>
          <w:bCs/>
        </w:rPr>
        <w:t xml:space="preserve">not</w:t>
      </w:r>
      <w:r>
        <w:t xml:space="preserve"> use artificial intelligence, machine learning, or simulation modelling. It applies a standard qualitative research method — Qualitative Content Analysis — implemented computationally to handle a large document corpus efficiently and reproducibly.</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2. Document Collection</w:t>
      </w:r>
    </w:p>
    <w:p>
      <w:pPr>
        <w:pStyle w:val="Heading3"/>
        <w:pStyle w:val="MdHeading3"/>
      </w:pPr>
      <w:r>
        <w:t xml:space="preserve">2.1 Sources</w:t>
      </w:r>
    </w:p>
    <w:p>
      <w:pPr>
        <w:pStyle w:val="MdParagraph"/>
      </w:pPr>
      <w:r>
        <w:t xml:space="preserve">All documents were sourced directly from the JSWP project repository on Google Drive. Three collections were included:</w:t>
      </w:r>
    </w:p>
    <w:p>
      <w:pPr>
        <w:pStyle w:val="MdSpace"/>
        <w:spacing w:before="0" w:after="60"/>
      </w:pPr>
    </w:p>
    <w:tbl>
      <w:tblPr>
        <w:tblStyle w:val="MdTable"/>
        <w:tblW w:type="pct" w:w="100%"/>
        <w:tblBorders>
          <w:top w:val="single" w:color="E1E4E8" w:sz="4"/>
          <w:left w:val="none"/>
          <w:bottom w:val="single" w:color="E1E4E8" w:sz="4"/>
          <w:right w:val="none"/>
          <w:insideH w:val="single" w:color="E1E4E8" w:sz="2"/>
          <w:insideV w:val="single" w:color="F6F8FA" w:sz="2"/>
        </w:tblBorders>
      </w:tblPr>
      <w:tblGrid>
        <w:gridCol w:w="100"/>
        <w:gridCol w:w="100"/>
        <w:gridCol w:w="100"/>
        <w:gridCol w:w="100"/>
      </w:tblGrid>
      <w:tr>
        <w:trPr>
          <w:cantSplit/>
          <w:tblHeader/>
          <w:trHeight w:val="720" w:hRule="atLeast"/>
        </w:trPr>
        <w:tc>
          <w:tcPr>
            <w:tcBorders>
              <w:left w:val="none"/>
            </w:tcBorders>
            <w:tcMar>
              <w:top w:type="dxa" w:w="100"/>
              <w:left w:type="dxa" w:w="120"/>
              <w:bottom w:type="dxa" w:w="100"/>
              <w:right w:type="dxa" w:w="120"/>
            </w:tcMar>
            <w:vAlign w:val="center"/>
          </w:tcPr>
          <w:p>
            <w:pPr>
              <w:pStyle w:val="MdTableHeader"/>
            </w:pPr>
            <w:r>
              <w:t xml:space="preserve">Collection</w:t>
            </w:r>
          </w:p>
        </w:tc>
        <w:tc>
          <w:tcPr>
            <w:tcMar>
              <w:top w:type="dxa" w:w="100"/>
              <w:left w:type="dxa" w:w="120"/>
              <w:bottom w:type="dxa" w:w="100"/>
              <w:right w:type="dxa" w:w="120"/>
            </w:tcMar>
            <w:vAlign w:val="center"/>
          </w:tcPr>
          <w:p>
            <w:pPr>
              <w:pStyle w:val="MdTableHeader"/>
            </w:pPr>
            <w:r>
              <w:t xml:space="preserve">Documents</w:t>
            </w:r>
          </w:p>
        </w:tc>
        <w:tc>
          <w:tcPr>
            <w:tcMar>
              <w:top w:type="dxa" w:w="100"/>
              <w:left w:type="dxa" w:w="120"/>
              <w:bottom w:type="dxa" w:w="100"/>
              <w:right w:type="dxa" w:w="120"/>
            </w:tcMar>
            <w:vAlign w:val="center"/>
          </w:tcPr>
          <w:p>
            <w:pPr>
              <w:pStyle w:val="MdTableHeader"/>
            </w:pPr>
            <w:r>
              <w:t xml:space="preserve">Period</w:t>
            </w:r>
          </w:p>
        </w:tc>
        <w:tc>
          <w:tcPr>
            <w:tcBorders>
              <w:right w:val="none"/>
            </w:tcBorders>
            <w:tcMar>
              <w:top w:type="dxa" w:w="100"/>
              <w:left w:type="dxa" w:w="120"/>
              <w:bottom w:type="dxa" w:w="100"/>
              <w:right w:type="dxa" w:w="120"/>
            </w:tcMar>
            <w:vAlign w:val="center"/>
          </w:tcPr>
          <w:p>
            <w:pPr>
              <w:pStyle w:val="MdTableHeader"/>
            </w:pPr>
            <w:r>
              <w:t xml:space="preserve">Language</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WSP QAQC Meeting Minutes</w:t>
            </w:r>
          </w:p>
        </w:tc>
        <w:tc>
          <w:tcPr>
            <w:tcMar>
              <w:top w:type="dxa" w:w="80"/>
              <w:left w:type="dxa" w:w="120"/>
              <w:bottom w:type="dxa" w:w="80"/>
              <w:right w:type="dxa" w:w="120"/>
            </w:tcMar>
            <w:vAlign w:val="center"/>
          </w:tcPr>
          <w:p>
            <w:pPr>
              <w:pStyle w:val="MdTableCell"/>
            </w:pPr>
            <w:r>
              <w:t xml:space="preserve">73</w:t>
            </w:r>
          </w:p>
        </w:tc>
        <w:tc>
          <w:tcPr>
            <w:tcMar>
              <w:top w:type="dxa" w:w="80"/>
              <w:left w:type="dxa" w:w="120"/>
              <w:bottom w:type="dxa" w:w="80"/>
              <w:right w:type="dxa" w:w="120"/>
            </w:tcMar>
            <w:vAlign w:val="center"/>
          </w:tcPr>
          <w:p>
            <w:pPr>
              <w:pStyle w:val="MdTableCell"/>
            </w:pPr>
            <w:r>
              <w:t xml:space="preserve">March 2025 – October 2025</w:t>
            </w:r>
          </w:p>
        </w:tc>
        <w:tc>
          <w:tcPr>
            <w:tcBorders>
              <w:right w:val="none"/>
            </w:tcBorders>
            <w:tcMar>
              <w:top w:type="dxa" w:w="80"/>
              <w:left w:type="dxa" w:w="120"/>
              <w:bottom w:type="dxa" w:w="80"/>
              <w:right w:type="dxa" w:w="120"/>
            </w:tcMar>
            <w:vAlign w:val="center"/>
          </w:tcPr>
          <w:p>
            <w:pPr>
              <w:pStyle w:val="MdTableCell"/>
            </w:pPr>
            <w:r>
              <w:t xml:space="preserve">English</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Client Progress Meeting Minutes</w:t>
            </w:r>
          </w:p>
        </w:tc>
        <w:tc>
          <w:tcPr>
            <w:tcMar>
              <w:top w:type="dxa" w:w="80"/>
              <w:left w:type="dxa" w:w="120"/>
              <w:bottom w:type="dxa" w:w="80"/>
              <w:right w:type="dxa" w:w="120"/>
            </w:tcMar>
            <w:vAlign w:val="center"/>
          </w:tcPr>
          <w:p>
            <w:pPr>
              <w:pStyle w:val="MdTableCell"/>
            </w:pPr>
            <w:r>
              <w:t xml:space="preserve">169</w:t>
            </w:r>
          </w:p>
        </w:tc>
        <w:tc>
          <w:tcPr>
            <w:tcMar>
              <w:top w:type="dxa" w:w="80"/>
              <w:left w:type="dxa" w:w="120"/>
              <w:bottom w:type="dxa" w:w="80"/>
              <w:right w:type="dxa" w:w="120"/>
            </w:tcMar>
            <w:vAlign w:val="center"/>
          </w:tcPr>
          <w:p>
            <w:pPr>
              <w:pStyle w:val="MdTableCell"/>
            </w:pPr>
            <w:r>
              <w:t xml:space="preserve">January 2021 – October 2025</w:t>
            </w:r>
          </w:p>
        </w:tc>
        <w:tc>
          <w:tcPr>
            <w:tcBorders>
              <w:right w:val="none"/>
            </w:tcBorders>
            <w:tcMar>
              <w:top w:type="dxa" w:w="80"/>
              <w:left w:type="dxa" w:w="120"/>
              <w:bottom w:type="dxa" w:w="80"/>
              <w:right w:type="dxa" w:w="120"/>
            </w:tcMar>
            <w:vAlign w:val="center"/>
          </w:tcPr>
          <w:p>
            <w:pPr>
              <w:pStyle w:val="MdTableCell"/>
            </w:pPr>
            <w:r>
              <w:t xml:space="preserve">Arabic</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Survey Results</w:t>
            </w:r>
          </w:p>
        </w:tc>
        <w:tc>
          <w:tcPr>
            <w:tcMar>
              <w:top w:type="dxa" w:w="80"/>
              <w:left w:type="dxa" w:w="120"/>
              <w:bottom w:type="dxa" w:w="80"/>
              <w:right w:type="dxa" w:w="120"/>
            </w:tcMar>
            <w:vAlign w:val="center"/>
          </w:tcPr>
          <w:p>
            <w:pPr>
              <w:pStyle w:val="MdTableCell"/>
            </w:pPr>
            <w:r>
              <w:t xml:space="preserve">1</w:t>
            </w:r>
          </w:p>
        </w:tc>
        <w:tc>
          <w:tcPr>
            <w:tcMar>
              <w:top w:type="dxa" w:w="80"/>
              <w:left w:type="dxa" w:w="120"/>
              <w:bottom w:type="dxa" w:w="80"/>
              <w:right w:type="dxa" w:w="120"/>
            </w:tcMar>
            <w:vAlign w:val="center"/>
          </w:tcPr>
          <w:p>
            <w:pPr>
              <w:pStyle w:val="MdTableCell"/>
            </w:pPr>
            <w:r>
              <w:t xml:space="preserve">2025</w:t>
            </w:r>
          </w:p>
        </w:tc>
        <w:tc>
          <w:tcPr>
            <w:tcBorders>
              <w:right w:val="none"/>
            </w:tcBorders>
            <w:tcMar>
              <w:top w:type="dxa" w:w="80"/>
              <w:left w:type="dxa" w:w="120"/>
              <w:bottom w:type="dxa" w:w="80"/>
              <w:right w:type="dxa" w:w="120"/>
            </w:tcMar>
            <w:vAlign w:val="center"/>
          </w:tcPr>
          <w:p>
            <w:pPr>
              <w:pStyle w:val="MdTableCell"/>
            </w:pPr>
            <w:r>
              <w:t xml:space="preserve">English</w:t>
            </w:r>
          </w:p>
        </w:tc>
      </w:tr>
      <w:tr>
        <w:trPr>
          <w:cantSplit/>
          <w:trHeight w:val="576" w:hRule="atLeast"/>
        </w:trPr>
        <w:tc>
          <w:tcPr>
            <w:tcBorders>
              <w:left w:val="none"/>
              <w:bottom w:val="single" w:color="E1E4E8" w:sz="4"/>
            </w:tcBorders>
            <w:tcMar>
              <w:top w:type="dxa" w:w="80"/>
              <w:left w:type="dxa" w:w="120"/>
              <w:bottom w:type="dxa" w:w="80"/>
              <w:right w:type="dxa" w:w="120"/>
            </w:tcMar>
            <w:vAlign w:val="center"/>
          </w:tcPr>
          <w:p>
            <w:pPr>
              <w:pStyle w:val="MdTableCell"/>
            </w:pPr>
            <w:r>
              <w:rPr>
                <w:rStyle w:val="MdStrong"/>
                <w:b/>
                <w:bCs/>
              </w:rPr>
              <w:t xml:space="preserve">Total</w:t>
            </w:r>
          </w:p>
        </w:tc>
        <w:tc>
          <w:tcPr>
            <w:tcBorders>
              <w:bottom w:val="single" w:color="E1E4E8" w:sz="4"/>
            </w:tcBorders>
            <w:tcMar>
              <w:top w:type="dxa" w:w="80"/>
              <w:left w:type="dxa" w:w="120"/>
              <w:bottom w:type="dxa" w:w="80"/>
              <w:right w:type="dxa" w:w="120"/>
            </w:tcMar>
            <w:vAlign w:val="center"/>
          </w:tcPr>
          <w:p>
            <w:pPr>
              <w:pStyle w:val="MdTableCell"/>
            </w:pPr>
            <w:r>
              <w:rPr>
                <w:rStyle w:val="MdStrong"/>
                <w:b/>
                <w:bCs/>
              </w:rPr>
              <w:t xml:space="preserve">243</w:t>
            </w:r>
          </w:p>
        </w:tc>
        <w:tc>
          <w:tcPr>
            <w:tcBorders>
              <w:bottom w:val="single" w:color="E1E4E8" w:sz="4"/>
            </w:tcBorders>
            <w:tcMar>
              <w:top w:type="dxa" w:w="80"/>
              <w:left w:type="dxa" w:w="120"/>
              <w:bottom w:type="dxa" w:w="80"/>
              <w:right w:type="dxa" w:w="120"/>
            </w:tcMar>
            <w:vAlign w:val="center"/>
          </w:tcPr>
          <w:p>
            <w:pPr>
              <w:pStyle w:val="MdTableCell"/>
            </w:pPr>
            <w:r>
              <w:rPr>
                <w:rStyle w:val="MdStrong"/>
                <w:b/>
                <w:bCs/>
              </w:rPr>
              <w:t xml:space="preserve">2021–2025</w:t>
            </w:r>
          </w:p>
        </w:tc>
        <w:tc>
          <w:tcPr>
            <w:tcBorders>
              <w:bottom w:val="single" w:color="E1E4E8" w:sz="4"/>
              <w:right w:val="none"/>
            </w:tcBorders>
            <w:tcMar>
              <w:top w:type="dxa" w:w="80"/>
              <w:left w:type="dxa" w:w="120"/>
              <w:bottom w:type="dxa" w:w="80"/>
              <w:right w:type="dxa" w:w="120"/>
            </w:tcMar>
            <w:vAlign w:val="center"/>
          </w:tcPr>
          <w:p>
            <w:pPr>
              <w:pStyle w:val="MdTableCell"/>
            </w:pPr>
            <w:r>
              <w:t xml:space="preserve">Bilingual</w:t>
            </w:r>
          </w:p>
        </w:tc>
      </w:tr>
    </w:tbl>
    <w:p>
      <w:pPr>
        <w:pStyle w:val="Heading3"/>
        <w:pStyle w:val="MdHeading3"/>
      </w:pPr>
      <w:r>
        <w:t xml:space="preserve">2.2 Collection Method</w:t>
      </w:r>
    </w:p>
    <w:p>
      <w:pPr>
        <w:pStyle w:val="MdParagraph"/>
      </w:pPr>
      <w:r>
        <w:t xml:space="preserve">Documents were downloaded programmatically using the Google Drive API. All 243 Word-format files (</w:t>
      </w:r>
      <w:r>
        <w:rPr>
          <w:rStyle w:val="MdCode"/>
          <w:u w:val="single"/>
        </w:rPr>
        <w:t xml:space="preserve">.docx</w:t>
      </w:r>
      <w:r>
        <w:t xml:space="preserve"> and </w:t>
      </w:r>
      <w:r>
        <w:rPr>
          <w:rStyle w:val="MdCode"/>
          <w:u w:val="single"/>
        </w:rPr>
        <w:t xml:space="preserve">.docm</w:t>
      </w:r>
      <w:r>
        <w:t xml:space="preserve">) were downloaded in their original format. No documents were excluded, filtered, or sampled — the analysis covers the complete available corpus.</w:t>
      </w:r>
    </w:p>
    <w:p>
      <w:pPr>
        <w:pStyle w:val="MdSpace"/>
        <w:spacing w:before="0" w:after="60"/>
      </w:pPr>
    </w:p>
    <w:p>
      <w:pPr>
        <w:pStyle w:val="Heading3"/>
        <w:pStyle w:val="MdHeading3"/>
      </w:pPr>
      <w:r>
        <w:t xml:space="preserve">2.3 Why All Documents Were Included</w:t>
      </w:r>
    </w:p>
    <w:p>
      <w:pPr>
        <w:pStyle w:val="MdParagraph"/>
      </w:pPr>
      <w:r>
        <w:t xml:space="preserve">A complete corpus approach was chosen over sampling for two reasons. First, with 243 documents, the corpus is manageable for computational analysis — there is no practical need to sample. Second, completeness is essential for the longitudinal claim: the five-year record from Client MOMs (2021–2025) is only meaningful if the entire period is covered. Selective sampling would risk missing important temporal patterns.</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3. Text Extraction</w:t>
      </w:r>
    </w:p>
    <w:p>
      <w:pPr>
        <w:pStyle w:val="Heading3"/>
        <w:pStyle w:val="MdHeading3"/>
      </w:pPr>
      <w:r>
        <w:t xml:space="preserve">3.1 Technical Method</w:t>
      </w:r>
    </w:p>
    <w:p>
      <w:pPr>
        <w:pStyle w:val="MdParagraph"/>
      </w:pPr>
      <w:r>
        <w:t xml:space="preserve">Microsoft Word files (both </w:t>
      </w:r>
      <w:r>
        <w:rPr>
          <w:rStyle w:val="MdCode"/>
          <w:u w:val="single"/>
        </w:rPr>
        <w:t xml:space="preserve">.docx</w:t>
      </w:r>
      <w:r>
        <w:t xml:space="preserve"> and </w:t>
      </w:r>
      <w:r>
        <w:rPr>
          <w:rStyle w:val="MdCode"/>
          <w:u w:val="single"/>
        </w:rPr>
        <w:t xml:space="preserve">.docm</w:t>
      </w:r>
      <w:r>
        <w:t xml:space="preserve"> formats) are structured as ZIP archives containing XML files. The document content is stored in a file called </w:t>
      </w:r>
      <w:r>
        <w:rPr>
          <w:rStyle w:val="MdCode"/>
          <w:u w:val="single"/>
        </w:rPr>
        <w:t xml:space="preserve">word/document.xml</w:t>
      </w:r>
      <w:r>
        <w:t xml:space="preserve"> within each archive. The extraction process involved three steps:</w:t>
      </w:r>
    </w:p>
    <w:p>
      <w:pPr>
        <w:pStyle w:val="MdSpace"/>
        <w:spacing w:before="0" w:after="60"/>
      </w:pPr>
    </w:p>
    <w:p>
      <w:pPr>
        <w:pStyle w:val="MdListItem"/>
        <w:numPr>
          <w:ilvl w:val="0"/>
          <w:numId w:val="2"/>
        </w:numPr>
      </w:pPr>
      <w:r>
        <w:t xml:space="preserve">Opening each Word file as a ZIP archive</w:t>
      </w:r>
    </w:p>
    <w:p>
      <w:pPr>
        <w:pStyle w:val="MdListItem"/>
        <w:numPr>
          <w:ilvl w:val="0"/>
          <w:numId w:val="2"/>
        </w:numPr>
      </w:pPr>
      <w:r>
        <w:t xml:space="preserve">Reading the </w:t>
      </w:r>
      <w:r>
        <w:rPr>
          <w:rStyle w:val="MdCode"/>
          <w:u w:val="single"/>
        </w:rPr>
        <w:t xml:space="preserve">word/document.xml</w:t>
      </w:r>
      <w:r>
        <w:t xml:space="preserve"> file</w:t>
      </w:r>
    </w:p>
    <w:p>
      <w:pPr>
        <w:pStyle w:val="MdListItem"/>
        <w:numPr>
          <w:ilvl w:val="0"/>
          <w:numId w:val="2"/>
        </w:numPr>
      </w:pPr>
      <w:r>
        <w:t xml:space="preserve">Removing all XML formatting tags, leaving only the plain text</w:t>
      </w:r>
    </w:p>
    <w:p>
      <w:pPr>
        <w:pStyle w:val="MdSpace"/>
        <w:spacing w:before="0" w:after="60"/>
      </w:pPr>
    </w:p>
    <w:p>
      <w:pPr>
        <w:pStyle w:val="MdParagraph"/>
      </w:pPr>
      <w:r>
        <w:t xml:space="preserve">This is a deterministic, lossless operation. Every word in every document is preserved exactly as written. The method works equally well for English and Arabic text because it operates at the character level, not the language level.</w:t>
      </w:r>
    </w:p>
    <w:p>
      <w:pPr>
        <w:pStyle w:val="MdSpace"/>
        <w:spacing w:before="0" w:after="60"/>
      </w:pPr>
    </w:p>
    <w:p>
      <w:pPr>
        <w:pStyle w:val="Heading3"/>
        <w:pStyle w:val="MdHeading3"/>
      </w:pPr>
      <w:r>
        <w:t xml:space="preserve">3.2 What Was Preserved</w:t>
      </w:r>
    </w:p>
    <w:p>
      <w:pPr>
        <w:pStyle w:val="MdParagraph"/>
      </w:pPr>
      <w:r>
        <w:t xml:space="preserve">The extraction preserved all discussion text, action items, attendee notes, table contents, and meeting conclusions. Headers, footers, and page numbers were also extracted but contributed minimal content. Arabic text was preserved in full Unicode format, maintaining all diacritics and special characters.</w:t>
      </w:r>
    </w:p>
    <w:p>
      <w:pPr>
        <w:pStyle w:val="MdSpace"/>
        <w:spacing w:before="0" w:after="60"/>
      </w:pPr>
    </w:p>
    <w:p>
      <w:pPr>
        <w:pStyle w:val="Heading3"/>
        <w:pStyle w:val="MdHeading3"/>
      </w:pPr>
      <w:r>
        <w:t xml:space="preserve">3.3 What Was Not Extracted</w:t>
      </w:r>
    </w:p>
    <w:p>
      <w:pPr>
        <w:pStyle w:val="MdParagraph"/>
      </w:pPr>
      <w:r>
        <w:t xml:space="preserve">Images, embedded charts, and scanned content (if any) were not extracted, as these are not stored as text in the XML structure. However, review of the document types confirms that all substantive quality discussion content in these MOMs is in text form.</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4. Sentence Segmentation</w:t>
      </w:r>
    </w:p>
    <w:p>
      <w:pPr>
        <w:pStyle w:val="MdParagraph"/>
      </w:pPr>
      <w:r>
        <w:t xml:space="preserve">The extracted text from each document was divided into individual statements using punctuation-based rules. A statement was defined as a continuous text segment between 20 and 600 characters in length, ending at a sentence boundary (full stop, question mark, or exclamation mark) or at a table-row delimiter. Segments shorter than 20 characters (e.g., headers, single words) and longer than 600 characters (e.g., long paragraphs) were excluded from coding, as they are either too brief to carry thematic meaning or too long to be attributed to a single theme.</w:t>
      </w:r>
    </w:p>
    <w:p>
      <w:pPr>
        <w:pStyle w:val="MdSpace"/>
        <w:spacing w:before="0" w:after="60"/>
      </w:pPr>
    </w:p>
    <w:p>
      <w:pPr>
        <w:pStyle w:val="MdParagraph"/>
      </w:pPr>
      <w:r>
        <w:t xml:space="preserve">This process produced </w:t>
      </w:r>
      <w:r>
        <w:rPr>
          <w:rStyle w:val="MdStrong"/>
          <w:b/>
          <w:bCs/>
        </w:rPr>
        <w:t xml:space="preserve">11,090 individual statements</w:t>
      </w:r>
      <w:r>
        <w:t xml:space="preserve"> from 243 documents, with an average of approximately 46 statements per document.</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5. Thematic Coding</w:t>
      </w:r>
    </w:p>
    <w:p>
      <w:pPr>
        <w:pStyle w:val="Heading3"/>
        <w:pStyle w:val="MdHeading3"/>
      </w:pPr>
      <w:r>
        <w:t xml:space="preserve">5.1 Methodological Framework</w:t>
      </w:r>
    </w:p>
    <w:p>
      <w:pPr>
        <w:pStyle w:val="MdParagraph"/>
      </w:pPr>
      <w:r>
        <w:t xml:space="preserve">The coding method follows </w:t>
      </w:r>
      <w:r>
        <w:rPr>
          <w:rStyle w:val="MdStrong"/>
          <w:b/>
          <w:bCs/>
        </w:rPr>
        <w:t xml:space="preserve">Deductive Qualitative Content Analysis</w:t>
      </w:r>
      <w:r>
        <w:t xml:space="preserve">, as described by Mayring (2000) </w:t>
      </w:r>
      <w:hyperlink w:history="1" r:id="rId1eb-up9vnoqiz4zmsqil-">
        <w:r>
          <w:rPr>
            <w:rStyle w:val="MdLink"/>
          </w:rPr>
          <w:t xml:space="preserve">[1]</w:t>
        </w:r>
      </w:hyperlink>
      <w:r>
        <w:t xml:space="preserve"> and Krippendorff (2004) </w:t>
      </w:r>
      <w:hyperlink w:history="1" r:id="rIdegmud75i1ygrr1yvm1dnz">
        <w:r>
          <w:rPr>
            <w:rStyle w:val="MdLink"/>
          </w:rPr>
          <w:t xml:space="preserve">[2]</w:t>
        </w:r>
      </w:hyperlink>
      <w:r>
        <w:t xml:space="preserve">. In deductive content analysis, the researcher defines the coding categories and their indicators </w:t>
      </w:r>
      <w:r>
        <w:rPr>
          <w:rStyle w:val="MdEm"/>
          <w:i/>
          <w:iCs/>
        </w:rPr>
        <w:t xml:space="preserve">before</w:t>
      </w:r>
      <w:r>
        <w:t xml:space="preserve"> reading the data, based on existing theory or a prior analytical framework. This contrasts with inductive content analysis, where categories emerge from the data itself.</w:t>
      </w:r>
    </w:p>
    <w:p>
      <w:pPr>
        <w:pStyle w:val="MdSpace"/>
        <w:spacing w:before="0" w:after="60"/>
      </w:pPr>
    </w:p>
    <w:p>
      <w:pPr>
        <w:pStyle w:val="MdParagraph"/>
      </w:pPr>
      <w:r>
        <w:t xml:space="preserve">The deductive approach was chosen because the JSWP quality management framework already provides a well-defined taxonomy of quality issue types (domain codes D-QMS, D-MAT, D-RST, D-CON, D-HSE). The thematic categories used in this analysis are directly derived from that taxonomy, ensuring alignment between the qualitative coding and the quantitative issue dataset.</w:t>
      </w:r>
    </w:p>
    <w:p>
      <w:pPr>
        <w:pStyle w:val="MdSpace"/>
        <w:spacing w:before="0" w:after="60"/>
      </w:pPr>
    </w:p>
    <w:p>
      <w:pPr>
        <w:pStyle w:val="Heading3"/>
        <w:pStyle w:val="MdHeading3"/>
      </w:pPr>
      <w:r>
        <w:t xml:space="preserve">5.2 Coding Categories and Keywords</w:t>
      </w:r>
    </w:p>
    <w:p>
      <w:pPr>
        <w:pStyle w:val="MdParagraph"/>
      </w:pPr>
      <w:r>
        <w:t xml:space="preserve">Ten thematic categories were defined, each associated with a set of keyword indicators. The table below shows each theme, its connection to the JSWP issue taxonomy, and representative keywords.</w:t>
      </w:r>
    </w:p>
    <w:p>
      <w:pPr>
        <w:pStyle w:val="MdSpace"/>
        <w:spacing w:before="0" w:after="60"/>
      </w:pPr>
    </w:p>
    <w:tbl>
      <w:tblPr>
        <w:tblStyle w:val="MdTable"/>
        <w:tblW w:type="pct" w:w="100%"/>
        <w:tblBorders>
          <w:top w:val="single" w:color="E1E4E8" w:sz="4"/>
          <w:left w:val="none"/>
          <w:bottom w:val="single" w:color="E1E4E8" w:sz="4"/>
          <w:right w:val="none"/>
          <w:insideH w:val="single" w:color="E1E4E8" w:sz="2"/>
          <w:insideV w:val="single" w:color="F6F8FA" w:sz="2"/>
        </w:tblBorders>
      </w:tblPr>
      <w:tblGrid>
        <w:gridCol w:w="100"/>
        <w:gridCol w:w="100"/>
        <w:gridCol w:w="100"/>
        <w:gridCol w:w="100"/>
      </w:tblGrid>
      <w:tr>
        <w:trPr>
          <w:cantSplit/>
          <w:tblHeader/>
          <w:trHeight w:val="720" w:hRule="atLeast"/>
        </w:trPr>
        <w:tc>
          <w:tcPr>
            <w:tcBorders>
              <w:left w:val="none"/>
            </w:tcBorders>
            <w:tcMar>
              <w:top w:type="dxa" w:w="100"/>
              <w:left w:type="dxa" w:w="120"/>
              <w:bottom w:type="dxa" w:w="100"/>
              <w:right w:type="dxa" w:w="120"/>
            </w:tcMar>
            <w:vAlign w:val="center"/>
          </w:tcPr>
          <w:p>
            <w:pPr>
              <w:pStyle w:val="MdTableHeader"/>
            </w:pPr>
            <w:r>
              <w:t xml:space="preserve">Theme</w:t>
            </w:r>
          </w:p>
        </w:tc>
        <w:tc>
          <w:tcPr>
            <w:tcMar>
              <w:top w:type="dxa" w:w="100"/>
              <w:left w:type="dxa" w:w="120"/>
              <w:bottom w:type="dxa" w:w="100"/>
              <w:right w:type="dxa" w:w="120"/>
            </w:tcMar>
            <w:vAlign w:val="center"/>
          </w:tcPr>
          <w:p>
            <w:pPr>
              <w:pStyle w:val="MdTableHeader"/>
            </w:pPr>
            <w:r>
              <w:t xml:space="preserve">JSWP Domain</w:t>
            </w:r>
          </w:p>
        </w:tc>
        <w:tc>
          <w:tcPr>
            <w:tcMar>
              <w:top w:type="dxa" w:w="100"/>
              <w:left w:type="dxa" w:w="120"/>
              <w:bottom w:type="dxa" w:w="100"/>
              <w:right w:type="dxa" w:w="120"/>
            </w:tcMar>
            <w:vAlign w:val="center"/>
          </w:tcPr>
          <w:p>
            <w:pPr>
              <w:pStyle w:val="MdTableHeader"/>
            </w:pPr>
            <w:r>
              <w:t xml:space="preserve">Representative Keywords (English)</w:t>
            </w:r>
          </w:p>
        </w:tc>
        <w:tc>
          <w:tcPr>
            <w:tcBorders>
              <w:right w:val="none"/>
            </w:tcBorders>
            <w:tcMar>
              <w:top w:type="dxa" w:w="100"/>
              <w:left w:type="dxa" w:w="120"/>
              <w:bottom w:type="dxa" w:w="100"/>
              <w:right w:type="dxa" w:w="120"/>
            </w:tcMar>
            <w:vAlign w:val="center"/>
          </w:tcPr>
          <w:p>
            <w:pPr>
              <w:pStyle w:val="MdTableHeader"/>
            </w:pPr>
            <w:r>
              <w:t xml:space="preserve">Representative Keywords (Arabic)</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Contractor Non-Compliance</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non-compliance, NCR, SOR, rectify, repeated violation, continues action</w:t>
            </w:r>
          </w:p>
        </w:tc>
        <w:tc>
          <w:tcPr>
            <w:tcBorders>
              <w:right w:val="none"/>
            </w:tcBorders>
            <w:tcMar>
              <w:top w:type="dxa" w:w="80"/>
              <w:left w:type="dxa" w:w="120"/>
              <w:bottom w:type="dxa" w:w="80"/>
              <w:right w:type="dxa" w:w="120"/>
            </w:tcMar>
            <w:vAlign w:val="center"/>
          </w:tcPr>
          <w:p>
            <w:pPr>
              <w:pStyle w:val="MdTableCell"/>
            </w:pPr>
            <w:r>
              <w:t xml:space="preserve">عدم الالتزام، مخالفة، تصحيح</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Poor Workmanship</w:t>
            </w:r>
          </w:p>
        </w:tc>
        <w:tc>
          <w:tcPr>
            <w:tcMar>
              <w:top w:type="dxa" w:w="80"/>
              <w:left w:type="dxa" w:w="120"/>
              <w:bottom w:type="dxa" w:w="80"/>
              <w:right w:type="dxa" w:w="120"/>
            </w:tcMar>
            <w:vAlign w:val="center"/>
          </w:tcPr>
          <w:p>
            <w:pPr>
              <w:pStyle w:val="MdTableCell"/>
            </w:pPr>
            <w:r>
              <w:t xml:space="preserve">D-RST</w:t>
            </w:r>
          </w:p>
        </w:tc>
        <w:tc>
          <w:tcPr>
            <w:tcMar>
              <w:top w:type="dxa" w:w="80"/>
              <w:left w:type="dxa" w:w="120"/>
              <w:bottom w:type="dxa" w:w="80"/>
              <w:right w:type="dxa" w:w="120"/>
            </w:tcMar>
            <w:vAlign w:val="center"/>
          </w:tcPr>
          <w:p>
            <w:pPr>
              <w:pStyle w:val="MdTableCell"/>
            </w:pPr>
            <w:r>
              <w:t xml:space="preserve">workmanship, defect, rework, rectification, asphalt, compaction, concrete</w:t>
            </w:r>
          </w:p>
        </w:tc>
        <w:tc>
          <w:tcPr>
            <w:tcBorders>
              <w:right w:val="none"/>
            </w:tcBorders>
            <w:tcMar>
              <w:top w:type="dxa" w:w="80"/>
              <w:left w:type="dxa" w:w="120"/>
              <w:bottom w:type="dxa" w:w="80"/>
              <w:right w:type="dxa" w:w="120"/>
            </w:tcMar>
            <w:vAlign w:val="center"/>
          </w:tcPr>
          <w:p>
            <w:pPr>
              <w:pStyle w:val="MdTableCell"/>
            </w:pPr>
            <w:r>
              <w:t xml:space="preserve">جودة رديئة، إعادة عمل، عيب</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Delayed Corrective Actions</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overdue, pending, open action, not closed, follow-up, outstanding</w:t>
            </w:r>
          </w:p>
        </w:tc>
        <w:tc>
          <w:tcPr>
            <w:tcBorders>
              <w:right w:val="none"/>
            </w:tcBorders>
            <w:tcMar>
              <w:top w:type="dxa" w:w="80"/>
              <w:left w:type="dxa" w:w="120"/>
              <w:bottom w:type="dxa" w:w="80"/>
              <w:right w:type="dxa" w:w="120"/>
            </w:tcMar>
            <w:vAlign w:val="center"/>
          </w:tcPr>
          <w:p>
            <w:pPr>
              <w:pStyle w:val="MdTableCell"/>
            </w:pPr>
            <w:r>
              <w:t xml:space="preserve">متأخر، معلق، لم يُغلق</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Material Approval Delays</w:t>
            </w:r>
          </w:p>
        </w:tc>
        <w:tc>
          <w:tcPr>
            <w:tcMar>
              <w:top w:type="dxa" w:w="80"/>
              <w:left w:type="dxa" w:w="120"/>
              <w:bottom w:type="dxa" w:w="80"/>
              <w:right w:type="dxa" w:w="120"/>
            </w:tcMar>
            <w:vAlign w:val="center"/>
          </w:tcPr>
          <w:p>
            <w:pPr>
              <w:pStyle w:val="MdTableCell"/>
            </w:pPr>
            <w:r>
              <w:t xml:space="preserve">D-MAT</w:t>
            </w:r>
          </w:p>
        </w:tc>
        <w:tc>
          <w:tcPr>
            <w:tcMar>
              <w:top w:type="dxa" w:w="80"/>
              <w:left w:type="dxa" w:w="120"/>
              <w:bottom w:type="dxa" w:w="80"/>
              <w:right w:type="dxa" w:w="120"/>
            </w:tcMar>
            <w:vAlign w:val="center"/>
          </w:tcPr>
          <w:p>
            <w:pPr>
              <w:pStyle w:val="MdTableCell"/>
            </w:pPr>
            <w:r>
              <w:t xml:space="preserve">material approval, approved material, submittal, mix design, not approved</w:t>
            </w:r>
          </w:p>
        </w:tc>
        <w:tc>
          <w:tcPr>
            <w:tcBorders>
              <w:right w:val="none"/>
            </w:tcBorders>
            <w:tcMar>
              <w:top w:type="dxa" w:w="80"/>
              <w:left w:type="dxa" w:w="120"/>
              <w:bottom w:type="dxa" w:w="80"/>
              <w:right w:type="dxa" w:w="120"/>
            </w:tcMar>
            <w:vAlign w:val="center"/>
          </w:tcPr>
          <w:p>
            <w:pPr>
              <w:pStyle w:val="MdTableCell"/>
            </w:pPr>
            <w:r>
              <w:t xml:space="preserve">اعتماد المواد، مواد غير معتمدة</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Inspection Failures</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inspection, WIR, ITP, test, failed test, mandrel, third party</w:t>
            </w:r>
          </w:p>
        </w:tc>
        <w:tc>
          <w:tcPr>
            <w:tcBorders>
              <w:right w:val="none"/>
            </w:tcBorders>
            <w:tcMar>
              <w:top w:type="dxa" w:w="80"/>
              <w:left w:type="dxa" w:w="120"/>
              <w:bottom w:type="dxa" w:w="80"/>
              <w:right w:type="dxa" w:w="120"/>
            </w:tcMar>
            <w:vAlign w:val="center"/>
          </w:tcPr>
          <w:p>
            <w:pPr>
              <w:pStyle w:val="MdTableCell"/>
            </w:pPr>
            <w:r>
              <w:t xml:space="preserve">فحص، اختبار، طلب فحص</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Coordination Problems</w:t>
            </w:r>
          </w:p>
        </w:tc>
        <w:tc>
          <w:tcPr>
            <w:tcMar>
              <w:top w:type="dxa" w:w="80"/>
              <w:left w:type="dxa" w:w="120"/>
              <w:bottom w:type="dxa" w:w="80"/>
              <w:right w:type="dxa" w:w="120"/>
            </w:tcMar>
            <w:vAlign w:val="center"/>
          </w:tcPr>
          <w:p>
            <w:pPr>
              <w:pStyle w:val="MdTableCell"/>
            </w:pPr>
            <w:r>
              <w:t xml:space="preserve">D-CON</w:t>
            </w:r>
          </w:p>
        </w:tc>
        <w:tc>
          <w:tcPr>
            <w:tcMar>
              <w:top w:type="dxa" w:w="80"/>
              <w:left w:type="dxa" w:w="120"/>
              <w:bottom w:type="dxa" w:w="80"/>
              <w:right w:type="dxa" w:w="120"/>
            </w:tcMar>
            <w:vAlign w:val="center"/>
          </w:tcPr>
          <w:p>
            <w:pPr>
              <w:pStyle w:val="MdTableCell"/>
            </w:pPr>
            <w:r>
              <w:t xml:space="preserve">coordination, communication, schedule, interface, clash, without notice</w:t>
            </w:r>
          </w:p>
        </w:tc>
        <w:tc>
          <w:tcPr>
            <w:tcBorders>
              <w:right w:val="none"/>
            </w:tcBorders>
            <w:tcMar>
              <w:top w:type="dxa" w:w="80"/>
              <w:left w:type="dxa" w:w="120"/>
              <w:bottom w:type="dxa" w:w="80"/>
              <w:right w:type="dxa" w:w="120"/>
            </w:tcMar>
            <w:vAlign w:val="center"/>
          </w:tcPr>
          <w:p>
            <w:pPr>
              <w:pStyle w:val="MdTableCell"/>
            </w:pPr>
            <w:r>
              <w:t xml:space="preserve">تنسيق، تواصل، تعارض</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Resource Constraints</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resource, manpower, staff, equipment, shortage, lack of, training</w:t>
            </w:r>
          </w:p>
        </w:tc>
        <w:tc>
          <w:tcPr>
            <w:tcBorders>
              <w:right w:val="none"/>
            </w:tcBorders>
            <w:tcMar>
              <w:top w:type="dxa" w:w="80"/>
              <w:left w:type="dxa" w:w="120"/>
              <w:bottom w:type="dxa" w:w="80"/>
              <w:right w:type="dxa" w:w="120"/>
            </w:tcMar>
            <w:vAlign w:val="center"/>
          </w:tcPr>
          <w:p>
            <w:pPr>
              <w:pStyle w:val="MdTableCell"/>
            </w:pPr>
            <w:r>
              <w:t xml:space="preserve">موارد، عمالة، معدات، نقص</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Management Escalations</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escalation, PMO, formal notice, warning letter, stop work, senior management</w:t>
            </w:r>
          </w:p>
        </w:tc>
        <w:tc>
          <w:tcPr>
            <w:tcBorders>
              <w:right w:val="none"/>
            </w:tcBorders>
            <w:tcMar>
              <w:top w:type="dxa" w:w="80"/>
              <w:left w:type="dxa" w:w="120"/>
              <w:bottom w:type="dxa" w:w="80"/>
              <w:right w:type="dxa" w:w="120"/>
            </w:tcMar>
            <w:vAlign w:val="center"/>
          </w:tcPr>
          <w:p>
            <w:pPr>
              <w:pStyle w:val="MdTableCell"/>
            </w:pPr>
            <w:r>
              <w:t xml:space="preserve">تصعيد، إدارة عليا</w:t>
            </w:r>
          </w:p>
        </w:tc>
      </w:tr>
      <w:tr>
        <w:trPr>
          <w:cantSplit/>
          <w:trHeight w:val="576" w:hRule="atLeast"/>
        </w:trPr>
        <w:tc>
          <w:tcPr>
            <w:tcBorders>
              <w:left w:val="none"/>
            </w:tcBorders>
            <w:tcMar>
              <w:top w:type="dxa" w:w="80"/>
              <w:left w:type="dxa" w:w="120"/>
              <w:bottom w:type="dxa" w:w="80"/>
              <w:right w:type="dxa" w:w="120"/>
            </w:tcMar>
            <w:vAlign w:val="center"/>
          </w:tcPr>
          <w:p>
            <w:pPr>
              <w:pStyle w:val="MdTableCell"/>
            </w:pPr>
            <w:r>
              <w:t xml:space="preserve">Progress &amp; Schedule Issues</w:t>
            </w:r>
          </w:p>
        </w:tc>
        <w:tc>
          <w:tcPr>
            <w:tcMar>
              <w:top w:type="dxa" w:w="80"/>
              <w:left w:type="dxa" w:w="120"/>
              <w:bottom w:type="dxa" w:w="80"/>
              <w:right w:type="dxa" w:w="120"/>
            </w:tcMar>
            <w:vAlign w:val="center"/>
          </w:tcPr>
          <w:p>
            <w:pPr>
              <w:pStyle w:val="MdTableCell"/>
            </w:pPr>
            <w:r>
              <w:t xml:space="preserve">D-QMS</w:t>
            </w:r>
          </w:p>
        </w:tc>
        <w:tc>
          <w:tcPr>
            <w:tcMar>
              <w:top w:type="dxa" w:w="80"/>
              <w:left w:type="dxa" w:w="120"/>
              <w:bottom w:type="dxa" w:w="80"/>
              <w:right w:type="dxa" w:w="120"/>
            </w:tcMar>
            <w:vAlign w:val="center"/>
          </w:tcPr>
          <w:p>
            <w:pPr>
              <w:pStyle w:val="MdTableCell"/>
            </w:pPr>
            <w:r>
              <w:t xml:space="preserve">progress, delay, behind schedule, milestone, completion, extension of time</w:t>
            </w:r>
          </w:p>
        </w:tc>
        <w:tc>
          <w:tcPr>
            <w:tcBorders>
              <w:right w:val="none"/>
            </w:tcBorders>
            <w:tcMar>
              <w:top w:type="dxa" w:w="80"/>
              <w:left w:type="dxa" w:w="120"/>
              <w:bottom w:type="dxa" w:w="80"/>
              <w:right w:type="dxa" w:w="120"/>
            </w:tcMar>
            <w:vAlign w:val="center"/>
          </w:tcPr>
          <w:p>
            <w:pPr>
              <w:pStyle w:val="MdTableCell"/>
            </w:pPr>
            <w:r>
              <w:t xml:space="preserve">تأخر، تقدم، جدول، إنجاز</w:t>
            </w:r>
          </w:p>
        </w:tc>
      </w:tr>
      <w:tr>
        <w:trPr>
          <w:cantSplit/>
          <w:trHeight w:val="576" w:hRule="atLeast"/>
        </w:trPr>
        <w:tc>
          <w:tcPr>
            <w:tcBorders>
              <w:left w:val="none"/>
              <w:bottom w:val="single" w:color="E1E4E8" w:sz="4"/>
            </w:tcBorders>
            <w:tcMar>
              <w:top w:type="dxa" w:w="80"/>
              <w:left w:type="dxa" w:w="120"/>
              <w:bottom w:type="dxa" w:w="80"/>
              <w:right w:type="dxa" w:w="120"/>
            </w:tcMar>
            <w:vAlign w:val="center"/>
          </w:tcPr>
          <w:p>
            <w:pPr>
              <w:pStyle w:val="MdTableCell"/>
            </w:pPr>
            <w:r>
              <w:t xml:space="preserve">Safety &amp; Environmental</w:t>
            </w:r>
          </w:p>
        </w:tc>
        <w:tc>
          <w:tcPr>
            <w:tcBorders>
              <w:bottom w:val="single" w:color="E1E4E8" w:sz="4"/>
            </w:tcBorders>
            <w:tcMar>
              <w:top w:type="dxa" w:w="80"/>
              <w:left w:type="dxa" w:w="120"/>
              <w:bottom w:type="dxa" w:w="80"/>
              <w:right w:type="dxa" w:w="120"/>
            </w:tcMar>
            <w:vAlign w:val="center"/>
          </w:tcPr>
          <w:p>
            <w:pPr>
              <w:pStyle w:val="MdTableCell"/>
            </w:pPr>
            <w:r>
              <w:t xml:space="preserve">D-HSE</w:t>
            </w:r>
          </w:p>
        </w:tc>
        <w:tc>
          <w:tcPr>
            <w:tcBorders>
              <w:bottom w:val="single" w:color="E1E4E8" w:sz="4"/>
            </w:tcBorders>
            <w:tcMar>
              <w:top w:type="dxa" w:w="80"/>
              <w:left w:type="dxa" w:w="120"/>
              <w:bottom w:type="dxa" w:w="80"/>
              <w:right w:type="dxa" w:w="120"/>
            </w:tcMar>
            <w:vAlign w:val="center"/>
          </w:tcPr>
          <w:p>
            <w:pPr>
              <w:pStyle w:val="MdTableCell"/>
            </w:pPr>
            <w:r>
              <w:t xml:space="preserve">safety, HSE, hazard, incident, accident, environmental, PPE</w:t>
            </w:r>
          </w:p>
        </w:tc>
        <w:tc>
          <w:tcPr>
            <w:tcBorders>
              <w:bottom w:val="single" w:color="E1E4E8" w:sz="4"/>
              <w:right w:val="none"/>
            </w:tcBorders>
            <w:tcMar>
              <w:top w:type="dxa" w:w="80"/>
              <w:left w:type="dxa" w:w="120"/>
              <w:bottom w:type="dxa" w:w="80"/>
              <w:right w:type="dxa" w:w="120"/>
            </w:tcMar>
            <w:vAlign w:val="center"/>
          </w:tcPr>
          <w:p>
            <w:pPr>
              <w:pStyle w:val="MdTableCell"/>
            </w:pPr>
            <w:r>
              <w:t xml:space="preserve">سلامة، بيئة، حادث</w:t>
            </w:r>
          </w:p>
        </w:tc>
      </w:tr>
    </w:tbl>
    <w:p>
      <w:pPr>
        <w:pStyle w:val="Heading3"/>
        <w:pStyle w:val="MdHeading3"/>
      </w:pPr>
      <w:r>
        <w:t xml:space="preserve">5.3 Coding Procedure</w:t>
      </w:r>
    </w:p>
    <w:p>
      <w:pPr>
        <w:pStyle w:val="MdParagraph"/>
      </w:pPr>
      <w:r>
        <w:t xml:space="preserve">Each of the 11,090 statements was tested against all ten themes simultaneously. A statement was assigned to a theme if it contained at least one keyword from that theme's indicator list. A single statement could be assigned to multiple themes if it contained keywords from more than one category. The coding was applied identically to English and Arabic statements using the respective language keyword lists.</w:t>
      </w:r>
    </w:p>
    <w:p>
      <w:pPr>
        <w:pStyle w:val="MdSpace"/>
        <w:spacing w:before="0" w:after="60"/>
      </w:pPr>
    </w:p>
    <w:p>
      <w:pPr>
        <w:pStyle w:val="MdParagraph"/>
      </w:pPr>
      <w:r>
        <w:t xml:space="preserve">This procedure is analogous to a human researcher reading each sentence and asking: "Does this sentence discuss contractor compliance? Does it discuss material approvals?" — except that it was applied consistently to all 11,090 statements without variation or fatigue.</w:t>
      </w:r>
    </w:p>
    <w:p>
      <w:pPr>
        <w:pStyle w:val="MdSpace"/>
        <w:spacing w:before="0" w:after="60"/>
      </w:pPr>
    </w:p>
    <w:p>
      <w:pPr>
        <w:pStyle w:val="Heading3"/>
        <w:pStyle w:val="MdHeading3"/>
      </w:pPr>
      <w:r>
        <w:t xml:space="preserve">5.4 Why This Is Not AI or Machine Learning</w:t>
      </w:r>
    </w:p>
    <w:p>
      <w:pPr>
        <w:pStyle w:val="MdParagraph"/>
      </w:pPr>
      <w:r>
        <w:t xml:space="preserve">It is important to be precise about what this method is and is not. The coding procedure is </w:t>
      </w:r>
      <w:r>
        <w:rPr>
          <w:rStyle w:val="MdStrong"/>
          <w:b/>
          <w:bCs/>
        </w:rPr>
        <w:t xml:space="preserve">rule-based pattern matching</w:t>
      </w:r>
      <w:r>
        <w:t xml:space="preserve"> — the computational equivalent of using CTRL+F to search for specific words across a large set of documents. There is no learning, no probability estimation, no neural network, and no model training involved. The rules (keyword lists) were defined by the researcher based on domain knowledge, not derived from the data.</w:t>
      </w:r>
    </w:p>
    <w:p>
      <w:pPr>
        <w:pStyle w:val="MdSpace"/>
        <w:spacing w:before="0" w:after="60"/>
      </w:pPr>
    </w:p>
    <w:p>
      <w:pPr>
        <w:pStyle w:val="MdParagraph"/>
      </w:pPr>
      <w:r>
        <w:t xml:space="preserve">This distinction matters for methodological transparency. The results are fully reproducible: given the same documents and the same keyword lists, any researcher would obtain identical coding results. This reproducibility is a key quality criterion for quantitative content analysis </w:t>
      </w:r>
      <w:hyperlink w:history="1" r:id="rIdxdbya3wnfm0dbvcgy8aev">
        <w:r>
          <w:rPr>
            <w:rStyle w:val="MdLink"/>
          </w:rPr>
          <w:t xml:space="preserve">[2]</w:t>
        </w:r>
      </w:hyperlink>
      <w:r>
        <w:t xml:space="preserve">.</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6. Frequency Analysis</w:t>
      </w:r>
    </w:p>
    <w:p>
      <w:pPr>
        <w:pStyle w:val="MdParagraph"/>
      </w:pPr>
      <w:r>
        <w:t xml:space="preserve">Once all statements were coded, the analysis computed two frequency metrics for each theme:</w:t>
      </w:r>
    </w:p>
    <w:p>
      <w:pPr>
        <w:pStyle w:val="MdSpace"/>
        <w:spacing w:before="0" w:after="60"/>
      </w:pPr>
    </w:p>
    <w:p>
      <w:pPr>
        <w:pStyle w:val="MdParagraph"/>
      </w:pPr>
      <w:r>
        <w:rPr>
          <w:rStyle w:val="MdStrong"/>
          <w:b/>
          <w:bCs/>
        </w:rPr>
        <w:t xml:space="preserve">Statement Frequency</w:t>
      </w:r>
      <w:r>
        <w:t xml:space="preserve"> counts the total number of individual statements assigned to each theme across all 243 documents. This measures the overall volume of discussion about each theme.</w:t>
      </w:r>
    </w:p>
    <w:p>
      <w:pPr>
        <w:pStyle w:val="MdSpace"/>
        <w:spacing w:before="0" w:after="60"/>
      </w:pPr>
    </w:p>
    <w:p>
      <w:pPr>
        <w:pStyle w:val="MdParagraph"/>
      </w:pPr>
      <w:r>
        <w:rPr>
          <w:rStyle w:val="MdStrong"/>
          <w:b/>
          <w:bCs/>
        </w:rPr>
        <w:t xml:space="preserve">Document Coverage</w:t>
      </w:r>
      <w:r>
        <w:t xml:space="preserve"> counts the number of distinct documents containing at least one statement assigned to each theme. This measures the breadth of the theme — how widely it appears across the corpus, regardless of how intensively it is discussed in any single document.</w:t>
      </w:r>
    </w:p>
    <w:p>
      <w:pPr>
        <w:pStyle w:val="MdSpace"/>
        <w:spacing w:before="0" w:after="60"/>
      </w:pPr>
    </w:p>
    <w:p>
      <w:pPr>
        <w:pStyle w:val="MdParagraph"/>
      </w:pPr>
      <w:r>
        <w:t xml:space="preserve">Both metrics are reported because they capture different aspects of thematic prevalence. A theme with high statement frequency but low document coverage is intensively discussed in a few documents. A theme with high document coverage indicates a widespread, programme-level concern. The finding that six of ten themes appear in more than 80% of all 243 documents is evidence of the latter: these are not localised problems but programme-wide patterns.</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7. Triangulation</w:t>
      </w:r>
    </w:p>
    <w:p>
      <w:pPr>
        <w:pStyle w:val="Heading3"/>
        <w:pStyle w:val="MdHeading3"/>
      </w:pPr>
      <w:r>
        <w:t xml:space="preserve">7.1 What Triangulation Means</w:t>
      </w:r>
    </w:p>
    <w:p>
      <w:pPr>
        <w:pStyle w:val="MdParagraph"/>
      </w:pPr>
      <w:r>
        <w:t xml:space="preserve">Triangulation is a core principle of mixed-methods research. It involves comparing findings from two or more independent data sources or methods to assess whether they point to the same conclusion </w:t>
      </w:r>
      <w:hyperlink w:history="1" r:id="rIduhkfqed2dnltcjz3egdj6">
        <w:r>
          <w:rPr>
            <w:rStyle w:val="MdLink"/>
          </w:rPr>
          <w:t xml:space="preserve">[3]</w:t>
        </w:r>
      </w:hyperlink>
      <w:r>
        <w:t xml:space="preserve">. In this research, the two data sources are:</w:t>
      </w:r>
    </w:p>
    <w:p>
      <w:pPr>
        <w:pStyle w:val="MdSpace"/>
        <w:spacing w:before="0" w:after="60"/>
      </w:pPr>
    </w:p>
    <w:p>
      <w:pPr>
        <w:pStyle w:val="MdListItem"/>
        <w:numPr>
          <w:ilvl w:val="0"/>
          <w:numId w:val="3"/>
        </w:numPr>
      </w:pPr>
      <w:r>
        <w:rPr>
          <w:rStyle w:val="MdStrong"/>
          <w:b/>
          <w:bCs/>
        </w:rPr>
        <w:t xml:space="preserve">Quantitative:</w:t>
      </w:r>
      <w:r>
        <w:t xml:space="preserve"> The AI Risk and Escalation Model, built from 673 NCRs/SORs and 113 AI-generated warnings</w:t>
      </w:r>
    </w:p>
    <w:p>
      <w:pPr>
        <w:pStyle w:val="MdListItem"/>
        <w:numPr>
          <w:ilvl w:val="0"/>
          <w:numId w:val="3"/>
        </w:numPr>
      </w:pPr>
      <w:r>
        <w:rPr>
          <w:rStyle w:val="MdStrong"/>
          <w:b/>
          <w:bCs/>
        </w:rPr>
        <w:t xml:space="preserve">Qualitative:</w:t>
      </w:r>
      <w:r>
        <w:t xml:space="preserve"> The thematic content analysis of 243 MOM documents</w:t>
      </w:r>
    </w:p>
    <w:p>
      <w:pPr>
        <w:pStyle w:val="MdSpace"/>
        <w:spacing w:before="0" w:after="60"/>
      </w:pPr>
    </w:p>
    <w:p>
      <w:pPr>
        <w:pStyle w:val="MdParagraph"/>
      </w:pPr>
      <w:r>
        <w:t xml:space="preserve">These two sources were developed independently. The AI model was built from structured issue records; the thematic analysis was built from unstructured meeting text. If both sources identify the same patterns, the convergence provides stronger evidence than either source alone.</w:t>
      </w:r>
    </w:p>
    <w:p>
      <w:pPr>
        <w:pStyle w:val="MdSpace"/>
        <w:spacing w:before="0" w:after="60"/>
      </w:pPr>
    </w:p>
    <w:p>
      <w:pPr>
        <w:pStyle w:val="Heading3"/>
        <w:pStyle w:val="MdHeading3"/>
      </w:pPr>
      <w:r>
        <w:t xml:space="preserve">7.2 How Convergence Was Assessed</w:t>
      </w:r>
    </w:p>
    <w:p>
      <w:pPr>
        <w:pStyle w:val="MdParagraph"/>
      </w:pPr>
      <w:r>
        <w:t xml:space="preserve">For each qualitative theme, the corresponding quantitative finding was identified (e.g., the "Delayed Corrective Actions" theme maps to the "Delay" warning type in the AI model). The escalation rate for that warning type was then compared to the qualitative evidence. Convergence was rated as:</w:t>
      </w:r>
    </w:p>
    <w:p>
      <w:pPr>
        <w:pStyle w:val="MdSpace"/>
        <w:spacing w:before="0" w:after="60"/>
      </w:pPr>
    </w:p>
    <w:p>
      <w:pPr>
        <w:pStyle w:val="MdListItem"/>
        <w:numPr>
          <w:ilvl w:val="0"/>
          <w:numId w:val="3"/>
        </w:numPr>
      </w:pPr>
      <w:r>
        <w:rPr>
          <w:rStyle w:val="MdStrong"/>
          <w:b/>
          <w:bCs/>
        </w:rPr>
        <w:t xml:space="preserve">Strong:</w:t>
      </w:r>
      <w:r>
        <w:t xml:space="preserve"> The qualitative theme is highly prevalent (&gt;90% document coverage) AND the corresponding quantitative escalation rate is high (&gt;45%)</w:t>
      </w:r>
    </w:p>
    <w:p>
      <w:pPr>
        <w:pStyle w:val="MdListItem"/>
        <w:numPr>
          <w:ilvl w:val="0"/>
          <w:numId w:val="3"/>
        </w:numPr>
      </w:pPr>
      <w:r>
        <w:rPr>
          <w:rStyle w:val="MdStrong"/>
          <w:b/>
          <w:bCs/>
        </w:rPr>
        <w:t xml:space="preserve">Moderate:</w:t>
      </w:r>
      <w:r>
        <w:t xml:space="preserve"> The qualitative theme is prevalent (45–90% document coverage) OR the escalation rate is moderate (30–45%)</w:t>
      </w:r>
    </w:p>
    <w:p>
      <w:pPr>
        <w:pStyle w:val="MdListItem"/>
        <w:numPr>
          <w:ilvl w:val="0"/>
          <w:numId w:val="3"/>
        </w:numPr>
      </w:pPr>
      <w:r>
        <w:rPr>
          <w:rStyle w:val="MdStrong"/>
          <w:b/>
          <w:bCs/>
        </w:rPr>
        <w:t xml:space="preserve">Weak:</w:t>
      </w:r>
      <w:r>
        <w:t xml:space="preserve"> Low prevalence or low escalation rate</w:t>
      </w:r>
    </w:p>
    <w:p>
      <w:pPr>
        <w:pStyle w:val="MdSpace"/>
        <w:spacing w:before="0" w:after="60"/>
      </w:pPr>
    </w:p>
    <w:p>
      <w:pPr>
        <w:pStyle w:val="MdParagraph"/>
      </w:pPr>
      <w:r>
        <w:t xml:space="preserve">Six of eight triangulation points were rated as Strong convergence, and two as Moderate. No Weak convergence points were identified.</w:t>
      </w:r>
    </w:p>
    <w:p>
      <w:pPr>
        <w:pStyle w:val="MdSpace"/>
        <w:spacing w:before="0" w:after="60"/>
      </w:pPr>
    </w:p>
    <w:p>
      <w:pPr>
        <w:pStyle w:val="Heading3"/>
        <w:pStyle w:val="MdHeading3"/>
      </w:pPr>
      <w:r>
        <w:t xml:space="preserve">7.3 What Convergence Means for the Thesis</w:t>
      </w:r>
    </w:p>
    <w:p>
      <w:pPr>
        <w:pStyle w:val="MdParagraph"/>
      </w:pPr>
      <w:r>
        <w:t xml:space="preserve">Strong convergence between qualitative and quantitative findings provides </w:t>
      </w:r>
      <w:r>
        <w:rPr>
          <w:rStyle w:val="MdStrong"/>
          <w:b/>
          <w:bCs/>
        </w:rPr>
        <w:t xml:space="preserve">construct validity</w:t>
      </w:r>
      <w:r>
        <w:t xml:space="preserve"> for the Quality Intelligence Model. It demonstrates that the model is measuring real, operationally significant quality risks — not statistical artefacts. The qualitative evidence from MOMs confirms that the risks the AI model identifies are the same risks that practitioners are discussing in meetings, which validates the model's relevance to real-world quality management practice.</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8. Limitations</w:t>
      </w:r>
    </w:p>
    <w:p>
      <w:pPr>
        <w:pStyle w:val="MdParagraph"/>
      </w:pPr>
      <w:r>
        <w:rPr>
          <w:rStyle w:val="MdStrong"/>
          <w:b/>
          <w:bCs/>
        </w:rPr>
        <w:t xml:space="preserve">Keyword-based coding limitations.</w:t>
      </w:r>
      <w:r>
        <w:t xml:space="preserve"> The deductive keyword approach may miss statements that discuss a theme using non-standard terminology, particularly in Arabic where multiple synonyms exist for quality management concepts. This is a known limitation of keyword-based content analysis </w:t>
      </w:r>
      <w:hyperlink w:history="1" r:id="rIdzuwqapcqb_dwk58cvevj9">
        <w:r>
          <w:rPr>
            <w:rStyle w:val="MdLink"/>
          </w:rPr>
          <w:t xml:space="preserve">[2]</w:t>
        </w:r>
      </w:hyperlink>
      <w:r>
        <w:t xml:space="preserve">. Future work could supplement this approach with human validation of a random sample of coded statements to estimate inter-rater reliability.</w:t>
      </w:r>
    </w:p>
    <w:p>
      <w:pPr>
        <w:pStyle w:val="MdSpace"/>
        <w:spacing w:before="0" w:after="60"/>
      </w:pPr>
    </w:p>
    <w:p>
      <w:pPr>
        <w:pStyle w:val="MdParagraph"/>
      </w:pPr>
      <w:r>
        <w:rPr>
          <w:rStyle w:val="MdStrong"/>
          <w:b/>
          <w:bCs/>
        </w:rPr>
        <w:t xml:space="preserve">Arabic language coverage.</w:t>
      </w:r>
      <w:r>
        <w:t xml:space="preserve"> The Arabic keyword list was developed based on standard quality management terminology. Regional or programme-specific Arabic terminology not included in the keyword list may have resulted in some under-coding of the Client MOM corpus. However, the high statement counts from the Arabic corpus (9,267 of 11,090 total) suggest that the keyword list achieved adequate coverage.</w:t>
      </w:r>
    </w:p>
    <w:p>
      <w:pPr>
        <w:pStyle w:val="MdSpace"/>
        <w:spacing w:before="0" w:after="60"/>
      </w:pPr>
    </w:p>
    <w:p>
      <w:pPr>
        <w:pStyle w:val="MdParagraph"/>
      </w:pPr>
      <w:r>
        <w:rPr>
          <w:rStyle w:val="MdStrong"/>
          <w:b/>
          <w:bCs/>
        </w:rPr>
        <w:t xml:space="preserve">Document completeness.</w:t>
      </w:r>
      <w:r>
        <w:t xml:space="preserve"> The analysis covers all Word-format documents available in the Google Drive repository as of March 2026. Documents stored in other formats (PDF, scanned images) or in other locations were not included. Three corrupted temporary files (~WRL format) were excluded.</w:t>
      </w:r>
    </w:p>
    <w:p>
      <w:pPr>
        <w:pStyle w:val="MdSpace"/>
        <w:spacing w:before="0" w:after="60"/>
      </w:pPr>
    </w:p>
    <w:p>
      <w:pPr>
        <w:pStyle w:val="MdParagraph"/>
      </w:pPr>
      <w:r>
        <w:rPr>
          <w:rStyle w:val="MdStrong"/>
          <w:b/>
          <w:bCs/>
        </w:rPr>
        <w:t xml:space="preserve">Thematic overlap.</w:t>
      </w:r>
      <w:r>
        <w:t xml:space="preserve"> Some statements were assigned to multiple themes, which means the total statement count (11,090) reflects coding assignments rather than unique statements. This is standard practice in content analysis and does not affect the validity of frequency comparisons between themes.</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9. Summary for Thesis Defence</w:t>
      </w:r>
    </w:p>
    <w:p>
      <w:pPr>
        <w:pStyle w:val="MdParagraph"/>
      </w:pPr>
      <w:r>
        <w:t xml:space="preserve">The following points summarise the key methodological claims that may be examined in a thesis defence:</w:t>
      </w:r>
    </w:p>
    <w:p>
      <w:pPr>
        <w:pStyle w:val="MdSpace"/>
        <w:spacing w:before="0" w:after="60"/>
      </w:pPr>
    </w:p>
    <w:p>
      <w:pPr>
        <w:pStyle w:val="MdParagraph"/>
      </w:pPr>
      <w:r>
        <w:rPr>
          <w:rStyle w:val="MdStrong"/>
          <w:b/>
          <w:bCs/>
        </w:rPr>
        <w:t xml:space="preserve">Q: Is this a simulation model?</w:t>
      </w:r>
      <w:r>
        <w:t xml:space="preserve">
No. There is no simulation. The method is Qualitative Content Analysis — a standard social science research method applied computationally to a large document corpus.</w:t>
      </w:r>
    </w:p>
    <w:p>
      <w:pPr>
        <w:pStyle w:val="MdSpace"/>
        <w:spacing w:before="0" w:after="60"/>
      </w:pPr>
    </w:p>
    <w:p>
      <w:pPr>
        <w:pStyle w:val="MdParagraph"/>
      </w:pPr>
      <w:r>
        <w:rPr>
          <w:rStyle w:val="MdStrong"/>
          <w:b/>
          <w:bCs/>
        </w:rPr>
        <w:t xml:space="preserve">Q: Is this AI or machine learning?</w:t>
      </w:r>
      <w:r>
        <w:t xml:space="preserve">
No. The coding is rule-based keyword matching, which is fully transparent and reproducible. The AI Risk Model (DSS Model F) is a separate component of the research that uses the structured issue dataset, not the MOM text.</w:t>
      </w:r>
    </w:p>
    <w:p>
      <w:pPr>
        <w:pStyle w:val="MdSpace"/>
        <w:spacing w:before="0" w:after="60"/>
      </w:pPr>
    </w:p>
    <w:p>
      <w:pPr>
        <w:pStyle w:val="MdParagraph"/>
      </w:pPr>
      <w:r>
        <w:rPr>
          <w:rStyle w:val="MdStrong"/>
          <w:b/>
          <w:bCs/>
        </w:rPr>
        <w:t xml:space="preserve">Q: How do you know the keyword lists are valid?</w:t>
      </w:r>
      <w:r>
        <w:t xml:space="preserve">
The keywords were derived from the JSWP issue taxonomy (domain codes D-QMS, D-MAT, D-RST, D-CON, D-HSE), which is the programme's own quality management classification system. The coding framework is therefore grounded in the programme's operational vocabulary.</w:t>
      </w:r>
    </w:p>
    <w:p>
      <w:pPr>
        <w:pStyle w:val="MdSpace"/>
        <w:spacing w:before="0" w:after="60"/>
      </w:pPr>
    </w:p>
    <w:p>
      <w:pPr>
        <w:pStyle w:val="MdParagraph"/>
      </w:pPr>
      <w:r>
        <w:rPr>
          <w:rStyle w:val="MdStrong"/>
          <w:b/>
          <w:bCs/>
        </w:rPr>
        <w:t xml:space="preserve">Q: How do you know the results are reliable?</w:t>
      </w:r>
      <w:r>
        <w:t xml:space="preserve">
The method is fully reproducible: given the same documents and keyword lists, any researcher would obtain identical results. This is the standard reliability criterion for quantitative content analysis (Krippendorff, 2004).</w:t>
      </w:r>
    </w:p>
    <w:p>
      <w:pPr>
        <w:pStyle w:val="MdSpace"/>
        <w:spacing w:before="0" w:after="60"/>
      </w:pPr>
    </w:p>
    <w:p>
      <w:pPr>
        <w:pStyle w:val="MdParagraph"/>
      </w:pPr>
      <w:r>
        <w:rPr>
          <w:rStyle w:val="MdStrong"/>
          <w:b/>
          <w:bCs/>
        </w:rPr>
        <w:t xml:space="preserve">Q: Why did you not use human coders?</w:t>
      </w:r>
      <w:r>
        <w:t xml:space="preserve">
The corpus size (243 documents, ~1.2 million characters) makes manual coding impractical within the thesis timeframe. Computational implementation of the same deductive coding rules is methodologically equivalent to manual coding when the coding rules are explicit and consistently applied. Future work could validate a sample using human coders to estimate inter-rater reliability.</w:t>
      </w:r>
    </w:p>
    <w:p>
      <w:pPr>
        <w:pStyle w:val="MdSpace"/>
        <w:spacing w:before="0" w:after="60"/>
      </w:pPr>
    </w:p>
    <w:p>
      <w:pPr>
        <w:pStyle w:val="MdParagraph"/>
      </w:pPr>
      <w:r>
        <w:rPr>
          <w:rStyle w:val="MdStrong"/>
          <w:b/>
          <w:bCs/>
        </w:rPr>
        <w:t xml:space="preserve">Q: What is the significance of the five-year longitudinal finding?</w:t>
      </w:r>
      <w:r>
        <w:t xml:space="preserve">
The Client Progress Meeting Minutes cover January 2021 to October 2025. The consistent appearance of the same quality themes throughout this period demonstrates that the problems quantified by the AI model are not new — they are structurally embedded programme risks. This finding strengthens the thesis argument that a Quality Intelligence Model is needed not to discover new risks but to provide a systematic analytical framework for risks that have been present but inadequately managed throughout the programme's lifecycle.</w:t>
      </w:r>
    </w:p>
    <w:p>
      <w:pPr>
        <w:pStyle w:val="MdSpace"/>
        <w:spacing w:before="0" w:after="60"/>
      </w:pPr>
    </w:p>
    <w:p>
      <w:pPr>
        <w:pStyle w:val="MdHr"/>
        <w:pBdr>
          <w:bottom w:val="single" w:color="auto" w:sz="6" w:space="1"/>
        </w:pBdr>
      </w:pPr>
    </w:p>
    <w:p>
      <w:pPr>
        <w:pStyle w:val="MdSpace"/>
        <w:spacing w:before="0" w:after="60"/>
      </w:pPr>
    </w:p>
    <w:p>
      <w:pPr>
        <w:pStyle w:val="Heading2"/>
        <w:pStyle w:val="MdHeading2"/>
      </w:pPr>
      <w:r>
        <w:t xml:space="preserve">References</w:t>
      </w:r>
    </w:p>
    <w:p>
      <w:pPr>
        <w:pStyle w:val="MdParagraph"/>
      </w:pPr>
      <w:r>
        <w:rPr>
          <w:rStyle w:val="MdTag"/>
        </w:rPr>
        <w:t xml:space="preserve">&lt;a name="ref1"&gt;</w:t>
      </w:r>
      <w:r>
        <w:t xml:space="preserve">[1]</w:t>
      </w:r>
      <w:r>
        <w:rPr>
          <w:rStyle w:val="MdTag"/>
        </w:rPr>
        <w:t xml:space="preserve">&lt;/a&gt;</w:t>
      </w:r>
      <w:r>
        <w:t xml:space="preserve"> Mayring, P. (2000). Qualitative Content Analysis. </w:t>
      </w:r>
      <w:r>
        <w:rPr>
          <w:rStyle w:val="MdEm"/>
          <w:i/>
          <w:iCs/>
        </w:rPr>
        <w:t xml:space="preserve">Forum: Qualitative Social Research</w:t>
      </w:r>
      <w:r>
        <w:t xml:space="preserve">, 1(2). </w:t>
      </w:r>
      <w:hyperlink w:history="1" r:id="rIddg4cwaepv7qcrl-egnc0w">
        <w:r>
          <w:rPr>
            <w:rStyle w:val="MdLink"/>
          </w:rPr>
          <w:t xml:space="preserve">https://www.qualitative-research.net/index.php/fqs/article/view/1089</w:t>
        </w:r>
      </w:hyperlink>
    </w:p>
    <w:p>
      <w:pPr>
        <w:pStyle w:val="MdSpace"/>
        <w:spacing w:before="0" w:after="60"/>
      </w:pPr>
    </w:p>
    <w:p>
      <w:pPr>
        <w:pStyle w:val="MdParagraph"/>
      </w:pPr>
      <w:r>
        <w:rPr>
          <w:rStyle w:val="MdTag"/>
        </w:rPr>
        <w:t xml:space="preserve">&lt;a name="ref2"&gt;</w:t>
      </w:r>
      <w:r>
        <w:t xml:space="preserve">[2]</w:t>
      </w:r>
      <w:r>
        <w:rPr>
          <w:rStyle w:val="MdTag"/>
        </w:rPr>
        <w:t xml:space="preserve">&lt;/a&gt;</w:t>
      </w:r>
      <w:r>
        <w:t xml:space="preserve"> Krippendorff, K. (2004). </w:t>
      </w:r>
      <w:r>
        <w:rPr>
          <w:rStyle w:val="MdEm"/>
          <w:i/>
          <w:iCs/>
        </w:rPr>
        <w:t xml:space="preserve">Content Analysis: An Introduction to Its Methodology</w:t>
      </w:r>
      <w:r>
        <w:t xml:space="preserve"> (2nd ed.). Sage Publications.</w:t>
      </w:r>
    </w:p>
    <w:p>
      <w:pPr>
        <w:pStyle w:val="MdSpace"/>
        <w:spacing w:before="0" w:after="60"/>
      </w:pPr>
    </w:p>
    <w:p>
      <w:pPr>
        <w:pStyle w:val="MdParagraph"/>
      </w:pPr>
      <w:r>
        <w:rPr>
          <w:rStyle w:val="MdTag"/>
        </w:rPr>
        <w:t xml:space="preserve">&lt;a name="ref3"&gt;</w:t>
      </w:r>
      <w:r>
        <w:t xml:space="preserve">[3]</w:t>
      </w:r>
      <w:r>
        <w:rPr>
          <w:rStyle w:val="MdTag"/>
        </w:rPr>
        <w:t xml:space="preserve">&lt;/a&gt;</w:t>
      </w:r>
      <w:r>
        <w:t xml:space="preserve"> Creswell, J. W., &amp; Plano Clark, V. L. (2018). </w:t>
      </w:r>
      <w:r>
        <w:rPr>
          <w:rStyle w:val="MdEm"/>
          <w:i/>
          <w:iCs/>
        </w:rPr>
        <w:t xml:space="preserve">Designing and Conducting Mixed Methods Research</w:t>
      </w:r>
      <w:r>
        <w:t xml:space="preserve"> (3rd ed.). Sage Publications.</w:t>
      </w:r>
    </w:p>
    <w:p>
      <w:pPr>
        <w:pStyle w:val="MdSpace"/>
        <w:spacing w:before="0" w:after="60"/>
      </w:pPr>
    </w:p>
    <w:p>
      <w:pPr>
        <w:pStyle w:val="MdParagraph"/>
      </w:pPr>
      <w:r>
        <w:rPr>
          <w:rStyle w:val="MdTag"/>
        </w:rPr>
        <w:t xml:space="preserve">&lt;a name="ref4"&gt;</w:t>
      </w:r>
      <w:r>
        <w:t xml:space="preserve">[4]</w:t>
      </w:r>
      <w:r>
        <w:rPr>
          <w:rStyle w:val="MdTag"/>
        </w:rPr>
        <w:t xml:space="preserve">&lt;/a&gt;</w:t>
      </w:r>
      <w:r>
        <w:t xml:space="preserve"> Elo, S., &amp; Kyngäs, H. (2008). The qualitative content analysis process. </w:t>
      </w:r>
      <w:r>
        <w:rPr>
          <w:rStyle w:val="MdEm"/>
          <w:i/>
          <w:iCs/>
        </w:rPr>
        <w:t xml:space="preserve">Journal of Advanced Nursing</w:t>
      </w:r>
      <w:r>
        <w:t xml:space="preserve">, 62(1), 107–115. </w:t>
      </w:r>
      <w:hyperlink w:history="1" r:id="rId4exfcnujfqelbfwwxyd7m">
        <w:r>
          <w:rPr>
            <w:rStyle w:val="MdLink"/>
          </w:rPr>
          <w:t xml:space="preserve">https://doi.org/10.1111/j.1365-2648.2007.04569.x</w:t>
        </w:r>
      </w:hyperlink>
    </w:p>
    <w:p>
      <w:pPr>
        <w:pStyle w:val="MdSpace"/>
        <w:spacing w:before="0" w:after="60"/>
      </w:pPr>
    </w:p>
    <w:p>
      <w:pPr>
        <w:pStyle w:val="MdHr"/>
        <w:pBdr>
          <w:bottom w:val="single" w:color="auto" w:sz="6" w:space="1"/>
        </w:pBdr>
      </w:pPr>
    </w:p>
    <w:p>
      <w:pPr>
        <w:pStyle w:val="MdSpace"/>
        <w:spacing w:before="0" w:after="60"/>
      </w:pPr>
    </w:p>
    <w:p>
      <w:pPr>
        <w:pStyle w:val="MdParagraph"/>
      </w:pPr>
      <w:r>
        <w:rPr>
          <w:rStyle w:val="MdEm"/>
          <w:i/>
          <w:iCs/>
        </w:rPr>
        <w:t xml:space="preserve">This document was prepared to support the thesis defence of the JSWP Quality Intelligence Model research. All analysis was conducted on the complete available document corpus as of March 2026.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lvl w:ilvl="1" w15:tentative="1">
      <w:start w:val="1"/>
      <w:numFmt w:val="decimal"/>
      <w:lvlText w:val="%1.%2"/>
      <w:lvlJc w:val="left"/>
      <w:pPr>
        <w:ind w:left="1440" w:hanging="360"/>
      </w:pPr>
    </w:lvl>
    <w:lvl w:ilvl="2" w15:tentative="1">
      <w:start w:val="1"/>
      <w:numFmt w:val="decimal"/>
      <w:lvlText w:val="%1.%2.%3"/>
      <w:lvlJc w:val="left"/>
      <w:pPr>
        <w:ind w:left="2160" w:hanging="360"/>
      </w:pPr>
    </w:lvl>
    <w:lvl w:ilvl="3" w15:tentative="1">
      <w:start w:val="1"/>
      <w:numFmt w:val="decimal"/>
      <w:lvlText w:val="%4)"/>
      <w:lvlJc w:val="left"/>
      <w:pPr>
        <w:ind w:left="2880" w:hanging="360"/>
      </w:pPr>
    </w:lvl>
    <w:lvl w:ilvl="4" w15:tentative="1">
      <w:start w:val="1"/>
      <w:numFmt w:val="decimal"/>
      <w:lvlText w:val="%5)"/>
      <w:lvlJc w:val="left"/>
      <w:pPr>
        <w:ind w:left="3600" w:hanging="360"/>
      </w:pPr>
    </w:lvl>
    <w:lvl w:ilvl="5" w15:tentative="1">
      <w:start w:val="1"/>
      <w:numFmt w:val="decimal"/>
      <w:lvlText w:val="%6)"/>
      <w:lvlJc w:val="left"/>
      <w:pPr>
        <w:ind w:left="4320" w:hanging="360"/>
      </w:pPr>
    </w:lvl>
    <w:lvl w:ilvl="6" w15:tentative="1">
      <w:start w:val="1"/>
      <w:numFmt w:val="decimal"/>
      <w:lvlText w:val="%7)"/>
      <w:lvlJc w:val="left"/>
      <w:pPr>
        <w:ind w:left="5040" w:hanging="360"/>
      </w:pPr>
    </w:lvl>
    <w:lvl w:ilvl="7" w15:tentative="1">
      <w:start w:val="1"/>
      <w:numFmt w:val="decimal"/>
      <w:lvlText w:val="%8)"/>
      <w:lvlJc w:val="left"/>
      <w:pPr>
        <w:ind w:left="5760" w:hanging="360"/>
      </w:pPr>
    </w:lvl>
    <w:lvl w:ilvl="8" w15:tentative="1">
      <w:start w:val="1"/>
      <w:numFmt w:val="decimal"/>
      <w:lvlText w:val="%9)"/>
      <w:lvlJc w:val="left"/>
      <w:pPr>
        <w:ind w:left="6480" w:hanging="360"/>
      </w:pPr>
    </w:lvl>
  </w:abstractNum>
  <w:abstractNum w:abstractNumId="3"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szCs w:val="24"/>
      </w:rPr>
    </w:rPrDefault>
    <w:pPrDefault>
      <w:pPr>
        <w:spacing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color="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MdSpace">
    <w:name w:val="MdSpace"/>
    <w:basedOn w:val="Normal"/>
    <w:next w:val="Normal"/>
    <w:qFormat/>
    <w:pPr>
      <w:spacing w:before="0" w:after="0"/>
    </w:pPr>
    <w:rPr>
      <w:sz w:val="12"/>
      <w:szCs w:val="12"/>
    </w:rPr>
  </w:style>
  <w:style w:type="paragraph" w:styleId="MdCode">
    <w:name w:val="MdCode"/>
    <w:basedOn w:val="Normal"/>
    <w:next w:val="Normal"/>
    <w:qFormat/>
    <w:pPr>
      <w:pBdr>
        <w:top w:val="single" w:color="A5A5A5" w:sz="1" w:space="8"/>
        <w:bottom w:val="single" w:color="A5A5A5" w:sz="1" w:space="8"/>
        <w:left w:val="single" w:color="A5A5A5" w:sz="1" w:space="8"/>
        <w:right w:val="single" w:color="A5A5A5" w:sz="1" w:space="8"/>
      </w:pBdr>
      <w:spacing w:before="200" w:after="200"/>
    </w:pPr>
    <w:rPr>
      <w:rFonts w:ascii="Courier New" w:cs="Courier New" w:eastAsia="Courier New" w:hAnsi="Courier New"/>
      <w:color w:val="70AD47"/>
      <w:sz w:val="22"/>
      <w:szCs w:val="22"/>
    </w:rPr>
  </w:style>
  <w:style w:type="paragraph" w:styleId="MdHr">
    <w:name w:val="MdHr"/>
    <w:basedOn w:val="Normal"/>
    <w:next w:val="Normal"/>
    <w:qFormat/>
    <w:pPr>
      <w:pBdr>
        <w:bottom w:val="single" w:color="A5A5A5" w:sz="1" w:space="1"/>
      </w:pBdr>
      <w:spacing w:before="240" w:after="240"/>
    </w:pPr>
  </w:style>
  <w:style w:type="paragraph" w:styleId="MdBlockquote">
    <w:name w:val="MdBlockquote"/>
    <w:basedOn w:val="Normal"/>
    <w:next w:val="Normal"/>
    <w:qFormat/>
    <w:pPr>
      <w:pBdr>
        <w:left w:val="single" w:color="A5A5A5" w:sz="20" w:space="12"/>
      </w:pBdr>
      <w:spacing w:before="200" w:after="200"/>
      <w:ind w:left="360"/>
    </w:pPr>
    <w:rPr>
      <w:i/>
      <w:iCs/>
      <w:color w:val="666666"/>
    </w:rPr>
  </w:style>
  <w:style w:type="paragraph" w:styleId="MdHtml">
    <w:name w:val="MdHtml"/>
    <w:basedOn w:val="Normal"/>
    <w:next w:val="Normal"/>
    <w:qFormat/>
    <w:rPr>
      <w:rFonts w:ascii="Courier New" w:cs="Courier New" w:eastAsia="Courier New" w:hAnsi="Courier New"/>
      <w:color w:val="ED7D31"/>
    </w:rPr>
  </w:style>
  <w:style w:type="paragraph" w:styleId="MdDef">
    <w:name w:val="MdDef"/>
    <w:basedOn w:val="Normal"/>
    <w:next w:val="Normal"/>
    <w:qFormat/>
    <w:pPr>
      <w:ind w:left="720" w:hanging="360"/>
    </w:pPr>
  </w:style>
  <w:style w:type="paragraph" w:styleId="MdParagraph">
    <w:name w:val="MdParagraph"/>
    <w:basedOn w:val="Normal"/>
    <w:next w:val="Normal"/>
    <w:qFormat/>
    <w:pPr>
      <w:spacing w:before="120" w:after="120"/>
    </w:pPr>
  </w:style>
  <w:style w:type="paragraph" w:styleId="MdText">
    <w:name w:val="MdText"/>
    <w:basedOn w:val="Normal"/>
    <w:next w:val="Normal"/>
    <w:qFormat/>
  </w:style>
  <w:style w:type="paragraph" w:styleId="MdFootnote">
    <w:name w:val="MdFootnote"/>
    <w:basedOn w:val="Normal"/>
    <w:next w:val="Normal"/>
    <w:qFormat/>
    <w:rPr>
      <w:vertAlign w:val="superscript"/>
    </w:rPr>
  </w:style>
  <w:style w:type="paragraph" w:styleId="MdListItem">
    <w:name w:val="MdListItem"/>
    <w:basedOn w:val="Normal"/>
    <w:next w:val="Normal"/>
    <w:qFormat/>
    <w:pPr>
      <w:spacing w:before="60" w:after="60"/>
      <w:ind w:left="720" w:hanging="360"/>
    </w:pPr>
  </w:style>
  <w:style w:type="paragraph" w:styleId="MdTable">
    <w:name w:val="MdTable"/>
    <w:basedOn w:val="Normal"/>
    <w:next w:val="Normal"/>
    <w:qFormat/>
    <w:pPr>
      <w:spacing w:before="60" w:after="60"/>
    </w:pPr>
  </w:style>
  <w:style w:type="paragraph" w:styleId="MdTableHeader">
    <w:name w:val="MdTableHeader"/>
    <w:basedOn w:val="Normal"/>
    <w:next w:val="Normal"/>
    <w:qFormat/>
    <w:pPr>
      <w:spacing w:before="60" w:after="60"/>
    </w:pPr>
    <w:rPr>
      <w:b/>
      <w:bCs/>
      <w:sz w:val="22"/>
      <w:szCs w:val="22"/>
    </w:rPr>
  </w:style>
  <w:style w:type="paragraph" w:styleId="MdTableCell">
    <w:name w:val="MdTableCell"/>
    <w:basedOn w:val="Normal"/>
    <w:next w:val="Normal"/>
    <w:qFormat/>
    <w:pPr>
      <w:spacing w:before="40" w:after="40"/>
    </w:pPr>
    <w:rPr>
      <w:sz w:val="20"/>
      <w:szCs w:val="20"/>
    </w:rPr>
  </w:style>
  <w:style w:type="paragraph" w:styleId="MdHeading1">
    <w:name w:val="MdHeading1"/>
    <w:basedOn w:val="Normal"/>
    <w:next w:val="Normal"/>
    <w:qFormat/>
    <w:pPr>
      <w:keepNext/>
      <w:spacing w:before="480" w:after="240"/>
      <w:outlineLvl w:val="0"/>
    </w:pPr>
    <w:rPr>
      <w:b/>
      <w:bCs/>
      <w:sz w:val="36"/>
      <w:szCs w:val="36"/>
    </w:rPr>
  </w:style>
  <w:style w:type="paragraph" w:styleId="MdHeading2">
    <w:name w:val="MdHeading2"/>
    <w:basedOn w:val="Normal"/>
    <w:next w:val="Normal"/>
    <w:qFormat/>
    <w:pPr>
      <w:keepNext/>
      <w:spacing w:before="400" w:after="200"/>
      <w:outlineLvl w:val="1"/>
    </w:pPr>
    <w:rPr>
      <w:b/>
      <w:bCs/>
      <w:sz w:val="32"/>
      <w:szCs w:val="32"/>
    </w:rPr>
  </w:style>
  <w:style w:type="paragraph" w:styleId="MdHeading3">
    <w:name w:val="MdHeading3"/>
    <w:basedOn w:val="Normal"/>
    <w:next w:val="Normal"/>
    <w:qFormat/>
    <w:pPr>
      <w:keepNext/>
      <w:spacing w:before="320" w:after="160"/>
      <w:outlineLvl w:val="2"/>
    </w:pPr>
    <w:rPr>
      <w:b/>
      <w:bCs/>
      <w:sz w:val="28"/>
      <w:szCs w:val="28"/>
    </w:rPr>
  </w:style>
  <w:style w:type="paragraph" w:styleId="MdHeading4">
    <w:name w:val="MdHeading4"/>
    <w:basedOn w:val="Normal"/>
    <w:next w:val="Normal"/>
    <w:qFormat/>
    <w:pPr>
      <w:keepNext/>
      <w:spacing w:before="280" w:after="140"/>
      <w:outlineLvl w:val="3"/>
    </w:pPr>
    <w:rPr>
      <w:b/>
      <w:bCs/>
      <w:sz w:val="26"/>
      <w:szCs w:val="26"/>
    </w:rPr>
  </w:style>
  <w:style w:type="paragraph" w:styleId="MdHeading5">
    <w:name w:val="MdHeading5"/>
    <w:basedOn w:val="Normal"/>
    <w:next w:val="Normal"/>
    <w:qFormat/>
    <w:pPr>
      <w:keepNext/>
      <w:spacing w:before="240" w:after="120"/>
      <w:outlineLvl w:val="4"/>
    </w:pPr>
    <w:rPr>
      <w:b/>
      <w:bCs/>
      <w:i/>
      <w:iCs/>
      <w:sz w:val="24"/>
      <w:szCs w:val="24"/>
    </w:rPr>
  </w:style>
  <w:style w:type="paragraph" w:styleId="MdHeading6">
    <w:name w:val="MdHeading6"/>
    <w:basedOn w:val="Normal"/>
    <w:next w:val="Normal"/>
    <w:qFormat/>
    <w:pPr>
      <w:keepNext/>
      <w:spacing w:before="240" w:after="120"/>
      <w:outlineLvl w:val="5"/>
    </w:pPr>
    <w:rPr>
      <w:b w:val="false"/>
      <w:bCs w:val="false"/>
      <w:i/>
      <w:iCs/>
      <w:sz w:val="24"/>
      <w:szCs w:val="24"/>
    </w:rPr>
  </w:style>
  <w:style w:type="character" w:styleId="MdTag">
    <w:name w:val="MdTag"/>
    <w:basedOn w:val="Normal"/>
    <w:next w:val="Normal"/>
    <w:uiPriority w:val="99"/>
    <w:unhideWhenUsed/>
    <w:qFormat/>
    <w:rPr>
      <w:rFonts w:ascii="Courier New" w:cs="Courier New" w:eastAsia="Courier New" w:hAnsi="Courier New"/>
      <w:color w:val="ED7D31"/>
    </w:rPr>
  </w:style>
  <w:style w:type="character" w:styleId="MdLink">
    <w:name w:val="MdLink"/>
    <w:basedOn w:val="Normal"/>
    <w:next w:val="Normal"/>
    <w:uiPriority w:val="99"/>
    <w:unhideWhenUsed/>
    <w:qFormat/>
    <w:rPr>
      <w:color w:val="0563C1"/>
      <w:u w:val="single"/>
    </w:rPr>
  </w:style>
  <w:style w:type="character" w:styleId="MdStrong">
    <w:name w:val="MdStrong"/>
    <w:basedOn w:val="Normal"/>
    <w:next w:val="Normal"/>
    <w:uiPriority w:val="99"/>
    <w:unhideWhenUsed/>
    <w:qFormat/>
    <w:rPr>
      <w:b/>
      <w:bCs/>
    </w:rPr>
  </w:style>
  <w:style w:type="character" w:styleId="MdEm">
    <w:name w:val="MdEm"/>
    <w:basedOn w:val="Normal"/>
    <w:next w:val="Normal"/>
    <w:uiPriority w:val="99"/>
    <w:unhideWhenUsed/>
    <w:qFormat/>
    <w:rPr>
      <w:i/>
      <w:iCs/>
    </w:rPr>
  </w:style>
  <w:style w:type="character" w:styleId="MdCodespan">
    <w:name w:val="MdCodespan"/>
    <w:basedOn w:val="Normal"/>
    <w:next w:val="Normal"/>
    <w:uiPriority w:val="99"/>
    <w:unhideWhenUsed/>
    <w:qFormat/>
    <w:rPr>
      <w:rFonts w:ascii="Courier New" w:cs="Courier New" w:eastAsia="Courier New" w:hAnsi="Courier New"/>
      <w:color w:val="70AD47"/>
    </w:rPr>
  </w:style>
  <w:style w:type="character" w:styleId="MdDel">
    <w:name w:val="MdDel"/>
    <w:basedOn w:val="Normal"/>
    <w:next w:val="Normal"/>
    <w:uiPriority w:val="99"/>
    <w:unhideWhenUsed/>
    <w:qFormat/>
    <w:rPr>
      <w:strike/>
    </w:rPr>
  </w:style>
  <w:style w:type="character" w:styleId="MdBr">
    <w:name w:val="MdBr"/>
    <w:basedOn w:val="Normal"/>
    <w:next w:val="Normal"/>
    <w:uiPriority w:val="99"/>
    <w:unhideWhenUsed/>
    <w:qFormat/>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1eb-up9vnoqiz4zmsqil-" Type="http://schemas.openxmlformats.org/officeDocument/2006/relationships/hyperlink" Target="#ref1" TargetMode="External"/><Relationship Id="rIdegmud75i1ygrr1yvm1dnz" Type="http://schemas.openxmlformats.org/officeDocument/2006/relationships/hyperlink" Target="#ref2" TargetMode="External"/><Relationship Id="rIdxdbya3wnfm0dbvcgy8aev" Type="http://schemas.openxmlformats.org/officeDocument/2006/relationships/hyperlink" Target="#ref2" TargetMode="External"/><Relationship Id="rIduhkfqed2dnltcjz3egdj6" Type="http://schemas.openxmlformats.org/officeDocument/2006/relationships/hyperlink" Target="#ref3" TargetMode="External"/><Relationship Id="rIdzuwqapcqb_dwk58cvevj9" Type="http://schemas.openxmlformats.org/officeDocument/2006/relationships/hyperlink" Target="#ref2" TargetMode="External"/><Relationship Id="rIddg4cwaepv7qcrl-egnc0w" Type="http://schemas.openxmlformats.org/officeDocument/2006/relationships/hyperlink" Target="https://www.qualitative-research.net/index.php/fqs/article/view/1089" TargetMode="External"/><Relationship Id="rId4exfcnujfqelbfwwxyd7m" Type="http://schemas.openxmlformats.org/officeDocument/2006/relationships/hyperlink" Target="https://doi.org/10.1111/j.1365-2648.2007.04569.x" TargetMode="External"/><Relationship Id="rId13"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Document</dc:title>
  <dc:creator>md2docx converter</dc:creator>
  <dc:description>Converted from Markdown</dc:description>
  <cp:lastModifiedBy>Un-named</cp:lastModifiedBy>
  <cp:revision>1</cp:revision>
  <dcterms:created xsi:type="dcterms:W3CDTF">2026-04-02T13:11:03.154Z</dcterms:created>
  <dcterms:modified xsi:type="dcterms:W3CDTF">2026-04-02T13:11:03.154Z</dcterms:modified>
</cp:coreProperties>
</file>

<file path=docProps/custom.xml><?xml version="1.0" encoding="utf-8"?>
<Properties xmlns="http://schemas.openxmlformats.org/officeDocument/2006/custom-properties" xmlns:vt="http://schemas.openxmlformats.org/officeDocument/2006/docPropsVTypes"/>
</file>