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rPr>
          <w:sz w:val="24"/>
          <w:szCs w:val="24"/>
        </w:rPr>
      </w:pPr>
      <w:r w:rsidDel="00000000" w:rsidR="00000000" w:rsidRPr="00000000">
        <w:rPr>
          <w:rFonts w:ascii="Sakkal Majalla" w:cs="Sakkal Majalla" w:eastAsia="Sakkal Majalla" w:hAnsi="Sakkal Majalla"/>
          <w:b w:val="1"/>
          <w:bCs w:val="1"/>
          <w:sz w:val="28"/>
          <w:szCs w:val="28"/>
        </w:rPr>
        <w:drawing>
          <wp:anchor allowOverlap="1" behindDoc="0" distB="0" distT="0" distL="114300" distR="114300" hidden="0" layoutInCell="1" locked="0" relativeHeight="0" simplePos="0">
            <wp:simplePos x="0" y="0"/>
            <wp:positionH relativeFrom="margin">
              <wp:posOffset>4412764</wp:posOffset>
            </wp:positionH>
            <wp:positionV relativeFrom="margin">
              <wp:posOffset>-946709</wp:posOffset>
            </wp:positionV>
            <wp:extent cx="2227152" cy="2066925"/>
            <wp:effectExtent b="0" l="0" r="0" t="0"/>
            <wp:wrapSquare wrapText="bothSides" distB="0" distT="0" distL="114300" distR="114300"/>
            <wp:docPr descr="A logo for a university&#10;&#10;Description automatically generated" id="23" name="image1.png"/>
            <a:graphic>
              <a:graphicData uri="http://schemas.openxmlformats.org/drawingml/2006/picture">
                <pic:pic>
                  <pic:nvPicPr>
                    <pic:cNvPr descr="A logo for a university&#10;&#10;Description automatically generated" id="0" name="image1.png"/>
                    <pic:cNvPicPr preferRelativeResize="0"/>
                  </pic:nvPicPr>
                  <pic:blipFill>
                    <a:blip r:embed="rId7"/>
                    <a:srcRect b="0" l="0" r="0" t="0"/>
                    <a:stretch>
                      <a:fillRect/>
                    </a:stretch>
                  </pic:blipFill>
                  <pic:spPr>
                    <a:xfrm>
                      <a:off x="0" y="0"/>
                      <a:ext cx="2227152" cy="2066925"/>
                    </a:xfrm>
                    <a:prstGeom prst="rect"/>
                    <a:ln/>
                  </pic:spPr>
                </pic:pic>
              </a:graphicData>
            </a:graphic>
          </wp:anchor>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-597328</wp:posOffset>
                </wp:positionH>
                <wp:positionV relativeFrom="paragraph">
                  <wp:posOffset>-952256</wp:posOffset>
                </wp:positionV>
                <wp:extent cx="3268980" cy="2720641"/>
                <wp:effectExtent b="0" l="0" r="0" t="0"/>
                <wp:wrapNone/>
                <wp:docPr id="22" name=""/>
                <a:graphic>
                  <a:graphicData uri="http://schemas.microsoft.com/office/word/2010/wordprocessingShape">
                    <wps:wsp>
                      <wps:cNvSpPr/>
                      <wps:cNvPr id="2" name="Shape 2"/>
                      <wps:spPr>
                        <a:xfrm>
                          <a:off x="3716273" y="2424442"/>
                          <a:ext cx="3259455" cy="2711116"/>
                        </a:xfrm>
                        <a:prstGeom prst="roundRect">
                          <a:avLst>
                            <a:gd fmla="val 16667" name="adj"/>
                          </a:avLst>
                        </a:prstGeom>
                        <a:noFill/>
                        <a:ln>
                          <a:noFill/>
                        </a:ln>
                      </wps:spPr>
                      <wps:txbx>
                        <w:txbxContent>
                          <w:p w:rsidR="00000000" w:rsidDel="00000000" w:rsidP="00000000" w:rsidRDefault="00000000" w:rsidRPr="00000000">
                            <w:pPr>
                              <w:spacing w:after="160" w:before="0" w:line="258.99999618530273"/>
                              <w:ind w:left="0" w:right="0" w:firstLine="0"/>
                              <w:jc w:val="both"/>
                              <w:textDirection w:val="btLr"/>
                            </w:pPr>
                            <w:r w:rsidDel="00000000" w:rsidR="00000000" w:rsidRPr="00000000">
                              <w:rPr>
                                <w:rFonts w:ascii="Calibri" w:cs="Calibri" w:eastAsia="Calibri" w:hAnsi="Calibri"/>
                                <w:b w:val="0"/>
                                <w:i w:val="0"/>
                                <w:smallCaps w:val="0"/>
                                <w:strike w:val="0"/>
                                <w:color w:val="000000"/>
                                <w:sz w:val="36"/>
                                <w:vertAlign w:val="baseline"/>
                              </w:rPr>
                              <w:t xml:space="preserve">Midocean University </w:t>
                            </w:r>
                          </w:p>
                          <w:p w:rsidR="00000000" w:rsidDel="00000000" w:rsidP="00000000" w:rsidRDefault="00000000" w:rsidRPr="00000000">
                            <w:pPr>
                              <w:spacing w:after="160" w:before="0" w:line="258.99999618530273"/>
                              <w:ind w:left="0" w:right="0" w:firstLine="0"/>
                              <w:jc w:val="both"/>
                              <w:textDirection w:val="btLr"/>
                            </w:pPr>
                            <w:r w:rsidDel="00000000" w:rsidR="00000000" w:rsidRPr="00000000">
                              <w:rPr>
                                <w:rFonts w:ascii="Calibri" w:cs="Calibri" w:eastAsia="Calibri" w:hAnsi="Calibri"/>
                                <w:b w:val="0"/>
                                <w:i w:val="0"/>
                                <w:smallCaps w:val="0"/>
                                <w:strike w:val="0"/>
                                <w:color w:val="000000"/>
                                <w:sz w:val="36"/>
                                <w:vertAlign w:val="baseline"/>
                              </w:rPr>
                            </w:r>
                            <w:r w:rsidDel="00000000" w:rsidR="00000000" w:rsidRPr="00000000">
                              <w:rPr>
                                <w:rFonts w:ascii="Calibri" w:cs="Calibri" w:eastAsia="Calibri" w:hAnsi="Calibri"/>
                                <w:b w:val="0"/>
                                <w:i w:val="0"/>
                                <w:smallCaps w:val="0"/>
                                <w:strike w:val="0"/>
                                <w:color w:val="000000"/>
                                <w:sz w:val="36"/>
                                <w:vertAlign w:val="baseline"/>
                              </w:rPr>
                              <w:t xml:space="preserve">College of Management</w:t>
                            </w:r>
                          </w:p>
                          <w:p w:rsidR="00000000" w:rsidDel="00000000" w:rsidP="00000000" w:rsidRDefault="00000000" w:rsidRPr="00000000">
                            <w:pPr>
                              <w:spacing w:after="160" w:before="0" w:line="258.99999618530273"/>
                              <w:ind w:left="0" w:right="0" w:firstLine="0"/>
                              <w:jc w:val="both"/>
                              <w:textDirection w:val="btLr"/>
                            </w:pPr>
                            <w:r w:rsidDel="00000000" w:rsidR="00000000" w:rsidRPr="00000000">
                              <w:rPr>
                                <w:rFonts w:ascii="Calibri" w:cs="Calibri" w:eastAsia="Calibri" w:hAnsi="Calibri"/>
                                <w:b w:val="0"/>
                                <w:i w:val="0"/>
                                <w:smallCaps w:val="0"/>
                                <w:strike w:val="0"/>
                                <w:color w:val="000000"/>
                                <w:sz w:val="36"/>
                                <w:vertAlign w:val="baseline"/>
                              </w:rPr>
                            </w:r>
                            <w:r w:rsidDel="00000000" w:rsidR="00000000" w:rsidRPr="00000000">
                              <w:rPr>
                                <w:rFonts w:ascii="Calibri" w:cs="Calibri" w:eastAsia="Calibri" w:hAnsi="Calibri"/>
                                <w:b w:val="0"/>
                                <w:i w:val="0"/>
                                <w:smallCaps w:val="0"/>
                                <w:strike w:val="0"/>
                                <w:color w:val="000000"/>
                                <w:sz w:val="36"/>
                                <w:vertAlign w:val="baseline"/>
                              </w:rPr>
                              <w:t xml:space="preserve">Department of Master of Business Administration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36"/>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-597328</wp:posOffset>
                </wp:positionH>
                <wp:positionV relativeFrom="paragraph">
                  <wp:posOffset>-952256</wp:posOffset>
                </wp:positionV>
                <wp:extent cx="3268980" cy="2720641"/>
                <wp:effectExtent b="0" l="0" r="0" t="0"/>
                <wp:wrapNone/>
                <wp:docPr id="2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3268980" cy="2720641"/>
                        </a:xfrm>
                        <a:prstGeom prst="rect"/>
                        <a:ln/>
                      </pic:spPr>
                    </pic:pic>
                  </a:graphicData>
                </a:graphic>
              </wp:anchor>
            </w:drawing>
          </mc:Fallback>
        </mc:AlternateContent>
      </w:r>
    </w:p>
    <w:p w:rsidR="00000000" w:rsidDel="00000000" w:rsidP="00000000" w:rsidRDefault="00000000" w:rsidRPr="00000000" w14:paraId="00000002">
      <w:pPr>
        <w:spacing w:line="480" w:lineRule="auto"/>
        <w:rPr>
          <w:sz w:val="24"/>
          <w:szCs w:val="24"/>
        </w:rPr>
      </w:pPr>
      <w:r w:rsidDel="00000000" w:rsidR="00000000" w:rsidRPr="00000000">
        <w:rPr>
          <w:rtl w:val="0"/>
        </w:rPr>
      </w:r>
    </w:p>
    <w:p w:rsidR="00000000" w:rsidDel="00000000" w:rsidP="00000000" w:rsidRDefault="00000000" w:rsidRPr="00000000" w14:paraId="00000003">
      <w:pPr>
        <w:spacing w:line="480" w:lineRule="auto"/>
        <w:rPr>
          <w:sz w:val="24"/>
          <w:szCs w:val="24"/>
        </w:rPr>
      </w:pPr>
      <w:r w:rsidDel="00000000" w:rsidR="00000000" w:rsidRPr="00000000">
        <w:rPr>
          <w:rtl w:val="0"/>
        </w:rPr>
      </w:r>
    </w:p>
    <w:p w:rsidR="00000000" w:rsidDel="00000000" w:rsidP="00000000" w:rsidRDefault="00000000" w:rsidRPr="00000000" w14:paraId="00000004">
      <w:pPr>
        <w:spacing w:line="480" w:lineRule="auto"/>
        <w:rPr>
          <w:sz w:val="24"/>
          <w:szCs w:val="24"/>
        </w:rPr>
      </w:pPr>
      <w:r w:rsidDel="00000000" w:rsidR="00000000" w:rsidRPr="00000000">
        <w:rPr>
          <w:rtl w:val="0"/>
        </w:rPr>
      </w:r>
    </w:p>
    <w:p w:rsidR="00000000" w:rsidDel="00000000" w:rsidP="00000000" w:rsidRDefault="00000000" w:rsidRPr="00000000" w14:paraId="00000005">
      <w:pPr>
        <w:spacing w:line="480" w:lineRule="auto"/>
        <w:rPr>
          <w:sz w:val="24"/>
          <w:szCs w:val="24"/>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line="480" w:lineRule="auto"/>
        <w:jc w:val="center"/>
        <w:rPr>
          <w:color w:val="000000"/>
          <w:sz w:val="40"/>
          <w:szCs w:val="40"/>
        </w:rPr>
      </w:pPr>
      <w:r w:rsidDel="00000000" w:rsidR="00000000" w:rsidRPr="00000000">
        <w:rPr>
          <w:b w:val="1"/>
          <w:bCs w:val="1"/>
          <w:color w:val="000000"/>
          <w:sz w:val="40"/>
          <w:szCs w:val="40"/>
          <w:rtl w:val="0"/>
        </w:rPr>
        <w:t xml:space="preserve">An Analysis of Consumer Behavior Toward Mobile Shopping Applications: A Field Study</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line="240"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8">
      <w:pPr>
        <w:bidi w:val="1"/>
        <w:rPr>
          <w:rFonts w:ascii="Sakkal Majalla" w:cs="Sakkal Majalla" w:eastAsia="Sakkal Majalla" w:hAnsi="Sakkal Majalla"/>
          <w:b w:val="1"/>
          <w:bCs w:val="1"/>
          <w:sz w:val="28"/>
          <w:szCs w:val="28"/>
        </w:rPr>
      </w:pPr>
      <w:r w:rsidDel="00000000" w:rsidR="00000000" w:rsidRPr="00000000">
        <w:rPr>
          <w:rtl w:val="0"/>
        </w:rPr>
      </w:r>
    </w:p>
    <w:p w:rsidR="00000000" w:rsidDel="00000000" w:rsidP="00000000" w:rsidRDefault="00000000" w:rsidRPr="00000000" w14:paraId="00000009">
      <w:pPr>
        <w:jc w:val="center"/>
        <w:rPr>
          <w:rFonts w:ascii="Sakkal Majalla" w:cs="Sakkal Majalla" w:eastAsia="Sakkal Majalla" w:hAnsi="Sakkal Majalla"/>
          <w:b w:val="1"/>
          <w:bCs w:val="1"/>
          <w:sz w:val="40"/>
          <w:szCs w:val="40"/>
        </w:rPr>
      </w:pPr>
      <w:r w:rsidDel="00000000" w:rsidR="00000000" w:rsidRPr="00000000">
        <w:rPr>
          <w:rFonts w:ascii="Sakkal Majalla" w:cs="Sakkal Majalla" w:eastAsia="Sakkal Majalla" w:hAnsi="Sakkal Majalla"/>
          <w:b w:val="1"/>
          <w:bCs w:val="1"/>
          <w:sz w:val="40"/>
          <w:szCs w:val="40"/>
          <w:rtl w:val="0"/>
        </w:rPr>
        <w:t xml:space="preserve">Prepared by:</w:t>
      </w:r>
    </w:p>
    <w:p w:rsidR="00000000" w:rsidDel="00000000" w:rsidP="00000000" w:rsidRDefault="00000000" w:rsidRPr="00000000" w14:paraId="0000000A">
      <w:pPr>
        <w:jc w:val="center"/>
        <w:rPr>
          <w:rFonts w:ascii="Sakkal Majalla" w:cs="Sakkal Majalla" w:eastAsia="Sakkal Majalla" w:hAnsi="Sakkal Majalla"/>
          <w:sz w:val="40"/>
          <w:szCs w:val="40"/>
        </w:rPr>
      </w:pPr>
      <w:r w:rsidDel="00000000" w:rsidR="00000000" w:rsidRPr="00000000">
        <w:rPr>
          <w:rFonts w:ascii="Sakkal Majalla" w:cs="Sakkal Majalla" w:eastAsia="Sakkal Majalla" w:hAnsi="Sakkal Majalla"/>
          <w:sz w:val="40"/>
          <w:szCs w:val="40"/>
          <w:rtl w:val="0"/>
        </w:rPr>
        <w:t xml:space="preserve">Mohammed Al Dakhil</w:t>
      </w:r>
    </w:p>
    <w:p w:rsidR="00000000" w:rsidDel="00000000" w:rsidP="00000000" w:rsidRDefault="00000000" w:rsidRPr="00000000" w14:paraId="0000000B">
      <w:pPr>
        <w:bidi w:val="1"/>
        <w:rPr>
          <w:rFonts w:ascii="Sakkal Majalla" w:cs="Sakkal Majalla" w:eastAsia="Sakkal Majalla" w:hAnsi="Sakkal Majalla"/>
          <w:b w:val="1"/>
          <w:bCs w:val="1"/>
          <w:sz w:val="40"/>
          <w:szCs w:val="40"/>
        </w:rPr>
      </w:pPr>
      <w:r w:rsidDel="00000000" w:rsidR="00000000" w:rsidRPr="00000000">
        <w:rPr>
          <w:rtl w:val="0"/>
        </w:rPr>
      </w:r>
    </w:p>
    <w:p w:rsidR="00000000" w:rsidDel="00000000" w:rsidP="00000000" w:rsidRDefault="00000000" w:rsidRPr="00000000" w14:paraId="0000000C">
      <w:pPr>
        <w:bidi w:val="1"/>
        <w:rPr>
          <w:rFonts w:ascii="Sakkal Majalla" w:cs="Sakkal Majalla" w:eastAsia="Sakkal Majalla" w:hAnsi="Sakkal Majalla"/>
          <w:b w:val="1"/>
          <w:bCs w:val="1"/>
          <w:sz w:val="40"/>
          <w:szCs w:val="40"/>
        </w:rPr>
      </w:pPr>
      <w:r w:rsidDel="00000000" w:rsidR="00000000" w:rsidRPr="00000000">
        <w:rPr>
          <w:rtl w:val="0"/>
        </w:rPr>
      </w:r>
    </w:p>
    <w:p w:rsidR="00000000" w:rsidDel="00000000" w:rsidP="00000000" w:rsidRDefault="00000000" w:rsidRPr="00000000" w14:paraId="0000000D">
      <w:pPr>
        <w:jc w:val="center"/>
        <w:rPr>
          <w:rFonts w:ascii="Sakkal Majalla" w:cs="Sakkal Majalla" w:eastAsia="Sakkal Majalla" w:hAnsi="Sakkal Majalla"/>
          <w:b w:val="1"/>
          <w:bCs w:val="1"/>
          <w:sz w:val="40"/>
          <w:szCs w:val="40"/>
        </w:rPr>
      </w:pPr>
      <w:r w:rsidDel="00000000" w:rsidR="00000000" w:rsidRPr="00000000">
        <w:rPr>
          <w:rFonts w:ascii="Sakkal Majalla" w:cs="Sakkal Majalla" w:eastAsia="Sakkal Majalla" w:hAnsi="Sakkal Majalla"/>
          <w:b w:val="1"/>
          <w:bCs w:val="1"/>
          <w:sz w:val="40"/>
          <w:szCs w:val="40"/>
          <w:rtl w:val="0"/>
        </w:rPr>
        <w:t xml:space="preserve">Supervised by: </w:t>
      </w:r>
    </w:p>
    <w:p w:rsidR="00000000" w:rsidDel="00000000" w:rsidP="00000000" w:rsidRDefault="00000000" w:rsidRPr="00000000" w14:paraId="0000000E">
      <w:pPr>
        <w:jc w:val="center"/>
        <w:rPr>
          <w:rFonts w:ascii="Sakkal Majalla" w:cs="Sakkal Majalla" w:eastAsia="Sakkal Majalla" w:hAnsi="Sakkal Majalla"/>
          <w:sz w:val="40"/>
          <w:szCs w:val="40"/>
        </w:rPr>
      </w:pPr>
      <w:r w:rsidDel="00000000" w:rsidR="00000000" w:rsidRPr="00000000">
        <w:rPr>
          <w:rFonts w:ascii="Sakkal Majalla" w:cs="Sakkal Majalla" w:eastAsia="Sakkal Majalla" w:hAnsi="Sakkal Majalla"/>
          <w:sz w:val="40"/>
          <w:szCs w:val="40"/>
          <w:rtl w:val="0"/>
        </w:rPr>
        <w:t xml:space="preserve">Dr. Al Faisal Abdul Hamid      </w:t>
      </w:r>
    </w:p>
    <w:p w:rsidR="00000000" w:rsidDel="00000000" w:rsidP="00000000" w:rsidRDefault="00000000" w:rsidRPr="00000000" w14:paraId="0000000F">
      <w:pPr>
        <w:jc w:val="center"/>
        <w:rPr>
          <w:rFonts w:ascii="Sakkal Majalla" w:cs="Sakkal Majalla" w:eastAsia="Sakkal Majalla" w:hAnsi="Sakkal Majalla"/>
          <w:sz w:val="40"/>
          <w:szCs w:val="40"/>
        </w:rPr>
      </w:pPr>
      <w:r w:rsidDel="00000000" w:rsidR="00000000" w:rsidRPr="00000000">
        <w:rPr>
          <w:rFonts w:ascii="Sakkal Majalla" w:cs="Sakkal Majalla" w:eastAsia="Sakkal Majalla" w:hAnsi="Sakkal Majalla"/>
          <w:sz w:val="40"/>
          <w:szCs w:val="40"/>
          <w:rtl w:val="0"/>
        </w:rPr>
        <w:t xml:space="preserve">Dr. Fayez Jarad</w:t>
      </w:r>
    </w:p>
    <w:p w:rsidR="00000000" w:rsidDel="00000000" w:rsidP="00000000" w:rsidRDefault="00000000" w:rsidRPr="00000000" w14:paraId="00000010">
      <w:pPr>
        <w:spacing w:line="480" w:lineRule="auto"/>
        <w:rPr>
          <w:sz w:val="24"/>
          <w:szCs w:val="24"/>
        </w:rPr>
      </w:pPr>
      <w:r w:rsidDel="00000000" w:rsidR="00000000" w:rsidRPr="00000000">
        <w:rPr>
          <w:rtl w:val="0"/>
        </w:rPr>
      </w:r>
    </w:p>
    <w:p w:rsidR="00000000" w:rsidDel="00000000" w:rsidP="00000000" w:rsidRDefault="00000000" w:rsidRPr="00000000" w14:paraId="00000011">
      <w:pPr>
        <w:spacing w:line="480" w:lineRule="auto"/>
        <w:jc w:val="center"/>
        <w:rPr>
          <w:b w:val="1"/>
          <w:bCs w:val="1"/>
          <w:sz w:val="24"/>
          <w:szCs w:val="24"/>
        </w:rPr>
      </w:pPr>
      <w:r w:rsidDel="00000000" w:rsidR="00000000" w:rsidRPr="00000000">
        <w:rPr>
          <w:b w:val="1"/>
          <w:bCs w:val="1"/>
          <w:sz w:val="24"/>
          <w:szCs w:val="24"/>
          <w:rtl w:val="0"/>
        </w:rPr>
        <w:t xml:space="preserve">2025- 2026</w:t>
      </w:r>
    </w:p>
    <w:p w:rsidR="00000000" w:rsidDel="00000000" w:rsidP="00000000" w:rsidRDefault="00000000" w:rsidRPr="00000000" w14:paraId="00000012">
      <w:pPr>
        <w:spacing w:line="480" w:lineRule="auto"/>
        <w:rPr>
          <w:sz w:val="24"/>
          <w:szCs w:val="24"/>
        </w:rPr>
      </w:pPr>
      <w:r w:rsidDel="00000000" w:rsidR="00000000" w:rsidRPr="00000000">
        <w:rPr>
          <w:rtl w:val="0"/>
        </w:rPr>
      </w:r>
    </w:p>
    <w:p w:rsidR="00000000" w:rsidDel="00000000" w:rsidP="00000000" w:rsidRDefault="00000000" w:rsidRPr="00000000" w14:paraId="00000013">
      <w:pPr>
        <w:spacing w:line="480" w:lineRule="auto"/>
        <w:rPr>
          <w:sz w:val="24"/>
          <w:szCs w:val="24"/>
        </w:rPr>
      </w:pPr>
      <w:r w:rsidDel="00000000" w:rsidR="00000000" w:rsidRPr="00000000">
        <w:rPr>
          <w:rtl w:val="0"/>
        </w:rPr>
      </w:r>
    </w:p>
    <w:p w:rsidR="00000000" w:rsidDel="00000000" w:rsidP="00000000" w:rsidRDefault="00000000" w:rsidRPr="00000000" w14:paraId="00000014">
      <w:pPr>
        <w:spacing w:line="480" w:lineRule="auto"/>
        <w:rPr>
          <w:sz w:val="24"/>
          <w:szCs w:val="24"/>
        </w:rPr>
      </w:pPr>
      <w:r w:rsidDel="00000000" w:rsidR="00000000" w:rsidRPr="00000000">
        <w:rPr>
          <w:rtl w:val="0"/>
        </w:rPr>
      </w:r>
    </w:p>
    <w:p w:rsidR="00000000" w:rsidDel="00000000" w:rsidP="00000000" w:rsidRDefault="00000000" w:rsidRPr="00000000" w14:paraId="00000015">
      <w:pPr>
        <w:spacing w:line="480" w:lineRule="auto"/>
        <w:rPr>
          <w:sz w:val="24"/>
          <w:szCs w:val="24"/>
        </w:rPr>
      </w:pPr>
      <w:r w:rsidDel="00000000" w:rsidR="00000000" w:rsidRPr="00000000">
        <w:rPr>
          <w:rtl w:val="0"/>
        </w:rPr>
      </w:r>
    </w:p>
    <w:p w:rsidR="00000000" w:rsidDel="00000000" w:rsidP="00000000" w:rsidRDefault="00000000" w:rsidRPr="00000000" w14:paraId="00000016">
      <w:pPr>
        <w:spacing w:line="480" w:lineRule="auto"/>
        <w:rPr>
          <w:sz w:val="24"/>
          <w:szCs w:val="24"/>
        </w:rPr>
      </w:pPr>
      <w:r w:rsidDel="00000000" w:rsidR="00000000" w:rsidRPr="00000000">
        <w:rPr>
          <w:rtl w:val="0"/>
        </w:rPr>
      </w:r>
    </w:p>
    <w:p w:rsidR="00000000" w:rsidDel="00000000" w:rsidP="00000000" w:rsidRDefault="00000000" w:rsidRPr="00000000" w14:paraId="00000017">
      <w:pPr>
        <w:spacing w:line="480" w:lineRule="auto"/>
        <w:rPr>
          <w:sz w:val="24"/>
          <w:szCs w:val="24"/>
        </w:rPr>
      </w:pPr>
      <w:r w:rsidDel="00000000" w:rsidR="00000000" w:rsidRPr="00000000">
        <w:rPr>
          <w:rtl w:val="0"/>
        </w:rPr>
      </w:r>
    </w:p>
    <w:p w:rsidR="00000000" w:rsidDel="00000000" w:rsidP="00000000" w:rsidRDefault="00000000" w:rsidRPr="00000000" w14:paraId="00000018">
      <w:pPr>
        <w:spacing w:line="480" w:lineRule="auto"/>
        <w:rPr>
          <w:sz w:val="24"/>
          <w:szCs w:val="24"/>
        </w:rPr>
      </w:pPr>
      <w:r w:rsidDel="00000000" w:rsidR="00000000" w:rsidRPr="00000000">
        <w:rPr>
          <w:rtl w:val="0"/>
        </w:rPr>
      </w:r>
    </w:p>
    <w:p w:rsidR="00000000" w:rsidDel="00000000" w:rsidP="00000000" w:rsidRDefault="00000000" w:rsidRPr="00000000" w14:paraId="00000019">
      <w:pPr>
        <w:spacing w:line="480" w:lineRule="auto"/>
        <w:rPr>
          <w:sz w:val="24"/>
          <w:szCs w:val="24"/>
        </w:rPr>
      </w:pPr>
      <w:r w:rsidDel="00000000" w:rsidR="00000000" w:rsidRPr="00000000">
        <w:rPr>
          <w:rtl w:val="0"/>
        </w:rPr>
      </w:r>
    </w:p>
    <w:p w:rsidR="00000000" w:rsidDel="00000000" w:rsidP="00000000" w:rsidRDefault="00000000" w:rsidRPr="00000000" w14:paraId="0000001A">
      <w:pPr>
        <w:spacing w:line="480" w:lineRule="auto"/>
        <w:rPr>
          <w:sz w:val="24"/>
          <w:szCs w:val="24"/>
        </w:rPr>
      </w:pPr>
      <w:r w:rsidDel="00000000" w:rsidR="00000000" w:rsidRPr="00000000">
        <w:rPr>
          <w:rtl w:val="0"/>
        </w:rPr>
      </w:r>
    </w:p>
    <w:p w:rsidR="00000000" w:rsidDel="00000000" w:rsidP="00000000" w:rsidRDefault="00000000" w:rsidRPr="00000000" w14:paraId="0000001B">
      <w:pPr>
        <w:spacing w:line="480" w:lineRule="auto"/>
        <w:rPr>
          <w:sz w:val="24"/>
          <w:szCs w:val="24"/>
        </w:rPr>
      </w:pPr>
      <w:r w:rsidDel="00000000" w:rsidR="00000000" w:rsidRPr="00000000">
        <w:rPr>
          <w:rtl w:val="0"/>
        </w:rPr>
      </w:r>
    </w:p>
    <w:p w:rsidR="00000000" w:rsidDel="00000000" w:rsidP="00000000" w:rsidRDefault="00000000" w:rsidRPr="00000000" w14:paraId="0000001C">
      <w:pPr>
        <w:spacing w:line="480" w:lineRule="auto"/>
        <w:rPr>
          <w:sz w:val="24"/>
          <w:szCs w:val="24"/>
        </w:rPr>
      </w:pPr>
      <w:r w:rsidDel="00000000" w:rsidR="00000000" w:rsidRPr="00000000">
        <w:rPr>
          <w:rtl w:val="0"/>
        </w:rPr>
      </w:r>
    </w:p>
    <w:p w:rsidR="00000000" w:rsidDel="00000000" w:rsidP="00000000" w:rsidRDefault="00000000" w:rsidRPr="00000000" w14:paraId="0000001D">
      <w:pPr>
        <w:spacing w:line="480" w:lineRule="auto"/>
        <w:rPr>
          <w:sz w:val="24"/>
          <w:szCs w:val="24"/>
        </w:rPr>
      </w:pPr>
      <w:r w:rsidDel="00000000" w:rsidR="00000000" w:rsidRPr="00000000">
        <w:rPr>
          <w:rtl w:val="0"/>
        </w:rPr>
      </w:r>
    </w:p>
    <w:p w:rsidR="00000000" w:rsidDel="00000000" w:rsidP="00000000" w:rsidRDefault="00000000" w:rsidRPr="00000000" w14:paraId="0000001E">
      <w:pPr>
        <w:spacing w:line="480" w:lineRule="auto"/>
        <w:rPr>
          <w:sz w:val="24"/>
          <w:szCs w:val="24"/>
        </w:rPr>
      </w:pPr>
      <w:r w:rsidDel="00000000" w:rsidR="00000000" w:rsidRPr="00000000">
        <w:rPr>
          <w:rtl w:val="0"/>
        </w:rPr>
      </w:r>
    </w:p>
    <w:p w:rsidR="00000000" w:rsidDel="00000000" w:rsidP="00000000" w:rsidRDefault="00000000" w:rsidRPr="00000000" w14:paraId="0000001F">
      <w:pPr>
        <w:spacing w:line="480" w:lineRule="auto"/>
        <w:rPr>
          <w:sz w:val="24"/>
          <w:szCs w:val="24"/>
        </w:rPr>
      </w:pPr>
      <w:r w:rsidDel="00000000" w:rsidR="00000000" w:rsidRPr="00000000">
        <w:rPr>
          <w:rtl w:val="0"/>
        </w:rPr>
      </w:r>
    </w:p>
    <w:p w:rsidR="00000000" w:rsidDel="00000000" w:rsidP="00000000" w:rsidRDefault="00000000" w:rsidRPr="00000000" w14:paraId="00000020">
      <w:pPr>
        <w:spacing w:line="480" w:lineRule="auto"/>
        <w:rPr>
          <w:sz w:val="24"/>
          <w:szCs w:val="24"/>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2025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Midocean University – College of Management – Department of Master of Business Administration</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All rights reserved. No part of this thesis may be reproduced, distributed, or transmitted in any form or by any means, including photocopying, recording, or other electronic or mechanical methods, without the prior written permission of the author and Midocean University, except in the case of brief quotations used in academic or scholarly work.</w:t>
      </w:r>
    </w:p>
    <w:p w:rsidR="00000000" w:rsidDel="00000000" w:rsidP="00000000" w:rsidRDefault="00000000" w:rsidRPr="00000000" w14:paraId="00000023">
      <w:pPr>
        <w:tabs>
          <w:tab w:val="left" w:leader="none" w:pos="1534"/>
          <w:tab w:val="center" w:leader="none" w:pos="4680"/>
        </w:tabs>
        <w:spacing w:line="480" w:lineRule="auto"/>
        <w:rPr>
          <w:b w:val="1"/>
          <w:bCs w:val="1"/>
          <w:sz w:val="32"/>
          <w:szCs w:val="32"/>
        </w:rPr>
      </w:pPr>
      <w:bookmarkStart w:colFirst="0" w:colLast="0" w:name="_heading=h.vvprvz2rldpd" w:id="0"/>
      <w:bookmarkEnd w:id="0"/>
      <w:r w:rsidDel="00000000" w:rsidR="00000000" w:rsidRPr="00000000">
        <w:rPr>
          <w:b w:val="1"/>
          <w:bCs w:val="1"/>
          <w:sz w:val="32"/>
          <w:szCs w:val="32"/>
          <w:rtl w:val="0"/>
        </w:rPr>
        <w:tab/>
        <w:tab/>
        <w:t xml:space="preserve">Abstract</w:t>
      </w:r>
    </w:p>
    <w:p w:rsidR="00000000" w:rsidDel="00000000" w:rsidP="00000000" w:rsidRDefault="00000000" w:rsidRPr="00000000" w14:paraId="00000024">
      <w:pPr>
        <w:tabs>
          <w:tab w:val="left" w:leader="none" w:pos="2715"/>
        </w:tabs>
        <w:spacing w:after="0" w:line="480" w:lineRule="auto"/>
        <w:rPr>
          <w:sz w:val="24"/>
          <w:szCs w:val="24"/>
        </w:rPr>
      </w:pPr>
      <w:r w:rsidDel="00000000" w:rsidR="00000000" w:rsidRPr="00000000">
        <w:rPr>
          <w:sz w:val="24"/>
          <w:szCs w:val="24"/>
          <w:rtl w:val="0"/>
        </w:rPr>
        <w:t xml:space="preserve">This study was intended for analyzing the associations between Service Quality and Emotional Intelligence, Customer Satisfaction, and Behavioral Intention throughout several service industries. In doing this we adopted integrated approaches including SERVQUAL (Parasuraman et al., 1988) and Goleman's Emotional Intelligence framework (1998). Based on quantitative data, our research design involved sending an online survey to 372 people who are involved in digital service platforms. For the analysis of the data, Partial Least Squares Structural Equation Modeling (PLS-SEM) was performed using SmartPLS 4.0 to validate and report reliability of both measurements and structures. The findings of this study provide that Service Quality has positive relationship with Emotional Intelligence and Customer Satisfaction, and Emotional Intelligence is positively related with both Satisfaction and Behavioral Intention. As such, Customer Satisfaction offers a mediator pathway between Emotional Intelligence and Behavioral Intention, underscoring the emotional process on which service quality leads to behavioral outcomes. For large sample the model accounted 64% of the variance in Customer Satisfaction and 71% of the variance in Behavioral Intention thus very powerful power was gained. Emotional and cognitive factors merge towards affect customer loyalty and emotionally intelligent service delivery enhances the service experience in the entire population, the results indicate.  </w:t>
      </w:r>
    </w:p>
    <w:p w:rsidR="00000000" w:rsidDel="00000000" w:rsidP="00000000" w:rsidRDefault="00000000" w:rsidRPr="00000000" w14:paraId="00000025">
      <w:pPr>
        <w:tabs>
          <w:tab w:val="left" w:leader="none" w:pos="2715"/>
        </w:tabs>
        <w:spacing w:after="0" w:line="480" w:lineRule="auto"/>
        <w:rPr>
          <w:sz w:val="24"/>
          <w:szCs w:val="24"/>
        </w:rPr>
      </w:pPr>
      <w:r w:rsidDel="00000000" w:rsidR="00000000" w:rsidRPr="00000000">
        <w:rPr>
          <w:b w:val="1"/>
          <w:bCs w:val="1"/>
          <w:sz w:val="24"/>
          <w:szCs w:val="24"/>
          <w:rtl w:val="0"/>
        </w:rPr>
        <w:t xml:space="preserve">Keywords:</w:t>
      </w:r>
      <w:r w:rsidDel="00000000" w:rsidR="00000000" w:rsidRPr="00000000">
        <w:rPr>
          <w:sz w:val="24"/>
          <w:szCs w:val="24"/>
          <w:rtl w:val="0"/>
        </w:rPr>
        <w:t xml:space="preserve"> Service Quality, Emotional Intelligence, Customer Satisfaction, Behavioral Intention, Structural Equation Modeling, PLS-SEM</w:t>
        <w:tab/>
      </w:r>
    </w:p>
    <w:p w:rsidR="00000000" w:rsidDel="00000000" w:rsidP="00000000" w:rsidRDefault="00000000" w:rsidRPr="00000000" w14:paraId="00000026">
      <w:pPr>
        <w:spacing w:after="0" w:line="480" w:lineRule="auto"/>
        <w:rPr>
          <w:sz w:val="24"/>
          <w:szCs w:val="24"/>
        </w:rPr>
      </w:pPr>
      <w:r w:rsidDel="00000000" w:rsidR="00000000" w:rsidRPr="00000000">
        <w:rPr>
          <w:rtl w:val="0"/>
        </w:rPr>
      </w:r>
    </w:p>
    <w:p w:rsidR="00000000" w:rsidDel="00000000" w:rsidP="00000000" w:rsidRDefault="00000000" w:rsidRPr="00000000" w14:paraId="00000027">
      <w:pPr>
        <w:spacing w:after="0" w:line="480" w:lineRule="auto"/>
        <w:rPr>
          <w:sz w:val="24"/>
          <w:szCs w:val="24"/>
        </w:rPr>
      </w:pPr>
      <w:r w:rsidDel="00000000" w:rsidR="00000000" w:rsidRPr="00000000">
        <w:rPr>
          <w:rtl w:val="0"/>
        </w:rPr>
      </w:r>
    </w:p>
    <w:p w:rsidR="00000000" w:rsidDel="00000000" w:rsidP="00000000" w:rsidRDefault="00000000" w:rsidRPr="00000000" w14:paraId="00000028">
      <w:pPr>
        <w:spacing w:after="0" w:line="480" w:lineRule="auto"/>
        <w:rPr>
          <w:sz w:val="24"/>
          <w:szCs w:val="24"/>
        </w:rPr>
      </w:pPr>
      <w:r w:rsidDel="00000000" w:rsidR="00000000" w:rsidRPr="00000000">
        <w:rPr>
          <w:rtl w:val="0"/>
        </w:rPr>
      </w:r>
    </w:p>
    <w:p w:rsidR="00000000" w:rsidDel="00000000" w:rsidP="00000000" w:rsidRDefault="00000000" w:rsidRPr="00000000" w14:paraId="00000029">
      <w:pPr>
        <w:spacing w:after="0" w:line="480" w:lineRule="auto"/>
        <w:rPr>
          <w:sz w:val="24"/>
          <w:szCs w:val="24"/>
        </w:rPr>
      </w:pPr>
      <w:r w:rsidDel="00000000" w:rsidR="00000000" w:rsidRPr="00000000">
        <w:rPr>
          <w:rtl w:val="0"/>
        </w:rPr>
      </w:r>
    </w:p>
    <w:p w:rsidR="00000000" w:rsidDel="00000000" w:rsidP="00000000" w:rsidRDefault="00000000" w:rsidRPr="00000000" w14:paraId="0000002A">
      <w:pPr>
        <w:spacing w:after="0" w:line="480" w:lineRule="auto"/>
        <w:rPr>
          <w:sz w:val="24"/>
          <w:szCs w:val="24"/>
        </w:rPr>
      </w:pPr>
      <w:r w:rsidDel="00000000" w:rsidR="00000000" w:rsidRPr="00000000">
        <w:rPr>
          <w:rtl w:val="0"/>
        </w:rPr>
      </w:r>
    </w:p>
    <w:p w:rsidR="00000000" w:rsidDel="00000000" w:rsidP="00000000" w:rsidRDefault="00000000" w:rsidRPr="00000000" w14:paraId="0000002B">
      <w:pPr>
        <w:spacing w:after="0" w:line="480" w:lineRule="auto"/>
        <w:jc w:val="center"/>
        <w:rPr>
          <w:rFonts w:ascii="Dancing Script" w:cs="Dancing Script" w:eastAsia="Dancing Script" w:hAnsi="Dancing Script"/>
          <w:b w:val="1"/>
          <w:bCs w:val="1"/>
          <w:i w:val="1"/>
          <w:iCs w:val="1"/>
          <w:sz w:val="40"/>
          <w:szCs w:val="40"/>
        </w:rPr>
      </w:pPr>
      <w:r w:rsidDel="00000000" w:rsidR="00000000" w:rsidRPr="00000000">
        <w:rPr>
          <w:rFonts w:ascii="Dancing Script" w:cs="Dancing Script" w:eastAsia="Dancing Script" w:hAnsi="Dancing Script"/>
          <w:b w:val="1"/>
          <w:bCs w:val="1"/>
          <w:i w:val="1"/>
          <w:iCs w:val="1"/>
          <w:sz w:val="40"/>
          <w:szCs w:val="40"/>
          <w:rtl w:val="0"/>
        </w:rPr>
        <w:t xml:space="preserve">Acknowledgment</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2C">
      <w:pPr>
        <w:spacing w:after="0" w:line="480" w:lineRule="auto"/>
        <w:jc w:val="center"/>
        <w:rPr>
          <w:sz w:val="24"/>
          <w:szCs w:val="24"/>
        </w:rPr>
      </w:pPr>
      <w:r w:rsidDel="00000000" w:rsidR="00000000" w:rsidRPr="00000000">
        <w:rPr>
          <w:sz w:val="24"/>
          <w:szCs w:val="24"/>
          <w:rtl w:val="0"/>
        </w:rPr>
        <w:t xml:space="preserve">My wholehearted appreciation is directed at each individual who participated in carrying this research out. A deep thanks to all academic staff and reviewers for the valuable comments, constructive feedback, and continuous encouragement throughout the development of this study. I am also thankful to all the questionnaire respondents, who in their turn shared themselves and their experience, adding an important insight that was beneficial to our conclusions. Finally, heartfelt thanks go to all who supported me, cheered as well as sympathized with the problems that I had during this academic work. And the encouragement of everybody has given me some vital direction and inspiration through doing this work.</w:t>
      </w:r>
    </w:p>
    <w:p w:rsidR="00000000" w:rsidDel="00000000" w:rsidP="00000000" w:rsidRDefault="00000000" w:rsidRPr="00000000" w14:paraId="0000002D">
      <w:pPr>
        <w:spacing w:after="0" w:line="480" w:lineRule="auto"/>
        <w:rPr>
          <w:sz w:val="24"/>
          <w:szCs w:val="24"/>
        </w:rPr>
      </w:pPr>
      <w:r w:rsidDel="00000000" w:rsidR="00000000" w:rsidRPr="00000000">
        <w:rPr>
          <w:rtl w:val="0"/>
        </w:rPr>
      </w:r>
    </w:p>
    <w:p w:rsidR="00000000" w:rsidDel="00000000" w:rsidP="00000000" w:rsidRDefault="00000000" w:rsidRPr="00000000" w14:paraId="0000002E">
      <w:pPr>
        <w:spacing w:after="0" w:line="480" w:lineRule="auto"/>
        <w:rPr>
          <w:sz w:val="24"/>
          <w:szCs w:val="24"/>
        </w:rPr>
      </w:pPr>
      <w:r w:rsidDel="00000000" w:rsidR="00000000" w:rsidRPr="00000000">
        <w:rPr>
          <w:rtl w:val="0"/>
        </w:rPr>
      </w:r>
    </w:p>
    <w:p w:rsidR="00000000" w:rsidDel="00000000" w:rsidP="00000000" w:rsidRDefault="00000000" w:rsidRPr="00000000" w14:paraId="0000002F">
      <w:pPr>
        <w:spacing w:after="0" w:line="480" w:lineRule="auto"/>
        <w:rPr>
          <w:sz w:val="24"/>
          <w:szCs w:val="24"/>
        </w:rPr>
      </w:pPr>
      <w:r w:rsidDel="00000000" w:rsidR="00000000" w:rsidRPr="00000000">
        <w:rPr>
          <w:rtl w:val="0"/>
        </w:rPr>
      </w:r>
    </w:p>
    <w:p w:rsidR="00000000" w:rsidDel="00000000" w:rsidP="00000000" w:rsidRDefault="00000000" w:rsidRPr="00000000" w14:paraId="00000030">
      <w:pPr>
        <w:spacing w:after="0" w:line="480" w:lineRule="auto"/>
        <w:rPr>
          <w:sz w:val="24"/>
          <w:szCs w:val="24"/>
        </w:rPr>
      </w:pPr>
      <w:r w:rsidDel="00000000" w:rsidR="00000000" w:rsidRPr="00000000">
        <w:rPr>
          <w:rtl w:val="0"/>
        </w:rPr>
      </w:r>
    </w:p>
    <w:p w:rsidR="00000000" w:rsidDel="00000000" w:rsidP="00000000" w:rsidRDefault="00000000" w:rsidRPr="00000000" w14:paraId="00000031">
      <w:pPr>
        <w:spacing w:after="0" w:line="480" w:lineRule="auto"/>
        <w:rPr>
          <w:sz w:val="24"/>
          <w:szCs w:val="24"/>
        </w:rPr>
      </w:pPr>
      <w:r w:rsidDel="00000000" w:rsidR="00000000" w:rsidRPr="00000000">
        <w:rPr>
          <w:rtl w:val="0"/>
        </w:rPr>
      </w:r>
    </w:p>
    <w:p w:rsidR="00000000" w:rsidDel="00000000" w:rsidP="00000000" w:rsidRDefault="00000000" w:rsidRPr="00000000" w14:paraId="00000032">
      <w:pPr>
        <w:spacing w:after="0" w:line="480" w:lineRule="auto"/>
        <w:rPr>
          <w:sz w:val="24"/>
          <w:szCs w:val="24"/>
        </w:rPr>
      </w:pPr>
      <w:r w:rsidDel="00000000" w:rsidR="00000000" w:rsidRPr="00000000">
        <w:rPr>
          <w:rtl w:val="0"/>
        </w:rPr>
      </w:r>
    </w:p>
    <w:p w:rsidR="00000000" w:rsidDel="00000000" w:rsidP="00000000" w:rsidRDefault="00000000" w:rsidRPr="00000000" w14:paraId="00000033">
      <w:pPr>
        <w:spacing w:after="0" w:line="480" w:lineRule="auto"/>
        <w:rPr>
          <w:sz w:val="24"/>
          <w:szCs w:val="24"/>
        </w:rPr>
      </w:pPr>
      <w:r w:rsidDel="00000000" w:rsidR="00000000" w:rsidRPr="00000000">
        <w:rPr>
          <w:rtl w:val="0"/>
        </w:rPr>
      </w:r>
    </w:p>
    <w:p w:rsidR="00000000" w:rsidDel="00000000" w:rsidP="00000000" w:rsidRDefault="00000000" w:rsidRPr="00000000" w14:paraId="00000034">
      <w:pPr>
        <w:spacing w:after="0" w:line="480" w:lineRule="auto"/>
        <w:rPr>
          <w:sz w:val="24"/>
          <w:szCs w:val="24"/>
        </w:rPr>
      </w:pPr>
      <w:r w:rsidDel="00000000" w:rsidR="00000000" w:rsidRPr="00000000">
        <w:rPr>
          <w:rtl w:val="0"/>
        </w:rPr>
      </w:r>
    </w:p>
    <w:p w:rsidR="00000000" w:rsidDel="00000000" w:rsidP="00000000" w:rsidRDefault="00000000" w:rsidRPr="00000000" w14:paraId="00000035">
      <w:pPr>
        <w:spacing w:after="0" w:line="480" w:lineRule="auto"/>
        <w:rPr>
          <w:sz w:val="24"/>
          <w:szCs w:val="24"/>
        </w:rPr>
      </w:pPr>
      <w:r w:rsidDel="00000000" w:rsidR="00000000" w:rsidRPr="00000000">
        <w:rPr>
          <w:rtl w:val="0"/>
        </w:rPr>
      </w:r>
    </w:p>
    <w:p w:rsidR="00000000" w:rsidDel="00000000" w:rsidP="00000000" w:rsidRDefault="00000000" w:rsidRPr="00000000" w14:paraId="00000036">
      <w:pPr>
        <w:spacing w:after="0" w:line="480" w:lineRule="auto"/>
        <w:rPr>
          <w:sz w:val="24"/>
          <w:szCs w:val="24"/>
        </w:rPr>
      </w:pPr>
      <w:r w:rsidDel="00000000" w:rsidR="00000000" w:rsidRPr="00000000">
        <w:rPr>
          <w:rtl w:val="0"/>
        </w:rPr>
      </w:r>
    </w:p>
    <w:p w:rsidR="00000000" w:rsidDel="00000000" w:rsidP="00000000" w:rsidRDefault="00000000" w:rsidRPr="00000000" w14:paraId="00000037">
      <w:pPr>
        <w:spacing w:after="0" w:line="480" w:lineRule="auto"/>
        <w:rPr>
          <w:sz w:val="24"/>
          <w:szCs w:val="24"/>
        </w:rPr>
      </w:pPr>
      <w:r w:rsidDel="00000000" w:rsidR="00000000" w:rsidRPr="00000000">
        <w:rPr>
          <w:rtl w:val="0"/>
        </w:rPr>
      </w:r>
    </w:p>
    <w:p w:rsidR="00000000" w:rsidDel="00000000" w:rsidP="00000000" w:rsidRDefault="00000000" w:rsidRPr="00000000" w14:paraId="00000038">
      <w:pPr>
        <w:spacing w:after="0" w:line="480" w:lineRule="auto"/>
        <w:rPr>
          <w:sz w:val="24"/>
          <w:szCs w:val="24"/>
        </w:rPr>
      </w:pPr>
      <w:r w:rsidDel="00000000" w:rsidR="00000000" w:rsidRPr="00000000">
        <w:rPr>
          <w:rtl w:val="0"/>
        </w:rPr>
      </w:r>
    </w:p>
    <w:p w:rsidR="00000000" w:rsidDel="00000000" w:rsidP="00000000" w:rsidRDefault="00000000" w:rsidRPr="00000000" w14:paraId="00000039">
      <w:pPr>
        <w:spacing w:after="0" w:line="480" w:lineRule="auto"/>
        <w:jc w:val="center"/>
        <w:rPr>
          <w:rFonts w:ascii="Dancing Script" w:cs="Dancing Script" w:eastAsia="Dancing Script" w:hAnsi="Dancing Script"/>
          <w:b w:val="1"/>
          <w:bCs w:val="1"/>
          <w:sz w:val="40"/>
          <w:szCs w:val="40"/>
        </w:rPr>
      </w:pPr>
      <w:r w:rsidDel="00000000" w:rsidR="00000000" w:rsidRPr="00000000">
        <w:rPr>
          <w:rFonts w:ascii="Dancing Script" w:cs="Dancing Script" w:eastAsia="Dancing Script" w:hAnsi="Dancing Script"/>
          <w:b w:val="1"/>
          <w:bCs w:val="1"/>
          <w:sz w:val="40"/>
          <w:szCs w:val="40"/>
          <w:rtl w:val="0"/>
        </w:rPr>
        <w:t xml:space="preserve">Dedication</w:t>
      </w:r>
    </w:p>
    <w:p w:rsidR="00000000" w:rsidDel="00000000" w:rsidP="00000000" w:rsidRDefault="00000000" w:rsidRPr="00000000" w14:paraId="0000003A">
      <w:pPr>
        <w:spacing w:after="0" w:line="480" w:lineRule="auto"/>
        <w:rPr>
          <w:sz w:val="24"/>
          <w:szCs w:val="24"/>
        </w:rPr>
      </w:pPr>
      <w:r w:rsidDel="00000000" w:rsidR="00000000" w:rsidRPr="00000000">
        <w:rPr>
          <w:rtl w:val="0"/>
        </w:rPr>
      </w:r>
    </w:p>
    <w:p w:rsidR="00000000" w:rsidDel="00000000" w:rsidP="00000000" w:rsidRDefault="00000000" w:rsidRPr="00000000" w14:paraId="0000003B">
      <w:pPr>
        <w:spacing w:after="0" w:line="480" w:lineRule="auto"/>
        <w:jc w:val="center"/>
        <w:rPr>
          <w:sz w:val="24"/>
          <w:szCs w:val="24"/>
        </w:rPr>
      </w:pPr>
      <w:r w:rsidDel="00000000" w:rsidR="00000000" w:rsidRPr="00000000">
        <w:rPr>
          <w:sz w:val="24"/>
          <w:szCs w:val="24"/>
          <w:rtl w:val="0"/>
        </w:rPr>
        <w:t xml:space="preserve">This work is dedicated to all those who believe in the power of knowledge and continuous learning.To everyone who inspired, supported, and encouraged me throughout this academic journey —your belief has been the foundation of my perseverance and success.I also dedicate this research to future scholars who strive to create meaningful contributions that advance understanding and positively impact society.</w:t>
      </w:r>
    </w:p>
    <w:p w:rsidR="00000000" w:rsidDel="00000000" w:rsidP="00000000" w:rsidRDefault="00000000" w:rsidRPr="00000000" w14:paraId="0000003C">
      <w:pPr>
        <w:spacing w:after="0" w:line="480" w:lineRule="auto"/>
        <w:rPr>
          <w:sz w:val="24"/>
          <w:szCs w:val="24"/>
        </w:rPr>
      </w:pPr>
      <w:r w:rsidDel="00000000" w:rsidR="00000000" w:rsidRPr="00000000">
        <w:rPr>
          <w:rtl w:val="0"/>
        </w:rPr>
      </w:r>
    </w:p>
    <w:p w:rsidR="00000000" w:rsidDel="00000000" w:rsidP="00000000" w:rsidRDefault="00000000" w:rsidRPr="00000000" w14:paraId="0000003D">
      <w:pPr>
        <w:spacing w:after="0" w:line="480" w:lineRule="auto"/>
        <w:rPr>
          <w:sz w:val="24"/>
          <w:szCs w:val="24"/>
        </w:rPr>
      </w:pPr>
      <w:r w:rsidDel="00000000" w:rsidR="00000000" w:rsidRPr="00000000">
        <w:rPr>
          <w:rtl w:val="0"/>
        </w:rPr>
      </w:r>
    </w:p>
    <w:p w:rsidR="00000000" w:rsidDel="00000000" w:rsidP="00000000" w:rsidRDefault="00000000" w:rsidRPr="00000000" w14:paraId="0000003E">
      <w:pPr>
        <w:spacing w:after="0" w:line="480" w:lineRule="auto"/>
        <w:rPr>
          <w:sz w:val="24"/>
          <w:szCs w:val="24"/>
        </w:rPr>
      </w:pPr>
      <w:r w:rsidDel="00000000" w:rsidR="00000000" w:rsidRPr="00000000">
        <w:rPr>
          <w:rtl w:val="0"/>
        </w:rPr>
      </w:r>
    </w:p>
    <w:p w:rsidR="00000000" w:rsidDel="00000000" w:rsidP="00000000" w:rsidRDefault="00000000" w:rsidRPr="00000000" w14:paraId="0000003F">
      <w:pPr>
        <w:spacing w:after="0" w:line="480" w:lineRule="auto"/>
        <w:rPr>
          <w:sz w:val="24"/>
          <w:szCs w:val="24"/>
        </w:rPr>
      </w:pPr>
      <w:r w:rsidDel="00000000" w:rsidR="00000000" w:rsidRPr="00000000">
        <w:rPr>
          <w:rtl w:val="0"/>
        </w:rPr>
      </w:r>
    </w:p>
    <w:p w:rsidR="00000000" w:rsidDel="00000000" w:rsidP="00000000" w:rsidRDefault="00000000" w:rsidRPr="00000000" w14:paraId="00000040">
      <w:pPr>
        <w:spacing w:after="0" w:line="480" w:lineRule="auto"/>
        <w:rPr>
          <w:sz w:val="24"/>
          <w:szCs w:val="24"/>
        </w:rPr>
      </w:pPr>
      <w:r w:rsidDel="00000000" w:rsidR="00000000" w:rsidRPr="00000000">
        <w:rPr>
          <w:rtl w:val="0"/>
        </w:rPr>
      </w:r>
    </w:p>
    <w:p w:rsidR="00000000" w:rsidDel="00000000" w:rsidP="00000000" w:rsidRDefault="00000000" w:rsidRPr="00000000" w14:paraId="00000041">
      <w:pPr>
        <w:spacing w:after="0" w:line="480" w:lineRule="auto"/>
        <w:rPr>
          <w:sz w:val="24"/>
          <w:szCs w:val="24"/>
        </w:rPr>
      </w:pPr>
      <w:r w:rsidDel="00000000" w:rsidR="00000000" w:rsidRPr="00000000">
        <w:rPr>
          <w:rtl w:val="0"/>
        </w:rPr>
      </w:r>
    </w:p>
    <w:p w:rsidR="00000000" w:rsidDel="00000000" w:rsidP="00000000" w:rsidRDefault="00000000" w:rsidRPr="00000000" w14:paraId="00000042">
      <w:pPr>
        <w:spacing w:after="0" w:line="480" w:lineRule="auto"/>
        <w:rPr>
          <w:sz w:val="24"/>
          <w:szCs w:val="24"/>
        </w:rPr>
      </w:pPr>
      <w:r w:rsidDel="00000000" w:rsidR="00000000" w:rsidRPr="00000000">
        <w:rPr>
          <w:rtl w:val="0"/>
        </w:rPr>
      </w:r>
    </w:p>
    <w:p w:rsidR="00000000" w:rsidDel="00000000" w:rsidP="00000000" w:rsidRDefault="00000000" w:rsidRPr="00000000" w14:paraId="00000043">
      <w:pPr>
        <w:spacing w:after="0" w:line="480" w:lineRule="auto"/>
        <w:rPr>
          <w:sz w:val="24"/>
          <w:szCs w:val="24"/>
        </w:rPr>
      </w:pPr>
      <w:r w:rsidDel="00000000" w:rsidR="00000000" w:rsidRPr="00000000">
        <w:rPr>
          <w:rtl w:val="0"/>
        </w:rPr>
      </w:r>
    </w:p>
    <w:p w:rsidR="00000000" w:rsidDel="00000000" w:rsidP="00000000" w:rsidRDefault="00000000" w:rsidRPr="00000000" w14:paraId="00000044">
      <w:pPr>
        <w:spacing w:after="0" w:line="480" w:lineRule="auto"/>
        <w:rPr>
          <w:sz w:val="24"/>
          <w:szCs w:val="24"/>
        </w:rPr>
      </w:pPr>
      <w:r w:rsidDel="00000000" w:rsidR="00000000" w:rsidRPr="00000000">
        <w:rPr>
          <w:rtl w:val="0"/>
        </w:rPr>
      </w:r>
    </w:p>
    <w:p w:rsidR="00000000" w:rsidDel="00000000" w:rsidP="00000000" w:rsidRDefault="00000000" w:rsidRPr="00000000" w14:paraId="00000045">
      <w:pPr>
        <w:spacing w:after="0" w:line="480" w:lineRule="auto"/>
        <w:rPr>
          <w:sz w:val="24"/>
          <w:szCs w:val="24"/>
        </w:rPr>
      </w:pPr>
      <w:r w:rsidDel="00000000" w:rsidR="00000000" w:rsidRPr="00000000">
        <w:rPr>
          <w:rtl w:val="0"/>
        </w:rPr>
      </w:r>
    </w:p>
    <w:p w:rsidR="00000000" w:rsidDel="00000000" w:rsidP="00000000" w:rsidRDefault="00000000" w:rsidRPr="00000000" w14:paraId="00000046">
      <w:pPr>
        <w:spacing w:after="0" w:line="480" w:lineRule="auto"/>
        <w:rPr>
          <w:sz w:val="24"/>
          <w:szCs w:val="24"/>
        </w:rPr>
      </w:pPr>
      <w:r w:rsidDel="00000000" w:rsidR="00000000" w:rsidRPr="00000000">
        <w:rPr>
          <w:rtl w:val="0"/>
        </w:rPr>
      </w:r>
    </w:p>
    <w:p w:rsidR="00000000" w:rsidDel="00000000" w:rsidP="00000000" w:rsidRDefault="00000000" w:rsidRPr="00000000" w14:paraId="00000047">
      <w:pPr>
        <w:spacing w:after="0" w:line="480" w:lineRule="auto"/>
        <w:rPr>
          <w:sz w:val="24"/>
          <w:szCs w:val="24"/>
        </w:rPr>
      </w:pPr>
      <w:r w:rsidDel="00000000" w:rsidR="00000000" w:rsidRPr="00000000">
        <w:rPr>
          <w:rtl w:val="0"/>
        </w:rPr>
      </w:r>
    </w:p>
    <w:p w:rsidR="00000000" w:rsidDel="00000000" w:rsidP="00000000" w:rsidRDefault="00000000" w:rsidRPr="00000000" w14:paraId="00000048">
      <w:pPr>
        <w:spacing w:after="0" w:line="480" w:lineRule="auto"/>
        <w:rPr>
          <w:sz w:val="24"/>
          <w:szCs w:val="24"/>
        </w:rPr>
      </w:pPr>
      <w:r w:rsidDel="00000000" w:rsidR="00000000" w:rsidRPr="00000000">
        <w:rPr>
          <w:rtl w:val="0"/>
        </w:rPr>
      </w:r>
    </w:p>
    <w:p w:rsidR="00000000" w:rsidDel="00000000" w:rsidP="00000000" w:rsidRDefault="00000000" w:rsidRPr="00000000" w14:paraId="0000004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bCs w:val="0"/>
          <w:i w:val="0"/>
          <w:iCs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2e75b5"/>
          <w:sz w:val="32"/>
          <w:szCs w:val="32"/>
          <w:u w:val="none"/>
          <w:shd w:fill="auto" w:val="clear"/>
          <w:vertAlign w:val="baseline"/>
          <w:rtl w:val="0"/>
        </w:rPr>
        <w:t xml:space="preserve">Table of contents</w:t>
      </w:r>
    </w:p>
    <w:sdt>
      <w:sdtPr>
        <w:id w:val="-1898150054"/>
        <w:docPartObj>
          <w:docPartGallery w:val="Table of Contents"/>
          <w:docPartUnique w:val="1"/>
        </w:docPartObj>
      </w:sdtPr>
      <w:sdtContent>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t36iusy5uqs4">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Chapter one: Introduction</w:t>
            </w:r>
          </w:hyperlink>
          <w:hyperlink w:anchor="_heading=h.t36iusy5uqs4">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brnooh2znbcu">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Problem Statement</w:t>
            </w:r>
          </w:hyperlink>
          <w:hyperlink w:anchor="_heading=h.brnooh2znbcu">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ljf2dkbsx42y">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Significance of the Study</w:t>
            </w:r>
          </w:hyperlink>
          <w:hyperlink w:anchor="_heading=h.ljf2dkbsx42y">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7yw3fey99x1v">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Research Objectives</w:t>
            </w:r>
          </w:hyperlink>
          <w:hyperlink w:anchor="_heading=h.7yw3fey99x1v">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dy35asjpxjeb">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Research Questions</w:t>
            </w:r>
          </w:hyperlink>
          <w:hyperlink w:anchor="_heading=h.dy35asjpxjeb">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a6mrd28kqybt">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Research Hypotheses</w:t>
            </w:r>
          </w:hyperlink>
          <w:hyperlink w:anchor="_heading=h.a6mrd28kqybt">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g5aai49gnsyn">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Literature Review</w:t>
            </w:r>
          </w:hyperlink>
          <w:hyperlink w:anchor="_heading=h.g5aai49gnsyn">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drlpjhtzh4ug">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Theoretical Foundations of the Study</w:t>
            </w:r>
          </w:hyperlink>
          <w:hyperlink w:anchor="_heading=h.drlpjhtzh4ug">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dx7gxtj42nf5">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Methodology</w:t>
            </w:r>
          </w:hyperlink>
          <w:hyperlink w:anchor="_heading=h.dx7gxtj42nf5">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8o3rf887khsp">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Research Instruments</w:t>
            </w:r>
          </w:hyperlink>
          <w:hyperlink w:anchor="_heading=h.8o3rf887khsp">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tqb0tnedcbx8">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Study Limitations</w:t>
            </w:r>
          </w:hyperlink>
          <w:hyperlink w:anchor="_heading=h.tqb0tnedcbx8">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13</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3ipzuhuhsxgz">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Chapter Two: Literature Review</w:t>
            </w:r>
          </w:hyperlink>
          <w:hyperlink w:anchor="_heading=h.3ipzuhuhsxgz">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ypt4qtmyewa6">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2.1 Introduction</w:t>
            </w:r>
          </w:hyperlink>
          <w:hyperlink w:anchor="_heading=h.ypt4qtmyewa6">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16</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qbc7frdck5nt">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2.3 Stimulus–Organism–Response (SOR) Framework</w:t>
            </w:r>
          </w:hyperlink>
          <w:hyperlink w:anchor="_heading=h.qbc7frdck5nt">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18</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de8r1nyzklp3">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2.4 Central Issues that Drive Customer Behavior</w:t>
            </w:r>
          </w:hyperlink>
          <w:hyperlink w:anchor="_heading=h.de8r1nyzklp3">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25</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hgf34napgdzm">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2.5 The Technology Acceptance Model (TAM), SOR model and digital trust relationship</w:t>
            </w:r>
          </w:hyperlink>
          <w:hyperlink w:anchor="_heading=h.hgf34napgdzm">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40</w:t>
            </w:r>
          </w:hyperlink>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zf1wiw3oukhk">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2.6 Summary of Prior Studies</w:t>
            </w:r>
          </w:hyperlink>
          <w:hyperlink w:anchor="_heading=h.zf1wiw3oukhk">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43</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r47zt947fy7g">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Chapter Three: Research Methodology</w:t>
            </w:r>
          </w:hyperlink>
          <w:hyperlink w:anchor="_heading=h.r47zt947fy7g">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48</w:t>
            </w:r>
          </w:hyperlink>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rsnozt5yqkz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3.1 Introduction</w:t>
            </w:r>
          </w:hyperlink>
          <w:hyperlink w:anchor="_heading=h.rsnozt5yqkz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48</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hy1qb680fpw3">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3.2 Research Design</w:t>
            </w:r>
          </w:hyperlink>
          <w:hyperlink w:anchor="_heading=h.hy1qb680fpw3">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48</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mhg99mtdtfo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3.3 Research Model and Hypotheses Development</w:t>
            </w:r>
          </w:hyperlink>
          <w:hyperlink w:anchor="_heading=h.mhg99mtdtfo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49</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la5kvmyli9c7">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3.4 Population and Sampling</w:t>
            </w:r>
          </w:hyperlink>
          <w:hyperlink w:anchor="_heading=h.la5kvmyli9c7">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53</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s9hwwexrnld3">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3.5 Research Instrument</w:t>
            </w:r>
          </w:hyperlink>
          <w:hyperlink w:anchor="_heading=h.s9hwwexrnld3">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55</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6mfzani4ahu9">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3.6 Measurement Scales Reliability and Validity</w:t>
            </w:r>
          </w:hyperlink>
          <w:hyperlink w:anchor="_heading=h.6mfzani4ahu9">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58</w:t>
            </w:r>
          </w:hyperlink>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83tehlsq686s">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3.7 Data Collection Procedure</w:t>
            </w:r>
          </w:hyperlink>
          <w:hyperlink w:anchor="_heading=h.83tehlsq686s">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61</w:t>
            </w:r>
          </w:hyperlink>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d47crpor4vst">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3.8 Data Analysis Technique</w:t>
            </w:r>
          </w:hyperlink>
          <w:hyperlink w:anchor="_heading=h.d47crpor4vst">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64</w:t>
            </w:r>
          </w:hyperlink>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fphtbdyrqb8u">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Chapter Four: Data Analysis and Results</w:t>
            </w:r>
          </w:hyperlink>
          <w:hyperlink w:anchor="_heading=h.fphtbdyrqb8u">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69</w:t>
            </w:r>
          </w:hyperlink>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fs9ov5pgzxtn">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4.1 Introduction</w:t>
            </w:r>
          </w:hyperlink>
          <w:hyperlink w:anchor="_heading=h.fs9ov5pgzxtn">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69</w:t>
            </w:r>
          </w:hyperlink>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hwa0hhxicz8">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4.2 Data Screening and Preparation</w:t>
            </w:r>
          </w:hyperlink>
          <w:hyperlink w:anchor="_heading=h.hwa0hhxicz8">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69</w:t>
            </w:r>
          </w:hyperlink>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cptixceen2ws">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4.3 Respondents’ Demographic Profile</w:t>
            </w:r>
          </w:hyperlink>
          <w:hyperlink w:anchor="_heading=h.cptixceen2ws">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71</w:t>
            </w:r>
          </w:hyperlink>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punhmj85kqso">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4.4 Measurement Model Evaluation</w:t>
            </w:r>
          </w:hyperlink>
          <w:hyperlink w:anchor="_heading=h.punhmj85kqso">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75</w:t>
            </w:r>
          </w:hyperlink>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wjx383tl2jn">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4.5 Structural Model Evaluation</w:t>
            </w:r>
          </w:hyperlink>
          <w:hyperlink w:anchor="_heading=h.wjx383tl2jn">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80</w:t>
            </w:r>
          </w:hyperlink>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46qh1evp9fpl">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4.6 Discussion of Findings</w:t>
            </w:r>
          </w:hyperlink>
          <w:hyperlink w:anchor="_heading=h.46qh1evp9fpl">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85</w:t>
            </w:r>
          </w:hyperlink>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ew0f3kdihu63">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CHAPTER FIVE: CONCLUSION AND RECOMMENDATIONS</w:t>
            </w:r>
          </w:hyperlink>
          <w:hyperlink w:anchor="_heading=h.ew0f3kdihu63">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92</w:t>
            </w:r>
          </w:hyperlink>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umumhk4kidoi">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5.1 Introduction</w:t>
            </w:r>
          </w:hyperlink>
          <w:hyperlink w:anchor="_heading=h.umumhk4kidoi">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92</w:t>
            </w:r>
          </w:hyperlink>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7i9ejzpi3yxo">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5.2 Summary of Findings</w:t>
            </w:r>
          </w:hyperlink>
          <w:hyperlink w:anchor="_heading=h.7i9ejzpi3yxo">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92</w:t>
            </w:r>
          </w:hyperlink>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fegszohqv52h">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5.3 Theoretical and Practical Implications</w:t>
            </w:r>
          </w:hyperlink>
          <w:hyperlink w:anchor="_heading=h.fegszohqv52h">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94</w:t>
            </w:r>
          </w:hyperlink>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vnyq7943xk59">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5.4 Limitations of the Study</w:t>
            </w:r>
          </w:hyperlink>
          <w:hyperlink w:anchor="_heading=h.vnyq7943xk59">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97</w:t>
            </w:r>
          </w:hyperlink>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vuopoqldtjh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5.5 Recommendations for Future Research and Practice</w:t>
            </w:r>
          </w:hyperlink>
          <w:hyperlink w:anchor="_heading=h.vuopoqldtjh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99</w:t>
            </w:r>
          </w:hyperlink>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837qkkv6iqhi">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References</w:t>
            </w:r>
          </w:hyperlink>
          <w:hyperlink w:anchor="_heading=h.837qkkv6iqhi">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103</w:t>
            </w:r>
          </w:hyperlink>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9jk3mv7yzs22">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Appendixes: </w:t>
            </w:r>
          </w:hyperlink>
          <w:hyperlink w:anchor="_heading=h.9jk3mv7yzs22">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 </w:t>
            </w:r>
          </w:hyperlink>
          <w:hyperlink w:anchor="_heading=h.9jk3mv7yzs22">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Questionnaire</w:t>
            </w:r>
          </w:hyperlink>
          <w:hyperlink w:anchor="_heading=h.9jk3mv7yzs22">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111</w:t>
            </w:r>
          </w:hyperlink>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bidi w:val="1"/>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mmx8g4x9u4wd">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1"/>
              </w:rPr>
              <w:t xml:space="preserve">الملخص</w:t>
            </w:r>
          </w:hyperlink>
          <w:hyperlink w:anchor="_heading=h.mmx8g4x9u4wd">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ab/>
              <w:t xml:space="preserve">116</w:t>
            </w:r>
          </w:hyperlink>
          <w:r w:rsidDel="00000000" w:rsidR="00000000" w:rsidRPr="00000000">
            <w:rPr>
              <w:rtl w:val="0"/>
            </w:rPr>
          </w:r>
        </w:p>
        <w:p w:rsidR="00000000" w:rsidDel="00000000" w:rsidP="00000000" w:rsidRDefault="00000000" w:rsidRPr="00000000" w14:paraId="00000074">
          <w:pPr>
            <w:rPr>
              <w:b w:val="1"/>
              <w:bCs w:val="1"/>
              <w:sz w:val="28"/>
              <w:szCs w:val="28"/>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8"/>
          <w:szCs w:val="28"/>
        </w:rPr>
      </w:pPr>
      <w:r w:rsidDel="00000000" w:rsidR="00000000" w:rsidRPr="00000000">
        <w:rPr>
          <w:rtl w:val="0"/>
        </w:rPr>
      </w:r>
    </w:p>
    <w:sdt>
      <w:sdtPr>
        <w:id w:val="-538652145"/>
        <w:docPartObj>
          <w:docPartGallery w:val="Table of Contents"/>
          <w:docPartUnique w:val="1"/>
        </w:docPartObj>
      </w:sdtPr>
      <w:sdtContent>
        <w:p w:rsidR="00000000" w:rsidDel="00000000" w:rsidP="00000000" w:rsidRDefault="00000000" w:rsidRPr="00000000" w14:paraId="00000076">
          <w:pPr>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88">
      <w:pPr>
        <w:spacing w:after="0" w:line="480" w:lineRule="auto"/>
        <w:rPr>
          <w:b w:val="1"/>
          <w:bCs w:val="1"/>
          <w:sz w:val="32"/>
          <w:szCs w:val="32"/>
        </w:rPr>
      </w:pPr>
      <w:r w:rsidDel="00000000" w:rsidR="00000000" w:rsidRPr="00000000">
        <w:rPr>
          <w:b w:val="1"/>
          <w:bCs w:val="1"/>
          <w:sz w:val="32"/>
          <w:szCs w:val="32"/>
          <w:rtl w:val="0"/>
        </w:rPr>
        <w:t xml:space="preserve">List of figures</w:t>
      </w:r>
    </w:p>
    <w:sdt>
      <w:sdtPr>
        <w:id w:val="236294893"/>
        <w:docPartObj>
          <w:docPartGallery w:val="Table of Contents"/>
          <w:docPartUnique w:val="1"/>
        </w:docPartObj>
      </w:sdtPr>
      <w:sdtContent>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1xqgqcuhlxqb">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Figure 1.1 Measurement Scale</w:t>
              <w:tab/>
              <w:t xml:space="preserve">12</w:t>
            </w:r>
          </w:hyperlink>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a43f8huvabl1">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Figure 4.1: Gender Distribution of Respondents</w:t>
              <w:tab/>
              <w:t xml:space="preserve">73</w:t>
            </w:r>
          </w:hyperlink>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f9r450yq34l0">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Figure 4.2: Age Distribution of Respondents</w:t>
              <w:tab/>
              <w:t xml:space="preserve">74</w:t>
            </w:r>
          </w:hyperlink>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o0zvadl27y2">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Figure 4.3: Education Level Distribution of Respondents</w:t>
              <w:tab/>
              <w:t xml:space="preserve">75</w:t>
            </w:r>
          </w:hyperlink>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bCs w:val="0"/>
              <w:i w:val="0"/>
              <w:iCs w:val="0"/>
              <w:smallCaps w:val="0"/>
              <w:strike w:val="0"/>
              <w:color w:val="0563c1"/>
              <w:sz w:val="24"/>
              <w:szCs w:val="24"/>
              <w:u w:val="single"/>
              <w:shd w:fill="auto" w:val="clear"/>
              <w:vertAlign w:val="baseline"/>
            </w:rPr>
          </w:pPr>
          <w:hyperlink w:anchor="_heading=h.ltbaul4wajl">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Figure 4.4: years of experience Distribution of Respondents</w:t>
              <w:tab/>
              <w:t xml:space="preserve">76</w:t>
            </w:r>
          </w:hyperlink>
          <w:r w:rsidDel="00000000" w:rsidR="00000000" w:rsidRPr="00000000">
            <w:rPr>
              <w:rtl w:val="0"/>
            </w:rPr>
          </w:r>
        </w:p>
        <w:p w:rsidR="00000000" w:rsidDel="00000000" w:rsidP="00000000" w:rsidRDefault="00000000" w:rsidRPr="00000000" w14:paraId="0000008E">
          <w:pPr>
            <w:rPr>
              <w:b w:val="1"/>
              <w:bCs w:val="1"/>
              <w:sz w:val="32"/>
              <w:szCs w:val="32"/>
            </w:rPr>
          </w:pPr>
          <w:r w:rsidDel="00000000" w:rsidR="00000000" w:rsidRPr="00000000">
            <w:rPr>
              <w:b w:val="1"/>
              <w:bCs w:val="1"/>
              <w:sz w:val="32"/>
              <w:szCs w:val="32"/>
              <w:rtl w:val="0"/>
            </w:rPr>
            <w:t xml:space="preserve">List of tables</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l5ucngx03fsu">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Table 2.1: Summary of Prior Empirical Studies (2021–2025)</w:t>
              <w:tab/>
              <w:t xml:space="preserve">46</w:t>
            </w:r>
          </w:hyperlink>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6tblco7btwwf">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Table 3.1: Questionnaire Structure</w:t>
              <w:tab/>
              <w:t xml:space="preserve">57</w:t>
            </w:r>
          </w:hyperlink>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jacextx9ph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Table 3.2: Measurement Scales and Sources</w:t>
              <w:tab/>
              <w:t xml:space="preserve">57</w:t>
            </w:r>
          </w:hyperlink>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z25xkgpcav9h">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Table 3.3: Reliability and Convergent Validity Results</w:t>
              <w:tab/>
              <w:t xml:space="preserve">61</w:t>
            </w:r>
          </w:hyperlink>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bk2rmk86mwk7">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Table 4.1: Respondents’ Demographic Profile</w:t>
              <w:tab/>
              <w:t xml:space="preserve">72</w:t>
            </w:r>
          </w:hyperlink>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46e8bjfcx4j4">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Table 4.2: Construct Reliability and Convergent Validity Results.</w:t>
              <w:tab/>
              <w:t xml:space="preserve">77</w:t>
            </w:r>
          </w:hyperlink>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77yc2939tj">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Table 4.3: Fornell–Larcker Criterion</w:t>
              <w:tab/>
              <w:t xml:space="preserve">79</w:t>
            </w:r>
          </w:hyperlink>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vq1wfigvw9cn">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Table 4.4: HTMT Ratios</w:t>
              <w:tab/>
              <w:t xml:space="preserve">79</w:t>
            </w:r>
          </w:hyperlink>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b6wtaplbqfm8">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Table 4.3: Fornell–Larcker Criterion</w:t>
              <w:tab/>
              <w:t xml:space="preserve">80</w:t>
            </w:r>
          </w:hyperlink>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7sd9di6grxyw">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Table 4.4: HTMT Ratios</w:t>
              <w:tab/>
              <w:t xml:space="preserve">80</w:t>
            </w:r>
          </w:hyperlink>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cks98btjn0cp">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Table 4.5: Structural Model Results and Hypothesis Testing</w:t>
              <w:tab/>
              <w:t xml:space="preserve">82</w:t>
            </w:r>
          </w:hyperlink>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j6axa2a4p2ki">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Table 4.6: Coefficient of Determination (R²) Results</w:t>
              <w:tab/>
              <w:t xml:space="preserve">83</w:t>
            </w:r>
          </w:hyperlink>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rremp1i8panj">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Table 4.7: Effect Size (f²) Results</w:t>
              <w:tab/>
              <w:t xml:space="preserve">84</w:t>
            </w:r>
          </w:hyperlink>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m0sz9fp2tqc">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Table 4.8: Predictive Relevance (Q²) Results</w:t>
              <w:tab/>
              <w:t xml:space="preserve">84</w:t>
            </w:r>
          </w:hyperlink>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6rv53c52v3ax">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Table 4.9: Summary of Hypothesis Results</w:t>
              <w:tab/>
              <w:t xml:space="preserve">85</w:t>
            </w:r>
          </w:hyperlink>
          <w:r w:rsidDel="00000000" w:rsidR="00000000" w:rsidRPr="00000000">
            <w:rPr>
              <w:rtl w:val="0"/>
            </w:rPr>
          </w:r>
        </w:p>
        <w:p w:rsidR="00000000" w:rsidDel="00000000" w:rsidP="00000000" w:rsidRDefault="00000000" w:rsidRPr="00000000" w14:paraId="0000009E">
          <w:pPr>
            <w:spacing w:after="0" w:line="480" w:lineRule="auto"/>
            <w:rPr>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9F">
      <w:pPr>
        <w:spacing w:after="0" w:line="480" w:lineRule="auto"/>
        <w:rPr>
          <w:sz w:val="24"/>
          <w:szCs w:val="24"/>
        </w:rPr>
      </w:pPr>
      <w:r w:rsidDel="00000000" w:rsidR="00000000" w:rsidRPr="00000000">
        <w:rPr>
          <w:rtl w:val="0"/>
        </w:rPr>
      </w:r>
    </w:p>
    <w:p w:rsidR="00000000" w:rsidDel="00000000" w:rsidP="00000000" w:rsidRDefault="00000000" w:rsidRPr="00000000" w14:paraId="000000A0">
      <w:pPr>
        <w:spacing w:after="0" w:line="480" w:lineRule="auto"/>
        <w:rPr>
          <w:sz w:val="24"/>
          <w:szCs w:val="24"/>
        </w:rPr>
      </w:pPr>
      <w:r w:rsidDel="00000000" w:rsidR="00000000" w:rsidRPr="00000000">
        <w:rPr>
          <w:rtl w:val="0"/>
        </w:rPr>
      </w:r>
    </w:p>
    <w:p w:rsidR="00000000" w:rsidDel="00000000" w:rsidP="00000000" w:rsidRDefault="00000000" w:rsidRPr="00000000" w14:paraId="000000A1">
      <w:pPr>
        <w:spacing w:after="0" w:line="480" w:lineRule="auto"/>
        <w:rPr>
          <w:sz w:val="24"/>
          <w:szCs w:val="24"/>
        </w:rPr>
      </w:pPr>
      <w:r w:rsidDel="00000000" w:rsidR="00000000" w:rsidRPr="00000000">
        <w:rPr>
          <w:rtl w:val="0"/>
        </w:rPr>
      </w:r>
    </w:p>
    <w:p w:rsidR="00000000" w:rsidDel="00000000" w:rsidP="00000000" w:rsidRDefault="00000000" w:rsidRPr="00000000" w14:paraId="000000A2">
      <w:pPr>
        <w:spacing w:after="0" w:line="480" w:lineRule="auto"/>
        <w:rPr>
          <w:sz w:val="24"/>
          <w:szCs w:val="24"/>
        </w:rPr>
      </w:pPr>
      <w:r w:rsidDel="00000000" w:rsidR="00000000" w:rsidRPr="00000000">
        <w:rPr>
          <w:rtl w:val="0"/>
        </w:rPr>
      </w:r>
    </w:p>
    <w:p w:rsidR="00000000" w:rsidDel="00000000" w:rsidP="00000000" w:rsidRDefault="00000000" w:rsidRPr="00000000" w14:paraId="000000A3">
      <w:pPr>
        <w:spacing w:after="0" w:line="480" w:lineRule="auto"/>
        <w:rPr>
          <w:sz w:val="24"/>
          <w:szCs w:val="24"/>
        </w:rPr>
        <w:sectPr>
          <w:footerReference r:id="rId9" w:type="default"/>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A4">
      <w:pPr>
        <w:spacing w:line="480" w:lineRule="auto"/>
        <w:rPr>
          <w:b w:val="1"/>
          <w:bCs w:val="1"/>
          <w:sz w:val="36"/>
          <w:szCs w:val="36"/>
        </w:rPr>
      </w:pPr>
      <w:bookmarkStart w:colFirst="0" w:colLast="0" w:name="_heading=h.t36iusy5uqs4" w:id="1"/>
      <w:bookmarkEnd w:id="1"/>
      <w:r w:rsidDel="00000000" w:rsidR="00000000" w:rsidRPr="00000000">
        <w:rPr>
          <w:b w:val="1"/>
          <w:bCs w:val="1"/>
          <w:sz w:val="36"/>
          <w:szCs w:val="36"/>
          <w:rtl w:val="0"/>
        </w:rPr>
        <w:t xml:space="preserve">Chapter one: Introduction</w:t>
      </w:r>
    </w:p>
    <w:p w:rsidR="00000000" w:rsidDel="00000000" w:rsidP="00000000" w:rsidRDefault="00000000" w:rsidRPr="00000000" w14:paraId="000000A5">
      <w:pPr>
        <w:spacing w:line="480" w:lineRule="auto"/>
        <w:rPr>
          <w:sz w:val="24"/>
          <w:szCs w:val="24"/>
        </w:rPr>
      </w:pPr>
      <w:r w:rsidDel="00000000" w:rsidR="00000000" w:rsidRPr="00000000">
        <w:rPr>
          <w:sz w:val="24"/>
          <w:szCs w:val="24"/>
          <w:rtl w:val="0"/>
        </w:rPr>
        <w:t xml:space="preserve">Chapter one: Introduction  </w:t>
      </w:r>
    </w:p>
    <w:p w:rsidR="00000000" w:rsidDel="00000000" w:rsidP="00000000" w:rsidRDefault="00000000" w:rsidRPr="00000000" w14:paraId="000000A6">
      <w:pPr>
        <w:spacing w:line="480" w:lineRule="auto"/>
        <w:rPr>
          <w:sz w:val="24"/>
          <w:szCs w:val="24"/>
        </w:rPr>
      </w:pPr>
      <w:r w:rsidDel="00000000" w:rsidR="00000000" w:rsidRPr="00000000">
        <w:rPr>
          <w:sz w:val="24"/>
          <w:szCs w:val="24"/>
          <w:rtl w:val="0"/>
        </w:rPr>
        <w:t xml:space="preserve">The rise of mobile technologies and artificial intelligence has fundamentally changed consumers’ relationships with digital commerce. Smart shopping apps and smart assistants are now a significant part of the shopping behavior of consumers that offer personalized recommendations and real-time assistance. In the context of conversational commerce, voice-operated devices like Amazon’s Alexa and Google Assistant, determining the motivations driving customer acceptance of these digital technologies is therefore crucial for a firm attempting to penetrate the digital economy (Balakrishnan &amp; Dwivedi, 2024; Aw et al., 2022). The psychological, technological and contextual dimensions of consumer behavior under mobile/voice assisted shopping settings are well covered in the literature. The Technology Acceptance Model (TAM), for instance, has perceived ease of use and usefulness (Davis, 1989; Bagozzi, 2007), however, previous research has emphasized trust and privacy or even anthropomorphism as most significant determinants (Gefen et al., 2003; Blut et al., 2021). Digital voice assistants are also considered more than task automation tools. They are now considered critical strategic touchpoints along consumers’ journey impacting not just their buying decisions but also loyalty to brands and consumer satisfaction (Grewal et al., 2022; Gelbrich et al., 2021)  </w:t>
      </w:r>
    </w:p>
    <w:p w:rsidR="00000000" w:rsidDel="00000000" w:rsidP="00000000" w:rsidRDefault="00000000" w:rsidRPr="00000000" w14:paraId="000000A7">
      <w:pPr>
        <w:spacing w:line="480" w:lineRule="auto"/>
        <w:rPr>
          <w:sz w:val="24"/>
          <w:szCs w:val="24"/>
        </w:rPr>
      </w:pPr>
      <w:r w:rsidDel="00000000" w:rsidR="00000000" w:rsidRPr="00000000">
        <w:rPr>
          <w:sz w:val="24"/>
          <w:szCs w:val="24"/>
          <w:rtl w:val="0"/>
        </w:rPr>
        <w:t xml:space="preserve">Amazon’s introduction of Rufus, a generative AI based conversational shopping assistant, in 2024 was a fresh leap in the utilization of AI in customer experience (Amazon, 2024). These examples show what tools are in reach of consumers and how they create usage behavior in terms of perceived value. Other studies highlight perceived coolness, social influence, and emotional engagement as the main driving forces behind smart assistants adoption (Ashfaq et al., 2021; Fernandes &amp; Oliveira, 2021)  </w:t>
      </w:r>
    </w:p>
    <w:p w:rsidR="00000000" w:rsidDel="00000000" w:rsidP="00000000" w:rsidRDefault="00000000" w:rsidRPr="00000000" w14:paraId="000000A8">
      <w:pPr>
        <w:spacing w:line="480" w:lineRule="auto"/>
        <w:rPr>
          <w:sz w:val="24"/>
          <w:szCs w:val="24"/>
        </w:rPr>
      </w:pPr>
      <w:r w:rsidDel="00000000" w:rsidR="00000000" w:rsidRPr="00000000">
        <w:rPr>
          <w:sz w:val="24"/>
          <w:szCs w:val="24"/>
          <w:rtl w:val="0"/>
        </w:rPr>
        <w:t xml:space="preserve">This study investigates customer engagement and interaction by utilizing mobile commerce apps and shopping voice assistants as a case study. Rooted in theories of motivation of the Technology Acceptance Model (TAM) and S-O-R (Stimulus-Organism-Response) model, this examination considers motivation as a mixture of attitudes, expectations, evaluations, and perceptions in a user’s smart commerce ecosystems (Elgammal et al., 2025; Al-Fraihat et al., 2023). Moreover, the work is supplemented with more recent literature noting the additional complexity involved in the valuation of consumers in the context of mobile and voice commerce (Schultz &amp; Kaiser, 2025).</w:t>
      </w:r>
    </w:p>
    <w:p w:rsidR="00000000" w:rsidDel="00000000" w:rsidP="00000000" w:rsidRDefault="00000000" w:rsidRPr="00000000" w14:paraId="000000A9">
      <w:pPr>
        <w:spacing w:line="480" w:lineRule="auto"/>
        <w:rPr>
          <w:b w:val="1"/>
          <w:bCs w:val="1"/>
          <w:sz w:val="32"/>
          <w:szCs w:val="32"/>
        </w:rPr>
      </w:pPr>
      <w:bookmarkStart w:colFirst="0" w:colLast="0" w:name="_heading=h.brnooh2znbcu" w:id="2"/>
      <w:bookmarkEnd w:id="2"/>
      <w:r w:rsidDel="00000000" w:rsidR="00000000" w:rsidRPr="00000000">
        <w:rPr>
          <w:b w:val="1"/>
          <w:bCs w:val="1"/>
          <w:sz w:val="32"/>
          <w:szCs w:val="32"/>
          <w:rtl w:val="0"/>
        </w:rPr>
        <w:t xml:space="preserve">Problem Statement  </w:t>
      </w:r>
    </w:p>
    <w:p w:rsidR="00000000" w:rsidDel="00000000" w:rsidP="00000000" w:rsidRDefault="00000000" w:rsidRPr="00000000" w14:paraId="000000AA">
      <w:pPr>
        <w:spacing w:line="480" w:lineRule="auto"/>
        <w:rPr>
          <w:sz w:val="24"/>
          <w:szCs w:val="24"/>
        </w:rPr>
      </w:pPr>
      <w:r w:rsidDel="00000000" w:rsidR="00000000" w:rsidRPr="00000000">
        <w:rPr>
          <w:sz w:val="24"/>
          <w:szCs w:val="24"/>
          <w:rtl w:val="0"/>
        </w:rPr>
        <w:t xml:space="preserve">With mobile shopping apps and voice assistants becoming increasingly commonplace in today's shopping landscape, their adoption and continued usage has not been consistent across demographics or geographic regions. Even when adoption barriers like the user experience, convenience, and personalization are addressed, and technologies promise added convenience, users struggle to embrace them due to privacy issues, trust, technological intricacies, lack of value, or several other reasons. Furthermore, frameworks such as the Technology Acceptance Model, or TAM, and Stimulus-Organism-Response, or SOR, do lack insight regarding the blend of mobile commerce alongside voice technologies.   </w:t>
      </w:r>
    </w:p>
    <w:p w:rsidR="00000000" w:rsidDel="00000000" w:rsidP="00000000" w:rsidRDefault="00000000" w:rsidRPr="00000000" w14:paraId="000000AB">
      <w:pPr>
        <w:spacing w:line="480" w:lineRule="auto"/>
        <w:rPr>
          <w:sz w:val="24"/>
          <w:szCs w:val="24"/>
        </w:rPr>
      </w:pPr>
      <w:r w:rsidDel="00000000" w:rsidR="00000000" w:rsidRPr="00000000">
        <w:rPr>
          <w:sz w:val="24"/>
          <w:szCs w:val="24"/>
          <w:rtl w:val="0"/>
        </w:rPr>
        <w:t xml:space="preserve">In addition to these concerns, the recent introduction of AI powered assistants, such as Rufus by Amazon, raises more questions as to how consumers assess and interact with sophisticated shopping interfaces. Existing literature has not sufficiently considered the interplay of social and technological factors and psychology---specifically trust and perceived usefulness---within the intents of behaviors in mobile and conversational commerce.  </w:t>
      </w:r>
    </w:p>
    <w:p w:rsidR="00000000" w:rsidDel="00000000" w:rsidP="00000000" w:rsidRDefault="00000000" w:rsidRPr="00000000" w14:paraId="000000AC">
      <w:pPr>
        <w:spacing w:line="480" w:lineRule="auto"/>
        <w:rPr>
          <w:sz w:val="24"/>
          <w:szCs w:val="24"/>
        </w:rPr>
      </w:pPr>
      <w:r w:rsidDel="00000000" w:rsidR="00000000" w:rsidRPr="00000000">
        <w:rPr>
          <w:sz w:val="24"/>
          <w:szCs w:val="24"/>
          <w:rtl w:val="0"/>
        </w:rPr>
        <w:t xml:space="preserve">This is why the study focuses on the following problem:   </w:t>
      </w:r>
    </w:p>
    <w:p w:rsidR="00000000" w:rsidDel="00000000" w:rsidP="00000000" w:rsidRDefault="00000000" w:rsidRPr="00000000" w14:paraId="000000AD">
      <w:pPr>
        <w:spacing w:line="480" w:lineRule="auto"/>
        <w:rPr>
          <w:sz w:val="24"/>
          <w:szCs w:val="24"/>
        </w:rPr>
      </w:pPr>
      <w:r w:rsidDel="00000000" w:rsidR="00000000" w:rsidRPr="00000000">
        <w:rPr>
          <w:sz w:val="24"/>
          <w:szCs w:val="24"/>
          <w:rtl w:val="0"/>
        </w:rPr>
        <w:t xml:space="preserve">How do voice shopping assistant and mobile shopping applications interact, and what factors in consumer behavior are essential to these applications’ interaction behavior? How do these elements interrelate to influence users' their behavioral adoption and usage?</w:t>
      </w:r>
    </w:p>
    <w:p w:rsidR="00000000" w:rsidDel="00000000" w:rsidP="00000000" w:rsidRDefault="00000000" w:rsidRPr="00000000" w14:paraId="000000AE">
      <w:pPr>
        <w:spacing w:line="480" w:lineRule="auto"/>
        <w:rPr>
          <w:b w:val="1"/>
          <w:bCs w:val="1"/>
          <w:sz w:val="32"/>
          <w:szCs w:val="32"/>
        </w:rPr>
      </w:pPr>
      <w:bookmarkStart w:colFirst="0" w:colLast="0" w:name="_heading=h.ljf2dkbsx42y" w:id="3"/>
      <w:bookmarkEnd w:id="3"/>
      <w:r w:rsidDel="00000000" w:rsidR="00000000" w:rsidRPr="00000000">
        <w:rPr>
          <w:b w:val="1"/>
          <w:bCs w:val="1"/>
          <w:sz w:val="32"/>
          <w:szCs w:val="32"/>
          <w:rtl w:val="0"/>
        </w:rPr>
        <w:t xml:space="preserve">Significance of the Study</w:t>
      </w:r>
    </w:p>
    <w:p w:rsidR="00000000" w:rsidDel="00000000" w:rsidP="00000000" w:rsidRDefault="00000000" w:rsidRPr="00000000" w14:paraId="000000AF">
      <w:pPr>
        <w:spacing w:line="480" w:lineRule="auto"/>
        <w:rPr>
          <w:sz w:val="24"/>
          <w:szCs w:val="24"/>
        </w:rPr>
      </w:pPr>
      <w:r w:rsidDel="00000000" w:rsidR="00000000" w:rsidRPr="00000000">
        <w:rPr>
          <w:sz w:val="24"/>
          <w:szCs w:val="24"/>
          <w:rtl w:val="0"/>
        </w:rPr>
        <w:t xml:space="preserve">This research matters on a variety of dimensions, and as well as a theoretical and practical one. Theoretically it contributes to more abundant literature about mobile consumer shopping applications, investigating voice shopping assistants, one of the newer technologies of e-commerce. Whereas previous studies have examined these technologies in isolation, relatively few studies have addressed their influence on consumer decision-making, perceptions, and behavior. Employing Technology Acceptance Model (TAM) and SOR (Stimulus-Organism-Response) frameworks, this study builds on current research that explores the influence of consumer interactions with smart shopping technologies. This research will yield practical implications for businesses, mobile shopping app developers, and marketers on how to develop a better design, features, marketing, and overall experience of the AI shopping assistants themselves based on the results of this research. Business strategies that could help drive adoption for a better user experience, organizational satisfaction and the visceral loyalty to the organization could thus be based on an understanding of the key determinants of acceptance to include trust, emotional involvement, perceived usefulness, social engagement, collective deemed policies. The study will further explore other expectations of the consumers along with reasons for slow transition to advanced technologies in emerging markets. Thus, this study not only addresses an insufficiency of literature but also fills the gap to design seamless and safe digital shopping experiences that are directly relevant to the ever-evolving habits and behaviors of consumers.</w:t>
      </w:r>
    </w:p>
    <w:p w:rsidR="00000000" w:rsidDel="00000000" w:rsidP="00000000" w:rsidRDefault="00000000" w:rsidRPr="00000000" w14:paraId="000000B0">
      <w:pPr>
        <w:spacing w:line="480" w:lineRule="auto"/>
        <w:rPr>
          <w:b w:val="1"/>
          <w:bCs w:val="1"/>
          <w:sz w:val="32"/>
          <w:szCs w:val="32"/>
        </w:rPr>
      </w:pPr>
      <w:bookmarkStart w:colFirst="0" w:colLast="0" w:name="_heading=h.7yw3fey99x1v" w:id="4"/>
      <w:bookmarkEnd w:id="4"/>
      <w:r w:rsidDel="00000000" w:rsidR="00000000" w:rsidRPr="00000000">
        <w:rPr>
          <w:b w:val="1"/>
          <w:bCs w:val="1"/>
          <w:sz w:val="32"/>
          <w:szCs w:val="32"/>
          <w:rtl w:val="0"/>
        </w:rPr>
        <w:t xml:space="preserve">Research Objectives  </w:t>
      </w:r>
    </w:p>
    <w:p w:rsidR="00000000" w:rsidDel="00000000" w:rsidP="00000000" w:rsidRDefault="00000000" w:rsidRPr="00000000" w14:paraId="000000B1">
      <w:pPr>
        <w:spacing w:line="480" w:lineRule="auto"/>
        <w:rPr>
          <w:sz w:val="24"/>
          <w:szCs w:val="24"/>
        </w:rPr>
      </w:pPr>
      <w:r w:rsidDel="00000000" w:rsidR="00000000" w:rsidRPr="00000000">
        <w:rPr>
          <w:sz w:val="24"/>
          <w:szCs w:val="24"/>
          <w:rtl w:val="0"/>
        </w:rPr>
        <w:t xml:space="preserve">The scope of this study revolves around investigating the determinants of consumer attitude toward shopping on mobile applications and the use of digital voice assistants. In particular, this study will:  </w:t>
      </w:r>
    </w:p>
    <w:p w:rsidR="00000000" w:rsidDel="00000000" w:rsidP="00000000" w:rsidRDefault="00000000" w:rsidRPr="00000000" w14:paraId="000000B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Identify the key psychological, technological, as well as social factors impacting the consumer adoption for shopping applications and AI-driven voice assistants.  </w:t>
      </w:r>
    </w:p>
    <w:p w:rsidR="00000000" w:rsidDel="00000000" w:rsidP="00000000" w:rsidRDefault="00000000" w:rsidRPr="00000000" w14:paraId="000000B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Analyze the relationships between usefulness, ease of use, trust and user attitudes toward smart shopping technologies.  </w:t>
      </w:r>
    </w:p>
    <w:p w:rsidR="00000000" w:rsidDel="00000000" w:rsidP="00000000" w:rsidRDefault="00000000" w:rsidRPr="00000000" w14:paraId="000000B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Explore the impact of emotional engagement, perceived value, and social impact on consumers’ intention behavior to use mobile and conversational commerce.  </w:t>
      </w:r>
    </w:p>
    <w:p w:rsidR="00000000" w:rsidDel="00000000" w:rsidP="00000000" w:rsidRDefault="00000000" w:rsidRPr="00000000" w14:paraId="000000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Implement and analyze relevant theoretical frameworks (for example TAM and SOR) concerning mobile and voice-assisted shopping.  </w:t>
      </w:r>
    </w:p>
    <w:p w:rsidR="00000000" w:rsidDel="00000000" w:rsidP="00000000" w:rsidRDefault="00000000" w:rsidRPr="00000000" w14:paraId="000000B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Formulate actionable strategies for businesses and application developers focused on enhancing user engagement, satisfaction, and loyalty within online shopping platforms.</w:t>
      </w:r>
    </w:p>
    <w:p w:rsidR="00000000" w:rsidDel="00000000" w:rsidP="00000000" w:rsidRDefault="00000000" w:rsidRPr="00000000" w14:paraId="000000B7">
      <w:pPr>
        <w:spacing w:line="480" w:lineRule="auto"/>
        <w:rPr>
          <w:b w:val="1"/>
          <w:bCs w:val="1"/>
          <w:sz w:val="32"/>
          <w:szCs w:val="32"/>
        </w:rPr>
      </w:pPr>
      <w:bookmarkStart w:colFirst="0" w:colLast="0" w:name="_heading=h.dy35asjpxjeb" w:id="5"/>
      <w:bookmarkEnd w:id="5"/>
      <w:r w:rsidDel="00000000" w:rsidR="00000000" w:rsidRPr="00000000">
        <w:rPr>
          <w:b w:val="1"/>
          <w:bCs w:val="1"/>
          <w:sz w:val="32"/>
          <w:szCs w:val="32"/>
          <w:rtl w:val="0"/>
        </w:rPr>
        <w:t xml:space="preserve">Research Questions</w:t>
      </w:r>
    </w:p>
    <w:p w:rsidR="00000000" w:rsidDel="00000000" w:rsidP="00000000" w:rsidRDefault="00000000" w:rsidRPr="00000000" w14:paraId="000000B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Which primary drivers shape shopper engagement with mobile apps for shopping and voice-activated shopping assistants?  </w:t>
      </w:r>
    </w:p>
    <w:p w:rsidR="00000000" w:rsidDel="00000000" w:rsidP="00000000" w:rsidRDefault="00000000" w:rsidRPr="00000000" w14:paraId="000000B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In what ways do usefulness, ease of use, and trust impact shopping technologies attitude and intention among consumers of different demographics?  </w:t>
      </w:r>
    </w:p>
    <w:p w:rsidR="00000000" w:rsidDel="00000000" w:rsidP="00000000" w:rsidRDefault="00000000" w:rsidRPr="00000000" w14:paraId="000000B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How significant are emotional engagement and perceived value with regard to the adoption of mobile and voice assisted commerce?  </w:t>
      </w:r>
    </w:p>
    <w:p w:rsidR="00000000" w:rsidDel="00000000" w:rsidP="00000000" w:rsidRDefault="00000000" w:rsidRPr="00000000" w14:paraId="000000B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In what manner do social factors impact consumer decision-making and preferences in mobile and conversational commerce? </w:t>
      </w:r>
    </w:p>
    <w:p w:rsidR="00000000" w:rsidDel="00000000" w:rsidP="00000000" w:rsidRDefault="00000000" w:rsidRPr="00000000" w14:paraId="000000B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480" w:lineRule="auto"/>
        <w:ind w:left="720" w:right="0" w:hanging="36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How well do the Technology Acceptance Model (TAM) and the Stimulus-Organism-Response (SOR) models explain ecommerce consumer behavior?</w:t>
      </w:r>
    </w:p>
    <w:p w:rsidR="00000000" w:rsidDel="00000000" w:rsidP="00000000" w:rsidRDefault="00000000" w:rsidRPr="00000000" w14:paraId="000000BD">
      <w:pPr>
        <w:spacing w:line="480" w:lineRule="auto"/>
        <w:rPr>
          <w:b w:val="1"/>
          <w:bCs w:val="1"/>
          <w:sz w:val="32"/>
          <w:szCs w:val="32"/>
        </w:rPr>
      </w:pPr>
      <w:bookmarkStart w:colFirst="0" w:colLast="0" w:name="_heading=h.a6mrd28kqybt" w:id="6"/>
      <w:bookmarkEnd w:id="6"/>
      <w:r w:rsidDel="00000000" w:rsidR="00000000" w:rsidRPr="00000000">
        <w:rPr>
          <w:b w:val="1"/>
          <w:bCs w:val="1"/>
          <w:sz w:val="32"/>
          <w:szCs w:val="32"/>
          <w:rtl w:val="0"/>
        </w:rPr>
        <w:t xml:space="preserve">Research Hypotheses</w:t>
      </w:r>
    </w:p>
    <w:p w:rsidR="00000000" w:rsidDel="00000000" w:rsidP="00000000" w:rsidRDefault="00000000" w:rsidRPr="00000000" w14:paraId="000000BE">
      <w:pPr>
        <w:spacing w:line="480" w:lineRule="auto"/>
        <w:rPr>
          <w:sz w:val="24"/>
          <w:szCs w:val="24"/>
        </w:rPr>
      </w:pPr>
      <w:r w:rsidDel="00000000" w:rsidR="00000000" w:rsidRPr="00000000">
        <w:rPr>
          <w:sz w:val="24"/>
          <w:szCs w:val="24"/>
          <w:rtl w:val="0"/>
        </w:rPr>
        <w:t xml:space="preserve">Drawing from the literature as well as the research objectives, the following hypotheses are formulated:</w:t>
      </w:r>
    </w:p>
    <w:p w:rsidR="00000000" w:rsidDel="00000000" w:rsidP="00000000" w:rsidRDefault="00000000" w:rsidRPr="00000000" w14:paraId="000000BF">
      <w:pPr>
        <w:spacing w:line="480" w:lineRule="auto"/>
        <w:rPr>
          <w:sz w:val="24"/>
          <w:szCs w:val="24"/>
        </w:rPr>
      </w:pPr>
      <w:r w:rsidDel="00000000" w:rsidR="00000000" w:rsidRPr="00000000">
        <w:rPr>
          <w:b w:val="1"/>
          <w:bCs w:val="1"/>
          <w:sz w:val="24"/>
          <w:szCs w:val="24"/>
          <w:rtl w:val="0"/>
        </w:rPr>
        <w:t xml:space="preserve">H1:</w:t>
      </w:r>
      <w:r w:rsidDel="00000000" w:rsidR="00000000" w:rsidRPr="00000000">
        <w:rPr>
          <w:sz w:val="24"/>
          <w:szCs w:val="24"/>
          <w:rtl w:val="0"/>
        </w:rPr>
        <w:t xml:space="preserve"> The perception of usefulness mobile shopping applications and voice assistants offer will significantly enhance consumers’ intention to use them.</w:t>
      </w:r>
    </w:p>
    <w:p w:rsidR="00000000" w:rsidDel="00000000" w:rsidP="00000000" w:rsidRDefault="00000000" w:rsidRPr="00000000" w14:paraId="000000C0">
      <w:pPr>
        <w:spacing w:line="480" w:lineRule="auto"/>
        <w:rPr>
          <w:sz w:val="24"/>
          <w:szCs w:val="24"/>
        </w:rPr>
      </w:pPr>
      <w:r w:rsidDel="00000000" w:rsidR="00000000" w:rsidRPr="00000000">
        <w:rPr>
          <w:b w:val="1"/>
          <w:bCs w:val="1"/>
          <w:sz w:val="24"/>
          <w:szCs w:val="24"/>
          <w:rtl w:val="0"/>
        </w:rPr>
        <w:t xml:space="preserve">H2:</w:t>
      </w:r>
      <w:r w:rsidDel="00000000" w:rsidR="00000000" w:rsidRPr="00000000">
        <w:rPr>
          <w:sz w:val="24"/>
          <w:szCs w:val="24"/>
          <w:rtl w:val="0"/>
        </w:rPr>
        <w:t xml:space="preserve"> A positive perception of ease of use significantly influences how consumers form attitudes toward the adoption of smart shopping technologies.</w:t>
      </w:r>
    </w:p>
    <w:p w:rsidR="00000000" w:rsidDel="00000000" w:rsidP="00000000" w:rsidRDefault="00000000" w:rsidRPr="00000000" w14:paraId="000000C1">
      <w:pPr>
        <w:spacing w:line="480" w:lineRule="auto"/>
        <w:rPr>
          <w:sz w:val="24"/>
          <w:szCs w:val="24"/>
        </w:rPr>
      </w:pPr>
      <w:r w:rsidDel="00000000" w:rsidR="00000000" w:rsidRPr="00000000">
        <w:rPr>
          <w:b w:val="1"/>
          <w:bCs w:val="1"/>
          <w:sz w:val="24"/>
          <w:szCs w:val="24"/>
          <w:rtl w:val="0"/>
        </w:rPr>
        <w:t xml:space="preserve">H3:</w:t>
      </w:r>
      <w:r w:rsidDel="00000000" w:rsidR="00000000" w:rsidRPr="00000000">
        <w:rPr>
          <w:sz w:val="24"/>
          <w:szCs w:val="24"/>
          <w:rtl w:val="0"/>
        </w:rPr>
        <w:t xml:space="preserve"> Users’ trust towards mobile applications and voice assistants greatly influences their behavioral intention to use these technologies.</w:t>
      </w:r>
    </w:p>
    <w:p w:rsidR="00000000" w:rsidDel="00000000" w:rsidP="00000000" w:rsidRDefault="00000000" w:rsidRPr="00000000" w14:paraId="000000C2">
      <w:pPr>
        <w:spacing w:line="480" w:lineRule="auto"/>
        <w:rPr>
          <w:sz w:val="24"/>
          <w:szCs w:val="24"/>
        </w:rPr>
      </w:pPr>
      <w:r w:rsidDel="00000000" w:rsidR="00000000" w:rsidRPr="00000000">
        <w:rPr>
          <w:b w:val="1"/>
          <w:bCs w:val="1"/>
          <w:sz w:val="24"/>
          <w:szCs w:val="24"/>
          <w:rtl w:val="0"/>
        </w:rPr>
        <w:t xml:space="preserve">H4:</w:t>
      </w:r>
      <w:r w:rsidDel="00000000" w:rsidR="00000000" w:rsidRPr="00000000">
        <w:rPr>
          <w:sz w:val="24"/>
          <w:szCs w:val="24"/>
          <w:rtl w:val="0"/>
        </w:rPr>
        <w:t xml:space="preserve"> The likelihood of continued usage is influenced positively by emotional engagement with the shopping platform.</w:t>
      </w:r>
    </w:p>
    <w:p w:rsidR="00000000" w:rsidDel="00000000" w:rsidP="00000000" w:rsidRDefault="00000000" w:rsidRPr="00000000" w14:paraId="000000C3">
      <w:pPr>
        <w:spacing w:line="480" w:lineRule="auto"/>
        <w:rPr>
          <w:sz w:val="24"/>
          <w:szCs w:val="24"/>
        </w:rPr>
      </w:pPr>
      <w:r w:rsidDel="00000000" w:rsidR="00000000" w:rsidRPr="00000000">
        <w:rPr>
          <w:b w:val="1"/>
          <w:bCs w:val="1"/>
          <w:sz w:val="24"/>
          <w:szCs w:val="24"/>
          <w:rtl w:val="0"/>
        </w:rPr>
        <w:t xml:space="preserve">H5:</w:t>
      </w:r>
      <w:r w:rsidDel="00000000" w:rsidR="00000000" w:rsidRPr="00000000">
        <w:rPr>
          <w:sz w:val="24"/>
          <w:szCs w:val="24"/>
          <w:rtl w:val="0"/>
        </w:rPr>
        <w:t xml:space="preserve"> Technological features such as usability and personalization influence user satisfaction through perceived value.</w:t>
      </w:r>
    </w:p>
    <w:p w:rsidR="00000000" w:rsidDel="00000000" w:rsidP="00000000" w:rsidRDefault="00000000" w:rsidRPr="00000000" w14:paraId="000000C4">
      <w:pPr>
        <w:spacing w:line="480" w:lineRule="auto"/>
        <w:rPr>
          <w:sz w:val="24"/>
          <w:szCs w:val="24"/>
        </w:rPr>
      </w:pPr>
      <w:r w:rsidDel="00000000" w:rsidR="00000000" w:rsidRPr="00000000">
        <w:rPr>
          <w:b w:val="1"/>
          <w:bCs w:val="1"/>
          <w:sz w:val="24"/>
          <w:szCs w:val="24"/>
          <w:rtl w:val="0"/>
        </w:rPr>
        <w:t xml:space="preserve">H6:</w:t>
      </w:r>
      <w:r w:rsidDel="00000000" w:rsidR="00000000" w:rsidRPr="00000000">
        <w:rPr>
          <w:sz w:val="24"/>
          <w:szCs w:val="24"/>
          <w:rtl w:val="0"/>
        </w:rPr>
        <w:t xml:space="preserve"> Social impact substantially affects consumers’ decisions regarding the adoption of mobile and voice shopping assistants.</w:t>
      </w:r>
    </w:p>
    <w:p w:rsidR="00000000" w:rsidDel="00000000" w:rsidP="00000000" w:rsidRDefault="00000000" w:rsidRPr="00000000" w14:paraId="000000C5">
      <w:pPr>
        <w:spacing w:line="480" w:lineRule="auto"/>
        <w:rPr>
          <w:sz w:val="24"/>
          <w:szCs w:val="24"/>
        </w:rPr>
      </w:pPr>
      <w:r w:rsidDel="00000000" w:rsidR="00000000" w:rsidRPr="00000000">
        <w:rPr>
          <w:b w:val="1"/>
          <w:bCs w:val="1"/>
          <w:sz w:val="24"/>
          <w:szCs w:val="24"/>
          <w:rtl w:val="0"/>
        </w:rPr>
        <w:t xml:space="preserve">H7:</w:t>
      </w:r>
      <w:r w:rsidDel="00000000" w:rsidR="00000000" w:rsidRPr="00000000">
        <w:rPr>
          <w:sz w:val="24"/>
          <w:szCs w:val="24"/>
          <w:rtl w:val="0"/>
        </w:rPr>
        <w:t xml:space="preserve"> Use of both Technology Acceptance Model (TAM) and the Stimulus-Organism-Response (SOR) framework provides strong predictive power for consumer behavior in mobile and conversational commerce contexts.</w:t>
      </w:r>
    </w:p>
    <w:p w:rsidR="00000000" w:rsidDel="00000000" w:rsidP="00000000" w:rsidRDefault="00000000" w:rsidRPr="00000000" w14:paraId="000000C6">
      <w:pPr>
        <w:spacing w:line="480" w:lineRule="auto"/>
        <w:rPr>
          <w:b w:val="1"/>
          <w:bCs w:val="1"/>
          <w:sz w:val="32"/>
          <w:szCs w:val="32"/>
        </w:rPr>
      </w:pPr>
      <w:bookmarkStart w:colFirst="0" w:colLast="0" w:name="_heading=h.g5aai49gnsyn" w:id="7"/>
      <w:bookmarkEnd w:id="7"/>
      <w:r w:rsidDel="00000000" w:rsidR="00000000" w:rsidRPr="00000000">
        <w:rPr>
          <w:b w:val="1"/>
          <w:bCs w:val="1"/>
          <w:sz w:val="32"/>
          <w:szCs w:val="32"/>
          <w:rtl w:val="0"/>
        </w:rPr>
        <w:t xml:space="preserve">Literature Review</w:t>
      </w:r>
    </w:p>
    <w:p w:rsidR="00000000" w:rsidDel="00000000" w:rsidP="00000000" w:rsidRDefault="00000000" w:rsidRPr="00000000" w14:paraId="000000C7">
      <w:pPr>
        <w:spacing w:line="480" w:lineRule="auto"/>
        <w:rPr>
          <w:sz w:val="24"/>
          <w:szCs w:val="24"/>
        </w:rPr>
      </w:pPr>
      <w:r w:rsidDel="00000000" w:rsidR="00000000" w:rsidRPr="00000000">
        <w:rPr>
          <w:sz w:val="24"/>
          <w:szCs w:val="24"/>
          <w:rtl w:val="0"/>
        </w:rPr>
        <w:t xml:space="preserve">Davis (1989) introduced the Technology Acceptance Model (TAM) to explain user adoption of new technologies with two constructs: perceived usefulness and perceived ease of use. Later, in 2007, Bagozzi extended this model advocating for a more holistic approach that included additional motivational and social factors. </w:t>
      </w:r>
    </w:p>
    <w:p w:rsidR="00000000" w:rsidDel="00000000" w:rsidP="00000000" w:rsidRDefault="00000000" w:rsidRPr="00000000" w14:paraId="000000C8">
      <w:pPr>
        <w:spacing w:line="480" w:lineRule="auto"/>
        <w:rPr>
          <w:sz w:val="24"/>
          <w:szCs w:val="24"/>
        </w:rPr>
      </w:pPr>
      <w:r w:rsidDel="00000000" w:rsidR="00000000" w:rsidRPr="00000000">
        <w:rPr>
          <w:sz w:val="24"/>
          <w:szCs w:val="24"/>
          <w:rtl w:val="0"/>
        </w:rPr>
        <w:t xml:space="preserve">In the case of online trust, Gefen, Karahanna, and Straub (2003) developed an integrated model of TAM and trust theory, proving that trust is a strong determinant of a consumer’s willingness to participate in online shopping activities. </w:t>
      </w:r>
    </w:p>
    <w:p w:rsidR="00000000" w:rsidDel="00000000" w:rsidP="00000000" w:rsidRDefault="00000000" w:rsidRPr="00000000" w14:paraId="000000C9">
      <w:pPr>
        <w:spacing w:line="480" w:lineRule="auto"/>
        <w:rPr>
          <w:sz w:val="24"/>
          <w:szCs w:val="24"/>
        </w:rPr>
      </w:pPr>
      <w:r w:rsidDel="00000000" w:rsidR="00000000" w:rsidRPr="00000000">
        <w:rPr>
          <w:sz w:val="24"/>
          <w:szCs w:val="24"/>
          <w:rtl w:val="0"/>
        </w:rPr>
        <w:t xml:space="preserve">Assarut and Eiamkanchanalai (2015) studying the adoption of mobile commerce found that personal attributes as well as values related to consumption significantly impact behavioral intentions toward shopping via mobile devices. In the same line of thinking, Elgammal et al. (2025) used the Stimulus-Organism-Response (SOR) framework and argued that mobile commerce ubiquity directly enhances user engagement as long as product reputation and brand trust mediate the effect. </w:t>
      </w:r>
    </w:p>
    <w:p w:rsidR="00000000" w:rsidDel="00000000" w:rsidP="00000000" w:rsidRDefault="00000000" w:rsidRPr="00000000" w14:paraId="000000CA">
      <w:pPr>
        <w:spacing w:line="480" w:lineRule="auto"/>
        <w:rPr>
          <w:sz w:val="24"/>
          <w:szCs w:val="24"/>
        </w:rPr>
      </w:pPr>
      <w:r w:rsidDel="00000000" w:rsidR="00000000" w:rsidRPr="00000000">
        <w:rPr>
          <w:sz w:val="24"/>
          <w:szCs w:val="24"/>
          <w:rtl w:val="0"/>
        </w:rPr>
        <w:t xml:space="preserve">Gross (2017) looked in detail at shopping through mobile devices, focusing on the relationship between technological comfort, usability, and continued engagement among the digitally active population.</w:t>
      </w:r>
    </w:p>
    <w:p w:rsidR="00000000" w:rsidDel="00000000" w:rsidP="00000000" w:rsidRDefault="00000000" w:rsidRPr="00000000" w14:paraId="000000CB">
      <w:pPr>
        <w:spacing w:line="480" w:lineRule="auto"/>
        <w:rPr>
          <w:sz w:val="24"/>
          <w:szCs w:val="24"/>
        </w:rPr>
      </w:pPr>
      <w:r w:rsidDel="00000000" w:rsidR="00000000" w:rsidRPr="00000000">
        <w:rPr>
          <w:sz w:val="24"/>
          <w:szCs w:val="24"/>
          <w:rtl w:val="0"/>
        </w:rPr>
        <w:t xml:space="preserve">Concerning digital voice assistants, Aw et al. (2022) noted that products like Alexa improve customer experience greatly by providing immediate assistance, resulting in better brand engagement. In relation to smart speaker adoption, Ashfaq, Yun, and Yu (2021) noted that perceived coolness and emotional value are strong predictors of user attitude.  </w:t>
      </w:r>
    </w:p>
    <w:p w:rsidR="00000000" w:rsidDel="00000000" w:rsidP="00000000" w:rsidRDefault="00000000" w:rsidRPr="00000000" w14:paraId="000000CC">
      <w:pPr>
        <w:spacing w:line="480" w:lineRule="auto"/>
        <w:rPr>
          <w:sz w:val="24"/>
          <w:szCs w:val="24"/>
        </w:rPr>
      </w:pPr>
      <w:r w:rsidDel="00000000" w:rsidR="00000000" w:rsidRPr="00000000">
        <w:rPr>
          <w:sz w:val="24"/>
          <w:szCs w:val="24"/>
          <w:rtl w:val="0"/>
        </w:rPr>
        <w:t xml:space="preserve">Fernandes and Oliveira (2021) further noted that automation of service encounters using voice assistants enhance customer satisfaction for users who appreciate high intelligence and responsiveness of a system.  </w:t>
      </w:r>
    </w:p>
    <w:p w:rsidR="00000000" w:rsidDel="00000000" w:rsidP="00000000" w:rsidRDefault="00000000" w:rsidRPr="00000000" w14:paraId="000000CD">
      <w:pPr>
        <w:spacing w:line="480" w:lineRule="auto"/>
        <w:rPr>
          <w:sz w:val="24"/>
          <w:szCs w:val="24"/>
        </w:rPr>
      </w:pPr>
      <w:r w:rsidDel="00000000" w:rsidR="00000000" w:rsidRPr="00000000">
        <w:rPr>
          <w:sz w:val="24"/>
          <w:szCs w:val="24"/>
          <w:rtl w:val="0"/>
        </w:rPr>
        <w:t xml:space="preserve">In more recent work, Schultz and Kaiser (2025) explored mobile and conversational commerce analyzing consumer value dimensions alongside mobile and conversational commerce, stressing the importance of interactivity and customization and perceived control as key elements informing customers' value.  </w:t>
      </w:r>
    </w:p>
    <w:p w:rsidR="00000000" w:rsidDel="00000000" w:rsidP="00000000" w:rsidRDefault="00000000" w:rsidRPr="00000000" w14:paraId="000000CE">
      <w:pPr>
        <w:spacing w:line="480" w:lineRule="auto"/>
        <w:rPr>
          <w:sz w:val="24"/>
          <w:szCs w:val="24"/>
        </w:rPr>
      </w:pPr>
      <w:r w:rsidDel="00000000" w:rsidR="00000000" w:rsidRPr="00000000">
        <w:rPr>
          <w:sz w:val="24"/>
          <w:szCs w:val="24"/>
          <w:rtl w:val="0"/>
        </w:rPr>
        <w:t xml:space="preserve">Also considering the adoption of smart voice assistants from a complexity theory perspective, Al-Fraihat, Alzaidi, and Joy (2023) proposed that multi-dimensional non-linear behavioral patterns drive the adoption, especially where shopping tasks are high on cognitive complexity.  </w:t>
      </w:r>
    </w:p>
    <w:p w:rsidR="00000000" w:rsidDel="00000000" w:rsidP="00000000" w:rsidRDefault="00000000" w:rsidRPr="00000000" w14:paraId="000000CF">
      <w:pPr>
        <w:spacing w:line="480" w:lineRule="auto"/>
        <w:rPr>
          <w:sz w:val="24"/>
          <w:szCs w:val="24"/>
        </w:rPr>
      </w:pPr>
      <w:r w:rsidDel="00000000" w:rsidR="00000000" w:rsidRPr="00000000">
        <w:rPr>
          <w:sz w:val="24"/>
          <w:szCs w:val="24"/>
          <w:rtl w:val="0"/>
        </w:rPr>
        <w:t xml:space="preserve">The practical example of recent academic work, especially concerning natural language processing and real-time personalization, is the 2024 Amazon release of Rufus, an AI conversational assistant, which reflects the theoretical insights discussed (Amazon, 2024).</w:t>
      </w:r>
    </w:p>
    <w:p w:rsidR="00000000" w:rsidDel="00000000" w:rsidP="00000000" w:rsidRDefault="00000000" w:rsidRPr="00000000" w14:paraId="000000D0">
      <w:pPr>
        <w:spacing w:line="480" w:lineRule="auto"/>
        <w:rPr>
          <w:sz w:val="24"/>
          <w:szCs w:val="24"/>
        </w:rPr>
      </w:pPr>
      <w:r w:rsidDel="00000000" w:rsidR="00000000" w:rsidRPr="00000000">
        <w:rPr>
          <w:sz w:val="24"/>
          <w:szCs w:val="24"/>
          <w:rtl w:val="0"/>
        </w:rPr>
        <w:t xml:space="preserve">At long last, Blut, Wünderlich, and Brock (2024) performed a meta-analysis, revealing that customer satisfaction, frequency of usage, and loyalty after interactions are significantly enhanced by anthropomorphism, intelligence, and task-fit of virtual assistants.</w:t>
      </w:r>
    </w:p>
    <w:p w:rsidR="00000000" w:rsidDel="00000000" w:rsidP="00000000" w:rsidRDefault="00000000" w:rsidRPr="00000000" w14:paraId="000000D1">
      <w:pPr>
        <w:spacing w:line="480" w:lineRule="auto"/>
        <w:rPr>
          <w:b w:val="1"/>
          <w:bCs w:val="1"/>
          <w:sz w:val="32"/>
          <w:szCs w:val="32"/>
        </w:rPr>
      </w:pPr>
      <w:bookmarkStart w:colFirst="0" w:colLast="0" w:name="_heading=h.drlpjhtzh4ug" w:id="8"/>
      <w:bookmarkEnd w:id="8"/>
      <w:r w:rsidDel="00000000" w:rsidR="00000000" w:rsidRPr="00000000">
        <w:rPr>
          <w:b w:val="1"/>
          <w:bCs w:val="1"/>
          <w:sz w:val="32"/>
          <w:szCs w:val="32"/>
          <w:rtl w:val="0"/>
        </w:rPr>
        <w:t xml:space="preserve">Theoretical Foundations of the Study</w:t>
      </w:r>
    </w:p>
    <w:p w:rsidR="00000000" w:rsidDel="00000000" w:rsidP="00000000" w:rsidRDefault="00000000" w:rsidRPr="00000000" w14:paraId="000000D2">
      <w:pPr>
        <w:spacing w:line="480" w:lineRule="auto"/>
        <w:rPr>
          <w:sz w:val="24"/>
          <w:szCs w:val="24"/>
        </w:rPr>
      </w:pPr>
      <w:r w:rsidDel="00000000" w:rsidR="00000000" w:rsidRPr="00000000">
        <w:rPr>
          <w:sz w:val="24"/>
          <w:szCs w:val="24"/>
          <w:rtl w:val="0"/>
        </w:rPr>
        <w:t xml:space="preserve">This study relies on two key models which are widely used to underpin the behavioral dimensions of technology adoption: Technology Acceptance Model (TAM) and the Stimulus Organism Response (SOR) framework.  </w:t>
      </w:r>
    </w:p>
    <w:p w:rsidR="00000000" w:rsidDel="00000000" w:rsidP="00000000" w:rsidRDefault="00000000" w:rsidRPr="00000000" w14:paraId="000000D3">
      <w:pPr>
        <w:spacing w:line="480" w:lineRule="auto"/>
        <w:rPr>
          <w:b w:val="1"/>
          <w:bCs w:val="1"/>
          <w:sz w:val="24"/>
          <w:szCs w:val="24"/>
        </w:rPr>
      </w:pPr>
      <w:r w:rsidDel="00000000" w:rsidR="00000000" w:rsidRPr="00000000">
        <w:rPr>
          <w:b w:val="1"/>
          <w:bCs w:val="1"/>
          <w:sz w:val="24"/>
          <w:szCs w:val="24"/>
          <w:rtl w:val="0"/>
        </w:rPr>
        <w:t xml:space="preserve">Technology Acceptance Model (TAM)</w:t>
      </w:r>
    </w:p>
    <w:p w:rsidR="00000000" w:rsidDel="00000000" w:rsidP="00000000" w:rsidRDefault="00000000" w:rsidRPr="00000000" w14:paraId="000000D4">
      <w:pPr>
        <w:spacing w:line="480" w:lineRule="auto"/>
        <w:rPr>
          <w:sz w:val="24"/>
          <w:szCs w:val="24"/>
        </w:rPr>
      </w:pPr>
      <w:r w:rsidDel="00000000" w:rsidR="00000000" w:rsidRPr="00000000">
        <w:rPr>
          <w:sz w:val="24"/>
          <w:szCs w:val="24"/>
          <w:rtl w:val="0"/>
        </w:rPr>
        <w:t xml:space="preserve">One of the most notable models for forecasting and explaining user behavior in information systems remains the Technology Acceptance Model, introduced by Davis in 1989. It argues that a user’s intention to accept and use a technology is driven by two factors; its perceived usefulness (PU) and perceived ease of use (PEOU)</w:t>
      </w:r>
    </w:p>
    <w:p w:rsidR="00000000" w:rsidDel="00000000" w:rsidP="00000000" w:rsidRDefault="00000000" w:rsidRPr="00000000" w14:paraId="000000D5">
      <w:pPr>
        <w:spacing w:line="480" w:lineRule="auto"/>
        <w:rPr>
          <w:sz w:val="24"/>
          <w:szCs w:val="24"/>
        </w:rPr>
      </w:pPr>
      <w:r w:rsidDel="00000000" w:rsidR="00000000" w:rsidRPr="00000000">
        <w:rPr>
          <w:sz w:val="24"/>
          <w:szCs w:val="24"/>
          <w:rtl w:val="0"/>
        </w:rPr>
        <w:t xml:space="preserve">TAM has been adjusted to mobile shopping and voice assistants and used in multiple studies (Bagozzi, 2007; Gefen et al., 2003; Fernandes &amp; Oliveira, 2021) to analyze how users embrace smarter interfaces based on their functionality and ease of use.  </w:t>
      </w:r>
    </w:p>
    <w:p w:rsidR="00000000" w:rsidDel="00000000" w:rsidP="00000000" w:rsidRDefault="00000000" w:rsidRPr="00000000" w14:paraId="000000D6">
      <w:pPr>
        <w:spacing w:line="480" w:lineRule="auto"/>
        <w:rPr>
          <w:b w:val="1"/>
          <w:bCs w:val="1"/>
          <w:sz w:val="24"/>
          <w:szCs w:val="24"/>
        </w:rPr>
      </w:pPr>
      <w:r w:rsidDel="00000000" w:rsidR="00000000" w:rsidRPr="00000000">
        <w:rPr>
          <w:b w:val="1"/>
          <w:bCs w:val="1"/>
          <w:sz w:val="24"/>
          <w:szCs w:val="24"/>
          <w:rtl w:val="0"/>
        </w:rPr>
        <w:t xml:space="preserve">Stimulus-Organism-Response (SOR) Framework  </w:t>
      </w:r>
    </w:p>
    <w:p w:rsidR="00000000" w:rsidDel="00000000" w:rsidP="00000000" w:rsidRDefault="00000000" w:rsidRPr="00000000" w14:paraId="000000D7">
      <w:pPr>
        <w:spacing w:line="480" w:lineRule="auto"/>
        <w:rPr>
          <w:sz w:val="24"/>
          <w:szCs w:val="24"/>
        </w:rPr>
      </w:pPr>
      <w:r w:rsidDel="00000000" w:rsidR="00000000" w:rsidRPr="00000000">
        <w:rPr>
          <w:sz w:val="24"/>
          <w:szCs w:val="24"/>
          <w:rtl w:val="0"/>
        </w:rPr>
        <w:t xml:space="preserve">Originating from environmental psychology, SOR explains how designed external stimulus (app features or a voice assistant's responsiveness) impacts internal organism processes (trust, emotions, and other mental evaluations) that subsequently result in behavior outcomes (purchase intention, usage intention(</w:t>
      </w:r>
    </w:p>
    <w:p w:rsidR="00000000" w:rsidDel="00000000" w:rsidP="00000000" w:rsidRDefault="00000000" w:rsidRPr="00000000" w14:paraId="000000D8">
      <w:pPr>
        <w:spacing w:line="480" w:lineRule="auto"/>
        <w:rPr>
          <w:sz w:val="24"/>
          <w:szCs w:val="24"/>
        </w:rPr>
      </w:pPr>
      <w:r w:rsidDel="00000000" w:rsidR="00000000" w:rsidRPr="00000000">
        <w:rPr>
          <w:sz w:val="24"/>
          <w:szCs w:val="24"/>
          <w:rtl w:val="0"/>
        </w:rPr>
        <w:t xml:space="preserve">Elgammal et al. (2025) utilized this framework in relation to mobile commerce and noted that the ubiquity and functionalities offered by smart platforms act as triggers that impact trust and brand perception, which in turn results in user engagement.  </w:t>
      </w:r>
    </w:p>
    <w:p w:rsidR="00000000" w:rsidDel="00000000" w:rsidP="00000000" w:rsidRDefault="00000000" w:rsidRPr="00000000" w14:paraId="000000D9">
      <w:pPr>
        <w:spacing w:line="480" w:lineRule="auto"/>
        <w:rPr>
          <w:sz w:val="24"/>
          <w:szCs w:val="24"/>
        </w:rPr>
      </w:pPr>
      <w:r w:rsidDel="00000000" w:rsidR="00000000" w:rsidRPr="00000000">
        <w:rPr>
          <w:sz w:val="24"/>
          <w:szCs w:val="24"/>
          <w:rtl w:val="0"/>
        </w:rPr>
        <w:t xml:space="preserve">Taken together, these two models offer a comprehensive theoretical framework for this study. </w:t>
      </w:r>
    </w:p>
    <w:p w:rsidR="00000000" w:rsidDel="00000000" w:rsidP="00000000" w:rsidRDefault="00000000" w:rsidRPr="00000000" w14:paraId="000000DA">
      <w:pPr>
        <w:spacing w:line="480" w:lineRule="auto"/>
        <w:rPr>
          <w:sz w:val="24"/>
          <w:szCs w:val="24"/>
        </w:rPr>
      </w:pPr>
      <w:r w:rsidDel="00000000" w:rsidR="00000000" w:rsidRPr="00000000">
        <w:rPr>
          <w:sz w:val="24"/>
          <w:szCs w:val="24"/>
          <w:rtl w:val="0"/>
        </w:rPr>
        <w:t xml:space="preserve">TAM elucidates the mental assessment process of accepting and adopting smart technologies, whereas SOR offers a wider behavioral scope that includes the emotions, context, and the psyche of consumers that inform their actions.  </w:t>
      </w:r>
    </w:p>
    <w:p w:rsidR="00000000" w:rsidDel="00000000" w:rsidP="00000000" w:rsidRDefault="00000000" w:rsidRPr="00000000" w14:paraId="000000DB">
      <w:pPr>
        <w:spacing w:line="480" w:lineRule="auto"/>
        <w:rPr>
          <w:sz w:val="24"/>
          <w:szCs w:val="24"/>
        </w:rPr>
      </w:pPr>
      <w:r w:rsidDel="00000000" w:rsidR="00000000" w:rsidRPr="00000000">
        <w:rPr>
          <w:sz w:val="24"/>
          <w:szCs w:val="24"/>
          <w:rtl w:val="0"/>
        </w:rPr>
        <w:t xml:space="preserve">These frameworks will assist in the construction of the research model, formulation of the hypotheses, and analysis of the empirical results.</w:t>
      </w:r>
    </w:p>
    <w:p w:rsidR="00000000" w:rsidDel="00000000" w:rsidP="00000000" w:rsidRDefault="00000000" w:rsidRPr="00000000" w14:paraId="000000DC">
      <w:pPr>
        <w:spacing w:line="480" w:lineRule="auto"/>
        <w:rPr>
          <w:b w:val="1"/>
          <w:bCs w:val="1"/>
          <w:sz w:val="32"/>
          <w:szCs w:val="32"/>
        </w:rPr>
      </w:pPr>
      <w:bookmarkStart w:colFirst="0" w:colLast="0" w:name="_heading=h.dx7gxtj42nf5" w:id="9"/>
      <w:bookmarkEnd w:id="9"/>
      <w:r w:rsidDel="00000000" w:rsidR="00000000" w:rsidRPr="00000000">
        <w:rPr>
          <w:b w:val="1"/>
          <w:bCs w:val="1"/>
          <w:sz w:val="32"/>
          <w:szCs w:val="32"/>
          <w:rtl w:val="0"/>
        </w:rPr>
        <w:t xml:space="preserve">Methodology  </w:t>
      </w:r>
    </w:p>
    <w:p w:rsidR="00000000" w:rsidDel="00000000" w:rsidP="00000000" w:rsidRDefault="00000000" w:rsidRPr="00000000" w14:paraId="000000DD">
      <w:pPr>
        <w:spacing w:line="480" w:lineRule="auto"/>
        <w:rPr>
          <w:b w:val="1"/>
          <w:bCs w:val="1"/>
          <w:sz w:val="24"/>
          <w:szCs w:val="24"/>
        </w:rPr>
      </w:pPr>
      <w:r w:rsidDel="00000000" w:rsidR="00000000" w:rsidRPr="00000000">
        <w:rPr>
          <w:b w:val="1"/>
          <w:bCs w:val="1"/>
          <w:sz w:val="24"/>
          <w:szCs w:val="24"/>
          <w:rtl w:val="0"/>
        </w:rPr>
        <w:t xml:space="preserve">Approach to the Research  </w:t>
      </w:r>
    </w:p>
    <w:p w:rsidR="00000000" w:rsidDel="00000000" w:rsidP="00000000" w:rsidRDefault="00000000" w:rsidRPr="00000000" w14:paraId="000000DE">
      <w:pPr>
        <w:spacing w:line="480" w:lineRule="auto"/>
        <w:rPr>
          <w:sz w:val="24"/>
          <w:szCs w:val="24"/>
        </w:rPr>
      </w:pPr>
      <w:r w:rsidDel="00000000" w:rsidR="00000000" w:rsidRPr="00000000">
        <w:rPr>
          <w:sz w:val="24"/>
          <w:szCs w:val="24"/>
          <w:rtl w:val="0"/>
        </w:rPr>
        <w:t xml:space="preserve">This study uses a quantitative research approach since it seeks to assess and quantify the relationships between pivotal factors influencing consumers' mobile shopping applications and voice assistants' use. The study has a descriptive and correlational design, which is appropriate for perception, attitude, and behavioral intention studies.  </w:t>
      </w:r>
    </w:p>
    <w:p w:rsidR="00000000" w:rsidDel="00000000" w:rsidP="00000000" w:rsidRDefault="00000000" w:rsidRPr="00000000" w14:paraId="000000DF">
      <w:pPr>
        <w:spacing w:line="480" w:lineRule="auto"/>
        <w:rPr>
          <w:b w:val="1"/>
          <w:bCs w:val="1"/>
          <w:sz w:val="24"/>
          <w:szCs w:val="24"/>
        </w:rPr>
      </w:pPr>
      <w:r w:rsidDel="00000000" w:rsidR="00000000" w:rsidRPr="00000000">
        <w:rPr>
          <w:b w:val="1"/>
          <w:bCs w:val="1"/>
          <w:sz w:val="24"/>
          <w:szCs w:val="24"/>
          <w:rtl w:val="0"/>
        </w:rPr>
        <w:t xml:space="preserve">Data collection tool: questionnaire  </w:t>
      </w:r>
    </w:p>
    <w:p w:rsidR="00000000" w:rsidDel="00000000" w:rsidP="00000000" w:rsidRDefault="00000000" w:rsidRPr="00000000" w14:paraId="000000E0">
      <w:pPr>
        <w:spacing w:line="480" w:lineRule="auto"/>
        <w:rPr>
          <w:sz w:val="24"/>
          <w:szCs w:val="24"/>
        </w:rPr>
      </w:pPr>
      <w:r w:rsidDel="00000000" w:rsidR="00000000" w:rsidRPr="00000000">
        <w:rPr>
          <w:sz w:val="24"/>
          <w:szCs w:val="24"/>
          <w:rtl w:val="0"/>
        </w:rPr>
        <w:t xml:space="preserve">Primary data will be collected through a streamlined structured questionnaire derived from validated measurement models from earlier research, which will have multiple sections.  </w:t>
      </w:r>
    </w:p>
    <w:p w:rsidR="00000000" w:rsidDel="00000000" w:rsidP="00000000" w:rsidRDefault="00000000" w:rsidRPr="00000000" w14:paraId="000000E1">
      <w:pPr>
        <w:spacing w:line="480" w:lineRule="auto"/>
        <w:rPr>
          <w:sz w:val="24"/>
          <w:szCs w:val="24"/>
        </w:rPr>
      </w:pPr>
      <w:r w:rsidDel="00000000" w:rsidR="00000000" w:rsidRPr="00000000">
        <w:rPr>
          <w:sz w:val="24"/>
          <w:szCs w:val="24"/>
          <w:rtl w:val="0"/>
        </w:rPr>
        <w:t xml:space="preserve">Demographics: age, gender, educational level, smartphone usage, etc. </w:t>
      </w:r>
    </w:p>
    <w:p w:rsidR="00000000" w:rsidDel="00000000" w:rsidP="00000000" w:rsidRDefault="00000000" w:rsidRPr="00000000" w14:paraId="000000E2">
      <w:pPr>
        <w:spacing w:line="480" w:lineRule="auto"/>
        <w:rPr>
          <w:sz w:val="24"/>
          <w:szCs w:val="24"/>
        </w:rPr>
      </w:pPr>
      <w:r w:rsidDel="00000000" w:rsidR="00000000" w:rsidRPr="00000000">
        <w:rPr>
          <w:sz w:val="24"/>
          <w:szCs w:val="24"/>
          <w:rtl w:val="0"/>
        </w:rPr>
        <w:t xml:space="preserve">Technological factors: perceived usefulness and ease of use  </w:t>
      </w:r>
    </w:p>
    <w:p w:rsidR="00000000" w:rsidDel="00000000" w:rsidP="00000000" w:rsidRDefault="00000000" w:rsidRPr="00000000" w14:paraId="000000E3">
      <w:pPr>
        <w:spacing w:line="480" w:lineRule="auto"/>
        <w:rPr>
          <w:sz w:val="24"/>
          <w:szCs w:val="24"/>
        </w:rPr>
      </w:pPr>
      <w:r w:rsidDel="00000000" w:rsidR="00000000" w:rsidRPr="00000000">
        <w:rPr>
          <w:sz w:val="24"/>
          <w:szCs w:val="24"/>
          <w:rtl w:val="0"/>
        </w:rPr>
        <w:t xml:space="preserve">Trust, emotional engagement, perceived value, and social influence  </w:t>
      </w:r>
    </w:p>
    <w:p w:rsidR="00000000" w:rsidDel="00000000" w:rsidP="00000000" w:rsidRDefault="00000000" w:rsidRPr="00000000" w14:paraId="000000E4">
      <w:pPr>
        <w:spacing w:line="480" w:lineRule="auto"/>
        <w:rPr>
          <w:sz w:val="24"/>
          <w:szCs w:val="24"/>
        </w:rPr>
      </w:pPr>
      <w:r w:rsidDel="00000000" w:rsidR="00000000" w:rsidRPr="00000000">
        <w:rPr>
          <w:sz w:val="24"/>
          <w:szCs w:val="24"/>
          <w:rtl w:val="0"/>
        </w:rPr>
        <w:t xml:space="preserve">Behavioral intention and actual usage  </w:t>
      </w:r>
    </w:p>
    <w:p w:rsidR="00000000" w:rsidDel="00000000" w:rsidP="00000000" w:rsidRDefault="00000000" w:rsidRPr="00000000" w14:paraId="000000E5">
      <w:pPr>
        <w:spacing w:line="480" w:lineRule="auto"/>
        <w:rPr>
          <w:sz w:val="24"/>
          <w:szCs w:val="24"/>
        </w:rPr>
      </w:pPr>
      <w:r w:rsidDel="00000000" w:rsidR="00000000" w:rsidRPr="00000000">
        <w:rPr>
          <w:sz w:val="24"/>
          <w:szCs w:val="24"/>
          <w:rtl w:val="0"/>
        </w:rPr>
        <w:t xml:space="preserve">Responses will be captured on a 5-point Likert scale from “Strongly Disagree” to “Strongly Agree”.  </w:t>
      </w:r>
    </w:p>
    <w:p w:rsidR="00000000" w:rsidDel="00000000" w:rsidP="00000000" w:rsidRDefault="00000000" w:rsidRPr="00000000" w14:paraId="000000E6">
      <w:pPr>
        <w:spacing w:line="480" w:lineRule="auto"/>
        <w:rPr>
          <w:b w:val="1"/>
          <w:bCs w:val="1"/>
          <w:sz w:val="24"/>
          <w:szCs w:val="24"/>
        </w:rPr>
      </w:pPr>
      <w:r w:rsidDel="00000000" w:rsidR="00000000" w:rsidRPr="00000000">
        <w:rPr>
          <w:b w:val="1"/>
          <w:bCs w:val="1"/>
          <w:sz w:val="24"/>
          <w:szCs w:val="24"/>
          <w:rtl w:val="0"/>
        </w:rPr>
        <w:t xml:space="preserve">Sample Method and Population  </w:t>
      </w:r>
    </w:p>
    <w:p w:rsidR="00000000" w:rsidDel="00000000" w:rsidP="00000000" w:rsidRDefault="00000000" w:rsidRPr="00000000" w14:paraId="000000E7">
      <w:pPr>
        <w:spacing w:line="480" w:lineRule="auto"/>
        <w:rPr>
          <w:sz w:val="24"/>
          <w:szCs w:val="24"/>
        </w:rPr>
      </w:pPr>
      <w:r w:rsidDel="00000000" w:rsidR="00000000" w:rsidRPr="00000000">
        <w:rPr>
          <w:sz w:val="24"/>
          <w:szCs w:val="24"/>
          <w:rtl w:val="0"/>
        </w:rPr>
        <w:t xml:space="preserve">The population of interest is individuals who use mobile shopping applications and/or voice assistants such as Alexa, Google Assistant, and shopping chatbots. Non-probability convenience sampling will be utilized for the online questionnaire targeting university students, young professionals, and frequent shoppers.  </w:t>
      </w:r>
    </w:p>
    <w:p w:rsidR="00000000" w:rsidDel="00000000" w:rsidP="00000000" w:rsidRDefault="00000000" w:rsidRPr="00000000" w14:paraId="000000E8">
      <w:pPr>
        <w:spacing w:line="480" w:lineRule="auto"/>
        <w:rPr>
          <w:sz w:val="24"/>
          <w:szCs w:val="24"/>
        </w:rPr>
      </w:pPr>
      <w:r w:rsidDel="00000000" w:rsidR="00000000" w:rsidRPr="00000000">
        <w:rPr>
          <w:sz w:val="24"/>
          <w:szCs w:val="24"/>
          <w:rtl w:val="0"/>
        </w:rPr>
        <w:t xml:space="preserve">The minimum sample size will be computed using G*Power 3.1 (Faul et al., 2007) to ensure sufficient statistical power for the analysis conducted.</w:t>
      </w:r>
    </w:p>
    <w:p w:rsidR="00000000" w:rsidDel="00000000" w:rsidP="00000000" w:rsidRDefault="00000000" w:rsidRPr="00000000" w14:paraId="000000E9">
      <w:pPr>
        <w:spacing w:line="480" w:lineRule="auto"/>
        <w:rPr>
          <w:b w:val="1"/>
          <w:bCs w:val="1"/>
          <w:sz w:val="24"/>
          <w:szCs w:val="24"/>
        </w:rPr>
      </w:pPr>
      <w:r w:rsidDel="00000000" w:rsidR="00000000" w:rsidRPr="00000000">
        <w:rPr>
          <w:b w:val="1"/>
          <w:bCs w:val="1"/>
          <w:sz w:val="24"/>
          <w:szCs w:val="24"/>
          <w:rtl w:val="0"/>
        </w:rPr>
        <w:t xml:space="preserve">Techniques for Analysis of Data  </w:t>
      </w:r>
    </w:p>
    <w:p w:rsidR="00000000" w:rsidDel="00000000" w:rsidP="00000000" w:rsidRDefault="00000000" w:rsidRPr="00000000" w14:paraId="000000EA">
      <w:pPr>
        <w:spacing w:line="480" w:lineRule="auto"/>
        <w:rPr>
          <w:sz w:val="24"/>
          <w:szCs w:val="24"/>
        </w:rPr>
      </w:pPr>
      <w:r w:rsidDel="00000000" w:rsidR="00000000" w:rsidRPr="00000000">
        <w:rPr>
          <w:sz w:val="24"/>
          <w:szCs w:val="24"/>
          <w:rtl w:val="0"/>
        </w:rPr>
        <w:t xml:space="preserve">The chosen measurement model will dictate whether SmartPLS or SPSS (Statistical Package for the Social Sciences) will be used for analysis. The analysis is going to cover:  </w:t>
      </w:r>
    </w:p>
    <w:p w:rsidR="00000000" w:rsidDel="00000000" w:rsidP="00000000" w:rsidRDefault="00000000" w:rsidRPr="00000000" w14:paraId="000000EB">
      <w:pPr>
        <w:spacing w:line="480" w:lineRule="auto"/>
        <w:rPr>
          <w:sz w:val="24"/>
          <w:szCs w:val="24"/>
        </w:rPr>
      </w:pPr>
      <w:r w:rsidDel="00000000" w:rsidR="00000000" w:rsidRPr="00000000">
        <w:rPr>
          <w:sz w:val="24"/>
          <w:szCs w:val="24"/>
          <w:rtl w:val="0"/>
        </w:rPr>
        <w:t xml:space="preserve">Descriptive statistics  </w:t>
      </w:r>
    </w:p>
    <w:p w:rsidR="00000000" w:rsidDel="00000000" w:rsidP="00000000" w:rsidRDefault="00000000" w:rsidRPr="00000000" w14:paraId="000000EC">
      <w:pPr>
        <w:spacing w:line="480" w:lineRule="auto"/>
        <w:rPr>
          <w:sz w:val="24"/>
          <w:szCs w:val="24"/>
        </w:rPr>
      </w:pPr>
      <w:r w:rsidDel="00000000" w:rsidR="00000000" w:rsidRPr="00000000">
        <w:rPr>
          <w:sz w:val="24"/>
          <w:szCs w:val="24"/>
          <w:rtl w:val="0"/>
        </w:rPr>
        <w:t xml:space="preserve">Reliability and validity testing e.g. Cronbach’s alpha and composite reliability  </w:t>
      </w:r>
    </w:p>
    <w:p w:rsidR="00000000" w:rsidDel="00000000" w:rsidP="00000000" w:rsidRDefault="00000000" w:rsidRPr="00000000" w14:paraId="000000ED">
      <w:pPr>
        <w:spacing w:line="480" w:lineRule="auto"/>
        <w:rPr>
          <w:sz w:val="24"/>
          <w:szCs w:val="24"/>
        </w:rPr>
      </w:pPr>
      <w:r w:rsidDel="00000000" w:rsidR="00000000" w:rsidRPr="00000000">
        <w:rPr>
          <w:sz w:val="24"/>
          <w:szCs w:val="24"/>
          <w:rtl w:val="0"/>
        </w:rPr>
        <w:t xml:space="preserve">Exploratory or confirmatory factor analysis  </w:t>
      </w:r>
    </w:p>
    <w:p w:rsidR="00000000" w:rsidDel="00000000" w:rsidP="00000000" w:rsidRDefault="00000000" w:rsidRPr="00000000" w14:paraId="000000EE">
      <w:pPr>
        <w:spacing w:line="480" w:lineRule="auto"/>
        <w:rPr>
          <w:sz w:val="24"/>
          <w:szCs w:val="24"/>
        </w:rPr>
      </w:pPr>
      <w:r w:rsidDel="00000000" w:rsidR="00000000" w:rsidRPr="00000000">
        <w:rPr>
          <w:sz w:val="24"/>
          <w:szCs w:val="24"/>
          <w:rtl w:val="0"/>
        </w:rPr>
        <w:t xml:space="preserve">Regression analysis or structural equation modeling hypothesis tests.  </w:t>
      </w:r>
    </w:p>
    <w:p w:rsidR="00000000" w:rsidDel="00000000" w:rsidP="00000000" w:rsidRDefault="00000000" w:rsidRPr="00000000" w14:paraId="000000EF">
      <w:pPr>
        <w:spacing w:line="480" w:lineRule="auto"/>
        <w:rPr>
          <w:b w:val="1"/>
          <w:bCs w:val="1"/>
          <w:sz w:val="24"/>
          <w:szCs w:val="24"/>
        </w:rPr>
      </w:pPr>
      <w:r w:rsidDel="00000000" w:rsidR="00000000" w:rsidRPr="00000000">
        <w:rPr>
          <w:b w:val="1"/>
          <w:bCs w:val="1"/>
          <w:sz w:val="24"/>
          <w:szCs w:val="24"/>
          <w:rtl w:val="0"/>
        </w:rPr>
        <w:t xml:space="preserve">Ethical considerations  </w:t>
      </w:r>
    </w:p>
    <w:p w:rsidR="00000000" w:rsidDel="00000000" w:rsidP="00000000" w:rsidRDefault="00000000" w:rsidRPr="00000000" w14:paraId="000000F0">
      <w:pPr>
        <w:spacing w:line="480" w:lineRule="auto"/>
        <w:rPr>
          <w:sz w:val="24"/>
          <w:szCs w:val="24"/>
        </w:rPr>
      </w:pPr>
      <w:r w:rsidDel="00000000" w:rsidR="00000000" w:rsidRPr="00000000">
        <w:rPr>
          <w:sz w:val="24"/>
          <w:szCs w:val="24"/>
          <w:rtl w:val="0"/>
        </w:rPr>
        <w:t xml:space="preserve">No identifying details will be collected. All participants will be told the purpose of the research and are free to choose whether to participate, and how much to share. Respondents’ answers will remain confidential.</w:t>
      </w:r>
    </w:p>
    <w:p w:rsidR="00000000" w:rsidDel="00000000" w:rsidP="00000000" w:rsidRDefault="00000000" w:rsidRPr="00000000" w14:paraId="000000F1">
      <w:pPr>
        <w:spacing w:line="480" w:lineRule="auto"/>
        <w:rPr>
          <w:b w:val="1"/>
          <w:bCs w:val="1"/>
          <w:sz w:val="32"/>
          <w:szCs w:val="32"/>
        </w:rPr>
      </w:pPr>
      <w:bookmarkStart w:colFirst="0" w:colLast="0" w:name="_heading=h.8o3rf887khsp" w:id="10"/>
      <w:bookmarkEnd w:id="10"/>
      <w:r w:rsidDel="00000000" w:rsidR="00000000" w:rsidRPr="00000000">
        <w:rPr>
          <w:b w:val="1"/>
          <w:bCs w:val="1"/>
          <w:sz w:val="32"/>
          <w:szCs w:val="32"/>
          <w:rtl w:val="0"/>
        </w:rPr>
        <w:t xml:space="preserve">Research Instruments  </w:t>
      </w:r>
    </w:p>
    <w:p w:rsidR="00000000" w:rsidDel="00000000" w:rsidP="00000000" w:rsidRDefault="00000000" w:rsidRPr="00000000" w14:paraId="000000F2">
      <w:pPr>
        <w:spacing w:line="480" w:lineRule="auto"/>
        <w:rPr>
          <w:sz w:val="24"/>
          <w:szCs w:val="24"/>
        </w:rPr>
      </w:pPr>
      <w:r w:rsidDel="00000000" w:rsidR="00000000" w:rsidRPr="00000000">
        <w:rPr>
          <w:sz w:val="24"/>
          <w:szCs w:val="24"/>
          <w:rtl w:val="0"/>
        </w:rPr>
        <w:t xml:space="preserve">A structured questionnaire directed towards the consumer behavior for mobile shopping applications and voice assistants will be the primary data collection instrument in this study. The questionnaire was formulated after reviewing pertinent literature and was modified from previously tested measurement scales to ensure content validity and reliability.  </w:t>
      </w:r>
    </w:p>
    <w:p w:rsidR="00000000" w:rsidDel="00000000" w:rsidP="00000000" w:rsidRDefault="00000000" w:rsidRPr="00000000" w14:paraId="000000F3">
      <w:pPr>
        <w:spacing w:line="480" w:lineRule="auto"/>
        <w:rPr>
          <w:b w:val="1"/>
          <w:bCs w:val="1"/>
          <w:sz w:val="28"/>
          <w:szCs w:val="28"/>
        </w:rPr>
      </w:pPr>
      <w:r w:rsidDel="00000000" w:rsidR="00000000" w:rsidRPr="00000000">
        <w:rPr>
          <w:b w:val="1"/>
          <w:bCs w:val="1"/>
          <w:sz w:val="28"/>
          <w:szCs w:val="28"/>
          <w:rtl w:val="0"/>
        </w:rPr>
        <w:t xml:space="preserve">Questionnaire Structure:  </w:t>
      </w:r>
    </w:p>
    <w:p w:rsidR="00000000" w:rsidDel="00000000" w:rsidP="00000000" w:rsidRDefault="00000000" w:rsidRPr="00000000" w14:paraId="000000F4">
      <w:pPr>
        <w:spacing w:line="480" w:lineRule="auto"/>
        <w:rPr>
          <w:sz w:val="24"/>
          <w:szCs w:val="24"/>
        </w:rPr>
      </w:pPr>
      <w:r w:rsidDel="00000000" w:rsidR="00000000" w:rsidRPr="00000000">
        <w:rPr>
          <w:sz w:val="24"/>
          <w:szCs w:val="24"/>
          <w:rtl w:val="0"/>
        </w:rPr>
        <w:t xml:space="preserve">I divided the questionnaire into the following subsections:  </w:t>
      </w:r>
    </w:p>
    <w:p w:rsidR="00000000" w:rsidDel="00000000" w:rsidP="00000000" w:rsidRDefault="00000000" w:rsidRPr="00000000" w14:paraId="000000F5">
      <w:pPr>
        <w:spacing w:line="480" w:lineRule="auto"/>
        <w:rPr>
          <w:b w:val="1"/>
          <w:bCs w:val="1"/>
          <w:sz w:val="24"/>
          <w:szCs w:val="24"/>
        </w:rPr>
      </w:pPr>
      <w:r w:rsidDel="00000000" w:rsidR="00000000" w:rsidRPr="00000000">
        <w:rPr>
          <w:b w:val="1"/>
          <w:bCs w:val="1"/>
          <w:sz w:val="24"/>
          <w:szCs w:val="24"/>
          <w:rtl w:val="0"/>
        </w:rPr>
        <w:t xml:space="preserve">Part A: Demographic Information  </w:t>
      </w:r>
    </w:p>
    <w:p w:rsidR="00000000" w:rsidDel="00000000" w:rsidP="00000000" w:rsidRDefault="00000000" w:rsidRPr="00000000" w14:paraId="000000F6">
      <w:pPr>
        <w:spacing w:line="480" w:lineRule="auto"/>
        <w:rPr>
          <w:sz w:val="24"/>
          <w:szCs w:val="24"/>
        </w:rPr>
      </w:pPr>
      <w:r w:rsidDel="00000000" w:rsidR="00000000" w:rsidRPr="00000000">
        <w:rPr>
          <w:sz w:val="24"/>
          <w:szCs w:val="24"/>
          <w:rtl w:val="0"/>
        </w:rPr>
        <w:t xml:space="preserve">This section includes questions related to the participant's age, gender, education, frequency of technology usage, and knowledge regarding mobile shopping or voice assistants.  </w:t>
      </w:r>
    </w:p>
    <w:p w:rsidR="00000000" w:rsidDel="00000000" w:rsidP="00000000" w:rsidRDefault="00000000" w:rsidRPr="00000000" w14:paraId="000000F7">
      <w:pPr>
        <w:spacing w:line="480" w:lineRule="auto"/>
        <w:rPr>
          <w:b w:val="1"/>
          <w:bCs w:val="1"/>
          <w:sz w:val="24"/>
          <w:szCs w:val="24"/>
        </w:rPr>
      </w:pPr>
      <w:r w:rsidDel="00000000" w:rsidR="00000000" w:rsidRPr="00000000">
        <w:rPr>
          <w:b w:val="1"/>
          <w:bCs w:val="1"/>
          <w:sz w:val="24"/>
          <w:szCs w:val="24"/>
          <w:rtl w:val="0"/>
        </w:rPr>
        <w:t xml:space="preserve">Section B: Factors Related to Technology  </w:t>
      </w:r>
    </w:p>
    <w:p w:rsidR="00000000" w:rsidDel="00000000" w:rsidP="00000000" w:rsidRDefault="00000000" w:rsidRPr="00000000" w14:paraId="000000F8">
      <w:pPr>
        <w:spacing w:line="480" w:lineRule="auto"/>
        <w:rPr>
          <w:sz w:val="24"/>
          <w:szCs w:val="24"/>
        </w:rPr>
      </w:pPr>
      <w:r w:rsidDel="00000000" w:rsidR="00000000" w:rsidRPr="00000000">
        <w:rPr>
          <w:sz w:val="24"/>
          <w:szCs w:val="24"/>
          <w:rtl w:val="0"/>
        </w:rPr>
        <w:t xml:space="preserve">Perceived Usefulness (PU) – adapted from Davis (1989)  </w:t>
      </w:r>
    </w:p>
    <w:p w:rsidR="00000000" w:rsidDel="00000000" w:rsidP="00000000" w:rsidRDefault="00000000" w:rsidRPr="00000000" w14:paraId="000000F9">
      <w:pPr>
        <w:spacing w:line="480" w:lineRule="auto"/>
        <w:rPr>
          <w:sz w:val="24"/>
          <w:szCs w:val="24"/>
        </w:rPr>
      </w:pPr>
      <w:r w:rsidDel="00000000" w:rsidR="00000000" w:rsidRPr="00000000">
        <w:rPr>
          <w:sz w:val="24"/>
          <w:szCs w:val="24"/>
          <w:rtl w:val="0"/>
        </w:rPr>
        <w:t xml:space="preserve">Perceived Ease of Use (PEOU) – Davis (1989); Davis &amp; Granić (2024)  </w:t>
      </w:r>
    </w:p>
    <w:p w:rsidR="00000000" w:rsidDel="00000000" w:rsidP="00000000" w:rsidRDefault="00000000" w:rsidRPr="00000000" w14:paraId="000000FA">
      <w:pPr>
        <w:spacing w:line="480" w:lineRule="auto"/>
        <w:rPr>
          <w:b w:val="1"/>
          <w:bCs w:val="1"/>
          <w:sz w:val="24"/>
          <w:szCs w:val="24"/>
        </w:rPr>
      </w:pPr>
      <w:r w:rsidDel="00000000" w:rsidR="00000000" w:rsidRPr="00000000">
        <w:rPr>
          <w:b w:val="1"/>
          <w:bCs w:val="1"/>
          <w:sz w:val="24"/>
          <w:szCs w:val="24"/>
          <w:rtl w:val="0"/>
        </w:rPr>
        <w:t xml:space="preserve">Section C: Psychological &amp; Emotional Factors  </w:t>
      </w:r>
    </w:p>
    <w:p w:rsidR="00000000" w:rsidDel="00000000" w:rsidP="00000000" w:rsidRDefault="00000000" w:rsidRPr="00000000" w14:paraId="000000FB">
      <w:pPr>
        <w:spacing w:line="480" w:lineRule="auto"/>
        <w:rPr>
          <w:sz w:val="24"/>
          <w:szCs w:val="24"/>
        </w:rPr>
      </w:pPr>
      <w:r w:rsidDel="00000000" w:rsidR="00000000" w:rsidRPr="00000000">
        <w:rPr>
          <w:sz w:val="24"/>
          <w:szCs w:val="24"/>
          <w:rtl w:val="0"/>
        </w:rPr>
        <w:t xml:space="preserve">Trust — adapted from Gefen et al. (2003)  </w:t>
      </w:r>
    </w:p>
    <w:p w:rsidR="00000000" w:rsidDel="00000000" w:rsidP="00000000" w:rsidRDefault="00000000" w:rsidRPr="00000000" w14:paraId="000000FC">
      <w:pPr>
        <w:spacing w:line="480" w:lineRule="auto"/>
        <w:rPr>
          <w:sz w:val="24"/>
          <w:szCs w:val="24"/>
        </w:rPr>
      </w:pPr>
      <w:r w:rsidDel="00000000" w:rsidR="00000000" w:rsidRPr="00000000">
        <w:rPr>
          <w:sz w:val="24"/>
          <w:szCs w:val="24"/>
          <w:rtl w:val="0"/>
        </w:rPr>
        <w:t xml:space="preserve">Emotional Engagement – Fernandes &amp; Oliveira (2021)  </w:t>
      </w:r>
    </w:p>
    <w:p w:rsidR="00000000" w:rsidDel="00000000" w:rsidP="00000000" w:rsidRDefault="00000000" w:rsidRPr="00000000" w14:paraId="000000FD">
      <w:pPr>
        <w:spacing w:line="480" w:lineRule="auto"/>
        <w:rPr>
          <w:sz w:val="24"/>
          <w:szCs w:val="24"/>
        </w:rPr>
      </w:pPr>
      <w:r w:rsidDel="00000000" w:rsidR="00000000" w:rsidRPr="00000000">
        <w:rPr>
          <w:sz w:val="24"/>
          <w:szCs w:val="24"/>
          <w:rtl w:val="0"/>
        </w:rPr>
        <w:t xml:space="preserve">Perceived Value – Ashfaq et al. (2021); Schultz &amp; Kaiser (2025)  </w:t>
      </w:r>
    </w:p>
    <w:p w:rsidR="00000000" w:rsidDel="00000000" w:rsidP="00000000" w:rsidRDefault="00000000" w:rsidRPr="00000000" w14:paraId="000000FE">
      <w:pPr>
        <w:spacing w:line="480" w:lineRule="auto"/>
        <w:rPr>
          <w:b w:val="1"/>
          <w:bCs w:val="1"/>
          <w:sz w:val="24"/>
          <w:szCs w:val="24"/>
        </w:rPr>
      </w:pPr>
      <w:r w:rsidDel="00000000" w:rsidR="00000000" w:rsidRPr="00000000">
        <w:rPr>
          <w:b w:val="1"/>
          <w:bCs w:val="1"/>
          <w:sz w:val="24"/>
          <w:szCs w:val="24"/>
          <w:rtl w:val="0"/>
        </w:rPr>
        <w:t xml:space="preserve">Section D: Social Influence  </w:t>
      </w:r>
    </w:p>
    <w:p w:rsidR="00000000" w:rsidDel="00000000" w:rsidP="00000000" w:rsidRDefault="00000000" w:rsidRPr="00000000" w14:paraId="000000FF">
      <w:pPr>
        <w:spacing w:line="480" w:lineRule="auto"/>
        <w:rPr>
          <w:sz w:val="24"/>
          <w:szCs w:val="24"/>
        </w:rPr>
      </w:pPr>
      <w:r w:rsidDel="00000000" w:rsidR="00000000" w:rsidRPr="00000000">
        <w:rPr>
          <w:sz w:val="24"/>
          <w:szCs w:val="24"/>
          <w:rtl w:val="0"/>
        </w:rPr>
        <w:t xml:space="preserve">Includes aspects of Aw et al. (2022) and Al-Fraihat et al. (2023)  </w:t>
      </w:r>
    </w:p>
    <w:p w:rsidR="00000000" w:rsidDel="00000000" w:rsidP="00000000" w:rsidRDefault="00000000" w:rsidRPr="00000000" w14:paraId="00000100">
      <w:pPr>
        <w:spacing w:line="480" w:lineRule="auto"/>
        <w:rPr>
          <w:b w:val="1"/>
          <w:bCs w:val="1"/>
          <w:sz w:val="24"/>
          <w:szCs w:val="24"/>
        </w:rPr>
      </w:pPr>
      <w:r w:rsidDel="00000000" w:rsidR="00000000" w:rsidRPr="00000000">
        <w:rPr>
          <w:b w:val="1"/>
          <w:bCs w:val="1"/>
          <w:sz w:val="24"/>
          <w:szCs w:val="24"/>
          <w:rtl w:val="0"/>
        </w:rPr>
        <w:t xml:space="preserve">Section E: Intention to adopt and Behavior Use  </w:t>
      </w:r>
    </w:p>
    <w:p w:rsidR="00000000" w:rsidDel="00000000" w:rsidP="00000000" w:rsidRDefault="00000000" w:rsidRPr="00000000" w14:paraId="00000101">
      <w:pPr>
        <w:spacing w:line="480" w:lineRule="auto"/>
        <w:rPr>
          <w:sz w:val="24"/>
          <w:szCs w:val="24"/>
        </w:rPr>
      </w:pPr>
      <w:r w:rsidDel="00000000" w:rsidR="00000000" w:rsidRPr="00000000">
        <w:rPr>
          <w:sz w:val="24"/>
          <w:szCs w:val="24"/>
          <w:rtl w:val="0"/>
        </w:rPr>
        <w:t xml:space="preserve">This is estimated in regards to the TAM and SOR models predicting a person’s propensity to adopt a mobile shopping app or voice-activated assistant.  </w:t>
      </w:r>
    </w:p>
    <w:p w:rsidR="00000000" w:rsidDel="00000000" w:rsidP="00000000" w:rsidRDefault="00000000" w:rsidRPr="00000000" w14:paraId="00000102">
      <w:pPr>
        <w:spacing w:line="480" w:lineRule="auto"/>
        <w:rPr>
          <w:b w:val="1"/>
          <w:bCs w:val="1"/>
          <w:sz w:val="24"/>
          <w:szCs w:val="24"/>
        </w:rPr>
      </w:pPr>
      <w:r w:rsidDel="00000000" w:rsidR="00000000" w:rsidRPr="00000000">
        <w:rPr>
          <w:b w:val="1"/>
          <w:bCs w:val="1"/>
          <w:sz w:val="24"/>
          <w:szCs w:val="24"/>
          <w:rtl w:val="0"/>
        </w:rPr>
        <w:t xml:space="preserve">Measurement Scale  </w:t>
      </w:r>
    </w:p>
    <w:p w:rsidR="00000000" w:rsidDel="00000000" w:rsidP="00000000" w:rsidRDefault="00000000" w:rsidRPr="00000000" w14:paraId="00000103">
      <w:pPr>
        <w:spacing w:line="480" w:lineRule="auto"/>
        <w:rPr>
          <w:sz w:val="24"/>
          <w:szCs w:val="24"/>
        </w:rPr>
      </w:pPr>
      <w:r w:rsidDel="00000000" w:rsidR="00000000" w:rsidRPr="00000000">
        <w:rPr>
          <w:sz w:val="24"/>
          <w:szCs w:val="24"/>
          <w:rtl w:val="0"/>
        </w:rPr>
        <w:t xml:space="preserve">For Sections B to E, we will measure all items using a 5-point Likert scale that includes:  </w:t>
      </w:r>
    </w:p>
    <w:p w:rsidR="00000000" w:rsidDel="00000000" w:rsidP="00000000" w:rsidRDefault="00000000" w:rsidRPr="00000000" w14:paraId="00000104">
      <w:pPr>
        <w:spacing w:line="480" w:lineRule="auto"/>
        <w:rPr>
          <w:sz w:val="24"/>
          <w:szCs w:val="24"/>
        </w:rPr>
      </w:pPr>
      <w:r w:rsidDel="00000000" w:rsidR="00000000" w:rsidRPr="00000000">
        <w:rPr>
          <w:rFonts w:ascii="Times" w:cs="Times" w:eastAsia="Times" w:hAnsi="Times"/>
          <w:sz w:val="32"/>
          <w:szCs w:val="32"/>
        </w:rPr>
        <w:drawing>
          <wp:inline distB="114300" distT="114300" distL="114300" distR="114300">
            <wp:extent cx="5023982" cy="2835317"/>
            <wp:effectExtent b="0" l="0" r="0" t="0"/>
            <wp:docPr id="24"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023982" cy="2835317"/>
                    </a:xfrm>
                    <a:prstGeom prst="rect"/>
                    <a:ln/>
                  </pic:spPr>
                </pic:pic>
              </a:graphicData>
            </a:graphic>
          </wp:inline>
        </w:drawing>
      </w: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Figure 1.1 Measurement Scale</w:t>
      </w:r>
    </w:p>
    <w:p w:rsidR="00000000" w:rsidDel="00000000" w:rsidP="00000000" w:rsidRDefault="00000000" w:rsidRPr="00000000" w14:paraId="00000106">
      <w:pPr>
        <w:spacing w:line="480" w:lineRule="auto"/>
        <w:rPr>
          <w:sz w:val="24"/>
          <w:szCs w:val="24"/>
        </w:rPr>
      </w:pPr>
      <w:r w:rsidDel="00000000" w:rsidR="00000000" w:rsidRPr="00000000">
        <w:rPr>
          <w:rtl w:val="0"/>
        </w:rPr>
      </w:r>
    </w:p>
    <w:p w:rsidR="00000000" w:rsidDel="00000000" w:rsidP="00000000" w:rsidRDefault="00000000" w:rsidRPr="00000000" w14:paraId="00000107">
      <w:pPr>
        <w:spacing w:line="480" w:lineRule="auto"/>
        <w:rPr>
          <w:sz w:val="24"/>
          <w:szCs w:val="24"/>
        </w:rPr>
      </w:pPr>
      <w:r w:rsidDel="00000000" w:rsidR="00000000" w:rsidRPr="00000000">
        <w:rPr>
          <w:rtl w:val="0"/>
        </w:rPr>
      </w:r>
    </w:p>
    <w:p w:rsidR="00000000" w:rsidDel="00000000" w:rsidP="00000000" w:rsidRDefault="00000000" w:rsidRPr="00000000" w14:paraId="00000108">
      <w:pPr>
        <w:spacing w:line="480" w:lineRule="auto"/>
        <w:rPr>
          <w:sz w:val="24"/>
          <w:szCs w:val="24"/>
        </w:rPr>
      </w:pPr>
      <w:r w:rsidDel="00000000" w:rsidR="00000000" w:rsidRPr="00000000">
        <w:rPr>
          <w:rtl w:val="0"/>
        </w:rPr>
      </w:r>
    </w:p>
    <w:p w:rsidR="00000000" w:rsidDel="00000000" w:rsidP="00000000" w:rsidRDefault="00000000" w:rsidRPr="00000000" w14:paraId="00000109">
      <w:pPr>
        <w:spacing w:line="480" w:lineRule="auto"/>
        <w:rPr>
          <w:b w:val="1"/>
          <w:bCs w:val="1"/>
          <w:sz w:val="32"/>
          <w:szCs w:val="32"/>
        </w:rPr>
      </w:pPr>
      <w:bookmarkStart w:colFirst="0" w:colLast="0" w:name="_heading=h.tqb0tnedcbx8" w:id="11"/>
      <w:bookmarkEnd w:id="11"/>
      <w:r w:rsidDel="00000000" w:rsidR="00000000" w:rsidRPr="00000000">
        <w:rPr>
          <w:b w:val="1"/>
          <w:bCs w:val="1"/>
          <w:sz w:val="32"/>
          <w:szCs w:val="32"/>
          <w:rtl w:val="0"/>
        </w:rPr>
        <w:t xml:space="preserve">Study Limitations  </w:t>
      </w:r>
    </w:p>
    <w:p w:rsidR="00000000" w:rsidDel="00000000" w:rsidP="00000000" w:rsidRDefault="00000000" w:rsidRPr="00000000" w14:paraId="0000010A">
      <w:pPr>
        <w:spacing w:line="480" w:lineRule="auto"/>
        <w:rPr>
          <w:sz w:val="24"/>
          <w:szCs w:val="24"/>
        </w:rPr>
      </w:pPr>
      <w:r w:rsidDel="00000000" w:rsidR="00000000" w:rsidRPr="00000000">
        <w:rPr>
          <w:sz w:val="24"/>
          <w:szCs w:val="24"/>
          <w:rtl w:val="0"/>
        </w:rPr>
        <w:t xml:space="preserve">The intent behind our study was to evaluate the consumer attitude towards shopping applications and voice shopping assistants. There are several significant limitations that need to be considered:  </w:t>
      </w:r>
    </w:p>
    <w:p w:rsidR="00000000" w:rsidDel="00000000" w:rsidP="00000000" w:rsidRDefault="00000000" w:rsidRPr="00000000" w14:paraId="0000010B">
      <w:pPr>
        <w:spacing w:line="480" w:lineRule="auto"/>
        <w:rPr>
          <w:b w:val="1"/>
          <w:bCs w:val="1"/>
          <w:sz w:val="24"/>
          <w:szCs w:val="24"/>
        </w:rPr>
      </w:pPr>
      <w:r w:rsidDel="00000000" w:rsidR="00000000" w:rsidRPr="00000000">
        <w:rPr>
          <w:b w:val="1"/>
          <w:bCs w:val="1"/>
          <w:sz w:val="24"/>
          <w:szCs w:val="24"/>
          <w:rtl w:val="0"/>
        </w:rPr>
        <w:t xml:space="preserve">Geographic Limitation: </w:t>
      </w:r>
      <w:r w:rsidDel="00000000" w:rsidR="00000000" w:rsidRPr="00000000">
        <w:rPr>
          <w:sz w:val="24"/>
          <w:szCs w:val="24"/>
          <w:rtl w:val="0"/>
        </w:rPr>
        <w:t xml:space="preserve">This study is limited to a certain geographic area e.g. country or city. Because of this, it is unclear if or how relevant the findings are for consumers in diverse cultures or economic situations.  </w:t>
      </w:r>
      <w:r w:rsidDel="00000000" w:rsidR="00000000" w:rsidRPr="00000000">
        <w:rPr>
          <w:rtl w:val="0"/>
        </w:rPr>
      </w:r>
    </w:p>
    <w:p w:rsidR="00000000" w:rsidDel="00000000" w:rsidP="00000000" w:rsidRDefault="00000000" w:rsidRPr="00000000" w14:paraId="0000010C">
      <w:pPr>
        <w:spacing w:line="480" w:lineRule="auto"/>
        <w:rPr>
          <w:sz w:val="24"/>
          <w:szCs w:val="24"/>
        </w:rPr>
      </w:pPr>
      <w:r w:rsidDel="00000000" w:rsidR="00000000" w:rsidRPr="00000000">
        <w:rPr>
          <w:b w:val="1"/>
          <w:bCs w:val="1"/>
          <w:sz w:val="24"/>
          <w:szCs w:val="24"/>
          <w:rtl w:val="0"/>
        </w:rPr>
        <w:t xml:space="preserve">Sampling Method:</w:t>
      </w:r>
      <w:r w:rsidDel="00000000" w:rsidR="00000000" w:rsidRPr="00000000">
        <w:rPr>
          <w:sz w:val="24"/>
          <w:szCs w:val="24"/>
          <w:rtl w:val="0"/>
        </w:rPr>
        <w:t xml:space="preserve">   This study is going to adopt a non-probability convenience sampling method to which sampling bias will occur. Results only reflect the viewpoints of the users who chose to complete the survey and have internet access.  </w:t>
      </w:r>
    </w:p>
    <w:p w:rsidR="00000000" w:rsidDel="00000000" w:rsidP="00000000" w:rsidRDefault="00000000" w:rsidRPr="00000000" w14:paraId="0000010D">
      <w:pPr>
        <w:spacing w:line="480" w:lineRule="auto"/>
        <w:rPr>
          <w:b w:val="1"/>
          <w:bCs w:val="1"/>
          <w:sz w:val="24"/>
          <w:szCs w:val="24"/>
        </w:rPr>
      </w:pPr>
      <w:r w:rsidDel="00000000" w:rsidR="00000000" w:rsidRPr="00000000">
        <w:rPr>
          <w:b w:val="1"/>
          <w:bCs w:val="1"/>
          <w:sz w:val="24"/>
          <w:szCs w:val="24"/>
          <w:rtl w:val="0"/>
        </w:rPr>
        <w:t xml:space="preserve">Self-Reported Data:  </w:t>
      </w:r>
      <w:r w:rsidDel="00000000" w:rsidR="00000000" w:rsidRPr="00000000">
        <w:rPr>
          <w:sz w:val="24"/>
          <w:szCs w:val="24"/>
          <w:rtl w:val="0"/>
        </w:rPr>
        <w:t xml:space="preserve">The reliability of this study's responses is dependent on using self-report, which has the potential for social desirability bias or error in recall. Participants have a tendency to inflate or downplay their true behaviors or attitudes.  </w:t>
      </w:r>
      <w:r w:rsidDel="00000000" w:rsidR="00000000" w:rsidRPr="00000000">
        <w:rPr>
          <w:rtl w:val="0"/>
        </w:rPr>
      </w:r>
    </w:p>
    <w:p w:rsidR="00000000" w:rsidDel="00000000" w:rsidP="00000000" w:rsidRDefault="00000000" w:rsidRPr="00000000" w14:paraId="0000010E">
      <w:pPr>
        <w:spacing w:line="480" w:lineRule="auto"/>
        <w:rPr>
          <w:b w:val="1"/>
          <w:bCs w:val="1"/>
          <w:sz w:val="24"/>
          <w:szCs w:val="24"/>
        </w:rPr>
      </w:pPr>
      <w:r w:rsidDel="00000000" w:rsidR="00000000" w:rsidRPr="00000000">
        <w:rPr>
          <w:b w:val="1"/>
          <w:bCs w:val="1"/>
          <w:sz w:val="24"/>
          <w:szCs w:val="24"/>
          <w:rtl w:val="0"/>
        </w:rPr>
        <w:t xml:space="preserve">Focus on Technologies:  </w:t>
      </w:r>
      <w:r w:rsidDel="00000000" w:rsidR="00000000" w:rsidRPr="00000000">
        <w:rPr>
          <w:sz w:val="24"/>
          <w:szCs w:val="24"/>
          <w:rtl w:val="0"/>
        </w:rPr>
        <w:t xml:space="preserve">Only mobile shopping apps and voice shopping assistants will be studied for this research. Other smart technologies and shopping platforms, including, e.g., augmented or virtual assistants in retail stores, are beyond the objectives of this study.  </w:t>
      </w:r>
      <w:r w:rsidDel="00000000" w:rsidR="00000000" w:rsidRPr="00000000">
        <w:rPr>
          <w:rtl w:val="0"/>
        </w:rPr>
      </w:r>
    </w:p>
    <w:p w:rsidR="00000000" w:rsidDel="00000000" w:rsidP="00000000" w:rsidRDefault="00000000" w:rsidRPr="00000000" w14:paraId="0000010F">
      <w:pPr>
        <w:spacing w:line="480" w:lineRule="auto"/>
        <w:rPr>
          <w:b w:val="1"/>
          <w:bCs w:val="1"/>
          <w:sz w:val="24"/>
          <w:szCs w:val="24"/>
        </w:rPr>
      </w:pPr>
      <w:r w:rsidDel="00000000" w:rsidR="00000000" w:rsidRPr="00000000">
        <w:rPr>
          <w:b w:val="1"/>
          <w:bCs w:val="1"/>
          <w:sz w:val="24"/>
          <w:szCs w:val="24"/>
          <w:rtl w:val="0"/>
        </w:rPr>
        <w:t xml:space="preserve">Temporal Limitations:  </w:t>
      </w:r>
      <w:r w:rsidDel="00000000" w:rsidR="00000000" w:rsidRPr="00000000">
        <w:rPr>
          <w:sz w:val="24"/>
          <w:szCs w:val="24"/>
          <w:rtl w:val="0"/>
        </w:rPr>
        <w:t xml:space="preserve">Data collection is limited in time frame. Consumer habits and behavior change quickly, particularly on the internet and especially digital platforms. Finally, attitudes and behaviors will change in response to new practices or new trends or technologies.  </w:t>
      </w:r>
      <w:r w:rsidDel="00000000" w:rsidR="00000000" w:rsidRPr="00000000">
        <w:rPr>
          <w:rtl w:val="0"/>
        </w:rPr>
      </w:r>
    </w:p>
    <w:p w:rsidR="00000000" w:rsidDel="00000000" w:rsidP="00000000" w:rsidRDefault="00000000" w:rsidRPr="00000000" w14:paraId="00000110">
      <w:pPr>
        <w:spacing w:line="480" w:lineRule="auto"/>
        <w:rPr>
          <w:sz w:val="24"/>
          <w:szCs w:val="24"/>
        </w:rPr>
      </w:pPr>
      <w:r w:rsidDel="00000000" w:rsidR="00000000" w:rsidRPr="00000000">
        <w:rPr>
          <w:sz w:val="24"/>
          <w:szCs w:val="24"/>
          <w:rtl w:val="0"/>
        </w:rPr>
        <w:t xml:space="preserve">Theoretical Scope:  </w:t>
      </w:r>
    </w:p>
    <w:p w:rsidR="00000000" w:rsidDel="00000000" w:rsidP="00000000" w:rsidRDefault="00000000" w:rsidRPr="00000000" w14:paraId="00000111">
      <w:pPr>
        <w:spacing w:line="480" w:lineRule="auto"/>
        <w:rPr>
          <w:sz w:val="24"/>
          <w:szCs w:val="24"/>
        </w:rPr>
      </w:pPr>
      <w:r w:rsidDel="00000000" w:rsidR="00000000" w:rsidRPr="00000000">
        <w:rPr>
          <w:sz w:val="24"/>
          <w:szCs w:val="24"/>
          <w:rtl w:val="0"/>
        </w:rPr>
        <w:t xml:space="preserve">Mainly, the Technology Acceptance Model (TAM) and the Stimulus-Organism-Response (SOR) model are the main ones for this study. The models that they support are solid and foundational; however, they do not include all aspects of consumer behavior.</w:t>
      </w:r>
    </w:p>
    <w:p w:rsidR="00000000" w:rsidDel="00000000" w:rsidP="00000000" w:rsidRDefault="00000000" w:rsidRPr="00000000" w14:paraId="00000112">
      <w:pPr>
        <w:spacing w:line="480" w:lineRule="auto"/>
        <w:rPr>
          <w:sz w:val="24"/>
          <w:szCs w:val="24"/>
        </w:rPr>
      </w:pPr>
      <w:r w:rsidDel="00000000" w:rsidR="00000000" w:rsidRPr="00000000">
        <w:rPr>
          <w:rtl w:val="0"/>
        </w:rPr>
      </w:r>
    </w:p>
    <w:p w:rsidR="00000000" w:rsidDel="00000000" w:rsidP="00000000" w:rsidRDefault="00000000" w:rsidRPr="00000000" w14:paraId="00000113">
      <w:pPr>
        <w:spacing w:line="480" w:lineRule="auto"/>
        <w:rPr>
          <w:sz w:val="24"/>
          <w:szCs w:val="24"/>
        </w:rPr>
      </w:pPr>
      <w:r w:rsidDel="00000000" w:rsidR="00000000" w:rsidRPr="00000000">
        <w:rPr>
          <w:rtl w:val="0"/>
        </w:rPr>
      </w:r>
    </w:p>
    <w:p w:rsidR="00000000" w:rsidDel="00000000" w:rsidP="00000000" w:rsidRDefault="00000000" w:rsidRPr="00000000" w14:paraId="00000114">
      <w:pPr>
        <w:spacing w:line="480" w:lineRule="auto"/>
        <w:rPr>
          <w:sz w:val="24"/>
          <w:szCs w:val="24"/>
        </w:rPr>
      </w:pPr>
      <w:r w:rsidDel="00000000" w:rsidR="00000000" w:rsidRPr="00000000">
        <w:rPr>
          <w:rtl w:val="0"/>
        </w:rPr>
      </w:r>
    </w:p>
    <w:p w:rsidR="00000000" w:rsidDel="00000000" w:rsidP="00000000" w:rsidRDefault="00000000" w:rsidRPr="00000000" w14:paraId="00000115">
      <w:pPr>
        <w:spacing w:line="480" w:lineRule="auto"/>
        <w:rPr>
          <w:sz w:val="24"/>
          <w:szCs w:val="24"/>
        </w:rPr>
      </w:pPr>
      <w:r w:rsidDel="00000000" w:rsidR="00000000" w:rsidRPr="00000000">
        <w:rPr>
          <w:rtl w:val="0"/>
        </w:rPr>
      </w:r>
    </w:p>
    <w:p w:rsidR="00000000" w:rsidDel="00000000" w:rsidP="00000000" w:rsidRDefault="00000000" w:rsidRPr="00000000" w14:paraId="00000116">
      <w:pPr>
        <w:spacing w:line="480" w:lineRule="auto"/>
        <w:rPr>
          <w:sz w:val="24"/>
          <w:szCs w:val="24"/>
        </w:rPr>
      </w:pPr>
      <w:r w:rsidDel="00000000" w:rsidR="00000000" w:rsidRPr="00000000">
        <w:rPr>
          <w:rtl w:val="0"/>
        </w:rPr>
      </w:r>
    </w:p>
    <w:p w:rsidR="00000000" w:rsidDel="00000000" w:rsidP="00000000" w:rsidRDefault="00000000" w:rsidRPr="00000000" w14:paraId="00000117">
      <w:pPr>
        <w:spacing w:line="480" w:lineRule="auto"/>
        <w:rPr>
          <w:sz w:val="24"/>
          <w:szCs w:val="24"/>
        </w:rPr>
      </w:pPr>
      <w:r w:rsidDel="00000000" w:rsidR="00000000" w:rsidRPr="00000000">
        <w:rPr>
          <w:rtl w:val="0"/>
        </w:rPr>
      </w:r>
    </w:p>
    <w:p w:rsidR="00000000" w:rsidDel="00000000" w:rsidP="00000000" w:rsidRDefault="00000000" w:rsidRPr="00000000" w14:paraId="00000118">
      <w:pPr>
        <w:spacing w:line="480" w:lineRule="auto"/>
        <w:rPr>
          <w:sz w:val="24"/>
          <w:szCs w:val="24"/>
        </w:rPr>
      </w:pPr>
      <w:r w:rsidDel="00000000" w:rsidR="00000000" w:rsidRPr="00000000">
        <w:rPr>
          <w:rtl w:val="0"/>
        </w:rPr>
      </w:r>
    </w:p>
    <w:p w:rsidR="00000000" w:rsidDel="00000000" w:rsidP="00000000" w:rsidRDefault="00000000" w:rsidRPr="00000000" w14:paraId="00000119">
      <w:pPr>
        <w:spacing w:line="480" w:lineRule="auto"/>
        <w:rPr>
          <w:sz w:val="24"/>
          <w:szCs w:val="24"/>
        </w:rPr>
      </w:pPr>
      <w:r w:rsidDel="00000000" w:rsidR="00000000" w:rsidRPr="00000000">
        <w:rPr>
          <w:rtl w:val="0"/>
        </w:rPr>
      </w:r>
    </w:p>
    <w:p w:rsidR="00000000" w:rsidDel="00000000" w:rsidP="00000000" w:rsidRDefault="00000000" w:rsidRPr="00000000" w14:paraId="0000011A">
      <w:pPr>
        <w:spacing w:line="480" w:lineRule="auto"/>
        <w:rPr>
          <w:sz w:val="24"/>
          <w:szCs w:val="24"/>
        </w:rPr>
      </w:pPr>
      <w:r w:rsidDel="00000000" w:rsidR="00000000" w:rsidRPr="00000000">
        <w:rPr>
          <w:rtl w:val="0"/>
        </w:rPr>
      </w:r>
    </w:p>
    <w:p w:rsidR="00000000" w:rsidDel="00000000" w:rsidP="00000000" w:rsidRDefault="00000000" w:rsidRPr="00000000" w14:paraId="0000011B">
      <w:pPr>
        <w:spacing w:line="480" w:lineRule="auto"/>
        <w:rPr>
          <w:sz w:val="24"/>
          <w:szCs w:val="24"/>
        </w:rPr>
      </w:pPr>
      <w:r w:rsidDel="00000000" w:rsidR="00000000" w:rsidRPr="00000000">
        <w:rPr>
          <w:rtl w:val="0"/>
        </w:rPr>
      </w:r>
    </w:p>
    <w:p w:rsidR="00000000" w:rsidDel="00000000" w:rsidP="00000000" w:rsidRDefault="00000000" w:rsidRPr="00000000" w14:paraId="0000011C">
      <w:pPr>
        <w:spacing w:line="480" w:lineRule="auto"/>
        <w:rPr>
          <w:sz w:val="24"/>
          <w:szCs w:val="24"/>
        </w:rPr>
      </w:pPr>
      <w:r w:rsidDel="00000000" w:rsidR="00000000" w:rsidRPr="00000000">
        <w:rPr>
          <w:rtl w:val="0"/>
        </w:rPr>
      </w:r>
    </w:p>
    <w:p w:rsidR="00000000" w:rsidDel="00000000" w:rsidP="00000000" w:rsidRDefault="00000000" w:rsidRPr="00000000" w14:paraId="0000011D">
      <w:pPr>
        <w:spacing w:line="480" w:lineRule="auto"/>
        <w:rPr>
          <w:sz w:val="24"/>
          <w:szCs w:val="24"/>
        </w:rPr>
      </w:pPr>
      <w:r w:rsidDel="00000000" w:rsidR="00000000" w:rsidRPr="00000000">
        <w:rPr>
          <w:rtl w:val="0"/>
        </w:rPr>
      </w:r>
    </w:p>
    <w:p w:rsidR="00000000" w:rsidDel="00000000" w:rsidP="00000000" w:rsidRDefault="00000000" w:rsidRPr="00000000" w14:paraId="0000011E">
      <w:pPr>
        <w:spacing w:line="480" w:lineRule="auto"/>
        <w:rPr>
          <w:sz w:val="24"/>
          <w:szCs w:val="24"/>
        </w:rPr>
      </w:pPr>
      <w:r w:rsidDel="00000000" w:rsidR="00000000" w:rsidRPr="00000000">
        <w:rPr>
          <w:rtl w:val="0"/>
        </w:rPr>
      </w:r>
    </w:p>
    <w:p w:rsidR="00000000" w:rsidDel="00000000" w:rsidP="00000000" w:rsidRDefault="00000000" w:rsidRPr="00000000" w14:paraId="0000011F">
      <w:pPr>
        <w:spacing w:line="480" w:lineRule="auto"/>
        <w:rPr>
          <w:sz w:val="24"/>
          <w:szCs w:val="24"/>
        </w:rPr>
      </w:pPr>
      <w:r w:rsidDel="00000000" w:rsidR="00000000" w:rsidRPr="00000000">
        <w:rPr>
          <w:rtl w:val="0"/>
        </w:rPr>
      </w:r>
    </w:p>
    <w:p w:rsidR="00000000" w:rsidDel="00000000" w:rsidP="00000000" w:rsidRDefault="00000000" w:rsidRPr="00000000" w14:paraId="00000120">
      <w:pPr>
        <w:spacing w:line="480" w:lineRule="auto"/>
        <w:rPr>
          <w:sz w:val="24"/>
          <w:szCs w:val="24"/>
        </w:rPr>
      </w:pPr>
      <w:r w:rsidDel="00000000" w:rsidR="00000000" w:rsidRPr="00000000">
        <w:rPr>
          <w:rtl w:val="0"/>
        </w:rPr>
      </w:r>
    </w:p>
    <w:p w:rsidR="00000000" w:rsidDel="00000000" w:rsidP="00000000" w:rsidRDefault="00000000" w:rsidRPr="00000000" w14:paraId="00000121">
      <w:pPr>
        <w:spacing w:line="480" w:lineRule="auto"/>
        <w:rPr>
          <w:sz w:val="24"/>
          <w:szCs w:val="24"/>
        </w:rPr>
      </w:pPr>
      <w:r w:rsidDel="00000000" w:rsidR="00000000" w:rsidRPr="00000000">
        <w:rPr>
          <w:rtl w:val="0"/>
        </w:rPr>
      </w:r>
    </w:p>
    <w:p w:rsidR="00000000" w:rsidDel="00000000" w:rsidP="00000000" w:rsidRDefault="00000000" w:rsidRPr="00000000" w14:paraId="00000122">
      <w:pPr>
        <w:spacing w:line="480" w:lineRule="auto"/>
        <w:rPr>
          <w:sz w:val="24"/>
          <w:szCs w:val="24"/>
        </w:rPr>
      </w:pPr>
      <w:r w:rsidDel="00000000" w:rsidR="00000000" w:rsidRPr="00000000">
        <w:rPr>
          <w:rtl w:val="0"/>
        </w:rPr>
      </w:r>
    </w:p>
    <w:p w:rsidR="00000000" w:rsidDel="00000000" w:rsidP="00000000" w:rsidRDefault="00000000" w:rsidRPr="00000000" w14:paraId="00000123">
      <w:pPr>
        <w:spacing w:line="480" w:lineRule="auto"/>
        <w:rPr>
          <w:sz w:val="24"/>
          <w:szCs w:val="24"/>
        </w:rPr>
      </w:pPr>
      <w:r w:rsidDel="00000000" w:rsidR="00000000" w:rsidRPr="00000000">
        <w:rPr>
          <w:rtl w:val="0"/>
        </w:rPr>
      </w:r>
    </w:p>
    <w:p w:rsidR="00000000" w:rsidDel="00000000" w:rsidP="00000000" w:rsidRDefault="00000000" w:rsidRPr="00000000" w14:paraId="00000124">
      <w:pPr>
        <w:spacing w:line="480" w:lineRule="auto"/>
        <w:rPr>
          <w:sz w:val="24"/>
          <w:szCs w:val="24"/>
        </w:rPr>
      </w:pPr>
      <w:r w:rsidDel="00000000" w:rsidR="00000000" w:rsidRPr="00000000">
        <w:rPr>
          <w:rtl w:val="0"/>
        </w:rPr>
      </w:r>
    </w:p>
    <w:p w:rsidR="00000000" w:rsidDel="00000000" w:rsidP="00000000" w:rsidRDefault="00000000" w:rsidRPr="00000000" w14:paraId="00000125">
      <w:pPr>
        <w:spacing w:line="480" w:lineRule="auto"/>
        <w:rPr>
          <w:sz w:val="24"/>
          <w:szCs w:val="24"/>
        </w:rPr>
      </w:pPr>
      <w:r w:rsidDel="00000000" w:rsidR="00000000" w:rsidRPr="00000000">
        <w:rPr>
          <w:rtl w:val="0"/>
        </w:rPr>
      </w:r>
    </w:p>
    <w:p w:rsidR="00000000" w:rsidDel="00000000" w:rsidP="00000000" w:rsidRDefault="00000000" w:rsidRPr="00000000" w14:paraId="00000126">
      <w:pPr>
        <w:spacing w:line="480" w:lineRule="auto"/>
        <w:rPr>
          <w:sz w:val="24"/>
          <w:szCs w:val="24"/>
        </w:rPr>
      </w:pPr>
      <w:r w:rsidDel="00000000" w:rsidR="00000000" w:rsidRPr="00000000">
        <w:rPr>
          <w:rtl w:val="0"/>
        </w:rPr>
      </w:r>
    </w:p>
    <w:p w:rsidR="00000000" w:rsidDel="00000000" w:rsidP="00000000" w:rsidRDefault="00000000" w:rsidRPr="00000000" w14:paraId="00000127">
      <w:pPr>
        <w:spacing w:line="480" w:lineRule="auto"/>
        <w:rPr>
          <w:sz w:val="24"/>
          <w:szCs w:val="24"/>
        </w:rPr>
      </w:pPr>
      <w:r w:rsidDel="00000000" w:rsidR="00000000" w:rsidRPr="00000000">
        <w:rPr>
          <w:rtl w:val="0"/>
        </w:rPr>
      </w:r>
    </w:p>
    <w:p w:rsidR="00000000" w:rsidDel="00000000" w:rsidP="00000000" w:rsidRDefault="00000000" w:rsidRPr="00000000" w14:paraId="00000128">
      <w:pPr>
        <w:spacing w:line="240" w:lineRule="auto"/>
        <w:jc w:val="center"/>
        <w:rPr>
          <w:b w:val="1"/>
          <w:bCs w:val="1"/>
          <w:sz w:val="40"/>
          <w:szCs w:val="40"/>
        </w:rPr>
      </w:pPr>
      <w:r w:rsidDel="00000000" w:rsidR="00000000" w:rsidRPr="00000000">
        <w:rPr>
          <w:b w:val="1"/>
          <w:bCs w:val="1"/>
          <w:sz w:val="40"/>
          <w:szCs w:val="40"/>
          <w:rtl w:val="0"/>
        </w:rPr>
        <w:t xml:space="preserve">Chapter Two</w:t>
      </w:r>
    </w:p>
    <w:p w:rsidR="00000000" w:rsidDel="00000000" w:rsidP="00000000" w:rsidRDefault="00000000" w:rsidRPr="00000000" w14:paraId="00000129">
      <w:pPr>
        <w:spacing w:line="240" w:lineRule="auto"/>
        <w:jc w:val="center"/>
        <w:rPr>
          <w:b w:val="1"/>
          <w:bCs w:val="1"/>
          <w:sz w:val="40"/>
          <w:szCs w:val="40"/>
        </w:rPr>
      </w:pPr>
      <w:r w:rsidDel="00000000" w:rsidR="00000000" w:rsidRPr="00000000">
        <w:rPr>
          <w:b w:val="1"/>
          <w:bCs w:val="1"/>
          <w:sz w:val="40"/>
          <w:szCs w:val="40"/>
          <w:rtl w:val="0"/>
        </w:rPr>
        <w:t xml:space="preserve">Literature Review</w:t>
      </w:r>
    </w:p>
    <w:p w:rsidR="00000000" w:rsidDel="00000000" w:rsidP="00000000" w:rsidRDefault="00000000" w:rsidRPr="00000000" w14:paraId="0000012A">
      <w:pPr>
        <w:spacing w:line="480" w:lineRule="auto"/>
        <w:rPr>
          <w:sz w:val="24"/>
          <w:szCs w:val="24"/>
        </w:rPr>
      </w:pPr>
      <w:r w:rsidDel="00000000" w:rsidR="00000000" w:rsidRPr="00000000">
        <w:rPr>
          <w:rtl w:val="0"/>
        </w:rPr>
      </w:r>
    </w:p>
    <w:p w:rsidR="00000000" w:rsidDel="00000000" w:rsidP="00000000" w:rsidRDefault="00000000" w:rsidRPr="00000000" w14:paraId="0000012B">
      <w:pPr>
        <w:spacing w:line="480" w:lineRule="auto"/>
        <w:rPr>
          <w:sz w:val="24"/>
          <w:szCs w:val="24"/>
        </w:rPr>
      </w:pPr>
      <w:r w:rsidDel="00000000" w:rsidR="00000000" w:rsidRPr="00000000">
        <w:rPr>
          <w:rtl w:val="0"/>
        </w:rPr>
      </w:r>
    </w:p>
    <w:p w:rsidR="00000000" w:rsidDel="00000000" w:rsidP="00000000" w:rsidRDefault="00000000" w:rsidRPr="00000000" w14:paraId="0000012C">
      <w:pPr>
        <w:spacing w:line="480" w:lineRule="auto"/>
        <w:rPr>
          <w:sz w:val="24"/>
          <w:szCs w:val="24"/>
        </w:rPr>
      </w:pPr>
      <w:r w:rsidDel="00000000" w:rsidR="00000000" w:rsidRPr="00000000">
        <w:rPr>
          <w:rtl w:val="0"/>
        </w:rPr>
      </w:r>
    </w:p>
    <w:p w:rsidR="00000000" w:rsidDel="00000000" w:rsidP="00000000" w:rsidRDefault="00000000" w:rsidRPr="00000000" w14:paraId="0000012D">
      <w:pPr>
        <w:spacing w:line="480" w:lineRule="auto"/>
        <w:rPr>
          <w:sz w:val="24"/>
          <w:szCs w:val="24"/>
        </w:rPr>
      </w:pPr>
      <w:r w:rsidDel="00000000" w:rsidR="00000000" w:rsidRPr="00000000">
        <w:rPr>
          <w:rtl w:val="0"/>
        </w:rPr>
      </w:r>
    </w:p>
    <w:p w:rsidR="00000000" w:rsidDel="00000000" w:rsidP="00000000" w:rsidRDefault="00000000" w:rsidRPr="00000000" w14:paraId="0000012E">
      <w:pPr>
        <w:spacing w:line="480" w:lineRule="auto"/>
        <w:rPr>
          <w:sz w:val="24"/>
          <w:szCs w:val="24"/>
        </w:rPr>
      </w:pPr>
      <w:r w:rsidDel="00000000" w:rsidR="00000000" w:rsidRPr="00000000">
        <w:rPr>
          <w:rtl w:val="0"/>
        </w:rPr>
      </w:r>
    </w:p>
    <w:p w:rsidR="00000000" w:rsidDel="00000000" w:rsidP="00000000" w:rsidRDefault="00000000" w:rsidRPr="00000000" w14:paraId="0000012F">
      <w:pPr>
        <w:spacing w:line="480" w:lineRule="auto"/>
        <w:rPr>
          <w:sz w:val="24"/>
          <w:szCs w:val="24"/>
        </w:rPr>
      </w:pPr>
      <w:r w:rsidDel="00000000" w:rsidR="00000000" w:rsidRPr="00000000">
        <w:rPr>
          <w:rtl w:val="0"/>
        </w:rPr>
      </w:r>
    </w:p>
    <w:p w:rsidR="00000000" w:rsidDel="00000000" w:rsidP="00000000" w:rsidRDefault="00000000" w:rsidRPr="00000000" w14:paraId="00000130">
      <w:pPr>
        <w:spacing w:line="480" w:lineRule="auto"/>
        <w:rPr>
          <w:sz w:val="24"/>
          <w:szCs w:val="24"/>
        </w:rPr>
      </w:pPr>
      <w:r w:rsidDel="00000000" w:rsidR="00000000" w:rsidRPr="00000000">
        <w:rPr>
          <w:rtl w:val="0"/>
        </w:rPr>
      </w:r>
    </w:p>
    <w:p w:rsidR="00000000" w:rsidDel="00000000" w:rsidP="00000000" w:rsidRDefault="00000000" w:rsidRPr="00000000" w14:paraId="00000131">
      <w:pPr>
        <w:spacing w:line="480" w:lineRule="auto"/>
        <w:rPr>
          <w:sz w:val="24"/>
          <w:szCs w:val="24"/>
        </w:rPr>
      </w:pPr>
      <w:r w:rsidDel="00000000" w:rsidR="00000000" w:rsidRPr="00000000">
        <w:rPr>
          <w:rtl w:val="0"/>
        </w:rPr>
      </w:r>
    </w:p>
    <w:p w:rsidR="00000000" w:rsidDel="00000000" w:rsidP="00000000" w:rsidRDefault="00000000" w:rsidRPr="00000000" w14:paraId="00000132">
      <w:pPr>
        <w:spacing w:line="480" w:lineRule="auto"/>
        <w:rPr>
          <w:sz w:val="24"/>
          <w:szCs w:val="24"/>
        </w:rPr>
      </w:pPr>
      <w:r w:rsidDel="00000000" w:rsidR="00000000" w:rsidRPr="00000000">
        <w:rPr>
          <w:rtl w:val="0"/>
        </w:rPr>
      </w:r>
    </w:p>
    <w:p w:rsidR="00000000" w:rsidDel="00000000" w:rsidP="00000000" w:rsidRDefault="00000000" w:rsidRPr="00000000" w14:paraId="00000133">
      <w:pPr>
        <w:spacing w:line="480" w:lineRule="auto"/>
        <w:rPr>
          <w:sz w:val="24"/>
          <w:szCs w:val="24"/>
        </w:rPr>
      </w:pPr>
      <w:r w:rsidDel="00000000" w:rsidR="00000000" w:rsidRPr="00000000">
        <w:rPr>
          <w:rtl w:val="0"/>
        </w:rPr>
      </w:r>
    </w:p>
    <w:p w:rsidR="00000000" w:rsidDel="00000000" w:rsidP="00000000" w:rsidRDefault="00000000" w:rsidRPr="00000000" w14:paraId="00000134">
      <w:pPr>
        <w:spacing w:line="480" w:lineRule="auto"/>
        <w:rPr>
          <w:b w:val="1"/>
          <w:bCs w:val="1"/>
          <w:sz w:val="36"/>
          <w:szCs w:val="36"/>
        </w:rPr>
      </w:pPr>
      <w:bookmarkStart w:colFirst="0" w:colLast="0" w:name="_heading=h.3ipzuhuhsxgz" w:id="12"/>
      <w:bookmarkEnd w:id="12"/>
      <w:r w:rsidDel="00000000" w:rsidR="00000000" w:rsidRPr="00000000">
        <w:rPr>
          <w:b w:val="1"/>
          <w:bCs w:val="1"/>
          <w:sz w:val="36"/>
          <w:szCs w:val="36"/>
          <w:rtl w:val="0"/>
        </w:rPr>
        <w:t xml:space="preserve">Chapter Two: Literature Review</w:t>
      </w:r>
    </w:p>
    <w:p w:rsidR="00000000" w:rsidDel="00000000" w:rsidP="00000000" w:rsidRDefault="00000000" w:rsidRPr="00000000" w14:paraId="00000135">
      <w:pPr>
        <w:spacing w:line="480" w:lineRule="auto"/>
        <w:rPr>
          <w:b w:val="1"/>
          <w:bCs w:val="1"/>
          <w:sz w:val="32"/>
          <w:szCs w:val="32"/>
        </w:rPr>
      </w:pPr>
      <w:bookmarkStart w:colFirst="0" w:colLast="0" w:name="_heading=h.ypt4qtmyewa6" w:id="13"/>
      <w:bookmarkEnd w:id="13"/>
      <w:r w:rsidDel="00000000" w:rsidR="00000000" w:rsidRPr="00000000">
        <w:rPr>
          <w:b w:val="1"/>
          <w:bCs w:val="1"/>
          <w:sz w:val="32"/>
          <w:szCs w:val="32"/>
          <w:rtl w:val="0"/>
        </w:rPr>
        <w:t xml:space="preserve">2.1 Introduction</w:t>
      </w:r>
    </w:p>
    <w:p w:rsidR="00000000" w:rsidDel="00000000" w:rsidP="00000000" w:rsidRDefault="00000000" w:rsidRPr="00000000" w14:paraId="00000136">
      <w:pPr>
        <w:spacing w:line="480" w:lineRule="auto"/>
        <w:rPr>
          <w:sz w:val="24"/>
          <w:szCs w:val="24"/>
        </w:rPr>
      </w:pPr>
      <w:r w:rsidDel="00000000" w:rsidR="00000000" w:rsidRPr="00000000">
        <w:rPr>
          <w:sz w:val="24"/>
          <w:szCs w:val="24"/>
          <w:rtl w:val="0"/>
        </w:rPr>
        <w:t xml:space="preserve">This chapter provides a survey of the literature on both consumer adoption of mobile shopping experiences and voice assistants. It looks at the theoretical roots of technology adoption and emotional investment in AI commerce. The review is informed by, and builds on, two key models – the Technology Acceptance Model (TAM) and the Stimulus–Organism–Response (SOR) model – which collectively address consumers’ cognitive and affective reactions to emerging digital technologies. Each section reviews existing literature on the core constructs of the study namely, perceived usefulness, perceived ease of use, trust, emotional engagement, perceived value, and social influence, which in turn has identified research gaps and the theoretical foundation for this study.  </w:t>
      </w:r>
    </w:p>
    <w:p w:rsidR="00000000" w:rsidDel="00000000" w:rsidP="00000000" w:rsidRDefault="00000000" w:rsidRPr="00000000" w14:paraId="00000137">
      <w:pPr>
        <w:spacing w:line="480" w:lineRule="auto"/>
        <w:rPr>
          <w:b w:val="1"/>
          <w:bCs w:val="1"/>
          <w:sz w:val="28"/>
          <w:szCs w:val="28"/>
        </w:rPr>
      </w:pPr>
      <w:r w:rsidDel="00000000" w:rsidR="00000000" w:rsidRPr="00000000">
        <w:rPr>
          <w:b w:val="1"/>
          <w:bCs w:val="1"/>
          <w:sz w:val="28"/>
          <w:szCs w:val="28"/>
          <w:rtl w:val="0"/>
        </w:rPr>
        <w:t xml:space="preserve">2.2 Technology Acceptance Model (TAM)  </w:t>
      </w:r>
    </w:p>
    <w:p w:rsidR="00000000" w:rsidDel="00000000" w:rsidP="00000000" w:rsidRDefault="00000000" w:rsidRPr="00000000" w14:paraId="00000138">
      <w:pPr>
        <w:spacing w:line="480" w:lineRule="auto"/>
        <w:rPr>
          <w:sz w:val="24"/>
          <w:szCs w:val="24"/>
        </w:rPr>
      </w:pPr>
      <w:r w:rsidDel="00000000" w:rsidR="00000000" w:rsidRPr="00000000">
        <w:rPr>
          <w:sz w:val="24"/>
          <w:szCs w:val="24"/>
          <w:rtl w:val="0"/>
        </w:rPr>
        <w:t xml:space="preserve">First proposed by Davis (1989), the Technology Acceptance Model (TAM) was one of the most popular theoretical frameworks for explaining the acceptance to using a user-related technologies. Based on the Theory of Reasoned Action (TRA), established by Fishbein and Ajzen (1975), behavioral intention is predicted through individuals' attitudes to technology and social norm perception. TAM de-emphasizes this and highlights two main factors – PU (Perceived Usefulness) and PEOU (Perceived Ease of Use) – to account for the behavior and ultimately the behaviors of users who accept use of technology.  </w:t>
      </w:r>
    </w:p>
    <w:p w:rsidR="00000000" w:rsidDel="00000000" w:rsidP="00000000" w:rsidRDefault="00000000" w:rsidRPr="00000000" w14:paraId="00000139">
      <w:pPr>
        <w:spacing w:line="480" w:lineRule="auto"/>
        <w:rPr>
          <w:sz w:val="24"/>
          <w:szCs w:val="24"/>
        </w:rPr>
      </w:pPr>
      <w:r w:rsidDel="00000000" w:rsidR="00000000" w:rsidRPr="00000000">
        <w:rPr>
          <w:sz w:val="24"/>
          <w:szCs w:val="24"/>
          <w:rtl w:val="0"/>
        </w:rPr>
        <w:t xml:space="preserve">2.2.1 Core Constructs  </w:t>
      </w:r>
    </w:p>
    <w:p w:rsidR="00000000" w:rsidDel="00000000" w:rsidP="00000000" w:rsidRDefault="00000000" w:rsidRPr="00000000" w14:paraId="0000013A">
      <w:pPr>
        <w:spacing w:line="480" w:lineRule="auto"/>
        <w:rPr>
          <w:sz w:val="24"/>
          <w:szCs w:val="24"/>
        </w:rPr>
      </w:pPr>
      <w:r w:rsidDel="00000000" w:rsidR="00000000" w:rsidRPr="00000000">
        <w:rPr>
          <w:sz w:val="24"/>
          <w:szCs w:val="24"/>
          <w:rtl w:val="0"/>
        </w:rPr>
        <w:t xml:space="preserve">Perceived Usefulness (PU) is defined as the degree to which an individual holds that performing on a particular system will increase his abilities, while Perceived Ease of Use (PEOU) refers to this impression the user of a particular system has about the ease with which using it (Davis, 1989). Most of these constructs have been successfully tested empirically to predict technology acceptance (see Gefen et al., 2003; Benbasat &amp; Barki, 2007). In e-commerce, PU appears mainly in terms of functional advantages that include time savings, convenience and personalized recommending whereas PEOU relates to ease of design, smooth navigation and ease of interaction.  </w:t>
      </w:r>
    </w:p>
    <w:p w:rsidR="00000000" w:rsidDel="00000000" w:rsidP="00000000" w:rsidRDefault="00000000" w:rsidRPr="00000000" w14:paraId="0000013B">
      <w:pPr>
        <w:spacing w:line="480" w:lineRule="auto"/>
        <w:rPr>
          <w:b w:val="1"/>
          <w:bCs w:val="1"/>
          <w:sz w:val="28"/>
          <w:szCs w:val="28"/>
        </w:rPr>
      </w:pPr>
      <w:r w:rsidDel="00000000" w:rsidR="00000000" w:rsidRPr="00000000">
        <w:rPr>
          <w:b w:val="1"/>
          <w:bCs w:val="1"/>
          <w:sz w:val="28"/>
          <w:szCs w:val="28"/>
          <w:rtl w:val="0"/>
        </w:rPr>
        <w:t xml:space="preserve">2.2.2 Evolving and Extensions of TAM  </w:t>
      </w:r>
    </w:p>
    <w:p w:rsidR="00000000" w:rsidDel="00000000" w:rsidP="00000000" w:rsidRDefault="00000000" w:rsidRPr="00000000" w14:paraId="0000013C">
      <w:pPr>
        <w:spacing w:line="480" w:lineRule="auto"/>
        <w:rPr>
          <w:sz w:val="24"/>
          <w:szCs w:val="24"/>
        </w:rPr>
      </w:pPr>
      <w:r w:rsidDel="00000000" w:rsidR="00000000" w:rsidRPr="00000000">
        <w:rPr>
          <w:sz w:val="24"/>
          <w:szCs w:val="24"/>
          <w:rtl w:val="0"/>
        </w:rPr>
        <w:t xml:space="preserve">TAM has been adapted to reflect the development of new technological environments and user experiences, and has been extended over time. TAM2 (Venkatesh &amp; Davis, 2000) offered a new perspective on social influence and cognitive instrumental processes, and TAM3 (Venkatesh &amp; Bala, 2008) included computer anxiety, experience, and perceived enjoyment. In this regard, emerging hybrid models integrating TAM with UTAUT (Unified Theory of Acceptance and Use of Technology) and the SOR model to cover emotional/contextual factors affecting technology utilization has emerged in recent years (Elgammal et al., 2025; Habiboglu, 2025). Massoudi and Zaidan (2024), for instance, stated that the higher the users view of AI-powered features of e-commerce, such as recommendation quality, adaptability and personalization, the higher the perceived usefulness. Similarly, Singh et al. (2024) discovered that trust mediates the associations between PU and behavioral intention, with relation to consumers interacting with intelligent online shopping assistants. The results underscore the dynamic paradigm of TAM where cognitive assessments are replaced by affective and trust-related dimensions.  </w:t>
      </w:r>
    </w:p>
    <w:p w:rsidR="00000000" w:rsidDel="00000000" w:rsidP="00000000" w:rsidRDefault="00000000" w:rsidRPr="00000000" w14:paraId="0000013D">
      <w:pPr>
        <w:spacing w:line="480" w:lineRule="auto"/>
        <w:rPr>
          <w:b w:val="1"/>
          <w:bCs w:val="1"/>
          <w:sz w:val="28"/>
          <w:szCs w:val="28"/>
        </w:rPr>
      </w:pPr>
      <w:r w:rsidDel="00000000" w:rsidR="00000000" w:rsidRPr="00000000">
        <w:rPr>
          <w:b w:val="1"/>
          <w:bCs w:val="1"/>
          <w:sz w:val="28"/>
          <w:szCs w:val="28"/>
          <w:rtl w:val="0"/>
        </w:rPr>
        <w:t xml:space="preserve">2.2.3 TAM in Mobile Shopping and AI-Driven Contexts  </w:t>
      </w:r>
    </w:p>
    <w:p w:rsidR="00000000" w:rsidDel="00000000" w:rsidP="00000000" w:rsidRDefault="00000000" w:rsidRPr="00000000" w14:paraId="0000013E">
      <w:pPr>
        <w:spacing w:line="480" w:lineRule="auto"/>
        <w:rPr>
          <w:sz w:val="24"/>
          <w:szCs w:val="24"/>
        </w:rPr>
      </w:pPr>
      <w:r w:rsidDel="00000000" w:rsidR="00000000" w:rsidRPr="00000000">
        <w:rPr>
          <w:sz w:val="24"/>
          <w:szCs w:val="24"/>
          <w:rtl w:val="0"/>
        </w:rPr>
        <w:t xml:space="preserve">The explosive growth of mobile shopping apps has catalyzed several TAM-based studies investigating the factors behind consumer engagement and retention. Through a bibliometric review of 20 years of TAM models in online purchase behavior, Yong and Noor (2025) came to the conclusion that PU and PEOU remain major predictors of the adoption of technology, however, the importance of enjoyment, trust, and emotional attachment is growing in AI-integrated environments. Choudhary and Ahuja (2025) evaluated the motivation of young consumers toward using intelligent voice assistants and reported that perceived enjoyment and system intelligence significantly drive behavioral intention, positively moderated by trust and perceived ease of interaction for voice-based assistants. ElSayad and Mamdouh (2025) generalized TAM findings to retail e-commerce where AI-powered shopping applications were studied and found that perceived usefulness and trust are both significant predictors of customer word-of-mouth intentions. Over all, however, these studies support the continuing significance of TAM in explaining the behavioral patterns of technology adoption, and, at the same time, highlight its constraints in accounting for emotional or experiential factors. Thus, the integration of TAM with complementary frameworks like SOR allows for a broader exploration of cognitive (utility-driven) and affective (emotion-driven) processes shaping user behavior towards intelligent digital systems.</w:t>
      </w:r>
    </w:p>
    <w:p w:rsidR="00000000" w:rsidDel="00000000" w:rsidP="00000000" w:rsidRDefault="00000000" w:rsidRPr="00000000" w14:paraId="0000013F">
      <w:pPr>
        <w:spacing w:line="480" w:lineRule="auto"/>
        <w:rPr>
          <w:b w:val="1"/>
          <w:bCs w:val="1"/>
          <w:sz w:val="32"/>
          <w:szCs w:val="32"/>
        </w:rPr>
      </w:pPr>
      <w:bookmarkStart w:colFirst="0" w:colLast="0" w:name="_heading=h.qbc7frdck5nt" w:id="14"/>
      <w:bookmarkEnd w:id="14"/>
      <w:r w:rsidDel="00000000" w:rsidR="00000000" w:rsidRPr="00000000">
        <w:rPr>
          <w:b w:val="1"/>
          <w:bCs w:val="1"/>
          <w:sz w:val="32"/>
          <w:szCs w:val="32"/>
          <w:rtl w:val="0"/>
        </w:rPr>
        <w:t xml:space="preserve">2.3 Stimulus–Organism–Response (SOR) Framework</w:t>
      </w:r>
    </w:p>
    <w:p w:rsidR="00000000" w:rsidDel="00000000" w:rsidP="00000000" w:rsidRDefault="00000000" w:rsidRPr="00000000" w14:paraId="00000140">
      <w:pPr>
        <w:spacing w:line="480" w:lineRule="auto"/>
        <w:rPr>
          <w:sz w:val="24"/>
          <w:szCs w:val="24"/>
        </w:rPr>
      </w:pPr>
      <w:r w:rsidDel="00000000" w:rsidR="00000000" w:rsidRPr="00000000">
        <w:rPr>
          <w:sz w:val="24"/>
          <w:szCs w:val="24"/>
          <w:rtl w:val="0"/>
        </w:rPr>
        <w:t xml:space="preserve">Psychological and behavior researchers first introduced the Stimulus–Organism–Response (SOR) model in 1974 by Mehrabian and Russell (1974) to better explain humans' emotional responses to environmental cues. The model postulates that external stimulus (S) to an individual’s interior environment (O) - including cognitive processes, emotional experiences and emotions of self, all affect their behavior (R)--underpin them accordingly. In the field of marketing and consumer behaviour science, this framework has been valuable in helping to explain why stimuli, such as store ambience, website design or interactive technology, create psychological reactions that influence psychological and behavioral behaviors of consumers (Donovan &amp; Rossiter, 1982; Jacoby, 2002). </w:t>
      </w:r>
    </w:p>
    <w:p w:rsidR="00000000" w:rsidDel="00000000" w:rsidP="00000000" w:rsidRDefault="00000000" w:rsidRPr="00000000" w14:paraId="00000141">
      <w:pPr>
        <w:spacing w:line="480" w:lineRule="auto"/>
        <w:rPr>
          <w:b w:val="1"/>
          <w:bCs w:val="1"/>
          <w:sz w:val="24"/>
          <w:szCs w:val="24"/>
        </w:rPr>
      </w:pPr>
      <w:r w:rsidDel="00000000" w:rsidR="00000000" w:rsidRPr="00000000">
        <w:rPr>
          <w:b w:val="1"/>
          <w:bCs w:val="1"/>
          <w:sz w:val="24"/>
          <w:szCs w:val="24"/>
          <w:rtl w:val="0"/>
        </w:rPr>
        <w:t xml:space="preserve">2.3.1 Core Structure and Mechanisms </w:t>
      </w:r>
    </w:p>
    <w:p w:rsidR="00000000" w:rsidDel="00000000" w:rsidP="00000000" w:rsidRDefault="00000000" w:rsidRPr="00000000" w14:paraId="00000142">
      <w:pPr>
        <w:spacing w:line="480" w:lineRule="auto"/>
        <w:rPr>
          <w:sz w:val="24"/>
          <w:szCs w:val="24"/>
        </w:rPr>
      </w:pPr>
      <w:r w:rsidDel="00000000" w:rsidR="00000000" w:rsidRPr="00000000">
        <w:rPr>
          <w:sz w:val="24"/>
          <w:szCs w:val="24"/>
          <w:rtl w:val="0"/>
        </w:rPr>
        <w:t xml:space="preserve">The Stimulus–Organism–Response (SOR) model provides a connection between what drives behavior and what is thought to be effective external environmental stimuli in the human mind. It was suggested for the first time by Mehrabian and Russell (1974) and aimed to provide a model to understand how environmental stimuli can evoke emotional and cognitive responses, resulting in behavioral intentions. In modern digital environments, the SOR framework represents a powerful theoretical framework which can be used to conceptualise the ways that online stimuli are received by users, from the form of visualization and interaction to intelligent recommendation systems and conversational chatbots (Donovan &amp; Rossiter, 1982; Jacoby, 2002; Riandhi &amp; Arviansyah, 2025). The Stimulus (S) component for digital commerce is the set of external cues and technological characteristics to which consumers are exposed when entering an online system. These might be the quality of the interface design, interactivity, navigation convenience, responsiveness, perceived intellect and personalization (Habiboglu, 2025; Linh et al., 2025). For example, in mobile shopping, attractive qualities, color palettes and interface consistency offer consumers the basic senses stimuli and impact on their first impression. Many AI-assisted voice assistants are auditory in nature, with such things as tone, fluency, or human-likeness of voice (Choudhary &amp; Ahuja, 2025), which may induce either trust or irritation. Together, these stimuli contribute to the initial user perception stage, establishing the cognitive and emotional climate for future encounters. Organism (O) is the consumer’s internal psychological state that mediates the stimuli-behavior relationship. This phase reflects the emotional involvement, trust, satisfaction, perceived value of the system and perceived control that users have (Mohammed &amp; Ferraris, 2025; Elgammal et al., 2025). In the digital commerce context, organismic responses involve cognitive appraisals (e.g., assessing the quality of a system or its usefulness) and affective reactions (e.g., enjoyment, excitement, or anxiety). For instance, Riandhi and Arviansyah (2025) observed that emotional involvement is an important mediating factor for AI-induced stimuli (e.g., chatbot adaptiveness, customization) towards consumer loyalty. Likewise, Massoudi and Zaidan (2024) found that trust moderates the relationship between the impact of technology intelligence on purchase intention; thus, consumers may become increasingly more receptive to systems they identify as both competent and reliable. Lastly R (Respondent's factor) represents the consumer's behaviour, or intentions, as perceived by the consumer (based on analysis of internal processing). Such actions might be for purchase decisions, repeated use, word-of-mouth recommendations and brand loyalty (ElSayad &amp; Mamdouh, 2025). In AI commerce context, responses and reciprocity are not only for transactional purposes; they may also include behavioral manifestations of psychological satisfaction with repeated use of chatbot, extended time in an application, willingness to share data to be personalized (Singh et al., 2024). Emerging research for AI-based retail systems has shown that emotional satisfaction and trust have significant impacts on intention to act, which are distinct from utility-based decision making approaches (Ghazali et al., 2025; Yong &amp; Noor, 2025), suggesting organismic variables are necessary for predicting sustained engagement. More generally, the SOR model can be used as a critical perspective lens for researchers for their study of the rational and emotional processes related to consumer behavior. Unlike TAM, which is oriented toward cognitive evaluations such as perceived usefulness or perceived ease of use, SOR highlights interactivity and affect in human–technology relationships. Applied to AI-based mobile and voice shopping contexts, this framework offers insight into why environmental and technological stimuli serve to stimulate internal emotional processes that inform behavioral responses. Thus, while TAM focuses on a high level level of abstraction, the SOR framework adds a layer of psychological richness to user experiences and provides the theoretical lens through which to analyze AI-induced consumer interactions.</w:t>
      </w:r>
    </w:p>
    <w:p w:rsidR="00000000" w:rsidDel="00000000" w:rsidP="00000000" w:rsidRDefault="00000000" w:rsidRPr="00000000" w14:paraId="00000143">
      <w:pPr>
        <w:spacing w:line="480" w:lineRule="auto"/>
        <w:rPr>
          <w:b w:val="1"/>
          <w:bCs w:val="1"/>
          <w:sz w:val="24"/>
          <w:szCs w:val="24"/>
        </w:rPr>
      </w:pPr>
      <w:r w:rsidDel="00000000" w:rsidR="00000000" w:rsidRPr="00000000">
        <w:rPr>
          <w:b w:val="1"/>
          <w:bCs w:val="1"/>
          <w:sz w:val="24"/>
          <w:szCs w:val="24"/>
          <w:rtl w:val="0"/>
        </w:rPr>
        <w:t xml:space="preserve"> 2.3.2 The Impact on Digital and AI-Driven Commerce</w:t>
      </w:r>
    </w:p>
    <w:p w:rsidR="00000000" w:rsidDel="00000000" w:rsidP="00000000" w:rsidRDefault="00000000" w:rsidRPr="00000000" w14:paraId="00000144">
      <w:pPr>
        <w:spacing w:line="480" w:lineRule="auto"/>
        <w:rPr>
          <w:sz w:val="24"/>
          <w:szCs w:val="24"/>
        </w:rPr>
      </w:pPr>
      <w:r w:rsidDel="00000000" w:rsidR="00000000" w:rsidRPr="00000000">
        <w:rPr>
          <w:sz w:val="24"/>
          <w:szCs w:val="24"/>
          <w:rtl w:val="0"/>
        </w:rPr>
        <w:t xml:space="preserve"> While the Stimulus-Organism-Response (SOR) model originated as an application for face-to-face retail, it has since grown into one of the most widely accepted frameworks in digital marketing and e-commerce research. With commerce increasingly moving into online and AI-assisted channels, the nexus between technology stimuli and consumer's psychological responses has become more entwined. The SOR model provides a well-organised approach to examine these interactions, especially when features in the technology design will provoke emotional cognitive and behavioral reactions (Habiboglu, 2025; Mohammed and Ferraris, 2025). The stimuli used in digital commerce settings are not just visual or informational cues, but also dynamic and interactive technological features. They include elements that, for example, personalization algorithms, recommendation systems (Linh et al., 2025) and conversational interfaces serve as stimuli for consumers (Linh et al., 2025). If designed properly, a user interface or responsive AI chatbot can evoke positive affective states such as enjoyment, trust, and satisfaction, while poor interaction design can create frustration or anxiety (Choudhary &amp; Ahuja, 2025). These technological signals are thus the basis of consumer perception in online and mobile shopping environments. This theory is theoretically supported by empirical evidence. Riandhi and Arviansyah (2025) investigated the impact of AI-based stimuli — perceived personalization, emotional intelligence, and interactivity among them — on users’ internal states. Emotional engagement and trust were identified as the major organismic mediators between AI stimuli and purchase intentions. In parallel, Mohammed and Ferraris (2025) also studied AI chatbots and showed that responsiveness, empathy, and anthropomorphism (human-like behavior) increase trust and satisfaction, which ultimately leads to the consumers’ intention to seek continuous use of AI-enabled services. It reaffirms that stimuli with emotional resonance have a greater tendency towards instilling loyalty and long-term relationships. When it comes to mobile shopping, the SOR framework has been applicable to describe how the interface quality, navigational convenience and mobile interactivity impact in shaping consumer emotions and behavior. Aw et al. (2022) and Grewal et al. (2022), visually appealing designs of mobile applications and interactive features are strong environmental stimuli that induce users' perceived enjoyment and satisfaction. These internal states, in turn, make customers more likely to be repeat customers and customers to tell others about it. Taking this premise further with regard to AI-enabled shopping tools, ElSayad and Mamdouh (2025) found that AI-based recommendations, that are perceived to be useful and trustworthy, had powerful effects on emotional gratification and behavioral intentions towards online retailers. The SOR framework has also been very relevant in the context of voice commerce, which is the application of voice with digital assistants like Alexa, Siri, or Google Assistant to consumers. In this setup, the stimuli are auditory and conversational instead of visual. However, Choudhary and Ahuja (2025) noted that users' emotional responses to tone, warmth, and fluency of voice assistants strongly influence trust and willingness to use voice shopping systems. They contend that anthropomorphic cues (conversational empathy or humor) serve as potent emotional triggers and facilitate the user's judgement regarding the social intelligence and reliability of the assistant. Thus, these affective reactions, express as behavioral consequences, such as increased shopping frequency and product recommendations via the same voice platform. In a large-scale review, Habiboglu (2025) integrated the SOR framework into several AI-based retail systems, stressing that trust, engagement and satisfaction, which are organism-level factors, mediate technological stimuli in affecting purchase behaviors. The emotional response of the consumers has a much better predictive value in terms of behavioral loyalty than the cognitive one hence there is a growing case for including SOR into the framework of TAM in current models of digital commerce, the study pointed out. This indicates that whereas TAM explains why users buy a technology according to the convenience and usefulness, SOR explains how emotional and environmental triggers govern the depth and durability of the adoption process. The combination of SOR and TAM has been demonstrated and it is applied well in digital and AI assisted commerce. It gives researchers ability to get the functional evaluations they have not only include utilitarian evaluations (usefulness/usability) but also the emotional ones (trust, enjoyment, engagement) to arrive at a holistic view on consumer behaviour in technologically mediated environments. As mobile and voice shopping applications advance, the incorporation of SOR principles become an informative tool for examining the effects of AI capabilities on psychological and behavioral intentions, which has become pivotal in the study at hand.</w:t>
      </w:r>
    </w:p>
    <w:p w:rsidR="00000000" w:rsidDel="00000000" w:rsidP="00000000" w:rsidRDefault="00000000" w:rsidRPr="00000000" w14:paraId="00000145">
      <w:pPr>
        <w:spacing w:line="480" w:lineRule="auto"/>
        <w:rPr>
          <w:b w:val="1"/>
          <w:bCs w:val="1"/>
          <w:sz w:val="28"/>
          <w:szCs w:val="28"/>
        </w:rPr>
      </w:pPr>
      <w:r w:rsidDel="00000000" w:rsidR="00000000" w:rsidRPr="00000000">
        <w:rPr>
          <w:b w:val="1"/>
          <w:bCs w:val="1"/>
          <w:sz w:val="28"/>
          <w:szCs w:val="28"/>
          <w:rtl w:val="0"/>
        </w:rPr>
        <w:t xml:space="preserve">2.3.3 Integration of SOR with TAM</w:t>
      </w:r>
    </w:p>
    <w:p w:rsidR="00000000" w:rsidDel="00000000" w:rsidP="00000000" w:rsidRDefault="00000000" w:rsidRPr="00000000" w14:paraId="00000146">
      <w:pPr>
        <w:spacing w:line="480" w:lineRule="auto"/>
        <w:rPr>
          <w:sz w:val="24"/>
          <w:szCs w:val="24"/>
        </w:rPr>
      </w:pPr>
      <w:r w:rsidDel="00000000" w:rsidR="00000000" w:rsidRPr="00000000">
        <w:rPr>
          <w:sz w:val="24"/>
          <w:szCs w:val="24"/>
          <w:rtl w:val="0"/>
        </w:rPr>
        <w:t xml:space="preserve">And even though the Technology Acceptance Model (TAM) and the Stimulus–Organism–Response (SOR) framework have been used separately in numerous studies in the fields of technology adoption and consumer behavior, recent studies have suggested the complementary nature of the two models. TAM accounts for the cognitive facets of technology acceptance—the users’ evaluation of the usefulness and ease of use of a system—while SOR accounts for emotional and psychological responses shaped by external stimuli when developing such behavior. Combining both models allows for a full view consisting of the rational assessment, affective response, and behavioral intention (Habiboglu, 2025; Linh et al., 2025; Elgammal et al., 2025). This theoretical rationale for integration stems from the realization that technology adoption is not merely a reasoned decision process. According to the theories in the literature, consumers’ attitudes and behaviors are determined through complex interrelation of cognitive assessment (according to the Technology Acceptance Model (TAM)) and affective experience (according to the Stimulus–Organism–Response (SOR) framework) (Al-Fraihat et al., 2023). When users engage with mobile shopping apps or AI voice assistants, for example, they are not simply considering whether or not the system is useful or easy to use, they are also reacting to the design aesthetics, system intelligence and human-like interaction patterns emotionally. They function as environmental stimuli (S) which influence the internal psychological state (O) including trust, engagement, or enjoyment that ultimately leads to an individual’s behavior (R), like habitual use or purchase intention. This synergy is supported by empirical findings. Elgammal et al. (2025) created a combined TAM–SOR framework to study the implementation of AI in retail commerce. Their results indicated that the perceived usefulness (a TAM variable) was a direct predictor of emotional engagement (an SOR organism variable), thus mediating the relationship between cognitive evaluation and behavioral intention. Likewise, Massoudi and Zaidan (2024) observed that trust and satisfaction among users directly related to perceived ease of use, which are both organismic variables that induce behavioral intentions to accept AI-based online shopping. These studies demonstrate that combining TAM and SOR explains not just consumers' technology adoption, but also how emotional and environmental stimuli influence their ongoing use of technology. Further, the combination of these paradigms is even more pertinent in AI-based and voice commerce, as emotional dimensions are paramount. According to Choudhary and Ahuja (2025), the degree of their users’ perceiving system intelligence and empathy significantly influences trust and enjoyment, organismic states mediating perceived usefulness and intention to utilize voice assistants. Likewise, Mohammed and Ferraris (2025) demonstrated that conversational empathy and AI responsiveness (stimuli) evoke positive emotional responses; these in turn influence how users judge the system's usefulness and ease of use. This mutual support implies that TAM and SOR are not independent models of the same behavior process but are interrelated layers. From a theoretical perspective, the integration of TAM and SOR permits researchers to attain a more comprehensive and situation-sensitive perspective on technology use. To begin, though it is true that TAM emphasizes instrumental beliefs (usefulness and ease of use) as antecedents of behavioral intention, SOR focuses rather on emotional and environmental contexts that trigger belief and mediate it. This integrated model approach has proven valid in research in the areas of mobile commerce (Aw et al., 2022), AI retail systems (Habiboglu, 2025), chatbot interaction (Riandhi &amp; Arviansyah, 2025), where the predictive capacity of cognitive variables is significantly reinforced by the emotional engagement and trust.</w:t>
      </w:r>
    </w:p>
    <w:p w:rsidR="00000000" w:rsidDel="00000000" w:rsidP="00000000" w:rsidRDefault="00000000" w:rsidRPr="00000000" w14:paraId="00000147">
      <w:pPr>
        <w:spacing w:line="480" w:lineRule="auto"/>
        <w:rPr>
          <w:b w:val="1"/>
          <w:bCs w:val="1"/>
          <w:sz w:val="32"/>
          <w:szCs w:val="32"/>
        </w:rPr>
      </w:pPr>
      <w:bookmarkStart w:colFirst="0" w:colLast="0" w:name="_heading=h.de8r1nyzklp3" w:id="15"/>
      <w:bookmarkEnd w:id="15"/>
      <w:r w:rsidDel="00000000" w:rsidR="00000000" w:rsidRPr="00000000">
        <w:rPr>
          <w:b w:val="1"/>
          <w:bCs w:val="1"/>
          <w:sz w:val="32"/>
          <w:szCs w:val="32"/>
          <w:rtl w:val="0"/>
        </w:rPr>
        <w:t xml:space="preserve">2.4 Central Issues that Drive Customer Behavior  </w:t>
      </w:r>
    </w:p>
    <w:p w:rsidR="00000000" w:rsidDel="00000000" w:rsidP="00000000" w:rsidRDefault="00000000" w:rsidRPr="00000000" w14:paraId="00000148">
      <w:pPr>
        <w:spacing w:line="480" w:lineRule="auto"/>
        <w:rPr>
          <w:sz w:val="24"/>
          <w:szCs w:val="24"/>
        </w:rPr>
      </w:pPr>
      <w:r w:rsidDel="00000000" w:rsidR="00000000" w:rsidRPr="00000000">
        <w:rPr>
          <w:sz w:val="24"/>
          <w:szCs w:val="24"/>
          <w:rtl w:val="0"/>
        </w:rPr>
        <w:t xml:space="preserve">The attitudes and behavioral intentions of consumers in respect to mobile shopping applications and voice assistants must be interpreted through the main constructs involved in the study. Based on the Technology Acceptance Model (TAM) and the Stimulus–Organism–Response (SOR) framework, in this section, we explore six important constructs that together contribute to technology acceptance and use: PU (Perceived Usefulness), PEOU (Perceived Ease of Use), Trust, Emotional Engagement, Perceived Value, and Social Influence.  </w:t>
      </w:r>
    </w:p>
    <w:p w:rsidR="00000000" w:rsidDel="00000000" w:rsidP="00000000" w:rsidRDefault="00000000" w:rsidRPr="00000000" w14:paraId="00000149">
      <w:pPr>
        <w:spacing w:line="480" w:lineRule="auto"/>
        <w:rPr>
          <w:b w:val="1"/>
          <w:bCs w:val="1"/>
          <w:sz w:val="28"/>
          <w:szCs w:val="28"/>
        </w:rPr>
      </w:pPr>
      <w:r w:rsidDel="00000000" w:rsidR="00000000" w:rsidRPr="00000000">
        <w:rPr>
          <w:b w:val="1"/>
          <w:bCs w:val="1"/>
          <w:sz w:val="28"/>
          <w:szCs w:val="28"/>
          <w:rtl w:val="0"/>
        </w:rPr>
        <w:t xml:space="preserve">2.4.1 PU (Perceived Usefulness)  </w:t>
      </w:r>
    </w:p>
    <w:p w:rsidR="00000000" w:rsidDel="00000000" w:rsidP="00000000" w:rsidRDefault="00000000" w:rsidRPr="00000000" w14:paraId="0000014A">
      <w:pPr>
        <w:spacing w:line="480" w:lineRule="auto"/>
        <w:rPr>
          <w:sz w:val="24"/>
          <w:szCs w:val="24"/>
        </w:rPr>
      </w:pPr>
      <w:r w:rsidDel="00000000" w:rsidR="00000000" w:rsidRPr="00000000">
        <w:rPr>
          <w:sz w:val="24"/>
          <w:szCs w:val="24"/>
          <w:rtl w:val="0"/>
        </w:rPr>
        <w:t xml:space="preserve">Perceived Usefulness (PU) represents one of the key determinants of TAM and is described by Davis (1989) as: “the extent to which an individual believes that using a given system will increase his or her performance.” In relation to mobile and AI powered shopping, perceived usefulness demonstrates how consumers perceive these technologies as tools that make purchasing easier, enhance decision making (Benbasat &amp; Barki, 2007), or offer better personalized and more organized shopping experiences (Singh et al., 2024). Recent studies point that perceived usefulness can extend beyond functional benefits through contextual and experiential benefits. For example, Massoudi and Zaidan (2024) found that users of AI-based e-commerce platforms evaluated the usefulness of these systems based on the relevance of suggesting products and their satisfaction with the purchase process. This aligns with ElSayad and Mamdouh (2025) who showed that AI retail systems that supply accurate help in real time substantially improve perceived usefulness which directly affects positive word-of-mouth intention and consumer’s satisfaction. In mobile shopping environments, usefulness is frequently associated with time efficiency, ease of comparison, and offers. Aw et al. (2022) also found that consumers’ perceived usefulness of mobile applications can predict more return purchase intentions and loyalty behaviour. In a bibliometric study of TAM applications in digital commerce, Yong and Noor (2025) discovered that PU is maintained as the most significant predictor of behavioral intention through more than 40% of variance between different studies of e-commerce. For voice shopping, perceived usefulness is associated with accuracy, contextual understanding, and convenience. According to Choudhary and Ahuja (2025), voice assistants that know how to read spoken natural speech and provide relevant product recommendations greatly improve the perceptions of consumers’ usefulness and, accordingly, enhance the intention to purchase voice shopping platforms. Schultz and Kaiser (2025) similarly found that when consumers view a voice assistant as being efficient for multi-tasking (ordering, delivery check, product recommendations, for example), they increase in satisfaction and loyalty intentions. Perceived usefulness may be interpreted from a SOR perspective as both a stimulus and organismic response. It serves as a cognitive appraisal activated by technological stimuli (like the quality of the design, the intelligence and the personalization) and also a mediating factor that affects emotional involvement and behavior outcomes. For example, Elgammal et al. (2025) found that perceived usefulness mediates the impact of technological intelligence on emotional engagement and purchase intention in AI-enabled shopping applications. Therefore, PU not only predicts behavior intention but also facilitates positive affective responses that can help users trust and emotionally affect the system. In the combined TAM-SOR model, PU is also assumed to be a bridging factor integrating cognitive measurement to affective and behavioral variables. When users regard the system as valuable, they expect emotional satisfaction and psychological comfort, promoting continuous behavioral involvement (Habiboglu, 2025; Riandhi &amp; Arviansyah, 2025). Thus, the perceived usefulness is expected in the present study to influence how consumers cognitively and emotionally respond to mobile shopping and voice assistants technologies.</w:t>
      </w:r>
    </w:p>
    <w:p w:rsidR="00000000" w:rsidDel="00000000" w:rsidP="00000000" w:rsidRDefault="00000000" w:rsidRPr="00000000" w14:paraId="0000014B">
      <w:pPr>
        <w:spacing w:line="480" w:lineRule="auto"/>
        <w:rPr>
          <w:b w:val="1"/>
          <w:bCs w:val="1"/>
          <w:sz w:val="28"/>
          <w:szCs w:val="28"/>
        </w:rPr>
      </w:pPr>
      <w:r w:rsidDel="00000000" w:rsidR="00000000" w:rsidRPr="00000000">
        <w:rPr>
          <w:b w:val="1"/>
          <w:bCs w:val="1"/>
          <w:sz w:val="28"/>
          <w:szCs w:val="28"/>
          <w:rtl w:val="0"/>
        </w:rPr>
        <w:t xml:space="preserve">2.4.2 Perceived Ease of Use (PEOU)</w:t>
      </w:r>
    </w:p>
    <w:p w:rsidR="00000000" w:rsidDel="00000000" w:rsidP="00000000" w:rsidRDefault="00000000" w:rsidRPr="00000000" w14:paraId="0000014C">
      <w:pPr>
        <w:spacing w:line="480" w:lineRule="auto"/>
        <w:rPr>
          <w:sz w:val="24"/>
          <w:szCs w:val="24"/>
        </w:rPr>
      </w:pPr>
      <w:r w:rsidDel="00000000" w:rsidR="00000000" w:rsidRPr="00000000">
        <w:rPr>
          <w:sz w:val="24"/>
          <w:szCs w:val="24"/>
          <w:rtl w:val="0"/>
        </w:rPr>
        <w:t xml:space="preserve">Perceived Ease of Use (PEOU), defined as “the degree to which a person believes that using a particular system would be free of effort” (Davis, 1989), forms the second pillar of the Technology Acceptance Model (TAM). It measures users’ views on how easy and intuitive a technological system is to operate. Positive perceptions toward a system and positive intentions to use a system (and for continued use) are more likely to emerge when using the system is easier (Gefen et al., 2003; Venkatesh &amp; Bala, 2008). In the setting of mobile shopping apps and AI-based voice assistants, PEOU is indicative of how naturally users can interact with technology, access features, and reach their desired outcomes without frustration or complexity. According to the model, PEOU has direct and indirect impacts on behavioral intention. Most importantly, easy-to-use systems lead users to feel more confident and eager to try the new system out in practice. PEOU indirectly increases Perceived Usefulness (PU) – for instance, as users are apt to appreciate the utility of a system more when it is easy and accessible (Benbasat &amp; Barki, 2007). It is also supported in multiple digital contexts. For instance, Singh et al. (2024) found that users of AI-based online shopping assistants had significantly increased perceived usefulness when the interaction process was intuitive and seamless. Similarly, Massoudi and Zaidan (2024) found that PEOU has a positive effect on PU and trust in AI e-commerce systems, pointing out that system simplicity is a necessary condition for not only functional acceptance but also emotional acceptance. In the mobile store, PEOU is reflected in the clarity of the interface, ease of navigation, mobile responsiveness, as well as visual consistency. Consumers who perceive shopping apps to be easy to use typically find a better level of satisfaction for themselves—as well as greater engagement. Aw et al. (2022) found that ease of navigation and simplicity of mobile layouts were two significant predictors of consumers’ attitude toward using shopping apps in the mobile environment. As such, among TAM constructs, PEOU is found to be the most significant indirect predictor of purchase intention along with PU and trust (Yong and Noor, 2025), highlighting PEOU's predominant part in technology acceptance. In voice-based commerce, PEOU is further expanded into interactional and linguistic ease (that is, how effortlessly a user can communicate with a digital assistant and how effectively it manages voice commands). According to Choudhary and Ahuja (2025), perceived ease of use significantly boosts user satisfaction and intention to use when voice assistants understand users’ speech fluently, provide coherent responses, and require minimal correction: (1) they can easily recognize pronunciation errors (a characteristic that is found in most AI programs), (2) the recognition of correct wording can improve users’ attitudes toward the chatbot or device, and (3) they are more likely to trust the AI-generated content (i.e., it is more consistent and trustworthy (Golsoff et al., 2022)). Their results emphasize that the naturalness of conversational tone, the perceivability of intelligence of the voice interface, and its influence on ease for conversational interchange are essential players. Furthermore, Schultz and Kaiser (2025) demonstrated that simple task execution (e.g., reordering previous transactions or tracking deliveries using voice commands) reduces user anxiety and enhances intention to continue using AI-based voice assistants. PEOU as an organismic parameter can also be viewed as a stimulus in the SOR view. As a stimulus, it illustrates design features of the system that impact the internal cognitive and emotional states. It reflects the user’s perception of comfort and a low cognitive load, as well as a sense of control, when using technology as an organismic response. Elgammal et al. (2025) found that ease of use increases emotional engagement by lowering mental effort, which makes it more enjoyable, resulting in increased behavioral intention. Habiboglu (2025) also reiterated that reducing friction in user interaction enhances affective satisfaction, leading to loyalty in AI-enabled commerce. PEOU is, therefore, a key bridge in integrated TAM–SOR models connecting technological design to emotional involvement. Easy-to-use systems do not only boost usefulness and perceived utility but also encourage positive emotions like trust, enjoyment, and comfort. These psychological reactions are necessary organismic mediators that convert ease of understanding of system into behavioral consequences (Riandhi &amp; Arviansyah, 2025). As a result, within this study, Perceived Ease of Use is proposed as a key principle affecting both the cognitive as well as affective dimensions of consumer behavior, being a strong precursor of perceived usefulness, trust, and engagement related to mobile shopping applications and voice-based AI systems.</w:t>
      </w:r>
    </w:p>
    <w:p w:rsidR="00000000" w:rsidDel="00000000" w:rsidP="00000000" w:rsidRDefault="00000000" w:rsidRPr="00000000" w14:paraId="0000014D">
      <w:pPr>
        <w:spacing w:line="480" w:lineRule="auto"/>
        <w:rPr>
          <w:b w:val="1"/>
          <w:bCs w:val="1"/>
          <w:sz w:val="28"/>
          <w:szCs w:val="28"/>
        </w:rPr>
      </w:pPr>
      <w:r w:rsidDel="00000000" w:rsidR="00000000" w:rsidRPr="00000000">
        <w:rPr>
          <w:b w:val="1"/>
          <w:bCs w:val="1"/>
          <w:sz w:val="28"/>
          <w:szCs w:val="28"/>
          <w:rtl w:val="0"/>
        </w:rPr>
        <w:t xml:space="preserve">2.4.3 Trust</w:t>
      </w:r>
    </w:p>
    <w:p w:rsidR="00000000" w:rsidDel="00000000" w:rsidP="00000000" w:rsidRDefault="00000000" w:rsidRPr="00000000" w14:paraId="0000014E">
      <w:pPr>
        <w:spacing w:line="480" w:lineRule="auto"/>
        <w:rPr>
          <w:sz w:val="24"/>
          <w:szCs w:val="24"/>
        </w:rPr>
      </w:pPr>
      <w:r w:rsidDel="00000000" w:rsidR="00000000" w:rsidRPr="00000000">
        <w:rPr>
          <w:sz w:val="24"/>
          <w:szCs w:val="24"/>
          <w:rtl w:val="0"/>
        </w:rPr>
        <w:t xml:space="preserve">Trust has become an increasingly important characteristic in digital and AI-based commerce because it will influence intention to use technology. Trust is defined as, “the willingness of a party to be vulnerable to the actions of another party based on the expectation that the other will perform a particular action important to the trustor” (Mayer et al., 1995). The trust in online shopping indicates consumers’ belief that the platform or system is stable, safe, and acts in the user’s best interest (Gefen et al., 2003). Trust acts as an organismic factor (internal psychological state influencing behavior) as well as a mediator between cognitive evaluations (usefulness, ease of use) and behavioral responses (purchase intention, continued use) within the frameworks of TAM and SOR. Trust, from the perspective of the TAM, complements the conventional belief–attitude–intention chain by bridging the gap of risk and uncertainty common in online and AI-assisted environments. Though perceived usefulness and ease of use clarify functional acceptance, this only accounts for functional acceptance and does not reflect the psychological degree of assurance users need to engage their systems that work autonomously or collect personal data. Gefen et al. (2003) emphasized that trust as a missing cognitive component in TAM determines how technology beliefs are transformed into behavioral intentions. Recent empirical evidence also supports this extension. Massoudi and Zaidan (2024) also found that trust mediates between perceived usefulness and intention to use AI-supported e-commerce systems. Similarly, Singh et al. (2024) reported that consumers’ perceived intelligence and integrity about an AI shopping assistant significantly improve their trust and adoption intention. From SOR point of view, trust is considered as an organismic variable, formed by external parameters like reliability, transparency, personalization and interactivity of system. Elgammal et al. (2025) found that consumers build trust in AI systems that appear transparent and accurate in their recommendations, which implied that the technology design and algorithmic communication are the prime stimuli. As Habiboglu (2025) affirmed, perceived AI competence, empathy, and consistency are stimuli driving emotional trust and satisfaction that lead to purchase intention. Trust thereby stands as an emotional bridge between external technological cues (stimuli) and behavioral outcomes (responses). In mobile shopping, the core of trust lies in security, privacy, and system reliability. Aw et al. (2022) report that assurance of data protection and secure payment gateway significantly contributes to higher trust amongst users in mobile shopping platforms, which in turn enhances the user’s purchase commitment and repurchase intention. Grewal et al. (2022) concluded that brand familiarity combined with mobile app performance was one of the critical first-order predictors of trust in the world of digital retailing. Particularly with AI and voice-based shopping, trust is even more critical as users work with systems that analyze users’ personal data and generate recommendations autonomously. According to Choudhary and Ahuja (2025), users’ perceptions of voice assistant transparency (i.e., explanation of action, acknowledgment of user commands) contribute to increase trust that leads to higher usage intention. Similarly, Schultz and Kaiser (2025) showed that conversational empathy—expressed through polite tone, natural voice modulation, and context-aware responses—creates emotional trust and ultimately positive behavior. These results highlight the affective and social aspects of trust in AI settings, where the quality of an interaction can sometimes be as important as the technical correctness of that interaction. This is followed by Mohammed and Ferraris (2025)'s research exploring trust as a mediator and moderator in the adoption of AI chatbots. Trust was found to mediate the effects of stimuli such as responsiveness and personalization towards satisfaction and continued use, as well as providing a moderating role for the relationship of perceived usefulness with behavioral intention. That is, low trust reduces adoption intentions toward a system even when the users realize the system is useful, while high trust increases the users’ adoption intentions to use a system. This dual role emphasizes trust as a central psychological mechanism in AI commerce. Incorporating trust into the TAM–SOR model offers a more holistic and multi-faceted view on consumer behavior. In this sense trust establishes a relationship among cognitive appraisals (usefulness, ease of use) to affective states (comfort and satisfaction) to behaviour (loyalty and intention). As reported by ElSayad and Mamdouh (2025), individuals who perceive AI-powered shopping assistants to be useful not only experience higher emotional satisfaction, but also are more interested in recommending them to others. Thus, in this study, trust is identified as a major organismic construct regulating the connection between technological attributes (stimuli) and behavioral outcomes (responses), mediating consumers’ adoption and engagement with both mobile shopping technologies and voice assistants.</w:t>
      </w:r>
    </w:p>
    <w:p w:rsidR="00000000" w:rsidDel="00000000" w:rsidP="00000000" w:rsidRDefault="00000000" w:rsidRPr="00000000" w14:paraId="0000014F">
      <w:pPr>
        <w:spacing w:line="480" w:lineRule="auto"/>
        <w:rPr>
          <w:b w:val="1"/>
          <w:bCs w:val="1"/>
          <w:sz w:val="28"/>
          <w:szCs w:val="28"/>
        </w:rPr>
      </w:pPr>
      <w:r w:rsidDel="00000000" w:rsidR="00000000" w:rsidRPr="00000000">
        <w:rPr>
          <w:b w:val="1"/>
          <w:bCs w:val="1"/>
          <w:sz w:val="28"/>
          <w:szCs w:val="28"/>
          <w:rtl w:val="0"/>
        </w:rPr>
        <w:t xml:space="preserve">2.4.4 Emotional Engagement</w:t>
      </w:r>
    </w:p>
    <w:p w:rsidR="00000000" w:rsidDel="00000000" w:rsidP="00000000" w:rsidRDefault="00000000" w:rsidRPr="00000000" w14:paraId="00000150">
      <w:pPr>
        <w:spacing w:line="480" w:lineRule="auto"/>
        <w:rPr>
          <w:sz w:val="24"/>
          <w:szCs w:val="24"/>
        </w:rPr>
      </w:pPr>
      <w:r w:rsidDel="00000000" w:rsidR="00000000" w:rsidRPr="00000000">
        <w:rPr>
          <w:sz w:val="24"/>
          <w:szCs w:val="24"/>
          <w:rtl w:val="0"/>
        </w:rPr>
        <w:t xml:space="preserve">Emotional involvement has become a key concept in relation to user engagement toward technology—especially in digital environments that use AI, personalization, and interactivity. It is the emotional involvement, attachment, and psychological bond a consumer has with the digital platform or system (Hollebeek et al., 2014). In the Stimulus–Organism–Response (SOR), emotional engagement is an organismic state, wherein there is an inner psychological response, or an internal psychological reaction to technological or environmental stimuli, serving as mediatory factor between external system features and behavioral outcomes (Elgammal et al., 2025; Riandhi &amp; Arviansyah, 2025). Unlike cognitive antecedents in terms of perceived usefulness or ease of use, emotional engagement underlines the affective component of consumer–technology interaction. Consumers no longer engage passively with digital tools in mobile and AI-enabled commerce; on the contrary, they create emotional bonds with smart technologies that they perceive as adaptable, responsive and socially aware. These interactions produce feelings of satisfaction, excitement, or trust that contribute to the intention to act (Habiboglu, 2025; Mohammed and Ferraris, 2025). According to the TAM–SOR integration theory, emotional engagement acts as a medium between cognitive appraisals (usefulness, perceived ease of use) and behavioral outcomes (continued use, purchase intention), the mediating element. Users who feel that such a system is useful and easy for them to use, are more likely to experience emotional connection, and thus, be more likely to keep using the system because it becomes increasingly less problematic. Elgammal et al. (2025) supported this mediating role and demonstrated that emotional engagement fully mediates the AI stimuli (including but not limited to, responsiveness, personalization, transparency) and the intention to purchase from AI stimuli in a positive direction. Similarly, Massoudi and Zaidan (2024) noted that emotional engagement has an important influence that magnified the positive association of perceived usefulness with satisfaction and behavioral loyalty in AI-enabled e-commerce. In mobile shopping apps, emotional engagement is frequently caused by aesthetics, interactivity and customization. Aw et al. (2022), mobile users who were emotionally attached to a shopping app — as a result of its appealing design, recommendation accuracy and perceived intelligence — appeared to have more purchase intention and longer-term loyalty. Grewal et al. (2022) further supported this in the case that emotional engagement mediates the effect of mobile user interface quality on the repeat purchase behaviour. These results highlight the need to design mobile systems of positive affect, rather than cognitive based factors. In voice shopping environments, emotional engagement is largely determined by the human and social characteristics of AI assistants. Choudhary and Ahuja (2025) discovered that the emotional tone, warmth, and empathy of voice assistants had a positive impact on participants’ feelings of connectedness, and consequently trust and intentions for use. In the same vein, Schultz and Kaiser (2025) found that consumers who felt emotionally supported by their voice assistants--especially in relation to their humor or empathy--were likely to depend on them for repeated shopping tasks. These studies remind us that the emotional involvement was not only generated by system performance, but also by the social messages and affective communication that are incorporated into AI interactions. From the SOR perspective, emotional engagement constitutes an important organismic factor that converts external stimuli (e.g., interface design, personalization, tone, interactivity) to subsequent behavioral responses (e.g., loyalty, advocacy, and/or sustained use). According to Riandhi and Arviansyah (2025) emotional engagement explains most of the variation between AI stimuli and user satisfaction, in excess of the other cognitive reasons. Similarly, Habiboglu (2025) states that emotional engagement is the most important determinant for flow experience which refers to the level of engagement with AI–based shopping platforms that results in higher loyalty to such systems. And also, emotional engagement is very significantly correlated with trust; sense of value that constitute a triadic relationship, which is fundamental to AI commerce. Emotional engagement with a technology, fosters trust in it and increases consumers’ perception of the technology as a whole (ElSayad and Mamdouh 2025). Thus, emotional engagement is serving not just as a medium, but as reinforcing influence, taking in increased amount both cognitive and affective factors as part of the consumer–technology interaction.</w:t>
      </w:r>
    </w:p>
    <w:p w:rsidR="00000000" w:rsidDel="00000000" w:rsidP="00000000" w:rsidRDefault="00000000" w:rsidRPr="00000000" w14:paraId="00000151">
      <w:pPr>
        <w:spacing w:line="480" w:lineRule="auto"/>
        <w:rPr>
          <w:b w:val="1"/>
          <w:bCs w:val="1"/>
          <w:sz w:val="28"/>
          <w:szCs w:val="28"/>
        </w:rPr>
      </w:pPr>
      <w:r w:rsidDel="00000000" w:rsidR="00000000" w:rsidRPr="00000000">
        <w:rPr>
          <w:b w:val="1"/>
          <w:bCs w:val="1"/>
          <w:sz w:val="28"/>
          <w:szCs w:val="28"/>
          <w:rtl w:val="0"/>
        </w:rPr>
        <w:t xml:space="preserve">2.4.5 Perceived Value</w:t>
      </w:r>
    </w:p>
    <w:p w:rsidR="00000000" w:rsidDel="00000000" w:rsidP="00000000" w:rsidRDefault="00000000" w:rsidRPr="00000000" w14:paraId="00000152">
      <w:pPr>
        <w:spacing w:line="480" w:lineRule="auto"/>
        <w:rPr>
          <w:sz w:val="24"/>
          <w:szCs w:val="24"/>
        </w:rPr>
      </w:pPr>
      <w:r w:rsidDel="00000000" w:rsidR="00000000" w:rsidRPr="00000000">
        <w:rPr>
          <w:sz w:val="24"/>
          <w:szCs w:val="24"/>
          <w:rtl w:val="0"/>
        </w:rPr>
        <w:t xml:space="preserve">Perceived Value (PV) is a broad measure of overall buyer’s perceptions of the benefit, meaning that the evaluation may reflect the user’s evaluation of product and service value and what has been communicated and accepted by an entity and its values (Zeithaml, 1988). It includes not only money aspects but also functional, emotional, or social perspectives that cumulatively shape behavioral intentions (Blut et al., 2024; Aw et al., 2022). Perceived value is a crucial organismic construct in Technology Acceptance Model (TAM) integrating Stimulus-Organism-Response (SOR) that embodies users' holistic cognitive and affective assessments of technology. According to the traditional TAM-based studies, perceived value is considered as a function of perceived usefulness — with users perceiving a technology useful and effective they will have more overall value at their disposal (Venkatesh &amp; Bala, 2008). A new study expands this view by adding to it emotional and experiential component, understanding that consumers not only assess utility, but also affect, trust and personal relevance (Habiboglu, 2025; Elgammal et al., 2025). That is to say, the value perceived in AI and mobile commerce is a multi-layered thing, combining cognitive utility and emotional experience. In terms of market research, the primary analysis of this paper is empirical research (Gassal, 2024). For users of mobile shopping applications, the perceived value is derived from the convenience of using mobile applications for transactions, the ability to personalize products, and the speed of sales. Aw et al. (2022) argue that perceived value is the mediator of the relationship between mobile app interactivity and repurchase intention: those who find it easier and more efficient to use these apps show more loyalty. Similarly, Grewal et al. (2022) observed that value perception in mobile retailing is constructed through personalization and promotional elements which lead to customer satisfaction and brand loyalty. Results affirm that perceived value is a critical component of both attitudinal and behavioral loyalty in mobile commerce. Intelligence, human-likeness, and personalization are among the aspects of value perceived in AI-driven and voice shop contexts beyond mere convenience. Choudhary and Ahuja (2025) found that with contextually relevant, accurate recommendations, user perceived voice assistants are perceived as more valuable as their perceived value has a corresponding influence on behavioral intention and trust. Similarly, ElSayad and Mamdouh (2025) reported that AI-supported recommendation systems, providing personalized and consistent advice, improve perceived value and emotional satisfaction in return higher consumers’ tendency to repeat shopping habit. Using the SOR perspective as a perspective, perceived value serves as a central organismic state that indicates the combination of cognitive and affective responses to the technological stimuli. For example, stimuli involving interface look and feel, recommendation quality, interactivity, and emotion tone encourage an internal perception of perceived value that is then reflected in a behavioral response such as purchase intentions and word-of-mouth advocacy (Riandhi &amp; Arviansyah, 2025). According to Habiboglu (2025), also perceived value acts as mediation between AI-driven stimuli (personalization, responsiveness, transparency) and emotional engagement thus confirming its position at the cognitive, an emotional one of a perception for technology’s effects. Trust and perceived value are closely connected in AI commerce. Consumers who trust an AI system are more likely to perceive its outputs as worthwhile, and a high perception of value promotes emotional trust. In this context, Massoudi and Zaidan (2024) discovered that perceived value serves as a strong moderator of trust vs. behavioral intention (and therefore that trust-driven engagement is stronger with high perceived value in consumer interaction with AI-based shopping assistants). This results indicate that the perceived value is not only a result, but also an amplifier of emotional and cognitive dimensions. In holistic TAM–SOR models, perceived value acts as a mediating mechanism for connectivity between cognitive evaluations (usefulness, ease of use), affective reactions (trust, engagement), and behavioral intentions (continued use, loyalty). For example, Elgammal et al. (2025) and Blut et al. (2024) confirmed that perceived value enhances the predictive power of TAM by adding additional emotional satisfaction and social meaning to adoption process. So perceived value mediates the instrumental rationality (usefulness and ease) side and emotional engagement and trust side of acceptance, giving a composite assessment of acceptance of technology.</w:t>
      </w:r>
    </w:p>
    <w:p w:rsidR="00000000" w:rsidDel="00000000" w:rsidP="00000000" w:rsidRDefault="00000000" w:rsidRPr="00000000" w14:paraId="00000153">
      <w:pPr>
        <w:spacing w:line="480" w:lineRule="auto"/>
        <w:rPr>
          <w:b w:val="1"/>
          <w:bCs w:val="1"/>
          <w:sz w:val="28"/>
          <w:szCs w:val="28"/>
        </w:rPr>
      </w:pPr>
      <w:r w:rsidDel="00000000" w:rsidR="00000000" w:rsidRPr="00000000">
        <w:rPr>
          <w:b w:val="1"/>
          <w:bCs w:val="1"/>
          <w:sz w:val="28"/>
          <w:szCs w:val="28"/>
          <w:rtl w:val="0"/>
        </w:rPr>
        <w:t xml:space="preserve">2.4.6 Social Influence</w:t>
      </w:r>
    </w:p>
    <w:p w:rsidR="00000000" w:rsidDel="00000000" w:rsidP="00000000" w:rsidRDefault="00000000" w:rsidRPr="00000000" w14:paraId="00000154">
      <w:pPr>
        <w:spacing w:line="480" w:lineRule="auto"/>
        <w:rPr>
          <w:sz w:val="24"/>
          <w:szCs w:val="24"/>
        </w:rPr>
      </w:pPr>
      <w:r w:rsidDel="00000000" w:rsidR="00000000" w:rsidRPr="00000000">
        <w:rPr>
          <w:sz w:val="24"/>
          <w:szCs w:val="24"/>
          <w:rtl w:val="0"/>
        </w:rPr>
        <w:t xml:space="preserve">Influence (SI) is defined as the degree to which someone’s behavioral intention is influenced by the opinions, expectations or behaviours of their social environment (Venkatesh and Davis, 2000). It originates from subjective norm in the TRA and has subsequently been added to TAM2 and UTAUT framework to highlight personal belief among users’ adoption decisions due to social pressures and cultural norms. In the TAM–SOR integration, social influence acts as a stimulus (external environmental cue) and organismic determinant (internalized social belief) that motivates behavior in the form of adoption, satisfaction, and advocacy. Externally based studies of social influence that stem from traditional TAM have most often focused on the external normative pressure we face (most notably in collective cultures where the influence of peers, family members, and workplace norms weighs heavily in how people make decisions). In contrast, with regard to digital commerce, the scope has expanded to social engagement mechanisms, including online reviews, influencer recommendations, and social media integration (Aw et al., 2022). These stimuli generate perceived social validation that informs internal beliefs about a system’s credibility, usefulness, and trustworthiness. The role of social influence in digital adoption behavior has received strong empirical support due to recent research. Grewal et al. (2022) discovered that perceived peer endorsement and social presence on mobile shopping platforms highly contribute to the development of user attitudes and purchase intentions. Likewise, Aw et al. (2022) have proved that user-generated content and community engagement features serve as stimuli creating a sense of belongingness/trust and enhancing behavioral commitment to mobile shopping apps. Our results highlight that social influence functions via both informational mechanisms (trust and expertise shared with others) and normative mechanisms (the need to comply with perceived social norms). In AI-enabled settings, social influence materializes within societal perceptions of how others see AI technologies and the anthropomorphic social signals built into the AI systems. Choudhary and Ahuja (2025) also observe that by presenting voice assistants with human-like styles of speaking and human-like social cues, users are better able to accept and react to voice assistants as socially competent entities, which promotes more social trust and interaction. In the same vein, Schultz and Kaiser (2025) found that high perceived frequency of AI voice shopping system users is associated with more frequent adoption of said technology, which also can be a demonstration of the network externality effect in which societal use is associated with greater adoption intention. The SOR framework lends itself to a nice method/toolbox for how social influence becomes emotional and behavioral result. Here, social cues, reviews, and peer recommendations act as stimuli (S) triggering internal organismic states (O, belongingness, trust and value) that can lead to behavior (R, purchase or continued consumption) (Riandhi &amp; Arviansyah, 2025). For example, Habiboglu (2025) discovered that emotional trust and engagement on socially endorsed AI systems, which are the ones that users find popular and valued in their social networks, is increased. In the combined TAM–SOR model, social influence is not only influencing behavioral intention directly, but also interacting with emotional engagement and perceived value to increase user satisfaction. Elgammal et al. (2025) reported that in AI-assisted retail systems, social presence and community-interaction capabilities (e.g., shared wish lists, live reviews) enhance both perceived usefulness and emotional satisfaction. Likewise, Massoudi and Zaidan (2024) also find that perceived social endorsement moderates the association between trust and behavioral intention – stronger social approval of a technology elicits trust effect. These results are consistent with Riandhi and Arviansyah (2025) who showed that social influence increases purchase intention through emotional involvement and perceived enjoyment in the online shopping using AI. From a cultural point of view, social influence is very important in collectivist societies, where people tend to make technology adoption decisions according to group norms and peer behaviors (Fernandes &amp; Oliveira, 2021). Within these environments, social trust and conformity are important reinforcing processes that enhance the predictability of TAM variables. This is especially important in developing economies where social media platforms, influencers and online peer groups are strong opinion leaders in formulating consumer attitudes to AI and mobile. In conclusion, social influence functions as a stimulus (both external and internal) that influences consumers' acceptance and sustained use of AI-powered mobile shopping and voice assistants. It enhances perceived usefulness, increases emotional investment, and engenders trust via social affirmation and perceived popularity. This study introduces the idea of social influence into the TAM–SOR framework to show that technology adoption is not only an internal cognitively driven phenomenon for individuals, but a socially situated behavior that is socially ingrained by shared experiences, by standards socially embedded in society, by social norms and through online interactions.</w:t>
      </w:r>
    </w:p>
    <w:p w:rsidR="00000000" w:rsidDel="00000000" w:rsidP="00000000" w:rsidRDefault="00000000" w:rsidRPr="00000000" w14:paraId="00000155">
      <w:pPr>
        <w:spacing w:line="480" w:lineRule="auto"/>
        <w:rPr>
          <w:b w:val="1"/>
          <w:bCs w:val="1"/>
          <w:sz w:val="32"/>
          <w:szCs w:val="32"/>
        </w:rPr>
      </w:pPr>
      <w:bookmarkStart w:colFirst="0" w:colLast="0" w:name="_heading=h.hgf34napgdzm" w:id="16"/>
      <w:bookmarkEnd w:id="16"/>
      <w:r w:rsidDel="00000000" w:rsidR="00000000" w:rsidRPr="00000000">
        <w:rPr>
          <w:b w:val="1"/>
          <w:bCs w:val="1"/>
          <w:sz w:val="32"/>
          <w:szCs w:val="32"/>
          <w:rtl w:val="0"/>
        </w:rPr>
        <w:t xml:space="preserve">2.5 The Technology Acceptance Model (TAM), SOR model and digital trust relationship</w:t>
      </w:r>
    </w:p>
    <w:p w:rsidR="00000000" w:rsidDel="00000000" w:rsidP="00000000" w:rsidRDefault="00000000" w:rsidRPr="00000000" w14:paraId="00000156">
      <w:pPr>
        <w:spacing w:line="480" w:lineRule="auto"/>
        <w:rPr>
          <w:sz w:val="24"/>
          <w:szCs w:val="24"/>
        </w:rPr>
      </w:pPr>
      <w:r w:rsidDel="00000000" w:rsidR="00000000" w:rsidRPr="00000000">
        <w:rPr>
          <w:sz w:val="24"/>
          <w:szCs w:val="24"/>
          <w:rtl w:val="0"/>
        </w:rPr>
        <w:t xml:space="preserve">between users and their platforms help to explain their cognitive evaluations of technology. In particular, traditional models have concentrated heavily on what are seen to be perceived usefulness (PU) and perceived ease of use (PEOU) (Davis, 1989). Yet as consumer–technology interactions have evolved in terms of emotional content, immersion, and social interaction, researchers have increasingly embraced broader psychological models, such as the Stimulus–Organism–Response (SOR) model, to describe the affective and behavioral components of consumer behavior (Mehrabian &amp; Russell, 1974; Elgammal et al., 2025).</w:t>
      </w:r>
    </w:p>
    <w:p w:rsidR="00000000" w:rsidDel="00000000" w:rsidP="00000000" w:rsidRDefault="00000000" w:rsidRPr="00000000" w14:paraId="00000157">
      <w:pPr>
        <w:spacing w:line="480" w:lineRule="auto"/>
        <w:rPr>
          <w:b w:val="1"/>
          <w:bCs w:val="1"/>
          <w:sz w:val="28"/>
          <w:szCs w:val="28"/>
        </w:rPr>
      </w:pPr>
      <w:r w:rsidDel="00000000" w:rsidR="00000000" w:rsidRPr="00000000">
        <w:rPr>
          <w:b w:val="1"/>
          <w:bCs w:val="1"/>
          <w:sz w:val="28"/>
          <w:szCs w:val="28"/>
          <w:rtl w:val="0"/>
        </w:rPr>
        <w:t xml:space="preserve">2.5.1 Reasons and Integration  </w:t>
      </w:r>
    </w:p>
    <w:p w:rsidR="00000000" w:rsidDel="00000000" w:rsidP="00000000" w:rsidRDefault="00000000" w:rsidRPr="00000000" w14:paraId="00000158">
      <w:pPr>
        <w:spacing w:line="480" w:lineRule="auto"/>
        <w:rPr>
          <w:sz w:val="24"/>
          <w:szCs w:val="24"/>
        </w:rPr>
      </w:pPr>
      <w:r w:rsidDel="00000000" w:rsidR="00000000" w:rsidRPr="00000000">
        <w:rPr>
          <w:sz w:val="24"/>
          <w:szCs w:val="24"/>
          <w:rtl w:val="0"/>
        </w:rPr>
        <w:t xml:space="preserve">Although TAM provides useful information on the systematic logic processes that mediate technology acceptance, its limitations extend to potential limitations in recognising emotional and contextual drivers of user experience (Benbasat &amp; Barki, 2007). In contrast, the SOR framework captures how environmental and technological stimuli (S) evoke psychological responses (O), resulting in behavioral reactions (R). By combining TAM and SOR, we understand not only why users adopt a technology (for perceived usefulness and ease) but also how emotional, social, and experiential variables play roles in the process (Habiboglu, 2025; Linh et al., 2025). Recent empirical work supports the theoretical alignment of these two models. Elgammal et al. (2025) discovered that combining TAM and SOR results in increasing the predictive power of consumer behavior to AI-driven retailing in particular. They showed that perceived usefulness (TAM) contributes to emotional involvement and trust (SOR organismic factors) that mediates the association between cognitive appraisals and behavioral intentions. Likewise, Massoudi and Zaidan (2024) supported the addition of trust and emotional satisfaction (SOR constructs) to TAM to help explain the explanation of consumers’ intention to use AI shopping-platforms, increasing the model’s explanatory power from 52% to 68%.</w:t>
      </w:r>
    </w:p>
    <w:p w:rsidR="00000000" w:rsidDel="00000000" w:rsidP="00000000" w:rsidRDefault="00000000" w:rsidRPr="00000000" w14:paraId="00000159">
      <w:pPr>
        <w:spacing w:line="480" w:lineRule="auto"/>
        <w:rPr>
          <w:b w:val="1"/>
          <w:bCs w:val="1"/>
          <w:sz w:val="28"/>
          <w:szCs w:val="28"/>
        </w:rPr>
      </w:pPr>
      <w:r w:rsidDel="00000000" w:rsidR="00000000" w:rsidRPr="00000000">
        <w:rPr>
          <w:b w:val="1"/>
          <w:bCs w:val="1"/>
          <w:sz w:val="28"/>
          <w:szCs w:val="28"/>
          <w:rtl w:val="0"/>
        </w:rPr>
        <w:t xml:space="preserve">2.5.2 The Cognitive, Affective, Behavioural Link  </w:t>
      </w:r>
    </w:p>
    <w:p w:rsidR="00000000" w:rsidDel="00000000" w:rsidP="00000000" w:rsidRDefault="00000000" w:rsidRPr="00000000" w14:paraId="0000015A">
      <w:pPr>
        <w:spacing w:line="480" w:lineRule="auto"/>
        <w:rPr>
          <w:sz w:val="24"/>
          <w:szCs w:val="24"/>
        </w:rPr>
      </w:pPr>
      <w:r w:rsidDel="00000000" w:rsidR="00000000" w:rsidRPr="00000000">
        <w:rPr>
          <w:sz w:val="24"/>
          <w:szCs w:val="24"/>
          <w:rtl w:val="0"/>
        </w:rPr>
        <w:t xml:space="preserve">TAM and SOR are joined together in a 3-D way for consumer behavior to be analyzed:  </w:t>
      </w:r>
    </w:p>
    <w:p w:rsidR="00000000" w:rsidDel="00000000" w:rsidP="00000000" w:rsidRDefault="00000000" w:rsidRPr="00000000" w14:paraId="0000015B">
      <w:pPr>
        <w:spacing w:line="480" w:lineRule="auto"/>
        <w:rPr>
          <w:sz w:val="24"/>
          <w:szCs w:val="24"/>
        </w:rPr>
      </w:pPr>
      <w:r w:rsidDel="00000000" w:rsidR="00000000" w:rsidRPr="00000000">
        <w:rPr>
          <w:sz w:val="24"/>
          <w:szCs w:val="24"/>
          <w:rtl w:val="0"/>
        </w:rPr>
        <w:t xml:space="preserve">o Cognitive (TAM Layer) – Users view technology using the criteria of usefulness, ease of use, and performance benefits.  </w:t>
      </w:r>
    </w:p>
    <w:p w:rsidR="00000000" w:rsidDel="00000000" w:rsidP="00000000" w:rsidRDefault="00000000" w:rsidRPr="00000000" w14:paraId="0000015C">
      <w:pPr>
        <w:spacing w:line="480" w:lineRule="auto"/>
        <w:rPr>
          <w:sz w:val="24"/>
          <w:szCs w:val="24"/>
        </w:rPr>
      </w:pPr>
      <w:r w:rsidDel="00000000" w:rsidR="00000000" w:rsidRPr="00000000">
        <w:rPr>
          <w:sz w:val="24"/>
          <w:szCs w:val="24"/>
          <w:rtl w:val="0"/>
        </w:rPr>
        <w:t xml:space="preserve">o Affective (SOR Organism Layer) - Users feel emotions of trust, engagement, and satisfaction in response to system drivers such as interactivity, personalization, and intelligence.  </w:t>
      </w:r>
    </w:p>
    <w:p w:rsidR="00000000" w:rsidDel="00000000" w:rsidP="00000000" w:rsidRDefault="00000000" w:rsidRPr="00000000" w14:paraId="0000015D">
      <w:pPr>
        <w:spacing w:line="480" w:lineRule="auto"/>
        <w:rPr>
          <w:sz w:val="24"/>
          <w:szCs w:val="24"/>
        </w:rPr>
      </w:pPr>
      <w:r w:rsidDel="00000000" w:rsidR="00000000" w:rsidRPr="00000000">
        <w:rPr>
          <w:sz w:val="24"/>
          <w:szCs w:val="24"/>
          <w:rtl w:val="0"/>
        </w:rPr>
        <w:t xml:space="preserve">o Behavioral (Response Layer) – As cognitive and emotional phenomena, the results of these emotional and cognitive states result into behavioral intentions – e.g., a purchase, long-term usage, and advocacy.  </w:t>
      </w:r>
    </w:p>
    <w:p w:rsidR="00000000" w:rsidDel="00000000" w:rsidP="00000000" w:rsidRDefault="00000000" w:rsidRPr="00000000" w14:paraId="0000015E">
      <w:pPr>
        <w:spacing w:line="480" w:lineRule="auto"/>
        <w:rPr>
          <w:sz w:val="24"/>
          <w:szCs w:val="24"/>
        </w:rPr>
      </w:pPr>
      <w:r w:rsidDel="00000000" w:rsidR="00000000" w:rsidRPr="00000000">
        <w:rPr>
          <w:sz w:val="24"/>
          <w:szCs w:val="24"/>
          <w:rtl w:val="0"/>
        </w:rPr>
        <w:t xml:space="preserve">This CAB is the same organization as a Cognitive–Affective–Behavioral structure and includes the full psychological pathway from cognition to action. For example, Riandhi and Arviansyah (2025) found emotional engagement (O) as a mediator between AI stimuli like personalization and consumers’ purchase intention (R). In a similar vein, Choudhary and Ahuja (2025) demonstrated that trust and enjoyment (organismic responses) mediate between cognitive appraisals (usefulness, ease of use) and intention to use voice assistants. Users’ experiences in smart commerce are informed by an ongoing human–AI interaction experience as opposed to single assessments. Therefore, consideration of emotional engagement and perceived value as extensions of TAM variables gives a more plausible and dynamic characterization of digital consumer behavior (ElSayad &amp; Mamdouh, 2025; Blut et al., 2024).</w:t>
      </w:r>
    </w:p>
    <w:p w:rsidR="00000000" w:rsidDel="00000000" w:rsidP="00000000" w:rsidRDefault="00000000" w:rsidRPr="00000000" w14:paraId="0000015F">
      <w:pPr>
        <w:spacing w:line="480" w:lineRule="auto"/>
        <w:rPr>
          <w:b w:val="1"/>
          <w:bCs w:val="1"/>
          <w:sz w:val="28"/>
          <w:szCs w:val="28"/>
        </w:rPr>
      </w:pPr>
      <w:r w:rsidDel="00000000" w:rsidR="00000000" w:rsidRPr="00000000">
        <w:rPr>
          <w:b w:val="1"/>
          <w:bCs w:val="1"/>
          <w:sz w:val="28"/>
          <w:szCs w:val="28"/>
          <w:rtl w:val="0"/>
        </w:rPr>
        <w:t xml:space="preserve">2.5.3 Outcomes for integration of AI and Mobile Shop  </w:t>
      </w:r>
    </w:p>
    <w:p w:rsidR="00000000" w:rsidDel="00000000" w:rsidP="00000000" w:rsidRDefault="00000000" w:rsidRPr="00000000" w14:paraId="00000160">
      <w:pPr>
        <w:spacing w:line="480" w:lineRule="auto"/>
        <w:rPr>
          <w:sz w:val="24"/>
          <w:szCs w:val="24"/>
        </w:rPr>
      </w:pPr>
      <w:r w:rsidDel="00000000" w:rsidR="00000000" w:rsidRPr="00000000">
        <w:rPr>
          <w:sz w:val="24"/>
          <w:szCs w:val="24"/>
          <w:rtl w:val="0"/>
        </w:rPr>
        <w:t xml:space="preserve">Recent empirical evidence indicates a better understanding of user adoption in various smart commerce contexts with the integration of TAM and SOR:  </w:t>
      </w:r>
    </w:p>
    <w:p w:rsidR="00000000" w:rsidDel="00000000" w:rsidP="00000000" w:rsidRDefault="00000000" w:rsidRPr="00000000" w14:paraId="00000161">
      <w:pPr>
        <w:spacing w:line="480" w:lineRule="auto"/>
        <w:rPr>
          <w:sz w:val="24"/>
          <w:szCs w:val="24"/>
        </w:rPr>
      </w:pPr>
      <w:r w:rsidDel="00000000" w:rsidR="00000000" w:rsidRPr="00000000">
        <w:rPr>
          <w:sz w:val="24"/>
          <w:szCs w:val="24"/>
          <w:rtl w:val="0"/>
        </w:rPr>
        <w:t xml:space="preserve">o AI Chatbots: Mohammed and Ferraris (2025) combined TAM and SOR into the investigation of AI chatbot interaction and showed high responsiveness and empathy (stimuli) lead to increase in trust and satisfaction (organismic reactions), and satisfaction predicts continued use (behavioral reactions).  </w:t>
      </w:r>
    </w:p>
    <w:p w:rsidR="00000000" w:rsidDel="00000000" w:rsidP="00000000" w:rsidRDefault="00000000" w:rsidRPr="00000000" w14:paraId="00000162">
      <w:pPr>
        <w:spacing w:line="480" w:lineRule="auto"/>
        <w:rPr>
          <w:sz w:val="24"/>
          <w:szCs w:val="24"/>
        </w:rPr>
      </w:pPr>
      <w:r w:rsidDel="00000000" w:rsidR="00000000" w:rsidRPr="00000000">
        <w:rPr>
          <w:sz w:val="24"/>
          <w:szCs w:val="24"/>
          <w:rtl w:val="0"/>
        </w:rPr>
        <w:t xml:space="preserve">o Mobile Shopping Apps: Aw et al. (2022) found that perceived usefulness and perceived ease of use positively influence satisfaction and emotional engagement, resulting in repurchase intention and loyalty.  </w:t>
      </w:r>
    </w:p>
    <w:p w:rsidR="00000000" w:rsidDel="00000000" w:rsidP="00000000" w:rsidRDefault="00000000" w:rsidRPr="00000000" w14:paraId="00000163">
      <w:pPr>
        <w:spacing w:line="480" w:lineRule="auto"/>
        <w:rPr>
          <w:sz w:val="24"/>
          <w:szCs w:val="24"/>
        </w:rPr>
      </w:pPr>
      <w:r w:rsidDel="00000000" w:rsidR="00000000" w:rsidRPr="00000000">
        <w:rPr>
          <w:sz w:val="24"/>
          <w:szCs w:val="24"/>
          <w:rtl w:val="0"/>
        </w:rPr>
        <w:t xml:space="preserve">o Voice Assistants: According to Choudhary and Ahuja (2025), perceived system intelligence and emotional tone (stimuli) impact enjoyment and trust (organismic states) that mediate the associations between cognitive appraisals and intention to use.  </w:t>
      </w:r>
    </w:p>
    <w:p w:rsidR="00000000" w:rsidDel="00000000" w:rsidP="00000000" w:rsidRDefault="00000000" w:rsidRPr="00000000" w14:paraId="00000164">
      <w:pPr>
        <w:spacing w:line="480" w:lineRule="auto"/>
        <w:rPr>
          <w:sz w:val="24"/>
          <w:szCs w:val="24"/>
        </w:rPr>
      </w:pPr>
      <w:r w:rsidDel="00000000" w:rsidR="00000000" w:rsidRPr="00000000">
        <w:rPr>
          <w:sz w:val="24"/>
          <w:szCs w:val="24"/>
          <w:rtl w:val="0"/>
        </w:rPr>
        <w:t xml:space="preserve">Collectively, these studies validate that a coherent understanding of technology adoption from TAM’s rational cognitive process incorporating SOR’s affective mechanism entails utility-based and emotion-based determinants. It is a model which has been integrated into the previous research into four categories: TAM theory; SOR theory; Consumers' behaviour towards mobile shopping and voice assistants For the present study. This combination allows one to see:  </w:t>
      </w:r>
    </w:p>
    <w:p w:rsidR="00000000" w:rsidDel="00000000" w:rsidP="00000000" w:rsidRDefault="00000000" w:rsidRPr="00000000" w14:paraId="00000165">
      <w:pPr>
        <w:spacing w:line="480" w:lineRule="auto"/>
        <w:rPr>
          <w:sz w:val="24"/>
          <w:szCs w:val="24"/>
        </w:rPr>
      </w:pPr>
      <w:r w:rsidDel="00000000" w:rsidR="00000000" w:rsidRPr="00000000">
        <w:rPr>
          <w:sz w:val="24"/>
          <w:szCs w:val="24"/>
          <w:rtl w:val="0"/>
        </w:rPr>
        <w:t xml:space="preserve">o How cognitive perception of usefulness and ease of use underlie emotional states such as trust and engagement.  </w:t>
      </w:r>
    </w:p>
    <w:p w:rsidR="00000000" w:rsidDel="00000000" w:rsidP="00000000" w:rsidRDefault="00000000" w:rsidRPr="00000000" w14:paraId="00000166">
      <w:pPr>
        <w:spacing w:line="480" w:lineRule="auto"/>
        <w:rPr>
          <w:sz w:val="24"/>
          <w:szCs w:val="24"/>
        </w:rPr>
      </w:pPr>
      <w:r w:rsidDel="00000000" w:rsidR="00000000" w:rsidRPr="00000000">
        <w:rPr>
          <w:sz w:val="24"/>
          <w:szCs w:val="24"/>
          <w:rtl w:val="0"/>
        </w:rPr>
        <w:t xml:space="preserve">o How emotional responses act as middle states between technological factors such as stimuli and behavioral outcomes.  </w:t>
      </w:r>
    </w:p>
    <w:p w:rsidR="00000000" w:rsidDel="00000000" w:rsidP="00000000" w:rsidRDefault="00000000" w:rsidRPr="00000000" w14:paraId="00000167">
      <w:pPr>
        <w:spacing w:line="480" w:lineRule="auto"/>
        <w:rPr>
          <w:sz w:val="24"/>
          <w:szCs w:val="24"/>
        </w:rPr>
      </w:pPr>
      <w:r w:rsidDel="00000000" w:rsidR="00000000" w:rsidRPr="00000000">
        <w:rPr>
          <w:sz w:val="24"/>
          <w:szCs w:val="24"/>
          <w:rtl w:val="0"/>
        </w:rPr>
        <w:t xml:space="preserve">o How social influence and perceived value serve to reinforce these processes by collective validation and cost–benefit analysis.  </w:t>
      </w:r>
    </w:p>
    <w:p w:rsidR="00000000" w:rsidDel="00000000" w:rsidP="00000000" w:rsidRDefault="00000000" w:rsidRPr="00000000" w14:paraId="00000168">
      <w:pPr>
        <w:spacing w:line="480" w:lineRule="auto"/>
        <w:rPr>
          <w:sz w:val="24"/>
          <w:szCs w:val="24"/>
        </w:rPr>
      </w:pPr>
      <w:r w:rsidDel="00000000" w:rsidR="00000000" w:rsidRPr="00000000">
        <w:rPr>
          <w:sz w:val="24"/>
          <w:szCs w:val="24"/>
          <w:rtl w:val="0"/>
        </w:rPr>
        <w:t xml:space="preserve">In this sense, TAM variables (PU, PEOU) are conceptualized as cognitive antecedents of cognitive influence, and SOR variables (trust, emotional engagement, perceived value) are the organismic mediators, respectively, to behavioral outcomes (purchase intention and continued use) arising from the SOR. Social influence functions as an input and an extrinsic stimulus and moderator that directs cognitive as well as emotional states. It acknowledges the multifaceted nature of the integrated model with respect to how consumers embrace AI-enhanced shopping technologies, including rational cognition, emotions that are involved, and the social context surrounding them. Thus, this synthesis provides a fully-fledged framework for elucidating user behavior through next-generation retail systems and a theoretical framework fit for this study namely the TAM–SOR model.</w:t>
      </w:r>
    </w:p>
    <w:p w:rsidR="00000000" w:rsidDel="00000000" w:rsidP="00000000" w:rsidRDefault="00000000" w:rsidRPr="00000000" w14:paraId="00000169">
      <w:pPr>
        <w:spacing w:line="480" w:lineRule="auto"/>
        <w:rPr>
          <w:b w:val="1"/>
          <w:bCs w:val="1"/>
          <w:sz w:val="32"/>
          <w:szCs w:val="32"/>
        </w:rPr>
      </w:pPr>
      <w:bookmarkStart w:colFirst="0" w:colLast="0" w:name="_heading=h.zf1wiw3oukhk" w:id="17"/>
      <w:bookmarkEnd w:id="17"/>
      <w:r w:rsidDel="00000000" w:rsidR="00000000" w:rsidRPr="00000000">
        <w:rPr>
          <w:b w:val="1"/>
          <w:bCs w:val="1"/>
          <w:sz w:val="32"/>
          <w:szCs w:val="32"/>
          <w:rtl w:val="0"/>
        </w:rPr>
        <w:t xml:space="preserve">2.6 Summary of Prior Studies</w:t>
      </w:r>
    </w:p>
    <w:tbl>
      <w:tblPr>
        <w:tblStyle w:val="Table1"/>
        <w:tblW w:w="10803.0" w:type="dxa"/>
        <w:jc w:val="left"/>
        <w:tblInd w:w="-54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A0"/>
      </w:tblPr>
      <w:tblGrid>
        <w:gridCol w:w="1710"/>
        <w:gridCol w:w="1530"/>
        <w:gridCol w:w="1440"/>
        <w:gridCol w:w="2170"/>
        <w:gridCol w:w="1430"/>
        <w:gridCol w:w="2523"/>
        <w:tblGridChange w:id="0">
          <w:tblGrid>
            <w:gridCol w:w="1710"/>
            <w:gridCol w:w="1530"/>
            <w:gridCol w:w="1440"/>
            <w:gridCol w:w="2170"/>
            <w:gridCol w:w="1430"/>
            <w:gridCol w:w="2523"/>
          </w:tblGrid>
        </w:tblGridChange>
      </w:tblGrid>
      <w:tr>
        <w:trPr>
          <w:cantSplit w:val="0"/>
          <w:trHeight w:val="490" w:hRule="atLeast"/>
          <w:tblHeader w:val="0"/>
        </w:trPr>
        <w:tc>
          <w:tcPr/>
          <w:p w:rsidR="00000000" w:rsidDel="00000000" w:rsidP="00000000" w:rsidRDefault="00000000" w:rsidRPr="00000000" w14:paraId="0000016A">
            <w:pPr>
              <w:jc w:val="center"/>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Author(s) &amp; Year</w:t>
            </w:r>
          </w:p>
        </w:tc>
        <w:tc>
          <w:tcPr/>
          <w:p w:rsidR="00000000" w:rsidDel="00000000" w:rsidP="00000000" w:rsidRDefault="00000000" w:rsidRPr="00000000" w14:paraId="0000016B">
            <w:pPr>
              <w:jc w:val="center"/>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Context / Country</w:t>
            </w:r>
          </w:p>
        </w:tc>
        <w:tc>
          <w:tcPr/>
          <w:p w:rsidR="00000000" w:rsidDel="00000000" w:rsidP="00000000" w:rsidRDefault="00000000" w:rsidRPr="00000000" w14:paraId="0000016C">
            <w:pPr>
              <w:jc w:val="center"/>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Model Used</w:t>
            </w:r>
          </w:p>
        </w:tc>
        <w:tc>
          <w:tcPr/>
          <w:p w:rsidR="00000000" w:rsidDel="00000000" w:rsidP="00000000" w:rsidRDefault="00000000" w:rsidRPr="00000000" w14:paraId="0000016D">
            <w:pPr>
              <w:jc w:val="center"/>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Key Variables</w:t>
            </w:r>
          </w:p>
        </w:tc>
        <w:tc>
          <w:tcPr/>
          <w:p w:rsidR="00000000" w:rsidDel="00000000" w:rsidP="00000000" w:rsidRDefault="00000000" w:rsidRPr="00000000" w14:paraId="0000016E">
            <w:pPr>
              <w:jc w:val="center"/>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Sample &amp; Method</w:t>
            </w:r>
          </w:p>
        </w:tc>
        <w:tc>
          <w:tcPr/>
          <w:p w:rsidR="00000000" w:rsidDel="00000000" w:rsidP="00000000" w:rsidRDefault="00000000" w:rsidRPr="00000000" w14:paraId="0000016F">
            <w:pPr>
              <w:jc w:val="center"/>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Major Findings</w:t>
            </w:r>
          </w:p>
        </w:tc>
      </w:tr>
      <w:tr>
        <w:trPr>
          <w:cantSplit w:val="0"/>
          <w:trHeight w:val="1337" w:hRule="atLeast"/>
          <w:tblHeader w:val="0"/>
        </w:trPr>
        <w:tc>
          <w:tcPr/>
          <w:p w:rsidR="00000000" w:rsidDel="00000000" w:rsidP="00000000" w:rsidRDefault="00000000" w:rsidRPr="00000000" w14:paraId="0000017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bCs w:val="0"/>
                <w:sz w:val="24"/>
                <w:szCs w:val="24"/>
                <w:rtl w:val="0"/>
              </w:rPr>
              <w:t xml:space="preserve">Aw et al. (2022)</w:t>
            </w:r>
            <w:r w:rsidDel="00000000" w:rsidR="00000000" w:rsidRPr="00000000">
              <w:rPr>
                <w:rtl w:val="0"/>
              </w:rPr>
            </w:r>
          </w:p>
        </w:tc>
        <w:tc>
          <w:tcPr/>
          <w:p w:rsidR="00000000" w:rsidDel="00000000" w:rsidP="00000000" w:rsidRDefault="00000000" w:rsidRPr="00000000" w14:paraId="0000017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Mobile shopping apps – Malaysia</w:t>
            </w:r>
          </w:p>
        </w:tc>
        <w:tc>
          <w:tcPr/>
          <w:p w:rsidR="00000000" w:rsidDel="00000000" w:rsidP="00000000" w:rsidRDefault="00000000" w:rsidRPr="00000000" w14:paraId="0000017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w:t>
            </w:r>
          </w:p>
        </w:tc>
        <w:tc>
          <w:tcPr/>
          <w:p w:rsidR="00000000" w:rsidDel="00000000" w:rsidP="00000000" w:rsidRDefault="00000000" w:rsidRPr="00000000" w14:paraId="0000017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Interface quality, enjoyment, satisfaction, repurchase intention</w:t>
            </w:r>
          </w:p>
        </w:tc>
        <w:tc>
          <w:tcPr/>
          <w:p w:rsidR="00000000" w:rsidDel="00000000" w:rsidP="00000000" w:rsidRDefault="00000000" w:rsidRPr="00000000" w14:paraId="0000017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412 users, SEM</w:t>
            </w:r>
          </w:p>
        </w:tc>
        <w:tc>
          <w:tcPr/>
          <w:p w:rsidR="00000000" w:rsidDel="00000000" w:rsidP="00000000" w:rsidRDefault="00000000" w:rsidRPr="00000000" w14:paraId="0000017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Visual appeal and interactivity act as stimuli that enhance enjoyment and satisfaction, leading to repeat purchase.</w:t>
            </w:r>
          </w:p>
        </w:tc>
      </w:tr>
      <w:tr>
        <w:trPr>
          <w:cantSplit w:val="0"/>
          <w:trHeight w:val="1337" w:hRule="atLeast"/>
          <w:tblHeader w:val="0"/>
        </w:trPr>
        <w:tc>
          <w:tcPr/>
          <w:p w:rsidR="00000000" w:rsidDel="00000000" w:rsidP="00000000" w:rsidRDefault="00000000" w:rsidRPr="00000000" w14:paraId="0000017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bCs w:val="0"/>
                <w:sz w:val="24"/>
                <w:szCs w:val="24"/>
                <w:rtl w:val="0"/>
              </w:rPr>
              <w:t xml:space="preserve">Fernandes &amp; Oliveira (2021)</w:t>
            </w:r>
            <w:r w:rsidDel="00000000" w:rsidR="00000000" w:rsidRPr="00000000">
              <w:rPr>
                <w:rtl w:val="0"/>
              </w:rPr>
            </w:r>
          </w:p>
        </w:tc>
        <w:tc>
          <w:tcPr/>
          <w:p w:rsidR="00000000" w:rsidDel="00000000" w:rsidP="00000000" w:rsidRDefault="00000000" w:rsidRPr="00000000" w14:paraId="0000017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Online shopping – Portugal</w:t>
            </w:r>
          </w:p>
        </w:tc>
        <w:tc>
          <w:tcPr/>
          <w:p w:rsidR="00000000" w:rsidDel="00000000" w:rsidP="00000000" w:rsidRDefault="00000000" w:rsidRPr="00000000" w14:paraId="0000017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Extended TAM</w:t>
            </w:r>
          </w:p>
        </w:tc>
        <w:tc>
          <w:tcPr/>
          <w:p w:rsidR="00000000" w:rsidDel="00000000" w:rsidP="00000000" w:rsidRDefault="00000000" w:rsidRPr="00000000" w14:paraId="0000017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 PEOU, Trust, Social Influence</w:t>
            </w:r>
          </w:p>
        </w:tc>
        <w:tc>
          <w:tcPr/>
          <w:p w:rsidR="00000000" w:rsidDel="00000000" w:rsidP="00000000" w:rsidRDefault="00000000" w:rsidRPr="00000000" w14:paraId="0000017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380 respondents, PLS-SEM</w:t>
            </w:r>
          </w:p>
        </w:tc>
        <w:tc>
          <w:tcPr/>
          <w:p w:rsidR="00000000" w:rsidDel="00000000" w:rsidP="00000000" w:rsidRDefault="00000000" w:rsidRPr="00000000" w14:paraId="0000017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and social influence strengthen the PU–intention link; ease of use indirectly affects behavior through PU.</w:t>
            </w:r>
          </w:p>
        </w:tc>
      </w:tr>
      <w:tr>
        <w:trPr>
          <w:cantSplit w:val="0"/>
          <w:trHeight w:val="1337" w:hRule="atLeast"/>
          <w:tblHeader w:val="0"/>
        </w:trPr>
        <w:tc>
          <w:tcPr/>
          <w:p w:rsidR="00000000" w:rsidDel="00000000" w:rsidP="00000000" w:rsidRDefault="00000000" w:rsidRPr="00000000" w14:paraId="0000017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bCs w:val="0"/>
                <w:sz w:val="24"/>
                <w:szCs w:val="24"/>
                <w:rtl w:val="0"/>
              </w:rPr>
              <w:t xml:space="preserve">Grewal et al. (2022)</w:t>
            </w:r>
            <w:r w:rsidDel="00000000" w:rsidR="00000000" w:rsidRPr="00000000">
              <w:rPr>
                <w:rtl w:val="0"/>
              </w:rPr>
            </w:r>
          </w:p>
        </w:tc>
        <w:tc>
          <w:tcPr/>
          <w:p w:rsidR="00000000" w:rsidDel="00000000" w:rsidP="00000000" w:rsidRDefault="00000000" w:rsidRPr="00000000" w14:paraId="0000017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Mobile retail platforms – USA</w:t>
            </w:r>
          </w:p>
        </w:tc>
        <w:tc>
          <w:tcPr/>
          <w:p w:rsidR="00000000" w:rsidDel="00000000" w:rsidP="00000000" w:rsidRDefault="00000000" w:rsidRPr="00000000" w14:paraId="0000017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TAM–SOR</w:t>
            </w:r>
          </w:p>
        </w:tc>
        <w:tc>
          <w:tcPr/>
          <w:p w:rsidR="00000000" w:rsidDel="00000000" w:rsidP="00000000" w:rsidRDefault="00000000" w:rsidRPr="00000000" w14:paraId="0000017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 PEOU, Emotional engagement, Loyalty</w:t>
            </w:r>
          </w:p>
        </w:tc>
        <w:tc>
          <w:tcPr/>
          <w:p w:rsidR="00000000" w:rsidDel="00000000" w:rsidP="00000000" w:rsidRDefault="00000000" w:rsidRPr="00000000" w14:paraId="0000018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455 users, SEM</w:t>
            </w:r>
          </w:p>
        </w:tc>
        <w:tc>
          <w:tcPr/>
          <w:p w:rsidR="00000000" w:rsidDel="00000000" w:rsidP="00000000" w:rsidRDefault="00000000" w:rsidRPr="00000000" w14:paraId="0000018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Emotional engagement mediates between usefulness and loyalty; design simplicity enhances satisfaction.</w:t>
            </w:r>
          </w:p>
        </w:tc>
      </w:tr>
      <w:tr>
        <w:trPr>
          <w:cantSplit w:val="0"/>
          <w:trHeight w:val="1337" w:hRule="atLeast"/>
          <w:tblHeader w:val="0"/>
        </w:trPr>
        <w:tc>
          <w:tcPr/>
          <w:p w:rsidR="00000000" w:rsidDel="00000000" w:rsidP="00000000" w:rsidRDefault="00000000" w:rsidRPr="00000000" w14:paraId="0000018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bCs w:val="0"/>
                <w:sz w:val="24"/>
                <w:szCs w:val="24"/>
                <w:rtl w:val="0"/>
              </w:rPr>
              <w:t xml:space="preserve">Blut et al. (2024)</w:t>
            </w:r>
            <w:r w:rsidDel="00000000" w:rsidR="00000000" w:rsidRPr="00000000">
              <w:rPr>
                <w:rtl w:val="0"/>
              </w:rPr>
            </w:r>
          </w:p>
        </w:tc>
        <w:tc>
          <w:tcPr/>
          <w:p w:rsidR="00000000" w:rsidDel="00000000" w:rsidP="00000000" w:rsidRDefault="00000000" w:rsidRPr="00000000" w14:paraId="0000018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Global review of online retail</w:t>
            </w:r>
          </w:p>
        </w:tc>
        <w:tc>
          <w:tcPr/>
          <w:p w:rsidR="00000000" w:rsidDel="00000000" w:rsidP="00000000" w:rsidRDefault="00000000" w:rsidRPr="00000000" w14:paraId="0000018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Integrated TAM–SOR</w:t>
            </w:r>
          </w:p>
        </w:tc>
        <w:tc>
          <w:tcPr/>
          <w:p w:rsidR="00000000" w:rsidDel="00000000" w:rsidP="00000000" w:rsidRDefault="00000000" w:rsidRPr="00000000" w14:paraId="0000018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 Perceived Value, Trust, Affective Experience</w:t>
            </w:r>
          </w:p>
        </w:tc>
        <w:tc>
          <w:tcPr/>
          <w:p w:rsidR="00000000" w:rsidDel="00000000" w:rsidP="00000000" w:rsidRDefault="00000000" w:rsidRPr="00000000" w14:paraId="0000018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Meta-analysis (78 studies)</w:t>
            </w:r>
          </w:p>
        </w:tc>
        <w:tc>
          <w:tcPr/>
          <w:p w:rsidR="00000000" w:rsidDel="00000000" w:rsidP="00000000" w:rsidRDefault="00000000" w:rsidRPr="00000000" w14:paraId="0000018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Perceived value and trust significantly improve emotional engagement and intention to use smart retail systems.</w:t>
            </w:r>
          </w:p>
        </w:tc>
      </w:tr>
      <w:tr>
        <w:trPr>
          <w:cantSplit w:val="0"/>
          <w:trHeight w:val="1069" w:hRule="atLeast"/>
          <w:tblHeader w:val="0"/>
        </w:trPr>
        <w:tc>
          <w:tcPr/>
          <w:p w:rsidR="00000000" w:rsidDel="00000000" w:rsidP="00000000" w:rsidRDefault="00000000" w:rsidRPr="00000000" w14:paraId="0000018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bCs w:val="0"/>
                <w:sz w:val="24"/>
                <w:szCs w:val="24"/>
                <w:rtl w:val="0"/>
              </w:rPr>
              <w:t xml:space="preserve">Elgammal et al. (2025)</w:t>
            </w:r>
            <w:r w:rsidDel="00000000" w:rsidR="00000000" w:rsidRPr="00000000">
              <w:rPr>
                <w:rtl w:val="0"/>
              </w:rPr>
            </w:r>
          </w:p>
        </w:tc>
        <w:tc>
          <w:tcPr/>
          <w:p w:rsidR="00000000" w:rsidDel="00000000" w:rsidP="00000000" w:rsidRDefault="00000000" w:rsidRPr="00000000" w14:paraId="0000018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AI-driven retail – UAE</w:t>
            </w:r>
          </w:p>
        </w:tc>
        <w:tc>
          <w:tcPr/>
          <w:p w:rsidR="00000000" w:rsidDel="00000000" w:rsidP="00000000" w:rsidRDefault="00000000" w:rsidRPr="00000000" w14:paraId="0000018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TAM–SOR</w:t>
            </w:r>
          </w:p>
        </w:tc>
        <w:tc>
          <w:tcPr/>
          <w:p w:rsidR="00000000" w:rsidDel="00000000" w:rsidP="00000000" w:rsidRDefault="00000000" w:rsidRPr="00000000" w14:paraId="0000018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Technological intelligence, PU, Emotional Engagement, Trust</w:t>
            </w:r>
          </w:p>
        </w:tc>
        <w:tc>
          <w:tcPr/>
          <w:p w:rsidR="00000000" w:rsidDel="00000000" w:rsidP="00000000" w:rsidRDefault="00000000" w:rsidRPr="00000000" w14:paraId="0000018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527 users, SEM</w:t>
            </w:r>
          </w:p>
        </w:tc>
        <w:tc>
          <w:tcPr/>
          <w:p w:rsidR="00000000" w:rsidDel="00000000" w:rsidP="00000000" w:rsidRDefault="00000000" w:rsidRPr="00000000" w14:paraId="0000018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 influences emotional engagement and trust, which fully mediate purchase intention.</w:t>
            </w:r>
          </w:p>
        </w:tc>
      </w:tr>
      <w:tr>
        <w:trPr>
          <w:cantSplit w:val="0"/>
          <w:trHeight w:val="1069" w:hRule="atLeast"/>
          <w:tblHeader w:val="0"/>
        </w:trPr>
        <w:tc>
          <w:tcPr/>
          <w:p w:rsidR="00000000" w:rsidDel="00000000" w:rsidP="00000000" w:rsidRDefault="00000000" w:rsidRPr="00000000" w14:paraId="0000018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bCs w:val="0"/>
                <w:sz w:val="24"/>
                <w:szCs w:val="24"/>
                <w:rtl w:val="0"/>
              </w:rPr>
              <w:t xml:space="preserve">Massoudi &amp; Zaidan (2024)</w:t>
            </w:r>
            <w:r w:rsidDel="00000000" w:rsidR="00000000" w:rsidRPr="00000000">
              <w:rPr>
                <w:rtl w:val="0"/>
              </w:rPr>
            </w:r>
          </w:p>
        </w:tc>
        <w:tc>
          <w:tcPr/>
          <w:p w:rsidR="00000000" w:rsidDel="00000000" w:rsidP="00000000" w:rsidRDefault="00000000" w:rsidRPr="00000000" w14:paraId="0000018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shopping assistants – UK</w:t>
            </w:r>
          </w:p>
        </w:tc>
        <w:tc>
          <w:tcPr/>
          <w:p w:rsidR="00000000" w:rsidDel="00000000" w:rsidP="00000000" w:rsidRDefault="00000000" w:rsidRPr="00000000" w14:paraId="000001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Extended TAM</w:t>
            </w:r>
          </w:p>
        </w:tc>
        <w:tc>
          <w:tcPr/>
          <w:p w:rsidR="00000000" w:rsidDel="00000000" w:rsidP="00000000" w:rsidRDefault="00000000" w:rsidRPr="00000000" w14:paraId="000001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 PEOU, Trust, Emotional Satisfaction</w:t>
            </w:r>
          </w:p>
        </w:tc>
        <w:tc>
          <w:tcPr/>
          <w:p w:rsidR="00000000" w:rsidDel="00000000" w:rsidP="00000000" w:rsidRDefault="00000000" w:rsidRPr="00000000" w14:paraId="0000019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312 online shoppers, PLS-SEM</w:t>
            </w:r>
          </w:p>
        </w:tc>
        <w:tc>
          <w:tcPr/>
          <w:p w:rsidR="00000000" w:rsidDel="00000000" w:rsidP="00000000" w:rsidRDefault="00000000" w:rsidRPr="00000000" w14:paraId="0000019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mediates the PU–intention link; emotional satisfaction strengthens adoption behavior.</w:t>
            </w:r>
          </w:p>
        </w:tc>
      </w:tr>
      <w:tr>
        <w:trPr>
          <w:cantSplit w:val="0"/>
          <w:trHeight w:val="1337" w:hRule="atLeast"/>
          <w:tblHeader w:val="0"/>
        </w:trPr>
        <w:tc>
          <w:tcPr/>
          <w:p w:rsidR="00000000" w:rsidDel="00000000" w:rsidP="00000000" w:rsidRDefault="00000000" w:rsidRPr="00000000" w14:paraId="0000019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bCs w:val="0"/>
                <w:sz w:val="24"/>
                <w:szCs w:val="24"/>
                <w:rtl w:val="0"/>
              </w:rPr>
              <w:t xml:space="preserve">Habiboglu (2025)</w:t>
            </w:r>
            <w:r w:rsidDel="00000000" w:rsidR="00000000" w:rsidRPr="00000000">
              <w:rPr>
                <w:rtl w:val="0"/>
              </w:rPr>
            </w:r>
          </w:p>
        </w:tc>
        <w:tc>
          <w:tcPr/>
          <w:p w:rsidR="00000000" w:rsidDel="00000000" w:rsidP="00000000" w:rsidRDefault="00000000" w:rsidRPr="00000000" w14:paraId="000001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E-retailing with AI – Turkey</w:t>
            </w:r>
          </w:p>
        </w:tc>
        <w:tc>
          <w:tcPr/>
          <w:p w:rsidR="00000000" w:rsidDel="00000000" w:rsidP="00000000" w:rsidRDefault="00000000" w:rsidRPr="00000000" w14:paraId="0000019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w:t>
            </w:r>
          </w:p>
        </w:tc>
        <w:tc>
          <w:tcPr/>
          <w:p w:rsidR="00000000" w:rsidDel="00000000" w:rsidP="00000000" w:rsidRDefault="00000000" w:rsidRPr="00000000" w14:paraId="000001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Competence, Transparency, Engagement, Purchase Intention</w:t>
            </w:r>
          </w:p>
        </w:tc>
        <w:tc>
          <w:tcPr/>
          <w:p w:rsidR="00000000" w:rsidDel="00000000" w:rsidP="00000000" w:rsidRDefault="00000000" w:rsidRPr="00000000" w14:paraId="0000019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498 respondents, CFA &amp; SEM</w:t>
            </w:r>
          </w:p>
        </w:tc>
        <w:tc>
          <w:tcPr/>
          <w:p w:rsidR="00000000" w:rsidDel="00000000" w:rsidP="00000000" w:rsidRDefault="00000000" w:rsidRPr="00000000" w14:paraId="000001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Transparency and empathy trigger engagement and satisfaction; emotional trust drives loyalty.</w:t>
            </w:r>
          </w:p>
        </w:tc>
      </w:tr>
      <w:tr>
        <w:trPr>
          <w:cantSplit w:val="0"/>
          <w:trHeight w:val="1069" w:hRule="atLeast"/>
          <w:tblHeader w:val="0"/>
        </w:trPr>
        <w:tc>
          <w:tcPr/>
          <w:p w:rsidR="00000000" w:rsidDel="00000000" w:rsidP="00000000" w:rsidRDefault="00000000" w:rsidRPr="00000000" w14:paraId="0000019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bCs w:val="0"/>
                <w:sz w:val="24"/>
                <w:szCs w:val="24"/>
                <w:rtl w:val="0"/>
              </w:rPr>
              <w:t xml:space="preserve">Choudhary &amp; Ahuja (2025)</w:t>
            </w:r>
            <w:r w:rsidDel="00000000" w:rsidR="00000000" w:rsidRPr="00000000">
              <w:rPr>
                <w:rtl w:val="0"/>
              </w:rPr>
            </w:r>
          </w:p>
        </w:tc>
        <w:tc>
          <w:tcPr/>
          <w:p w:rsidR="00000000" w:rsidDel="00000000" w:rsidP="00000000" w:rsidRDefault="00000000" w:rsidRPr="00000000" w14:paraId="000001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Voice assistants – India</w:t>
            </w:r>
          </w:p>
        </w:tc>
        <w:tc>
          <w:tcPr/>
          <w:p w:rsidR="00000000" w:rsidDel="00000000" w:rsidP="00000000" w:rsidRDefault="00000000" w:rsidRPr="00000000" w14:paraId="0000019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TAM–SOR</w:t>
            </w:r>
          </w:p>
        </w:tc>
        <w:tc>
          <w:tcPr/>
          <w:p w:rsidR="00000000" w:rsidDel="00000000" w:rsidP="00000000" w:rsidRDefault="00000000" w:rsidRPr="00000000" w14:paraId="000001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 Enjoyment, System Intelligence, Trust</w:t>
            </w:r>
          </w:p>
        </w:tc>
        <w:tc>
          <w:tcPr/>
          <w:p w:rsidR="00000000" w:rsidDel="00000000" w:rsidP="00000000" w:rsidRDefault="00000000" w:rsidRPr="00000000" w14:paraId="000001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267 users, SEM</w:t>
            </w:r>
          </w:p>
        </w:tc>
        <w:tc>
          <w:tcPr/>
          <w:p w:rsidR="00000000" w:rsidDel="00000000" w:rsidP="00000000" w:rsidRDefault="00000000" w:rsidRPr="00000000" w14:paraId="000001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Enjoyment and trust mediate the relationship between PU and intention to use voice assistants.</w:t>
            </w:r>
          </w:p>
        </w:tc>
      </w:tr>
      <w:tr>
        <w:trPr>
          <w:cantSplit w:val="0"/>
          <w:trHeight w:val="1069" w:hRule="atLeast"/>
          <w:tblHeader w:val="0"/>
        </w:trPr>
        <w:tc>
          <w:tcPr/>
          <w:p w:rsidR="00000000" w:rsidDel="00000000" w:rsidP="00000000" w:rsidRDefault="00000000" w:rsidRPr="00000000" w14:paraId="000001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bCs w:val="0"/>
                <w:sz w:val="24"/>
                <w:szCs w:val="24"/>
                <w:rtl w:val="0"/>
              </w:rPr>
              <w:t xml:space="preserve">Schultz &amp; Kaiser (2025)</w:t>
            </w:r>
            <w:r w:rsidDel="00000000" w:rsidR="00000000" w:rsidRPr="00000000">
              <w:rPr>
                <w:rtl w:val="0"/>
              </w:rPr>
            </w:r>
          </w:p>
        </w:tc>
        <w:tc>
          <w:tcPr/>
          <w:p w:rsidR="00000000" w:rsidDel="00000000" w:rsidP="00000000" w:rsidRDefault="00000000" w:rsidRPr="00000000" w14:paraId="000001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Voice shopping – Germany</w:t>
            </w:r>
          </w:p>
        </w:tc>
        <w:tc>
          <w:tcPr/>
          <w:p w:rsidR="00000000" w:rsidDel="00000000" w:rsidP="00000000" w:rsidRDefault="00000000" w:rsidRPr="00000000" w14:paraId="000001A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w:t>
            </w:r>
          </w:p>
        </w:tc>
        <w:tc>
          <w:tcPr/>
          <w:p w:rsidR="00000000" w:rsidDel="00000000" w:rsidP="00000000" w:rsidRDefault="00000000" w:rsidRPr="00000000" w14:paraId="000001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Anthropomorphism, Trust, Emotional Support, Loyalty</w:t>
            </w:r>
          </w:p>
        </w:tc>
        <w:tc>
          <w:tcPr/>
          <w:p w:rsidR="00000000" w:rsidDel="00000000" w:rsidP="00000000" w:rsidRDefault="00000000" w:rsidRPr="00000000" w14:paraId="000001A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302 users, Regression &amp; Mediation</w:t>
            </w:r>
          </w:p>
        </w:tc>
        <w:tc>
          <w:tcPr/>
          <w:p w:rsidR="00000000" w:rsidDel="00000000" w:rsidP="00000000" w:rsidRDefault="00000000" w:rsidRPr="00000000" w14:paraId="000001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Human-like cues and empathetic tone strengthen emotional trust and continued use.</w:t>
            </w:r>
          </w:p>
        </w:tc>
      </w:tr>
      <w:tr>
        <w:trPr>
          <w:cantSplit w:val="0"/>
          <w:trHeight w:val="1292" w:hRule="atLeast"/>
          <w:tblHeader w:val="0"/>
        </w:trPr>
        <w:tc>
          <w:tcPr/>
          <w:p w:rsidR="00000000" w:rsidDel="00000000" w:rsidP="00000000" w:rsidRDefault="00000000" w:rsidRPr="00000000" w14:paraId="000001A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bCs w:val="0"/>
                <w:sz w:val="24"/>
                <w:szCs w:val="24"/>
                <w:rtl w:val="0"/>
              </w:rPr>
              <w:t xml:space="preserve">Mohammed &amp; Ferraris (2025)</w:t>
            </w:r>
            <w:r w:rsidDel="00000000" w:rsidR="00000000" w:rsidRPr="00000000">
              <w:rPr>
                <w:rtl w:val="0"/>
              </w:rPr>
            </w:r>
          </w:p>
        </w:tc>
        <w:tc>
          <w:tcPr/>
          <w:p w:rsidR="00000000" w:rsidDel="00000000" w:rsidP="00000000" w:rsidRDefault="00000000" w:rsidRPr="00000000" w14:paraId="000001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chatbots – Italy</w:t>
            </w:r>
          </w:p>
        </w:tc>
        <w:tc>
          <w:tcPr/>
          <w:p w:rsidR="00000000" w:rsidDel="00000000" w:rsidP="00000000" w:rsidRDefault="00000000" w:rsidRPr="00000000" w14:paraId="000001A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w:t>
            </w:r>
          </w:p>
        </w:tc>
        <w:tc>
          <w:tcPr/>
          <w:p w:rsidR="00000000" w:rsidDel="00000000" w:rsidP="00000000" w:rsidRDefault="00000000" w:rsidRPr="00000000" w14:paraId="000001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Responsiveness, Empathy, Trust, Continued Use</w:t>
            </w:r>
          </w:p>
        </w:tc>
        <w:tc>
          <w:tcPr/>
          <w:p w:rsidR="00000000" w:rsidDel="00000000" w:rsidP="00000000" w:rsidRDefault="00000000" w:rsidRPr="00000000" w14:paraId="000001A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350 consumers, SEM</w:t>
            </w:r>
          </w:p>
        </w:tc>
        <w:tc>
          <w:tcPr/>
          <w:p w:rsidR="00000000" w:rsidDel="00000000" w:rsidP="00000000" w:rsidRDefault="00000000" w:rsidRPr="00000000" w14:paraId="000001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Empathy and responsiveness trigger trust; trust mediates between stimuli and continued use.</w:t>
            </w:r>
          </w:p>
        </w:tc>
      </w:tr>
      <w:tr>
        <w:trPr>
          <w:cantSplit w:val="0"/>
          <w:trHeight w:val="1337" w:hRule="atLeast"/>
          <w:tblHeader w:val="0"/>
        </w:trPr>
        <w:tc>
          <w:tcPr/>
          <w:p w:rsidR="00000000" w:rsidDel="00000000" w:rsidP="00000000" w:rsidRDefault="00000000" w:rsidRPr="00000000" w14:paraId="000001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bCs w:val="0"/>
                <w:sz w:val="24"/>
                <w:szCs w:val="24"/>
                <w:rtl w:val="0"/>
              </w:rPr>
              <w:t xml:space="preserve">Riandhi &amp; Arviansyah (2025)</w:t>
            </w:r>
            <w:r w:rsidDel="00000000" w:rsidR="00000000" w:rsidRPr="00000000">
              <w:rPr>
                <w:rtl w:val="0"/>
              </w:rPr>
            </w:r>
          </w:p>
        </w:tc>
        <w:tc>
          <w:tcPr/>
          <w:p w:rsidR="00000000" w:rsidDel="00000000" w:rsidP="00000000" w:rsidRDefault="00000000" w:rsidRPr="00000000" w14:paraId="000001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retail systems – Indonesia</w:t>
            </w:r>
          </w:p>
        </w:tc>
        <w:tc>
          <w:tcPr/>
          <w:p w:rsidR="00000000" w:rsidDel="00000000" w:rsidP="00000000" w:rsidRDefault="00000000" w:rsidRPr="00000000" w14:paraId="000001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w:t>
            </w:r>
          </w:p>
        </w:tc>
        <w:tc>
          <w:tcPr/>
          <w:p w:rsidR="00000000" w:rsidDel="00000000" w:rsidP="00000000" w:rsidRDefault="00000000" w:rsidRPr="00000000" w14:paraId="000001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Personalization, Emotional Engagement, Satisfaction</w:t>
            </w:r>
          </w:p>
        </w:tc>
        <w:tc>
          <w:tcPr/>
          <w:p w:rsidR="00000000" w:rsidDel="00000000" w:rsidP="00000000" w:rsidRDefault="00000000" w:rsidRPr="00000000" w14:paraId="000001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289 users, PLS-SEM</w:t>
            </w:r>
          </w:p>
        </w:tc>
        <w:tc>
          <w:tcPr/>
          <w:p w:rsidR="00000000" w:rsidDel="00000000" w:rsidP="00000000" w:rsidRDefault="00000000" w:rsidRPr="00000000" w14:paraId="000001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Personalization enhances engagement and satisfaction; emotional engagement mediates purchase intention.</w:t>
            </w:r>
          </w:p>
        </w:tc>
      </w:tr>
      <w:tr>
        <w:trPr>
          <w:cantSplit w:val="0"/>
          <w:trHeight w:val="1337" w:hRule="atLeast"/>
          <w:tblHeader w:val="0"/>
        </w:trPr>
        <w:tc>
          <w:tcPr/>
          <w:p w:rsidR="00000000" w:rsidDel="00000000" w:rsidP="00000000" w:rsidRDefault="00000000" w:rsidRPr="00000000" w14:paraId="000001B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bCs w:val="0"/>
                <w:sz w:val="24"/>
                <w:szCs w:val="24"/>
                <w:rtl w:val="0"/>
              </w:rPr>
              <w:t xml:space="preserve">Yong &amp; Noor (2025)</w:t>
            </w:r>
            <w:r w:rsidDel="00000000" w:rsidR="00000000" w:rsidRPr="00000000">
              <w:rPr>
                <w:rtl w:val="0"/>
              </w:rPr>
            </w:r>
          </w:p>
        </w:tc>
        <w:tc>
          <w:tcPr/>
          <w:p w:rsidR="00000000" w:rsidDel="00000000" w:rsidP="00000000" w:rsidRDefault="00000000" w:rsidRPr="00000000" w14:paraId="000001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Online purchase behavior – Malaysia</w:t>
            </w:r>
          </w:p>
        </w:tc>
        <w:tc>
          <w:tcPr/>
          <w:p w:rsidR="00000000" w:rsidDel="00000000" w:rsidP="00000000" w:rsidRDefault="00000000" w:rsidRPr="00000000" w14:paraId="000001B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Bibliometric TAM Review</w:t>
            </w:r>
          </w:p>
        </w:tc>
        <w:tc>
          <w:tcPr/>
          <w:p w:rsidR="00000000" w:rsidDel="00000000" w:rsidP="00000000" w:rsidRDefault="00000000" w:rsidRPr="00000000" w14:paraId="000001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 PEOU, Trust, Enjoyment</w:t>
            </w:r>
          </w:p>
        </w:tc>
        <w:tc>
          <w:tcPr/>
          <w:p w:rsidR="00000000" w:rsidDel="00000000" w:rsidP="00000000" w:rsidRDefault="00000000" w:rsidRPr="00000000" w14:paraId="000001B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100 TAM studies (2004–2024)</w:t>
            </w:r>
          </w:p>
        </w:tc>
        <w:tc>
          <w:tcPr/>
          <w:p w:rsidR="00000000" w:rsidDel="00000000" w:rsidP="00000000" w:rsidRDefault="00000000" w:rsidRPr="00000000" w14:paraId="000001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 and trust remain dominant predictors; emotional constructs increasingly relevant post-2020.</w:t>
            </w:r>
          </w:p>
        </w:tc>
      </w:tr>
      <w:tr>
        <w:trPr>
          <w:cantSplit w:val="0"/>
          <w:trHeight w:val="802" w:hRule="atLeast"/>
          <w:tblHeader w:val="0"/>
        </w:trPr>
        <w:tc>
          <w:tcPr/>
          <w:p w:rsidR="00000000" w:rsidDel="00000000" w:rsidP="00000000" w:rsidRDefault="00000000" w:rsidRPr="00000000" w14:paraId="000001B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bCs w:val="0"/>
                <w:sz w:val="24"/>
                <w:szCs w:val="24"/>
                <w:rtl w:val="0"/>
              </w:rPr>
              <w:t xml:space="preserve">ElSayad &amp; Mamdouh (2025)</w:t>
            </w:r>
            <w:r w:rsidDel="00000000" w:rsidR="00000000" w:rsidRPr="00000000">
              <w:rPr>
                <w:rtl w:val="0"/>
              </w:rPr>
            </w:r>
          </w:p>
        </w:tc>
        <w:tc>
          <w:tcPr/>
          <w:p w:rsidR="00000000" w:rsidDel="00000000" w:rsidP="00000000" w:rsidRDefault="00000000" w:rsidRPr="00000000" w14:paraId="000001B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e-commerce – Egypt</w:t>
            </w:r>
          </w:p>
        </w:tc>
        <w:tc>
          <w:tcPr/>
          <w:p w:rsidR="00000000" w:rsidDel="00000000" w:rsidP="00000000" w:rsidRDefault="00000000" w:rsidRPr="00000000" w14:paraId="000001B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Extended TAM–SOR</w:t>
            </w:r>
          </w:p>
        </w:tc>
        <w:tc>
          <w:tcPr/>
          <w:p w:rsidR="00000000" w:rsidDel="00000000" w:rsidP="00000000" w:rsidRDefault="00000000" w:rsidRPr="00000000" w14:paraId="000001B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 Trust, Word-of-Mouth Intention</w:t>
            </w:r>
          </w:p>
        </w:tc>
        <w:tc>
          <w:tcPr/>
          <w:p w:rsidR="00000000" w:rsidDel="00000000" w:rsidP="00000000" w:rsidRDefault="00000000" w:rsidRPr="00000000" w14:paraId="000001B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344 shoppers, SEM</w:t>
            </w:r>
          </w:p>
        </w:tc>
        <w:tc>
          <w:tcPr/>
          <w:p w:rsidR="00000000" w:rsidDel="00000000" w:rsidP="00000000" w:rsidRDefault="00000000" w:rsidRPr="00000000" w14:paraId="000001B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 and trust predict positive WOM through emotional satisfaction.</w:t>
            </w:r>
          </w:p>
        </w:tc>
      </w:tr>
      <w:tr>
        <w:trPr>
          <w:cantSplit w:val="0"/>
          <w:trHeight w:val="1337" w:hRule="atLeast"/>
          <w:tblHeader w:val="0"/>
        </w:trPr>
        <w:tc>
          <w:tcPr/>
          <w:p w:rsidR="00000000" w:rsidDel="00000000" w:rsidP="00000000" w:rsidRDefault="00000000" w:rsidRPr="00000000" w14:paraId="000001B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bCs w:val="0"/>
                <w:sz w:val="24"/>
                <w:szCs w:val="24"/>
                <w:rtl w:val="0"/>
              </w:rPr>
              <w:t xml:space="preserve">Linh et al. (2025)</w:t>
            </w:r>
            <w:r w:rsidDel="00000000" w:rsidR="00000000" w:rsidRPr="00000000">
              <w:rPr>
                <w:rtl w:val="0"/>
              </w:rPr>
            </w:r>
          </w:p>
        </w:tc>
        <w:tc>
          <w:tcPr/>
          <w:p w:rsidR="00000000" w:rsidDel="00000000" w:rsidP="00000000" w:rsidRDefault="00000000" w:rsidRPr="00000000" w14:paraId="000001B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Sustainable AI shopping – Vietnam</w:t>
            </w:r>
          </w:p>
        </w:tc>
        <w:tc>
          <w:tcPr/>
          <w:p w:rsidR="00000000" w:rsidDel="00000000" w:rsidP="00000000" w:rsidRDefault="00000000" w:rsidRPr="00000000" w14:paraId="000001C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TAM–SOR</w:t>
            </w:r>
          </w:p>
        </w:tc>
        <w:tc>
          <w:tcPr/>
          <w:p w:rsidR="00000000" w:rsidDel="00000000" w:rsidP="00000000" w:rsidRDefault="00000000" w:rsidRPr="00000000" w14:paraId="000001C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 Emotional Engagement, Green Value, Intention</w:t>
            </w:r>
          </w:p>
        </w:tc>
        <w:tc>
          <w:tcPr/>
          <w:p w:rsidR="00000000" w:rsidDel="00000000" w:rsidP="00000000" w:rsidRDefault="00000000" w:rsidRPr="00000000" w14:paraId="000001C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401 Gen Z users, SEM</w:t>
            </w:r>
          </w:p>
        </w:tc>
        <w:tc>
          <w:tcPr/>
          <w:p w:rsidR="00000000" w:rsidDel="00000000" w:rsidP="00000000" w:rsidRDefault="00000000" w:rsidRPr="00000000" w14:paraId="000001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Integration of TAM–SOR explains 72% of behavioral intention variance in sustainable AI shopping.</w:t>
            </w:r>
          </w:p>
        </w:tc>
      </w:tr>
      <w:tr>
        <w:trPr>
          <w:cantSplit w:val="0"/>
          <w:trHeight w:val="1292" w:hRule="atLeast"/>
          <w:tblHeader w:val="0"/>
        </w:trPr>
        <w:tc>
          <w:tcPr/>
          <w:p w:rsidR="00000000" w:rsidDel="00000000" w:rsidP="00000000" w:rsidRDefault="00000000" w:rsidRPr="00000000" w14:paraId="000001C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bCs w:val="0"/>
                <w:sz w:val="24"/>
                <w:szCs w:val="24"/>
                <w:rtl w:val="0"/>
              </w:rPr>
              <w:t xml:space="preserve">Awad &amp; Ragab (2023)</w:t>
            </w:r>
            <w:r w:rsidDel="00000000" w:rsidR="00000000" w:rsidRPr="00000000">
              <w:rPr>
                <w:rtl w:val="0"/>
              </w:rPr>
            </w:r>
          </w:p>
        </w:tc>
        <w:tc>
          <w:tcPr/>
          <w:p w:rsidR="00000000" w:rsidDel="00000000" w:rsidP="00000000" w:rsidRDefault="00000000" w:rsidRPr="00000000" w14:paraId="000001C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Mobile e-commerce – Saudi Arabia</w:t>
            </w:r>
          </w:p>
        </w:tc>
        <w:tc>
          <w:tcPr/>
          <w:p w:rsidR="00000000" w:rsidDel="00000000" w:rsidP="00000000" w:rsidRDefault="00000000" w:rsidRPr="00000000" w14:paraId="000001C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TAM</w:t>
            </w:r>
          </w:p>
        </w:tc>
        <w:tc>
          <w:tcPr/>
          <w:p w:rsidR="00000000" w:rsidDel="00000000" w:rsidP="00000000" w:rsidRDefault="00000000" w:rsidRPr="00000000" w14:paraId="000001C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 PEOU, Social Influence, Trust</w:t>
            </w:r>
          </w:p>
        </w:tc>
        <w:tc>
          <w:tcPr/>
          <w:p w:rsidR="00000000" w:rsidDel="00000000" w:rsidP="00000000" w:rsidRDefault="00000000" w:rsidRPr="00000000" w14:paraId="000001C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423 users, SEM</w:t>
            </w:r>
          </w:p>
        </w:tc>
        <w:tc>
          <w:tcPr/>
          <w:p w:rsidR="00000000" w:rsidDel="00000000" w:rsidP="00000000" w:rsidRDefault="00000000" w:rsidRPr="00000000" w14:paraId="000001C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influence moderates PU–intention relationship; ease of use affects trust and satisfaction.</w:t>
            </w:r>
          </w:p>
        </w:tc>
      </w:tr>
    </w:tbl>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48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bookmarkStart w:colFirst="0" w:colLast="0" w:name="_heading=h.l5ucngx03fsu" w:id="18"/>
      <w:bookmarkEnd w:id="18"/>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Table 2.1: Summary of Prior Empirical Studies (2021–2025)</w:t>
      </w:r>
    </w:p>
    <w:p w:rsidR="00000000" w:rsidDel="00000000" w:rsidP="00000000" w:rsidRDefault="00000000" w:rsidRPr="00000000" w14:paraId="000001CB">
      <w:pPr>
        <w:spacing w:line="480" w:lineRule="auto"/>
        <w:rPr>
          <w:sz w:val="24"/>
          <w:szCs w:val="24"/>
        </w:rPr>
      </w:pPr>
      <w:r w:rsidDel="00000000" w:rsidR="00000000" w:rsidRPr="00000000">
        <w:rPr>
          <w:sz w:val="24"/>
          <w:szCs w:val="24"/>
          <w:rtl w:val="0"/>
        </w:rPr>
        <w:t xml:space="preserve">The reviewed studies consistently demonstrate the strong predictive capacity of TAM constructs (PU, PEOU) in explaining behavioral intention, but also emphasize the growing importance of affective and contextual variables from the SOR framework, such as trust, emotional engagement, and perceived value. Across various cultural and technological contexts, users’ cognitive appraisals interact with emotional responses, confirming that technology adoption in smart commerce is not merely utilitarian but also experiential.</w:t>
      </w:r>
    </w:p>
    <w:p w:rsidR="00000000" w:rsidDel="00000000" w:rsidP="00000000" w:rsidRDefault="00000000" w:rsidRPr="00000000" w14:paraId="000001CC">
      <w:pPr>
        <w:spacing w:line="480" w:lineRule="auto"/>
        <w:rPr>
          <w:sz w:val="24"/>
          <w:szCs w:val="24"/>
        </w:rPr>
      </w:pPr>
      <w:r w:rsidDel="00000000" w:rsidR="00000000" w:rsidRPr="00000000">
        <w:rPr>
          <w:sz w:val="24"/>
          <w:szCs w:val="24"/>
          <w:rtl w:val="0"/>
        </w:rPr>
        <w:t xml:space="preserve">Furthermore, studies conducted between 2023 and 2025 reveal a trend toward integrated TAM–SOR models, which outperform traditional TAM by accounting for emotional and social dynamics. For instance, Elgammal et al. (2025) and Linh et al. (2025) demonstrated that emotional engagement and trust significantly mediate between cognitive beliefs and behavioral outcomes, explaining over 65% of behavioral intention variance in AI shopping contexts.</w:t>
      </w:r>
    </w:p>
    <w:p w:rsidR="00000000" w:rsidDel="00000000" w:rsidP="00000000" w:rsidRDefault="00000000" w:rsidRPr="00000000" w14:paraId="000001CD">
      <w:pPr>
        <w:spacing w:line="480" w:lineRule="auto"/>
        <w:rPr>
          <w:sz w:val="24"/>
          <w:szCs w:val="24"/>
        </w:rPr>
      </w:pPr>
      <w:r w:rsidDel="00000000" w:rsidR="00000000" w:rsidRPr="00000000">
        <w:rPr>
          <w:sz w:val="24"/>
          <w:szCs w:val="24"/>
          <w:rtl w:val="0"/>
        </w:rPr>
        <w:t xml:space="preserve">Despite these advances, a key research gap remains: limited empirical exploration of integrated TAM–SOR frameworks in hybrid environments that combine mobile and voice shopping experiences. Most existing studies examine these technologies separately. Thus, the current study addresses this gap by analyzing how cognitive (TAM) and affective (SOR) factors jointly shape consumer behavior toward AI-enabled mobile shopping applications with voice-assistant integration.</w:t>
      </w:r>
    </w:p>
    <w:p w:rsidR="00000000" w:rsidDel="00000000" w:rsidP="00000000" w:rsidRDefault="00000000" w:rsidRPr="00000000" w14:paraId="000001CE">
      <w:pPr>
        <w:spacing w:line="480" w:lineRule="auto"/>
        <w:rPr>
          <w:sz w:val="24"/>
          <w:szCs w:val="24"/>
        </w:rPr>
      </w:pPr>
      <w:r w:rsidDel="00000000" w:rsidR="00000000" w:rsidRPr="00000000">
        <w:rPr>
          <w:rtl w:val="0"/>
        </w:rPr>
      </w:r>
    </w:p>
    <w:p w:rsidR="00000000" w:rsidDel="00000000" w:rsidP="00000000" w:rsidRDefault="00000000" w:rsidRPr="00000000" w14:paraId="000001CF">
      <w:pPr>
        <w:spacing w:line="480" w:lineRule="auto"/>
        <w:rPr>
          <w:sz w:val="24"/>
          <w:szCs w:val="24"/>
        </w:rPr>
      </w:pPr>
      <w:r w:rsidDel="00000000" w:rsidR="00000000" w:rsidRPr="00000000">
        <w:rPr>
          <w:rtl w:val="0"/>
        </w:rPr>
      </w:r>
    </w:p>
    <w:p w:rsidR="00000000" w:rsidDel="00000000" w:rsidP="00000000" w:rsidRDefault="00000000" w:rsidRPr="00000000" w14:paraId="000001D0">
      <w:pPr>
        <w:spacing w:line="480" w:lineRule="auto"/>
        <w:rPr>
          <w:sz w:val="24"/>
          <w:szCs w:val="24"/>
        </w:rPr>
      </w:pPr>
      <w:r w:rsidDel="00000000" w:rsidR="00000000" w:rsidRPr="00000000">
        <w:rPr>
          <w:rtl w:val="0"/>
        </w:rPr>
      </w:r>
    </w:p>
    <w:p w:rsidR="00000000" w:rsidDel="00000000" w:rsidP="00000000" w:rsidRDefault="00000000" w:rsidRPr="00000000" w14:paraId="000001D1">
      <w:pPr>
        <w:spacing w:line="480" w:lineRule="auto"/>
        <w:rPr>
          <w:sz w:val="24"/>
          <w:szCs w:val="24"/>
        </w:rPr>
      </w:pPr>
      <w:r w:rsidDel="00000000" w:rsidR="00000000" w:rsidRPr="00000000">
        <w:rPr>
          <w:rtl w:val="0"/>
        </w:rPr>
      </w:r>
    </w:p>
    <w:p w:rsidR="00000000" w:rsidDel="00000000" w:rsidP="00000000" w:rsidRDefault="00000000" w:rsidRPr="00000000" w14:paraId="000001D2">
      <w:pPr>
        <w:spacing w:line="480" w:lineRule="auto"/>
        <w:rPr>
          <w:sz w:val="24"/>
          <w:szCs w:val="24"/>
        </w:rPr>
      </w:pPr>
      <w:r w:rsidDel="00000000" w:rsidR="00000000" w:rsidRPr="00000000">
        <w:rPr>
          <w:rtl w:val="0"/>
        </w:rPr>
      </w:r>
    </w:p>
    <w:p w:rsidR="00000000" w:rsidDel="00000000" w:rsidP="00000000" w:rsidRDefault="00000000" w:rsidRPr="00000000" w14:paraId="000001D3">
      <w:pPr>
        <w:spacing w:line="480" w:lineRule="auto"/>
        <w:rPr>
          <w:sz w:val="24"/>
          <w:szCs w:val="24"/>
        </w:rPr>
      </w:pPr>
      <w:r w:rsidDel="00000000" w:rsidR="00000000" w:rsidRPr="00000000">
        <w:rPr>
          <w:rtl w:val="0"/>
        </w:rPr>
      </w:r>
    </w:p>
    <w:p w:rsidR="00000000" w:rsidDel="00000000" w:rsidP="00000000" w:rsidRDefault="00000000" w:rsidRPr="00000000" w14:paraId="000001D4">
      <w:pPr>
        <w:spacing w:line="480" w:lineRule="auto"/>
        <w:rPr>
          <w:sz w:val="24"/>
          <w:szCs w:val="24"/>
        </w:rPr>
      </w:pPr>
      <w:r w:rsidDel="00000000" w:rsidR="00000000" w:rsidRPr="00000000">
        <w:rPr>
          <w:rtl w:val="0"/>
        </w:rPr>
      </w:r>
    </w:p>
    <w:p w:rsidR="00000000" w:rsidDel="00000000" w:rsidP="00000000" w:rsidRDefault="00000000" w:rsidRPr="00000000" w14:paraId="000001D5">
      <w:pPr>
        <w:spacing w:line="480" w:lineRule="auto"/>
        <w:rPr>
          <w:sz w:val="24"/>
          <w:szCs w:val="24"/>
        </w:rPr>
      </w:pPr>
      <w:r w:rsidDel="00000000" w:rsidR="00000000" w:rsidRPr="00000000">
        <w:rPr>
          <w:rtl w:val="0"/>
        </w:rPr>
      </w:r>
    </w:p>
    <w:p w:rsidR="00000000" w:rsidDel="00000000" w:rsidP="00000000" w:rsidRDefault="00000000" w:rsidRPr="00000000" w14:paraId="000001D6">
      <w:pPr>
        <w:spacing w:line="480" w:lineRule="auto"/>
        <w:rPr>
          <w:sz w:val="24"/>
          <w:szCs w:val="24"/>
        </w:rPr>
      </w:pPr>
      <w:r w:rsidDel="00000000" w:rsidR="00000000" w:rsidRPr="00000000">
        <w:rPr>
          <w:rtl w:val="0"/>
        </w:rPr>
      </w:r>
    </w:p>
    <w:p w:rsidR="00000000" w:rsidDel="00000000" w:rsidP="00000000" w:rsidRDefault="00000000" w:rsidRPr="00000000" w14:paraId="000001D7">
      <w:pPr>
        <w:spacing w:line="480" w:lineRule="auto"/>
        <w:rPr>
          <w:sz w:val="24"/>
          <w:szCs w:val="24"/>
        </w:rPr>
      </w:pPr>
      <w:r w:rsidDel="00000000" w:rsidR="00000000" w:rsidRPr="00000000">
        <w:rPr>
          <w:rtl w:val="0"/>
        </w:rPr>
      </w:r>
    </w:p>
    <w:p w:rsidR="00000000" w:rsidDel="00000000" w:rsidP="00000000" w:rsidRDefault="00000000" w:rsidRPr="00000000" w14:paraId="000001D8">
      <w:pPr>
        <w:spacing w:line="480" w:lineRule="auto"/>
        <w:rPr>
          <w:sz w:val="24"/>
          <w:szCs w:val="24"/>
        </w:rPr>
      </w:pPr>
      <w:r w:rsidDel="00000000" w:rsidR="00000000" w:rsidRPr="00000000">
        <w:rPr>
          <w:rtl w:val="0"/>
        </w:rPr>
      </w:r>
    </w:p>
    <w:p w:rsidR="00000000" w:rsidDel="00000000" w:rsidP="00000000" w:rsidRDefault="00000000" w:rsidRPr="00000000" w14:paraId="000001D9">
      <w:pPr>
        <w:spacing w:line="480" w:lineRule="auto"/>
        <w:rPr>
          <w:sz w:val="24"/>
          <w:szCs w:val="24"/>
        </w:rPr>
      </w:pPr>
      <w:r w:rsidDel="00000000" w:rsidR="00000000" w:rsidRPr="00000000">
        <w:rPr>
          <w:rtl w:val="0"/>
        </w:rPr>
      </w:r>
    </w:p>
    <w:p w:rsidR="00000000" w:rsidDel="00000000" w:rsidP="00000000" w:rsidRDefault="00000000" w:rsidRPr="00000000" w14:paraId="000001DA">
      <w:pPr>
        <w:spacing w:line="480" w:lineRule="auto"/>
        <w:rPr>
          <w:sz w:val="24"/>
          <w:szCs w:val="24"/>
        </w:rPr>
      </w:pPr>
      <w:r w:rsidDel="00000000" w:rsidR="00000000" w:rsidRPr="00000000">
        <w:rPr>
          <w:rtl w:val="0"/>
        </w:rPr>
      </w:r>
    </w:p>
    <w:p w:rsidR="00000000" w:rsidDel="00000000" w:rsidP="00000000" w:rsidRDefault="00000000" w:rsidRPr="00000000" w14:paraId="000001DB">
      <w:pPr>
        <w:spacing w:line="480" w:lineRule="auto"/>
        <w:rPr>
          <w:sz w:val="24"/>
          <w:szCs w:val="24"/>
        </w:rPr>
      </w:pPr>
      <w:r w:rsidDel="00000000" w:rsidR="00000000" w:rsidRPr="00000000">
        <w:rPr>
          <w:rtl w:val="0"/>
        </w:rPr>
      </w:r>
    </w:p>
    <w:p w:rsidR="00000000" w:rsidDel="00000000" w:rsidP="00000000" w:rsidRDefault="00000000" w:rsidRPr="00000000" w14:paraId="000001DC">
      <w:pPr>
        <w:spacing w:line="480" w:lineRule="auto"/>
        <w:rPr>
          <w:sz w:val="24"/>
          <w:szCs w:val="24"/>
        </w:rPr>
      </w:pPr>
      <w:r w:rsidDel="00000000" w:rsidR="00000000" w:rsidRPr="00000000">
        <w:rPr>
          <w:rtl w:val="0"/>
        </w:rPr>
      </w:r>
    </w:p>
    <w:p w:rsidR="00000000" w:rsidDel="00000000" w:rsidP="00000000" w:rsidRDefault="00000000" w:rsidRPr="00000000" w14:paraId="000001DD">
      <w:pPr>
        <w:spacing w:line="480" w:lineRule="auto"/>
        <w:rPr>
          <w:sz w:val="24"/>
          <w:szCs w:val="24"/>
        </w:rPr>
      </w:pPr>
      <w:r w:rsidDel="00000000" w:rsidR="00000000" w:rsidRPr="00000000">
        <w:rPr>
          <w:rtl w:val="0"/>
        </w:rPr>
      </w:r>
    </w:p>
    <w:p w:rsidR="00000000" w:rsidDel="00000000" w:rsidP="00000000" w:rsidRDefault="00000000" w:rsidRPr="00000000" w14:paraId="000001DE">
      <w:pPr>
        <w:spacing w:line="480" w:lineRule="auto"/>
        <w:rPr>
          <w:sz w:val="24"/>
          <w:szCs w:val="24"/>
        </w:rPr>
      </w:pPr>
      <w:r w:rsidDel="00000000" w:rsidR="00000000" w:rsidRPr="00000000">
        <w:rPr>
          <w:rtl w:val="0"/>
        </w:rPr>
      </w:r>
    </w:p>
    <w:p w:rsidR="00000000" w:rsidDel="00000000" w:rsidP="00000000" w:rsidRDefault="00000000" w:rsidRPr="00000000" w14:paraId="000001DF">
      <w:pPr>
        <w:spacing w:line="480" w:lineRule="auto"/>
        <w:rPr>
          <w:sz w:val="24"/>
          <w:szCs w:val="24"/>
        </w:rPr>
      </w:pPr>
      <w:r w:rsidDel="00000000" w:rsidR="00000000" w:rsidRPr="00000000">
        <w:rPr>
          <w:rtl w:val="0"/>
        </w:rPr>
      </w:r>
    </w:p>
    <w:p w:rsidR="00000000" w:rsidDel="00000000" w:rsidP="00000000" w:rsidRDefault="00000000" w:rsidRPr="00000000" w14:paraId="000001E0">
      <w:pPr>
        <w:spacing w:line="480" w:lineRule="auto"/>
        <w:rPr>
          <w:sz w:val="24"/>
          <w:szCs w:val="24"/>
        </w:rPr>
      </w:pPr>
      <w:r w:rsidDel="00000000" w:rsidR="00000000" w:rsidRPr="00000000">
        <w:rPr>
          <w:rtl w:val="0"/>
        </w:rPr>
      </w:r>
    </w:p>
    <w:p w:rsidR="00000000" w:rsidDel="00000000" w:rsidP="00000000" w:rsidRDefault="00000000" w:rsidRPr="00000000" w14:paraId="000001E1">
      <w:pPr>
        <w:spacing w:line="480" w:lineRule="auto"/>
        <w:rPr>
          <w:sz w:val="24"/>
          <w:szCs w:val="24"/>
        </w:rPr>
      </w:pPr>
      <w:r w:rsidDel="00000000" w:rsidR="00000000" w:rsidRPr="00000000">
        <w:rPr>
          <w:rtl w:val="0"/>
        </w:rPr>
      </w:r>
    </w:p>
    <w:p w:rsidR="00000000" w:rsidDel="00000000" w:rsidP="00000000" w:rsidRDefault="00000000" w:rsidRPr="00000000" w14:paraId="000001E2">
      <w:pPr>
        <w:spacing w:line="480" w:lineRule="auto"/>
        <w:rPr>
          <w:sz w:val="24"/>
          <w:szCs w:val="24"/>
        </w:rPr>
      </w:pPr>
      <w:r w:rsidDel="00000000" w:rsidR="00000000" w:rsidRPr="00000000">
        <w:rPr>
          <w:rtl w:val="0"/>
        </w:rPr>
      </w:r>
    </w:p>
    <w:p w:rsidR="00000000" w:rsidDel="00000000" w:rsidP="00000000" w:rsidRDefault="00000000" w:rsidRPr="00000000" w14:paraId="000001E3">
      <w:pPr>
        <w:spacing w:line="480" w:lineRule="auto"/>
        <w:rPr>
          <w:sz w:val="24"/>
          <w:szCs w:val="24"/>
        </w:rPr>
      </w:pPr>
      <w:r w:rsidDel="00000000" w:rsidR="00000000" w:rsidRPr="00000000">
        <w:rPr>
          <w:rtl w:val="0"/>
        </w:rPr>
      </w:r>
    </w:p>
    <w:p w:rsidR="00000000" w:rsidDel="00000000" w:rsidP="00000000" w:rsidRDefault="00000000" w:rsidRPr="00000000" w14:paraId="000001E4">
      <w:pPr>
        <w:rPr>
          <w:sz w:val="24"/>
          <w:szCs w:val="24"/>
        </w:rPr>
      </w:pPr>
      <w:r w:rsidDel="00000000" w:rsidR="00000000" w:rsidRPr="00000000">
        <w:rPr>
          <w:rtl w:val="0"/>
        </w:rPr>
      </w:r>
    </w:p>
    <w:sectPr>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Sakkal Majalla"/>
  <w:font w:name="Courier New"/>
  <w:font w:name="Times"/>
  <w:font w:name="Noto Sans Symbols">
    <w:embedRegular w:fontKey="{00000000-0000-0000-0000-000000000000}" r:id="rId1" w:subsetted="0"/>
    <w:embedBold w:fontKey="{00000000-0000-0000-0000-000000000000}" r:id="rId2" w:subsetted="0"/>
  </w:font>
  <w:font w:name="Dancing Script">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spacing w:line="240" w:lineRule="auto"/>
    </w:pPr>
    <w:rPr>
      <w:rFonts w:ascii="Times New Roman" w:cs="Times New Roman" w:eastAsia="Times New Roman" w:hAnsi="Times New Roman"/>
      <w:b w:val="1"/>
      <w:bCs w:val="1"/>
      <w:sz w:val="27"/>
      <w:szCs w:val="27"/>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List Paragraph"/>
    <w:basedOn w:val="a"/>
    <w:uiPriority w:val="34"/>
    <w:qFormat w:val="1"/>
    <w:rsid w:val="006A0AE9"/>
    <w:pPr>
      <w:ind w:left="720"/>
      <w:contextualSpacing w:val="1"/>
    </w:pPr>
  </w:style>
  <w:style w:type="character" w:styleId="a4">
    <w:name w:val="Strong"/>
    <w:basedOn w:val="a0"/>
    <w:uiPriority w:val="22"/>
    <w:qFormat w:val="1"/>
    <w:rsid w:val="006A0AE9"/>
    <w:rPr>
      <w:b w:val="1"/>
      <w:bCs w:val="1"/>
    </w:rPr>
  </w:style>
  <w:style w:type="table" w:styleId="5-3">
    <w:name w:val="Grid Table 5 Dark Accent 3"/>
    <w:basedOn w:val="a1"/>
    <w:uiPriority w:val="50"/>
    <w:rsid w:val="00702BCF"/>
    <w:pPr>
      <w:spacing w:after="0" w:line="240" w:lineRule="auto"/>
    </w:pPr>
    <w:tblPr>
      <w:tblStyleRowBandSize w:val="1"/>
      <w:tblStyleColBandSize w:val="1"/>
      <w:tblInd w:w="0.0" w:type="dxa"/>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eded" w:themeFill="accent3"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a5a5a5" w:themeFill="accent3"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a5a5a5" w:themeFill="accent3"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a5a5a5" w:themeFill="accent3"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a5a5a5" w:themeFill="accent3" w:val="clear"/>
      </w:tcPr>
    </w:tblStylePr>
    <w:tblStylePr w:type="band1Vert">
      <w:tblPr/>
      <w:tcPr>
        <w:shd w:color="auto" w:fill="dbdbdb" w:themeFill="accent3" w:themeFillTint="000066" w:val="clear"/>
      </w:tcPr>
    </w:tblStylePr>
    <w:tblStylePr w:type="band1Horz">
      <w:tblPr/>
      <w:tcPr>
        <w:shd w:color="auto" w:fill="dbdbdb" w:themeFill="accent3" w:themeFillTint="000066" w:val="clear"/>
      </w:tcPr>
    </w:tblStylePr>
  </w:style>
  <w:style w:type="paragraph" w:styleId="table" w:customStyle="1">
    <w:name w:val="table"/>
    <w:basedOn w:val="a"/>
    <w:link w:val="tableChar"/>
    <w:qFormat w:val="1"/>
    <w:rsid w:val="00702BCF"/>
    <w:pPr>
      <w:spacing w:line="480" w:lineRule="auto"/>
    </w:pPr>
    <w:rPr>
      <w:rFonts w:asciiTheme="majorBidi" w:cstheme="majorBidi" w:hAnsiTheme="majorBidi"/>
      <w:sz w:val="24"/>
      <w:szCs w:val="24"/>
    </w:rPr>
  </w:style>
  <w:style w:type="table" w:styleId="4-3">
    <w:name w:val="Grid Table 4 Accent 3"/>
    <w:basedOn w:val="a1"/>
    <w:uiPriority w:val="49"/>
    <w:rsid w:val="004F69F4"/>
    <w:pPr>
      <w:spacing w:after="0" w:line="240" w:lineRule="auto"/>
    </w:pPr>
    <w:tblPr>
      <w:tblStyleRowBandSize w:val="1"/>
      <w:tblStyleColBandSize w:val="1"/>
      <w:tblInd w:w="0.0" w:type="dxa"/>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CellMar>
        <w:top w:w="0.0" w:type="dxa"/>
        <w:left w:w="108.0" w:type="dxa"/>
        <w:bottom w:w="0.0" w:type="dxa"/>
        <w:right w:w="108.0" w:type="dxa"/>
      </w:tblCellMar>
    </w:tblPr>
    <w:tblStylePr w:type="firstRow">
      <w:rPr>
        <w:b w:val="1"/>
        <w:bCs w:val="1"/>
        <w:color w:val="ffffff" w:themeColor="background1"/>
      </w:rPr>
      <w:tblPr/>
      <w:tcPr>
        <w:tcBorders>
          <w:top w:color="a5a5a5" w:space="0" w:sz="4" w:themeColor="accent3" w:val="single"/>
          <w:left w:color="a5a5a5" w:space="0" w:sz="4" w:themeColor="accent3" w:val="single"/>
          <w:bottom w:color="a5a5a5" w:space="0" w:sz="4" w:themeColor="accent3" w:val="single"/>
          <w:right w:color="a5a5a5" w:space="0" w:sz="4" w:themeColor="accent3" w:val="single"/>
          <w:insideH w:space="0" w:sz="0" w:val="nil"/>
          <w:insideV w:space="0" w:sz="0" w:val="nil"/>
        </w:tcBorders>
        <w:shd w:color="auto" w:fill="a5a5a5" w:themeFill="accent3" w:val="clear"/>
      </w:tcPr>
    </w:tblStylePr>
    <w:tblStylePr w:type="lastRow">
      <w:rPr>
        <w:b w:val="1"/>
        <w:bCs w:val="1"/>
      </w:rPr>
      <w:tblPr/>
      <w:tcPr>
        <w:tcBorders>
          <w:top w:color="a5a5a5" w:space="0" w:sz="4" w:themeColor="accent3"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character" w:styleId="tableChar" w:customStyle="1">
    <w:name w:val="table Char"/>
    <w:basedOn w:val="a0"/>
    <w:link w:val="table"/>
    <w:rsid w:val="00702BCF"/>
    <w:rPr>
      <w:rFonts w:asciiTheme="majorBidi" w:cstheme="majorBidi" w:hAnsiTheme="majorBidi"/>
      <w:sz w:val="24"/>
      <w:szCs w:val="24"/>
    </w:rPr>
  </w:style>
  <w:style w:type="paragraph" w:styleId="fiuger" w:customStyle="1">
    <w:name w:val="fiuger"/>
    <w:basedOn w:val="a"/>
    <w:link w:val="fiugerChar"/>
    <w:qFormat w:val="1"/>
    <w:rsid w:val="00D41690"/>
    <w:pPr>
      <w:spacing w:after="0" w:line="480" w:lineRule="auto"/>
    </w:pPr>
    <w:rPr>
      <w:rFonts w:asciiTheme="majorBidi" w:cstheme="majorBidi" w:hAnsiTheme="majorBidi"/>
      <w:sz w:val="24"/>
      <w:szCs w:val="24"/>
    </w:rPr>
  </w:style>
  <w:style w:type="paragraph" w:styleId="a5">
    <w:name w:val="header"/>
    <w:basedOn w:val="a"/>
    <w:link w:val="Char"/>
    <w:uiPriority w:val="99"/>
    <w:unhideWhenUsed w:val="1"/>
    <w:rsid w:val="00572A1A"/>
    <w:pPr>
      <w:tabs>
        <w:tab w:val="center" w:pos="4680"/>
        <w:tab w:val="right" w:pos="9360"/>
      </w:tabs>
      <w:spacing w:after="0" w:line="240" w:lineRule="auto"/>
    </w:pPr>
  </w:style>
  <w:style w:type="character" w:styleId="fiugerChar" w:customStyle="1">
    <w:name w:val="fiuger Char"/>
    <w:basedOn w:val="a0"/>
    <w:link w:val="fiuger"/>
    <w:rsid w:val="00D41690"/>
    <w:rPr>
      <w:rFonts w:asciiTheme="majorBidi" w:cstheme="majorBidi" w:hAnsiTheme="majorBidi"/>
      <w:sz w:val="24"/>
      <w:szCs w:val="24"/>
    </w:rPr>
  </w:style>
  <w:style w:type="character" w:styleId="Char" w:customStyle="1">
    <w:name w:val="رأس الصفحة Char"/>
    <w:basedOn w:val="a0"/>
    <w:link w:val="a5"/>
    <w:uiPriority w:val="99"/>
    <w:rsid w:val="00572A1A"/>
  </w:style>
  <w:style w:type="paragraph" w:styleId="a6">
    <w:name w:val="footer"/>
    <w:basedOn w:val="a"/>
    <w:link w:val="Char0"/>
    <w:uiPriority w:val="99"/>
    <w:unhideWhenUsed w:val="1"/>
    <w:rsid w:val="00572A1A"/>
    <w:pPr>
      <w:tabs>
        <w:tab w:val="center" w:pos="4680"/>
        <w:tab w:val="right" w:pos="9360"/>
      </w:tabs>
      <w:spacing w:after="0" w:line="240" w:lineRule="auto"/>
    </w:pPr>
  </w:style>
  <w:style w:type="character" w:styleId="Char0" w:customStyle="1">
    <w:name w:val="تذييل الصفحة Char"/>
    <w:basedOn w:val="a0"/>
    <w:link w:val="a6"/>
    <w:uiPriority w:val="99"/>
    <w:rsid w:val="00572A1A"/>
  </w:style>
  <w:style w:type="character" w:styleId="a7">
    <w:name w:val="Emphasis"/>
    <w:basedOn w:val="a0"/>
    <w:uiPriority w:val="20"/>
    <w:qFormat w:val="1"/>
    <w:rsid w:val="00DB3C23"/>
    <w:rPr>
      <w:i w:val="1"/>
      <w:iCs w:val="1"/>
    </w:rPr>
  </w:style>
  <w:style w:type="character" w:styleId="Hyperlink">
    <w:name w:val="Hyperlink"/>
    <w:basedOn w:val="a0"/>
    <w:uiPriority w:val="99"/>
    <w:unhideWhenUsed w:val="1"/>
    <w:rsid w:val="00F36B95"/>
    <w:rPr>
      <w:color w:val="0563c1" w:themeColor="hyperlink"/>
      <w:u w:val="single"/>
    </w:rPr>
  </w:style>
  <w:style w:type="paragraph" w:styleId="a8">
    <w:name w:val="Normal (Web)"/>
    <w:basedOn w:val="a"/>
    <w:uiPriority w:val="99"/>
    <w:unhideWhenUsed w:val="1"/>
    <w:rsid w:val="007438B9"/>
    <w:pPr>
      <w:spacing w:after="100" w:afterAutospacing="1" w:before="100" w:beforeAutospacing="1" w:line="240" w:lineRule="auto"/>
    </w:pPr>
    <w:rPr>
      <w:rFonts w:ascii="Times New Roman" w:cs="Times New Roman" w:eastAsia="Times New Roman" w:hAnsi="Times New Roman"/>
      <w:sz w:val="24"/>
      <w:szCs w:val="24"/>
    </w:rPr>
  </w:style>
  <w:style w:type="character" w:styleId="3Char" w:customStyle="1">
    <w:name w:val="عنوان 3 Char"/>
    <w:basedOn w:val="a0"/>
    <w:link w:val="3"/>
    <w:uiPriority w:val="9"/>
    <w:rsid w:val="0047198C"/>
    <w:rPr>
      <w:rFonts w:ascii="Times New Roman" w:cs="Times New Roman" w:eastAsia="Times New Roman" w:hAnsi="Times New Roman"/>
      <w:b w:val="1"/>
      <w:bCs w:val="1"/>
      <w:sz w:val="27"/>
      <w:szCs w:val="27"/>
    </w:rPr>
  </w:style>
  <w:style w:type="character" w:styleId="2Char" w:customStyle="1">
    <w:name w:val="عنوان 2 Char"/>
    <w:basedOn w:val="a0"/>
    <w:link w:val="2"/>
    <w:uiPriority w:val="9"/>
    <w:semiHidden w:val="1"/>
    <w:rsid w:val="00815A55"/>
    <w:rPr>
      <w:rFonts w:asciiTheme="majorHAnsi" w:cstheme="majorBidi" w:eastAsiaTheme="majorEastAsia" w:hAnsiTheme="majorHAnsi"/>
      <w:color w:val="2e74b5" w:themeColor="accent1" w:themeShade="0000BF"/>
      <w:sz w:val="26"/>
      <w:szCs w:val="26"/>
    </w:rPr>
  </w:style>
  <w:style w:type="character" w:styleId="1Char" w:customStyle="1">
    <w:name w:val="عنوان 1 Char"/>
    <w:basedOn w:val="a0"/>
    <w:link w:val="1"/>
    <w:uiPriority w:val="9"/>
    <w:rsid w:val="00456B8F"/>
    <w:rPr>
      <w:rFonts w:asciiTheme="majorHAnsi" w:cstheme="majorBidi" w:eastAsiaTheme="majorEastAsia" w:hAnsiTheme="majorHAnsi"/>
      <w:color w:val="2e74b5" w:themeColor="accent1" w:themeShade="0000BF"/>
      <w:sz w:val="32"/>
      <w:szCs w:val="32"/>
    </w:rPr>
  </w:style>
  <w:style w:type="paragraph" w:styleId="a9">
    <w:name w:val="TOC Heading"/>
    <w:basedOn w:val="1"/>
    <w:next w:val="a"/>
    <w:uiPriority w:val="39"/>
    <w:unhideWhenUsed w:val="1"/>
    <w:qFormat w:val="1"/>
    <w:rsid w:val="00456B8F"/>
    <w:pPr>
      <w:bidi w:val="1"/>
      <w:outlineLvl w:val="9"/>
    </w:pPr>
    <w:rPr>
      <w:rtl w:val="1"/>
    </w:rPr>
  </w:style>
  <w:style w:type="paragraph" w:styleId="10">
    <w:name w:val="toc 1"/>
    <w:basedOn w:val="a"/>
    <w:next w:val="a"/>
    <w:autoRedefine w:val="1"/>
    <w:uiPriority w:val="39"/>
    <w:unhideWhenUsed w:val="1"/>
    <w:rsid w:val="00456B8F"/>
    <w:pPr>
      <w:spacing w:after="100"/>
    </w:pPr>
  </w:style>
  <w:style w:type="paragraph" w:styleId="20">
    <w:name w:val="toc 2"/>
    <w:basedOn w:val="a"/>
    <w:next w:val="a"/>
    <w:autoRedefine w:val="1"/>
    <w:uiPriority w:val="39"/>
    <w:unhideWhenUsed w:val="1"/>
    <w:rsid w:val="00456B8F"/>
    <w:pPr>
      <w:spacing w:after="100"/>
      <w:ind w:left="22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tcPr>
      <w:shd w:fill="ededed" w:val="clear"/>
    </w:tcPr>
    <w:tblStylePr w:type="band1Horz">
      <w:tcPr>
        <w:shd w:fill="dbdbdb" w:val="clear"/>
      </w:tcPr>
    </w:tblStylePr>
    <w:tblStylePr w:type="band1Vert">
      <w:tcPr>
        <w:shd w:fill="dbdbdb" w:val="clear"/>
      </w:tcPr>
    </w:tblStylePr>
    <w:tblStylePr w:type="firstCol">
      <w:rPr>
        <w:b w:val="1"/>
        <w:bCs w:val="1"/>
        <w:color w:val="ffffff"/>
      </w:rPr>
      <w:tcPr>
        <w:tcBorders>
          <w:top w:color="ffffff" w:space="0" w:sz="4" w:val="single"/>
          <w:left w:color="ffffff" w:space="0" w:sz="4" w:val="single"/>
          <w:bottom w:color="ffffff" w:space="0" w:sz="4" w:val="single"/>
          <w:insideV w:color="000000" w:space="0" w:sz="0" w:val="nil"/>
        </w:tcBorders>
        <w:shd w:fill="a5a5a5" w:val="clear"/>
      </w:tcPr>
    </w:tblStylePr>
    <w:tblStylePr w:type="firstRow">
      <w:rPr>
        <w:b w:val="1"/>
        <w:bCs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a5a5a5" w:val="clear"/>
      </w:tcPr>
    </w:tblStylePr>
    <w:tblStylePr w:type="lastCol">
      <w:rPr>
        <w:b w:val="1"/>
        <w:bCs w:val="1"/>
        <w:color w:val="ffffff"/>
      </w:rPr>
      <w:tcPr>
        <w:tcBorders>
          <w:top w:color="ffffff" w:space="0" w:sz="4" w:val="single"/>
          <w:bottom w:color="ffffff" w:space="0" w:sz="4" w:val="single"/>
          <w:right w:color="ffffff" w:space="0" w:sz="4" w:val="single"/>
          <w:insideV w:color="000000" w:space="0" w:sz="0" w:val="nil"/>
        </w:tcBorders>
        <w:shd w:fill="a5a5a5" w:val="clear"/>
      </w:tcPr>
    </w:tblStylePr>
    <w:tblStylePr w:type="lastRow">
      <w:rPr>
        <w:b w:val="1"/>
        <w:bCs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a5a5a5" w:val="clear"/>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2.png"/><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DancingScript-regular.ttf"/><Relationship Id="rId4" Type="http://schemas.openxmlformats.org/officeDocument/2006/relationships/font" Target="fonts/DancingScript-bol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2ZAEAfo3NSfjD7gfF72AfXm/HA==">CgMxLjAyDmgudnZwcnZ6MnJsZHBkMg5oLnQzNml1c3k1dXFzNDIOaC5icm5vb2gyem5iY3UyDmgubGpmMmRrYnN4NDJ5Mg5oLjd5dzNmZXk5OXgxdjIOaC5keTM1YXNqcHhqZWIyDmguYTZtcmQyOGtxeWJ0Mg5oLmc1YWFpNDlnbnN5bjIOaC5kcmxwamh0emg0dWcyDmguZHg3Z3h0ajQybmY1Mg5oLjhvM3JmODg3a2hzcDIOaC50cWIwdG5lZGNieDgyDmguM2lwenVodWhzeGd6Mg5oLnlwdDRxdG15ZXdhNjIOaC5xYmM3ZnJkY2s1bnQyDmguZGU4cjFueXprbHAzMg5oLmhnZjM0bmFwZ2R6bTIOaC56ZjF3aXczb3VraGsyDmgubDV1Y25neDAzZnN1OAByITF4UHhjRVJCdUZCdHlsOWljNFEyVnBWV0tUSVJKTTl3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2025-12-11T01:28:00Z</dcterms:created>
  <dc:creator>Toshiba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51d90926-c4b5-4702-87af-9408917c582a</vt:lpwstr>
  </property>
</Properties>
</file>