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0"/>
      </w:pPr>
      <w:r>
        <w:rPr>
          <w:rFonts w:ascii="Sakkal Majalla" w:cs="Sakkal Majalla" w:eastAsia="Sakkal Majalla" w:hAnsi="Sakkal Majalla"/>
        </w:rPr>
        <w:t xml:space="preserve"/>
      </w:r>
    </w:p>
    <w:p>
      <w:pPr>
        <w:spacing w:after="100" w:before="0"/>
      </w:pPr>
      <w:r>
        <w:rPr>
          <w:rFonts w:ascii="Sakkal Majalla" w:cs="Sakkal Majalla" w:eastAsia="Sakkal Majalla" w:hAnsi="Sakkal Majalla"/>
        </w:rPr>
        <w:t xml:space="preserve"/>
      </w:r>
    </w:p>
    <w:p>
      <w:pPr>
        <w:spacing w:after="80" w:before="0"/>
        <w:jc w:val="center"/>
      </w:pPr>
      <w:r>
        <w:drawing>
          <wp:inline distT="0" distB="0" distL="0" distR="0">
            <wp:extent cx="2095500" cy="9334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095500" cy="933450"/>
                    </a:xfrm>
                    <a:prstGeom prst="rect">
                      <a:avLst/>
                    </a:prstGeom>
                  </pic:spPr>
                </pic:pic>
              </a:graphicData>
            </a:graphic>
          </wp:inline>
        </w:drawing>
      </w:r>
    </w:p>
    <w:p>
      <w:pPr>
        <w:spacing w:after="100" w:before="0"/>
      </w:pPr>
      <w:r>
        <w:rPr>
          <w:rFonts w:ascii="Sakkal Majalla" w:cs="Sakkal Majalla" w:eastAsia="Sakkal Majalla" w:hAnsi="Sakkal Majalla"/>
        </w:rPr>
        <w:t xml:space="preserve"/>
      </w:r>
    </w:p>
    <w:p>
      <w:pPr>
        <w:bidi/>
        <w:spacing w:after="60" w:before="60"/>
        <w:jc w:val="center"/>
      </w:pPr>
      <w:r>
        <w:rPr>
          <w:rFonts w:ascii="Sakkal Majalla" w:cs="Sakkal Majalla" w:eastAsia="Sakkal Majalla" w:hAnsi="Sakkal Majalla"/>
          <w:b/>
          <w:bCs/>
          <w:color w:val="000000"/>
          <w:sz w:val="40"/>
          <w:szCs w:val="40"/>
          <w:rtl/>
        </w:rPr>
        <w:t xml:space="preserve">جامعة ميدأوشن</w:t>
      </w:r>
    </w:p>
    <w:p>
      <w:pPr>
        <w:bidi/>
        <w:spacing w:after="60" w:before="60"/>
        <w:jc w:val="center"/>
      </w:pPr>
      <w:r>
        <w:rPr>
          <w:rFonts w:ascii="Sakkal Majalla" w:cs="Sakkal Majalla" w:eastAsia="Sakkal Majalla" w:hAnsi="Sakkal Majalla"/>
          <w:b w:val="false"/>
          <w:bCs w:val="false"/>
          <w:color w:val="000000"/>
          <w:sz w:val="36"/>
          <w:szCs w:val="36"/>
          <w:rtl/>
        </w:rPr>
        <w:t xml:space="preserve">كلية الإدارة</w:t>
      </w:r>
    </w:p>
    <w:p>
      <w:pPr>
        <w:bidi/>
        <w:spacing w:after="60" w:before="60"/>
        <w:jc w:val="center"/>
      </w:pPr>
      <w:r>
        <w:rPr>
          <w:rFonts w:ascii="Sakkal Majalla" w:cs="Sakkal Majalla" w:eastAsia="Sakkal Majalla" w:hAnsi="Sakkal Majalla"/>
          <w:b w:val="false"/>
          <w:bCs w:val="false"/>
          <w:color w:val="000000"/>
          <w:sz w:val="32"/>
          <w:szCs w:val="32"/>
          <w:rtl/>
        </w:rPr>
        <w:t xml:space="preserve">ماجستير إدارة المشاريع</w:t>
      </w:r>
    </w:p>
    <w:p>
      <w:pPr>
        <w:spacing w:after="100" w:before="0"/>
      </w:pPr>
      <w:r>
        <w:rPr>
          <w:rFonts w:ascii="Sakkal Majalla" w:cs="Sakkal Majalla" w:eastAsia="Sakkal Majalla" w:hAnsi="Sakkal Majalla"/>
        </w:rPr>
        <w:t xml:space="preserve"/>
      </w:r>
    </w:p>
    <w:p>
      <w:pPr>
        <w:pBdr>
          <w:bottom w:val="single" w:color="000000" w:sz="4" w:space="4"/>
        </w:pBdr>
        <w:spacing w:after="40" w:before="40"/>
      </w:pPr>
      <w:r>
        <w:t xml:space="preserve"/>
      </w:r>
    </w:p>
    <w:p>
      <w:pPr>
        <w:spacing w:after="100" w:before="0"/>
      </w:pPr>
      <w:r>
        <w:rPr>
          <w:rFonts w:ascii="Sakkal Majalla" w:cs="Sakkal Majalla" w:eastAsia="Sakkal Majalla" w:hAnsi="Sakkal Majalla"/>
        </w:rPr>
        <w:t xml:space="preserve"/>
      </w:r>
    </w:p>
    <w:p>
      <w:pPr>
        <w:bidi/>
        <w:spacing w:after="60" w:before="60"/>
        <w:jc w:val="center"/>
      </w:pPr>
      <w:r>
        <w:rPr>
          <w:rFonts w:ascii="Sakkal Majalla" w:cs="Sakkal Majalla" w:eastAsia="Sakkal Majalla" w:hAnsi="Sakkal Majalla"/>
          <w:b/>
          <w:bCs/>
          <w:color w:val="000000"/>
          <w:sz w:val="44"/>
          <w:szCs w:val="44"/>
          <w:rtl/>
        </w:rPr>
        <w:t xml:space="preserve">أثر التدريب على أداء الموظفين</w:t>
      </w:r>
    </w:p>
    <w:p>
      <w:pPr>
        <w:bidi/>
        <w:spacing w:after="60" w:before="60"/>
        <w:jc w:val="center"/>
      </w:pPr>
      <w:r>
        <w:rPr>
          <w:rFonts w:ascii="Sakkal Majalla" w:cs="Sakkal Majalla" w:eastAsia="Sakkal Majalla" w:hAnsi="Sakkal Majalla"/>
          <w:b/>
          <w:bCs/>
          <w:color w:val="000000"/>
          <w:sz w:val="40"/>
          <w:szCs w:val="40"/>
          <w:rtl/>
        </w:rPr>
        <w:t xml:space="preserve">في المنظمات السعودية</w:t>
      </w:r>
    </w:p>
    <w:p>
      <w:pPr>
        <w:spacing w:after="100" w:before="0"/>
      </w:pPr>
      <w:r>
        <w:rPr>
          <w:rFonts w:ascii="Sakkal Majalla" w:cs="Sakkal Majalla" w:eastAsia="Sakkal Majalla" w:hAnsi="Sakkal Majalla"/>
        </w:rPr>
        <w:t xml:space="preserve"/>
      </w:r>
    </w:p>
    <w:p>
      <w:pPr>
        <w:bidi/>
        <w:spacing w:after="60" w:before="60"/>
        <w:jc w:val="center"/>
      </w:pPr>
      <w:r>
        <w:rPr>
          <w:rFonts w:ascii="Sakkal Majalla" w:cs="Sakkal Majalla" w:eastAsia="Sakkal Majalla" w:hAnsi="Sakkal Majalla"/>
          <w:b/>
          <w:bCs/>
          <w:color w:val="C00000"/>
          <w:sz w:val="32"/>
          <w:szCs w:val="32"/>
          <w:rtl/>
        </w:rPr>
        <w:t xml:space="preserve">الإطار النظري</w:t>
      </w:r>
    </w:p>
    <w:p>
      <w:pPr>
        <w:bidi/>
        <w:spacing w:after="60" w:before="60"/>
        <w:jc w:val="center"/>
      </w:pPr>
      <w:r>
        <w:rPr>
          <w:rFonts w:ascii="Sakkal Majalla" w:cs="Sakkal Majalla" w:eastAsia="Sakkal Majalla" w:hAnsi="Sakkal Majalla"/>
          <w:b w:val="false"/>
          <w:bCs w:val="false"/>
          <w:color w:val="C00000"/>
          <w:sz w:val="28"/>
          <w:szCs w:val="28"/>
          <w:rtl/>
        </w:rPr>
        <w:t xml:space="preserve">(الفصل الأول والثاني)</w:t>
      </w:r>
    </w:p>
    <w:p>
      <w:pPr>
        <w:spacing w:after="100" w:before="0"/>
      </w:pPr>
      <w:r>
        <w:rPr>
          <w:rFonts w:ascii="Sakkal Majalla" w:cs="Sakkal Majalla" w:eastAsia="Sakkal Majalla" w:hAnsi="Sakkal Majalla"/>
        </w:rPr>
        <w:t xml:space="preserve"/>
      </w:r>
    </w:p>
    <w:p>
      <w:pPr>
        <w:spacing w:after="100" w:before="0"/>
      </w:pPr>
      <w:r>
        <w:rPr>
          <w:rFonts w:ascii="Sakkal Majalla" w:cs="Sakkal Majalla" w:eastAsia="Sakkal Majalla" w:hAnsi="Sakkal Majalla"/>
        </w:rPr>
        <w:t xml:space="preserve"/>
      </w:r>
    </w:p>
    <w:p>
      <w:pPr>
        <w:bidi/>
        <w:spacing w:after="40" w:before="60"/>
        <w:jc w:val="center"/>
      </w:pPr>
      <w:r>
        <w:rPr>
          <w:rFonts w:ascii="Sakkal Majalla" w:cs="Sakkal Majalla" w:eastAsia="Sakkal Majalla" w:hAnsi="Sakkal Majalla"/>
          <w:b/>
          <w:bCs/>
          <w:sz w:val="28"/>
          <w:szCs w:val="28"/>
          <w:rtl/>
        </w:rPr>
        <w:t xml:space="preserve">إعداد الطالب/  </w:t>
      </w:r>
      <w:r>
        <w:rPr>
          <w:rFonts w:ascii="Sakkal Majalla" w:cs="Sakkal Majalla" w:eastAsia="Sakkal Majalla" w:hAnsi="Sakkal Majalla"/>
          <w:sz w:val="28"/>
          <w:szCs w:val="28"/>
          <w:rtl/>
        </w:rPr>
        <w:t xml:space="preserve">عوض محمد الحواش</w:t>
      </w:r>
    </w:p>
    <w:p>
      <w:pPr>
        <w:bidi/>
        <w:spacing w:after="40" w:before="40"/>
        <w:jc w:val="center"/>
      </w:pPr>
      <w:r>
        <w:rPr>
          <w:rFonts w:ascii="Sakkal Majalla" w:cs="Sakkal Majalla" w:eastAsia="Sakkal Majalla" w:hAnsi="Sakkal Majalla"/>
          <w:b/>
          <w:bCs/>
          <w:sz w:val="28"/>
          <w:szCs w:val="28"/>
          <w:rtl/>
        </w:rPr>
        <w:t xml:space="preserve">الرقم الأكاديمي/  </w:t>
      </w:r>
      <w:r>
        <w:rPr>
          <w:rFonts w:ascii="Sakkal Majalla" w:cs="Sakkal Majalla" w:eastAsia="Sakkal Majalla" w:hAnsi="Sakkal Majalla"/>
          <w:sz w:val="28"/>
          <w:szCs w:val="28"/>
          <w:rtl/>
        </w:rPr>
        <w:t xml:space="preserve">252001713</w:t>
      </w:r>
    </w:p>
    <w:p>
      <w:pPr>
        <w:spacing w:after="100" w:before="0"/>
      </w:pPr>
      <w:r>
        <w:rPr>
          <w:rFonts w:ascii="Sakkal Majalla" w:cs="Sakkal Majalla" w:eastAsia="Sakkal Majalla" w:hAnsi="Sakkal Majalla"/>
        </w:rPr>
        <w:t xml:space="preserve"/>
      </w:r>
    </w:p>
    <w:p>
      <w:pPr>
        <w:bidi/>
        <w:spacing w:after="40" w:before="40"/>
        <w:jc w:val="center"/>
      </w:pPr>
      <w:r>
        <w:rPr>
          <w:rFonts w:ascii="Sakkal Majalla" w:cs="Sakkal Majalla" w:eastAsia="Sakkal Majalla" w:hAnsi="Sakkal Majalla"/>
          <w:sz w:val="28"/>
          <w:szCs w:val="28"/>
          <w:rtl/>
        </w:rPr>
        <w:t xml:space="preserve">الدكتور/ الفيصل عبدالحميد محمد</w:t>
      </w:r>
      <w:r>
        <w:rPr>
          <w:rFonts w:ascii="Sakkal Majalla" w:cs="Sakkal Majalla" w:eastAsia="Sakkal Majalla" w:hAnsi="Sakkal Majalla"/>
          <w:sz w:val="28"/>
          <w:szCs w:val="28"/>
        </w:rPr>
        <w:t xml:space="preserve">          </w:t>
      </w:r>
      <w:r>
        <w:rPr>
          <w:rFonts w:ascii="Sakkal Majalla" w:cs="Sakkal Majalla" w:eastAsia="Sakkal Majalla" w:hAnsi="Sakkal Majalla"/>
          <w:sz w:val="28"/>
          <w:szCs w:val="28"/>
          <w:rtl/>
        </w:rPr>
        <w:t xml:space="preserve">الدكتور/ فايز علي جراد</w:t>
      </w:r>
    </w:p>
    <w:p>
      <w:pPr>
        <w:spacing w:after="100" w:before="0"/>
      </w:pPr>
      <w:r>
        <w:rPr>
          <w:rFonts w:ascii="Sakkal Majalla" w:cs="Sakkal Majalla" w:eastAsia="Sakkal Majalla" w:hAnsi="Sakkal Majalla"/>
        </w:rPr>
        <w:t xml:space="preserve"/>
      </w:r>
    </w:p>
    <w:p>
      <w:pPr>
        <w:bidi/>
        <w:spacing w:after="60" w:before="60"/>
        <w:jc w:val="center"/>
      </w:pPr>
      <w:r>
        <w:rPr>
          <w:rFonts w:ascii="Sakkal Majalla" w:cs="Sakkal Majalla" w:eastAsia="Sakkal Majalla" w:hAnsi="Sakkal Majalla"/>
          <w:b w:val="false"/>
          <w:bCs w:val="false"/>
          <w:color w:val="000000"/>
          <w:sz w:val="28"/>
          <w:szCs w:val="28"/>
          <w:rtl/>
        </w:rPr>
        <w:t xml:space="preserve">م2026 / هـ1447</w:t>
      </w:r>
    </w:p>
    <w:p>
      <w:pPr>
        <w:sectPr>
          <w:pgSz w:w="11906" w:h="16838" w:orient="portrait"/>
          <w:pgMar w:top="1440" w:right="1800" w:bottom="1440" w:left="1440" w:header="708" w:footer="708" w:gutter="0"/>
          <w:pgNumType/>
          <w:docGrid w:linePitch="360"/>
        </w:sectPr>
      </w:pPr>
    </w:p>
    <w:p>
      <w:pPr>
        <w:shd w:fill="1F3864" w:val="clear"/>
        <w:bidi/>
        <w:spacing w:after="200" w:before="200"/>
        <w:jc w:val="center"/>
      </w:pPr>
      <w:r>
        <w:rPr>
          <w:rFonts w:ascii="Sakkal Majalla" w:cs="Sakkal Majalla" w:eastAsia="Sakkal Majalla" w:hAnsi="Sakkal Majalla"/>
          <w:b/>
          <w:bCs/>
          <w:color w:val="FFFFFF"/>
          <w:sz w:val="44"/>
          <w:szCs w:val="44"/>
          <w:rtl/>
        </w:rPr>
        <w:t xml:space="preserve">الفصل الأول</w:t>
      </w:r>
    </w:p>
    <w:p>
      <w:pPr>
        <w:bidi/>
        <w:spacing w:after="60" w:before="60"/>
        <w:jc w:val="center"/>
      </w:pPr>
      <w:r>
        <w:rPr>
          <w:rFonts w:ascii="Sakkal Majalla" w:cs="Sakkal Majalla" w:eastAsia="Sakkal Majalla" w:hAnsi="Sakkal Majalla"/>
          <w:b/>
          <w:bCs/>
          <w:color w:val="1F3864"/>
          <w:sz w:val="36"/>
          <w:szCs w:val="36"/>
          <w:rtl/>
        </w:rPr>
        <w:t xml:space="preserve">الإطار النظري للدراسة</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1.1 مقدمة</w:t>
      </w:r>
    </w:p>
    <w:p>
      <w:pPr>
        <w:bidi/>
        <w:spacing w:after="60" w:before="60" w:line="360"/>
        <w:jc w:val="both"/>
      </w:pPr>
      <w:r>
        <w:rPr>
          <w:rFonts w:ascii="Sakkal Majalla" w:cs="Sakkal Majalla" w:eastAsia="Sakkal Majalla" w:hAnsi="Sakkal Majalla"/>
          <w:sz w:val="28"/>
          <w:szCs w:val="28"/>
          <w:rtl/>
        </w:rPr>
        <w:t xml:space="preserve">يُعدّ الاهتمام بالموارد البشرية وتنميتها ركيزةً أساسية في بناء المنظمات الناجحة وتعزيز قدرتها التنافسية، لا سيما في ظل التحولات المتسارعة التي يشهدها سوق العمل على المستويين المحلي والعالمي. وتأتي برامج التدريب في مقدمة الأدوات الاستراتيجية التي تعتمد عليها المنظمات لسدّ الفجوات في المعرفة والمهارات وتطوير قدرات موظفيها. وفي سياق رؤية المملكة العربية السعودية 2030 الرامية إلى رفع كفاءة الكوادر الوطنية، يكتسب موضوع التدريب وأثره على الأداء الوظيفي أهمية بالغة ومتصاعدة.</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يتناول هذا الفصل الإطار النظري الشامل للمتغيرين الرئيسيين في الدراسة: التدريب (المتغير المستقل) وأداء الموظفين (المتغير التابع)، ويستعرض النظريات والنماذج العلمية المرتبطة بهما، ويُقدم للقارئ خلفية نظرية متكاملة تُمكّنه من استيعاب جوانب البحث كافة.</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1.2 التدريب: المفهوم والأهمية</w:t>
      </w:r>
    </w:p>
    <w:p>
      <w:pPr>
        <w:bidi/>
        <w:spacing w:after="80" w:before="140"/>
        <w:jc w:val="right"/>
      </w:pPr>
      <w:r>
        <w:rPr>
          <w:rFonts w:ascii="Sakkal Majalla" w:cs="Sakkal Majalla" w:eastAsia="Sakkal Majalla" w:hAnsi="Sakkal Majalla"/>
          <w:b/>
          <w:bCs/>
          <w:color w:val="2E5FA3"/>
          <w:sz w:val="29"/>
          <w:szCs w:val="29"/>
          <w:rtl/>
        </w:rPr>
        <w:t xml:space="preserve">1.2.1 تعريف التدريب</w:t>
      </w:r>
    </w:p>
    <w:p>
      <w:pPr>
        <w:bidi/>
        <w:spacing w:after="60" w:before="60" w:line="360"/>
        <w:jc w:val="both"/>
      </w:pPr>
      <w:r>
        <w:rPr>
          <w:rFonts w:ascii="Sakkal Majalla" w:cs="Sakkal Majalla" w:eastAsia="Sakkal Majalla" w:hAnsi="Sakkal Majalla"/>
          <w:sz w:val="28"/>
          <w:szCs w:val="28"/>
          <w:rtl/>
        </w:rPr>
        <w:t xml:space="preserve">تتعدد تعريفات التدريب في الأدبيات العلمية وتتنوع تبعاً للمنظور المعتمد، ومن أبرزها:</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يُعرَّف التدريب بأنه "عملية منظمة ومخططة تستهدف إكساب الموظفين المعارف والمهارات والاتجاهات اللازمة للأداء الفعّال في وظائفهم الحالية والمستقبلية" (Noe, 2020).</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وعرّفته منظمة العمل الدولية بأنه "النشاط المُنظَّم الذي يرمي إلى تحسين أداء الأفراد وتطوير معارفهم ومهاراتهم بما يتوافق مع متطلبات العمل" (ILO, 2022).</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ويُعرّفه كامبل (Campbell, 1990) بأنه "منظومة من الخبرات التعليمية المُصمَّمة لتحسين الكفاءة في بيئة العمل من خلال تغيير المعرفة والمهارة والسلوك".</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ويُلاحَظ من هذه التعريفات أن التدريب يشترك في عناصر محورية ثلاثة: التخطيط المسبق، والهدف التطويري، والارتباط ببيئة العمل. ويختلف التدريب عن التعليم في كونه يُركّز على المهارات العملية والتطبيق الفوري، في حين يُركّز التعليم على المعرفة النظرية العامة.</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1.2.2 أهمية التدريب</w:t>
      </w:r>
    </w:p>
    <w:p>
      <w:pPr>
        <w:bidi/>
        <w:spacing w:after="60" w:before="60" w:line="360"/>
        <w:jc w:val="both"/>
      </w:pPr>
      <w:r>
        <w:rPr>
          <w:rFonts w:ascii="Sakkal Majalla" w:cs="Sakkal Majalla" w:eastAsia="Sakkal Majalla" w:hAnsi="Sakkal Majalla"/>
          <w:sz w:val="28"/>
          <w:szCs w:val="28"/>
          <w:rtl/>
        </w:rPr>
        <w:t xml:space="preserve">تتجلى أهمية التدريب على مستويين متكاملين:</w:t>
      </w:r>
    </w:p>
    <w:p>
      <w:pPr>
        <w:bidi/>
        <w:spacing w:after="60" w:before="100"/>
        <w:jc w:val="right"/>
      </w:pPr>
      <w:r>
        <w:rPr>
          <w:rFonts w:ascii="Sakkal Majalla" w:cs="Sakkal Majalla" w:eastAsia="Sakkal Majalla" w:hAnsi="Sakkal Majalla"/>
          <w:b/>
          <w:bCs/>
          <w:color w:val="000000"/>
          <w:sz w:val="28"/>
          <w:szCs w:val="28"/>
          <w:rtl/>
        </w:rPr>
        <w:t xml:space="preserve">أولاً: على مستوى الفرد</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رفع مستوى الكفاءة المهنية وتطوير المهارات الوظيفية.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تعزيز الثقة بالنفس والرضا الوظيفي، وتحسين فرص الترقي والتطور المهني.</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تقليل معدلات الأخطاء وتحسين جودة الإنجاز في بيئة العمل.</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ثانياً: على مستوى المنظمة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تُشير إحصاءات منظمة العمل الدولية إلى أن المنظمات التي تستثمر في التدريب المنتظم تُحقق نمواً في إنتاجيتها يتراوح بين 15% و25% مقارنةً بنظيراتها (ILO, 2022).</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تُحقق المنظمات التي تُخصص بين 3% و5% من ميزانياتها للتدريب عائداً على الاستثمار يتراوح بين 200% و300% خلال ثلاث سنوات (ASTD, 2023).</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يُسهم التدريب في تقليل معدلات دوران العمالة وخفض تكاليف التوظيف والاستبدال.</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يُعزز التدريب الالتزام التنظيمي ويُقوي ثقافة التميز المؤسسي.</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1.2.3 أنواع التدريب</w:t>
      </w:r>
    </w:p>
    <w:p>
      <w:pPr>
        <w:bidi/>
        <w:spacing w:after="60" w:before="60" w:line="360"/>
        <w:jc w:val="both"/>
      </w:pPr>
      <w:r>
        <w:rPr>
          <w:rFonts w:ascii="Sakkal Majalla" w:cs="Sakkal Majalla" w:eastAsia="Sakkal Majalla" w:hAnsi="Sakkal Majalla"/>
          <w:sz w:val="28"/>
          <w:szCs w:val="28"/>
          <w:rtl/>
        </w:rPr>
        <w:t xml:space="preserve">تتنوع أنواع التدريب وتتشعب تبعاً لعدة معايير:</w:t>
      </w:r>
    </w:p>
    <w:p>
      <w:pPr>
        <w:bidi/>
        <w:spacing w:after="60" w:before="100"/>
        <w:jc w:val="right"/>
      </w:pPr>
      <w:r>
        <w:rPr>
          <w:rFonts w:ascii="Sakkal Majalla" w:cs="Sakkal Majalla" w:eastAsia="Sakkal Majalla" w:hAnsi="Sakkal Majalla"/>
          <w:b/>
          <w:bCs/>
          <w:color w:val="000000"/>
          <w:sz w:val="28"/>
          <w:szCs w:val="28"/>
          <w:rtl/>
        </w:rPr>
        <w:t xml:space="preserve">أولاً: حسب توقيت التدريب</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قبل الخدمة (Pre-Service Training): يستهدف الموظفين الجدد لتأهيلهم قبل مباشرتهم العمل.</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أثناء الخدمة (In-Service Training): يستهدف الموظفين الحاليين لتطوير أدائهم ومواكبة المستجدات.</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الإعدادي للترقي: يُهيّئ الموظفين لتولي مناصب أعلى ومسؤوليات أوسع.</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ثانياً: حسب مكان التدريب</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الداخلي (On-the-Job Training): يتم في موقع العمل تحت إشراف مباشر.</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الخارجي (Off-the-Job Training): يتم خارج بيئة العمل في مراكز تدريب متخصصة.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المدمج (Blended Learning): يجمع بين الأساليب الحضورية والتقنيات الرقمية.</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ثالثاً: حسب المحتوى</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التقني: يُركّز على المهارات والمعارف التقنية المرتبطة بطبيعة الوظيفة.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السلوكي: يستهدف تطوير المهارات الشخصية والقيادية والتواصلية.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التدريب المعرفي: يُعنى بتوسيع قاعدة المعرفة النظرية ذات الصلة بمجال العمل.</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1.2.4 أبعاد التدريب المؤثرة في الأداء</w:t>
      </w:r>
    </w:p>
    <w:p>
      <w:pPr>
        <w:bidi/>
        <w:spacing w:after="60" w:before="60" w:line="360"/>
        <w:jc w:val="both"/>
      </w:pPr>
      <w:r>
        <w:rPr>
          <w:rFonts w:ascii="Sakkal Majalla" w:cs="Sakkal Majalla" w:eastAsia="Sakkal Majalla" w:hAnsi="Sakkal Majalla"/>
          <w:sz w:val="28"/>
          <w:szCs w:val="28"/>
          <w:rtl/>
        </w:rPr>
        <w:t xml:space="preserve">تُميز الأدبيات العلمية ثلاثة أبعاد جوهرية تُحدد فاعلية التدريب وانتقال أثره إلى بيئة العمل، وهي الأبعاد التي تُركّز عليها الدراسة الحالية:</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البعد الأول: محتوى البرنامج التدريبي</w:t>
      </w:r>
    </w:p>
    <w:p>
      <w:pPr>
        <w:bidi/>
        <w:spacing w:after="60" w:before="60" w:line="360"/>
        <w:jc w:val="both"/>
      </w:pPr>
      <w:r>
        <w:rPr>
          <w:rFonts w:ascii="Sakkal Majalla" w:cs="Sakkal Majalla" w:eastAsia="Sakkal Majalla" w:hAnsi="Sakkal Majalla"/>
          <w:sz w:val="28"/>
          <w:szCs w:val="28"/>
          <w:rtl/>
        </w:rPr>
        <w:t xml:space="preserve">يُمثل محتوى البرنامج حجر الزاوية في أي برنامج تدريبي ناجح، ويشمل العناصر الآتية: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الارتباط بالاحتياجات الوظيفية: مدى تلبية المحتوى للاحتياجات الفعلية للموظفين في مجال عملهم.</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الحداثة والتحديث: توافق المحتوى مع أحدث المستجدات والممارسات في المجال.</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التوازن النظري والتطبيقي: الجمع بين الأسس النظرية والتطبيقات العملية القابلة للتنفيذ.</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الوضوح والتنظيم: ترتيب المحتوى بصورة منطقية متدرجة تُيسّر الاستيعاب والتطبيق.</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يُعدّ توافق محتوى التدريب مع الاحتياجات الفعلية للوظيفة العامل الحاسم الأول في فاعلية البرنامج التدريبي (Elnaga &amp; Imran, 2013). وكلما ارتبط المحتوى بتحديات العمل اليومية، ارتفعت نسبة تطبيق المتدرب لما تعلمه بعد انتهاء التدريب.</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البعد الثاني: كفاءة المدرب</w:t>
      </w:r>
    </w:p>
    <w:p>
      <w:pPr>
        <w:bidi/>
        <w:spacing w:after="60" w:before="60" w:line="360"/>
        <w:jc w:val="both"/>
      </w:pPr>
      <w:r>
        <w:rPr>
          <w:rFonts w:ascii="Sakkal Majalla" w:cs="Sakkal Majalla" w:eastAsia="Sakkal Majalla" w:hAnsi="Sakkal Majalla"/>
          <w:sz w:val="28"/>
          <w:szCs w:val="28"/>
          <w:rtl/>
        </w:rPr>
        <w:t xml:space="preserve">يُؤدي المدرب دوراً محورياً في نجاح البرنامج التدريبي، وتشمل كفاءته:</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الكفاءة التخصصية: العمق المعرفي في مجال التدريب وامتلاك الخبرة العملية الميدانية.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الكفاءة التدريسية: القدرة على نقل المعرفة بأساليب واضحة ومتنوعة تُراعي الفروق الفردية.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الكفاءة التواصلية: مهارة التواصل الفعّال وإدارة ديناميكيات المجموعة وتحفيز المشاركة.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إدارة الجلسة: القدرة على الحفاظ على التركيز وإدارة الوقت وخلق بيئة تعلم إيجابية.</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تكشف الدراسات أن كفاءة المدرب ترتبط ارتباطاً قوياً بمدى انتقال أثر التدريب إلى بيئة العمل بمعامل ارتباط (r=0.58) (Noe, 2020)، مما يُرسّخ الدور المحوري للمدرب بوصفه عاملاً مؤثراً مستقلاً في الأداء الوظيفي.</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البعد الثالث: الأساليب التدريبية</w:t>
      </w:r>
    </w:p>
    <w:p>
      <w:pPr>
        <w:bidi/>
        <w:spacing w:after="60" w:before="60" w:line="360"/>
        <w:jc w:val="both"/>
      </w:pPr>
      <w:r>
        <w:rPr>
          <w:rFonts w:ascii="Sakkal Majalla" w:cs="Sakkal Majalla" w:eastAsia="Sakkal Majalla" w:hAnsi="Sakkal Majalla"/>
          <w:sz w:val="28"/>
          <w:szCs w:val="28"/>
          <w:rtl/>
        </w:rPr>
        <w:t xml:space="preserve">تتنوع الأساليب التدريبية المعتمدة وتؤثر تأثيراً مباشراً في مستوى الاستيعاب وانتقال التعلم:</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المحاضرة والعرض التقديمي: أسلوب تقليدي يُناسب نقل المعلومات النظرية لأعداد كبيرة.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النقاش والحوار الجماعي: يُعزز التفكير النقدي ويُتيح تبادل الخبرات بين المتدربين.</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دراسات الحالة (Case Studies): تُجسّد المواقف الواقعية وتُنمي مهارات اتخاذ القرار.</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لعب الأدوار (Role Playing): يُتيح التدريب العملي على المواقف الوظيفية في بيئة آمنة.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المحاكاة (Simulation): تُعيد إنتاج بيئة العمل الفعلية لاكتساب المهارات التطبيقية.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التعلم الإلكتروني (E-Learning): يُوفر المرونة في وقت التعلم ومكانه ويُتيح التكرار.</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التعلم المدمج (Blended Learning): يجمع الأساليب الحضورية والرقمية لتحقيق أفضل النتائج.</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تكشف الدراسات أن الأساليب التدريبية التفاعلية تُنتج أثراً يفوق الأساليب التقليدية بنسبة تصل إلى 30%، وأن التعلم المدمج يُحقق تحسناً في مؤشرات الأداء بنسبة 22% مقارنةً بالتدريب التقليدي الحصري (العنزي، 2022).</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1.3 تحليل الاحتياجات التدريبية</w:t>
      </w:r>
    </w:p>
    <w:p>
      <w:pPr>
        <w:bidi/>
        <w:spacing w:after="60" w:before="60" w:line="360"/>
        <w:jc w:val="both"/>
      </w:pPr>
      <w:r>
        <w:rPr>
          <w:rFonts w:ascii="Sakkal Majalla" w:cs="Sakkal Majalla" w:eastAsia="Sakkal Majalla" w:hAnsi="Sakkal Majalla"/>
          <w:sz w:val="28"/>
          <w:szCs w:val="28"/>
          <w:rtl/>
        </w:rPr>
        <w:t xml:space="preserve">يُعدّ تحليل الاحتياجات التدريبية (Training Needs Analysis - TNA) الخطوة التأسيسية الأكثر أهمية في دورة حياة أي برنامج تدريبي ناجح. يهدف إلى تحديد الفجوة القائمة بين مستوى الأداء الحالي والمستوى المطلوب، وتحديد المعارف والمهارات اللازمة لسدّ هذه الفجوة.</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يرتكز تحليل الاحتياجات التدريبية على ثلاثة مستويات متكاملة: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تحليل المنظمة (Organizational Analysis): يستهدف تحديد الثغرات في الأداء المؤسسي الكلي وتحديد الأولويات التدريبية في ضوء الأهداف الاستراتيجية.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تحليل المهام (Task Analysis): يُحدد المهارات والمعارف والسلوكيات المطلوبة لأداء كل وظيفة بكفاءة عالية.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تحليل الأفراد (Individual Analysis): يُقيّم الفجوة بين مستوى كفاءة الموظف الحالي والمستوى المطلوب لتحديد من يحتاج إلى تدريب وفي أي مجال.</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1.4 نماذج تقييم فاعلية التدريب</w:t>
      </w:r>
    </w:p>
    <w:p>
      <w:pPr>
        <w:bidi/>
        <w:spacing w:after="80" w:before="140"/>
        <w:jc w:val="right"/>
      </w:pPr>
      <w:r>
        <w:rPr>
          <w:rFonts w:ascii="Sakkal Majalla" w:cs="Sakkal Majalla" w:eastAsia="Sakkal Majalla" w:hAnsi="Sakkal Majalla"/>
          <w:b/>
          <w:bCs/>
          <w:color w:val="2E5FA3"/>
          <w:sz w:val="29"/>
          <w:szCs w:val="29"/>
          <w:rtl/>
        </w:rPr>
        <w:t xml:space="preserve">1.4.1 نموذج كيرك باتريك (Kirkpatrick, 1994)</w:t>
      </w:r>
    </w:p>
    <w:p>
      <w:pPr>
        <w:bidi/>
        <w:spacing w:after="60" w:before="60" w:line="360"/>
        <w:jc w:val="both"/>
      </w:pPr>
      <w:r>
        <w:rPr>
          <w:rFonts w:ascii="Sakkal Majalla" w:cs="Sakkal Majalla" w:eastAsia="Sakkal Majalla" w:hAnsi="Sakkal Majalla"/>
          <w:sz w:val="28"/>
          <w:szCs w:val="28"/>
          <w:rtl/>
        </w:rPr>
        <w:t xml:space="preserve">يُعدّ هذا النموذج الأكثر شيوعاً واعتماداً في تقييم البرامج التدريبية، ويرتكز على أربعة مستويات متصاعدة: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المستوى الأول — التفاعل (Reaction): يقيس مدى رضا المتدربين عن البرنامج (المحتوى، المدرب، الأساليب، البيئة).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المستوى الثاني — التعلم (Learning): يقيس حجم المعارف والمهارات والاتجاهات المكتسبة خلال التدريب.</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المستوى الثالث — السلوك (Behavior): يقيس مدى تطبيق المتدرب لما تعلمه في بيئة عمله الفعلية.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المستوى الرابع — النتائج (Results): يقيس الأثر الفعلي للتدريب على مؤشرات الأداء المؤسسي كالإنتاجية والجودة والربحية.</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تُوظّف الدراسة الحالية المستويين الثالث والرابع من هذا النموذج لقياس انتقال أثر التدريب إلى بيئة العمل وأثره المباشر على الأداء الوظيفي.</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1.4.2 نموذج CIPP (Stufflebeam, 2003)</w:t>
      </w:r>
    </w:p>
    <w:p>
      <w:pPr>
        <w:bidi/>
        <w:spacing w:after="60" w:before="60" w:line="360"/>
        <w:jc w:val="both"/>
      </w:pPr>
      <w:r>
        <w:rPr>
          <w:rFonts w:ascii="Sakkal Majalla" w:cs="Sakkal Majalla" w:eastAsia="Sakkal Majalla" w:hAnsi="Sakkal Majalla"/>
          <w:sz w:val="28"/>
          <w:szCs w:val="28"/>
          <w:rtl/>
        </w:rPr>
        <w:t xml:space="preserve">يُركّز هذا النموذج على تقييم منظومي شامل يغطي أربعة عناصر: السياق (Context) ويشمل تحليل الاحتياجات والأهداف، والمدخلات (Input) وتشمل الموارد والاستراتيجيات، والعمليات (Process) وتشمل التنفيذ الفعلي، والمخرجات (Product) وتشمل النتائج المحققة. يُتيح هذا النموذج رؤية شاملة لجودة البرنامج التدريبي في جميع مراحله.</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1.4.3 نموذج العائد على الاستثمار ROI (Phillips, 2003)</w:t>
      </w:r>
    </w:p>
    <w:p>
      <w:pPr>
        <w:bidi/>
        <w:spacing w:after="60" w:before="60" w:line="360"/>
        <w:jc w:val="both"/>
      </w:pPr>
      <w:r>
        <w:rPr>
          <w:rFonts w:ascii="Sakkal Majalla" w:cs="Sakkal Majalla" w:eastAsia="Sakkal Majalla" w:hAnsi="Sakkal Majalla"/>
          <w:sz w:val="28"/>
          <w:szCs w:val="28"/>
          <w:rtl/>
        </w:rPr>
        <w:t xml:space="preserve">يُضيف هذا النموذج مستوىً خامساً إلى نموذج كيرك باتريك يُحوّل نتائج التدريب إلى مؤشرات مالية قابلة للقياس والمقارنة مع تكلفة البرنامج. يُحسب العائد على الاستثمار وفق المعادلة: ROI% = [(العوائد المالية للتدريب - تكلفة التدريب) / تكلفة التدريب] × 100. يُعدّ هذا النموذج الأنسب لتبرير الإنفاق على التدريب أمام الإدارة العليا.</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1.5 النظريات العلمية الداعمة للدراسة</w:t>
      </w:r>
    </w:p>
    <w:p>
      <w:pPr>
        <w:bidi/>
        <w:spacing w:after="80" w:before="140"/>
        <w:jc w:val="right"/>
      </w:pPr>
      <w:r>
        <w:rPr>
          <w:rFonts w:ascii="Sakkal Majalla" w:cs="Sakkal Majalla" w:eastAsia="Sakkal Majalla" w:hAnsi="Sakkal Majalla"/>
          <w:b/>
          <w:bCs/>
          <w:color w:val="2E5FA3"/>
          <w:sz w:val="29"/>
          <w:szCs w:val="29"/>
          <w:rtl/>
        </w:rPr>
        <w:t xml:space="preserve">1.5.1 نظرية رأس المال البشري (Becker, 1964)</w:t>
      </w:r>
    </w:p>
    <w:p>
      <w:pPr>
        <w:bidi/>
        <w:spacing w:after="60" w:before="60" w:line="360"/>
        <w:jc w:val="both"/>
      </w:pPr>
      <w:r>
        <w:rPr>
          <w:rFonts w:ascii="Sakkal Majalla" w:cs="Sakkal Majalla" w:eastAsia="Sakkal Majalla" w:hAnsi="Sakkal Majalla"/>
          <w:sz w:val="28"/>
          <w:szCs w:val="28"/>
          <w:rtl/>
        </w:rPr>
        <w:t xml:space="preserve">تُعدّ هذه النظرية الركيزة الاقتصادية الأساسية التي تُبرر الاستثمار في التدريب وتُشرح آلياته. تنظر النظرية إلى المعارف والمهارات التي يكتسبها الأفراد بوصفها شكلاً من أشكال رأس المال، يُعظّم الإنتاجية ويمنح المنظمة ميزةً تنافسية مستدامة. وتُصنّف النظرية رأس المال البشري إلى:</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رأس المال البشري العام: المهارات القابلة للنقل والتوظيف في أي منظمة.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رأس المال البشري الخاص: المهارات المرتبطة تحديداً ببيئة عمل المنظمة ذاتها.</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تُبرر النظرية الإنفاق على التدريب بأنه استثمار طويل الأمد يعود بعوائد تفوق تكلفته، وتُشير الدراسات التطبيقية إلى أن الدول التي ترفع استثمارها في رأس المال البشري بنسبة 1% تُحقق نمواً اقتصادياً يتراوح بين 0.1% و0.5%.</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1.5.2 نظرية التعلم الاجتماعي (Bandura, 1977)</w:t>
      </w:r>
    </w:p>
    <w:p>
      <w:pPr>
        <w:bidi/>
        <w:spacing w:after="60" w:before="60" w:line="360"/>
        <w:jc w:val="both"/>
      </w:pPr>
      <w:r>
        <w:rPr>
          <w:rFonts w:ascii="Sakkal Majalla" w:cs="Sakkal Majalla" w:eastAsia="Sakkal Majalla" w:hAnsi="Sakkal Majalla"/>
          <w:sz w:val="28"/>
          <w:szCs w:val="28"/>
          <w:rtl/>
        </w:rPr>
        <w:t xml:space="preserve">تُفسّر هذه النظرية كيف يكتسب الأفراد المعارف والمهارات من خلال الملاحظة والنمذجة والتعزيز الذاتي. وتُبرز أهمية النماذج الإيجابية في البيئة التدريبية، إذ إن المتدرب الذي يُلاحظ زملاءه يُطبّقون ما تعلموه بنجاح يكون أكثر ميلاً لتطبيقه بدوره. تُوجّه هذه النظرية تصميم بيئات التدريب نحو توفير فرص المشاهدة والممارسة والتغذية الراجعة.</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1.6 الأداء الوظيفي: المفهوم والأبعاد</w:t>
      </w:r>
    </w:p>
    <w:p>
      <w:pPr>
        <w:bidi/>
        <w:spacing w:after="80" w:before="140"/>
        <w:jc w:val="right"/>
      </w:pPr>
      <w:r>
        <w:rPr>
          <w:rFonts w:ascii="Sakkal Majalla" w:cs="Sakkal Majalla" w:eastAsia="Sakkal Majalla" w:hAnsi="Sakkal Majalla"/>
          <w:b/>
          <w:bCs/>
          <w:color w:val="2E5FA3"/>
          <w:sz w:val="29"/>
          <w:szCs w:val="29"/>
          <w:rtl/>
        </w:rPr>
        <w:t xml:space="preserve">1.6.1 تعريف الأداء الوظيفي</w:t>
      </w:r>
    </w:p>
    <w:p>
      <w:pPr>
        <w:bidi/>
        <w:spacing w:after="60" w:before="60" w:line="360"/>
        <w:jc w:val="both"/>
      </w:pPr>
      <w:r>
        <w:rPr>
          <w:rFonts w:ascii="Sakkal Majalla" w:cs="Sakkal Majalla" w:eastAsia="Sakkal Majalla" w:hAnsi="Sakkal Majalla"/>
          <w:sz w:val="28"/>
          <w:szCs w:val="28"/>
          <w:rtl/>
        </w:rPr>
        <w:t xml:space="preserve">يُعرَّف الأداء الوظيفي من زوايا متعددة في الأدبيات العلمية: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يُعرّفه كامبل (Campbell, 1990) بأنه "مجموع السلوكيات والنتائج الوظيفية التي يُنجزها الموظف استجابةً للمتطلبات الرسمية لوظيفته".</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ويُعرّفه بوردمان وبروس (Boardman &amp; Brice, 2014) بأنه "الدرجة التي يُحقق بها الموظف الأهداف الوظيفية المُحددة له ضمن إطار زمني ومعياري محدد".</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أما منظمة التعاون الاقتصادي والتنمية (OECD) فتُعرّفه بأنه "مدى فعالية الموظف في تحقيق الأهداف المؤسسية من خلال أداء مهامه الوظيفية".</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1.6.2 أبعاد الأداء الوظيفي</w:t>
      </w:r>
    </w:p>
    <w:p>
      <w:pPr>
        <w:bidi/>
        <w:spacing w:after="60" w:before="60" w:line="360"/>
        <w:jc w:val="both"/>
      </w:pPr>
      <w:r>
        <w:rPr>
          <w:rFonts w:ascii="Sakkal Majalla" w:cs="Sakkal Majalla" w:eastAsia="Sakkal Majalla" w:hAnsi="Sakkal Majalla"/>
          <w:sz w:val="28"/>
          <w:szCs w:val="28"/>
          <w:rtl/>
        </w:rPr>
        <w:t xml:space="preserve">يتشعب الأداء الوظيفي إلى ثلاثة أبعاد رئيسية وفق نموذج كامبل (Campbell, 1990):</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الأداء المهمي (Task Performance): يُشير إلى مدى إنجاز الموظف للواجبات والمهام الجوهرية المنصوص عليها في الوصف الوظيفي الرسمي، ويُقاس بمعايير موضوعية كحجم الإنتاج ودقته وجودته.</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الأداء السياقي (Contextual Performance): يُمثل الجهود الإضافية المتجاوزة للمتطلبات الرسمية، كالمبادرة ومساعدة الزملاء وتعزيز الروح الجماعية ودعم الثقافة المؤسسية.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الأداء التكيفي (Adaptive Performance): يعكس قدرة الموظف على استيعاب التغييرات والتكيف مع المتطلبات الجديدة في بيئة العمل المتحولة باستمرار.</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1.6.3 العوامل المؤثرة في الأداء الوظيفي</w:t>
      </w:r>
    </w:p>
    <w:p>
      <w:pPr>
        <w:bidi/>
        <w:spacing w:after="60" w:before="60" w:line="360"/>
        <w:jc w:val="both"/>
      </w:pPr>
      <w:r>
        <w:rPr>
          <w:rFonts w:ascii="Sakkal Majalla" w:cs="Sakkal Majalla" w:eastAsia="Sakkal Majalla" w:hAnsi="Sakkal Majalla"/>
          <w:sz w:val="28"/>
          <w:szCs w:val="28"/>
          <w:rtl/>
        </w:rPr>
        <w:t xml:space="preserve">تتشعب العوامل المؤثرة في الأداء الوظيفي لتشمل ثلاث فئات رئيسية:</w:t>
      </w:r>
    </w:p>
    <w:p>
      <w:pPr>
        <w:bidi/>
        <w:spacing w:after="60" w:before="100"/>
        <w:jc w:val="right"/>
      </w:pPr>
      <w:r>
        <w:rPr>
          <w:rFonts w:ascii="Sakkal Majalla" w:cs="Sakkal Majalla" w:eastAsia="Sakkal Majalla" w:hAnsi="Sakkal Majalla"/>
          <w:b/>
          <w:bCs/>
          <w:color w:val="000000"/>
          <w:sz w:val="28"/>
          <w:szCs w:val="28"/>
          <w:rtl/>
        </w:rPr>
        <w:t xml:space="preserve">أولاً: العوامل الفردية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القدرات المعرفية والمهارات التقنية المرتبطة بطبيعة الوظيفة.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الدوافع الداخلية والالتزام بالعمل والقيم المهنية.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الخبرة العملية المتراكمة والتعلم المستمر من خلال الممارسة.</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ثانياً: العوامل التنظيمية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جودة القيادة وأنماطها ومدى دعمها لتطوير الموظفين.</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الهيكل التنظيمي وأنظمة المكافآت والتحفيز.</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ثقافة الجودة والتميز المؤسسي ومستوى وضوح الأهداف.</w:t>
      </w:r>
    </w:p>
    <w:p>
      <w:pPr>
        <w:spacing w:after="100" w:before="0"/>
      </w:pPr>
      <w:r>
        <w:rPr>
          <w:rFonts w:ascii="Sakkal Majalla" w:cs="Sakkal Majalla" w:eastAsia="Sakkal Majalla" w:hAnsi="Sakkal Majalla"/>
        </w:rPr>
        <w:t xml:space="preserve"/>
      </w:r>
    </w:p>
    <w:p>
      <w:pPr>
        <w:bidi/>
        <w:spacing w:after="60" w:before="100"/>
        <w:jc w:val="right"/>
      </w:pPr>
      <w:r>
        <w:rPr>
          <w:rFonts w:ascii="Sakkal Majalla" w:cs="Sakkal Majalla" w:eastAsia="Sakkal Majalla" w:hAnsi="Sakkal Majalla"/>
          <w:b/>
          <w:bCs/>
          <w:color w:val="000000"/>
          <w:sz w:val="28"/>
          <w:szCs w:val="28"/>
          <w:rtl/>
        </w:rPr>
        <w:t xml:space="preserve">ثالثاً: العوامل البيئية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ضغوط العمل وديناميكيات الفريق وطبيعة العلاقات بين الزملاء.</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توافر الموارد والأدوات اللازمة لأداء المهام بكفاءة.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بيئة العمل المادية ومدى ملاءمتها للإنجاز والتركيز.</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1.6.4 قياس الأداء الوظيفي</w:t>
      </w:r>
    </w:p>
    <w:p>
      <w:pPr>
        <w:bidi/>
        <w:spacing w:after="60" w:before="60" w:line="360"/>
        <w:jc w:val="both"/>
      </w:pPr>
      <w:r>
        <w:rPr>
          <w:rFonts w:ascii="Sakkal Majalla" w:cs="Sakkal Majalla" w:eastAsia="Sakkal Majalla" w:hAnsi="Sakkal Majalla"/>
          <w:sz w:val="28"/>
          <w:szCs w:val="28"/>
          <w:rtl/>
        </w:rPr>
        <w:t xml:space="preserve">تتعدد أساليب قياس الأداء الوظيفي وتنقسم إلى:</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المقاييس الموضوعية: تشمل حجم الإنتاج ونسبة الأخطاء ومعدل الغياب والوقت المستغرق في إنجاز المهام.</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المقاييس الذاتية: تستند إلى تقييمات المشرفين والزملاء والتقييم الذاتي، وتُغطي الجوانب السلوكية غير القابلة للقياس الكمي المباشر.</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المقاييس المختلطة: تجمع بين الأبعاد الموضوعية والذاتية في إطار شامل كبطاقة الأداء المتوازن (Balanced Scorecard).</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1.7 العلاقة بين التدريب والأداء الوظيفي</w:t>
      </w:r>
    </w:p>
    <w:p>
      <w:pPr>
        <w:bidi/>
        <w:spacing w:after="60" w:before="60" w:line="360"/>
        <w:jc w:val="both"/>
      </w:pPr>
      <w:r>
        <w:rPr>
          <w:rFonts w:ascii="Sakkal Majalla" w:cs="Sakkal Majalla" w:eastAsia="Sakkal Majalla" w:hAnsi="Sakkal Majalla"/>
          <w:sz w:val="28"/>
          <w:szCs w:val="28"/>
          <w:rtl/>
        </w:rPr>
        <w:t xml:space="preserve">ترتكز العلاقة بين التدريب والأداء الوظيفي على آلية انتقال أثر التدريب (Transfer of Training)، وهي المدى الذي يُطبّق فيه المتدرب ما اكتسبه من معارف ومهارات واتجاهات في بيئة عمله الفعلية. وقد حدّد بالدوين وفورد (Baldwin &amp; Ford, 1988) ثلاثة عوامل رئيسية تُؤثر في هذا الانتقال:</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خصائص المتدرب: القدرة على التعلم، والدافعية، والإيمان بجدوى التدريب.</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تصميم البرنامج التدريبي: جودة المحتوى، وملاءمة الأساليب، ووضوح الأهداف.</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بيئة العمل: دعم المشرف، وتوافر فرص التطبيق، والمناخ التنظيمي المحفّز.</w:t>
      </w:r>
    </w:p>
    <w:p>
      <w:pPr>
        <w:spacing w:after="100" w:before="0"/>
      </w:pPr>
      <w:r>
        <w:rPr>
          <w:rFonts w:ascii="Sakkal Majalla" w:cs="Sakkal Majalla" w:eastAsia="Sakkal Majalla" w:hAnsi="Sakkal Majalla"/>
        </w:rPr>
        <w:t xml:space="preserve"/>
      </w:r>
    </w:p>
    <w:p>
      <w:pPr>
        <w:bidi/>
        <w:spacing w:after="60" w:before="60" w:line="360"/>
        <w:jc w:val="both"/>
      </w:pPr>
      <w:r>
        <w:rPr>
          <w:rFonts w:ascii="Sakkal Majalla" w:cs="Sakkal Majalla" w:eastAsia="Sakkal Majalla" w:hAnsi="Sakkal Majalla"/>
          <w:sz w:val="28"/>
          <w:szCs w:val="28"/>
          <w:rtl/>
        </w:rPr>
        <w:t xml:space="preserve">يُشكّل هذا الإطار الأساس النظري لفرضيات الدراسة الحالية، إذ تسعى إلى إثبات أن جودة أبعاد التدريب الثلاثة (المحتوى، والمدرب، والأساليب) تُعدّ المحددات الرئيسية لانتقال أثر التدريب وتحسين الأداء الوظيفي.</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1.8 خلاصة الفصل</w:t>
      </w:r>
    </w:p>
    <w:p>
      <w:pPr>
        <w:bidi/>
        <w:spacing w:after="60" w:before="60" w:line="360"/>
        <w:jc w:val="both"/>
      </w:pPr>
      <w:r>
        <w:rPr>
          <w:rFonts w:ascii="Sakkal Majalla" w:cs="Sakkal Majalla" w:eastAsia="Sakkal Majalla" w:hAnsi="Sakkal Majalla"/>
          <w:sz w:val="28"/>
          <w:szCs w:val="28"/>
          <w:rtl/>
        </w:rPr>
        <w:t xml:space="preserve">تناول هذا الفصل الإطار النظري الشامل لمتغيرَي الدراسة الرئيسيين، بما يشمل: تعريف التدريب وأنواعه وأهميته وأبعاده، ونماذج تقييم فاعليته، والنظريات العلمية الداعمة، وتعريف الأداء الوظيفي وأبعاده وعوامله وأساليب قياسه، وصولاً إلى تأصيل العلاقة النظرية بين المتغيرين. ويُمهّد هذا الإطار للفصل الثاني الذي سيستعرض الدراسات السابقة ذات الصلة.</w:t>
      </w:r>
    </w:p>
    <w:p>
      <w:pPr>
        <w:sectPr>
          <w:pgSz w:w="11906" w:h="16838" w:orient="portrait"/>
          <w:pgMar w:top="1440" w:right="1800" w:bottom="1440" w:left="1440" w:header="708" w:footer="708" w:gutter="0"/>
          <w:pgNumType/>
          <w:docGrid w:linePitch="360"/>
        </w:sectPr>
      </w:pPr>
    </w:p>
    <w:p>
      <w:pPr>
        <w:shd w:fill="1F3864" w:val="clear"/>
        <w:bidi/>
        <w:spacing w:after="200" w:before="200"/>
        <w:jc w:val="center"/>
      </w:pPr>
      <w:r>
        <w:rPr>
          <w:rFonts w:ascii="Sakkal Majalla" w:cs="Sakkal Majalla" w:eastAsia="Sakkal Majalla" w:hAnsi="Sakkal Majalla"/>
          <w:b/>
          <w:bCs/>
          <w:color w:val="FFFFFF"/>
          <w:sz w:val="44"/>
          <w:szCs w:val="44"/>
          <w:rtl/>
        </w:rPr>
        <w:t xml:space="preserve">الفصل الثاني</w:t>
      </w:r>
    </w:p>
    <w:p>
      <w:pPr>
        <w:bidi/>
        <w:spacing w:after="60" w:before="60"/>
        <w:jc w:val="center"/>
      </w:pPr>
      <w:r>
        <w:rPr>
          <w:rFonts w:ascii="Sakkal Majalla" w:cs="Sakkal Majalla" w:eastAsia="Sakkal Majalla" w:hAnsi="Sakkal Majalla"/>
          <w:b/>
          <w:bCs/>
          <w:color w:val="1F3864"/>
          <w:sz w:val="36"/>
          <w:szCs w:val="36"/>
          <w:rtl/>
        </w:rPr>
        <w:t xml:space="preserve">مراجعة الدراسات السابقة</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2.1 تمهيد</w:t>
      </w:r>
    </w:p>
    <w:p>
      <w:pPr>
        <w:bidi/>
        <w:spacing w:after="60" w:before="60" w:line="360"/>
        <w:jc w:val="both"/>
      </w:pPr>
      <w:r>
        <w:rPr>
          <w:rFonts w:ascii="Sakkal Majalla" w:cs="Sakkal Majalla" w:eastAsia="Sakkal Majalla" w:hAnsi="Sakkal Majalla"/>
          <w:sz w:val="28"/>
          <w:szCs w:val="28"/>
          <w:rtl/>
        </w:rPr>
        <w:t xml:space="preserve">يستعرض هذا الفصل الدراسات السابقة التي تناولت العلاقة بين التدريب والأداء الوظيفي، ويُحلّل أبرز نتائجها ومنهجياتها، ثم يُوضّح الثغرة البحثية التي تسعى الدراسة الحالية إلى معالجتها.</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2.2 الدراسات السابقة العربية</w:t>
      </w:r>
    </w:p>
    <w:p>
      <w:pPr>
        <w:bidi/>
        <w:spacing w:after="80" w:before="140"/>
        <w:jc w:val="right"/>
      </w:pPr>
      <w:r>
        <w:rPr>
          <w:rFonts w:ascii="Sakkal Majalla" w:cs="Sakkal Majalla" w:eastAsia="Sakkal Majalla" w:hAnsi="Sakkal Majalla"/>
          <w:b/>
          <w:bCs/>
          <w:color w:val="2E5FA3"/>
          <w:sz w:val="29"/>
          <w:szCs w:val="29"/>
          <w:rtl/>
        </w:rPr>
        <w:t xml:space="preserve">2.2.1 دراسة القحطاني (2021)</w:t>
      </w:r>
    </w:p>
    <w:p>
      <w:pPr>
        <w:bidi/>
        <w:spacing w:after="60" w:before="60" w:line="360"/>
        <w:jc w:val="both"/>
      </w:pPr>
      <w:r>
        <w:rPr>
          <w:rFonts w:ascii="Sakkal Majalla" w:cs="Sakkal Majalla" w:eastAsia="Sakkal Majalla" w:hAnsi="Sakkal Majalla"/>
          <w:sz w:val="28"/>
          <w:szCs w:val="28"/>
          <w:rtl/>
        </w:rPr>
        <w:t xml:space="preserve">هدفت الدراسة إلى قياس أثر برامج التدريب على أداء الموظفين في القطاع الحكومي السعودي. اعتمدت المنهج الوصفي التحليلي على عينة مكوّنة من (200) موظف. توصّلت إلى وجود أثر إيجابي دال إحصائياً للتدريب على الأداء الوظيفي بمعامل ارتباط (r=0.67)، مع تفوق التدريب الميداني على التدريب القاعدي التقليدي. وأوصت بربط البرامج التدريبية بمخرجات الأداء المؤسسي القابلة للقياس الكمي.</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2.2.2 دراسة العنزي (2022)</w:t>
      </w:r>
    </w:p>
    <w:p>
      <w:pPr>
        <w:bidi/>
        <w:spacing w:after="60" w:before="60" w:line="360"/>
        <w:jc w:val="both"/>
      </w:pPr>
      <w:r>
        <w:rPr>
          <w:rFonts w:ascii="Sakkal Majalla" w:cs="Sakkal Majalla" w:eastAsia="Sakkal Majalla" w:hAnsi="Sakkal Majalla"/>
          <w:sz w:val="28"/>
          <w:szCs w:val="28"/>
          <w:rtl/>
        </w:rPr>
        <w:t xml:space="preserve">تناولت الدراسة فاعلية برامج التطوير المهني وأثرها في تحسين الأداء الوظيفي في شركات القطاع الخاص السعودي. تبيّن أن الأساليب التدريبية التفاعلية تُنتج أثراً يفوق الأساليب التقليدية بنسبة (30%)، وأن التدريب المدمج يُحقق تحسناً في مؤشرات الأداء بنسبة (22%) مقارنةً بالتدريب التقليدي الحصري. وأوصت بضرورة تنويع الأساليب التدريبية واعتماد منهجيات التعلم النشط.</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2.2.3 دراسة الزهراني (2023)</w:t>
      </w:r>
    </w:p>
    <w:p>
      <w:pPr>
        <w:bidi/>
        <w:spacing w:after="60" w:before="60" w:line="360"/>
        <w:jc w:val="both"/>
      </w:pPr>
      <w:r>
        <w:rPr>
          <w:rFonts w:ascii="Sakkal Majalla" w:cs="Sakkal Majalla" w:eastAsia="Sakkal Majalla" w:hAnsi="Sakkal Majalla"/>
          <w:sz w:val="28"/>
          <w:szCs w:val="28"/>
          <w:rtl/>
        </w:rPr>
        <w:t xml:space="preserve">سعت إلى بناء نموذج تفسيري متكامل للعلاقة بين التدريب والإنتاجية في بيئة العمل السعودية. أكدت أن هذه العلاقة تتوسطها متغيرات كالرضا الوظيفي والالتزام التنظيمي، وأن برامج التدريب المرتبطة بالاحتياجات الفعلية تحقق معدلات تطبيق تفوق (78%) مقارنةً بـ (43%) للبرامج غير المرتبطة. وأوصت بإجراء تحليل الاحتياجات كخطوة إلزامية قبل تصميم أي برنامج تدريبي.</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2.2.4 دراسة الشمري (2020)</w:t>
      </w:r>
    </w:p>
    <w:p>
      <w:pPr>
        <w:bidi/>
        <w:spacing w:after="60" w:before="60" w:line="360"/>
        <w:jc w:val="both"/>
      </w:pPr>
      <w:r>
        <w:rPr>
          <w:rFonts w:ascii="Sakkal Majalla" w:cs="Sakkal Majalla" w:eastAsia="Sakkal Majalla" w:hAnsi="Sakkal Majalla"/>
          <w:sz w:val="28"/>
          <w:szCs w:val="28"/>
          <w:rtl/>
        </w:rPr>
        <w:t xml:space="preserve">استهدفت الدراسة الكشف عن دور التدريب في تحسين مستوى الأداء الوظيفي في منظمات القطاع الخاص بالكويت. أجريت على عينة من (180) موظفاً، وأثبتت أن كفاءة المدرب هي المتنبئ الأقوى بمستوى الأداء الوظيفي بعد التدريب (β=0.39)، كما أن وضوح أهداف التدريب يرتبط إيجابياً بنسبة التطبيق الميداني للمهارات المكتسبة.</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2.2.5 دراسة المطيري (2019)</w:t>
      </w:r>
    </w:p>
    <w:p>
      <w:pPr>
        <w:bidi/>
        <w:spacing w:after="60" w:before="60" w:line="360"/>
        <w:jc w:val="both"/>
      </w:pPr>
      <w:r>
        <w:rPr>
          <w:rFonts w:ascii="Sakkal Majalla" w:cs="Sakkal Majalla" w:eastAsia="Sakkal Majalla" w:hAnsi="Sakkal Majalla"/>
          <w:sz w:val="28"/>
          <w:szCs w:val="28"/>
          <w:rtl/>
        </w:rPr>
        <w:t xml:space="preserve">ركّزت على استقصاء أثر برامج التدريب التقني على الأداء الوظيفي في القطاع الصناعي السعودي. خلصت إلى أن التدريب التقني يُفسّر (35%) من التباين في الأداء الوظيفي، وأن الارتباط بين التدريب والإنتاجية أقوى في المنظمات التي تمتلك أنظمة واضحة لقياس الأداء. وأوصت بربط برامج التدريب بمؤشرات أداء رقمية قابلة للتتبع.</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2.3 الدراسات السابقة الأجنبية</w:t>
      </w:r>
    </w:p>
    <w:p>
      <w:pPr>
        <w:bidi/>
        <w:spacing w:after="80" w:before="140"/>
        <w:jc w:val="right"/>
      </w:pPr>
      <w:r>
        <w:rPr>
          <w:rFonts w:ascii="Sakkal Majalla" w:cs="Sakkal Majalla" w:eastAsia="Sakkal Majalla" w:hAnsi="Sakkal Majalla"/>
          <w:b/>
          <w:bCs/>
          <w:color w:val="2E5FA3"/>
          <w:sz w:val="29"/>
          <w:szCs w:val="29"/>
          <w:rtl/>
        </w:rPr>
        <w:t xml:space="preserve">2.3.1 دراسة Al-Mzary et al. (2015)</w:t>
      </w:r>
    </w:p>
    <w:p>
      <w:pPr>
        <w:bidi/>
        <w:spacing w:after="60" w:before="60" w:line="360"/>
        <w:jc w:val="both"/>
      </w:pPr>
      <w:r>
        <w:rPr>
          <w:rFonts w:ascii="Sakkal Majalla" w:cs="Sakkal Majalla" w:eastAsia="Sakkal Majalla" w:hAnsi="Sakkal Majalla"/>
          <w:sz w:val="28"/>
          <w:szCs w:val="28"/>
          <w:rtl/>
        </w:rPr>
        <w:t xml:space="preserve">أجريت على موظفي قطاع الصحة الأردني، وتوصّلت إلى أن التدريب يُفسّر نحو (43%) من التباين في الأداء الوظيفي. وأكدت أن الأساليب التدريبية التفاعلية تُنتج أثراً يفوق الأساليب التقليدية بنسبة (30%)، وأن المنظمات التي تُخصص ميزانية مستقلة للتدريب تُحقق مؤشرات أداء أعلى بشكل منتظم.</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2.3.2 دراسة Elnaga &amp; Imran (2013)</w:t>
      </w:r>
    </w:p>
    <w:p>
      <w:pPr>
        <w:bidi/>
        <w:spacing w:after="60" w:before="60" w:line="360"/>
        <w:jc w:val="both"/>
      </w:pPr>
      <w:r>
        <w:rPr>
          <w:rFonts w:ascii="Sakkal Majalla" w:cs="Sakkal Majalla" w:eastAsia="Sakkal Majalla" w:hAnsi="Sakkal Majalla"/>
          <w:sz w:val="28"/>
          <w:szCs w:val="28"/>
          <w:rtl/>
        </w:rPr>
        <w:t xml:space="preserve">استندت إلى مراجعة منهجية لأكثر من (50) بحثاً أكاديمياً حول فاعلية التدريب. أكدت أن التوافق بين محتوى التدريب والاحتياجات الفعلية للوظيفة يُعدّ العامل الحاسم الأول في فاعلية البرنامج التدريبي وانتقال أثره إلى بيئة العمل. وخلصت إلى أن البرامج التدريبية ذات المحتوى الوظيفي المرتبط تُحقق معدلات أداء أعلى بنسبة تتراوح بين 25% و40%.</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2.3.3 دراسة Noe (2020)</w:t>
      </w:r>
    </w:p>
    <w:p>
      <w:pPr>
        <w:bidi/>
        <w:spacing w:after="60" w:before="60" w:line="360"/>
        <w:jc w:val="both"/>
      </w:pPr>
      <w:r>
        <w:rPr>
          <w:rFonts w:ascii="Sakkal Majalla" w:cs="Sakkal Majalla" w:eastAsia="Sakkal Majalla" w:hAnsi="Sakkal Majalla"/>
          <w:sz w:val="28"/>
          <w:szCs w:val="28"/>
          <w:rtl/>
        </w:rPr>
        <w:t xml:space="preserve">في كتابه الموسوعي حول التدريب والتطوير، رصد نتائج عشرات الدراسات التطبيقية وخلص إلى أن الاستثمار في تأهيل المدربين وتطوير قدراتهم يُحقق عائداً على الاستثمار يفوق الاستثمار في أي عنصر آخر من عناصر البرنامج التدريبي، مؤكداً الدور المحوري لكفاءة المدرب بمعامل ارتباط (r=0.58) مع انتقال أثر التدريب.</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2.3.4 دراسة Nassazi (2013)</w:t>
      </w:r>
    </w:p>
    <w:p>
      <w:pPr>
        <w:bidi/>
        <w:spacing w:after="60" w:before="60" w:line="360"/>
        <w:jc w:val="both"/>
      </w:pPr>
      <w:r>
        <w:rPr>
          <w:rFonts w:ascii="Sakkal Majalla" w:cs="Sakkal Majalla" w:eastAsia="Sakkal Majalla" w:hAnsi="Sakkal Majalla"/>
          <w:sz w:val="28"/>
          <w:szCs w:val="28"/>
          <w:rtl/>
        </w:rPr>
        <w:t xml:space="preserve">درست أثر التدريب على أداء الموظفين في شركات الاتصالات الأوغندية. أثبتت وجود علاقة إيجابية قوية بين التدريب والأداء الوظيفي، وأن المنظمات التي تُقيّم نتائج تدريبها بانتظام تُحقق عائداً على الاستثمار في التدريب أعلى بنسبة (45%) من تلك التي لا تُقيّم. وأوصت بضرورة اعتماد نماذج تقييم منهجية كنموذج كيرك باتريك.</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2.3.5 دراسة Anwar &amp; Shukur (2015)</w:t>
      </w:r>
    </w:p>
    <w:p>
      <w:pPr>
        <w:bidi/>
        <w:spacing w:after="60" w:before="60" w:line="360"/>
        <w:jc w:val="both"/>
      </w:pPr>
      <w:r>
        <w:rPr>
          <w:rFonts w:ascii="Sakkal Majalla" w:cs="Sakkal Majalla" w:eastAsia="Sakkal Majalla" w:hAnsi="Sakkal Majalla"/>
          <w:sz w:val="28"/>
          <w:szCs w:val="28"/>
          <w:rtl/>
        </w:rPr>
        <w:t xml:space="preserve">فحصت العلاقة بين برامج التدريب والتطوير والأداء الوظيفي في شركات القطاع الخاص في إقليم كردستان العراق. خلصت إلى أن برامج التدريب المُصمَّمة وفق نتائج تحليل الاحتياجات تُحقق أثراً أعمق وأكثر استدامة مقارنةً بالبرامج العامة غير المُخصَّصة. وأكدت أن مشاركة المتدربين في تحديد الاحتياجات التدريبية يُعزز دوافعهم للتطبيق.</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2.3.6 دراسة Jehanzeb &amp; Bashir (2013)</w:t>
      </w:r>
    </w:p>
    <w:p>
      <w:pPr>
        <w:bidi/>
        <w:spacing w:after="60" w:before="60" w:line="360"/>
        <w:jc w:val="both"/>
      </w:pPr>
      <w:r>
        <w:rPr>
          <w:rFonts w:ascii="Sakkal Majalla" w:cs="Sakkal Majalla" w:eastAsia="Sakkal Majalla" w:hAnsi="Sakkal Majalla"/>
          <w:sz w:val="28"/>
          <w:szCs w:val="28"/>
          <w:rtl/>
        </w:rPr>
        <w:t xml:space="preserve">أجرت مراجعة نقدية شاملة للدراسات التي تناولت العلاقة بين التدريب وتطوير الموظفين من جهة والأداء الوظيفي والرضا الوظيفي من جهة أخرى. توصّلت إلى أن المنظمات التي تُدمج التدريب في استراتيجيتها المؤسسية تُحقق معدلات أداء وظيفي أعلى بنسبة (32%) وتُقلّل من معدلات دوران العمالة بنسبة (28%).</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2.4 تحليل الدراسات السابقة</w:t>
      </w:r>
    </w:p>
    <w:p>
      <w:pPr>
        <w:bidi/>
        <w:spacing w:after="80" w:before="140"/>
        <w:jc w:val="right"/>
      </w:pPr>
      <w:r>
        <w:rPr>
          <w:rFonts w:ascii="Sakkal Majalla" w:cs="Sakkal Majalla" w:eastAsia="Sakkal Majalla" w:hAnsi="Sakkal Majalla"/>
          <w:b/>
          <w:bCs/>
          <w:color w:val="2E5FA3"/>
          <w:sz w:val="29"/>
          <w:szCs w:val="29"/>
          <w:rtl/>
        </w:rPr>
        <w:t xml:space="preserve">2.4.1 أوجه الاستفادة من الدراسات السابقة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أسهمت في تحديد الأبعاد الثلاثة لمتغير التدريب (المحتوى، وكفاءة المدرب، والأساليب) المعتمدة في هذه الدراسة.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أفادت في بناء أداة القياس (الاستبانة) وتحديد مؤشرات كل محور بصورة دقيقة ومتوافقة مع الأدبيات.</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أعانت على تحديد المنهج الوصفي التحليلي وأساليب التحليل الإحصائي (بيرسون، الانحدار المتعدد) الملائمة.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وفّرت إطاراً مرجعياً للمقارنة ومناقشة النتائج في ضوء ما أثبتته البحوث السابقة.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كشفت عن الفجوة البحثية التي تسعى هذه الدراسة إلى معالجتها.</w:t>
      </w:r>
    </w:p>
    <w:p>
      <w:pPr>
        <w:spacing w:after="100" w:before="0"/>
      </w:pPr>
      <w:r>
        <w:rPr>
          <w:rFonts w:ascii="Sakkal Majalla" w:cs="Sakkal Majalla" w:eastAsia="Sakkal Majalla" w:hAnsi="Sakkal Majalla"/>
        </w:rPr>
        <w:t xml:space="preserve"/>
      </w:r>
    </w:p>
    <w:p>
      <w:pPr>
        <w:bidi/>
        <w:spacing w:after="80" w:before="140"/>
        <w:jc w:val="right"/>
      </w:pPr>
      <w:r>
        <w:rPr>
          <w:rFonts w:ascii="Sakkal Majalla" w:cs="Sakkal Majalla" w:eastAsia="Sakkal Majalla" w:hAnsi="Sakkal Majalla"/>
          <w:b/>
          <w:bCs/>
          <w:color w:val="2E5FA3"/>
          <w:sz w:val="29"/>
          <w:szCs w:val="29"/>
          <w:rtl/>
        </w:rPr>
        <w:t xml:space="preserve">2.4.2 ما يميز الدراسة الحالية عن الدراسات السابقة</w:t>
      </w:r>
    </w:p>
    <w:p>
      <w:pPr>
        <w:bidi/>
        <w:spacing w:after="60" w:before="60" w:line="360"/>
        <w:jc w:val="both"/>
      </w:pPr>
      <w:r>
        <w:rPr>
          <w:rFonts w:ascii="Sakkal Majalla" w:cs="Sakkal Majalla" w:eastAsia="Sakkal Majalla" w:hAnsi="Sakkal Majalla"/>
          <w:sz w:val="28"/>
          <w:szCs w:val="28"/>
          <w:rtl/>
        </w:rPr>
        <w:t xml:space="preserve">تتميز الدراسة الحالية عن سابقاتها في عدة جوانب جوهرية: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التكاملية المنهجية: تجمع الأبعاد الثلاثة للتدريب في أنموذج انحداري متعدد واحد لاختبار قدرتها التنبؤية المستقلة والمشتركة على الأداء الوظيفي، بينما اكتفت معظم الدراسات السابقة بدراسة بُعد أو بُعدين منفردين.</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الخصوصية السياقية: تُركّز تحديداً على السياق السعودي في ظل متطلبات رؤية 2030، وهو سياق تنموي متسارع يكتسب دراسته قيمة مضافة واضحة.</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الحداثة الزمنية: تُجرى الدراسة في الفترة 2025-2026م، مما يُتيح رصد التوجهات التدريبية في مرحلة التحول الاقتصادي السعودي المتسارع.</w:t>
      </w:r>
    </w:p>
    <w:p>
      <w:pPr>
        <w:bidi/>
        <w:spacing w:after="50" w:before="50" w:line="340"/>
        <w:ind w:right="360" w:hanging="360"/>
        <w:jc w:val="right"/>
      </w:pPr>
      <w:r>
        <w:rPr>
          <w:rFonts w:ascii="Sakkal Majalla" w:cs="Sakkal Majalla" w:eastAsia="Sakkal Majalla" w:hAnsi="Sakkal Majalla"/>
          <w:b/>
          <w:bCs/>
          <w:sz w:val="28"/>
          <w:szCs w:val="28"/>
          <w:rtl/>
        </w:rPr>
        <w:t xml:space="preserve">• </w:t>
      </w:r>
      <w:r>
        <w:rPr>
          <w:rFonts w:ascii="Sakkal Majalla" w:cs="Sakkal Majalla" w:eastAsia="Sakkal Majalla" w:hAnsi="Sakkal Majalla"/>
          <w:sz w:val="28"/>
          <w:szCs w:val="28"/>
          <w:rtl/>
        </w:rPr>
        <w:t xml:space="preserve">الشمولية القطاعية: تشمل القطاعين العام والخاص معاً، مما يُتيح مقارنة الممارسات التدريبية وأثرها عبر قطاعات متنوعة.</w:t>
      </w:r>
    </w:p>
    <w:p>
      <w:pPr>
        <w:spacing w:after="100" w:before="0"/>
      </w:pPr>
      <w:r>
        <w:rPr>
          <w:rFonts w:ascii="Sakkal Majalla" w:cs="Sakkal Majalla" w:eastAsia="Sakkal Majalla" w:hAnsi="Sakkal Majalla"/>
        </w:rPr>
        <w:t xml:space="preserve"/>
      </w:r>
    </w:p>
    <w:p>
      <w:pPr>
        <w:bidi/>
        <w:spacing w:after="100" w:before="200"/>
        <w:jc w:val="right"/>
      </w:pPr>
      <w:r>
        <w:rPr>
          <w:rFonts w:ascii="Sakkal Majalla" w:cs="Sakkal Majalla" w:eastAsia="Sakkal Majalla" w:hAnsi="Sakkal Majalla"/>
          <w:b/>
          <w:bCs/>
          <w:color w:val="1F3864"/>
          <w:sz w:val="32"/>
          <w:szCs w:val="32"/>
          <w:rtl/>
        </w:rPr>
        <w:t xml:space="preserve">2.5 خلاصة الفصل</w:t>
      </w:r>
    </w:p>
    <w:p>
      <w:pPr>
        <w:bidi/>
        <w:spacing w:after="60" w:before="60" w:line="360"/>
        <w:jc w:val="both"/>
      </w:pPr>
      <w:r>
        <w:rPr>
          <w:rFonts w:ascii="Sakkal Majalla" w:cs="Sakkal Majalla" w:eastAsia="Sakkal Majalla" w:hAnsi="Sakkal Majalla"/>
          <w:sz w:val="28"/>
          <w:szCs w:val="28"/>
          <w:rtl/>
        </w:rPr>
        <w:t xml:space="preserve">استعرض هذا الفصل (11) دراسة سابقة عربية وأجنبية تناولت العلاقة بين التدريب والأداء الوظيفي من زوايا متعددة. وقد أجمعت هذه الدراسات على وجود علاقة إيجابية دالة إحصائياً بين التدريب والأداء الوظيفي، وإن تباينت في تحديد الأبعاد الأعلى تأثيراً. وتنطلق الدراسة الحالية من هذه المعرفة التراكمية لتُضيف إليها بُعداً تكاملياً جديداً يجمع الأبعاد الثلاثة في نموذج قياسي موحد في السياق السعودي تحديداً.</w:t>
      </w:r>
    </w:p>
    <w:sectPr>
      <w:pgSz w:w="11906" w:h="16838" w:orient="portrait"/>
      <w:pgMar w:top="1440" w:right="180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bcb89fd7351f20ac2ab59752e81aa5bcdbdfe041.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2026-04-02T19:39:18.304Z</dcterms:created>
  <dcterms:modified xsi:type="dcterms:W3CDTF">2026-04-02T19:39:18.305Z</dcterms:modified>
</cp:coreProperties>
</file>

<file path=docProps/custom.xml><?xml version="1.0" encoding="utf-8"?>
<Properties xmlns="http://schemas.openxmlformats.org/officeDocument/2006/custom-properties" xmlns:vt="http://schemas.openxmlformats.org/officeDocument/2006/docPropsVTypes"/>
</file>