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FA7EC" w14:textId="77777777" w:rsidR="001C0D96" w:rsidRDefault="001C0D96">
      <w:pPr>
        <w:spacing w:after="160"/>
      </w:pPr>
    </w:p>
    <w:p w14:paraId="0EA9F5AF" w14:textId="77777777" w:rsidR="001C0D96" w:rsidRDefault="00F929F7">
      <w:pPr>
        <w:spacing w:after="200"/>
        <w:jc w:val="center"/>
      </w:pPr>
      <w:r>
        <w:rPr>
          <w:b/>
          <w:bCs/>
          <w:color w:val="888888"/>
          <w:sz w:val="20"/>
          <w:szCs w:val="20"/>
        </w:rPr>
        <w:t>MIDOCEAN UNIVERSITY</w:t>
      </w:r>
    </w:p>
    <w:p w14:paraId="2942F219" w14:textId="04987A67" w:rsidR="001C0D96" w:rsidRDefault="00F929F7">
      <w:pPr>
        <w:spacing w:after="60"/>
        <w:jc w:val="center"/>
      </w:pPr>
      <w:r>
        <w:rPr>
          <w:color w:val="666666"/>
        </w:rPr>
        <w:t xml:space="preserve">Doctor of Philosophy in </w:t>
      </w:r>
      <w:r w:rsidR="00633D64">
        <w:rPr>
          <w:color w:val="666666"/>
        </w:rPr>
        <w:t>IT Program</w:t>
      </w:r>
    </w:p>
    <w:p w14:paraId="084E736A" w14:textId="77777777" w:rsidR="001C0D96" w:rsidRDefault="001C0D96">
      <w:pPr>
        <w:spacing w:after="240"/>
      </w:pPr>
    </w:p>
    <w:p w14:paraId="44AE642D" w14:textId="77777777" w:rsidR="001C0D96" w:rsidRDefault="00F929F7">
      <w:pPr>
        <w:pBdr>
          <w:top w:val="single" w:sz="12" w:space="4" w:color="2E75B6"/>
          <w:bottom w:val="single" w:sz="12" w:space="4" w:color="2E75B6"/>
        </w:pBdr>
        <w:spacing w:after="120"/>
        <w:jc w:val="center"/>
      </w:pPr>
      <w:r>
        <w:rPr>
          <w:b/>
          <w:bCs/>
          <w:caps/>
          <w:color w:val="1F4E79"/>
          <w:sz w:val="28"/>
          <w:szCs w:val="28"/>
        </w:rPr>
        <w:t>RESEARCH PROPOSAL</w:t>
      </w:r>
    </w:p>
    <w:p w14:paraId="7145F4CD" w14:textId="77777777" w:rsidR="001C0D96" w:rsidRDefault="001C0D96">
      <w:pPr>
        <w:spacing w:after="160"/>
      </w:pPr>
    </w:p>
    <w:p w14:paraId="23CD503D" w14:textId="77777777" w:rsidR="001C0D96" w:rsidRDefault="00F929F7">
      <w:pPr>
        <w:spacing w:after="120"/>
        <w:jc w:val="center"/>
      </w:pPr>
      <w:r>
        <w:rPr>
          <w:b/>
          <w:bCs/>
          <w:color w:val="1F4E79"/>
          <w:sz w:val="30"/>
          <w:szCs w:val="30"/>
        </w:rPr>
        <w:t>Cybersecurity Governance in Modern Operational Technology Environments: A Framework for Managing Emerging Technology Integration Risks at the IT/OT Boundary</w:t>
      </w:r>
    </w:p>
    <w:p w14:paraId="61732138" w14:textId="77777777" w:rsidR="00633D64" w:rsidRDefault="00633D64">
      <w:pPr>
        <w:spacing w:after="240"/>
      </w:pPr>
    </w:p>
    <w:p w14:paraId="3F42287F" w14:textId="77777777" w:rsidR="00633D64" w:rsidRDefault="00633D64">
      <w:pPr>
        <w:spacing w:after="240"/>
      </w:pPr>
    </w:p>
    <w:p w14:paraId="0DD6C989" w14:textId="77777777" w:rsidR="001C0D96" w:rsidRDefault="00F929F7">
      <w:pPr>
        <w:pStyle w:val="Heading1"/>
      </w:pPr>
      <w:r>
        <w:t>1. Abstract</w:t>
      </w:r>
    </w:p>
    <w:p w14:paraId="03FE51C8" w14:textId="77777777" w:rsidR="001C0D96" w:rsidRDefault="001C0D96">
      <w:pPr>
        <w:pBdr>
          <w:bottom w:val="single" w:sz="6" w:space="1" w:color="2E75B6"/>
        </w:pBdr>
        <w:spacing w:before="120" w:after="120"/>
      </w:pPr>
    </w:p>
    <w:p w14:paraId="4E94244C" w14:textId="77777777" w:rsidR="001C0D96" w:rsidRDefault="00F929F7">
      <w:pPr>
        <w:spacing w:before="80" w:after="120"/>
        <w:jc w:val="both"/>
      </w:pPr>
      <w:r>
        <w:t>Modern Operational Technology (OT) environments, defined as those newly designed, technology-integrated, and built without legacy constraints, represent a paradigm shift in industrial cybersecurity. Unlike legacy OT systems, these environments are increasingly architected with emerging technologies including AI-driven analytics, 5G-connected sensors, and cloud-based SCADA systems interfacing at the IT/OT boundary. This integration introduces novel cybersecurity risks that existing frameworks, primarily desi</w:t>
      </w:r>
      <w:r>
        <w:t>gned for traditional or legacy OT, fail to adequately address.</w:t>
      </w:r>
    </w:p>
    <w:p w14:paraId="24414BC2" w14:textId="77777777" w:rsidR="001C0D96" w:rsidRDefault="00F929F7">
      <w:pPr>
        <w:spacing w:before="80" w:after="120"/>
        <w:jc w:val="both"/>
      </w:pPr>
      <w:r>
        <w:t>This research investigates the cybersecurity governance challenges specific to modern OT environments, with a particular focus on risks introduced by emerging technologies at the IT/OT boundary. Using a mixed-methods approach that incorporates systematic literature review, expert interviews, and a real-world case study, the research aims to develop and validate a comprehensive governance framework that addresses these challenges at both the organizational and national policy levels.</w:t>
      </w:r>
    </w:p>
    <w:p w14:paraId="78040446" w14:textId="77777777" w:rsidR="001C0D96" w:rsidRDefault="00F929F7">
      <w:pPr>
        <w:spacing w:before="80" w:after="120"/>
        <w:jc w:val="both"/>
      </w:pPr>
      <w:r>
        <w:t xml:space="preserve">The proposed framework directly supports two of Saudi Arabia's National Cybersecurity Authority (NCA) priority research areas: Operational Technology Systems Security and Cybersecurity-related Public </w:t>
      </w:r>
      <w:proofErr w:type="gramStart"/>
      <w:r>
        <w:t>Policies, and</w:t>
      </w:r>
      <w:proofErr w:type="gramEnd"/>
      <w:r>
        <w:t xml:space="preserve"> contributes an original academic contribution in a domain with limited peer-reviewed literature.</w:t>
      </w:r>
    </w:p>
    <w:p w14:paraId="4D24F77A" w14:textId="77777777" w:rsidR="001C0D96" w:rsidRDefault="001C0D96">
      <w:pPr>
        <w:spacing w:after="80"/>
      </w:pPr>
    </w:p>
    <w:p w14:paraId="1E36DB83" w14:textId="77777777" w:rsidR="001C0D96" w:rsidRDefault="00F929F7">
      <w:r>
        <w:br w:type="page"/>
      </w:r>
    </w:p>
    <w:p w14:paraId="3990026A" w14:textId="495BB071" w:rsidR="001C0D96" w:rsidRDefault="00F929F7">
      <w:pPr>
        <w:pStyle w:val="Heading1"/>
      </w:pPr>
      <w:r>
        <w:lastRenderedPageBreak/>
        <w:t>2. Introduction and Background</w:t>
      </w:r>
      <w:r w:rsidR="009B0E98">
        <w:rPr>
          <w:rFonts w:hint="cs"/>
          <w:rtl/>
        </w:rPr>
        <w:t xml:space="preserve"> المقدمة - </w:t>
      </w:r>
    </w:p>
    <w:p w14:paraId="64B95D78" w14:textId="77777777" w:rsidR="001C0D96" w:rsidRDefault="001C0D96">
      <w:pPr>
        <w:pBdr>
          <w:bottom w:val="single" w:sz="6" w:space="1" w:color="2E75B6"/>
        </w:pBdr>
        <w:spacing w:before="120" w:after="120"/>
      </w:pPr>
    </w:p>
    <w:p w14:paraId="3643B0F1" w14:textId="77777777" w:rsidR="001C0D96" w:rsidRDefault="00F929F7">
      <w:pPr>
        <w:pStyle w:val="Heading2"/>
      </w:pPr>
      <w:r>
        <w:t>2.1 The Rise of Modern OT Environments</w:t>
      </w:r>
    </w:p>
    <w:p w14:paraId="5DE7DA0D" w14:textId="77777777" w:rsidR="001C0D96" w:rsidRDefault="00F929F7">
      <w:pPr>
        <w:spacing w:before="80" w:after="120"/>
        <w:jc w:val="both"/>
      </w:pPr>
      <w:r>
        <w:t>Operational Technology (OT), which refers to the hardware and software that monitors and controls physical processes in industrial environments, has historically operated in isolation from IT systems. The traditional air-gapped, proprietary OT environment prioritized availability and safety over confidentiality, operating under the assumption that physical separation provided adequate security.</w:t>
      </w:r>
    </w:p>
    <w:p w14:paraId="22A51006" w14:textId="77777777" w:rsidR="001C0D96" w:rsidRDefault="00F929F7">
      <w:pPr>
        <w:spacing w:before="80" w:after="120"/>
        <w:jc w:val="both"/>
      </w:pPr>
      <w:r>
        <w:t>This paradigm is rapidly changing. A new generation of OT environments, including greenfield installations and recently modernized plants, are being architected with digital-first principles from inception. Unlike their legacy counterparts, these modern OT environments integrate cloud connectivity, AI-powered process monitoring, and 5G-enabled sensor networks as foundational design choices rather than retrofitted additions.</w:t>
      </w:r>
    </w:p>
    <w:p w14:paraId="31646DDA" w14:textId="77777777" w:rsidR="001C0D96" w:rsidRDefault="00F929F7">
      <w:pPr>
        <w:spacing w:before="80" w:after="120"/>
        <w:jc w:val="both"/>
      </w:pPr>
      <w:r>
        <w:t>Saudi Arabia's Vision 2030 industrial transformation program has accelerated this trend significantly, with large-scale infrastructure projects being built simultaneously with their digital architecture. The NEOM development, which encompasses hydrogen production, renewable energy, and smart city infrastructure, exemplifies this new generation of OT-intensive, digitally integrated industrial environments.</w:t>
      </w:r>
    </w:p>
    <w:p w14:paraId="74D71C75" w14:textId="77777777" w:rsidR="001C0D96" w:rsidRDefault="00F929F7">
      <w:pPr>
        <w:pStyle w:val="Heading2"/>
      </w:pPr>
      <w:r>
        <w:t>2.2 The Problem Space</w:t>
      </w:r>
    </w:p>
    <w:p w14:paraId="7B6BB3A7" w14:textId="77777777" w:rsidR="001C0D96" w:rsidRDefault="00F929F7">
      <w:pPr>
        <w:spacing w:before="80" w:after="120"/>
        <w:jc w:val="both"/>
      </w:pPr>
      <w:r>
        <w:t>The cybersecurity challenge in modern OT environments is fundamentally different from that in legacy OT. Three interconnected problems define this space:</w:t>
      </w:r>
    </w:p>
    <w:p w14:paraId="6DD8174F" w14:textId="77777777" w:rsidR="001C0D96" w:rsidRDefault="00F929F7">
      <w:pPr>
        <w:pStyle w:val="ListParagraph"/>
        <w:numPr>
          <w:ilvl w:val="0"/>
          <w:numId w:val="2"/>
        </w:numPr>
        <w:spacing w:before="60" w:after="60"/>
      </w:pPr>
      <w:r>
        <w:t>Existing frameworks are legacy-oriented: The dominant OT cybersecurity standards, namely IEC 62443, NIST SP 800-82, and NERC CIP, were developed primarily in response to incidents and vulnerabilities in mature, legacy OT installations. Their assumptions about network topology, asset lifecycle, and threat models do not map cleanly onto environments designed with cloud-native and AI-integrated architectures.</w:t>
      </w:r>
    </w:p>
    <w:p w14:paraId="16032577" w14:textId="77777777" w:rsidR="001C0D96" w:rsidRDefault="00F929F7">
      <w:pPr>
        <w:pStyle w:val="ListParagraph"/>
        <w:numPr>
          <w:ilvl w:val="0"/>
          <w:numId w:val="2"/>
        </w:numPr>
        <w:spacing w:before="60" w:after="60"/>
      </w:pPr>
      <w:r>
        <w:t>The IT/OT boundary has become the primary attack surface: Modern OT environments, while maintaining architectural separation through DMZ and zone-conduit models, enable bidirectional data flows between IT and OT layers for operational efficiency. Emerging technologies such as AI analytics platforms, digital twins, and cloud SCADA sit in or adjacent to this boundary, creating new vectors for lateral movement from IT into OT.</w:t>
      </w:r>
    </w:p>
    <w:p w14:paraId="11C11223" w14:textId="77777777" w:rsidR="001C0D96" w:rsidRDefault="00F929F7">
      <w:pPr>
        <w:pStyle w:val="ListParagraph"/>
        <w:numPr>
          <w:ilvl w:val="0"/>
          <w:numId w:val="2"/>
        </w:numPr>
        <w:spacing w:before="60" w:after="60"/>
      </w:pPr>
      <w:r>
        <w:t>Governance models have not kept pace: As OT and IT security converge, organizational governance structures, including roles, responsibilities, policies, and escalation paths, remain poorly defined. The CISO function, traditionally IT-oriented, must now govern OT risks it was not originally designed to manage. No widely accepted governance model exists for this integrated responsibility.</w:t>
      </w:r>
    </w:p>
    <w:p w14:paraId="36E17C44" w14:textId="77777777" w:rsidR="001C0D96" w:rsidRDefault="00F929F7">
      <w:pPr>
        <w:pStyle w:val="Heading2"/>
      </w:pPr>
      <w:r>
        <w:t>2.3 National Strategic Context</w:t>
      </w:r>
    </w:p>
    <w:p w14:paraId="03691559" w14:textId="77777777" w:rsidR="001C0D96" w:rsidRDefault="00F929F7">
      <w:pPr>
        <w:spacing w:before="80" w:after="120"/>
        <w:jc w:val="both"/>
      </w:pPr>
      <w:r>
        <w:t xml:space="preserve">The Saudi National Cybersecurity Authority (NCA) has identified Operational Technology Systems Security and Cybersecurity-related Public Policies as two of its four priority research domains. This research sits at the intersection of both, contributing not only to organizational practice but to the national policy conversation on how Saudi Arabia should govern cybersecurity </w:t>
      </w:r>
      <w:r>
        <w:lastRenderedPageBreak/>
        <w:t>in its rapidly expanding OT infrastructure, including critical projects in energy, hydrogen, water, and smart cities.</w:t>
      </w:r>
    </w:p>
    <w:p w14:paraId="7164A63C" w14:textId="77777777" w:rsidR="001C0D96" w:rsidRDefault="001C0D96">
      <w:pPr>
        <w:spacing w:after="80"/>
      </w:pPr>
    </w:p>
    <w:p w14:paraId="3D4A40C3" w14:textId="77777777" w:rsidR="001C0D96" w:rsidRDefault="00F929F7">
      <w:r>
        <w:br w:type="page"/>
      </w:r>
    </w:p>
    <w:p w14:paraId="64A34125" w14:textId="137DA240" w:rsidR="001C0D96" w:rsidRDefault="00F929F7">
      <w:pPr>
        <w:pStyle w:val="Heading1"/>
      </w:pPr>
      <w:r>
        <w:lastRenderedPageBreak/>
        <w:t>3. Research Question and Objectives</w:t>
      </w:r>
      <w:r w:rsidR="009B0E98">
        <w:rPr>
          <w:rFonts w:hint="cs"/>
          <w:rtl/>
        </w:rPr>
        <w:t xml:space="preserve"> أسئلة و أهداف البحث - </w:t>
      </w:r>
    </w:p>
    <w:p w14:paraId="66070D25" w14:textId="77777777" w:rsidR="001C0D96" w:rsidRDefault="001C0D96">
      <w:pPr>
        <w:pBdr>
          <w:bottom w:val="single" w:sz="6" w:space="1" w:color="2E75B6"/>
        </w:pBdr>
        <w:spacing w:before="120" w:after="120"/>
      </w:pPr>
    </w:p>
    <w:p w14:paraId="37902314" w14:textId="77777777" w:rsidR="001C0D96" w:rsidRDefault="00F929F7">
      <w:pPr>
        <w:pStyle w:val="Heading2"/>
      </w:pPr>
      <w:r>
        <w:t>3.1 Primary Research Question</w:t>
      </w:r>
    </w:p>
    <w:p w14:paraId="2F9E798D"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1C0D96" w14:paraId="1A8597AD"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20" w:type="dxa"/>
              <w:left w:w="180" w:type="dxa"/>
              <w:bottom w:w="120" w:type="dxa"/>
              <w:right w:w="180" w:type="dxa"/>
            </w:tcMar>
          </w:tcPr>
          <w:p w14:paraId="6DA9F468" w14:textId="77777777" w:rsidR="001C0D96" w:rsidRDefault="00F929F7">
            <w:pPr>
              <w:spacing w:before="60" w:after="60"/>
            </w:pPr>
            <w:r>
              <w:rPr>
                <w:b/>
                <w:bCs/>
                <w:color w:val="1F4E79"/>
              </w:rPr>
              <w:t>How should cybersecurity governance be structured in modern Operational Technology environments,</w:t>
            </w:r>
          </w:p>
          <w:p w14:paraId="2C121FFC" w14:textId="77777777" w:rsidR="001C0D96" w:rsidRDefault="00F929F7">
            <w:pPr>
              <w:spacing w:before="60" w:after="60"/>
            </w:pPr>
            <w:r>
              <w:rPr>
                <w:b/>
                <w:bCs/>
                <w:color w:val="1F4E79"/>
              </w:rPr>
              <w:t>and what framework is needed to manage the risks introduced by emerging technologies</w:t>
            </w:r>
          </w:p>
          <w:p w14:paraId="4E61D718" w14:textId="77777777" w:rsidR="001C0D96" w:rsidRDefault="00F929F7">
            <w:pPr>
              <w:spacing w:before="60" w:after="60"/>
            </w:pPr>
            <w:r>
              <w:rPr>
                <w:b/>
                <w:bCs/>
                <w:color w:val="1F4E79"/>
              </w:rPr>
              <w:t>at the IT/OT boundary, with implications for both organizational practice and national policy?</w:t>
            </w:r>
          </w:p>
        </w:tc>
      </w:tr>
    </w:tbl>
    <w:p w14:paraId="1218872A" w14:textId="77777777" w:rsidR="001C0D96" w:rsidRDefault="001C0D96">
      <w:pPr>
        <w:spacing w:after="80"/>
      </w:pPr>
    </w:p>
    <w:p w14:paraId="52061C64" w14:textId="77777777" w:rsidR="001C0D96" w:rsidRDefault="00F929F7">
      <w:pPr>
        <w:pStyle w:val="Heading2"/>
      </w:pPr>
      <w:r>
        <w:t>3.2 Sub-Questions</w:t>
      </w:r>
    </w:p>
    <w:p w14:paraId="4F7C02C4" w14:textId="77777777" w:rsidR="001C0D96" w:rsidRDefault="00F929F7">
      <w:pPr>
        <w:pStyle w:val="ListParagraph"/>
        <w:numPr>
          <w:ilvl w:val="0"/>
          <w:numId w:val="3"/>
        </w:numPr>
        <w:spacing w:before="60" w:after="60"/>
      </w:pPr>
      <w:r>
        <w:t>What distinguishes the cybersecurity risk profile of modern OT environments from legacy OT, and what governance gaps does this create?</w:t>
      </w:r>
    </w:p>
    <w:p w14:paraId="6382FC42" w14:textId="77777777" w:rsidR="001C0D96" w:rsidRDefault="00F929F7">
      <w:pPr>
        <w:pStyle w:val="ListParagraph"/>
        <w:numPr>
          <w:ilvl w:val="0"/>
          <w:numId w:val="3"/>
        </w:numPr>
        <w:spacing w:before="60" w:after="60"/>
      </w:pPr>
      <w:r>
        <w:t>How does the integration of emerging technologies at the IT/OT boundary, specifically AI analytics, 5G connectivity, and cloud-based systems, introduce or amplify cybersecurity risks to OT environments, even when architectural separation is maintained?</w:t>
      </w:r>
    </w:p>
    <w:p w14:paraId="33144EC3" w14:textId="77777777" w:rsidR="001C0D96" w:rsidRDefault="00F929F7">
      <w:pPr>
        <w:pStyle w:val="ListParagraph"/>
        <w:numPr>
          <w:ilvl w:val="0"/>
          <w:numId w:val="3"/>
        </w:numPr>
        <w:spacing w:before="60" w:after="60"/>
      </w:pPr>
      <w:r>
        <w:t>What governance structures and policies are currently applied to OT cybersecurity, and where do they fall short in modern environments?</w:t>
      </w:r>
    </w:p>
    <w:p w14:paraId="2D1E6010" w14:textId="77777777" w:rsidR="001C0D96" w:rsidRDefault="00F929F7">
      <w:pPr>
        <w:pStyle w:val="ListParagraph"/>
        <w:numPr>
          <w:ilvl w:val="0"/>
          <w:numId w:val="3"/>
        </w:numPr>
        <w:spacing w:before="60" w:after="60"/>
      </w:pPr>
      <w:r>
        <w:t>What framework can be proposed and validated to guide both organizational practice and national policy in securing modern OT environments?</w:t>
      </w:r>
    </w:p>
    <w:p w14:paraId="01581BC2" w14:textId="77777777" w:rsidR="001C0D96" w:rsidRDefault="001C0D96">
      <w:pPr>
        <w:spacing w:after="80"/>
      </w:pPr>
    </w:p>
    <w:p w14:paraId="2C2DA211" w14:textId="77777777" w:rsidR="001C0D96" w:rsidRDefault="00F929F7">
      <w:pPr>
        <w:pStyle w:val="Heading2"/>
      </w:pPr>
      <w:r>
        <w:t>3.3 Research Objectives</w:t>
      </w:r>
    </w:p>
    <w:p w14:paraId="6DAF2FAE" w14:textId="77777777" w:rsidR="001C0D96" w:rsidRDefault="00F929F7">
      <w:pPr>
        <w:pStyle w:val="ListParagraph"/>
        <w:numPr>
          <w:ilvl w:val="0"/>
          <w:numId w:val="2"/>
        </w:numPr>
        <w:spacing w:before="60" w:after="60"/>
      </w:pPr>
      <w:r>
        <w:t>To conduct a systematic literature review of OT cybersecurity governance, emerging technology integration risks, and IT/OT boundary security</w:t>
      </w:r>
    </w:p>
    <w:p w14:paraId="74C512D1" w14:textId="77777777" w:rsidR="001C0D96" w:rsidRDefault="00F929F7">
      <w:pPr>
        <w:pStyle w:val="ListParagraph"/>
        <w:numPr>
          <w:ilvl w:val="0"/>
          <w:numId w:val="2"/>
        </w:numPr>
        <w:spacing w:before="60" w:after="60"/>
      </w:pPr>
      <w:r>
        <w:t>To identify and characterize the specific cybersecurity risk profile of modern OT environments through expert interviews and case analysis</w:t>
      </w:r>
    </w:p>
    <w:p w14:paraId="476FD409" w14:textId="5F9E502D" w:rsidR="001C0D96" w:rsidRDefault="00F929F7">
      <w:pPr>
        <w:pStyle w:val="ListParagraph"/>
        <w:numPr>
          <w:ilvl w:val="0"/>
          <w:numId w:val="2"/>
        </w:numPr>
        <w:spacing w:before="60" w:after="60"/>
      </w:pPr>
      <w:r>
        <w:t xml:space="preserve">To </w:t>
      </w:r>
      <w:r w:rsidR="00633D64">
        <w:t>analyze</w:t>
      </w:r>
      <w:r>
        <w:t xml:space="preserve"> the adequacy of current governance frameworks (IEC 62443, NIST SP 800-82, NCA guidelines) against the needs of modern OT environments</w:t>
      </w:r>
    </w:p>
    <w:p w14:paraId="28263DB4" w14:textId="77777777" w:rsidR="001C0D96" w:rsidRDefault="00F929F7">
      <w:pPr>
        <w:pStyle w:val="ListParagraph"/>
        <w:numPr>
          <w:ilvl w:val="0"/>
          <w:numId w:val="2"/>
        </w:numPr>
        <w:spacing w:before="60" w:after="60"/>
      </w:pPr>
      <w:r>
        <w:t>To develop an original governance framework addressing the identified gaps, with recommendations applicable at both organizational and national policy levels</w:t>
      </w:r>
    </w:p>
    <w:p w14:paraId="5E19F376" w14:textId="77777777" w:rsidR="001C0D96" w:rsidRDefault="00F929F7">
      <w:pPr>
        <w:pStyle w:val="ListParagraph"/>
        <w:numPr>
          <w:ilvl w:val="0"/>
          <w:numId w:val="2"/>
        </w:numPr>
        <w:spacing w:before="60" w:after="60"/>
      </w:pPr>
      <w:r>
        <w:t>To validate the proposed framework through expert review and empirical assessment</w:t>
      </w:r>
    </w:p>
    <w:p w14:paraId="249DE43D" w14:textId="77777777" w:rsidR="001C0D96" w:rsidRDefault="001C0D96">
      <w:pPr>
        <w:spacing w:after="80"/>
      </w:pPr>
    </w:p>
    <w:p w14:paraId="5849C0FD" w14:textId="77777777" w:rsidR="001C0D96" w:rsidRDefault="00F929F7">
      <w:r>
        <w:br w:type="page"/>
      </w:r>
    </w:p>
    <w:p w14:paraId="207D9908" w14:textId="0AC479DA" w:rsidR="001C0D96" w:rsidRDefault="00F929F7">
      <w:pPr>
        <w:pStyle w:val="Heading1"/>
      </w:pPr>
      <w:r>
        <w:lastRenderedPageBreak/>
        <w:t>4. Research Scope</w:t>
      </w:r>
      <w:r w:rsidR="009B0E98">
        <w:rPr>
          <w:rFonts w:hint="cs"/>
          <w:rtl/>
        </w:rPr>
        <w:t xml:space="preserve">نطاق البحث - </w:t>
      </w:r>
    </w:p>
    <w:p w14:paraId="0D6489B2" w14:textId="77777777" w:rsidR="001C0D96" w:rsidRDefault="001C0D96">
      <w:pPr>
        <w:pBdr>
          <w:bottom w:val="single" w:sz="6" w:space="1" w:color="2E75B6"/>
        </w:pBdr>
        <w:spacing w:before="120" w:after="120"/>
      </w:pPr>
    </w:p>
    <w:p w14:paraId="65033792" w14:textId="77777777" w:rsidR="001C0D96" w:rsidRDefault="00F929F7">
      <w:pPr>
        <w:pStyle w:val="Heading2"/>
      </w:pPr>
      <w:r>
        <w:t>4.1 Geographic Scope</w:t>
      </w:r>
    </w:p>
    <w:p w14:paraId="4777C7F0" w14:textId="6EC3D212" w:rsidR="001C0D96" w:rsidRDefault="00F929F7">
      <w:pPr>
        <w:spacing w:before="80" w:after="120"/>
        <w:jc w:val="both"/>
      </w:pPr>
      <w:r>
        <w:t xml:space="preserve">The primary geographic focus of this research is Saudi Arabia, reflecting both the researcher's professional context and the national strategic significance of OT cybersecurity governance within Vision 2030 infrastructure </w:t>
      </w:r>
      <w:r w:rsidR="00633D64">
        <w:t>programs</w:t>
      </w:r>
      <w:r>
        <w:t xml:space="preserve">. Saudi Arabia represents a uniquely relevant setting: it is simultaneously home to the world's largest energy OT installations (Aramco, SABIC) and a rapidly growing portfolio of modern, </w:t>
      </w:r>
      <w:r w:rsidR="00633D64">
        <w:t>digitally integrated</w:t>
      </w:r>
      <w:r>
        <w:t xml:space="preserve"> OT environments in emerging sectors including green hydrogen, smart cities, and renewable energy.</w:t>
      </w:r>
    </w:p>
    <w:p w14:paraId="593E0B3E" w14:textId="025B3A90" w:rsidR="001C0D96" w:rsidRDefault="00F929F7">
      <w:pPr>
        <w:spacing w:before="80" w:after="120"/>
        <w:jc w:val="both"/>
      </w:pPr>
      <w:r>
        <w:t xml:space="preserve">The quantitative survey will extend beyond Saudi Arabia to include GCC countries and international OT security professionals, ensuring findings are </w:t>
      </w:r>
      <w:r w:rsidR="009B0E98">
        <w:t>generalizable</w:t>
      </w:r>
      <w:r>
        <w:t xml:space="preserve"> beyond a single national context. Expert interviews will similarly draw from both Saudi/GCC practitioners and international OT security specialists to provide comparative perspective.</w:t>
      </w:r>
    </w:p>
    <w:p w14:paraId="3C42272F" w14:textId="77777777" w:rsidR="001C0D96" w:rsidRDefault="00F929F7">
      <w:pPr>
        <w:pStyle w:val="Heading2"/>
      </w:pPr>
      <w:r>
        <w:t>4.2 Time Scope</w:t>
      </w:r>
    </w:p>
    <w:p w14:paraId="50E611DC" w14:textId="77777777" w:rsidR="001C0D96" w:rsidRDefault="00F929F7">
      <w:pPr>
        <w:spacing w:before="80" w:after="120"/>
        <w:jc w:val="both"/>
      </w:pPr>
      <w:r>
        <w:t>The research focuses on the current state of OT cybersecurity governance as of 2025 onward. This temporal boundary is deliberate: the convergence of IT and OT, and the integration of AI, 5G, and cloud into OT environments, has accelerated markedly since 2020. Research prior to this period may not reflect the current threat landscape or architectural realities of modern OT environments.</w:t>
      </w:r>
    </w:p>
    <w:p w14:paraId="25481252" w14:textId="77777777" w:rsidR="001C0D96" w:rsidRDefault="00F929F7">
      <w:pPr>
        <w:spacing w:before="80" w:after="120"/>
        <w:jc w:val="both"/>
      </w:pPr>
      <w:r>
        <w:t>The study period for data collection spans 2025-2026, with the governance framework reflecting best practice as defined at the time of research. The framework will be designed with adaptability principles to remain relevant as the technology landscape evolves.</w:t>
      </w:r>
    </w:p>
    <w:p w14:paraId="58F38EC2" w14:textId="546C3EA9" w:rsidR="001C0D96" w:rsidRDefault="00F929F7">
      <w:pPr>
        <w:pStyle w:val="Heading2"/>
      </w:pPr>
      <w:r>
        <w:t>4.3 Target Groups and Audience</w:t>
      </w:r>
      <w:r w:rsidR="009B0E98">
        <w:rPr>
          <w:rFonts w:hint="cs"/>
          <w:rtl/>
        </w:rPr>
        <w:t xml:space="preserve"> الفئة المستهدفة - </w:t>
      </w:r>
    </w:p>
    <w:p w14:paraId="12B88072" w14:textId="77777777" w:rsidR="001C0D96" w:rsidRDefault="00F929F7">
      <w:pPr>
        <w:spacing w:before="80" w:after="120"/>
        <w:jc w:val="both"/>
      </w:pPr>
      <w:r>
        <w:t>This research engages three distinct target groups across its data collection and impact dimensions:</w:t>
      </w:r>
    </w:p>
    <w:p w14:paraId="4B245255"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0A50419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B775434" w14:textId="77777777" w:rsidR="001C0D96" w:rsidRDefault="00F929F7">
            <w:r>
              <w:rPr>
                <w:b/>
                <w:bCs/>
                <w:color w:val="FFFFFF"/>
              </w:rPr>
              <w:t>Group</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BE63A1D" w14:textId="77777777" w:rsidR="001C0D96" w:rsidRDefault="00F929F7">
            <w:r>
              <w:rPr>
                <w:b/>
                <w:bCs/>
                <w:color w:val="FFFFFF"/>
              </w:rPr>
              <w:t>Description</w:t>
            </w:r>
          </w:p>
        </w:tc>
      </w:tr>
      <w:tr w:rsidR="001C0D96" w14:paraId="2041F9FA"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F18D55" w14:textId="77777777" w:rsidR="001C0D96" w:rsidRDefault="00F929F7">
            <w:r>
              <w:rPr>
                <w:sz w:val="21"/>
                <w:szCs w:val="21"/>
              </w:rPr>
              <w:t>Primary Research Participants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C7CE4C" w14:textId="77777777" w:rsidR="001C0D96" w:rsidRDefault="00F929F7">
            <w:r>
              <w:rPr>
                <w:sz w:val="21"/>
                <w:szCs w:val="21"/>
              </w:rPr>
              <w:t>OT security professionals including CISOs, OT Security Managers, ICS/SCADA engineers, and IT/OT governance leads across energy, utilities, manufacturing, and critical infrastructure sectors</w:t>
            </w:r>
          </w:p>
        </w:tc>
      </w:tr>
      <w:tr w:rsidR="001C0D96" w14:paraId="2117EFE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E1FA06C" w14:textId="77777777" w:rsidR="001C0D96" w:rsidRDefault="00F929F7">
            <w:r>
              <w:rPr>
                <w:sz w:val="21"/>
                <w:szCs w:val="21"/>
              </w:rPr>
              <w:t>Secondary Research Participants</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E5A1657" w14:textId="77777777" w:rsidR="001C0D96" w:rsidRDefault="00F929F7">
            <w:r>
              <w:rPr>
                <w:sz w:val="21"/>
                <w:szCs w:val="21"/>
              </w:rPr>
              <w:t>National cybersecurity authority representatives, policymakers, and regulatory bodies with responsibility for OT security standards (NCA Saudi Arabia and equivalents)</w:t>
            </w:r>
          </w:p>
        </w:tc>
      </w:tr>
      <w:tr w:rsidR="001C0D96" w14:paraId="494429F6"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5B6B21" w14:textId="77777777" w:rsidR="001C0D96" w:rsidRDefault="00F929F7">
            <w:r>
              <w:rPr>
                <w:sz w:val="21"/>
                <w:szCs w:val="21"/>
              </w:rPr>
              <w:t>Intended Beneficiaries: Practice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298E49" w14:textId="7A38A31C" w:rsidR="001C0D96" w:rsidRDefault="00633D64">
            <w:r>
              <w:rPr>
                <w:sz w:val="21"/>
                <w:szCs w:val="21"/>
              </w:rPr>
              <w:t>Organizations</w:t>
            </w:r>
            <w:r w:rsidR="00F929F7">
              <w:rPr>
                <w:sz w:val="21"/>
                <w:szCs w:val="21"/>
              </w:rPr>
              <w:t xml:space="preserve"> operating or designing modern OT </w:t>
            </w:r>
            <w:proofErr w:type="gramStart"/>
            <w:r w:rsidR="00F929F7">
              <w:rPr>
                <w:sz w:val="21"/>
                <w:szCs w:val="21"/>
              </w:rPr>
              <w:t>environments who</w:t>
            </w:r>
            <w:proofErr w:type="gramEnd"/>
            <w:r w:rsidR="00F929F7">
              <w:rPr>
                <w:sz w:val="21"/>
                <w:szCs w:val="21"/>
              </w:rPr>
              <w:t xml:space="preserve"> require a practical, validated governance framework for IT/OT security integration</w:t>
            </w:r>
          </w:p>
        </w:tc>
      </w:tr>
      <w:tr w:rsidR="001C0D96" w14:paraId="11338A3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70A98FC" w14:textId="77777777" w:rsidR="001C0D96" w:rsidRDefault="00F929F7">
            <w:r>
              <w:rPr>
                <w:sz w:val="21"/>
                <w:szCs w:val="21"/>
              </w:rPr>
              <w:lastRenderedPageBreak/>
              <w:t>Intended Beneficiaries: Policy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C9BD47C" w14:textId="77777777" w:rsidR="001C0D96" w:rsidRDefault="00F929F7">
            <w:r>
              <w:rPr>
                <w:sz w:val="21"/>
                <w:szCs w:val="21"/>
              </w:rPr>
              <w:t xml:space="preserve">National cybersecurity authorities developing OT security regulations, particularly in rapidly </w:t>
            </w:r>
            <w:proofErr w:type="spellStart"/>
            <w:r>
              <w:rPr>
                <w:sz w:val="21"/>
                <w:szCs w:val="21"/>
              </w:rPr>
              <w:t>industrialising</w:t>
            </w:r>
            <w:proofErr w:type="spellEnd"/>
            <w:r>
              <w:rPr>
                <w:sz w:val="21"/>
                <w:szCs w:val="21"/>
              </w:rPr>
              <w:t xml:space="preserve"> economies with modern OT infrastructure</w:t>
            </w:r>
          </w:p>
        </w:tc>
      </w:tr>
      <w:tr w:rsidR="001C0D96" w14:paraId="34BE4119"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4937EC" w14:textId="77777777" w:rsidR="001C0D96" w:rsidRDefault="00F929F7">
            <w:r>
              <w:rPr>
                <w:sz w:val="21"/>
                <w:szCs w:val="21"/>
              </w:rPr>
              <w:t>Academic Audience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F2FC19" w14:textId="77777777" w:rsidR="001C0D96" w:rsidRDefault="00F929F7">
            <w:r>
              <w:rPr>
                <w:sz w:val="21"/>
                <w:szCs w:val="21"/>
              </w:rPr>
              <w:t>Researchers in ICS/OT security, cybersecurity governance, critical infrastructure protection, and industrial IoT, contributing to a nascent but growing body of literature</w:t>
            </w:r>
          </w:p>
        </w:tc>
      </w:tr>
    </w:tbl>
    <w:p w14:paraId="01D41E66" w14:textId="77777777" w:rsidR="001C0D96" w:rsidRDefault="001C0D96">
      <w:pPr>
        <w:spacing w:after="80"/>
      </w:pPr>
    </w:p>
    <w:p w14:paraId="419ED904" w14:textId="77777777" w:rsidR="001C0D96" w:rsidRDefault="00F929F7">
      <w:r>
        <w:br w:type="page"/>
      </w:r>
    </w:p>
    <w:p w14:paraId="05F83D82" w14:textId="37FE9705" w:rsidR="001C0D96" w:rsidRDefault="00F929F7">
      <w:pPr>
        <w:pStyle w:val="Heading1"/>
      </w:pPr>
      <w:r>
        <w:lastRenderedPageBreak/>
        <w:t>5. Literature Review Strategy</w:t>
      </w:r>
      <w:r w:rsidR="00D40174">
        <w:rPr>
          <w:rFonts w:hint="cs"/>
          <w:rtl/>
        </w:rPr>
        <w:t xml:space="preserve"> الدراسات السابقة - </w:t>
      </w:r>
    </w:p>
    <w:p w14:paraId="1F5C608C" w14:textId="77777777" w:rsidR="001C0D96" w:rsidRDefault="001C0D96">
      <w:pPr>
        <w:pBdr>
          <w:bottom w:val="single" w:sz="6" w:space="1" w:color="2E75B6"/>
        </w:pBdr>
        <w:spacing w:before="120" w:after="120"/>
      </w:pPr>
    </w:p>
    <w:p w14:paraId="35F096CE" w14:textId="77777777" w:rsidR="001C0D96" w:rsidRDefault="00F929F7">
      <w:pPr>
        <w:spacing w:before="80" w:after="120"/>
        <w:jc w:val="both"/>
      </w:pPr>
      <w:r>
        <w:t>The literature review will be conducted systematically across four thematic clusters, each corresponding to a dimension of the research problem. Given the novelty of modern OT environments as a research context, the review will deliberately draw from adjacent fields where direct literature is sparse.</w:t>
      </w:r>
    </w:p>
    <w:p w14:paraId="69D61C4C" w14:textId="77777777" w:rsidR="001C0D96" w:rsidRDefault="00F929F7">
      <w:pPr>
        <w:pStyle w:val="Heading2"/>
      </w:pPr>
      <w:r>
        <w:t>5.1 Thematic Clusters</w:t>
      </w:r>
    </w:p>
    <w:p w14:paraId="56088A0B"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7F2E6B0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0A49A32" w14:textId="77777777" w:rsidR="001C0D96" w:rsidRDefault="00F929F7">
            <w:r>
              <w:rPr>
                <w:b/>
                <w:bCs/>
                <w:color w:val="FFFFFF"/>
              </w:rPr>
              <w:t>Thematic Cluster</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65BC2D9A" w14:textId="77777777" w:rsidR="001C0D96" w:rsidRDefault="00F929F7">
            <w:r>
              <w:rPr>
                <w:b/>
                <w:bCs/>
                <w:color w:val="FFFFFF"/>
              </w:rPr>
              <w:t>Key Topics &amp; Sources</w:t>
            </w:r>
          </w:p>
        </w:tc>
      </w:tr>
      <w:tr w:rsidR="001C0D96" w14:paraId="795A0767"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CDA019" w14:textId="77777777" w:rsidR="001C0D96" w:rsidRDefault="00F929F7">
            <w:r>
              <w:rPr>
                <w:sz w:val="21"/>
                <w:szCs w:val="21"/>
              </w:rPr>
              <w:t>OT Cybersecurity Fundamentals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83B8ED" w14:textId="77777777" w:rsidR="001C0D96" w:rsidRDefault="00F929F7">
            <w:r>
              <w:rPr>
                <w:sz w:val="21"/>
                <w:szCs w:val="21"/>
              </w:rPr>
              <w:t>IEC 62443, NIST SP 800-82, NERC CIP, Purdue Model, zone/conduit architecture, legacy vs. modern OT security</w:t>
            </w:r>
          </w:p>
        </w:tc>
      </w:tr>
      <w:tr w:rsidR="001C0D96" w14:paraId="63C81B3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DDAFA2D" w14:textId="77777777" w:rsidR="001C0D96" w:rsidRDefault="00F929F7">
            <w:r>
              <w:rPr>
                <w:sz w:val="21"/>
                <w:szCs w:val="21"/>
              </w:rPr>
              <w:t>IT/OT Convergence &amp; Boundary Security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4BC3849" w14:textId="77777777" w:rsidR="001C0D96" w:rsidRDefault="00F929F7">
            <w:r>
              <w:rPr>
                <w:sz w:val="21"/>
                <w:szCs w:val="21"/>
              </w:rPr>
              <w:t>IT/OT integration architectures, DMZ models, lateral movement risks, convergence governance, industrial network segmentation</w:t>
            </w:r>
          </w:p>
        </w:tc>
      </w:tr>
      <w:tr w:rsidR="001C0D96" w14:paraId="0C700423"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C9E162" w14:textId="77777777" w:rsidR="001C0D96" w:rsidRDefault="00F929F7">
            <w:r>
              <w:rPr>
                <w:sz w:val="21"/>
                <w:szCs w:val="21"/>
              </w:rPr>
              <w:t>Emerging Technologies in OT</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D8277E" w14:textId="77777777" w:rsidR="001C0D96" w:rsidRDefault="00F929F7">
            <w:r>
              <w:rPr>
                <w:sz w:val="21"/>
                <w:szCs w:val="21"/>
              </w:rPr>
              <w:t>AI/ML in industrial control systems, 5G in OT environments, cloud SCADA, digital twins, attack surface expansion</w:t>
            </w:r>
          </w:p>
        </w:tc>
      </w:tr>
      <w:tr w:rsidR="001C0D96" w14:paraId="71A83E72"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05B73D4" w14:textId="77777777" w:rsidR="001C0D96" w:rsidRDefault="00F929F7">
            <w:r>
              <w:rPr>
                <w:sz w:val="21"/>
                <w:szCs w:val="21"/>
              </w:rPr>
              <w:t>OT Cybersecurity Governance &amp; Policy</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F775FF0" w14:textId="77777777" w:rsidR="001C0D96" w:rsidRDefault="00F929F7">
            <w:r>
              <w:rPr>
                <w:sz w:val="21"/>
                <w:szCs w:val="21"/>
              </w:rPr>
              <w:t>CISO role in OT, governance models, national OT security policies, NCA frameworks, critical infrastructure protection policy</w:t>
            </w:r>
          </w:p>
        </w:tc>
      </w:tr>
    </w:tbl>
    <w:p w14:paraId="5E708776" w14:textId="77777777" w:rsidR="001C0D96" w:rsidRDefault="001C0D96">
      <w:pPr>
        <w:spacing w:after="80"/>
      </w:pPr>
    </w:p>
    <w:p w14:paraId="1E099103" w14:textId="77777777" w:rsidR="001C0D96" w:rsidRDefault="00F929F7">
      <w:pPr>
        <w:pStyle w:val="Heading2"/>
      </w:pPr>
      <w:r>
        <w:t>5.2 Identified Research Gaps</w:t>
      </w:r>
    </w:p>
    <w:p w14:paraId="700CDD14" w14:textId="77777777" w:rsidR="001C0D96" w:rsidRDefault="00F929F7">
      <w:pPr>
        <w:spacing w:before="80" w:after="120"/>
        <w:jc w:val="both"/>
      </w:pPr>
      <w:r>
        <w:t>Preliminary scoping confirms the following gaps in existing literature that this research will address:</w:t>
      </w:r>
    </w:p>
    <w:p w14:paraId="388A42ED" w14:textId="77777777" w:rsidR="001C0D96" w:rsidRDefault="00F929F7">
      <w:pPr>
        <w:pStyle w:val="ListParagraph"/>
        <w:numPr>
          <w:ilvl w:val="0"/>
          <w:numId w:val="2"/>
        </w:numPr>
        <w:spacing w:before="60" w:after="60"/>
      </w:pPr>
      <w:r>
        <w:t>No peer-reviewed framework specifically addresses cybersecurity governance in modern (non-legacy) OT environments</w:t>
      </w:r>
    </w:p>
    <w:p w14:paraId="2B363EEA" w14:textId="77777777" w:rsidR="001C0D96" w:rsidRDefault="00F929F7">
      <w:pPr>
        <w:pStyle w:val="ListParagraph"/>
        <w:numPr>
          <w:ilvl w:val="0"/>
          <w:numId w:val="2"/>
        </w:numPr>
        <w:spacing w:before="60" w:after="60"/>
      </w:pPr>
      <w:r>
        <w:t>Limited empirical research on cybersecurity risks introduced at the IT/OT boundary through AI, 5G, and cloud integration, as distinct from direct OT network compromise</w:t>
      </w:r>
    </w:p>
    <w:p w14:paraId="5B184F0E" w14:textId="77777777" w:rsidR="001C0D96" w:rsidRDefault="00F929F7">
      <w:pPr>
        <w:pStyle w:val="ListParagraph"/>
        <w:numPr>
          <w:ilvl w:val="0"/>
          <w:numId w:val="2"/>
        </w:numPr>
        <w:spacing w:before="60" w:after="60"/>
      </w:pPr>
      <w:r>
        <w:t>Governance models for integrated CISO responsibility over both IT and OT remain largely practitioner-driven with limited academic validation</w:t>
      </w:r>
    </w:p>
    <w:p w14:paraId="4E9DA0D4" w14:textId="77777777" w:rsidR="001C0D96" w:rsidRDefault="00F929F7">
      <w:pPr>
        <w:pStyle w:val="ListParagraph"/>
        <w:numPr>
          <w:ilvl w:val="0"/>
          <w:numId w:val="2"/>
        </w:numPr>
        <w:spacing w:before="60" w:after="60"/>
      </w:pPr>
      <w:r>
        <w:t>Saudi Arabia and GCC-specific OT cybersecurity governance literature is virtually absent from academic databases</w:t>
      </w:r>
    </w:p>
    <w:p w14:paraId="102FCF91" w14:textId="77777777" w:rsidR="001C0D96" w:rsidRDefault="00F929F7">
      <w:pPr>
        <w:pStyle w:val="Heading2"/>
      </w:pPr>
      <w:r>
        <w:t>5.3 Key Databases and Sources</w:t>
      </w:r>
    </w:p>
    <w:p w14:paraId="153AAC65" w14:textId="77777777" w:rsidR="001C0D96" w:rsidRDefault="00F929F7">
      <w:pPr>
        <w:pStyle w:val="ListParagraph"/>
        <w:numPr>
          <w:ilvl w:val="0"/>
          <w:numId w:val="2"/>
        </w:numPr>
        <w:spacing w:before="60" w:after="60"/>
      </w:pPr>
      <w:r>
        <w:t>Academic: IEEE Xplore, ACM Digital Library, ScienceDirect, Scopus, Google Scholar</w:t>
      </w:r>
    </w:p>
    <w:p w14:paraId="06F45372" w14:textId="77777777" w:rsidR="001C0D96" w:rsidRDefault="00F929F7">
      <w:pPr>
        <w:pStyle w:val="ListParagraph"/>
        <w:numPr>
          <w:ilvl w:val="0"/>
          <w:numId w:val="2"/>
        </w:numPr>
        <w:spacing w:before="60" w:after="60"/>
      </w:pPr>
      <w:r>
        <w:t>Standards bodies: ISA/IEC, NIST, ENISA, NCA Saudi Arabia</w:t>
      </w:r>
    </w:p>
    <w:p w14:paraId="6631EB18" w14:textId="77777777" w:rsidR="001C0D96" w:rsidRDefault="00F929F7">
      <w:pPr>
        <w:pStyle w:val="ListParagraph"/>
        <w:numPr>
          <w:ilvl w:val="0"/>
          <w:numId w:val="2"/>
        </w:numPr>
        <w:spacing w:before="60" w:after="60"/>
      </w:pPr>
      <w:r>
        <w:t xml:space="preserve">Industry reports: Gartner, Dragos, </w:t>
      </w:r>
      <w:proofErr w:type="spellStart"/>
      <w:r>
        <w:t>Claroty</w:t>
      </w:r>
      <w:proofErr w:type="spellEnd"/>
      <w:r>
        <w:t>, Fortinet OT security reports</w:t>
      </w:r>
    </w:p>
    <w:p w14:paraId="2414D7C7" w14:textId="77777777" w:rsidR="001C0D96" w:rsidRDefault="00F929F7">
      <w:pPr>
        <w:pStyle w:val="ListParagraph"/>
        <w:numPr>
          <w:ilvl w:val="0"/>
          <w:numId w:val="2"/>
        </w:numPr>
        <w:spacing w:before="60" w:after="60"/>
      </w:pPr>
      <w:r>
        <w:lastRenderedPageBreak/>
        <w:t>Policy sources: NCA National Cybersecurity Strategy, Saudi Vision 2030 digital infrastructure documents</w:t>
      </w:r>
    </w:p>
    <w:p w14:paraId="4EA6C1E3" w14:textId="77777777" w:rsidR="001C0D96" w:rsidRDefault="001C0D96">
      <w:pPr>
        <w:spacing w:after="80"/>
      </w:pPr>
    </w:p>
    <w:p w14:paraId="6E68FE13" w14:textId="77777777" w:rsidR="001C0D96" w:rsidRDefault="00F929F7">
      <w:r>
        <w:br w:type="page"/>
      </w:r>
    </w:p>
    <w:p w14:paraId="4CE80C39" w14:textId="74D7B2BF" w:rsidR="001C0D96" w:rsidRDefault="00F929F7">
      <w:pPr>
        <w:pStyle w:val="Heading1"/>
      </w:pPr>
      <w:r>
        <w:lastRenderedPageBreak/>
        <w:t>6. Research Variables</w:t>
      </w:r>
      <w:r w:rsidR="00D40174">
        <w:rPr>
          <w:rFonts w:hint="cs"/>
          <w:rtl/>
        </w:rPr>
        <w:t xml:space="preserve"> متغيرات البحث - </w:t>
      </w:r>
    </w:p>
    <w:p w14:paraId="7D29C124" w14:textId="77777777" w:rsidR="001C0D96" w:rsidRDefault="001C0D96">
      <w:pPr>
        <w:pBdr>
          <w:bottom w:val="single" w:sz="6" w:space="1" w:color="2E75B6"/>
        </w:pBdr>
        <w:spacing w:before="120" w:after="120"/>
      </w:pPr>
    </w:p>
    <w:p w14:paraId="45E38B7F" w14:textId="77777777" w:rsidR="001C0D96" w:rsidRDefault="00F929F7">
      <w:pPr>
        <w:spacing w:before="80" w:after="120"/>
        <w:jc w:val="both"/>
      </w:pPr>
      <w:r>
        <w:t>Given the mixed-methods design, which incorporates a quantitative survey component, this research operates with clearly defined independent, dependent, and moderating variables. These variables form the basis of the survey instrument and quantitative analysis phase.</w:t>
      </w:r>
    </w:p>
    <w:p w14:paraId="456B6612" w14:textId="77777777" w:rsidR="001C0D96" w:rsidRDefault="00F929F7">
      <w:pPr>
        <w:pStyle w:val="Heading2"/>
      </w:pPr>
      <w:r>
        <w:t>6.1 Independent Variables</w:t>
      </w:r>
    </w:p>
    <w:p w14:paraId="44379FB3" w14:textId="6E7ED02C" w:rsidR="001C0D96" w:rsidRDefault="00F929F7">
      <w:pPr>
        <w:spacing w:before="80" w:after="120"/>
        <w:jc w:val="both"/>
      </w:pPr>
      <w:r>
        <w:t xml:space="preserve">Independent variables represent the conditions and characteristics that the research </w:t>
      </w:r>
      <w:r w:rsidR="00D40174">
        <w:t>hypothesis</w:t>
      </w:r>
      <w:r>
        <w:t xml:space="preserve"> as influencing governance effectiveness:</w:t>
      </w:r>
    </w:p>
    <w:p w14:paraId="24F663BB"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1C121A17"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1B5CBE46" w14:textId="77777777" w:rsidR="001C0D96" w:rsidRDefault="00F929F7">
            <w:r>
              <w:rPr>
                <w:b/>
                <w:bCs/>
                <w:color w:val="FFFFFF"/>
              </w:rPr>
              <w:t>Independent Variable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FFC45E4" w14:textId="77777777" w:rsidR="001C0D96" w:rsidRDefault="00F929F7">
            <w:r>
              <w:rPr>
                <w:b/>
                <w:bCs/>
                <w:color w:val="FFFFFF"/>
              </w:rPr>
              <w:t>Definition</w:t>
            </w:r>
          </w:p>
        </w:tc>
      </w:tr>
      <w:tr w:rsidR="001C0D96" w14:paraId="25FCBBE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7FAB29" w14:textId="77777777" w:rsidR="001C0D96" w:rsidRDefault="00F929F7">
            <w:r>
              <w:rPr>
                <w:sz w:val="21"/>
                <w:szCs w:val="21"/>
              </w:rPr>
              <w:t>OT Environment Type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D636B0" w14:textId="77777777" w:rsidR="001C0D96" w:rsidRDefault="00F929F7">
            <w:r>
              <w:rPr>
                <w:sz w:val="21"/>
                <w:szCs w:val="21"/>
              </w:rPr>
              <w:t>Modern (newly built/digitally integrated) versus Legacy (retrofitted/traditional). This is the primary distinguishing variable of this research</w:t>
            </w:r>
          </w:p>
        </w:tc>
      </w:tr>
      <w:tr w:rsidR="001C0D96" w14:paraId="7ED15F2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6BC16F12" w14:textId="77777777" w:rsidR="001C0D96" w:rsidRDefault="00F929F7">
            <w:r>
              <w:rPr>
                <w:sz w:val="21"/>
                <w:szCs w:val="21"/>
              </w:rPr>
              <w:t>Emerging Technology Adoption Level</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6CF03CA" w14:textId="77777777" w:rsidR="001C0D96" w:rsidRDefault="00F929F7">
            <w:r>
              <w:rPr>
                <w:sz w:val="21"/>
                <w:szCs w:val="21"/>
              </w:rPr>
              <w:t>Degree of AI, 5G, and cloud integration within or adjacent to the OT environment (low / medium / high)</w:t>
            </w:r>
          </w:p>
        </w:tc>
      </w:tr>
      <w:tr w:rsidR="001C0D96" w14:paraId="16A72B30"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3B73D8" w14:textId="77777777" w:rsidR="001C0D96" w:rsidRDefault="00F929F7">
            <w:r>
              <w:rPr>
                <w:sz w:val="21"/>
                <w:szCs w:val="21"/>
              </w:rPr>
              <w:t>IT/OT Boundary Architecture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D7ECE1" w14:textId="77777777" w:rsidR="001C0D96" w:rsidRDefault="00F929F7">
            <w:r>
              <w:rPr>
                <w:sz w:val="21"/>
                <w:szCs w:val="21"/>
              </w:rPr>
              <w:t xml:space="preserve">Type of boundary model employed, including </w:t>
            </w:r>
            <w:proofErr w:type="gramStart"/>
            <w:r>
              <w:rPr>
                <w:sz w:val="21"/>
                <w:szCs w:val="21"/>
              </w:rPr>
              <w:t>air-gap</w:t>
            </w:r>
            <w:proofErr w:type="gramEnd"/>
            <w:r>
              <w:rPr>
                <w:sz w:val="21"/>
                <w:szCs w:val="21"/>
              </w:rPr>
              <w:t>, DMZ, unidirectional gateway, and full convergence</w:t>
            </w:r>
          </w:p>
        </w:tc>
      </w:tr>
      <w:tr w:rsidR="001C0D96" w14:paraId="7335926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63093CD" w14:textId="77777777" w:rsidR="001C0D96" w:rsidRDefault="00F929F7">
            <w:r>
              <w:rPr>
                <w:sz w:val="21"/>
                <w:szCs w:val="21"/>
              </w:rPr>
              <w:t>Sector</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0A2DE44" w14:textId="77777777" w:rsidR="001C0D96" w:rsidRDefault="00F929F7">
            <w:r>
              <w:rPr>
                <w:sz w:val="21"/>
                <w:szCs w:val="21"/>
              </w:rPr>
              <w:t>Energy, utilities, manufacturing, water, hydrogen, and smart city sectors, to test sector-specific variation</w:t>
            </w:r>
          </w:p>
        </w:tc>
      </w:tr>
      <w:tr w:rsidR="001C0D96" w14:paraId="60E154C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3F0A28" w14:textId="77777777" w:rsidR="001C0D96" w:rsidRDefault="00F929F7">
            <w:proofErr w:type="spellStart"/>
            <w:r>
              <w:rPr>
                <w:sz w:val="21"/>
                <w:szCs w:val="21"/>
              </w:rPr>
              <w:t>Organisational</w:t>
            </w:r>
            <w:proofErr w:type="spellEnd"/>
            <w:r>
              <w:rPr>
                <w:sz w:val="21"/>
                <w:szCs w:val="21"/>
              </w:rPr>
              <w:t xml:space="preserve"> Size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7580F7" w14:textId="77777777" w:rsidR="001C0D96" w:rsidRDefault="00F929F7">
            <w:r>
              <w:rPr>
                <w:sz w:val="21"/>
                <w:szCs w:val="21"/>
              </w:rPr>
              <w:t>Number of OT assets, operational sites, and security personnel, used as a proxy for governance complexity</w:t>
            </w:r>
          </w:p>
        </w:tc>
      </w:tr>
    </w:tbl>
    <w:p w14:paraId="3F7F2AD8" w14:textId="77777777" w:rsidR="001C0D96" w:rsidRDefault="001C0D96">
      <w:pPr>
        <w:spacing w:after="80"/>
      </w:pPr>
    </w:p>
    <w:p w14:paraId="0C9B694D" w14:textId="77777777" w:rsidR="001C0D96" w:rsidRDefault="00F929F7">
      <w:pPr>
        <w:pStyle w:val="Heading2"/>
      </w:pPr>
      <w:r>
        <w:t>6.2 Dependent Variables</w:t>
      </w:r>
    </w:p>
    <w:p w14:paraId="412377BA" w14:textId="77777777" w:rsidR="001C0D96" w:rsidRDefault="00F929F7">
      <w:pPr>
        <w:spacing w:before="80" w:after="120"/>
        <w:jc w:val="both"/>
      </w:pPr>
      <w:r>
        <w:t>Dependent variables represent the governance and security outcomes that the research seeks to explain and improve:</w:t>
      </w:r>
    </w:p>
    <w:p w14:paraId="08B502B9"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3522E06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336391E" w14:textId="77777777" w:rsidR="001C0D96" w:rsidRDefault="00F929F7">
            <w:r>
              <w:rPr>
                <w:b/>
                <w:bCs/>
                <w:color w:val="FFFFFF"/>
              </w:rPr>
              <w:t>Dependent Variable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7239F96E" w14:textId="77777777" w:rsidR="001C0D96" w:rsidRDefault="00F929F7">
            <w:r>
              <w:rPr>
                <w:b/>
                <w:bCs/>
                <w:color w:val="FFFFFF"/>
              </w:rPr>
              <w:t>Definition</w:t>
            </w:r>
          </w:p>
        </w:tc>
      </w:tr>
      <w:tr w:rsidR="001C0D96" w14:paraId="7562FDE3"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06C6FA" w14:textId="77777777" w:rsidR="001C0D96" w:rsidRDefault="00F929F7">
            <w:r>
              <w:rPr>
                <w:sz w:val="21"/>
                <w:szCs w:val="21"/>
              </w:rPr>
              <w:t>Cybersecurity Governance Effectiveness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0C2137" w14:textId="77777777" w:rsidR="001C0D96" w:rsidRDefault="00F929F7">
            <w:r>
              <w:rPr>
                <w:sz w:val="21"/>
                <w:szCs w:val="21"/>
              </w:rPr>
              <w:t>Self-assessed and benchmarked effectiveness of OT security governance structures, policies, and processes (measured via Likert scale)</w:t>
            </w:r>
          </w:p>
        </w:tc>
      </w:tr>
      <w:tr w:rsidR="001C0D96" w14:paraId="193ED5B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1B2F588" w14:textId="77777777" w:rsidR="001C0D96" w:rsidRDefault="00F929F7">
            <w:r>
              <w:rPr>
                <w:sz w:val="21"/>
                <w:szCs w:val="21"/>
              </w:rPr>
              <w:t>Perceived IT/OT Boundary Risk Level</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9825D36" w14:textId="77777777" w:rsidR="001C0D96" w:rsidRDefault="00F929F7">
            <w:r>
              <w:rPr>
                <w:sz w:val="21"/>
                <w:szCs w:val="21"/>
              </w:rPr>
              <w:t>Practitioner-assessed severity of cybersecurity risk at the IT/OT boundary, particularly from emerging technology integration</w:t>
            </w:r>
          </w:p>
        </w:tc>
      </w:tr>
      <w:tr w:rsidR="001C0D96" w14:paraId="1F49BB96"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9A3D2E" w14:textId="77777777" w:rsidR="001C0D96" w:rsidRDefault="00F929F7">
            <w:r>
              <w:rPr>
                <w:sz w:val="21"/>
                <w:szCs w:val="21"/>
              </w:rPr>
              <w:lastRenderedPageBreak/>
              <w:t>Framework Adequacy Score</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29C3D0" w14:textId="77777777" w:rsidR="001C0D96" w:rsidRDefault="00F929F7">
            <w:r>
              <w:rPr>
                <w:sz w:val="21"/>
                <w:szCs w:val="21"/>
              </w:rPr>
              <w:t>Degree to which existing standards (IEC 62443, NIST SP 800-82) are perceived to adequately address governance needs in the respondent's OT environment</w:t>
            </w:r>
          </w:p>
        </w:tc>
      </w:tr>
    </w:tbl>
    <w:p w14:paraId="6AAE25BB" w14:textId="77777777" w:rsidR="001C0D96" w:rsidRDefault="001C0D96">
      <w:pPr>
        <w:spacing w:after="80"/>
      </w:pPr>
    </w:p>
    <w:p w14:paraId="35EA78A3" w14:textId="77777777" w:rsidR="001C0D96" w:rsidRDefault="00F929F7">
      <w:pPr>
        <w:pStyle w:val="Heading2"/>
      </w:pPr>
      <w:r>
        <w:t>6.3 Moderating Variables</w:t>
      </w:r>
    </w:p>
    <w:p w14:paraId="7F22C8CC" w14:textId="77777777" w:rsidR="001C0D96" w:rsidRDefault="00F929F7">
      <w:pPr>
        <w:spacing w:before="80" w:after="120"/>
        <w:jc w:val="both"/>
      </w:pPr>
      <w:r>
        <w:t>Moderating variables are contextual factors that may strengthen or weaken the relationship between independent and dependent variables:</w:t>
      </w:r>
    </w:p>
    <w:p w14:paraId="747E342A"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69FA784B"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8A42B6A" w14:textId="77777777" w:rsidR="001C0D96" w:rsidRDefault="00F929F7">
            <w:r>
              <w:rPr>
                <w:b/>
                <w:bCs/>
                <w:color w:val="FFFFFF"/>
              </w:rPr>
              <w:t>Moderating Variable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D225A99" w14:textId="77777777" w:rsidR="001C0D96" w:rsidRDefault="00F929F7">
            <w:r>
              <w:rPr>
                <w:b/>
                <w:bCs/>
                <w:color w:val="FFFFFF"/>
              </w:rPr>
              <w:t>Definition</w:t>
            </w:r>
          </w:p>
        </w:tc>
      </w:tr>
      <w:tr w:rsidR="001C0D96" w14:paraId="097947A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E5D7D9" w14:textId="77777777" w:rsidR="001C0D96" w:rsidRDefault="00F929F7">
            <w:r>
              <w:rPr>
                <w:sz w:val="21"/>
                <w:szCs w:val="21"/>
              </w:rPr>
              <w:t>National Regulatory Context</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966A50" w14:textId="77777777" w:rsidR="001C0D96" w:rsidRDefault="00F929F7">
            <w:r>
              <w:rPr>
                <w:sz w:val="21"/>
                <w:szCs w:val="21"/>
              </w:rPr>
              <w:t>Presence and maturity of national OT cybersecurity regulations (e.g., NCA ECC in Saudi Arabia vs. less regulated environments)</w:t>
            </w:r>
          </w:p>
        </w:tc>
      </w:tr>
      <w:tr w:rsidR="001C0D96" w14:paraId="76D56179"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CBF4557" w14:textId="77777777" w:rsidR="001C0D96" w:rsidRDefault="00F929F7">
            <w:r>
              <w:rPr>
                <w:sz w:val="21"/>
                <w:szCs w:val="21"/>
              </w:rPr>
              <w:t>CISO Mandate Scope</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0D3C265" w14:textId="77777777" w:rsidR="001C0D96" w:rsidRDefault="00F929F7">
            <w:r>
              <w:rPr>
                <w:sz w:val="21"/>
                <w:szCs w:val="21"/>
              </w:rPr>
              <w:t>Whether the CISO has formal responsibility for OT security, IT security only, or a hybrid mandate</w:t>
            </w:r>
          </w:p>
        </w:tc>
      </w:tr>
      <w:tr w:rsidR="001C0D96" w14:paraId="6049A339"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09556A" w14:textId="77777777" w:rsidR="001C0D96" w:rsidRDefault="00F929F7">
            <w:r>
              <w:rPr>
                <w:sz w:val="21"/>
                <w:szCs w:val="21"/>
              </w:rPr>
              <w:t>Security Maturity Level</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1ECA74" w14:textId="687986EA" w:rsidR="001C0D96" w:rsidRDefault="00F929F7">
            <w:r>
              <w:rPr>
                <w:sz w:val="21"/>
                <w:szCs w:val="21"/>
              </w:rPr>
              <w:t xml:space="preserve">Overall </w:t>
            </w:r>
            <w:r w:rsidR="00D40174">
              <w:rPr>
                <w:sz w:val="21"/>
                <w:szCs w:val="21"/>
              </w:rPr>
              <w:t>organizational</w:t>
            </w:r>
            <w:r>
              <w:rPr>
                <w:sz w:val="21"/>
                <w:szCs w:val="21"/>
              </w:rPr>
              <w:t xml:space="preserve"> cybersecurity maturity (using CMM or equivalent scale) as a contextual baseline</w:t>
            </w:r>
          </w:p>
        </w:tc>
      </w:tr>
    </w:tbl>
    <w:p w14:paraId="0407AECE" w14:textId="77777777" w:rsidR="001C0D96" w:rsidRDefault="001C0D96">
      <w:pPr>
        <w:spacing w:after="80"/>
      </w:pPr>
    </w:p>
    <w:p w14:paraId="35C9DA4C" w14:textId="77777777" w:rsidR="001C0D96" w:rsidRDefault="00F929F7">
      <w:pPr>
        <w:pStyle w:val="Heading2"/>
      </w:pPr>
      <w:r>
        <w:t>6.4 Variable Relationships and Hypotheses</w:t>
      </w:r>
    </w:p>
    <w:p w14:paraId="1BC857B3" w14:textId="77777777" w:rsidR="001C0D96" w:rsidRDefault="00F929F7">
      <w:pPr>
        <w:spacing w:before="80" w:after="120"/>
        <w:jc w:val="both"/>
      </w:pPr>
      <w:r>
        <w:t>The following working hypotheses, derived from the literature gap analysis, will be tested through the quantitative survey phase:</w:t>
      </w:r>
    </w:p>
    <w:p w14:paraId="6FD92971" w14:textId="77777777" w:rsidR="001C0D96" w:rsidRDefault="00F929F7">
      <w:pPr>
        <w:pStyle w:val="ListParagraph"/>
        <w:numPr>
          <w:ilvl w:val="0"/>
          <w:numId w:val="3"/>
        </w:numPr>
        <w:spacing w:before="60" w:after="60"/>
      </w:pPr>
      <w:r>
        <w:t>H1: Modern OT environments report significantly lower perceived adequacy of existing governance frameworks compared to legacy OT environments.</w:t>
      </w:r>
    </w:p>
    <w:p w14:paraId="7917D5D3" w14:textId="77777777" w:rsidR="001C0D96" w:rsidRDefault="00F929F7">
      <w:pPr>
        <w:pStyle w:val="ListParagraph"/>
        <w:numPr>
          <w:ilvl w:val="0"/>
          <w:numId w:val="3"/>
        </w:numPr>
        <w:spacing w:before="60" w:after="60"/>
      </w:pPr>
      <w:r>
        <w:t>H2: Higher levels of emerging technology adoption at the IT/OT boundary are positively associated with higher perceived boundary risk levels.</w:t>
      </w:r>
    </w:p>
    <w:p w14:paraId="2272F092" w14:textId="77777777" w:rsidR="001C0D96" w:rsidRDefault="00F929F7">
      <w:pPr>
        <w:pStyle w:val="ListParagraph"/>
        <w:numPr>
          <w:ilvl w:val="0"/>
          <w:numId w:val="3"/>
        </w:numPr>
        <w:spacing w:before="60" w:after="60"/>
      </w:pPr>
      <w:r>
        <w:t xml:space="preserve">H3: </w:t>
      </w:r>
      <w:proofErr w:type="spellStart"/>
      <w:r>
        <w:t>Organisations</w:t>
      </w:r>
      <w:proofErr w:type="spellEnd"/>
      <w:r>
        <w:t xml:space="preserve"> where the CISO mandate explicitly includes OT security report higher governance effectiveness scores than those with IT-only mandates.</w:t>
      </w:r>
    </w:p>
    <w:p w14:paraId="2E83E0B0" w14:textId="77777777" w:rsidR="001C0D96" w:rsidRDefault="00F929F7">
      <w:pPr>
        <w:pStyle w:val="ListParagraph"/>
        <w:numPr>
          <w:ilvl w:val="0"/>
          <w:numId w:val="3"/>
        </w:numPr>
        <w:spacing w:before="60" w:after="60"/>
      </w:pPr>
      <w:r>
        <w:t>H4: The presence of a mature national regulatory framework moderates the relationship between OT environment type and governance effectiveness.</w:t>
      </w:r>
    </w:p>
    <w:p w14:paraId="144F9D00" w14:textId="77777777" w:rsidR="001C0D96" w:rsidRDefault="001C0D96">
      <w:pPr>
        <w:spacing w:after="80"/>
      </w:pPr>
    </w:p>
    <w:p w14:paraId="4D46D367" w14:textId="77777777" w:rsidR="001C0D96" w:rsidRDefault="00F929F7">
      <w:r>
        <w:br w:type="page"/>
      </w:r>
    </w:p>
    <w:p w14:paraId="3128FE6B" w14:textId="2CB60BFB" w:rsidR="001C0D96" w:rsidRDefault="00F929F7">
      <w:pPr>
        <w:pStyle w:val="Heading1"/>
      </w:pPr>
      <w:r>
        <w:lastRenderedPageBreak/>
        <w:t>7. Research Methodology</w:t>
      </w:r>
      <w:r w:rsidR="00D40174">
        <w:rPr>
          <w:rFonts w:hint="cs"/>
          <w:rtl/>
        </w:rPr>
        <w:t xml:space="preserve">منهجية البحث - </w:t>
      </w:r>
    </w:p>
    <w:p w14:paraId="0CB52D36" w14:textId="77777777" w:rsidR="001C0D96" w:rsidRDefault="001C0D96">
      <w:pPr>
        <w:pBdr>
          <w:bottom w:val="single" w:sz="6" w:space="1" w:color="2E75B6"/>
        </w:pBdr>
        <w:spacing w:before="120" w:after="120"/>
      </w:pPr>
    </w:p>
    <w:p w14:paraId="1D941808" w14:textId="77777777" w:rsidR="001C0D96" w:rsidRDefault="00F929F7">
      <w:pPr>
        <w:spacing w:before="80" w:after="120"/>
        <w:jc w:val="both"/>
      </w:pPr>
      <w:r>
        <w:t xml:space="preserve">This research adopts an explanatory sequential mixed-methods design. The study begins with quantitative survey data to measure the prevalence and severity of OT governance gaps, followed by qualitative expert interviews and case study analysis to explain and </w:t>
      </w:r>
      <w:proofErr w:type="spellStart"/>
      <w:r>
        <w:t>contextualise</w:t>
      </w:r>
      <w:proofErr w:type="spellEnd"/>
      <w:r>
        <w:t xml:space="preserve"> those findings. The integrated approach enables both statistical </w:t>
      </w:r>
      <w:proofErr w:type="spellStart"/>
      <w:r>
        <w:t>generalisation</w:t>
      </w:r>
      <w:proofErr w:type="spellEnd"/>
      <w:r>
        <w:t xml:space="preserve"> and rich interpretive </w:t>
      </w:r>
      <w:proofErr w:type="gramStart"/>
      <w:r>
        <w:t>depth, and</w:t>
      </w:r>
      <w:proofErr w:type="gramEnd"/>
      <w:r>
        <w:t xml:space="preserve"> produces clearly defined research variables. The methodology is designed to be rigorous, feasible within a two-year timeline, and appropriate for a part-time PhD candidate with full-time professional responsibilities.</w:t>
      </w:r>
    </w:p>
    <w:p w14:paraId="556AB336" w14:textId="77777777" w:rsidR="001C0D96" w:rsidRDefault="00F929F7">
      <w:pPr>
        <w:pStyle w:val="Heading2"/>
      </w:pPr>
      <w:r>
        <w:t>7.1 Research Philosophy and Approach</w:t>
      </w:r>
    </w:p>
    <w:p w14:paraId="796A0351" w14:textId="30AD2F42" w:rsidR="001C0D96" w:rsidRDefault="00F929F7">
      <w:pPr>
        <w:spacing w:before="80" w:after="120"/>
        <w:jc w:val="both"/>
      </w:pPr>
      <w:r>
        <w:t xml:space="preserve">The research is positioned within an interpretivist-pragmatist paradigm. Given that cybersecurity governance involves human judgment, </w:t>
      </w:r>
      <w:r w:rsidR="00D40174">
        <w:t>organizational</w:t>
      </w:r>
      <w:r>
        <w:t xml:space="preserve"> culture, and policy interpretation, a purely positivist approach would be insufficient. The pragmatist lens allows the research to </w:t>
      </w:r>
      <w:proofErr w:type="spellStart"/>
      <w:r>
        <w:t>prioritise</w:t>
      </w:r>
      <w:proofErr w:type="spellEnd"/>
      <w:r>
        <w:t xml:space="preserve"> practical utility of outcomes alongside theoretical contribution.</w:t>
      </w:r>
    </w:p>
    <w:p w14:paraId="730E3F6C" w14:textId="77777777" w:rsidR="001C0D96" w:rsidRDefault="00F929F7">
      <w:pPr>
        <w:pStyle w:val="Heading2"/>
      </w:pPr>
      <w:r>
        <w:t>7.2 Research Design</w:t>
      </w:r>
    </w:p>
    <w:p w14:paraId="04A3FBF6"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4360"/>
        <w:gridCol w:w="2500"/>
      </w:tblGrid>
      <w:tr w:rsidR="001C0D96" w14:paraId="328259A4"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205CB3C" w14:textId="77777777" w:rsidR="001C0D96" w:rsidRDefault="00F929F7">
            <w:r>
              <w:rPr>
                <w:b/>
                <w:bCs/>
                <w:color w:val="FFFFFF"/>
                <w:sz w:val="21"/>
                <w:szCs w:val="21"/>
              </w:rPr>
              <w:t>Phase</w:t>
            </w:r>
          </w:p>
        </w:tc>
        <w:tc>
          <w:tcPr>
            <w:tcW w:w="436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53527F7B" w14:textId="77777777" w:rsidR="001C0D96" w:rsidRDefault="00F929F7">
            <w:r>
              <w:rPr>
                <w:b/>
                <w:bCs/>
                <w:color w:val="FFFFFF"/>
                <w:sz w:val="21"/>
                <w:szCs w:val="21"/>
              </w:rPr>
              <w:t>Activity</w:t>
            </w:r>
          </w:p>
        </w:tc>
        <w:tc>
          <w:tcPr>
            <w:tcW w:w="25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1EF184DA" w14:textId="77777777" w:rsidR="001C0D96" w:rsidRDefault="00F929F7">
            <w:r>
              <w:rPr>
                <w:b/>
                <w:bCs/>
                <w:color w:val="FFFFFF"/>
                <w:sz w:val="21"/>
                <w:szCs w:val="21"/>
              </w:rPr>
              <w:t>Timeline</w:t>
            </w:r>
          </w:p>
        </w:tc>
      </w:tr>
      <w:tr w:rsidR="001C0D96" w14:paraId="7FEB3E6F"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B5B621" w14:textId="77777777" w:rsidR="001C0D96" w:rsidRDefault="00F929F7">
            <w:r>
              <w:rPr>
                <w:sz w:val="21"/>
                <w:szCs w:val="21"/>
              </w:rPr>
              <w:t>Phase 1</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18E9C0" w14:textId="77777777" w:rsidR="001C0D96" w:rsidRDefault="00F929F7">
            <w:r>
              <w:rPr>
                <w:sz w:val="21"/>
                <w:szCs w:val="21"/>
              </w:rPr>
              <w:t>Systematic Literature Review: mapping existing knowledge, confirming gaps, and establishing theoretical foundation</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CC5BD2" w14:textId="77777777" w:rsidR="001C0D96" w:rsidRDefault="00F929F7">
            <w:r>
              <w:rPr>
                <w:sz w:val="21"/>
                <w:szCs w:val="21"/>
              </w:rPr>
              <w:t>Months 1-5</w:t>
            </w:r>
          </w:p>
        </w:tc>
      </w:tr>
      <w:tr w:rsidR="001C0D96" w14:paraId="0196A78F"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EC71C89" w14:textId="77777777" w:rsidR="001C0D96" w:rsidRDefault="00F929F7">
            <w:r>
              <w:rPr>
                <w:sz w:val="21"/>
                <w:szCs w:val="21"/>
              </w:rPr>
              <w:t>Phase 2</w:t>
            </w:r>
          </w:p>
        </w:tc>
        <w:tc>
          <w:tcPr>
            <w:tcW w:w="43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79EA97C" w14:textId="77777777" w:rsidR="001C0D96" w:rsidRDefault="00F929F7">
            <w:r>
              <w:rPr>
                <w:sz w:val="21"/>
                <w:szCs w:val="21"/>
              </w:rPr>
              <w:t>Quantitative Survey: structured survey of 50 to 100 OT security professionals to measure governance gap prevalence</w:t>
            </w:r>
          </w:p>
        </w:tc>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CD8BB4F" w14:textId="77777777" w:rsidR="001C0D96" w:rsidRDefault="00F929F7">
            <w:r>
              <w:rPr>
                <w:sz w:val="21"/>
                <w:szCs w:val="21"/>
              </w:rPr>
              <w:t>Months 4-7</w:t>
            </w:r>
          </w:p>
        </w:tc>
      </w:tr>
      <w:tr w:rsidR="001C0D96" w14:paraId="73B054FD"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A6D4F8" w14:textId="77777777" w:rsidR="001C0D96" w:rsidRDefault="00F929F7">
            <w:r>
              <w:rPr>
                <w:sz w:val="21"/>
                <w:szCs w:val="21"/>
              </w:rPr>
              <w:t>Phase 3</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44F488" w14:textId="77777777" w:rsidR="001C0D96" w:rsidRDefault="00F929F7">
            <w:r>
              <w:rPr>
                <w:sz w:val="21"/>
                <w:szCs w:val="21"/>
              </w:rPr>
              <w:t>Expert Interviews: semi-structured interviews with 15 to 20 OT security professionals to explain survey findings</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65BA7E" w14:textId="77777777" w:rsidR="001C0D96" w:rsidRDefault="00F929F7">
            <w:r>
              <w:rPr>
                <w:sz w:val="21"/>
                <w:szCs w:val="21"/>
              </w:rPr>
              <w:t>Months 6-10</w:t>
            </w:r>
          </w:p>
        </w:tc>
      </w:tr>
      <w:tr w:rsidR="001C0D96" w14:paraId="64676066"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EB974EE" w14:textId="77777777" w:rsidR="001C0D96" w:rsidRDefault="00F929F7">
            <w:r>
              <w:rPr>
                <w:sz w:val="21"/>
                <w:szCs w:val="21"/>
              </w:rPr>
              <w:t>Phase 4</w:t>
            </w:r>
          </w:p>
        </w:tc>
        <w:tc>
          <w:tcPr>
            <w:tcW w:w="43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BC7B497" w14:textId="77777777" w:rsidR="001C0D96" w:rsidRDefault="00F929F7">
            <w:r>
              <w:rPr>
                <w:sz w:val="21"/>
                <w:szCs w:val="21"/>
              </w:rPr>
              <w:t>Case Study Analysis: in-depth analysis of a modern OT environment with appropriate confidentiality controls</w:t>
            </w:r>
          </w:p>
        </w:tc>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767CE6F" w14:textId="77777777" w:rsidR="001C0D96" w:rsidRDefault="00F929F7">
            <w:r>
              <w:rPr>
                <w:sz w:val="21"/>
                <w:szCs w:val="21"/>
              </w:rPr>
              <w:t>Months 8-12</w:t>
            </w:r>
          </w:p>
        </w:tc>
      </w:tr>
      <w:tr w:rsidR="001C0D96" w14:paraId="63A9714C"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CEA0E6E" w14:textId="77777777" w:rsidR="001C0D96" w:rsidRDefault="00F929F7">
            <w:r>
              <w:rPr>
                <w:sz w:val="21"/>
                <w:szCs w:val="21"/>
              </w:rPr>
              <w:t>Phase 5</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3888F2" w14:textId="34AF1639" w:rsidR="001C0D96" w:rsidRDefault="00F929F7">
            <w:r>
              <w:rPr>
                <w:sz w:val="21"/>
                <w:szCs w:val="21"/>
              </w:rPr>
              <w:t xml:space="preserve">Framework Development: </w:t>
            </w:r>
            <w:r w:rsidR="00D40174">
              <w:rPr>
                <w:sz w:val="21"/>
                <w:szCs w:val="21"/>
              </w:rPr>
              <w:t>synthesizing</w:t>
            </w:r>
            <w:r>
              <w:rPr>
                <w:sz w:val="21"/>
                <w:szCs w:val="21"/>
              </w:rPr>
              <w:t xml:space="preserve"> all findings into a governance framework</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EA96D7" w14:textId="77777777" w:rsidR="001C0D96" w:rsidRDefault="00F929F7">
            <w:r>
              <w:rPr>
                <w:sz w:val="21"/>
                <w:szCs w:val="21"/>
              </w:rPr>
              <w:t>Months 11-15</w:t>
            </w:r>
          </w:p>
        </w:tc>
      </w:tr>
      <w:tr w:rsidR="001C0D96" w14:paraId="46F51B59"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66C5D7A" w14:textId="77777777" w:rsidR="001C0D96" w:rsidRDefault="00F929F7">
            <w:r>
              <w:rPr>
                <w:sz w:val="21"/>
                <w:szCs w:val="21"/>
              </w:rPr>
              <w:t>Phase 6</w:t>
            </w:r>
          </w:p>
        </w:tc>
        <w:tc>
          <w:tcPr>
            <w:tcW w:w="43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64B0E9A" w14:textId="77777777" w:rsidR="001C0D96" w:rsidRDefault="00F929F7">
            <w:r>
              <w:rPr>
                <w:sz w:val="21"/>
                <w:szCs w:val="21"/>
              </w:rPr>
              <w:t>Framework Validation: Delphi method with expert panel to validate and refine the framework</w:t>
            </w:r>
          </w:p>
        </w:tc>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87BF864" w14:textId="77777777" w:rsidR="001C0D96" w:rsidRDefault="00F929F7">
            <w:r>
              <w:rPr>
                <w:sz w:val="21"/>
                <w:szCs w:val="21"/>
              </w:rPr>
              <w:t>Months 14-18</w:t>
            </w:r>
          </w:p>
        </w:tc>
      </w:tr>
      <w:tr w:rsidR="001C0D96" w14:paraId="2071F8B7" w14:textId="77777777">
        <w:tblPrEx>
          <w:tblCellMar>
            <w:top w:w="0" w:type="dxa"/>
            <w:bottom w:w="0" w:type="dxa"/>
          </w:tblCellMar>
        </w:tblPrEx>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270B76" w14:textId="77777777" w:rsidR="001C0D96" w:rsidRDefault="00F929F7">
            <w:r>
              <w:rPr>
                <w:sz w:val="21"/>
                <w:szCs w:val="21"/>
              </w:rPr>
              <w:t>Phase 7</w:t>
            </w:r>
          </w:p>
        </w:tc>
        <w:tc>
          <w:tcPr>
            <w:tcW w:w="4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EF7773" w14:textId="77777777" w:rsidR="001C0D96" w:rsidRDefault="00F929F7">
            <w:r>
              <w:rPr>
                <w:sz w:val="21"/>
                <w:szCs w:val="21"/>
              </w:rPr>
              <w:t>Writing, Revision &amp; Submission</w:t>
            </w:r>
          </w:p>
        </w:tc>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C6387E" w14:textId="77777777" w:rsidR="001C0D96" w:rsidRDefault="00F929F7">
            <w:r>
              <w:rPr>
                <w:sz w:val="21"/>
                <w:szCs w:val="21"/>
              </w:rPr>
              <w:t>Months 16-24</w:t>
            </w:r>
          </w:p>
        </w:tc>
      </w:tr>
    </w:tbl>
    <w:p w14:paraId="4F5F4E22" w14:textId="77777777" w:rsidR="001C0D96" w:rsidRDefault="001C0D96">
      <w:pPr>
        <w:spacing w:after="80"/>
      </w:pPr>
    </w:p>
    <w:p w14:paraId="16455D66" w14:textId="77777777" w:rsidR="001C0D96" w:rsidRDefault="00F929F7">
      <w:pPr>
        <w:pStyle w:val="Heading2"/>
      </w:pPr>
      <w:r>
        <w:t>7.3 Data Collection Methods</w:t>
      </w:r>
    </w:p>
    <w:p w14:paraId="7E1CCCDF" w14:textId="77777777" w:rsidR="001C0D96" w:rsidRDefault="00F929F7">
      <w:pPr>
        <w:pStyle w:val="Heading3"/>
      </w:pPr>
      <w:r>
        <w:t>7.3.1 Systematic Literature Review</w:t>
      </w:r>
    </w:p>
    <w:p w14:paraId="31EC7768" w14:textId="77777777" w:rsidR="001C0D96" w:rsidRDefault="00F929F7">
      <w:pPr>
        <w:spacing w:before="80" w:after="120"/>
        <w:jc w:val="both"/>
      </w:pPr>
      <w:r>
        <w:lastRenderedPageBreak/>
        <w:t>A structured review using PRISMA guidelines will map the existing body of knowledge. Search terms will combine OT security, governance, emerging technologies, IT/OT convergence, and modern/greenfield OT. Inclusion/exclusion criteria will be defined and documented for reproducibility.</w:t>
      </w:r>
    </w:p>
    <w:p w14:paraId="57AD95F0" w14:textId="77777777" w:rsidR="001C0D96" w:rsidRDefault="00F929F7">
      <w:pPr>
        <w:pStyle w:val="Heading3"/>
      </w:pPr>
      <w:r>
        <w:t>7.3.2 Quantitative Survey</w:t>
      </w:r>
    </w:p>
    <w:p w14:paraId="395E0B21" w14:textId="77777777" w:rsidR="001C0D96" w:rsidRDefault="00F929F7">
      <w:pPr>
        <w:spacing w:before="80" w:after="120"/>
        <w:jc w:val="both"/>
      </w:pPr>
      <w:r>
        <w:t>A structured online survey will be administered to OT security professionals to quantitatively measure the prevalence and severity of cybersecurity governance gaps in modern OT environments. The survey instrument will consist of Likert-scale items and categorical questions covering governance maturity, emerging technology integration risks, and IT/OT boundary security practices.</w:t>
      </w:r>
    </w:p>
    <w:p w14:paraId="67DDBCE3" w14:textId="77777777" w:rsidR="001C0D96" w:rsidRDefault="00F929F7">
      <w:pPr>
        <w:spacing w:before="80" w:after="120"/>
        <w:jc w:val="both"/>
      </w:pPr>
      <w:r>
        <w:t xml:space="preserve">Target sample: 50-100 respondents drawn from OT/ICS security practitioners across energy, utilities, manufacturing, and critical infrastructure sectors. Distribution channels will include professional networks (ISA, ISACA, ICS-CERT communities) and the researcher's professional contacts. Data will be </w:t>
      </w:r>
      <w:proofErr w:type="spellStart"/>
      <w:r>
        <w:t>analysed</w:t>
      </w:r>
      <w:proofErr w:type="spellEnd"/>
      <w:r>
        <w:t xml:space="preserve"> using descriptive statistics and correlation analysis (SPSS/R).</w:t>
      </w:r>
    </w:p>
    <w:p w14:paraId="40A450BE" w14:textId="77777777" w:rsidR="001C0D96" w:rsidRDefault="00F929F7">
      <w:pPr>
        <w:pStyle w:val="Heading3"/>
      </w:pPr>
      <w:r>
        <w:t>7.3.3 Expert Interviews</w:t>
      </w:r>
    </w:p>
    <w:p w14:paraId="7ABA61A9" w14:textId="77777777" w:rsidR="001C0D96" w:rsidRDefault="00F929F7">
      <w:pPr>
        <w:spacing w:before="80" w:after="120"/>
        <w:jc w:val="both"/>
      </w:pPr>
      <w:r>
        <w:t>Semi-structured interviews (45-60 minutes each) will be conducted with 15-20 professionals drawn from:</w:t>
      </w:r>
    </w:p>
    <w:p w14:paraId="5B418C06" w14:textId="77777777" w:rsidR="001C0D96" w:rsidRDefault="00F929F7">
      <w:pPr>
        <w:pStyle w:val="ListParagraph"/>
        <w:numPr>
          <w:ilvl w:val="0"/>
          <w:numId w:val="2"/>
        </w:numPr>
        <w:spacing w:before="60" w:after="60"/>
      </w:pPr>
      <w:r>
        <w:t>OT/ICS security practitioners (CISO, OT Security Managers)</w:t>
      </w:r>
    </w:p>
    <w:p w14:paraId="7CA5B74A" w14:textId="77777777" w:rsidR="001C0D96" w:rsidRDefault="00F929F7">
      <w:pPr>
        <w:pStyle w:val="ListParagraph"/>
        <w:numPr>
          <w:ilvl w:val="0"/>
          <w:numId w:val="2"/>
        </w:numPr>
        <w:spacing w:before="60" w:after="60"/>
      </w:pPr>
      <w:r>
        <w:t>Industrial control system vendors and integrators</w:t>
      </w:r>
    </w:p>
    <w:p w14:paraId="7C758E69" w14:textId="77777777" w:rsidR="001C0D96" w:rsidRDefault="00F929F7">
      <w:pPr>
        <w:pStyle w:val="ListParagraph"/>
        <w:numPr>
          <w:ilvl w:val="0"/>
          <w:numId w:val="2"/>
        </w:numPr>
        <w:spacing w:before="60" w:after="60"/>
      </w:pPr>
      <w:r>
        <w:t>National cybersecurity authority representatives</w:t>
      </w:r>
    </w:p>
    <w:p w14:paraId="44E54E27" w14:textId="77777777" w:rsidR="001C0D96" w:rsidRDefault="00F929F7">
      <w:pPr>
        <w:pStyle w:val="ListParagraph"/>
        <w:numPr>
          <w:ilvl w:val="0"/>
          <w:numId w:val="2"/>
        </w:numPr>
        <w:spacing w:before="60" w:after="60"/>
      </w:pPr>
      <w:r>
        <w:t>Academic researchers in OT security and industrial IoT</w:t>
      </w:r>
    </w:p>
    <w:p w14:paraId="2BF3F953" w14:textId="1148C305" w:rsidR="001C0D96" w:rsidRDefault="00F929F7">
      <w:pPr>
        <w:spacing w:before="80" w:after="120"/>
        <w:jc w:val="both"/>
      </w:pPr>
      <w:r>
        <w:t xml:space="preserve">Interviews will be conducted online, recorded with consent, and </w:t>
      </w:r>
      <w:r w:rsidR="00D40174">
        <w:t>analyzed</w:t>
      </w:r>
      <w:r>
        <w:t xml:space="preserve"> using thematic analysis (Braun &amp; Clarke, 2006).</w:t>
      </w:r>
    </w:p>
    <w:p w14:paraId="49B09FBF" w14:textId="77777777" w:rsidR="001C0D96" w:rsidRDefault="00F929F7">
      <w:pPr>
        <w:pStyle w:val="Heading3"/>
      </w:pPr>
      <w:r>
        <w:t>7.3.4 Case Study</w:t>
      </w:r>
    </w:p>
    <w:p w14:paraId="17ED3DE0" w14:textId="70A9D4BB" w:rsidR="001C0D96" w:rsidRDefault="00F929F7">
      <w:pPr>
        <w:spacing w:before="80" w:after="120"/>
        <w:jc w:val="both"/>
      </w:pPr>
      <w:r>
        <w:t xml:space="preserve">A single embedded case study of a modern OT environment will provide empirical grounding. The case study will follow Yin (2018) case study methodology. Confidentiality agreements and ethical approval will govern data handling. Where </w:t>
      </w:r>
      <w:r w:rsidR="00D40174">
        <w:t>organizational</w:t>
      </w:r>
      <w:r>
        <w:t xml:space="preserve"> data cannot be disclosed, the case study will employ </w:t>
      </w:r>
      <w:r w:rsidR="00D40174">
        <w:t>anonymization</w:t>
      </w:r>
      <w:r>
        <w:t xml:space="preserve"> protocols consistent with academic research standards.</w:t>
      </w:r>
    </w:p>
    <w:p w14:paraId="036B8BE7" w14:textId="77777777" w:rsidR="001C0D96" w:rsidRDefault="00F929F7">
      <w:pPr>
        <w:pStyle w:val="Heading2"/>
      </w:pPr>
      <w:r>
        <w:t>7.4 Framework Development and Validation</w:t>
      </w:r>
    </w:p>
    <w:p w14:paraId="4FE2C202" w14:textId="77777777" w:rsidR="001C0D96" w:rsidRDefault="00F929F7">
      <w:pPr>
        <w:spacing w:before="80" w:after="120"/>
        <w:jc w:val="both"/>
      </w:pPr>
      <w:r>
        <w:t>The governance framework will be developed through iterative synthesis of literature review findings, interview themes, and case study insights. Validation will employ a two-round Delphi method with a panel of 8-12 subject matter experts, measuring consensus through statistical analysis of panel ratings. The Delphi approach is well-established in cybersecurity and governance framework development research.</w:t>
      </w:r>
    </w:p>
    <w:p w14:paraId="49399D32" w14:textId="77777777" w:rsidR="001C0D96" w:rsidRDefault="00F929F7">
      <w:pPr>
        <w:pStyle w:val="Heading2"/>
      </w:pPr>
      <w:r>
        <w:t>7.5 Ethical Considerations</w:t>
      </w:r>
    </w:p>
    <w:p w14:paraId="4250522B" w14:textId="77777777" w:rsidR="001C0D96" w:rsidRDefault="00F929F7">
      <w:pPr>
        <w:pStyle w:val="ListParagraph"/>
        <w:numPr>
          <w:ilvl w:val="0"/>
          <w:numId w:val="2"/>
        </w:numPr>
        <w:spacing w:before="60" w:after="60"/>
      </w:pPr>
      <w:r>
        <w:t>Ethical approval will be sought from Midocean University's research ethics committee prior to data collection</w:t>
      </w:r>
    </w:p>
    <w:p w14:paraId="1E6D0EA5" w14:textId="77777777" w:rsidR="001C0D96" w:rsidRDefault="00F929F7">
      <w:pPr>
        <w:pStyle w:val="ListParagraph"/>
        <w:numPr>
          <w:ilvl w:val="0"/>
          <w:numId w:val="2"/>
        </w:numPr>
        <w:spacing w:before="60" w:after="60"/>
      </w:pPr>
      <w:r>
        <w:t>All interview participants will provide informed consent; anonymity will be preserved in reporting</w:t>
      </w:r>
    </w:p>
    <w:p w14:paraId="58D78D4E" w14:textId="77777777" w:rsidR="001C0D96" w:rsidRDefault="00F929F7">
      <w:pPr>
        <w:pStyle w:val="ListParagraph"/>
        <w:numPr>
          <w:ilvl w:val="0"/>
          <w:numId w:val="2"/>
        </w:numPr>
        <w:spacing w:before="60" w:after="60"/>
      </w:pPr>
      <w:r>
        <w:lastRenderedPageBreak/>
        <w:t>Case study data will be handled under a confidentiality framework; sensitive operational details will be abstracted</w:t>
      </w:r>
    </w:p>
    <w:p w14:paraId="6054E078" w14:textId="77777777" w:rsidR="001C0D96" w:rsidRDefault="00F929F7">
      <w:pPr>
        <w:pStyle w:val="ListParagraph"/>
        <w:numPr>
          <w:ilvl w:val="0"/>
          <w:numId w:val="2"/>
        </w:numPr>
        <w:spacing w:before="60" w:after="60"/>
      </w:pPr>
      <w:r>
        <w:t>The researcher's dual role as practitioner and researcher will be managed through reflexivity documentation</w:t>
      </w:r>
    </w:p>
    <w:p w14:paraId="33345474" w14:textId="77777777" w:rsidR="001C0D96" w:rsidRDefault="001C0D96">
      <w:pPr>
        <w:spacing w:after="80"/>
      </w:pPr>
    </w:p>
    <w:p w14:paraId="7998BF74" w14:textId="77777777" w:rsidR="001C0D96" w:rsidRDefault="00F929F7">
      <w:r>
        <w:br w:type="page"/>
      </w:r>
    </w:p>
    <w:p w14:paraId="73F5B2C2" w14:textId="18E4F8E9" w:rsidR="001C0D96" w:rsidRDefault="00F929F7">
      <w:pPr>
        <w:pStyle w:val="Heading1"/>
      </w:pPr>
      <w:r>
        <w:lastRenderedPageBreak/>
        <w:t>8. Expected Contributions</w:t>
      </w:r>
      <w:r w:rsidR="00D40174">
        <w:rPr>
          <w:rFonts w:hint="cs"/>
          <w:rtl/>
        </w:rPr>
        <w:t xml:space="preserve"> أهمية البحث </w:t>
      </w:r>
    </w:p>
    <w:p w14:paraId="33D7B2CA" w14:textId="77777777" w:rsidR="001C0D96" w:rsidRDefault="001C0D96">
      <w:pPr>
        <w:pBdr>
          <w:bottom w:val="single" w:sz="6" w:space="1" w:color="2E75B6"/>
        </w:pBdr>
        <w:spacing w:before="120" w:after="120"/>
      </w:pPr>
    </w:p>
    <w:p w14:paraId="74F2C207" w14:textId="77777777" w:rsidR="001C0D96" w:rsidRDefault="00F929F7">
      <w:pPr>
        <w:spacing w:before="80" w:after="120"/>
        <w:jc w:val="both"/>
      </w:pPr>
      <w:r>
        <w:t>This research is expected to deliver three distinct layers of contribution:</w:t>
      </w:r>
    </w:p>
    <w:p w14:paraId="200A6DCC"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455C9597"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4B22EA46" w14:textId="77777777" w:rsidR="001C0D96" w:rsidRDefault="00F929F7">
            <w:r>
              <w:rPr>
                <w:b/>
                <w:bCs/>
                <w:color w:val="FFFFFF"/>
              </w:rPr>
              <w:t>Contribution Type</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15825DFE" w14:textId="77777777" w:rsidR="001C0D96" w:rsidRDefault="00F929F7">
            <w:r>
              <w:rPr>
                <w:b/>
                <w:bCs/>
                <w:color w:val="FFFFFF"/>
              </w:rPr>
              <w:t>Description</w:t>
            </w:r>
          </w:p>
        </w:tc>
      </w:tr>
      <w:tr w:rsidR="001C0D96" w14:paraId="065EF34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E3A42A" w14:textId="77777777" w:rsidR="001C0D96" w:rsidRDefault="00F929F7">
            <w:r>
              <w:rPr>
                <w:sz w:val="21"/>
                <w:szCs w:val="21"/>
              </w:rPr>
              <w:t>Theoretical</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1D9EB9" w14:textId="77777777" w:rsidR="001C0D96" w:rsidRDefault="00F929F7">
            <w:r>
              <w:rPr>
                <w:sz w:val="21"/>
                <w:szCs w:val="21"/>
              </w:rPr>
              <w:t>First peer-reviewed academic framework specifically addressing cybersecurity governance in modern OT environments, filling a confirmed gap in the literature</w:t>
            </w:r>
          </w:p>
        </w:tc>
      </w:tr>
      <w:tr w:rsidR="001C0D96" w14:paraId="7F89593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3A7BCFE" w14:textId="77777777" w:rsidR="001C0D96" w:rsidRDefault="00F929F7">
            <w:r>
              <w:rPr>
                <w:sz w:val="21"/>
                <w:szCs w:val="21"/>
              </w:rPr>
              <w:t>Practical</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50A19B7" w14:textId="2D967615" w:rsidR="001C0D96" w:rsidRDefault="00F929F7">
            <w:r>
              <w:rPr>
                <w:sz w:val="21"/>
                <w:szCs w:val="21"/>
              </w:rPr>
              <w:t xml:space="preserve">A validated governance framework that OT-responsible CISOs and security teams can </w:t>
            </w:r>
            <w:r w:rsidR="00D40174">
              <w:rPr>
                <w:sz w:val="21"/>
                <w:szCs w:val="21"/>
              </w:rPr>
              <w:t>operationalize</w:t>
            </w:r>
            <w:r>
              <w:rPr>
                <w:sz w:val="21"/>
                <w:szCs w:val="21"/>
              </w:rPr>
              <w:t xml:space="preserve"> to manage IT/OT boundary risks introduced by emerging technologies</w:t>
            </w:r>
          </w:p>
        </w:tc>
      </w:tr>
      <w:tr w:rsidR="001C0D96" w14:paraId="63770E44"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30AE15" w14:textId="77777777" w:rsidR="001C0D96" w:rsidRDefault="00F929F7">
            <w:r>
              <w:rPr>
                <w:sz w:val="21"/>
                <w:szCs w:val="21"/>
              </w:rPr>
              <w:t>Policy</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933579" w14:textId="37B8F0E8" w:rsidR="001C0D96" w:rsidRDefault="00F929F7">
            <w:r>
              <w:rPr>
                <w:sz w:val="21"/>
                <w:szCs w:val="21"/>
              </w:rPr>
              <w:t xml:space="preserve">Evidence-based recommendations for national cybersecurity policy, directly applicable to NCA priority areas in OT Systems Security and Public Policy, with relevance for Saudi Vision 2030 infrastructure </w:t>
            </w:r>
            <w:r w:rsidR="00D40174">
              <w:rPr>
                <w:sz w:val="21"/>
                <w:szCs w:val="21"/>
              </w:rPr>
              <w:t>programs</w:t>
            </w:r>
          </w:p>
        </w:tc>
      </w:tr>
    </w:tbl>
    <w:p w14:paraId="696B2017" w14:textId="77777777" w:rsidR="001C0D96" w:rsidRDefault="001C0D96">
      <w:pPr>
        <w:spacing w:after="80"/>
      </w:pPr>
    </w:p>
    <w:p w14:paraId="4DBB06F2" w14:textId="77777777" w:rsidR="001C0D96" w:rsidRDefault="00F929F7">
      <w:pPr>
        <w:spacing w:before="80" w:after="120"/>
        <w:jc w:val="both"/>
      </w:pPr>
      <w:r>
        <w:t>The research will also produce a minimum of two peer-reviewed journal articles submitted to relevant publications in the ICS/OT security and cybersecurity governance domains.</w:t>
      </w:r>
    </w:p>
    <w:p w14:paraId="1B063DAB" w14:textId="77777777" w:rsidR="001C0D96" w:rsidRDefault="001C0D96">
      <w:pPr>
        <w:spacing w:after="80"/>
      </w:pPr>
    </w:p>
    <w:p w14:paraId="59789519" w14:textId="77777777" w:rsidR="001C0D96" w:rsidRDefault="00F929F7">
      <w:r>
        <w:br w:type="page"/>
      </w:r>
    </w:p>
    <w:p w14:paraId="01FCC0F8" w14:textId="5FA5EC21" w:rsidR="001C0D96" w:rsidRDefault="00F929F7">
      <w:pPr>
        <w:pStyle w:val="Heading1"/>
      </w:pPr>
      <w:r>
        <w:lastRenderedPageBreak/>
        <w:t>9. Research Timeline</w:t>
      </w:r>
      <w:r w:rsidR="00D40174">
        <w:rPr>
          <w:rFonts w:hint="cs"/>
          <w:rtl/>
        </w:rPr>
        <w:t xml:space="preserve"> جدول البحث - </w:t>
      </w:r>
    </w:p>
    <w:p w14:paraId="58839840" w14:textId="77777777" w:rsidR="001C0D96" w:rsidRDefault="001C0D96">
      <w:pPr>
        <w:pBdr>
          <w:bottom w:val="single" w:sz="6" w:space="1" w:color="2E75B6"/>
        </w:pBdr>
        <w:spacing w:before="120" w:after="120"/>
      </w:pPr>
    </w:p>
    <w:p w14:paraId="4B74A4E5" w14:textId="66E2D38F" w:rsidR="001C0D96" w:rsidRDefault="00F929F7">
      <w:pPr>
        <w:spacing w:before="80" w:after="120"/>
        <w:jc w:val="both"/>
      </w:pPr>
      <w:r>
        <w:t xml:space="preserve">The research is designed to be completed within 24 months (Years 2 and 3 of the PhD </w:t>
      </w:r>
      <w:r w:rsidR="00D40174">
        <w:t>program</w:t>
      </w:r>
      <w:r>
        <w:t>), targeting final submission by end of 2027.</w:t>
      </w:r>
    </w:p>
    <w:p w14:paraId="54E6C746"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5760"/>
        <w:gridCol w:w="1800"/>
      </w:tblGrid>
      <w:tr w:rsidR="001C0D96" w14:paraId="45AF06F8"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3477995A" w14:textId="77777777" w:rsidR="001C0D96" w:rsidRDefault="00F929F7">
            <w:r>
              <w:rPr>
                <w:b/>
                <w:bCs/>
                <w:color w:val="FFFFFF"/>
                <w:sz w:val="21"/>
                <w:szCs w:val="21"/>
              </w:rPr>
              <w:t>Period</w:t>
            </w:r>
          </w:p>
        </w:tc>
        <w:tc>
          <w:tcPr>
            <w:tcW w:w="576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6B42F220" w14:textId="77777777" w:rsidR="001C0D96" w:rsidRDefault="00F929F7">
            <w:r>
              <w:rPr>
                <w:b/>
                <w:bCs/>
                <w:color w:val="FFFFFF"/>
                <w:sz w:val="21"/>
                <w:szCs w:val="21"/>
              </w:rPr>
              <w:t>Key Activities</w:t>
            </w:r>
          </w:p>
        </w:tc>
        <w:tc>
          <w:tcPr>
            <w:tcW w:w="180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024FAD11" w14:textId="77777777" w:rsidR="001C0D96" w:rsidRDefault="00F929F7">
            <w:r>
              <w:rPr>
                <w:b/>
                <w:bCs/>
                <w:color w:val="FFFFFF"/>
                <w:sz w:val="21"/>
                <w:szCs w:val="21"/>
              </w:rPr>
              <w:t>Milestone</w:t>
            </w:r>
          </w:p>
        </w:tc>
      </w:tr>
      <w:tr w:rsidR="001C0D96" w14:paraId="29BD1164"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AB2EDC" w14:textId="77777777" w:rsidR="001C0D96" w:rsidRDefault="00F929F7">
            <w:r>
              <w:rPr>
                <w:sz w:val="20"/>
                <w:szCs w:val="20"/>
              </w:rPr>
              <w:t>Months 1-3</w:t>
            </w:r>
          </w:p>
        </w:tc>
        <w:tc>
          <w:tcPr>
            <w:tcW w:w="5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31ABCD" w14:textId="77777777" w:rsidR="001C0D96" w:rsidRDefault="00F929F7">
            <w:proofErr w:type="spellStart"/>
            <w:r>
              <w:rPr>
                <w:sz w:val="20"/>
                <w:szCs w:val="20"/>
              </w:rPr>
              <w:t>Finalise</w:t>
            </w:r>
            <w:proofErr w:type="spellEnd"/>
            <w:r>
              <w:rPr>
                <w:sz w:val="20"/>
                <w:szCs w:val="20"/>
              </w:rPr>
              <w:t xml:space="preserve"> research proposal; supervisor approval; ethics application; begin database literature review</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98B74F" w14:textId="77777777" w:rsidR="001C0D96" w:rsidRDefault="00F929F7">
            <w:r>
              <w:rPr>
                <w:b/>
                <w:bCs/>
                <w:sz w:val="20"/>
                <w:szCs w:val="20"/>
              </w:rPr>
              <w:t>Proposal Approved</w:t>
            </w:r>
          </w:p>
        </w:tc>
      </w:tr>
      <w:tr w:rsidR="001C0D96" w14:paraId="6D43C494"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550EBF0" w14:textId="77777777" w:rsidR="001C0D96" w:rsidRDefault="00F929F7">
            <w:r>
              <w:rPr>
                <w:sz w:val="20"/>
                <w:szCs w:val="20"/>
              </w:rPr>
              <w:t>Months 4-6</w:t>
            </w:r>
          </w:p>
        </w:tc>
        <w:tc>
          <w:tcPr>
            <w:tcW w:w="57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C784263" w14:textId="77777777" w:rsidR="001C0D96" w:rsidRDefault="00F929F7">
            <w:r>
              <w:rPr>
                <w:sz w:val="20"/>
                <w:szCs w:val="20"/>
              </w:rPr>
              <w:t>Complete systematic literature review; identify interview participants; develop interview protocol</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C978E88" w14:textId="77777777" w:rsidR="001C0D96" w:rsidRDefault="00F929F7">
            <w:r>
              <w:rPr>
                <w:b/>
                <w:bCs/>
                <w:sz w:val="20"/>
                <w:szCs w:val="20"/>
              </w:rPr>
              <w:t>Literature Review Complete</w:t>
            </w:r>
          </w:p>
        </w:tc>
      </w:tr>
      <w:tr w:rsidR="001C0D96" w14:paraId="5B5AB8A9"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D9656A" w14:textId="77777777" w:rsidR="001C0D96" w:rsidRDefault="00F929F7">
            <w:r>
              <w:rPr>
                <w:sz w:val="20"/>
                <w:szCs w:val="20"/>
              </w:rPr>
              <w:t>Months 7-9</w:t>
            </w:r>
          </w:p>
        </w:tc>
        <w:tc>
          <w:tcPr>
            <w:tcW w:w="5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1472E4" w14:textId="77777777" w:rsidR="001C0D96" w:rsidRDefault="00F929F7">
            <w:r>
              <w:rPr>
                <w:sz w:val="20"/>
                <w:szCs w:val="20"/>
              </w:rPr>
              <w:t>Conduct expert interviews; begin thematic analysis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88776F" w14:textId="77777777" w:rsidR="001C0D96" w:rsidRDefault="00F929F7">
            <w:r>
              <w:rPr>
                <w:b/>
                <w:bCs/>
                <w:sz w:val="20"/>
                <w:szCs w:val="20"/>
              </w:rPr>
              <w:t>Data Collection Phase 1</w:t>
            </w:r>
          </w:p>
        </w:tc>
      </w:tr>
      <w:tr w:rsidR="001C0D96" w14:paraId="23E6915E"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26B1558" w14:textId="77777777" w:rsidR="001C0D96" w:rsidRDefault="00F929F7">
            <w:r>
              <w:rPr>
                <w:sz w:val="20"/>
                <w:szCs w:val="20"/>
              </w:rPr>
              <w:t>Months 10-12</w:t>
            </w:r>
          </w:p>
        </w:tc>
        <w:tc>
          <w:tcPr>
            <w:tcW w:w="57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11EA4AA" w14:textId="77777777" w:rsidR="001C0D96" w:rsidRDefault="00F929F7">
            <w:r>
              <w:rPr>
                <w:sz w:val="20"/>
                <w:szCs w:val="20"/>
              </w:rPr>
              <w:t xml:space="preserve">Case study data collection and analysis; initial framework </w:t>
            </w:r>
            <w:proofErr w:type="spellStart"/>
            <w:r>
              <w:rPr>
                <w:sz w:val="20"/>
                <w:szCs w:val="20"/>
              </w:rPr>
              <w:t>conceptualisation</w:t>
            </w:r>
            <w:proofErr w:type="spellEnd"/>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F9FE37A" w14:textId="77777777" w:rsidR="001C0D96" w:rsidRDefault="00F929F7">
            <w:r>
              <w:rPr>
                <w:b/>
                <w:bCs/>
                <w:sz w:val="20"/>
                <w:szCs w:val="20"/>
              </w:rPr>
              <w:t>Case Study Complete</w:t>
            </w:r>
          </w:p>
        </w:tc>
      </w:tr>
      <w:tr w:rsidR="001C0D96" w14:paraId="177F59CC"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639904" w14:textId="77777777" w:rsidR="001C0D96" w:rsidRDefault="00F929F7">
            <w:r>
              <w:rPr>
                <w:sz w:val="20"/>
                <w:szCs w:val="20"/>
              </w:rPr>
              <w:t>Months 13-15</w:t>
            </w:r>
          </w:p>
        </w:tc>
        <w:tc>
          <w:tcPr>
            <w:tcW w:w="5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F20E71" w14:textId="77777777" w:rsidR="001C0D96" w:rsidRDefault="00F929F7">
            <w:r>
              <w:rPr>
                <w:sz w:val="20"/>
                <w:szCs w:val="20"/>
              </w:rPr>
              <w:t>Draft governance framework; write Chapters 1-4</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20AC51" w14:textId="77777777" w:rsidR="001C0D96" w:rsidRDefault="00F929F7">
            <w:r>
              <w:rPr>
                <w:b/>
                <w:bCs/>
                <w:sz w:val="20"/>
                <w:szCs w:val="20"/>
              </w:rPr>
              <w:t>Framework Draft</w:t>
            </w:r>
          </w:p>
        </w:tc>
      </w:tr>
      <w:tr w:rsidR="001C0D96" w14:paraId="224050AC"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BA4ADB3" w14:textId="77777777" w:rsidR="001C0D96" w:rsidRDefault="00F929F7">
            <w:r>
              <w:rPr>
                <w:sz w:val="20"/>
                <w:szCs w:val="20"/>
              </w:rPr>
              <w:t>Months 16-18</w:t>
            </w:r>
          </w:p>
        </w:tc>
        <w:tc>
          <w:tcPr>
            <w:tcW w:w="57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47A85430" w14:textId="77777777" w:rsidR="001C0D96" w:rsidRDefault="00F929F7">
            <w:r>
              <w:rPr>
                <w:sz w:val="20"/>
                <w:szCs w:val="20"/>
              </w:rPr>
              <w:t>Delphi validation rounds; refine framework based on expert panel</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FB29D11" w14:textId="77777777" w:rsidR="001C0D96" w:rsidRDefault="00F929F7">
            <w:r>
              <w:rPr>
                <w:b/>
                <w:bCs/>
                <w:sz w:val="20"/>
                <w:szCs w:val="20"/>
              </w:rPr>
              <w:t>Framework Validated</w:t>
            </w:r>
          </w:p>
        </w:tc>
      </w:tr>
      <w:tr w:rsidR="001C0D96" w14:paraId="49A4D485"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639281" w14:textId="77777777" w:rsidR="001C0D96" w:rsidRDefault="00F929F7">
            <w:r>
              <w:rPr>
                <w:sz w:val="20"/>
                <w:szCs w:val="20"/>
              </w:rPr>
              <w:t>Months 19-21</w:t>
            </w:r>
          </w:p>
        </w:tc>
        <w:tc>
          <w:tcPr>
            <w:tcW w:w="57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F8254C" w14:textId="77777777" w:rsidR="001C0D96" w:rsidRDefault="00F929F7">
            <w:r>
              <w:rPr>
                <w:sz w:val="20"/>
                <w:szCs w:val="20"/>
              </w:rPr>
              <w:t>Write Chapters 5-7; journal article submissions</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BBA48F" w14:textId="77777777" w:rsidR="001C0D96" w:rsidRDefault="00F929F7">
            <w:r>
              <w:rPr>
                <w:b/>
                <w:bCs/>
                <w:sz w:val="20"/>
                <w:szCs w:val="20"/>
              </w:rPr>
              <w:t>Draft Thesis 70%</w:t>
            </w:r>
          </w:p>
        </w:tc>
      </w:tr>
      <w:tr w:rsidR="001C0D96" w14:paraId="5FA869D1" w14:textId="77777777">
        <w:tblPrEx>
          <w:tblCellMar>
            <w:top w:w="0" w:type="dxa"/>
            <w:bottom w:w="0" w:type="dxa"/>
          </w:tblCellMar>
        </w:tblPrEx>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379D299" w14:textId="77777777" w:rsidR="001C0D96" w:rsidRDefault="00F929F7">
            <w:r>
              <w:rPr>
                <w:sz w:val="20"/>
                <w:szCs w:val="20"/>
              </w:rPr>
              <w:t>Months 22-24</w:t>
            </w:r>
          </w:p>
        </w:tc>
        <w:tc>
          <w:tcPr>
            <w:tcW w:w="57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03912116" w14:textId="77777777" w:rsidR="001C0D96" w:rsidRDefault="00F929F7">
            <w:r>
              <w:rPr>
                <w:sz w:val="20"/>
                <w:szCs w:val="20"/>
              </w:rPr>
              <w:t>Final thesis writing; internal review; submission</w:t>
            </w:r>
          </w:p>
        </w:tc>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1AEF2E0" w14:textId="77777777" w:rsidR="001C0D96" w:rsidRDefault="00F929F7">
            <w:r>
              <w:rPr>
                <w:b/>
                <w:bCs/>
                <w:sz w:val="20"/>
                <w:szCs w:val="20"/>
              </w:rPr>
              <w:t>Thesis Submitted</w:t>
            </w:r>
          </w:p>
        </w:tc>
      </w:tr>
    </w:tbl>
    <w:p w14:paraId="5AF06D3C" w14:textId="77777777" w:rsidR="001C0D96" w:rsidRDefault="001C0D96">
      <w:pPr>
        <w:spacing w:after="80"/>
      </w:pPr>
    </w:p>
    <w:p w14:paraId="549B8FBB" w14:textId="77777777" w:rsidR="001C0D96" w:rsidRDefault="00F929F7">
      <w:r>
        <w:br w:type="page"/>
      </w:r>
    </w:p>
    <w:p w14:paraId="6EE5D937" w14:textId="703F4061" w:rsidR="001C0D96" w:rsidRDefault="00F929F7">
      <w:pPr>
        <w:pStyle w:val="Heading1"/>
      </w:pPr>
      <w:r>
        <w:lastRenderedPageBreak/>
        <w:t>10. National Cybersecurity Authority Alignment</w:t>
      </w:r>
      <w:r w:rsidR="00D40174">
        <w:rPr>
          <w:rFonts w:hint="cs"/>
          <w:rtl/>
        </w:rPr>
        <w:t xml:space="preserve"> موائمة التشريعات - </w:t>
      </w:r>
    </w:p>
    <w:p w14:paraId="02CAFC7C" w14:textId="77777777" w:rsidR="001C0D96" w:rsidRDefault="001C0D96">
      <w:pPr>
        <w:pBdr>
          <w:bottom w:val="single" w:sz="6" w:space="1" w:color="2E75B6"/>
        </w:pBdr>
        <w:spacing w:before="120" w:after="120"/>
      </w:pPr>
    </w:p>
    <w:p w14:paraId="4044CAEF" w14:textId="77777777" w:rsidR="001C0D96" w:rsidRDefault="00F929F7">
      <w:pPr>
        <w:spacing w:before="80" w:after="120"/>
        <w:jc w:val="both"/>
      </w:pPr>
      <w:r>
        <w:t>This research is explicitly designed to support Saudi Arabia's national cybersecurity priorities as articulated by the NCA. The table below maps each NCA scholarship research focus area to the relevant dimensions of this research:</w:t>
      </w:r>
    </w:p>
    <w:p w14:paraId="2A29FAE9" w14:textId="77777777" w:rsidR="001C0D96" w:rsidRDefault="001C0D96">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C0D96" w14:paraId="1BCD074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78B7D16" w14:textId="77777777" w:rsidR="001C0D96" w:rsidRDefault="00F929F7">
            <w:r>
              <w:rPr>
                <w:b/>
                <w:bCs/>
                <w:color w:val="FFFFFF"/>
              </w:rPr>
              <w:t>NCA Priority Area</w:t>
            </w:r>
          </w:p>
        </w:tc>
        <w:tc>
          <w:tcPr>
            <w:tcW w:w="4680" w:type="dxa"/>
            <w:tcBorders>
              <w:top w:val="single" w:sz="1" w:space="0" w:color="CCCCCC"/>
              <w:left w:val="single" w:sz="1" w:space="0" w:color="CCCCCC"/>
              <w:bottom w:val="single" w:sz="1" w:space="0" w:color="CCCCCC"/>
              <w:right w:val="single" w:sz="1" w:space="0" w:color="CCCCCC"/>
            </w:tcBorders>
            <w:shd w:val="clear" w:color="auto" w:fill="2E75B6"/>
            <w:tcMar>
              <w:top w:w="80" w:type="dxa"/>
              <w:left w:w="120" w:type="dxa"/>
              <w:bottom w:w="80" w:type="dxa"/>
              <w:right w:w="120" w:type="dxa"/>
            </w:tcMar>
          </w:tcPr>
          <w:p w14:paraId="2D4A7090" w14:textId="77777777" w:rsidR="001C0D96" w:rsidRDefault="00F929F7">
            <w:r>
              <w:rPr>
                <w:b/>
                <w:bCs/>
                <w:color w:val="FFFFFF"/>
              </w:rPr>
              <w:t>Research Alignment</w:t>
            </w:r>
          </w:p>
        </w:tc>
      </w:tr>
      <w:tr w:rsidR="001C0D96" w14:paraId="60F6BC84"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39DD749" w14:textId="77777777" w:rsidR="001C0D96" w:rsidRDefault="00F929F7">
            <w:r>
              <w:rPr>
                <w:sz w:val="21"/>
                <w:szCs w:val="21"/>
              </w:rPr>
              <w:t>Operational Technology Systems Security</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58DBD7" w14:textId="77777777" w:rsidR="001C0D96" w:rsidRDefault="00F929F7">
            <w:r>
              <w:rPr>
                <w:sz w:val="21"/>
                <w:szCs w:val="21"/>
              </w:rPr>
              <w:t xml:space="preserve">This is the core research focus. The entire framework development, expert interviews, and case study analysis are </w:t>
            </w:r>
            <w:proofErr w:type="spellStart"/>
            <w:r>
              <w:rPr>
                <w:sz w:val="21"/>
                <w:szCs w:val="21"/>
              </w:rPr>
              <w:t>centred</w:t>
            </w:r>
            <w:proofErr w:type="spellEnd"/>
            <w:r>
              <w:rPr>
                <w:sz w:val="21"/>
                <w:szCs w:val="21"/>
              </w:rPr>
              <w:t xml:space="preserve"> on OT security governance in modern industrial environments</w:t>
            </w:r>
          </w:p>
        </w:tc>
      </w:tr>
      <w:tr w:rsidR="001C0D96" w14:paraId="142B24FD"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74AB0611" w14:textId="77777777" w:rsidR="001C0D96" w:rsidRDefault="00F929F7">
            <w:r>
              <w:rPr>
                <w:sz w:val="21"/>
                <w:szCs w:val="21"/>
              </w:rPr>
              <w:t>Cybersecurity-related Public Policies</w:t>
            </w:r>
          </w:p>
        </w:tc>
        <w:tc>
          <w:tcPr>
            <w:tcW w:w="468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6014AC84" w14:textId="77777777" w:rsidR="001C0D96" w:rsidRDefault="00F929F7">
            <w:r>
              <w:rPr>
                <w:sz w:val="21"/>
                <w:szCs w:val="21"/>
              </w:rPr>
              <w:t>Policy contribution is an explicit research output. The validated framework will include national policy recommendations applicable to NCA guidelines and Saudi Vision 2030 infrastructure strategy</w:t>
            </w:r>
          </w:p>
        </w:tc>
      </w:tr>
      <w:tr w:rsidR="001C0D96" w14:paraId="393A7C0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36BA00" w14:textId="77777777" w:rsidR="001C0D96" w:rsidRDefault="00F929F7">
            <w:r>
              <w:rPr>
                <w:sz w:val="21"/>
                <w:szCs w:val="21"/>
              </w:rPr>
              <w:t>Cybersecurity in Emerging Technologies</w:t>
            </w:r>
          </w:p>
        </w:tc>
        <w:tc>
          <w:tcPr>
            <w:tcW w:w="468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8A85C5" w14:textId="77777777" w:rsidR="001C0D96" w:rsidRDefault="00F929F7">
            <w:r>
              <w:rPr>
                <w:sz w:val="21"/>
                <w:szCs w:val="21"/>
              </w:rPr>
              <w:t>Addressed as a primary risk dimension. AI, 5G, and cloud integration at the IT/OT boundary are investigated as the key emerging technology risk vectors within OT environments</w:t>
            </w:r>
          </w:p>
        </w:tc>
      </w:tr>
    </w:tbl>
    <w:p w14:paraId="13B511DB" w14:textId="77777777" w:rsidR="001C0D96" w:rsidRDefault="001C0D96">
      <w:pPr>
        <w:spacing w:after="80"/>
      </w:pPr>
    </w:p>
    <w:p w14:paraId="247AB4F5" w14:textId="77777777" w:rsidR="001C0D96" w:rsidRDefault="00F929F7">
      <w:pPr>
        <w:spacing w:before="80" w:after="120"/>
        <w:jc w:val="both"/>
      </w:pPr>
      <w:r>
        <w:t>While this research is independently conducted, its alignment with NCA priority areas ensures that findings will be directly relevant to Saudi Arabia's cybersecurity strategy and could contribute to future NCA guidance on OT security governance.</w:t>
      </w:r>
    </w:p>
    <w:p w14:paraId="127CEFE7" w14:textId="77777777" w:rsidR="001C0D96" w:rsidRDefault="001C0D96">
      <w:pPr>
        <w:spacing w:after="80"/>
      </w:pPr>
    </w:p>
    <w:p w14:paraId="5E0C1CAD" w14:textId="77777777" w:rsidR="001C0D96" w:rsidRDefault="00F929F7">
      <w:r>
        <w:br w:type="page"/>
      </w:r>
    </w:p>
    <w:p w14:paraId="11B4F5B0" w14:textId="1653CDF0" w:rsidR="001C0D96" w:rsidRDefault="00D40174">
      <w:pPr>
        <w:pStyle w:val="Heading1"/>
      </w:pPr>
      <w:r>
        <w:rPr>
          <w:rFonts w:hint="cs"/>
          <w:rtl/>
        </w:rPr>
        <w:lastRenderedPageBreak/>
        <w:t>11</w:t>
      </w:r>
      <w:r w:rsidR="00F929F7">
        <w:t>. Researcher Positionality and Unique Advantage</w:t>
      </w:r>
    </w:p>
    <w:p w14:paraId="6642166F" w14:textId="77777777" w:rsidR="001C0D96" w:rsidRDefault="001C0D96">
      <w:pPr>
        <w:pBdr>
          <w:bottom w:val="single" w:sz="6" w:space="1" w:color="2E75B6"/>
        </w:pBdr>
        <w:spacing w:before="120" w:after="120"/>
      </w:pPr>
    </w:p>
    <w:p w14:paraId="106394B1" w14:textId="77777777" w:rsidR="001C0D96" w:rsidRDefault="00F929F7">
      <w:pPr>
        <w:spacing w:before="80" w:after="120"/>
        <w:jc w:val="both"/>
      </w:pPr>
      <w:r>
        <w:t>The researcher brings an exceptionally relevant practitioner background to this PhD. As the CISO of NEOM Green Hydrogen Company, the researcher oversees cybersecurity governance for one of the world's most prominent modern OT environments: a greenfield industrial installation integrating hydrogen production, renewable energy systems, and advanced digital infrastructure.</w:t>
      </w:r>
    </w:p>
    <w:p w14:paraId="574C0126" w14:textId="77777777" w:rsidR="001C0D96" w:rsidRDefault="00F929F7">
      <w:pPr>
        <w:spacing w:before="80" w:after="120"/>
        <w:jc w:val="both"/>
      </w:pPr>
      <w:r>
        <w:t xml:space="preserve">This positionality </w:t>
      </w:r>
      <w:proofErr w:type="gramStart"/>
      <w:r>
        <w:t>confers</w:t>
      </w:r>
      <w:proofErr w:type="gramEnd"/>
      <w:r>
        <w:t xml:space="preserve"> several research advantages:</w:t>
      </w:r>
    </w:p>
    <w:p w14:paraId="19D4E726" w14:textId="77777777" w:rsidR="001C0D96" w:rsidRDefault="00F929F7">
      <w:pPr>
        <w:pStyle w:val="ListParagraph"/>
        <w:numPr>
          <w:ilvl w:val="0"/>
          <w:numId w:val="2"/>
        </w:numPr>
        <w:spacing w:before="60" w:after="60"/>
      </w:pPr>
      <w:r>
        <w:t>Direct access to real-world governance challenges that form the empirical foundation of the research problem</w:t>
      </w:r>
    </w:p>
    <w:p w14:paraId="17B45634" w14:textId="77777777" w:rsidR="001C0D96" w:rsidRDefault="00F929F7">
      <w:pPr>
        <w:pStyle w:val="ListParagraph"/>
        <w:numPr>
          <w:ilvl w:val="0"/>
          <w:numId w:val="2"/>
        </w:numPr>
        <w:spacing w:before="60" w:after="60"/>
      </w:pPr>
      <w:r>
        <w:t>Professional networks within the OT security, ICS, and critical infrastructure communities that facilitate expert interview recruitment</w:t>
      </w:r>
    </w:p>
    <w:p w14:paraId="7C5BC19C" w14:textId="77777777" w:rsidR="001C0D96" w:rsidRDefault="00F929F7">
      <w:pPr>
        <w:pStyle w:val="ListParagraph"/>
        <w:numPr>
          <w:ilvl w:val="0"/>
          <w:numId w:val="2"/>
        </w:numPr>
        <w:spacing w:before="60" w:after="60"/>
      </w:pPr>
      <w:r>
        <w:t>Practitioner credibility that enhances the quality and depth of expert interviews</w:t>
      </w:r>
    </w:p>
    <w:p w14:paraId="671F6AC4" w14:textId="77777777" w:rsidR="001C0D96" w:rsidRDefault="00F929F7">
      <w:pPr>
        <w:pStyle w:val="ListParagraph"/>
        <w:numPr>
          <w:ilvl w:val="0"/>
          <w:numId w:val="2"/>
        </w:numPr>
        <w:spacing w:before="60" w:after="60"/>
      </w:pPr>
      <w:r>
        <w:t>Insider knowledge of the specific gaps between academic frameworks and operational reality</w:t>
      </w:r>
    </w:p>
    <w:p w14:paraId="3B4FCD07" w14:textId="12625253" w:rsidR="001C0D96" w:rsidRDefault="00F929F7">
      <w:pPr>
        <w:spacing w:before="80" w:after="120"/>
        <w:jc w:val="both"/>
      </w:pPr>
      <w:r>
        <w:t xml:space="preserve">The researcher is aware of the methodological implications of insider research and will address these through reflexivity documentation, clear boundary-setting between </w:t>
      </w:r>
      <w:r w:rsidR="00D40174">
        <w:t>organizational</w:t>
      </w:r>
      <w:r>
        <w:t xml:space="preserve"> and research roles, and rigorous confidentiality protocols.</w:t>
      </w:r>
    </w:p>
    <w:p w14:paraId="7F7947A0" w14:textId="77777777" w:rsidR="001C0D96" w:rsidRDefault="001C0D96">
      <w:pPr>
        <w:spacing w:after="80"/>
      </w:pPr>
    </w:p>
    <w:p w14:paraId="6ABDCD44" w14:textId="77777777" w:rsidR="001C0D96" w:rsidRDefault="00F929F7">
      <w:r>
        <w:br w:type="page"/>
      </w:r>
    </w:p>
    <w:p w14:paraId="0E78AB8F" w14:textId="55582665" w:rsidR="001C0D96" w:rsidRDefault="00F929F7">
      <w:pPr>
        <w:pStyle w:val="Heading1"/>
      </w:pPr>
      <w:r>
        <w:lastRenderedPageBreak/>
        <w:t>12. Preliminary Reference List</w:t>
      </w:r>
      <w:r w:rsidR="00D40174">
        <w:rPr>
          <w:rFonts w:hint="cs"/>
          <w:rtl/>
        </w:rPr>
        <w:t xml:space="preserve"> قائمة المراجع المبدئية - </w:t>
      </w:r>
    </w:p>
    <w:p w14:paraId="465A381C" w14:textId="77777777" w:rsidR="001C0D96" w:rsidRDefault="001C0D96">
      <w:pPr>
        <w:pBdr>
          <w:bottom w:val="single" w:sz="6" w:space="1" w:color="2E75B6"/>
        </w:pBdr>
        <w:spacing w:before="120" w:after="120"/>
      </w:pPr>
    </w:p>
    <w:p w14:paraId="0E2755A1" w14:textId="77777777" w:rsidR="001C0D96" w:rsidRDefault="00F929F7">
      <w:pPr>
        <w:spacing w:before="80" w:after="120"/>
        <w:jc w:val="both"/>
      </w:pPr>
      <w:r>
        <w:t>The following represents an initial set of key references. A comprehensive bibliography will be developed as the systematic literature review is completed.</w:t>
      </w:r>
    </w:p>
    <w:p w14:paraId="160CB198" w14:textId="77777777" w:rsidR="001C0D96" w:rsidRDefault="001C0D96">
      <w:pPr>
        <w:spacing w:after="80"/>
      </w:pPr>
    </w:p>
    <w:p w14:paraId="0005DF3A" w14:textId="77777777" w:rsidR="001C0D96" w:rsidRDefault="00F929F7">
      <w:pPr>
        <w:spacing w:before="80" w:after="120"/>
        <w:jc w:val="both"/>
      </w:pPr>
      <w:r>
        <w:rPr>
          <w:b/>
          <w:bCs/>
        </w:rPr>
        <w:t>Standards and Frameworks:</w:t>
      </w:r>
    </w:p>
    <w:p w14:paraId="7C5160B9" w14:textId="77777777" w:rsidR="001C0D96" w:rsidRDefault="00F929F7">
      <w:pPr>
        <w:pStyle w:val="ListParagraph"/>
        <w:numPr>
          <w:ilvl w:val="0"/>
          <w:numId w:val="2"/>
        </w:numPr>
        <w:spacing w:before="60" w:after="60"/>
      </w:pPr>
      <w:r>
        <w:t>IEC 62443: Industrial Automation and Control Systems Security (series)</w:t>
      </w:r>
    </w:p>
    <w:p w14:paraId="58F8A34D" w14:textId="77777777" w:rsidR="001C0D96" w:rsidRDefault="00F929F7">
      <w:pPr>
        <w:pStyle w:val="ListParagraph"/>
        <w:numPr>
          <w:ilvl w:val="0"/>
          <w:numId w:val="2"/>
        </w:numPr>
        <w:spacing w:before="60" w:after="60"/>
      </w:pPr>
      <w:r>
        <w:t>NIST SP 800-82 Rev. 3: Guide to Operational Technology Security (2023)</w:t>
      </w:r>
    </w:p>
    <w:p w14:paraId="559D9F9B" w14:textId="77777777" w:rsidR="001C0D96" w:rsidRDefault="00F929F7">
      <w:pPr>
        <w:pStyle w:val="ListParagraph"/>
        <w:numPr>
          <w:ilvl w:val="0"/>
          <w:numId w:val="2"/>
        </w:numPr>
        <w:spacing w:before="60" w:after="60"/>
      </w:pPr>
      <w:r>
        <w:t>NERC CIP Standards: Critical Infrastructure Protection for Energy Sector OT</w:t>
      </w:r>
    </w:p>
    <w:p w14:paraId="1B00E6F6" w14:textId="77777777" w:rsidR="001C0D96" w:rsidRDefault="00F929F7">
      <w:pPr>
        <w:pStyle w:val="ListParagraph"/>
        <w:numPr>
          <w:ilvl w:val="0"/>
          <w:numId w:val="2"/>
        </w:numPr>
        <w:spacing w:before="60" w:after="60"/>
      </w:pPr>
      <w:r>
        <w:t>NCA Essential Cybersecurity Controls (ECC), National Cybersecurity Authority, Saudi Arabia</w:t>
      </w:r>
    </w:p>
    <w:p w14:paraId="0CA92331" w14:textId="77777777" w:rsidR="001C0D96" w:rsidRDefault="00F929F7">
      <w:pPr>
        <w:pStyle w:val="ListParagraph"/>
        <w:numPr>
          <w:ilvl w:val="0"/>
          <w:numId w:val="2"/>
        </w:numPr>
        <w:spacing w:before="60" w:after="60"/>
      </w:pPr>
      <w:r>
        <w:t>ENISA: Good Practices for Security of Industrial Control Systems (2022)</w:t>
      </w:r>
    </w:p>
    <w:p w14:paraId="4FB7CEA4" w14:textId="77777777" w:rsidR="001C0D96" w:rsidRDefault="001C0D96">
      <w:pPr>
        <w:spacing w:after="80"/>
      </w:pPr>
    </w:p>
    <w:p w14:paraId="597F3A20" w14:textId="77777777" w:rsidR="001C0D96" w:rsidRDefault="00F929F7">
      <w:pPr>
        <w:spacing w:before="80" w:after="120"/>
        <w:jc w:val="both"/>
      </w:pPr>
      <w:r>
        <w:rPr>
          <w:b/>
          <w:bCs/>
        </w:rPr>
        <w:t>Seminal Academic Works:</w:t>
      </w:r>
    </w:p>
    <w:p w14:paraId="00E5C195" w14:textId="77777777" w:rsidR="001C0D96" w:rsidRDefault="00F929F7">
      <w:pPr>
        <w:pStyle w:val="ListParagraph"/>
        <w:numPr>
          <w:ilvl w:val="0"/>
          <w:numId w:val="2"/>
        </w:numPr>
        <w:spacing w:before="60" w:after="60"/>
      </w:pPr>
      <w:r>
        <w:t>Stouffer, K., Falco, J., &amp; Scarfone, K. (2011). Guide to Industrial Control Systems Security. NIST.</w:t>
      </w:r>
    </w:p>
    <w:p w14:paraId="09403072" w14:textId="77777777" w:rsidR="001C0D96" w:rsidRDefault="00F929F7">
      <w:pPr>
        <w:pStyle w:val="ListParagraph"/>
        <w:numPr>
          <w:ilvl w:val="0"/>
          <w:numId w:val="2"/>
        </w:numPr>
        <w:spacing w:before="60" w:after="60"/>
      </w:pPr>
      <w:r>
        <w:t>Langner, R. (2011). Stuxnet: Dissecting a Cyberweapon. IEEE Security &amp; Privacy.</w:t>
      </w:r>
    </w:p>
    <w:p w14:paraId="7E8F4B8B" w14:textId="77777777" w:rsidR="001C0D96" w:rsidRDefault="00F929F7">
      <w:pPr>
        <w:pStyle w:val="ListParagraph"/>
        <w:numPr>
          <w:ilvl w:val="0"/>
          <w:numId w:val="2"/>
        </w:numPr>
        <w:spacing w:before="60" w:after="60"/>
      </w:pPr>
      <w:r>
        <w:t>Lee, R.M., Assante, M.J., &amp; Conway, T. (2016). Analysis of the Cyber Attack on the Ukrainian Power Grid. SANS ICS.</w:t>
      </w:r>
    </w:p>
    <w:p w14:paraId="5A521FCC" w14:textId="77777777" w:rsidR="001C0D96" w:rsidRDefault="00F929F7">
      <w:pPr>
        <w:pStyle w:val="ListParagraph"/>
        <w:numPr>
          <w:ilvl w:val="0"/>
          <w:numId w:val="2"/>
        </w:numPr>
        <w:spacing w:before="60" w:after="60"/>
      </w:pPr>
      <w:r>
        <w:t>Knowles, W. et al. (2015). A Survey of Cyber Security Management in Industrial Control Systems. International Journal of Critical Infrastructure Protection.</w:t>
      </w:r>
    </w:p>
    <w:p w14:paraId="1B9AC6EE" w14:textId="77777777" w:rsidR="001C0D96" w:rsidRDefault="00F929F7">
      <w:pPr>
        <w:pStyle w:val="ListParagraph"/>
        <w:numPr>
          <w:ilvl w:val="0"/>
          <w:numId w:val="2"/>
        </w:numPr>
        <w:spacing w:before="60" w:after="60"/>
      </w:pPr>
      <w:r>
        <w:t>Yin, R.K. (2018). Case Study Research and Applications: Design and Methods (6th ed.). SAGE.</w:t>
      </w:r>
    </w:p>
    <w:p w14:paraId="1BCE4891" w14:textId="77777777" w:rsidR="001C0D96" w:rsidRDefault="00F929F7">
      <w:pPr>
        <w:pStyle w:val="ListParagraph"/>
        <w:numPr>
          <w:ilvl w:val="0"/>
          <w:numId w:val="2"/>
        </w:numPr>
        <w:spacing w:before="60" w:after="60"/>
      </w:pPr>
      <w:r>
        <w:t>Braun, V. &amp; Clarke, V. (2006). Using Thematic Analysis in Psychology. Qualitative Research in Psychology.</w:t>
      </w:r>
    </w:p>
    <w:p w14:paraId="53C2ADAE" w14:textId="77777777" w:rsidR="001C0D96" w:rsidRDefault="001C0D96">
      <w:pPr>
        <w:spacing w:after="80"/>
      </w:pPr>
    </w:p>
    <w:p w14:paraId="6E8DBF3B" w14:textId="77777777" w:rsidR="001C0D96" w:rsidRDefault="00F929F7">
      <w:pPr>
        <w:spacing w:before="80" w:after="120"/>
        <w:jc w:val="both"/>
      </w:pPr>
      <w:r>
        <w:rPr>
          <w:b/>
          <w:bCs/>
        </w:rPr>
        <w:t>Emerging Technology in OT:</w:t>
      </w:r>
    </w:p>
    <w:p w14:paraId="4EEE1E2A" w14:textId="77777777" w:rsidR="001C0D96" w:rsidRDefault="00F929F7">
      <w:pPr>
        <w:pStyle w:val="ListParagraph"/>
        <w:numPr>
          <w:ilvl w:val="0"/>
          <w:numId w:val="2"/>
        </w:numPr>
        <w:spacing w:before="60" w:after="60"/>
      </w:pPr>
      <w:r>
        <w:t>Boyes, H. et al. (2018). The Industrial Internet of Things (</w:t>
      </w:r>
      <w:proofErr w:type="spellStart"/>
      <w:r>
        <w:t>IIoT</w:t>
      </w:r>
      <w:proofErr w:type="spellEnd"/>
      <w:r>
        <w:t>): An Analysis Framework. Computers in Industry.</w:t>
      </w:r>
    </w:p>
    <w:p w14:paraId="2008021C" w14:textId="77777777" w:rsidR="001C0D96" w:rsidRDefault="00F929F7">
      <w:pPr>
        <w:pStyle w:val="ListParagraph"/>
        <w:numPr>
          <w:ilvl w:val="0"/>
          <w:numId w:val="2"/>
        </w:numPr>
        <w:spacing w:before="60" w:after="60"/>
      </w:pPr>
      <w:proofErr w:type="spellStart"/>
      <w:r>
        <w:t>Cheminod</w:t>
      </w:r>
      <w:proofErr w:type="spellEnd"/>
      <w:r>
        <w:t>, M. et al. (2013). Review of Security Issues in Industrial Networks. IEEE Transactions on Industrial Informatics.</w:t>
      </w:r>
    </w:p>
    <w:p w14:paraId="6E459F45" w14:textId="77777777" w:rsidR="001C0D96" w:rsidRDefault="00F929F7">
      <w:pPr>
        <w:pStyle w:val="ListParagraph"/>
        <w:numPr>
          <w:ilvl w:val="0"/>
          <w:numId w:val="2"/>
        </w:numPr>
        <w:spacing w:before="60" w:after="60"/>
      </w:pPr>
      <w:r>
        <w:t>Dragos Inc. (2024). Year in Review: ICS/OT Cybersecurity. Dragos Annual Report.</w:t>
      </w:r>
    </w:p>
    <w:p w14:paraId="7FFC159F" w14:textId="77777777" w:rsidR="001C0D96" w:rsidRDefault="00F929F7">
      <w:pPr>
        <w:pStyle w:val="ListParagraph"/>
        <w:numPr>
          <w:ilvl w:val="0"/>
          <w:numId w:val="2"/>
        </w:numPr>
        <w:spacing w:before="60" w:after="60"/>
      </w:pPr>
      <w:proofErr w:type="spellStart"/>
      <w:r>
        <w:t>Claroty</w:t>
      </w:r>
      <w:proofErr w:type="spellEnd"/>
      <w:r>
        <w:t xml:space="preserve"> (2024). The Global State of Industrial Cybersecurity. </w:t>
      </w:r>
      <w:proofErr w:type="spellStart"/>
      <w:r>
        <w:t>Claroty</w:t>
      </w:r>
      <w:proofErr w:type="spellEnd"/>
      <w:r>
        <w:t xml:space="preserve"> Research.</w:t>
      </w:r>
    </w:p>
    <w:sectPr w:rsidR="001C0D96">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A28F5" w14:textId="77777777" w:rsidR="00F929F7" w:rsidRDefault="00F929F7">
      <w:r>
        <w:separator/>
      </w:r>
    </w:p>
  </w:endnote>
  <w:endnote w:type="continuationSeparator" w:id="0">
    <w:p w14:paraId="26A14CBA" w14:textId="77777777" w:rsidR="00F929F7" w:rsidRDefault="00F9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574598"/>
      <w:docPartObj>
        <w:docPartGallery w:val="Page Numbers (Bottom of Page)"/>
        <w:docPartUnique/>
      </w:docPartObj>
    </w:sdtPr>
    <w:sdtContent>
      <w:p w14:paraId="719BBAED" w14:textId="5CF40D83" w:rsidR="00633D64" w:rsidRDefault="00633D64">
        <w:pPr>
          <w:pStyle w:val="Footer"/>
          <w:jc w:val="right"/>
        </w:pPr>
        <w:r>
          <w:t xml:space="preserve">Abdulaziz Alarfaj </w:t>
        </w:r>
        <w:r>
          <w:tab/>
        </w:r>
        <w:r>
          <w:tab/>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2E9545F" w14:textId="2BCCF9E6" w:rsidR="001C0D96" w:rsidRDefault="001C0D96">
    <w:pPr>
      <w:pBdr>
        <w:top w:val="single" w:sz="6" w:space="1" w:color="2E75B6"/>
      </w:pBdr>
      <w:tabs>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CBB17" w14:textId="77777777" w:rsidR="00F929F7" w:rsidRDefault="00F929F7">
      <w:r>
        <w:separator/>
      </w:r>
    </w:p>
  </w:footnote>
  <w:footnote w:type="continuationSeparator" w:id="0">
    <w:p w14:paraId="1943EE6E" w14:textId="77777777" w:rsidR="00F929F7" w:rsidRDefault="00F92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93FA" w14:textId="04CF41BF" w:rsidR="001C0D96" w:rsidRDefault="00633D64">
    <w:pPr>
      <w:pBdr>
        <w:bottom w:val="single" w:sz="6" w:space="1" w:color="2E75B6"/>
      </w:pBdr>
    </w:pPr>
    <w:r>
      <w:rPr>
        <w:noProof/>
      </w:rPr>
      <w:drawing>
        <wp:inline distT="0" distB="0" distL="0" distR="0" wp14:anchorId="763FB9D5" wp14:editId="7C6E7372">
          <wp:extent cx="1085735" cy="723900"/>
          <wp:effectExtent l="0" t="0" r="635" b="0"/>
          <wp:docPr id="2" name="Picture 1" descr="Midocean  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Midocean  01-03"/>
                  <pic:cNvPicPr>
                    <a:picLocks noChangeAspect="1"/>
                  </pic:cNvPicPr>
                </pic:nvPicPr>
                <pic:blipFill>
                  <a:blip r:embed="rId1"/>
                  <a:stretch>
                    <a:fillRect/>
                  </a:stretch>
                </pic:blipFill>
                <pic:spPr>
                  <a:xfrm>
                    <a:off x="0" y="0"/>
                    <a:ext cx="1105268" cy="7369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C170A"/>
    <w:multiLevelType w:val="hybridMultilevel"/>
    <w:tmpl w:val="F950F590"/>
    <w:lvl w:ilvl="0" w:tplc="3C306E4C">
      <w:start w:val="1"/>
      <w:numFmt w:val="bullet"/>
      <w:lvlText w:val="•"/>
      <w:lvlJc w:val="left"/>
      <w:pPr>
        <w:ind w:left="720" w:hanging="360"/>
      </w:pPr>
    </w:lvl>
    <w:lvl w:ilvl="1" w:tplc="B9D22CA2">
      <w:start w:val="1"/>
      <w:numFmt w:val="bullet"/>
      <w:lvlText w:val="◦"/>
      <w:lvlJc w:val="left"/>
      <w:pPr>
        <w:ind w:left="1080" w:hanging="360"/>
      </w:pPr>
    </w:lvl>
    <w:lvl w:ilvl="2" w:tplc="C3C8506E">
      <w:numFmt w:val="decimal"/>
      <w:lvlText w:val=""/>
      <w:lvlJc w:val="left"/>
    </w:lvl>
    <w:lvl w:ilvl="3" w:tplc="20082A70">
      <w:numFmt w:val="decimal"/>
      <w:lvlText w:val=""/>
      <w:lvlJc w:val="left"/>
    </w:lvl>
    <w:lvl w:ilvl="4" w:tplc="51382AAE">
      <w:numFmt w:val="decimal"/>
      <w:lvlText w:val=""/>
      <w:lvlJc w:val="left"/>
    </w:lvl>
    <w:lvl w:ilvl="5" w:tplc="AC12BBDC">
      <w:numFmt w:val="decimal"/>
      <w:lvlText w:val=""/>
      <w:lvlJc w:val="left"/>
    </w:lvl>
    <w:lvl w:ilvl="6" w:tplc="9DB481DC">
      <w:numFmt w:val="decimal"/>
      <w:lvlText w:val=""/>
      <w:lvlJc w:val="left"/>
    </w:lvl>
    <w:lvl w:ilvl="7" w:tplc="5552B6C4">
      <w:numFmt w:val="decimal"/>
      <w:lvlText w:val=""/>
      <w:lvlJc w:val="left"/>
    </w:lvl>
    <w:lvl w:ilvl="8" w:tplc="06F8A84C">
      <w:numFmt w:val="decimal"/>
      <w:lvlText w:val=""/>
      <w:lvlJc w:val="left"/>
    </w:lvl>
  </w:abstractNum>
  <w:abstractNum w:abstractNumId="1" w15:restartNumberingAfterBreak="0">
    <w:nsid w:val="41A22F22"/>
    <w:multiLevelType w:val="hybridMultilevel"/>
    <w:tmpl w:val="D81C4F32"/>
    <w:lvl w:ilvl="0" w:tplc="8AD46A50">
      <w:start w:val="1"/>
      <w:numFmt w:val="bullet"/>
      <w:lvlText w:val="●"/>
      <w:lvlJc w:val="left"/>
      <w:pPr>
        <w:ind w:left="720" w:hanging="360"/>
      </w:pPr>
    </w:lvl>
    <w:lvl w:ilvl="1" w:tplc="0D0CF13E">
      <w:start w:val="1"/>
      <w:numFmt w:val="bullet"/>
      <w:lvlText w:val="○"/>
      <w:lvlJc w:val="left"/>
      <w:pPr>
        <w:ind w:left="1440" w:hanging="360"/>
      </w:pPr>
    </w:lvl>
    <w:lvl w:ilvl="2" w:tplc="7B7481F6">
      <w:start w:val="1"/>
      <w:numFmt w:val="bullet"/>
      <w:lvlText w:val="■"/>
      <w:lvlJc w:val="left"/>
      <w:pPr>
        <w:ind w:left="2160" w:hanging="360"/>
      </w:pPr>
    </w:lvl>
    <w:lvl w:ilvl="3" w:tplc="2A02FD6A">
      <w:start w:val="1"/>
      <w:numFmt w:val="bullet"/>
      <w:lvlText w:val="●"/>
      <w:lvlJc w:val="left"/>
      <w:pPr>
        <w:ind w:left="2880" w:hanging="360"/>
      </w:pPr>
    </w:lvl>
    <w:lvl w:ilvl="4" w:tplc="4F0AC79E">
      <w:start w:val="1"/>
      <w:numFmt w:val="bullet"/>
      <w:lvlText w:val="○"/>
      <w:lvlJc w:val="left"/>
      <w:pPr>
        <w:ind w:left="3600" w:hanging="360"/>
      </w:pPr>
    </w:lvl>
    <w:lvl w:ilvl="5" w:tplc="A2A06CFC">
      <w:start w:val="1"/>
      <w:numFmt w:val="bullet"/>
      <w:lvlText w:val="■"/>
      <w:lvlJc w:val="left"/>
      <w:pPr>
        <w:ind w:left="4320" w:hanging="360"/>
      </w:pPr>
    </w:lvl>
    <w:lvl w:ilvl="6" w:tplc="9B0CB344">
      <w:start w:val="1"/>
      <w:numFmt w:val="bullet"/>
      <w:lvlText w:val="●"/>
      <w:lvlJc w:val="left"/>
      <w:pPr>
        <w:ind w:left="5040" w:hanging="360"/>
      </w:pPr>
    </w:lvl>
    <w:lvl w:ilvl="7" w:tplc="E81E5360">
      <w:start w:val="1"/>
      <w:numFmt w:val="bullet"/>
      <w:lvlText w:val="●"/>
      <w:lvlJc w:val="left"/>
      <w:pPr>
        <w:ind w:left="5760" w:hanging="360"/>
      </w:pPr>
    </w:lvl>
    <w:lvl w:ilvl="8" w:tplc="154A2E68">
      <w:start w:val="1"/>
      <w:numFmt w:val="bullet"/>
      <w:lvlText w:val="●"/>
      <w:lvlJc w:val="left"/>
      <w:pPr>
        <w:ind w:left="6480" w:hanging="360"/>
      </w:pPr>
    </w:lvl>
  </w:abstractNum>
  <w:abstractNum w:abstractNumId="2" w15:restartNumberingAfterBreak="0">
    <w:nsid w:val="4E763D30"/>
    <w:multiLevelType w:val="hybridMultilevel"/>
    <w:tmpl w:val="29F879F6"/>
    <w:lvl w:ilvl="0" w:tplc="667C3914">
      <w:start w:val="1"/>
      <w:numFmt w:val="decimal"/>
      <w:lvlText w:val="%1."/>
      <w:lvlJc w:val="left"/>
      <w:pPr>
        <w:ind w:left="720" w:hanging="360"/>
      </w:pPr>
    </w:lvl>
    <w:lvl w:ilvl="1" w:tplc="3D00B5FA">
      <w:numFmt w:val="decimal"/>
      <w:lvlText w:val=""/>
      <w:lvlJc w:val="left"/>
    </w:lvl>
    <w:lvl w:ilvl="2" w:tplc="ABC2A354">
      <w:numFmt w:val="decimal"/>
      <w:lvlText w:val=""/>
      <w:lvlJc w:val="left"/>
    </w:lvl>
    <w:lvl w:ilvl="3" w:tplc="3E5EE5BC">
      <w:numFmt w:val="decimal"/>
      <w:lvlText w:val=""/>
      <w:lvlJc w:val="left"/>
    </w:lvl>
    <w:lvl w:ilvl="4" w:tplc="EEAA7698">
      <w:numFmt w:val="decimal"/>
      <w:lvlText w:val=""/>
      <w:lvlJc w:val="left"/>
    </w:lvl>
    <w:lvl w:ilvl="5" w:tplc="25B600B6">
      <w:numFmt w:val="decimal"/>
      <w:lvlText w:val=""/>
      <w:lvlJc w:val="left"/>
    </w:lvl>
    <w:lvl w:ilvl="6" w:tplc="A25654EC">
      <w:numFmt w:val="decimal"/>
      <w:lvlText w:val=""/>
      <w:lvlJc w:val="left"/>
    </w:lvl>
    <w:lvl w:ilvl="7" w:tplc="7A885452">
      <w:numFmt w:val="decimal"/>
      <w:lvlText w:val=""/>
      <w:lvlJc w:val="left"/>
    </w:lvl>
    <w:lvl w:ilvl="8" w:tplc="2746FBFA">
      <w:numFmt w:val="decimal"/>
      <w:lvlText w:val=""/>
      <w:lvlJc w:val="left"/>
    </w:lvl>
  </w:abstractNum>
  <w:num w:numId="1" w16cid:durableId="827482068">
    <w:abstractNumId w:val="1"/>
    <w:lvlOverride w:ilvl="0">
      <w:startOverride w:val="1"/>
    </w:lvlOverride>
  </w:num>
  <w:num w:numId="2" w16cid:durableId="1702894168">
    <w:abstractNumId w:val="0"/>
    <w:lvlOverride w:ilvl="0">
      <w:startOverride w:val="1"/>
    </w:lvlOverride>
  </w:num>
  <w:num w:numId="3" w16cid:durableId="140163984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D96"/>
    <w:rsid w:val="001C0D96"/>
    <w:rsid w:val="00633D64"/>
    <w:rsid w:val="00903A74"/>
    <w:rsid w:val="009B0E98"/>
    <w:rsid w:val="00D40174"/>
    <w:rsid w:val="00F929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3606E"/>
  <w15:docId w15:val="{856B3977-67CD-4BB4-9349-D4527DF1E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4E79"/>
      <w:sz w:val="32"/>
      <w:szCs w:val="32"/>
    </w:rPr>
  </w:style>
  <w:style w:type="paragraph" w:styleId="Heading2">
    <w:name w:val="heading 2"/>
    <w:uiPriority w:val="9"/>
    <w:unhideWhenUsed/>
    <w:qFormat/>
    <w:pPr>
      <w:spacing w:before="240" w:after="80"/>
      <w:outlineLvl w:val="1"/>
    </w:pPr>
    <w:rPr>
      <w:b/>
      <w:bCs/>
      <w:color w:val="2E75B6"/>
      <w:sz w:val="26"/>
      <w:szCs w:val="26"/>
    </w:rPr>
  </w:style>
  <w:style w:type="paragraph" w:styleId="Heading3">
    <w:name w:val="heading 3"/>
    <w:uiPriority w:val="9"/>
    <w:unhideWhenUsed/>
    <w:qFormat/>
    <w:pPr>
      <w:spacing w:before="200" w:after="60"/>
      <w:outlineLvl w:val="2"/>
    </w:pPr>
    <w:rPr>
      <w:b/>
      <w:bCs/>
      <w:color w:val="333333"/>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633D64"/>
    <w:pPr>
      <w:tabs>
        <w:tab w:val="center" w:pos="4680"/>
        <w:tab w:val="right" w:pos="9360"/>
      </w:tabs>
    </w:pPr>
  </w:style>
  <w:style w:type="character" w:customStyle="1" w:styleId="HeaderChar">
    <w:name w:val="Header Char"/>
    <w:basedOn w:val="DefaultParagraphFont"/>
    <w:link w:val="Header"/>
    <w:uiPriority w:val="99"/>
    <w:rsid w:val="00633D64"/>
  </w:style>
  <w:style w:type="paragraph" w:styleId="Footer">
    <w:name w:val="footer"/>
    <w:basedOn w:val="Normal"/>
    <w:link w:val="FooterChar"/>
    <w:uiPriority w:val="99"/>
    <w:unhideWhenUsed/>
    <w:rsid w:val="00633D64"/>
    <w:pPr>
      <w:tabs>
        <w:tab w:val="center" w:pos="4680"/>
        <w:tab w:val="right" w:pos="9360"/>
      </w:tabs>
    </w:pPr>
  </w:style>
  <w:style w:type="character" w:customStyle="1" w:styleId="FooterChar">
    <w:name w:val="Footer Char"/>
    <w:basedOn w:val="DefaultParagraphFont"/>
    <w:link w:val="Footer"/>
    <w:uiPriority w:val="99"/>
    <w:rsid w:val="00633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3338</Words>
  <Characters>22103</Characters>
  <Application>Microsoft Office Word</Application>
  <DocSecurity>0</DocSecurity>
  <Lines>566</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Abdulaziz Alarfaj</dc:creator>
  <cp:lastModifiedBy>Abdulaziz Alarfaj</cp:lastModifiedBy>
  <cp:revision>2</cp:revision>
  <dcterms:created xsi:type="dcterms:W3CDTF">2026-03-10T08:54:00Z</dcterms:created>
  <dcterms:modified xsi:type="dcterms:W3CDTF">2026-03-10T08:54:00Z</dcterms:modified>
</cp:coreProperties>
</file>