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263EBA26" w14:textId="77777777" w:rsidR="00E968BF" w:rsidRDefault="00E968BF" w:rsidP="00E968BF">
      <w:pPr>
        <w:jc w:val="center"/>
        <w:rPr>
          <w:rFonts w:ascii="Arial" w:hAnsi="Arial" w:cs="Monotype Koufi"/>
          <w:b/>
          <w:bCs/>
          <w:sz w:val="44"/>
          <w:szCs w:val="44"/>
          <w:rtl/>
        </w:rPr>
      </w:pPr>
    </w:p>
    <w:p w14:paraId="6EB7BF09" w14:textId="2DF4DFE9" w:rsidR="00E968BF" w:rsidRDefault="00E968BF" w:rsidP="00E968BF">
      <w:pPr>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أطروحة</w:t>
      </w:r>
      <w:r>
        <w:rPr>
          <w:rFonts w:ascii="Arial" w:hAnsi="Arial" w:cs="Monotype Koufi" w:hint="cs"/>
          <w:b/>
          <w:bCs/>
          <w:sz w:val="44"/>
          <w:szCs w:val="44"/>
          <w:rtl/>
        </w:rPr>
        <w:t xml:space="preserve"> درجة الدكتوراه</w:t>
      </w:r>
    </w:p>
    <w:p w14:paraId="1A28A28D" w14:textId="77777777" w:rsidR="00E968BF" w:rsidRPr="00DF1AF8" w:rsidRDefault="00E968BF" w:rsidP="00E968BF">
      <w:pPr>
        <w:jc w:val="center"/>
        <w:rPr>
          <w:rFonts w:ascii="Arial" w:hAnsi="Arial" w:cs="Monotype Koufi"/>
          <w:b/>
          <w:bCs/>
          <w:sz w:val="44"/>
          <w:szCs w:val="44"/>
          <w:rtl/>
        </w:rPr>
      </w:pPr>
      <w:r>
        <w:rPr>
          <w:rFonts w:ascii="Arial" w:hAnsi="Arial" w:cs="Monotype Koufi" w:hint="cs"/>
          <w:b/>
          <w:bCs/>
          <w:sz w:val="44"/>
          <w:szCs w:val="44"/>
          <w:rtl/>
        </w:rPr>
        <w:t>بعنوان</w:t>
      </w:r>
    </w:p>
    <w:p w14:paraId="23F0AC74" w14:textId="77777777" w:rsidR="00E968BF" w:rsidRDefault="00E968BF" w:rsidP="00E968BF">
      <w:pPr>
        <w:pStyle w:val="NormalWeb"/>
        <w:bidi/>
        <w:spacing w:before="0" w:beforeAutospacing="0" w:after="0" w:afterAutospacing="0"/>
        <w:ind w:right="-270"/>
        <w:jc w:val="center"/>
        <w:rPr>
          <w:rtl/>
        </w:rPr>
      </w:pPr>
      <w:r w:rsidRPr="00D824BA">
        <w:rPr>
          <w:rFonts w:ascii="Arial" w:hAnsi="Arial" w:cs="Arial"/>
          <w:b/>
          <w:bCs/>
          <w:color w:val="0070C0"/>
          <w:sz w:val="32"/>
          <w:szCs w:val="32"/>
          <w:rtl/>
        </w:rPr>
        <w:t>أثر الحوافز الوظيفية على أداء الموظفين</w:t>
      </w:r>
      <w:r>
        <w:rPr>
          <w:rFonts w:ascii="Arial" w:hAnsi="Arial" w:cs="Arial" w:hint="cs"/>
          <w:b/>
          <w:bCs/>
          <w:color w:val="0070C0"/>
          <w:sz w:val="32"/>
          <w:szCs w:val="32"/>
          <w:rtl/>
        </w:rPr>
        <w:t>: (دراسة تطبيقية) على موظفي</w:t>
      </w:r>
      <w:r w:rsidRPr="00D824BA">
        <w:rPr>
          <w:rFonts w:ascii="Arial" w:hAnsi="Arial" w:cs="Arial"/>
          <w:b/>
          <w:bCs/>
          <w:color w:val="0070C0"/>
          <w:sz w:val="32"/>
          <w:szCs w:val="32"/>
          <w:rtl/>
        </w:rPr>
        <w:t xml:space="preserve"> الإدارة العامة للتشريعات والدراسات البيئية </w:t>
      </w:r>
    </w:p>
    <w:p w14:paraId="63149E94" w14:textId="77777777" w:rsidR="00E968BF" w:rsidRDefault="00E968BF" w:rsidP="00E968BF">
      <w:pPr>
        <w:pStyle w:val="NormalWeb"/>
        <w:bidi/>
        <w:spacing w:before="0" w:beforeAutospacing="0" w:after="0" w:afterAutospacing="0"/>
        <w:ind w:right="-270"/>
        <w:jc w:val="center"/>
        <w:rPr>
          <w:rtl/>
        </w:rPr>
      </w:pPr>
    </w:p>
    <w:p w14:paraId="291475B3" w14:textId="77777777" w:rsidR="00E968BF" w:rsidRDefault="00E968BF" w:rsidP="00E968BF">
      <w:pPr>
        <w:pStyle w:val="NormalWeb"/>
        <w:bidi/>
        <w:spacing w:before="0" w:beforeAutospacing="0" w:after="0" w:afterAutospacing="0"/>
        <w:ind w:right="-270"/>
        <w:jc w:val="center"/>
        <w:rPr>
          <w:rtl/>
        </w:rPr>
      </w:pPr>
    </w:p>
    <w:p w14:paraId="10F41704" w14:textId="77777777" w:rsidR="00E968BF" w:rsidRDefault="00E968BF" w:rsidP="00E968BF">
      <w:pPr>
        <w:pStyle w:val="NormalWeb"/>
        <w:bidi/>
        <w:spacing w:before="0" w:beforeAutospacing="0" w:after="0" w:afterAutospacing="0"/>
        <w:ind w:right="-270"/>
        <w:jc w:val="center"/>
        <w:rPr>
          <w:rtl/>
        </w:rPr>
      </w:pPr>
    </w:p>
    <w:p w14:paraId="7F23B6C3" w14:textId="77777777" w:rsidR="00E968BF" w:rsidRDefault="00E968BF" w:rsidP="00E968BF">
      <w:pPr>
        <w:pStyle w:val="NormalWeb"/>
        <w:bidi/>
        <w:spacing w:before="0" w:beforeAutospacing="0" w:after="0" w:afterAutospacing="0"/>
        <w:ind w:right="-270"/>
        <w:jc w:val="center"/>
      </w:pPr>
    </w:p>
    <w:p w14:paraId="18274D87" w14:textId="77777777" w:rsidR="00E968BF" w:rsidRDefault="00E968BF" w:rsidP="00E968BF">
      <w:pPr>
        <w:pStyle w:val="NormalWeb"/>
        <w:bidi/>
        <w:spacing w:before="0" w:beforeAutospacing="0" w:after="0" w:afterAutospacing="0"/>
        <w:ind w:right="-270"/>
        <w:jc w:val="center"/>
        <w:rPr>
          <w:rFonts w:ascii="Arial" w:hAnsi="Arial" w:cs="Arial"/>
          <w:b/>
          <w:bCs/>
          <w:color w:val="0070C0"/>
          <w:szCs w:val="28"/>
          <w:rtl/>
        </w:rPr>
      </w:pPr>
      <w:r w:rsidRPr="008B7206">
        <w:rPr>
          <w:rFonts w:ascii="Arial" w:hAnsi="Arial" w:cs="Arial"/>
          <w:b/>
          <w:bCs/>
          <w:color w:val="0070C0"/>
          <w:szCs w:val="28"/>
          <w:rtl/>
        </w:rPr>
        <w:t>“</w:t>
      </w:r>
      <w:r>
        <w:rPr>
          <w:rFonts w:ascii="Arial" w:hAnsi="Arial" w:cs="Arial"/>
          <w:b/>
          <w:bCs/>
          <w:color w:val="0070C0"/>
          <w:szCs w:val="28"/>
        </w:rPr>
        <w:t xml:space="preserve">The </w:t>
      </w:r>
      <w:r w:rsidRPr="008B7206">
        <w:rPr>
          <w:rFonts w:ascii="Arial" w:hAnsi="Arial" w:cs="Arial"/>
          <w:b/>
          <w:bCs/>
          <w:color w:val="0070C0"/>
          <w:szCs w:val="28"/>
        </w:rPr>
        <w:t>Impact of Job Incentives on Employee Performance: A Case Study of the General Administration of Legislation and Environmental Studies”</w:t>
      </w:r>
    </w:p>
    <w:p w14:paraId="36D60318" w14:textId="77777777" w:rsidR="00E968BF" w:rsidRDefault="00E968BF" w:rsidP="00E968BF">
      <w:pPr>
        <w:pStyle w:val="NormalWeb"/>
        <w:bidi/>
        <w:spacing w:before="0" w:beforeAutospacing="0" w:after="0" w:afterAutospacing="0"/>
        <w:ind w:right="-270"/>
        <w:jc w:val="center"/>
        <w:rPr>
          <w:rFonts w:ascii="Arial" w:hAnsi="Arial" w:cs="Arial"/>
          <w:b/>
          <w:bCs/>
          <w:color w:val="0070C0"/>
          <w:szCs w:val="28"/>
        </w:rPr>
      </w:pPr>
    </w:p>
    <w:p w14:paraId="4B417B65" w14:textId="77777777" w:rsidR="00E968BF" w:rsidRPr="00D6177D" w:rsidRDefault="00E968BF" w:rsidP="00E968BF">
      <w:pPr>
        <w:pStyle w:val="NormalWeb"/>
        <w:bidi/>
        <w:spacing w:before="0" w:beforeAutospacing="0" w:after="0" w:afterAutospacing="0"/>
        <w:ind w:right="-270"/>
        <w:jc w:val="center"/>
        <w:rPr>
          <w:rFonts w:ascii="Arial" w:hAnsi="Arial" w:cs="Arial"/>
          <w:b/>
          <w:bCs/>
          <w:color w:val="0070C0"/>
          <w:szCs w:val="28"/>
          <w:rtl/>
        </w:rPr>
      </w:pPr>
    </w:p>
    <w:p w14:paraId="2A27BD11" w14:textId="77777777" w:rsidR="00E968BF"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18CF3D1" w14:textId="77777777" w:rsidR="00E968BF"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Pr>
      </w:pPr>
    </w:p>
    <w:p w14:paraId="27726D12" w14:textId="77777777" w:rsidR="00E968BF" w:rsidRPr="004B484B"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287"/>
        <w:gridCol w:w="5662"/>
      </w:tblGrid>
      <w:tr w:rsidR="00E968BF" w14:paraId="03B3CC8B" w14:textId="77777777" w:rsidTr="00E968BF">
        <w:tc>
          <w:tcPr>
            <w:tcW w:w="1989" w:type="dxa"/>
          </w:tcPr>
          <w:p w14:paraId="6BCF24B4"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04BFED14"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662" w:type="dxa"/>
          </w:tcPr>
          <w:p w14:paraId="51F6CA18" w14:textId="77777777" w:rsidR="00E968BF" w:rsidRDefault="00E968BF" w:rsidP="006D26B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6D26BE">
              <w:rPr>
                <w:rFonts w:ascii="Sakkal Majalla" w:hAnsi="Sakkal Majalla" w:cs="Sakkal Majalla" w:hint="cs"/>
                <w:b/>
                <w:bCs/>
                <w:color w:val="000000" w:themeColor="text1"/>
                <w:sz w:val="36"/>
                <w:szCs w:val="36"/>
                <w:rtl/>
              </w:rPr>
              <w:t>هذال بن سعود الجنيبي</w:t>
            </w:r>
            <w:r>
              <w:rPr>
                <w:rFonts w:ascii="Sakkal Majalla" w:hAnsi="Sakkal Majalla" w:cs="Sakkal Majalla" w:hint="cs"/>
                <w:b/>
                <w:bCs/>
                <w:color w:val="0000FF"/>
                <w:sz w:val="36"/>
                <w:szCs w:val="36"/>
                <w:rtl/>
              </w:rPr>
              <w:t xml:space="preserve">  </w:t>
            </w:r>
          </w:p>
        </w:tc>
      </w:tr>
      <w:tr w:rsidR="00E968BF" w14:paraId="73A577E1" w14:textId="77777777" w:rsidTr="00E968BF">
        <w:tc>
          <w:tcPr>
            <w:tcW w:w="1989" w:type="dxa"/>
          </w:tcPr>
          <w:p w14:paraId="6064CA67" w14:textId="77777777" w:rsidR="00E968BF" w:rsidRPr="004B484B" w:rsidRDefault="00E968BF" w:rsidP="00B51232">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الكلية         </w:t>
            </w:r>
          </w:p>
        </w:tc>
        <w:tc>
          <w:tcPr>
            <w:tcW w:w="287" w:type="dxa"/>
          </w:tcPr>
          <w:p w14:paraId="15B5A9C3"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662" w:type="dxa"/>
          </w:tcPr>
          <w:p w14:paraId="753E573B" w14:textId="77777777" w:rsidR="00E968BF" w:rsidRDefault="00E968BF" w:rsidP="006D26B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6D26BE">
              <w:rPr>
                <w:rFonts w:ascii="Sakkal Majalla" w:hAnsi="Sakkal Majalla" w:cs="Sakkal Majalla" w:hint="cs"/>
                <w:b/>
                <w:bCs/>
                <w:color w:val="000000" w:themeColor="text1"/>
                <w:sz w:val="36"/>
                <w:szCs w:val="36"/>
                <w:rtl/>
              </w:rPr>
              <w:t>كليه الإدارة</w:t>
            </w:r>
          </w:p>
        </w:tc>
      </w:tr>
    </w:tbl>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4006BA97" w:rsidR="003D7155" w:rsidRDefault="003D7155" w:rsidP="003D7155">
      <w:pPr>
        <w:spacing w:before="240" w:after="0" w:line="360" w:lineRule="auto"/>
        <w:rPr>
          <w:rFonts w:ascii="Traditional Arabic" w:hAnsi="Traditional Arabic" w:cs="Traditional Arabic"/>
          <w:b/>
          <w:bCs/>
          <w:sz w:val="32"/>
          <w:szCs w:val="32"/>
          <w:rtl/>
        </w:rPr>
      </w:pPr>
    </w:p>
    <w:p w14:paraId="5D310ECB" w14:textId="3E1156B7" w:rsidR="00E968BF" w:rsidRDefault="00E968BF" w:rsidP="003D7155">
      <w:pPr>
        <w:spacing w:before="240" w:after="0" w:line="360" w:lineRule="auto"/>
        <w:rPr>
          <w:rFonts w:ascii="Traditional Arabic" w:hAnsi="Traditional Arabic" w:cs="Traditional Arabic"/>
          <w:b/>
          <w:bCs/>
          <w:sz w:val="32"/>
          <w:szCs w:val="32"/>
          <w:rtl/>
        </w:rPr>
      </w:pPr>
    </w:p>
    <w:p w14:paraId="3A388392" w14:textId="251C50C2" w:rsidR="00E968BF" w:rsidRDefault="00E968BF" w:rsidP="003D7155">
      <w:pPr>
        <w:spacing w:before="240" w:after="0" w:line="360" w:lineRule="auto"/>
        <w:rPr>
          <w:rFonts w:ascii="Traditional Arabic" w:hAnsi="Traditional Arabic" w:cs="Traditional Arabic"/>
          <w:b/>
          <w:bCs/>
          <w:sz w:val="32"/>
          <w:szCs w:val="32"/>
          <w:rtl/>
        </w:rPr>
      </w:pPr>
    </w:p>
    <w:p w14:paraId="57A6671C" w14:textId="4F7808BD" w:rsidR="003D7155" w:rsidRDefault="003D7155" w:rsidP="00E968BF">
      <w:pPr>
        <w:spacing w:before="240" w:after="0" w:line="360" w:lineRule="auto"/>
        <w:rPr>
          <w:rFonts w:ascii="Traditional Arabic" w:hAnsi="Traditional Arabic" w:cs="Traditional Arabic"/>
          <w:b/>
          <w:bCs/>
          <w:sz w:val="32"/>
          <w:szCs w:val="32"/>
          <w:rtl/>
        </w:rPr>
      </w:pPr>
    </w:p>
    <w:p w14:paraId="72B7A408" w14:textId="77777777" w:rsidR="00E968BF" w:rsidRPr="00E968BF" w:rsidRDefault="00E968BF" w:rsidP="009A5431">
      <w:pPr>
        <w:spacing w:before="100" w:beforeAutospacing="1" w:after="100" w:afterAutospacing="1" w:line="240" w:lineRule="auto"/>
        <w:jc w:val="center"/>
        <w:rPr>
          <w:rFonts w:ascii="Times New Roman" w:eastAsia="Times New Roman" w:hAnsi="Times New Roman" w:cs="Times New Roman"/>
          <w:kern w:val="0"/>
          <w:sz w:val="32"/>
          <w:szCs w:val="32"/>
          <w:rtl/>
          <w14:ligatures w14:val="none"/>
        </w:rPr>
      </w:pPr>
      <w:r w:rsidRPr="00E968BF">
        <w:rPr>
          <w:rFonts w:ascii="Times New Roman" w:eastAsia="Times New Roman" w:hAnsi="Times New Roman" w:cs="Times New Roman"/>
          <w:b/>
          <w:bCs/>
          <w:kern w:val="0"/>
          <w:sz w:val="32"/>
          <w:szCs w:val="32"/>
          <w:rtl/>
          <w14:ligatures w14:val="none"/>
        </w:rPr>
        <w:lastRenderedPageBreak/>
        <w:t>تقييم الفصل الثاني بعد التعديلات</w:t>
      </w:r>
    </w:p>
    <w:p w14:paraId="37183AD3" w14:textId="77777777" w:rsidR="00430AD2" w:rsidRPr="00430AD2" w:rsidRDefault="00430AD2" w:rsidP="00430AD2">
      <w:pPr>
        <w:spacing w:before="100" w:beforeAutospacing="1" w:after="100" w:afterAutospacing="1" w:line="240" w:lineRule="auto"/>
        <w:rPr>
          <w:rFonts w:ascii="Times New Roman" w:eastAsia="Times New Roman" w:hAnsi="Times New Roman" w:cs="Times New Roman"/>
          <w:kern w:val="0"/>
          <w:sz w:val="28"/>
          <w:szCs w:val="28"/>
          <w14:ligatures w14:val="none"/>
        </w:rPr>
      </w:pPr>
      <w:bookmarkStart w:id="0" w:name="_GoBack"/>
      <w:r w:rsidRPr="00430AD2">
        <w:rPr>
          <w:rFonts w:ascii="Times New Roman" w:eastAsia="Times New Roman" w:hAnsi="Times New Roman" w:cs="Times New Roman"/>
          <w:kern w:val="0"/>
          <w:sz w:val="28"/>
          <w:szCs w:val="28"/>
          <w:rtl/>
          <w14:ligatures w14:val="none"/>
        </w:rPr>
        <w:t>بمراجعة الفصل الثاني بعد التعديل، يتضح أن الباحث قد أجرى بعض التحسينات على الإطار النظري من حيث التنظيم العام وإدراج جانب تحليلي ومقارن في بعض الأجزاء، مع محاولة ربط متغيرات الدراسة في إطار تفسيري أكثر وضوحًا</w:t>
      </w:r>
      <w:r w:rsidRPr="00430AD2">
        <w:rPr>
          <w:rFonts w:ascii="Times New Roman" w:eastAsia="Times New Roman" w:hAnsi="Times New Roman" w:cs="Times New Roman"/>
          <w:kern w:val="0"/>
          <w:sz w:val="28"/>
          <w:szCs w:val="28"/>
          <w14:ligatures w14:val="none"/>
        </w:rPr>
        <w:t>.</w:t>
      </w:r>
    </w:p>
    <w:p w14:paraId="37959475" w14:textId="77777777" w:rsidR="00430AD2" w:rsidRPr="00430AD2" w:rsidRDefault="00430AD2" w:rsidP="00430AD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30AD2">
        <w:rPr>
          <w:rFonts w:ascii="Times New Roman" w:eastAsia="Times New Roman" w:hAnsi="Times New Roman" w:cs="Times New Roman"/>
          <w:kern w:val="0"/>
          <w:sz w:val="28"/>
          <w:szCs w:val="28"/>
          <w:rtl/>
          <w14:ligatures w14:val="none"/>
        </w:rPr>
        <w:t>إلا أن الفصل لا يزال يعاني من قصور ملحوظ في البناء العلمي العام، خاصة فيما يتعلق بقسم الدراسات السابقة، حيث جاء العرض مختصرًا بشكل كبير، واقتصر على سرد موجز للدراسات دون تقديم تحليل كافٍ لكل دراسة من حيث الأهداف والمنهج والنتائج، وهو ما حدّ من القيمة النقدية والتحليلية لهذا الجزء</w:t>
      </w:r>
      <w:r w:rsidRPr="00430AD2">
        <w:rPr>
          <w:rFonts w:ascii="Times New Roman" w:eastAsia="Times New Roman" w:hAnsi="Times New Roman" w:cs="Times New Roman"/>
          <w:kern w:val="0"/>
          <w:sz w:val="28"/>
          <w:szCs w:val="28"/>
          <w14:ligatures w14:val="none"/>
        </w:rPr>
        <w:t>.</w:t>
      </w:r>
    </w:p>
    <w:p w14:paraId="006D2440" w14:textId="77777777" w:rsidR="00430AD2" w:rsidRPr="00430AD2" w:rsidRDefault="00430AD2" w:rsidP="00430AD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30AD2">
        <w:rPr>
          <w:rFonts w:ascii="Times New Roman" w:eastAsia="Times New Roman" w:hAnsi="Times New Roman" w:cs="Times New Roman"/>
          <w:kern w:val="0"/>
          <w:sz w:val="28"/>
          <w:szCs w:val="28"/>
          <w:rtl/>
          <w14:ligatures w14:val="none"/>
        </w:rPr>
        <w:t>كما أن هذا الاختصار الشديد في الدراسات السابقة انعكس على عمق الفصل ككل، وجعله لا يحقق المستوى المتوقع من التناول العلمي في هذه المرحلة البحثية</w:t>
      </w:r>
      <w:r w:rsidRPr="00430AD2">
        <w:rPr>
          <w:rFonts w:ascii="Times New Roman" w:eastAsia="Times New Roman" w:hAnsi="Times New Roman" w:cs="Times New Roman"/>
          <w:kern w:val="0"/>
          <w:sz w:val="28"/>
          <w:szCs w:val="28"/>
          <w14:ligatures w14:val="none"/>
        </w:rPr>
        <w:t>.</w:t>
      </w:r>
    </w:p>
    <w:p w14:paraId="76145342" w14:textId="77777777" w:rsidR="00430AD2" w:rsidRPr="00430AD2" w:rsidRDefault="00430AD2" w:rsidP="00430AD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30AD2">
        <w:rPr>
          <w:rFonts w:ascii="Times New Roman" w:eastAsia="Times New Roman" w:hAnsi="Times New Roman" w:cs="Times New Roman"/>
          <w:kern w:val="0"/>
          <w:sz w:val="28"/>
          <w:szCs w:val="28"/>
          <w:rtl/>
          <w14:ligatures w14:val="none"/>
        </w:rPr>
        <w:t>وبناءً عليه، فإن الفصل في صورته الحالية لا يزال بحاجة إلى مزيد من التطوير، خاصة في قسم الدراسات السابقة من حيث التوسّع والتحليل التفصيلي، بما يضمن تحقيق الاتساق مع متطلبات الإطار النظري في البحوث الأكاديمية</w:t>
      </w:r>
      <w:r w:rsidRPr="00430AD2">
        <w:rPr>
          <w:rFonts w:ascii="Times New Roman" w:eastAsia="Times New Roman" w:hAnsi="Times New Roman" w:cs="Times New Roman"/>
          <w:kern w:val="0"/>
          <w:sz w:val="28"/>
          <w:szCs w:val="28"/>
          <w14:ligatures w14:val="none"/>
        </w:rPr>
        <w:t>.</w:t>
      </w:r>
    </w:p>
    <w:p w14:paraId="04CB0B09" w14:textId="77777777" w:rsidR="00430AD2" w:rsidRPr="00430AD2" w:rsidRDefault="00430AD2" w:rsidP="00430AD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30AD2">
        <w:rPr>
          <w:rFonts w:ascii="Times New Roman" w:eastAsia="Times New Roman" w:hAnsi="Times New Roman" w:cs="Times New Roman"/>
          <w:b/>
          <w:bCs/>
          <w:kern w:val="0"/>
          <w:sz w:val="28"/>
          <w:szCs w:val="28"/>
          <w:rtl/>
          <w14:ligatures w14:val="none"/>
        </w:rPr>
        <w:t>القرار</w:t>
      </w:r>
      <w:r w:rsidRPr="00430AD2">
        <w:rPr>
          <w:rFonts w:ascii="Times New Roman" w:eastAsia="Times New Roman" w:hAnsi="Times New Roman" w:cs="Times New Roman"/>
          <w:b/>
          <w:bCs/>
          <w:kern w:val="0"/>
          <w:sz w:val="28"/>
          <w:szCs w:val="28"/>
          <w14:ligatures w14:val="none"/>
        </w:rPr>
        <w:t>:</w:t>
      </w:r>
      <w:r w:rsidRPr="00430AD2">
        <w:rPr>
          <w:rFonts w:ascii="Times New Roman" w:eastAsia="Times New Roman" w:hAnsi="Times New Roman" w:cs="Times New Roman"/>
          <w:kern w:val="0"/>
          <w:sz w:val="28"/>
          <w:szCs w:val="28"/>
          <w14:ligatures w14:val="none"/>
        </w:rPr>
        <w:t xml:space="preserve"> </w:t>
      </w:r>
      <w:r w:rsidRPr="00430AD2">
        <w:rPr>
          <w:rFonts w:ascii="Times New Roman" w:eastAsia="Times New Roman" w:hAnsi="Times New Roman" w:cs="Times New Roman"/>
          <w:kern w:val="0"/>
          <w:sz w:val="28"/>
          <w:szCs w:val="28"/>
          <w:rtl/>
          <w14:ligatures w14:val="none"/>
        </w:rPr>
        <w:t>يُعاد الفصل إلى الباحث لإجراء تعديلات جوهرية، مع التركيز على إثراء وتحليل الدراسات السابقة بصورة أكثر تفصيلًا</w:t>
      </w:r>
      <w:r w:rsidRPr="00430AD2">
        <w:rPr>
          <w:rFonts w:ascii="Times New Roman" w:eastAsia="Times New Roman" w:hAnsi="Times New Roman" w:cs="Times New Roman"/>
          <w:kern w:val="0"/>
          <w:sz w:val="28"/>
          <w:szCs w:val="28"/>
          <w14:ligatures w14:val="none"/>
        </w:rPr>
        <w:t>.</w:t>
      </w:r>
    </w:p>
    <w:bookmarkEnd w:id="0"/>
    <w:p w14:paraId="12704387" w14:textId="7BA8FA07" w:rsidR="003D7155" w:rsidRPr="00430AD2" w:rsidRDefault="003D7155" w:rsidP="009A5431">
      <w:pPr>
        <w:spacing w:before="100" w:beforeAutospacing="1" w:after="100" w:afterAutospacing="1" w:line="240" w:lineRule="auto"/>
        <w:rPr>
          <w:rFonts w:ascii="Traditional Arabic" w:hAnsi="Traditional Arabic" w:cs="Traditional Arabic"/>
          <w:b/>
          <w:bCs/>
          <w:sz w:val="36"/>
          <w:szCs w:val="36"/>
        </w:rPr>
      </w:pPr>
    </w:p>
    <w:sectPr w:rsidR="003D7155" w:rsidRPr="00430AD2"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59F264" w14:textId="77777777" w:rsidR="00F079FB" w:rsidRDefault="00F079FB" w:rsidP="00FD5B03">
      <w:pPr>
        <w:spacing w:after="0" w:line="240" w:lineRule="auto"/>
      </w:pPr>
      <w:r>
        <w:separator/>
      </w:r>
    </w:p>
  </w:endnote>
  <w:endnote w:type="continuationSeparator" w:id="0">
    <w:p w14:paraId="4AE6C72C" w14:textId="77777777" w:rsidR="00F079FB" w:rsidRDefault="00F079FB"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Koufi">
    <w:altName w:val="Times New Roman"/>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0D6F5" w14:textId="77777777" w:rsidR="00F079FB" w:rsidRDefault="00F079FB" w:rsidP="00FD5B03">
      <w:pPr>
        <w:spacing w:after="0" w:line="240" w:lineRule="auto"/>
      </w:pPr>
      <w:r>
        <w:separator/>
      </w:r>
    </w:p>
  </w:footnote>
  <w:footnote w:type="continuationSeparator" w:id="0">
    <w:p w14:paraId="0FA6BE20" w14:textId="77777777" w:rsidR="00F079FB" w:rsidRDefault="00F079FB"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39BD"/>
    <w:multiLevelType w:val="multilevel"/>
    <w:tmpl w:val="AA30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5"/>
  </w:num>
  <w:num w:numId="3">
    <w:abstractNumId w:val="5"/>
  </w:num>
  <w:num w:numId="4">
    <w:abstractNumId w:val="19"/>
  </w:num>
  <w:num w:numId="5">
    <w:abstractNumId w:val="9"/>
  </w:num>
  <w:num w:numId="6">
    <w:abstractNumId w:val="13"/>
  </w:num>
  <w:num w:numId="7">
    <w:abstractNumId w:val="1"/>
  </w:num>
  <w:num w:numId="8">
    <w:abstractNumId w:val="23"/>
  </w:num>
  <w:num w:numId="9">
    <w:abstractNumId w:val="28"/>
  </w:num>
  <w:num w:numId="10">
    <w:abstractNumId w:val="26"/>
  </w:num>
  <w:num w:numId="11">
    <w:abstractNumId w:val="2"/>
  </w:num>
  <w:num w:numId="12">
    <w:abstractNumId w:val="17"/>
  </w:num>
  <w:num w:numId="13">
    <w:abstractNumId w:val="22"/>
  </w:num>
  <w:num w:numId="14">
    <w:abstractNumId w:val="4"/>
  </w:num>
  <w:num w:numId="15">
    <w:abstractNumId w:val="10"/>
  </w:num>
  <w:num w:numId="16">
    <w:abstractNumId w:val="27"/>
  </w:num>
  <w:num w:numId="17">
    <w:abstractNumId w:val="21"/>
  </w:num>
  <w:num w:numId="18">
    <w:abstractNumId w:val="3"/>
  </w:num>
  <w:num w:numId="19">
    <w:abstractNumId w:val="7"/>
  </w:num>
  <w:num w:numId="20">
    <w:abstractNumId w:val="30"/>
  </w:num>
  <w:num w:numId="21">
    <w:abstractNumId w:val="15"/>
  </w:num>
  <w:num w:numId="22">
    <w:abstractNumId w:val="12"/>
  </w:num>
  <w:num w:numId="23">
    <w:abstractNumId w:val="29"/>
  </w:num>
  <w:num w:numId="24">
    <w:abstractNumId w:val="24"/>
  </w:num>
  <w:num w:numId="25">
    <w:abstractNumId w:val="16"/>
  </w:num>
  <w:num w:numId="26">
    <w:abstractNumId w:val="14"/>
  </w:num>
  <w:num w:numId="27">
    <w:abstractNumId w:val="18"/>
  </w:num>
  <w:num w:numId="28">
    <w:abstractNumId w:val="6"/>
  </w:num>
  <w:num w:numId="29">
    <w:abstractNumId w:val="20"/>
  </w:num>
  <w:num w:numId="30">
    <w:abstractNumId w:val="11"/>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61E5B"/>
    <w:rsid w:val="003A6FD5"/>
    <w:rsid w:val="003D7155"/>
    <w:rsid w:val="003D7296"/>
    <w:rsid w:val="004212E9"/>
    <w:rsid w:val="004267EE"/>
    <w:rsid w:val="00430AD2"/>
    <w:rsid w:val="00436C7A"/>
    <w:rsid w:val="00457689"/>
    <w:rsid w:val="004744D7"/>
    <w:rsid w:val="00487083"/>
    <w:rsid w:val="004C7C0E"/>
    <w:rsid w:val="004F100D"/>
    <w:rsid w:val="004F3455"/>
    <w:rsid w:val="005518AC"/>
    <w:rsid w:val="005B7C5F"/>
    <w:rsid w:val="005C77F9"/>
    <w:rsid w:val="00622A3A"/>
    <w:rsid w:val="00645A09"/>
    <w:rsid w:val="00696E92"/>
    <w:rsid w:val="006D26BE"/>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23732"/>
    <w:rsid w:val="009427B8"/>
    <w:rsid w:val="0097081F"/>
    <w:rsid w:val="00971320"/>
    <w:rsid w:val="00974901"/>
    <w:rsid w:val="009961D5"/>
    <w:rsid w:val="009A5431"/>
    <w:rsid w:val="009D3C16"/>
    <w:rsid w:val="00A450E0"/>
    <w:rsid w:val="00A6691C"/>
    <w:rsid w:val="00B170F5"/>
    <w:rsid w:val="00B42C73"/>
    <w:rsid w:val="00B80DDB"/>
    <w:rsid w:val="00BB0611"/>
    <w:rsid w:val="00BC1B25"/>
    <w:rsid w:val="00BD1469"/>
    <w:rsid w:val="00C173B2"/>
    <w:rsid w:val="00CB2307"/>
    <w:rsid w:val="00D46659"/>
    <w:rsid w:val="00E30D73"/>
    <w:rsid w:val="00E35F6A"/>
    <w:rsid w:val="00E968BF"/>
    <w:rsid w:val="00EB4C30"/>
    <w:rsid w:val="00EB7C67"/>
    <w:rsid w:val="00EF77DA"/>
    <w:rsid w:val="00F079FB"/>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26093989">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54866207">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57188349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1201</Characters>
  <Application>Microsoft Office Word</Application>
  <DocSecurity>0</DocSecurity>
  <Lines>10</Lines>
  <Paragraphs>2</Paragraphs>
  <ScaleCrop>false</ScaleCrop>
  <HeadingPairs>
    <vt:vector size="6" baseType="variant">
      <vt:variant>
        <vt:lpstr>Title</vt:lpstr>
      </vt:variant>
      <vt:variant>
        <vt:i4>1</vt:i4>
      </vt:variant>
      <vt:variant>
        <vt:lpstr>Headings</vt:lpstr>
      </vt:variant>
      <vt:variant>
        <vt:i4>1</vt:i4>
      </vt:variant>
      <vt:variant>
        <vt:lpstr>العنوان</vt:lpstr>
      </vt:variant>
      <vt:variant>
        <vt:i4>1</vt:i4>
      </vt:variant>
    </vt:vector>
  </HeadingPairs>
  <TitlesOfParts>
    <vt:vector size="3" baseType="lpstr">
      <vt:lpstr/>
      <vt:lpstr>/جامعــــــة ميداوشن - كليــــة الإدارة</vt:lpstr>
      <vt:lpstr/>
    </vt:vector>
  </TitlesOfParts>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2</cp:revision>
  <dcterms:created xsi:type="dcterms:W3CDTF">2026-05-02T22:03:00Z</dcterms:created>
  <dcterms:modified xsi:type="dcterms:W3CDTF">2026-05-02T22:03:00Z</dcterms:modified>
</cp:coreProperties>
</file>