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A1D3" w14:textId="50A92EE6" w:rsidR="004100B0" w:rsidRPr="006E471D" w:rsidRDefault="004100B0" w:rsidP="004100B0">
      <w:pPr>
        <w:spacing w:line="240" w:lineRule="auto"/>
        <w:jc w:val="center"/>
        <w:rPr>
          <w:rFonts w:ascii="Traditional Arabic" w:hAnsi="Traditional Arabic" w:cs="Traditional Arabic"/>
          <w:sz w:val="28"/>
          <w:szCs w:val="28"/>
          <w:rtl/>
          <w:lang w:bidi="ar-EG"/>
        </w:rPr>
      </w:pPr>
      <w:r w:rsidRPr="006E471D">
        <w:rPr>
          <w:rFonts w:ascii="Traditional Arabic" w:hAnsi="Traditional Arabic" w:cs="Traditional Arabic"/>
          <w:noProof/>
          <w:sz w:val="28"/>
          <w:szCs w:val="28"/>
          <w:lang w:bidi="ar-EG"/>
        </w:rPr>
        <w:drawing>
          <wp:inline distT="0" distB="0" distL="0" distR="0" wp14:anchorId="29B0075C" wp14:editId="144B376E">
            <wp:extent cx="1518285" cy="670560"/>
            <wp:effectExtent l="0" t="0" r="5715" b="0"/>
            <wp:docPr id="145775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285" cy="670560"/>
                    </a:xfrm>
                    <a:prstGeom prst="rect">
                      <a:avLst/>
                    </a:prstGeom>
                    <a:noFill/>
                  </pic:spPr>
                </pic:pic>
              </a:graphicData>
            </a:graphic>
          </wp:inline>
        </w:drawing>
      </w:r>
    </w:p>
    <w:p w14:paraId="0578FE55" w14:textId="77777777" w:rsidR="006E471D" w:rsidRPr="006E471D" w:rsidRDefault="006E471D" w:rsidP="004100B0">
      <w:pPr>
        <w:spacing w:line="240" w:lineRule="auto"/>
        <w:jc w:val="center"/>
        <w:rPr>
          <w:rFonts w:ascii="Traditional Arabic" w:hAnsi="Traditional Arabic" w:cs="Traditional Arabic"/>
          <w:sz w:val="28"/>
          <w:szCs w:val="28"/>
          <w:rtl/>
          <w:lang w:bidi="ar-EG"/>
        </w:rPr>
      </w:pPr>
    </w:p>
    <w:p w14:paraId="31E6C9FA" w14:textId="77777777" w:rsidR="006E471D" w:rsidRPr="006E471D" w:rsidRDefault="006E471D" w:rsidP="006E471D">
      <w:pPr>
        <w:spacing w:line="240" w:lineRule="auto"/>
        <w:jc w:val="center"/>
        <w:rPr>
          <w:rFonts w:ascii="Traditional Arabic" w:hAnsi="Traditional Arabic" w:cs="Traditional Arabic"/>
          <w:bCs/>
          <w:sz w:val="28"/>
          <w:szCs w:val="28"/>
          <w:rtl/>
        </w:rPr>
      </w:pPr>
      <w:r w:rsidRPr="006E471D">
        <w:rPr>
          <w:rFonts w:ascii="Traditional Arabic" w:hAnsi="Traditional Arabic" w:cs="Traditional Arabic"/>
          <w:bCs/>
          <w:sz w:val="28"/>
          <w:szCs w:val="28"/>
          <w:rtl/>
        </w:rPr>
        <w:t xml:space="preserve">جامعة </w:t>
      </w:r>
      <w:proofErr w:type="spellStart"/>
      <w:r w:rsidRPr="006E471D">
        <w:rPr>
          <w:rFonts w:ascii="Traditional Arabic" w:hAnsi="Traditional Arabic" w:cs="Traditional Arabic"/>
          <w:bCs/>
          <w:sz w:val="28"/>
          <w:szCs w:val="28"/>
          <w:rtl/>
        </w:rPr>
        <w:t>ميدأوشن</w:t>
      </w:r>
      <w:proofErr w:type="spellEnd"/>
    </w:p>
    <w:p w14:paraId="7DDF4AF1" w14:textId="77777777" w:rsidR="006E471D" w:rsidRPr="006E471D" w:rsidRDefault="006E471D" w:rsidP="006E471D">
      <w:pPr>
        <w:spacing w:line="240" w:lineRule="auto"/>
        <w:jc w:val="center"/>
        <w:rPr>
          <w:rFonts w:ascii="Traditional Arabic" w:hAnsi="Traditional Arabic" w:cs="Traditional Arabic"/>
          <w:bCs/>
          <w:rtl/>
        </w:rPr>
      </w:pPr>
      <w:r w:rsidRPr="006E471D">
        <w:rPr>
          <w:rFonts w:ascii="Traditional Arabic" w:hAnsi="Traditional Arabic" w:cs="Traditional Arabic"/>
          <w:bCs/>
          <w:rtl/>
        </w:rPr>
        <w:t>كلية الإدارة</w:t>
      </w:r>
    </w:p>
    <w:p w14:paraId="7A4AF88F" w14:textId="77777777" w:rsidR="006E471D" w:rsidRPr="006E471D" w:rsidRDefault="006E471D" w:rsidP="006E471D">
      <w:pPr>
        <w:spacing w:line="240" w:lineRule="auto"/>
        <w:jc w:val="center"/>
        <w:rPr>
          <w:rFonts w:ascii="Traditional Arabic" w:hAnsi="Traditional Arabic" w:cs="Traditional Arabic"/>
          <w:bCs/>
          <w:sz w:val="28"/>
          <w:szCs w:val="28"/>
          <w:rtl/>
        </w:rPr>
      </w:pPr>
    </w:p>
    <w:p w14:paraId="292E6D47" w14:textId="77777777" w:rsidR="006E471D" w:rsidRPr="006E471D" w:rsidRDefault="006E471D" w:rsidP="006E471D">
      <w:pPr>
        <w:spacing w:line="240" w:lineRule="auto"/>
        <w:jc w:val="center"/>
        <w:rPr>
          <w:rFonts w:ascii="Traditional Arabic" w:hAnsi="Traditional Arabic" w:cs="Traditional Arabic"/>
          <w:bCs/>
          <w:sz w:val="28"/>
          <w:szCs w:val="28"/>
          <w:rtl/>
        </w:rPr>
      </w:pPr>
      <w:r w:rsidRPr="006E471D">
        <w:rPr>
          <w:rFonts w:ascii="Traditional Arabic" w:hAnsi="Traditional Arabic" w:cs="Traditional Arabic"/>
          <w:bCs/>
          <w:sz w:val="28"/>
          <w:szCs w:val="28"/>
          <w:rtl/>
        </w:rPr>
        <w:t>الفصل الثاني: الإطار النظري والدراسات السابقة</w:t>
      </w:r>
    </w:p>
    <w:p w14:paraId="752302D9" w14:textId="77777777" w:rsidR="006E471D" w:rsidRPr="006E471D" w:rsidRDefault="006E471D" w:rsidP="006E471D">
      <w:pPr>
        <w:spacing w:before="240" w:line="240" w:lineRule="auto"/>
        <w:jc w:val="center"/>
        <w:rPr>
          <w:rFonts w:ascii="Traditional Arabic" w:hAnsi="Traditional Arabic" w:cs="Traditional Arabic"/>
          <w:bCs/>
          <w:sz w:val="36"/>
          <w:szCs w:val="36"/>
          <w:lang w:bidi="ar-EG"/>
        </w:rPr>
      </w:pPr>
      <w:r w:rsidRPr="006E471D">
        <w:rPr>
          <w:rFonts w:ascii="Traditional Arabic" w:hAnsi="Traditional Arabic" w:cs="Traditional Arabic"/>
          <w:bCs/>
          <w:sz w:val="36"/>
          <w:szCs w:val="36"/>
          <w:rtl/>
        </w:rPr>
        <w:t>ذكاء الأعمال والابتكار التنظيمي: الدور الوسيط لجودة القرارات الاستراتيجية في المصارف العاملة بمدينة الرياض</w:t>
      </w:r>
    </w:p>
    <w:p w14:paraId="5B3138AA" w14:textId="77777777" w:rsidR="006E471D" w:rsidRPr="006E471D" w:rsidRDefault="006E471D" w:rsidP="006E471D">
      <w:pPr>
        <w:spacing w:line="240" w:lineRule="auto"/>
        <w:jc w:val="center"/>
        <w:rPr>
          <w:rFonts w:ascii="Traditional Arabic" w:hAnsi="Traditional Arabic" w:cs="Traditional Arabic"/>
          <w:bCs/>
          <w:sz w:val="28"/>
          <w:szCs w:val="28"/>
          <w:rtl/>
        </w:rPr>
      </w:pPr>
    </w:p>
    <w:p w14:paraId="0A57B916" w14:textId="77777777" w:rsidR="006E471D" w:rsidRPr="006E471D" w:rsidRDefault="006E471D" w:rsidP="006E471D">
      <w:pPr>
        <w:spacing w:line="240" w:lineRule="auto"/>
        <w:jc w:val="center"/>
        <w:rPr>
          <w:rFonts w:ascii="Traditional Arabic" w:hAnsi="Traditional Arabic" w:cs="Traditional Arabic"/>
          <w:bCs/>
          <w:sz w:val="28"/>
          <w:szCs w:val="28"/>
          <w:rtl/>
        </w:rPr>
      </w:pPr>
    </w:p>
    <w:p w14:paraId="626446F9" w14:textId="77777777" w:rsidR="006E471D" w:rsidRPr="006E471D" w:rsidRDefault="006E471D" w:rsidP="006E471D">
      <w:pPr>
        <w:spacing w:line="240" w:lineRule="auto"/>
        <w:jc w:val="center"/>
        <w:rPr>
          <w:rFonts w:ascii="Traditional Arabic" w:hAnsi="Traditional Arabic" w:cs="Traditional Arabic"/>
          <w:bCs/>
          <w:sz w:val="28"/>
          <w:szCs w:val="28"/>
          <w:rtl/>
        </w:rPr>
      </w:pPr>
      <w:r w:rsidRPr="006E471D">
        <w:rPr>
          <w:rFonts w:ascii="Traditional Arabic" w:hAnsi="Traditional Arabic" w:cs="Traditional Arabic"/>
          <w:bCs/>
          <w:sz w:val="28"/>
          <w:szCs w:val="28"/>
          <w:rtl/>
        </w:rPr>
        <w:t>إعداد</w:t>
      </w:r>
    </w:p>
    <w:p w14:paraId="3C03B153" w14:textId="77777777" w:rsidR="006E471D" w:rsidRPr="006E471D" w:rsidRDefault="006E471D" w:rsidP="006E471D">
      <w:pPr>
        <w:spacing w:line="240" w:lineRule="auto"/>
        <w:jc w:val="center"/>
        <w:rPr>
          <w:rFonts w:ascii="Traditional Arabic" w:hAnsi="Traditional Arabic" w:cs="Traditional Arabic"/>
          <w:bCs/>
          <w:sz w:val="28"/>
          <w:szCs w:val="28"/>
          <w:rtl/>
        </w:rPr>
      </w:pPr>
      <w:r w:rsidRPr="006E471D">
        <w:rPr>
          <w:rFonts w:ascii="Traditional Arabic" w:hAnsi="Traditional Arabic" w:cs="Traditional Arabic"/>
          <w:bCs/>
          <w:sz w:val="28"/>
          <w:szCs w:val="28"/>
          <w:rtl/>
        </w:rPr>
        <w:t xml:space="preserve">فوزيه </w:t>
      </w:r>
      <w:proofErr w:type="gramStart"/>
      <w:r w:rsidRPr="006E471D">
        <w:rPr>
          <w:rFonts w:ascii="Traditional Arabic" w:hAnsi="Traditional Arabic" w:cs="Traditional Arabic"/>
          <w:bCs/>
          <w:sz w:val="28"/>
          <w:szCs w:val="28"/>
          <w:rtl/>
        </w:rPr>
        <w:t>عبدالله</w:t>
      </w:r>
      <w:proofErr w:type="gramEnd"/>
      <w:r w:rsidRPr="006E471D">
        <w:rPr>
          <w:rFonts w:ascii="Traditional Arabic" w:hAnsi="Traditional Arabic" w:cs="Traditional Arabic"/>
          <w:bCs/>
          <w:sz w:val="28"/>
          <w:szCs w:val="28"/>
          <w:rtl/>
        </w:rPr>
        <w:t xml:space="preserve"> الدبيان</w:t>
      </w:r>
    </w:p>
    <w:p w14:paraId="74B68215" w14:textId="77777777" w:rsidR="006E471D" w:rsidRPr="006E471D" w:rsidRDefault="006E471D" w:rsidP="006E471D">
      <w:pPr>
        <w:spacing w:line="240" w:lineRule="auto"/>
        <w:jc w:val="center"/>
        <w:rPr>
          <w:rFonts w:ascii="Traditional Arabic" w:hAnsi="Traditional Arabic" w:cs="Traditional Arabic"/>
          <w:bCs/>
          <w:rtl/>
        </w:rPr>
      </w:pPr>
      <w:r w:rsidRPr="006E471D">
        <w:rPr>
          <w:rFonts w:ascii="Traditional Arabic" w:hAnsi="Traditional Arabic" w:cs="Traditional Arabic"/>
          <w:bCs/>
          <w:rtl/>
        </w:rPr>
        <w:t>المملكة العربية السعودية</w:t>
      </w:r>
    </w:p>
    <w:p w14:paraId="18A96408" w14:textId="77777777" w:rsidR="006E471D" w:rsidRPr="006E471D" w:rsidRDefault="006E471D" w:rsidP="006E471D">
      <w:pPr>
        <w:spacing w:line="240" w:lineRule="auto"/>
        <w:jc w:val="center"/>
        <w:rPr>
          <w:rFonts w:ascii="Traditional Arabic" w:hAnsi="Traditional Arabic" w:cs="Traditional Arabic"/>
          <w:bCs/>
          <w:rtl/>
        </w:rPr>
      </w:pPr>
      <w:r w:rsidRPr="006E471D">
        <w:rPr>
          <w:rFonts w:ascii="Traditional Arabic" w:hAnsi="Traditional Arabic" w:cs="Traditional Arabic"/>
          <w:bCs/>
          <w:rtl/>
        </w:rPr>
        <w:t xml:space="preserve">رسالة مقدمة لجامعة </w:t>
      </w:r>
      <w:proofErr w:type="spellStart"/>
      <w:r w:rsidRPr="006E471D">
        <w:rPr>
          <w:rFonts w:ascii="Traditional Arabic" w:hAnsi="Traditional Arabic" w:cs="Traditional Arabic"/>
          <w:bCs/>
          <w:rtl/>
        </w:rPr>
        <w:t>ميدأوشن</w:t>
      </w:r>
      <w:proofErr w:type="spellEnd"/>
      <w:r w:rsidRPr="006E471D">
        <w:rPr>
          <w:rFonts w:ascii="Traditional Arabic" w:hAnsi="Traditional Arabic" w:cs="Traditional Arabic"/>
          <w:bCs/>
          <w:rtl/>
        </w:rPr>
        <w:t xml:space="preserve"> لاستكمال متطلبات نيل درجة الدكتوراة</w:t>
      </w:r>
    </w:p>
    <w:p w14:paraId="356F38E2" w14:textId="77777777" w:rsidR="006E471D" w:rsidRPr="006E471D" w:rsidRDefault="006E471D" w:rsidP="006E471D">
      <w:pPr>
        <w:spacing w:line="240" w:lineRule="auto"/>
        <w:jc w:val="center"/>
        <w:rPr>
          <w:rFonts w:ascii="Traditional Arabic" w:hAnsi="Traditional Arabic" w:cs="Traditional Arabic"/>
          <w:bCs/>
          <w:rtl/>
        </w:rPr>
      </w:pPr>
      <w:r w:rsidRPr="006E471D">
        <w:rPr>
          <w:rFonts w:ascii="Traditional Arabic" w:hAnsi="Traditional Arabic" w:cs="Traditional Arabic"/>
          <w:bCs/>
          <w:rtl/>
        </w:rPr>
        <w:t>في</w:t>
      </w:r>
    </w:p>
    <w:p w14:paraId="06E615DD" w14:textId="77777777" w:rsidR="006E471D" w:rsidRPr="006E471D" w:rsidRDefault="006E471D" w:rsidP="006E471D">
      <w:pPr>
        <w:spacing w:line="240" w:lineRule="auto"/>
        <w:jc w:val="center"/>
        <w:rPr>
          <w:rFonts w:ascii="Traditional Arabic" w:hAnsi="Traditional Arabic" w:cs="Traditional Arabic"/>
          <w:bCs/>
          <w:rtl/>
        </w:rPr>
      </w:pPr>
      <w:r w:rsidRPr="006E471D">
        <w:rPr>
          <w:rFonts w:ascii="Traditional Arabic" w:hAnsi="Traditional Arabic" w:cs="Traditional Arabic"/>
          <w:bCs/>
          <w:rtl/>
        </w:rPr>
        <w:t>تخصص الإدارة</w:t>
      </w:r>
    </w:p>
    <w:p w14:paraId="43E17802" w14:textId="77777777" w:rsidR="006E471D" w:rsidRPr="006E471D" w:rsidRDefault="006E471D" w:rsidP="006E471D">
      <w:pPr>
        <w:spacing w:line="240" w:lineRule="auto"/>
        <w:jc w:val="both"/>
        <w:rPr>
          <w:rFonts w:ascii="Traditional Arabic" w:hAnsi="Traditional Arabic" w:cs="Traditional Arabic"/>
          <w:bCs/>
          <w:sz w:val="28"/>
          <w:szCs w:val="28"/>
          <w:rtl/>
        </w:rPr>
      </w:pPr>
    </w:p>
    <w:p w14:paraId="3BC5AB76" w14:textId="77777777" w:rsidR="006E471D" w:rsidRPr="006E471D" w:rsidRDefault="006E471D" w:rsidP="006E471D">
      <w:pPr>
        <w:spacing w:before="120" w:after="120" w:line="240" w:lineRule="auto"/>
        <w:jc w:val="center"/>
        <w:rPr>
          <w:rFonts w:ascii="Traditional Arabic" w:eastAsia="Calibri" w:hAnsi="Traditional Arabic" w:cs="Traditional Arabic"/>
          <w:bCs/>
          <w:color w:val="0D0D0D"/>
          <w:kern w:val="0"/>
          <w:sz w:val="16"/>
          <w:szCs w:val="16"/>
          <w:rtl/>
          <w14:ligatures w14:val="none"/>
        </w:rPr>
      </w:pPr>
      <w:r w:rsidRPr="006E471D">
        <w:rPr>
          <w:rFonts w:ascii="Traditional Arabic" w:eastAsia="Calibri" w:hAnsi="Traditional Arabic" w:cs="Traditional Arabic"/>
          <w:bCs/>
          <w:color w:val="0D0D0D"/>
          <w:kern w:val="0"/>
          <w:sz w:val="16"/>
          <w:szCs w:val="16"/>
          <w:rtl/>
          <w14:ligatures w14:val="none"/>
        </w:rPr>
        <w:t>1447</w:t>
      </w:r>
      <w:proofErr w:type="gramStart"/>
      <w:r w:rsidRPr="006E471D">
        <w:rPr>
          <w:rFonts w:ascii="Traditional Arabic" w:eastAsia="Calibri" w:hAnsi="Traditional Arabic" w:cs="Traditional Arabic"/>
          <w:bCs/>
          <w:color w:val="0D0D0D"/>
          <w:kern w:val="0"/>
          <w:sz w:val="16"/>
          <w:szCs w:val="16"/>
          <w:rtl/>
          <w14:ligatures w14:val="none"/>
        </w:rPr>
        <w:t>ه  -</w:t>
      </w:r>
      <w:proofErr w:type="gramEnd"/>
      <w:r w:rsidRPr="006E471D">
        <w:rPr>
          <w:rFonts w:ascii="Traditional Arabic" w:eastAsia="Calibri" w:hAnsi="Traditional Arabic" w:cs="Traditional Arabic"/>
          <w:bCs/>
          <w:color w:val="0D0D0D"/>
          <w:kern w:val="0"/>
          <w:sz w:val="16"/>
          <w:szCs w:val="16"/>
          <w:rtl/>
          <w14:ligatures w14:val="none"/>
        </w:rPr>
        <w:t xml:space="preserve"> 2026 م</w:t>
      </w:r>
    </w:p>
    <w:p w14:paraId="294F9354" w14:textId="77777777" w:rsidR="006E471D" w:rsidRPr="006E471D" w:rsidRDefault="006E471D" w:rsidP="006E471D">
      <w:pPr>
        <w:spacing w:before="120" w:after="120" w:line="240" w:lineRule="auto"/>
        <w:jc w:val="center"/>
        <w:rPr>
          <w:rFonts w:ascii="Traditional Arabic" w:eastAsia="Calibri" w:hAnsi="Traditional Arabic" w:cs="Traditional Arabic"/>
          <w:bCs/>
          <w:color w:val="0D0D0D"/>
          <w:kern w:val="0"/>
          <w:sz w:val="16"/>
          <w:szCs w:val="16"/>
          <w:rtl/>
          <w14:ligatures w14:val="none"/>
        </w:rPr>
      </w:pPr>
    </w:p>
    <w:p w14:paraId="6CD3BF9A" w14:textId="77777777" w:rsidR="006E471D" w:rsidRPr="006E471D" w:rsidRDefault="006E471D" w:rsidP="006E471D">
      <w:pPr>
        <w:spacing w:before="120" w:after="120" w:line="240" w:lineRule="auto"/>
        <w:jc w:val="center"/>
        <w:rPr>
          <w:rFonts w:ascii="Traditional Arabic" w:eastAsia="Calibri" w:hAnsi="Traditional Arabic" w:cs="Traditional Arabic"/>
          <w:bCs/>
          <w:color w:val="0D0D0D"/>
          <w:kern w:val="0"/>
          <w:sz w:val="16"/>
          <w:szCs w:val="16"/>
          <w:rtl/>
          <w14:ligatures w14:val="none"/>
        </w:rPr>
      </w:pPr>
      <w:r w:rsidRPr="006E471D">
        <w:rPr>
          <w:rFonts w:ascii="Traditional Arabic" w:eastAsia="Calibri" w:hAnsi="Traditional Arabic" w:cs="Traditional Arabic"/>
          <w:bCs/>
          <w:color w:val="0D0D0D"/>
          <w:kern w:val="0"/>
          <w:sz w:val="16"/>
          <w:szCs w:val="16"/>
          <w:rtl/>
          <w14:ligatures w14:val="none"/>
        </w:rPr>
        <w:t>(</w:t>
      </w:r>
      <w:proofErr w:type="spellStart"/>
      <w:r w:rsidRPr="006E471D">
        <w:rPr>
          <w:rFonts w:ascii="Traditional Arabic" w:eastAsia="Calibri" w:hAnsi="Traditional Arabic" w:cs="Traditional Arabic"/>
          <w:bCs/>
          <w:color w:val="0D0D0D"/>
          <w:kern w:val="0"/>
          <w:sz w:val="16"/>
          <w:szCs w:val="16"/>
          <w:rtl/>
          <w14:ligatures w14:val="none"/>
        </w:rPr>
        <w:t>افوزيه</w:t>
      </w:r>
      <w:proofErr w:type="spellEnd"/>
      <w:r w:rsidRPr="006E471D">
        <w:rPr>
          <w:rFonts w:ascii="Traditional Arabic" w:eastAsia="Calibri" w:hAnsi="Traditional Arabic" w:cs="Traditional Arabic"/>
          <w:bCs/>
          <w:color w:val="0D0D0D"/>
          <w:kern w:val="0"/>
          <w:sz w:val="16"/>
          <w:szCs w:val="16"/>
          <w:rtl/>
          <w14:ligatures w14:val="none"/>
        </w:rPr>
        <w:t xml:space="preserve"> </w:t>
      </w:r>
      <w:proofErr w:type="gramStart"/>
      <w:r w:rsidRPr="006E471D">
        <w:rPr>
          <w:rFonts w:ascii="Traditional Arabic" w:eastAsia="Calibri" w:hAnsi="Traditional Arabic" w:cs="Traditional Arabic"/>
          <w:bCs/>
          <w:color w:val="0D0D0D"/>
          <w:kern w:val="0"/>
          <w:sz w:val="16"/>
          <w:szCs w:val="16"/>
          <w:rtl/>
          <w14:ligatures w14:val="none"/>
        </w:rPr>
        <w:t>الدبيان  /</w:t>
      </w:r>
      <w:proofErr w:type="gramEnd"/>
      <w:r w:rsidRPr="006E471D">
        <w:rPr>
          <w:rFonts w:ascii="Traditional Arabic" w:eastAsia="Calibri" w:hAnsi="Traditional Arabic" w:cs="Traditional Arabic"/>
          <w:bCs/>
          <w:color w:val="0D0D0D"/>
          <w:kern w:val="0"/>
          <w:sz w:val="16"/>
          <w:szCs w:val="16"/>
          <w:rtl/>
          <w14:ligatures w14:val="none"/>
        </w:rPr>
        <w:t>1447 )</w:t>
      </w:r>
    </w:p>
    <w:p w14:paraId="126A58BB" w14:textId="77777777" w:rsidR="006E471D" w:rsidRPr="006E471D" w:rsidRDefault="006E471D" w:rsidP="006E471D">
      <w:pPr>
        <w:spacing w:before="120" w:after="120" w:line="240" w:lineRule="auto"/>
        <w:jc w:val="center"/>
        <w:rPr>
          <w:rFonts w:ascii="Traditional Arabic" w:eastAsia="Calibri" w:hAnsi="Traditional Arabic" w:cs="Traditional Arabic"/>
          <w:bCs/>
          <w:color w:val="0D0D0D"/>
          <w:kern w:val="0"/>
          <w:sz w:val="16"/>
          <w:szCs w:val="16"/>
          <w:rtl/>
          <w14:ligatures w14:val="none"/>
        </w:rPr>
      </w:pPr>
    </w:p>
    <w:p w14:paraId="14DAB310" w14:textId="77777777" w:rsidR="006E471D" w:rsidRPr="006E471D" w:rsidRDefault="006E471D" w:rsidP="006E471D">
      <w:pPr>
        <w:keepNext/>
        <w:keepLines/>
        <w:spacing w:after="0" w:line="360" w:lineRule="auto"/>
        <w:outlineLvl w:val="0"/>
        <w:rPr>
          <w:rFonts w:ascii="Traditional Arabic" w:eastAsia="Times New Roman" w:hAnsi="Traditional Arabic" w:cs="Traditional Arabic"/>
          <w:bCs/>
          <w:color w:val="0D0D0D"/>
          <w:kern w:val="0"/>
          <w:sz w:val="32"/>
          <w:szCs w:val="32"/>
          <w:rtl/>
          <w14:ligatures w14:val="none"/>
        </w:rPr>
      </w:pPr>
    </w:p>
    <w:p w14:paraId="7377E15D" w14:textId="0DC1AF04" w:rsidR="004100B0" w:rsidRPr="006E471D" w:rsidRDefault="004100B0" w:rsidP="004100B0">
      <w:pPr>
        <w:spacing w:line="240" w:lineRule="auto"/>
        <w:jc w:val="both"/>
        <w:rPr>
          <w:rFonts w:ascii="Traditional Arabic" w:hAnsi="Traditional Arabic" w:cs="Traditional Arabic"/>
          <w:sz w:val="28"/>
          <w:szCs w:val="28"/>
          <w:rtl/>
        </w:rPr>
      </w:pPr>
    </w:p>
    <w:p w14:paraId="5A63DF67" w14:textId="77777777" w:rsidR="006E471D" w:rsidRPr="006E471D" w:rsidRDefault="006E471D" w:rsidP="004100B0">
      <w:pPr>
        <w:spacing w:line="240" w:lineRule="auto"/>
        <w:jc w:val="both"/>
        <w:rPr>
          <w:rFonts w:ascii="Traditional Arabic" w:hAnsi="Traditional Arabic" w:cs="Traditional Arabic"/>
          <w:sz w:val="28"/>
          <w:szCs w:val="28"/>
          <w:rtl/>
        </w:rPr>
      </w:pPr>
    </w:p>
    <w:p w14:paraId="1E0325CF" w14:textId="13CC41B3" w:rsidR="004100B0" w:rsidRPr="006E471D" w:rsidRDefault="004100B0" w:rsidP="004100B0">
      <w:pPr>
        <w:spacing w:line="240" w:lineRule="auto"/>
        <w:jc w:val="center"/>
        <w:rPr>
          <w:rFonts w:ascii="Traditional Arabic" w:hAnsi="Traditional Arabic" w:cs="Traditional Arabic"/>
          <w:b/>
          <w:bCs/>
          <w:sz w:val="32"/>
          <w:szCs w:val="32"/>
          <w:rtl/>
          <w:lang w:bidi="ar-EG"/>
        </w:rPr>
      </w:pPr>
      <w:r w:rsidRPr="006E471D">
        <w:rPr>
          <w:rFonts w:ascii="Traditional Arabic" w:hAnsi="Traditional Arabic" w:cs="Traditional Arabic"/>
          <w:b/>
          <w:bCs/>
          <w:sz w:val="32"/>
          <w:szCs w:val="32"/>
          <w:rtl/>
          <w:lang w:bidi="ar-EG"/>
        </w:rPr>
        <w:lastRenderedPageBreak/>
        <w:t>قائمة المحتويات</w:t>
      </w:r>
    </w:p>
    <w:p w14:paraId="693B82D3"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44194889" w14:textId="70A02406" w:rsidR="00F423D6" w:rsidRPr="006E471D" w:rsidRDefault="00F423D6" w:rsidP="00F423D6">
      <w:pPr>
        <w:pStyle w:val="TOC1"/>
        <w:tabs>
          <w:tab w:val="right" w:leader="dot" w:pos="9016"/>
        </w:tabs>
        <w:spacing w:after="0"/>
        <w:jc w:val="both"/>
        <w:rPr>
          <w:rFonts w:ascii="Traditional Arabic" w:hAnsi="Traditional Arabic" w:cs="Traditional Arabic"/>
          <w:noProof/>
          <w:rtl/>
        </w:rPr>
      </w:pPr>
      <w:r w:rsidRPr="006E471D">
        <w:rPr>
          <w:rFonts w:ascii="Traditional Arabic" w:hAnsi="Traditional Arabic" w:cs="Traditional Arabic"/>
          <w:rtl/>
          <w:lang w:bidi="ar-EG"/>
        </w:rPr>
        <w:fldChar w:fldCharType="begin"/>
      </w:r>
      <w:r w:rsidRPr="006E471D">
        <w:rPr>
          <w:rFonts w:ascii="Traditional Arabic" w:hAnsi="Traditional Arabic" w:cs="Traditional Arabic"/>
          <w:rtl/>
          <w:lang w:bidi="ar-EG"/>
        </w:rPr>
        <w:instrText xml:space="preserve"> </w:instrText>
      </w:r>
      <w:r w:rsidRPr="006E471D">
        <w:rPr>
          <w:rFonts w:ascii="Traditional Arabic" w:hAnsi="Traditional Arabic" w:cs="Traditional Arabic"/>
          <w:lang w:bidi="ar-EG"/>
        </w:rPr>
        <w:instrText>TOC</w:instrText>
      </w:r>
      <w:r w:rsidRPr="006E471D">
        <w:rPr>
          <w:rFonts w:ascii="Traditional Arabic" w:hAnsi="Traditional Arabic" w:cs="Traditional Arabic"/>
          <w:rtl/>
          <w:lang w:bidi="ar-EG"/>
        </w:rPr>
        <w:instrText xml:space="preserve"> \</w:instrText>
      </w:r>
      <w:r w:rsidRPr="006E471D">
        <w:rPr>
          <w:rFonts w:ascii="Traditional Arabic" w:hAnsi="Traditional Arabic" w:cs="Traditional Arabic"/>
          <w:lang w:bidi="ar-EG"/>
        </w:rPr>
        <w:instrText>o "1-3" \h \z \u</w:instrText>
      </w:r>
      <w:r w:rsidRPr="006E471D">
        <w:rPr>
          <w:rFonts w:ascii="Traditional Arabic" w:hAnsi="Traditional Arabic" w:cs="Traditional Arabic"/>
          <w:rtl/>
          <w:lang w:bidi="ar-EG"/>
        </w:rPr>
        <w:instrText xml:space="preserve"> </w:instrText>
      </w:r>
      <w:r w:rsidRPr="006E471D">
        <w:rPr>
          <w:rFonts w:ascii="Traditional Arabic" w:hAnsi="Traditional Arabic" w:cs="Traditional Arabic"/>
          <w:rtl/>
          <w:lang w:bidi="ar-EG"/>
        </w:rPr>
        <w:fldChar w:fldCharType="separate"/>
      </w:r>
      <w:hyperlink w:anchor="_Toc222423535" w:history="1">
        <w:r w:rsidRPr="006E471D">
          <w:rPr>
            <w:rStyle w:val="Hyperlink"/>
            <w:rFonts w:ascii="Traditional Arabic" w:hAnsi="Traditional Arabic" w:cs="Traditional Arabic"/>
            <w:b/>
            <w:bCs/>
            <w:noProof/>
            <w:rtl/>
            <w:lang w:bidi="ar-EG"/>
          </w:rPr>
          <w:t>الفصل الثاني: الإطار النظري والدراسات السابقة</w:t>
        </w:r>
        <w:r w:rsidRPr="006E471D">
          <w:rPr>
            <w:rFonts w:ascii="Traditional Arabic" w:hAnsi="Traditional Arabic" w:cs="Traditional Arabic"/>
            <w:noProof/>
            <w:webHidden/>
            <w:rtl/>
          </w:rPr>
          <w:tab/>
        </w:r>
        <w:r w:rsidRPr="006E471D">
          <w:rPr>
            <w:rStyle w:val="Hyperlink"/>
            <w:rFonts w:ascii="Traditional Arabic" w:hAnsi="Traditional Arabic" w:cs="Traditional Arabic"/>
            <w:noProof/>
            <w:rtl/>
          </w:rPr>
          <w:fldChar w:fldCharType="begin"/>
        </w:r>
        <w:r w:rsidRPr="006E471D">
          <w:rPr>
            <w:rFonts w:ascii="Traditional Arabic" w:hAnsi="Traditional Arabic" w:cs="Traditional Arabic"/>
            <w:noProof/>
            <w:webHidden/>
            <w:rtl/>
          </w:rPr>
          <w:instrText xml:space="preserve"> </w:instrText>
        </w:r>
        <w:r w:rsidRPr="006E471D">
          <w:rPr>
            <w:rFonts w:ascii="Traditional Arabic" w:hAnsi="Traditional Arabic" w:cs="Traditional Arabic"/>
            <w:noProof/>
            <w:webHidden/>
          </w:rPr>
          <w:instrText>PAGEREF</w:instrText>
        </w:r>
        <w:r w:rsidRPr="006E471D">
          <w:rPr>
            <w:rFonts w:ascii="Traditional Arabic" w:hAnsi="Traditional Arabic" w:cs="Traditional Arabic"/>
            <w:noProof/>
            <w:webHidden/>
            <w:rtl/>
          </w:rPr>
          <w:instrText xml:space="preserve"> _</w:instrText>
        </w:r>
        <w:r w:rsidRPr="006E471D">
          <w:rPr>
            <w:rFonts w:ascii="Traditional Arabic" w:hAnsi="Traditional Arabic" w:cs="Traditional Arabic"/>
            <w:noProof/>
            <w:webHidden/>
          </w:rPr>
          <w:instrText>Toc222423535 \h</w:instrText>
        </w:r>
        <w:r w:rsidRPr="006E471D">
          <w:rPr>
            <w:rFonts w:ascii="Traditional Arabic" w:hAnsi="Traditional Arabic" w:cs="Traditional Arabic"/>
            <w:noProof/>
            <w:webHidden/>
            <w:rtl/>
          </w:rPr>
          <w:instrText xml:space="preserve"> </w:instrText>
        </w:r>
        <w:r w:rsidRPr="006E471D">
          <w:rPr>
            <w:rStyle w:val="Hyperlink"/>
            <w:rFonts w:ascii="Traditional Arabic" w:hAnsi="Traditional Arabic" w:cs="Traditional Arabic"/>
            <w:noProof/>
            <w:rtl/>
          </w:rPr>
        </w:r>
        <w:r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4</w:t>
        </w:r>
        <w:r w:rsidRPr="006E471D">
          <w:rPr>
            <w:rStyle w:val="Hyperlink"/>
            <w:rFonts w:ascii="Traditional Arabic" w:hAnsi="Traditional Arabic" w:cs="Traditional Arabic"/>
            <w:noProof/>
            <w:rtl/>
          </w:rPr>
          <w:fldChar w:fldCharType="end"/>
        </w:r>
      </w:hyperlink>
    </w:p>
    <w:p w14:paraId="19009034" w14:textId="516C8B12"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38" w:history="1">
        <w:r w:rsidR="00F423D6" w:rsidRPr="006E471D">
          <w:rPr>
            <w:rStyle w:val="Hyperlink"/>
            <w:rFonts w:ascii="Traditional Arabic" w:hAnsi="Traditional Arabic" w:cs="Traditional Arabic"/>
            <w:b/>
            <w:bCs/>
            <w:noProof/>
            <w:rtl/>
            <w:lang w:bidi="ar-EG"/>
          </w:rPr>
          <w:t>2.1</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المقدمة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Toc222423538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4</w:t>
        </w:r>
        <w:r w:rsidR="00F423D6" w:rsidRPr="006E471D">
          <w:rPr>
            <w:rStyle w:val="Hyperlink"/>
            <w:rFonts w:ascii="Traditional Arabic" w:hAnsi="Traditional Arabic" w:cs="Traditional Arabic"/>
            <w:noProof/>
            <w:rtl/>
          </w:rPr>
          <w:fldChar w:fldCharType="end"/>
        </w:r>
      </w:hyperlink>
    </w:p>
    <w:p w14:paraId="45A8EBF7" w14:textId="6CC0760F"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39" w:history="1">
        <w:r w:rsidR="00F423D6" w:rsidRPr="006E471D">
          <w:rPr>
            <w:rStyle w:val="Hyperlink"/>
            <w:rFonts w:ascii="Traditional Arabic" w:hAnsi="Traditional Arabic" w:cs="Traditional Arabic"/>
            <w:b/>
            <w:bCs/>
            <w:noProof/>
            <w:rtl/>
            <w:lang w:bidi="ar-EG"/>
          </w:rPr>
          <w:t>2.2</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السياق المصرفي السعودي والتحول الرقمي كبيئة حاكمة للدراسة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Toc222423539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5</w:t>
        </w:r>
        <w:r w:rsidR="00F423D6" w:rsidRPr="006E471D">
          <w:rPr>
            <w:rStyle w:val="Hyperlink"/>
            <w:rFonts w:ascii="Traditional Arabic" w:hAnsi="Traditional Arabic" w:cs="Traditional Arabic"/>
            <w:noProof/>
            <w:rtl/>
          </w:rPr>
          <w:fldChar w:fldCharType="end"/>
        </w:r>
      </w:hyperlink>
    </w:p>
    <w:p w14:paraId="7C712ABC" w14:textId="42B43EB1" w:rsidR="00F423D6" w:rsidRPr="006E471D" w:rsidRDefault="00FD24E4" w:rsidP="00F423D6">
      <w:pPr>
        <w:pStyle w:val="TOC3"/>
        <w:rPr>
          <w:rFonts w:ascii="Traditional Arabic" w:hAnsi="Traditional Arabic" w:cs="Traditional Arabic"/>
          <w:noProof/>
          <w:rtl/>
        </w:rPr>
      </w:pPr>
      <w:hyperlink w:anchor="_Toc222423540" w:history="1">
        <w:r w:rsidR="00F423D6" w:rsidRPr="006E471D">
          <w:rPr>
            <w:rStyle w:val="Hyperlink"/>
            <w:rFonts w:ascii="Traditional Arabic" w:hAnsi="Traditional Arabic" w:cs="Traditional Arabic"/>
            <w:b/>
            <w:bCs/>
            <w:noProof/>
            <w:rtl/>
            <w:lang w:bidi="ar-EG"/>
          </w:rPr>
          <w:t>2.2.1</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التحول الرقمي في القطاع المالي السعودي: من رقمنة القنوات إلى إعادة تشكيل نموذج الأعمال</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Toc222423540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5</w:t>
        </w:r>
        <w:r w:rsidR="00F423D6" w:rsidRPr="006E471D">
          <w:rPr>
            <w:rStyle w:val="Hyperlink"/>
            <w:rFonts w:ascii="Traditional Arabic" w:hAnsi="Traditional Arabic" w:cs="Traditional Arabic"/>
            <w:noProof/>
            <w:rtl/>
          </w:rPr>
          <w:fldChar w:fldCharType="end"/>
        </w:r>
      </w:hyperlink>
    </w:p>
    <w:p w14:paraId="1C815D7E" w14:textId="1342667E" w:rsidR="00F423D6" w:rsidRPr="006E471D" w:rsidRDefault="00FD24E4" w:rsidP="00F423D6">
      <w:pPr>
        <w:pStyle w:val="TOC3"/>
        <w:rPr>
          <w:rFonts w:ascii="Traditional Arabic" w:hAnsi="Traditional Arabic" w:cs="Traditional Arabic"/>
          <w:noProof/>
          <w:rtl/>
        </w:rPr>
      </w:pPr>
      <w:hyperlink w:anchor="_Toc222423541" w:history="1">
        <w:r w:rsidR="00F423D6" w:rsidRPr="006E471D">
          <w:rPr>
            <w:rStyle w:val="Hyperlink"/>
            <w:rFonts w:ascii="Traditional Arabic" w:hAnsi="Traditional Arabic" w:cs="Traditional Arabic"/>
            <w:b/>
            <w:bCs/>
            <w:noProof/>
            <w:rtl/>
            <w:lang w:bidi="ar-EG"/>
          </w:rPr>
          <w:t>2.2.2</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الدور التنظيمي في تمكين الابتكار مع ضبط المخاطر</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Toc222423541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5</w:t>
        </w:r>
        <w:r w:rsidR="00F423D6" w:rsidRPr="006E471D">
          <w:rPr>
            <w:rStyle w:val="Hyperlink"/>
            <w:rFonts w:ascii="Traditional Arabic" w:hAnsi="Traditional Arabic" w:cs="Traditional Arabic"/>
            <w:noProof/>
            <w:rtl/>
          </w:rPr>
          <w:fldChar w:fldCharType="end"/>
        </w:r>
      </w:hyperlink>
    </w:p>
    <w:p w14:paraId="29EC7388" w14:textId="6806EE8A" w:rsidR="00F423D6" w:rsidRPr="006E471D" w:rsidRDefault="00FD24E4" w:rsidP="00F423D6">
      <w:pPr>
        <w:pStyle w:val="TOC3"/>
        <w:rPr>
          <w:rFonts w:ascii="Traditional Arabic" w:hAnsi="Traditional Arabic" w:cs="Traditional Arabic"/>
          <w:noProof/>
          <w:rtl/>
        </w:rPr>
      </w:pPr>
      <w:hyperlink w:anchor="_Toc222423542" w:history="1">
        <w:r w:rsidR="00F423D6" w:rsidRPr="006E471D">
          <w:rPr>
            <w:rStyle w:val="Hyperlink"/>
            <w:rFonts w:ascii="Traditional Arabic" w:hAnsi="Traditional Arabic" w:cs="Traditional Arabic"/>
            <w:b/>
            <w:bCs/>
            <w:noProof/>
            <w:rtl/>
            <w:lang w:bidi="ar-EG"/>
          </w:rPr>
          <w:t>2.2.3</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الرياض كحاضنة مصرفية كثيفة البيانات والقرارات</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Toc222423542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6</w:t>
        </w:r>
        <w:r w:rsidR="00F423D6" w:rsidRPr="006E471D">
          <w:rPr>
            <w:rStyle w:val="Hyperlink"/>
            <w:rFonts w:ascii="Traditional Arabic" w:hAnsi="Traditional Arabic" w:cs="Traditional Arabic"/>
            <w:noProof/>
            <w:rtl/>
          </w:rPr>
          <w:fldChar w:fldCharType="end"/>
        </w:r>
      </w:hyperlink>
    </w:p>
    <w:p w14:paraId="6F18EA31" w14:textId="04D96C4E" w:rsidR="00F423D6" w:rsidRPr="006E471D" w:rsidRDefault="00FD24E4" w:rsidP="00F423D6">
      <w:pPr>
        <w:pStyle w:val="TOC3"/>
        <w:rPr>
          <w:rFonts w:ascii="Traditional Arabic" w:hAnsi="Traditional Arabic" w:cs="Traditional Arabic"/>
          <w:noProof/>
          <w:rtl/>
        </w:rPr>
      </w:pPr>
      <w:hyperlink w:anchor="_Toc222423543" w:history="1">
        <w:r w:rsidR="00F423D6" w:rsidRPr="006E471D">
          <w:rPr>
            <w:rStyle w:val="Hyperlink"/>
            <w:rFonts w:ascii="Traditional Arabic" w:hAnsi="Traditional Arabic" w:cs="Traditional Arabic"/>
            <w:b/>
            <w:bCs/>
            <w:noProof/>
            <w:rtl/>
            <w:lang w:bidi="ar-EG"/>
          </w:rPr>
          <w:t>2.2.4</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تصاعد المدفوعات الرقمية ونمو منظومة التقنية المالية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Toc222423543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6</w:t>
        </w:r>
        <w:r w:rsidR="00F423D6" w:rsidRPr="006E471D">
          <w:rPr>
            <w:rStyle w:val="Hyperlink"/>
            <w:rFonts w:ascii="Traditional Arabic" w:hAnsi="Traditional Arabic" w:cs="Traditional Arabic"/>
            <w:noProof/>
            <w:rtl/>
          </w:rPr>
          <w:fldChar w:fldCharType="end"/>
        </w:r>
      </w:hyperlink>
    </w:p>
    <w:p w14:paraId="29DD4613" w14:textId="418C9857" w:rsidR="00F423D6" w:rsidRPr="006E471D" w:rsidRDefault="00FD24E4" w:rsidP="00F423D6">
      <w:pPr>
        <w:pStyle w:val="TOC3"/>
        <w:rPr>
          <w:rFonts w:ascii="Traditional Arabic" w:hAnsi="Traditional Arabic" w:cs="Traditional Arabic"/>
          <w:noProof/>
          <w:rtl/>
        </w:rPr>
      </w:pPr>
      <w:hyperlink w:anchor="_Toc222423544" w:history="1">
        <w:r w:rsidR="00F423D6" w:rsidRPr="006E471D">
          <w:rPr>
            <w:rStyle w:val="Hyperlink"/>
            <w:rFonts w:ascii="Traditional Arabic" w:hAnsi="Traditional Arabic" w:cs="Traditional Arabic"/>
            <w:b/>
            <w:bCs/>
            <w:noProof/>
            <w:rtl/>
            <w:lang w:bidi="ar-EG"/>
          </w:rPr>
          <w:t>2.2.5</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دلالات السياق على منطق النموذج وفروضه</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Toc222423544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6</w:t>
        </w:r>
        <w:r w:rsidR="00F423D6" w:rsidRPr="006E471D">
          <w:rPr>
            <w:rStyle w:val="Hyperlink"/>
            <w:rFonts w:ascii="Traditional Arabic" w:hAnsi="Traditional Arabic" w:cs="Traditional Arabic"/>
            <w:noProof/>
            <w:rtl/>
          </w:rPr>
          <w:fldChar w:fldCharType="end"/>
        </w:r>
      </w:hyperlink>
    </w:p>
    <w:p w14:paraId="28D60C83" w14:textId="719CEC1E"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45" w:history="1">
        <w:r w:rsidR="00F423D6" w:rsidRPr="006E471D">
          <w:rPr>
            <w:rStyle w:val="Hyperlink"/>
            <w:rFonts w:ascii="Traditional Arabic" w:hAnsi="Traditional Arabic" w:cs="Traditional Arabic"/>
            <w:b/>
            <w:bCs/>
            <w:noProof/>
            <w:rtl/>
            <w:lang w:bidi="ar-EG"/>
          </w:rPr>
          <w:t>2.3</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ذكاء الأعمال في المصارف: المفهوم، الوظائف، وتطبيقاته الاستراتيجية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Toc222423545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7</w:t>
        </w:r>
        <w:r w:rsidR="00F423D6" w:rsidRPr="006E471D">
          <w:rPr>
            <w:rStyle w:val="Hyperlink"/>
            <w:rFonts w:ascii="Traditional Arabic" w:hAnsi="Traditional Arabic" w:cs="Traditional Arabic"/>
            <w:noProof/>
            <w:rtl/>
          </w:rPr>
          <w:fldChar w:fldCharType="end"/>
        </w:r>
      </w:hyperlink>
    </w:p>
    <w:p w14:paraId="36AACD9D" w14:textId="2CED236A" w:rsidR="00F423D6" w:rsidRPr="006E471D" w:rsidRDefault="00FD24E4" w:rsidP="00F423D6">
      <w:pPr>
        <w:pStyle w:val="TOC3"/>
        <w:rPr>
          <w:rFonts w:ascii="Traditional Arabic" w:hAnsi="Traditional Arabic" w:cs="Traditional Arabic"/>
          <w:noProof/>
          <w:rtl/>
        </w:rPr>
      </w:pPr>
      <w:hyperlink w:anchor="_Toc222423546" w:history="1">
        <w:r w:rsidR="00F423D6" w:rsidRPr="006E471D">
          <w:rPr>
            <w:rStyle w:val="Hyperlink"/>
            <w:rFonts w:ascii="Traditional Arabic" w:hAnsi="Traditional Arabic" w:cs="Traditional Arabic"/>
            <w:b/>
            <w:bCs/>
            <w:noProof/>
            <w:rtl/>
            <w:lang w:bidi="ar-EG"/>
          </w:rPr>
          <w:t>2.3.1</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ضبط المفهوم وحدوده داخل نظم دعم القرار</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Toc222423546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7</w:t>
        </w:r>
        <w:r w:rsidR="00F423D6" w:rsidRPr="006E471D">
          <w:rPr>
            <w:rStyle w:val="Hyperlink"/>
            <w:rFonts w:ascii="Traditional Arabic" w:hAnsi="Traditional Arabic" w:cs="Traditional Arabic"/>
            <w:noProof/>
            <w:rtl/>
          </w:rPr>
          <w:fldChar w:fldCharType="end"/>
        </w:r>
      </w:hyperlink>
    </w:p>
    <w:p w14:paraId="519ED993" w14:textId="4C19F688" w:rsidR="00F423D6" w:rsidRPr="006E471D" w:rsidRDefault="00FD24E4" w:rsidP="00F423D6">
      <w:pPr>
        <w:pStyle w:val="TOC3"/>
        <w:rPr>
          <w:rFonts w:ascii="Traditional Arabic" w:hAnsi="Traditional Arabic" w:cs="Traditional Arabic"/>
          <w:noProof/>
          <w:rtl/>
        </w:rPr>
      </w:pPr>
      <w:hyperlink w:anchor="_Toc222423547" w:history="1">
        <w:r w:rsidR="00F423D6" w:rsidRPr="006E471D">
          <w:rPr>
            <w:rStyle w:val="Hyperlink"/>
            <w:rFonts w:ascii="Traditional Arabic" w:hAnsi="Traditional Arabic" w:cs="Traditional Arabic"/>
            <w:b/>
            <w:bCs/>
            <w:noProof/>
            <w:rtl/>
            <w:lang w:bidi="ar-EG"/>
          </w:rPr>
          <w:t>2.3.2</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التمييز بين ذكاء الأعمال والتحليلات والذكاء الاصطناعي</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Toc222423547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7</w:t>
        </w:r>
        <w:r w:rsidR="00F423D6" w:rsidRPr="006E471D">
          <w:rPr>
            <w:rStyle w:val="Hyperlink"/>
            <w:rFonts w:ascii="Traditional Arabic" w:hAnsi="Traditional Arabic" w:cs="Traditional Arabic"/>
            <w:noProof/>
            <w:rtl/>
          </w:rPr>
          <w:fldChar w:fldCharType="end"/>
        </w:r>
      </w:hyperlink>
    </w:p>
    <w:p w14:paraId="560DB890" w14:textId="4695CF03" w:rsidR="00F423D6" w:rsidRPr="006E471D" w:rsidRDefault="00FD24E4" w:rsidP="00F423D6">
      <w:pPr>
        <w:pStyle w:val="TOC3"/>
        <w:rPr>
          <w:rFonts w:ascii="Traditional Arabic" w:hAnsi="Traditional Arabic" w:cs="Traditional Arabic"/>
          <w:noProof/>
          <w:rtl/>
        </w:rPr>
      </w:pPr>
      <w:hyperlink w:anchor="_Toc222423548" w:history="1">
        <w:r w:rsidR="00F423D6" w:rsidRPr="006E471D">
          <w:rPr>
            <w:rStyle w:val="Hyperlink"/>
            <w:rFonts w:ascii="Traditional Arabic" w:hAnsi="Traditional Arabic" w:cs="Traditional Arabic"/>
            <w:b/>
            <w:bCs/>
            <w:noProof/>
            <w:rtl/>
            <w:lang w:bidi="ar-EG"/>
          </w:rPr>
          <w:t>2.3.3</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البنية المعمارية لذكاء الأعمال في المصارف: من بيانات متشعبة إلى رؤية متماسكة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Toc222423548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8</w:t>
        </w:r>
        <w:r w:rsidR="00F423D6" w:rsidRPr="006E471D">
          <w:rPr>
            <w:rStyle w:val="Hyperlink"/>
            <w:rFonts w:ascii="Traditional Arabic" w:hAnsi="Traditional Arabic" w:cs="Traditional Arabic"/>
            <w:noProof/>
            <w:rtl/>
          </w:rPr>
          <w:fldChar w:fldCharType="end"/>
        </w:r>
      </w:hyperlink>
    </w:p>
    <w:p w14:paraId="676E562F" w14:textId="6453F872" w:rsidR="00F423D6" w:rsidRPr="006E471D" w:rsidRDefault="00FD24E4" w:rsidP="00F423D6">
      <w:pPr>
        <w:pStyle w:val="TOC3"/>
        <w:rPr>
          <w:rFonts w:ascii="Traditional Arabic" w:hAnsi="Traditional Arabic" w:cs="Traditional Arabic"/>
          <w:noProof/>
          <w:rtl/>
        </w:rPr>
      </w:pPr>
      <w:hyperlink w:anchor="_Toc222423549" w:history="1">
        <w:r w:rsidR="00F423D6" w:rsidRPr="006E471D">
          <w:rPr>
            <w:rStyle w:val="Hyperlink"/>
            <w:rFonts w:ascii="Traditional Arabic" w:hAnsi="Traditional Arabic" w:cs="Traditional Arabic"/>
            <w:b/>
            <w:bCs/>
            <w:noProof/>
            <w:rtl/>
            <w:lang w:bidi="ar-EG"/>
          </w:rPr>
          <w:t>2.3.4</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مجالات التطبيق المصرفي من إدارة المخاطر إلى إدارة القيمة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Toc222423549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9</w:t>
        </w:r>
        <w:r w:rsidR="00F423D6" w:rsidRPr="006E471D">
          <w:rPr>
            <w:rStyle w:val="Hyperlink"/>
            <w:rFonts w:ascii="Traditional Arabic" w:hAnsi="Traditional Arabic" w:cs="Traditional Arabic"/>
            <w:noProof/>
            <w:rtl/>
          </w:rPr>
          <w:fldChar w:fldCharType="end"/>
        </w:r>
      </w:hyperlink>
    </w:p>
    <w:p w14:paraId="0EED3C2B" w14:textId="2891DEFD" w:rsidR="00F423D6" w:rsidRPr="006E471D" w:rsidRDefault="00FD24E4" w:rsidP="00F423D6">
      <w:pPr>
        <w:pStyle w:val="TOC3"/>
        <w:rPr>
          <w:rFonts w:ascii="Traditional Arabic" w:hAnsi="Traditional Arabic" w:cs="Traditional Arabic"/>
          <w:noProof/>
          <w:rtl/>
        </w:rPr>
      </w:pPr>
      <w:hyperlink w:anchor="_Toc222423550" w:history="1">
        <w:r w:rsidR="00F423D6" w:rsidRPr="006E471D">
          <w:rPr>
            <w:rStyle w:val="Hyperlink"/>
            <w:rFonts w:ascii="Traditional Arabic" w:hAnsi="Traditional Arabic" w:cs="Traditional Arabic"/>
            <w:b/>
            <w:bCs/>
            <w:noProof/>
            <w:rtl/>
            <w:lang w:bidi="ar-EG"/>
          </w:rPr>
          <w:t>2.3.5</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تحديات التطبيق في المصارف</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Toc222423550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10</w:t>
        </w:r>
        <w:r w:rsidR="00F423D6" w:rsidRPr="006E471D">
          <w:rPr>
            <w:rStyle w:val="Hyperlink"/>
            <w:rFonts w:ascii="Traditional Arabic" w:hAnsi="Traditional Arabic" w:cs="Traditional Arabic"/>
            <w:noProof/>
            <w:rtl/>
          </w:rPr>
          <w:fldChar w:fldCharType="end"/>
        </w:r>
      </w:hyperlink>
    </w:p>
    <w:p w14:paraId="3E29F119" w14:textId="70C3D5F8"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51" w:history="1">
        <w:r w:rsidR="00F423D6" w:rsidRPr="006E471D">
          <w:rPr>
            <w:rStyle w:val="Hyperlink"/>
            <w:rFonts w:ascii="Traditional Arabic" w:hAnsi="Traditional Arabic" w:cs="Traditional Arabic"/>
            <w:b/>
            <w:bCs/>
            <w:noProof/>
            <w:rtl/>
            <w:lang w:bidi="ar-EG"/>
          </w:rPr>
          <w:t>2.4</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قبول أنظمة ذكاء الأعمال: نموذج قبول التكنولوجيا (</w:t>
        </w:r>
        <w:r w:rsidR="00F423D6" w:rsidRPr="006E471D">
          <w:rPr>
            <w:rStyle w:val="Hyperlink"/>
            <w:rFonts w:ascii="Traditional Arabic" w:hAnsi="Traditional Arabic" w:cs="Traditional Arabic"/>
            <w:b/>
            <w:bCs/>
            <w:noProof/>
            <w:lang w:bidi="ar-EG"/>
          </w:rPr>
          <w:t>TAM</w:t>
        </w:r>
        <w:r w:rsidR="00F423D6" w:rsidRPr="006E471D">
          <w:rPr>
            <w:rStyle w:val="Hyperlink"/>
            <w:rFonts w:ascii="Traditional Arabic" w:hAnsi="Traditional Arabic" w:cs="Traditional Arabic"/>
            <w:b/>
            <w:bCs/>
            <w:noProof/>
            <w:rtl/>
            <w:lang w:bidi="ar-EG"/>
          </w:rPr>
          <w:t>) وتكييفه على بيئة البنوك</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Toc222423551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11</w:t>
        </w:r>
        <w:r w:rsidR="00F423D6" w:rsidRPr="006E471D">
          <w:rPr>
            <w:rStyle w:val="Hyperlink"/>
            <w:rFonts w:ascii="Traditional Arabic" w:hAnsi="Traditional Arabic" w:cs="Traditional Arabic"/>
            <w:noProof/>
            <w:rtl/>
          </w:rPr>
          <w:fldChar w:fldCharType="end"/>
        </w:r>
      </w:hyperlink>
    </w:p>
    <w:p w14:paraId="6A131DC0" w14:textId="2ABFC2CE" w:rsidR="00F423D6" w:rsidRPr="006E471D" w:rsidRDefault="00FD24E4" w:rsidP="00F423D6">
      <w:pPr>
        <w:pStyle w:val="TOC3"/>
        <w:rPr>
          <w:rFonts w:ascii="Traditional Arabic" w:hAnsi="Traditional Arabic" w:cs="Traditional Arabic"/>
          <w:noProof/>
          <w:rtl/>
        </w:rPr>
      </w:pPr>
      <w:hyperlink w:anchor="_Toc222423552" w:history="1">
        <w:r w:rsidR="00F423D6" w:rsidRPr="006E471D">
          <w:rPr>
            <w:rStyle w:val="Hyperlink"/>
            <w:rFonts w:ascii="Traditional Arabic" w:hAnsi="Traditional Arabic" w:cs="Traditional Arabic"/>
            <w:b/>
            <w:bCs/>
            <w:noProof/>
            <w:rtl/>
            <w:lang w:bidi="ar-EG"/>
          </w:rPr>
          <w:t>2.4.1</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الأساس النظري لنموذج قبول التكنولوجيا في بحوث نظم المعلومات</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Toc222423552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11</w:t>
        </w:r>
        <w:r w:rsidR="00F423D6" w:rsidRPr="006E471D">
          <w:rPr>
            <w:rStyle w:val="Hyperlink"/>
            <w:rFonts w:ascii="Traditional Arabic" w:hAnsi="Traditional Arabic" w:cs="Traditional Arabic"/>
            <w:noProof/>
            <w:rtl/>
          </w:rPr>
          <w:fldChar w:fldCharType="end"/>
        </w:r>
      </w:hyperlink>
    </w:p>
    <w:p w14:paraId="7A694E80" w14:textId="46DC4B19" w:rsidR="00F423D6" w:rsidRPr="006E471D" w:rsidRDefault="00FD24E4" w:rsidP="00F423D6">
      <w:pPr>
        <w:pStyle w:val="TOC3"/>
        <w:rPr>
          <w:rFonts w:ascii="Traditional Arabic" w:hAnsi="Traditional Arabic" w:cs="Traditional Arabic"/>
          <w:noProof/>
          <w:rtl/>
        </w:rPr>
      </w:pPr>
      <w:hyperlink w:anchor="_Toc222423553" w:history="1">
        <w:r w:rsidR="00F423D6" w:rsidRPr="006E471D">
          <w:rPr>
            <w:rStyle w:val="Hyperlink"/>
            <w:rFonts w:ascii="Traditional Arabic" w:hAnsi="Traditional Arabic" w:cs="Traditional Arabic"/>
            <w:b/>
            <w:bCs/>
            <w:noProof/>
            <w:rtl/>
            <w:lang w:bidi="ar-EG"/>
          </w:rPr>
          <w:t>2.4.2</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البنى الجوهرية للنموذج وملاءمته لوحدة تحليل المديرين في القطاع المصرفي</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Toc222423553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12</w:t>
        </w:r>
        <w:r w:rsidR="00F423D6" w:rsidRPr="006E471D">
          <w:rPr>
            <w:rStyle w:val="Hyperlink"/>
            <w:rFonts w:ascii="Traditional Arabic" w:hAnsi="Traditional Arabic" w:cs="Traditional Arabic"/>
            <w:noProof/>
            <w:rtl/>
          </w:rPr>
          <w:fldChar w:fldCharType="end"/>
        </w:r>
      </w:hyperlink>
    </w:p>
    <w:p w14:paraId="34F57917" w14:textId="3D8621D4" w:rsidR="00F423D6" w:rsidRPr="006E471D" w:rsidRDefault="00FD24E4" w:rsidP="00F423D6">
      <w:pPr>
        <w:pStyle w:val="TOC3"/>
        <w:rPr>
          <w:rFonts w:ascii="Traditional Arabic" w:hAnsi="Traditional Arabic" w:cs="Traditional Arabic"/>
          <w:noProof/>
          <w:rtl/>
        </w:rPr>
      </w:pPr>
      <w:hyperlink w:anchor="_Toc222423554" w:history="1">
        <w:r w:rsidR="00F423D6" w:rsidRPr="006E471D">
          <w:rPr>
            <w:rStyle w:val="Hyperlink"/>
            <w:rFonts w:ascii="Traditional Arabic" w:hAnsi="Traditional Arabic" w:cs="Traditional Arabic"/>
            <w:b/>
            <w:bCs/>
            <w:noProof/>
            <w:rtl/>
            <w:lang w:bidi="ar-EG"/>
          </w:rPr>
          <w:t>2.4.3</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 xml:space="preserve">تكييف </w:t>
        </w:r>
        <w:r w:rsidR="00F423D6" w:rsidRPr="006E471D">
          <w:rPr>
            <w:rStyle w:val="Hyperlink"/>
            <w:rFonts w:ascii="Traditional Arabic" w:hAnsi="Traditional Arabic" w:cs="Traditional Arabic"/>
            <w:b/>
            <w:bCs/>
            <w:noProof/>
            <w:lang w:bidi="ar-EG"/>
          </w:rPr>
          <w:t>TAM</w:t>
        </w:r>
        <w:r w:rsidR="00F423D6" w:rsidRPr="006E471D">
          <w:rPr>
            <w:rStyle w:val="Hyperlink"/>
            <w:rFonts w:ascii="Traditional Arabic" w:hAnsi="Traditional Arabic" w:cs="Traditional Arabic"/>
            <w:b/>
            <w:bCs/>
            <w:noProof/>
            <w:rtl/>
            <w:lang w:bidi="ar-EG"/>
          </w:rPr>
          <w:t xml:space="preserve"> لقياس قبول أنظمة ذكاء الأعمال في المصارف</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Toc222423554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12</w:t>
        </w:r>
        <w:r w:rsidR="00F423D6" w:rsidRPr="006E471D">
          <w:rPr>
            <w:rStyle w:val="Hyperlink"/>
            <w:rFonts w:ascii="Traditional Arabic" w:hAnsi="Traditional Arabic" w:cs="Traditional Arabic"/>
            <w:noProof/>
            <w:rtl/>
          </w:rPr>
          <w:fldChar w:fldCharType="end"/>
        </w:r>
      </w:hyperlink>
    </w:p>
    <w:p w14:paraId="4833331C" w14:textId="3C8FB728" w:rsidR="00F423D6" w:rsidRPr="006E471D" w:rsidRDefault="00FD24E4" w:rsidP="00F423D6">
      <w:pPr>
        <w:pStyle w:val="TOC3"/>
        <w:rPr>
          <w:rFonts w:ascii="Traditional Arabic" w:hAnsi="Traditional Arabic" w:cs="Traditional Arabic"/>
          <w:noProof/>
          <w:rtl/>
        </w:rPr>
      </w:pPr>
      <w:hyperlink w:anchor="_Toc222423555" w:history="1">
        <w:r w:rsidR="00F423D6" w:rsidRPr="006E471D">
          <w:rPr>
            <w:rStyle w:val="Hyperlink"/>
            <w:rFonts w:ascii="Traditional Arabic" w:hAnsi="Traditional Arabic" w:cs="Traditional Arabic"/>
            <w:b/>
            <w:bCs/>
            <w:noProof/>
            <w:rtl/>
            <w:lang w:bidi="ar-EG"/>
          </w:rPr>
          <w:t>2.4.4</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المتغيرات المساندة الشائعة في البيئات المصرفية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Toc222423555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13</w:t>
        </w:r>
        <w:r w:rsidR="00F423D6" w:rsidRPr="006E471D">
          <w:rPr>
            <w:rStyle w:val="Hyperlink"/>
            <w:rFonts w:ascii="Traditional Arabic" w:hAnsi="Traditional Arabic" w:cs="Traditional Arabic"/>
            <w:noProof/>
            <w:rtl/>
          </w:rPr>
          <w:fldChar w:fldCharType="end"/>
        </w:r>
      </w:hyperlink>
    </w:p>
    <w:p w14:paraId="6F3C8526" w14:textId="622A633D" w:rsidR="00F423D6" w:rsidRPr="006E471D" w:rsidRDefault="00FD24E4" w:rsidP="00F423D6">
      <w:pPr>
        <w:pStyle w:val="TOC3"/>
        <w:rPr>
          <w:rFonts w:ascii="Traditional Arabic" w:hAnsi="Traditional Arabic" w:cs="Traditional Arabic"/>
          <w:noProof/>
          <w:rtl/>
        </w:rPr>
      </w:pPr>
      <w:hyperlink w:anchor="_Toc222423556" w:history="1">
        <w:r w:rsidR="00F423D6" w:rsidRPr="006E471D">
          <w:rPr>
            <w:rStyle w:val="Hyperlink"/>
            <w:rFonts w:ascii="Traditional Arabic" w:hAnsi="Traditional Arabic" w:cs="Traditional Arabic"/>
            <w:b/>
            <w:bCs/>
            <w:noProof/>
            <w:rtl/>
            <w:lang w:bidi="ar-EG"/>
          </w:rPr>
          <w:t>2.4.5</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من النية إلى الاستخدام الفعلي – تحويل القبول إلى ممارسة قرار استراتيجي</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Toc222423556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14</w:t>
        </w:r>
        <w:r w:rsidR="00F423D6" w:rsidRPr="006E471D">
          <w:rPr>
            <w:rStyle w:val="Hyperlink"/>
            <w:rFonts w:ascii="Traditional Arabic" w:hAnsi="Traditional Arabic" w:cs="Traditional Arabic"/>
            <w:noProof/>
            <w:rtl/>
          </w:rPr>
          <w:fldChar w:fldCharType="end"/>
        </w:r>
      </w:hyperlink>
    </w:p>
    <w:p w14:paraId="7FCCE3AF" w14:textId="6B49C3DD"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57" w:history="1">
        <w:r w:rsidR="00F423D6" w:rsidRPr="006E471D">
          <w:rPr>
            <w:rStyle w:val="Hyperlink"/>
            <w:rFonts w:ascii="Traditional Arabic" w:hAnsi="Traditional Arabic" w:cs="Traditional Arabic"/>
            <w:b/>
            <w:bCs/>
            <w:noProof/>
            <w:rtl/>
            <w:lang w:bidi="ar-EG"/>
          </w:rPr>
          <w:t>2.5</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جودة القرارات الاستراتيجية: المفهوم، الأبعاد، وكيف تتحسن بالبيانات</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Toc222423557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15</w:t>
        </w:r>
        <w:r w:rsidR="00F423D6" w:rsidRPr="006E471D">
          <w:rPr>
            <w:rStyle w:val="Hyperlink"/>
            <w:rFonts w:ascii="Traditional Arabic" w:hAnsi="Traditional Arabic" w:cs="Traditional Arabic"/>
            <w:noProof/>
            <w:rtl/>
          </w:rPr>
          <w:fldChar w:fldCharType="end"/>
        </w:r>
      </w:hyperlink>
    </w:p>
    <w:p w14:paraId="7247AB87" w14:textId="21B26A3C" w:rsidR="00F423D6" w:rsidRPr="006E471D" w:rsidRDefault="00FD24E4" w:rsidP="00F423D6">
      <w:pPr>
        <w:pStyle w:val="TOC3"/>
        <w:rPr>
          <w:rFonts w:ascii="Traditional Arabic" w:hAnsi="Traditional Arabic" w:cs="Traditional Arabic"/>
          <w:noProof/>
          <w:rtl/>
        </w:rPr>
      </w:pPr>
      <w:hyperlink w:anchor="_Toc222423558" w:history="1">
        <w:r w:rsidR="00F423D6" w:rsidRPr="006E471D">
          <w:rPr>
            <w:rStyle w:val="Hyperlink"/>
            <w:rFonts w:ascii="Traditional Arabic" w:hAnsi="Traditional Arabic" w:cs="Traditional Arabic"/>
            <w:b/>
            <w:bCs/>
            <w:noProof/>
            <w:rtl/>
            <w:lang w:bidi="ar-EG"/>
          </w:rPr>
          <w:t>2.5.1</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طبيعة القرار الاستراتيجي وخصائصه في المنظمات المصرفية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Toc222423558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15</w:t>
        </w:r>
        <w:r w:rsidR="00F423D6" w:rsidRPr="006E471D">
          <w:rPr>
            <w:rStyle w:val="Hyperlink"/>
            <w:rFonts w:ascii="Traditional Arabic" w:hAnsi="Traditional Arabic" w:cs="Traditional Arabic"/>
            <w:noProof/>
            <w:rtl/>
          </w:rPr>
          <w:fldChar w:fldCharType="end"/>
        </w:r>
      </w:hyperlink>
    </w:p>
    <w:p w14:paraId="428C5D18" w14:textId="47268B9E" w:rsidR="00F423D6" w:rsidRPr="006E471D" w:rsidRDefault="00FD24E4" w:rsidP="00F423D6">
      <w:pPr>
        <w:pStyle w:val="TOC3"/>
        <w:rPr>
          <w:rFonts w:ascii="Traditional Arabic" w:hAnsi="Traditional Arabic" w:cs="Traditional Arabic"/>
          <w:noProof/>
          <w:rtl/>
        </w:rPr>
      </w:pPr>
      <w:hyperlink w:anchor="_Toc222423559" w:history="1">
        <w:r w:rsidR="00F423D6" w:rsidRPr="006E471D">
          <w:rPr>
            <w:rStyle w:val="Hyperlink"/>
            <w:rFonts w:ascii="Traditional Arabic" w:hAnsi="Traditional Arabic" w:cs="Traditional Arabic"/>
            <w:b/>
            <w:bCs/>
            <w:noProof/>
            <w:rtl/>
            <w:lang w:bidi="ar-EG"/>
          </w:rPr>
          <w:t>2.5.2</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جودة عملية اتخاذ القرار وجودة القرار ذاته</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Toc222423559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15</w:t>
        </w:r>
        <w:r w:rsidR="00F423D6" w:rsidRPr="006E471D">
          <w:rPr>
            <w:rStyle w:val="Hyperlink"/>
            <w:rFonts w:ascii="Traditional Arabic" w:hAnsi="Traditional Arabic" w:cs="Traditional Arabic"/>
            <w:noProof/>
            <w:rtl/>
          </w:rPr>
          <w:fldChar w:fldCharType="end"/>
        </w:r>
      </w:hyperlink>
    </w:p>
    <w:p w14:paraId="1DDC2FB9" w14:textId="1974B914" w:rsidR="00F423D6" w:rsidRPr="006E471D" w:rsidRDefault="00FD24E4" w:rsidP="00F423D6">
      <w:pPr>
        <w:pStyle w:val="TOC3"/>
        <w:rPr>
          <w:rFonts w:ascii="Traditional Arabic" w:hAnsi="Traditional Arabic" w:cs="Traditional Arabic"/>
          <w:noProof/>
          <w:rtl/>
        </w:rPr>
      </w:pPr>
      <w:hyperlink w:anchor="_Toc222423560" w:history="1">
        <w:r w:rsidR="00F423D6" w:rsidRPr="006E471D">
          <w:rPr>
            <w:rStyle w:val="Hyperlink"/>
            <w:rFonts w:ascii="Traditional Arabic" w:hAnsi="Traditional Arabic" w:cs="Traditional Arabic"/>
            <w:b/>
            <w:bCs/>
            <w:noProof/>
            <w:rtl/>
            <w:lang w:bidi="ar-EG"/>
          </w:rPr>
          <w:t>2.5.3</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الأبعاد التشغيلية لجودة القرارات الاستراتيجية في الدراسة الحالية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Toc222423560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16</w:t>
        </w:r>
        <w:r w:rsidR="00F423D6" w:rsidRPr="006E471D">
          <w:rPr>
            <w:rStyle w:val="Hyperlink"/>
            <w:rFonts w:ascii="Traditional Arabic" w:hAnsi="Traditional Arabic" w:cs="Traditional Arabic"/>
            <w:noProof/>
            <w:rtl/>
          </w:rPr>
          <w:fldChar w:fldCharType="end"/>
        </w:r>
      </w:hyperlink>
    </w:p>
    <w:p w14:paraId="231F830E" w14:textId="6B967406" w:rsidR="00F423D6" w:rsidRPr="006E471D" w:rsidRDefault="00FD24E4" w:rsidP="00F423D6">
      <w:pPr>
        <w:pStyle w:val="TOC3"/>
        <w:rPr>
          <w:rFonts w:ascii="Traditional Arabic" w:hAnsi="Traditional Arabic" w:cs="Traditional Arabic"/>
          <w:noProof/>
          <w:rtl/>
        </w:rPr>
      </w:pPr>
      <w:hyperlink w:anchor="_Toc222423561" w:history="1">
        <w:r w:rsidR="00F423D6" w:rsidRPr="006E471D">
          <w:rPr>
            <w:rStyle w:val="Hyperlink"/>
            <w:rFonts w:ascii="Traditional Arabic" w:hAnsi="Traditional Arabic" w:cs="Traditional Arabic"/>
            <w:b/>
            <w:bCs/>
            <w:noProof/>
            <w:rtl/>
            <w:lang w:bidi="ar-EG"/>
          </w:rPr>
          <w:t>2.5.4</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منطق القرار القائم على البيانات: كيف تُحسّن التحليلات جودة القرار الاستراتيجي</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Toc222423561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18</w:t>
        </w:r>
        <w:r w:rsidR="00F423D6" w:rsidRPr="006E471D">
          <w:rPr>
            <w:rStyle w:val="Hyperlink"/>
            <w:rFonts w:ascii="Traditional Arabic" w:hAnsi="Traditional Arabic" w:cs="Traditional Arabic"/>
            <w:noProof/>
            <w:rtl/>
          </w:rPr>
          <w:fldChar w:fldCharType="end"/>
        </w:r>
      </w:hyperlink>
    </w:p>
    <w:p w14:paraId="0AF3886E" w14:textId="06EBBD2B"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62" w:history="1">
        <w:r w:rsidR="00F423D6" w:rsidRPr="006E471D">
          <w:rPr>
            <w:rStyle w:val="Hyperlink"/>
            <w:rFonts w:ascii="Traditional Arabic" w:hAnsi="Traditional Arabic" w:cs="Traditional Arabic"/>
            <w:b/>
            <w:bCs/>
            <w:noProof/>
            <w:rtl/>
            <w:lang w:bidi="ar-EG"/>
          </w:rPr>
          <w:t>2.6</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الابتكار التنظيمي في المصارف: المفهوم والأبعاد ومحدداته</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Toc222423562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19</w:t>
        </w:r>
        <w:r w:rsidR="00F423D6" w:rsidRPr="006E471D">
          <w:rPr>
            <w:rStyle w:val="Hyperlink"/>
            <w:rFonts w:ascii="Traditional Arabic" w:hAnsi="Traditional Arabic" w:cs="Traditional Arabic"/>
            <w:noProof/>
            <w:rtl/>
          </w:rPr>
          <w:fldChar w:fldCharType="end"/>
        </w:r>
      </w:hyperlink>
    </w:p>
    <w:p w14:paraId="3BC59D5B" w14:textId="7AD2E674" w:rsidR="00F423D6" w:rsidRPr="006E471D" w:rsidRDefault="00FD24E4" w:rsidP="00F423D6">
      <w:pPr>
        <w:pStyle w:val="TOC3"/>
        <w:rPr>
          <w:rFonts w:ascii="Traditional Arabic" w:hAnsi="Traditional Arabic" w:cs="Traditional Arabic"/>
          <w:noProof/>
          <w:rtl/>
        </w:rPr>
      </w:pPr>
      <w:hyperlink w:anchor="_Toc222423563" w:history="1">
        <w:r w:rsidR="00F423D6" w:rsidRPr="006E471D">
          <w:rPr>
            <w:rStyle w:val="Hyperlink"/>
            <w:rFonts w:ascii="Traditional Arabic" w:hAnsi="Traditional Arabic" w:cs="Traditional Arabic"/>
            <w:b/>
            <w:bCs/>
            <w:noProof/>
            <w:rtl/>
            <w:lang w:bidi="ar-EG"/>
          </w:rPr>
          <w:t>2.6.1</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التأصيل المفاهيمي للابتكار التنظيمي في البيئة المصرفية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Toc222423563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19</w:t>
        </w:r>
        <w:r w:rsidR="00F423D6" w:rsidRPr="006E471D">
          <w:rPr>
            <w:rStyle w:val="Hyperlink"/>
            <w:rFonts w:ascii="Traditional Arabic" w:hAnsi="Traditional Arabic" w:cs="Traditional Arabic"/>
            <w:noProof/>
            <w:rtl/>
          </w:rPr>
          <w:fldChar w:fldCharType="end"/>
        </w:r>
      </w:hyperlink>
    </w:p>
    <w:p w14:paraId="27328B25" w14:textId="61EB00C4" w:rsidR="00F423D6" w:rsidRPr="006E471D" w:rsidRDefault="00FD24E4" w:rsidP="00F423D6">
      <w:pPr>
        <w:pStyle w:val="TOC3"/>
        <w:rPr>
          <w:rFonts w:ascii="Traditional Arabic" w:hAnsi="Traditional Arabic" w:cs="Traditional Arabic"/>
          <w:noProof/>
          <w:rtl/>
        </w:rPr>
      </w:pPr>
      <w:hyperlink w:anchor="_Toc222423564" w:history="1">
        <w:r w:rsidR="00F423D6" w:rsidRPr="006E471D">
          <w:rPr>
            <w:rStyle w:val="Hyperlink"/>
            <w:rFonts w:ascii="Traditional Arabic" w:hAnsi="Traditional Arabic" w:cs="Traditional Arabic"/>
            <w:b/>
            <w:bCs/>
            <w:noProof/>
            <w:rtl/>
            <w:lang w:bidi="ar-EG"/>
          </w:rPr>
          <w:t>2.6.2</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الأبعاد التشغيلية للابتكار التنظيمي المعتمدة في الدراسة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Toc222423564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19</w:t>
        </w:r>
        <w:r w:rsidR="00F423D6" w:rsidRPr="006E471D">
          <w:rPr>
            <w:rStyle w:val="Hyperlink"/>
            <w:rFonts w:ascii="Traditional Arabic" w:hAnsi="Traditional Arabic" w:cs="Traditional Arabic"/>
            <w:noProof/>
            <w:rtl/>
          </w:rPr>
          <w:fldChar w:fldCharType="end"/>
        </w:r>
      </w:hyperlink>
    </w:p>
    <w:p w14:paraId="5910D12C" w14:textId="5A848851" w:rsidR="00F423D6" w:rsidRPr="006E471D" w:rsidRDefault="00FD24E4" w:rsidP="00F423D6">
      <w:pPr>
        <w:pStyle w:val="TOC3"/>
        <w:rPr>
          <w:rFonts w:ascii="Traditional Arabic" w:hAnsi="Traditional Arabic" w:cs="Traditional Arabic"/>
          <w:noProof/>
          <w:rtl/>
        </w:rPr>
      </w:pPr>
      <w:hyperlink w:anchor="_Toc222423565" w:history="1">
        <w:r w:rsidR="00F423D6" w:rsidRPr="006E471D">
          <w:rPr>
            <w:rStyle w:val="Hyperlink"/>
            <w:rFonts w:ascii="Traditional Arabic" w:hAnsi="Traditional Arabic" w:cs="Traditional Arabic"/>
            <w:b/>
            <w:bCs/>
            <w:noProof/>
            <w:rtl/>
            <w:lang w:bidi="ar-EG"/>
          </w:rPr>
          <w:t>2.6.3</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الابتكار في الخدمات المالية بوصفه نتيجة للرقمنة والبيانات وجودة القرار</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Toc222423565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20</w:t>
        </w:r>
        <w:r w:rsidR="00F423D6" w:rsidRPr="006E471D">
          <w:rPr>
            <w:rStyle w:val="Hyperlink"/>
            <w:rFonts w:ascii="Traditional Arabic" w:hAnsi="Traditional Arabic" w:cs="Traditional Arabic"/>
            <w:noProof/>
            <w:rtl/>
          </w:rPr>
          <w:fldChar w:fldCharType="end"/>
        </w:r>
      </w:hyperlink>
    </w:p>
    <w:p w14:paraId="753570CE" w14:textId="1A903E77" w:rsidR="00F423D6" w:rsidRPr="006E471D" w:rsidRDefault="00FD24E4" w:rsidP="00F423D6">
      <w:pPr>
        <w:pStyle w:val="TOC3"/>
        <w:rPr>
          <w:rFonts w:ascii="Traditional Arabic" w:hAnsi="Traditional Arabic" w:cs="Traditional Arabic"/>
          <w:noProof/>
          <w:rtl/>
        </w:rPr>
      </w:pPr>
      <w:hyperlink w:anchor="_Toc222423566" w:history="1">
        <w:r w:rsidR="00F423D6" w:rsidRPr="006E471D">
          <w:rPr>
            <w:rStyle w:val="Hyperlink"/>
            <w:rFonts w:ascii="Traditional Arabic" w:hAnsi="Traditional Arabic" w:cs="Traditional Arabic"/>
            <w:b/>
            <w:bCs/>
            <w:noProof/>
            <w:rtl/>
            <w:lang w:bidi="ar-EG"/>
          </w:rPr>
          <w:t>2.6.4</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محددات الابتكار التنظيمي في المصارف</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Toc222423566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21</w:t>
        </w:r>
        <w:r w:rsidR="00F423D6" w:rsidRPr="006E471D">
          <w:rPr>
            <w:rStyle w:val="Hyperlink"/>
            <w:rFonts w:ascii="Traditional Arabic" w:hAnsi="Traditional Arabic" w:cs="Traditional Arabic"/>
            <w:noProof/>
            <w:rtl/>
          </w:rPr>
          <w:fldChar w:fldCharType="end"/>
        </w:r>
      </w:hyperlink>
    </w:p>
    <w:p w14:paraId="1E35774A" w14:textId="51A733AE"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67" w:history="1">
        <w:r w:rsidR="00F423D6" w:rsidRPr="006E471D">
          <w:rPr>
            <w:rStyle w:val="Hyperlink"/>
            <w:rFonts w:ascii="Traditional Arabic" w:hAnsi="Traditional Arabic" w:cs="Traditional Arabic"/>
            <w:b/>
            <w:bCs/>
            <w:noProof/>
            <w:rtl/>
            <w:lang w:bidi="ar-EG"/>
          </w:rPr>
          <w:t>2.7</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الإطار التفسيري للعلاقات بين المتغيرات وتطوير الفرضيات</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Toc222423567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22</w:t>
        </w:r>
        <w:r w:rsidR="00F423D6" w:rsidRPr="006E471D">
          <w:rPr>
            <w:rStyle w:val="Hyperlink"/>
            <w:rFonts w:ascii="Traditional Arabic" w:hAnsi="Traditional Arabic" w:cs="Traditional Arabic"/>
            <w:noProof/>
            <w:rtl/>
          </w:rPr>
          <w:fldChar w:fldCharType="end"/>
        </w:r>
      </w:hyperlink>
    </w:p>
    <w:p w14:paraId="042E0D74" w14:textId="2DA0F192" w:rsidR="00F423D6" w:rsidRPr="006E471D" w:rsidRDefault="00FD24E4" w:rsidP="00F423D6">
      <w:pPr>
        <w:pStyle w:val="TOC3"/>
        <w:rPr>
          <w:rFonts w:ascii="Traditional Arabic" w:hAnsi="Traditional Arabic" w:cs="Traditional Arabic"/>
          <w:noProof/>
          <w:rtl/>
        </w:rPr>
      </w:pPr>
      <w:hyperlink w:anchor="_Toc222423568" w:history="1">
        <w:r w:rsidR="00F423D6" w:rsidRPr="006E471D">
          <w:rPr>
            <w:rStyle w:val="Hyperlink"/>
            <w:rFonts w:ascii="Traditional Arabic" w:hAnsi="Traditional Arabic" w:cs="Traditional Arabic"/>
            <w:b/>
            <w:bCs/>
            <w:noProof/>
            <w:rtl/>
            <w:lang w:bidi="ar-EG"/>
          </w:rPr>
          <w:t>2.7.1</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الأساس النظري للعلاقة بين قبول أنظمة ذكاء الأعمال وجودة القرارات الاستراتيجية (</w:t>
        </w:r>
        <w:r w:rsidR="00F423D6" w:rsidRPr="006E471D">
          <w:rPr>
            <w:rStyle w:val="Hyperlink"/>
            <w:rFonts w:ascii="Traditional Arabic" w:hAnsi="Traditional Arabic" w:cs="Traditional Arabic"/>
            <w:b/>
            <w:bCs/>
            <w:noProof/>
            <w:lang w:bidi="ar-EG"/>
          </w:rPr>
          <w:t>H1</w:t>
        </w:r>
        <w:r w:rsidR="00F423D6" w:rsidRPr="006E471D">
          <w:rPr>
            <w:rStyle w:val="Hyperlink"/>
            <w:rFonts w:ascii="Traditional Arabic" w:hAnsi="Traditional Arabic" w:cs="Traditional Arabic"/>
            <w:b/>
            <w:bCs/>
            <w:noProof/>
            <w:rtl/>
            <w:lang w:bidi="ar-EG"/>
          </w:rPr>
          <w:t>)</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Toc222423568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22</w:t>
        </w:r>
        <w:r w:rsidR="00F423D6" w:rsidRPr="006E471D">
          <w:rPr>
            <w:rStyle w:val="Hyperlink"/>
            <w:rFonts w:ascii="Traditional Arabic" w:hAnsi="Traditional Arabic" w:cs="Traditional Arabic"/>
            <w:noProof/>
            <w:rtl/>
          </w:rPr>
          <w:fldChar w:fldCharType="end"/>
        </w:r>
      </w:hyperlink>
    </w:p>
    <w:p w14:paraId="75C6DE20" w14:textId="4411C4DB" w:rsidR="00F423D6" w:rsidRPr="006E471D" w:rsidRDefault="00FD24E4" w:rsidP="00F423D6">
      <w:pPr>
        <w:pStyle w:val="TOC3"/>
        <w:rPr>
          <w:rFonts w:ascii="Traditional Arabic" w:hAnsi="Traditional Arabic" w:cs="Traditional Arabic"/>
          <w:noProof/>
          <w:rtl/>
        </w:rPr>
      </w:pPr>
      <w:hyperlink w:anchor="_Toc222423569" w:history="1">
        <w:r w:rsidR="00F423D6" w:rsidRPr="006E471D">
          <w:rPr>
            <w:rStyle w:val="Hyperlink"/>
            <w:rFonts w:ascii="Traditional Arabic" w:hAnsi="Traditional Arabic" w:cs="Traditional Arabic"/>
            <w:b/>
            <w:bCs/>
            <w:noProof/>
            <w:rtl/>
            <w:lang w:bidi="ar-EG"/>
          </w:rPr>
          <w:t>2.7.2</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الأساس النظري للعلاقة بين جودة القرارات الاستراتيجية والابتكار التنظيمي (</w:t>
        </w:r>
        <w:r w:rsidR="00F423D6" w:rsidRPr="006E471D">
          <w:rPr>
            <w:rStyle w:val="Hyperlink"/>
            <w:rFonts w:ascii="Traditional Arabic" w:hAnsi="Traditional Arabic" w:cs="Traditional Arabic"/>
            <w:b/>
            <w:bCs/>
            <w:noProof/>
            <w:lang w:bidi="ar-EG"/>
          </w:rPr>
          <w:t>H2</w:t>
        </w:r>
        <w:r w:rsidR="00F423D6" w:rsidRPr="006E471D">
          <w:rPr>
            <w:rStyle w:val="Hyperlink"/>
            <w:rFonts w:ascii="Traditional Arabic" w:hAnsi="Traditional Arabic" w:cs="Traditional Arabic"/>
            <w:b/>
            <w:bCs/>
            <w:noProof/>
            <w:rtl/>
            <w:lang w:bidi="ar-EG"/>
          </w:rPr>
          <w:t>)</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Toc222423569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23</w:t>
        </w:r>
        <w:r w:rsidR="00F423D6" w:rsidRPr="006E471D">
          <w:rPr>
            <w:rStyle w:val="Hyperlink"/>
            <w:rFonts w:ascii="Traditional Arabic" w:hAnsi="Traditional Arabic" w:cs="Traditional Arabic"/>
            <w:noProof/>
            <w:rtl/>
          </w:rPr>
          <w:fldChar w:fldCharType="end"/>
        </w:r>
      </w:hyperlink>
    </w:p>
    <w:p w14:paraId="69445A4C" w14:textId="422E0744" w:rsidR="00F423D6" w:rsidRPr="006E471D" w:rsidRDefault="00FD24E4" w:rsidP="00F423D6">
      <w:pPr>
        <w:pStyle w:val="TOC3"/>
        <w:rPr>
          <w:rFonts w:ascii="Traditional Arabic" w:hAnsi="Traditional Arabic" w:cs="Traditional Arabic"/>
          <w:noProof/>
          <w:rtl/>
        </w:rPr>
      </w:pPr>
      <w:hyperlink w:anchor="_Toc222423570" w:history="1">
        <w:r w:rsidR="00F423D6" w:rsidRPr="006E471D">
          <w:rPr>
            <w:rStyle w:val="Hyperlink"/>
            <w:rFonts w:ascii="Traditional Arabic" w:hAnsi="Traditional Arabic" w:cs="Traditional Arabic"/>
            <w:b/>
            <w:bCs/>
            <w:noProof/>
            <w:rtl/>
            <w:lang w:bidi="ar-EG"/>
          </w:rPr>
          <w:t>2.7.3</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المسار المباشر بين قبول أنظمة ذكاء الأعمال والابتكار التنظيمي (</w:t>
        </w:r>
        <w:r w:rsidR="00F423D6" w:rsidRPr="006E471D">
          <w:rPr>
            <w:rStyle w:val="Hyperlink"/>
            <w:rFonts w:ascii="Traditional Arabic" w:hAnsi="Traditional Arabic" w:cs="Traditional Arabic"/>
            <w:b/>
            <w:bCs/>
            <w:noProof/>
            <w:lang w:bidi="ar-EG"/>
          </w:rPr>
          <w:t>H3</w:t>
        </w:r>
        <w:r w:rsidR="00F423D6" w:rsidRPr="006E471D">
          <w:rPr>
            <w:rStyle w:val="Hyperlink"/>
            <w:rFonts w:ascii="Traditional Arabic" w:hAnsi="Traditional Arabic" w:cs="Traditional Arabic"/>
            <w:b/>
            <w:bCs/>
            <w:noProof/>
            <w:rtl/>
            <w:lang w:bidi="ar-EG"/>
          </w:rPr>
          <w:t>)</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Toc222423570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24</w:t>
        </w:r>
        <w:r w:rsidR="00F423D6" w:rsidRPr="006E471D">
          <w:rPr>
            <w:rStyle w:val="Hyperlink"/>
            <w:rFonts w:ascii="Traditional Arabic" w:hAnsi="Traditional Arabic" w:cs="Traditional Arabic"/>
            <w:noProof/>
            <w:rtl/>
          </w:rPr>
          <w:fldChar w:fldCharType="end"/>
        </w:r>
      </w:hyperlink>
    </w:p>
    <w:p w14:paraId="7E490C5E" w14:textId="5C9CED36" w:rsidR="00F423D6" w:rsidRPr="006E471D" w:rsidRDefault="00FD24E4" w:rsidP="00F423D6">
      <w:pPr>
        <w:pStyle w:val="TOC3"/>
        <w:rPr>
          <w:rFonts w:ascii="Traditional Arabic" w:hAnsi="Traditional Arabic" w:cs="Traditional Arabic"/>
          <w:noProof/>
          <w:rtl/>
        </w:rPr>
      </w:pPr>
      <w:hyperlink w:anchor="_Toc222423571" w:history="1">
        <w:r w:rsidR="00F423D6" w:rsidRPr="006E471D">
          <w:rPr>
            <w:rStyle w:val="Hyperlink"/>
            <w:rFonts w:ascii="Traditional Arabic" w:hAnsi="Traditional Arabic" w:cs="Traditional Arabic"/>
            <w:b/>
            <w:bCs/>
            <w:noProof/>
            <w:rtl/>
            <w:lang w:bidi="ar-EG"/>
          </w:rPr>
          <w:t>2.7.4</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منطق الوساطة: جودة القرارات الاستراتيجية كآلية تفسيرية (</w:t>
        </w:r>
        <w:r w:rsidR="00F423D6" w:rsidRPr="006E471D">
          <w:rPr>
            <w:rStyle w:val="Hyperlink"/>
            <w:rFonts w:ascii="Traditional Arabic" w:hAnsi="Traditional Arabic" w:cs="Traditional Arabic"/>
            <w:b/>
            <w:bCs/>
            <w:noProof/>
            <w:lang w:bidi="ar-EG"/>
          </w:rPr>
          <w:t>H4</w:t>
        </w:r>
        <w:r w:rsidR="00F423D6" w:rsidRPr="006E471D">
          <w:rPr>
            <w:rStyle w:val="Hyperlink"/>
            <w:rFonts w:ascii="Traditional Arabic" w:hAnsi="Traditional Arabic" w:cs="Traditional Arabic"/>
            <w:b/>
            <w:bCs/>
            <w:noProof/>
            <w:rtl/>
            <w:lang w:bidi="ar-EG"/>
          </w:rPr>
          <w:t>)</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Toc222423571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24</w:t>
        </w:r>
        <w:r w:rsidR="00F423D6" w:rsidRPr="006E471D">
          <w:rPr>
            <w:rStyle w:val="Hyperlink"/>
            <w:rFonts w:ascii="Traditional Arabic" w:hAnsi="Traditional Arabic" w:cs="Traditional Arabic"/>
            <w:noProof/>
            <w:rtl/>
          </w:rPr>
          <w:fldChar w:fldCharType="end"/>
        </w:r>
      </w:hyperlink>
    </w:p>
    <w:p w14:paraId="536C6E87" w14:textId="5ED86B76" w:rsidR="00F423D6" w:rsidRPr="006E471D" w:rsidRDefault="00FD24E4" w:rsidP="00F423D6">
      <w:pPr>
        <w:pStyle w:val="TOC3"/>
        <w:rPr>
          <w:rFonts w:ascii="Traditional Arabic" w:hAnsi="Traditional Arabic" w:cs="Traditional Arabic"/>
          <w:noProof/>
          <w:rtl/>
        </w:rPr>
      </w:pPr>
      <w:hyperlink w:anchor="_Toc222423572" w:history="1">
        <w:r w:rsidR="00F423D6" w:rsidRPr="006E471D">
          <w:rPr>
            <w:rStyle w:val="Hyperlink"/>
            <w:rFonts w:ascii="Traditional Arabic" w:hAnsi="Traditional Arabic" w:cs="Traditional Arabic"/>
            <w:b/>
            <w:bCs/>
            <w:noProof/>
            <w:rtl/>
            <w:lang w:bidi="ar-EG"/>
          </w:rPr>
          <w:t>2.7.5</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توصيف النموذج المفاهيمي بصياغة تفسيرية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Toc222423572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25</w:t>
        </w:r>
        <w:r w:rsidR="00F423D6" w:rsidRPr="006E471D">
          <w:rPr>
            <w:rStyle w:val="Hyperlink"/>
            <w:rFonts w:ascii="Traditional Arabic" w:hAnsi="Traditional Arabic" w:cs="Traditional Arabic"/>
            <w:noProof/>
            <w:rtl/>
          </w:rPr>
          <w:fldChar w:fldCharType="end"/>
        </w:r>
      </w:hyperlink>
    </w:p>
    <w:p w14:paraId="01D91EF8" w14:textId="0C828DD8"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73" w:history="1">
        <w:r w:rsidR="00F423D6" w:rsidRPr="006E471D">
          <w:rPr>
            <w:rStyle w:val="Hyperlink"/>
            <w:rFonts w:ascii="Traditional Arabic" w:hAnsi="Traditional Arabic" w:cs="Traditional Arabic"/>
            <w:b/>
            <w:bCs/>
            <w:noProof/>
            <w:rtl/>
            <w:lang w:bidi="ar-EG"/>
          </w:rPr>
          <w:t>2.8</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الدراسات السابقة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Toc222423573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27</w:t>
        </w:r>
        <w:r w:rsidR="00F423D6" w:rsidRPr="006E471D">
          <w:rPr>
            <w:rStyle w:val="Hyperlink"/>
            <w:rFonts w:ascii="Traditional Arabic" w:hAnsi="Traditional Arabic" w:cs="Traditional Arabic"/>
            <w:noProof/>
            <w:rtl/>
          </w:rPr>
          <w:fldChar w:fldCharType="end"/>
        </w:r>
      </w:hyperlink>
    </w:p>
    <w:p w14:paraId="0185AF1E" w14:textId="0F21C9A6" w:rsidR="00F423D6" w:rsidRPr="006E471D" w:rsidRDefault="00FD24E4" w:rsidP="00F423D6">
      <w:pPr>
        <w:pStyle w:val="TOC3"/>
        <w:rPr>
          <w:rFonts w:ascii="Traditional Arabic" w:hAnsi="Traditional Arabic" w:cs="Traditional Arabic"/>
          <w:noProof/>
          <w:rtl/>
        </w:rPr>
      </w:pPr>
      <w:hyperlink w:anchor="_Toc222423574" w:history="1">
        <w:r w:rsidR="00F423D6" w:rsidRPr="006E471D">
          <w:rPr>
            <w:rStyle w:val="Hyperlink"/>
            <w:rFonts w:ascii="Traditional Arabic" w:hAnsi="Traditional Arabic" w:cs="Traditional Arabic"/>
            <w:b/>
            <w:bCs/>
            <w:noProof/>
            <w:rtl/>
            <w:lang w:bidi="ar-EG"/>
          </w:rPr>
          <w:t>2.8.1</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الدراسات المرتبطة بذكاء الأعمال</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Toc222423574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27</w:t>
        </w:r>
        <w:r w:rsidR="00F423D6" w:rsidRPr="006E471D">
          <w:rPr>
            <w:rStyle w:val="Hyperlink"/>
            <w:rFonts w:ascii="Traditional Arabic" w:hAnsi="Traditional Arabic" w:cs="Traditional Arabic"/>
            <w:noProof/>
            <w:rtl/>
          </w:rPr>
          <w:fldChar w:fldCharType="end"/>
        </w:r>
      </w:hyperlink>
    </w:p>
    <w:p w14:paraId="009BCD06" w14:textId="7A49AF69" w:rsidR="00F423D6" w:rsidRPr="006E471D" w:rsidRDefault="00FD24E4" w:rsidP="00F423D6">
      <w:pPr>
        <w:pStyle w:val="TOC3"/>
        <w:rPr>
          <w:rFonts w:ascii="Traditional Arabic" w:hAnsi="Traditional Arabic" w:cs="Traditional Arabic"/>
          <w:noProof/>
          <w:rtl/>
        </w:rPr>
      </w:pPr>
      <w:hyperlink w:anchor="_Toc222423575" w:history="1">
        <w:r w:rsidR="00F423D6" w:rsidRPr="006E471D">
          <w:rPr>
            <w:rStyle w:val="Hyperlink"/>
            <w:rFonts w:ascii="Traditional Arabic" w:hAnsi="Traditional Arabic" w:cs="Traditional Arabic"/>
            <w:b/>
            <w:bCs/>
            <w:noProof/>
            <w:rtl/>
            <w:lang w:bidi="ar-EG"/>
          </w:rPr>
          <w:t>2.8.2</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الدراسات المرتبطة بالقرارات الاستراتيجية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Toc222423575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31</w:t>
        </w:r>
        <w:r w:rsidR="00F423D6" w:rsidRPr="006E471D">
          <w:rPr>
            <w:rStyle w:val="Hyperlink"/>
            <w:rFonts w:ascii="Traditional Arabic" w:hAnsi="Traditional Arabic" w:cs="Traditional Arabic"/>
            <w:noProof/>
            <w:rtl/>
          </w:rPr>
          <w:fldChar w:fldCharType="end"/>
        </w:r>
      </w:hyperlink>
    </w:p>
    <w:p w14:paraId="74150F5A" w14:textId="4B6A7977" w:rsidR="00F423D6" w:rsidRPr="006E471D" w:rsidRDefault="00FD24E4" w:rsidP="00F423D6">
      <w:pPr>
        <w:pStyle w:val="TOC3"/>
        <w:rPr>
          <w:rFonts w:ascii="Traditional Arabic" w:hAnsi="Traditional Arabic" w:cs="Traditional Arabic"/>
          <w:noProof/>
          <w:rtl/>
        </w:rPr>
      </w:pPr>
      <w:hyperlink w:anchor="_Toc222423576" w:history="1">
        <w:r w:rsidR="00F423D6" w:rsidRPr="006E471D">
          <w:rPr>
            <w:rStyle w:val="Hyperlink"/>
            <w:rFonts w:ascii="Traditional Arabic" w:hAnsi="Traditional Arabic" w:cs="Traditional Arabic"/>
            <w:b/>
            <w:bCs/>
            <w:noProof/>
            <w:rtl/>
            <w:lang w:bidi="ar-EG"/>
          </w:rPr>
          <w:t>2.8.3</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الدراسات المرتبطة بالابتكار التنظيمي</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Toc222423576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33</w:t>
        </w:r>
        <w:r w:rsidR="00F423D6" w:rsidRPr="006E471D">
          <w:rPr>
            <w:rStyle w:val="Hyperlink"/>
            <w:rFonts w:ascii="Traditional Arabic" w:hAnsi="Traditional Arabic" w:cs="Traditional Arabic"/>
            <w:noProof/>
            <w:rtl/>
          </w:rPr>
          <w:fldChar w:fldCharType="end"/>
        </w:r>
      </w:hyperlink>
    </w:p>
    <w:p w14:paraId="66FAD4E7" w14:textId="79B9C740" w:rsidR="00F423D6" w:rsidRPr="006E471D" w:rsidRDefault="00FD24E4" w:rsidP="00F423D6">
      <w:pPr>
        <w:pStyle w:val="TOC3"/>
        <w:rPr>
          <w:rFonts w:ascii="Traditional Arabic" w:hAnsi="Traditional Arabic" w:cs="Traditional Arabic"/>
          <w:noProof/>
          <w:rtl/>
        </w:rPr>
      </w:pPr>
      <w:hyperlink w:anchor="_Toc222423577" w:history="1">
        <w:r w:rsidR="00F423D6" w:rsidRPr="006E471D">
          <w:rPr>
            <w:rStyle w:val="Hyperlink"/>
            <w:rFonts w:ascii="Traditional Arabic" w:hAnsi="Traditional Arabic" w:cs="Traditional Arabic"/>
            <w:b/>
            <w:bCs/>
            <w:noProof/>
            <w:rtl/>
            <w:lang w:bidi="ar-EG"/>
          </w:rPr>
          <w:t>2.8.4</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جودة الخدمة الداخلية والالتزام التنظيمي كآلية وسيطة نحو الابتكار</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Toc222423577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34</w:t>
        </w:r>
        <w:r w:rsidR="00F423D6" w:rsidRPr="006E471D">
          <w:rPr>
            <w:rStyle w:val="Hyperlink"/>
            <w:rFonts w:ascii="Traditional Arabic" w:hAnsi="Traditional Arabic" w:cs="Traditional Arabic"/>
            <w:noProof/>
            <w:rtl/>
          </w:rPr>
          <w:fldChar w:fldCharType="end"/>
        </w:r>
      </w:hyperlink>
    </w:p>
    <w:p w14:paraId="3FC692D6" w14:textId="4803EC28" w:rsidR="00F423D6" w:rsidRPr="006E471D" w:rsidRDefault="00FD24E4" w:rsidP="00F423D6">
      <w:pPr>
        <w:pStyle w:val="TOC3"/>
        <w:rPr>
          <w:rFonts w:ascii="Traditional Arabic" w:hAnsi="Traditional Arabic" w:cs="Traditional Arabic"/>
          <w:noProof/>
          <w:rtl/>
        </w:rPr>
      </w:pPr>
      <w:hyperlink w:anchor="_Toc222423578" w:history="1">
        <w:r w:rsidR="00F423D6" w:rsidRPr="006E471D">
          <w:rPr>
            <w:rStyle w:val="Hyperlink"/>
            <w:rFonts w:ascii="Traditional Arabic" w:hAnsi="Traditional Arabic" w:cs="Traditional Arabic"/>
            <w:b/>
            <w:bCs/>
            <w:noProof/>
            <w:rtl/>
            <w:lang w:bidi="ar-EG"/>
          </w:rPr>
          <w:t>2.8.5</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التعقيب على الدراسات السابقة</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Toc222423578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35</w:t>
        </w:r>
        <w:r w:rsidR="00F423D6" w:rsidRPr="006E471D">
          <w:rPr>
            <w:rStyle w:val="Hyperlink"/>
            <w:rFonts w:ascii="Traditional Arabic" w:hAnsi="Traditional Arabic" w:cs="Traditional Arabic"/>
            <w:noProof/>
            <w:rtl/>
          </w:rPr>
          <w:fldChar w:fldCharType="end"/>
        </w:r>
      </w:hyperlink>
    </w:p>
    <w:p w14:paraId="3FFBEB51" w14:textId="018B9E45" w:rsidR="00F423D6" w:rsidRPr="006E471D" w:rsidRDefault="00FD24E4" w:rsidP="00F423D6">
      <w:pPr>
        <w:pStyle w:val="TOC2"/>
        <w:tabs>
          <w:tab w:val="left" w:pos="1200"/>
          <w:tab w:val="right" w:leader="dot" w:pos="9016"/>
        </w:tabs>
        <w:spacing w:after="0"/>
        <w:jc w:val="both"/>
        <w:rPr>
          <w:rFonts w:ascii="Traditional Arabic" w:hAnsi="Traditional Arabic" w:cs="Traditional Arabic"/>
          <w:noProof/>
          <w:rtl/>
        </w:rPr>
      </w:pPr>
      <w:hyperlink w:anchor="_Toc222423579" w:history="1">
        <w:r w:rsidR="00F423D6" w:rsidRPr="006E471D">
          <w:rPr>
            <w:rStyle w:val="Hyperlink"/>
            <w:rFonts w:ascii="Traditional Arabic" w:hAnsi="Traditional Arabic" w:cs="Traditional Arabic"/>
            <w:b/>
            <w:bCs/>
            <w:noProof/>
            <w:rtl/>
            <w:lang w:bidi="ar-EG"/>
          </w:rPr>
          <w:t>2.9</w:t>
        </w:r>
        <w:r w:rsidR="00F423D6" w:rsidRPr="006E471D">
          <w:rPr>
            <w:rFonts w:ascii="Traditional Arabic" w:hAnsi="Traditional Arabic" w:cs="Traditional Arabic"/>
            <w:noProof/>
            <w:rtl/>
          </w:rPr>
          <w:tab/>
        </w:r>
        <w:r w:rsidR="00F423D6" w:rsidRPr="006E471D">
          <w:rPr>
            <w:rStyle w:val="Hyperlink"/>
            <w:rFonts w:ascii="Traditional Arabic" w:hAnsi="Traditional Arabic" w:cs="Traditional Arabic"/>
            <w:b/>
            <w:bCs/>
            <w:noProof/>
            <w:rtl/>
            <w:lang w:bidi="ar-EG"/>
          </w:rPr>
          <w:t>خاتمة الفصل</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Toc222423579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38</w:t>
        </w:r>
        <w:r w:rsidR="00F423D6" w:rsidRPr="006E471D">
          <w:rPr>
            <w:rStyle w:val="Hyperlink"/>
            <w:rFonts w:ascii="Traditional Arabic" w:hAnsi="Traditional Arabic" w:cs="Traditional Arabic"/>
            <w:noProof/>
            <w:rtl/>
          </w:rPr>
          <w:fldChar w:fldCharType="end"/>
        </w:r>
      </w:hyperlink>
    </w:p>
    <w:p w14:paraId="3E7F5885" w14:textId="7D0595CA" w:rsidR="00F423D6" w:rsidRPr="006E471D" w:rsidRDefault="00FD24E4" w:rsidP="00F423D6">
      <w:pPr>
        <w:pStyle w:val="TOC2"/>
        <w:tabs>
          <w:tab w:val="right" w:leader="dot" w:pos="9016"/>
        </w:tabs>
        <w:spacing w:after="0"/>
        <w:jc w:val="both"/>
        <w:rPr>
          <w:rFonts w:ascii="Traditional Arabic" w:hAnsi="Traditional Arabic" w:cs="Traditional Arabic"/>
          <w:noProof/>
          <w:rtl/>
        </w:rPr>
      </w:pPr>
      <w:hyperlink w:anchor="_Toc222423580" w:history="1">
        <w:r w:rsidR="00F423D6" w:rsidRPr="006E471D">
          <w:rPr>
            <w:rStyle w:val="Hyperlink"/>
            <w:rFonts w:ascii="Traditional Arabic" w:hAnsi="Traditional Arabic" w:cs="Traditional Arabic"/>
            <w:b/>
            <w:bCs/>
            <w:noProof/>
            <w:rtl/>
            <w:lang w:bidi="ar-EG"/>
          </w:rPr>
          <w:t>قائمة المراجع</w:t>
        </w:r>
        <w:r w:rsidR="00F423D6" w:rsidRPr="006E471D">
          <w:rPr>
            <w:rFonts w:ascii="Traditional Arabic" w:hAnsi="Traditional Arabic" w:cs="Traditional Arabic"/>
            <w:noProof/>
            <w:webHidden/>
            <w:rtl/>
          </w:rPr>
          <w:tab/>
        </w:r>
        <w:r w:rsidR="00F423D6" w:rsidRPr="006E471D">
          <w:rPr>
            <w:rStyle w:val="Hyperlink"/>
            <w:rFonts w:ascii="Traditional Arabic" w:hAnsi="Traditional Arabic" w:cs="Traditional Arabic"/>
            <w:noProof/>
            <w:rtl/>
          </w:rPr>
          <w:fldChar w:fldCharType="begin"/>
        </w:r>
        <w:r w:rsidR="00F423D6" w:rsidRPr="006E471D">
          <w:rPr>
            <w:rFonts w:ascii="Traditional Arabic" w:hAnsi="Traditional Arabic" w:cs="Traditional Arabic"/>
            <w:noProof/>
            <w:webHidden/>
            <w:rtl/>
          </w:rPr>
          <w:instrText xml:space="preserve"> </w:instrText>
        </w:r>
        <w:r w:rsidR="00F423D6" w:rsidRPr="006E471D">
          <w:rPr>
            <w:rFonts w:ascii="Traditional Arabic" w:hAnsi="Traditional Arabic" w:cs="Traditional Arabic"/>
            <w:noProof/>
            <w:webHidden/>
          </w:rPr>
          <w:instrText>PAGEREF</w:instrText>
        </w:r>
        <w:r w:rsidR="00F423D6" w:rsidRPr="006E471D">
          <w:rPr>
            <w:rFonts w:ascii="Traditional Arabic" w:hAnsi="Traditional Arabic" w:cs="Traditional Arabic"/>
            <w:noProof/>
            <w:webHidden/>
            <w:rtl/>
          </w:rPr>
          <w:instrText xml:space="preserve"> _</w:instrText>
        </w:r>
        <w:r w:rsidR="00F423D6" w:rsidRPr="006E471D">
          <w:rPr>
            <w:rFonts w:ascii="Traditional Arabic" w:hAnsi="Traditional Arabic" w:cs="Traditional Arabic"/>
            <w:noProof/>
            <w:webHidden/>
          </w:rPr>
          <w:instrText>Toc222423580 \h</w:instrText>
        </w:r>
        <w:r w:rsidR="00F423D6" w:rsidRPr="006E471D">
          <w:rPr>
            <w:rFonts w:ascii="Traditional Arabic" w:hAnsi="Traditional Arabic" w:cs="Traditional Arabic"/>
            <w:noProof/>
            <w:webHidden/>
            <w:rtl/>
          </w:rPr>
          <w:instrText xml:space="preserve"> </w:instrText>
        </w:r>
        <w:r w:rsidR="00F423D6" w:rsidRPr="006E471D">
          <w:rPr>
            <w:rStyle w:val="Hyperlink"/>
            <w:rFonts w:ascii="Traditional Arabic" w:hAnsi="Traditional Arabic" w:cs="Traditional Arabic"/>
            <w:noProof/>
            <w:rtl/>
          </w:rPr>
        </w:r>
        <w:r w:rsidR="00F423D6" w:rsidRPr="006E471D">
          <w:rPr>
            <w:rStyle w:val="Hyperlink"/>
            <w:rFonts w:ascii="Traditional Arabic" w:hAnsi="Traditional Arabic" w:cs="Traditional Arabic"/>
            <w:noProof/>
            <w:rtl/>
          </w:rPr>
          <w:fldChar w:fldCharType="separate"/>
        </w:r>
        <w:r w:rsidR="00710317" w:rsidRPr="006E471D">
          <w:rPr>
            <w:rFonts w:ascii="Traditional Arabic" w:hAnsi="Traditional Arabic" w:cs="Traditional Arabic"/>
            <w:noProof/>
            <w:webHidden/>
            <w:rtl/>
          </w:rPr>
          <w:t>41</w:t>
        </w:r>
        <w:r w:rsidR="00F423D6" w:rsidRPr="006E471D">
          <w:rPr>
            <w:rStyle w:val="Hyperlink"/>
            <w:rFonts w:ascii="Traditional Arabic" w:hAnsi="Traditional Arabic" w:cs="Traditional Arabic"/>
            <w:noProof/>
            <w:rtl/>
          </w:rPr>
          <w:fldChar w:fldCharType="end"/>
        </w:r>
      </w:hyperlink>
    </w:p>
    <w:p w14:paraId="76411695" w14:textId="3673B4D8" w:rsidR="004100B0" w:rsidRPr="006E471D" w:rsidRDefault="00F423D6" w:rsidP="00F423D6">
      <w:pPr>
        <w:spacing w:after="0"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rtl/>
          <w:lang w:bidi="ar-EG"/>
        </w:rPr>
        <w:fldChar w:fldCharType="end"/>
      </w:r>
    </w:p>
    <w:p w14:paraId="072F4813"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053AC31C"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6BC2E516"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34C65FD7"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703BF69C"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489168FD"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747E93E4"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0E7E9C7E"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64F71DC6" w14:textId="77777777" w:rsidR="004100B0" w:rsidRPr="006E471D" w:rsidRDefault="004100B0" w:rsidP="004100B0">
      <w:pPr>
        <w:spacing w:line="240" w:lineRule="auto"/>
        <w:jc w:val="both"/>
        <w:rPr>
          <w:rFonts w:ascii="Traditional Arabic" w:hAnsi="Traditional Arabic" w:cs="Traditional Arabic"/>
          <w:sz w:val="28"/>
          <w:szCs w:val="28"/>
          <w:rtl/>
          <w:lang w:bidi="ar-EG"/>
        </w:rPr>
      </w:pPr>
    </w:p>
    <w:p w14:paraId="602CD50D" w14:textId="39AD6A98" w:rsidR="00710413" w:rsidRPr="006E471D" w:rsidRDefault="00710413" w:rsidP="00F423D6">
      <w:pPr>
        <w:pStyle w:val="Heading1"/>
        <w:numPr>
          <w:ilvl w:val="0"/>
          <w:numId w:val="0"/>
        </w:numPr>
        <w:jc w:val="center"/>
        <w:rPr>
          <w:rFonts w:ascii="Traditional Arabic" w:hAnsi="Traditional Arabic" w:cs="Traditional Arabic"/>
          <w:b/>
          <w:bCs/>
          <w:color w:val="000000" w:themeColor="text1"/>
          <w:rtl/>
          <w:lang w:bidi="ar-EG"/>
        </w:rPr>
      </w:pPr>
      <w:bookmarkStart w:id="0" w:name="_Toc222423535"/>
      <w:r w:rsidRPr="006E471D">
        <w:rPr>
          <w:rFonts w:ascii="Traditional Arabic" w:hAnsi="Traditional Arabic" w:cs="Traditional Arabic"/>
          <w:b/>
          <w:bCs/>
          <w:color w:val="000000" w:themeColor="text1"/>
          <w:rtl/>
          <w:lang w:bidi="ar-EG"/>
        </w:rPr>
        <w:lastRenderedPageBreak/>
        <w:t>الفصل الثاني: الإطار النظري والدراسات السابقة</w:t>
      </w:r>
      <w:bookmarkEnd w:id="0"/>
    </w:p>
    <w:p w14:paraId="4BB57D9D" w14:textId="77777777" w:rsidR="00F423D6" w:rsidRPr="006E471D" w:rsidRDefault="00F423D6" w:rsidP="00F423D6">
      <w:pPr>
        <w:pStyle w:val="ListParagraph"/>
        <w:keepNext/>
        <w:keepLines/>
        <w:numPr>
          <w:ilvl w:val="0"/>
          <w:numId w:val="7"/>
        </w:numPr>
        <w:spacing w:before="360" w:after="80"/>
        <w:contextualSpacing w:val="0"/>
        <w:outlineLvl w:val="0"/>
        <w:rPr>
          <w:rFonts w:ascii="Traditional Arabic" w:eastAsiaTheme="majorEastAsia" w:hAnsi="Traditional Arabic" w:cs="Traditional Arabic"/>
          <w:vanish/>
          <w:color w:val="0F4761" w:themeColor="accent1" w:themeShade="BF"/>
          <w:sz w:val="40"/>
          <w:szCs w:val="40"/>
          <w:rtl/>
          <w:lang w:bidi="ar-EG"/>
        </w:rPr>
      </w:pPr>
      <w:bookmarkStart w:id="1" w:name="_Toc222423536"/>
      <w:bookmarkEnd w:id="1"/>
    </w:p>
    <w:p w14:paraId="105BFD51" w14:textId="77777777" w:rsidR="00F423D6" w:rsidRPr="006E471D" w:rsidRDefault="00F423D6" w:rsidP="00F423D6">
      <w:pPr>
        <w:pStyle w:val="ListParagraph"/>
        <w:keepNext/>
        <w:keepLines/>
        <w:numPr>
          <w:ilvl w:val="0"/>
          <w:numId w:val="7"/>
        </w:numPr>
        <w:spacing w:before="360" w:after="80"/>
        <w:contextualSpacing w:val="0"/>
        <w:outlineLvl w:val="0"/>
        <w:rPr>
          <w:rFonts w:ascii="Traditional Arabic" w:eastAsiaTheme="majorEastAsia" w:hAnsi="Traditional Arabic" w:cs="Traditional Arabic"/>
          <w:vanish/>
          <w:color w:val="0F4761" w:themeColor="accent1" w:themeShade="BF"/>
          <w:sz w:val="40"/>
          <w:szCs w:val="40"/>
          <w:rtl/>
          <w:lang w:bidi="ar-EG"/>
        </w:rPr>
      </w:pPr>
      <w:bookmarkStart w:id="2" w:name="_Toc222423537"/>
      <w:bookmarkEnd w:id="2"/>
    </w:p>
    <w:p w14:paraId="7D70556C" w14:textId="0CA0D019" w:rsidR="00710413" w:rsidRPr="006E471D" w:rsidRDefault="004100B0" w:rsidP="00F423D6">
      <w:pPr>
        <w:pStyle w:val="Heading2"/>
        <w:rPr>
          <w:rFonts w:ascii="Traditional Arabic" w:hAnsi="Traditional Arabic" w:cs="Traditional Arabic"/>
          <w:b/>
          <w:bCs/>
          <w:color w:val="000000" w:themeColor="text1"/>
          <w:rtl/>
          <w:lang w:bidi="ar-EG"/>
        </w:rPr>
      </w:pPr>
      <w:bookmarkStart w:id="3" w:name="_Toc222423538"/>
      <w:r w:rsidRPr="006E471D">
        <w:rPr>
          <w:rFonts w:ascii="Traditional Arabic" w:hAnsi="Traditional Arabic" w:cs="Traditional Arabic"/>
          <w:b/>
          <w:bCs/>
          <w:color w:val="000000" w:themeColor="text1"/>
          <w:rtl/>
          <w:lang w:bidi="ar-EG"/>
        </w:rPr>
        <w:t>المقدمة</w:t>
      </w:r>
      <w:bookmarkEnd w:id="3"/>
    </w:p>
    <w:p w14:paraId="1F40FA79" w14:textId="77777777" w:rsidR="00710413" w:rsidRPr="006E471D" w:rsidRDefault="00710413"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يهدف هذا الفصل إلى بناء الأساس النظري والتحليلي الذي تستند إليه الدراسة في تفسير العلاقات بين متغيراتها الرئيسة في سياق المصارف العاملة بمدينة الرياض، وذلك من خلال محورين متكاملين: الإطار النظري الذي يعرّف المفاهيم ويوضح أبعادها وآليات تأثيرها، ثم الدراسات السابقة التي ترصد ما توصلت إليه الأدبيات الحديثة وتكشف الفجوات التي تسعى هذه الدراسة إلى سدها. وتنبع أهمية هذا الفصل من كونه يقدّم المنطق التفسيري لمسارات النموذج المقترح واختبار فروضه (</w:t>
      </w:r>
      <w:r w:rsidRPr="006E471D">
        <w:rPr>
          <w:rFonts w:ascii="Traditional Arabic" w:hAnsi="Traditional Arabic" w:cs="Traditional Arabic"/>
          <w:sz w:val="28"/>
          <w:szCs w:val="28"/>
          <w:lang w:bidi="ar-EG"/>
        </w:rPr>
        <w:t>H1–H4</w:t>
      </w:r>
      <w:r w:rsidRPr="006E471D">
        <w:rPr>
          <w:rFonts w:ascii="Traditional Arabic" w:hAnsi="Traditional Arabic" w:cs="Traditional Arabic"/>
          <w:sz w:val="28"/>
          <w:szCs w:val="28"/>
          <w:rtl/>
          <w:lang w:bidi="ar-EG"/>
        </w:rPr>
        <w:t>)، بما يضمن اتساقاً منهجياً بين الإطار المفاهيمي وأداة القياس والتحليل الإحصائي في الفصول اللاحقة.</w:t>
      </w:r>
    </w:p>
    <w:p w14:paraId="14569E8A" w14:textId="75192E69" w:rsidR="00710413" w:rsidRPr="006E471D" w:rsidRDefault="00710413"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يرتكز منطق الفصل على أن القيمة التنظيمية لأنظمة ذكاء الأعمال لا تتحقق بمجرد وجودها تقنياً داخل المصرف، بل تتشكل فعلياً عندما يقبلها المديرون ويتبنون استخدامها ضمن عمليات التفكير الاستراتيجي وصنع القرار. لذلك فإن المتغير المستقل في هذه الدراسة هو قبول أنظمة ذكاء الأعمال وفق نموذج قبول التكنولوجيا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وليس توفر ذكاء الأعمال بصفته بنية تقنية. ويُفهم القبول هنا باعتباره إدراكاً سلوكياً-إدراكياً يتمثل في الفائدة المدركة وسهولة الاستخدام المدركة ونية الاستخدام، وهو ما يجعل مخرجات ذكاء الأعمال قابلة للتحويل إلى قرارات أكثر جودة.</w:t>
      </w:r>
    </w:p>
    <w:p w14:paraId="113907C0" w14:textId="3777DBAA" w:rsidR="00710413" w:rsidRPr="006E471D" w:rsidRDefault="00710413"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وبناءً على ذلك، يؤسس الفصل لمسارات الفروض على نحو مترابط: يوضح كيف يقود القبول إلى تحسين جودة القرارات الاستراتيجية (</w:t>
      </w:r>
      <w:r w:rsidRPr="006E471D">
        <w:rPr>
          <w:rFonts w:ascii="Traditional Arabic" w:hAnsi="Traditional Arabic" w:cs="Traditional Arabic"/>
          <w:sz w:val="28"/>
          <w:szCs w:val="28"/>
          <w:lang w:bidi="ar-EG"/>
        </w:rPr>
        <w:t>H1</w:t>
      </w:r>
      <w:r w:rsidRPr="006E471D">
        <w:rPr>
          <w:rFonts w:ascii="Traditional Arabic" w:hAnsi="Traditional Arabic" w:cs="Traditional Arabic"/>
          <w:sz w:val="28"/>
          <w:szCs w:val="28"/>
          <w:rtl/>
          <w:lang w:bidi="ar-EG"/>
        </w:rPr>
        <w:t>)، وكيف تنعكس جودة القرارات على الابتكار التنظيمي (</w:t>
      </w:r>
      <w:r w:rsidRPr="006E471D">
        <w:rPr>
          <w:rFonts w:ascii="Traditional Arabic" w:hAnsi="Traditional Arabic" w:cs="Traditional Arabic"/>
          <w:sz w:val="28"/>
          <w:szCs w:val="28"/>
          <w:lang w:bidi="ar-EG"/>
        </w:rPr>
        <w:t>H2</w:t>
      </w:r>
      <w:r w:rsidRPr="006E471D">
        <w:rPr>
          <w:rFonts w:ascii="Traditional Arabic" w:hAnsi="Traditional Arabic" w:cs="Traditional Arabic"/>
          <w:sz w:val="28"/>
          <w:szCs w:val="28"/>
          <w:rtl/>
          <w:lang w:bidi="ar-EG"/>
        </w:rPr>
        <w:t>)، وكيف يمكن أن يظهر أثر مباشر للقبول على الابتكار (</w:t>
      </w:r>
      <w:r w:rsidRPr="006E471D">
        <w:rPr>
          <w:rFonts w:ascii="Traditional Arabic" w:hAnsi="Traditional Arabic" w:cs="Traditional Arabic"/>
          <w:sz w:val="28"/>
          <w:szCs w:val="28"/>
          <w:lang w:bidi="ar-EG"/>
        </w:rPr>
        <w:t>H3</w:t>
      </w:r>
      <w:r w:rsidRPr="006E471D">
        <w:rPr>
          <w:rFonts w:ascii="Traditional Arabic" w:hAnsi="Traditional Arabic" w:cs="Traditional Arabic"/>
          <w:sz w:val="28"/>
          <w:szCs w:val="28"/>
          <w:rtl/>
          <w:lang w:bidi="ar-EG"/>
        </w:rPr>
        <w:t>)، ثم يفسر منطق الوساطة الذي يجعل جودة القرارات قناة رئيسة لانتقال أثر القبول إلى الابتكار (</w:t>
      </w:r>
      <w:r w:rsidRPr="006E471D">
        <w:rPr>
          <w:rFonts w:ascii="Traditional Arabic" w:hAnsi="Traditional Arabic" w:cs="Traditional Arabic"/>
          <w:sz w:val="28"/>
          <w:szCs w:val="28"/>
          <w:lang w:bidi="ar-EG"/>
        </w:rPr>
        <w:t>H4</w:t>
      </w:r>
      <w:r w:rsidRPr="006E471D">
        <w:rPr>
          <w:rFonts w:ascii="Traditional Arabic" w:hAnsi="Traditional Arabic" w:cs="Traditional Arabic"/>
          <w:sz w:val="28"/>
          <w:szCs w:val="28"/>
          <w:rtl/>
          <w:lang w:bidi="ar-EG"/>
        </w:rPr>
        <w:t>). ويختلف هذا الفصل عن الفصل الأول في أنه لا يعرض المشكلة والأهداف والأسئلة فقط، بل يقدم الإطار النظري والمراجعة النقدية التي تبرر النموذج وتدعمه علمياً.</w:t>
      </w:r>
    </w:p>
    <w:p w14:paraId="1D9D72BF" w14:textId="3798DF49" w:rsidR="002D63AD" w:rsidRPr="006E471D" w:rsidRDefault="002D63AD"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highlight w:val="lightGray"/>
          <w:rtl/>
          <w:lang w:bidi="ar-EG"/>
        </w:rPr>
        <w:t>كما اعتمد هذا الفصل منهج المراجعة السردية التكاملية (</w:t>
      </w:r>
      <w:r w:rsidRPr="006E471D">
        <w:rPr>
          <w:rFonts w:ascii="Traditional Arabic" w:hAnsi="Traditional Arabic" w:cs="Traditional Arabic"/>
          <w:sz w:val="28"/>
          <w:szCs w:val="28"/>
          <w:highlight w:val="lightGray"/>
          <w:lang w:bidi="ar-EG"/>
        </w:rPr>
        <w:t>Integrative Narrative Review</w:t>
      </w:r>
      <w:r w:rsidRPr="006E471D">
        <w:rPr>
          <w:rFonts w:ascii="Traditional Arabic" w:hAnsi="Traditional Arabic" w:cs="Traditional Arabic"/>
          <w:sz w:val="28"/>
          <w:szCs w:val="28"/>
          <w:highlight w:val="lightGray"/>
          <w:rtl/>
          <w:lang w:bidi="ar-EG"/>
        </w:rPr>
        <w:t xml:space="preserve">) باعتباره الأنسب لتجميع الأدبيات النظرية والتطبيقية ذات الصلة بمتغيرات الدراسة داخل سياق مصرفي واحد. وقد نُفذت المراجعة عبر ثلاث خطوات مترابطة: أولاً، تحديد نطاق البحث وقواعد البيانات الملائمة، وشمل ذلك </w:t>
      </w:r>
      <w:r w:rsidRPr="006E471D">
        <w:rPr>
          <w:rFonts w:ascii="Traditional Arabic" w:hAnsi="Traditional Arabic" w:cs="Traditional Arabic"/>
          <w:sz w:val="28"/>
          <w:szCs w:val="28"/>
          <w:highlight w:val="lightGray"/>
          <w:lang w:bidi="ar-EG"/>
        </w:rPr>
        <w:t>Scopus</w:t>
      </w:r>
      <w:r w:rsidRPr="006E471D">
        <w:rPr>
          <w:rFonts w:ascii="Traditional Arabic" w:hAnsi="Traditional Arabic" w:cs="Traditional Arabic"/>
          <w:sz w:val="28"/>
          <w:szCs w:val="28"/>
          <w:highlight w:val="lightGray"/>
          <w:rtl/>
          <w:lang w:bidi="ar-EG"/>
        </w:rPr>
        <w:t xml:space="preserve"> و</w:t>
      </w:r>
      <w:r w:rsidRPr="006E471D">
        <w:rPr>
          <w:rFonts w:ascii="Traditional Arabic" w:hAnsi="Traditional Arabic" w:cs="Traditional Arabic"/>
          <w:sz w:val="28"/>
          <w:szCs w:val="28"/>
          <w:highlight w:val="lightGray"/>
          <w:lang w:bidi="ar-EG"/>
        </w:rPr>
        <w:t>Web of Science</w:t>
      </w:r>
      <w:r w:rsidRPr="006E471D">
        <w:rPr>
          <w:rFonts w:ascii="Traditional Arabic" w:hAnsi="Traditional Arabic" w:cs="Traditional Arabic"/>
          <w:sz w:val="28"/>
          <w:szCs w:val="28"/>
          <w:highlight w:val="lightGray"/>
          <w:rtl/>
          <w:lang w:bidi="ar-EG"/>
        </w:rPr>
        <w:t xml:space="preserve"> و</w:t>
      </w:r>
      <w:r w:rsidRPr="006E471D">
        <w:rPr>
          <w:rFonts w:ascii="Traditional Arabic" w:hAnsi="Traditional Arabic" w:cs="Traditional Arabic"/>
          <w:sz w:val="28"/>
          <w:szCs w:val="28"/>
          <w:highlight w:val="lightGray"/>
          <w:lang w:bidi="ar-EG"/>
        </w:rPr>
        <w:t>Google Scholar</w:t>
      </w:r>
      <w:r w:rsidRPr="006E471D">
        <w:rPr>
          <w:rFonts w:ascii="Traditional Arabic" w:hAnsi="Traditional Arabic" w:cs="Traditional Arabic"/>
          <w:sz w:val="28"/>
          <w:szCs w:val="28"/>
          <w:highlight w:val="lightGray"/>
          <w:rtl/>
          <w:lang w:bidi="ar-EG"/>
        </w:rPr>
        <w:t xml:space="preserve"> وقاعدة المنظومة العربية، باستخدام كلمات مفتاحية مرتبطة بذكاء الأعمال ونموذج قبول التكنولوجيا وجودة القرارات الاستراتيجية والابتكار التنظيمي والقطاع المصرفي. ثانياً، فرز الدراسات وفق معايير تضمين واضحة تمثلت في: الصلة المباشرة بأحد متغيرات الدراسة أو بالعلاقات بينها، والانتماء إلى البيئة المالية أو المصرفية كلما أمكن، وحداثة النشر خلال الفترة 2019–2025، مع الإبقاء على الدراسات التأسيسية والمحورية التي يقوم عليها البناء النظري مثل </w:t>
      </w:r>
      <w:r w:rsidRPr="006E471D">
        <w:rPr>
          <w:rFonts w:ascii="Traditional Arabic" w:hAnsi="Traditional Arabic" w:cs="Traditional Arabic"/>
          <w:sz w:val="28"/>
          <w:szCs w:val="28"/>
          <w:highlight w:val="lightGray"/>
          <w:lang w:bidi="ar-EG"/>
        </w:rPr>
        <w:t>Davis</w:t>
      </w:r>
      <w:r w:rsidRPr="006E471D">
        <w:rPr>
          <w:rFonts w:ascii="Traditional Arabic" w:hAnsi="Traditional Arabic" w:cs="Traditional Arabic"/>
          <w:sz w:val="28"/>
          <w:szCs w:val="28"/>
          <w:highlight w:val="lightGray"/>
          <w:rtl/>
          <w:lang w:bidi="ar-EG"/>
        </w:rPr>
        <w:t xml:space="preserve"> (1989). ثالثاً، تنظيم الأدبيات المختارة داخل ثلاثة محاور تحليلية رئيسة هي: ذكاء الأعمال، والقرارات الاستراتيجية، والابتكار التنظيمي، ثم الربط بينها في تعقيب تركيبي يكشف مواطن الاتفاق والتباين والفجوة البحثية. وبهذا لا يقتصر هذا الفصل على السرد الوصفي للدراسات، بل يتجه إلى اختيار الأدبيات الأكثر صلة وقدرة على تفسير النموذج المقترح في البيئة المصرفية السعودية.</w:t>
      </w:r>
    </w:p>
    <w:p w14:paraId="2D1AF105" w14:textId="5DE89F41" w:rsidR="00C54BCD" w:rsidRPr="006E471D" w:rsidRDefault="00C54BCD" w:rsidP="004100B0">
      <w:pPr>
        <w:pStyle w:val="Heading2"/>
        <w:rPr>
          <w:rFonts w:ascii="Traditional Arabic" w:hAnsi="Traditional Arabic" w:cs="Traditional Arabic"/>
          <w:b/>
          <w:bCs/>
          <w:color w:val="000000" w:themeColor="text1"/>
          <w:rtl/>
          <w:lang w:bidi="ar-EG"/>
        </w:rPr>
      </w:pPr>
      <w:bookmarkStart w:id="4" w:name="_Toc222423539"/>
      <w:r w:rsidRPr="006E471D">
        <w:rPr>
          <w:rFonts w:ascii="Traditional Arabic" w:hAnsi="Traditional Arabic" w:cs="Traditional Arabic"/>
          <w:b/>
          <w:bCs/>
          <w:color w:val="000000" w:themeColor="text1"/>
          <w:rtl/>
          <w:lang w:bidi="ar-EG"/>
        </w:rPr>
        <w:lastRenderedPageBreak/>
        <w:t>السياق المصرفي السعودي والتحول الرقمي كبيئة حاكمة للدراسة</w:t>
      </w:r>
      <w:bookmarkEnd w:id="4"/>
    </w:p>
    <w:p w14:paraId="0CA7FD55" w14:textId="3BF9846B" w:rsidR="00C54BCD" w:rsidRPr="006E471D" w:rsidRDefault="00C54BCD" w:rsidP="004100B0">
      <w:pPr>
        <w:pStyle w:val="Heading3"/>
        <w:rPr>
          <w:rFonts w:ascii="Traditional Arabic" w:hAnsi="Traditional Arabic" w:cs="Traditional Arabic"/>
          <w:b/>
          <w:bCs/>
          <w:color w:val="000000" w:themeColor="text1"/>
          <w:rtl/>
          <w:lang w:bidi="ar-EG"/>
        </w:rPr>
      </w:pPr>
      <w:bookmarkStart w:id="5" w:name="_Toc222423540"/>
      <w:r w:rsidRPr="006E471D">
        <w:rPr>
          <w:rFonts w:ascii="Traditional Arabic" w:hAnsi="Traditional Arabic" w:cs="Traditional Arabic"/>
          <w:b/>
          <w:bCs/>
          <w:color w:val="000000" w:themeColor="text1"/>
          <w:rtl/>
          <w:lang w:bidi="ar-EG"/>
        </w:rPr>
        <w:t xml:space="preserve">التحول الرقمي في القطاع المالي السعودي: من </w:t>
      </w:r>
      <w:proofErr w:type="spellStart"/>
      <w:r w:rsidRPr="006E471D">
        <w:rPr>
          <w:rFonts w:ascii="Traditional Arabic" w:hAnsi="Traditional Arabic" w:cs="Traditional Arabic"/>
          <w:b/>
          <w:bCs/>
          <w:color w:val="000000" w:themeColor="text1"/>
          <w:rtl/>
          <w:lang w:bidi="ar-EG"/>
        </w:rPr>
        <w:t>رقمنة</w:t>
      </w:r>
      <w:proofErr w:type="spellEnd"/>
      <w:r w:rsidRPr="006E471D">
        <w:rPr>
          <w:rFonts w:ascii="Traditional Arabic" w:hAnsi="Traditional Arabic" w:cs="Traditional Arabic"/>
          <w:b/>
          <w:bCs/>
          <w:color w:val="000000" w:themeColor="text1"/>
          <w:rtl/>
          <w:lang w:bidi="ar-EG"/>
        </w:rPr>
        <w:t xml:space="preserve"> القنوات إلى إعادة تشكيل نموذج الأعمال</w:t>
      </w:r>
      <w:bookmarkEnd w:id="5"/>
    </w:p>
    <w:p w14:paraId="74DA3061" w14:textId="10088AB5" w:rsidR="00C54BCD" w:rsidRPr="006E471D" w:rsidRDefault="00C54BCD"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شهد القطاع المالي السعودي خلال السنوات الأخيرة تحولاً رقمياً متسارعاً لم يعد مقتصراً على نقل الخدمات إلى قنوات إلكترونية، بل اتجه نحو إعادة تنظيم طريقة إنتاج الخدمة المالية وتوزيعها وإدارتها داخل المصارف. ويتجلى ذلك في توسع الخدمات المصرفية الرقمية، وتنامي الاعتماد على التطبيقات والمنصات، وتزايد الطلب على حلول مدفوعات أكثر مرونة وأماناً، وهو ما خلق بيئة تنافسية تتقدم فيها المؤسسات القادرة على توظيف البيانات والتحليلات بسرعة وفاعلية (</w:t>
      </w:r>
      <w:proofErr w:type="spellStart"/>
      <w:r w:rsidRPr="006E471D">
        <w:rPr>
          <w:rFonts w:ascii="Traditional Arabic" w:hAnsi="Traditional Arabic" w:cs="Traditional Arabic"/>
          <w:sz w:val="28"/>
          <w:szCs w:val="28"/>
          <w:lang w:bidi="ar-EG"/>
        </w:rPr>
        <w:t>Alnemer</w:t>
      </w:r>
      <w:proofErr w:type="spellEnd"/>
      <w:r w:rsidRPr="006E471D">
        <w:rPr>
          <w:rFonts w:ascii="Traditional Arabic" w:hAnsi="Traditional Arabic" w:cs="Traditional Arabic"/>
          <w:sz w:val="28"/>
          <w:szCs w:val="28"/>
          <w:lang w:bidi="ar-EG"/>
        </w:rPr>
        <w:t>, 2022</w:t>
      </w:r>
      <w:r w:rsidRPr="006E471D">
        <w:rPr>
          <w:rFonts w:ascii="Traditional Arabic" w:hAnsi="Traditional Arabic" w:cs="Traditional Arabic"/>
          <w:sz w:val="28"/>
          <w:szCs w:val="28"/>
          <w:rtl/>
          <w:lang w:bidi="ar-EG"/>
        </w:rPr>
        <w:t xml:space="preserve">). وفي هذا السياق، لا تُقرأ </w:t>
      </w:r>
      <w:proofErr w:type="spellStart"/>
      <w:r w:rsidRPr="006E471D">
        <w:rPr>
          <w:rFonts w:ascii="Traditional Arabic" w:hAnsi="Traditional Arabic" w:cs="Traditional Arabic"/>
          <w:sz w:val="28"/>
          <w:szCs w:val="28"/>
          <w:rtl/>
          <w:lang w:bidi="ar-EG"/>
        </w:rPr>
        <w:t>الرقمنة</w:t>
      </w:r>
      <w:proofErr w:type="spellEnd"/>
      <w:r w:rsidRPr="006E471D">
        <w:rPr>
          <w:rFonts w:ascii="Traditional Arabic" w:hAnsi="Traditional Arabic" w:cs="Traditional Arabic"/>
          <w:sz w:val="28"/>
          <w:szCs w:val="28"/>
          <w:rtl/>
          <w:lang w:bidi="ar-EG"/>
        </w:rPr>
        <w:t xml:space="preserve"> باعتبارها مشروع تقنية منفصل، وإنما كتغيير مؤسسي يمسّ العمليات، وتجربة العميل، وسلاسل القيمة، ومعايير السرعة والجودة في اتخاذ القرار. كما أن التحول الرقمي على مستوى المملكة ارتبط بتركيز واضح على تطوير البنية التحتية للاتصالات وتقنية المعلومات وتمكين الجهات من دمج البيانات وتحسين الخدمات، بما يوفر قاعدة عامة داعمة لتحديث القطاع المالي وتوسيع نطاق الخدمات الرقمية</w:t>
      </w:r>
      <w:r w:rsidR="004100B0" w:rsidRPr="006E471D">
        <w:rPr>
          <w:rFonts w:ascii="Traditional Arabic" w:hAnsi="Traditional Arabic" w:cs="Traditional Arabic"/>
          <w:sz w:val="28"/>
          <w:szCs w:val="28"/>
          <w:rtl/>
          <w:lang w:bidi="ar-EG"/>
        </w:rPr>
        <w:br/>
      </w:r>
      <w:r w:rsidRPr="006E471D">
        <w:rPr>
          <w:rFonts w:ascii="Traditional Arabic" w:hAnsi="Traditional Arabic" w:cs="Traditional Arabic"/>
          <w:sz w:val="28"/>
          <w:szCs w:val="28"/>
          <w:rtl/>
          <w:lang w:bidi="ar-EG"/>
        </w:rPr>
        <w:t xml:space="preserve">(حسن </w:t>
      </w:r>
      <w:proofErr w:type="spellStart"/>
      <w:r w:rsidRPr="006E471D">
        <w:rPr>
          <w:rFonts w:ascii="Traditional Arabic" w:hAnsi="Traditional Arabic" w:cs="Traditional Arabic"/>
          <w:sz w:val="28"/>
          <w:szCs w:val="28"/>
          <w:rtl/>
          <w:lang w:bidi="ar-EG"/>
        </w:rPr>
        <w:t>والغبيري</w:t>
      </w:r>
      <w:proofErr w:type="spellEnd"/>
      <w:r w:rsidRPr="006E471D">
        <w:rPr>
          <w:rFonts w:ascii="Traditional Arabic" w:hAnsi="Traditional Arabic" w:cs="Traditional Arabic"/>
          <w:sz w:val="28"/>
          <w:szCs w:val="28"/>
          <w:rtl/>
          <w:lang w:bidi="ar-EG"/>
        </w:rPr>
        <w:t>، 2020).</w:t>
      </w:r>
    </w:p>
    <w:p w14:paraId="2ED27A32" w14:textId="7FAB8AA3" w:rsidR="00C54BCD" w:rsidRPr="006E471D" w:rsidRDefault="00C54BCD" w:rsidP="004100B0">
      <w:pPr>
        <w:pStyle w:val="Heading3"/>
        <w:rPr>
          <w:rFonts w:ascii="Traditional Arabic" w:hAnsi="Traditional Arabic" w:cs="Traditional Arabic"/>
          <w:b/>
          <w:bCs/>
          <w:color w:val="000000" w:themeColor="text1"/>
          <w:rtl/>
          <w:lang w:bidi="ar-EG"/>
        </w:rPr>
      </w:pPr>
      <w:bookmarkStart w:id="6" w:name="_Toc222423541"/>
      <w:r w:rsidRPr="006E471D">
        <w:rPr>
          <w:rFonts w:ascii="Traditional Arabic" w:hAnsi="Traditional Arabic" w:cs="Traditional Arabic"/>
          <w:b/>
          <w:bCs/>
          <w:color w:val="000000" w:themeColor="text1"/>
          <w:rtl/>
          <w:lang w:bidi="ar-EG"/>
        </w:rPr>
        <w:t>الدور التنظيمي</w:t>
      </w:r>
      <w:r w:rsidR="004100B0" w:rsidRPr="006E471D">
        <w:rPr>
          <w:rFonts w:ascii="Traditional Arabic" w:hAnsi="Traditional Arabic" w:cs="Traditional Arabic"/>
          <w:b/>
          <w:bCs/>
          <w:color w:val="000000" w:themeColor="text1"/>
          <w:rtl/>
          <w:lang w:bidi="ar-EG"/>
        </w:rPr>
        <w:t xml:space="preserve"> في</w:t>
      </w:r>
      <w:r w:rsidRPr="006E471D">
        <w:rPr>
          <w:rFonts w:ascii="Traditional Arabic" w:hAnsi="Traditional Arabic" w:cs="Traditional Arabic"/>
          <w:b/>
          <w:bCs/>
          <w:color w:val="000000" w:themeColor="text1"/>
          <w:rtl/>
          <w:lang w:bidi="ar-EG"/>
        </w:rPr>
        <w:t xml:space="preserve"> تمكين الابتكار مع ضبط المخاطر</w:t>
      </w:r>
      <w:bookmarkEnd w:id="6"/>
    </w:p>
    <w:p w14:paraId="22D205AD" w14:textId="754F4244" w:rsidR="00C54BCD" w:rsidRPr="006E471D" w:rsidRDefault="00C54BCD"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تكتسب الجهات التنظيمية في السعودية دوراً مركباً في سياق التحول الرقمي؛ فهي من ناحية تدفع مسار الابتكار عبر تهيئة بيئة مناسبة لظهور حلول تقنية مالية جديدة، ومن ناحية أخرى تُعنى بحوكمة المخاطر المرتبطة بالأمن السيبراني والامتثال وحماية المستهلك. وتشير الأدبيات التي تناولت تبني التقنية المالية في البنوك السعودية إلى أن دعم التنظيمات الحكومية يمثل عاملاً بيئياً مؤثراً في تسريع تبني الحلول الرقمية، وأن نضج البنية الرقمية داخل المصارف يضاعف أثر هذا الدعم على قرارات</w:t>
      </w:r>
      <w:r w:rsidR="004100B0" w:rsidRPr="006E471D">
        <w:rPr>
          <w:rFonts w:ascii="Traditional Arabic" w:hAnsi="Traditional Arabic" w:cs="Traditional Arabic"/>
          <w:sz w:val="28"/>
          <w:szCs w:val="28"/>
          <w:rtl/>
          <w:lang w:bidi="ar-EG"/>
        </w:rPr>
        <w:br/>
      </w:r>
      <w:r w:rsidRPr="006E471D">
        <w:rPr>
          <w:rFonts w:ascii="Traditional Arabic" w:hAnsi="Traditional Arabic" w:cs="Traditional Arabic"/>
          <w:sz w:val="28"/>
          <w:szCs w:val="28"/>
          <w:rtl/>
          <w:lang w:bidi="ar-EG"/>
        </w:rPr>
        <w:t>التبني (</w:t>
      </w:r>
      <w:proofErr w:type="spellStart"/>
      <w:r w:rsidRPr="006E471D">
        <w:rPr>
          <w:rFonts w:ascii="Traditional Arabic" w:hAnsi="Traditional Arabic" w:cs="Traditional Arabic"/>
          <w:sz w:val="28"/>
          <w:szCs w:val="28"/>
          <w:lang w:bidi="ar-EG"/>
        </w:rPr>
        <w:t>Alrsheedi</w:t>
      </w:r>
      <w:proofErr w:type="spellEnd"/>
      <w:r w:rsidRPr="006E471D">
        <w:rPr>
          <w:rFonts w:ascii="Traditional Arabic" w:hAnsi="Traditional Arabic" w:cs="Traditional Arabic"/>
          <w:sz w:val="28"/>
          <w:szCs w:val="28"/>
          <w:lang w:bidi="ar-EG"/>
        </w:rPr>
        <w:t xml:space="preserve"> et al., 2025</w:t>
      </w:r>
      <w:r w:rsidRPr="006E471D">
        <w:rPr>
          <w:rFonts w:ascii="Traditional Arabic" w:hAnsi="Traditional Arabic" w:cs="Traditional Arabic"/>
          <w:sz w:val="28"/>
          <w:szCs w:val="28"/>
          <w:rtl/>
          <w:lang w:bidi="ar-EG"/>
        </w:rPr>
        <w:t>). وعلى المستوى البنيوي لمنظومة التقنية المالية، تبرز أهمية التنسيق بين الجهات المنظمة والقطاع المالي في ترخيص الأنشطة وتوجيهها؛ إذ توضح دراسة منظومة التقنية المالية في السعودية أن جزءاً كبيراً من الشركات العاملة يقع تحت إشراف الجهات التنظيمية (مثل البنك المركزي وهيئة السوق المالية والجهات المرتبطة بالمدفوعات)، بما يعكس حضوراً تنظيمياً مباشراً في تشكيل السوق وديناميكيته (</w:t>
      </w:r>
      <w:proofErr w:type="spellStart"/>
      <w:r w:rsidRPr="006E471D">
        <w:rPr>
          <w:rFonts w:ascii="Traditional Arabic" w:hAnsi="Traditional Arabic" w:cs="Traditional Arabic"/>
          <w:sz w:val="28"/>
          <w:szCs w:val="28"/>
          <w:rtl/>
          <w:lang w:bidi="ar-EG"/>
        </w:rPr>
        <w:t>الجارالله</w:t>
      </w:r>
      <w:proofErr w:type="spellEnd"/>
      <w:r w:rsidRPr="006E471D">
        <w:rPr>
          <w:rFonts w:ascii="Traditional Arabic" w:hAnsi="Traditional Arabic" w:cs="Traditional Arabic"/>
          <w:sz w:val="28"/>
          <w:szCs w:val="28"/>
          <w:rtl/>
          <w:lang w:bidi="ar-EG"/>
        </w:rPr>
        <w:t>، 2025). كما أن إدخال أطر حديثة مثل المصرفية المفتوحة يقدم مثالاً واضحاً على التنظيم بوصفه أداة تمكين؛ فقد أظهرت دراسة عن تجربة المصرفية المفتوحة في السعودية أن إطلاق إطار المصرفية المفتوحة عام 2022 جاء ضمن توجهات التحول المرتبطة برؤية 2030 مع هدف معلن يتمثل في تطوير قطاع المدفوعات وتعزيز موقع المملكة ضمن خارطة التقنية المالية (</w:t>
      </w:r>
      <w:proofErr w:type="spellStart"/>
      <w:r w:rsidRPr="006E471D">
        <w:rPr>
          <w:rFonts w:ascii="Traditional Arabic" w:hAnsi="Traditional Arabic" w:cs="Traditional Arabic"/>
          <w:sz w:val="28"/>
          <w:szCs w:val="28"/>
          <w:lang w:bidi="ar-EG"/>
        </w:rPr>
        <w:t>Mutambik</w:t>
      </w:r>
      <w:proofErr w:type="spellEnd"/>
      <w:r w:rsidRPr="006E471D">
        <w:rPr>
          <w:rFonts w:ascii="Traditional Arabic" w:hAnsi="Traditional Arabic" w:cs="Traditional Arabic"/>
          <w:sz w:val="28"/>
          <w:szCs w:val="28"/>
          <w:lang w:bidi="ar-EG"/>
        </w:rPr>
        <w:t>, 2023</w:t>
      </w:r>
      <w:r w:rsidRPr="006E471D">
        <w:rPr>
          <w:rFonts w:ascii="Traditional Arabic" w:hAnsi="Traditional Arabic" w:cs="Traditional Arabic"/>
          <w:sz w:val="28"/>
          <w:szCs w:val="28"/>
          <w:rtl/>
          <w:lang w:bidi="ar-EG"/>
        </w:rPr>
        <w:t>).</w:t>
      </w:r>
    </w:p>
    <w:p w14:paraId="573E235F" w14:textId="47E72093" w:rsidR="00C54BCD" w:rsidRPr="006E471D" w:rsidRDefault="00C54BCD" w:rsidP="004100B0">
      <w:pPr>
        <w:pStyle w:val="Heading3"/>
        <w:rPr>
          <w:rFonts w:ascii="Traditional Arabic" w:hAnsi="Traditional Arabic" w:cs="Traditional Arabic"/>
          <w:b/>
          <w:bCs/>
          <w:color w:val="000000" w:themeColor="text1"/>
          <w:rtl/>
          <w:lang w:bidi="ar-EG"/>
        </w:rPr>
      </w:pPr>
      <w:bookmarkStart w:id="7" w:name="_Toc222423542"/>
      <w:r w:rsidRPr="006E471D">
        <w:rPr>
          <w:rFonts w:ascii="Traditional Arabic" w:hAnsi="Traditional Arabic" w:cs="Traditional Arabic"/>
          <w:b/>
          <w:bCs/>
          <w:color w:val="000000" w:themeColor="text1"/>
          <w:rtl/>
          <w:lang w:bidi="ar-EG"/>
        </w:rPr>
        <w:t>الرياض كحاضنة مصرفية كثيفة البيانات والقرارات</w:t>
      </w:r>
      <w:bookmarkEnd w:id="7"/>
    </w:p>
    <w:p w14:paraId="75404E17" w14:textId="655AE333" w:rsidR="00C54BCD" w:rsidRPr="006E471D" w:rsidRDefault="00C54BCD"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اختيار مدينة الرياض كسياق تطبيقي للدراسة لا يرتبط فقط بكونها العاصمة الإدارية، بل لأنها تمثل مركزاً تتقاطع فيه الإدارة العليا للمصارف، والمؤسسات الرقابية، والمشروعات الاقتصادية الكبرى، بما يجعلها بيئة تتسم بكثافة القرارات الاستراتيجية وتدفقات البيانات المرتبطة بها. ومن الناحية المكانية-الاقتصادية، تُعد حيادية المكان أقل حضوراً في القطاع المالي مقارنة بقطاعات أخرى؛ إذ تميل الأنشطة العليا (التخطيط، إدارة المخاطر، تطوير المنتجات، التحول الرقمي) إلى التركز حيث تتوافر الشبكات المؤسسية والقدرات البشرية والبنى الداعمة. ويعزز ذلك وجود مناطق أعمال مركزية حديثة في الرياض مثل حي الملك </w:t>
      </w:r>
      <w:proofErr w:type="gramStart"/>
      <w:r w:rsidRPr="006E471D">
        <w:rPr>
          <w:rFonts w:ascii="Traditional Arabic" w:hAnsi="Traditional Arabic" w:cs="Traditional Arabic"/>
          <w:sz w:val="28"/>
          <w:szCs w:val="28"/>
          <w:rtl/>
          <w:lang w:bidi="ar-EG"/>
        </w:rPr>
        <w:t>عبدالله</w:t>
      </w:r>
      <w:proofErr w:type="gramEnd"/>
      <w:r w:rsidRPr="006E471D">
        <w:rPr>
          <w:rFonts w:ascii="Traditional Arabic" w:hAnsi="Traditional Arabic" w:cs="Traditional Arabic"/>
          <w:sz w:val="28"/>
          <w:szCs w:val="28"/>
          <w:rtl/>
          <w:lang w:bidi="ar-EG"/>
        </w:rPr>
        <w:t xml:space="preserve"> المالي الذي </w:t>
      </w:r>
      <w:r w:rsidRPr="006E471D">
        <w:rPr>
          <w:rFonts w:ascii="Traditional Arabic" w:hAnsi="Traditional Arabic" w:cs="Traditional Arabic"/>
          <w:sz w:val="28"/>
          <w:szCs w:val="28"/>
          <w:rtl/>
          <w:lang w:bidi="ar-EG"/>
        </w:rPr>
        <w:lastRenderedPageBreak/>
        <w:t>يُوصف في الأدبيات الحضرية بأنه أحد أحدث مراكز الأعمال المركزية في المدينة، بما يعكس اتجاهاً نحو تعميق الدور المالي والاقتصادي للرياض بوصفها قلباً مؤسسياً تتجمع فيه وظائف الأعمال المتقدمة (</w:t>
      </w:r>
      <w:r w:rsidRPr="006E471D">
        <w:rPr>
          <w:rFonts w:ascii="Traditional Arabic" w:hAnsi="Traditional Arabic" w:cs="Traditional Arabic"/>
          <w:sz w:val="28"/>
          <w:szCs w:val="28"/>
          <w:lang w:bidi="ar-EG"/>
        </w:rPr>
        <w:t xml:space="preserve">Abdelfattah &amp; </w:t>
      </w:r>
      <w:proofErr w:type="spellStart"/>
      <w:r w:rsidRPr="006E471D">
        <w:rPr>
          <w:rFonts w:ascii="Traditional Arabic" w:hAnsi="Traditional Arabic" w:cs="Traditional Arabic"/>
          <w:sz w:val="28"/>
          <w:szCs w:val="28"/>
          <w:lang w:bidi="ar-EG"/>
        </w:rPr>
        <w:t>Nasreldin</w:t>
      </w:r>
      <w:proofErr w:type="spellEnd"/>
      <w:r w:rsidRPr="006E471D">
        <w:rPr>
          <w:rFonts w:ascii="Traditional Arabic" w:hAnsi="Traditional Arabic" w:cs="Traditional Arabic"/>
          <w:sz w:val="28"/>
          <w:szCs w:val="28"/>
          <w:lang w:bidi="ar-EG"/>
        </w:rPr>
        <w:t>, 2025</w:t>
      </w:r>
      <w:r w:rsidRPr="006E471D">
        <w:rPr>
          <w:rFonts w:ascii="Traditional Arabic" w:hAnsi="Traditional Arabic" w:cs="Traditional Arabic"/>
          <w:sz w:val="28"/>
          <w:szCs w:val="28"/>
          <w:rtl/>
          <w:lang w:bidi="ar-EG"/>
        </w:rPr>
        <w:t>).</w:t>
      </w:r>
    </w:p>
    <w:p w14:paraId="19A843E4" w14:textId="48B6A56F" w:rsidR="00C54BCD" w:rsidRPr="006E471D" w:rsidRDefault="00C54BCD" w:rsidP="004100B0">
      <w:pPr>
        <w:pStyle w:val="Heading3"/>
        <w:rPr>
          <w:rFonts w:ascii="Traditional Arabic" w:hAnsi="Traditional Arabic" w:cs="Traditional Arabic"/>
          <w:b/>
          <w:bCs/>
          <w:color w:val="000000" w:themeColor="text1"/>
          <w:rtl/>
          <w:lang w:bidi="ar-EG"/>
        </w:rPr>
      </w:pPr>
      <w:bookmarkStart w:id="8" w:name="_Toc222423543"/>
      <w:r w:rsidRPr="006E471D">
        <w:rPr>
          <w:rFonts w:ascii="Traditional Arabic" w:hAnsi="Traditional Arabic" w:cs="Traditional Arabic"/>
          <w:b/>
          <w:bCs/>
          <w:color w:val="000000" w:themeColor="text1"/>
          <w:rtl/>
          <w:lang w:bidi="ar-EG"/>
        </w:rPr>
        <w:t>تصاعد المدفوعات الرقمية ونمو منظومة التقنية المالية</w:t>
      </w:r>
      <w:bookmarkEnd w:id="8"/>
    </w:p>
    <w:p w14:paraId="4F07FC15" w14:textId="6BAF72E0" w:rsidR="00C54BCD" w:rsidRPr="006E471D" w:rsidRDefault="00C54BCD"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تدعم المؤشرات البحثية الخاصة بالسوق السعودي فرضية أن التحول الرقمي لم يعد هامشياً؛ فالدراسات التي تناولت سلوك تبني المدفوعات الإلكترونية في السعودية توصلت إلى أن تبني نظم الدفع يرتبط بعوامل تتقاطع مع جوهر نماذج القبول التقني، مثل </w:t>
      </w:r>
      <w:r w:rsidR="0099150B" w:rsidRPr="006E471D">
        <w:rPr>
          <w:rFonts w:ascii="Traditional Arabic" w:hAnsi="Traditional Arabic" w:cs="Traditional Arabic"/>
          <w:sz w:val="28"/>
          <w:szCs w:val="28"/>
          <w:rtl/>
          <w:lang w:bidi="ar-EG"/>
        </w:rPr>
        <w:t>الفائدة المدركة</w:t>
      </w:r>
      <w:r w:rsidRPr="006E471D">
        <w:rPr>
          <w:rFonts w:ascii="Traditional Arabic" w:hAnsi="Traditional Arabic" w:cs="Traditional Arabic"/>
          <w:sz w:val="28"/>
          <w:szCs w:val="28"/>
          <w:rtl/>
          <w:lang w:bidi="ar-EG"/>
        </w:rPr>
        <w:t xml:space="preserve"> وسهولة الاستخدام والثقة والأمان، وهي عوامل تتكرر في سياقات المدفوعات والتطبيقات البنكية (</w:t>
      </w:r>
      <w:r w:rsidRPr="006E471D">
        <w:rPr>
          <w:rFonts w:ascii="Traditional Arabic" w:hAnsi="Traditional Arabic" w:cs="Traditional Arabic"/>
          <w:sz w:val="28"/>
          <w:szCs w:val="28"/>
          <w:lang w:bidi="ar-EG"/>
        </w:rPr>
        <w:t>Chen et al., 2022</w:t>
      </w:r>
      <w:r w:rsidRPr="006E471D">
        <w:rPr>
          <w:rFonts w:ascii="Traditional Arabic" w:hAnsi="Traditional Arabic" w:cs="Traditional Arabic"/>
          <w:sz w:val="28"/>
          <w:szCs w:val="28"/>
          <w:rtl/>
          <w:lang w:bidi="ar-EG"/>
        </w:rPr>
        <w:t xml:space="preserve">؛ </w:t>
      </w:r>
      <w:proofErr w:type="spellStart"/>
      <w:r w:rsidRPr="006E471D">
        <w:rPr>
          <w:rFonts w:ascii="Traditional Arabic" w:hAnsi="Traditional Arabic" w:cs="Traditional Arabic"/>
          <w:sz w:val="28"/>
          <w:szCs w:val="28"/>
          <w:lang w:bidi="ar-EG"/>
        </w:rPr>
        <w:t>Almaiah</w:t>
      </w:r>
      <w:proofErr w:type="spellEnd"/>
      <w:r w:rsidRPr="006E471D">
        <w:rPr>
          <w:rFonts w:ascii="Traditional Arabic" w:hAnsi="Traditional Arabic" w:cs="Traditional Arabic"/>
          <w:sz w:val="28"/>
          <w:szCs w:val="28"/>
          <w:lang w:bidi="ar-EG"/>
        </w:rPr>
        <w:t xml:space="preserve"> et al., 2022</w:t>
      </w:r>
      <w:r w:rsidRPr="006E471D">
        <w:rPr>
          <w:rFonts w:ascii="Traditional Arabic" w:hAnsi="Traditional Arabic" w:cs="Traditional Arabic"/>
          <w:sz w:val="28"/>
          <w:szCs w:val="28"/>
          <w:rtl/>
          <w:lang w:bidi="ar-EG"/>
        </w:rPr>
        <w:t>). ويُلاحظ كذلك اتساع قاعدة التطبيقات المالية وارتفاع تفاعل المستخدمين معها، بما يعكس انتقالاً تدريجياً من استخدام اختياري إلى سلوك مالي يومي. وعلى مستوى المنظومة، تُظهر دراسة تحليلية للتقنية المالية في المملكة أن عدد شركات التقنية المالية شهد نمواً متسارعاً خلال الفترة 2018–2023، مع توسع ملحوظ في مجالات مثل المدفوعات وحلول الأعمال والبنى التحتية المصرفية، وهو ما يعكس اتساع السوق وتنوعه وتزايد اعتماده على البيانات والمعالجات الرقمية (</w:t>
      </w:r>
      <w:proofErr w:type="spellStart"/>
      <w:r w:rsidRPr="006E471D">
        <w:rPr>
          <w:rFonts w:ascii="Traditional Arabic" w:hAnsi="Traditional Arabic" w:cs="Traditional Arabic"/>
          <w:sz w:val="28"/>
          <w:szCs w:val="28"/>
          <w:rtl/>
          <w:lang w:bidi="ar-EG"/>
        </w:rPr>
        <w:t>الجارالله</w:t>
      </w:r>
      <w:proofErr w:type="spellEnd"/>
      <w:r w:rsidRPr="006E471D">
        <w:rPr>
          <w:rFonts w:ascii="Traditional Arabic" w:hAnsi="Traditional Arabic" w:cs="Traditional Arabic"/>
          <w:sz w:val="28"/>
          <w:szCs w:val="28"/>
          <w:rtl/>
          <w:lang w:bidi="ar-EG"/>
        </w:rPr>
        <w:t>، 2025).</w:t>
      </w:r>
    </w:p>
    <w:p w14:paraId="441C8328" w14:textId="21F57E19" w:rsidR="00C54BCD" w:rsidRPr="006E471D" w:rsidRDefault="00C54BCD" w:rsidP="004100B0">
      <w:pPr>
        <w:pStyle w:val="Heading3"/>
        <w:rPr>
          <w:rFonts w:ascii="Traditional Arabic" w:hAnsi="Traditional Arabic" w:cs="Traditional Arabic"/>
          <w:b/>
          <w:bCs/>
          <w:color w:val="000000" w:themeColor="text1"/>
          <w:rtl/>
          <w:lang w:bidi="ar-EG"/>
        </w:rPr>
      </w:pPr>
      <w:bookmarkStart w:id="9" w:name="_Toc222423544"/>
      <w:r w:rsidRPr="006E471D">
        <w:rPr>
          <w:rFonts w:ascii="Traditional Arabic" w:hAnsi="Traditional Arabic" w:cs="Traditional Arabic"/>
          <w:b/>
          <w:bCs/>
          <w:color w:val="000000" w:themeColor="text1"/>
          <w:rtl/>
          <w:lang w:bidi="ar-EG"/>
        </w:rPr>
        <w:t>دلالات السياق على منطق النموذج وفروضه</w:t>
      </w:r>
      <w:bookmarkEnd w:id="9"/>
    </w:p>
    <w:p w14:paraId="7B9B7E04" w14:textId="1ECF116E" w:rsidR="00C54BCD" w:rsidRPr="006E471D" w:rsidRDefault="00C54BCD"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إن تداخل التحول الرقمي مع التنظيم ومع نمو المدفوعات والتقنية المالية يوضح أن القيمة في القطاع المصرفي السعودي باتت تتشكل عبر القدرة على تحويل البيانات إلى قرارات استراتيجية عالية الجودة ثم إلى مخرجات ابتكارية. لذلك يصبح منطق نموذج الدراسة أكثر اتساقاً مع الواقع: قبول المديرين للتقنيات التحليلية وما يرتبط بها من نظم معلومات ليس مجرد موقف، بل مدخل تشغيلي يؤثر في جودة القرار (عبر جودة المعلومات وتحليل البدائل والتوقيت) ثم ينعكس على الابتكار. هذا الترابط يفسر لماذا تُفهم الوساطة في هذه الدراسة كآلية تحويل: من قبول إلى قرار إلى ابتكار، داخل بيئة مصرفية تتسارع فيها المنافسة الرقمية وتزداد فيها كلفة القرار غير الدقيق.</w:t>
      </w:r>
    </w:p>
    <w:p w14:paraId="6EA6C8B4" w14:textId="055EB84C" w:rsidR="009365B9" w:rsidRPr="006E471D" w:rsidRDefault="009365B9" w:rsidP="004100B0">
      <w:pPr>
        <w:pStyle w:val="Heading2"/>
        <w:rPr>
          <w:rFonts w:ascii="Traditional Arabic" w:hAnsi="Traditional Arabic" w:cs="Traditional Arabic"/>
          <w:b/>
          <w:bCs/>
          <w:color w:val="000000" w:themeColor="text1"/>
          <w:rtl/>
          <w:lang w:bidi="ar-EG"/>
        </w:rPr>
      </w:pPr>
      <w:bookmarkStart w:id="10" w:name="_Toc222423545"/>
      <w:r w:rsidRPr="006E471D">
        <w:rPr>
          <w:rFonts w:ascii="Traditional Arabic" w:hAnsi="Traditional Arabic" w:cs="Traditional Arabic"/>
          <w:b/>
          <w:bCs/>
          <w:color w:val="000000" w:themeColor="text1"/>
          <w:rtl/>
          <w:lang w:bidi="ar-EG"/>
        </w:rPr>
        <w:t>ذكاء الأعمال في المصارف: المفهوم، الوظائف، وتطبيقاته الاستراتيجية</w:t>
      </w:r>
      <w:bookmarkEnd w:id="10"/>
    </w:p>
    <w:p w14:paraId="2242B5A8" w14:textId="1DD0DEC1" w:rsidR="009365B9" w:rsidRPr="006E471D" w:rsidRDefault="009365B9" w:rsidP="004100B0">
      <w:pPr>
        <w:pStyle w:val="Heading3"/>
        <w:rPr>
          <w:rFonts w:ascii="Traditional Arabic" w:hAnsi="Traditional Arabic" w:cs="Traditional Arabic"/>
          <w:b/>
          <w:bCs/>
          <w:color w:val="000000" w:themeColor="text1"/>
          <w:rtl/>
          <w:lang w:bidi="ar-EG"/>
        </w:rPr>
      </w:pPr>
      <w:bookmarkStart w:id="11" w:name="_Toc222423546"/>
      <w:r w:rsidRPr="006E471D">
        <w:rPr>
          <w:rFonts w:ascii="Traditional Arabic" w:hAnsi="Traditional Arabic" w:cs="Traditional Arabic"/>
          <w:b/>
          <w:bCs/>
          <w:color w:val="000000" w:themeColor="text1"/>
          <w:rtl/>
          <w:lang w:bidi="ar-EG"/>
        </w:rPr>
        <w:t>ضبط المفهوم وحدوده داخل نظم دعم القرار</w:t>
      </w:r>
      <w:bookmarkEnd w:id="11"/>
    </w:p>
    <w:p w14:paraId="484EE7F5" w14:textId="0C5F5D7F"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يُفهم ذكاء الأعمال (</w:t>
      </w:r>
      <w:r w:rsidRPr="006E471D">
        <w:rPr>
          <w:rFonts w:ascii="Traditional Arabic" w:hAnsi="Traditional Arabic" w:cs="Traditional Arabic"/>
          <w:sz w:val="28"/>
          <w:szCs w:val="28"/>
          <w:lang w:bidi="ar-EG"/>
        </w:rPr>
        <w:t>Business Intelligence: BI</w:t>
      </w:r>
      <w:r w:rsidRPr="006E471D">
        <w:rPr>
          <w:rFonts w:ascii="Traditional Arabic" w:hAnsi="Traditional Arabic" w:cs="Traditional Arabic"/>
          <w:sz w:val="28"/>
          <w:szCs w:val="28"/>
          <w:rtl/>
          <w:lang w:bidi="ar-EG"/>
        </w:rPr>
        <w:t>) في الأدبيات المعاصرة بوصفه منظومة متكاملة من الأدوات والمنهجيات والممارسات التي تُعنى بدمج البيانات وتحليلها وعرضها على نحوٍ يُنتج معرفة قابلة للاستخدام لدعم القرارات الإدارية والاستراتيجية. ولا يقتصر جوهر ذكاء الأعمال على إنتاج التقارير، بل يمتد إلى بناء سلسلة قيمة تبدأ من جمع البيانات وتوحيدها، مروراً بتحويلها إلى مؤشرات ومعانٍ، وانتهاءً بتوفير لوحات قياس ومخرجات تحليلية تُعين الإدارة على الفهم والمقارنة والمفاضلة (</w:t>
      </w:r>
      <w:r w:rsidRPr="006E471D">
        <w:rPr>
          <w:rFonts w:ascii="Traditional Arabic" w:hAnsi="Traditional Arabic" w:cs="Traditional Arabic"/>
          <w:sz w:val="28"/>
          <w:szCs w:val="28"/>
          <w:lang w:bidi="ar-EG"/>
        </w:rPr>
        <w:t>Al-</w:t>
      </w:r>
      <w:proofErr w:type="spellStart"/>
      <w:r w:rsidRPr="006E471D">
        <w:rPr>
          <w:rFonts w:ascii="Traditional Arabic" w:hAnsi="Traditional Arabic" w:cs="Traditional Arabic"/>
          <w:sz w:val="28"/>
          <w:szCs w:val="28"/>
          <w:lang w:bidi="ar-EG"/>
        </w:rPr>
        <w:t>Daraba</w:t>
      </w:r>
      <w:proofErr w:type="spellEnd"/>
      <w:r w:rsidRPr="006E471D">
        <w:rPr>
          <w:rFonts w:ascii="Traditional Arabic" w:hAnsi="Traditional Arabic" w:cs="Traditional Arabic"/>
          <w:sz w:val="28"/>
          <w:szCs w:val="28"/>
          <w:lang w:bidi="ar-EG"/>
        </w:rPr>
        <w:t xml:space="preserve"> et al., 2025</w:t>
      </w:r>
      <w:r w:rsidRPr="006E471D">
        <w:rPr>
          <w:rFonts w:ascii="Traditional Arabic" w:hAnsi="Traditional Arabic" w:cs="Traditional Arabic"/>
          <w:sz w:val="28"/>
          <w:szCs w:val="28"/>
          <w:rtl/>
          <w:lang w:bidi="ar-EG"/>
        </w:rPr>
        <w:t>). وفي البيئات المصرفية تحديداً، تتضاعف أهمية هذا الدور لأن القرار غالباً ما يرتبط بمخاطر مرتفعة (ائتمانية وتشغيلية وامتثال)، ويُبنى على بيانات متعددة المصادر والسرعة.</w:t>
      </w:r>
    </w:p>
    <w:p w14:paraId="393A860D" w14:textId="2D3589DD"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ويتسق هذا التعريف مع ما انتهت إليه الدراسات العربية التطبيقية في القطاع المصرفي، إذ تُبرز أن قيمة ذكاء الأعمال تتجسد حين يُستخدم لتحديد الاتجاهات والفرص والتهديدات في بيئة الأعمال، وأن المعلومات المستمدة منه تُسهم في صياغة الاستراتيجية </w:t>
      </w:r>
      <w:r w:rsidRPr="006E471D">
        <w:rPr>
          <w:rFonts w:ascii="Traditional Arabic" w:hAnsi="Traditional Arabic" w:cs="Traditional Arabic"/>
          <w:sz w:val="28"/>
          <w:szCs w:val="28"/>
          <w:rtl/>
          <w:lang w:bidi="ar-EG"/>
        </w:rPr>
        <w:lastRenderedPageBreak/>
        <w:t>وتوجيه المديرين نحو قرارات أكثر اتساقاً مع متطلبات السوق (الغريب، 2022). وعليه، فإن ذكاء الأعمال في المصارف يُنظر إليه كرافعة معرفية تدعم العقلانية المحدودة في القرار عبر تحسين جودة المدخلات وتوقيت الإحاطة بالمعلومة.</w:t>
      </w:r>
    </w:p>
    <w:p w14:paraId="40862E28" w14:textId="77B1B4D5" w:rsidR="009365B9" w:rsidRPr="006E471D" w:rsidRDefault="009365B9" w:rsidP="004100B0">
      <w:pPr>
        <w:pStyle w:val="Heading3"/>
        <w:rPr>
          <w:rFonts w:ascii="Traditional Arabic" w:hAnsi="Traditional Arabic" w:cs="Traditional Arabic"/>
          <w:b/>
          <w:bCs/>
          <w:color w:val="000000" w:themeColor="text1"/>
          <w:rtl/>
          <w:lang w:bidi="ar-EG"/>
        </w:rPr>
      </w:pPr>
      <w:bookmarkStart w:id="12" w:name="_Toc222423547"/>
      <w:r w:rsidRPr="006E471D">
        <w:rPr>
          <w:rFonts w:ascii="Traditional Arabic" w:hAnsi="Traditional Arabic" w:cs="Traditional Arabic"/>
          <w:b/>
          <w:bCs/>
          <w:color w:val="000000" w:themeColor="text1"/>
          <w:rtl/>
          <w:lang w:bidi="ar-EG"/>
        </w:rPr>
        <w:t>التمييز بين ذكاء الأعمال والتحليلات والذكاء الاصطناعي</w:t>
      </w:r>
      <w:bookmarkEnd w:id="12"/>
    </w:p>
    <w:p w14:paraId="4750EFD3" w14:textId="079A5F22"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يُعد الخلط بين ذكاء الأعمال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والتحليلات (</w:t>
      </w:r>
      <w:r w:rsidRPr="006E471D">
        <w:rPr>
          <w:rFonts w:ascii="Traditional Arabic" w:hAnsi="Traditional Arabic" w:cs="Traditional Arabic"/>
          <w:sz w:val="28"/>
          <w:szCs w:val="28"/>
          <w:lang w:bidi="ar-EG"/>
        </w:rPr>
        <w:t>Analytics</w:t>
      </w:r>
      <w:r w:rsidRPr="006E471D">
        <w:rPr>
          <w:rFonts w:ascii="Traditional Arabic" w:hAnsi="Traditional Arabic" w:cs="Traditional Arabic"/>
          <w:sz w:val="28"/>
          <w:szCs w:val="28"/>
          <w:rtl/>
          <w:lang w:bidi="ar-EG"/>
        </w:rPr>
        <w:t>) والذكاء الاصطناعي (</w:t>
      </w:r>
      <w:r w:rsidRPr="006E471D">
        <w:rPr>
          <w:rFonts w:ascii="Traditional Arabic" w:hAnsi="Traditional Arabic" w:cs="Traditional Arabic"/>
          <w:sz w:val="28"/>
          <w:szCs w:val="28"/>
          <w:lang w:bidi="ar-EG"/>
        </w:rPr>
        <w:t>AI</w:t>
      </w:r>
      <w:r w:rsidRPr="006E471D">
        <w:rPr>
          <w:rFonts w:ascii="Traditional Arabic" w:hAnsi="Traditional Arabic" w:cs="Traditional Arabic"/>
          <w:sz w:val="28"/>
          <w:szCs w:val="28"/>
          <w:rtl/>
          <w:lang w:bidi="ar-EG"/>
        </w:rPr>
        <w:t>) من القضايا المفاهيمية الشائعة، ويترتب عليه اضطراب في بناء النماذج البحثية وقياس الأثر. تقدم الأدبيات الحديثة تصوراً أكثر دقة يضع هذه المفاهيم في علاقة طبقية: إذ يُعد ذكاء الأعمال مظلةً تنظيمية وتقنية تُعنى أساساً بإدارة البيانات وتجهيزها وعرضها بصورة داعمة للقرار، بينما تمثل التحليلات امتداداً منهجياً يركز على تفسير الأنماط والتنبؤ والاقتراح عبر نماذج كمية/حسابية؛ في حين يأتي الذكاء الاصطناعي كطبقة أعمق تُدخل الأتمتة والتعلم من البيانات والاستدلال المتقدم (</w:t>
      </w:r>
      <w:r w:rsidRPr="006E471D">
        <w:rPr>
          <w:rFonts w:ascii="Traditional Arabic" w:hAnsi="Traditional Arabic" w:cs="Traditional Arabic"/>
          <w:sz w:val="28"/>
          <w:szCs w:val="28"/>
          <w:lang w:bidi="ar-EG"/>
        </w:rPr>
        <w:t>Eggert &amp; Alberts, 2020</w:t>
      </w:r>
      <w:r w:rsidRPr="006E471D">
        <w:rPr>
          <w:rFonts w:ascii="Traditional Arabic" w:hAnsi="Traditional Arabic" w:cs="Traditional Arabic"/>
          <w:sz w:val="28"/>
          <w:szCs w:val="28"/>
          <w:rtl/>
          <w:lang w:bidi="ar-EG"/>
        </w:rPr>
        <w:t>).</w:t>
      </w:r>
    </w:p>
    <w:p w14:paraId="221C0935" w14:textId="77777777"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وبهذا المعنى، فإن التحليلات الوصفية والتشخيصية (</w:t>
      </w:r>
      <w:r w:rsidRPr="006E471D">
        <w:rPr>
          <w:rFonts w:ascii="Traditional Arabic" w:hAnsi="Traditional Arabic" w:cs="Traditional Arabic"/>
          <w:sz w:val="28"/>
          <w:szCs w:val="28"/>
          <w:lang w:bidi="ar-EG"/>
        </w:rPr>
        <w:t>Descriptive/Diagnostic</w:t>
      </w:r>
      <w:r w:rsidRPr="006E471D">
        <w:rPr>
          <w:rFonts w:ascii="Traditional Arabic" w:hAnsi="Traditional Arabic" w:cs="Traditional Arabic"/>
          <w:sz w:val="28"/>
          <w:szCs w:val="28"/>
          <w:rtl/>
          <w:lang w:bidi="ar-EG"/>
        </w:rPr>
        <w:t xml:space="preserve">) تُعد أقرب لجوهر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التقليدي (التقارير، القياس، التلخيص، المقارنات)، بينما تُعبر التحليلات التنبؤية والتوجيهية (</w:t>
      </w:r>
      <w:r w:rsidRPr="006E471D">
        <w:rPr>
          <w:rFonts w:ascii="Traditional Arabic" w:hAnsi="Traditional Arabic" w:cs="Traditional Arabic"/>
          <w:sz w:val="28"/>
          <w:szCs w:val="28"/>
          <w:lang w:bidi="ar-EG"/>
        </w:rPr>
        <w:t>Predictive/Prescriptive</w:t>
      </w:r>
      <w:r w:rsidRPr="006E471D">
        <w:rPr>
          <w:rFonts w:ascii="Traditional Arabic" w:hAnsi="Traditional Arabic" w:cs="Traditional Arabic"/>
          <w:sz w:val="28"/>
          <w:szCs w:val="28"/>
          <w:rtl/>
          <w:lang w:bidi="ar-EG"/>
        </w:rPr>
        <w:t>) عن مرحلة أكثر تقدماً تُبنى غالباً على نفس البنية المعلوماتية لذكاء الأعمال، لكنها تتطلب نماذج ومعايير إضافية (</w:t>
      </w:r>
      <w:r w:rsidRPr="006E471D">
        <w:rPr>
          <w:rFonts w:ascii="Traditional Arabic" w:hAnsi="Traditional Arabic" w:cs="Traditional Arabic"/>
          <w:sz w:val="28"/>
          <w:szCs w:val="28"/>
          <w:lang w:bidi="ar-EG"/>
        </w:rPr>
        <w:t>Eggert &amp; Alberts, 2020</w:t>
      </w:r>
      <w:r w:rsidRPr="006E471D">
        <w:rPr>
          <w:rFonts w:ascii="Traditional Arabic" w:hAnsi="Traditional Arabic" w:cs="Traditional Arabic"/>
          <w:sz w:val="28"/>
          <w:szCs w:val="28"/>
          <w:rtl/>
          <w:lang w:bidi="ar-EG"/>
        </w:rPr>
        <w:t xml:space="preserve">). وفي السياق المصرفي، يتعزز هذا التداخل عملياً لأن الأنشطة الحرجة—مثل تقدير المخاطر أو كشف الاحتيال—تحتاج عادةً إلى مزيج من بنية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(تكامل البيانات، مستودعات/مخازن بيانات، لوحات قياس) وأدوات تحليل متقدم، وقد تُستكمل بخوارزميات تعلم آلي ضمن منظومة أوسع لإدارة القرار (</w:t>
      </w:r>
      <w:r w:rsidRPr="006E471D">
        <w:rPr>
          <w:rFonts w:ascii="Traditional Arabic" w:hAnsi="Traditional Arabic" w:cs="Traditional Arabic"/>
          <w:sz w:val="28"/>
          <w:szCs w:val="28"/>
          <w:lang w:bidi="ar-EG"/>
        </w:rPr>
        <w:t xml:space="preserve">Hernandez </w:t>
      </w:r>
      <w:proofErr w:type="spellStart"/>
      <w:r w:rsidRPr="006E471D">
        <w:rPr>
          <w:rFonts w:ascii="Traditional Arabic" w:hAnsi="Traditional Arabic" w:cs="Traditional Arabic"/>
          <w:sz w:val="28"/>
          <w:szCs w:val="28"/>
          <w:lang w:bidi="ar-EG"/>
        </w:rPr>
        <w:t>Aros</w:t>
      </w:r>
      <w:proofErr w:type="spellEnd"/>
      <w:r w:rsidRPr="006E471D">
        <w:rPr>
          <w:rFonts w:ascii="Traditional Arabic" w:hAnsi="Traditional Arabic" w:cs="Traditional Arabic"/>
          <w:sz w:val="28"/>
          <w:szCs w:val="28"/>
          <w:lang w:bidi="ar-EG"/>
        </w:rPr>
        <w:t xml:space="preserve"> et al., 2024</w:t>
      </w:r>
      <w:r w:rsidRPr="006E471D">
        <w:rPr>
          <w:rFonts w:ascii="Traditional Arabic" w:hAnsi="Traditional Arabic" w:cs="Traditional Arabic"/>
          <w:sz w:val="28"/>
          <w:szCs w:val="28"/>
          <w:rtl/>
          <w:lang w:bidi="ar-EG"/>
        </w:rPr>
        <w:t>).</w:t>
      </w:r>
    </w:p>
    <w:p w14:paraId="38CD0160" w14:textId="555685F2" w:rsidR="009365B9" w:rsidRPr="006E471D" w:rsidRDefault="009365B9" w:rsidP="004100B0">
      <w:pPr>
        <w:pStyle w:val="Heading3"/>
        <w:rPr>
          <w:rFonts w:ascii="Traditional Arabic" w:hAnsi="Traditional Arabic" w:cs="Traditional Arabic"/>
          <w:b/>
          <w:bCs/>
          <w:color w:val="000000" w:themeColor="text1"/>
          <w:rtl/>
          <w:lang w:bidi="ar-EG"/>
        </w:rPr>
      </w:pPr>
      <w:bookmarkStart w:id="13" w:name="_Toc222423548"/>
      <w:r w:rsidRPr="006E471D">
        <w:rPr>
          <w:rFonts w:ascii="Traditional Arabic" w:hAnsi="Traditional Arabic" w:cs="Traditional Arabic"/>
          <w:b/>
          <w:bCs/>
          <w:color w:val="000000" w:themeColor="text1"/>
          <w:rtl/>
          <w:lang w:bidi="ar-EG"/>
        </w:rPr>
        <w:t>البنية المعمارية لذكاء الأعمال في المصارف: من بيانات متشعبة إلى رؤية متماسكة</w:t>
      </w:r>
      <w:bookmarkEnd w:id="13"/>
    </w:p>
    <w:p w14:paraId="2F71611F" w14:textId="5F52FDFF"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تقوم أنظمة ذكاء الأعمال المصرفية على بنية معمارية هدفها معالجة التعقيد المصدري للبيانات قبل معالجة التعقيد التحليلي. ويظهر هذا التعقيد في تنوع مصادر البيانات داخل البنك: أنظمة البنك الأساسية (</w:t>
      </w:r>
      <w:r w:rsidRPr="006E471D">
        <w:rPr>
          <w:rFonts w:ascii="Traditional Arabic" w:hAnsi="Traditional Arabic" w:cs="Traditional Arabic"/>
          <w:sz w:val="28"/>
          <w:szCs w:val="28"/>
          <w:lang w:bidi="ar-EG"/>
        </w:rPr>
        <w:t>Core Banking</w:t>
      </w:r>
      <w:r w:rsidRPr="006E471D">
        <w:rPr>
          <w:rFonts w:ascii="Traditional Arabic" w:hAnsi="Traditional Arabic" w:cs="Traditional Arabic"/>
          <w:sz w:val="28"/>
          <w:szCs w:val="28"/>
          <w:rtl/>
          <w:lang w:bidi="ar-EG"/>
        </w:rPr>
        <w:t xml:space="preserve">)، بيانات القنوات الرقمية، إدارة علاقات العملاء، أنظمة المخاطر والالتزام، بيانات المدفوعات، وسجلات العمليات التشغيلية. ومن ثمّ تُبنى معماريات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على مبدأ التوحيد والمواءمة (</w:t>
      </w:r>
      <w:r w:rsidRPr="006E471D">
        <w:rPr>
          <w:rFonts w:ascii="Traditional Arabic" w:hAnsi="Traditional Arabic" w:cs="Traditional Arabic"/>
          <w:sz w:val="28"/>
          <w:szCs w:val="28"/>
          <w:lang w:bidi="ar-EG"/>
        </w:rPr>
        <w:t>Integration &amp; Harmonization</w:t>
      </w:r>
      <w:r w:rsidRPr="006E471D">
        <w:rPr>
          <w:rFonts w:ascii="Traditional Arabic" w:hAnsi="Traditional Arabic" w:cs="Traditional Arabic"/>
          <w:sz w:val="28"/>
          <w:szCs w:val="28"/>
          <w:rtl/>
          <w:lang w:bidi="ar-EG"/>
        </w:rPr>
        <w:t>) بحيث تصبح البيانات قابلة للمقارنة والتجميع على مستوى المصرف ككل (</w:t>
      </w:r>
      <w:r w:rsidRPr="006E471D">
        <w:rPr>
          <w:rFonts w:ascii="Traditional Arabic" w:hAnsi="Traditional Arabic" w:cs="Traditional Arabic"/>
          <w:sz w:val="28"/>
          <w:szCs w:val="28"/>
          <w:lang w:bidi="ar-EG"/>
        </w:rPr>
        <w:t>Al-</w:t>
      </w:r>
      <w:proofErr w:type="spellStart"/>
      <w:r w:rsidRPr="006E471D">
        <w:rPr>
          <w:rFonts w:ascii="Traditional Arabic" w:hAnsi="Traditional Arabic" w:cs="Traditional Arabic"/>
          <w:sz w:val="28"/>
          <w:szCs w:val="28"/>
          <w:lang w:bidi="ar-EG"/>
        </w:rPr>
        <w:t>Daraba</w:t>
      </w:r>
      <w:proofErr w:type="spellEnd"/>
      <w:r w:rsidRPr="006E471D">
        <w:rPr>
          <w:rFonts w:ascii="Traditional Arabic" w:hAnsi="Traditional Arabic" w:cs="Traditional Arabic"/>
          <w:sz w:val="28"/>
          <w:szCs w:val="28"/>
          <w:lang w:bidi="ar-EG"/>
        </w:rPr>
        <w:t xml:space="preserve"> et al., 2025</w:t>
      </w:r>
      <w:r w:rsidRPr="006E471D">
        <w:rPr>
          <w:rFonts w:ascii="Traditional Arabic" w:hAnsi="Traditional Arabic" w:cs="Traditional Arabic"/>
          <w:sz w:val="28"/>
          <w:szCs w:val="28"/>
          <w:rtl/>
          <w:lang w:bidi="ar-EG"/>
        </w:rPr>
        <w:t>).</w:t>
      </w:r>
    </w:p>
    <w:p w14:paraId="5A8C5E46" w14:textId="54201DDD" w:rsidR="009365B9" w:rsidRPr="006E471D" w:rsidRDefault="009365B9" w:rsidP="004100B0">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مصادر البيانات وتكاملها</w:t>
      </w:r>
    </w:p>
    <w:p w14:paraId="483C6D87" w14:textId="77777777"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تبدأ سلسلة القيمة عادةً من ربط مصادر البيانات، ثم المرور بعمليات استخراج–تحويل–تحميل (</w:t>
      </w:r>
      <w:r w:rsidRPr="006E471D">
        <w:rPr>
          <w:rFonts w:ascii="Traditional Arabic" w:hAnsi="Traditional Arabic" w:cs="Traditional Arabic"/>
          <w:sz w:val="28"/>
          <w:szCs w:val="28"/>
          <w:lang w:bidi="ar-EG"/>
        </w:rPr>
        <w:t>ETL</w:t>
      </w:r>
      <w:r w:rsidRPr="006E471D">
        <w:rPr>
          <w:rFonts w:ascii="Traditional Arabic" w:hAnsi="Traditional Arabic" w:cs="Traditional Arabic"/>
          <w:sz w:val="28"/>
          <w:szCs w:val="28"/>
          <w:rtl/>
          <w:lang w:bidi="ar-EG"/>
        </w:rPr>
        <w:t xml:space="preserve">) التي تُنقّي البيانات وتُوحد صيغها وتُراجع اتساقها قبل تحميلها في مستودع بيانات أو مخزن مركزي. وتؤكد تطبيقات لوحات الأداء—حتى في دراسات خارج القطاع المصرفي—أن بناء مستودع بيانات عبر </w:t>
      </w:r>
      <w:r w:rsidRPr="006E471D">
        <w:rPr>
          <w:rFonts w:ascii="Traditional Arabic" w:hAnsi="Traditional Arabic" w:cs="Traditional Arabic"/>
          <w:sz w:val="28"/>
          <w:szCs w:val="28"/>
          <w:lang w:bidi="ar-EG"/>
        </w:rPr>
        <w:t>ETL</w:t>
      </w:r>
      <w:r w:rsidRPr="006E471D">
        <w:rPr>
          <w:rFonts w:ascii="Traditional Arabic" w:hAnsi="Traditional Arabic" w:cs="Traditional Arabic"/>
          <w:sz w:val="28"/>
          <w:szCs w:val="28"/>
          <w:rtl/>
          <w:lang w:bidi="ar-EG"/>
        </w:rPr>
        <w:t xml:space="preserve"> يمثل خطوة تأسيسية لإنتاج مؤشرات قابلة للاعتماد ومخرجات بصرية قابلة للتفسير (</w:t>
      </w:r>
      <w:r w:rsidRPr="006E471D">
        <w:rPr>
          <w:rFonts w:ascii="Traditional Arabic" w:hAnsi="Traditional Arabic" w:cs="Traditional Arabic"/>
          <w:sz w:val="28"/>
          <w:szCs w:val="28"/>
          <w:lang w:bidi="ar-EG"/>
        </w:rPr>
        <w:t>Gonçalves et al., 2023</w:t>
      </w:r>
      <w:r w:rsidRPr="006E471D">
        <w:rPr>
          <w:rFonts w:ascii="Traditional Arabic" w:hAnsi="Traditional Arabic" w:cs="Traditional Arabic"/>
          <w:sz w:val="28"/>
          <w:szCs w:val="28"/>
          <w:rtl/>
          <w:lang w:bidi="ar-EG"/>
        </w:rPr>
        <w:t xml:space="preserve">). في المصارف، تصبح </w:t>
      </w:r>
      <w:r w:rsidRPr="006E471D">
        <w:rPr>
          <w:rFonts w:ascii="Traditional Arabic" w:hAnsi="Traditional Arabic" w:cs="Traditional Arabic"/>
          <w:sz w:val="28"/>
          <w:szCs w:val="28"/>
          <w:lang w:bidi="ar-EG"/>
        </w:rPr>
        <w:t>ETL</w:t>
      </w:r>
      <w:r w:rsidRPr="006E471D">
        <w:rPr>
          <w:rFonts w:ascii="Traditional Arabic" w:hAnsi="Traditional Arabic" w:cs="Traditional Arabic"/>
          <w:sz w:val="28"/>
          <w:szCs w:val="28"/>
          <w:rtl/>
          <w:lang w:bidi="ar-EG"/>
        </w:rPr>
        <w:t xml:space="preserve"> أكثر حساسية لأن أي خطأ في التحويل أو التوقيت قد ينعكس مباشرةً على تقارير الامتثال أو قرارات المخاطر.</w:t>
      </w:r>
    </w:p>
    <w:p w14:paraId="05914EBA" w14:textId="6F26835F" w:rsidR="009365B9" w:rsidRPr="006E471D" w:rsidRDefault="009365B9" w:rsidP="004100B0">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مستودعات البيانات ولوحات القيادة والتحليلات</w:t>
      </w:r>
    </w:p>
    <w:p w14:paraId="55E2C7B0" w14:textId="7495659B"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بعد مرحلة المستودع، تأتي طبقة العرض (</w:t>
      </w:r>
      <w:r w:rsidRPr="006E471D">
        <w:rPr>
          <w:rFonts w:ascii="Traditional Arabic" w:hAnsi="Traditional Arabic" w:cs="Traditional Arabic"/>
          <w:sz w:val="28"/>
          <w:szCs w:val="28"/>
          <w:lang w:bidi="ar-EG"/>
        </w:rPr>
        <w:t>Presentation Layer</w:t>
      </w:r>
      <w:r w:rsidRPr="006E471D">
        <w:rPr>
          <w:rFonts w:ascii="Traditional Arabic" w:hAnsi="Traditional Arabic" w:cs="Traditional Arabic"/>
          <w:sz w:val="28"/>
          <w:szCs w:val="28"/>
          <w:rtl/>
          <w:lang w:bidi="ar-EG"/>
        </w:rPr>
        <w:t>) التي تشمل التقارير ولوحات القيادة (</w:t>
      </w:r>
      <w:r w:rsidRPr="006E471D">
        <w:rPr>
          <w:rFonts w:ascii="Traditional Arabic" w:hAnsi="Traditional Arabic" w:cs="Traditional Arabic"/>
          <w:sz w:val="28"/>
          <w:szCs w:val="28"/>
          <w:lang w:bidi="ar-EG"/>
        </w:rPr>
        <w:t>Dashboards</w:t>
      </w:r>
      <w:r w:rsidRPr="006E471D">
        <w:rPr>
          <w:rFonts w:ascii="Traditional Arabic" w:hAnsi="Traditional Arabic" w:cs="Traditional Arabic"/>
          <w:sz w:val="28"/>
          <w:szCs w:val="28"/>
          <w:rtl/>
          <w:lang w:bidi="ar-EG"/>
        </w:rPr>
        <w:t>) ومؤشرات الأداء (</w:t>
      </w:r>
      <w:r w:rsidRPr="006E471D">
        <w:rPr>
          <w:rFonts w:ascii="Traditional Arabic" w:hAnsi="Traditional Arabic" w:cs="Traditional Arabic"/>
          <w:sz w:val="28"/>
          <w:szCs w:val="28"/>
          <w:lang w:bidi="ar-EG"/>
        </w:rPr>
        <w:t>KPIs</w:t>
      </w:r>
      <w:r w:rsidRPr="006E471D">
        <w:rPr>
          <w:rFonts w:ascii="Traditional Arabic" w:hAnsi="Traditional Arabic" w:cs="Traditional Arabic"/>
          <w:sz w:val="28"/>
          <w:szCs w:val="28"/>
          <w:rtl/>
          <w:lang w:bidi="ar-EG"/>
        </w:rPr>
        <w:t>) والتحليلات التفاعلية. وتمتاز لوحات القيادة المصرفية بأنها ليست مجرد عرض، بل أداة متابعة مستمرة تربط الأداء التشغيلي والأهداف الاستراتيجية ضمن نموذج قياس يتيح المقارنة عبر الزمن والوحدات (</w:t>
      </w:r>
      <w:r w:rsidRPr="006E471D">
        <w:rPr>
          <w:rFonts w:ascii="Traditional Arabic" w:hAnsi="Traditional Arabic" w:cs="Traditional Arabic"/>
          <w:sz w:val="28"/>
          <w:szCs w:val="28"/>
          <w:lang w:bidi="ar-EG"/>
        </w:rPr>
        <w:t xml:space="preserve">Gonçalves et al., </w:t>
      </w:r>
      <w:r w:rsidRPr="006E471D">
        <w:rPr>
          <w:rFonts w:ascii="Traditional Arabic" w:hAnsi="Traditional Arabic" w:cs="Traditional Arabic"/>
          <w:sz w:val="28"/>
          <w:szCs w:val="28"/>
          <w:lang w:bidi="ar-EG"/>
        </w:rPr>
        <w:lastRenderedPageBreak/>
        <w:t>2023</w:t>
      </w:r>
      <w:r w:rsidRPr="006E471D">
        <w:rPr>
          <w:rFonts w:ascii="Traditional Arabic" w:hAnsi="Traditional Arabic" w:cs="Traditional Arabic"/>
          <w:sz w:val="28"/>
          <w:szCs w:val="28"/>
          <w:rtl/>
          <w:lang w:bidi="ar-EG"/>
        </w:rPr>
        <w:t>). وتُظهر الأدبيات العربية كذلك أن نجاح أنظمة ذكاء الأعمال لا يتحدد فقط بتوفر الأدوات، بل بمنظومة عوامل حرجة تشمل جودة البيانات، ودعم الإدارة العليا، ومشاركة المستخدم، والتدريب، ووضوح الرؤية، وهي عوامل تشكل البيئة التي تسمح بتحويل البنية التقنية إلى منفعة فعلية (مشايخ وآخرون، 2023).</w:t>
      </w:r>
    </w:p>
    <w:p w14:paraId="1F04E18A" w14:textId="249A26CF" w:rsidR="009365B9" w:rsidRPr="006E471D" w:rsidRDefault="009365B9" w:rsidP="004100B0">
      <w:pPr>
        <w:pStyle w:val="Heading3"/>
        <w:rPr>
          <w:rFonts w:ascii="Traditional Arabic" w:hAnsi="Traditional Arabic" w:cs="Traditional Arabic"/>
          <w:b/>
          <w:bCs/>
          <w:color w:val="000000" w:themeColor="text1"/>
          <w:rtl/>
          <w:lang w:bidi="ar-EG"/>
        </w:rPr>
      </w:pPr>
      <w:bookmarkStart w:id="14" w:name="_Toc222423549"/>
      <w:r w:rsidRPr="006E471D">
        <w:rPr>
          <w:rFonts w:ascii="Traditional Arabic" w:hAnsi="Traditional Arabic" w:cs="Traditional Arabic"/>
          <w:b/>
          <w:bCs/>
          <w:color w:val="000000" w:themeColor="text1"/>
          <w:rtl/>
          <w:lang w:bidi="ar-EG"/>
        </w:rPr>
        <w:t>مجالات التطبيق المصرفي من إدارة المخاطر إلى إدارة القيمة</w:t>
      </w:r>
      <w:bookmarkEnd w:id="14"/>
    </w:p>
    <w:p w14:paraId="3E401C7C" w14:textId="77777777"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لا تعمل تطبيقات ذكاء الأعمال في المصارف بمعزل عن وظيفة البنك الأساسية؛ بل تتموضع حيث تكون تكلفة الخطأ أعلى، والعائد من جودة القرار أكبر.</w:t>
      </w:r>
    </w:p>
    <w:p w14:paraId="35A2AE29" w14:textId="48CFA313" w:rsidR="009365B9" w:rsidRPr="006E471D" w:rsidRDefault="009365B9" w:rsidP="004100B0">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إدارة المخاطر والرقابة التشغيلية</w:t>
      </w:r>
    </w:p>
    <w:p w14:paraId="497B7E6C" w14:textId="33ACC19D"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تتزايد أهمية ذكاء الأعمال في إدارة المخاطر حين يُستخدم لتقليل مخاطر الأنظمة والعمليات عبر تحسين الرؤية الشاملة للمدخلات والمخرجات ومؤشرات الانحراف. وفي هذا السياق تقدم دراسة القضاة وآخرون (2025) دليلاً تطبيقياً على أن عناصر </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(مثل تجميع/تحليل/تخزين البيانات وإدارة الأداء والذكاء التنافسي) ترتبط بالحد من مخاطر نظم المعلومات في البيئة التنظيمية، مع إبراز دور الأنظمة التكاملية مثل تخطيط الموارد (</w:t>
      </w:r>
      <w:r w:rsidRPr="006E471D">
        <w:rPr>
          <w:rFonts w:ascii="Traditional Arabic" w:hAnsi="Traditional Arabic" w:cs="Traditional Arabic"/>
          <w:sz w:val="28"/>
          <w:szCs w:val="28"/>
          <w:lang w:bidi="ar-EG"/>
        </w:rPr>
        <w:t>ERP</w:t>
      </w:r>
      <w:r w:rsidRPr="006E471D">
        <w:rPr>
          <w:rFonts w:ascii="Traditional Arabic" w:hAnsi="Traditional Arabic" w:cs="Traditional Arabic"/>
          <w:sz w:val="28"/>
          <w:szCs w:val="28"/>
          <w:rtl/>
          <w:lang w:bidi="ar-EG"/>
        </w:rPr>
        <w:t>) في تعزيز هذا الأثر (القضاة وآخرون، 2025). ورغم أن مجال الدراسة خارج البنوك مباشرة، إلا أن المنطق ذاته ينطبق على المصارف من حيث مركزية البيانات وحساسية الضوابط.</w:t>
      </w:r>
    </w:p>
    <w:p w14:paraId="21C036AA" w14:textId="093A9E75" w:rsidR="009365B9" w:rsidRPr="006E471D" w:rsidRDefault="009365B9" w:rsidP="004100B0">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كشف الاحتيال والجرائم المالية</w:t>
      </w:r>
    </w:p>
    <w:p w14:paraId="592D57A2" w14:textId="77777777"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يمثل كشف الاحتيال مجالاً يوضح بجلاء العلاقة بين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والتحليلات والذكاء الاصطناعي: فالبنوك تحتاج أولاً إلى بنية بيانات موحدة ثم أدوات تحليل قادرة على التقاط الأنماط الشاذة. وتبين مراجعة أدبية حديثة حول كشف الاحتيال المالي عبر التعلم الآلي أن الاتجاه العام يتزايد نحو نماذج تعتمد بيانات واقعية واسعة النطاق ومقاييس أداء متعددة، بما يعكس الحاجة إلى خطوط بيانات مستقرة وحوكمة قوية لضمان دقة النماذج وموثوقيتها (</w:t>
      </w:r>
      <w:r w:rsidRPr="006E471D">
        <w:rPr>
          <w:rFonts w:ascii="Traditional Arabic" w:hAnsi="Traditional Arabic" w:cs="Traditional Arabic"/>
          <w:sz w:val="28"/>
          <w:szCs w:val="28"/>
          <w:lang w:bidi="ar-EG"/>
        </w:rPr>
        <w:t xml:space="preserve">Hernandez </w:t>
      </w:r>
      <w:proofErr w:type="spellStart"/>
      <w:r w:rsidRPr="006E471D">
        <w:rPr>
          <w:rFonts w:ascii="Traditional Arabic" w:hAnsi="Traditional Arabic" w:cs="Traditional Arabic"/>
          <w:sz w:val="28"/>
          <w:szCs w:val="28"/>
          <w:lang w:bidi="ar-EG"/>
        </w:rPr>
        <w:t>Aros</w:t>
      </w:r>
      <w:proofErr w:type="spellEnd"/>
      <w:r w:rsidRPr="006E471D">
        <w:rPr>
          <w:rFonts w:ascii="Traditional Arabic" w:hAnsi="Traditional Arabic" w:cs="Traditional Arabic"/>
          <w:sz w:val="28"/>
          <w:szCs w:val="28"/>
          <w:lang w:bidi="ar-EG"/>
        </w:rPr>
        <w:t xml:space="preserve"> et al., 2024</w:t>
      </w:r>
      <w:r w:rsidRPr="006E471D">
        <w:rPr>
          <w:rFonts w:ascii="Traditional Arabic" w:hAnsi="Traditional Arabic" w:cs="Traditional Arabic"/>
          <w:sz w:val="28"/>
          <w:szCs w:val="28"/>
          <w:rtl/>
          <w:lang w:bidi="ar-EG"/>
        </w:rPr>
        <w:t xml:space="preserve">). وبالنتيجة، فإن ذكاء الأعمال هنا يعمل كطبقة تمكينية: يضمن جودة البيانات </w:t>
      </w:r>
      <w:proofErr w:type="spellStart"/>
      <w:r w:rsidRPr="006E471D">
        <w:rPr>
          <w:rFonts w:ascii="Traditional Arabic" w:hAnsi="Traditional Arabic" w:cs="Traditional Arabic"/>
          <w:sz w:val="28"/>
          <w:szCs w:val="28"/>
          <w:rtl/>
          <w:lang w:bidi="ar-EG"/>
        </w:rPr>
        <w:t>وتاريخيتها</w:t>
      </w:r>
      <w:proofErr w:type="spellEnd"/>
      <w:r w:rsidRPr="006E471D">
        <w:rPr>
          <w:rFonts w:ascii="Traditional Arabic" w:hAnsi="Traditional Arabic" w:cs="Traditional Arabic"/>
          <w:sz w:val="28"/>
          <w:szCs w:val="28"/>
          <w:rtl/>
          <w:lang w:bidi="ar-EG"/>
        </w:rPr>
        <w:t xml:space="preserve"> وقابليتها للدمج، بينما تتولى التحليلات/الذكاء الاصطناعي مهمة الاستدلال والكشف.</w:t>
      </w:r>
    </w:p>
    <w:p w14:paraId="63C1E9BE" w14:textId="3765CF52" w:rsidR="009365B9" w:rsidRPr="006E471D" w:rsidRDefault="009365B9" w:rsidP="004100B0">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تحليل العملاء وتوجيه القرارات التسويقية والخدمية</w:t>
      </w:r>
    </w:p>
    <w:p w14:paraId="72B7FBE1" w14:textId="546C8EE7"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في المصارف، لا تقتصر إدارة علاقة العميل على التفاعل الخدمي، بل تُبنى على فهم سلوك العميل وقيمته ومخاطره. وتشير دراسة الغريب (2022) إلى أن المعلومات المستمدة من نظام ذكاء الأعمال تساعد في صياغة الاستراتيجية وفي دعم المديرين التنفيذيين أثناء اتخاذ القرار، مع التنبيه إلى أن جوانب البنية التحتية لذكاء الأعمال تحتاج غالباً إلى تحسين لضمان سرعة الاستجابة وتوسيع الاستخدام داخل المؤسسة (الغريب، 2022). ويمكن قراءة هذا الاستنتاج كإشارة إلى أن التحول نحو قرار متمحور حول العميل يتطلب بنية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ناضجة، وإلا بقيت الرؤى جزئية ومحدودة الأثر.</w:t>
      </w:r>
    </w:p>
    <w:p w14:paraId="156FC4CD" w14:textId="1AF300BC" w:rsidR="009365B9" w:rsidRPr="006E471D" w:rsidRDefault="009365B9" w:rsidP="004100B0">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الامتثال وقياس الأدا</w:t>
      </w:r>
      <w:r w:rsidR="000B134D" w:rsidRPr="006E471D">
        <w:rPr>
          <w:rFonts w:ascii="Traditional Arabic" w:hAnsi="Traditional Arabic" w:cs="Traditional Arabic"/>
          <w:b/>
          <w:bCs/>
          <w:color w:val="000000" w:themeColor="text1"/>
          <w:sz w:val="28"/>
          <w:szCs w:val="28"/>
          <w:rtl/>
          <w:lang w:bidi="ar-EG"/>
        </w:rPr>
        <w:t>ء</w:t>
      </w:r>
    </w:p>
    <w:p w14:paraId="029B4471" w14:textId="1DEDD368"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تزداد قيمة ذكاء الأعمال أيضاً في الامتثال وقياس الأداء، لأن كثيراً من متطلبات الالتزام والرقابة تتعلق بتتبع المؤشرات، وتفسير الانحراف، وإصدار تقارير دقيقة في وقت مناسب. ومع ذلك، تُظهر الأدبيات السلوكية للقرار أن تحسن المعلومات لا يلغي تلقائياً </w:t>
      </w:r>
      <w:proofErr w:type="spellStart"/>
      <w:r w:rsidRPr="006E471D">
        <w:rPr>
          <w:rFonts w:ascii="Traditional Arabic" w:hAnsi="Traditional Arabic" w:cs="Traditional Arabic"/>
          <w:sz w:val="28"/>
          <w:szCs w:val="28"/>
          <w:rtl/>
          <w:lang w:bidi="ar-EG"/>
        </w:rPr>
        <w:t>الانحيازات</w:t>
      </w:r>
      <w:proofErr w:type="spellEnd"/>
      <w:r w:rsidRPr="006E471D">
        <w:rPr>
          <w:rFonts w:ascii="Traditional Arabic" w:hAnsi="Traditional Arabic" w:cs="Traditional Arabic"/>
          <w:sz w:val="28"/>
          <w:szCs w:val="28"/>
          <w:rtl/>
          <w:lang w:bidi="ar-EG"/>
        </w:rPr>
        <w:t xml:space="preserve"> أو أخطاء الحكم، خصوصاً في المجالات التي يختلط فيها الحكم المهني بالقياس الكمي. فدراسة </w:t>
      </w:r>
      <w:r w:rsidRPr="006E471D">
        <w:rPr>
          <w:rFonts w:ascii="Traditional Arabic" w:hAnsi="Traditional Arabic" w:cs="Traditional Arabic"/>
          <w:sz w:val="28"/>
          <w:szCs w:val="28"/>
          <w:lang w:bidi="ar-EG"/>
        </w:rPr>
        <w:t>Ogbeide</w:t>
      </w:r>
      <w:r w:rsidRPr="006E471D">
        <w:rPr>
          <w:rFonts w:ascii="Traditional Arabic" w:hAnsi="Traditional Arabic" w:cs="Traditional Arabic"/>
          <w:sz w:val="28"/>
          <w:szCs w:val="28"/>
          <w:rtl/>
          <w:lang w:bidi="ar-EG"/>
        </w:rPr>
        <w:t xml:space="preserve"> وزملائه </w:t>
      </w:r>
      <w:r w:rsidRPr="006E471D">
        <w:rPr>
          <w:rFonts w:ascii="Traditional Arabic" w:hAnsi="Traditional Arabic" w:cs="Traditional Arabic"/>
          <w:sz w:val="28"/>
          <w:szCs w:val="28"/>
          <w:rtl/>
          <w:lang w:bidi="ar-EG"/>
        </w:rPr>
        <w:lastRenderedPageBreak/>
        <w:t xml:space="preserve">(2023) حول تقييم مخاطر غسل الأموال تلفت إلى أن الخبراء قد يقعون في أنماط من الثقة الزائدة وتفضيل الأخطاء الإيجابية الكاذبة على السلبية الكاذبة، ما يستدعي آليات تغذية راجعة وتحسين مستمر لعملية </w:t>
      </w:r>
      <w:r w:rsidR="004100B0" w:rsidRPr="006E471D">
        <w:rPr>
          <w:rFonts w:ascii="Traditional Arabic" w:hAnsi="Traditional Arabic" w:cs="Traditional Arabic"/>
          <w:sz w:val="28"/>
          <w:szCs w:val="28"/>
          <w:rtl/>
          <w:lang w:bidi="ar-EG"/>
        </w:rPr>
        <w:br/>
      </w:r>
      <w:r w:rsidRPr="006E471D">
        <w:rPr>
          <w:rFonts w:ascii="Traditional Arabic" w:hAnsi="Traditional Arabic" w:cs="Traditional Arabic"/>
          <w:sz w:val="28"/>
          <w:szCs w:val="28"/>
          <w:rtl/>
          <w:lang w:bidi="ar-EG"/>
        </w:rPr>
        <w:t>الحكم (</w:t>
      </w:r>
      <w:r w:rsidRPr="006E471D">
        <w:rPr>
          <w:rFonts w:ascii="Traditional Arabic" w:hAnsi="Traditional Arabic" w:cs="Traditional Arabic"/>
          <w:sz w:val="28"/>
          <w:szCs w:val="28"/>
          <w:lang w:bidi="ar-EG"/>
        </w:rPr>
        <w:t>Ogbeide et al., 2023</w:t>
      </w:r>
      <w:r w:rsidRPr="006E471D">
        <w:rPr>
          <w:rFonts w:ascii="Traditional Arabic" w:hAnsi="Traditional Arabic" w:cs="Traditional Arabic"/>
          <w:sz w:val="28"/>
          <w:szCs w:val="28"/>
          <w:rtl/>
          <w:lang w:bidi="ar-EG"/>
        </w:rPr>
        <w:t>). ومن ثمّ، فإن ذكاء الأعمال</w:t>
      </w:r>
      <w:r w:rsidR="004100B0" w:rsidRPr="006E471D">
        <w:rPr>
          <w:rFonts w:ascii="Traditional Arabic" w:hAnsi="Traditional Arabic" w:cs="Traditional Arabic"/>
          <w:sz w:val="28"/>
          <w:szCs w:val="28"/>
          <w:rtl/>
          <w:lang w:bidi="ar-EG"/>
        </w:rPr>
        <w:t xml:space="preserve"> – </w:t>
      </w:r>
      <w:r w:rsidRPr="006E471D">
        <w:rPr>
          <w:rFonts w:ascii="Traditional Arabic" w:hAnsi="Traditional Arabic" w:cs="Traditional Arabic"/>
          <w:sz w:val="28"/>
          <w:szCs w:val="28"/>
          <w:rtl/>
          <w:lang w:bidi="ar-EG"/>
        </w:rPr>
        <w:t>حين يُدمج مع ممارسات مراجعة القرار</w:t>
      </w:r>
      <w:r w:rsidR="004100B0" w:rsidRPr="006E471D">
        <w:rPr>
          <w:rFonts w:ascii="Traditional Arabic" w:hAnsi="Traditional Arabic" w:cs="Traditional Arabic"/>
          <w:sz w:val="28"/>
          <w:szCs w:val="28"/>
          <w:rtl/>
          <w:lang w:bidi="ar-EG"/>
        </w:rPr>
        <w:t xml:space="preserve"> – </w:t>
      </w:r>
      <w:r w:rsidRPr="006E471D">
        <w:rPr>
          <w:rFonts w:ascii="Traditional Arabic" w:hAnsi="Traditional Arabic" w:cs="Traditional Arabic"/>
          <w:sz w:val="28"/>
          <w:szCs w:val="28"/>
          <w:rtl/>
          <w:lang w:bidi="ar-EG"/>
        </w:rPr>
        <w:t>لا يرفع جودة القرار عبر البيانات فقط، بل عبر تصميم بيئة قرار تقل فيها الأخطاء المنهجية.</w:t>
      </w:r>
    </w:p>
    <w:p w14:paraId="43DF4CC9" w14:textId="4B52DB77" w:rsidR="009365B9" w:rsidRPr="006E471D" w:rsidRDefault="009365B9" w:rsidP="004100B0">
      <w:pPr>
        <w:pStyle w:val="Heading3"/>
        <w:rPr>
          <w:rFonts w:ascii="Traditional Arabic" w:hAnsi="Traditional Arabic" w:cs="Traditional Arabic"/>
          <w:b/>
          <w:bCs/>
          <w:color w:val="000000" w:themeColor="text1"/>
          <w:rtl/>
          <w:lang w:bidi="ar-EG"/>
        </w:rPr>
      </w:pPr>
      <w:bookmarkStart w:id="15" w:name="_Toc222423550"/>
      <w:r w:rsidRPr="006E471D">
        <w:rPr>
          <w:rFonts w:ascii="Traditional Arabic" w:hAnsi="Traditional Arabic" w:cs="Traditional Arabic"/>
          <w:b/>
          <w:bCs/>
          <w:color w:val="000000" w:themeColor="text1"/>
          <w:rtl/>
          <w:lang w:bidi="ar-EG"/>
        </w:rPr>
        <w:t>تحديات التطبيق في المصارف</w:t>
      </w:r>
      <w:bookmarkEnd w:id="15"/>
    </w:p>
    <w:p w14:paraId="35CBD94A" w14:textId="76EFDB4E"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على الرغم من الوعود الكبيرة لذكاء الأعمال، إلا أن الفشل الجزئي أو ضعف العائد يظهر غالباً عند نقطة التحويل من رؤية إلى قرار. ويمكن تجميع أبرز التحديات فيما يلي:</w:t>
      </w:r>
    </w:p>
    <w:p w14:paraId="247233BC" w14:textId="1AD9668B" w:rsidR="009365B9" w:rsidRPr="006E471D" w:rsidRDefault="009365B9" w:rsidP="00F23FC1">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جودة البيانات وحوكمتها</w:t>
      </w:r>
    </w:p>
    <w:p w14:paraId="05B35CFE" w14:textId="77777777"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تُعد جودة البيانات الشرط الأولي لفعالية أي مخرجات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فالتكرار والتجزؤ وعدم الاتساق يخلق تقارير متناقضة ويهدم الثقة. وتقدم مراجعة </w:t>
      </w:r>
      <w:r w:rsidRPr="006E471D">
        <w:rPr>
          <w:rFonts w:ascii="Traditional Arabic" w:hAnsi="Traditional Arabic" w:cs="Traditional Arabic"/>
          <w:sz w:val="28"/>
          <w:szCs w:val="28"/>
          <w:lang w:bidi="ar-EG"/>
        </w:rPr>
        <w:t>Bernardo</w:t>
      </w:r>
      <w:r w:rsidRPr="006E471D">
        <w:rPr>
          <w:rFonts w:ascii="Traditional Arabic" w:hAnsi="Traditional Arabic" w:cs="Traditional Arabic"/>
          <w:sz w:val="28"/>
          <w:szCs w:val="28"/>
          <w:rtl/>
          <w:lang w:bidi="ar-EG"/>
        </w:rPr>
        <w:t xml:space="preserve"> وزملائه (2024) حول حوكمة البيانات وإدارة الجودة إطاراً منهجياً يوضح أن الحوكمة ليست إجراءً شكلياً، بل منظومة سياسات وأدوار ونضج مؤسسي يُمكّن من تعظيم قيمة البيانات وضبط مخاطرها (</w:t>
      </w:r>
      <w:r w:rsidRPr="006E471D">
        <w:rPr>
          <w:rFonts w:ascii="Traditional Arabic" w:hAnsi="Traditional Arabic" w:cs="Traditional Arabic"/>
          <w:sz w:val="28"/>
          <w:szCs w:val="28"/>
          <w:lang w:bidi="ar-EG"/>
        </w:rPr>
        <w:t>Bernardo et al., 2024</w:t>
      </w:r>
      <w:r w:rsidRPr="006E471D">
        <w:rPr>
          <w:rFonts w:ascii="Traditional Arabic" w:hAnsi="Traditional Arabic" w:cs="Traditional Arabic"/>
          <w:sz w:val="28"/>
          <w:szCs w:val="28"/>
          <w:rtl/>
          <w:lang w:bidi="ar-EG"/>
        </w:rPr>
        <w:t xml:space="preserve">). ويتقاطع ذلك مع ما توصلت إليه مراجعة </w:t>
      </w:r>
      <w:r w:rsidRPr="006E471D">
        <w:rPr>
          <w:rFonts w:ascii="Traditional Arabic" w:hAnsi="Traditional Arabic" w:cs="Traditional Arabic"/>
          <w:sz w:val="28"/>
          <w:szCs w:val="28"/>
          <w:lang w:bidi="ar-EG"/>
        </w:rPr>
        <w:t>Al-</w:t>
      </w:r>
      <w:proofErr w:type="spellStart"/>
      <w:r w:rsidRPr="006E471D">
        <w:rPr>
          <w:rFonts w:ascii="Traditional Arabic" w:hAnsi="Traditional Arabic" w:cs="Traditional Arabic"/>
          <w:sz w:val="28"/>
          <w:szCs w:val="28"/>
          <w:lang w:bidi="ar-EG"/>
        </w:rPr>
        <w:t>Daraba</w:t>
      </w:r>
      <w:proofErr w:type="spellEnd"/>
      <w:r w:rsidRPr="006E471D">
        <w:rPr>
          <w:rFonts w:ascii="Traditional Arabic" w:hAnsi="Traditional Arabic" w:cs="Traditional Arabic"/>
          <w:sz w:val="28"/>
          <w:szCs w:val="28"/>
          <w:rtl/>
          <w:lang w:bidi="ar-EG"/>
        </w:rPr>
        <w:t xml:space="preserve"> وزملائه (2025) من أن كثيراً من المنظمات لا تستفيد بالكامل من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بسبب تحديات مرتبطة بالتبني والتنفيذ والعوامل التنظيمية المصاحبة (</w:t>
      </w:r>
      <w:r w:rsidRPr="006E471D">
        <w:rPr>
          <w:rFonts w:ascii="Traditional Arabic" w:hAnsi="Traditional Arabic" w:cs="Traditional Arabic"/>
          <w:sz w:val="28"/>
          <w:szCs w:val="28"/>
          <w:lang w:bidi="ar-EG"/>
        </w:rPr>
        <w:t>Al-</w:t>
      </w:r>
      <w:proofErr w:type="spellStart"/>
      <w:r w:rsidRPr="006E471D">
        <w:rPr>
          <w:rFonts w:ascii="Traditional Arabic" w:hAnsi="Traditional Arabic" w:cs="Traditional Arabic"/>
          <w:sz w:val="28"/>
          <w:szCs w:val="28"/>
          <w:lang w:bidi="ar-EG"/>
        </w:rPr>
        <w:t>Daraba</w:t>
      </w:r>
      <w:proofErr w:type="spellEnd"/>
      <w:r w:rsidRPr="006E471D">
        <w:rPr>
          <w:rFonts w:ascii="Traditional Arabic" w:hAnsi="Traditional Arabic" w:cs="Traditional Arabic"/>
          <w:sz w:val="28"/>
          <w:szCs w:val="28"/>
          <w:lang w:bidi="ar-EG"/>
        </w:rPr>
        <w:t xml:space="preserve"> et al., 2025</w:t>
      </w:r>
      <w:r w:rsidRPr="006E471D">
        <w:rPr>
          <w:rFonts w:ascii="Traditional Arabic" w:hAnsi="Traditional Arabic" w:cs="Traditional Arabic"/>
          <w:sz w:val="28"/>
          <w:szCs w:val="28"/>
          <w:rtl/>
          <w:lang w:bidi="ar-EG"/>
        </w:rPr>
        <w:t>).</w:t>
      </w:r>
    </w:p>
    <w:p w14:paraId="0D6E5462" w14:textId="213FA0FD" w:rsidR="009365B9" w:rsidRPr="006E471D" w:rsidRDefault="009365B9" w:rsidP="00F23FC1">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الخصوصية والأمن السيبراني</w:t>
      </w:r>
    </w:p>
    <w:p w14:paraId="31D70ABD" w14:textId="77777777"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الخصوصية والأمن السيبراني في المصارف ليستا اعتبارات لاحقة، بل جزء من هندسة النظام. وتناقش دراسة </w:t>
      </w:r>
      <w:proofErr w:type="spellStart"/>
      <w:r w:rsidRPr="006E471D">
        <w:rPr>
          <w:rFonts w:ascii="Traditional Arabic" w:hAnsi="Traditional Arabic" w:cs="Traditional Arabic"/>
          <w:sz w:val="28"/>
          <w:szCs w:val="28"/>
          <w:lang w:bidi="ar-EG"/>
        </w:rPr>
        <w:t>Golebiowska</w:t>
      </w:r>
      <w:proofErr w:type="spellEnd"/>
      <w:r w:rsidRPr="006E471D">
        <w:rPr>
          <w:rFonts w:ascii="Traditional Arabic" w:hAnsi="Traditional Arabic" w:cs="Traditional Arabic"/>
          <w:sz w:val="28"/>
          <w:szCs w:val="28"/>
          <w:rtl/>
          <w:lang w:bidi="ar-EG"/>
        </w:rPr>
        <w:t xml:space="preserve"> وزملائه (2021) جوانب الأمن السيبراني المرتبطة بتحليلات ذكاء الأعمال في سياق البيانات الضخمة، وتلفت إلى تنامي الضغوط التنظيمية وتعدد المخاطر التي تستهدف البيانات، بما يفرض تكاملاً بين الحلول التقنية والإطار القانوني/التنظيمي (</w:t>
      </w:r>
      <w:proofErr w:type="spellStart"/>
      <w:r w:rsidRPr="006E471D">
        <w:rPr>
          <w:rFonts w:ascii="Traditional Arabic" w:hAnsi="Traditional Arabic" w:cs="Traditional Arabic"/>
          <w:sz w:val="28"/>
          <w:szCs w:val="28"/>
          <w:lang w:bidi="ar-EG"/>
        </w:rPr>
        <w:t>Golebiowska</w:t>
      </w:r>
      <w:proofErr w:type="spellEnd"/>
      <w:r w:rsidRPr="006E471D">
        <w:rPr>
          <w:rFonts w:ascii="Traditional Arabic" w:hAnsi="Traditional Arabic" w:cs="Traditional Arabic"/>
          <w:sz w:val="28"/>
          <w:szCs w:val="28"/>
          <w:lang w:bidi="ar-EG"/>
        </w:rPr>
        <w:t xml:space="preserve"> et al., 2021</w:t>
      </w:r>
      <w:r w:rsidRPr="006E471D">
        <w:rPr>
          <w:rFonts w:ascii="Traditional Arabic" w:hAnsi="Traditional Arabic" w:cs="Traditional Arabic"/>
          <w:sz w:val="28"/>
          <w:szCs w:val="28"/>
          <w:rtl/>
          <w:lang w:bidi="ar-EG"/>
        </w:rPr>
        <w:t>). وهذا ينعكس عملياً على تصميم سياسات الوصول للبيانات، وإدارة الهويات، ومراقبة الاستخدام.</w:t>
      </w:r>
    </w:p>
    <w:p w14:paraId="6E1E09F5" w14:textId="7CCBF30F" w:rsidR="009365B9" w:rsidRPr="006E471D" w:rsidRDefault="009365B9" w:rsidP="00F23FC1">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فجوة التحويل من الرؤى إلى قرارات</w:t>
      </w:r>
    </w:p>
    <w:p w14:paraId="33385514" w14:textId="3818687C" w:rsidR="009365B9" w:rsidRPr="006E471D" w:rsidRDefault="009365B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حتى مع توافر بنية تقنية جيدة، قد تبقى الفائدة محدودة إذا لم تُدمج مخرجات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في روتين القرار. وتبيّن دراسة </w:t>
      </w:r>
      <w:r w:rsidRPr="006E471D">
        <w:rPr>
          <w:rFonts w:ascii="Traditional Arabic" w:hAnsi="Traditional Arabic" w:cs="Traditional Arabic"/>
          <w:sz w:val="28"/>
          <w:szCs w:val="28"/>
          <w:lang w:bidi="ar-EG"/>
        </w:rPr>
        <w:t>Maghsoudi</w:t>
      </w:r>
      <w:r w:rsidRPr="006E471D">
        <w:rPr>
          <w:rFonts w:ascii="Traditional Arabic" w:hAnsi="Traditional Arabic" w:cs="Traditional Arabic"/>
          <w:sz w:val="28"/>
          <w:szCs w:val="28"/>
          <w:rtl/>
          <w:lang w:bidi="ar-EG"/>
        </w:rPr>
        <w:t xml:space="preserve"> و</w:t>
      </w:r>
      <w:proofErr w:type="spellStart"/>
      <w:r w:rsidRPr="006E471D">
        <w:rPr>
          <w:rFonts w:ascii="Traditional Arabic" w:hAnsi="Traditional Arabic" w:cs="Traditional Arabic"/>
          <w:sz w:val="28"/>
          <w:szCs w:val="28"/>
          <w:lang w:bidi="ar-EG"/>
        </w:rPr>
        <w:t>Nezafati</w:t>
      </w:r>
      <w:proofErr w:type="spellEnd"/>
      <w:r w:rsidRPr="006E471D">
        <w:rPr>
          <w:rFonts w:ascii="Traditional Arabic" w:hAnsi="Traditional Arabic" w:cs="Traditional Arabic"/>
          <w:sz w:val="28"/>
          <w:szCs w:val="28"/>
          <w:rtl/>
          <w:lang w:bidi="ar-EG"/>
        </w:rPr>
        <w:t xml:space="preserve"> (2023) أن القبول التنظيمي لتنفيذ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يتأثر بتفاعل عوامل متعددة على مدى زمني، وأن نماذج التنفيذ (مثل التوجه نحو ذكاء الأعمال ذاتي الخدمة) قد تُحدث فروقاً في مستويات القبول مع مرور الوقت (</w:t>
      </w:r>
      <w:r w:rsidRPr="006E471D">
        <w:rPr>
          <w:rFonts w:ascii="Traditional Arabic" w:hAnsi="Traditional Arabic" w:cs="Traditional Arabic"/>
          <w:sz w:val="28"/>
          <w:szCs w:val="28"/>
          <w:lang w:bidi="ar-EG"/>
        </w:rPr>
        <w:t xml:space="preserve">Maghsoudi &amp; </w:t>
      </w:r>
      <w:proofErr w:type="spellStart"/>
      <w:r w:rsidRPr="006E471D">
        <w:rPr>
          <w:rFonts w:ascii="Traditional Arabic" w:hAnsi="Traditional Arabic" w:cs="Traditional Arabic"/>
          <w:sz w:val="28"/>
          <w:szCs w:val="28"/>
          <w:lang w:bidi="ar-EG"/>
        </w:rPr>
        <w:t>Nezafati</w:t>
      </w:r>
      <w:proofErr w:type="spellEnd"/>
      <w:r w:rsidRPr="006E471D">
        <w:rPr>
          <w:rFonts w:ascii="Traditional Arabic" w:hAnsi="Traditional Arabic" w:cs="Traditional Arabic"/>
          <w:sz w:val="28"/>
          <w:szCs w:val="28"/>
          <w:lang w:bidi="ar-EG"/>
        </w:rPr>
        <w:t>, 2023</w:t>
      </w:r>
      <w:r w:rsidRPr="006E471D">
        <w:rPr>
          <w:rFonts w:ascii="Traditional Arabic" w:hAnsi="Traditional Arabic" w:cs="Traditional Arabic"/>
          <w:sz w:val="28"/>
          <w:szCs w:val="28"/>
          <w:rtl/>
          <w:lang w:bidi="ar-EG"/>
        </w:rPr>
        <w:t xml:space="preserve">). ويكتسب هذا الاستنتاج أهمية مباشرة في </w:t>
      </w:r>
      <w:r w:rsidR="00594571" w:rsidRPr="006E471D">
        <w:rPr>
          <w:rFonts w:ascii="Traditional Arabic" w:hAnsi="Traditional Arabic" w:cs="Traditional Arabic"/>
          <w:sz w:val="28"/>
          <w:szCs w:val="28"/>
          <w:rtl/>
          <w:lang w:bidi="ar-EG"/>
        </w:rPr>
        <w:t>الدراسة الحالية</w:t>
      </w:r>
      <w:r w:rsidRPr="006E471D">
        <w:rPr>
          <w:rFonts w:ascii="Traditional Arabic" w:hAnsi="Traditional Arabic" w:cs="Traditional Arabic"/>
          <w:sz w:val="28"/>
          <w:szCs w:val="28"/>
          <w:rtl/>
          <w:lang w:bidi="ar-EG"/>
        </w:rPr>
        <w:t xml:space="preserve">، لأنه يهيئ الأرضية لفكرة أن قيمة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تمر عبر سلوك المستخدمين وتبنيهم—وهو ما ستعالجه الدراسة لاحقاً عبر نموذج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w:t>
      </w:r>
    </w:p>
    <w:p w14:paraId="146A0545" w14:textId="77777777" w:rsidR="00F23FC1" w:rsidRPr="006E471D" w:rsidRDefault="00F23FC1" w:rsidP="004100B0">
      <w:pPr>
        <w:spacing w:line="240" w:lineRule="auto"/>
        <w:jc w:val="both"/>
        <w:rPr>
          <w:rFonts w:ascii="Traditional Arabic" w:hAnsi="Traditional Arabic" w:cs="Traditional Arabic"/>
          <w:sz w:val="28"/>
          <w:szCs w:val="28"/>
          <w:rtl/>
          <w:lang w:bidi="ar-EG"/>
        </w:rPr>
      </w:pPr>
    </w:p>
    <w:p w14:paraId="65A35866" w14:textId="77777777" w:rsidR="00F23FC1" w:rsidRPr="006E471D" w:rsidRDefault="00F23FC1" w:rsidP="004100B0">
      <w:pPr>
        <w:spacing w:line="240" w:lineRule="auto"/>
        <w:jc w:val="both"/>
        <w:rPr>
          <w:rFonts w:ascii="Traditional Arabic" w:hAnsi="Traditional Arabic" w:cs="Traditional Arabic"/>
          <w:sz w:val="28"/>
          <w:szCs w:val="28"/>
          <w:rtl/>
          <w:lang w:bidi="ar-EG"/>
        </w:rPr>
      </w:pPr>
    </w:p>
    <w:p w14:paraId="29D294D5" w14:textId="468334BE" w:rsidR="00680361" w:rsidRPr="006E471D" w:rsidRDefault="00680361" w:rsidP="00F23FC1">
      <w:pPr>
        <w:pStyle w:val="Heading2"/>
        <w:jc w:val="both"/>
        <w:rPr>
          <w:rFonts w:ascii="Traditional Arabic" w:hAnsi="Traditional Arabic" w:cs="Traditional Arabic"/>
          <w:b/>
          <w:bCs/>
          <w:color w:val="000000" w:themeColor="text1"/>
          <w:rtl/>
          <w:lang w:bidi="ar-EG"/>
        </w:rPr>
      </w:pPr>
      <w:bookmarkStart w:id="16" w:name="_Toc222423551"/>
      <w:r w:rsidRPr="006E471D">
        <w:rPr>
          <w:rFonts w:ascii="Traditional Arabic" w:hAnsi="Traditional Arabic" w:cs="Traditional Arabic"/>
          <w:b/>
          <w:bCs/>
          <w:color w:val="000000" w:themeColor="text1"/>
          <w:rtl/>
          <w:lang w:bidi="ar-EG"/>
        </w:rPr>
        <w:lastRenderedPageBreak/>
        <w:t>قبول أنظمة ذكاء الأعمال: نموذج قبول التكنولوجيا (</w:t>
      </w:r>
      <w:r w:rsidRPr="006E471D">
        <w:rPr>
          <w:rFonts w:ascii="Traditional Arabic" w:hAnsi="Traditional Arabic" w:cs="Traditional Arabic"/>
          <w:b/>
          <w:bCs/>
          <w:color w:val="000000" w:themeColor="text1"/>
          <w:lang w:bidi="ar-EG"/>
        </w:rPr>
        <w:t>TAM</w:t>
      </w:r>
      <w:r w:rsidRPr="006E471D">
        <w:rPr>
          <w:rFonts w:ascii="Traditional Arabic" w:hAnsi="Traditional Arabic" w:cs="Traditional Arabic"/>
          <w:b/>
          <w:bCs/>
          <w:color w:val="000000" w:themeColor="text1"/>
          <w:rtl/>
          <w:lang w:bidi="ar-EG"/>
        </w:rPr>
        <w:t>) وتكييفه على بيئة البنوك</w:t>
      </w:r>
      <w:bookmarkEnd w:id="16"/>
    </w:p>
    <w:p w14:paraId="54A1EF85" w14:textId="5F9E17CF" w:rsidR="00680361" w:rsidRPr="006E471D" w:rsidRDefault="00680361" w:rsidP="00F23FC1">
      <w:pPr>
        <w:pStyle w:val="Heading3"/>
        <w:rPr>
          <w:rFonts w:ascii="Traditional Arabic" w:hAnsi="Traditional Arabic" w:cs="Traditional Arabic"/>
          <w:b/>
          <w:bCs/>
          <w:color w:val="000000" w:themeColor="text1"/>
          <w:rtl/>
          <w:lang w:bidi="ar-EG"/>
        </w:rPr>
      </w:pPr>
      <w:bookmarkStart w:id="17" w:name="_Toc222423552"/>
      <w:r w:rsidRPr="006E471D">
        <w:rPr>
          <w:rFonts w:ascii="Traditional Arabic" w:hAnsi="Traditional Arabic" w:cs="Traditional Arabic"/>
          <w:b/>
          <w:bCs/>
          <w:color w:val="000000" w:themeColor="text1"/>
          <w:rtl/>
          <w:lang w:bidi="ar-EG"/>
        </w:rPr>
        <w:t>الأساس النظري لنموذج قبول التكنولوجيا في بحوث نظم المعلومات</w:t>
      </w:r>
      <w:bookmarkEnd w:id="17"/>
    </w:p>
    <w:p w14:paraId="28B8775F" w14:textId="01A84AF4"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يُعدّ نموذج قبول التكنولوجيا (</w:t>
      </w:r>
      <w:r w:rsidRPr="006E471D">
        <w:rPr>
          <w:rFonts w:ascii="Traditional Arabic" w:hAnsi="Traditional Arabic" w:cs="Traditional Arabic"/>
          <w:sz w:val="28"/>
          <w:szCs w:val="28"/>
          <w:lang w:bidi="ar-EG"/>
        </w:rPr>
        <w:t>Technology Acceptance Model: TAM</w:t>
      </w:r>
      <w:r w:rsidRPr="006E471D">
        <w:rPr>
          <w:rFonts w:ascii="Traditional Arabic" w:hAnsi="Traditional Arabic" w:cs="Traditional Arabic"/>
          <w:sz w:val="28"/>
          <w:szCs w:val="28"/>
          <w:rtl/>
          <w:lang w:bidi="ar-EG"/>
        </w:rPr>
        <w:t>) من أكثر الأطر استخداماً في تفسير سلوك الأفراد تجاه تبني نظم المعلومات داخل المنظمات، لأنه ينطلق من فرضية بسيطة لكنها شديدة العملية: التقنيات لا تُحدث أثراً تنظيمياً بمجرد توافرها، بل حين يقتنع المستخدم بقيمتها ويتمكن من استخدامها دون عبء معرفي أو تشغيلي. وفي صورته الأصلية، طُوِّر النموذج لتفسير قبول المستخدم لتكنولوجيا المعلومات عبر بنيتين إدراكيتين مركزيتين هما الفائدة المدركة (</w:t>
      </w:r>
      <w:r w:rsidRPr="006E471D">
        <w:rPr>
          <w:rFonts w:ascii="Traditional Arabic" w:hAnsi="Traditional Arabic" w:cs="Traditional Arabic"/>
          <w:sz w:val="28"/>
          <w:szCs w:val="28"/>
          <w:lang w:bidi="ar-EG"/>
        </w:rPr>
        <w:t>Perceived Usefulness: PU</w:t>
      </w:r>
      <w:r w:rsidRPr="006E471D">
        <w:rPr>
          <w:rFonts w:ascii="Traditional Arabic" w:hAnsi="Traditional Arabic" w:cs="Traditional Arabic"/>
          <w:sz w:val="28"/>
          <w:szCs w:val="28"/>
          <w:rtl/>
          <w:lang w:bidi="ar-EG"/>
        </w:rPr>
        <w:t>) وسهولة الاستخدام المدركة (</w:t>
      </w:r>
      <w:r w:rsidRPr="006E471D">
        <w:rPr>
          <w:rFonts w:ascii="Traditional Arabic" w:hAnsi="Traditional Arabic" w:cs="Traditional Arabic"/>
          <w:sz w:val="28"/>
          <w:szCs w:val="28"/>
          <w:lang w:bidi="ar-EG"/>
        </w:rPr>
        <w:t>Perceived Ease of Use: PEOU</w:t>
      </w:r>
      <w:r w:rsidRPr="006E471D">
        <w:rPr>
          <w:rFonts w:ascii="Traditional Arabic" w:hAnsi="Traditional Arabic" w:cs="Traditional Arabic"/>
          <w:sz w:val="28"/>
          <w:szCs w:val="28"/>
          <w:rtl/>
          <w:lang w:bidi="ar-EG"/>
        </w:rPr>
        <w:t>)، بحيث تؤثران في نوايا الاستخدام، ثم تنعكس تلك النوايا—بدرجات متفاوتة—على الاستخدام الفعلي (</w:t>
      </w:r>
      <w:r w:rsidRPr="006E471D">
        <w:rPr>
          <w:rFonts w:ascii="Traditional Arabic" w:hAnsi="Traditional Arabic" w:cs="Traditional Arabic"/>
          <w:sz w:val="28"/>
          <w:szCs w:val="28"/>
          <w:lang w:bidi="ar-EG"/>
        </w:rPr>
        <w:t>Davis, 1989</w:t>
      </w:r>
      <w:r w:rsidRPr="006E471D">
        <w:rPr>
          <w:rFonts w:ascii="Traditional Arabic" w:hAnsi="Traditional Arabic" w:cs="Traditional Arabic"/>
          <w:sz w:val="28"/>
          <w:szCs w:val="28"/>
          <w:rtl/>
          <w:lang w:bidi="ar-EG"/>
        </w:rPr>
        <w:t>).</w:t>
      </w:r>
    </w:p>
    <w:p w14:paraId="6A5601D5" w14:textId="6D6B5C43"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ومع تراكم التطبيقات عبر قطاعات متعددة، اتجهت دراسات حديثة إلى إعادة اختبار صلابة العلاقات الرئيسة في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وإبراز دور العوامل السابقة (</w:t>
      </w:r>
      <w:r w:rsidRPr="006E471D">
        <w:rPr>
          <w:rFonts w:ascii="Traditional Arabic" w:hAnsi="Traditional Arabic" w:cs="Traditional Arabic"/>
          <w:sz w:val="28"/>
          <w:szCs w:val="28"/>
          <w:lang w:bidi="ar-EG"/>
        </w:rPr>
        <w:t>Antecedents</w:t>
      </w:r>
      <w:r w:rsidRPr="006E471D">
        <w:rPr>
          <w:rFonts w:ascii="Traditional Arabic" w:hAnsi="Traditional Arabic" w:cs="Traditional Arabic"/>
          <w:sz w:val="28"/>
          <w:szCs w:val="28"/>
          <w:rtl/>
          <w:lang w:bidi="ar-EG"/>
        </w:rPr>
        <w:t xml:space="preserve">) التي تغذي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xml:space="preserve"> و</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بحسب طبيعة التكنولوجيا والسياق؛ فالمراجعات الكمية الحديثة تشير إلى أن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xml:space="preserve"> و</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يظلان محورين تفسيريين متكررين عند دراسة نوايا تبني التكنولوجيا، مع اختلاف قوة المسارات تبعاً لطبيعة الاستخدام وطبيعة المستخدمين والسياق </w:t>
      </w:r>
      <w:proofErr w:type="gramStart"/>
      <w:r w:rsidRPr="006E471D">
        <w:rPr>
          <w:rFonts w:ascii="Traditional Arabic" w:hAnsi="Traditional Arabic" w:cs="Traditional Arabic"/>
          <w:sz w:val="28"/>
          <w:szCs w:val="28"/>
          <w:rtl/>
          <w:lang w:bidi="ar-EG"/>
        </w:rPr>
        <w:t>المؤسسي</w:t>
      </w:r>
      <w:r w:rsidRPr="006E471D">
        <w:rPr>
          <w:rFonts w:ascii="Traditional Arabic" w:hAnsi="Traditional Arabic" w:cs="Traditional Arabic"/>
          <w:sz w:val="28"/>
          <w:szCs w:val="28"/>
          <w:lang w:bidi="ar-EG"/>
        </w:rPr>
        <w:t>(</w:t>
      </w:r>
      <w:proofErr w:type="gramEnd"/>
      <w:r w:rsidRPr="006E471D">
        <w:rPr>
          <w:rFonts w:ascii="Traditional Arabic" w:hAnsi="Traditional Arabic" w:cs="Traditional Arabic"/>
          <w:sz w:val="28"/>
          <w:szCs w:val="28"/>
          <w:lang w:bidi="ar-EG"/>
        </w:rPr>
        <w:t xml:space="preserve">Liu et al., 2024) </w:t>
      </w:r>
      <w:r w:rsidR="00F23FC1" w:rsidRPr="006E471D">
        <w:rPr>
          <w:rFonts w:ascii="Traditional Arabic" w:hAnsi="Traditional Arabic" w:cs="Traditional Arabic"/>
          <w:sz w:val="28"/>
          <w:szCs w:val="28"/>
          <w:rtl/>
          <w:lang w:bidi="ar-EG"/>
        </w:rPr>
        <w:t>.</w:t>
      </w:r>
    </w:p>
    <w:p w14:paraId="515A7230" w14:textId="12A39F1E" w:rsidR="00E31E75" w:rsidRPr="006E471D" w:rsidRDefault="003A71F5"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وتم تفضيل نموذج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في هذه الدراسة على نماذج بديلة مثل النظرية الموحدة لقبول واستخدام التكنولوجيا (</w:t>
      </w:r>
      <w:r w:rsidRPr="006E471D">
        <w:rPr>
          <w:rFonts w:ascii="Traditional Arabic" w:hAnsi="Traditional Arabic" w:cs="Traditional Arabic"/>
          <w:sz w:val="28"/>
          <w:szCs w:val="28"/>
          <w:lang w:bidi="ar-EG"/>
        </w:rPr>
        <w:t>UTAUT</w:t>
      </w:r>
      <w:r w:rsidRPr="006E471D">
        <w:rPr>
          <w:rFonts w:ascii="Traditional Arabic" w:hAnsi="Traditional Arabic" w:cs="Traditional Arabic"/>
          <w:sz w:val="28"/>
          <w:szCs w:val="28"/>
          <w:rtl/>
          <w:lang w:bidi="ar-EG"/>
        </w:rPr>
        <w:t>) ونظرية انتشار الابتكار (</w:t>
      </w:r>
      <w:r w:rsidRPr="006E471D">
        <w:rPr>
          <w:rFonts w:ascii="Traditional Arabic" w:hAnsi="Traditional Arabic" w:cs="Traditional Arabic"/>
          <w:sz w:val="28"/>
          <w:szCs w:val="28"/>
          <w:lang w:bidi="ar-EG"/>
        </w:rPr>
        <w:t>DOI</w:t>
      </w:r>
      <w:r w:rsidRPr="006E471D">
        <w:rPr>
          <w:rFonts w:ascii="Traditional Arabic" w:hAnsi="Traditional Arabic" w:cs="Traditional Arabic"/>
          <w:sz w:val="28"/>
          <w:szCs w:val="28"/>
          <w:rtl/>
          <w:lang w:bidi="ar-EG"/>
        </w:rPr>
        <w:t xml:space="preserve">) لعدة اعتبارات: أولاً، أن وحدة التحليل في الدراسة الحالية هي المديرون بوصفهم أفراداً يتخذون قرارات بشأن استخدام النظام، وهو ما يتسق مع الطبيعة الفردية–الإدراكية لنموذج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أكثر من الطبيعة المؤسسية لإطار </w:t>
      </w:r>
      <w:r w:rsidRPr="006E471D">
        <w:rPr>
          <w:rFonts w:ascii="Traditional Arabic" w:hAnsi="Traditional Arabic" w:cs="Traditional Arabic"/>
          <w:sz w:val="28"/>
          <w:szCs w:val="28"/>
          <w:lang w:bidi="ar-EG"/>
        </w:rPr>
        <w:t>TOE</w:t>
      </w:r>
      <w:r w:rsidRPr="006E471D">
        <w:rPr>
          <w:rFonts w:ascii="Traditional Arabic" w:hAnsi="Traditional Arabic" w:cs="Traditional Arabic"/>
          <w:sz w:val="28"/>
          <w:szCs w:val="28"/>
          <w:rtl/>
          <w:lang w:bidi="ar-EG"/>
        </w:rPr>
        <w:t xml:space="preserve">. ثانياً، يتميز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بالبساطة النظرية وقابلية القياس عبر بنى محددة (الفائدة المدركة، سهولة الاستخدام المدركة، نية الاستخدام) دون تعقيد يتجاوز حاجة النموذج المقترح. ثالثاً، أكدت المراجعات المنهجية الحديثة في مجال تبني ذكاء الأعمال أن دمج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مع اعتبارات على مستوى المنظمة ما يزال بحاجة إلى مزيد من الاختبار التجريبي في سياقات مختلفة (</w:t>
      </w:r>
      <w:r w:rsidRPr="006E471D">
        <w:rPr>
          <w:rFonts w:ascii="Traditional Arabic" w:hAnsi="Traditional Arabic" w:cs="Traditional Arabic"/>
          <w:sz w:val="28"/>
          <w:szCs w:val="28"/>
          <w:lang w:bidi="ar-EG"/>
        </w:rPr>
        <w:t>Al-</w:t>
      </w:r>
      <w:proofErr w:type="spellStart"/>
      <w:r w:rsidRPr="006E471D">
        <w:rPr>
          <w:rFonts w:ascii="Traditional Arabic" w:hAnsi="Traditional Arabic" w:cs="Traditional Arabic"/>
          <w:sz w:val="28"/>
          <w:szCs w:val="28"/>
          <w:lang w:bidi="ar-EG"/>
        </w:rPr>
        <w:t>Daraba</w:t>
      </w:r>
      <w:proofErr w:type="spellEnd"/>
      <w:r w:rsidRPr="006E471D">
        <w:rPr>
          <w:rFonts w:ascii="Traditional Arabic" w:hAnsi="Traditional Arabic" w:cs="Traditional Arabic"/>
          <w:sz w:val="28"/>
          <w:szCs w:val="28"/>
          <w:lang w:bidi="ar-EG"/>
        </w:rPr>
        <w:t xml:space="preserve"> et al., 2025</w:t>
      </w:r>
      <w:r w:rsidRPr="006E471D">
        <w:rPr>
          <w:rFonts w:ascii="Traditional Arabic" w:hAnsi="Traditional Arabic" w:cs="Traditional Arabic"/>
          <w:sz w:val="28"/>
          <w:szCs w:val="28"/>
          <w:rtl/>
          <w:lang w:bidi="ar-EG"/>
        </w:rPr>
        <w:t>)، وهو ما تسعى هذه الدراسة لتحقيقه ضمن السياق المصرفي السعودي.</w:t>
      </w:r>
    </w:p>
    <w:p w14:paraId="5CEB7838" w14:textId="294F4DC3" w:rsidR="00680361" w:rsidRPr="006E471D" w:rsidRDefault="00680361" w:rsidP="00F23FC1">
      <w:pPr>
        <w:pStyle w:val="Heading3"/>
        <w:rPr>
          <w:rFonts w:ascii="Traditional Arabic" w:hAnsi="Traditional Arabic" w:cs="Traditional Arabic"/>
          <w:b/>
          <w:bCs/>
          <w:color w:val="000000" w:themeColor="text1"/>
          <w:rtl/>
          <w:lang w:bidi="ar-EG"/>
        </w:rPr>
      </w:pPr>
      <w:bookmarkStart w:id="18" w:name="_Toc222423553"/>
      <w:r w:rsidRPr="006E471D">
        <w:rPr>
          <w:rFonts w:ascii="Traditional Arabic" w:hAnsi="Traditional Arabic" w:cs="Traditional Arabic"/>
          <w:b/>
          <w:bCs/>
          <w:color w:val="000000" w:themeColor="text1"/>
          <w:rtl/>
          <w:lang w:bidi="ar-EG"/>
        </w:rPr>
        <w:t>البنى الجوهرية للنموذج وملاءمته لوحدة تحليل المديرين في القطاع المصرفي</w:t>
      </w:r>
      <w:bookmarkEnd w:id="18"/>
    </w:p>
    <w:p w14:paraId="6EC05777" w14:textId="112D4314"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تكمن قيمة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بالنسبة للدراسات التنظيمية</w:t>
      </w:r>
      <w:r w:rsidR="00F23FC1" w:rsidRPr="006E471D">
        <w:rPr>
          <w:rFonts w:ascii="Traditional Arabic" w:hAnsi="Traditional Arabic" w:cs="Traditional Arabic"/>
          <w:sz w:val="28"/>
          <w:szCs w:val="28"/>
          <w:rtl/>
          <w:lang w:bidi="ar-EG"/>
        </w:rPr>
        <w:t xml:space="preserve"> – </w:t>
      </w:r>
      <w:r w:rsidRPr="006E471D">
        <w:rPr>
          <w:rFonts w:ascii="Traditional Arabic" w:hAnsi="Traditional Arabic" w:cs="Traditional Arabic"/>
          <w:sz w:val="28"/>
          <w:szCs w:val="28"/>
          <w:rtl/>
          <w:lang w:bidi="ar-EG"/>
        </w:rPr>
        <w:t>ومنها الدراسات المصرفية</w:t>
      </w:r>
      <w:r w:rsidR="00F23FC1" w:rsidRPr="006E471D">
        <w:rPr>
          <w:rFonts w:ascii="Traditional Arabic" w:hAnsi="Traditional Arabic" w:cs="Traditional Arabic"/>
          <w:sz w:val="28"/>
          <w:szCs w:val="28"/>
          <w:rtl/>
          <w:lang w:bidi="ar-EG"/>
        </w:rPr>
        <w:t xml:space="preserve"> – </w:t>
      </w:r>
      <w:r w:rsidRPr="006E471D">
        <w:rPr>
          <w:rFonts w:ascii="Traditional Arabic" w:hAnsi="Traditional Arabic" w:cs="Traditional Arabic"/>
          <w:sz w:val="28"/>
          <w:szCs w:val="28"/>
          <w:rtl/>
          <w:lang w:bidi="ar-EG"/>
        </w:rPr>
        <w:t xml:space="preserve">في أنه ينقل النقاش من سؤال هل التقنية موجودة؟ إلى سؤال أكثر حساسية: هل يراها المستخدمون نافعة وسهلة، وهل لديهم نية جادة لدمجها في </w:t>
      </w:r>
      <w:proofErr w:type="gramStart"/>
      <w:r w:rsidRPr="006E471D">
        <w:rPr>
          <w:rFonts w:ascii="Traditional Arabic" w:hAnsi="Traditional Arabic" w:cs="Traditional Arabic"/>
          <w:sz w:val="28"/>
          <w:szCs w:val="28"/>
          <w:rtl/>
          <w:lang w:bidi="ar-EG"/>
        </w:rPr>
        <w:t>عملهم؟.</w:t>
      </w:r>
      <w:proofErr w:type="gramEnd"/>
      <w:r w:rsidRPr="006E471D">
        <w:rPr>
          <w:rFonts w:ascii="Traditional Arabic" w:hAnsi="Traditional Arabic" w:cs="Traditional Arabic"/>
          <w:sz w:val="28"/>
          <w:szCs w:val="28"/>
          <w:rtl/>
          <w:lang w:bidi="ar-EG"/>
        </w:rPr>
        <w:t xml:space="preserve"> وهذا التحول مهم عندما تكون وحدة التحليل المديرين؛ لأن المدير لا يتعامل مع التقنية بوصفها خدمة ترفيهية، بل بوصفها أداة تترتب عليها تبعات مساءلة ومخاطر؛ ومن ثمّ تصبح الفائدة المدركة مرتبطة بما إذا كانت التقنية تساعده فعلاً في رفع جودة حكمه الإداري، بينما ترتبط سهولة الاستخدام المدركة بما إذا كانت التقنية تقلل عبء العمل وتزيد سرعة الوصول للمعلومة بدلاً من تعقيد الإجراءات.</w:t>
      </w:r>
    </w:p>
    <w:p w14:paraId="647F22E7" w14:textId="6785B686"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وتدعم التطبيقات المصرفية العربية هذا المنطق؛ فعلى سبيل المثال، طبقت دراسة في مصر نموذج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(مع امتدادات قريبة من </w:t>
      </w:r>
      <w:r w:rsidRPr="006E471D">
        <w:rPr>
          <w:rFonts w:ascii="Traditional Arabic" w:hAnsi="Traditional Arabic" w:cs="Traditional Arabic"/>
          <w:sz w:val="28"/>
          <w:szCs w:val="28"/>
          <w:lang w:bidi="ar-EG"/>
        </w:rPr>
        <w:t>TAM1/TAM2</w:t>
      </w:r>
      <w:r w:rsidRPr="006E471D">
        <w:rPr>
          <w:rFonts w:ascii="Traditional Arabic" w:hAnsi="Traditional Arabic" w:cs="Traditional Arabic"/>
          <w:sz w:val="28"/>
          <w:szCs w:val="28"/>
          <w:rtl/>
          <w:lang w:bidi="ar-EG"/>
        </w:rPr>
        <w:t xml:space="preserve">) لتفسير النية السلوكية لاستخدام خدمات مصرفية قائمة على التقنية المالية عبر الهاتف المحمول، ووجدت—ضمن نتائجها—أن الثقة وسهولة الاستخدام تتقدم كعوامل ذات أثر في </w:t>
      </w:r>
      <w:r w:rsidR="0099150B" w:rsidRPr="006E471D">
        <w:rPr>
          <w:rFonts w:ascii="Traditional Arabic" w:hAnsi="Traditional Arabic" w:cs="Traditional Arabic"/>
          <w:sz w:val="28"/>
          <w:szCs w:val="28"/>
          <w:rtl/>
          <w:lang w:bidi="ar-EG"/>
        </w:rPr>
        <w:t xml:space="preserve">نية الاستخدام </w:t>
      </w:r>
      <w:r w:rsidRPr="006E471D">
        <w:rPr>
          <w:rFonts w:ascii="Traditional Arabic" w:hAnsi="Traditional Arabic" w:cs="Traditional Arabic"/>
          <w:sz w:val="28"/>
          <w:szCs w:val="28"/>
          <w:lang w:bidi="ar-EG"/>
        </w:rPr>
        <w:t>(Rady, 2023</w:t>
      </w:r>
      <w:proofErr w:type="gramStart"/>
      <w:r w:rsidRPr="006E471D">
        <w:rPr>
          <w:rFonts w:ascii="Traditional Arabic" w:hAnsi="Traditional Arabic" w:cs="Traditional Arabic"/>
          <w:sz w:val="28"/>
          <w:szCs w:val="28"/>
          <w:lang w:bidi="ar-EG"/>
        </w:rPr>
        <w:t xml:space="preserve">) </w:t>
      </w:r>
      <w:r w:rsidR="00F23FC1" w:rsidRPr="006E471D">
        <w:rPr>
          <w:rFonts w:ascii="Traditional Arabic" w:hAnsi="Traditional Arabic" w:cs="Traditional Arabic"/>
          <w:sz w:val="28"/>
          <w:szCs w:val="28"/>
          <w:rtl/>
          <w:lang w:bidi="ar-EG"/>
        </w:rPr>
        <w:t>.</w:t>
      </w:r>
      <w:proofErr w:type="gramEnd"/>
      <w:r w:rsidR="00F23FC1" w:rsidRPr="006E471D">
        <w:rPr>
          <w:rFonts w:ascii="Traditional Arabic" w:hAnsi="Traditional Arabic" w:cs="Traditional Arabic"/>
          <w:sz w:val="28"/>
          <w:szCs w:val="28"/>
          <w:rtl/>
          <w:lang w:bidi="ar-EG"/>
        </w:rPr>
        <w:t xml:space="preserve"> </w:t>
      </w:r>
      <w:r w:rsidRPr="006E471D">
        <w:rPr>
          <w:rFonts w:ascii="Traditional Arabic" w:hAnsi="Traditional Arabic" w:cs="Traditional Arabic"/>
          <w:sz w:val="28"/>
          <w:szCs w:val="28"/>
          <w:rtl/>
          <w:lang w:bidi="ar-EG"/>
        </w:rPr>
        <w:t xml:space="preserve">كما تشير دراسة عربية أخرى إلى أن خصائص مثل المنفعة المدركة وسهولة الاستخدام ترتبط بمستوى الثقة الإلكترونية لدى مستخدمي الموبايل </w:t>
      </w:r>
      <w:r w:rsidRPr="006E471D">
        <w:rPr>
          <w:rFonts w:ascii="Traditional Arabic" w:hAnsi="Traditional Arabic" w:cs="Traditional Arabic"/>
          <w:sz w:val="28"/>
          <w:szCs w:val="28"/>
          <w:rtl/>
          <w:lang w:bidi="ar-EG"/>
        </w:rPr>
        <w:lastRenderedPageBreak/>
        <w:t>البنكي، مع التأكيد على أهمية تحسين واجهات الاستخدام وتعزيز الوعي لتقوية الثقة واستدامة الاستخدام</w:t>
      </w:r>
      <w:r w:rsidR="00F23FC1" w:rsidRPr="006E471D">
        <w:rPr>
          <w:rFonts w:ascii="Traditional Arabic" w:hAnsi="Traditional Arabic" w:cs="Traditional Arabic"/>
          <w:sz w:val="28"/>
          <w:szCs w:val="28"/>
          <w:rtl/>
          <w:lang w:bidi="ar-EG"/>
        </w:rPr>
        <w:t xml:space="preserve"> (</w:t>
      </w:r>
      <w:r w:rsidR="00F23FC1" w:rsidRPr="006E471D">
        <w:rPr>
          <w:rFonts w:ascii="Traditional Arabic" w:hAnsi="Traditional Arabic" w:cs="Traditional Arabic"/>
          <w:sz w:val="28"/>
          <w:szCs w:val="28"/>
          <w:lang w:bidi="ar-EG"/>
        </w:rPr>
        <w:t>Mahmoud, 2022</w:t>
      </w:r>
      <w:r w:rsidR="00F23FC1" w:rsidRPr="006E471D">
        <w:rPr>
          <w:rFonts w:ascii="Traditional Arabic" w:hAnsi="Traditional Arabic" w:cs="Traditional Arabic"/>
          <w:sz w:val="28"/>
          <w:szCs w:val="28"/>
          <w:rtl/>
          <w:lang w:bidi="ar-EG"/>
        </w:rPr>
        <w:t>).</w:t>
      </w:r>
    </w:p>
    <w:p w14:paraId="2CCC454F" w14:textId="4D91973E" w:rsidR="00680361" w:rsidRPr="006E471D" w:rsidRDefault="00680361" w:rsidP="00F23FC1">
      <w:pPr>
        <w:pStyle w:val="Heading3"/>
        <w:rPr>
          <w:rFonts w:ascii="Traditional Arabic" w:hAnsi="Traditional Arabic" w:cs="Traditional Arabic"/>
          <w:b/>
          <w:bCs/>
          <w:color w:val="000000" w:themeColor="text1"/>
          <w:rtl/>
          <w:lang w:bidi="ar-EG"/>
        </w:rPr>
      </w:pPr>
      <w:bookmarkStart w:id="19" w:name="_Toc222423554"/>
      <w:r w:rsidRPr="006E471D">
        <w:rPr>
          <w:rFonts w:ascii="Traditional Arabic" w:hAnsi="Traditional Arabic" w:cs="Traditional Arabic"/>
          <w:b/>
          <w:bCs/>
          <w:color w:val="000000" w:themeColor="text1"/>
          <w:rtl/>
          <w:lang w:bidi="ar-EG"/>
        </w:rPr>
        <w:t xml:space="preserve">تكييف </w:t>
      </w:r>
      <w:r w:rsidRPr="006E471D">
        <w:rPr>
          <w:rFonts w:ascii="Traditional Arabic" w:hAnsi="Traditional Arabic" w:cs="Traditional Arabic"/>
          <w:b/>
          <w:bCs/>
          <w:color w:val="000000" w:themeColor="text1"/>
          <w:lang w:bidi="ar-EG"/>
        </w:rPr>
        <w:t>TAM</w:t>
      </w:r>
      <w:r w:rsidRPr="006E471D">
        <w:rPr>
          <w:rFonts w:ascii="Traditional Arabic" w:hAnsi="Traditional Arabic" w:cs="Traditional Arabic"/>
          <w:b/>
          <w:bCs/>
          <w:color w:val="000000" w:themeColor="text1"/>
          <w:rtl/>
          <w:lang w:bidi="ar-EG"/>
        </w:rPr>
        <w:t xml:space="preserve"> لقياس قبول أنظمة ذكاء الأعمال في المصارف</w:t>
      </w:r>
      <w:bookmarkEnd w:id="19"/>
    </w:p>
    <w:p w14:paraId="1119F900" w14:textId="4CC29458"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عند الانتقال من تطبيقات مصرفية موجهة للعملاء (مثل الموبايل البنكي) إلى نظم داخلية موجهة لصناع القرار (مثل ذكاء الأعمال)، يصبح القبول أكثر ارتباطاً بقدرة المدير على تحويل المخرجات التحليلية إلى قرار. فذكاء الأعمال قد يقدّم تقارير ولوحات قيادة وتنبؤات، لكن هذه المخرجات لا تكتسب معنى تنظيميّاً إذا بقيت خارج دائرة التفكير الاستراتيجي. ولهذا يُعد تكييف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على ذكاء الأعمال مناسباً، لأنه يسمح بقياس ما إذا كان المدير يرى النظام مفيداً في تحسين الأداء </w:t>
      </w:r>
      <w:proofErr w:type="spellStart"/>
      <w:r w:rsidRPr="006E471D">
        <w:rPr>
          <w:rFonts w:ascii="Traditional Arabic" w:hAnsi="Traditional Arabic" w:cs="Traditional Arabic"/>
          <w:sz w:val="28"/>
          <w:szCs w:val="28"/>
          <w:rtl/>
          <w:lang w:bidi="ar-EG"/>
        </w:rPr>
        <w:t>القراري</w:t>
      </w:r>
      <w:proofErr w:type="spellEnd"/>
      <w:r w:rsidRPr="006E471D">
        <w:rPr>
          <w:rFonts w:ascii="Traditional Arabic" w:hAnsi="Traditional Arabic" w:cs="Traditional Arabic"/>
          <w:sz w:val="28"/>
          <w:szCs w:val="28"/>
          <w:rtl/>
          <w:lang w:bidi="ar-EG"/>
        </w:rPr>
        <w:t xml:space="preserve">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وسهلاً بما يكفي كي لا يتحول استخدامه إلى عبء (</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ثم قياس نية الاستخدام بوصفها مؤشراً على الاستعداد لإدماج النظام في الممارسة اليومية لاتخاذ القرار.</w:t>
      </w:r>
    </w:p>
    <w:p w14:paraId="34DD8718" w14:textId="77954543" w:rsidR="00680361" w:rsidRPr="006E471D" w:rsidRDefault="00680361" w:rsidP="004100B0">
      <w:pPr>
        <w:spacing w:line="240" w:lineRule="auto"/>
        <w:jc w:val="both"/>
        <w:rPr>
          <w:rFonts w:ascii="Traditional Arabic" w:hAnsi="Traditional Arabic" w:cs="Traditional Arabic"/>
          <w:sz w:val="28"/>
          <w:szCs w:val="28"/>
          <w:lang w:bidi="ar-EG"/>
        </w:rPr>
      </w:pPr>
      <w:r w:rsidRPr="006E471D">
        <w:rPr>
          <w:rFonts w:ascii="Traditional Arabic" w:hAnsi="Traditional Arabic" w:cs="Traditional Arabic"/>
          <w:sz w:val="28"/>
          <w:szCs w:val="28"/>
          <w:rtl/>
          <w:lang w:bidi="ar-EG"/>
        </w:rPr>
        <w:t>وتؤكد الأدبيات الحديثة الخاصة بتبني ذكاء الأعمال أن الاهتمام بالبعد الفردي (</w:t>
      </w:r>
      <w:r w:rsidRPr="006E471D">
        <w:rPr>
          <w:rFonts w:ascii="Traditional Arabic" w:hAnsi="Traditional Arabic" w:cs="Traditional Arabic"/>
          <w:sz w:val="28"/>
          <w:szCs w:val="28"/>
          <w:lang w:bidi="ar-EG"/>
        </w:rPr>
        <w:t>User-centric</w:t>
      </w:r>
      <w:r w:rsidRPr="006E471D">
        <w:rPr>
          <w:rFonts w:ascii="Traditional Arabic" w:hAnsi="Traditional Arabic" w:cs="Traditional Arabic"/>
          <w:sz w:val="28"/>
          <w:szCs w:val="28"/>
          <w:rtl/>
          <w:lang w:bidi="ar-EG"/>
        </w:rPr>
        <w:t xml:space="preserve">) ليس مسألة ثانوية، بل يمثل شرطاً لاستدامة الاستثمار في الأنظمة التحليلية. فمراجعة منهجية حديثة حول تبني </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تشير بوضوح إلى أن دمج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مع أطر على مستوى المنظمة مثل (</w:t>
      </w:r>
      <w:r w:rsidRPr="006E471D">
        <w:rPr>
          <w:rFonts w:ascii="Traditional Arabic" w:hAnsi="Traditional Arabic" w:cs="Traditional Arabic"/>
          <w:sz w:val="28"/>
          <w:szCs w:val="28"/>
          <w:lang w:bidi="ar-EG"/>
        </w:rPr>
        <w:t>TOE</w:t>
      </w:r>
      <w:r w:rsidRPr="006E471D">
        <w:rPr>
          <w:rFonts w:ascii="Traditional Arabic" w:hAnsi="Traditional Arabic" w:cs="Traditional Arabic"/>
          <w:sz w:val="28"/>
          <w:szCs w:val="28"/>
          <w:rtl/>
          <w:lang w:bidi="ar-EG"/>
        </w:rPr>
        <w:t xml:space="preserve">) يساعد في فهم التبني على مستويين: مستوى المؤسسة ومستوى المستخدم، وأن هذا الدمج ما يزال بحاجة إلى مزيد من الاختبار في سياقات مختلفة، مع إبراز دعم الإدارة العليا والتوافق والتعقيد والضغط التنافسي كعوامل متكررة في تفسير تبني ذكاء </w:t>
      </w:r>
      <w:proofErr w:type="gramStart"/>
      <w:r w:rsidRPr="006E471D">
        <w:rPr>
          <w:rFonts w:ascii="Traditional Arabic" w:hAnsi="Traditional Arabic" w:cs="Traditional Arabic"/>
          <w:sz w:val="28"/>
          <w:szCs w:val="28"/>
          <w:rtl/>
          <w:lang w:bidi="ar-EG"/>
        </w:rPr>
        <w:t>الأعمال</w:t>
      </w:r>
      <w:r w:rsidRPr="006E471D">
        <w:rPr>
          <w:rFonts w:ascii="Traditional Arabic" w:hAnsi="Traditional Arabic" w:cs="Traditional Arabic"/>
          <w:sz w:val="28"/>
          <w:szCs w:val="28"/>
          <w:lang w:bidi="ar-EG"/>
        </w:rPr>
        <w:t>(</w:t>
      </w:r>
      <w:proofErr w:type="gramEnd"/>
      <w:r w:rsidRPr="006E471D">
        <w:rPr>
          <w:rFonts w:ascii="Traditional Arabic" w:hAnsi="Traditional Arabic" w:cs="Traditional Arabic"/>
          <w:sz w:val="28"/>
          <w:szCs w:val="28"/>
          <w:lang w:bidi="ar-EG"/>
        </w:rPr>
        <w:t>Al-</w:t>
      </w:r>
      <w:proofErr w:type="spellStart"/>
      <w:r w:rsidRPr="006E471D">
        <w:rPr>
          <w:rFonts w:ascii="Traditional Arabic" w:hAnsi="Traditional Arabic" w:cs="Traditional Arabic"/>
          <w:sz w:val="28"/>
          <w:szCs w:val="28"/>
          <w:lang w:bidi="ar-EG"/>
        </w:rPr>
        <w:t>Daraba</w:t>
      </w:r>
      <w:proofErr w:type="spellEnd"/>
      <w:r w:rsidRPr="006E471D">
        <w:rPr>
          <w:rFonts w:ascii="Traditional Arabic" w:hAnsi="Traditional Arabic" w:cs="Traditional Arabic"/>
          <w:sz w:val="28"/>
          <w:szCs w:val="28"/>
          <w:lang w:bidi="ar-EG"/>
        </w:rPr>
        <w:t xml:space="preserve"> et al., 2025) </w:t>
      </w:r>
      <w:r w:rsidR="00F23FC1" w:rsidRPr="006E471D">
        <w:rPr>
          <w:rFonts w:ascii="Traditional Arabic" w:hAnsi="Traditional Arabic" w:cs="Traditional Arabic"/>
          <w:sz w:val="28"/>
          <w:szCs w:val="28"/>
          <w:rtl/>
          <w:lang w:bidi="ar-EG"/>
        </w:rPr>
        <w:t>.</w:t>
      </w:r>
    </w:p>
    <w:p w14:paraId="26968029" w14:textId="47B58AF5" w:rsidR="00680361" w:rsidRPr="006E471D" w:rsidRDefault="00680361" w:rsidP="00F23FC1">
      <w:pPr>
        <w:pStyle w:val="Heading3"/>
        <w:jc w:val="both"/>
        <w:rPr>
          <w:rFonts w:ascii="Traditional Arabic" w:hAnsi="Traditional Arabic" w:cs="Traditional Arabic"/>
          <w:b/>
          <w:bCs/>
          <w:color w:val="000000" w:themeColor="text1"/>
          <w:rtl/>
          <w:lang w:bidi="ar-EG"/>
        </w:rPr>
      </w:pPr>
      <w:bookmarkStart w:id="20" w:name="_Toc222423555"/>
      <w:r w:rsidRPr="006E471D">
        <w:rPr>
          <w:rFonts w:ascii="Traditional Arabic" w:hAnsi="Traditional Arabic" w:cs="Traditional Arabic"/>
          <w:b/>
          <w:bCs/>
          <w:color w:val="000000" w:themeColor="text1"/>
          <w:rtl/>
          <w:lang w:bidi="ar-EG"/>
        </w:rPr>
        <w:t>المتغيرات المساندة الشائعة في البيئات المصرفية</w:t>
      </w:r>
      <w:bookmarkEnd w:id="20"/>
    </w:p>
    <w:p w14:paraId="28C7627E" w14:textId="7EEBC13D"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على الرغم من أن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يتميز بالبساطة، إلا أن بيئة البنوك تفرض اعتبارات قد لا تُلتقط بالتركيز على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xml:space="preserve"> و</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وحدهما. هنا تظهر المتغيرات المساندة بوصفها سوابق تفسيرية (</w:t>
      </w:r>
      <w:r w:rsidRPr="006E471D">
        <w:rPr>
          <w:rFonts w:ascii="Traditional Arabic" w:hAnsi="Traditional Arabic" w:cs="Traditional Arabic"/>
          <w:sz w:val="28"/>
          <w:szCs w:val="28"/>
          <w:lang w:bidi="ar-EG"/>
        </w:rPr>
        <w:t>External Variables</w:t>
      </w:r>
      <w:r w:rsidRPr="006E471D">
        <w:rPr>
          <w:rFonts w:ascii="Traditional Arabic" w:hAnsi="Traditional Arabic" w:cs="Traditional Arabic"/>
          <w:sz w:val="28"/>
          <w:szCs w:val="28"/>
          <w:rtl/>
          <w:lang w:bidi="ar-EG"/>
        </w:rPr>
        <w:t xml:space="preserve">) تؤثر في إدراكات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xml:space="preserve"> و</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والنية، دون أن تغيّر جوهر النموذج. ويمكن تلخيص أهمها في السياق المصرفي في خمس مجموعات مترابطة:</w:t>
      </w:r>
    </w:p>
    <w:p w14:paraId="7D8D6528" w14:textId="6DB6545E" w:rsidR="00680361" w:rsidRPr="006E471D"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الثقة والأمن والخصوصية:</w:t>
      </w:r>
      <w:r w:rsidRPr="006E471D">
        <w:rPr>
          <w:rFonts w:ascii="Traditional Arabic" w:hAnsi="Traditional Arabic" w:cs="Traditional Arabic"/>
          <w:sz w:val="28"/>
          <w:szCs w:val="28"/>
          <w:rtl/>
          <w:lang w:bidi="ar-EG"/>
        </w:rPr>
        <w:t xml:space="preserve"> البنوك تتعامل مع بيانات عالية الحساسية، وبالتالي يؤثر إدراك المستخدم لمستوى الأمان والموثوقية في تفاعله مع الأنظمة. وفي السياق السعودي—ولو في تطبيق مصرفي موجّه للعملاء—أظهرت دراسة اعتمدت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أن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xml:space="preserve"> و</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يرتبطان إيجابياً بتبني الخدمات المصرفية الرقمية، مع إدخال الثقة كمتغير إضافي، بما يعكس مركزية هذا البعد في التكنولوجيا المالية والمصرفية </w:t>
      </w:r>
      <w:r w:rsidRPr="006E471D">
        <w:rPr>
          <w:rFonts w:ascii="Traditional Arabic" w:hAnsi="Traditional Arabic" w:cs="Traditional Arabic"/>
          <w:sz w:val="28"/>
          <w:szCs w:val="28"/>
          <w:lang w:bidi="ar-EG"/>
        </w:rPr>
        <w:t>(</w:t>
      </w:r>
      <w:proofErr w:type="spellStart"/>
      <w:r w:rsidRPr="006E471D">
        <w:rPr>
          <w:rFonts w:ascii="Traditional Arabic" w:hAnsi="Traditional Arabic" w:cs="Traditional Arabic"/>
          <w:sz w:val="28"/>
          <w:szCs w:val="28"/>
          <w:lang w:bidi="ar-EG"/>
        </w:rPr>
        <w:t>Alnemer</w:t>
      </w:r>
      <w:proofErr w:type="spellEnd"/>
      <w:r w:rsidRPr="006E471D">
        <w:rPr>
          <w:rFonts w:ascii="Traditional Arabic" w:hAnsi="Traditional Arabic" w:cs="Traditional Arabic"/>
          <w:sz w:val="28"/>
          <w:szCs w:val="28"/>
          <w:lang w:bidi="ar-EG"/>
        </w:rPr>
        <w:t>, 2022)</w:t>
      </w:r>
      <w:r w:rsidR="00F23FC1" w:rsidRPr="006E471D">
        <w:rPr>
          <w:rFonts w:ascii="Traditional Arabic" w:hAnsi="Traditional Arabic" w:cs="Traditional Arabic"/>
          <w:sz w:val="28"/>
          <w:szCs w:val="28"/>
          <w:rtl/>
          <w:lang w:bidi="ar-EG"/>
        </w:rPr>
        <w:t xml:space="preserve">. </w:t>
      </w:r>
      <w:r w:rsidRPr="006E471D">
        <w:rPr>
          <w:rFonts w:ascii="Traditional Arabic" w:hAnsi="Traditional Arabic" w:cs="Traditional Arabic"/>
          <w:sz w:val="28"/>
          <w:szCs w:val="28"/>
          <w:rtl/>
          <w:lang w:bidi="ar-EG"/>
        </w:rPr>
        <w:t xml:space="preserve">وعلى مستوى دراسات عربية في المجال المصرفي، تناولت دراسة منشورة في المجلة المصرية للدراسات التجارية علاقة أمن البيانات والثقة بمواقف العملاء تجاه تبني تطبيقات التقنية المالية في البنوك ضمن إطار يستلهم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وهو ما يعزز منطق إدراج الأمن/الثقة كعوامل مفسرة للقبول في التقنيات </w:t>
      </w:r>
      <w:proofErr w:type="gramStart"/>
      <w:r w:rsidRPr="006E471D">
        <w:rPr>
          <w:rFonts w:ascii="Traditional Arabic" w:hAnsi="Traditional Arabic" w:cs="Traditional Arabic"/>
          <w:sz w:val="28"/>
          <w:szCs w:val="28"/>
          <w:rtl/>
          <w:lang w:bidi="ar-EG"/>
        </w:rPr>
        <w:t>المالية</w:t>
      </w:r>
      <w:r w:rsidRPr="006E471D">
        <w:rPr>
          <w:rFonts w:ascii="Traditional Arabic" w:hAnsi="Traditional Arabic" w:cs="Traditional Arabic"/>
          <w:sz w:val="28"/>
          <w:szCs w:val="28"/>
          <w:lang w:bidi="ar-EG"/>
        </w:rPr>
        <w:t>(</w:t>
      </w:r>
      <w:proofErr w:type="gramEnd"/>
      <w:r w:rsidRPr="006E471D">
        <w:rPr>
          <w:rFonts w:ascii="Traditional Arabic" w:hAnsi="Traditional Arabic" w:cs="Traditional Arabic"/>
          <w:sz w:val="28"/>
          <w:szCs w:val="28"/>
          <w:lang w:bidi="ar-EG"/>
        </w:rPr>
        <w:t xml:space="preserve">El-Hendawy &amp; </w:t>
      </w:r>
      <w:proofErr w:type="spellStart"/>
      <w:r w:rsidRPr="006E471D">
        <w:rPr>
          <w:rFonts w:ascii="Traditional Arabic" w:hAnsi="Traditional Arabic" w:cs="Traditional Arabic"/>
          <w:sz w:val="28"/>
          <w:szCs w:val="28"/>
          <w:lang w:bidi="ar-EG"/>
        </w:rPr>
        <w:t>Metawea</w:t>
      </w:r>
      <w:proofErr w:type="spellEnd"/>
      <w:r w:rsidRPr="006E471D">
        <w:rPr>
          <w:rFonts w:ascii="Traditional Arabic" w:hAnsi="Traditional Arabic" w:cs="Traditional Arabic"/>
          <w:sz w:val="28"/>
          <w:szCs w:val="28"/>
          <w:lang w:bidi="ar-EG"/>
        </w:rPr>
        <w:t xml:space="preserve">, 2025) </w:t>
      </w:r>
      <w:r w:rsidR="00F23FC1" w:rsidRPr="006E471D">
        <w:rPr>
          <w:rFonts w:ascii="Traditional Arabic" w:hAnsi="Traditional Arabic" w:cs="Traditional Arabic"/>
          <w:sz w:val="28"/>
          <w:szCs w:val="28"/>
          <w:rtl/>
          <w:lang w:bidi="ar-EG"/>
        </w:rPr>
        <w:t>.</w:t>
      </w:r>
    </w:p>
    <w:p w14:paraId="15D14B9D" w14:textId="70C19995" w:rsidR="00680361" w:rsidRPr="006E471D"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دعم الإدارة العليا والتدريب:</w:t>
      </w:r>
      <w:r w:rsidRPr="006E471D">
        <w:rPr>
          <w:rFonts w:ascii="Traditional Arabic" w:hAnsi="Traditional Arabic" w:cs="Traditional Arabic"/>
          <w:sz w:val="28"/>
          <w:szCs w:val="28"/>
          <w:rtl/>
          <w:lang w:bidi="ar-EG"/>
        </w:rPr>
        <w:t xml:space="preserve"> يقترن ذكاء الأعمال غالباً بتغيير في الثقافة التشغيلية (من الحدس إلى القرار القائم على البيانات). لذا، فإن إشارات الدعم المؤسسي—مثل توفير التدريب وتخصيص الموارد وإزالة العوائق—تعمل عملياً على رفع </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عبر تقليل صعوبات الاستخدام، كما قد ترفع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xml:space="preserve"> عبر توضيح كيف سيُستخدم النظام في تحسين القرار. وتؤكد نتائج المراجعة المنهجية أن دعم الإدارة العليا من أكثر المحددات تكراراً في تفسير تبني </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w:t>
      </w:r>
      <w:r w:rsidRPr="006E471D">
        <w:rPr>
          <w:rFonts w:ascii="Traditional Arabic" w:hAnsi="Traditional Arabic" w:cs="Traditional Arabic"/>
          <w:sz w:val="28"/>
          <w:szCs w:val="28"/>
          <w:lang w:bidi="ar-EG"/>
        </w:rPr>
        <w:t>(Al-</w:t>
      </w:r>
      <w:proofErr w:type="spellStart"/>
      <w:r w:rsidRPr="006E471D">
        <w:rPr>
          <w:rFonts w:ascii="Traditional Arabic" w:hAnsi="Traditional Arabic" w:cs="Traditional Arabic"/>
          <w:sz w:val="28"/>
          <w:szCs w:val="28"/>
          <w:lang w:bidi="ar-EG"/>
        </w:rPr>
        <w:t>Daraba</w:t>
      </w:r>
      <w:proofErr w:type="spellEnd"/>
      <w:r w:rsidRPr="006E471D">
        <w:rPr>
          <w:rFonts w:ascii="Traditional Arabic" w:hAnsi="Traditional Arabic" w:cs="Traditional Arabic"/>
          <w:sz w:val="28"/>
          <w:szCs w:val="28"/>
          <w:lang w:bidi="ar-EG"/>
        </w:rPr>
        <w:t xml:space="preserve"> et al., 2025)</w:t>
      </w:r>
      <w:r w:rsidR="00F23FC1" w:rsidRPr="006E471D">
        <w:rPr>
          <w:rFonts w:ascii="Traditional Arabic" w:hAnsi="Traditional Arabic" w:cs="Traditional Arabic"/>
          <w:sz w:val="28"/>
          <w:szCs w:val="28"/>
          <w:rtl/>
          <w:lang w:bidi="ar-EG"/>
        </w:rPr>
        <w:t>.</w:t>
      </w:r>
    </w:p>
    <w:p w14:paraId="76611CAD" w14:textId="382BA49E" w:rsidR="00680361" w:rsidRPr="006E471D"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lastRenderedPageBreak/>
        <w:t>التوافق مع العمل (</w:t>
      </w:r>
      <w:r w:rsidRPr="006E471D">
        <w:rPr>
          <w:rFonts w:ascii="Traditional Arabic" w:hAnsi="Traditional Arabic" w:cs="Traditional Arabic"/>
          <w:b/>
          <w:bCs/>
          <w:sz w:val="28"/>
          <w:szCs w:val="28"/>
          <w:lang w:bidi="ar-EG"/>
        </w:rPr>
        <w:t>Compatibility</w:t>
      </w:r>
      <w:r w:rsidRPr="006E471D">
        <w:rPr>
          <w:rFonts w:ascii="Traditional Arabic" w:hAnsi="Traditional Arabic" w:cs="Traditional Arabic"/>
          <w:b/>
          <w:bCs/>
          <w:sz w:val="28"/>
          <w:szCs w:val="28"/>
          <w:rtl/>
          <w:lang w:bidi="ar-EG"/>
        </w:rPr>
        <w:t>) وتعقيد النظام (</w:t>
      </w:r>
      <w:r w:rsidRPr="006E471D">
        <w:rPr>
          <w:rFonts w:ascii="Traditional Arabic" w:hAnsi="Traditional Arabic" w:cs="Traditional Arabic"/>
          <w:b/>
          <w:bCs/>
          <w:sz w:val="28"/>
          <w:szCs w:val="28"/>
          <w:lang w:bidi="ar-EG"/>
        </w:rPr>
        <w:t>Complexity</w:t>
      </w:r>
      <w:r w:rsidRPr="006E471D">
        <w:rPr>
          <w:rFonts w:ascii="Traditional Arabic" w:hAnsi="Traditional Arabic" w:cs="Traditional Arabic"/>
          <w:b/>
          <w:bCs/>
          <w:sz w:val="28"/>
          <w:szCs w:val="28"/>
          <w:rtl/>
          <w:lang w:bidi="ar-EG"/>
        </w:rPr>
        <w:t>):</w:t>
      </w:r>
      <w:r w:rsidRPr="006E471D">
        <w:rPr>
          <w:rFonts w:ascii="Traditional Arabic" w:hAnsi="Traditional Arabic" w:cs="Traditional Arabic"/>
          <w:sz w:val="28"/>
          <w:szCs w:val="28"/>
          <w:rtl/>
          <w:lang w:bidi="ar-EG"/>
        </w:rPr>
        <w:t xml:space="preserve"> قد يكون النظام متقدماً تقنياً لكنه غير منسجم مع طريقة عمل المدير أو احتياجاته القرارية. هنا ينخفض إدراك المنفعة حتى إن كانت المخرجات دقيقة. وبالعكس، كلما شعر المستخدم بأن أدوات ذكاء الأعمال تتوافق مع مهامه (تقارير مخاطر، مؤشرات أداء، تحليل سوق)، ارتفعت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xml:space="preserve"> وارتفعت احتمالية استمرار الاستخدام.</w:t>
      </w:r>
    </w:p>
    <w:p w14:paraId="461287A4" w14:textId="00413234" w:rsidR="00680361" w:rsidRPr="006E471D"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الاستعداد التنظيمي والبيئي (</w:t>
      </w:r>
      <w:r w:rsidRPr="006E471D">
        <w:rPr>
          <w:rFonts w:ascii="Traditional Arabic" w:hAnsi="Traditional Arabic" w:cs="Traditional Arabic"/>
          <w:b/>
          <w:bCs/>
          <w:sz w:val="28"/>
          <w:szCs w:val="28"/>
          <w:lang w:bidi="ar-EG"/>
        </w:rPr>
        <w:t>Organizational/Environmental Readiness</w:t>
      </w:r>
      <w:r w:rsidRPr="006E471D">
        <w:rPr>
          <w:rFonts w:ascii="Traditional Arabic" w:hAnsi="Traditional Arabic" w:cs="Traditional Arabic"/>
          <w:b/>
          <w:bCs/>
          <w:sz w:val="28"/>
          <w:szCs w:val="28"/>
          <w:rtl/>
          <w:lang w:bidi="ar-EG"/>
        </w:rPr>
        <w:t>):</w:t>
      </w:r>
      <w:r w:rsidRPr="006E471D">
        <w:rPr>
          <w:rFonts w:ascii="Traditional Arabic" w:hAnsi="Traditional Arabic" w:cs="Traditional Arabic"/>
          <w:sz w:val="28"/>
          <w:szCs w:val="28"/>
          <w:rtl/>
          <w:lang w:bidi="ar-EG"/>
        </w:rPr>
        <w:t xml:space="preserve"> تُظهر دراسات حديثة في القطاع المصرفي أن تبني ذكاء الأعمال لا تحدده العوامل الفردية وحدها؛ ففي البنوك الأردنية مثلاً، أوضحت دراسة أن عوامل (</w:t>
      </w:r>
      <w:r w:rsidRPr="006E471D">
        <w:rPr>
          <w:rFonts w:ascii="Traditional Arabic" w:hAnsi="Traditional Arabic" w:cs="Traditional Arabic"/>
          <w:sz w:val="28"/>
          <w:szCs w:val="28"/>
          <w:lang w:bidi="ar-EG"/>
        </w:rPr>
        <w:t>TOE</w:t>
      </w:r>
      <w:r w:rsidRPr="006E471D">
        <w:rPr>
          <w:rFonts w:ascii="Traditional Arabic" w:hAnsi="Traditional Arabic" w:cs="Traditional Arabic"/>
          <w:sz w:val="28"/>
          <w:szCs w:val="28"/>
          <w:rtl/>
          <w:lang w:bidi="ar-EG"/>
        </w:rPr>
        <w:t>) ترتبط إيجابياً بتبني ذكاء الأعمال، وأن التبني ينعكس في تحسين أداء اتخاذ القرار (</w:t>
      </w:r>
      <w:r w:rsidRPr="006E471D">
        <w:rPr>
          <w:rFonts w:ascii="Traditional Arabic" w:hAnsi="Traditional Arabic" w:cs="Traditional Arabic"/>
          <w:sz w:val="28"/>
          <w:szCs w:val="28"/>
          <w:lang w:bidi="ar-EG"/>
        </w:rPr>
        <w:t>decision-making performance</w:t>
      </w:r>
      <w:r w:rsidRPr="006E471D">
        <w:rPr>
          <w:rFonts w:ascii="Traditional Arabic" w:hAnsi="Traditional Arabic" w:cs="Traditional Arabic"/>
          <w:sz w:val="28"/>
          <w:szCs w:val="28"/>
          <w:rtl/>
          <w:lang w:bidi="ar-EG"/>
        </w:rPr>
        <w:t xml:space="preserve">)، وهو ما يشير إلى وجود سلسلة تأثير تبدأ من بيئة التبني وتنتهي بنتائج قرار </w:t>
      </w:r>
      <w:r w:rsidR="00F23FC1" w:rsidRPr="006E471D">
        <w:rPr>
          <w:rFonts w:ascii="Traditional Arabic" w:hAnsi="Traditional Arabic" w:cs="Traditional Arabic"/>
          <w:sz w:val="28"/>
          <w:szCs w:val="28"/>
          <w:rtl/>
          <w:lang w:bidi="ar-EG"/>
        </w:rPr>
        <w:br/>
      </w:r>
      <w:r w:rsidRPr="006E471D">
        <w:rPr>
          <w:rFonts w:ascii="Traditional Arabic" w:hAnsi="Traditional Arabic" w:cs="Traditional Arabic"/>
          <w:sz w:val="28"/>
          <w:szCs w:val="28"/>
          <w:rtl/>
          <w:lang w:bidi="ar-EG"/>
        </w:rPr>
        <w:t>أفضل</w:t>
      </w:r>
      <w:r w:rsidR="00F23FC1" w:rsidRPr="006E471D">
        <w:rPr>
          <w:rFonts w:ascii="Traditional Arabic" w:hAnsi="Traditional Arabic" w:cs="Traditional Arabic"/>
          <w:sz w:val="28"/>
          <w:szCs w:val="28"/>
          <w:rtl/>
          <w:lang w:bidi="ar-EG"/>
        </w:rPr>
        <w:t xml:space="preserve"> (</w:t>
      </w:r>
      <w:proofErr w:type="spellStart"/>
      <w:r w:rsidR="00F23FC1" w:rsidRPr="006E471D">
        <w:rPr>
          <w:rFonts w:ascii="Traditional Arabic" w:hAnsi="Traditional Arabic" w:cs="Traditional Arabic"/>
          <w:sz w:val="28"/>
          <w:szCs w:val="28"/>
          <w:lang w:bidi="ar-EG"/>
        </w:rPr>
        <w:t>Qatawneh</w:t>
      </w:r>
      <w:proofErr w:type="spellEnd"/>
      <w:r w:rsidR="00F23FC1" w:rsidRPr="006E471D">
        <w:rPr>
          <w:rFonts w:ascii="Traditional Arabic" w:hAnsi="Traditional Arabic" w:cs="Traditional Arabic"/>
          <w:sz w:val="28"/>
          <w:szCs w:val="28"/>
          <w:lang w:bidi="ar-EG"/>
        </w:rPr>
        <w:t>, 2024</w:t>
      </w:r>
      <w:r w:rsidR="00F23FC1" w:rsidRPr="006E471D">
        <w:rPr>
          <w:rFonts w:ascii="Traditional Arabic" w:hAnsi="Traditional Arabic" w:cs="Traditional Arabic"/>
          <w:sz w:val="28"/>
          <w:szCs w:val="28"/>
          <w:rtl/>
          <w:lang w:bidi="ar-EG"/>
        </w:rPr>
        <w:t>).</w:t>
      </w:r>
    </w:p>
    <w:p w14:paraId="71738E88" w14:textId="68B51B24" w:rsidR="00680361" w:rsidRPr="006E471D"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الخبرة والتدرّج في التبني:</w:t>
      </w:r>
      <w:r w:rsidRPr="006E471D">
        <w:rPr>
          <w:rFonts w:ascii="Traditional Arabic" w:hAnsi="Traditional Arabic" w:cs="Traditional Arabic"/>
          <w:sz w:val="28"/>
          <w:szCs w:val="28"/>
          <w:rtl/>
          <w:lang w:bidi="ar-EG"/>
        </w:rPr>
        <w:t xml:space="preserve"> لا يتشكل القبول دفعة واحدة، بل يتطور مع الخبرة والتعرض المتكرر للنظام. وتبين دراسة حديثة عن استخدام ذكاء الأعمال والتحليلات في البنوك أن العوامل التقنية والتنظيمية والبيئية تؤثر في الاستخدام، وأن خبرة العاملين تعدل بعض هذه العلاقات، بما يلمح إلى أن القبول قد يتغير مع الزمن ومع تراكم </w:t>
      </w:r>
      <w:proofErr w:type="gramStart"/>
      <w:r w:rsidRPr="006E471D">
        <w:rPr>
          <w:rFonts w:ascii="Traditional Arabic" w:hAnsi="Traditional Arabic" w:cs="Traditional Arabic"/>
          <w:sz w:val="28"/>
          <w:szCs w:val="28"/>
          <w:rtl/>
          <w:lang w:bidi="ar-EG"/>
        </w:rPr>
        <w:t>التجربة</w:t>
      </w:r>
      <w:r w:rsidRPr="006E471D">
        <w:rPr>
          <w:rFonts w:ascii="Traditional Arabic" w:hAnsi="Traditional Arabic" w:cs="Traditional Arabic"/>
          <w:sz w:val="28"/>
          <w:szCs w:val="28"/>
          <w:lang w:bidi="ar-EG"/>
        </w:rPr>
        <w:t>(</w:t>
      </w:r>
      <w:proofErr w:type="gramEnd"/>
      <w:r w:rsidRPr="006E471D">
        <w:rPr>
          <w:rFonts w:ascii="Traditional Arabic" w:hAnsi="Traditional Arabic" w:cs="Traditional Arabic"/>
          <w:sz w:val="28"/>
          <w:szCs w:val="28"/>
          <w:lang w:bidi="ar-EG"/>
        </w:rPr>
        <w:t xml:space="preserve">Mohammed et al., 2024) </w:t>
      </w:r>
      <w:r w:rsidR="00F23FC1" w:rsidRPr="006E471D">
        <w:rPr>
          <w:rFonts w:ascii="Traditional Arabic" w:hAnsi="Traditional Arabic" w:cs="Traditional Arabic"/>
          <w:sz w:val="28"/>
          <w:szCs w:val="28"/>
          <w:rtl/>
          <w:lang w:bidi="ar-EG"/>
        </w:rPr>
        <w:t>.</w:t>
      </w:r>
    </w:p>
    <w:p w14:paraId="3E43E3FA" w14:textId="42CD3307" w:rsidR="00680361" w:rsidRPr="006E471D" w:rsidRDefault="00680361" w:rsidP="00F23FC1">
      <w:pPr>
        <w:pStyle w:val="Heading3"/>
        <w:rPr>
          <w:rFonts w:ascii="Traditional Arabic" w:hAnsi="Traditional Arabic" w:cs="Traditional Arabic"/>
          <w:b/>
          <w:bCs/>
          <w:color w:val="000000" w:themeColor="text1"/>
          <w:rtl/>
          <w:lang w:bidi="ar-EG"/>
        </w:rPr>
      </w:pPr>
      <w:bookmarkStart w:id="21" w:name="_Toc222423556"/>
      <w:r w:rsidRPr="006E471D">
        <w:rPr>
          <w:rFonts w:ascii="Traditional Arabic" w:hAnsi="Traditional Arabic" w:cs="Traditional Arabic"/>
          <w:b/>
          <w:bCs/>
          <w:color w:val="000000" w:themeColor="text1"/>
          <w:rtl/>
          <w:lang w:bidi="ar-EG"/>
        </w:rPr>
        <w:t>من النية إلى الاستخدام الفعلي</w:t>
      </w:r>
      <w:r w:rsidR="00F23FC1" w:rsidRPr="006E471D">
        <w:rPr>
          <w:rFonts w:ascii="Traditional Arabic" w:hAnsi="Traditional Arabic" w:cs="Traditional Arabic"/>
          <w:b/>
          <w:bCs/>
          <w:color w:val="000000" w:themeColor="text1"/>
          <w:rtl/>
          <w:lang w:bidi="ar-EG"/>
        </w:rPr>
        <w:t xml:space="preserve"> – </w:t>
      </w:r>
      <w:r w:rsidRPr="006E471D">
        <w:rPr>
          <w:rFonts w:ascii="Traditional Arabic" w:hAnsi="Traditional Arabic" w:cs="Traditional Arabic"/>
          <w:b/>
          <w:bCs/>
          <w:color w:val="000000" w:themeColor="text1"/>
          <w:rtl/>
          <w:lang w:bidi="ar-EG"/>
        </w:rPr>
        <w:t>تحويل القبول إلى ممارسة قرار استراتيجي</w:t>
      </w:r>
      <w:bookmarkEnd w:id="21"/>
    </w:p>
    <w:p w14:paraId="51FAFE08" w14:textId="51C4DA8E"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يظل أحد التحديات التطبيقية في بحوث القبول هو الفجوة بين نية الاستخدام والاستخدام الفعلي، خصوصاً في الأنظمة التحليلية التي تحتاج إلى مهارات ووقت وتغييرات في الروتين الإداري. وتلفت الأدبيات الخاصة ب</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إلى أن ما يهم المنظمة ليس مجرد الدخول للنظام، بل مستوى الاستخدام وجودته: هل يقتصر على الاستخدام الروتيني (قراءة تقارير جاهزة)، أم يتطور إلى استخدام متقدم (تحليل تفاعلي، بناء سيناريوهات، اختبار بدائل)؟</w:t>
      </w:r>
    </w:p>
    <w:p w14:paraId="36075401" w14:textId="362C6B4C"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وفي هذا السياق، تقدم دراسة منشورة في </w:t>
      </w:r>
      <w:r w:rsidRPr="006E471D">
        <w:rPr>
          <w:rFonts w:ascii="Traditional Arabic" w:hAnsi="Traditional Arabic" w:cs="Traditional Arabic"/>
          <w:sz w:val="28"/>
          <w:szCs w:val="28"/>
          <w:lang w:bidi="ar-EG"/>
        </w:rPr>
        <w:t>Information &amp; Management</w:t>
      </w:r>
      <w:r w:rsidRPr="006E471D">
        <w:rPr>
          <w:rFonts w:ascii="Traditional Arabic" w:hAnsi="Traditional Arabic" w:cs="Traditional Arabic"/>
          <w:sz w:val="28"/>
          <w:szCs w:val="28"/>
          <w:rtl/>
          <w:lang w:bidi="ar-EG"/>
        </w:rPr>
        <w:t xml:space="preserve"> تمييزاً مهماً بين الاستخدام الروتيني والاستخدام المتقدم ل</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وتشير إلى أن جودة النظام والبيانات والمعلومات والخدمة تؤثر في أنماط الاستخدام، وأن الاستفادة الأكبر للأداء الفردي ترتبط غالباً بالاستخدام المتقدم أكثر من الروتيني</w:t>
      </w:r>
      <w:r w:rsidRPr="006E471D">
        <w:rPr>
          <w:rFonts w:ascii="Traditional Arabic" w:hAnsi="Traditional Arabic" w:cs="Traditional Arabic"/>
          <w:sz w:val="28"/>
          <w:szCs w:val="28"/>
          <w:lang w:bidi="ar-EG"/>
        </w:rPr>
        <w:t xml:space="preserve">(Mudau et al., 2024) </w:t>
      </w:r>
      <w:r w:rsidR="00B40FBD" w:rsidRPr="006E471D">
        <w:rPr>
          <w:rFonts w:ascii="Traditional Arabic" w:hAnsi="Traditional Arabic" w:cs="Traditional Arabic"/>
          <w:sz w:val="28"/>
          <w:szCs w:val="28"/>
          <w:rtl/>
          <w:lang w:bidi="ar-EG"/>
        </w:rPr>
        <w:t xml:space="preserve"> </w:t>
      </w:r>
      <w:r w:rsidRPr="006E471D">
        <w:rPr>
          <w:rFonts w:ascii="Traditional Arabic" w:hAnsi="Traditional Arabic" w:cs="Traditional Arabic"/>
          <w:sz w:val="28"/>
          <w:szCs w:val="28"/>
          <w:rtl/>
          <w:lang w:bidi="ar-EG"/>
        </w:rPr>
        <w:t>وهذا التفريق ذو دلالة مباشرة للدراسة الحالية؛ لأنه يوضح أن قبول المدير للنظام—حتى لو عُبر عنه بنية إيجابية—لا يكفي وحده ما لم يُترجم إلى اعتماد فعلي على مخرجات ذكاء الأعمال عند تقييم البدائل، وترجيح المخاطر، وتحديد التوقيت الأمثل للقرار.</w:t>
      </w:r>
    </w:p>
    <w:p w14:paraId="5AF7AE91" w14:textId="7C2E90B4"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كما أن قبول التطبيق يتأثر بطريقة تنفيذ المشروع نفسها؛ فدراسة أخرى تشير إلى أن استراتيجية التنفيذ (مثل ذكاء الأعمال ذاتي الخدمة) قد تولّد قبولاً أعلى على المدى الأطول مقارنة بالتطبيقات التقليدية، بما يعني أن القبول قد يكون نتيجة لتفاعل قرارات التصميم والتنفيذ مع إدراكات </w:t>
      </w:r>
      <w:r w:rsidR="00E9063B" w:rsidRPr="006E471D">
        <w:rPr>
          <w:rFonts w:ascii="Traditional Arabic" w:hAnsi="Traditional Arabic" w:cs="Traditional Arabic"/>
          <w:sz w:val="28"/>
          <w:szCs w:val="28"/>
          <w:rtl/>
          <w:lang w:bidi="ar-EG"/>
        </w:rPr>
        <w:br/>
      </w:r>
      <w:proofErr w:type="gramStart"/>
      <w:r w:rsidRPr="006E471D">
        <w:rPr>
          <w:rFonts w:ascii="Traditional Arabic" w:hAnsi="Traditional Arabic" w:cs="Traditional Arabic"/>
          <w:sz w:val="28"/>
          <w:szCs w:val="28"/>
          <w:rtl/>
          <w:lang w:bidi="ar-EG"/>
        </w:rPr>
        <w:t>المستخدمين</w:t>
      </w:r>
      <w:r w:rsidRPr="006E471D">
        <w:rPr>
          <w:rFonts w:ascii="Traditional Arabic" w:hAnsi="Traditional Arabic" w:cs="Traditional Arabic"/>
          <w:sz w:val="28"/>
          <w:szCs w:val="28"/>
          <w:lang w:bidi="ar-EG"/>
        </w:rPr>
        <w:t>(</w:t>
      </w:r>
      <w:proofErr w:type="gramEnd"/>
      <w:r w:rsidRPr="006E471D">
        <w:rPr>
          <w:rFonts w:ascii="Traditional Arabic" w:hAnsi="Traditional Arabic" w:cs="Traditional Arabic"/>
          <w:sz w:val="28"/>
          <w:szCs w:val="28"/>
          <w:lang w:bidi="ar-EG"/>
        </w:rPr>
        <w:t xml:space="preserve">Maghsoudi &amp; </w:t>
      </w:r>
      <w:proofErr w:type="spellStart"/>
      <w:r w:rsidRPr="006E471D">
        <w:rPr>
          <w:rFonts w:ascii="Traditional Arabic" w:hAnsi="Traditional Arabic" w:cs="Traditional Arabic"/>
          <w:sz w:val="28"/>
          <w:szCs w:val="28"/>
          <w:lang w:bidi="ar-EG"/>
        </w:rPr>
        <w:t>Nezafati</w:t>
      </w:r>
      <w:proofErr w:type="spellEnd"/>
      <w:r w:rsidRPr="006E471D">
        <w:rPr>
          <w:rFonts w:ascii="Traditional Arabic" w:hAnsi="Traditional Arabic" w:cs="Traditional Arabic"/>
          <w:sz w:val="28"/>
          <w:szCs w:val="28"/>
          <w:lang w:bidi="ar-EG"/>
        </w:rPr>
        <w:t xml:space="preserve">, 2023) </w:t>
      </w:r>
      <w:r w:rsidR="00E9063B" w:rsidRPr="006E471D">
        <w:rPr>
          <w:rFonts w:ascii="Traditional Arabic" w:hAnsi="Traditional Arabic" w:cs="Traditional Arabic"/>
          <w:sz w:val="28"/>
          <w:szCs w:val="28"/>
          <w:rtl/>
          <w:lang w:bidi="ar-EG"/>
        </w:rPr>
        <w:t>.</w:t>
      </w:r>
    </w:p>
    <w:p w14:paraId="3211C193" w14:textId="5B06E95F"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وعليه، فإن تكييف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في هذه الدراسة لا يستهدف وصف وجود ذكاء الأعمال داخل المصرف، بل قياس قبول المديرين للنظام عبر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xml:space="preserve"> و</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والنية)، بوصفه المدخل الذي يفسر كيف يصبح ذكاء الأعمال جزءاً من عملية اتخاذ القرار الاستراتيجي، وهو ما يمهد منطقياً لاختبار أثر هذا القبول على جودة القرارات ومن ثم الابتكار التنظيمي في الفصول اللاحقة.</w:t>
      </w:r>
    </w:p>
    <w:p w14:paraId="06E29767" w14:textId="42D8806C" w:rsidR="00680361" w:rsidRPr="006E471D" w:rsidRDefault="00680361" w:rsidP="00E9063B">
      <w:pPr>
        <w:pStyle w:val="Heading2"/>
        <w:jc w:val="both"/>
        <w:rPr>
          <w:rFonts w:ascii="Traditional Arabic" w:hAnsi="Traditional Arabic" w:cs="Traditional Arabic"/>
          <w:b/>
          <w:bCs/>
          <w:color w:val="000000" w:themeColor="text1"/>
          <w:rtl/>
          <w:lang w:bidi="ar-EG"/>
        </w:rPr>
      </w:pPr>
      <w:bookmarkStart w:id="22" w:name="_Toc222423557"/>
      <w:r w:rsidRPr="006E471D">
        <w:rPr>
          <w:rFonts w:ascii="Traditional Arabic" w:hAnsi="Traditional Arabic" w:cs="Traditional Arabic"/>
          <w:b/>
          <w:bCs/>
          <w:color w:val="000000" w:themeColor="text1"/>
          <w:rtl/>
          <w:lang w:bidi="ar-EG"/>
        </w:rPr>
        <w:lastRenderedPageBreak/>
        <w:t>جودة القرارات الاستراتيجية: المفهوم، الأبعاد، وكيف تتحسن بالبيانات</w:t>
      </w:r>
      <w:bookmarkEnd w:id="22"/>
    </w:p>
    <w:p w14:paraId="3DD6F401" w14:textId="0893374B" w:rsidR="00680361" w:rsidRPr="006E471D" w:rsidRDefault="00680361" w:rsidP="005A2549">
      <w:pPr>
        <w:pStyle w:val="Heading3"/>
        <w:jc w:val="both"/>
        <w:rPr>
          <w:rFonts w:ascii="Traditional Arabic" w:hAnsi="Traditional Arabic" w:cs="Traditional Arabic"/>
          <w:b/>
          <w:bCs/>
          <w:color w:val="000000" w:themeColor="text1"/>
          <w:rtl/>
          <w:lang w:bidi="ar-EG"/>
        </w:rPr>
      </w:pPr>
      <w:bookmarkStart w:id="23" w:name="_Toc222423558"/>
      <w:r w:rsidRPr="006E471D">
        <w:rPr>
          <w:rFonts w:ascii="Traditional Arabic" w:hAnsi="Traditional Arabic" w:cs="Traditional Arabic"/>
          <w:b/>
          <w:bCs/>
          <w:color w:val="000000" w:themeColor="text1"/>
          <w:rtl/>
          <w:lang w:bidi="ar-EG"/>
        </w:rPr>
        <w:t>طبيعة القرار الاستراتيجي وخصائصه في المنظمات المصرفية</w:t>
      </w:r>
      <w:bookmarkEnd w:id="23"/>
    </w:p>
    <w:p w14:paraId="27A05D1C" w14:textId="51D6C5B7"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يُنظر إلى القرار الاستراتيجي بوصفه قراراً عالي الأثر يُحدِّد اتجاه المنظمة على المدى المتوسط والطويل، ويتصل بتخصيص الموارد وبناء القدرات وتحديد الأولويات، بما يجعل نتائجه ممتدة زمنياً وغير سهلة التصحيح إذا اتضح قصورها بعد التنفيذ. وتزداد حساسية هذا النوع من القرارات في البنوك تحديداً لأن البيئة المصرفية تتسم بتشابك المخاطر (الائتمان، السوق، التشغيل، والامتثال) وبسرعة تغير المتطلبات التنظيمية وتوقعات العملاء، فضلاً عن الاعتماد المتنامي على القنوات الرقمية والبيانات. لذلك، ترتبط القرارات الاستراتيجية عادةً بدرجة من التعقيد (تعدد المتغيرات وتداخلها)، وعدم اليقين (صعوبة التنبؤ الكامل بالنتائج)، والأثر طويل المدى (ارتباط القرار بمسار مؤسسي ممتد)، وهي خصائص تجعل الجودة معياراً مركزياً، لا مجرد اتخاذ قرار في حد ذاته (</w:t>
      </w:r>
      <w:r w:rsidRPr="006E471D">
        <w:rPr>
          <w:rFonts w:ascii="Traditional Arabic" w:hAnsi="Traditional Arabic" w:cs="Traditional Arabic"/>
          <w:sz w:val="28"/>
          <w:szCs w:val="28"/>
          <w:lang w:bidi="ar-EG"/>
        </w:rPr>
        <w:t>Al-Hashimi et al., 2022</w:t>
      </w:r>
      <w:r w:rsidRPr="006E471D">
        <w:rPr>
          <w:rFonts w:ascii="Traditional Arabic" w:hAnsi="Traditional Arabic" w:cs="Traditional Arabic"/>
          <w:sz w:val="28"/>
          <w:szCs w:val="28"/>
          <w:rtl/>
          <w:lang w:bidi="ar-EG"/>
        </w:rPr>
        <w:t>).</w:t>
      </w:r>
    </w:p>
    <w:p w14:paraId="59348CD1" w14:textId="013C775D" w:rsidR="00680361" w:rsidRPr="006E471D" w:rsidRDefault="00680361" w:rsidP="005A2549">
      <w:pPr>
        <w:pStyle w:val="Heading3"/>
        <w:jc w:val="both"/>
        <w:rPr>
          <w:rFonts w:ascii="Traditional Arabic" w:hAnsi="Traditional Arabic" w:cs="Traditional Arabic"/>
          <w:b/>
          <w:bCs/>
          <w:color w:val="000000" w:themeColor="text1"/>
          <w:rtl/>
          <w:lang w:bidi="ar-EG"/>
        </w:rPr>
      </w:pPr>
      <w:bookmarkStart w:id="24" w:name="_Toc222423559"/>
      <w:r w:rsidRPr="006E471D">
        <w:rPr>
          <w:rFonts w:ascii="Traditional Arabic" w:hAnsi="Traditional Arabic" w:cs="Traditional Arabic"/>
          <w:b/>
          <w:bCs/>
          <w:color w:val="000000" w:themeColor="text1"/>
          <w:rtl/>
          <w:lang w:bidi="ar-EG"/>
        </w:rPr>
        <w:t>جودة عملية اتخاذ القرار وجودة القرار ذاته</w:t>
      </w:r>
      <w:bookmarkEnd w:id="24"/>
    </w:p>
    <w:p w14:paraId="36F859B6" w14:textId="26613D8C" w:rsidR="00680361" w:rsidRPr="006E471D" w:rsidRDefault="00680361" w:rsidP="008A62BD">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تتطلب الكتابات الحديثة في الإدارة الاستراتيجية ضبطاً مفاهيمياً يميّز بين مستويين مترابطين من الجودة:</w:t>
      </w:r>
    </w:p>
    <w:p w14:paraId="70966F09" w14:textId="0E9FF19B"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جودة عملية اتخاذ القرار (</w:t>
      </w:r>
      <w:r w:rsidRPr="006E471D">
        <w:rPr>
          <w:rFonts w:ascii="Traditional Arabic" w:hAnsi="Traditional Arabic" w:cs="Traditional Arabic"/>
          <w:sz w:val="28"/>
          <w:szCs w:val="28"/>
          <w:lang w:bidi="ar-EG"/>
        </w:rPr>
        <w:t>Decision-Making Process Quality</w:t>
      </w:r>
      <w:r w:rsidRPr="006E471D">
        <w:rPr>
          <w:rFonts w:ascii="Traditional Arabic" w:hAnsi="Traditional Arabic" w:cs="Traditional Arabic"/>
          <w:sz w:val="28"/>
          <w:szCs w:val="28"/>
          <w:rtl/>
          <w:lang w:bidi="ar-EG"/>
        </w:rPr>
        <w:t>): وتشير إلى خصائص الإجراء الذي يُنتج القرار؛ مثل مقدار التحليل المنظم للمعلومات، ودرجة المشاركة، ومتانة التبرير، ووضوح قواعد المفاضلة، وإدارة المصالح والسياسة التنظيمية بصورة بناءة. وتُعد العقلانية الإجرائية (</w:t>
      </w:r>
      <w:r w:rsidRPr="006E471D">
        <w:rPr>
          <w:rFonts w:ascii="Traditional Arabic" w:hAnsi="Traditional Arabic" w:cs="Traditional Arabic"/>
          <w:sz w:val="28"/>
          <w:szCs w:val="28"/>
          <w:lang w:bidi="ar-EG"/>
        </w:rPr>
        <w:t>Procedural Rationality</w:t>
      </w:r>
      <w:r w:rsidRPr="006E471D">
        <w:rPr>
          <w:rFonts w:ascii="Traditional Arabic" w:hAnsi="Traditional Arabic" w:cs="Traditional Arabic"/>
          <w:sz w:val="28"/>
          <w:szCs w:val="28"/>
          <w:rtl/>
          <w:lang w:bidi="ar-EG"/>
        </w:rPr>
        <w:t>) مثالاً تفسيرياً مهماً؛ إذ تُفهم بوصفها مدى اعتماد القادة على جمع معلومات ملائمة، وتحليلها بصورة متأنية، قبل اعتماد القرار وتوجيهه للتنفيذ (</w:t>
      </w:r>
      <w:r w:rsidRPr="006E471D">
        <w:rPr>
          <w:rFonts w:ascii="Traditional Arabic" w:hAnsi="Traditional Arabic" w:cs="Traditional Arabic"/>
          <w:sz w:val="28"/>
          <w:szCs w:val="28"/>
          <w:lang w:bidi="ar-EG"/>
        </w:rPr>
        <w:t>Al-Hashimi et al., 2022</w:t>
      </w:r>
      <w:r w:rsidRPr="006E471D">
        <w:rPr>
          <w:rFonts w:ascii="Traditional Arabic" w:hAnsi="Traditional Arabic" w:cs="Traditional Arabic"/>
          <w:sz w:val="28"/>
          <w:szCs w:val="28"/>
          <w:rtl/>
          <w:lang w:bidi="ar-EG"/>
        </w:rPr>
        <w:t>).</w:t>
      </w:r>
    </w:p>
    <w:p w14:paraId="545F94F3" w14:textId="4F1F0CEF"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جودة القرار ذاته (</w:t>
      </w:r>
      <w:r w:rsidRPr="006E471D">
        <w:rPr>
          <w:rFonts w:ascii="Traditional Arabic" w:hAnsi="Traditional Arabic" w:cs="Traditional Arabic"/>
          <w:sz w:val="28"/>
          <w:szCs w:val="28"/>
          <w:lang w:bidi="ar-EG"/>
        </w:rPr>
        <w:t>Decision Outcome Quality</w:t>
      </w:r>
      <w:r w:rsidRPr="006E471D">
        <w:rPr>
          <w:rFonts w:ascii="Traditional Arabic" w:hAnsi="Traditional Arabic" w:cs="Traditional Arabic"/>
          <w:sz w:val="28"/>
          <w:szCs w:val="28"/>
          <w:rtl/>
          <w:lang w:bidi="ar-EG"/>
        </w:rPr>
        <w:t>)</w:t>
      </w:r>
      <w:r w:rsidR="005A2549"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 xml:space="preserve"> وهي تقييم مخرجات القرار من حيث ملاءمته للأهداف، واتساقه مع القيود، وقابليته للتنفيذ، وفاعليته المتوقعة مقارنةً بالبدائل المتاحة.</w:t>
      </w:r>
    </w:p>
    <w:p w14:paraId="07FC5176" w14:textId="2D4BB2A8"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ورغم هذا التمييز، فإن الأدبيات تميل إلى التأكيد على أن جودة القرار لا تنفصل عملياً عن جودة العملية التي أنتجته؛ لأن ضعف العملية (كتحيزات الإدراك أو قصور المعلومات أو سوء تقدير الزمن) ينعكس غالباً على مخرجات أقل ملاءمة. وفي السياق المصرفي، تؤكد دراسات سلوكية أن </w:t>
      </w:r>
      <w:proofErr w:type="spellStart"/>
      <w:r w:rsidRPr="006E471D">
        <w:rPr>
          <w:rFonts w:ascii="Traditional Arabic" w:hAnsi="Traditional Arabic" w:cs="Traditional Arabic"/>
          <w:sz w:val="28"/>
          <w:szCs w:val="28"/>
          <w:rtl/>
          <w:lang w:bidi="ar-EG"/>
        </w:rPr>
        <w:t>الانحيازات</w:t>
      </w:r>
      <w:proofErr w:type="spellEnd"/>
      <w:r w:rsidRPr="006E471D">
        <w:rPr>
          <w:rFonts w:ascii="Traditional Arabic" w:hAnsi="Traditional Arabic" w:cs="Traditional Arabic"/>
          <w:sz w:val="28"/>
          <w:szCs w:val="28"/>
          <w:rtl/>
          <w:lang w:bidi="ar-EG"/>
        </w:rPr>
        <w:t xml:space="preserve"> المعرفية لدى المديرين قد تُضعف جودة القرار الاستراتيجي، حتى في مؤسسات تمتلك موارد وقدرات قوية، ما يعني أن المعلومة وحدها لا تكفي دون آليات تقويم تُحسن الحكم الإداري وتحد من الانحرافات (</w:t>
      </w:r>
      <w:r w:rsidRPr="006E471D">
        <w:rPr>
          <w:rFonts w:ascii="Traditional Arabic" w:hAnsi="Traditional Arabic" w:cs="Traditional Arabic"/>
          <w:sz w:val="28"/>
          <w:szCs w:val="28"/>
          <w:lang w:bidi="ar-EG"/>
        </w:rPr>
        <w:t>Jarrar, 2021</w:t>
      </w:r>
      <w:r w:rsidRPr="006E471D">
        <w:rPr>
          <w:rFonts w:ascii="Traditional Arabic" w:hAnsi="Traditional Arabic" w:cs="Traditional Arabic"/>
          <w:sz w:val="28"/>
          <w:szCs w:val="28"/>
          <w:rtl/>
          <w:lang w:bidi="ar-EG"/>
        </w:rPr>
        <w:t>).</w:t>
      </w:r>
    </w:p>
    <w:p w14:paraId="7410EF35" w14:textId="77777777"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وبناءً عليه، تتبنى الدراسة الحالية مفهوم جودة القرارات الاستراتيجية بوصفه تقويماً لمخرجات القرار، مع الانطلاق من أن هذه الجودة تتجسد عبر أبعاد تشغيلية قابلة للقياس—تلتقط في الوقت نفسه عناصر جوهرية من جودة العملية (مثل تحليل البدائل والموضوعية) لأنها مؤشرات مباشرة على سلامة الحكم الذي سبق القرار.</w:t>
      </w:r>
    </w:p>
    <w:p w14:paraId="7D3C30E8" w14:textId="710224DF" w:rsidR="00680361" w:rsidRPr="006E471D" w:rsidRDefault="00680361" w:rsidP="00154AF2">
      <w:pPr>
        <w:pStyle w:val="Heading3"/>
        <w:jc w:val="both"/>
        <w:rPr>
          <w:rFonts w:ascii="Traditional Arabic" w:hAnsi="Traditional Arabic" w:cs="Traditional Arabic"/>
          <w:b/>
          <w:bCs/>
          <w:color w:val="000000" w:themeColor="text1"/>
          <w:rtl/>
          <w:lang w:bidi="ar-EG"/>
        </w:rPr>
      </w:pPr>
      <w:bookmarkStart w:id="25" w:name="_Toc222423560"/>
      <w:r w:rsidRPr="006E471D">
        <w:rPr>
          <w:rFonts w:ascii="Traditional Arabic" w:hAnsi="Traditional Arabic" w:cs="Traditional Arabic"/>
          <w:b/>
          <w:bCs/>
          <w:color w:val="000000" w:themeColor="text1"/>
          <w:rtl/>
          <w:lang w:bidi="ar-EG"/>
        </w:rPr>
        <w:t>الأبعاد التشغيلية لجودة القرارات الاستراتيجية في الدراسة الحالية</w:t>
      </w:r>
      <w:bookmarkEnd w:id="25"/>
    </w:p>
    <w:p w14:paraId="2606ED96" w14:textId="77777777"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تعتمد الدراسة أربعة أبعاد مترابطة تُستخدم على نطاق واسع في قياس جودة القرار داخل المنظمات المعتمدة على البيانات، وهي: جودة المعلومات، تحليل البدائل، ملاءمة التوقيت، والموضوعية/التقييم.</w:t>
      </w:r>
    </w:p>
    <w:p w14:paraId="7E8E618B" w14:textId="7E781D81" w:rsidR="00680361" w:rsidRPr="006E471D" w:rsidRDefault="00680361"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lastRenderedPageBreak/>
        <w:t>جودة المعلومات (</w:t>
      </w:r>
      <w:r w:rsidRPr="006E471D">
        <w:rPr>
          <w:rFonts w:ascii="Traditional Arabic" w:hAnsi="Traditional Arabic" w:cs="Traditional Arabic"/>
          <w:b/>
          <w:bCs/>
          <w:color w:val="000000" w:themeColor="text1"/>
          <w:sz w:val="28"/>
          <w:szCs w:val="28"/>
          <w:lang w:bidi="ar-EG"/>
        </w:rPr>
        <w:t>Information Quality</w:t>
      </w:r>
      <w:r w:rsidRPr="006E471D">
        <w:rPr>
          <w:rFonts w:ascii="Traditional Arabic" w:hAnsi="Traditional Arabic" w:cs="Traditional Arabic"/>
          <w:b/>
          <w:bCs/>
          <w:color w:val="000000" w:themeColor="text1"/>
          <w:sz w:val="28"/>
          <w:szCs w:val="28"/>
          <w:rtl/>
          <w:lang w:bidi="ar-EG"/>
        </w:rPr>
        <w:t>)</w:t>
      </w:r>
    </w:p>
    <w:p w14:paraId="53E9AD73" w14:textId="2FD3A57D"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تشير جودة المعلومات إلى مدى دقة المعلومات وموثوقيتها وشمولها وحداثتها وملاءمتها لموضوع القرار. وتؤكد الأدبيات أن القرار الجيد غالباً ما يبدأ من مدخلات جيدة؛ فحين تكون البيانات ناقصة أو متقادمة أو غير متسقة، تصبح المفاضلة بين الخيارات مضللة، وتزداد احتمالية اتخاذ قرارات مكلفة. وتذهب بعض الأعمال إلى ربط جودة القرار مباشرةً بجودة البيانات/المعلومات بوصفها درجة قابلية الاستخدام في المهمة الإدارية (</w:t>
      </w:r>
      <w:r w:rsidRPr="006E471D">
        <w:rPr>
          <w:rFonts w:ascii="Traditional Arabic" w:hAnsi="Traditional Arabic" w:cs="Traditional Arabic"/>
          <w:sz w:val="28"/>
          <w:szCs w:val="28"/>
          <w:lang w:bidi="ar-EG"/>
        </w:rPr>
        <w:t>Wang et al., 2023</w:t>
      </w:r>
      <w:r w:rsidRPr="006E471D">
        <w:rPr>
          <w:rFonts w:ascii="Traditional Arabic" w:hAnsi="Traditional Arabic" w:cs="Traditional Arabic"/>
          <w:sz w:val="28"/>
          <w:szCs w:val="28"/>
          <w:rtl/>
          <w:lang w:bidi="ar-EG"/>
        </w:rPr>
        <w:t>). كما تُظهر البحوث التجريبية حول لوحات المتابعة (</w:t>
      </w:r>
      <w:r w:rsidRPr="006E471D">
        <w:rPr>
          <w:rFonts w:ascii="Traditional Arabic" w:hAnsi="Traditional Arabic" w:cs="Traditional Arabic"/>
          <w:sz w:val="28"/>
          <w:szCs w:val="28"/>
          <w:lang w:bidi="ar-EG"/>
        </w:rPr>
        <w:t>Dashboards</w:t>
      </w:r>
      <w:r w:rsidRPr="006E471D">
        <w:rPr>
          <w:rFonts w:ascii="Traditional Arabic" w:hAnsi="Traditional Arabic" w:cs="Traditional Arabic"/>
          <w:sz w:val="28"/>
          <w:szCs w:val="28"/>
          <w:rtl/>
          <w:lang w:bidi="ar-EG"/>
        </w:rPr>
        <w:t>) أن خصائص مثل اكتمال المعلومات وحداثتها وصياغتها تؤثر في جودة اتخاذ القرار، بصورة غير مباشرة، عبر تقليل تعقيد المهمة المدرك وتعزيز رضا المستخدم عن المعلومات (</w:t>
      </w:r>
      <w:r w:rsidRPr="006E471D">
        <w:rPr>
          <w:rFonts w:ascii="Traditional Arabic" w:hAnsi="Traditional Arabic" w:cs="Traditional Arabic"/>
          <w:sz w:val="28"/>
          <w:szCs w:val="28"/>
          <w:lang w:bidi="ar-EG"/>
        </w:rPr>
        <w:t>Hjelle et al., 2024</w:t>
      </w:r>
      <w:r w:rsidRPr="006E471D">
        <w:rPr>
          <w:rFonts w:ascii="Traditional Arabic" w:hAnsi="Traditional Arabic" w:cs="Traditional Arabic"/>
          <w:sz w:val="28"/>
          <w:szCs w:val="28"/>
          <w:rtl/>
          <w:lang w:bidi="ar-EG"/>
        </w:rPr>
        <w:t>). وفي الأدبيات العربية، تُعرض جودة المعلومات عادةً بأبعاد قريبة من (الدقة، الحداثة، الشمولية، والموثوقية)، مع تقرير أثر إيجابي لهذه الأبعاد على فعالية القرارات داخل المنظمات (السائح، 2025).</w:t>
      </w:r>
    </w:p>
    <w:p w14:paraId="674ACA98" w14:textId="659EF876" w:rsidR="00680361" w:rsidRPr="006E471D" w:rsidRDefault="00680361"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 xml:space="preserve">تحليل البدائل وتقييم </w:t>
      </w:r>
      <w:proofErr w:type="spellStart"/>
      <w:r w:rsidRPr="006E471D">
        <w:rPr>
          <w:rFonts w:ascii="Traditional Arabic" w:hAnsi="Traditional Arabic" w:cs="Traditional Arabic"/>
          <w:b/>
          <w:bCs/>
          <w:color w:val="000000" w:themeColor="text1"/>
          <w:sz w:val="28"/>
          <w:szCs w:val="28"/>
          <w:rtl/>
          <w:lang w:bidi="ar-EG"/>
        </w:rPr>
        <w:t>المفاضلات</w:t>
      </w:r>
      <w:proofErr w:type="spellEnd"/>
      <w:r w:rsidRPr="006E471D">
        <w:rPr>
          <w:rFonts w:ascii="Traditional Arabic" w:hAnsi="Traditional Arabic" w:cs="Traditional Arabic"/>
          <w:b/>
          <w:bCs/>
          <w:color w:val="000000" w:themeColor="text1"/>
          <w:sz w:val="28"/>
          <w:szCs w:val="28"/>
          <w:rtl/>
          <w:lang w:bidi="ar-EG"/>
        </w:rPr>
        <w:t xml:space="preserve"> (</w:t>
      </w:r>
      <w:r w:rsidRPr="006E471D">
        <w:rPr>
          <w:rFonts w:ascii="Traditional Arabic" w:hAnsi="Traditional Arabic" w:cs="Traditional Arabic"/>
          <w:b/>
          <w:bCs/>
          <w:color w:val="000000" w:themeColor="text1"/>
          <w:sz w:val="28"/>
          <w:szCs w:val="28"/>
          <w:lang w:bidi="ar-EG"/>
        </w:rPr>
        <w:t>Alternative Analysis</w:t>
      </w:r>
      <w:r w:rsidRPr="006E471D">
        <w:rPr>
          <w:rFonts w:ascii="Traditional Arabic" w:hAnsi="Traditional Arabic" w:cs="Traditional Arabic"/>
          <w:b/>
          <w:bCs/>
          <w:color w:val="000000" w:themeColor="text1"/>
          <w:sz w:val="28"/>
          <w:szCs w:val="28"/>
          <w:rtl/>
          <w:lang w:bidi="ar-EG"/>
        </w:rPr>
        <w:t>)</w:t>
      </w:r>
    </w:p>
    <w:p w14:paraId="4967B51C" w14:textId="32133965"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لا تُقاس جودة القرار بوجود اختيار فحسب، بل بمدى اتساع البدائل المطروحة وعمق تحليلها، وبقدرة الإدارة على تقييم </w:t>
      </w:r>
      <w:proofErr w:type="spellStart"/>
      <w:r w:rsidRPr="006E471D">
        <w:rPr>
          <w:rFonts w:ascii="Traditional Arabic" w:hAnsi="Traditional Arabic" w:cs="Traditional Arabic"/>
          <w:sz w:val="28"/>
          <w:szCs w:val="28"/>
          <w:rtl/>
          <w:lang w:bidi="ar-EG"/>
        </w:rPr>
        <w:t>المفاضلات</w:t>
      </w:r>
      <w:proofErr w:type="spellEnd"/>
      <w:r w:rsidRPr="006E471D">
        <w:rPr>
          <w:rFonts w:ascii="Traditional Arabic" w:hAnsi="Traditional Arabic" w:cs="Traditional Arabic"/>
          <w:sz w:val="28"/>
          <w:szCs w:val="28"/>
          <w:rtl/>
          <w:lang w:bidi="ar-EG"/>
        </w:rPr>
        <w:t xml:space="preserve"> بين العائد والمخاطر والتكلفة والمواءمة مع الاستراتيجية. وهنا تظهر قيمة العملية التحليلية: إذ لا يُفترض أن تقود وفرة البيانات إلى قرار أفضل تلقائياً، ما لم تُترجم إلى مقارنة منظمة بين الخيارات واختبار سيناريوهات متعددة. وفي هذا الصدد، تبرز العقلانية الإجرائية كمدخل يوضح أن تحسين جودة القرار يرتبط بوجود </w:t>
      </w:r>
      <w:r w:rsidRPr="006E471D">
        <w:rPr>
          <w:rFonts w:ascii="Traditional Arabic" w:hAnsi="Traditional Arabic" w:cs="Traditional Arabic"/>
          <w:sz w:val="28"/>
          <w:szCs w:val="28"/>
          <w:lang w:bidi="ar-EG"/>
        </w:rPr>
        <w:t>deliberation</w:t>
      </w:r>
      <w:r w:rsidRPr="006E471D">
        <w:rPr>
          <w:rFonts w:ascii="Traditional Arabic" w:hAnsi="Traditional Arabic" w:cs="Traditional Arabic"/>
          <w:sz w:val="28"/>
          <w:szCs w:val="28"/>
          <w:rtl/>
          <w:lang w:bidi="ar-EG"/>
        </w:rPr>
        <w:t xml:space="preserve"> مناسب يجمع المعلومات ذات الصلة ويحللها قبل الحسم (</w:t>
      </w:r>
      <w:r w:rsidRPr="006E471D">
        <w:rPr>
          <w:rFonts w:ascii="Traditional Arabic" w:hAnsi="Traditional Arabic" w:cs="Traditional Arabic"/>
          <w:sz w:val="28"/>
          <w:szCs w:val="28"/>
          <w:lang w:bidi="ar-EG"/>
        </w:rPr>
        <w:t>Al-Hashimi et al., 2022</w:t>
      </w:r>
      <w:r w:rsidRPr="006E471D">
        <w:rPr>
          <w:rFonts w:ascii="Traditional Arabic" w:hAnsi="Traditional Arabic" w:cs="Traditional Arabic"/>
          <w:sz w:val="28"/>
          <w:szCs w:val="28"/>
          <w:rtl/>
          <w:lang w:bidi="ar-EG"/>
        </w:rPr>
        <w:t xml:space="preserve">). وتقدم الدراسات التطبيقية حول </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دلالة إضافية مفادها أن إدارة ذكاء الأعمال وجودة البيانات والتصور البصري (</w:t>
      </w:r>
      <w:r w:rsidRPr="006E471D">
        <w:rPr>
          <w:rFonts w:ascii="Traditional Arabic" w:hAnsi="Traditional Arabic" w:cs="Traditional Arabic"/>
          <w:sz w:val="28"/>
          <w:szCs w:val="28"/>
          <w:lang w:bidi="ar-EG"/>
        </w:rPr>
        <w:t>Data Visualization</w:t>
      </w:r>
      <w:r w:rsidRPr="006E471D">
        <w:rPr>
          <w:rFonts w:ascii="Traditional Arabic" w:hAnsi="Traditional Arabic" w:cs="Traditional Arabic"/>
          <w:sz w:val="28"/>
          <w:szCs w:val="28"/>
          <w:rtl/>
          <w:lang w:bidi="ar-EG"/>
        </w:rPr>
        <w:t>) ترتبط إيجابياً بجودة القرار الاستراتيجي لدى الإدارة العليا، بما يشير إلى أن التحليل يصبح أكثر نفعاً عندما تتوافر أدوات تُظهر البدائل بوضوح وتدعم المفاضلة (</w:t>
      </w:r>
      <w:r w:rsidRPr="006E471D">
        <w:rPr>
          <w:rFonts w:ascii="Traditional Arabic" w:hAnsi="Traditional Arabic" w:cs="Traditional Arabic"/>
          <w:sz w:val="28"/>
          <w:szCs w:val="28"/>
          <w:lang w:bidi="ar-EG"/>
        </w:rPr>
        <w:t>Abu-</w:t>
      </w:r>
      <w:proofErr w:type="spellStart"/>
      <w:r w:rsidRPr="006E471D">
        <w:rPr>
          <w:rFonts w:ascii="Traditional Arabic" w:hAnsi="Traditional Arabic" w:cs="Traditional Arabic"/>
          <w:sz w:val="28"/>
          <w:szCs w:val="28"/>
          <w:lang w:bidi="ar-EG"/>
        </w:rPr>
        <w:t>AlSondos</w:t>
      </w:r>
      <w:proofErr w:type="spellEnd"/>
      <w:r w:rsidRPr="006E471D">
        <w:rPr>
          <w:rFonts w:ascii="Traditional Arabic" w:hAnsi="Traditional Arabic" w:cs="Traditional Arabic"/>
          <w:sz w:val="28"/>
          <w:szCs w:val="28"/>
          <w:lang w:bidi="ar-EG"/>
        </w:rPr>
        <w:t>, 2023</w:t>
      </w:r>
      <w:r w:rsidRPr="006E471D">
        <w:rPr>
          <w:rFonts w:ascii="Traditional Arabic" w:hAnsi="Traditional Arabic" w:cs="Traditional Arabic"/>
          <w:sz w:val="28"/>
          <w:szCs w:val="28"/>
          <w:rtl/>
          <w:lang w:bidi="ar-EG"/>
        </w:rPr>
        <w:t>).</w:t>
      </w:r>
    </w:p>
    <w:p w14:paraId="373710B3" w14:textId="1036C1E3" w:rsidR="00680361" w:rsidRPr="006E471D" w:rsidRDefault="00680361"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ملاءمة التوقيت والحساسية الزمنية للقرار (</w:t>
      </w:r>
      <w:r w:rsidRPr="006E471D">
        <w:rPr>
          <w:rFonts w:ascii="Traditional Arabic" w:hAnsi="Traditional Arabic" w:cs="Traditional Arabic"/>
          <w:b/>
          <w:bCs/>
          <w:color w:val="000000" w:themeColor="text1"/>
          <w:sz w:val="28"/>
          <w:szCs w:val="28"/>
          <w:lang w:bidi="ar-EG"/>
        </w:rPr>
        <w:t>Timeliness</w:t>
      </w:r>
      <w:r w:rsidRPr="006E471D">
        <w:rPr>
          <w:rFonts w:ascii="Traditional Arabic" w:hAnsi="Traditional Arabic" w:cs="Traditional Arabic"/>
          <w:b/>
          <w:bCs/>
          <w:color w:val="000000" w:themeColor="text1"/>
          <w:sz w:val="28"/>
          <w:szCs w:val="28"/>
          <w:rtl/>
          <w:lang w:bidi="ar-EG"/>
        </w:rPr>
        <w:t>)</w:t>
      </w:r>
    </w:p>
    <w:p w14:paraId="4DF73923" w14:textId="6BA550BE"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يرتبط القرار الاستراتيجي بعامل الزمن على مستويين: (أ) توقيت توفر المعلومة ذاتها، و(ب) توقيت اتخاذ القرار وتنفيذه قياساً بنافذة الفرصة أو المخاطر. فحتى المعلومات الدقيقة قد تفقد قيمتها إن وصلت متأخرة، كما أن قراراً صحيحاً من حيث المبدأ قد يصبح أقل كفاءة إن اتُّخذ بعد تغير شروط السوق أو التنظيم أو المنافسة. وتضع أدبيات جودة البيانات الحداثة/التوقيت ضمن الأبعاد الأكثر تكراراً عند تقييم صلاحية البيانات للاستخدام في القرار (</w:t>
      </w:r>
      <w:r w:rsidRPr="006E471D">
        <w:rPr>
          <w:rFonts w:ascii="Traditional Arabic" w:hAnsi="Traditional Arabic" w:cs="Traditional Arabic"/>
          <w:sz w:val="28"/>
          <w:szCs w:val="28"/>
          <w:lang w:bidi="ar-EG"/>
        </w:rPr>
        <w:t>Wang et al., 2023</w:t>
      </w:r>
      <w:r w:rsidRPr="006E471D">
        <w:rPr>
          <w:rFonts w:ascii="Traditional Arabic" w:hAnsi="Traditional Arabic" w:cs="Traditional Arabic"/>
          <w:sz w:val="28"/>
          <w:szCs w:val="28"/>
          <w:rtl/>
          <w:lang w:bidi="ar-EG"/>
        </w:rPr>
        <w:t>)، كما تؤكد بحوث لوحات المتابعة أن حداثة المعلومات—مع اكتمالها وصياغتها—تعزز جودة القرار عبر تخفيف الضغط الإدراكي المرتبط بالتعقيد (</w:t>
      </w:r>
      <w:r w:rsidRPr="006E471D">
        <w:rPr>
          <w:rFonts w:ascii="Traditional Arabic" w:hAnsi="Traditional Arabic" w:cs="Traditional Arabic"/>
          <w:sz w:val="28"/>
          <w:szCs w:val="28"/>
          <w:lang w:bidi="ar-EG"/>
        </w:rPr>
        <w:t>Hjelle et al., 2024</w:t>
      </w:r>
      <w:r w:rsidRPr="006E471D">
        <w:rPr>
          <w:rFonts w:ascii="Traditional Arabic" w:hAnsi="Traditional Arabic" w:cs="Traditional Arabic"/>
          <w:sz w:val="28"/>
          <w:szCs w:val="28"/>
          <w:rtl/>
          <w:lang w:bidi="ar-EG"/>
        </w:rPr>
        <w:t>). وفي السياق المصرفي العربي، تُظهر نتائج ميدانية أن تكنولوجيا المعلومات ترتبط إحصائياً بجودة القرارات الاستراتيجية في البنوك، وهو ما يمكن تفسيره—جزئياً—بقدرة التقنيات على تسريع دورة المعلومة وتقليل الفجوة الزمنية بين الرصد والاستجابة (</w:t>
      </w:r>
      <w:proofErr w:type="spellStart"/>
      <w:r w:rsidRPr="006E471D">
        <w:rPr>
          <w:rFonts w:ascii="Traditional Arabic" w:hAnsi="Traditional Arabic" w:cs="Traditional Arabic"/>
          <w:sz w:val="28"/>
          <w:szCs w:val="28"/>
          <w:rtl/>
          <w:lang w:bidi="ar-EG"/>
        </w:rPr>
        <w:t>الرميمه</w:t>
      </w:r>
      <w:proofErr w:type="spellEnd"/>
      <w:r w:rsidRPr="006E471D">
        <w:rPr>
          <w:rFonts w:ascii="Traditional Arabic" w:hAnsi="Traditional Arabic" w:cs="Traditional Arabic"/>
          <w:sz w:val="28"/>
          <w:szCs w:val="28"/>
          <w:rtl/>
          <w:lang w:bidi="ar-EG"/>
        </w:rPr>
        <w:t xml:space="preserve"> </w:t>
      </w:r>
      <w:proofErr w:type="spellStart"/>
      <w:r w:rsidRPr="006E471D">
        <w:rPr>
          <w:rFonts w:ascii="Traditional Arabic" w:hAnsi="Traditional Arabic" w:cs="Traditional Arabic"/>
          <w:sz w:val="28"/>
          <w:szCs w:val="28"/>
          <w:rtl/>
          <w:lang w:bidi="ar-EG"/>
        </w:rPr>
        <w:t>والحكيمي</w:t>
      </w:r>
      <w:proofErr w:type="spellEnd"/>
      <w:r w:rsidRPr="006E471D">
        <w:rPr>
          <w:rFonts w:ascii="Traditional Arabic" w:hAnsi="Traditional Arabic" w:cs="Traditional Arabic"/>
          <w:sz w:val="28"/>
          <w:szCs w:val="28"/>
          <w:rtl/>
          <w:lang w:bidi="ar-EG"/>
        </w:rPr>
        <w:t>، 2024).</w:t>
      </w:r>
    </w:p>
    <w:p w14:paraId="65895A55" w14:textId="0FAA37EE" w:rsidR="00680361" w:rsidRPr="006E471D" w:rsidRDefault="00680361"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الموضوعية/التقييم وضبط التحيزات (</w:t>
      </w:r>
      <w:r w:rsidRPr="006E471D">
        <w:rPr>
          <w:rFonts w:ascii="Traditional Arabic" w:hAnsi="Traditional Arabic" w:cs="Traditional Arabic"/>
          <w:b/>
          <w:bCs/>
          <w:color w:val="000000" w:themeColor="text1"/>
          <w:sz w:val="28"/>
          <w:szCs w:val="28"/>
          <w:lang w:bidi="ar-EG"/>
        </w:rPr>
        <w:t>Objectivity and Evaluation</w:t>
      </w:r>
      <w:r w:rsidRPr="006E471D">
        <w:rPr>
          <w:rFonts w:ascii="Traditional Arabic" w:hAnsi="Traditional Arabic" w:cs="Traditional Arabic"/>
          <w:b/>
          <w:bCs/>
          <w:color w:val="000000" w:themeColor="text1"/>
          <w:sz w:val="28"/>
          <w:szCs w:val="28"/>
          <w:rtl/>
          <w:lang w:bidi="ar-EG"/>
        </w:rPr>
        <w:t>)</w:t>
      </w:r>
    </w:p>
    <w:p w14:paraId="06AB24E4" w14:textId="5FED5CF3"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تمثل الموضوعية بُعداً حاكماً لجودة القرار، لأنها تتصل بطريقة الحكم على المعلومات والبدائل بعيداً عن الانتقائية أو الانحياز أو المصالح الضيقة. وتشير الدراسات السلوكية إلى أن </w:t>
      </w:r>
      <w:proofErr w:type="spellStart"/>
      <w:r w:rsidRPr="006E471D">
        <w:rPr>
          <w:rFonts w:ascii="Traditional Arabic" w:hAnsi="Traditional Arabic" w:cs="Traditional Arabic"/>
          <w:sz w:val="28"/>
          <w:szCs w:val="28"/>
          <w:rtl/>
          <w:lang w:bidi="ar-EG"/>
        </w:rPr>
        <w:t>الانحيازات</w:t>
      </w:r>
      <w:proofErr w:type="spellEnd"/>
      <w:r w:rsidRPr="006E471D">
        <w:rPr>
          <w:rFonts w:ascii="Traditional Arabic" w:hAnsi="Traditional Arabic" w:cs="Traditional Arabic"/>
          <w:sz w:val="28"/>
          <w:szCs w:val="28"/>
          <w:rtl/>
          <w:lang w:bidi="ar-EG"/>
        </w:rPr>
        <w:t xml:space="preserve"> المعرفية (مثل وهم السيطرة أو تحيز الفرضيات السابقة) يمكن أن تقود إلى قرارات استراتيجية أقل جودة، بما يضع الموضوعية في قلب نقاش الجودة، لا بوصفها قيمة أخلاقية فحسب بل كمتطلب معرفي </w:t>
      </w:r>
      <w:r w:rsidRPr="006E471D">
        <w:rPr>
          <w:rFonts w:ascii="Traditional Arabic" w:hAnsi="Traditional Arabic" w:cs="Traditional Arabic"/>
          <w:sz w:val="28"/>
          <w:szCs w:val="28"/>
          <w:rtl/>
          <w:lang w:bidi="ar-EG"/>
        </w:rPr>
        <w:lastRenderedPageBreak/>
        <w:t>لإنتاج قرار متوازن (</w:t>
      </w:r>
      <w:r w:rsidRPr="006E471D">
        <w:rPr>
          <w:rFonts w:ascii="Traditional Arabic" w:hAnsi="Traditional Arabic" w:cs="Traditional Arabic"/>
          <w:sz w:val="28"/>
          <w:szCs w:val="28"/>
          <w:lang w:bidi="ar-EG"/>
        </w:rPr>
        <w:t>Jarrar, 2021</w:t>
      </w:r>
      <w:r w:rsidRPr="006E471D">
        <w:rPr>
          <w:rFonts w:ascii="Traditional Arabic" w:hAnsi="Traditional Arabic" w:cs="Traditional Arabic"/>
          <w:sz w:val="28"/>
          <w:szCs w:val="28"/>
          <w:rtl/>
          <w:lang w:bidi="ar-EG"/>
        </w:rPr>
        <w:t xml:space="preserve">). ومن زاوية قريبة، تُظهر الأدبيات العربية أن نظم دعم القرار يمكن أن تؤدي دوراً وسيطاً يرفع جودة القرارات الاستراتيجية عبر تنظيم المعرفة الضمنية وتوجيهها في مسارات أكثر انضباطاً، وهو ما يدعم منطق أن الموضوعية تتحسن عندما تُدعم الخبرة البشرية بأدوات منهجية تقلل العشوائية (خالصة وابن </w:t>
      </w:r>
      <w:proofErr w:type="gramStart"/>
      <w:r w:rsidRPr="006E471D">
        <w:rPr>
          <w:rFonts w:ascii="Traditional Arabic" w:hAnsi="Traditional Arabic" w:cs="Traditional Arabic"/>
          <w:sz w:val="28"/>
          <w:szCs w:val="28"/>
          <w:rtl/>
          <w:lang w:bidi="ar-EG"/>
        </w:rPr>
        <w:t>عيسي</w:t>
      </w:r>
      <w:proofErr w:type="gramEnd"/>
      <w:r w:rsidRPr="006E471D">
        <w:rPr>
          <w:rFonts w:ascii="Traditional Arabic" w:hAnsi="Traditional Arabic" w:cs="Traditional Arabic"/>
          <w:sz w:val="28"/>
          <w:szCs w:val="28"/>
          <w:rtl/>
          <w:lang w:bidi="ar-EG"/>
        </w:rPr>
        <w:t>، 2022). كما تُفيد دراسات مشاركة المعلومات بأن تدفق المعلومات داخل الفرق يرفع جودة القرار، لأنه يوسع منظور التقييم ويقلل احتمالات الاقتصار على معلومات مألوفة أو مريحة معرفياً (</w:t>
      </w:r>
      <w:proofErr w:type="spellStart"/>
      <w:r w:rsidRPr="006E471D">
        <w:rPr>
          <w:rFonts w:ascii="Traditional Arabic" w:hAnsi="Traditional Arabic" w:cs="Traditional Arabic"/>
          <w:sz w:val="28"/>
          <w:szCs w:val="28"/>
          <w:lang w:bidi="ar-EG"/>
        </w:rPr>
        <w:t>Alduais</w:t>
      </w:r>
      <w:proofErr w:type="spellEnd"/>
      <w:r w:rsidRPr="006E471D">
        <w:rPr>
          <w:rFonts w:ascii="Traditional Arabic" w:hAnsi="Traditional Arabic" w:cs="Traditional Arabic"/>
          <w:sz w:val="28"/>
          <w:szCs w:val="28"/>
          <w:lang w:bidi="ar-EG"/>
        </w:rPr>
        <w:t xml:space="preserve"> et al., 2023</w:t>
      </w:r>
      <w:r w:rsidRPr="006E471D">
        <w:rPr>
          <w:rFonts w:ascii="Traditional Arabic" w:hAnsi="Traditional Arabic" w:cs="Traditional Arabic"/>
          <w:sz w:val="28"/>
          <w:szCs w:val="28"/>
          <w:rtl/>
          <w:lang w:bidi="ar-EG"/>
        </w:rPr>
        <w:t>).</w:t>
      </w:r>
    </w:p>
    <w:p w14:paraId="6003E328" w14:textId="631B867C" w:rsidR="00680361" w:rsidRPr="006E471D" w:rsidRDefault="00680361" w:rsidP="00154AF2">
      <w:pPr>
        <w:pStyle w:val="Heading3"/>
        <w:jc w:val="both"/>
        <w:rPr>
          <w:rFonts w:ascii="Traditional Arabic" w:hAnsi="Traditional Arabic" w:cs="Traditional Arabic"/>
          <w:b/>
          <w:bCs/>
          <w:color w:val="000000" w:themeColor="text1"/>
          <w:rtl/>
          <w:lang w:bidi="ar-EG"/>
        </w:rPr>
      </w:pPr>
      <w:bookmarkStart w:id="26" w:name="_Toc222423561"/>
      <w:r w:rsidRPr="006E471D">
        <w:rPr>
          <w:rFonts w:ascii="Traditional Arabic" w:hAnsi="Traditional Arabic" w:cs="Traditional Arabic"/>
          <w:b/>
          <w:bCs/>
          <w:color w:val="000000" w:themeColor="text1"/>
          <w:rtl/>
          <w:lang w:bidi="ar-EG"/>
        </w:rPr>
        <w:t>منطق القرار القائم على البيانات: كيف تُحسّن التحليلات جودة القرار الاستراتيجي</w:t>
      </w:r>
      <w:bookmarkEnd w:id="26"/>
    </w:p>
    <w:p w14:paraId="5CE9B2B3" w14:textId="45CC732F"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يعد الانتقال إلى القرار القائم على البيانات (</w:t>
      </w:r>
      <w:r w:rsidRPr="006E471D">
        <w:rPr>
          <w:rFonts w:ascii="Traditional Arabic" w:hAnsi="Traditional Arabic" w:cs="Traditional Arabic"/>
          <w:sz w:val="28"/>
          <w:szCs w:val="28"/>
          <w:lang w:bidi="ar-EG"/>
        </w:rPr>
        <w:t>Data-Driven Decision-Making</w:t>
      </w:r>
      <w:r w:rsidRPr="006E471D">
        <w:rPr>
          <w:rFonts w:ascii="Traditional Arabic" w:hAnsi="Traditional Arabic" w:cs="Traditional Arabic"/>
          <w:sz w:val="28"/>
          <w:szCs w:val="28"/>
          <w:rtl/>
          <w:lang w:bidi="ar-EG"/>
        </w:rPr>
        <w:t>) أحد أبرز التحولات في الإدارة المعاصرة، لكنه لا يعني استبدال الحكم الإداري بالخوارزميات؛ بل يعني إعادة بناء عملية القرار على أسس أكثر قابلية للفحص والتبرير. وتوضح الأدبيات أن جودة القرار تتحسن حين تتوافر: بيانات عالية الجودة، وقدرات تحليلية مناسبة، وثقافة تنظيمية تدعم الاستفادة من النتائج وتوظيفها (</w:t>
      </w:r>
      <w:r w:rsidRPr="006E471D">
        <w:rPr>
          <w:rFonts w:ascii="Traditional Arabic" w:hAnsi="Traditional Arabic" w:cs="Traditional Arabic"/>
          <w:sz w:val="28"/>
          <w:szCs w:val="28"/>
          <w:lang w:bidi="ar-EG"/>
        </w:rPr>
        <w:t>Wang et al., 2023</w:t>
      </w:r>
      <w:r w:rsidRPr="006E471D">
        <w:rPr>
          <w:rFonts w:ascii="Traditional Arabic" w:hAnsi="Traditional Arabic" w:cs="Traditional Arabic"/>
          <w:sz w:val="28"/>
          <w:szCs w:val="28"/>
          <w:rtl/>
          <w:lang w:bidi="ar-EG"/>
        </w:rPr>
        <w:t xml:space="preserve">). وفي هذا الاتجاه، تقدم دراسة حديثة دليلاً على أن الثقافة القائمة على البيانات وقدرات التحليلات ترتبط بالأداء </w:t>
      </w:r>
      <w:proofErr w:type="spellStart"/>
      <w:r w:rsidRPr="006E471D">
        <w:rPr>
          <w:rFonts w:ascii="Traditional Arabic" w:hAnsi="Traditional Arabic" w:cs="Traditional Arabic"/>
          <w:sz w:val="28"/>
          <w:szCs w:val="28"/>
          <w:rtl/>
          <w:lang w:bidi="ar-EG"/>
        </w:rPr>
        <w:t>القراري</w:t>
      </w:r>
      <w:proofErr w:type="spellEnd"/>
      <w:r w:rsidRPr="006E471D">
        <w:rPr>
          <w:rFonts w:ascii="Traditional Arabic" w:hAnsi="Traditional Arabic" w:cs="Traditional Arabic"/>
          <w:sz w:val="28"/>
          <w:szCs w:val="28"/>
          <w:rtl/>
          <w:lang w:bidi="ar-EG"/>
        </w:rPr>
        <w:t>، مع إبراز دور مهارات محو الأمية البيانية (</w:t>
      </w:r>
      <w:r w:rsidRPr="006E471D">
        <w:rPr>
          <w:rFonts w:ascii="Traditional Arabic" w:hAnsi="Traditional Arabic" w:cs="Traditional Arabic"/>
          <w:sz w:val="28"/>
          <w:szCs w:val="28"/>
          <w:lang w:bidi="ar-EG"/>
        </w:rPr>
        <w:t>Data Literacy</w:t>
      </w:r>
      <w:r w:rsidRPr="006E471D">
        <w:rPr>
          <w:rFonts w:ascii="Traditional Arabic" w:hAnsi="Traditional Arabic" w:cs="Traditional Arabic"/>
          <w:sz w:val="28"/>
          <w:szCs w:val="28"/>
          <w:rtl/>
          <w:lang w:bidi="ar-EG"/>
        </w:rPr>
        <w:t>) وإدارة المعرفة بوصفها آليات وسيطة ترفع كفاءة استخدام التحليلات في القرار (</w:t>
      </w:r>
      <w:r w:rsidRPr="006E471D">
        <w:rPr>
          <w:rFonts w:ascii="Traditional Arabic" w:hAnsi="Traditional Arabic" w:cs="Traditional Arabic"/>
          <w:sz w:val="28"/>
          <w:szCs w:val="28"/>
          <w:lang w:bidi="ar-EG"/>
        </w:rPr>
        <w:t>Fattah et al., 2025</w:t>
      </w:r>
      <w:r w:rsidRPr="006E471D">
        <w:rPr>
          <w:rFonts w:ascii="Traditional Arabic" w:hAnsi="Traditional Arabic" w:cs="Traditional Arabic"/>
          <w:sz w:val="28"/>
          <w:szCs w:val="28"/>
          <w:rtl/>
          <w:lang w:bidi="ar-EG"/>
        </w:rPr>
        <w:t>).</w:t>
      </w:r>
    </w:p>
    <w:p w14:paraId="25C7172B" w14:textId="43A064C9"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ومن منظور تطبيقي قريب من موضوع </w:t>
      </w:r>
      <w:r w:rsidR="00594571" w:rsidRPr="006E471D">
        <w:rPr>
          <w:rFonts w:ascii="Traditional Arabic" w:hAnsi="Traditional Arabic" w:cs="Traditional Arabic"/>
          <w:sz w:val="28"/>
          <w:szCs w:val="28"/>
          <w:rtl/>
          <w:lang w:bidi="ar-EG"/>
        </w:rPr>
        <w:t>الدراسة الحالية</w:t>
      </w:r>
      <w:r w:rsidRPr="006E471D">
        <w:rPr>
          <w:rFonts w:ascii="Traditional Arabic" w:hAnsi="Traditional Arabic" w:cs="Traditional Arabic"/>
          <w:sz w:val="28"/>
          <w:szCs w:val="28"/>
          <w:rtl/>
          <w:lang w:bidi="ar-EG"/>
        </w:rPr>
        <w:t>، تشير بحوث ذكاء الأعمال إلى أن جودة القرار الاستراتيجي ترتفع عندما تُدار منظومة ذكاء الأعمال بصورة فعالة وتتوفر جودة بيانات عالية مع أدوات عرض بصري تساعد الإدارة على الفهم السريع للمؤشرات والاتجاهات (</w:t>
      </w:r>
      <w:r w:rsidRPr="006E471D">
        <w:rPr>
          <w:rFonts w:ascii="Traditional Arabic" w:hAnsi="Traditional Arabic" w:cs="Traditional Arabic"/>
          <w:sz w:val="28"/>
          <w:szCs w:val="28"/>
          <w:lang w:bidi="ar-EG"/>
        </w:rPr>
        <w:t>Abu-</w:t>
      </w:r>
      <w:proofErr w:type="spellStart"/>
      <w:r w:rsidRPr="006E471D">
        <w:rPr>
          <w:rFonts w:ascii="Traditional Arabic" w:hAnsi="Traditional Arabic" w:cs="Traditional Arabic"/>
          <w:sz w:val="28"/>
          <w:szCs w:val="28"/>
          <w:lang w:bidi="ar-EG"/>
        </w:rPr>
        <w:t>AlSondos</w:t>
      </w:r>
      <w:proofErr w:type="spellEnd"/>
      <w:r w:rsidRPr="006E471D">
        <w:rPr>
          <w:rFonts w:ascii="Traditional Arabic" w:hAnsi="Traditional Arabic" w:cs="Traditional Arabic"/>
          <w:sz w:val="28"/>
          <w:szCs w:val="28"/>
          <w:lang w:bidi="ar-EG"/>
        </w:rPr>
        <w:t>, 2023</w:t>
      </w:r>
      <w:r w:rsidRPr="006E471D">
        <w:rPr>
          <w:rFonts w:ascii="Traditional Arabic" w:hAnsi="Traditional Arabic" w:cs="Traditional Arabic"/>
          <w:sz w:val="28"/>
          <w:szCs w:val="28"/>
          <w:rtl/>
          <w:lang w:bidi="ar-EG"/>
        </w:rPr>
        <w:t>). كما تساند الأدلة العربية في البيئة المصرفية هذا الاتجاه بإظهار أثر ذي دلالة لتكنولوجيا المعلومات في جودة القرارات الاستراتيجية داخل البنوك (</w:t>
      </w:r>
      <w:proofErr w:type="spellStart"/>
      <w:r w:rsidRPr="006E471D">
        <w:rPr>
          <w:rFonts w:ascii="Traditional Arabic" w:hAnsi="Traditional Arabic" w:cs="Traditional Arabic"/>
          <w:sz w:val="28"/>
          <w:szCs w:val="28"/>
          <w:rtl/>
          <w:lang w:bidi="ar-EG"/>
        </w:rPr>
        <w:t>الرميمه</w:t>
      </w:r>
      <w:proofErr w:type="spellEnd"/>
      <w:r w:rsidRPr="006E471D">
        <w:rPr>
          <w:rFonts w:ascii="Traditional Arabic" w:hAnsi="Traditional Arabic" w:cs="Traditional Arabic"/>
          <w:sz w:val="28"/>
          <w:szCs w:val="28"/>
          <w:rtl/>
          <w:lang w:bidi="ar-EG"/>
        </w:rPr>
        <w:t xml:space="preserve"> </w:t>
      </w:r>
      <w:proofErr w:type="spellStart"/>
      <w:r w:rsidRPr="006E471D">
        <w:rPr>
          <w:rFonts w:ascii="Traditional Arabic" w:hAnsi="Traditional Arabic" w:cs="Traditional Arabic"/>
          <w:sz w:val="28"/>
          <w:szCs w:val="28"/>
          <w:rtl/>
          <w:lang w:bidi="ar-EG"/>
        </w:rPr>
        <w:t>والحكيمي</w:t>
      </w:r>
      <w:proofErr w:type="spellEnd"/>
      <w:r w:rsidRPr="006E471D">
        <w:rPr>
          <w:rFonts w:ascii="Traditional Arabic" w:hAnsi="Traditional Arabic" w:cs="Traditional Arabic"/>
          <w:sz w:val="28"/>
          <w:szCs w:val="28"/>
          <w:rtl/>
          <w:lang w:bidi="ar-EG"/>
        </w:rPr>
        <w:t>، 2024).</w:t>
      </w:r>
    </w:p>
    <w:p w14:paraId="18D4797A" w14:textId="7E77DF25" w:rsidR="00680361" w:rsidRPr="006E471D" w:rsidRDefault="0068036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ومع ذلك، فإن الاعتماد على البيانات لا يلغي التحديات؛ فوفرة المؤشرات قد تولد ثقة زائدة أو وهم موضوعية إذا لم تُقرن بآليات تدقيق وتفسير، وإذا لم يُعالج أثر التحيزات المعرفية على التقييم النهائي (</w:t>
      </w:r>
      <w:r w:rsidRPr="006E471D">
        <w:rPr>
          <w:rFonts w:ascii="Traditional Arabic" w:hAnsi="Traditional Arabic" w:cs="Traditional Arabic"/>
          <w:sz w:val="28"/>
          <w:szCs w:val="28"/>
          <w:lang w:bidi="ar-EG"/>
        </w:rPr>
        <w:t>Jarrar, 2021</w:t>
      </w:r>
      <w:r w:rsidRPr="006E471D">
        <w:rPr>
          <w:rFonts w:ascii="Traditional Arabic" w:hAnsi="Traditional Arabic" w:cs="Traditional Arabic"/>
          <w:sz w:val="28"/>
          <w:szCs w:val="28"/>
          <w:rtl/>
          <w:lang w:bidi="ar-EG"/>
        </w:rPr>
        <w:t>). لذلك، يصبح الرهان الحقيقي ليس في إنتاج مزيد من التقارير، بل في بناء بيئة قرار تجعل المعلومات قابلة للاستخدام: واضحة، محدثة، متسقة، ومترجمة إلى بدائل وسيناريوهات وتقييمات قابلة للتبرير.</w:t>
      </w:r>
    </w:p>
    <w:p w14:paraId="5B59F34F" w14:textId="51B71D97" w:rsidR="00680361" w:rsidRPr="006E471D" w:rsidRDefault="00154AF2"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خلص</w:t>
      </w:r>
      <w:r w:rsidR="00680361" w:rsidRPr="006E471D">
        <w:rPr>
          <w:rFonts w:ascii="Traditional Arabic" w:hAnsi="Traditional Arabic" w:cs="Traditional Arabic"/>
          <w:sz w:val="28"/>
          <w:szCs w:val="28"/>
          <w:rtl/>
          <w:lang w:bidi="ar-EG"/>
        </w:rPr>
        <w:t xml:space="preserve"> هذا القسم إلى أن جودة القرارات الاستراتيجية مفهوم مركب يمكن قياسه عبر أبعاد عملية ترتبط بالمعلومة (جودتها وتوقيت توفرها)، وبالتحليل (عمق المفاضلة بين البدائل)، وبالحكم (موضوعية التقييم وضبط </w:t>
      </w:r>
      <w:proofErr w:type="spellStart"/>
      <w:r w:rsidR="00680361" w:rsidRPr="006E471D">
        <w:rPr>
          <w:rFonts w:ascii="Traditional Arabic" w:hAnsi="Traditional Arabic" w:cs="Traditional Arabic"/>
          <w:sz w:val="28"/>
          <w:szCs w:val="28"/>
          <w:rtl/>
          <w:lang w:bidi="ar-EG"/>
        </w:rPr>
        <w:t>الانحيازات</w:t>
      </w:r>
      <w:proofErr w:type="spellEnd"/>
      <w:r w:rsidR="00680361" w:rsidRPr="006E471D">
        <w:rPr>
          <w:rFonts w:ascii="Traditional Arabic" w:hAnsi="Traditional Arabic" w:cs="Traditional Arabic"/>
          <w:sz w:val="28"/>
          <w:szCs w:val="28"/>
          <w:rtl/>
          <w:lang w:bidi="ar-EG"/>
        </w:rPr>
        <w:t>). وفي ضوء ذلك، تتضح الصلة المنطقية بموضوع الدراسة: فإذا كان قبول المديرين لأنظمة ذكاء الأعمال يزيد احتمالية الاعتماد على البيانات والتحليلات، فإن جودة القرار تمثل الحلقة التي تُترجم هذا الاعتماد إلى نتائج تنظيمية أعلى—وهو ما سيُستثمر لاحقاً في تفسير دور جودة القرارات كمتغير وسيط في العلاقة بين قبول ذكاء الأعمال والابتكار التنظيمي.</w:t>
      </w:r>
    </w:p>
    <w:p w14:paraId="1F1BFE61" w14:textId="524F3251" w:rsidR="00C7737C" w:rsidRPr="006E471D" w:rsidRDefault="00C7737C" w:rsidP="00154AF2">
      <w:pPr>
        <w:pStyle w:val="Heading2"/>
        <w:jc w:val="both"/>
        <w:rPr>
          <w:rFonts w:ascii="Traditional Arabic" w:hAnsi="Traditional Arabic" w:cs="Traditional Arabic"/>
          <w:b/>
          <w:bCs/>
          <w:color w:val="000000" w:themeColor="text1"/>
          <w:rtl/>
          <w:lang w:bidi="ar-EG"/>
        </w:rPr>
      </w:pPr>
      <w:bookmarkStart w:id="27" w:name="_Toc222423562"/>
      <w:r w:rsidRPr="006E471D">
        <w:rPr>
          <w:rFonts w:ascii="Traditional Arabic" w:hAnsi="Traditional Arabic" w:cs="Traditional Arabic"/>
          <w:b/>
          <w:bCs/>
          <w:color w:val="000000" w:themeColor="text1"/>
          <w:rtl/>
          <w:lang w:bidi="ar-EG"/>
        </w:rPr>
        <w:t>الابتكار التنظيمي في المصارف: المفهوم والأبعاد ومحدداته</w:t>
      </w:r>
      <w:bookmarkEnd w:id="27"/>
    </w:p>
    <w:p w14:paraId="0FFAA0FD" w14:textId="4F078C01" w:rsidR="00C7737C" w:rsidRPr="006E471D" w:rsidRDefault="00C7737C" w:rsidP="00154AF2">
      <w:pPr>
        <w:pStyle w:val="Heading3"/>
        <w:jc w:val="both"/>
        <w:rPr>
          <w:rFonts w:ascii="Traditional Arabic" w:hAnsi="Traditional Arabic" w:cs="Traditional Arabic"/>
          <w:b/>
          <w:bCs/>
          <w:color w:val="000000" w:themeColor="text1"/>
          <w:rtl/>
          <w:lang w:bidi="ar-EG"/>
        </w:rPr>
      </w:pPr>
      <w:bookmarkStart w:id="28" w:name="_Toc222423563"/>
      <w:r w:rsidRPr="006E471D">
        <w:rPr>
          <w:rFonts w:ascii="Traditional Arabic" w:hAnsi="Traditional Arabic" w:cs="Traditional Arabic"/>
          <w:b/>
          <w:bCs/>
          <w:color w:val="000000" w:themeColor="text1"/>
          <w:rtl/>
          <w:lang w:bidi="ar-EG"/>
        </w:rPr>
        <w:t>التأصيل المفاهيمي للابتكار التنظيمي في البيئة المصرفية</w:t>
      </w:r>
      <w:bookmarkEnd w:id="28"/>
    </w:p>
    <w:p w14:paraId="74AE6562" w14:textId="5D288E6A"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يُقصد بالابتكار التنظيمي في المصارف قدرة البنك على إدخال تحسينات أو تغييرات ذات معنى في طريقة تصميم خدماته المالية، أو تشغيل عملياته الداخلية، أو إدارة موارده وعلاقاته، بما ينعكس على رفع الكفاءة وتعزيز القيمة المقدمة للعميل وتحسين القدرة </w:t>
      </w:r>
      <w:r w:rsidRPr="006E471D">
        <w:rPr>
          <w:rFonts w:ascii="Traditional Arabic" w:hAnsi="Traditional Arabic" w:cs="Traditional Arabic"/>
          <w:sz w:val="28"/>
          <w:szCs w:val="28"/>
          <w:rtl/>
          <w:lang w:bidi="ar-EG"/>
        </w:rPr>
        <w:lastRenderedPageBreak/>
        <w:t>التنافسية. وتكتسب هذه الفكرة خصوصيتها في الصناعة المصرفية لأن الابتكار لا يتحقق عادةً عبر اختراع منتج بمعناه الصناعي فحسب، بل يتجسد كثيراً في إعادة هندسة الخدمة، وتطوير تجربة العميل، وإعادة تشكيل آليات خلق القيمة والاحتفاظ بها ضمن قيود تنظيمية ومخاطر عالية. ومن هذا المنطلق، تشير أدبيات الابتكار البنكي إلى أن البنوك تعيش مفارقة مزدوجة: فهي مطالبة بمجاراة موجات الابتكار التي تقودها التقنيات الرقمية وشركات التقنية المالية، وفي الوقت ذاته تُدار داخل هياكل ثقيلة نسبياً من اللوائح والتقاليد وإدارة المخاطر، مما يجعل الابتكار غالباً تدريجياً (</w:t>
      </w:r>
      <w:r w:rsidRPr="006E471D">
        <w:rPr>
          <w:rFonts w:ascii="Traditional Arabic" w:hAnsi="Traditional Arabic" w:cs="Traditional Arabic"/>
          <w:sz w:val="28"/>
          <w:szCs w:val="28"/>
          <w:lang w:bidi="ar-EG"/>
        </w:rPr>
        <w:t>Incremental</w:t>
      </w:r>
      <w:r w:rsidRPr="006E471D">
        <w:rPr>
          <w:rFonts w:ascii="Traditional Arabic" w:hAnsi="Traditional Arabic" w:cs="Traditional Arabic"/>
          <w:sz w:val="28"/>
          <w:szCs w:val="28"/>
          <w:rtl/>
          <w:lang w:bidi="ar-EG"/>
        </w:rPr>
        <w:t xml:space="preserve">) أكثر منه </w:t>
      </w:r>
      <w:proofErr w:type="spellStart"/>
      <w:r w:rsidRPr="006E471D">
        <w:rPr>
          <w:rFonts w:ascii="Traditional Arabic" w:hAnsi="Traditional Arabic" w:cs="Traditional Arabic"/>
          <w:sz w:val="28"/>
          <w:szCs w:val="28"/>
          <w:rtl/>
          <w:lang w:bidi="ar-EG"/>
        </w:rPr>
        <w:t>قفزياً</w:t>
      </w:r>
      <w:proofErr w:type="spellEnd"/>
      <w:r w:rsidRPr="006E471D">
        <w:rPr>
          <w:rFonts w:ascii="Traditional Arabic" w:hAnsi="Traditional Arabic" w:cs="Traditional Arabic"/>
          <w:sz w:val="28"/>
          <w:szCs w:val="28"/>
          <w:rtl/>
          <w:lang w:bidi="ar-EG"/>
        </w:rPr>
        <w:t xml:space="preserve"> (</w:t>
      </w:r>
      <w:proofErr w:type="spellStart"/>
      <w:r w:rsidRPr="006E471D">
        <w:rPr>
          <w:rFonts w:ascii="Traditional Arabic" w:hAnsi="Traditional Arabic" w:cs="Traditional Arabic"/>
          <w:sz w:val="28"/>
          <w:szCs w:val="28"/>
          <w:lang w:bidi="ar-EG"/>
        </w:rPr>
        <w:t>Moussavou</w:t>
      </w:r>
      <w:proofErr w:type="spellEnd"/>
      <w:r w:rsidRPr="006E471D">
        <w:rPr>
          <w:rFonts w:ascii="Traditional Arabic" w:hAnsi="Traditional Arabic" w:cs="Traditional Arabic"/>
          <w:sz w:val="28"/>
          <w:szCs w:val="28"/>
          <w:lang w:bidi="ar-EG"/>
        </w:rPr>
        <w:t>, 2022</w:t>
      </w:r>
      <w:r w:rsidRPr="006E471D">
        <w:rPr>
          <w:rFonts w:ascii="Traditional Arabic" w:hAnsi="Traditional Arabic" w:cs="Traditional Arabic"/>
          <w:sz w:val="28"/>
          <w:szCs w:val="28"/>
          <w:rtl/>
          <w:lang w:bidi="ar-EG"/>
        </w:rPr>
        <w:t>).</w:t>
      </w:r>
    </w:p>
    <w:p w14:paraId="46A4882D" w14:textId="43B4E8C0"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وتعزز هذه القراءة ما خلصت إليه بحوث حديثة حول نماذج الأعمال في البنوك، حيث تُظهر أن التقنيات الرقمية لا تغيّر قنوات الخدمة فقط، بل تعيد ترتيب دوافع الابتكار داخل آليات خلق القيمة وتقديمها والتقاطها، وهو ما يعني أن الابتكار التنظيمي في البنوك يميل إلى أن يكون متعدد الطبقات (عمليات/خدمات/نموذج عمل) وليس بعداً أحادياً (</w:t>
      </w:r>
      <w:r w:rsidRPr="006E471D">
        <w:rPr>
          <w:rFonts w:ascii="Traditional Arabic" w:hAnsi="Traditional Arabic" w:cs="Traditional Arabic"/>
          <w:sz w:val="28"/>
          <w:szCs w:val="28"/>
          <w:lang w:bidi="ar-EG"/>
        </w:rPr>
        <w:t>Mancuso et al., 2025</w:t>
      </w:r>
      <w:r w:rsidRPr="006E471D">
        <w:rPr>
          <w:rFonts w:ascii="Traditional Arabic" w:hAnsi="Traditional Arabic" w:cs="Traditional Arabic"/>
          <w:sz w:val="28"/>
          <w:szCs w:val="28"/>
          <w:rtl/>
          <w:lang w:bidi="ar-EG"/>
        </w:rPr>
        <w:t>).</w:t>
      </w:r>
    </w:p>
    <w:p w14:paraId="3F50BA85" w14:textId="132DCDDF" w:rsidR="00C7737C" w:rsidRPr="006E471D" w:rsidRDefault="00C7737C" w:rsidP="00154AF2">
      <w:pPr>
        <w:pStyle w:val="Heading3"/>
        <w:jc w:val="both"/>
        <w:rPr>
          <w:rFonts w:ascii="Traditional Arabic" w:hAnsi="Traditional Arabic" w:cs="Traditional Arabic"/>
          <w:b/>
          <w:bCs/>
          <w:color w:val="000000" w:themeColor="text1"/>
          <w:rtl/>
          <w:lang w:bidi="ar-EG"/>
        </w:rPr>
      </w:pPr>
      <w:bookmarkStart w:id="29" w:name="_Toc222423564"/>
      <w:r w:rsidRPr="006E471D">
        <w:rPr>
          <w:rFonts w:ascii="Traditional Arabic" w:hAnsi="Traditional Arabic" w:cs="Traditional Arabic"/>
          <w:b/>
          <w:bCs/>
          <w:color w:val="000000" w:themeColor="text1"/>
          <w:rtl/>
          <w:lang w:bidi="ar-EG"/>
        </w:rPr>
        <w:t>الأبعاد التشغيلية للابتكار التنظيمي المعتمدة في الدراسة</w:t>
      </w:r>
      <w:bookmarkEnd w:id="29"/>
    </w:p>
    <w:p w14:paraId="661B07D6"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اعتمدت الدراسة الحالية ثلاثة أبعاد مترابطة لقياس الابتكار التنظيمي في المصارف، بما ينسجم مع طبيعة الخدمات المالية من جهة، ومع ما تطرحه الأدبيات الحديثة حول تداخل الابتكار مع الثقافة ونضج البيانات من جهة أخرى.</w:t>
      </w:r>
    </w:p>
    <w:p w14:paraId="7F27135F" w14:textId="1FD5C755" w:rsidR="00C7737C" w:rsidRPr="006E471D" w:rsidRDefault="00C7737C"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ابتكار المنتجات/الخدمات المصرفية (</w:t>
      </w:r>
      <w:r w:rsidRPr="006E471D">
        <w:rPr>
          <w:rFonts w:ascii="Traditional Arabic" w:hAnsi="Traditional Arabic" w:cs="Traditional Arabic"/>
          <w:b/>
          <w:bCs/>
          <w:color w:val="000000" w:themeColor="text1"/>
          <w:sz w:val="28"/>
          <w:szCs w:val="28"/>
          <w:lang w:bidi="ar-EG"/>
        </w:rPr>
        <w:t>Product/Service Innovation</w:t>
      </w:r>
      <w:r w:rsidRPr="006E471D">
        <w:rPr>
          <w:rFonts w:ascii="Traditional Arabic" w:hAnsi="Traditional Arabic" w:cs="Traditional Arabic"/>
          <w:b/>
          <w:bCs/>
          <w:color w:val="000000" w:themeColor="text1"/>
          <w:sz w:val="28"/>
          <w:szCs w:val="28"/>
          <w:rtl/>
          <w:lang w:bidi="ar-EG"/>
        </w:rPr>
        <w:t>)</w:t>
      </w:r>
    </w:p>
    <w:p w14:paraId="5CA6BE43" w14:textId="75962FE3"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يرتبط هذا البعد بإدخال خدمات أو مزايا جديدة، أو إعادة تصميم الخدمات القائمة بحيث تصبح أكثر ملاءمة لاحتياجات العملاء، وأكثر قدرة على الاستجابة لتغيرات السوق والتنظيم. وفي الصناعة المصرفية، يبرز هذا النوع من الابتكار غالباً في الخدمات الرقمية، وفي توسيع نطاق المنتجات عبر المنصات، وفي نماذج تقديم الخدمة التي تعتمد على التكامل مع نظم خارجية أو شراكات ضمن المنظومة (</w:t>
      </w:r>
      <w:r w:rsidRPr="006E471D">
        <w:rPr>
          <w:rFonts w:ascii="Traditional Arabic" w:hAnsi="Traditional Arabic" w:cs="Traditional Arabic"/>
          <w:sz w:val="28"/>
          <w:szCs w:val="28"/>
          <w:lang w:bidi="ar-EG"/>
        </w:rPr>
        <w:t>Ecosystem</w:t>
      </w:r>
      <w:r w:rsidRPr="006E471D">
        <w:rPr>
          <w:rFonts w:ascii="Traditional Arabic" w:hAnsi="Traditional Arabic" w:cs="Traditional Arabic"/>
          <w:sz w:val="28"/>
          <w:szCs w:val="28"/>
          <w:rtl/>
          <w:lang w:bidi="ar-EG"/>
        </w:rPr>
        <w:t>). وتدعم الأدلة التجريبية الحديثة فكرة أن التحول الرقمي يُترجم إلى ابتكار منتج/خدمة رقمية عندما تتكامل الموارد والقدرات التقنية مع قدرات ديناميكية تسمح بالتكيف وإعادة التشكيل؛ إذ تُظهر دراسة تطبيقية في القطاع البنكي أن التحول الرقمي يعمل كآلية وسيطة تحول القدرات والموارد إلى أداء ابتكار المنتج الرقمي (</w:t>
      </w:r>
      <w:r w:rsidRPr="006E471D">
        <w:rPr>
          <w:rFonts w:ascii="Traditional Arabic" w:hAnsi="Traditional Arabic" w:cs="Traditional Arabic"/>
          <w:sz w:val="28"/>
          <w:szCs w:val="28"/>
          <w:lang w:bidi="ar-EG"/>
        </w:rPr>
        <w:t>Abdurrahman, 2025</w:t>
      </w:r>
      <w:r w:rsidRPr="006E471D">
        <w:rPr>
          <w:rFonts w:ascii="Traditional Arabic" w:hAnsi="Traditional Arabic" w:cs="Traditional Arabic"/>
          <w:sz w:val="28"/>
          <w:szCs w:val="28"/>
          <w:rtl/>
          <w:lang w:bidi="ar-EG"/>
        </w:rPr>
        <w:t>).</w:t>
      </w:r>
    </w:p>
    <w:p w14:paraId="73485A10" w14:textId="74DBC898" w:rsidR="00C7737C" w:rsidRPr="006E471D" w:rsidRDefault="00C7737C"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ابتكار العمليات المصرفية (</w:t>
      </w:r>
      <w:r w:rsidRPr="006E471D">
        <w:rPr>
          <w:rFonts w:ascii="Traditional Arabic" w:hAnsi="Traditional Arabic" w:cs="Traditional Arabic"/>
          <w:b/>
          <w:bCs/>
          <w:color w:val="000000" w:themeColor="text1"/>
          <w:sz w:val="28"/>
          <w:szCs w:val="28"/>
          <w:lang w:bidi="ar-EG"/>
        </w:rPr>
        <w:t>Process Innovation</w:t>
      </w:r>
      <w:r w:rsidRPr="006E471D">
        <w:rPr>
          <w:rFonts w:ascii="Traditional Arabic" w:hAnsi="Traditional Arabic" w:cs="Traditional Arabic"/>
          <w:b/>
          <w:bCs/>
          <w:color w:val="000000" w:themeColor="text1"/>
          <w:sz w:val="28"/>
          <w:szCs w:val="28"/>
          <w:rtl/>
          <w:lang w:bidi="ar-EG"/>
        </w:rPr>
        <w:t>)</w:t>
      </w:r>
    </w:p>
    <w:p w14:paraId="4980ABDD" w14:textId="3BD53CD5"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يقصد به تطوير طرق تنفيذ العمل داخل البنك بما يرفع الكفاءة ويقلل الأخطاء ويحسن سرعة الاستجابة، مثل تطوير إجراءات الخدمة، أو أتمتة أجزاء من التشغيل، أو إعادة تصميم تدفقات العمل (</w:t>
      </w:r>
      <w:r w:rsidRPr="006E471D">
        <w:rPr>
          <w:rFonts w:ascii="Traditional Arabic" w:hAnsi="Traditional Arabic" w:cs="Traditional Arabic"/>
          <w:sz w:val="28"/>
          <w:szCs w:val="28"/>
          <w:lang w:bidi="ar-EG"/>
        </w:rPr>
        <w:t>Workflow</w:t>
      </w:r>
      <w:r w:rsidRPr="006E471D">
        <w:rPr>
          <w:rFonts w:ascii="Traditional Arabic" w:hAnsi="Traditional Arabic" w:cs="Traditional Arabic"/>
          <w:sz w:val="28"/>
          <w:szCs w:val="28"/>
          <w:rtl/>
          <w:lang w:bidi="ar-EG"/>
        </w:rPr>
        <w:t>). وتزداد أهمية هذا البعد في البنوك لأن جزءاً معتبراً من القيمة يتولد من العملية لا من المنتج في حد ذاته: سرعة الموافقة، دقة التحقق، جودة إدارة المخاطر، وفعالية الامتثال. وتفيد أدبيات ثقافة البيانات بأن الابتكار في العمليات يرتبط بالقدرة على تحويل البيانات إلى قرارات تشغيلية أفضل، وأن ثقافة العمل القائمة على البيانات تؤثر إيجابياً في ابتكار العمليات إلى جانب ابتكار المنتجات (</w:t>
      </w:r>
      <w:r w:rsidRPr="006E471D">
        <w:rPr>
          <w:rFonts w:ascii="Traditional Arabic" w:hAnsi="Traditional Arabic" w:cs="Traditional Arabic"/>
          <w:sz w:val="28"/>
          <w:szCs w:val="28"/>
          <w:lang w:bidi="ar-EG"/>
        </w:rPr>
        <w:t>Chatterjee et al., 2021</w:t>
      </w:r>
      <w:r w:rsidRPr="006E471D">
        <w:rPr>
          <w:rFonts w:ascii="Traditional Arabic" w:hAnsi="Traditional Arabic" w:cs="Traditional Arabic"/>
          <w:sz w:val="28"/>
          <w:szCs w:val="28"/>
          <w:rtl/>
          <w:lang w:bidi="ar-EG"/>
        </w:rPr>
        <w:t>).</w:t>
      </w:r>
    </w:p>
    <w:p w14:paraId="15DA23CF" w14:textId="570A716A" w:rsidR="00C7737C" w:rsidRPr="006E471D" w:rsidRDefault="00C7737C"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الثقافة التنظيمية الداعمة للابتكار (</w:t>
      </w:r>
      <w:r w:rsidRPr="006E471D">
        <w:rPr>
          <w:rFonts w:ascii="Traditional Arabic" w:hAnsi="Traditional Arabic" w:cs="Traditional Arabic"/>
          <w:b/>
          <w:bCs/>
          <w:color w:val="000000" w:themeColor="text1"/>
          <w:sz w:val="28"/>
          <w:szCs w:val="28"/>
          <w:lang w:bidi="ar-EG"/>
        </w:rPr>
        <w:t>Innovation-Supportive Culture</w:t>
      </w:r>
      <w:r w:rsidRPr="006E471D">
        <w:rPr>
          <w:rFonts w:ascii="Traditional Arabic" w:hAnsi="Traditional Arabic" w:cs="Traditional Arabic"/>
          <w:b/>
          <w:bCs/>
          <w:color w:val="000000" w:themeColor="text1"/>
          <w:sz w:val="28"/>
          <w:szCs w:val="28"/>
          <w:rtl/>
          <w:lang w:bidi="ar-EG"/>
        </w:rPr>
        <w:t>)</w:t>
      </w:r>
    </w:p>
    <w:p w14:paraId="4B9CCD2E" w14:textId="4A718CF9"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لا يستقيم قياس الابتكار التنظيمي في المصارف دون التقاط الجانب الثقافي؛ لأن ثقافة البنك تحدد مساحة التجريب المقبولة، وكيف تُدار الأخطاء، وكيف تُحوّل المعرفة إلى ممارسة، وكيف تُوزّع الثقة والمسؤولية. وتبرز هنا أهمية نضج البيانات بوصفه أحد مكونات الثقافة المعاصرة الداعمة للابتكار؛ إذ خلصت دراسة منشورة في المجلة الأردنية في إدارة الأعمال إلى أن خصائص الثقافة التنظيمية (الثقافة/المناخ/إشراك الموظفين) تؤثر إيجابياً في الابتكار المؤسسي، وأن نضج البيانات—المُمثل في التحليلات وحوكمة البيانات والإلمام بالبيانات—يعزز هذه العلاقة (الجدّاوي، 2024).</w:t>
      </w:r>
    </w:p>
    <w:p w14:paraId="72D87AD3" w14:textId="6F47D30B" w:rsidR="00C7737C" w:rsidRPr="006E471D" w:rsidRDefault="00C7737C" w:rsidP="00154AF2">
      <w:pPr>
        <w:pStyle w:val="Heading3"/>
        <w:jc w:val="both"/>
        <w:rPr>
          <w:rFonts w:ascii="Traditional Arabic" w:hAnsi="Traditional Arabic" w:cs="Traditional Arabic"/>
          <w:b/>
          <w:bCs/>
          <w:color w:val="000000" w:themeColor="text1"/>
          <w:rtl/>
          <w:lang w:bidi="ar-EG"/>
        </w:rPr>
      </w:pPr>
      <w:bookmarkStart w:id="30" w:name="_Toc222423565"/>
      <w:r w:rsidRPr="006E471D">
        <w:rPr>
          <w:rFonts w:ascii="Traditional Arabic" w:hAnsi="Traditional Arabic" w:cs="Traditional Arabic"/>
          <w:b/>
          <w:bCs/>
          <w:color w:val="000000" w:themeColor="text1"/>
          <w:rtl/>
          <w:lang w:bidi="ar-EG"/>
        </w:rPr>
        <w:lastRenderedPageBreak/>
        <w:t xml:space="preserve">الابتكار في الخدمات المالية بوصفه نتيجة </w:t>
      </w:r>
      <w:proofErr w:type="spellStart"/>
      <w:r w:rsidRPr="006E471D">
        <w:rPr>
          <w:rFonts w:ascii="Traditional Arabic" w:hAnsi="Traditional Arabic" w:cs="Traditional Arabic"/>
          <w:b/>
          <w:bCs/>
          <w:color w:val="000000" w:themeColor="text1"/>
          <w:rtl/>
          <w:lang w:bidi="ar-EG"/>
        </w:rPr>
        <w:t>للرقمنة</w:t>
      </w:r>
      <w:proofErr w:type="spellEnd"/>
      <w:r w:rsidRPr="006E471D">
        <w:rPr>
          <w:rFonts w:ascii="Traditional Arabic" w:hAnsi="Traditional Arabic" w:cs="Traditional Arabic"/>
          <w:b/>
          <w:bCs/>
          <w:color w:val="000000" w:themeColor="text1"/>
          <w:rtl/>
          <w:lang w:bidi="ar-EG"/>
        </w:rPr>
        <w:t xml:space="preserve"> والبيانات وجودة القرار</w:t>
      </w:r>
      <w:bookmarkEnd w:id="30"/>
    </w:p>
    <w:p w14:paraId="1C542528" w14:textId="2B9191F4"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يميل الابتكار في الخدمات المالية إلى الارتباط الوثيق </w:t>
      </w:r>
      <w:proofErr w:type="spellStart"/>
      <w:r w:rsidRPr="006E471D">
        <w:rPr>
          <w:rFonts w:ascii="Traditional Arabic" w:hAnsi="Traditional Arabic" w:cs="Traditional Arabic"/>
          <w:sz w:val="28"/>
          <w:szCs w:val="28"/>
          <w:rtl/>
          <w:lang w:bidi="ar-EG"/>
        </w:rPr>
        <w:t>بالرقمنة</w:t>
      </w:r>
      <w:proofErr w:type="spellEnd"/>
      <w:r w:rsidRPr="006E471D">
        <w:rPr>
          <w:rFonts w:ascii="Traditional Arabic" w:hAnsi="Traditional Arabic" w:cs="Traditional Arabic"/>
          <w:sz w:val="28"/>
          <w:szCs w:val="28"/>
          <w:rtl/>
          <w:lang w:bidi="ar-EG"/>
        </w:rPr>
        <w:t xml:space="preserve"> لأن الخدمة المصرفية ذات طبيعة غير ملموسة، وتُنتَج وتُستهلك غالباً عبر عمليات معلوماتية. لذلك يصبح للبيانات—ولطرق تحليلها وتوظيفها—دور تأسيسي في تمكين الابتكار: فمن ناحية، تسمح التقنيات الرقمية بإعادة تصميم نقاط التماس مع العميل، ومن ناحية أخرى تخلق تدفقات بيانات مستمرة تُغذّي التعلم التنظيمي وتُحسّن جودة المفاضلة بين البدائل. وتلفت البحوث إلى أن الثقافة القائمة على البيانات ليست مجرد شعار، بل إطار عملي يجعل المنظمة أكثر قدرة على الابتكار في المنتج والعملية لأن القرار يصبح أدق وأسرع وأقل اعتماداً على الانطباعات (</w:t>
      </w:r>
      <w:r w:rsidRPr="006E471D">
        <w:rPr>
          <w:rFonts w:ascii="Traditional Arabic" w:hAnsi="Traditional Arabic" w:cs="Traditional Arabic"/>
          <w:sz w:val="28"/>
          <w:szCs w:val="28"/>
          <w:lang w:bidi="ar-EG"/>
        </w:rPr>
        <w:t>Chatterjee et al., 2021</w:t>
      </w:r>
      <w:r w:rsidRPr="006E471D">
        <w:rPr>
          <w:rFonts w:ascii="Traditional Arabic" w:hAnsi="Traditional Arabic" w:cs="Traditional Arabic"/>
          <w:sz w:val="28"/>
          <w:szCs w:val="28"/>
          <w:rtl/>
          <w:lang w:bidi="ar-EG"/>
        </w:rPr>
        <w:t>).</w:t>
      </w:r>
    </w:p>
    <w:p w14:paraId="2FA015A9"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وفي السياق البنكي، يتضح هذا الترابط كذلك من زاوية القدرات: فقد بينت دراسة على بنوك إندونيسية أن مجموعة من القدرات (التقنية/</w:t>
      </w:r>
      <w:proofErr w:type="spellStart"/>
      <w:r w:rsidRPr="006E471D">
        <w:rPr>
          <w:rFonts w:ascii="Traditional Arabic" w:hAnsi="Traditional Arabic" w:cs="Traditional Arabic"/>
          <w:sz w:val="28"/>
          <w:szCs w:val="28"/>
          <w:rtl/>
          <w:lang w:bidi="ar-EG"/>
        </w:rPr>
        <w:t>المنظومية</w:t>
      </w:r>
      <w:proofErr w:type="spellEnd"/>
      <w:r w:rsidRPr="006E471D">
        <w:rPr>
          <w:rFonts w:ascii="Traditional Arabic" w:hAnsi="Traditional Arabic" w:cs="Traditional Arabic"/>
          <w:sz w:val="28"/>
          <w:szCs w:val="28"/>
          <w:rtl/>
          <w:lang w:bidi="ar-EG"/>
        </w:rPr>
        <w:t>/الحوكمة–المخاطر–الامتثال) تدفع التحول الرقمي والابتكار معاً، بما يشير إلى أن الابتكار في البنوك لا ينفصل عن الاستعداد التنظيمي لإدارة البيانات والمخاطر ضمن إطار حوكمة واضح (</w:t>
      </w:r>
      <w:r w:rsidRPr="006E471D">
        <w:rPr>
          <w:rFonts w:ascii="Traditional Arabic" w:hAnsi="Traditional Arabic" w:cs="Traditional Arabic"/>
          <w:sz w:val="28"/>
          <w:szCs w:val="28"/>
          <w:lang w:bidi="ar-EG"/>
        </w:rPr>
        <w:t>Abdurrahman et al., 2024</w:t>
      </w:r>
      <w:r w:rsidRPr="006E471D">
        <w:rPr>
          <w:rFonts w:ascii="Traditional Arabic" w:hAnsi="Traditional Arabic" w:cs="Traditional Arabic"/>
          <w:sz w:val="28"/>
          <w:szCs w:val="28"/>
          <w:rtl/>
          <w:lang w:bidi="ar-EG"/>
        </w:rPr>
        <w:t>).</w:t>
      </w:r>
    </w:p>
    <w:p w14:paraId="5D3EDA3B" w14:textId="48B655A7" w:rsidR="00C7737C" w:rsidRPr="006E471D" w:rsidRDefault="00C7737C" w:rsidP="00154AF2">
      <w:pPr>
        <w:pStyle w:val="Heading3"/>
        <w:jc w:val="both"/>
        <w:rPr>
          <w:rFonts w:ascii="Traditional Arabic" w:hAnsi="Traditional Arabic" w:cs="Traditional Arabic"/>
          <w:b/>
          <w:bCs/>
          <w:color w:val="000000" w:themeColor="text1"/>
          <w:rtl/>
          <w:lang w:bidi="ar-EG"/>
        </w:rPr>
      </w:pPr>
      <w:bookmarkStart w:id="31" w:name="_Toc222423566"/>
      <w:r w:rsidRPr="006E471D">
        <w:rPr>
          <w:rFonts w:ascii="Traditional Arabic" w:hAnsi="Traditional Arabic" w:cs="Traditional Arabic"/>
          <w:b/>
          <w:bCs/>
          <w:color w:val="000000" w:themeColor="text1"/>
          <w:rtl/>
          <w:lang w:bidi="ar-EG"/>
        </w:rPr>
        <w:t>محددات الابتكار التنظيمي في المصارف</w:t>
      </w:r>
      <w:bookmarkEnd w:id="31"/>
    </w:p>
    <w:p w14:paraId="723B500A"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انطلاقاً من الأدبيات، يمكن قراءة ابتكار البنوك كنتيجة لتفاعل </w:t>
      </w:r>
      <w:proofErr w:type="gramStart"/>
      <w:r w:rsidRPr="006E471D">
        <w:rPr>
          <w:rFonts w:ascii="Traditional Arabic" w:hAnsi="Traditional Arabic" w:cs="Traditional Arabic"/>
          <w:sz w:val="28"/>
          <w:szCs w:val="28"/>
          <w:rtl/>
          <w:lang w:bidi="ar-EG"/>
        </w:rPr>
        <w:t>خمسة</w:t>
      </w:r>
      <w:proofErr w:type="gramEnd"/>
      <w:r w:rsidRPr="006E471D">
        <w:rPr>
          <w:rFonts w:ascii="Traditional Arabic" w:hAnsi="Traditional Arabic" w:cs="Traditional Arabic"/>
          <w:sz w:val="28"/>
          <w:szCs w:val="28"/>
          <w:rtl/>
          <w:lang w:bidi="ar-EG"/>
        </w:rPr>
        <w:t xml:space="preserve"> محددات رئيسة تتفق مع طبيعة موضوع الدراسة.</w:t>
      </w:r>
    </w:p>
    <w:p w14:paraId="416B50CD" w14:textId="02E8F562" w:rsidR="00C7737C" w:rsidRPr="006E471D" w:rsidRDefault="00C7737C"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القيادة وتوجيه السلوك الابتكاري</w:t>
      </w:r>
    </w:p>
    <w:p w14:paraId="35B76D98" w14:textId="627F089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تلعب القيادة دوراً </w:t>
      </w:r>
      <w:r w:rsidR="00154AF2" w:rsidRPr="006E471D">
        <w:rPr>
          <w:rFonts w:ascii="Traditional Arabic" w:hAnsi="Traditional Arabic" w:cs="Traditional Arabic"/>
          <w:sz w:val="28"/>
          <w:szCs w:val="28"/>
          <w:rtl/>
          <w:lang w:bidi="ar-EG"/>
        </w:rPr>
        <w:t>مركزياً</w:t>
      </w:r>
      <w:r w:rsidRPr="006E471D">
        <w:rPr>
          <w:rFonts w:ascii="Traditional Arabic" w:hAnsi="Traditional Arabic" w:cs="Traditional Arabic"/>
          <w:sz w:val="28"/>
          <w:szCs w:val="28"/>
          <w:rtl/>
          <w:lang w:bidi="ar-EG"/>
        </w:rPr>
        <w:t xml:space="preserve"> في البنوك لأنها من يحدد شهية المخاطر وحدود التجريب، كما أنها من يضمن ألا يتحول الابتكار إلى ممارسة معزولة عن استراتيجية البنك. وتشير بحوث حديثة إلى أن القيادة التحويلية قد تعزز أثر العوامل التنظيمية على كثافة الابتكار، بما يدعم فكرة أن القيادة ليست عاملاً مكملاً بل رافعة تُقوّي مسار الابتكار عبر توجيه الموارد وتشكيل المناخ (</w:t>
      </w:r>
      <w:r w:rsidRPr="006E471D">
        <w:rPr>
          <w:rFonts w:ascii="Traditional Arabic" w:hAnsi="Traditional Arabic" w:cs="Traditional Arabic"/>
          <w:sz w:val="28"/>
          <w:szCs w:val="28"/>
          <w:lang w:bidi="ar-EG"/>
        </w:rPr>
        <w:t>Hoai et al., 2022</w:t>
      </w:r>
      <w:r w:rsidRPr="006E471D">
        <w:rPr>
          <w:rFonts w:ascii="Traditional Arabic" w:hAnsi="Traditional Arabic" w:cs="Traditional Arabic"/>
          <w:sz w:val="28"/>
          <w:szCs w:val="28"/>
          <w:rtl/>
          <w:lang w:bidi="ar-EG"/>
        </w:rPr>
        <w:t>).</w:t>
      </w:r>
    </w:p>
    <w:p w14:paraId="2A1C9D60" w14:textId="4E3B25DB" w:rsidR="00C7737C" w:rsidRPr="006E471D" w:rsidRDefault="00C7737C"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التعلم التنظيمي بوصفه آلية لتحويل الابتكار إلى أداء</w:t>
      </w:r>
    </w:p>
    <w:p w14:paraId="51277CBB"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في المؤسسات المصرفية، لا يكفي توليد المبادرات؛ بل يجب استيعاب الدروس وتحويلها إلى معرفة تشغيلية قابلة للتكرار. وتقدم دراسة حديثة في سياق البنوك الصومالية دليلاً مباشراً على هذا المنطق، إذ وجدت أن ابتكارات المؤسسة/العملية/الخدمة تُحسّن التعلم التنظيمي، وأن التعلم بدوره يعزز الأداء، بما يجعل التعلم قناة مركزية لترسيخ الابتكار واستدامته (</w:t>
      </w:r>
      <w:r w:rsidRPr="006E471D">
        <w:rPr>
          <w:rFonts w:ascii="Traditional Arabic" w:hAnsi="Traditional Arabic" w:cs="Traditional Arabic"/>
          <w:sz w:val="28"/>
          <w:szCs w:val="28"/>
          <w:lang w:bidi="ar-EG"/>
        </w:rPr>
        <w:t>Mohamed &amp; Hussein, 2025</w:t>
      </w:r>
      <w:r w:rsidRPr="006E471D">
        <w:rPr>
          <w:rFonts w:ascii="Traditional Arabic" w:hAnsi="Traditional Arabic" w:cs="Traditional Arabic"/>
          <w:sz w:val="28"/>
          <w:szCs w:val="28"/>
          <w:rtl/>
          <w:lang w:bidi="ar-EG"/>
        </w:rPr>
        <w:t>).</w:t>
      </w:r>
    </w:p>
    <w:p w14:paraId="6E33AAE2" w14:textId="1F246051" w:rsidR="00C7737C" w:rsidRPr="006E471D" w:rsidRDefault="00C7737C"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القدرات الرقمية والقدرات الديناميكية</w:t>
      </w:r>
    </w:p>
    <w:p w14:paraId="6CF85231" w14:textId="351B1D0B"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تُظهر الأدبيات البنكية أن الابتكار يزداد احتمالاً عندما تتوفر القدرات الرقمية (بنية تقنية، مهارات، تكامل نظم) إلى جانب القدرات الديناميكية التي تسمح بإعادة تشكيل الموارد واستيعاب التغيرات. وفي هذا السياق، يوضح نموذج قائم على دمج منظور الموارد والقدرات الديناميكية أن التحول الرقمي يمكن أن يكون آلية تحويل تنقل أثر القدرات إلى ابتكار المنتج الرقمي (</w:t>
      </w:r>
      <w:r w:rsidRPr="006E471D">
        <w:rPr>
          <w:rFonts w:ascii="Traditional Arabic" w:hAnsi="Traditional Arabic" w:cs="Traditional Arabic"/>
          <w:sz w:val="28"/>
          <w:szCs w:val="28"/>
          <w:lang w:bidi="ar-EG"/>
        </w:rPr>
        <w:t>Abdurrahman, 2025</w:t>
      </w:r>
      <w:r w:rsidRPr="006E471D">
        <w:rPr>
          <w:rFonts w:ascii="Traditional Arabic" w:hAnsi="Traditional Arabic" w:cs="Traditional Arabic"/>
          <w:sz w:val="28"/>
          <w:szCs w:val="28"/>
          <w:rtl/>
          <w:lang w:bidi="ar-EG"/>
        </w:rPr>
        <w:t>).</w:t>
      </w:r>
    </w:p>
    <w:p w14:paraId="03042BBD" w14:textId="6805D996" w:rsidR="00C7737C" w:rsidRPr="006E471D" w:rsidRDefault="00C7737C"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lastRenderedPageBreak/>
        <w:t>الحوكمة وإدارة المخاطر والامتثال</w:t>
      </w:r>
    </w:p>
    <w:p w14:paraId="17C5172D"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الابتكار البنكي محكوم بضوابط صارمة؛ ولذلك يصبح تصميم حوكمة قادرة على الموازنة بين المرونة والانضباط شرطاً لابتكار آمن وقابل للاستمرار. وتظهر الأبحاث أن قدرات الحوكمة–المخاطر–الامتثال (</w:t>
      </w:r>
      <w:r w:rsidRPr="006E471D">
        <w:rPr>
          <w:rFonts w:ascii="Traditional Arabic" w:hAnsi="Traditional Arabic" w:cs="Traditional Arabic"/>
          <w:sz w:val="28"/>
          <w:szCs w:val="28"/>
          <w:lang w:bidi="ar-EG"/>
        </w:rPr>
        <w:t>GRC</w:t>
      </w:r>
      <w:r w:rsidRPr="006E471D">
        <w:rPr>
          <w:rFonts w:ascii="Traditional Arabic" w:hAnsi="Traditional Arabic" w:cs="Traditional Arabic"/>
          <w:sz w:val="28"/>
          <w:szCs w:val="28"/>
          <w:rtl/>
          <w:lang w:bidi="ar-EG"/>
        </w:rPr>
        <w:t>) يمكن أن تدعم التحول الرقمي وتُسهم في تحسين النتائج، بما يعني أن الحوكمة لا تعيق الابتكار بالضرورة، بل قد تُهيئ له المسار المؤسسي الصحيح (</w:t>
      </w:r>
      <w:r w:rsidRPr="006E471D">
        <w:rPr>
          <w:rFonts w:ascii="Traditional Arabic" w:hAnsi="Traditional Arabic" w:cs="Traditional Arabic"/>
          <w:sz w:val="28"/>
          <w:szCs w:val="28"/>
          <w:lang w:bidi="ar-EG"/>
        </w:rPr>
        <w:t>Abdurrahman et al., 2024</w:t>
      </w:r>
      <w:r w:rsidRPr="006E471D">
        <w:rPr>
          <w:rFonts w:ascii="Traditional Arabic" w:hAnsi="Traditional Arabic" w:cs="Traditional Arabic"/>
          <w:sz w:val="28"/>
          <w:szCs w:val="28"/>
          <w:rtl/>
          <w:lang w:bidi="ar-EG"/>
        </w:rPr>
        <w:t>).</w:t>
      </w:r>
    </w:p>
    <w:p w14:paraId="2952059A" w14:textId="2E4F5DE0" w:rsidR="00C7737C" w:rsidRPr="006E471D" w:rsidRDefault="00C7737C" w:rsidP="00154AF2">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استثمار البيانات ونضجها: من التحليلات إلى حوكمة البيانات ومحو الأمية البيانية</w:t>
      </w:r>
    </w:p>
    <w:p w14:paraId="03131E03" w14:textId="7149E37A"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يمثل الاستثمار في البيانات—بمعناه التنظيمي لا التقني فقط—مدخلاً حاسماً للابتكار؛ لأن نضج البيانات يرفع جودة الرؤى ويقلل التباين في التفسير ويُحسن التنسيق بين الوحدات. وقد بينت دراسة الجدّاوي (2024) أن التحليلات وحوكمة البيانات والإلمام بالبيانات تُسهم في رفع الابتكار المؤسسي وتُعدل أثر الثقافة التنظيمية عليه، وهو ما ينسجم مع توجهات حديثة ترى أن نضج البيانات أصبح جزءاً من تعريف الثقافة الابتكارية المعاصرة (الجدّاوي، 2024).</w:t>
      </w:r>
    </w:p>
    <w:p w14:paraId="57F235D3" w14:textId="22203FC4"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يخلص هذا القسم إلى أن الابتكار التنظيمي في المصارف يُفهم بوصفه محصلة تراكمية لابتكارات المنتج/الخدمة، وابتكارات العمليات، وثقافة تنظيمية قادرة على دعم التجريب والتعلم واستثمار البيانات. ومن ثمّ، فإن قياس هذه الأبعاد الثلاثة في الدراسة الحالية يتيح اختبار العلاقات السببية المقترحة لاحقاً: كيف يمكن لقبول </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أن يرفع جودة القرار الاستراتيجي، وكيف تنعكس جودة القرار—في النهاية—على الابتكار التنظيمي بوصفه مخرجاً نهائياً للنموذج.</w:t>
      </w:r>
    </w:p>
    <w:p w14:paraId="0AFA475E" w14:textId="1DCA28FA" w:rsidR="00C7737C" w:rsidRPr="006E471D" w:rsidRDefault="00C7737C" w:rsidP="009514B3">
      <w:pPr>
        <w:pStyle w:val="Heading2"/>
        <w:jc w:val="both"/>
        <w:rPr>
          <w:rFonts w:ascii="Traditional Arabic" w:hAnsi="Traditional Arabic" w:cs="Traditional Arabic"/>
          <w:b/>
          <w:bCs/>
          <w:color w:val="000000" w:themeColor="text1"/>
          <w:rtl/>
          <w:lang w:bidi="ar-EG"/>
        </w:rPr>
      </w:pPr>
      <w:bookmarkStart w:id="32" w:name="_Toc222423567"/>
      <w:r w:rsidRPr="006E471D">
        <w:rPr>
          <w:rFonts w:ascii="Traditional Arabic" w:hAnsi="Traditional Arabic" w:cs="Traditional Arabic"/>
          <w:b/>
          <w:bCs/>
          <w:color w:val="000000" w:themeColor="text1"/>
          <w:rtl/>
          <w:lang w:bidi="ar-EG"/>
        </w:rPr>
        <w:t>الإطار التفسيري للعلاقات بين المتغيرات وتطوير الفرضيات</w:t>
      </w:r>
      <w:bookmarkEnd w:id="32"/>
    </w:p>
    <w:p w14:paraId="4A665E06" w14:textId="75E81383"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يمثل هذا القسم الحلقة التي تربط بين البناء النظري السابق وبين منطق النموذج المقترح للدراسة، وذلك عبر تفسير المسارات المتوقعة بين المتغيرات الثلاثة: قبول أنظمة ذكاء الأعمال وفق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بوصفه متغيراً مستقلاً، وجودة القرارات الاستراتيجية بوصفها متغيراً وسيطاً، والابتكار التنظيمي بوصفه متغيراً تابعاً. ويستند هذا الإطار إلى فكرة محورية مفادها أن القيمة الاستراتيجية لذكاء الأعمال في المصارف لا تنتج تلقائياً من توافر النظام، وإنما من قبول المديرين له وما يترتب عليه من استخدام فعلي يُحسن المدخلات التحليلية وجودة المفاضلة، ثم ينعكس على قدرة المصرف على الابتكار.</w:t>
      </w:r>
    </w:p>
    <w:p w14:paraId="1832AC6C" w14:textId="31D5596E" w:rsidR="00C7737C" w:rsidRPr="006E471D" w:rsidRDefault="00C7737C" w:rsidP="003E4BD1">
      <w:pPr>
        <w:pStyle w:val="Heading3"/>
        <w:jc w:val="both"/>
        <w:rPr>
          <w:rFonts w:ascii="Traditional Arabic" w:hAnsi="Traditional Arabic" w:cs="Traditional Arabic"/>
          <w:b/>
          <w:bCs/>
          <w:color w:val="000000" w:themeColor="text1"/>
          <w:rtl/>
          <w:lang w:bidi="ar-EG"/>
        </w:rPr>
      </w:pPr>
      <w:bookmarkStart w:id="33" w:name="_Toc222423568"/>
      <w:r w:rsidRPr="006E471D">
        <w:rPr>
          <w:rFonts w:ascii="Traditional Arabic" w:hAnsi="Traditional Arabic" w:cs="Traditional Arabic"/>
          <w:b/>
          <w:bCs/>
          <w:color w:val="000000" w:themeColor="text1"/>
          <w:rtl/>
          <w:lang w:bidi="ar-EG"/>
        </w:rPr>
        <w:t>الأساس النظري للعلاقة بين قبول أنظمة ذكاء الأعمال وجودة القرارات الاستراتيجية (</w:t>
      </w:r>
      <w:r w:rsidRPr="006E471D">
        <w:rPr>
          <w:rFonts w:ascii="Traditional Arabic" w:hAnsi="Traditional Arabic" w:cs="Traditional Arabic"/>
          <w:b/>
          <w:bCs/>
          <w:color w:val="000000" w:themeColor="text1"/>
          <w:lang w:bidi="ar-EG"/>
        </w:rPr>
        <w:t>H1</w:t>
      </w:r>
      <w:r w:rsidRPr="006E471D">
        <w:rPr>
          <w:rFonts w:ascii="Traditional Arabic" w:hAnsi="Traditional Arabic" w:cs="Traditional Arabic"/>
          <w:b/>
          <w:bCs/>
          <w:color w:val="000000" w:themeColor="text1"/>
          <w:rtl/>
          <w:lang w:bidi="ar-EG"/>
        </w:rPr>
        <w:t>)</w:t>
      </w:r>
      <w:bookmarkEnd w:id="33"/>
    </w:p>
    <w:p w14:paraId="7F2A4D6B" w14:textId="4926279A"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يفترض نموذج قبول التكنولوجيا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أن الفائدة المدركة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وسهولة الاستخدام المدركة (</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تُشكلان أساس </w:t>
      </w:r>
      <w:r w:rsidR="0099150B" w:rsidRPr="006E471D">
        <w:rPr>
          <w:rFonts w:ascii="Traditional Arabic" w:hAnsi="Traditional Arabic" w:cs="Traditional Arabic"/>
          <w:sz w:val="28"/>
          <w:szCs w:val="28"/>
          <w:rtl/>
          <w:lang w:bidi="ar-EG"/>
        </w:rPr>
        <w:t>نية الاستخدام</w:t>
      </w:r>
      <w:r w:rsidRPr="006E471D">
        <w:rPr>
          <w:rFonts w:ascii="Traditional Arabic" w:hAnsi="Traditional Arabic" w:cs="Traditional Arabic"/>
          <w:sz w:val="28"/>
          <w:szCs w:val="28"/>
          <w:rtl/>
          <w:lang w:bidi="ar-EG"/>
        </w:rPr>
        <w:t>، وأن هذه النية تُترجم—بدرجات متفاوتة—إلى استخدام فعلي يُحدث أثراً تنظيمياً (</w:t>
      </w:r>
      <w:r w:rsidRPr="006E471D">
        <w:rPr>
          <w:rFonts w:ascii="Traditional Arabic" w:hAnsi="Traditional Arabic" w:cs="Traditional Arabic"/>
          <w:sz w:val="28"/>
          <w:szCs w:val="28"/>
          <w:lang w:bidi="ar-EG"/>
        </w:rPr>
        <w:t>Davis, 1989</w:t>
      </w:r>
      <w:r w:rsidRPr="006E471D">
        <w:rPr>
          <w:rFonts w:ascii="Traditional Arabic" w:hAnsi="Traditional Arabic" w:cs="Traditional Arabic"/>
          <w:sz w:val="28"/>
          <w:szCs w:val="28"/>
          <w:rtl/>
          <w:lang w:bidi="ar-EG"/>
        </w:rPr>
        <w:t xml:space="preserve">). وفي سياق المصارف، يصبح هذا الافتراض أكثر حساسية لأن استخدام أنظمة ذكاء الأعمال يتقاطع مباشرة مع مسؤولية القرار الاستراتيجي: فكلما ارتفع إدراك المدير لفائدة النظام في تحسين الأداء </w:t>
      </w:r>
      <w:proofErr w:type="spellStart"/>
      <w:r w:rsidRPr="006E471D">
        <w:rPr>
          <w:rFonts w:ascii="Traditional Arabic" w:hAnsi="Traditional Arabic" w:cs="Traditional Arabic"/>
          <w:sz w:val="28"/>
          <w:szCs w:val="28"/>
          <w:rtl/>
          <w:lang w:bidi="ar-EG"/>
        </w:rPr>
        <w:t>القراري</w:t>
      </w:r>
      <w:proofErr w:type="spellEnd"/>
      <w:r w:rsidRPr="006E471D">
        <w:rPr>
          <w:rFonts w:ascii="Traditional Arabic" w:hAnsi="Traditional Arabic" w:cs="Traditional Arabic"/>
          <w:sz w:val="28"/>
          <w:szCs w:val="28"/>
          <w:rtl/>
          <w:lang w:bidi="ar-EG"/>
        </w:rPr>
        <w:t>، وتراجع العبء الإدراكي المرتبط بتشغيله، زادت احتمالات دمجه في دورة القرار من جمع المعلومات حتى تقييم البدائل. وتعضد الأدلة التطبيقية ذلك؛ إذ تُظهر دراسة قطاع البنوك الأردنية أن تبني ذكاء الأعمال يرتبط بتحسن أداء اتخاذ القرار (</w:t>
      </w:r>
      <w:r w:rsidRPr="006E471D">
        <w:rPr>
          <w:rFonts w:ascii="Traditional Arabic" w:hAnsi="Traditional Arabic" w:cs="Traditional Arabic"/>
          <w:sz w:val="28"/>
          <w:szCs w:val="28"/>
          <w:lang w:bidi="ar-EG"/>
        </w:rPr>
        <w:t>decision-making performance</w:t>
      </w:r>
      <w:r w:rsidRPr="006E471D">
        <w:rPr>
          <w:rFonts w:ascii="Traditional Arabic" w:hAnsi="Traditional Arabic" w:cs="Traditional Arabic"/>
          <w:sz w:val="28"/>
          <w:szCs w:val="28"/>
          <w:rtl/>
          <w:lang w:bidi="ar-EG"/>
        </w:rPr>
        <w:t xml:space="preserve">)، بما يعني أن تبني النظام—بوصفه سلوكاً </w:t>
      </w:r>
      <w:proofErr w:type="spellStart"/>
      <w:r w:rsidRPr="006E471D">
        <w:rPr>
          <w:rFonts w:ascii="Traditional Arabic" w:hAnsi="Traditional Arabic" w:cs="Traditional Arabic"/>
          <w:sz w:val="28"/>
          <w:szCs w:val="28"/>
          <w:rtl/>
          <w:lang w:bidi="ar-EG"/>
        </w:rPr>
        <w:t>استخدامياً</w:t>
      </w:r>
      <w:proofErr w:type="spellEnd"/>
      <w:r w:rsidRPr="006E471D">
        <w:rPr>
          <w:rFonts w:ascii="Traditional Arabic" w:hAnsi="Traditional Arabic" w:cs="Traditional Arabic"/>
          <w:sz w:val="28"/>
          <w:szCs w:val="28"/>
          <w:rtl/>
          <w:lang w:bidi="ar-EG"/>
        </w:rPr>
        <w:t>—يقترن بنتائج قرار أفضل (</w:t>
      </w:r>
      <w:proofErr w:type="spellStart"/>
      <w:r w:rsidRPr="006E471D">
        <w:rPr>
          <w:rFonts w:ascii="Traditional Arabic" w:hAnsi="Traditional Arabic" w:cs="Traditional Arabic"/>
          <w:sz w:val="28"/>
          <w:szCs w:val="28"/>
          <w:lang w:bidi="ar-EG"/>
        </w:rPr>
        <w:t>Qatawneh</w:t>
      </w:r>
      <w:proofErr w:type="spellEnd"/>
      <w:r w:rsidRPr="006E471D">
        <w:rPr>
          <w:rFonts w:ascii="Traditional Arabic" w:hAnsi="Traditional Arabic" w:cs="Traditional Arabic"/>
          <w:sz w:val="28"/>
          <w:szCs w:val="28"/>
          <w:lang w:bidi="ar-EG"/>
        </w:rPr>
        <w:t>, 2024</w:t>
      </w:r>
      <w:r w:rsidRPr="006E471D">
        <w:rPr>
          <w:rFonts w:ascii="Traditional Arabic" w:hAnsi="Traditional Arabic" w:cs="Traditional Arabic"/>
          <w:sz w:val="28"/>
          <w:szCs w:val="28"/>
          <w:rtl/>
          <w:lang w:bidi="ar-EG"/>
        </w:rPr>
        <w:t>).</w:t>
      </w:r>
    </w:p>
    <w:p w14:paraId="48ED7110" w14:textId="54B33194"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lastRenderedPageBreak/>
        <w:t>وعلى مستوى كيفية تحسين القرار، توضح نتائج بحوث نظم المعلومات أن جودة المعلومات المعروضة في لوحات المتابعة—من حيث الصياغة والحداثة والاكتمال—تؤثر في جودة القرار عبر تخفيض تعقيد المهمة المدرك وتعزيز الرضا عن المعلومات (</w:t>
      </w:r>
      <w:r w:rsidRPr="006E471D">
        <w:rPr>
          <w:rFonts w:ascii="Traditional Arabic" w:hAnsi="Traditional Arabic" w:cs="Traditional Arabic"/>
          <w:sz w:val="28"/>
          <w:szCs w:val="28"/>
          <w:lang w:bidi="ar-EG"/>
        </w:rPr>
        <w:t>Hjelle et al., 2024</w:t>
      </w:r>
      <w:r w:rsidRPr="006E471D">
        <w:rPr>
          <w:rFonts w:ascii="Traditional Arabic" w:hAnsi="Traditional Arabic" w:cs="Traditional Arabic"/>
          <w:sz w:val="28"/>
          <w:szCs w:val="28"/>
          <w:rtl/>
          <w:lang w:bidi="ar-EG"/>
        </w:rPr>
        <w:t xml:space="preserve">). كما تفيد أدلة أخرى بأن الانتقال من الاستخدام الروتيني إلى الاستخدام المتقدم لخصائص </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يرتبط بتحسن الأداء الفردي، وأن جودة النظام والبيانات والمعلومات والخدمة تُعد محددات مهمة لهذا الاستخدام المتقدم (</w:t>
      </w:r>
      <w:r w:rsidRPr="006E471D">
        <w:rPr>
          <w:rFonts w:ascii="Traditional Arabic" w:hAnsi="Traditional Arabic" w:cs="Traditional Arabic"/>
          <w:sz w:val="28"/>
          <w:szCs w:val="28"/>
          <w:lang w:bidi="ar-EG"/>
        </w:rPr>
        <w:t>Mudau et al., 2024</w:t>
      </w:r>
      <w:r w:rsidRPr="006E471D">
        <w:rPr>
          <w:rFonts w:ascii="Traditional Arabic" w:hAnsi="Traditional Arabic" w:cs="Traditional Arabic"/>
          <w:sz w:val="28"/>
          <w:szCs w:val="28"/>
          <w:rtl/>
          <w:lang w:bidi="ar-EG"/>
        </w:rPr>
        <w:t>). وفي الأدبيات العربية، تشير تطبيقات على قطاع البنوك إلى أن ذكاء الأعمال يُستخدم في دعم اتخاذ القرارات، ورصد الاتجاهات، وتقديم معلومات تساعد الإدارة في اختيار بدائل أكثر ملاءمة (الغريب، 2022)، كما تؤكد دراسة ميدانية عربية وجود علاقة موجبة بين أبعاد ذكاء الأعمال واتخاذ القرارات الاستراتيجية (سليم والشريف، 2025).</w:t>
      </w:r>
    </w:p>
    <w:p w14:paraId="58175F28"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وبناءً عليه تُصاغ الفرضية الأولى:</w:t>
      </w:r>
    </w:p>
    <w:p w14:paraId="13AA7466" w14:textId="77777777" w:rsidR="00C7737C" w:rsidRPr="006E471D" w:rsidRDefault="00C7737C" w:rsidP="00C80653">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6E471D">
        <w:rPr>
          <w:rFonts w:ascii="Traditional Arabic" w:hAnsi="Traditional Arabic" w:cs="Traditional Arabic"/>
          <w:b/>
          <w:bCs/>
          <w:sz w:val="28"/>
          <w:szCs w:val="28"/>
          <w:lang w:bidi="ar-EG"/>
        </w:rPr>
        <w:t>H1</w:t>
      </w:r>
      <w:r w:rsidRPr="006E471D">
        <w:rPr>
          <w:rFonts w:ascii="Traditional Arabic" w:hAnsi="Traditional Arabic" w:cs="Traditional Arabic"/>
          <w:b/>
          <w:bCs/>
          <w:sz w:val="28"/>
          <w:szCs w:val="28"/>
          <w:rtl/>
          <w:lang w:bidi="ar-EG"/>
        </w:rPr>
        <w:t xml:space="preserve">: يؤثر قبول أنظمة ذكاء الأعمال (وفق نموذج </w:t>
      </w:r>
      <w:r w:rsidRPr="006E471D">
        <w:rPr>
          <w:rFonts w:ascii="Traditional Arabic" w:hAnsi="Traditional Arabic" w:cs="Traditional Arabic"/>
          <w:b/>
          <w:bCs/>
          <w:sz w:val="28"/>
          <w:szCs w:val="28"/>
          <w:lang w:bidi="ar-EG"/>
        </w:rPr>
        <w:t>TAM</w:t>
      </w:r>
      <w:r w:rsidRPr="006E471D">
        <w:rPr>
          <w:rFonts w:ascii="Traditional Arabic" w:hAnsi="Traditional Arabic" w:cs="Traditional Arabic"/>
          <w:b/>
          <w:bCs/>
          <w:sz w:val="28"/>
          <w:szCs w:val="28"/>
          <w:rtl/>
          <w:lang w:bidi="ar-EG"/>
        </w:rPr>
        <w:t>) تأثيراً إيجابياً ذا دلالة إحصائية في جودة القرارات الاستراتيجية في المصارف العاملة بمدينة الرياض.</w:t>
      </w:r>
    </w:p>
    <w:p w14:paraId="72CA94F1" w14:textId="302A3B2E" w:rsidR="00C7737C" w:rsidRPr="006E471D" w:rsidRDefault="00C7737C" w:rsidP="00C80653">
      <w:pPr>
        <w:pStyle w:val="Heading3"/>
        <w:jc w:val="both"/>
        <w:rPr>
          <w:rFonts w:ascii="Traditional Arabic" w:hAnsi="Traditional Arabic" w:cs="Traditional Arabic"/>
          <w:b/>
          <w:bCs/>
          <w:color w:val="000000" w:themeColor="text1"/>
          <w:rtl/>
          <w:lang w:bidi="ar-EG"/>
        </w:rPr>
      </w:pPr>
      <w:bookmarkStart w:id="34" w:name="_Toc222423569"/>
      <w:r w:rsidRPr="006E471D">
        <w:rPr>
          <w:rFonts w:ascii="Traditional Arabic" w:hAnsi="Traditional Arabic" w:cs="Traditional Arabic"/>
          <w:b/>
          <w:bCs/>
          <w:color w:val="000000" w:themeColor="text1"/>
          <w:rtl/>
          <w:lang w:bidi="ar-EG"/>
        </w:rPr>
        <w:t>الأساس النظري للعلاقة بين جودة القرارات الاستراتيجية والابتكار التنظيمي (</w:t>
      </w:r>
      <w:r w:rsidRPr="006E471D">
        <w:rPr>
          <w:rFonts w:ascii="Traditional Arabic" w:hAnsi="Traditional Arabic" w:cs="Traditional Arabic"/>
          <w:b/>
          <w:bCs/>
          <w:color w:val="000000" w:themeColor="text1"/>
          <w:lang w:bidi="ar-EG"/>
        </w:rPr>
        <w:t>H2</w:t>
      </w:r>
      <w:r w:rsidRPr="006E471D">
        <w:rPr>
          <w:rFonts w:ascii="Traditional Arabic" w:hAnsi="Traditional Arabic" w:cs="Traditional Arabic"/>
          <w:b/>
          <w:bCs/>
          <w:color w:val="000000" w:themeColor="text1"/>
          <w:rtl/>
          <w:lang w:bidi="ar-EG"/>
        </w:rPr>
        <w:t>)</w:t>
      </w:r>
      <w:bookmarkEnd w:id="34"/>
    </w:p>
    <w:p w14:paraId="62651DA6" w14:textId="42C820BA"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يُفهم الابتكار التنظيمي في المصارف بوصفه نتاجاً تراكميّاً لقرارات تتعلق بتخصيص الموارد، وتحديد شهية المخاطر، واختيار مجالات التجريب، وتوقيت الإطلاق، وهي كلها قرارات لا يمكن فصلها عن معيار الجودة. فالقرار الاستراتيجي عالي الجودة يميل إلى تحسين دقة المفاضلة بين مبادرات الابتكار، وتجنب استنزاف الموارد في مشروعات ذات عائد معرفي ضعيف، كما يزيد قدرة البنك على إدارة المخاطر المصاحبة للتجديد في المنتجات أو العمليات. وتقدم الأدبيات الحديثة دعماً لهذا المنطق؛ إذ تُظهر دراسة منشورة في </w:t>
      </w:r>
      <w:r w:rsidRPr="006E471D">
        <w:rPr>
          <w:rFonts w:ascii="Traditional Arabic" w:hAnsi="Traditional Arabic" w:cs="Traditional Arabic"/>
          <w:sz w:val="28"/>
          <w:szCs w:val="28"/>
          <w:lang w:bidi="ar-EG"/>
        </w:rPr>
        <w:t>Industrial Marketing Management</w:t>
      </w:r>
      <w:r w:rsidRPr="006E471D">
        <w:rPr>
          <w:rFonts w:ascii="Traditional Arabic" w:hAnsi="Traditional Arabic" w:cs="Traditional Arabic"/>
          <w:sz w:val="28"/>
          <w:szCs w:val="28"/>
          <w:rtl/>
          <w:lang w:bidi="ar-EG"/>
        </w:rPr>
        <w:t xml:space="preserve"> أن أداء اتخاذ القرار يمثل آلية وسيطة تفسر كيف تسهم الأنظمة المعتمدة على الذكاء الاصطناعي في رفع الأداء الابتكاري، بما يعني أن رفع جودة/أداء القرار ليس نتيجة ثانوية، بل قناة تقود إلى مخرجات ابتكارية أعلى (</w:t>
      </w:r>
      <w:r w:rsidRPr="006E471D">
        <w:rPr>
          <w:rFonts w:ascii="Traditional Arabic" w:hAnsi="Traditional Arabic" w:cs="Traditional Arabic"/>
          <w:sz w:val="28"/>
          <w:szCs w:val="28"/>
          <w:lang w:bidi="ar-EG"/>
        </w:rPr>
        <w:t>Liu et al., 2025</w:t>
      </w:r>
      <w:r w:rsidRPr="006E471D">
        <w:rPr>
          <w:rFonts w:ascii="Traditional Arabic" w:hAnsi="Traditional Arabic" w:cs="Traditional Arabic"/>
          <w:sz w:val="28"/>
          <w:szCs w:val="28"/>
          <w:rtl/>
          <w:lang w:bidi="ar-EG"/>
        </w:rPr>
        <w:t>).</w:t>
      </w:r>
    </w:p>
    <w:p w14:paraId="1FADABE5"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ومن زاوية مكملة، تفيد الأدبيات بأن الثقافة القائمة على البيانات—التي تُعد بيئة معرفية مساندة لقرارات أكثر دقة—ترتبط إيجابياً بابتكار المنتجات وابتكار العمليات، وهو ما يعزز فكرة أن القرار الأكثر استناداً للأدلة يُحسن مخرجات الابتكار (</w:t>
      </w:r>
      <w:r w:rsidRPr="006E471D">
        <w:rPr>
          <w:rFonts w:ascii="Traditional Arabic" w:hAnsi="Traditional Arabic" w:cs="Traditional Arabic"/>
          <w:sz w:val="28"/>
          <w:szCs w:val="28"/>
          <w:lang w:bidi="ar-EG"/>
        </w:rPr>
        <w:t>Chatterjee et al., 2021</w:t>
      </w:r>
      <w:r w:rsidRPr="006E471D">
        <w:rPr>
          <w:rFonts w:ascii="Traditional Arabic" w:hAnsi="Traditional Arabic" w:cs="Traditional Arabic"/>
          <w:sz w:val="28"/>
          <w:szCs w:val="28"/>
          <w:rtl/>
          <w:lang w:bidi="ar-EG"/>
        </w:rPr>
        <w:t>).</w:t>
      </w:r>
    </w:p>
    <w:p w14:paraId="64A839EB"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وبناءً عليه تُصاغ الفرضية الثانية:</w:t>
      </w:r>
    </w:p>
    <w:p w14:paraId="24C2E263" w14:textId="77777777" w:rsidR="00C7737C" w:rsidRPr="006E471D" w:rsidRDefault="00C7737C" w:rsidP="0058753F">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6E471D">
        <w:rPr>
          <w:rFonts w:ascii="Traditional Arabic" w:hAnsi="Traditional Arabic" w:cs="Traditional Arabic"/>
          <w:b/>
          <w:bCs/>
          <w:sz w:val="28"/>
          <w:szCs w:val="28"/>
          <w:lang w:bidi="ar-EG"/>
        </w:rPr>
        <w:t>H2</w:t>
      </w:r>
      <w:r w:rsidRPr="006E471D">
        <w:rPr>
          <w:rFonts w:ascii="Traditional Arabic" w:hAnsi="Traditional Arabic" w:cs="Traditional Arabic"/>
          <w:b/>
          <w:bCs/>
          <w:sz w:val="28"/>
          <w:szCs w:val="28"/>
          <w:rtl/>
          <w:lang w:bidi="ar-EG"/>
        </w:rPr>
        <w:t>: تؤثر جودة القرارات الاستراتيجية تأثيراً إيجابياً ذا دلالة إحصائية في الابتكار التنظيمي في المصارف العاملة بمدينة الرياض.</w:t>
      </w:r>
    </w:p>
    <w:p w14:paraId="66CD9229" w14:textId="08E2BE6A" w:rsidR="00C7737C" w:rsidRPr="006E471D" w:rsidRDefault="00C7737C" w:rsidP="009D0BF6">
      <w:pPr>
        <w:pStyle w:val="Heading3"/>
        <w:jc w:val="both"/>
        <w:rPr>
          <w:rFonts w:ascii="Traditional Arabic" w:hAnsi="Traditional Arabic" w:cs="Traditional Arabic"/>
          <w:b/>
          <w:bCs/>
          <w:color w:val="000000" w:themeColor="text1"/>
          <w:rtl/>
          <w:lang w:bidi="ar-EG"/>
        </w:rPr>
      </w:pPr>
      <w:bookmarkStart w:id="35" w:name="_Toc222423570"/>
      <w:r w:rsidRPr="006E471D">
        <w:rPr>
          <w:rFonts w:ascii="Traditional Arabic" w:hAnsi="Traditional Arabic" w:cs="Traditional Arabic"/>
          <w:b/>
          <w:bCs/>
          <w:color w:val="000000" w:themeColor="text1"/>
          <w:rtl/>
          <w:lang w:bidi="ar-EG"/>
        </w:rPr>
        <w:t>المسار المباشر بين قبول أنظمة ذكاء الأعمال والابتكار التنظيمي (</w:t>
      </w:r>
      <w:r w:rsidRPr="006E471D">
        <w:rPr>
          <w:rFonts w:ascii="Traditional Arabic" w:hAnsi="Traditional Arabic" w:cs="Traditional Arabic"/>
          <w:b/>
          <w:bCs/>
          <w:color w:val="000000" w:themeColor="text1"/>
          <w:lang w:bidi="ar-EG"/>
        </w:rPr>
        <w:t>H3</w:t>
      </w:r>
      <w:r w:rsidRPr="006E471D">
        <w:rPr>
          <w:rFonts w:ascii="Traditional Arabic" w:hAnsi="Traditional Arabic" w:cs="Traditional Arabic"/>
          <w:b/>
          <w:bCs/>
          <w:color w:val="000000" w:themeColor="text1"/>
          <w:rtl/>
          <w:lang w:bidi="ar-EG"/>
        </w:rPr>
        <w:t>)</w:t>
      </w:r>
      <w:bookmarkEnd w:id="35"/>
    </w:p>
    <w:p w14:paraId="2F142D87" w14:textId="64E201D2"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إلى جانب مسار الوساطة، يمكن نظرياً توقع أثر مباشر لقبول أنظمة ذكاء الأعمال على الابتكار التنظيمي. فقبول المديرين للنظام لا يعني مجرد الوصول للمعلومة، بل يعني تسريع التعلم التنظيمي وتقليص فجوة الوقت بين رصد المشكلة وبناء الاستجابة، وهو ما ينعكس على تصميم خدمات جديدة أو تحسين عمليات قائمة. كما أن قبول ذكاء الأعمال يوسع قدرة المصرف على توليد رؤى مشتركة بين الإدارات، وهو شرط مهم لتطوير الابتكار في الخدمات المالية التي تتسم بالتشابك بين التشغيل والمخاطر والامتثال. </w:t>
      </w:r>
      <w:r w:rsidRPr="006E471D">
        <w:rPr>
          <w:rFonts w:ascii="Traditional Arabic" w:hAnsi="Traditional Arabic" w:cs="Traditional Arabic"/>
          <w:sz w:val="28"/>
          <w:szCs w:val="28"/>
          <w:rtl/>
          <w:lang w:bidi="ar-EG"/>
        </w:rPr>
        <w:lastRenderedPageBreak/>
        <w:t>وتؤكد دراسات ابتكار نماذج الأعمال في القطاع البنكي أن التقنيات الرقمية تُعيد تشكيل محركات الابتكار داخل آليات خلق القيمة وتقديمها والتقاطها، بما يشير إلى أن تبني الأدوات الرقمية والتحليلية—ومنها ذكاء الأعمال—يُعد مدخلاً ابتكارياً بحد ذاته (</w:t>
      </w:r>
      <w:r w:rsidRPr="006E471D">
        <w:rPr>
          <w:rFonts w:ascii="Traditional Arabic" w:hAnsi="Traditional Arabic" w:cs="Traditional Arabic"/>
          <w:sz w:val="28"/>
          <w:szCs w:val="28"/>
          <w:lang w:bidi="ar-EG"/>
        </w:rPr>
        <w:t>Mancuso et al., 2025</w:t>
      </w:r>
      <w:r w:rsidRPr="006E471D">
        <w:rPr>
          <w:rFonts w:ascii="Traditional Arabic" w:hAnsi="Traditional Arabic" w:cs="Traditional Arabic"/>
          <w:sz w:val="28"/>
          <w:szCs w:val="28"/>
          <w:rtl/>
          <w:lang w:bidi="ar-EG"/>
        </w:rPr>
        <w:t>).</w:t>
      </w:r>
    </w:p>
    <w:p w14:paraId="342361E5"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وبناءً عليه تُصاغ الفرضية الثالثة:</w:t>
      </w:r>
    </w:p>
    <w:p w14:paraId="4C6F5D77" w14:textId="77777777" w:rsidR="00C7737C" w:rsidRPr="006E471D" w:rsidRDefault="00C7737C" w:rsidP="009D0BF6">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6E471D">
        <w:rPr>
          <w:rFonts w:ascii="Traditional Arabic" w:hAnsi="Traditional Arabic" w:cs="Traditional Arabic"/>
          <w:b/>
          <w:bCs/>
          <w:sz w:val="28"/>
          <w:szCs w:val="28"/>
          <w:lang w:bidi="ar-EG"/>
        </w:rPr>
        <w:t>H3</w:t>
      </w:r>
      <w:r w:rsidRPr="006E471D">
        <w:rPr>
          <w:rFonts w:ascii="Traditional Arabic" w:hAnsi="Traditional Arabic" w:cs="Traditional Arabic"/>
          <w:b/>
          <w:bCs/>
          <w:sz w:val="28"/>
          <w:szCs w:val="28"/>
          <w:rtl/>
          <w:lang w:bidi="ar-EG"/>
        </w:rPr>
        <w:t xml:space="preserve">: يؤثر قبول أنظمة ذكاء الأعمال (وفق نموذج </w:t>
      </w:r>
      <w:r w:rsidRPr="006E471D">
        <w:rPr>
          <w:rFonts w:ascii="Traditional Arabic" w:hAnsi="Traditional Arabic" w:cs="Traditional Arabic"/>
          <w:b/>
          <w:bCs/>
          <w:sz w:val="28"/>
          <w:szCs w:val="28"/>
          <w:lang w:bidi="ar-EG"/>
        </w:rPr>
        <w:t>TAM</w:t>
      </w:r>
      <w:r w:rsidRPr="006E471D">
        <w:rPr>
          <w:rFonts w:ascii="Traditional Arabic" w:hAnsi="Traditional Arabic" w:cs="Traditional Arabic"/>
          <w:b/>
          <w:bCs/>
          <w:sz w:val="28"/>
          <w:szCs w:val="28"/>
          <w:rtl/>
          <w:lang w:bidi="ar-EG"/>
        </w:rPr>
        <w:t>) تأثيراً إيجابياً ذا دلالة إحصائية في الابتكار التنظيمي في المصارف العاملة بمدينة الرياض.</w:t>
      </w:r>
    </w:p>
    <w:p w14:paraId="224AD093" w14:textId="7DADEA6D" w:rsidR="00C7737C" w:rsidRPr="006E471D" w:rsidRDefault="00C7737C" w:rsidP="009D0BF6">
      <w:pPr>
        <w:pStyle w:val="Heading3"/>
        <w:jc w:val="both"/>
        <w:rPr>
          <w:rFonts w:ascii="Traditional Arabic" w:hAnsi="Traditional Arabic" w:cs="Traditional Arabic"/>
          <w:b/>
          <w:bCs/>
          <w:color w:val="000000" w:themeColor="text1"/>
          <w:rtl/>
          <w:lang w:bidi="ar-EG"/>
        </w:rPr>
      </w:pPr>
      <w:bookmarkStart w:id="36" w:name="_Toc222423571"/>
      <w:r w:rsidRPr="006E471D">
        <w:rPr>
          <w:rFonts w:ascii="Traditional Arabic" w:hAnsi="Traditional Arabic" w:cs="Traditional Arabic"/>
          <w:b/>
          <w:bCs/>
          <w:color w:val="000000" w:themeColor="text1"/>
          <w:rtl/>
          <w:lang w:bidi="ar-EG"/>
        </w:rPr>
        <w:t>منطق الوساطة: جودة القرارات الاستراتيجية كآلية تفسيرية (</w:t>
      </w:r>
      <w:r w:rsidRPr="006E471D">
        <w:rPr>
          <w:rFonts w:ascii="Traditional Arabic" w:hAnsi="Traditional Arabic" w:cs="Traditional Arabic"/>
          <w:b/>
          <w:bCs/>
          <w:color w:val="000000" w:themeColor="text1"/>
          <w:lang w:bidi="ar-EG"/>
        </w:rPr>
        <w:t>H4</w:t>
      </w:r>
      <w:r w:rsidRPr="006E471D">
        <w:rPr>
          <w:rFonts w:ascii="Traditional Arabic" w:hAnsi="Traditional Arabic" w:cs="Traditional Arabic"/>
          <w:b/>
          <w:bCs/>
          <w:color w:val="000000" w:themeColor="text1"/>
          <w:rtl/>
          <w:lang w:bidi="ar-EG"/>
        </w:rPr>
        <w:t>)</w:t>
      </w:r>
      <w:bookmarkEnd w:id="36"/>
    </w:p>
    <w:p w14:paraId="788CD633" w14:textId="057B27D6"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تفترض الدراسة أن جودة القرارات الاستراتيجية ليست مجرد نتيجة فرعية لقبول ذكاء الأعمال، بل تمثل آلية تفسيرية تُبين كيف يتحول القبول إلى ابتكار. فمن الناحية المنطقية، حتى عندما يقتنع المدير بفائدة النظام (</w:t>
      </w:r>
      <w:r w:rsidRPr="006E471D">
        <w:rPr>
          <w:rFonts w:ascii="Traditional Arabic" w:hAnsi="Traditional Arabic" w:cs="Traditional Arabic"/>
          <w:sz w:val="28"/>
          <w:szCs w:val="28"/>
          <w:lang w:bidi="ar-EG"/>
        </w:rPr>
        <w:t>PU</w:t>
      </w:r>
      <w:r w:rsidRPr="006E471D">
        <w:rPr>
          <w:rFonts w:ascii="Traditional Arabic" w:hAnsi="Traditional Arabic" w:cs="Traditional Arabic"/>
          <w:sz w:val="28"/>
          <w:szCs w:val="28"/>
          <w:rtl/>
          <w:lang w:bidi="ar-EG"/>
        </w:rPr>
        <w:t>) ويتعامل معه بسهولة (</w:t>
      </w:r>
      <w:r w:rsidRPr="006E471D">
        <w:rPr>
          <w:rFonts w:ascii="Traditional Arabic" w:hAnsi="Traditional Arabic" w:cs="Traditional Arabic"/>
          <w:sz w:val="28"/>
          <w:szCs w:val="28"/>
          <w:lang w:bidi="ar-EG"/>
        </w:rPr>
        <w:t>PEOU</w:t>
      </w:r>
      <w:r w:rsidRPr="006E471D">
        <w:rPr>
          <w:rFonts w:ascii="Traditional Arabic" w:hAnsi="Traditional Arabic" w:cs="Traditional Arabic"/>
          <w:sz w:val="28"/>
          <w:szCs w:val="28"/>
          <w:rtl/>
          <w:lang w:bidi="ar-EG"/>
        </w:rPr>
        <w:t xml:space="preserve">)، فإن أثر ذلك على الابتكار سيظل محدوداً إذا لم ينعكس على جودة القرار: أي على جودة المعلومات المستخدمة، وتحليل البدائل، وملاءمة التوقيت، وموضوعية التقييم. وتؤيد الأدبيات فكرة أن القيمة المتحققة من تبني </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تعتمد على عوامل تتجاوز البنية التقنية، وتشمل قضايا تنفيذ وتبني واستخدام تؤثر في الاستفادة الفعلية (</w:t>
      </w:r>
      <w:r w:rsidRPr="006E471D">
        <w:rPr>
          <w:rFonts w:ascii="Traditional Arabic" w:hAnsi="Traditional Arabic" w:cs="Traditional Arabic"/>
          <w:sz w:val="28"/>
          <w:szCs w:val="28"/>
          <w:lang w:bidi="ar-EG"/>
        </w:rPr>
        <w:t>Al-</w:t>
      </w:r>
      <w:proofErr w:type="spellStart"/>
      <w:r w:rsidRPr="006E471D">
        <w:rPr>
          <w:rFonts w:ascii="Traditional Arabic" w:hAnsi="Traditional Arabic" w:cs="Traditional Arabic"/>
          <w:sz w:val="28"/>
          <w:szCs w:val="28"/>
          <w:lang w:bidi="ar-EG"/>
        </w:rPr>
        <w:t>Daraba</w:t>
      </w:r>
      <w:proofErr w:type="spellEnd"/>
      <w:r w:rsidRPr="006E471D">
        <w:rPr>
          <w:rFonts w:ascii="Traditional Arabic" w:hAnsi="Traditional Arabic" w:cs="Traditional Arabic"/>
          <w:sz w:val="28"/>
          <w:szCs w:val="28"/>
          <w:lang w:bidi="ar-EG"/>
        </w:rPr>
        <w:t xml:space="preserve"> et al., 2025</w:t>
      </w:r>
      <w:r w:rsidRPr="006E471D">
        <w:rPr>
          <w:rFonts w:ascii="Traditional Arabic" w:hAnsi="Traditional Arabic" w:cs="Traditional Arabic"/>
          <w:sz w:val="28"/>
          <w:szCs w:val="28"/>
          <w:rtl/>
          <w:lang w:bidi="ar-EG"/>
        </w:rPr>
        <w:t>). كما أن الأدلة التجريبية التي تربط تبني النظم الذكية أو التحليلية بالابتكار عبر أداء اتخاذ القرار توضح نموذجاً تفسيرياً قريباً من منطق الدراسة الحالية، حيث يعمل القرار كحلقة وصل بين التكنولوجيا ونتائج الابتكار (</w:t>
      </w:r>
      <w:r w:rsidRPr="006E471D">
        <w:rPr>
          <w:rFonts w:ascii="Traditional Arabic" w:hAnsi="Traditional Arabic" w:cs="Traditional Arabic"/>
          <w:sz w:val="28"/>
          <w:szCs w:val="28"/>
          <w:lang w:bidi="ar-EG"/>
        </w:rPr>
        <w:t>Liu et al., 2025</w:t>
      </w:r>
      <w:r w:rsidRPr="006E471D">
        <w:rPr>
          <w:rFonts w:ascii="Traditional Arabic" w:hAnsi="Traditional Arabic" w:cs="Traditional Arabic"/>
          <w:sz w:val="28"/>
          <w:szCs w:val="28"/>
          <w:rtl/>
          <w:lang w:bidi="ar-EG"/>
        </w:rPr>
        <w:t>).</w:t>
      </w:r>
    </w:p>
    <w:p w14:paraId="48F4DB53"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وعليه، تتوقع الدراسة أن القبول التكنولوجي لأنظمة ذكاء الأعمال يرفع جودة القرار أولاً، وأن جودة القرار تمثل قناة ترفع قدرة المصرف على الابتكار في المنتجات/الخدمات والعمليات وفي بناء ثقافة تنظيمية داعمة للتجديد.</w:t>
      </w:r>
    </w:p>
    <w:p w14:paraId="6B9D2272" w14:textId="77777777" w:rsidR="009D0BF6" w:rsidRPr="006E471D" w:rsidRDefault="009D0BF6" w:rsidP="004100B0">
      <w:pPr>
        <w:spacing w:line="240" w:lineRule="auto"/>
        <w:jc w:val="both"/>
        <w:rPr>
          <w:rFonts w:ascii="Traditional Arabic" w:hAnsi="Traditional Arabic" w:cs="Traditional Arabic"/>
          <w:sz w:val="28"/>
          <w:szCs w:val="28"/>
          <w:rtl/>
          <w:lang w:bidi="ar-EG"/>
        </w:rPr>
      </w:pPr>
    </w:p>
    <w:p w14:paraId="461506E9" w14:textId="77777777" w:rsidR="009D0BF6" w:rsidRPr="006E471D" w:rsidRDefault="009D0BF6" w:rsidP="004100B0">
      <w:pPr>
        <w:spacing w:line="240" w:lineRule="auto"/>
        <w:jc w:val="both"/>
        <w:rPr>
          <w:rFonts w:ascii="Traditional Arabic" w:hAnsi="Traditional Arabic" w:cs="Traditional Arabic"/>
          <w:sz w:val="28"/>
          <w:szCs w:val="28"/>
          <w:rtl/>
          <w:lang w:bidi="ar-EG"/>
        </w:rPr>
      </w:pPr>
    </w:p>
    <w:p w14:paraId="748ECFC6"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وبناءً عليه تُصاغ الفرضية الرابعة:</w:t>
      </w:r>
    </w:p>
    <w:p w14:paraId="25C5C9DB" w14:textId="77777777" w:rsidR="00C7737C" w:rsidRPr="006E471D" w:rsidRDefault="00C7737C" w:rsidP="009D0BF6">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6E471D">
        <w:rPr>
          <w:rFonts w:ascii="Traditional Arabic" w:hAnsi="Traditional Arabic" w:cs="Traditional Arabic"/>
          <w:b/>
          <w:bCs/>
          <w:sz w:val="28"/>
          <w:szCs w:val="28"/>
          <w:lang w:bidi="ar-EG"/>
        </w:rPr>
        <w:t>H4</w:t>
      </w:r>
      <w:r w:rsidRPr="006E471D">
        <w:rPr>
          <w:rFonts w:ascii="Traditional Arabic" w:hAnsi="Traditional Arabic" w:cs="Traditional Arabic"/>
          <w:b/>
          <w:bCs/>
          <w:sz w:val="28"/>
          <w:szCs w:val="28"/>
          <w:rtl/>
          <w:lang w:bidi="ar-EG"/>
        </w:rPr>
        <w:t>: تتوسط جودة القرارات الاستراتيجية وساطةً جزئية العلاقة بين قبول أنظمة ذكاء الأعمال والابتكار التنظيمي في المصارف العاملة بمدينة الرياض.</w:t>
      </w:r>
    </w:p>
    <w:p w14:paraId="62303F7D" w14:textId="3603A263" w:rsidR="00C7737C" w:rsidRPr="006E471D" w:rsidRDefault="00C7737C" w:rsidP="009D0BF6">
      <w:pPr>
        <w:pStyle w:val="Heading3"/>
        <w:jc w:val="both"/>
        <w:rPr>
          <w:rFonts w:ascii="Traditional Arabic" w:hAnsi="Traditional Arabic" w:cs="Traditional Arabic"/>
          <w:b/>
          <w:bCs/>
          <w:color w:val="000000" w:themeColor="text1"/>
          <w:rtl/>
          <w:lang w:bidi="ar-EG"/>
        </w:rPr>
      </w:pPr>
      <w:bookmarkStart w:id="37" w:name="_Toc222423572"/>
      <w:r w:rsidRPr="006E471D">
        <w:rPr>
          <w:rFonts w:ascii="Traditional Arabic" w:hAnsi="Traditional Arabic" w:cs="Traditional Arabic"/>
          <w:b/>
          <w:bCs/>
          <w:color w:val="000000" w:themeColor="text1"/>
          <w:rtl/>
          <w:lang w:bidi="ar-EG"/>
        </w:rPr>
        <w:t>توصيف النموذج المفاهيمي بصياغة تفسيرية</w:t>
      </w:r>
      <w:bookmarkEnd w:id="37"/>
    </w:p>
    <w:p w14:paraId="61C38ADD" w14:textId="77777777" w:rsidR="00C7737C" w:rsidRPr="006E471D" w:rsidRDefault="00C7737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يقوم النموذج المقترح على أن قبول أنظمة ذكاء الأعمال وفق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يُقاس كبناء كامن (من الدرجة الثانية) يتكون من الفائدة المدركة وسهولة الاستخدام المدركة ونية الاستخدام. وينتقل تأثير هذا القبول عبر مسارين: (أ) مسار مباشر نحو الابتكار التنظيمي عبر تعزيز الرؤى وتسريع التعلم التنظيمي، و(ب) مسار غير مباشر عبر جودة القرارات الاستراتيجية التي تُقاس بأبعاد جودة المعلومات، تحليل البدائل، ملاءمة التوقيت، والموضوعية/التقييم. وبذلك يختبر النموذج ما إذا كان الابتكار التنظيمي في المصارف (ابتكار الخدمات/المنتجات، ابتكار العمليات، والثقافة الداعمة للابتكار) يتأثر بالقبول التكنولوجي بذاته، أم أن جوهر الأثر يتحقق عندما تتحول مخرجات ذكاء الأعمال إلى قرارات استراتيجية عالية الجودة تُحسن اختيار المبادرات وتخصيص الموارد وإدارة المخاطر.</w:t>
      </w:r>
    </w:p>
    <w:p w14:paraId="08D35F09" w14:textId="36176387" w:rsidR="00060C31" w:rsidRPr="006E471D" w:rsidRDefault="00060C3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noProof/>
          <w:sz w:val="28"/>
          <w:szCs w:val="28"/>
          <w:rtl/>
          <w:lang w:bidi="ar-EG"/>
        </w:rPr>
        <w:lastRenderedPageBreak/>
        <w:drawing>
          <wp:inline distT="0" distB="0" distL="0" distR="0" wp14:anchorId="3A5205AA" wp14:editId="750C0FC6">
            <wp:extent cx="5731510" cy="2841625"/>
            <wp:effectExtent l="0" t="0" r="2540" b="0"/>
            <wp:docPr id="1248880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880814" name=""/>
                    <pic:cNvPicPr/>
                  </pic:nvPicPr>
                  <pic:blipFill>
                    <a:blip r:embed="rId9"/>
                    <a:stretch>
                      <a:fillRect/>
                    </a:stretch>
                  </pic:blipFill>
                  <pic:spPr>
                    <a:xfrm>
                      <a:off x="0" y="0"/>
                      <a:ext cx="5731510" cy="2841625"/>
                    </a:xfrm>
                    <a:prstGeom prst="rect">
                      <a:avLst/>
                    </a:prstGeom>
                  </pic:spPr>
                </pic:pic>
              </a:graphicData>
            </a:graphic>
          </wp:inline>
        </w:drawing>
      </w:r>
    </w:p>
    <w:p w14:paraId="4E828311" w14:textId="3B16103F" w:rsidR="00060C31" w:rsidRPr="006E471D" w:rsidRDefault="00060C31" w:rsidP="00060C31">
      <w:pPr>
        <w:spacing w:line="240" w:lineRule="auto"/>
        <w:jc w:val="center"/>
        <w:rPr>
          <w:rFonts w:ascii="Traditional Arabic" w:hAnsi="Traditional Arabic" w:cs="Traditional Arabic"/>
          <w:b/>
          <w:bCs/>
          <w:sz w:val="28"/>
          <w:szCs w:val="28"/>
          <w:rtl/>
          <w:lang w:bidi="ar-EG"/>
        </w:rPr>
      </w:pPr>
      <w:r w:rsidRPr="006E471D">
        <w:rPr>
          <w:rFonts w:ascii="Traditional Arabic" w:hAnsi="Traditional Arabic" w:cs="Traditional Arabic"/>
          <w:b/>
          <w:bCs/>
          <w:sz w:val="28"/>
          <w:szCs w:val="28"/>
          <w:rtl/>
          <w:lang w:bidi="ar-EG"/>
        </w:rPr>
        <w:t>شكل (2-1): النموذج المفاهيمي للدراسة (إعداد الباحثة)  </w:t>
      </w:r>
    </w:p>
    <w:p w14:paraId="13098CC9" w14:textId="1ABEF29D" w:rsidR="002F4822" w:rsidRPr="006E471D" w:rsidRDefault="00103A96"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في الختام، </w:t>
      </w:r>
      <w:r w:rsidR="002F4822" w:rsidRPr="006E471D">
        <w:rPr>
          <w:rFonts w:ascii="Traditional Arabic" w:hAnsi="Traditional Arabic" w:cs="Traditional Arabic"/>
          <w:sz w:val="28"/>
          <w:szCs w:val="28"/>
          <w:rtl/>
          <w:lang w:bidi="ar-EG"/>
        </w:rPr>
        <w:t>خلص الإطار النظري في هذا الفصل إلى بناء تفسير متكامل لكيفية تولّد القيمة التنظيمية من أنظمة ذكاء الأعمال داخل المصارف، انطلاقاً من أن وجود النظام تقنياً لا يكفي لإحداث أثر ملموس ما لم يقترن بقبول المديرين له وفق نموذج قبول التكنولوجيا (</w:t>
      </w:r>
      <w:r w:rsidR="002F4822" w:rsidRPr="006E471D">
        <w:rPr>
          <w:rFonts w:ascii="Traditional Arabic" w:hAnsi="Traditional Arabic" w:cs="Traditional Arabic"/>
          <w:sz w:val="28"/>
          <w:szCs w:val="28"/>
          <w:lang w:bidi="ar-EG"/>
        </w:rPr>
        <w:t>TAM</w:t>
      </w:r>
      <w:r w:rsidR="002F4822" w:rsidRPr="006E471D">
        <w:rPr>
          <w:rFonts w:ascii="Traditional Arabic" w:hAnsi="Traditional Arabic" w:cs="Traditional Arabic"/>
          <w:sz w:val="28"/>
          <w:szCs w:val="28"/>
          <w:rtl/>
          <w:lang w:bidi="ar-EG"/>
        </w:rPr>
        <w:t>). وقد بيّن العرض النظري أن الفائدة المدركة وسهولة الاستخدام المدركة ونية الاستخدام تمثل مدخلاً سلوكياً يحدد درجة توظيف مخرجات ذكاء الأعمال في دورة القرار، وأن جودة القرارات الاستراتيجية تتشكل عبر أبعاد تشغيلية واضحة تتمثل في جودة المعلومات، وتحليل البدائل، وملاءمة التوقيت، وموضوعية التقييم. كما أوضح الإطار أن الابتكار التنظيمي في المصارف يظهر في ثلاثة أبعاد مترابطة: ابتكار المنتجات/الخدمات، وابتكار العمليات، والثقافة التنظيمية الداعمة للابتكار، وأن القرارات عالية الجودة تعد قناة مركزية لترجمة الرؤى والتحليلات إلى ممارسات ابتكارية قابلة للتنفيذ.</w:t>
      </w:r>
    </w:p>
    <w:p w14:paraId="3BB7E330" w14:textId="2EE760E1" w:rsidR="00C7737C" w:rsidRPr="006E471D" w:rsidRDefault="002F4822"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ومن ثمّ، يبرر هذا الإطار اختيار أدوات القياس في الفصل الثالث على نحو مباشر: فقبول أنظمة ذكاء الأعمال سيُقاس بأبعاد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الثلاثة، وجودة القرارات الاستراتيجية ستُقاس عبر أبعادها الأربعة المرتبطة بجودة المعلومات وآليات المفاضلة والتوقيت والموضوعية، بينما يُقاس الابتكار التنظيمي عبر أبعاده الثلاثة التي تمثل مخرجات الابتكار في البيئة المصرفية. كما يؤسس هذا البناء النظري لاختبار المسارات المباشرة وغير المباشرة في النموذج باستخدام </w:t>
      </w:r>
      <w:r w:rsidRPr="006E471D">
        <w:rPr>
          <w:rFonts w:ascii="Traditional Arabic" w:hAnsi="Traditional Arabic" w:cs="Traditional Arabic"/>
          <w:sz w:val="28"/>
          <w:szCs w:val="28"/>
          <w:lang w:bidi="ar-EG"/>
        </w:rPr>
        <w:t>SEM-PLS</w:t>
      </w:r>
      <w:r w:rsidRPr="006E471D">
        <w:rPr>
          <w:rFonts w:ascii="Traditional Arabic" w:hAnsi="Traditional Arabic" w:cs="Traditional Arabic"/>
          <w:sz w:val="28"/>
          <w:szCs w:val="28"/>
          <w:rtl/>
          <w:lang w:bidi="ar-EG"/>
        </w:rPr>
        <w:t xml:space="preserve"> بما يتسق مع طبيعة المتغيرات وبنية الوساطة المقترحة.</w:t>
      </w:r>
      <w:r w:rsidR="00060C31" w:rsidRPr="006E471D">
        <w:rPr>
          <w:rFonts w:ascii="Traditional Arabic" w:hAnsi="Traditional Arabic" w:cs="Traditional Arabic"/>
          <w:sz w:val="28"/>
          <w:szCs w:val="28"/>
          <w:rtl/>
          <w:lang w:bidi="ar-EG"/>
        </w:rPr>
        <w:t xml:space="preserve"> </w:t>
      </w:r>
    </w:p>
    <w:p w14:paraId="26F370E9" w14:textId="59129479" w:rsidR="00060C31" w:rsidRPr="006E471D" w:rsidRDefault="00060C31"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وختاماً، يوضح الجدول (2-1) التعريفات التشغيلية لمتغيرات الدراسة وأبعادها ومصادر قياسها بشكل مفصل. </w:t>
      </w:r>
    </w:p>
    <w:p w14:paraId="527B6B22" w14:textId="77777777" w:rsidR="00060C31" w:rsidRPr="006E471D" w:rsidRDefault="00060C31" w:rsidP="00060C31">
      <w:pPr>
        <w:spacing w:after="120" w:line="360" w:lineRule="auto"/>
        <w:jc w:val="center"/>
        <w:rPr>
          <w:rFonts w:ascii="Traditional Arabic" w:hAnsi="Traditional Arabic" w:cs="Traditional Arabic"/>
          <w:b/>
          <w:bCs/>
          <w:sz w:val="28"/>
          <w:szCs w:val="28"/>
        </w:rPr>
      </w:pPr>
      <w:r w:rsidRPr="006E471D">
        <w:rPr>
          <w:rFonts w:ascii="Traditional Arabic" w:eastAsia="Sakkal Majalla" w:hAnsi="Traditional Arabic" w:cs="Traditional Arabic"/>
          <w:b/>
          <w:bCs/>
          <w:sz w:val="28"/>
          <w:szCs w:val="28"/>
          <w:rtl/>
        </w:rPr>
        <w:t>جدول (2-1): التعريفات التشغيلية لمتغيرات الدراسة وأبعادها ومصادر قياسها</w:t>
      </w:r>
    </w:p>
    <w:tbl>
      <w:tblPr>
        <w:tblStyle w:val="TableGrid"/>
        <w:bidiVisual/>
        <w:tblW w:w="9638" w:type="dxa"/>
        <w:tblLook w:val="04A0" w:firstRow="1" w:lastRow="0" w:firstColumn="1" w:lastColumn="0" w:noHBand="0" w:noVBand="1"/>
      </w:tblPr>
      <w:tblGrid>
        <w:gridCol w:w="1700"/>
        <w:gridCol w:w="2200"/>
        <w:gridCol w:w="1800"/>
        <w:gridCol w:w="2038"/>
        <w:gridCol w:w="1900"/>
      </w:tblGrid>
      <w:tr w:rsidR="00060C31" w:rsidRPr="006E471D" w14:paraId="6501700B" w14:textId="77777777" w:rsidTr="00060C31">
        <w:trPr>
          <w:trHeight w:val="432"/>
        </w:trPr>
        <w:tc>
          <w:tcPr>
            <w:tcW w:w="1700" w:type="dxa"/>
            <w:vAlign w:val="center"/>
          </w:tcPr>
          <w:p w14:paraId="5378F34C" w14:textId="77777777" w:rsidR="00060C31" w:rsidRPr="006E471D" w:rsidRDefault="00060C31" w:rsidP="008A62BD">
            <w:pPr>
              <w:jc w:val="center"/>
              <w:rPr>
                <w:rFonts w:ascii="Traditional Arabic" w:hAnsi="Traditional Arabic" w:cs="Traditional Arabic"/>
                <w:sz w:val="22"/>
                <w:szCs w:val="22"/>
              </w:rPr>
            </w:pPr>
            <w:r w:rsidRPr="006E471D">
              <w:rPr>
                <w:rFonts w:ascii="Traditional Arabic" w:eastAsia="Sakkal Majalla" w:hAnsi="Traditional Arabic" w:cs="Traditional Arabic"/>
                <w:b/>
                <w:bCs/>
                <w:sz w:val="22"/>
                <w:szCs w:val="22"/>
                <w:rtl/>
              </w:rPr>
              <w:t>المتغير</w:t>
            </w:r>
          </w:p>
        </w:tc>
        <w:tc>
          <w:tcPr>
            <w:tcW w:w="2200" w:type="dxa"/>
            <w:vAlign w:val="center"/>
          </w:tcPr>
          <w:p w14:paraId="621A7B9B" w14:textId="77777777" w:rsidR="00060C31" w:rsidRPr="006E471D" w:rsidRDefault="00060C31" w:rsidP="008A62BD">
            <w:pPr>
              <w:jc w:val="center"/>
              <w:rPr>
                <w:rFonts w:ascii="Traditional Arabic" w:hAnsi="Traditional Arabic" w:cs="Traditional Arabic"/>
                <w:sz w:val="22"/>
                <w:szCs w:val="22"/>
              </w:rPr>
            </w:pPr>
            <w:r w:rsidRPr="006E471D">
              <w:rPr>
                <w:rFonts w:ascii="Traditional Arabic" w:eastAsia="Sakkal Majalla" w:hAnsi="Traditional Arabic" w:cs="Traditional Arabic"/>
                <w:b/>
                <w:bCs/>
                <w:sz w:val="22"/>
                <w:szCs w:val="22"/>
                <w:rtl/>
              </w:rPr>
              <w:t>التعريف الإجرائي</w:t>
            </w:r>
          </w:p>
        </w:tc>
        <w:tc>
          <w:tcPr>
            <w:tcW w:w="1800" w:type="dxa"/>
            <w:vAlign w:val="center"/>
          </w:tcPr>
          <w:p w14:paraId="2D04D0B6" w14:textId="77777777" w:rsidR="00060C31" w:rsidRPr="006E471D" w:rsidRDefault="00060C31" w:rsidP="008A62BD">
            <w:pPr>
              <w:jc w:val="center"/>
              <w:rPr>
                <w:rFonts w:ascii="Traditional Arabic" w:hAnsi="Traditional Arabic" w:cs="Traditional Arabic"/>
                <w:sz w:val="22"/>
                <w:szCs w:val="22"/>
              </w:rPr>
            </w:pPr>
            <w:r w:rsidRPr="006E471D">
              <w:rPr>
                <w:rFonts w:ascii="Traditional Arabic" w:eastAsia="Sakkal Majalla" w:hAnsi="Traditional Arabic" w:cs="Traditional Arabic"/>
                <w:b/>
                <w:bCs/>
                <w:sz w:val="22"/>
                <w:szCs w:val="22"/>
                <w:rtl/>
              </w:rPr>
              <w:t>الأبعاد</w:t>
            </w:r>
          </w:p>
        </w:tc>
        <w:tc>
          <w:tcPr>
            <w:tcW w:w="2038" w:type="dxa"/>
            <w:vAlign w:val="center"/>
          </w:tcPr>
          <w:p w14:paraId="2CC7A312" w14:textId="77777777" w:rsidR="00060C31" w:rsidRPr="006E471D" w:rsidRDefault="00060C31" w:rsidP="008A62BD">
            <w:pPr>
              <w:jc w:val="center"/>
              <w:rPr>
                <w:rFonts w:ascii="Traditional Arabic" w:hAnsi="Traditional Arabic" w:cs="Traditional Arabic"/>
                <w:sz w:val="22"/>
                <w:szCs w:val="22"/>
              </w:rPr>
            </w:pPr>
            <w:r w:rsidRPr="006E471D">
              <w:rPr>
                <w:rFonts w:ascii="Traditional Arabic" w:eastAsia="Sakkal Majalla" w:hAnsi="Traditional Arabic" w:cs="Traditional Arabic"/>
                <w:b/>
                <w:bCs/>
                <w:sz w:val="22"/>
                <w:szCs w:val="22"/>
                <w:rtl/>
              </w:rPr>
              <w:t>مصدر القياس</w:t>
            </w:r>
          </w:p>
        </w:tc>
        <w:tc>
          <w:tcPr>
            <w:tcW w:w="1900" w:type="dxa"/>
            <w:vAlign w:val="center"/>
          </w:tcPr>
          <w:p w14:paraId="01C7B1ED" w14:textId="77777777" w:rsidR="00060C31" w:rsidRPr="006E471D" w:rsidRDefault="00060C31" w:rsidP="008A62BD">
            <w:pPr>
              <w:jc w:val="center"/>
              <w:rPr>
                <w:rFonts w:ascii="Traditional Arabic" w:hAnsi="Traditional Arabic" w:cs="Traditional Arabic"/>
                <w:sz w:val="22"/>
                <w:szCs w:val="22"/>
              </w:rPr>
            </w:pPr>
            <w:r w:rsidRPr="006E471D">
              <w:rPr>
                <w:rFonts w:ascii="Traditional Arabic" w:eastAsia="Sakkal Majalla" w:hAnsi="Traditional Arabic" w:cs="Traditional Arabic"/>
                <w:b/>
                <w:bCs/>
                <w:sz w:val="22"/>
                <w:szCs w:val="22"/>
                <w:rtl/>
              </w:rPr>
              <w:t>التمييز عن مفهوم قريب</w:t>
            </w:r>
          </w:p>
        </w:tc>
      </w:tr>
      <w:tr w:rsidR="00060C31" w:rsidRPr="006E471D" w14:paraId="306491DB" w14:textId="77777777" w:rsidTr="00060C31">
        <w:trPr>
          <w:trHeight w:val="432"/>
        </w:trPr>
        <w:tc>
          <w:tcPr>
            <w:tcW w:w="1700" w:type="dxa"/>
            <w:vAlign w:val="center"/>
          </w:tcPr>
          <w:p w14:paraId="03343084"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قبول أنظمة ذكاء الأعمال (المتغير المستقل)</w:t>
            </w:r>
          </w:p>
        </w:tc>
        <w:tc>
          <w:tcPr>
            <w:tcW w:w="2200" w:type="dxa"/>
            <w:vAlign w:val="center"/>
          </w:tcPr>
          <w:p w14:paraId="0435EC42"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إدراك المديرين لفائدة نظام BI وسهولة استخدامه ونيتهم لدمجه في القرار الاستراتيجي، وفق نموذج TAM</w:t>
            </w:r>
          </w:p>
        </w:tc>
        <w:tc>
          <w:tcPr>
            <w:tcW w:w="1800" w:type="dxa"/>
            <w:vAlign w:val="center"/>
          </w:tcPr>
          <w:p w14:paraId="23B54B37"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1. الفائدة المدركة (PU) 2. سهولة الاستخدام المدركة (PEOU) 3. نية الاستخدام (BI)</w:t>
            </w:r>
          </w:p>
        </w:tc>
        <w:tc>
          <w:tcPr>
            <w:tcW w:w="2038" w:type="dxa"/>
            <w:vAlign w:val="center"/>
          </w:tcPr>
          <w:p w14:paraId="7D134007" w14:textId="77777777" w:rsidR="00060C31" w:rsidRPr="006E471D" w:rsidRDefault="00060C31" w:rsidP="008A62BD">
            <w:pPr>
              <w:spacing w:after="40"/>
              <w:jc w:val="both"/>
              <w:rPr>
                <w:rFonts w:ascii="Traditional Arabic" w:hAnsi="Traditional Arabic" w:cs="Traditional Arabic"/>
                <w:sz w:val="22"/>
                <w:szCs w:val="22"/>
              </w:rPr>
            </w:pPr>
            <w:proofErr w:type="spellStart"/>
            <w:r w:rsidRPr="006E471D">
              <w:rPr>
                <w:rFonts w:ascii="Traditional Arabic" w:eastAsia="Sakkal Majalla" w:hAnsi="Traditional Arabic" w:cs="Traditional Arabic"/>
                <w:sz w:val="22"/>
                <w:szCs w:val="22"/>
                <w:rtl/>
              </w:rPr>
              <w:t>Davis</w:t>
            </w:r>
            <w:proofErr w:type="spellEnd"/>
            <w:r w:rsidRPr="006E471D">
              <w:rPr>
                <w:rFonts w:ascii="Traditional Arabic" w:eastAsia="Sakkal Majalla" w:hAnsi="Traditional Arabic" w:cs="Traditional Arabic"/>
                <w:sz w:val="22"/>
                <w:szCs w:val="22"/>
                <w:rtl/>
              </w:rPr>
              <w:t xml:space="preserve"> (1989) مع تكييف على بيئة BI المصرفية؛ </w:t>
            </w:r>
            <w:proofErr w:type="spellStart"/>
            <w:r w:rsidRPr="006E471D">
              <w:rPr>
                <w:rFonts w:ascii="Traditional Arabic" w:eastAsia="Sakkal Majalla" w:hAnsi="Traditional Arabic" w:cs="Traditional Arabic"/>
                <w:sz w:val="22"/>
                <w:szCs w:val="22"/>
                <w:rtl/>
              </w:rPr>
              <w:t>Alnemer</w:t>
            </w:r>
            <w:proofErr w:type="spellEnd"/>
            <w:r w:rsidRPr="006E471D">
              <w:rPr>
                <w:rFonts w:ascii="Traditional Arabic" w:eastAsia="Sakkal Majalla" w:hAnsi="Traditional Arabic" w:cs="Traditional Arabic"/>
                <w:sz w:val="22"/>
                <w:szCs w:val="22"/>
                <w:rtl/>
              </w:rPr>
              <w:t xml:space="preserve"> (2022)؛ </w:t>
            </w:r>
            <w:proofErr w:type="spellStart"/>
            <w:r w:rsidRPr="006E471D">
              <w:rPr>
                <w:rFonts w:ascii="Traditional Arabic" w:eastAsia="Sakkal Majalla" w:hAnsi="Traditional Arabic" w:cs="Traditional Arabic"/>
                <w:sz w:val="22"/>
                <w:szCs w:val="22"/>
                <w:rtl/>
              </w:rPr>
              <w:t>Al-Daraba</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et</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al</w:t>
            </w:r>
            <w:proofErr w:type="spellEnd"/>
            <w:r w:rsidRPr="006E471D">
              <w:rPr>
                <w:rFonts w:ascii="Traditional Arabic" w:eastAsia="Sakkal Majalla" w:hAnsi="Traditional Arabic" w:cs="Traditional Arabic"/>
                <w:sz w:val="22"/>
                <w:szCs w:val="22"/>
                <w:rtl/>
              </w:rPr>
              <w:t>. (2025)</w:t>
            </w:r>
          </w:p>
        </w:tc>
        <w:tc>
          <w:tcPr>
            <w:tcW w:w="1900" w:type="dxa"/>
            <w:vAlign w:val="center"/>
          </w:tcPr>
          <w:p w14:paraId="668C534D" w14:textId="54DA9C6F"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 xml:space="preserve">يختلف عن </w:t>
            </w:r>
            <w:r w:rsidRPr="006E471D">
              <w:rPr>
                <w:rFonts w:ascii="Traditional Arabic" w:eastAsia="Sakkal Majalla" w:hAnsi="Traditional Arabic" w:cs="Traditional Arabic"/>
                <w:sz w:val="22"/>
                <w:szCs w:val="22"/>
                <w:rtl/>
              </w:rPr>
              <w:br/>
              <w:t>مستوى تطبيق BI</w:t>
            </w:r>
            <w:r w:rsidRPr="006E471D">
              <w:rPr>
                <w:rFonts w:ascii="Traditional Arabic" w:eastAsia="Sakkal Majalla" w:hAnsi="Traditional Arabic" w:cs="Traditional Arabic"/>
                <w:sz w:val="22"/>
                <w:szCs w:val="22"/>
                <w:rtl/>
              </w:rPr>
              <w:br/>
              <w:t>الذي يقيس التوفر التقني لا القبول السلوكي–الإدراكي</w:t>
            </w:r>
          </w:p>
        </w:tc>
      </w:tr>
      <w:tr w:rsidR="00060C31" w:rsidRPr="006E471D" w14:paraId="261C2514" w14:textId="77777777" w:rsidTr="00060C31">
        <w:trPr>
          <w:trHeight w:val="432"/>
        </w:trPr>
        <w:tc>
          <w:tcPr>
            <w:tcW w:w="1700" w:type="dxa"/>
            <w:vAlign w:val="center"/>
          </w:tcPr>
          <w:p w14:paraId="1D3C5315"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lastRenderedPageBreak/>
              <w:t>جودة القرارات الاستراتيجية (المتغير الوسيط)</w:t>
            </w:r>
          </w:p>
        </w:tc>
        <w:tc>
          <w:tcPr>
            <w:tcW w:w="2200" w:type="dxa"/>
            <w:vAlign w:val="center"/>
          </w:tcPr>
          <w:p w14:paraId="2E4BFBE9"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تقويم مدى جودة مخرجات القرار الاستراتيجي من حيث المدخلات والعملية والنتيجة</w:t>
            </w:r>
          </w:p>
        </w:tc>
        <w:tc>
          <w:tcPr>
            <w:tcW w:w="1800" w:type="dxa"/>
            <w:vAlign w:val="center"/>
          </w:tcPr>
          <w:p w14:paraId="340BE4B9"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1. جودة المعلومات 2. تحليل البدائل 3. ملاءمة التوقيت 4. الموضوعية/التقييم</w:t>
            </w:r>
          </w:p>
        </w:tc>
        <w:tc>
          <w:tcPr>
            <w:tcW w:w="2038" w:type="dxa"/>
            <w:vAlign w:val="center"/>
          </w:tcPr>
          <w:p w14:paraId="47526732" w14:textId="77777777" w:rsidR="00060C31" w:rsidRPr="006E471D" w:rsidRDefault="00060C31" w:rsidP="008A62BD">
            <w:pPr>
              <w:spacing w:after="40"/>
              <w:jc w:val="both"/>
              <w:rPr>
                <w:rFonts w:ascii="Traditional Arabic" w:hAnsi="Traditional Arabic" w:cs="Traditional Arabic"/>
                <w:sz w:val="22"/>
                <w:szCs w:val="22"/>
              </w:rPr>
            </w:pPr>
            <w:proofErr w:type="spellStart"/>
            <w:r w:rsidRPr="006E471D">
              <w:rPr>
                <w:rFonts w:ascii="Traditional Arabic" w:eastAsia="Sakkal Majalla" w:hAnsi="Traditional Arabic" w:cs="Traditional Arabic"/>
                <w:sz w:val="22"/>
                <w:szCs w:val="22"/>
                <w:rtl/>
              </w:rPr>
              <w:t>Al-Hashimi</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et</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al</w:t>
            </w:r>
            <w:proofErr w:type="spellEnd"/>
            <w:r w:rsidRPr="006E471D">
              <w:rPr>
                <w:rFonts w:ascii="Traditional Arabic" w:eastAsia="Sakkal Majalla" w:hAnsi="Traditional Arabic" w:cs="Traditional Arabic"/>
                <w:sz w:val="22"/>
                <w:szCs w:val="22"/>
                <w:rtl/>
              </w:rPr>
              <w:t xml:space="preserve">. (2022)؛ </w:t>
            </w:r>
            <w:proofErr w:type="spellStart"/>
            <w:r w:rsidRPr="006E471D">
              <w:rPr>
                <w:rFonts w:ascii="Traditional Arabic" w:eastAsia="Sakkal Majalla" w:hAnsi="Traditional Arabic" w:cs="Traditional Arabic"/>
                <w:sz w:val="22"/>
                <w:szCs w:val="22"/>
                <w:rtl/>
              </w:rPr>
              <w:t>Abu-AlSondos</w:t>
            </w:r>
            <w:proofErr w:type="spellEnd"/>
            <w:r w:rsidRPr="006E471D">
              <w:rPr>
                <w:rFonts w:ascii="Traditional Arabic" w:eastAsia="Sakkal Majalla" w:hAnsi="Traditional Arabic" w:cs="Traditional Arabic"/>
                <w:sz w:val="22"/>
                <w:szCs w:val="22"/>
                <w:rtl/>
              </w:rPr>
              <w:t xml:space="preserve"> (2023)؛ </w:t>
            </w:r>
            <w:proofErr w:type="spellStart"/>
            <w:r w:rsidRPr="006E471D">
              <w:rPr>
                <w:rFonts w:ascii="Traditional Arabic" w:eastAsia="Sakkal Majalla" w:hAnsi="Traditional Arabic" w:cs="Traditional Arabic"/>
                <w:sz w:val="22"/>
                <w:szCs w:val="22"/>
                <w:rtl/>
              </w:rPr>
              <w:t>Hjelle</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et</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al</w:t>
            </w:r>
            <w:proofErr w:type="spellEnd"/>
            <w:r w:rsidRPr="006E471D">
              <w:rPr>
                <w:rFonts w:ascii="Traditional Arabic" w:eastAsia="Sakkal Majalla" w:hAnsi="Traditional Arabic" w:cs="Traditional Arabic"/>
                <w:sz w:val="22"/>
                <w:szCs w:val="22"/>
                <w:rtl/>
              </w:rPr>
              <w:t xml:space="preserve">. (2024)؛ </w:t>
            </w:r>
            <w:proofErr w:type="spellStart"/>
            <w:r w:rsidRPr="006E471D">
              <w:rPr>
                <w:rFonts w:ascii="Traditional Arabic" w:eastAsia="Sakkal Majalla" w:hAnsi="Traditional Arabic" w:cs="Traditional Arabic"/>
                <w:sz w:val="22"/>
                <w:szCs w:val="22"/>
                <w:rtl/>
              </w:rPr>
              <w:t>Wang</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et</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al</w:t>
            </w:r>
            <w:proofErr w:type="spellEnd"/>
            <w:r w:rsidRPr="006E471D">
              <w:rPr>
                <w:rFonts w:ascii="Traditional Arabic" w:eastAsia="Sakkal Majalla" w:hAnsi="Traditional Arabic" w:cs="Traditional Arabic"/>
                <w:sz w:val="22"/>
                <w:szCs w:val="22"/>
                <w:rtl/>
              </w:rPr>
              <w:t>. (2023)</w:t>
            </w:r>
          </w:p>
        </w:tc>
        <w:tc>
          <w:tcPr>
            <w:tcW w:w="1900" w:type="dxa"/>
            <w:vAlign w:val="center"/>
          </w:tcPr>
          <w:p w14:paraId="3F4DC8C6" w14:textId="40298C19"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يختلف عن فاعلية القرار التي تركز على النتيجة النهائية دون أبعاد العملية التحليلية</w:t>
            </w:r>
          </w:p>
        </w:tc>
      </w:tr>
      <w:tr w:rsidR="00060C31" w:rsidRPr="006E471D" w14:paraId="47B57E91" w14:textId="77777777" w:rsidTr="00060C31">
        <w:trPr>
          <w:trHeight w:val="432"/>
        </w:trPr>
        <w:tc>
          <w:tcPr>
            <w:tcW w:w="1700" w:type="dxa"/>
            <w:vAlign w:val="center"/>
          </w:tcPr>
          <w:p w14:paraId="20C73F3E"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الابتكار التنظيمي (المتغير التابع)</w:t>
            </w:r>
          </w:p>
        </w:tc>
        <w:tc>
          <w:tcPr>
            <w:tcW w:w="2200" w:type="dxa"/>
            <w:vAlign w:val="center"/>
          </w:tcPr>
          <w:p w14:paraId="16D1F23C"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قدرة المصرف على إدخال تحسينات ذات معنى في الخدمات والعمليات والثقافة التنظيمية</w:t>
            </w:r>
          </w:p>
        </w:tc>
        <w:tc>
          <w:tcPr>
            <w:tcW w:w="1800" w:type="dxa"/>
            <w:vAlign w:val="center"/>
          </w:tcPr>
          <w:p w14:paraId="0F46B0EE" w14:textId="77777777"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1. ابتكار المنتجات/الخدمات 2. ابتكار العمليات 3. الثقافة الداعمة للابتكار</w:t>
            </w:r>
          </w:p>
        </w:tc>
        <w:tc>
          <w:tcPr>
            <w:tcW w:w="2038" w:type="dxa"/>
            <w:vAlign w:val="center"/>
          </w:tcPr>
          <w:p w14:paraId="25FE58BA" w14:textId="77777777" w:rsidR="00060C31" w:rsidRPr="006E471D" w:rsidRDefault="00060C31" w:rsidP="008A62BD">
            <w:pPr>
              <w:spacing w:after="40"/>
              <w:jc w:val="both"/>
              <w:rPr>
                <w:rFonts w:ascii="Traditional Arabic" w:hAnsi="Traditional Arabic" w:cs="Traditional Arabic"/>
                <w:sz w:val="22"/>
                <w:szCs w:val="22"/>
              </w:rPr>
            </w:pPr>
            <w:proofErr w:type="spellStart"/>
            <w:r w:rsidRPr="006E471D">
              <w:rPr>
                <w:rFonts w:ascii="Traditional Arabic" w:eastAsia="Sakkal Majalla" w:hAnsi="Traditional Arabic" w:cs="Traditional Arabic"/>
                <w:sz w:val="22"/>
                <w:szCs w:val="22"/>
                <w:rtl/>
              </w:rPr>
              <w:t>Chatterjee</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et</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al</w:t>
            </w:r>
            <w:proofErr w:type="spellEnd"/>
            <w:r w:rsidRPr="006E471D">
              <w:rPr>
                <w:rFonts w:ascii="Traditional Arabic" w:eastAsia="Sakkal Majalla" w:hAnsi="Traditional Arabic" w:cs="Traditional Arabic"/>
                <w:sz w:val="22"/>
                <w:szCs w:val="22"/>
                <w:rtl/>
              </w:rPr>
              <w:t xml:space="preserve">. (2021)؛ </w:t>
            </w:r>
            <w:proofErr w:type="spellStart"/>
            <w:r w:rsidRPr="006E471D">
              <w:rPr>
                <w:rFonts w:ascii="Traditional Arabic" w:eastAsia="Sakkal Majalla" w:hAnsi="Traditional Arabic" w:cs="Traditional Arabic"/>
                <w:sz w:val="22"/>
                <w:szCs w:val="22"/>
                <w:rtl/>
              </w:rPr>
              <w:t>Mancuso</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et</w:t>
            </w:r>
            <w:proofErr w:type="spellEnd"/>
            <w:r w:rsidRPr="006E471D">
              <w:rPr>
                <w:rFonts w:ascii="Traditional Arabic" w:eastAsia="Sakkal Majalla" w:hAnsi="Traditional Arabic" w:cs="Traditional Arabic"/>
                <w:sz w:val="22"/>
                <w:szCs w:val="22"/>
                <w:rtl/>
              </w:rPr>
              <w:t xml:space="preserve"> </w:t>
            </w:r>
            <w:proofErr w:type="spellStart"/>
            <w:r w:rsidRPr="006E471D">
              <w:rPr>
                <w:rFonts w:ascii="Traditional Arabic" w:eastAsia="Sakkal Majalla" w:hAnsi="Traditional Arabic" w:cs="Traditional Arabic"/>
                <w:sz w:val="22"/>
                <w:szCs w:val="22"/>
                <w:rtl/>
              </w:rPr>
              <w:t>al</w:t>
            </w:r>
            <w:proofErr w:type="spellEnd"/>
            <w:r w:rsidRPr="006E471D">
              <w:rPr>
                <w:rFonts w:ascii="Traditional Arabic" w:eastAsia="Sakkal Majalla" w:hAnsi="Traditional Arabic" w:cs="Traditional Arabic"/>
                <w:sz w:val="22"/>
                <w:szCs w:val="22"/>
                <w:rtl/>
              </w:rPr>
              <w:t xml:space="preserve">. (2025)؛ الجداوي (2024)؛ </w:t>
            </w:r>
            <w:proofErr w:type="spellStart"/>
            <w:r w:rsidRPr="006E471D">
              <w:rPr>
                <w:rFonts w:ascii="Traditional Arabic" w:eastAsia="Sakkal Majalla" w:hAnsi="Traditional Arabic" w:cs="Traditional Arabic"/>
                <w:sz w:val="22"/>
                <w:szCs w:val="22"/>
                <w:rtl/>
              </w:rPr>
              <w:t>Abdurrahman</w:t>
            </w:r>
            <w:proofErr w:type="spellEnd"/>
            <w:r w:rsidRPr="006E471D">
              <w:rPr>
                <w:rFonts w:ascii="Traditional Arabic" w:eastAsia="Sakkal Majalla" w:hAnsi="Traditional Arabic" w:cs="Traditional Arabic"/>
                <w:sz w:val="22"/>
                <w:szCs w:val="22"/>
                <w:rtl/>
              </w:rPr>
              <w:t xml:space="preserve"> (2025)</w:t>
            </w:r>
          </w:p>
        </w:tc>
        <w:tc>
          <w:tcPr>
            <w:tcW w:w="1900" w:type="dxa"/>
            <w:vAlign w:val="center"/>
          </w:tcPr>
          <w:p w14:paraId="299EAF3D" w14:textId="69D8FB59" w:rsidR="00060C31" w:rsidRPr="006E471D" w:rsidRDefault="00060C31" w:rsidP="008A62BD">
            <w:pPr>
              <w:spacing w:after="40"/>
              <w:jc w:val="both"/>
              <w:rPr>
                <w:rFonts w:ascii="Traditional Arabic" w:hAnsi="Traditional Arabic" w:cs="Traditional Arabic"/>
                <w:sz w:val="22"/>
                <w:szCs w:val="22"/>
              </w:rPr>
            </w:pPr>
            <w:r w:rsidRPr="006E471D">
              <w:rPr>
                <w:rFonts w:ascii="Traditional Arabic" w:eastAsia="Sakkal Majalla" w:hAnsi="Traditional Arabic" w:cs="Traditional Arabic"/>
                <w:sz w:val="22"/>
                <w:szCs w:val="22"/>
                <w:rtl/>
              </w:rPr>
              <w:t>يختلف عن الإبداع الفردي ويركز على المستوى التنظيمي/المؤسسي</w:t>
            </w:r>
          </w:p>
        </w:tc>
      </w:tr>
    </w:tbl>
    <w:p w14:paraId="56CC78C1" w14:textId="77777777" w:rsidR="00060C31" w:rsidRPr="006E471D" w:rsidRDefault="00060C31" w:rsidP="004100B0">
      <w:pPr>
        <w:spacing w:line="240" w:lineRule="auto"/>
        <w:jc w:val="both"/>
        <w:rPr>
          <w:rFonts w:ascii="Traditional Arabic" w:hAnsi="Traditional Arabic" w:cs="Traditional Arabic"/>
          <w:sz w:val="28"/>
          <w:szCs w:val="28"/>
          <w:rtl/>
          <w:lang w:bidi="ar-EG"/>
        </w:rPr>
      </w:pPr>
    </w:p>
    <w:p w14:paraId="3AFF19F9" w14:textId="02424448" w:rsidR="002F4822" w:rsidRPr="006E471D" w:rsidRDefault="008100AC" w:rsidP="00103A96">
      <w:pPr>
        <w:pStyle w:val="Heading2"/>
        <w:jc w:val="both"/>
        <w:rPr>
          <w:rFonts w:ascii="Traditional Arabic" w:hAnsi="Traditional Arabic" w:cs="Traditional Arabic"/>
          <w:b/>
          <w:bCs/>
          <w:color w:val="000000" w:themeColor="text1"/>
          <w:rtl/>
          <w:lang w:bidi="ar-EG"/>
        </w:rPr>
      </w:pPr>
      <w:bookmarkStart w:id="38" w:name="_Toc222423573"/>
      <w:r w:rsidRPr="006E471D">
        <w:rPr>
          <w:rFonts w:ascii="Traditional Arabic" w:hAnsi="Traditional Arabic" w:cs="Traditional Arabic"/>
          <w:b/>
          <w:bCs/>
          <w:color w:val="000000" w:themeColor="text1"/>
          <w:rtl/>
          <w:lang w:bidi="ar-EG"/>
        </w:rPr>
        <w:t>الدراسات السابقة</w:t>
      </w:r>
      <w:bookmarkEnd w:id="38"/>
    </w:p>
    <w:p w14:paraId="6B42AA46" w14:textId="104E846E"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يهدف هذا الجزء إلى عرض الدراسات السابقة ذات الصلة بموضوع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 xml:space="preserve"> بطريقة منظمة تُبرز (أ) ما تناولته الأدبيات العربية والأجنبية بشأن ذكاء الأعمال في المؤسسات المالية، (ب) ما توصلت إليه الأبحاث حول القرارات الاستراتيجية ومحدداتها ونتائجها التنظيمية، و(ج) ما عالجته الدراسات حول الابتكار التنظيمي في القطاع المصرفي وما يرتبط به من عوامل. ولا يقتصر العرض هنا على التلخيص الوصفي، بل يتضمن قراءة نقدية تُعنى بتحديد وحدة التحليل، ومنهج الدراسة، وأدوات القياس، وحدود التعميم، ثم ربط ذلك بالفجوة التي تتجه الدراسة الحالية لمعالجتها. كما يستهدف هذا الجزء إبراز التداخلات المفاهيمية بين المحاور الثلاثة، إذ تشير كثير من الأدبيات—بدرجات متفاوتة—إلى أن قيمة ذكاء الأعمال لا تتحقق تلقائياً، وإنما تتجسد عندما يُستخدم في تحسين القرار، وحينها يصبح القرار عالي الجودة بوابة منطقية لتعزيز الابتكار التنظيمي. وعليه، سيُعرض هذا القسم وفق ثلاثة محاور رئيسة: الدراسات المرتبطة بذكاء الأعمال، والدراسات المرتبطة بالقرارات الاستراتيجية، والدراسات المرتبطة بالابتكار التنظيمي، مع تعقيب تكاملي يوضح ما تضيفه الدراسة الحالية مقارنة بما سبق.</w:t>
      </w:r>
    </w:p>
    <w:p w14:paraId="32EA090D" w14:textId="477B5DCB" w:rsidR="00233F70" w:rsidRPr="006E471D" w:rsidRDefault="00233F70" w:rsidP="00103A96">
      <w:pPr>
        <w:pStyle w:val="Heading3"/>
        <w:jc w:val="both"/>
        <w:rPr>
          <w:rFonts w:ascii="Traditional Arabic" w:hAnsi="Traditional Arabic" w:cs="Traditional Arabic"/>
          <w:b/>
          <w:bCs/>
          <w:color w:val="000000" w:themeColor="text1"/>
          <w:rtl/>
          <w:lang w:bidi="ar-EG"/>
        </w:rPr>
      </w:pPr>
      <w:bookmarkStart w:id="39" w:name="_Toc222423574"/>
      <w:r w:rsidRPr="006E471D">
        <w:rPr>
          <w:rFonts w:ascii="Traditional Arabic" w:hAnsi="Traditional Arabic" w:cs="Traditional Arabic"/>
          <w:b/>
          <w:bCs/>
          <w:color w:val="000000" w:themeColor="text1"/>
          <w:rtl/>
          <w:lang w:bidi="ar-EG"/>
        </w:rPr>
        <w:t>الدراسات المرتبطة بذكاء الأعمال</w:t>
      </w:r>
      <w:bookmarkEnd w:id="39"/>
    </w:p>
    <w:p w14:paraId="5769F862" w14:textId="2EA67E0C" w:rsidR="00233F70" w:rsidRPr="006E471D" w:rsidRDefault="00233F70" w:rsidP="00103A96">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دراسات ذكاء الأعمال ودعم القرار الاستراتيجي</w:t>
      </w:r>
    </w:p>
    <w:p w14:paraId="7518ABAC" w14:textId="4FC5D96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تشير بعض الدراسات العربية إلى أن أحد أهم مخرجات ذكاء الأعمال يتمثل في دعمه المباشر لعملية اتخاذ القرار، خصوصاً في البيئات التي تتسم بتعدد البيانات وتعقّد البدائل. وفي هذا الإطار، تناولت دراسة سليم والشريف (2025) دور ذكاء الأعمال في اتخاذ القرارات الاستراتيجية عبر أربعة أبعاد تشغيلية: تجميع البيانات وتخزينها، المعالجة التحليلية للبيانات، التنقيب في البيانات، وتقنيات عرض المعلومات. وتميزت الدراسة بأنها انطلقت من سؤال واضح حول كيف يسهم ذكاء الأعمال في القرار، مع قياس مستوى التطبيق ثم اختبار علاقته بعملية اتخاذ القرار. استخدمت الدراسة أسلوب المسح الشامل لمجتمع صغير نسبياً (100 عامل) في شركات التأمين بمدينة مصراتة، مع توظيف الاستبانة وتحليل البيانات عبر (</w:t>
      </w:r>
      <w:r w:rsidRPr="006E471D">
        <w:rPr>
          <w:rFonts w:ascii="Traditional Arabic" w:hAnsi="Traditional Arabic" w:cs="Traditional Arabic"/>
          <w:sz w:val="28"/>
          <w:szCs w:val="28"/>
          <w:lang w:bidi="ar-EG"/>
        </w:rPr>
        <w:t>SPSS</w:t>
      </w:r>
      <w:r w:rsidRPr="006E471D">
        <w:rPr>
          <w:rFonts w:ascii="Traditional Arabic" w:hAnsi="Traditional Arabic" w:cs="Traditional Arabic"/>
          <w:sz w:val="28"/>
          <w:szCs w:val="28"/>
          <w:rtl/>
          <w:lang w:bidi="ar-EG"/>
        </w:rPr>
        <w:t>). وأظهرت النتائج ارتفاع درجة تطبيق أبعاد ذكاء الأعمال، ووجود علاقة موجبة متوسطة بين الأبعاد الأربعة وبين اتخاذ القرارات الاستراتيجية، مع تميز تقنيات عرض المعلومات بكونها الأعلى ارتباطاً بالقرار (سليم والشريف، 2025).</w:t>
      </w:r>
    </w:p>
    <w:p w14:paraId="4E7ECF48" w14:textId="5164C952"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lastRenderedPageBreak/>
        <w:t>وتكشف هذه النتائج نقطتين جديرتين بالانتباه: الأولى أن العرض ليس جانباً شكلياً، بل قد يكون قناة حاسمة لترجمة التحليلات إلى فهم إداري قابل للاستثمار؛ والثانية أن العلاقة المتوسطة—لا القوية—قد تشير إلى وجود عوامل وسيطة أو شروط تنظيمية تُحدد متى يتحول ذكاء الأعمال إلى قرار فعّال. ومع ذلك، يظل نطاق التعميم محدوداً بسبب طبيعة القطاع (التأمين لا البنوك)، وصغر حجم المجتمع، فضلاً عن أن الدراسة ركزت على اتخاذ القرار دون التفريق الدقيق بين مستوى جودة القرار بوصفه مخرَجاً يمكن قياسه بأبعاد محددة.</w:t>
      </w:r>
    </w:p>
    <w:p w14:paraId="291C26C1" w14:textId="2B158108"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وفي سياق ذي صلة، تُعد دراسة الفار ومبارز (2023) أقرب إلى الطرح التفسيري/المفاهيمي الذي يهدف إلى توضيح ذكاء الأعمال كمنظومة تقنية ومعرفية تُعين متخذي القرار في القطاع البنكي على اتخاذ قرارات مناسبة في الوقت المناسب. وتؤكد الدراسة أن وفرة البيانات وتراكمها في البيئة المصرفية لا تخلق قيمة إلا إذا جرى تحويلها إلى مؤشرات واتجاهات وتنبؤات تدعم مستويات القرار العليا، مع إبراز فكرة أن ذكاء الأعمال ليس منتجاً أو منهجية منفصلة، بل مزيج من أدوات وتقنيات وممارسات تستهدف الاستفادة من الأصول المعلوماتية للمنظمة (الفار ومبارز، 2023). ورغم أن هذا النوع من الدراسات لا يقدم اختباراً إحصائياً لعلاقات سببية، إلا أنه يضيف قيمة نظرية من حيث رسم منطق التحول من البيانات إلى القرار الاستراتيجي، وهو منطق تحتاجه الدراسة الحالية لكنها ستذهب أبعد منه نحو القياس الكمي للعلاقات داخل نموذج متكامل.</w:t>
      </w:r>
    </w:p>
    <w:p w14:paraId="1481D7CD" w14:textId="61C0CC08" w:rsidR="00233F70" w:rsidRPr="006E471D" w:rsidRDefault="00233F70" w:rsidP="00103A96">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دراسات ذكاء الأعمال والأداء والتحسين المستمر</w:t>
      </w:r>
    </w:p>
    <w:p w14:paraId="4AA2A8A8" w14:textId="1FF2FA29"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يظهر اتجاه ثانٍ في الأدبيات العربية يربط ذكاء الأعمال بنتائج تشغيلية وإدارية مثل أداء العاملين والتحسين المستمر، وهو ما يوسع دائرة فهم الأثر من القرار إلى النتائج التنظيمية. ضمن هذا الاتجاه، تناولت دراسة العتيبي (2025) أثر ذكاء الأعمال على أداء العاملين في البنك الأهلي السعودي بمدينة الطائف، مع التركيز على قياس مستوى تطبيق ذكاء الأعمال ومستوى الأداء ثم فحص العلاقة بينهما. اعتمدت الدراسة المنهج الوصفي التحليلي، واستخدمت الاستبانة على عينة قدرها (80) موظفاً. وقد خلصت إلى أن مستوى تطبيق ذكاء الأعمال جاء مرتفعاً (متوسط 4.45)، وأن أداء العاملين جاء مرتفعاً كذلك (متوسط 4.29)، مع وجود علاقة طردية بين تطبيق ذكاء الأعمال والأداء (العتيبي، 2025).</w:t>
      </w:r>
    </w:p>
    <w:p w14:paraId="5D2D0B92" w14:textId="795C720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وتعد هذه الدراسة مهمة </w:t>
      </w:r>
      <w:r w:rsidR="00594571" w:rsidRPr="006E471D">
        <w:rPr>
          <w:rFonts w:ascii="Traditional Arabic" w:hAnsi="Traditional Arabic" w:cs="Traditional Arabic"/>
          <w:sz w:val="28"/>
          <w:szCs w:val="28"/>
          <w:rtl/>
          <w:lang w:bidi="ar-EG"/>
        </w:rPr>
        <w:t>لدراسة</w:t>
      </w:r>
      <w:r w:rsidRPr="006E471D">
        <w:rPr>
          <w:rFonts w:ascii="Traditional Arabic" w:hAnsi="Traditional Arabic" w:cs="Traditional Arabic"/>
          <w:sz w:val="28"/>
          <w:szCs w:val="28"/>
          <w:rtl/>
          <w:lang w:bidi="ar-EG"/>
        </w:rPr>
        <w:t xml:space="preserve"> الباحثة من زاويتين: أولاً لأنها ضمن سياق سعودي وتطبيق مصرفي مباشر، وثانياً لأنها تقدم مؤشراً عملياً على أن تطبيق ذكاء الأعمال لا ينعكس على القرار فقط، بل يتصل بمستوى الأداء الوظيفي. لكن من زاوية نقدية، يلاحظ أن وحدة التحليل هي العاملون بشكل عام، وليس المديرين تحديداً، وأن المتغير المستقل تم قياسه بوصفه مستوى تطبيق لذكاء الأعمال، وهو ما قد يختلف عن قبول الاستخدام الذي تقوم عليه الدراسة الحالية. كما أن ربط ذكاء الأعمال بالأداء لا يوضح الآلية: هل تحسن الأداء نتيجة تحسين القرار؟ أم نتيجة تحسين الرقابة؟ أم تسهيل الإجراءات؟ وهذه أسئلة تجعل الحاجة قائمة لإدخال متغيرات تفسيرية وسيطة داخل النموذج.</w:t>
      </w:r>
    </w:p>
    <w:p w14:paraId="4176A9C6" w14:textId="638063E2"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وفي سياق التحسين المستمر، درست عبيدات (2022) أثر </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بأبعاد: المعالجة التحليلية الفورية، جمع وتحليل البيانات، وإدارة أداء الأعمال، على التحسين المستمر في البنوك القطرية. وتميزت الدراسة بحجم عينة كبير نسبياً (411 مفردة) واستخدام المنهج الوصفي والاستبانة. وأشارت النتائج إلى وجود أثر دال إحصائياً ل</w:t>
      </w:r>
      <w:r w:rsidR="0099150B" w:rsidRPr="006E471D">
        <w:rPr>
          <w:rFonts w:ascii="Traditional Arabic" w:hAnsi="Traditional Arabic" w:cs="Traditional Arabic"/>
          <w:sz w:val="28"/>
          <w:szCs w:val="28"/>
          <w:rtl/>
          <w:lang w:bidi="ar-EG"/>
        </w:rPr>
        <w:t>أنظمة ذكاء الأعمال</w:t>
      </w:r>
      <w:r w:rsidRPr="006E471D">
        <w:rPr>
          <w:rFonts w:ascii="Traditional Arabic" w:hAnsi="Traditional Arabic" w:cs="Traditional Arabic"/>
          <w:sz w:val="28"/>
          <w:szCs w:val="28"/>
          <w:rtl/>
          <w:lang w:bidi="ar-EG"/>
        </w:rPr>
        <w:t xml:space="preserve"> بأبعادها على التحسين المستمر، مع ارتفاع مستوى أهمية متغيرات الدراسة (عبيدات، 2022).</w:t>
      </w:r>
    </w:p>
    <w:p w14:paraId="005BF50A" w14:textId="0C908EB1"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وتقدم هذه الدراسة إضافة مهمة لأنها تربط ذكاء الأعمال بمنطق التطوير المستمر الذي يتقاطع مع مفاهيم الجودة والتحسين في المنظمات الخدمية. غير أن نقدها المنهجي يركز على نقطتين: الأولى أن التحسين المستمر—رغم أهميته—يبقى متغيراً عاماً وقد </w:t>
      </w:r>
      <w:r w:rsidRPr="006E471D">
        <w:rPr>
          <w:rFonts w:ascii="Traditional Arabic" w:hAnsi="Traditional Arabic" w:cs="Traditional Arabic"/>
          <w:sz w:val="28"/>
          <w:szCs w:val="28"/>
          <w:rtl/>
          <w:lang w:bidi="ar-EG"/>
        </w:rPr>
        <w:lastRenderedPageBreak/>
        <w:t xml:space="preserve">يلتقط نتائج تشغيلية دون أن يوضح صلب العملية التي تقود إليها (أي القرار الاستراتيجي). والثانية أن الدراسة لا تُفصح في بنيتها الملخصة عن طبيعة القياس: هل ذكاء الأعمال قيس كقدرات تقنية أم كممارسات استخدام؟ وهل التحسين المستمر قيس كاتجاهات ثقافية أم كمؤشرات عمليات؟ وهذا التفصيل يؤثر على مدى قابلية المقارنة المباشرة مع النموذج الذي تقترحه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 xml:space="preserve"> الحالية.</w:t>
      </w:r>
    </w:p>
    <w:p w14:paraId="7FFCFD91" w14:textId="529AC11F" w:rsidR="00233F70" w:rsidRPr="006E471D" w:rsidRDefault="00233F70" w:rsidP="00103A96">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دراسات ذكاء الأعمال في إدارة الأزمات والاستدامة المالية</w:t>
      </w:r>
    </w:p>
    <w:p w14:paraId="282F6554"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يرتبط ذكاء الأعمال في الأدبيات أيضاً بإدارة الأزمات، وهو مجال تتضح فيه قيمة البيانات الفورية والتحليل الاستباقي. فقد هدفت دراسة العتوم (2020) إلى بيان أثر ذكاء الأعمال على إدارة الأزمات في البنوك التجارية الأردنية بمدينة عمان. شملت الدراسة أربعة بنوك، وبلغ حجم العينة (419) موظفاً من الإدارتين العليا والوسطى، واعتمدت المنهج الكمي الوصفي التحليلي والاستبانة. وأظهرت النتائج وجود أثر ذي دلالة إحصائية لذكاء الأعمال بأبعاده المجتمعة (الذكاء التنافسي، جمع وتحليل البيانات، كفاية التقنيات الاستراتيجية، إدارة أداء الأعمال) على إدارة الأزمات، كما ظهر أثر على أبعاد فرعية مثل استشعار الإنذار المبكر والاستعداد والاستجابة واستعادة النشاط والتعلم من الأزمة، مع تباينات في قوة الأثر عبر الأبعاد (العتوم، 2020).</w:t>
      </w:r>
    </w:p>
    <w:p w14:paraId="3D4F1272" w14:textId="475AC433"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وتكشف هذه الدراسة عن ملمح مهم: ذكاء الأعمال لا يعمل فقط كأداة قرار هادئ في الظروف الاعتيادية، بل قد يرفع جاهزية المؤسسة للتعامل مع الصدمات عبر تحسين الرصد والتحليل وتنسيق الاستجابة. وهذه النتيجة يمكن استثمارها في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 xml:space="preserve"> الحالية عند مناقشة أن جودة القرارات الاستراتيجية</w:t>
      </w:r>
      <w:r w:rsidR="00611CA9" w:rsidRPr="006E471D">
        <w:rPr>
          <w:rFonts w:ascii="Traditional Arabic" w:hAnsi="Traditional Arabic" w:cs="Traditional Arabic"/>
          <w:sz w:val="28"/>
          <w:szCs w:val="28"/>
          <w:rtl/>
          <w:lang w:bidi="ar-EG"/>
        </w:rPr>
        <w:t xml:space="preserve"> – </w:t>
      </w:r>
      <w:r w:rsidRPr="006E471D">
        <w:rPr>
          <w:rFonts w:ascii="Traditional Arabic" w:hAnsi="Traditional Arabic" w:cs="Traditional Arabic"/>
          <w:sz w:val="28"/>
          <w:szCs w:val="28"/>
          <w:rtl/>
          <w:lang w:bidi="ar-EG"/>
        </w:rPr>
        <w:t>في بيئة مصرفية ديناميكية</w:t>
      </w:r>
      <w:r w:rsidR="00611CA9" w:rsidRPr="006E471D">
        <w:rPr>
          <w:rFonts w:ascii="Traditional Arabic" w:hAnsi="Traditional Arabic" w:cs="Traditional Arabic"/>
          <w:sz w:val="28"/>
          <w:szCs w:val="28"/>
          <w:rtl/>
          <w:lang w:bidi="ar-EG"/>
        </w:rPr>
        <w:t xml:space="preserve"> – </w:t>
      </w:r>
      <w:r w:rsidRPr="006E471D">
        <w:rPr>
          <w:rFonts w:ascii="Traditional Arabic" w:hAnsi="Traditional Arabic" w:cs="Traditional Arabic"/>
          <w:sz w:val="28"/>
          <w:szCs w:val="28"/>
          <w:rtl/>
          <w:lang w:bidi="ar-EG"/>
        </w:rPr>
        <w:t>لا تُقاس بملاءمة البدائل فقط، بل بالقدرة على التكيف مع المخاطر والتغيرات. ومع ذلك، تبقى الدراسة مركزة على إدارة الأزمات كمخرج نهائي، ولا تدخل إلى منطقة الابتكار التنظيمي بوصفه نتيجة استراتيجية بعيدة المدى.</w:t>
      </w:r>
    </w:p>
    <w:p w14:paraId="55BE9C15"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وعلى المستوى الدولي، تُشير دراسة </w:t>
      </w:r>
      <w:proofErr w:type="spellStart"/>
      <w:r w:rsidRPr="006E471D">
        <w:rPr>
          <w:rFonts w:ascii="Traditional Arabic" w:hAnsi="Traditional Arabic" w:cs="Traditional Arabic"/>
          <w:sz w:val="28"/>
          <w:szCs w:val="28"/>
          <w:rtl/>
          <w:lang w:bidi="ar-EG"/>
        </w:rPr>
        <w:t>تونوسكي</w:t>
      </w:r>
      <w:proofErr w:type="spellEnd"/>
      <w:r w:rsidRPr="006E471D">
        <w:rPr>
          <w:rFonts w:ascii="Traditional Arabic" w:hAnsi="Traditional Arabic" w:cs="Traditional Arabic"/>
          <w:sz w:val="28"/>
          <w:szCs w:val="28"/>
          <w:rtl/>
          <w:lang w:bidi="ar-EG"/>
        </w:rPr>
        <w:t xml:space="preserve"> (</w:t>
      </w:r>
      <w:proofErr w:type="spellStart"/>
      <w:r w:rsidRPr="006E471D">
        <w:rPr>
          <w:rFonts w:ascii="Traditional Arabic" w:hAnsi="Traditional Arabic" w:cs="Traditional Arabic"/>
          <w:sz w:val="28"/>
          <w:szCs w:val="28"/>
          <w:lang w:bidi="ar-EG"/>
        </w:rPr>
        <w:t>Tunowski</w:t>
      </w:r>
      <w:proofErr w:type="spellEnd"/>
      <w:r w:rsidRPr="006E471D">
        <w:rPr>
          <w:rFonts w:ascii="Traditional Arabic" w:hAnsi="Traditional Arabic" w:cs="Traditional Arabic"/>
          <w:sz w:val="28"/>
          <w:szCs w:val="28"/>
          <w:lang w:bidi="ar-EG"/>
        </w:rPr>
        <w:t>, 2022</w:t>
      </w:r>
      <w:r w:rsidRPr="006E471D">
        <w:rPr>
          <w:rFonts w:ascii="Traditional Arabic" w:hAnsi="Traditional Arabic" w:cs="Traditional Arabic"/>
          <w:sz w:val="28"/>
          <w:szCs w:val="28"/>
          <w:rtl/>
          <w:lang w:bidi="ar-EG"/>
        </w:rPr>
        <w:t xml:space="preserve">) إلى اتجاه بحثي يربط ذكاء الأعمال باستدامة البنوك عبر التأثير في الوضع المالي. وتفيد نتائجها بأن استخدام نظام معلومات الأعمال يؤثر إيجابياً في جوانب محددة من الوضع المالي للبنوك التجارية مثل الإنتاجية وجودة الأصول والخصوم والربحية والديون، وتطرح إمكانية تفسير علاقة سبب/نتيجة بين استخدام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وتحسين مؤشرات الوضع المالي والخدمات المصرفية المستدامة (</w:t>
      </w:r>
      <w:proofErr w:type="spellStart"/>
      <w:r w:rsidRPr="006E471D">
        <w:rPr>
          <w:rFonts w:ascii="Traditional Arabic" w:hAnsi="Traditional Arabic" w:cs="Traditional Arabic"/>
          <w:sz w:val="28"/>
          <w:szCs w:val="28"/>
          <w:lang w:bidi="ar-EG"/>
        </w:rPr>
        <w:t>Tunowski</w:t>
      </w:r>
      <w:proofErr w:type="spellEnd"/>
      <w:r w:rsidRPr="006E471D">
        <w:rPr>
          <w:rFonts w:ascii="Traditional Arabic" w:hAnsi="Traditional Arabic" w:cs="Traditional Arabic"/>
          <w:sz w:val="28"/>
          <w:szCs w:val="28"/>
          <w:lang w:bidi="ar-EG"/>
        </w:rPr>
        <w:t>, 2022</w:t>
      </w:r>
      <w:r w:rsidRPr="006E471D">
        <w:rPr>
          <w:rFonts w:ascii="Traditional Arabic" w:hAnsi="Traditional Arabic" w:cs="Traditional Arabic"/>
          <w:sz w:val="28"/>
          <w:szCs w:val="28"/>
          <w:rtl/>
          <w:lang w:bidi="ar-EG"/>
        </w:rPr>
        <w:t>).</w:t>
      </w:r>
    </w:p>
    <w:p w14:paraId="0C76A208" w14:textId="446B3E0B"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ويُلاحظ هنا أن الدراسة تنقل النقاش من القرار إلى الأثر المالي/الاستدامة، وهو مفيد لتأكيد أن ذكاء الأعمال يمكن أن يكون رافعة لأداء قابل للقياس. غير أن الربط بين استخدام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والنتائج المالية قد يتأثر بشدة بعوامل سياقية مثل سياسات البنك، وحجم السوق، ومستوى التنظيم، والحوكمة، وهو ما يجعل تعميم النتائج يحتاج إلى حذر. كما أن الدراسة—بحسب العرض المتاح—تركز على الأثر النهائي دون تفصيل كافٍ للآليات السلوكية والتنظيمية التي تسمح باستخدام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بفعالية.</w:t>
      </w:r>
    </w:p>
    <w:p w14:paraId="35E52E22" w14:textId="6F4235B4" w:rsidR="004D6A72" w:rsidRPr="006E471D" w:rsidRDefault="004D6A72" w:rsidP="00103A96">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وعند توليف هذه النتائج، يتضح اتفاق عام بين الدراسات على وجود علاقة إيجابية بين ذكاء الأعمال والنتائج التنظيمية، سواء تعلق الأمر بالقرار أو الأداء أو التحسين أو إدارة الأزمات. غير أن قوة العلاقة تتفاوت تفاوتاً ملحوظاً: فبينما أظهرت دراسة سليم والشريف (2025) علاقة متوسطة فقط بين أبعاد ذكاء الأعمال والقرار الاستراتيجي، جاءت النتائج أقوى في دراسة العتيبي (2025) عند قياس الأثر على الأداء الوظيفي. وقد يعود هذا التفاوت إلى اختلاف القطاع (تأمين مقابل بنوك) واختلاف وحدة التحليل (عاملون عامون مقابل مستويات إدارية). والأهم من ذلك أن أياً من هذه الدراسات لم تختبر آلية وسيطة تشرح كيف ينتقل أثر ذكاء الأعمال من البيانات والتحليلات إلى النتائج التنظيمية، وهو ما يمثل فراغاً تسعى الدراسة الحالية لملئه عبر إدخال جودة القرارات الاستراتيجية كمتغير وسيط.</w:t>
      </w:r>
    </w:p>
    <w:p w14:paraId="3409932D" w14:textId="66BB2E1E" w:rsidR="00233F70" w:rsidRPr="006E471D" w:rsidRDefault="00103A96" w:rsidP="00103A96">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lastRenderedPageBreak/>
        <w:t>و</w:t>
      </w:r>
      <w:r w:rsidR="00233F70" w:rsidRPr="006E471D">
        <w:rPr>
          <w:rFonts w:ascii="Traditional Arabic" w:hAnsi="Traditional Arabic" w:cs="Traditional Arabic"/>
          <w:sz w:val="28"/>
          <w:szCs w:val="28"/>
          <w:rtl/>
          <w:lang w:bidi="ar-EG"/>
        </w:rPr>
        <w:t xml:space="preserve">يمكن القول إن الأدبيات التي عُرضت تقدم اتفاقاً عاماً على أن ذكاء الأعمال يرتبط بنتائج إيجابية في القرار، والتحسين، والأداء، وإدارة الأزمات، وحتى المؤشرات المالية (سليم والشريف، 2025؛ العتيبي، 2025؛ عبيدات، 2022؛ العتوم، 2020؛ </w:t>
      </w:r>
      <w:proofErr w:type="spellStart"/>
      <w:r w:rsidR="00233F70" w:rsidRPr="006E471D">
        <w:rPr>
          <w:rFonts w:ascii="Traditional Arabic" w:hAnsi="Traditional Arabic" w:cs="Traditional Arabic"/>
          <w:sz w:val="28"/>
          <w:szCs w:val="28"/>
          <w:lang w:bidi="ar-EG"/>
        </w:rPr>
        <w:t>Tunowski</w:t>
      </w:r>
      <w:proofErr w:type="spellEnd"/>
      <w:r w:rsidR="00233F70" w:rsidRPr="006E471D">
        <w:rPr>
          <w:rFonts w:ascii="Traditional Arabic" w:hAnsi="Traditional Arabic" w:cs="Traditional Arabic"/>
          <w:sz w:val="28"/>
          <w:szCs w:val="28"/>
          <w:lang w:bidi="ar-EG"/>
        </w:rPr>
        <w:t>, 2022</w:t>
      </w:r>
      <w:r w:rsidR="00233F70" w:rsidRPr="006E471D">
        <w:rPr>
          <w:rFonts w:ascii="Traditional Arabic" w:hAnsi="Traditional Arabic" w:cs="Traditional Arabic"/>
          <w:sz w:val="28"/>
          <w:szCs w:val="28"/>
          <w:rtl/>
          <w:lang w:bidi="ar-EG"/>
        </w:rPr>
        <w:t>). لكنها تكشف في الوقت نفسه عن ثلاث ثغرات تهم الدراسة الحالية:</w:t>
      </w:r>
    </w:p>
    <w:p w14:paraId="6FDCB380" w14:textId="52BEBA80" w:rsidR="00233F70" w:rsidRPr="006E471D"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غلبة قياس ذكاء الأعمال كـمستوى تطبيق/قدرات أكثر من قياسه كـقبول استخدام لدى المديرين، وهو محور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الذي تتبناه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w:t>
      </w:r>
    </w:p>
    <w:p w14:paraId="0C5BA051" w14:textId="77777777" w:rsidR="00233F70" w:rsidRPr="006E471D"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محدودية إدخال متغيرات وسيطة تفسر كيف ينتقل أثر ذكاء الأعمال من البيانات إلى النتائج؛ إذ غالباً ما يُفترض الأثر المباشر دون اختبار آلية وسيط.</w:t>
      </w:r>
    </w:p>
    <w:p w14:paraId="5B9F7DE0" w14:textId="77777777" w:rsidR="00233F70" w:rsidRPr="006E471D"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تركّز عدد من الدراسات على مخرجات تشغيلية أو إدارية (الأداء، الأزمات، التحسين المستمر) بينما لا تتناول الابتكار التنظيمي بوصفه مخرجاً استراتيجياً يتطلب قرارات عالية الجودة.</w:t>
      </w:r>
    </w:p>
    <w:p w14:paraId="53516CCA" w14:textId="6F63A2CD" w:rsidR="00233F70" w:rsidRPr="006E471D" w:rsidRDefault="00233F70" w:rsidP="00103A96">
      <w:pPr>
        <w:pStyle w:val="Heading3"/>
        <w:jc w:val="both"/>
        <w:rPr>
          <w:rFonts w:ascii="Traditional Arabic" w:hAnsi="Traditional Arabic" w:cs="Traditional Arabic"/>
          <w:b/>
          <w:bCs/>
          <w:color w:val="000000" w:themeColor="text1"/>
          <w:rtl/>
          <w:lang w:bidi="ar-EG"/>
        </w:rPr>
      </w:pPr>
      <w:bookmarkStart w:id="40" w:name="_Toc222423575"/>
      <w:r w:rsidRPr="006E471D">
        <w:rPr>
          <w:rFonts w:ascii="Traditional Arabic" w:hAnsi="Traditional Arabic" w:cs="Traditional Arabic"/>
          <w:b/>
          <w:bCs/>
          <w:color w:val="000000" w:themeColor="text1"/>
          <w:rtl/>
          <w:lang w:bidi="ar-EG"/>
        </w:rPr>
        <w:t>الدراسات المرتبطة بالقرارات الاستراتيجية</w:t>
      </w:r>
      <w:bookmarkEnd w:id="40"/>
    </w:p>
    <w:p w14:paraId="75C758D2" w14:textId="5C69766D" w:rsidR="00233F70" w:rsidRPr="006E471D" w:rsidRDefault="00233F70" w:rsidP="00611CA9">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فاعلية القرارات الاستراتيجية ومخرجاتها التنظيمية</w:t>
      </w:r>
    </w:p>
    <w:p w14:paraId="616E0546"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يظهر في الأدبيات العربية اهتمام بقياس فاعلية القرارات الاستراتيجية وربطها بمؤشرات تنظيمية مثل التميز والتمكين. وفي هذا السياق، هدفت دراسة </w:t>
      </w:r>
      <w:proofErr w:type="spellStart"/>
      <w:r w:rsidRPr="006E471D">
        <w:rPr>
          <w:rFonts w:ascii="Traditional Arabic" w:hAnsi="Traditional Arabic" w:cs="Traditional Arabic"/>
          <w:sz w:val="28"/>
          <w:szCs w:val="28"/>
          <w:rtl/>
          <w:lang w:bidi="ar-EG"/>
        </w:rPr>
        <w:t>الدهيمي</w:t>
      </w:r>
      <w:proofErr w:type="spellEnd"/>
      <w:r w:rsidRPr="006E471D">
        <w:rPr>
          <w:rFonts w:ascii="Traditional Arabic" w:hAnsi="Traditional Arabic" w:cs="Traditional Arabic"/>
          <w:sz w:val="28"/>
          <w:szCs w:val="28"/>
          <w:rtl/>
          <w:lang w:bidi="ar-EG"/>
        </w:rPr>
        <w:t xml:space="preserve"> (2021) إلى تحليل أثر فاعلية القرارات الاستراتيجية في التميز التنظيمي من خلال التمكين الوظيفي كمتغير وسيط، وذلك على عينة بلغت (336) مديراً في البنوك التجارية القطرية وباستخدام الاستبانة والمنهج الوصفي. وقد خلصت الدراسة إلى ارتفاع مستويات فاعلية القرارات الاستراتيجية والتميز التنظيمي والتمكين الوظيفي، وإلى وجود أثر مباشر لفاعلية القرارات في التميز، وأثر لفاعلية القرارات في التمكين، وأثر للتمكين في التميز، ثم وجود أثر غير مباشر لفاعلية القرارات في التميز عبر التمكين (</w:t>
      </w:r>
      <w:proofErr w:type="spellStart"/>
      <w:r w:rsidRPr="006E471D">
        <w:rPr>
          <w:rFonts w:ascii="Traditional Arabic" w:hAnsi="Traditional Arabic" w:cs="Traditional Arabic"/>
          <w:sz w:val="28"/>
          <w:szCs w:val="28"/>
          <w:rtl/>
          <w:lang w:bidi="ar-EG"/>
        </w:rPr>
        <w:t>الدهيمي</w:t>
      </w:r>
      <w:proofErr w:type="spellEnd"/>
      <w:r w:rsidRPr="006E471D">
        <w:rPr>
          <w:rFonts w:ascii="Traditional Arabic" w:hAnsi="Traditional Arabic" w:cs="Traditional Arabic"/>
          <w:sz w:val="28"/>
          <w:szCs w:val="28"/>
          <w:rtl/>
          <w:lang w:bidi="ar-EG"/>
        </w:rPr>
        <w:t>، 2021).</w:t>
      </w:r>
    </w:p>
    <w:p w14:paraId="54CD450A" w14:textId="07501BCE"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وتوفر هذه الدراسة نموذجاً منهجياً مهماً لأنها لا تكتفي بالعلاقات المباشرة، بل تُدخل متغيراً وسيطاً يوضح آلية الانتقال إلى النتائج التنظيمية. وهذا قريب في الفكرة المنهجية من الدراسة الحالية، مع اختلاف جوهري في طبيعة المتغيرات: الدراسة الحالية لا تتناول فاعلية القرار فقط، بل تركز على جودة القرار كوسيط بين قبول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والابتكار التنظيمي.</w:t>
      </w:r>
    </w:p>
    <w:p w14:paraId="2FBDF211" w14:textId="6F3F0D08" w:rsidR="00233F70" w:rsidRPr="006E471D" w:rsidRDefault="00233F70" w:rsidP="00611CA9">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المحددات المعرفية والسلوكية لصنع القرار الاستراتيجي</w:t>
      </w:r>
    </w:p>
    <w:p w14:paraId="7B68FFB9"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تلفت دراسة جرار (</w:t>
      </w:r>
      <w:r w:rsidRPr="006E471D">
        <w:rPr>
          <w:rFonts w:ascii="Traditional Arabic" w:hAnsi="Traditional Arabic" w:cs="Traditional Arabic"/>
          <w:sz w:val="28"/>
          <w:szCs w:val="28"/>
          <w:lang w:bidi="ar-EG"/>
        </w:rPr>
        <w:t>Jarrar, 2021</w:t>
      </w:r>
      <w:r w:rsidRPr="006E471D">
        <w:rPr>
          <w:rFonts w:ascii="Traditional Arabic" w:hAnsi="Traditional Arabic" w:cs="Traditional Arabic"/>
          <w:sz w:val="28"/>
          <w:szCs w:val="28"/>
          <w:rtl/>
          <w:lang w:bidi="ar-EG"/>
        </w:rPr>
        <w:t>) النظر إلى جانب غالباً ما يُهمّش في بحوث القرار: التحيزات المعرفية وتأثيرها على صنع القرار الاستراتيجي. اعتمدت الدراسة استبانة وزعتها على (138) مصرفياً في مناصب إدارية، وهدفت إلى قياس تأثير تحيزات مثل وهم السيطرة وتحيز الفرضيات السابقة وتحيز الالتزام المتصاعد والتمثيل وتحيز التوافر على اتخاذ القرارات الاستراتيجية. وأظهرت النتائج وجود تأثيرات معنوية لبعض التحيزات (مثل وهم السيطرة والتمثيل) بينما لم تكن أخرى دالة (</w:t>
      </w:r>
      <w:r w:rsidRPr="006E471D">
        <w:rPr>
          <w:rFonts w:ascii="Traditional Arabic" w:hAnsi="Traditional Arabic" w:cs="Traditional Arabic"/>
          <w:sz w:val="28"/>
          <w:szCs w:val="28"/>
          <w:lang w:bidi="ar-EG"/>
        </w:rPr>
        <w:t>Jarrar, 2021</w:t>
      </w:r>
      <w:r w:rsidRPr="006E471D">
        <w:rPr>
          <w:rFonts w:ascii="Traditional Arabic" w:hAnsi="Traditional Arabic" w:cs="Traditional Arabic"/>
          <w:sz w:val="28"/>
          <w:szCs w:val="28"/>
          <w:rtl/>
          <w:lang w:bidi="ar-EG"/>
        </w:rPr>
        <w:t>).</w:t>
      </w:r>
    </w:p>
    <w:p w14:paraId="062744F6" w14:textId="7A16789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وتُفيد هذه النتائج في تقوية منطق الدراسة الحالية عندما تطرح الموضوعية/التقييم كأحد أبعاد جودة القرار؛ إذ توضح أن جودة القرار لا تُحسَّن بمجرد زيادة المعلومات، بل تحتاج أيضاً إلى تقليل أثر </w:t>
      </w:r>
      <w:proofErr w:type="spellStart"/>
      <w:r w:rsidRPr="006E471D">
        <w:rPr>
          <w:rFonts w:ascii="Traditional Arabic" w:hAnsi="Traditional Arabic" w:cs="Traditional Arabic"/>
          <w:sz w:val="28"/>
          <w:szCs w:val="28"/>
          <w:rtl/>
          <w:lang w:bidi="ar-EG"/>
        </w:rPr>
        <w:t>الانحيازات</w:t>
      </w:r>
      <w:proofErr w:type="spellEnd"/>
      <w:r w:rsidRPr="006E471D">
        <w:rPr>
          <w:rFonts w:ascii="Traditional Arabic" w:hAnsi="Traditional Arabic" w:cs="Traditional Arabic"/>
          <w:sz w:val="28"/>
          <w:szCs w:val="28"/>
          <w:rtl/>
          <w:lang w:bidi="ar-EG"/>
        </w:rPr>
        <w:t xml:space="preserve"> عند تفسير المعلومات واختيار البدائل. وفي السياق نفسه، تناولت دراسة عبد الله ووهاب (2019) أثر الأنماط المعرفية في تعزيز كفاءة القرار الاستراتيجي داخل مصارف عراقية، وخلصت إلى أن بعض الأنماط المعرفية تؤثر في كفاءة القرار الاستراتيجي (عبد الله ووهاب، 2019). ورغم أن الدراسة أقدم زمنياً، إلا أنها تسند فكرة أن خصائص متخذ القرار وخبرته ومعاييره المعرفية تدخل ضمن محددات جودة القرار.</w:t>
      </w:r>
    </w:p>
    <w:p w14:paraId="653AE847" w14:textId="039FC440" w:rsidR="00233F70" w:rsidRPr="006E471D" w:rsidRDefault="00233F70" w:rsidP="00611CA9">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lastRenderedPageBreak/>
        <w:t xml:space="preserve">الأبعاد التنظيمية </w:t>
      </w:r>
      <w:proofErr w:type="spellStart"/>
      <w:r w:rsidRPr="006E471D">
        <w:rPr>
          <w:rFonts w:ascii="Traditional Arabic" w:hAnsi="Traditional Arabic" w:cs="Traditional Arabic"/>
          <w:b/>
          <w:bCs/>
          <w:color w:val="000000" w:themeColor="text1"/>
          <w:sz w:val="28"/>
          <w:szCs w:val="28"/>
          <w:rtl/>
          <w:lang w:bidi="ar-EG"/>
        </w:rPr>
        <w:t>والحوكمية</w:t>
      </w:r>
      <w:proofErr w:type="spellEnd"/>
      <w:r w:rsidRPr="006E471D">
        <w:rPr>
          <w:rFonts w:ascii="Traditional Arabic" w:hAnsi="Traditional Arabic" w:cs="Traditional Arabic"/>
          <w:b/>
          <w:bCs/>
          <w:color w:val="000000" w:themeColor="text1"/>
          <w:sz w:val="28"/>
          <w:szCs w:val="28"/>
          <w:rtl/>
          <w:lang w:bidi="ar-EG"/>
        </w:rPr>
        <w:t xml:space="preserve"> والمحاسبية في صناعة القرار الاستراتيجي</w:t>
      </w:r>
    </w:p>
    <w:p w14:paraId="02364D56" w14:textId="3BA7003F"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ضمن الأدبيات العربية، عالجت دراسة حبوش (2020) أثر ممارسات الحاكمية المؤسسية في صنع القرارات الاستراتيجية بالبنوك التجارية الأردنية. تميزت الدراسة بتفكيك الحوكمة إلى مكونات (كفاءة مجلس الإدارة، الإفصاح والشفافية، حماية حقوق المساهمين…)، وربطها بأبعاد القرار الاستراتيجي (التعقيد، الاستمرارية، العقلانية والرقابة). وأظهرت النتائج وجود أثر ذي دلالة لعدد من ممارسات الحوكمة في صنع القرارات الاستراتيجية، مقابل عدم دلالة الإطار الفعال للحاكمية في نموذجها (حبوش، 2020).</w:t>
      </w:r>
    </w:p>
    <w:p w14:paraId="78417F3B"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ويُقرأ هذا الاستنتاج بوصفه دليلاً على أن البيئة التنظيمية داخل البنك (قواعد الحوكمة والشفافية والرقابة) قد تخلق شروطاً تحسّن القرار أو </w:t>
      </w:r>
      <w:proofErr w:type="spellStart"/>
      <w:r w:rsidRPr="006E471D">
        <w:rPr>
          <w:rFonts w:ascii="Traditional Arabic" w:hAnsi="Traditional Arabic" w:cs="Traditional Arabic"/>
          <w:sz w:val="28"/>
          <w:szCs w:val="28"/>
          <w:rtl/>
          <w:lang w:bidi="ar-EG"/>
        </w:rPr>
        <w:t>تعيقه</w:t>
      </w:r>
      <w:proofErr w:type="spellEnd"/>
      <w:r w:rsidRPr="006E471D">
        <w:rPr>
          <w:rFonts w:ascii="Traditional Arabic" w:hAnsi="Traditional Arabic" w:cs="Traditional Arabic"/>
          <w:sz w:val="28"/>
          <w:szCs w:val="28"/>
          <w:rtl/>
          <w:lang w:bidi="ar-EG"/>
        </w:rPr>
        <w:t>، وهو ما يتقاطع مع فكرة الدراسة الحالية حول أن تفعيل ذكاء الأعمال لا ينفصل عن البيئة المؤسسية الحاكمة. كما تناولت دراسة أبو تمام (2018) أثر تطبيق نظم محاسبة التكاليف والإدارية (</w:t>
      </w:r>
      <w:r w:rsidRPr="006E471D">
        <w:rPr>
          <w:rFonts w:ascii="Traditional Arabic" w:hAnsi="Traditional Arabic" w:cs="Traditional Arabic"/>
          <w:sz w:val="28"/>
          <w:szCs w:val="28"/>
          <w:lang w:bidi="ar-EG"/>
        </w:rPr>
        <w:t>ABC, ABM, TC, BSC</w:t>
      </w:r>
      <w:r w:rsidRPr="006E471D">
        <w:rPr>
          <w:rFonts w:ascii="Traditional Arabic" w:hAnsi="Traditional Arabic" w:cs="Traditional Arabic"/>
          <w:sz w:val="28"/>
          <w:szCs w:val="28"/>
          <w:rtl/>
          <w:lang w:bidi="ar-EG"/>
        </w:rPr>
        <w:t>) على اتخاذ القرارات الاستراتيجية في البنوك التجارية الأردنية، وخلصت إلى أهمية هذه النظم ووجود دلالات إحصائية لأثرها على القرار الاستراتيجي (أبو تمام، 2018). ورغم أن الدراسة أقدم، فإنها تُبرز أن القرار الاستراتيجي في البنوك يتأثر كذلك بأدوات القياس والتحليل المحاسبي، أي بالقدرة على تحويل البيانات المالية إلى مؤشرات تدعم المفاضلة.</w:t>
      </w:r>
    </w:p>
    <w:p w14:paraId="362E537A" w14:textId="71A26DC6" w:rsidR="00233F70" w:rsidRPr="006E471D" w:rsidRDefault="00233F70" w:rsidP="00611CA9">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الذكاء الاستراتيجي والخبرة الدولية كعوامل مؤثرة في القرار</w:t>
      </w:r>
    </w:p>
    <w:p w14:paraId="3C2BFD10"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تضيف دراسة فريد وعامر (2021) بعداً مختلفاً عبر ربط الذكاء الاستراتيجي (الاستشراف، الرؤية المستقبلية، التفكير النظامي، الشراكة) بالقرارات الاستراتيجية الرشيدة، مع اختبار الخبرة الدولية لمتخذ القرار كمتغير معدل. وأظهرت النتائج علاقة معنوية إيجابية بين أبعاد الذكاء الاستراتيجي والقرارات الرشيدة، مع دور معدل للخبرة الدولية (فريد وعامر، 2021).</w:t>
      </w:r>
    </w:p>
    <w:p w14:paraId="7E982161"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وتوفر هذه الدراسة فائدة مزدوجة: فهي تؤكد أن جودة القرار الاستراتيجي ليست نتاج بيانات فقط، بل نتاج قدرات إدراكية واستشرافية، كما تُظهر قيمة إدخال متغيرات معدلة/وسيطة لتفسير اختلاف قوة العلاقات، وهو ما ينسجم مع توجه الدراسة الحالية لاختبار وساطة جودة القرار.</w:t>
      </w:r>
    </w:p>
    <w:p w14:paraId="2E9D7F23" w14:textId="323AAE13" w:rsidR="00233F70" w:rsidRPr="006E471D" w:rsidRDefault="00611CA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وخلاصة القول، </w:t>
      </w:r>
      <w:r w:rsidR="00233F70" w:rsidRPr="006E471D">
        <w:rPr>
          <w:rFonts w:ascii="Traditional Arabic" w:hAnsi="Traditional Arabic" w:cs="Traditional Arabic"/>
          <w:sz w:val="28"/>
          <w:szCs w:val="28"/>
          <w:rtl/>
          <w:lang w:bidi="ar-EG"/>
        </w:rPr>
        <w:t xml:space="preserve">تكشف الدراسات المعروضة عن اتفاق عام على أن القرار الاستراتيجي يتأثر بعوامل معرفية وتنظيمية </w:t>
      </w:r>
      <w:proofErr w:type="spellStart"/>
      <w:r w:rsidR="00233F70" w:rsidRPr="006E471D">
        <w:rPr>
          <w:rFonts w:ascii="Traditional Arabic" w:hAnsi="Traditional Arabic" w:cs="Traditional Arabic"/>
          <w:sz w:val="28"/>
          <w:szCs w:val="28"/>
          <w:rtl/>
          <w:lang w:bidi="ar-EG"/>
        </w:rPr>
        <w:t>وحوكمية</w:t>
      </w:r>
      <w:proofErr w:type="spellEnd"/>
      <w:r w:rsidR="00233F70" w:rsidRPr="006E471D">
        <w:rPr>
          <w:rFonts w:ascii="Traditional Arabic" w:hAnsi="Traditional Arabic" w:cs="Traditional Arabic"/>
          <w:sz w:val="28"/>
          <w:szCs w:val="28"/>
          <w:rtl/>
          <w:lang w:bidi="ar-EG"/>
        </w:rPr>
        <w:t xml:space="preserve">، وأنه ينعكس على نتائج تنظيمية مثل التميز. إلا أن الملاحظة الأهم مقارنة بالدراسة الحالية أن كثيراً من الأدبيات تركز على صنع القرار أو فاعلية القرار دون أن تُفرد معالجة تشغيلية متماسكة لقياس جودة القرار بأبعاد محددة قابلة للربط مع نظم المعلومات. كما أن الربط بين القرار والابتكار التنظيمي يبقى محدوداً في هذه الدراسات، فضلاً عن غياب إدخال متغير قبول </w:t>
      </w:r>
      <w:r w:rsidR="0099150B" w:rsidRPr="006E471D">
        <w:rPr>
          <w:rFonts w:ascii="Traditional Arabic" w:hAnsi="Traditional Arabic" w:cs="Traditional Arabic"/>
          <w:sz w:val="28"/>
          <w:szCs w:val="28"/>
          <w:rtl/>
          <w:lang w:bidi="ar-EG"/>
        </w:rPr>
        <w:t>أنظمة ذكاء الأعمال</w:t>
      </w:r>
      <w:r w:rsidR="00233F70" w:rsidRPr="006E471D">
        <w:rPr>
          <w:rFonts w:ascii="Traditional Arabic" w:hAnsi="Traditional Arabic" w:cs="Traditional Arabic"/>
          <w:sz w:val="28"/>
          <w:szCs w:val="28"/>
          <w:rtl/>
          <w:lang w:bidi="ar-EG"/>
        </w:rPr>
        <w:t xml:space="preserve"> وفق </w:t>
      </w:r>
      <w:r w:rsidR="00233F70" w:rsidRPr="006E471D">
        <w:rPr>
          <w:rFonts w:ascii="Traditional Arabic" w:hAnsi="Traditional Arabic" w:cs="Traditional Arabic"/>
          <w:sz w:val="28"/>
          <w:szCs w:val="28"/>
          <w:lang w:bidi="ar-EG"/>
        </w:rPr>
        <w:t>TAM</w:t>
      </w:r>
      <w:r w:rsidR="00233F70" w:rsidRPr="006E471D">
        <w:rPr>
          <w:rFonts w:ascii="Traditional Arabic" w:hAnsi="Traditional Arabic" w:cs="Traditional Arabic"/>
          <w:sz w:val="28"/>
          <w:szCs w:val="28"/>
          <w:rtl/>
          <w:lang w:bidi="ar-EG"/>
        </w:rPr>
        <w:t xml:space="preserve"> كمدخل سلوكي يفسر لماذا تُستخدم البيانات والتحليلات فعلياً في القرار.</w:t>
      </w:r>
    </w:p>
    <w:p w14:paraId="403DB8F1" w14:textId="300A9C53" w:rsidR="00233F70" w:rsidRPr="006E471D" w:rsidRDefault="00233F70" w:rsidP="00611CA9">
      <w:pPr>
        <w:pStyle w:val="Heading3"/>
        <w:jc w:val="both"/>
        <w:rPr>
          <w:rFonts w:ascii="Traditional Arabic" w:hAnsi="Traditional Arabic" w:cs="Traditional Arabic"/>
          <w:b/>
          <w:bCs/>
          <w:color w:val="000000" w:themeColor="text1"/>
          <w:rtl/>
          <w:lang w:bidi="ar-EG"/>
        </w:rPr>
      </w:pPr>
      <w:bookmarkStart w:id="41" w:name="_Toc222423576"/>
      <w:r w:rsidRPr="006E471D">
        <w:rPr>
          <w:rFonts w:ascii="Traditional Arabic" w:hAnsi="Traditional Arabic" w:cs="Traditional Arabic"/>
          <w:b/>
          <w:bCs/>
          <w:color w:val="000000" w:themeColor="text1"/>
          <w:rtl/>
          <w:lang w:bidi="ar-EG"/>
        </w:rPr>
        <w:t>الدراسات المرتبطة بالابتكار التنظيمي</w:t>
      </w:r>
      <w:bookmarkEnd w:id="41"/>
    </w:p>
    <w:p w14:paraId="1AECC98C" w14:textId="1873A507" w:rsidR="00233F70" w:rsidRPr="006E471D" w:rsidRDefault="00233F70" w:rsidP="00611CA9">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الابتكار المؤسسي والصورة الذهنية في المؤسسات المصرفية</w:t>
      </w:r>
    </w:p>
    <w:p w14:paraId="6507F2EA"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تناولت دراسة الوكيل (2021) طبيعة العلاقة بين الابتكار المؤسسي وبناء الصورة الذهنية للمؤسسات العامة بالتطبيق على بنك مصر، مع اختبار العلاقة بين الابتكار (</w:t>
      </w:r>
      <w:proofErr w:type="spellStart"/>
      <w:r w:rsidRPr="006E471D">
        <w:rPr>
          <w:rFonts w:ascii="Traditional Arabic" w:hAnsi="Traditional Arabic" w:cs="Traditional Arabic"/>
          <w:sz w:val="28"/>
          <w:szCs w:val="28"/>
          <w:rtl/>
          <w:lang w:bidi="ar-EG"/>
        </w:rPr>
        <w:t>المنظمي</w:t>
      </w:r>
      <w:proofErr w:type="spellEnd"/>
      <w:r w:rsidRPr="006E471D">
        <w:rPr>
          <w:rFonts w:ascii="Traditional Arabic" w:hAnsi="Traditional Arabic" w:cs="Traditional Arabic"/>
          <w:sz w:val="28"/>
          <w:szCs w:val="28"/>
          <w:rtl/>
          <w:lang w:bidi="ar-EG"/>
        </w:rPr>
        <w:t xml:space="preserve"> والبشري) والصورة الذهنية الداخلية والخارجية. اعتمدت الدراسة على عينة عشوائية (200) مسؤول، وأظهرت النتائج صحة علاقات الارتباط والتأثير بين الابتكار المؤسسي والصورة الذهنية عند مستوى معنوية (0.05) (الوكيل، 2021).</w:t>
      </w:r>
    </w:p>
    <w:p w14:paraId="7CFEF8BC"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lastRenderedPageBreak/>
        <w:t>وتُظهر هذه الدراسة أن الابتكار التنظيمي لا ينعكس على الأداء الداخلي فحسب، بل يمتد إلى المخرجات الرمزية/التسويقية مثل الصورة الذهنية والثقة العامة، وهو بعد مهم للبنوك. غير أن الدراسة لا تربط الابتكار بشكل مباشر بمدخلات بيانات أو بجودة قرار، ما يجعلها مفيدة في توصيف أثر الابتكار، لكنها لا تقدم تفسيراً لمسارات تولّده داخل المؤسسة.</w:t>
      </w:r>
    </w:p>
    <w:p w14:paraId="7DB501F4" w14:textId="2AFDF3F5" w:rsidR="00233F70" w:rsidRPr="006E471D" w:rsidRDefault="00233F70" w:rsidP="00611CA9">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الابتكار التنظيمي في سياقات الأزمة وعلاقته بالميزة التنافسية</w:t>
      </w:r>
    </w:p>
    <w:p w14:paraId="68DCC67F"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تقدم دراسة جديد (2020) معالجة للابتكار التنظيمي في المصرف التجاري السوري ضمن ظروف أزمة، مع التركيز على المناخ التنظيمي الداعم للابتكار وقياس مستوى الابتكار ثم ربطه بالميزة التنافسية. وتوصلت إلى تقييم متوسط لمؤشرات الابتكار المرتبطة بالمناخ الداعم، وإلى علاقة طردية ضعيفة بين الابتكار المتوافر وقدرة المصرف على تحقيق الميزة التنافسية في الظروف الراهنة (جديد، 2020).</w:t>
      </w:r>
    </w:p>
    <w:p w14:paraId="78B7DE49" w14:textId="2FF98201"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وتفتح هذه النتائج نافذة تفسيرية مفيدة: الابتكار في البنوك قد يبقى موجوداً لكنه لا يتحول إلى ميزة تنافسية إذا كانت البيئة الضاغطة تحدّ من فعاليته أو إذا كانت القرارات الاستراتيجية لا تمنحه موارد كافية أو توقيتاً مناسباً. وهنا تتضح صلة غير مباشرة بموضوع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 xml:space="preserve"> الحالية: جودة القرار (تحليل البدائل، التوقيت، الموضوعية) قد تكون عنصراً فارقاً في تحويل الابتكار إلى أثر تنافسي ملموس.</w:t>
      </w:r>
    </w:p>
    <w:p w14:paraId="26C16B5B" w14:textId="66769504" w:rsidR="00233F70" w:rsidRPr="006E471D" w:rsidRDefault="00233F70" w:rsidP="00611CA9">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ترتيبات العمل المرن كمدخل للابتكار التنظيمي</w:t>
      </w:r>
    </w:p>
    <w:p w14:paraId="6F99C92A"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تناولت دراسة أحمد (2019) أثر ترتيبات العمل المرن في قطاع الخدمات المصرفية على الابتكار التنظيمي. وقد كشفت النتائج عن ارتباط معنوي إيجابي بين أبعاد العمل المرن وأبعاد الابتكار، مع قوة ارتباط خاصة للمرونة في كمية العمل مع ابتكار العملية والابتكار الإداري، إضافة إلى تأثير إيجابي للمرونة في مكان العمل واستمراريته على ابتكار المنتج والعملية (أحمد، 2019).</w:t>
      </w:r>
    </w:p>
    <w:p w14:paraId="79C752C8" w14:textId="7806A56E"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وتفيد هذه الدراسة في إيضاح أن الابتكار التنظيمي يتغذى من بيئة العمل الداخلية وليس من التكنولوجيا فقط؛ فالتجريب يحتاج إلى مرونة تنظيمية تسمح بتوليد الأفكار وتطبيقها. ومع ذلك، تبقى الدراسة—بحكم تركيزها—بعيدة عن مدخل البيانات وذكاء الأعمال وعن سؤال جودة القرار الاستراتيجي، ما يجعلها داعمة لفهم محددات الابتكار، لكنها لا تفسر العلاقة التي تسعى الدراسة الحالية لاختبارها.</w:t>
      </w:r>
    </w:p>
    <w:p w14:paraId="49CFC88A" w14:textId="4BF60E36" w:rsidR="003D75C9" w:rsidRPr="006E471D" w:rsidRDefault="003D75C9"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وبتوليف نتائج هذا المحور، تتفق الدراسات على أن الابتكار التنظيمي في المصارف يرتبط بعوامل بيئية وتنظيمية داخلية كالمرونة (أحمد، 2019) والمناخ الداعم (جديد، 2020) وجودة الخدمة الداخلية والالتزام التنظيمي (البلبيسي، 2017). إلا أن القاسم المشترك بين هذه الأعمال هو غياب الربط المباشر بين الابتكار ومدخلات تحليلية رقمية مثل أنظمة ذكاء الأعمال، فضلاً عن عدم اختبار جودة القرار الاستراتيجي كمسار تفسيري يربط البيانات بالابتكار. ويُلاحظ كذلك أن نتائج دراسة جديد (2020) — التي أظهرت علاقة ضعيفة بين الابتكار والميزة التنافسية في ظروف الأزمة — تشير ضمنياً إلى أن الابتكار لا يتحول إلى قيمة تنافسية ما لم يُسبق بقرارات عالية الجودة توجّه الموارد وتضبط المخاطر، وهو منطق يدعم فرضية الوساطة (</w:t>
      </w:r>
      <w:r w:rsidRPr="006E471D">
        <w:rPr>
          <w:rFonts w:ascii="Traditional Arabic" w:hAnsi="Traditional Arabic" w:cs="Traditional Arabic"/>
          <w:sz w:val="28"/>
          <w:szCs w:val="28"/>
          <w:lang w:bidi="ar-EG"/>
        </w:rPr>
        <w:t>H4</w:t>
      </w:r>
      <w:r w:rsidRPr="006E471D">
        <w:rPr>
          <w:rFonts w:ascii="Traditional Arabic" w:hAnsi="Traditional Arabic" w:cs="Traditional Arabic"/>
          <w:sz w:val="28"/>
          <w:szCs w:val="28"/>
          <w:rtl/>
          <w:lang w:bidi="ar-EG"/>
        </w:rPr>
        <w:t>) التي تقترحها الدراسة الحالية.</w:t>
      </w:r>
    </w:p>
    <w:p w14:paraId="4A5069F3" w14:textId="7425BEBF" w:rsidR="00233F70" w:rsidRPr="006E471D" w:rsidRDefault="00233F70" w:rsidP="00611CA9">
      <w:pPr>
        <w:pStyle w:val="Heading3"/>
        <w:jc w:val="both"/>
        <w:rPr>
          <w:rFonts w:ascii="Traditional Arabic" w:hAnsi="Traditional Arabic" w:cs="Traditional Arabic"/>
          <w:b/>
          <w:bCs/>
          <w:color w:val="000000" w:themeColor="text1"/>
          <w:rtl/>
          <w:lang w:bidi="ar-EG"/>
        </w:rPr>
      </w:pPr>
      <w:bookmarkStart w:id="42" w:name="_Toc222423577"/>
      <w:r w:rsidRPr="006E471D">
        <w:rPr>
          <w:rFonts w:ascii="Traditional Arabic" w:hAnsi="Traditional Arabic" w:cs="Traditional Arabic"/>
          <w:b/>
          <w:bCs/>
          <w:color w:val="000000" w:themeColor="text1"/>
          <w:rtl/>
          <w:lang w:bidi="ar-EG"/>
        </w:rPr>
        <w:t>جودة الخدمة الداخلية والالتزام التنظيمي كآلية وسيطة نحو الابتكار</w:t>
      </w:r>
      <w:bookmarkEnd w:id="42"/>
    </w:p>
    <w:p w14:paraId="598877A3" w14:textId="77777777"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تقدم دراسة البلبيسي (2017) نموذجاً يربط جودة الخدمة الداخلية بالابتكار التنظيمي مع إدخال الالتزام التنظيمي كمتغير وسيط في البنوك الأجنبية العاملة في الأردن. اعتمدت الدراسة على استبانة وزعت على (230) موظفاً، وأظهرت نتائجها وجود أثر لأبعاد </w:t>
      </w:r>
      <w:r w:rsidRPr="006E471D">
        <w:rPr>
          <w:rFonts w:ascii="Traditional Arabic" w:hAnsi="Traditional Arabic" w:cs="Traditional Arabic"/>
          <w:sz w:val="28"/>
          <w:szCs w:val="28"/>
          <w:rtl/>
          <w:lang w:bidi="ar-EG"/>
        </w:rPr>
        <w:lastRenderedPageBreak/>
        <w:t>من جودة الخدمة الداخلية (الجوانب الملموسة، الموثوقية، التعاطف) على الابتكار التنظيمي، مقابل عدم وجود أثر لأبعاد أخرى (الاستجابة، الضمان). كما بينت وجود أثر لبعض الأبعاد على الالتزام التنظيمي، وأن الالتزام يسهم في تقوية العلاقة بين جودة الخدمة الداخلية والابتكار (البلبيسي، 2017).</w:t>
      </w:r>
    </w:p>
    <w:p w14:paraId="63629D2D" w14:textId="1211FA6C" w:rsidR="00233F70" w:rsidRPr="006E471D" w:rsidRDefault="00233F70"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ورغم قدم الدراسة نسبياً، فإن قيمتها تكمن في أنها تُظهر منطق الوساطة في تفسير الابتكار: أي أن الابتكار لا ينتج مباشرةً من متغير واحد، بل عبر آلية داخلية. وهذا ينسجم منهجياً مع الدراسة الحالية التي تفترض وساطة جودة القرارات الاستراتيجية في العلاقة بين قبول ذكاء الأعمال والابتكار التنظيمي.</w:t>
      </w:r>
    </w:p>
    <w:p w14:paraId="5E44A9B4" w14:textId="18AF4CED" w:rsidR="00233F70" w:rsidRPr="006E471D" w:rsidRDefault="00611CA9" w:rsidP="00611CA9">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في المجمل، </w:t>
      </w:r>
      <w:r w:rsidR="00233F70" w:rsidRPr="006E471D">
        <w:rPr>
          <w:rFonts w:ascii="Traditional Arabic" w:hAnsi="Traditional Arabic" w:cs="Traditional Arabic"/>
          <w:sz w:val="28"/>
          <w:szCs w:val="28"/>
          <w:rtl/>
          <w:lang w:bidi="ar-EG"/>
        </w:rPr>
        <w:t>تتفق الدراسات المعروضة على أن الابتكار التنظيمي في البنوك يرتبط بعوامل داخلية (المرونة، المناخ، جودة الخدمة الداخلية، الابتكار البشري والتنظيمي) وينعكس على مخرجات مثل الصورة الذهنية والميزة التنافسية. إلا أن الملاحظة المحورية أن هذه الدراسات—في معظمها—تتناول الابتكار من زاوية تنظيمية/إدارية دون ربطه صراحةً بمدخلات نظم معلوماتية مثل ذكاء الأعمال، ودون اختبار دور القرار الاستراتيجي كجسر بين المعلومات والابتكار. ومن هنا تبرز الحاجة إلى نموذج يفسر كيف تُصبح البيانات والتحليلات (بعد قبولها من المديرين) جزءاً من قرار عالي الجودة، ثم كيف يفتح ذلك المجال لابتكار تنظيمي أكثر اتساقاً وقابلية للتنفيذ.</w:t>
      </w:r>
    </w:p>
    <w:p w14:paraId="2EBAD387" w14:textId="655167F2" w:rsidR="00233F70" w:rsidRPr="006E471D" w:rsidRDefault="00611CA9" w:rsidP="00611CA9">
      <w:pPr>
        <w:pStyle w:val="Heading3"/>
        <w:jc w:val="both"/>
        <w:rPr>
          <w:rFonts w:ascii="Traditional Arabic" w:hAnsi="Traditional Arabic" w:cs="Traditional Arabic"/>
          <w:b/>
          <w:bCs/>
          <w:color w:val="000000" w:themeColor="text1"/>
          <w:rtl/>
          <w:lang w:bidi="ar-EG"/>
        </w:rPr>
      </w:pPr>
      <w:bookmarkStart w:id="43" w:name="_Toc222423578"/>
      <w:r w:rsidRPr="006E471D">
        <w:rPr>
          <w:rFonts w:ascii="Traditional Arabic" w:hAnsi="Traditional Arabic" w:cs="Traditional Arabic"/>
          <w:b/>
          <w:bCs/>
          <w:color w:val="000000" w:themeColor="text1"/>
          <w:rtl/>
          <w:lang w:bidi="ar-EG"/>
        </w:rPr>
        <w:t>التعقيب على الدراسات السابقة</w:t>
      </w:r>
      <w:bookmarkEnd w:id="43"/>
    </w:p>
    <w:p w14:paraId="1132AA5F" w14:textId="79011B2C" w:rsidR="00026C1C" w:rsidRPr="006E471D" w:rsidRDefault="002D63AD"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highlight w:val="lightGray"/>
          <w:rtl/>
          <w:lang w:bidi="ar-EG"/>
        </w:rPr>
        <w:t xml:space="preserve">تكشف المراجعة المقارنة للدراسات السابقة أن الأدبيات تتحرك في </w:t>
      </w:r>
      <w:proofErr w:type="gramStart"/>
      <w:r w:rsidRPr="006E471D">
        <w:rPr>
          <w:rFonts w:ascii="Traditional Arabic" w:hAnsi="Traditional Arabic" w:cs="Traditional Arabic"/>
          <w:sz w:val="28"/>
          <w:szCs w:val="28"/>
          <w:highlight w:val="lightGray"/>
          <w:rtl/>
          <w:lang w:bidi="ar-EG"/>
        </w:rPr>
        <w:t>ثلاثة</w:t>
      </w:r>
      <w:proofErr w:type="gramEnd"/>
      <w:r w:rsidRPr="006E471D">
        <w:rPr>
          <w:rFonts w:ascii="Traditional Arabic" w:hAnsi="Traditional Arabic" w:cs="Traditional Arabic"/>
          <w:sz w:val="28"/>
          <w:szCs w:val="28"/>
          <w:highlight w:val="lightGray"/>
          <w:rtl/>
          <w:lang w:bidi="ar-EG"/>
        </w:rPr>
        <w:t xml:space="preserve"> اتجاهات مترابطة. الاتجاه الأول يدعم الأثر المباشر لذكاء الأعمال في القرار أو في بعض النتائج التنظيمية، إلا أن قوة هذا الأثر ليست ثابتة؛ إذ تبدو أقوى في بعض الدراسات المصرفية المباشرة وأضعف أو متوسطة في دراسات أخرى تختلف في القطاع أو في وحدة التحليل. والاتجاه الثاني يبين أن عدداً من النتائج التنظيمية لا يتحقق على نحو مباشر، بل يمر عبر آليات وسيطة مثل التمكين الوظيفي أو الالتزام التنظيمي أو أداء اتخاذ القرار، وهو ما يعزز منطق البحث عن متغير تفسيري وسيط داخل النموذج الحالي. أما الاتجاه الثالث فيكشف أن النتائج كثيراً ما تكون مشروطة بالسياق المصرفي والتنظيمي وبطريقة القياس؛ فالدراسات التي تقيس ذكاء الأعمال كتطبيق تقني عام لا تقدم التفسير نفسه الذي تقدمه الدراسات التي تنظر إلى الاستخدام الفعلي أو السلوك الإدراكي للمديرين. ومن ثم، فإن ما تقوله الأدبيات لا يقتصر على وجود علاقة إيجابية عامة، بل يشير أيضاً إلى أن طبيعة هذه العلاقة وقوتها وآلية انتقالها تتأثر بالسياق ووحدة التحليل ومنهج القياس، وهو ما يبرر الحاجة إلى النموذج الحالي</w:t>
      </w:r>
      <w:r w:rsidR="00026C1C" w:rsidRPr="006E471D">
        <w:rPr>
          <w:rFonts w:ascii="Traditional Arabic" w:hAnsi="Traditional Arabic" w:cs="Traditional Arabic"/>
          <w:sz w:val="28"/>
          <w:szCs w:val="28"/>
          <w:highlight w:val="lightGray"/>
          <w:rtl/>
          <w:lang w:bidi="ar-EG"/>
        </w:rPr>
        <w:t>.</w:t>
      </w:r>
    </w:p>
    <w:p w14:paraId="33A7B299" w14:textId="127D1F3F" w:rsidR="00026C1C" w:rsidRPr="006E471D" w:rsidRDefault="00026C1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ومن جهة ثانية، تبرز دراسات القرارات الاستراتيجية أن جودة/فاعلية القرار لا تتحدد بالمعلومات وحدها، بل تتأثر بالبنية التنظيمية </w:t>
      </w:r>
      <w:proofErr w:type="spellStart"/>
      <w:r w:rsidRPr="006E471D">
        <w:rPr>
          <w:rFonts w:ascii="Traditional Arabic" w:hAnsi="Traditional Arabic" w:cs="Traditional Arabic"/>
          <w:sz w:val="28"/>
          <w:szCs w:val="28"/>
          <w:rtl/>
          <w:lang w:bidi="ar-EG"/>
        </w:rPr>
        <w:t>والحوكمية</w:t>
      </w:r>
      <w:proofErr w:type="spellEnd"/>
      <w:r w:rsidRPr="006E471D">
        <w:rPr>
          <w:rFonts w:ascii="Traditional Arabic" w:hAnsi="Traditional Arabic" w:cs="Traditional Arabic"/>
          <w:sz w:val="28"/>
          <w:szCs w:val="28"/>
          <w:rtl/>
          <w:lang w:bidi="ar-EG"/>
        </w:rPr>
        <w:t xml:space="preserve"> والتحيزات المعرفية وقدرات القيادات. فقد بينت دراسة </w:t>
      </w:r>
      <w:proofErr w:type="spellStart"/>
      <w:r w:rsidRPr="006E471D">
        <w:rPr>
          <w:rFonts w:ascii="Traditional Arabic" w:hAnsi="Traditional Arabic" w:cs="Traditional Arabic"/>
          <w:sz w:val="28"/>
          <w:szCs w:val="28"/>
          <w:rtl/>
          <w:lang w:bidi="ar-EG"/>
        </w:rPr>
        <w:t>الدهيمي</w:t>
      </w:r>
      <w:proofErr w:type="spellEnd"/>
      <w:r w:rsidRPr="006E471D">
        <w:rPr>
          <w:rFonts w:ascii="Traditional Arabic" w:hAnsi="Traditional Arabic" w:cs="Traditional Arabic"/>
          <w:sz w:val="28"/>
          <w:szCs w:val="28"/>
          <w:rtl/>
          <w:lang w:bidi="ar-EG"/>
        </w:rPr>
        <w:t xml:space="preserve"> (2021) أن فاعلية القرارات الاستراتيجية ترتبط بالتميز التنظيمي عبر التمكين الوظيفي كوسيط، بينما أوضحت دراسة حبوش (2020) دور ممارسات الحوكمة في صنع القرار الاستراتيجي داخل البنوك. وفي المسار السلوكي، أظهرت دراسة </w:t>
      </w:r>
      <w:r w:rsidRPr="006E471D">
        <w:rPr>
          <w:rFonts w:ascii="Traditional Arabic" w:hAnsi="Traditional Arabic" w:cs="Traditional Arabic"/>
          <w:sz w:val="28"/>
          <w:szCs w:val="28"/>
          <w:lang w:bidi="ar-EG"/>
        </w:rPr>
        <w:t>Jarrar</w:t>
      </w:r>
      <w:r w:rsidRPr="006E471D">
        <w:rPr>
          <w:rFonts w:ascii="Traditional Arabic" w:hAnsi="Traditional Arabic" w:cs="Traditional Arabic"/>
          <w:sz w:val="28"/>
          <w:szCs w:val="28"/>
          <w:rtl/>
          <w:lang w:bidi="ar-EG"/>
        </w:rPr>
        <w:t xml:space="preserve"> (2021) أن بعض التحيزات المعرفية تؤثر في جودة صنع القرار الاستراتيجي في بنوك أردنية، بما يلفت إلى أن إتاحة البيانات لا تُنهي تلقائياً مشكلات الحكم الإداري، بل قد تتطلب أدوات تقويم موضوعية وآليات مراجعة. كما دعمت دراسة فريد وعامر (2021) الفكرة القائلة بأن القدرات الاستشرافية والفكر النظامي والخبرة الدولية تُحسن رشادة القرار. ومع أهمية هذه النتائج، يلاحظ أن قسماً كبيراً منها يتناول القرار إما بوصفه صنعاً أو فاعلية دون بناء مفهوم تشغيلي متماسك لـ جودة القرارات الاستراتيجية بوصفها متغيراً قابلًا للقياس بأبعاد دقيقة يمكن ربطها مباشرة بمخرجات ذكاء الأعمال.</w:t>
      </w:r>
    </w:p>
    <w:p w14:paraId="7028A002" w14:textId="41F15D32" w:rsidR="00026C1C" w:rsidRPr="006E471D" w:rsidRDefault="00026C1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lastRenderedPageBreak/>
        <w:t>أما دراسات الابتكار التنظيمي في القطاع المصرفي فقد اتجهت إلى تفسير الابتكار عبر عوامل تنظيمية داخلية (المناخ، المرونة، جودة الخدمة الداخلية، الالتزام)، وركزت على انعكاس الابتكار على الصورة الذهنية أو الميزة التنافسية. فقد أثبتت دراسة الوكيل (2021) وجود علاقات ارتباط وتأثير بين الابتكار المؤسسي والصورة الذهنية في بنك مصر، وأشارت دراسة جديد (2020) إلى أن المناخ الداعم للابتكار في المصرف التجاري السوري كان في مستوى متوسط، وأن علاقة الابتكار بالميزة التنافسية جاءت ضعيفة في ظروف الأزمة. كما بيّنت دراسة أحمد (2019) أثر ترتيبات العمل المرن على الابتكار التنظيمي، بينما قدمت دراسة البلبيسي (2017) نموذجاً بوساطة الالتزام التنظيمي بين جودة الخدمة الداخلية والابتكار. إلا أن القاسم المشترك هنا يتمثل في محدودية الربط المباشر بين الابتكار التنظيمي وبين المدخلات الرقمية التحليلية—وخاصة ذكاء الأعمال—وبين جودة القرار كآلية انتقال من البيانات إلى الابتكار.</w:t>
      </w:r>
    </w:p>
    <w:p w14:paraId="567AF665" w14:textId="059DB00A" w:rsidR="00026C1C" w:rsidRPr="006E471D" w:rsidRDefault="00026C1C" w:rsidP="007723CD">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حدود الأدبيات القائمة</w:t>
      </w:r>
    </w:p>
    <w:p w14:paraId="57B118FA" w14:textId="77777777" w:rsidR="00026C1C" w:rsidRPr="006E471D" w:rsidRDefault="00026C1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يمكن تلخيص أبرز حدود الأدبيات التي راجعتها الدراسة في ثلاثة مستويات متداخلة:</w:t>
      </w:r>
    </w:p>
    <w:p w14:paraId="771F1566" w14:textId="24F4C029" w:rsidR="00026C1C" w:rsidRPr="006E471D" w:rsidRDefault="00026C1C" w:rsidP="007723CD">
      <w:pPr>
        <w:pStyle w:val="ListParagraph"/>
        <w:numPr>
          <w:ilvl w:val="0"/>
          <w:numId w:val="4"/>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حدود مفاهيمية/قياسية:</w:t>
      </w:r>
      <w:r w:rsidRPr="006E471D">
        <w:rPr>
          <w:rFonts w:ascii="Traditional Arabic" w:hAnsi="Traditional Arabic" w:cs="Traditional Arabic"/>
          <w:sz w:val="28"/>
          <w:szCs w:val="28"/>
          <w:rtl/>
          <w:lang w:bidi="ar-EG"/>
        </w:rPr>
        <w:t xml:space="preserve"> كثير من الدراسات العربية تقيس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كمستوى تطبيق أو كأبعاد تقنية، دون قياس قبول المستخدمين له وفق نموذج سلوكي مثل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ودون التفريق بين اتخاذ القرار وجودة القرار بوصفها مخرجاً متعدد الأبعاد. كما أن دراسات الابتكار غالباً لا تُحيل الابتكار إلى آليات قرارية يمكن قياسها، بل تركز على عوامل مناخية أو بشرية.</w:t>
      </w:r>
      <w:r w:rsidR="00850777" w:rsidRPr="006E471D">
        <w:rPr>
          <w:rFonts w:ascii="Traditional Arabic" w:hAnsi="Traditional Arabic" w:cs="Traditional Arabic"/>
          <w:sz w:val="28"/>
          <w:szCs w:val="28"/>
          <w:rtl/>
          <w:lang w:bidi="ar-EG"/>
        </w:rPr>
        <w:t xml:space="preserve"> فعلى سبيل المثال، قاست دراسة العتيبي (2025) ذكاء الأعمال كمستوى تطبيق عام دون تفريق بين الإدراكات الفردية للمديرين، كما أن دراسات الابتكار (الوكيل، 2021؛ جديد، 2020) لم تُحِل الابتكار إلى آليات قرارية يمكن قياسها.</w:t>
      </w:r>
    </w:p>
    <w:p w14:paraId="4841C402" w14:textId="06DACB3E" w:rsidR="00026C1C" w:rsidRPr="006E471D" w:rsidRDefault="00026C1C" w:rsidP="007723CD">
      <w:pPr>
        <w:pStyle w:val="ListParagraph"/>
        <w:numPr>
          <w:ilvl w:val="0"/>
          <w:numId w:val="4"/>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حدود منهجية:</w:t>
      </w:r>
      <w:r w:rsidRPr="006E471D">
        <w:rPr>
          <w:rFonts w:ascii="Traditional Arabic" w:hAnsi="Traditional Arabic" w:cs="Traditional Arabic"/>
          <w:sz w:val="28"/>
          <w:szCs w:val="28"/>
          <w:rtl/>
          <w:lang w:bidi="ar-EG"/>
        </w:rPr>
        <w:t xml:space="preserve"> يغلب على الدراسات التصميم المقطعي القائم على الاستبانة، مع تركيز على علاقات ثنائية مباشرة. ورغم وجود نماذج وساطة في بعض الدراسات (مثل </w:t>
      </w:r>
      <w:proofErr w:type="spellStart"/>
      <w:r w:rsidRPr="006E471D">
        <w:rPr>
          <w:rFonts w:ascii="Traditional Arabic" w:hAnsi="Traditional Arabic" w:cs="Traditional Arabic"/>
          <w:sz w:val="28"/>
          <w:szCs w:val="28"/>
          <w:rtl/>
          <w:lang w:bidi="ar-EG"/>
        </w:rPr>
        <w:t>الدهيمي</w:t>
      </w:r>
      <w:proofErr w:type="spellEnd"/>
      <w:r w:rsidRPr="006E471D">
        <w:rPr>
          <w:rFonts w:ascii="Traditional Arabic" w:hAnsi="Traditional Arabic" w:cs="Traditional Arabic"/>
          <w:sz w:val="28"/>
          <w:szCs w:val="28"/>
          <w:rtl/>
          <w:lang w:bidi="ar-EG"/>
        </w:rPr>
        <w:t>، 2021؛ البلبيسي، 2017)، فإن الوساطة لم تُوظّف عادةً لشرح انتقال أثر ذكاء الأعمال إلى الابتكار عبر جودة القرار تحديداً.</w:t>
      </w:r>
      <w:r w:rsidR="00850777" w:rsidRPr="006E471D">
        <w:rPr>
          <w:rFonts w:ascii="Traditional Arabic" w:hAnsi="Traditional Arabic" w:cs="Traditional Arabic"/>
          <w:sz w:val="28"/>
          <w:szCs w:val="28"/>
          <w:rtl/>
          <w:lang w:bidi="ar-EG"/>
        </w:rPr>
        <w:t xml:space="preserve"> ففي دراسة سليم والشريف (2025)، ظهرت علاقة متوسطة بين ذكاء الأعمال والقرار الاستراتيجي، لكن لم يُختبر ما إذا كان وجود متغير وسيط — مثل جودة القرار — يفسر هذا التفاوت في قوة العلاقة أو يكشف عن آلية الانتقال.</w:t>
      </w:r>
    </w:p>
    <w:p w14:paraId="66F2C935" w14:textId="6FF5BF03" w:rsidR="00026C1C" w:rsidRPr="006E471D" w:rsidRDefault="00026C1C" w:rsidP="007723CD">
      <w:pPr>
        <w:pStyle w:val="ListParagraph"/>
        <w:numPr>
          <w:ilvl w:val="0"/>
          <w:numId w:val="4"/>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حدود سياقية:</w:t>
      </w:r>
      <w:r w:rsidRPr="006E471D">
        <w:rPr>
          <w:rFonts w:ascii="Traditional Arabic" w:hAnsi="Traditional Arabic" w:cs="Traditional Arabic"/>
          <w:sz w:val="28"/>
          <w:szCs w:val="28"/>
          <w:rtl/>
          <w:lang w:bidi="ar-EG"/>
        </w:rPr>
        <w:t xml:space="preserve"> على الرغم من توفر دراسات عربية في الأردن وقطر ومصر، فإن الأدبيات التي تختبر نموذجاً متكاملاً داخل السياق السعودي—وبالأخص المصارف العاملة في مدينة الرياض—ما تزال محدودة، مع اختلافات تنظيمية وتحول رقمي سريع قد يجعل نتائج سياقات أخرى أقل قابلية للتعميم.</w:t>
      </w:r>
      <w:r w:rsidR="004D4C1A" w:rsidRPr="006E471D">
        <w:rPr>
          <w:rFonts w:ascii="Traditional Arabic" w:hAnsi="Traditional Arabic" w:cs="Traditional Arabic"/>
          <w:sz w:val="28"/>
          <w:szCs w:val="28"/>
          <w:rtl/>
          <w:lang w:bidi="ar-EG"/>
        </w:rPr>
        <w:t xml:space="preserve"> فعلى الرغم من وجود دراسات سعودية تناولت ذكاء الأعمال في البنوك (مثل العتيبي، 2025)، إلا أنها لم تتبنَّ نموذجاً تسلسلياً يجمع بين القبول التكنولوجي وجودة القرار والابتكار في إطار واحد.</w:t>
      </w:r>
    </w:p>
    <w:p w14:paraId="1795F767" w14:textId="3E6B43C3" w:rsidR="00026C1C" w:rsidRPr="006E471D" w:rsidRDefault="00026C1C" w:rsidP="007723CD">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فجوة البحث (</w:t>
      </w:r>
      <w:r w:rsidRPr="006E471D">
        <w:rPr>
          <w:rFonts w:ascii="Traditional Arabic" w:hAnsi="Traditional Arabic" w:cs="Traditional Arabic"/>
          <w:b/>
          <w:bCs/>
          <w:color w:val="000000" w:themeColor="text1"/>
          <w:sz w:val="28"/>
          <w:szCs w:val="28"/>
          <w:lang w:bidi="ar-EG"/>
        </w:rPr>
        <w:t>Research Gap</w:t>
      </w:r>
      <w:r w:rsidRPr="006E471D">
        <w:rPr>
          <w:rFonts w:ascii="Traditional Arabic" w:hAnsi="Traditional Arabic" w:cs="Traditional Arabic"/>
          <w:b/>
          <w:bCs/>
          <w:color w:val="000000" w:themeColor="text1"/>
          <w:sz w:val="28"/>
          <w:szCs w:val="28"/>
          <w:rtl/>
          <w:lang w:bidi="ar-EG"/>
        </w:rPr>
        <w:t>)</w:t>
      </w:r>
    </w:p>
    <w:p w14:paraId="2887551B" w14:textId="77777777" w:rsidR="00026C1C" w:rsidRPr="006E471D" w:rsidRDefault="00026C1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انطلاقاً من التعقيب السابق، تتمثل الفجوة البحثية في غياب نموذج تفسيري متكامل يختبر بصورة مباشرة العلاقة التسلسلية بين:</w:t>
      </w:r>
    </w:p>
    <w:p w14:paraId="14085C81" w14:textId="77777777" w:rsidR="00026C1C" w:rsidRPr="006E471D"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قبول المديرين لأنظمة ذكاء الأعمال وفق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(وليس مجرد وجود النظام أو مستوى تطبيقه)،</w:t>
      </w:r>
    </w:p>
    <w:p w14:paraId="42EFEDB0" w14:textId="77777777" w:rsidR="00026C1C" w:rsidRPr="006E471D"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ثم جودة القرارات الاستراتيجية بوصفها آلية تحويل (</w:t>
      </w:r>
      <w:r w:rsidRPr="006E471D">
        <w:rPr>
          <w:rFonts w:ascii="Traditional Arabic" w:hAnsi="Traditional Arabic" w:cs="Traditional Arabic"/>
          <w:sz w:val="28"/>
          <w:szCs w:val="28"/>
          <w:lang w:bidi="ar-EG"/>
        </w:rPr>
        <w:t>Mechanism</w:t>
      </w:r>
      <w:r w:rsidRPr="006E471D">
        <w:rPr>
          <w:rFonts w:ascii="Traditional Arabic" w:hAnsi="Traditional Arabic" w:cs="Traditional Arabic"/>
          <w:sz w:val="28"/>
          <w:szCs w:val="28"/>
          <w:rtl/>
          <w:lang w:bidi="ar-EG"/>
        </w:rPr>
        <w:t>) تتشكل عبر أبعاد تشغيلية قابلة للقياس،</w:t>
      </w:r>
    </w:p>
    <w:p w14:paraId="506814E0" w14:textId="77777777" w:rsidR="00026C1C" w:rsidRPr="006E471D"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lastRenderedPageBreak/>
        <w:t>وصولاً إلى الابتكار التنظيمي في المصارف بوصفه مخرجاً استراتيجياً (ابتكار منتجات/خدمات، ابتكار عمليات، ثقافة داعمة للابتكار).</w:t>
      </w:r>
    </w:p>
    <w:p w14:paraId="442A18D3" w14:textId="4F99AF13" w:rsidR="00026C1C" w:rsidRPr="006E471D" w:rsidRDefault="00026C1C" w:rsidP="007723CD">
      <w:pPr>
        <w:pStyle w:val="ListParagraph"/>
        <w:numPr>
          <w:ilvl w:val="0"/>
          <w:numId w:val="5"/>
        </w:numPr>
        <w:spacing w:line="240" w:lineRule="auto"/>
        <w:jc w:val="both"/>
        <w:rPr>
          <w:rFonts w:ascii="Traditional Arabic" w:hAnsi="Traditional Arabic" w:cs="Traditional Arabic"/>
          <w:sz w:val="28"/>
          <w:szCs w:val="28"/>
          <w:lang w:bidi="ar-EG"/>
        </w:rPr>
      </w:pPr>
      <w:r w:rsidRPr="006E471D">
        <w:rPr>
          <w:rFonts w:ascii="Traditional Arabic" w:hAnsi="Traditional Arabic" w:cs="Traditional Arabic"/>
          <w:sz w:val="28"/>
          <w:szCs w:val="28"/>
          <w:rtl/>
          <w:lang w:bidi="ar-EG"/>
        </w:rPr>
        <w:t xml:space="preserve">هذه الفجوة هي فجوة آلية ومنهجية وسياقية في آن واحد: آلية لأنها تتعلق بغياب تفسير كيف تنتقل فاعلية </w:t>
      </w:r>
      <w:r w:rsidRPr="006E471D">
        <w:rPr>
          <w:rFonts w:ascii="Traditional Arabic" w:hAnsi="Traditional Arabic" w:cs="Traditional Arabic"/>
          <w:sz w:val="28"/>
          <w:szCs w:val="28"/>
          <w:lang w:bidi="ar-EG"/>
        </w:rPr>
        <w:t>BI</w:t>
      </w:r>
      <w:r w:rsidRPr="006E471D">
        <w:rPr>
          <w:rFonts w:ascii="Traditional Arabic" w:hAnsi="Traditional Arabic" w:cs="Traditional Arabic"/>
          <w:sz w:val="28"/>
          <w:szCs w:val="28"/>
          <w:rtl/>
          <w:lang w:bidi="ar-EG"/>
        </w:rPr>
        <w:t xml:space="preserve"> إلى الابتكار عبر جودة القرار، ومنهجية لأنها تتطلب اختبار وساطة داخل نموذج كلي، وسياقية لأنها تتعلق بضعف الاختبار في بيئة المصارف بمدينة الرياض.</w:t>
      </w:r>
    </w:p>
    <w:p w14:paraId="1E9CE49C" w14:textId="51AC0D33" w:rsidR="00613A4F" w:rsidRPr="006E471D" w:rsidRDefault="00613A4F" w:rsidP="00613A4F">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وتزداد هذه الفجوة حدّة في السياق السعودي تحديداً؛ إذ لم تُرصد — في حدود اطلاع الباحثة — دراسة سابقة اختبرت نموذجاً يجمع بين قبول أنظمة ذكاء الأعمال وفق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وجودة القرارات الاستراتيجية والابتكار التنظيمي داخل المصارف العاملة بمدينة الرياض، رغم أن هذه البيئة تتسم بكثافة البيانات وسرعة التحول الرقمي وحساسية القرار الاستراتيجي وتصاعد المنافسة من شركات التقنية المالية، وهي شروط تجعل اختبار هذا النموذج التسلسلي ذا قيمة علمية وعملية مباشرة. ومن ثمّ، تستهدف الدراسة الحالية سدّ هذه الفجوة عبر بناء نموذج يختبر المسارات المباشرة وغير المباشرة بين المتغيرات الثلاثة في هذا السياق المحدد.</w:t>
      </w:r>
    </w:p>
    <w:p w14:paraId="13D96F16" w14:textId="12CD029B" w:rsidR="00026C1C" w:rsidRPr="006E471D" w:rsidRDefault="00026C1C" w:rsidP="007723CD">
      <w:pPr>
        <w:pStyle w:val="Heading4"/>
        <w:rPr>
          <w:rFonts w:ascii="Traditional Arabic" w:hAnsi="Traditional Arabic" w:cs="Traditional Arabic"/>
          <w:b/>
          <w:bCs/>
          <w:color w:val="000000" w:themeColor="text1"/>
          <w:sz w:val="28"/>
          <w:szCs w:val="28"/>
          <w:rtl/>
          <w:lang w:bidi="ar-EG"/>
        </w:rPr>
      </w:pPr>
      <w:r w:rsidRPr="006E471D">
        <w:rPr>
          <w:rFonts w:ascii="Traditional Arabic" w:hAnsi="Traditional Arabic" w:cs="Traditional Arabic"/>
          <w:b/>
          <w:bCs/>
          <w:color w:val="000000" w:themeColor="text1"/>
          <w:sz w:val="28"/>
          <w:szCs w:val="28"/>
          <w:rtl/>
          <w:lang w:bidi="ar-EG"/>
        </w:rPr>
        <w:t>ما يميز الدراسة الحالية مقارنة بالدراسات السابقة</w:t>
      </w:r>
    </w:p>
    <w:p w14:paraId="41396BD0" w14:textId="77777777" w:rsidR="00026C1C" w:rsidRPr="006E471D" w:rsidRDefault="00026C1C" w:rsidP="004100B0">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تتميز الدراسة الحالية عن الأدبيات السابقة بعدة نقاط نوعية متسقة مع الفجوة المذكورة:</w:t>
      </w:r>
    </w:p>
    <w:p w14:paraId="7150DC12" w14:textId="4C5FAD99" w:rsidR="00026C1C" w:rsidRPr="006E471D"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تميّز في مستوى القياس (</w:t>
      </w:r>
      <w:r w:rsidRPr="006E471D">
        <w:rPr>
          <w:rFonts w:ascii="Traditional Arabic" w:hAnsi="Traditional Arabic" w:cs="Traditional Arabic"/>
          <w:b/>
          <w:bCs/>
          <w:sz w:val="28"/>
          <w:szCs w:val="28"/>
          <w:lang w:bidi="ar-EG"/>
        </w:rPr>
        <w:t>Measurement Focus</w:t>
      </w:r>
      <w:r w:rsidRPr="006E471D">
        <w:rPr>
          <w:rFonts w:ascii="Traditional Arabic" w:hAnsi="Traditional Arabic" w:cs="Traditional Arabic"/>
          <w:b/>
          <w:bCs/>
          <w:sz w:val="28"/>
          <w:szCs w:val="28"/>
          <w:rtl/>
          <w:lang w:bidi="ar-EG"/>
        </w:rPr>
        <w:t>):</w:t>
      </w:r>
      <w:r w:rsidRPr="006E471D">
        <w:rPr>
          <w:rFonts w:ascii="Traditional Arabic" w:hAnsi="Traditional Arabic" w:cs="Traditional Arabic"/>
          <w:sz w:val="28"/>
          <w:szCs w:val="28"/>
          <w:rtl/>
          <w:lang w:bidi="ar-EG"/>
        </w:rPr>
        <w:t xml:space="preserve"> لا تتعامل الدراسة مع ذكاء الأعمال بوصفه تطبيقاً تقنياً فقط، بل تقيسه كـ قبول وفق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(الفائدة المدركة، سهولة الاستخدام المدركة، نية الاستخدام) بما يتسق مع طبيعة الاستخدام الفعلي لدى المديرين.</w:t>
      </w:r>
    </w:p>
    <w:p w14:paraId="11FB3EBE" w14:textId="77777777" w:rsidR="00026C1C" w:rsidRPr="006E471D"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تميّز في الآلية التفسيرية:</w:t>
      </w:r>
      <w:r w:rsidRPr="006E471D">
        <w:rPr>
          <w:rFonts w:ascii="Traditional Arabic" w:hAnsi="Traditional Arabic" w:cs="Traditional Arabic"/>
          <w:sz w:val="28"/>
          <w:szCs w:val="28"/>
          <w:rtl/>
          <w:lang w:bidi="ar-EG"/>
        </w:rPr>
        <w:t xml:space="preserve"> تُدخل الدراسة جودة القرارات الاستراتيجية كمتغير وسيط مباشر لتفسير انتقال أثر القبول إلى الابتكار، وهو ما لا يظهر بوضوح في الدراسات التي ركزت على الأداء أو الأزمات أو التحسين المستمر (العتوم، 2020؛ عبيدات، 2022؛ العتيبي، 2025) أو في الدراسات التي تناولت الابتكار دون ربطه بمسار قرار قائم على البيانات (الوكيل، 2021؛ جديد، 2020).</w:t>
      </w:r>
    </w:p>
    <w:p w14:paraId="7156594D" w14:textId="77777777" w:rsidR="00026C1C" w:rsidRPr="006E471D"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تميّز في وحدة التحليل:</w:t>
      </w:r>
      <w:r w:rsidRPr="006E471D">
        <w:rPr>
          <w:rFonts w:ascii="Traditional Arabic" w:hAnsi="Traditional Arabic" w:cs="Traditional Arabic"/>
          <w:sz w:val="28"/>
          <w:szCs w:val="28"/>
          <w:rtl/>
          <w:lang w:bidi="ar-EG"/>
        </w:rPr>
        <w:t xml:space="preserve"> تركز الدراسة على المديرين في الإدارات العليا والوسطى بوصفهم صناع القرار الاستراتيجي، بما ينسجم مع طبيعة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كإطار سلوكي إدراكي ومع طبيعة جودة القرار كمتغير وسيط.</w:t>
      </w:r>
    </w:p>
    <w:p w14:paraId="3870F053" w14:textId="77777777" w:rsidR="00026C1C" w:rsidRPr="006E471D"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b/>
          <w:bCs/>
          <w:sz w:val="28"/>
          <w:szCs w:val="28"/>
          <w:rtl/>
          <w:lang w:bidi="ar-EG"/>
        </w:rPr>
        <w:t xml:space="preserve">تميّز في السياق: </w:t>
      </w:r>
      <w:r w:rsidRPr="006E471D">
        <w:rPr>
          <w:rFonts w:ascii="Traditional Arabic" w:hAnsi="Traditional Arabic" w:cs="Traditional Arabic"/>
          <w:sz w:val="28"/>
          <w:szCs w:val="28"/>
          <w:rtl/>
          <w:lang w:bidi="ar-EG"/>
        </w:rPr>
        <w:t>تُختبر العلاقات داخل المصارف العاملة بمدينة الرياض، بما يعزز مساهمة الدراسة في سد فجوة سياقية مرتبطة بخصوصية البيئة السعودية والتحول الرقمي المصرفي.</w:t>
      </w:r>
    </w:p>
    <w:p w14:paraId="72E75B8B" w14:textId="77777777" w:rsidR="00026C1C" w:rsidRPr="006E471D" w:rsidRDefault="00026C1C" w:rsidP="007723CD">
      <w:pPr>
        <w:pStyle w:val="ListParagraph"/>
        <w:numPr>
          <w:ilvl w:val="0"/>
          <w:numId w:val="6"/>
        </w:numPr>
        <w:spacing w:line="240" w:lineRule="auto"/>
        <w:jc w:val="both"/>
        <w:rPr>
          <w:rFonts w:ascii="Traditional Arabic" w:hAnsi="Traditional Arabic" w:cs="Traditional Arabic"/>
          <w:sz w:val="28"/>
          <w:szCs w:val="28"/>
          <w:lang w:bidi="ar-EG"/>
        </w:rPr>
      </w:pPr>
      <w:r w:rsidRPr="006E471D">
        <w:rPr>
          <w:rFonts w:ascii="Traditional Arabic" w:hAnsi="Traditional Arabic" w:cs="Traditional Arabic"/>
          <w:sz w:val="28"/>
          <w:szCs w:val="28"/>
          <w:rtl/>
          <w:lang w:bidi="ar-EG"/>
        </w:rPr>
        <w:t>تميّز في الاختبار الإحصائي للنموذج الكلي: تعتمد الدراسة نمذجة المعادلات البنائية بالحد الأدنى للمربعات الجزئية (</w:t>
      </w:r>
      <w:r w:rsidRPr="006E471D">
        <w:rPr>
          <w:rFonts w:ascii="Traditional Arabic" w:hAnsi="Traditional Arabic" w:cs="Traditional Arabic"/>
          <w:sz w:val="28"/>
          <w:szCs w:val="28"/>
          <w:lang w:bidi="ar-EG"/>
        </w:rPr>
        <w:t>SEM-PLS</w:t>
      </w:r>
      <w:r w:rsidRPr="006E471D">
        <w:rPr>
          <w:rFonts w:ascii="Traditional Arabic" w:hAnsi="Traditional Arabic" w:cs="Traditional Arabic"/>
          <w:sz w:val="28"/>
          <w:szCs w:val="28"/>
          <w:rtl/>
          <w:lang w:bidi="ar-EG"/>
        </w:rPr>
        <w:t>) واختبار الوساطة (</w:t>
      </w:r>
      <w:r w:rsidRPr="006E471D">
        <w:rPr>
          <w:rFonts w:ascii="Traditional Arabic" w:hAnsi="Traditional Arabic" w:cs="Traditional Arabic"/>
          <w:sz w:val="28"/>
          <w:szCs w:val="28"/>
          <w:lang w:bidi="ar-EG"/>
        </w:rPr>
        <w:t>Bootstrap</w:t>
      </w:r>
      <w:r w:rsidRPr="006E471D">
        <w:rPr>
          <w:rFonts w:ascii="Traditional Arabic" w:hAnsi="Traditional Arabic" w:cs="Traditional Arabic"/>
          <w:sz w:val="28"/>
          <w:szCs w:val="28"/>
          <w:rtl/>
          <w:lang w:bidi="ar-EG"/>
        </w:rPr>
        <w:t>)، بما يسمح بفحص المسارات المباشرة وغير المباشرة في نموذج واحد، وتقديم تفسير أدق مقارنة بالدراسات الثنائية ذات العلاقات المباشرة فقط.</w:t>
      </w:r>
    </w:p>
    <w:p w14:paraId="0E204407" w14:textId="0F8FA8D9" w:rsidR="004D6A72" w:rsidRPr="006E471D" w:rsidRDefault="004D6A72" w:rsidP="004D6A72">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وبالنظر إلى هذه الأدبيات مجتمعة، يتبين اتفاق واسع على أن القرار الاستراتيجي في المؤسسات المصرفية يتأثر بعوامل </w:t>
      </w:r>
      <w:proofErr w:type="spellStart"/>
      <w:r w:rsidRPr="006E471D">
        <w:rPr>
          <w:rFonts w:ascii="Traditional Arabic" w:hAnsi="Traditional Arabic" w:cs="Traditional Arabic"/>
          <w:sz w:val="28"/>
          <w:szCs w:val="28"/>
          <w:rtl/>
          <w:lang w:bidi="ar-EG"/>
        </w:rPr>
        <w:t>حوكمية</w:t>
      </w:r>
      <w:proofErr w:type="spellEnd"/>
      <w:r w:rsidRPr="006E471D">
        <w:rPr>
          <w:rFonts w:ascii="Traditional Arabic" w:hAnsi="Traditional Arabic" w:cs="Traditional Arabic"/>
          <w:sz w:val="28"/>
          <w:szCs w:val="28"/>
          <w:rtl/>
          <w:lang w:bidi="ar-EG"/>
        </w:rPr>
        <w:t xml:space="preserve"> (حبوش، 2020) ومعرفية–سلوكية (</w:t>
      </w:r>
      <w:r w:rsidRPr="006E471D">
        <w:rPr>
          <w:rFonts w:ascii="Traditional Arabic" w:hAnsi="Traditional Arabic" w:cs="Traditional Arabic"/>
          <w:sz w:val="28"/>
          <w:szCs w:val="28"/>
          <w:lang w:bidi="ar-EG"/>
        </w:rPr>
        <w:t>Jarrar, 2021</w:t>
      </w:r>
      <w:r w:rsidRPr="006E471D">
        <w:rPr>
          <w:rFonts w:ascii="Traditional Arabic" w:hAnsi="Traditional Arabic" w:cs="Traditional Arabic"/>
          <w:sz w:val="28"/>
          <w:szCs w:val="28"/>
          <w:rtl/>
          <w:lang w:bidi="ar-EG"/>
        </w:rPr>
        <w:t>) واستشرافية (فريد وعامر، 2021)، وأنه قادر على التأثير في مخرجات تنظيمية مثل التميز (</w:t>
      </w:r>
      <w:proofErr w:type="spellStart"/>
      <w:r w:rsidRPr="006E471D">
        <w:rPr>
          <w:rFonts w:ascii="Traditional Arabic" w:hAnsi="Traditional Arabic" w:cs="Traditional Arabic"/>
          <w:sz w:val="28"/>
          <w:szCs w:val="28"/>
          <w:rtl/>
          <w:lang w:bidi="ar-EG"/>
        </w:rPr>
        <w:t>الدهيمي</w:t>
      </w:r>
      <w:proofErr w:type="spellEnd"/>
      <w:r w:rsidRPr="006E471D">
        <w:rPr>
          <w:rFonts w:ascii="Traditional Arabic" w:hAnsi="Traditional Arabic" w:cs="Traditional Arabic"/>
          <w:sz w:val="28"/>
          <w:szCs w:val="28"/>
          <w:rtl/>
          <w:lang w:bidi="ar-EG"/>
        </w:rPr>
        <w:t>، 2021). إلا أن الفجوة الجوهرية تكمن في أن هذه الدراسات لم تربط جودة القرار—بأبعاد تشغيلية قابلة للقياس—كوسيط بين مدخلات نظم معلوماتية (مثل قبول ذكاء الأعمال) ومخرجات استراتيجية (مثل الابتكار التنظيمي)، وهو المسار الذي يختبره النموذج المقترح في هذه الدراسة.</w:t>
      </w:r>
    </w:p>
    <w:p w14:paraId="12885CF2" w14:textId="0C3987DF" w:rsidR="001E4194" w:rsidRPr="006E471D" w:rsidRDefault="00043A2B" w:rsidP="004D6A72">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highlight w:val="lightGray"/>
          <w:rtl/>
          <w:lang w:bidi="ar-EG"/>
        </w:rPr>
        <w:lastRenderedPageBreak/>
        <w:t xml:space="preserve">وبشكل عملي، تتمثل الفجوة البحثية في أن الأدبيات المتاحة لم تختبر—في حدود ما عُرض في هذا الفصل—نموذجاً مصرفياً سعودياً متكاملاً يربط بين قبول المديرين لأنظمة ذكاء الأعمال وفق نموذج </w:t>
      </w:r>
      <w:r w:rsidRPr="006E471D">
        <w:rPr>
          <w:rFonts w:ascii="Traditional Arabic" w:hAnsi="Traditional Arabic" w:cs="Traditional Arabic"/>
          <w:sz w:val="28"/>
          <w:szCs w:val="28"/>
          <w:highlight w:val="lightGray"/>
          <w:lang w:bidi="ar-EG"/>
        </w:rPr>
        <w:t>TAM</w:t>
      </w:r>
      <w:r w:rsidRPr="006E471D">
        <w:rPr>
          <w:rFonts w:ascii="Traditional Arabic" w:hAnsi="Traditional Arabic" w:cs="Traditional Arabic"/>
          <w:sz w:val="28"/>
          <w:szCs w:val="28"/>
          <w:highlight w:val="lightGray"/>
          <w:rtl/>
          <w:lang w:bidi="ar-EG"/>
        </w:rPr>
        <w:t xml:space="preserve"> وبين الابتكار التنظيمي عبر جودة القرارات الاستراتيجية بوصفها آلية تفسيرية وسيطة. فالدراسات السابقة تناولت هذه المتغيرات إما بصورة منفصلة، أو بعلاقات مباشرة، أو في سياقات عربية ودولية مختلفة، دون اختبار تسلسلي واضح داخل المصارف العاملة بمدينة الرياض. ولهذا تأتي الدراسة الحالية لتسد فجوة تفسيرية وسياقية ومنهجية في آن واحد، لأنها لا تكتفي بإثبات وجود العلاقة، بل تختبر كيف تنتقل من القبول التكنولوجي إلى القرار عالي الجودة ثم إلى الابتكار التنظيمي في بيئة مصرفية سعودية كثيفة البيانات وسريعة التحول.</w:t>
      </w:r>
    </w:p>
    <w:p w14:paraId="0B87564A" w14:textId="2826A669" w:rsidR="00263A90" w:rsidRPr="006E471D" w:rsidRDefault="00E50BA3" w:rsidP="00E50BA3">
      <w:pPr>
        <w:pStyle w:val="Heading2"/>
        <w:rPr>
          <w:rFonts w:ascii="Traditional Arabic" w:hAnsi="Traditional Arabic" w:cs="Traditional Arabic"/>
          <w:b/>
          <w:bCs/>
          <w:color w:val="000000" w:themeColor="text1"/>
          <w:rtl/>
          <w:lang w:bidi="ar-EG"/>
        </w:rPr>
      </w:pPr>
      <w:bookmarkStart w:id="44" w:name="_Toc222423579"/>
      <w:r w:rsidRPr="006E471D">
        <w:rPr>
          <w:rFonts w:ascii="Traditional Arabic" w:hAnsi="Traditional Arabic" w:cs="Traditional Arabic"/>
          <w:b/>
          <w:bCs/>
          <w:color w:val="000000" w:themeColor="text1"/>
          <w:rtl/>
          <w:lang w:bidi="ar-EG"/>
        </w:rPr>
        <w:t>خاتمة الفصل</w:t>
      </w:r>
      <w:bookmarkEnd w:id="44"/>
    </w:p>
    <w:p w14:paraId="6D1797F5" w14:textId="35C5C35C" w:rsidR="00E50BA3" w:rsidRPr="006E471D" w:rsidRDefault="00E50BA3" w:rsidP="00E50BA3">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قدم هذا الفصل بناء الأساس العلمي الذي تستند إليه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 xml:space="preserve"> في تفسير العلاقة بين قبول أنظمة ذكاء الأعمال والابتكار التنظيمي داخل المصارف العاملة بمدينة الرياض، مع إيضاح الدور التفسيري الذي تؤديه جودة القرارات الاستراتيجية بوصفها آلية تحويل تربط بين الاستثمار التحليلي (ذكاء الأعمال) والمخرجات الاستراتيجية (الابتكار). وقد تحقق ذلك عبر محورين متكاملين: الإطار النظري الذي ضبط المفاهيم وحدد أبعادها التشغيلية ومنطق الترابط بينها، ثم الدراسات السابقة التي قُرئت قراءة نقدية لتبيان ما استقر في الأدبيات، وما بقي غير محسوم أو غير مُختبر بالشكل الذي تعالجه الدراسة الحالية.</w:t>
      </w:r>
    </w:p>
    <w:p w14:paraId="3D2D93B5" w14:textId="77777777" w:rsidR="00E50BA3" w:rsidRPr="006E471D" w:rsidRDefault="00E50BA3" w:rsidP="00E50BA3">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على مستوى الإطار النظري، أوضح الفصل أن التحول الرقمي في القطاع المالي السعودي لا يُفهم باعتباره </w:t>
      </w:r>
      <w:proofErr w:type="spellStart"/>
      <w:r w:rsidRPr="006E471D">
        <w:rPr>
          <w:rFonts w:ascii="Traditional Arabic" w:hAnsi="Traditional Arabic" w:cs="Traditional Arabic"/>
          <w:sz w:val="28"/>
          <w:szCs w:val="28"/>
          <w:rtl/>
          <w:lang w:bidi="ar-EG"/>
        </w:rPr>
        <w:t>رقمنة</w:t>
      </w:r>
      <w:proofErr w:type="spellEnd"/>
      <w:r w:rsidRPr="006E471D">
        <w:rPr>
          <w:rFonts w:ascii="Traditional Arabic" w:hAnsi="Traditional Arabic" w:cs="Traditional Arabic"/>
          <w:sz w:val="28"/>
          <w:szCs w:val="28"/>
          <w:rtl/>
          <w:lang w:bidi="ar-EG"/>
        </w:rPr>
        <w:t xml:space="preserve"> للقنوات فحسب، بل بوصفه إعادة تشكيل لطرق إنتاج الخدمة المالية وإدارة المخاطر وتجربة العميل، بما يرفع كثافة البيانات ويزيد حساسية القرار الاستراتيجي داخل المصارف. ومن هنا جاء تموضع ذكاء الأعمال كرافعة معرفية قادرة على تنظيم البيانات وتحويلها إلى رؤى قابلة للاستخدام، شريطة أن تُدمج هذه الرؤى في دورة القرار فعلياً. كما تم ضبط المفهوم عبر التمييز بين ذكاء الأعمال والتحليلات والذكاء الاصطناعي، وشرح البنية المعمارية لذكاء الأعمال (تكامل المصادر، </w:t>
      </w:r>
      <w:r w:rsidRPr="006E471D">
        <w:rPr>
          <w:rFonts w:ascii="Traditional Arabic" w:hAnsi="Traditional Arabic" w:cs="Traditional Arabic"/>
          <w:sz w:val="28"/>
          <w:szCs w:val="28"/>
          <w:lang w:bidi="ar-EG"/>
        </w:rPr>
        <w:t>ETL</w:t>
      </w:r>
      <w:r w:rsidRPr="006E471D">
        <w:rPr>
          <w:rFonts w:ascii="Traditional Arabic" w:hAnsi="Traditional Arabic" w:cs="Traditional Arabic"/>
          <w:sz w:val="28"/>
          <w:szCs w:val="28"/>
          <w:rtl/>
          <w:lang w:bidi="ar-EG"/>
        </w:rPr>
        <w:t>، المستودعات، لوحات القيادة) ومجالات التطبيق المصرفي (المخاطر، الاحتيال، تحليل العملاء، الامتثال وقياس الأداء)، مع إبراز التحديات الأكثر التصاقاً بالمصارف مثل حوكمة البيانات والأمن السيبراني وفجوة التحويل من الرؤى إلى قرارات.</w:t>
      </w:r>
    </w:p>
    <w:p w14:paraId="18884A6B" w14:textId="7A7F5F44" w:rsidR="00E50BA3" w:rsidRPr="006E471D" w:rsidRDefault="00E50BA3" w:rsidP="00E50BA3">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وبوصف القبول نقطة الارتكاز في منطق الدراسة، بيّن الفصل سبب اعتماد نموذج قبول التكنولوجيا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كإطار سلوكي – إدراكي يقيس القيمة التنظيمية بوصفها نتاجاً لقبول المستخدمين، لا مجرد توافر النظام. وعليه، تم تعريف قبول أنظمة ذكاء الأعمال باعتباره بناءً يتكون من الفائدة المدركة وسهولة الاستخدام المدركة ونية الاستخدام، مع توضيح أن هذا القبول هو ما يجعل مخرجات ذكاء الأعمال قابلة للترجمة إلى قرارات استراتيجية أفضل. ثم انتقل الفصل إلى تحديد مفهوم جودة القرارات الاستراتيجية وضبطه عبر التمييز بين جودة العملية وجودة المخرج، مع تبني أبعاد تشغيلية قابلة للقياس تتمثل في: جودة المعلومات، تحليل البدائل، ملاءمة التوقيت، الموضوعية/التقييم. وأخيراً، تم تأصيل الابتكار التنظيمي في البيئة المصرفية بوصفه ابتكاراً في الخدمات/المنتجات، وابتكاراً في العمليات، وثقافة تنظيمية داعمة للابتكار، مع توضيح أن الابتكار في البنوك غالباً ما يكون </w:t>
      </w:r>
      <w:r w:rsidR="00594571"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محكوماً</w:t>
      </w:r>
      <w:r w:rsidR="00594571"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 xml:space="preserve"> بقيود المخاطر والامتثال، ما يجعل جودة القرار شرطاً فاصلاً بين فكرة ابتكارية قابلة للتنفيذ وأخرى مكلفة أو غير ملائمة.</w:t>
      </w:r>
    </w:p>
    <w:p w14:paraId="3F9B9F2C" w14:textId="77777777" w:rsidR="00E50BA3" w:rsidRPr="006E471D" w:rsidRDefault="00E50BA3" w:rsidP="00E50BA3">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انطلاقاً من هذا البناء، طوّر الفصل الإطار التفسيري لمسارات النموذج وصاغ الفروض الأربع بصورة منطقية ومترابطة: أثر قبول أنظمة ذكاء الأعمال على جودة القرارات الاستراتيجية (</w:t>
      </w:r>
      <w:r w:rsidRPr="006E471D">
        <w:rPr>
          <w:rFonts w:ascii="Traditional Arabic" w:hAnsi="Traditional Arabic" w:cs="Traditional Arabic"/>
          <w:sz w:val="28"/>
          <w:szCs w:val="28"/>
          <w:lang w:bidi="ar-EG"/>
        </w:rPr>
        <w:t>H1</w:t>
      </w:r>
      <w:r w:rsidRPr="006E471D">
        <w:rPr>
          <w:rFonts w:ascii="Traditional Arabic" w:hAnsi="Traditional Arabic" w:cs="Traditional Arabic"/>
          <w:sz w:val="28"/>
          <w:szCs w:val="28"/>
          <w:rtl/>
          <w:lang w:bidi="ar-EG"/>
        </w:rPr>
        <w:t>)، أثر جودة القرارات على الابتكار التنظيمي (</w:t>
      </w:r>
      <w:r w:rsidRPr="006E471D">
        <w:rPr>
          <w:rFonts w:ascii="Traditional Arabic" w:hAnsi="Traditional Arabic" w:cs="Traditional Arabic"/>
          <w:sz w:val="28"/>
          <w:szCs w:val="28"/>
          <w:lang w:bidi="ar-EG"/>
        </w:rPr>
        <w:t>H2</w:t>
      </w:r>
      <w:r w:rsidRPr="006E471D">
        <w:rPr>
          <w:rFonts w:ascii="Traditional Arabic" w:hAnsi="Traditional Arabic" w:cs="Traditional Arabic"/>
          <w:sz w:val="28"/>
          <w:szCs w:val="28"/>
          <w:rtl/>
          <w:lang w:bidi="ar-EG"/>
        </w:rPr>
        <w:t>)، الأثر المباشر لقبول ذكاء الأعمال على الابتكار (</w:t>
      </w:r>
      <w:r w:rsidRPr="006E471D">
        <w:rPr>
          <w:rFonts w:ascii="Traditional Arabic" w:hAnsi="Traditional Arabic" w:cs="Traditional Arabic"/>
          <w:sz w:val="28"/>
          <w:szCs w:val="28"/>
          <w:lang w:bidi="ar-EG"/>
        </w:rPr>
        <w:t>H3</w:t>
      </w:r>
      <w:r w:rsidRPr="006E471D">
        <w:rPr>
          <w:rFonts w:ascii="Traditional Arabic" w:hAnsi="Traditional Arabic" w:cs="Traditional Arabic"/>
          <w:sz w:val="28"/>
          <w:szCs w:val="28"/>
          <w:rtl/>
          <w:lang w:bidi="ar-EG"/>
        </w:rPr>
        <w:t xml:space="preserve">)، ثم منطق الوساطة الذي يجعل جودة القرار قناة انتقال رئيسة لأثر القبول على الابتكار </w:t>
      </w:r>
      <w:r w:rsidRPr="006E471D">
        <w:rPr>
          <w:rFonts w:ascii="Traditional Arabic" w:hAnsi="Traditional Arabic" w:cs="Traditional Arabic"/>
          <w:sz w:val="28"/>
          <w:szCs w:val="28"/>
          <w:rtl/>
          <w:lang w:bidi="ar-EG"/>
        </w:rPr>
        <w:lastRenderedPageBreak/>
        <w:t>(</w:t>
      </w:r>
      <w:r w:rsidRPr="006E471D">
        <w:rPr>
          <w:rFonts w:ascii="Traditional Arabic" w:hAnsi="Traditional Arabic" w:cs="Traditional Arabic"/>
          <w:sz w:val="28"/>
          <w:szCs w:val="28"/>
          <w:lang w:bidi="ar-EG"/>
        </w:rPr>
        <w:t>H4</w:t>
      </w:r>
      <w:r w:rsidRPr="006E471D">
        <w:rPr>
          <w:rFonts w:ascii="Traditional Arabic" w:hAnsi="Traditional Arabic" w:cs="Traditional Arabic"/>
          <w:sz w:val="28"/>
          <w:szCs w:val="28"/>
          <w:rtl/>
          <w:lang w:bidi="ar-EG"/>
        </w:rPr>
        <w:t>). وبذلك لم يعد القرار مجرد نتيجة فرعية للبيانات، بل أصبح آلية تفسير توضح كيف تتحول البيانات والتحليلات—بعد قبولها—إلى اختيار أفضل للمبادرات وتوقيت أدق وتقييم أكثر موضوعية، بما يرفع احتمالات الابتكار المستدام داخل المصارف.</w:t>
      </w:r>
    </w:p>
    <w:p w14:paraId="50362C95" w14:textId="50568322" w:rsidR="00E50BA3" w:rsidRPr="006E471D" w:rsidRDefault="00E50BA3" w:rsidP="00E50BA3">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أما على مستوى الدراسات السابقة، فقد أظهر العرض النقدي اتجاهاً عاماً في الأدبيات العربية والأجنبية يربط ذكاء الأعمال بنتائج إيجابية مثل دعم القرار، والتحسين المستمر، والأداء، وإدارة الأزمات، وأحياناً المؤشرات المالية؛ كما أظهرت أدبيات القرار أن الجودة تتأثر بعوامل معرفية وتنظيمية </w:t>
      </w:r>
      <w:proofErr w:type="spellStart"/>
      <w:r w:rsidRPr="006E471D">
        <w:rPr>
          <w:rFonts w:ascii="Traditional Arabic" w:hAnsi="Traditional Arabic" w:cs="Traditional Arabic"/>
          <w:sz w:val="28"/>
          <w:szCs w:val="28"/>
          <w:rtl/>
          <w:lang w:bidi="ar-EG"/>
        </w:rPr>
        <w:t>وحوكمية</w:t>
      </w:r>
      <w:proofErr w:type="spellEnd"/>
      <w:r w:rsidRPr="006E471D">
        <w:rPr>
          <w:rFonts w:ascii="Traditional Arabic" w:hAnsi="Traditional Arabic" w:cs="Traditional Arabic"/>
          <w:sz w:val="28"/>
          <w:szCs w:val="28"/>
          <w:rtl/>
          <w:lang w:bidi="ar-EG"/>
        </w:rPr>
        <w:t xml:space="preserve">، وأنها قد تتراجع بفعل </w:t>
      </w:r>
      <w:proofErr w:type="spellStart"/>
      <w:r w:rsidRPr="006E471D">
        <w:rPr>
          <w:rFonts w:ascii="Traditional Arabic" w:hAnsi="Traditional Arabic" w:cs="Traditional Arabic"/>
          <w:sz w:val="28"/>
          <w:szCs w:val="28"/>
          <w:rtl/>
          <w:lang w:bidi="ar-EG"/>
        </w:rPr>
        <w:t>الانحيازات</w:t>
      </w:r>
      <w:proofErr w:type="spellEnd"/>
      <w:r w:rsidRPr="006E471D">
        <w:rPr>
          <w:rFonts w:ascii="Traditional Arabic" w:hAnsi="Traditional Arabic" w:cs="Traditional Arabic"/>
          <w:sz w:val="28"/>
          <w:szCs w:val="28"/>
          <w:rtl/>
          <w:lang w:bidi="ar-EG"/>
        </w:rPr>
        <w:t xml:space="preserve"> حتى مع توافر المعلومات؛ فيما ركزت أدبيات الابتكار المصرفي على محددات داخلية (المناخ، المرونة، جودة الخدمة الداخلية، الالتزام) وانعكاسات خارجية (الصورة الذهنية، الميزة التنافسية). لكن هذا العرض، في المقابل، كشف حدوداً واضحة تتصل مباشرة بموضوع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 xml:space="preserve">، أهمها: (1) غلبة قياس ذكاء الأعمال كمستوى تطبيق أو قدرات تقنية أكثر من قياسه كـ قبول استخدام لدى المديرين وفق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(2) محدودية النماذج التي تفسر انتقال أثر ذكاء الأعمال إلى مخرجات استراتيجية عبر وساطة محددة، (3) ندرة الربط المباشر بين جودة القرار والابتكار التنظيمي داخل نموذج واحد، (4) محدودية الاختبار في السياق السعودي وبشكل أدق في مصارف مدينة الرياض بوصفها بيئة كثيفة القرار والبيانات.</w:t>
      </w:r>
    </w:p>
    <w:p w14:paraId="4959228D" w14:textId="243FA82D" w:rsidR="00E50BA3" w:rsidRPr="006E471D" w:rsidRDefault="00E50BA3" w:rsidP="00E50BA3">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 xml:space="preserve">وعليه، تبلورت فجوة البحث التي تستهدفها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 xml:space="preserve"> في غياب نموذج متكامل يختبر المسار التسلسلي: قبول ذكاء الأعمال (</w:t>
      </w:r>
      <w:r w:rsidRPr="006E471D">
        <w:rPr>
          <w:rFonts w:ascii="Traditional Arabic" w:hAnsi="Traditional Arabic" w:cs="Traditional Arabic"/>
          <w:sz w:val="28"/>
          <w:szCs w:val="28"/>
          <w:lang w:bidi="ar-EG"/>
        </w:rPr>
        <w:t>TAM</w:t>
      </w:r>
      <w:r w:rsidRPr="006E471D">
        <w:rPr>
          <w:rFonts w:ascii="Traditional Arabic" w:hAnsi="Traditional Arabic" w:cs="Traditional Arabic"/>
          <w:sz w:val="28"/>
          <w:szCs w:val="28"/>
          <w:rtl/>
          <w:lang w:bidi="ar-EG"/>
        </w:rPr>
        <w:t xml:space="preserve">) </w:t>
      </w:r>
      <w:r w:rsidR="00AE7D63" w:rsidRPr="006E471D">
        <w:rPr>
          <w:rFonts w:ascii="Times New Roman" w:hAnsi="Times New Roman" w:cs="Times New Roman" w:hint="cs"/>
          <w:sz w:val="28"/>
          <w:szCs w:val="28"/>
          <w:rtl/>
          <w:lang w:bidi="ar-EG"/>
        </w:rPr>
        <w:t>←</w:t>
      </w:r>
      <w:r w:rsidR="00AE7D63" w:rsidRPr="006E471D">
        <w:rPr>
          <w:rFonts w:ascii="Traditional Arabic" w:hAnsi="Traditional Arabic" w:cs="Traditional Arabic"/>
          <w:sz w:val="28"/>
          <w:szCs w:val="28"/>
          <w:rtl/>
          <w:lang w:bidi="ar-EG"/>
        </w:rPr>
        <w:t xml:space="preserve"> </w:t>
      </w:r>
      <w:r w:rsidRPr="006E471D">
        <w:rPr>
          <w:rFonts w:ascii="Traditional Arabic" w:hAnsi="Traditional Arabic" w:cs="Traditional Arabic"/>
          <w:sz w:val="28"/>
          <w:szCs w:val="28"/>
          <w:rtl/>
          <w:lang w:bidi="ar-EG"/>
        </w:rPr>
        <w:t xml:space="preserve">جودة القرارات الاستراتيجية </w:t>
      </w:r>
      <w:r w:rsidR="00AE7D63" w:rsidRPr="006E471D">
        <w:rPr>
          <w:rFonts w:ascii="Times New Roman" w:hAnsi="Times New Roman" w:cs="Times New Roman" w:hint="cs"/>
          <w:sz w:val="28"/>
          <w:szCs w:val="28"/>
          <w:rtl/>
          <w:lang w:bidi="ar-EG"/>
        </w:rPr>
        <w:t>←</w:t>
      </w:r>
      <w:r w:rsidR="00AE7D63" w:rsidRPr="006E471D">
        <w:rPr>
          <w:rFonts w:ascii="Traditional Arabic" w:hAnsi="Traditional Arabic" w:cs="Traditional Arabic"/>
          <w:sz w:val="28"/>
          <w:szCs w:val="28"/>
          <w:rtl/>
          <w:lang w:bidi="ar-EG"/>
        </w:rPr>
        <w:t xml:space="preserve"> </w:t>
      </w:r>
      <w:r w:rsidRPr="006E471D">
        <w:rPr>
          <w:rFonts w:ascii="Traditional Arabic" w:hAnsi="Traditional Arabic" w:cs="Traditional Arabic"/>
          <w:sz w:val="28"/>
          <w:szCs w:val="28"/>
          <w:rtl/>
          <w:lang w:bidi="ar-EG"/>
        </w:rPr>
        <w:t xml:space="preserve">الابتكار التنظيمي، مع اختبار المسارات المباشرة وغير المباشرة في إطار واحد، وبوحدة تحليل منسجمة مع طبيعة القرار (المديرون في الإدارات العليا والوسطى). ومن ثمّ، فإن ما يميز الدراسة الحالية ليس فقط اختيار المتغيرات، بل طريقة </w:t>
      </w:r>
      <w:r w:rsidR="00594571"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ترتيبها تفسيريّاً</w:t>
      </w:r>
      <w:r w:rsidR="00594571"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 xml:space="preserve"> داخل نموذج آلي، وطريقة اختبارها إحصائياً باستخدام </w:t>
      </w:r>
      <w:r w:rsidRPr="006E471D">
        <w:rPr>
          <w:rFonts w:ascii="Traditional Arabic" w:hAnsi="Traditional Arabic" w:cs="Traditional Arabic"/>
          <w:sz w:val="28"/>
          <w:szCs w:val="28"/>
          <w:lang w:bidi="ar-EG"/>
        </w:rPr>
        <w:t>SEM-PLS</w:t>
      </w:r>
      <w:r w:rsidRPr="006E471D">
        <w:rPr>
          <w:rFonts w:ascii="Traditional Arabic" w:hAnsi="Traditional Arabic" w:cs="Traditional Arabic"/>
          <w:sz w:val="28"/>
          <w:szCs w:val="28"/>
          <w:rtl/>
          <w:lang w:bidi="ar-EG"/>
        </w:rPr>
        <w:t xml:space="preserve"> واختبار الوساطة، بما يمنح تفسيراً أدق من العلاقات الثنائية المباشرة التي سادت كثيراً من الدراسات السابقة.</w:t>
      </w:r>
    </w:p>
    <w:p w14:paraId="1AE9B41C" w14:textId="65BE0417" w:rsidR="00E50BA3" w:rsidRPr="006E471D" w:rsidRDefault="00E50BA3" w:rsidP="00E50BA3">
      <w:pPr>
        <w:spacing w:line="240" w:lineRule="auto"/>
        <w:jc w:val="both"/>
        <w:rPr>
          <w:rFonts w:ascii="Traditional Arabic" w:hAnsi="Traditional Arabic" w:cs="Traditional Arabic"/>
          <w:sz w:val="28"/>
          <w:szCs w:val="28"/>
          <w:rtl/>
          <w:lang w:bidi="ar-EG"/>
        </w:rPr>
      </w:pPr>
      <w:r w:rsidRPr="006E471D">
        <w:rPr>
          <w:rFonts w:ascii="Traditional Arabic" w:hAnsi="Traditional Arabic" w:cs="Traditional Arabic"/>
          <w:sz w:val="28"/>
          <w:szCs w:val="28"/>
          <w:rtl/>
          <w:lang w:bidi="ar-EG"/>
        </w:rPr>
        <w:t>وتأسيساً على ما سبق، يمهد هذا الفصل بشكل مباشر للفصل الثالث (المنهجية) عبر: (أ) تثبيت التعريفات التشغيلية التي ستُترجم إلى فقرات أداة القياس، (ب) تحديد أبعاد كل متغير بما يسمح ببناء نموذج قياس مناسب، (ج) تبرير اختيار أسلوب التحليل (</w:t>
      </w:r>
      <w:r w:rsidRPr="006E471D">
        <w:rPr>
          <w:rFonts w:ascii="Traditional Arabic" w:hAnsi="Traditional Arabic" w:cs="Traditional Arabic"/>
          <w:sz w:val="28"/>
          <w:szCs w:val="28"/>
          <w:lang w:bidi="ar-EG"/>
        </w:rPr>
        <w:t>SEM-PLS</w:t>
      </w:r>
      <w:r w:rsidRPr="006E471D">
        <w:rPr>
          <w:rFonts w:ascii="Traditional Arabic" w:hAnsi="Traditional Arabic" w:cs="Traditional Arabic"/>
          <w:sz w:val="28"/>
          <w:szCs w:val="28"/>
          <w:rtl/>
          <w:lang w:bidi="ar-EG"/>
        </w:rPr>
        <w:t xml:space="preserve">) بما يلائم طبيعة النموذج والوساطة، و(د) تحديد منطق العينة ووحدة التحليل في ضوء الفجوة والسياق. وبذلك ينتقل مسار </w:t>
      </w:r>
      <w:r w:rsidR="00594571" w:rsidRPr="006E471D">
        <w:rPr>
          <w:rFonts w:ascii="Traditional Arabic" w:hAnsi="Traditional Arabic" w:cs="Traditional Arabic"/>
          <w:sz w:val="28"/>
          <w:szCs w:val="28"/>
          <w:rtl/>
          <w:lang w:bidi="ar-EG"/>
        </w:rPr>
        <w:t>الدراسة</w:t>
      </w:r>
      <w:r w:rsidRPr="006E471D">
        <w:rPr>
          <w:rFonts w:ascii="Traditional Arabic" w:hAnsi="Traditional Arabic" w:cs="Traditional Arabic"/>
          <w:sz w:val="28"/>
          <w:szCs w:val="28"/>
          <w:rtl/>
          <w:lang w:bidi="ar-EG"/>
        </w:rPr>
        <w:t xml:space="preserve"> من </w:t>
      </w:r>
      <w:r w:rsidR="00594571"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منطق التفسير النظري والأدلة السابقة</w:t>
      </w:r>
      <w:r w:rsidR="00594571"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 xml:space="preserve"> إلى </w:t>
      </w:r>
      <w:r w:rsidR="00594571"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منطق الاختبار الميداني</w:t>
      </w:r>
      <w:r w:rsidR="00594571" w:rsidRPr="006E471D">
        <w:rPr>
          <w:rFonts w:ascii="Traditional Arabic" w:hAnsi="Traditional Arabic" w:cs="Traditional Arabic"/>
          <w:sz w:val="28"/>
          <w:szCs w:val="28"/>
          <w:rtl/>
          <w:lang w:bidi="ar-EG"/>
        </w:rPr>
        <w:t>"</w:t>
      </w:r>
      <w:r w:rsidRPr="006E471D">
        <w:rPr>
          <w:rFonts w:ascii="Traditional Arabic" w:hAnsi="Traditional Arabic" w:cs="Traditional Arabic"/>
          <w:sz w:val="28"/>
          <w:szCs w:val="28"/>
          <w:rtl/>
          <w:lang w:bidi="ar-EG"/>
        </w:rPr>
        <w:t xml:space="preserve"> الذي سيتولى التحقق من الفروض وتقدير قوة المسارات داخل مصارف مدينة الرياض.</w:t>
      </w:r>
    </w:p>
    <w:p w14:paraId="15DBDF32" w14:textId="77777777" w:rsidR="001F1F47" w:rsidRPr="006E471D" w:rsidRDefault="001F1F47" w:rsidP="00E50BA3">
      <w:pPr>
        <w:spacing w:line="240" w:lineRule="auto"/>
        <w:jc w:val="both"/>
        <w:rPr>
          <w:rFonts w:ascii="Traditional Arabic" w:hAnsi="Traditional Arabic" w:cs="Traditional Arabic"/>
          <w:sz w:val="28"/>
          <w:szCs w:val="28"/>
          <w:rtl/>
          <w:lang w:bidi="ar-EG"/>
        </w:rPr>
      </w:pPr>
    </w:p>
    <w:p w14:paraId="51704D72" w14:textId="77777777" w:rsidR="001F1F47" w:rsidRPr="006E471D" w:rsidRDefault="001F1F47" w:rsidP="00E50BA3">
      <w:pPr>
        <w:spacing w:line="240" w:lineRule="auto"/>
        <w:jc w:val="both"/>
        <w:rPr>
          <w:rFonts w:ascii="Traditional Arabic" w:hAnsi="Traditional Arabic" w:cs="Traditional Arabic"/>
          <w:sz w:val="28"/>
          <w:szCs w:val="28"/>
          <w:rtl/>
          <w:lang w:bidi="ar-EG"/>
        </w:rPr>
      </w:pPr>
    </w:p>
    <w:p w14:paraId="32D7BE66" w14:textId="77777777" w:rsidR="001F1F47" w:rsidRPr="006E471D" w:rsidRDefault="001F1F47" w:rsidP="00E50BA3">
      <w:pPr>
        <w:spacing w:line="240" w:lineRule="auto"/>
        <w:jc w:val="both"/>
        <w:rPr>
          <w:rFonts w:ascii="Traditional Arabic" w:hAnsi="Traditional Arabic" w:cs="Traditional Arabic"/>
          <w:sz w:val="28"/>
          <w:szCs w:val="28"/>
          <w:rtl/>
          <w:lang w:bidi="ar-EG"/>
        </w:rPr>
      </w:pPr>
    </w:p>
    <w:p w14:paraId="158551B8" w14:textId="77777777" w:rsidR="001F1F47" w:rsidRPr="006E471D" w:rsidRDefault="001F1F47" w:rsidP="00E50BA3">
      <w:pPr>
        <w:spacing w:line="240" w:lineRule="auto"/>
        <w:jc w:val="both"/>
        <w:rPr>
          <w:rFonts w:ascii="Traditional Arabic" w:hAnsi="Traditional Arabic" w:cs="Traditional Arabic"/>
          <w:sz w:val="28"/>
          <w:szCs w:val="28"/>
          <w:rtl/>
          <w:lang w:bidi="ar-EG"/>
        </w:rPr>
      </w:pPr>
    </w:p>
    <w:p w14:paraId="38835554" w14:textId="6D177B5C" w:rsidR="001F1F47" w:rsidRDefault="001F1F47" w:rsidP="00E50BA3">
      <w:pPr>
        <w:spacing w:line="240" w:lineRule="auto"/>
        <w:jc w:val="both"/>
        <w:rPr>
          <w:rFonts w:ascii="Traditional Arabic" w:hAnsi="Traditional Arabic" w:cs="Traditional Arabic"/>
          <w:sz w:val="28"/>
          <w:szCs w:val="28"/>
          <w:rtl/>
          <w:lang w:bidi="ar-EG"/>
        </w:rPr>
      </w:pPr>
    </w:p>
    <w:p w14:paraId="38E470C2" w14:textId="77777777" w:rsidR="006E471D" w:rsidRPr="006E471D" w:rsidRDefault="006E471D" w:rsidP="00E50BA3">
      <w:pPr>
        <w:spacing w:line="240" w:lineRule="auto"/>
        <w:jc w:val="both"/>
        <w:rPr>
          <w:rFonts w:ascii="Traditional Arabic" w:hAnsi="Traditional Arabic" w:cs="Traditional Arabic"/>
          <w:sz w:val="28"/>
          <w:szCs w:val="28"/>
          <w:rtl/>
          <w:lang w:bidi="ar-EG"/>
        </w:rPr>
      </w:pPr>
    </w:p>
    <w:p w14:paraId="76F422F7" w14:textId="77777777" w:rsidR="001F1F47" w:rsidRPr="006E471D" w:rsidRDefault="001F1F47" w:rsidP="00E50BA3">
      <w:pPr>
        <w:spacing w:line="240" w:lineRule="auto"/>
        <w:jc w:val="both"/>
        <w:rPr>
          <w:rFonts w:ascii="Traditional Arabic" w:hAnsi="Traditional Arabic" w:cs="Traditional Arabic"/>
          <w:sz w:val="28"/>
          <w:szCs w:val="28"/>
          <w:rtl/>
          <w:lang w:bidi="ar-EG"/>
        </w:rPr>
      </w:pPr>
    </w:p>
    <w:p w14:paraId="2E73F620" w14:textId="688B4733" w:rsidR="001F1F47" w:rsidRPr="006E471D" w:rsidRDefault="001F1F47" w:rsidP="00F423D6">
      <w:pPr>
        <w:pStyle w:val="Heading2"/>
        <w:numPr>
          <w:ilvl w:val="0"/>
          <w:numId w:val="0"/>
        </w:numPr>
        <w:rPr>
          <w:rFonts w:ascii="Traditional Arabic" w:hAnsi="Traditional Arabic" w:cs="Traditional Arabic"/>
          <w:b/>
          <w:bCs/>
          <w:color w:val="000000" w:themeColor="text1"/>
          <w:rtl/>
          <w:lang w:bidi="ar-EG"/>
        </w:rPr>
      </w:pPr>
      <w:bookmarkStart w:id="45" w:name="_Toc222423580"/>
      <w:r w:rsidRPr="006E471D">
        <w:rPr>
          <w:rFonts w:ascii="Traditional Arabic" w:hAnsi="Traditional Arabic" w:cs="Traditional Arabic"/>
          <w:b/>
          <w:bCs/>
          <w:color w:val="000000" w:themeColor="text1"/>
          <w:rtl/>
          <w:lang w:bidi="ar-EG"/>
        </w:rPr>
        <w:lastRenderedPageBreak/>
        <w:t>قائمة المراجع</w:t>
      </w:r>
      <w:bookmarkEnd w:id="45"/>
    </w:p>
    <w:p w14:paraId="6195A3D2" w14:textId="3E22AD7D" w:rsidR="001F1F47" w:rsidRPr="006E471D" w:rsidRDefault="001F1F47" w:rsidP="00E50BA3">
      <w:pPr>
        <w:spacing w:line="240" w:lineRule="auto"/>
        <w:jc w:val="both"/>
        <w:rPr>
          <w:rFonts w:ascii="Traditional Arabic" w:hAnsi="Traditional Arabic" w:cs="Traditional Arabic"/>
          <w:b/>
          <w:bCs/>
          <w:sz w:val="28"/>
          <w:szCs w:val="28"/>
          <w:rtl/>
          <w:lang w:bidi="ar-EG"/>
        </w:rPr>
      </w:pPr>
      <w:r w:rsidRPr="006E471D">
        <w:rPr>
          <w:rFonts w:ascii="Traditional Arabic" w:hAnsi="Traditional Arabic" w:cs="Traditional Arabic"/>
          <w:b/>
          <w:bCs/>
          <w:sz w:val="28"/>
          <w:szCs w:val="28"/>
          <w:rtl/>
          <w:lang w:bidi="ar-EG"/>
        </w:rPr>
        <w:t>المراجع العربية</w:t>
      </w:r>
    </w:p>
    <w:p w14:paraId="616FA7EE"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أبو تمام، ميساء. (2018). أهمية تطبيق نظم محاسبة التكاليف والإدارية على اتخاذ القرارات الاستراتيجية: دراسة ميدانية في البنوك التجارية الأردنية [أطروحة دكتوراه غير منشورة]. جامعة العلوم الإسلامية العالمية.</w:t>
      </w:r>
    </w:p>
    <w:p w14:paraId="138A433C"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أحمد، علي. (2019). أثر ترتيبات العمل المرن في قطاع الخدمات المصرفية على الابتكار التنظيمي: دراسة تطبيقية على العاملين بالبنوك التجارية بمدينة المنصورة. مجلة الدراسات والبحوث التجارية، 39(1)، 483–522.</w:t>
      </w:r>
    </w:p>
    <w:p w14:paraId="3A420C3F"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البلبيسي، ميس، والنعيمي، محمد. (2017). أثر جودة الخدمة الداخلية على الابتكار التنظيمي والدور الوسيط للالتزام التنظيمي: دراسة تطبيقية في البنوك الأجنبية العاملة في الأردن [رسالة ماجستير غير منشورة]. الجامعة الأردنية.</w:t>
      </w:r>
    </w:p>
    <w:p w14:paraId="12DC9040" w14:textId="77777777" w:rsidR="00BA7973" w:rsidRPr="006E471D" w:rsidRDefault="00BA7973" w:rsidP="00BA7973">
      <w:pPr>
        <w:ind w:left="1196" w:hanging="1196"/>
        <w:jc w:val="both"/>
        <w:rPr>
          <w:rFonts w:ascii="Traditional Arabic" w:hAnsi="Traditional Arabic" w:cs="Traditional Arabic"/>
          <w:rtl/>
          <w:lang w:bidi="ar-EG"/>
        </w:rPr>
      </w:pPr>
      <w:proofErr w:type="spellStart"/>
      <w:r w:rsidRPr="006E471D">
        <w:rPr>
          <w:rFonts w:ascii="Traditional Arabic" w:hAnsi="Traditional Arabic" w:cs="Traditional Arabic"/>
          <w:rtl/>
          <w:lang w:bidi="ar-EG"/>
        </w:rPr>
        <w:t>الجارالله</w:t>
      </w:r>
      <w:proofErr w:type="spellEnd"/>
      <w:r w:rsidRPr="006E471D">
        <w:rPr>
          <w:rFonts w:ascii="Traditional Arabic" w:hAnsi="Traditional Arabic" w:cs="Traditional Arabic"/>
          <w:rtl/>
          <w:lang w:bidi="ar-EG"/>
        </w:rPr>
        <w:t xml:space="preserve">، محمد عبد الرحمن محمد. (2025). واقع البنية التحتية الرقمية وتطور قطاع التقنية المالية في المملكة العربية السعودية: دراسة تحليلية (الفترة 2018–2023). </w:t>
      </w:r>
      <w:r w:rsidRPr="006E471D">
        <w:rPr>
          <w:rFonts w:ascii="Traditional Arabic" w:hAnsi="Traditional Arabic" w:cs="Traditional Arabic"/>
          <w:i/>
          <w:iCs/>
          <w:rtl/>
          <w:lang w:bidi="ar-EG"/>
        </w:rPr>
        <w:t>المجلة العلمية للدراسات والبحوث المالية والتجارية (كلية التجارة، جامعة دمياط)، 6</w:t>
      </w:r>
      <w:r w:rsidRPr="006E471D">
        <w:rPr>
          <w:rFonts w:ascii="Traditional Arabic" w:hAnsi="Traditional Arabic" w:cs="Traditional Arabic"/>
          <w:rtl/>
          <w:lang w:bidi="ar-EG"/>
        </w:rPr>
        <w:t>(1)، 263–310.</w:t>
      </w:r>
    </w:p>
    <w:p w14:paraId="3296A60B"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الجدّاوي، مديح </w:t>
      </w:r>
      <w:proofErr w:type="spellStart"/>
      <w:r w:rsidRPr="006E471D">
        <w:rPr>
          <w:rFonts w:ascii="Traditional Arabic" w:hAnsi="Traditional Arabic" w:cs="Traditional Arabic"/>
          <w:rtl/>
          <w:lang w:bidi="ar-EG"/>
        </w:rPr>
        <w:t>ناير</w:t>
      </w:r>
      <w:proofErr w:type="spellEnd"/>
      <w:r w:rsidRPr="006E471D">
        <w:rPr>
          <w:rFonts w:ascii="Traditional Arabic" w:hAnsi="Traditional Arabic" w:cs="Traditional Arabic"/>
          <w:rtl/>
          <w:lang w:bidi="ar-EG"/>
        </w:rPr>
        <w:t xml:space="preserve">. (2024). العلاقة بين الثقافة التنظيمية والابتكار المؤسسي: الدور المعدل لنضج البيانات. المجلة الأردنية في إدارة الأعمال، 20(3)، 429–459. </w:t>
      </w:r>
      <w:hyperlink r:id="rId10" w:history="1">
        <w:r w:rsidRPr="006E471D">
          <w:rPr>
            <w:rStyle w:val="Hyperlink"/>
            <w:rFonts w:ascii="Traditional Arabic" w:hAnsi="Traditional Arabic" w:cs="Traditional Arabic"/>
            <w:lang w:bidi="ar-EG"/>
          </w:rPr>
          <w:t>https://doi.org/10.35516/jjba.v20i3.841</w:t>
        </w:r>
      </w:hyperlink>
    </w:p>
    <w:p w14:paraId="586CAFB6"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جديد، رشا نزار. (2020). دور الابتكار التنظيمي في تحقيق الميزة التنافسية: نموذج المصرف التجاري السوري. مجلة جامعة تشرين للدراسات والبحوث العلمية: سلسلة العلوم الاقتصادية والقانونية، 42(3)، 51–64.</w:t>
      </w:r>
    </w:p>
    <w:p w14:paraId="5C9DD067"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حبوش، ماهر. (2020). أثر ممارسات الحاكمية المؤسسية في صنع القرارات الاستراتيجية بالبنوك التجارية الأردنية [رسالة ماجستير غير منشورة]. جامعة عمان العربية.</w:t>
      </w:r>
    </w:p>
    <w:p w14:paraId="2D50DFDA"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حسن، عبد الرحمن حسن </w:t>
      </w:r>
      <w:proofErr w:type="spellStart"/>
      <w:r w:rsidRPr="006E471D">
        <w:rPr>
          <w:rFonts w:ascii="Traditional Arabic" w:hAnsi="Traditional Arabic" w:cs="Traditional Arabic"/>
          <w:rtl/>
          <w:lang w:bidi="ar-EG"/>
        </w:rPr>
        <w:t>حسن</w:t>
      </w:r>
      <w:proofErr w:type="spellEnd"/>
      <w:r w:rsidRPr="006E471D">
        <w:rPr>
          <w:rFonts w:ascii="Traditional Arabic" w:hAnsi="Traditional Arabic" w:cs="Traditional Arabic"/>
          <w:rtl/>
          <w:lang w:bidi="ar-EG"/>
        </w:rPr>
        <w:t xml:space="preserve"> محمد، </w:t>
      </w:r>
      <w:proofErr w:type="spellStart"/>
      <w:r w:rsidRPr="006E471D">
        <w:rPr>
          <w:rFonts w:ascii="Traditional Arabic" w:hAnsi="Traditional Arabic" w:cs="Traditional Arabic"/>
          <w:rtl/>
          <w:lang w:bidi="ar-EG"/>
        </w:rPr>
        <w:t>والغبيري</w:t>
      </w:r>
      <w:proofErr w:type="spellEnd"/>
      <w:r w:rsidRPr="006E471D">
        <w:rPr>
          <w:rFonts w:ascii="Traditional Arabic" w:hAnsi="Traditional Arabic" w:cs="Traditional Arabic"/>
          <w:rtl/>
          <w:lang w:bidi="ar-EG"/>
        </w:rPr>
        <w:t xml:space="preserve">، محمد أحمد. (2020). واقع التحول الرقمي للمملكة العربية السعودية: دراسة تحليلية. </w:t>
      </w:r>
      <w:r w:rsidRPr="006E471D">
        <w:rPr>
          <w:rFonts w:ascii="Traditional Arabic" w:hAnsi="Traditional Arabic" w:cs="Traditional Arabic"/>
          <w:i/>
          <w:iCs/>
          <w:rtl/>
          <w:lang w:bidi="ar-EG"/>
        </w:rPr>
        <w:t>مجلة العلوم الإدارية والمالية، 4</w:t>
      </w:r>
      <w:r w:rsidRPr="006E471D">
        <w:rPr>
          <w:rFonts w:ascii="Traditional Arabic" w:hAnsi="Traditional Arabic" w:cs="Traditional Arabic"/>
          <w:rtl/>
          <w:lang w:bidi="ar-EG"/>
        </w:rPr>
        <w:t xml:space="preserve">(3)، 8–31. </w:t>
      </w:r>
      <w:hyperlink r:id="rId11" w:history="1">
        <w:r w:rsidRPr="006E471D">
          <w:rPr>
            <w:rStyle w:val="Hyperlink"/>
            <w:rFonts w:ascii="Traditional Arabic" w:hAnsi="Traditional Arabic" w:cs="Traditional Arabic"/>
            <w:lang w:bidi="ar-EG"/>
          </w:rPr>
          <w:t>https://doi.org/10.37644/1939-004-003-001</w:t>
        </w:r>
      </w:hyperlink>
    </w:p>
    <w:p w14:paraId="12A87F45" w14:textId="77777777" w:rsidR="00BA7973" w:rsidRPr="006E471D" w:rsidRDefault="00BA7973" w:rsidP="00BA7973">
      <w:pPr>
        <w:ind w:left="1196" w:hanging="1196"/>
        <w:jc w:val="both"/>
        <w:rPr>
          <w:rFonts w:ascii="Traditional Arabic" w:hAnsi="Traditional Arabic" w:cs="Traditional Arabic"/>
          <w:rtl/>
          <w:lang w:bidi="ar-EG"/>
        </w:rPr>
      </w:pPr>
      <w:proofErr w:type="spellStart"/>
      <w:r w:rsidRPr="006E471D">
        <w:rPr>
          <w:rFonts w:ascii="Traditional Arabic" w:hAnsi="Traditional Arabic" w:cs="Traditional Arabic"/>
          <w:rtl/>
          <w:lang w:bidi="ar-EG"/>
        </w:rPr>
        <w:t>الحندواي</w:t>
      </w:r>
      <w:proofErr w:type="spellEnd"/>
      <w:r w:rsidRPr="006E471D">
        <w:rPr>
          <w:rFonts w:ascii="Traditional Arabic" w:hAnsi="Traditional Arabic" w:cs="Traditional Arabic"/>
          <w:rtl/>
          <w:lang w:bidi="ar-EG"/>
        </w:rPr>
        <w:t xml:space="preserve">، عبد الله محمد عبد الله، </w:t>
      </w:r>
      <w:proofErr w:type="spellStart"/>
      <w:r w:rsidRPr="006E471D">
        <w:rPr>
          <w:rFonts w:ascii="Traditional Arabic" w:hAnsi="Traditional Arabic" w:cs="Traditional Arabic"/>
          <w:rtl/>
          <w:lang w:bidi="ar-EG"/>
        </w:rPr>
        <w:t>ومتيوية</w:t>
      </w:r>
      <w:proofErr w:type="spellEnd"/>
      <w:r w:rsidRPr="006E471D">
        <w:rPr>
          <w:rFonts w:ascii="Traditional Arabic" w:hAnsi="Traditional Arabic" w:cs="Traditional Arabic"/>
          <w:rtl/>
          <w:lang w:bidi="ar-EG"/>
        </w:rPr>
        <w:t xml:space="preserve">، سعد عبد الحميد. (2025). دور الموبايل </w:t>
      </w:r>
      <w:proofErr w:type="spellStart"/>
      <w:r w:rsidRPr="006E471D">
        <w:rPr>
          <w:rFonts w:ascii="Traditional Arabic" w:hAnsi="Traditional Arabic" w:cs="Traditional Arabic"/>
          <w:rtl/>
          <w:lang w:bidi="ar-EG"/>
        </w:rPr>
        <w:t>البنكى</w:t>
      </w:r>
      <w:proofErr w:type="spellEnd"/>
      <w:r w:rsidRPr="006E471D">
        <w:rPr>
          <w:rFonts w:ascii="Traditional Arabic" w:hAnsi="Traditional Arabic" w:cs="Traditional Arabic"/>
          <w:rtl/>
          <w:lang w:bidi="ar-EG"/>
        </w:rPr>
        <w:t xml:space="preserve"> </w:t>
      </w:r>
      <w:proofErr w:type="spellStart"/>
      <w:r w:rsidRPr="006E471D">
        <w:rPr>
          <w:rFonts w:ascii="Traditional Arabic" w:hAnsi="Traditional Arabic" w:cs="Traditional Arabic"/>
          <w:rtl/>
          <w:lang w:bidi="ar-EG"/>
        </w:rPr>
        <w:t>فى</w:t>
      </w:r>
      <w:proofErr w:type="spellEnd"/>
      <w:r w:rsidRPr="006E471D">
        <w:rPr>
          <w:rFonts w:ascii="Traditional Arabic" w:hAnsi="Traditional Arabic" w:cs="Traditional Arabic"/>
          <w:rtl/>
          <w:lang w:bidi="ar-EG"/>
        </w:rPr>
        <w:t xml:space="preserve"> تعزيز مستوى ثقة العملاء في الخدمات البنكية الإلكترونية. المجلة المصرية للدراسات التجارية، 49(3)، 1–20. </w:t>
      </w:r>
      <w:hyperlink r:id="rId12" w:history="1">
        <w:r w:rsidRPr="006E471D">
          <w:rPr>
            <w:rStyle w:val="Hyperlink"/>
            <w:rFonts w:ascii="Traditional Arabic" w:hAnsi="Traditional Arabic" w:cs="Traditional Arabic"/>
            <w:lang w:bidi="ar-EG"/>
          </w:rPr>
          <w:t>https://doi.org/10.21608/alat.2025.443321</w:t>
        </w:r>
      </w:hyperlink>
      <w:r w:rsidRPr="006E471D">
        <w:rPr>
          <w:rFonts w:ascii="Traditional Arabic" w:hAnsi="Traditional Arabic" w:cs="Traditional Arabic"/>
          <w:rtl/>
          <w:lang w:bidi="ar-EG"/>
        </w:rPr>
        <w:t xml:space="preserve"> </w:t>
      </w:r>
    </w:p>
    <w:p w14:paraId="65274212"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خالصة، فتح الله، وابن </w:t>
      </w:r>
      <w:proofErr w:type="gramStart"/>
      <w:r w:rsidRPr="006E471D">
        <w:rPr>
          <w:rFonts w:ascii="Traditional Arabic" w:hAnsi="Traditional Arabic" w:cs="Traditional Arabic"/>
          <w:rtl/>
          <w:lang w:bidi="ar-EG"/>
        </w:rPr>
        <w:t>عيسي</w:t>
      </w:r>
      <w:proofErr w:type="gramEnd"/>
      <w:r w:rsidRPr="006E471D">
        <w:rPr>
          <w:rFonts w:ascii="Traditional Arabic" w:hAnsi="Traditional Arabic" w:cs="Traditional Arabic"/>
          <w:rtl/>
          <w:lang w:bidi="ar-EG"/>
        </w:rPr>
        <w:t xml:space="preserve">، عبد القادر. (2022). تعزيز أثر المعرفة الضمنية على جودة القرارات الاستراتيجية باستخدام نظم دعم القرارات: دراسة حالة مجمع </w:t>
      </w:r>
      <w:proofErr w:type="spellStart"/>
      <w:r w:rsidRPr="006E471D">
        <w:rPr>
          <w:rFonts w:ascii="Traditional Arabic" w:hAnsi="Traditional Arabic" w:cs="Traditional Arabic"/>
          <w:rtl/>
          <w:lang w:bidi="ar-EG"/>
        </w:rPr>
        <w:t>صيدال</w:t>
      </w:r>
      <w:proofErr w:type="spellEnd"/>
      <w:r w:rsidRPr="006E471D">
        <w:rPr>
          <w:rFonts w:ascii="Traditional Arabic" w:hAnsi="Traditional Arabic" w:cs="Traditional Arabic"/>
          <w:rtl/>
          <w:lang w:bidi="ar-EG"/>
        </w:rPr>
        <w:t>. مجلة العلوم الإدارية والمالية، 6(2)، 153–171.</w:t>
      </w:r>
    </w:p>
    <w:p w14:paraId="2E1E9BBC" w14:textId="77777777" w:rsidR="00BA7973" w:rsidRPr="006E471D" w:rsidRDefault="00BA7973" w:rsidP="00BA7973">
      <w:pPr>
        <w:ind w:left="1196" w:hanging="1196"/>
        <w:jc w:val="both"/>
        <w:rPr>
          <w:rFonts w:ascii="Traditional Arabic" w:hAnsi="Traditional Arabic" w:cs="Traditional Arabic"/>
          <w:rtl/>
          <w:lang w:bidi="ar-EG"/>
        </w:rPr>
      </w:pPr>
      <w:proofErr w:type="spellStart"/>
      <w:r w:rsidRPr="006E471D">
        <w:rPr>
          <w:rFonts w:ascii="Traditional Arabic" w:hAnsi="Traditional Arabic" w:cs="Traditional Arabic"/>
          <w:rtl/>
          <w:lang w:bidi="ar-EG"/>
        </w:rPr>
        <w:t>الدهيمي</w:t>
      </w:r>
      <w:proofErr w:type="spellEnd"/>
      <w:r w:rsidRPr="006E471D">
        <w:rPr>
          <w:rFonts w:ascii="Traditional Arabic" w:hAnsi="Traditional Arabic" w:cs="Traditional Arabic"/>
          <w:rtl/>
          <w:lang w:bidi="ar-EG"/>
        </w:rPr>
        <w:t>، فهد. (2021). أثر فاعلية القرارات الاستراتيجية في التميز التنظيمي من خلال التمكين الوظيفي متغيراً وسيطاً: دراسة ميدانية على البنوك التجارية القطرية [أطروحة دكتوراه غير منشورة]. جامعة مؤتة.</w:t>
      </w:r>
    </w:p>
    <w:p w14:paraId="6749440D"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راضي، أحمد مصطفى حمدي. (2023). محددات النية السلوكية للعملاء تجاه استخدام الخدمات المصرفية التقنية المالية: أدلة من مصر. المجلة المصرية للدراسات التجارية، 47(2)، 387–420. </w:t>
      </w:r>
      <w:hyperlink r:id="rId13" w:history="1">
        <w:r w:rsidRPr="006E471D">
          <w:rPr>
            <w:rStyle w:val="Hyperlink"/>
            <w:rFonts w:ascii="Traditional Arabic" w:hAnsi="Traditional Arabic" w:cs="Traditional Arabic"/>
            <w:lang w:bidi="ar-EG"/>
          </w:rPr>
          <w:t>https://doi.org/10.21608/alat.2023.293010</w:t>
        </w:r>
      </w:hyperlink>
    </w:p>
    <w:p w14:paraId="00C48EE1" w14:textId="77777777" w:rsidR="00BA7973" w:rsidRPr="006E471D" w:rsidRDefault="00BA7973" w:rsidP="00BA7973">
      <w:pPr>
        <w:ind w:left="1196" w:hanging="1196"/>
        <w:jc w:val="both"/>
        <w:rPr>
          <w:rFonts w:ascii="Traditional Arabic" w:hAnsi="Traditional Arabic" w:cs="Traditional Arabic"/>
          <w:rtl/>
          <w:lang w:bidi="ar-EG"/>
        </w:rPr>
      </w:pPr>
      <w:proofErr w:type="spellStart"/>
      <w:r w:rsidRPr="006E471D">
        <w:rPr>
          <w:rFonts w:ascii="Traditional Arabic" w:hAnsi="Traditional Arabic" w:cs="Traditional Arabic"/>
          <w:rtl/>
          <w:lang w:bidi="ar-EG"/>
        </w:rPr>
        <w:lastRenderedPageBreak/>
        <w:t>الرميمه</w:t>
      </w:r>
      <w:proofErr w:type="spellEnd"/>
      <w:r w:rsidRPr="006E471D">
        <w:rPr>
          <w:rFonts w:ascii="Traditional Arabic" w:hAnsi="Traditional Arabic" w:cs="Traditional Arabic"/>
          <w:rtl/>
          <w:lang w:bidi="ar-EG"/>
        </w:rPr>
        <w:t xml:space="preserve">، </w:t>
      </w:r>
      <w:proofErr w:type="gramStart"/>
      <w:r w:rsidRPr="006E471D">
        <w:rPr>
          <w:rFonts w:ascii="Traditional Arabic" w:hAnsi="Traditional Arabic" w:cs="Traditional Arabic"/>
          <w:rtl/>
          <w:lang w:bidi="ar-EG"/>
        </w:rPr>
        <w:t>عبدالسلام</w:t>
      </w:r>
      <w:proofErr w:type="gramEnd"/>
      <w:r w:rsidRPr="006E471D">
        <w:rPr>
          <w:rFonts w:ascii="Traditional Arabic" w:hAnsi="Traditional Arabic" w:cs="Traditional Arabic"/>
          <w:rtl/>
          <w:lang w:bidi="ar-EG"/>
        </w:rPr>
        <w:t xml:space="preserve"> </w:t>
      </w:r>
      <w:proofErr w:type="spellStart"/>
      <w:r w:rsidRPr="006E471D">
        <w:rPr>
          <w:rFonts w:ascii="Traditional Arabic" w:hAnsi="Traditional Arabic" w:cs="Traditional Arabic"/>
          <w:rtl/>
          <w:lang w:bidi="ar-EG"/>
        </w:rPr>
        <w:t>عبدالرقيب</w:t>
      </w:r>
      <w:proofErr w:type="spellEnd"/>
      <w:r w:rsidRPr="006E471D">
        <w:rPr>
          <w:rFonts w:ascii="Traditional Arabic" w:hAnsi="Traditional Arabic" w:cs="Traditional Arabic"/>
          <w:rtl/>
          <w:lang w:bidi="ar-EG"/>
        </w:rPr>
        <w:t xml:space="preserve"> عبدالعزيز، </w:t>
      </w:r>
      <w:proofErr w:type="spellStart"/>
      <w:r w:rsidRPr="006E471D">
        <w:rPr>
          <w:rFonts w:ascii="Traditional Arabic" w:hAnsi="Traditional Arabic" w:cs="Traditional Arabic"/>
          <w:rtl/>
          <w:lang w:bidi="ar-EG"/>
        </w:rPr>
        <w:t>والحكيمي</w:t>
      </w:r>
      <w:proofErr w:type="spellEnd"/>
      <w:r w:rsidRPr="006E471D">
        <w:rPr>
          <w:rFonts w:ascii="Traditional Arabic" w:hAnsi="Traditional Arabic" w:cs="Traditional Arabic"/>
          <w:rtl/>
          <w:lang w:bidi="ar-EG"/>
        </w:rPr>
        <w:t xml:space="preserve">، وائل سلطان عبدالله. (2024). تكنولوجيا المعلومات وأثرها في جودة القرارات الاستراتيجية: دراسة ميدانية في البنوك اليمنية. مجلة جامعة صنعاء للعلوم الإنسانية، 1(1). </w:t>
      </w:r>
      <w:hyperlink r:id="rId14" w:history="1">
        <w:r w:rsidRPr="006E471D">
          <w:rPr>
            <w:rStyle w:val="Hyperlink"/>
            <w:rFonts w:ascii="Traditional Arabic" w:hAnsi="Traditional Arabic" w:cs="Traditional Arabic"/>
            <w:lang w:bidi="ar-EG"/>
          </w:rPr>
          <w:t>https://doi.org/10.59628/jhs.v1i1.582</w:t>
        </w:r>
      </w:hyperlink>
    </w:p>
    <w:p w14:paraId="0FA9ED49"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السائح، سندس محمود العارف. (2025). دور جودة المعلومات في اتخاذ القرار الإداري: دراسة ميدانية في شركة تقنية ليبيا للأعمال الهندسية–طرابلس–ليبيا. مجلة جامعة الزيتونة، (55)، 147–166. </w:t>
      </w:r>
      <w:hyperlink r:id="rId15" w:history="1">
        <w:r w:rsidRPr="006E471D">
          <w:rPr>
            <w:rStyle w:val="Hyperlink"/>
            <w:rFonts w:ascii="Traditional Arabic" w:hAnsi="Traditional Arabic" w:cs="Traditional Arabic"/>
            <w:lang w:bidi="ar-EG"/>
          </w:rPr>
          <w:t>https://doi.org/10.35778/jazu.i55.a562</w:t>
        </w:r>
      </w:hyperlink>
    </w:p>
    <w:p w14:paraId="0500CF0F"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سليم، فاطمة علي، والشريف، حسن محمد. (2025). دور ذكاء الأعمال في اتخاذ القرارات الاستراتيجية: دراسة ميدانية على شركات التأمين بمدينة مصراتة. مجلة البحوث المستدامة في العلوم الإنسانية، 2(1)، 1–25. </w:t>
      </w:r>
      <w:hyperlink r:id="rId16" w:history="1">
        <w:r w:rsidRPr="006E471D">
          <w:rPr>
            <w:rStyle w:val="Hyperlink"/>
            <w:rFonts w:ascii="Traditional Arabic" w:hAnsi="Traditional Arabic" w:cs="Traditional Arabic"/>
            <w:lang w:bidi="ar-EG"/>
          </w:rPr>
          <w:t>https://doi.org/10.36602/jsrhs.2025.2.1.1</w:t>
        </w:r>
      </w:hyperlink>
      <w:r w:rsidRPr="006E471D">
        <w:rPr>
          <w:rFonts w:ascii="Traditional Arabic" w:hAnsi="Traditional Arabic" w:cs="Traditional Arabic"/>
          <w:rtl/>
          <w:lang w:bidi="ar-EG"/>
        </w:rPr>
        <w:t xml:space="preserve"> </w:t>
      </w:r>
    </w:p>
    <w:p w14:paraId="0B1420A5"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عبد الله، عبد الله، ووهاب، كمال. (2019). أثر الأنماط المعرفية في تعزيز كفاءة القرار الاستراتيجي: دراسة استطلاعية في مصارف أهلية مختارة. مجلة تكريت للعلوم الإدارية والاقتصادية، 15(48)، 210–231.</w:t>
      </w:r>
    </w:p>
    <w:p w14:paraId="1E351FE4" w14:textId="5551939B"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عبيدات، أرام. (2022). أثر </w:t>
      </w:r>
      <w:r w:rsidR="0099150B" w:rsidRPr="006E471D">
        <w:rPr>
          <w:rFonts w:ascii="Traditional Arabic" w:hAnsi="Traditional Arabic" w:cs="Traditional Arabic"/>
          <w:rtl/>
          <w:lang w:bidi="ar-EG"/>
        </w:rPr>
        <w:t>أنظمة ذكاء الأعمال</w:t>
      </w:r>
      <w:r w:rsidRPr="006E471D">
        <w:rPr>
          <w:rFonts w:ascii="Traditional Arabic" w:hAnsi="Traditional Arabic" w:cs="Traditional Arabic"/>
          <w:rtl/>
          <w:lang w:bidi="ar-EG"/>
        </w:rPr>
        <w:t xml:space="preserve"> على التحسين المستمر في البنوك القطرية [رسالة ماجستير غير منشورة]. جامعة عمان العربية.</w:t>
      </w:r>
    </w:p>
    <w:p w14:paraId="771523A9"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العتوم، روان. (2020). أثر ذكاء الأعمال على إدارة الأزمات في البنوك التجارية الأردنية [رسالة ماجستير غير منشورة]. جامعة الإسراء الخاصة.</w:t>
      </w:r>
    </w:p>
    <w:p w14:paraId="01060AF0" w14:textId="3814D752"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العتيبي، نوف. (2025). أثر </w:t>
      </w:r>
      <w:r w:rsidR="0099150B" w:rsidRPr="006E471D">
        <w:rPr>
          <w:rFonts w:ascii="Traditional Arabic" w:hAnsi="Traditional Arabic" w:cs="Traditional Arabic"/>
          <w:rtl/>
          <w:lang w:bidi="ar-EG"/>
        </w:rPr>
        <w:t>أنظمة ذكاء الأعمال</w:t>
      </w:r>
      <w:r w:rsidRPr="006E471D">
        <w:rPr>
          <w:rFonts w:ascii="Traditional Arabic" w:hAnsi="Traditional Arabic" w:cs="Traditional Arabic"/>
          <w:rtl/>
          <w:lang w:bidi="ar-EG"/>
        </w:rPr>
        <w:t xml:space="preserve"> على أداء العاملين في البنك الأهلي السعودي بمدينة الطائف. المجلة العربية للآداب والدراسات الإنسانية، 1(34)، 469–508.</w:t>
      </w:r>
    </w:p>
    <w:p w14:paraId="5FDE50B5"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الغريب، أيمن فاروق أنور. (2022). دور ذكاء الأعمال بالقطاع الخاص في تعزيز الإبداع التنظيمي: دراسة تطبيقية في قطاع البنوك بمحافظة دمياط. </w:t>
      </w:r>
      <w:r w:rsidRPr="006E471D">
        <w:rPr>
          <w:rFonts w:ascii="Traditional Arabic" w:hAnsi="Traditional Arabic" w:cs="Traditional Arabic"/>
          <w:i/>
          <w:iCs/>
          <w:rtl/>
          <w:lang w:bidi="ar-EG"/>
        </w:rPr>
        <w:t>المجلة العلمية للدراسات التجارية والبيئية، 13</w:t>
      </w:r>
      <w:r w:rsidRPr="006E471D">
        <w:rPr>
          <w:rFonts w:ascii="Traditional Arabic" w:hAnsi="Traditional Arabic" w:cs="Traditional Arabic"/>
          <w:rtl/>
          <w:lang w:bidi="ar-EG"/>
        </w:rPr>
        <w:t xml:space="preserve">(2)، 421–457. </w:t>
      </w:r>
      <w:hyperlink r:id="rId17" w:history="1">
        <w:r w:rsidRPr="006E471D">
          <w:rPr>
            <w:rStyle w:val="Hyperlink"/>
            <w:rFonts w:ascii="Traditional Arabic" w:hAnsi="Traditional Arabic" w:cs="Traditional Arabic"/>
            <w:lang w:bidi="ar-EG"/>
          </w:rPr>
          <w:t>https://doi.org/10.21608/jces.2022.248096</w:t>
        </w:r>
      </w:hyperlink>
      <w:r w:rsidRPr="006E471D">
        <w:rPr>
          <w:rFonts w:ascii="Traditional Arabic" w:hAnsi="Traditional Arabic" w:cs="Traditional Arabic"/>
          <w:rtl/>
          <w:lang w:bidi="ar-EG"/>
        </w:rPr>
        <w:t xml:space="preserve"> </w:t>
      </w:r>
    </w:p>
    <w:p w14:paraId="6ECB2072"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الفار، محمد، ومبارز، أسامة. (2023). إطار مقترح لتحسين اتخاذ القرار في البنوك المصرية باستخدام تقنيات ذكاء الأعمال. المجلة الأكاديمية للعلوم الاجتماعية، 1(2)، 1–17.</w:t>
      </w:r>
    </w:p>
    <w:p w14:paraId="01A8A1EA"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فريد، شريف، وعامر، أحمد. (2021). العلاقة بين أبعاد الذكاء الاستراتيجي واتخاذ القرارات الاستراتيجية الرشيدة في ضوء الخبرة الدولية كمتغير معدل: دراسة تطبيقية على شركات التأمين بجمهورية مصر العربية. المجلة العلمية للدراسات التجارية والبيئية، 12(4)، 65–96.</w:t>
      </w:r>
    </w:p>
    <w:p w14:paraId="3D584215" w14:textId="7F491DEB"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القضاة، ليث أكرم، </w:t>
      </w:r>
      <w:proofErr w:type="spellStart"/>
      <w:r w:rsidRPr="006E471D">
        <w:rPr>
          <w:rFonts w:ascii="Traditional Arabic" w:hAnsi="Traditional Arabic" w:cs="Traditional Arabic"/>
          <w:rtl/>
          <w:lang w:bidi="ar-EG"/>
        </w:rPr>
        <w:t>ملاحيم</w:t>
      </w:r>
      <w:proofErr w:type="spellEnd"/>
      <w:r w:rsidRPr="006E471D">
        <w:rPr>
          <w:rFonts w:ascii="Traditional Arabic" w:hAnsi="Traditional Arabic" w:cs="Traditional Arabic"/>
          <w:rtl/>
          <w:lang w:bidi="ar-EG"/>
        </w:rPr>
        <w:t xml:space="preserve">، ساري سليمان، العطيات، زكريا أحمد، عطية، موسى أحمد، والقضاة، </w:t>
      </w:r>
      <w:proofErr w:type="gramStart"/>
      <w:r w:rsidRPr="006E471D">
        <w:rPr>
          <w:rFonts w:ascii="Traditional Arabic" w:hAnsi="Traditional Arabic" w:cs="Traditional Arabic"/>
          <w:rtl/>
          <w:lang w:bidi="ar-EG"/>
        </w:rPr>
        <w:t>عبدالله</w:t>
      </w:r>
      <w:proofErr w:type="gramEnd"/>
      <w:r w:rsidRPr="006E471D">
        <w:rPr>
          <w:rFonts w:ascii="Traditional Arabic" w:hAnsi="Traditional Arabic" w:cs="Traditional Arabic"/>
          <w:rtl/>
          <w:lang w:bidi="ar-EG"/>
        </w:rPr>
        <w:t xml:space="preserve"> محمد. (2025). أثر </w:t>
      </w:r>
      <w:r w:rsidR="0099150B" w:rsidRPr="006E471D">
        <w:rPr>
          <w:rFonts w:ascii="Traditional Arabic" w:hAnsi="Traditional Arabic" w:cs="Traditional Arabic"/>
          <w:rtl/>
          <w:lang w:bidi="ar-EG"/>
        </w:rPr>
        <w:t>أنظمة ذكاء الأعمال</w:t>
      </w:r>
      <w:r w:rsidRPr="006E471D">
        <w:rPr>
          <w:rFonts w:ascii="Traditional Arabic" w:hAnsi="Traditional Arabic" w:cs="Traditional Arabic"/>
          <w:rtl/>
          <w:lang w:bidi="ar-EG"/>
        </w:rPr>
        <w:t xml:space="preserve"> في الحد من مخاطر نظم المعلومات المحاسبية الإلكترونية: الدور المعدل لنظم تخطيط موارد المنشآت: دراسة ميدانية: شركات الاتصالات وتكنولوجيا المعلومات الأردنية. </w:t>
      </w:r>
      <w:r w:rsidRPr="006E471D">
        <w:rPr>
          <w:rFonts w:ascii="Traditional Arabic" w:hAnsi="Traditional Arabic" w:cs="Traditional Arabic"/>
          <w:i/>
          <w:iCs/>
          <w:rtl/>
          <w:lang w:bidi="ar-EG"/>
        </w:rPr>
        <w:t>المجلة الأردنية في إدارة الأعمال، 21</w:t>
      </w:r>
      <w:r w:rsidRPr="006E471D">
        <w:rPr>
          <w:rFonts w:ascii="Traditional Arabic" w:hAnsi="Traditional Arabic" w:cs="Traditional Arabic"/>
          <w:rtl/>
          <w:lang w:bidi="ar-EG"/>
        </w:rPr>
        <w:t xml:space="preserve">(3)، 317–342. </w:t>
      </w:r>
      <w:hyperlink r:id="rId18" w:history="1">
        <w:r w:rsidRPr="006E471D">
          <w:rPr>
            <w:rStyle w:val="Hyperlink"/>
            <w:rFonts w:ascii="Traditional Arabic" w:hAnsi="Traditional Arabic" w:cs="Traditional Arabic"/>
            <w:lang w:bidi="ar-EG"/>
          </w:rPr>
          <w:t>https://doi.org/10.35516/jjba.v21i3.186</w:t>
        </w:r>
      </w:hyperlink>
      <w:r w:rsidRPr="006E471D">
        <w:rPr>
          <w:rFonts w:ascii="Traditional Arabic" w:hAnsi="Traditional Arabic" w:cs="Traditional Arabic"/>
          <w:rtl/>
          <w:lang w:bidi="ar-EG"/>
        </w:rPr>
        <w:t xml:space="preserve"> </w:t>
      </w:r>
    </w:p>
    <w:p w14:paraId="7DEC02AF"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محمود، سارة محمود </w:t>
      </w:r>
      <w:proofErr w:type="gramStart"/>
      <w:r w:rsidRPr="006E471D">
        <w:rPr>
          <w:rFonts w:ascii="Traditional Arabic" w:hAnsi="Traditional Arabic" w:cs="Traditional Arabic"/>
          <w:rtl/>
          <w:lang w:bidi="ar-EG"/>
        </w:rPr>
        <w:t>عبدالعزيز</w:t>
      </w:r>
      <w:proofErr w:type="gramEnd"/>
      <w:r w:rsidRPr="006E471D">
        <w:rPr>
          <w:rFonts w:ascii="Traditional Arabic" w:hAnsi="Traditional Arabic" w:cs="Traditional Arabic"/>
          <w:rtl/>
          <w:lang w:bidi="ar-EG"/>
        </w:rPr>
        <w:t xml:space="preserve">. (2022). دور الموبايل البنكي في تعزيز مستوى ثقة العملاء في الخدمات البنكية الإلكترونية. المجلة العربية لبحوث الإعلام والاتصال، </w:t>
      </w:r>
      <w:proofErr w:type="gramStart"/>
      <w:r w:rsidRPr="006E471D">
        <w:rPr>
          <w:rFonts w:ascii="Traditional Arabic" w:hAnsi="Traditional Arabic" w:cs="Traditional Arabic"/>
          <w:rtl/>
          <w:lang w:bidi="ar-EG"/>
        </w:rPr>
        <w:t>ع(</w:t>
      </w:r>
      <w:proofErr w:type="gramEnd"/>
      <w:r w:rsidRPr="006E471D">
        <w:rPr>
          <w:rFonts w:ascii="Traditional Arabic" w:hAnsi="Traditional Arabic" w:cs="Traditional Arabic"/>
          <w:rtl/>
          <w:lang w:bidi="ar-EG"/>
        </w:rPr>
        <w:t xml:space="preserve">37)، 322–389. </w:t>
      </w:r>
      <w:hyperlink r:id="rId19" w:history="1">
        <w:r w:rsidRPr="006E471D">
          <w:rPr>
            <w:rStyle w:val="Hyperlink"/>
            <w:rFonts w:ascii="Traditional Arabic" w:hAnsi="Traditional Arabic" w:cs="Traditional Arabic"/>
            <w:lang w:bidi="ar-EG"/>
          </w:rPr>
          <w:t>https://doi.org/10.21608/jkom.2022.253091</w:t>
        </w:r>
      </w:hyperlink>
      <w:r w:rsidRPr="006E471D">
        <w:rPr>
          <w:rFonts w:ascii="Traditional Arabic" w:hAnsi="Traditional Arabic" w:cs="Traditional Arabic"/>
          <w:rtl/>
          <w:lang w:bidi="ar-EG"/>
        </w:rPr>
        <w:t xml:space="preserve"> </w:t>
      </w:r>
    </w:p>
    <w:p w14:paraId="622FDDD2"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t xml:space="preserve">مشايخ، طلحة عبد الفتاح، </w:t>
      </w:r>
      <w:proofErr w:type="spellStart"/>
      <w:r w:rsidRPr="006E471D">
        <w:rPr>
          <w:rFonts w:ascii="Traditional Arabic" w:hAnsi="Traditional Arabic" w:cs="Traditional Arabic"/>
          <w:rtl/>
          <w:lang w:bidi="ar-EG"/>
        </w:rPr>
        <w:t>العيدروس</w:t>
      </w:r>
      <w:proofErr w:type="spellEnd"/>
      <w:r w:rsidRPr="006E471D">
        <w:rPr>
          <w:rFonts w:ascii="Traditional Arabic" w:hAnsi="Traditional Arabic" w:cs="Traditional Arabic"/>
          <w:rtl/>
          <w:lang w:bidi="ar-EG"/>
        </w:rPr>
        <w:t xml:space="preserve">، هاشم محمد، </w:t>
      </w:r>
      <w:proofErr w:type="spellStart"/>
      <w:r w:rsidRPr="006E471D">
        <w:rPr>
          <w:rFonts w:ascii="Traditional Arabic" w:hAnsi="Traditional Arabic" w:cs="Traditional Arabic"/>
          <w:rtl/>
          <w:lang w:bidi="ar-EG"/>
        </w:rPr>
        <w:t>وخوج</w:t>
      </w:r>
      <w:proofErr w:type="spellEnd"/>
      <w:r w:rsidRPr="006E471D">
        <w:rPr>
          <w:rFonts w:ascii="Traditional Arabic" w:hAnsi="Traditional Arabic" w:cs="Traditional Arabic"/>
          <w:rtl/>
          <w:lang w:bidi="ar-EG"/>
        </w:rPr>
        <w:t xml:space="preserve">، هيثم ذاكر. (2023). العوامل الرئيسية في نجاح أنظمة ذكاء الأعمال في المنظمات. </w:t>
      </w:r>
      <w:r w:rsidRPr="006E471D">
        <w:rPr>
          <w:rFonts w:ascii="Traditional Arabic" w:hAnsi="Traditional Arabic" w:cs="Traditional Arabic"/>
          <w:i/>
          <w:iCs/>
          <w:rtl/>
          <w:lang w:bidi="ar-EG"/>
        </w:rPr>
        <w:t>مجلة العلوم الاقتصادية والإدارية والقانونية، 7</w:t>
      </w:r>
      <w:r w:rsidRPr="006E471D">
        <w:rPr>
          <w:rFonts w:ascii="Traditional Arabic" w:hAnsi="Traditional Arabic" w:cs="Traditional Arabic"/>
          <w:rtl/>
          <w:lang w:bidi="ar-EG"/>
        </w:rPr>
        <w:t xml:space="preserve">(6)، 134–157. </w:t>
      </w:r>
      <w:hyperlink r:id="rId20" w:history="1">
        <w:r w:rsidRPr="006E471D">
          <w:rPr>
            <w:rStyle w:val="Hyperlink"/>
            <w:rFonts w:ascii="Traditional Arabic" w:hAnsi="Traditional Arabic" w:cs="Traditional Arabic"/>
            <w:lang w:bidi="ar-EG"/>
          </w:rPr>
          <w:t>https://doi.org/10.26389/AJSRP.H111222</w:t>
        </w:r>
      </w:hyperlink>
    </w:p>
    <w:p w14:paraId="625C6CE5" w14:textId="77777777" w:rsidR="00BA7973" w:rsidRPr="006E471D" w:rsidRDefault="00BA7973" w:rsidP="00BA7973">
      <w:pPr>
        <w:ind w:left="1196" w:hanging="1196"/>
        <w:jc w:val="both"/>
        <w:rPr>
          <w:rFonts w:ascii="Traditional Arabic" w:hAnsi="Traditional Arabic" w:cs="Traditional Arabic"/>
          <w:rtl/>
          <w:lang w:bidi="ar-EG"/>
        </w:rPr>
      </w:pPr>
      <w:r w:rsidRPr="006E471D">
        <w:rPr>
          <w:rFonts w:ascii="Traditional Arabic" w:hAnsi="Traditional Arabic" w:cs="Traditional Arabic"/>
          <w:rtl/>
          <w:lang w:bidi="ar-EG"/>
        </w:rPr>
        <w:lastRenderedPageBreak/>
        <w:t xml:space="preserve">الوكيل، إيمان محمد أحمد. (2021). أثر الابتكار المؤسسي على بناء الصورة الذهنية للمؤسسات العامة: دراسة حالة بنك مصر. مجلة كلية الاقتصاد والعلوم السياسية، 22(2)، 215–246. </w:t>
      </w:r>
      <w:hyperlink r:id="rId21" w:history="1">
        <w:r w:rsidRPr="006E471D">
          <w:rPr>
            <w:rStyle w:val="Hyperlink"/>
            <w:rFonts w:ascii="Traditional Arabic" w:hAnsi="Traditional Arabic" w:cs="Traditional Arabic"/>
            <w:lang w:bidi="ar-EG"/>
          </w:rPr>
          <w:t>https://doi.org/10.21608/jpsa.2021.190043</w:t>
        </w:r>
      </w:hyperlink>
    </w:p>
    <w:p w14:paraId="0ECA7EDC" w14:textId="77777777" w:rsidR="00BA7973" w:rsidRPr="006E471D" w:rsidRDefault="00BA7973" w:rsidP="00BA7973">
      <w:pPr>
        <w:ind w:left="1196" w:hanging="1196"/>
        <w:jc w:val="both"/>
        <w:rPr>
          <w:rFonts w:ascii="Traditional Arabic" w:hAnsi="Traditional Arabic" w:cs="Traditional Arabic"/>
          <w:rtl/>
          <w:lang w:bidi="ar-EG"/>
        </w:rPr>
      </w:pPr>
    </w:p>
    <w:p w14:paraId="17799C09" w14:textId="5E1FFEDA" w:rsidR="00941C1F" w:rsidRPr="006E471D" w:rsidRDefault="00BA7973" w:rsidP="00E50BA3">
      <w:pPr>
        <w:spacing w:line="240" w:lineRule="auto"/>
        <w:jc w:val="both"/>
        <w:rPr>
          <w:rFonts w:ascii="Traditional Arabic" w:hAnsi="Traditional Arabic" w:cs="Traditional Arabic"/>
          <w:b/>
          <w:bCs/>
          <w:sz w:val="28"/>
          <w:szCs w:val="28"/>
          <w:rtl/>
          <w:lang w:bidi="ar-EG"/>
        </w:rPr>
      </w:pPr>
      <w:r w:rsidRPr="006E471D">
        <w:rPr>
          <w:rFonts w:ascii="Traditional Arabic" w:hAnsi="Traditional Arabic" w:cs="Traditional Arabic"/>
          <w:b/>
          <w:bCs/>
          <w:sz w:val="28"/>
          <w:szCs w:val="28"/>
          <w:rtl/>
          <w:lang w:bidi="ar-EG"/>
        </w:rPr>
        <w:t>المراجع الأجنبية</w:t>
      </w:r>
    </w:p>
    <w:p w14:paraId="2F1950F3"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Abdelfattah, D., &amp; </w:t>
      </w:r>
      <w:proofErr w:type="spellStart"/>
      <w:r w:rsidRPr="006E471D">
        <w:rPr>
          <w:rFonts w:ascii="Traditional Arabic" w:hAnsi="Traditional Arabic" w:cs="Traditional Arabic"/>
        </w:rPr>
        <w:t>Nasreldin</w:t>
      </w:r>
      <w:proofErr w:type="spellEnd"/>
      <w:r w:rsidRPr="006E471D">
        <w:rPr>
          <w:rFonts w:ascii="Traditional Arabic" w:hAnsi="Traditional Arabic" w:cs="Traditional Arabic"/>
        </w:rPr>
        <w:t xml:space="preserve">, R. (2025). Towards inclusive public open space in CBD case study of King Abdallah financial district. </w:t>
      </w:r>
      <w:r w:rsidRPr="006E471D">
        <w:rPr>
          <w:rFonts w:ascii="Traditional Arabic" w:hAnsi="Traditional Arabic" w:cs="Traditional Arabic"/>
          <w:i/>
          <w:iCs/>
        </w:rPr>
        <w:t>Journal of Urban Management</w:t>
      </w:r>
      <w:r w:rsidRPr="006E471D">
        <w:rPr>
          <w:rFonts w:ascii="Traditional Arabic" w:hAnsi="Traditional Arabic" w:cs="Traditional Arabic"/>
        </w:rPr>
        <w:t xml:space="preserve">. </w:t>
      </w:r>
      <w:hyperlink r:id="rId22" w:tgtFrame="_new" w:history="1">
        <w:r w:rsidRPr="006E471D">
          <w:rPr>
            <w:rStyle w:val="Hyperlink"/>
            <w:rFonts w:ascii="Traditional Arabic" w:hAnsi="Traditional Arabic" w:cs="Traditional Arabic"/>
          </w:rPr>
          <w:t>https://doi.org/10.1016/j.jum.2025.06.007</w:t>
        </w:r>
      </w:hyperlink>
    </w:p>
    <w:p w14:paraId="79434AD2"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Abdurrahman, A. (2025). Examining the impact of digital transformation on digital product innovation performance in banking industry through the integration of resource-based view and dynamic capabilities. </w:t>
      </w:r>
      <w:r w:rsidRPr="006E471D">
        <w:rPr>
          <w:rFonts w:ascii="Traditional Arabic" w:hAnsi="Traditional Arabic" w:cs="Traditional Arabic"/>
          <w:i/>
          <w:iCs/>
        </w:rPr>
        <w:t>Journal of Strategy &amp; Innovation, 36</w:t>
      </w:r>
      <w:r w:rsidRPr="006E471D">
        <w:rPr>
          <w:rFonts w:ascii="Traditional Arabic" w:hAnsi="Traditional Arabic" w:cs="Traditional Arabic"/>
        </w:rPr>
        <w:t xml:space="preserve">(1), 200540. </w:t>
      </w:r>
      <w:hyperlink r:id="rId23" w:history="1">
        <w:r w:rsidRPr="006E471D">
          <w:rPr>
            <w:rStyle w:val="Hyperlink"/>
            <w:rFonts w:ascii="Traditional Arabic" w:hAnsi="Traditional Arabic" w:cs="Traditional Arabic"/>
          </w:rPr>
          <w:t>https://doi.org/10.1016/j.jsinno.2025.200540</w:t>
        </w:r>
      </w:hyperlink>
      <w:r w:rsidRPr="006E471D">
        <w:rPr>
          <w:rFonts w:ascii="Traditional Arabic" w:hAnsi="Traditional Arabic" w:cs="Traditional Arabic"/>
        </w:rPr>
        <w:t xml:space="preserve"> </w:t>
      </w:r>
    </w:p>
    <w:p w14:paraId="259A649C"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Abdurrahman, A., </w:t>
      </w:r>
      <w:proofErr w:type="spellStart"/>
      <w:r w:rsidRPr="006E471D">
        <w:rPr>
          <w:rFonts w:ascii="Traditional Arabic" w:hAnsi="Traditional Arabic" w:cs="Traditional Arabic"/>
        </w:rPr>
        <w:t>Gustomo</w:t>
      </w:r>
      <w:proofErr w:type="spellEnd"/>
      <w:r w:rsidRPr="006E471D">
        <w:rPr>
          <w:rFonts w:ascii="Traditional Arabic" w:hAnsi="Traditional Arabic" w:cs="Traditional Arabic"/>
        </w:rPr>
        <w:t xml:space="preserve">, A., &amp; </w:t>
      </w:r>
      <w:proofErr w:type="spellStart"/>
      <w:r w:rsidRPr="006E471D">
        <w:rPr>
          <w:rFonts w:ascii="Traditional Arabic" w:hAnsi="Traditional Arabic" w:cs="Traditional Arabic"/>
        </w:rPr>
        <w:t>Prasetio</w:t>
      </w:r>
      <w:proofErr w:type="spellEnd"/>
      <w:r w:rsidRPr="006E471D">
        <w:rPr>
          <w:rFonts w:ascii="Traditional Arabic" w:hAnsi="Traditional Arabic" w:cs="Traditional Arabic"/>
        </w:rPr>
        <w:t xml:space="preserve">, E. A. (2024). Impact of dynamic capabilities on digital transformation and innovation to improve banking performance: A TOE framework study. </w:t>
      </w:r>
      <w:r w:rsidRPr="006E471D">
        <w:rPr>
          <w:rFonts w:ascii="Traditional Arabic" w:hAnsi="Traditional Arabic" w:cs="Traditional Arabic"/>
          <w:i/>
          <w:iCs/>
        </w:rPr>
        <w:t>Journal of Open Innovation: Technology, Market, and Complexity, 10</w:t>
      </w:r>
      <w:r w:rsidRPr="006E471D">
        <w:rPr>
          <w:rFonts w:ascii="Traditional Arabic" w:hAnsi="Traditional Arabic" w:cs="Traditional Arabic"/>
        </w:rPr>
        <w:t xml:space="preserve">(1), 100215. </w:t>
      </w:r>
      <w:hyperlink r:id="rId24" w:history="1">
        <w:r w:rsidRPr="006E471D">
          <w:rPr>
            <w:rStyle w:val="Hyperlink"/>
            <w:rFonts w:ascii="Traditional Arabic" w:hAnsi="Traditional Arabic" w:cs="Traditional Arabic"/>
          </w:rPr>
          <w:t>https://doi.org/10.1016/j.joitmc.2024.100215</w:t>
        </w:r>
      </w:hyperlink>
      <w:r w:rsidRPr="006E471D">
        <w:rPr>
          <w:rFonts w:ascii="Traditional Arabic" w:hAnsi="Traditional Arabic" w:cs="Traditional Arabic"/>
        </w:rPr>
        <w:t xml:space="preserve"> </w:t>
      </w:r>
    </w:p>
    <w:p w14:paraId="2F127423"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Abu-</w:t>
      </w:r>
      <w:proofErr w:type="spellStart"/>
      <w:r w:rsidRPr="006E471D">
        <w:rPr>
          <w:rFonts w:ascii="Traditional Arabic" w:hAnsi="Traditional Arabic" w:cs="Traditional Arabic"/>
        </w:rPr>
        <w:t>AlSondos</w:t>
      </w:r>
      <w:proofErr w:type="spellEnd"/>
      <w:r w:rsidRPr="006E471D">
        <w:rPr>
          <w:rFonts w:ascii="Traditional Arabic" w:hAnsi="Traditional Arabic" w:cs="Traditional Arabic"/>
        </w:rPr>
        <w:t xml:space="preserve">, I. A. (2023). The impact of business intelligence system (BIS) on quality of strategic decision-making. </w:t>
      </w:r>
      <w:r w:rsidRPr="006E471D">
        <w:rPr>
          <w:rFonts w:ascii="Traditional Arabic" w:hAnsi="Traditional Arabic" w:cs="Traditional Arabic"/>
          <w:i/>
          <w:iCs/>
        </w:rPr>
        <w:t>International Journal of Data and Network Science</w:t>
      </w:r>
      <w:r w:rsidRPr="006E471D">
        <w:rPr>
          <w:rFonts w:ascii="Traditional Arabic" w:hAnsi="Traditional Arabic" w:cs="Traditional Arabic"/>
        </w:rPr>
        <w:t xml:space="preserve">, 7(4), 1901–1912. </w:t>
      </w:r>
      <w:hyperlink r:id="rId25" w:tgtFrame="_new" w:history="1">
        <w:r w:rsidRPr="006E471D">
          <w:rPr>
            <w:rStyle w:val="Hyperlink"/>
            <w:rFonts w:ascii="Traditional Arabic" w:hAnsi="Traditional Arabic" w:cs="Traditional Arabic"/>
          </w:rPr>
          <w:t>https://doi.org/10.5267/j.ijdns.2023.7.003</w:t>
        </w:r>
      </w:hyperlink>
      <w:r w:rsidRPr="006E471D">
        <w:rPr>
          <w:rFonts w:ascii="Traditional Arabic" w:hAnsi="Traditional Arabic" w:cs="Traditional Arabic"/>
        </w:rPr>
        <w:t xml:space="preserve"> </w:t>
      </w:r>
    </w:p>
    <w:p w14:paraId="71FE36C8"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Al-</w:t>
      </w:r>
      <w:proofErr w:type="spellStart"/>
      <w:r w:rsidRPr="006E471D">
        <w:rPr>
          <w:rFonts w:ascii="Traditional Arabic" w:hAnsi="Traditional Arabic" w:cs="Traditional Arabic"/>
        </w:rPr>
        <w:t>Daraba</w:t>
      </w:r>
      <w:proofErr w:type="spellEnd"/>
      <w:r w:rsidRPr="006E471D">
        <w:rPr>
          <w:rFonts w:ascii="Traditional Arabic" w:hAnsi="Traditional Arabic" w:cs="Traditional Arabic"/>
        </w:rPr>
        <w:t xml:space="preserve">, K., Al-Shami, S. A., Rashid, N., &amp; Qureshi, M. I. (2025). Systematic review of factors influencing adoption of business intelligence systems. </w:t>
      </w:r>
      <w:r w:rsidRPr="006E471D">
        <w:rPr>
          <w:rFonts w:ascii="Traditional Arabic" w:hAnsi="Traditional Arabic" w:cs="Traditional Arabic"/>
          <w:i/>
          <w:iCs/>
        </w:rPr>
        <w:t>Discover Sustainability</w:t>
      </w:r>
      <w:r w:rsidRPr="006E471D">
        <w:rPr>
          <w:rFonts w:ascii="Traditional Arabic" w:hAnsi="Traditional Arabic" w:cs="Traditional Arabic"/>
        </w:rPr>
        <w:t xml:space="preserve">, 6, 936. </w:t>
      </w:r>
      <w:hyperlink r:id="rId26" w:history="1">
        <w:r w:rsidRPr="006E471D">
          <w:rPr>
            <w:rStyle w:val="Hyperlink"/>
            <w:rFonts w:ascii="Traditional Arabic" w:hAnsi="Traditional Arabic" w:cs="Traditional Arabic"/>
          </w:rPr>
          <w:t>https://doi.org/10.1007/s43621-025-01876-5</w:t>
        </w:r>
      </w:hyperlink>
      <w:r w:rsidRPr="006E471D">
        <w:rPr>
          <w:rFonts w:ascii="Traditional Arabic" w:hAnsi="Traditional Arabic" w:cs="Traditional Arabic"/>
        </w:rPr>
        <w:t xml:space="preserve"> </w:t>
      </w:r>
    </w:p>
    <w:p w14:paraId="40888F37"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t>Alduais</w:t>
      </w:r>
      <w:proofErr w:type="spellEnd"/>
      <w:r w:rsidRPr="006E471D">
        <w:rPr>
          <w:rFonts w:ascii="Traditional Arabic" w:hAnsi="Traditional Arabic" w:cs="Traditional Arabic"/>
        </w:rPr>
        <w:t xml:space="preserve">, F., </w:t>
      </w:r>
      <w:proofErr w:type="spellStart"/>
      <w:r w:rsidRPr="006E471D">
        <w:rPr>
          <w:rFonts w:ascii="Traditional Arabic" w:hAnsi="Traditional Arabic" w:cs="Traditional Arabic"/>
        </w:rPr>
        <w:t>Raoush</w:t>
      </w:r>
      <w:proofErr w:type="spellEnd"/>
      <w:r w:rsidRPr="006E471D">
        <w:rPr>
          <w:rFonts w:ascii="Traditional Arabic" w:hAnsi="Traditional Arabic" w:cs="Traditional Arabic"/>
        </w:rPr>
        <w:t xml:space="preserve">, A., Samara, A., &amp; </w:t>
      </w:r>
      <w:proofErr w:type="spellStart"/>
      <w:r w:rsidRPr="006E471D">
        <w:rPr>
          <w:rFonts w:ascii="Traditional Arabic" w:hAnsi="Traditional Arabic" w:cs="Traditional Arabic"/>
        </w:rPr>
        <w:t>Sartawi</w:t>
      </w:r>
      <w:proofErr w:type="spellEnd"/>
      <w:r w:rsidRPr="006E471D">
        <w:rPr>
          <w:rFonts w:ascii="Traditional Arabic" w:hAnsi="Traditional Arabic" w:cs="Traditional Arabic"/>
        </w:rPr>
        <w:t xml:space="preserve">, K. (2023). The impact of information sharing on the quality of decision-making: From the point of view of employees in Jordanian private hospitals. </w:t>
      </w:r>
      <w:r w:rsidRPr="006E471D">
        <w:rPr>
          <w:rFonts w:ascii="Traditional Arabic" w:hAnsi="Traditional Arabic" w:cs="Traditional Arabic"/>
          <w:i/>
          <w:iCs/>
        </w:rPr>
        <w:t>Cogent Business &amp; Management</w:t>
      </w:r>
      <w:r w:rsidRPr="006E471D">
        <w:rPr>
          <w:rFonts w:ascii="Traditional Arabic" w:hAnsi="Traditional Arabic" w:cs="Traditional Arabic"/>
        </w:rPr>
        <w:t xml:space="preserve">, 10(1), 2195028. </w:t>
      </w:r>
      <w:hyperlink r:id="rId27" w:tgtFrame="_new" w:history="1">
        <w:r w:rsidRPr="006E471D">
          <w:rPr>
            <w:rStyle w:val="Hyperlink"/>
            <w:rFonts w:ascii="Traditional Arabic" w:hAnsi="Traditional Arabic" w:cs="Traditional Arabic"/>
          </w:rPr>
          <w:t>https://doi.org/10.1080/23311975.2023.2195028</w:t>
        </w:r>
      </w:hyperlink>
      <w:r w:rsidRPr="006E471D">
        <w:rPr>
          <w:rFonts w:ascii="Traditional Arabic" w:hAnsi="Traditional Arabic" w:cs="Traditional Arabic"/>
        </w:rPr>
        <w:t xml:space="preserve"> </w:t>
      </w:r>
    </w:p>
    <w:p w14:paraId="51EB14DC"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Al-Hashimi, K., Weerakkody, V., Elbanna, S., &amp; Schwarz, G. (2022). Strategic decision-making and implementation in public organizations in the Gulf Cooperation Council: The role of procedural rationality. </w:t>
      </w:r>
      <w:r w:rsidRPr="006E471D">
        <w:rPr>
          <w:rFonts w:ascii="Traditional Arabic" w:hAnsi="Traditional Arabic" w:cs="Traditional Arabic"/>
          <w:i/>
          <w:iCs/>
        </w:rPr>
        <w:t>Public Administration Review</w:t>
      </w:r>
      <w:r w:rsidRPr="006E471D">
        <w:rPr>
          <w:rFonts w:ascii="Traditional Arabic" w:hAnsi="Traditional Arabic" w:cs="Traditional Arabic"/>
        </w:rPr>
        <w:t xml:space="preserve">, 82(5), 905–919. </w:t>
      </w:r>
      <w:hyperlink r:id="rId28" w:history="1">
        <w:r w:rsidRPr="006E471D">
          <w:rPr>
            <w:rStyle w:val="Hyperlink"/>
            <w:rFonts w:ascii="Traditional Arabic" w:hAnsi="Traditional Arabic" w:cs="Traditional Arabic"/>
          </w:rPr>
          <w:t>https://doi.org/10.1111/puar.13447</w:t>
        </w:r>
      </w:hyperlink>
      <w:r w:rsidRPr="006E471D">
        <w:rPr>
          <w:rFonts w:ascii="Traditional Arabic" w:hAnsi="Traditional Arabic" w:cs="Traditional Arabic"/>
        </w:rPr>
        <w:t xml:space="preserve"> </w:t>
      </w:r>
    </w:p>
    <w:p w14:paraId="428C1AA2"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t>Almaiah</w:t>
      </w:r>
      <w:proofErr w:type="spellEnd"/>
      <w:r w:rsidRPr="006E471D">
        <w:rPr>
          <w:rFonts w:ascii="Traditional Arabic" w:hAnsi="Traditional Arabic" w:cs="Traditional Arabic"/>
        </w:rPr>
        <w:t xml:space="preserve">, M. A., Al-Rahmi, A., </w:t>
      </w:r>
      <w:proofErr w:type="spellStart"/>
      <w:r w:rsidRPr="006E471D">
        <w:rPr>
          <w:rFonts w:ascii="Traditional Arabic" w:hAnsi="Traditional Arabic" w:cs="Traditional Arabic"/>
        </w:rPr>
        <w:t>Alturise</w:t>
      </w:r>
      <w:proofErr w:type="spellEnd"/>
      <w:r w:rsidRPr="006E471D">
        <w:rPr>
          <w:rFonts w:ascii="Traditional Arabic" w:hAnsi="Traditional Arabic" w:cs="Traditional Arabic"/>
        </w:rPr>
        <w:t xml:space="preserve">, F., Hassan, L., Lutfi, A., </w:t>
      </w:r>
      <w:proofErr w:type="spellStart"/>
      <w:r w:rsidRPr="006E471D">
        <w:rPr>
          <w:rFonts w:ascii="Traditional Arabic" w:hAnsi="Traditional Arabic" w:cs="Traditional Arabic"/>
        </w:rPr>
        <w:t>Alrawad</w:t>
      </w:r>
      <w:proofErr w:type="spellEnd"/>
      <w:r w:rsidRPr="006E471D">
        <w:rPr>
          <w:rFonts w:ascii="Traditional Arabic" w:hAnsi="Traditional Arabic" w:cs="Traditional Arabic"/>
        </w:rPr>
        <w:t xml:space="preserve">, M., et al. (2022). Investigating the effect of perceived security, perceived trust, and information quality on mobile payment usage through near-field communication (NFC) in Saudi Arabia. </w:t>
      </w:r>
      <w:r w:rsidRPr="006E471D">
        <w:rPr>
          <w:rFonts w:ascii="Traditional Arabic" w:hAnsi="Traditional Arabic" w:cs="Traditional Arabic"/>
          <w:i/>
          <w:iCs/>
        </w:rPr>
        <w:t>Electronics</w:t>
      </w:r>
      <w:r w:rsidRPr="006E471D">
        <w:rPr>
          <w:rFonts w:ascii="Traditional Arabic" w:hAnsi="Traditional Arabic" w:cs="Traditional Arabic"/>
        </w:rPr>
        <w:t xml:space="preserve">, 11(23), 3926. </w:t>
      </w:r>
      <w:hyperlink r:id="rId29" w:tgtFrame="_new" w:history="1">
        <w:r w:rsidRPr="006E471D">
          <w:rPr>
            <w:rStyle w:val="Hyperlink"/>
            <w:rFonts w:ascii="Traditional Arabic" w:hAnsi="Traditional Arabic" w:cs="Traditional Arabic"/>
          </w:rPr>
          <w:t>https://doi.org/10.3390/electronics11233926</w:t>
        </w:r>
      </w:hyperlink>
    </w:p>
    <w:p w14:paraId="13E6831C"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lastRenderedPageBreak/>
        <w:t>Alnemer</w:t>
      </w:r>
      <w:proofErr w:type="spellEnd"/>
      <w:r w:rsidRPr="006E471D">
        <w:rPr>
          <w:rFonts w:ascii="Traditional Arabic" w:hAnsi="Traditional Arabic" w:cs="Traditional Arabic"/>
        </w:rPr>
        <w:t xml:space="preserve">, H. A. (2022). Determinants of digital banking adoption in the Kingdom of Saudi Arabia: A technology acceptance model approach. </w:t>
      </w:r>
      <w:r w:rsidRPr="006E471D">
        <w:rPr>
          <w:rFonts w:ascii="Traditional Arabic" w:hAnsi="Traditional Arabic" w:cs="Traditional Arabic"/>
          <w:i/>
          <w:iCs/>
        </w:rPr>
        <w:t>Digital Business, 2</w:t>
      </w:r>
      <w:r w:rsidRPr="006E471D">
        <w:rPr>
          <w:rFonts w:ascii="Traditional Arabic" w:hAnsi="Traditional Arabic" w:cs="Traditional Arabic"/>
        </w:rPr>
        <w:t xml:space="preserve">(2), 100037. </w:t>
      </w:r>
      <w:hyperlink r:id="rId30" w:tgtFrame="_new" w:history="1">
        <w:r w:rsidRPr="006E471D">
          <w:rPr>
            <w:rStyle w:val="Hyperlink"/>
            <w:rFonts w:ascii="Traditional Arabic" w:hAnsi="Traditional Arabic" w:cs="Traditional Arabic"/>
          </w:rPr>
          <w:t>https://doi.org/10.1016/j.digbus.2022.100037</w:t>
        </w:r>
      </w:hyperlink>
      <w:r w:rsidRPr="006E471D">
        <w:rPr>
          <w:rFonts w:ascii="Traditional Arabic" w:hAnsi="Traditional Arabic" w:cs="Traditional Arabic"/>
        </w:rPr>
        <w:t xml:space="preserve"> </w:t>
      </w:r>
    </w:p>
    <w:p w14:paraId="0D407CE0"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t>Alrsheedi</w:t>
      </w:r>
      <w:proofErr w:type="spellEnd"/>
      <w:r w:rsidRPr="006E471D">
        <w:rPr>
          <w:rFonts w:ascii="Traditional Arabic" w:hAnsi="Traditional Arabic" w:cs="Traditional Arabic"/>
        </w:rPr>
        <w:t xml:space="preserve">, A., et al. (2025). Key factors influencing fintech adoption among Saudi banks: A conceptual framework. </w:t>
      </w:r>
      <w:r w:rsidRPr="006E471D">
        <w:rPr>
          <w:rFonts w:ascii="Traditional Arabic" w:hAnsi="Traditional Arabic" w:cs="Traditional Arabic"/>
          <w:i/>
          <w:iCs/>
        </w:rPr>
        <w:t>Humanities and Social Sciences Communications</w:t>
      </w:r>
      <w:r w:rsidRPr="006E471D">
        <w:rPr>
          <w:rFonts w:ascii="Traditional Arabic" w:hAnsi="Traditional Arabic" w:cs="Traditional Arabic"/>
        </w:rPr>
        <w:t>, 12, 1194. https://doi.org/10.1057/s41599-025-05532-1</w:t>
      </w:r>
    </w:p>
    <w:p w14:paraId="7E035D96"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Bernardo, B. M. V., São Mamede, H., Barroso, J. M. P., &amp; dos Santos, V. M. P. D. (2024). Data governance &amp; quality management—Innovation and breakthroughs across different fields. </w:t>
      </w:r>
      <w:r w:rsidRPr="006E471D">
        <w:rPr>
          <w:rFonts w:ascii="Traditional Arabic" w:hAnsi="Traditional Arabic" w:cs="Traditional Arabic"/>
          <w:i/>
          <w:iCs/>
        </w:rPr>
        <w:t>Journal of Innovation &amp; Knowledge</w:t>
      </w:r>
      <w:r w:rsidRPr="006E471D">
        <w:rPr>
          <w:rFonts w:ascii="Traditional Arabic" w:hAnsi="Traditional Arabic" w:cs="Traditional Arabic"/>
        </w:rPr>
        <w:t xml:space="preserve">, 9(4), 100598. </w:t>
      </w:r>
      <w:hyperlink r:id="rId31" w:tgtFrame="_new" w:history="1">
        <w:r w:rsidRPr="006E471D">
          <w:rPr>
            <w:rStyle w:val="Hyperlink"/>
            <w:rFonts w:ascii="Traditional Arabic" w:hAnsi="Traditional Arabic" w:cs="Traditional Arabic"/>
          </w:rPr>
          <w:t>https://doi.org/10.1016/j.jik.2024.100598</w:t>
        </w:r>
      </w:hyperlink>
      <w:r w:rsidRPr="006E471D">
        <w:rPr>
          <w:rFonts w:ascii="Traditional Arabic" w:hAnsi="Traditional Arabic" w:cs="Traditional Arabic"/>
        </w:rPr>
        <w:t xml:space="preserve"> </w:t>
      </w:r>
    </w:p>
    <w:p w14:paraId="622A36E1"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Chatterjee, S., Chaudhuri, R., &amp; </w:t>
      </w:r>
      <w:proofErr w:type="spellStart"/>
      <w:r w:rsidRPr="006E471D">
        <w:rPr>
          <w:rFonts w:ascii="Traditional Arabic" w:hAnsi="Traditional Arabic" w:cs="Traditional Arabic"/>
        </w:rPr>
        <w:t>Vrontis</w:t>
      </w:r>
      <w:proofErr w:type="spellEnd"/>
      <w:r w:rsidRPr="006E471D">
        <w:rPr>
          <w:rFonts w:ascii="Traditional Arabic" w:hAnsi="Traditional Arabic" w:cs="Traditional Arabic"/>
        </w:rPr>
        <w:t xml:space="preserve">, D. (2021). Does data-driven culture impact innovation and performance of a firm? An empirical examination. </w:t>
      </w:r>
      <w:r w:rsidRPr="006E471D">
        <w:rPr>
          <w:rFonts w:ascii="Traditional Arabic" w:hAnsi="Traditional Arabic" w:cs="Traditional Arabic"/>
          <w:i/>
          <w:iCs/>
        </w:rPr>
        <w:t>Annals of Operations Research</w:t>
      </w:r>
      <w:r w:rsidRPr="006E471D">
        <w:rPr>
          <w:rFonts w:ascii="Traditional Arabic" w:hAnsi="Traditional Arabic" w:cs="Traditional Arabic"/>
        </w:rPr>
        <w:t xml:space="preserve">, 333, 601–626. </w:t>
      </w:r>
      <w:hyperlink r:id="rId32" w:history="1">
        <w:r w:rsidRPr="006E471D">
          <w:rPr>
            <w:rStyle w:val="Hyperlink"/>
            <w:rFonts w:ascii="Traditional Arabic" w:hAnsi="Traditional Arabic" w:cs="Traditional Arabic"/>
          </w:rPr>
          <w:t>https://doi.org/10.1007/s10479-020-03887-z</w:t>
        </w:r>
      </w:hyperlink>
      <w:r w:rsidRPr="006E471D">
        <w:rPr>
          <w:rFonts w:ascii="Traditional Arabic" w:hAnsi="Traditional Arabic" w:cs="Traditional Arabic"/>
        </w:rPr>
        <w:t xml:space="preserve"> </w:t>
      </w:r>
    </w:p>
    <w:p w14:paraId="08884B74"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Chen, A. N., Thomas, J. Y., McMurtrey, M. E., &amp; Ellis, M. E. (2022). E-Payment adoption in Saudi Arabia. </w:t>
      </w:r>
      <w:r w:rsidRPr="006E471D">
        <w:rPr>
          <w:rFonts w:ascii="Traditional Arabic" w:hAnsi="Traditional Arabic" w:cs="Traditional Arabic"/>
          <w:i/>
          <w:iCs/>
        </w:rPr>
        <w:t>Journal of International Technology and Information Management</w:t>
      </w:r>
      <w:r w:rsidRPr="006E471D">
        <w:rPr>
          <w:rFonts w:ascii="Traditional Arabic" w:hAnsi="Traditional Arabic" w:cs="Traditional Arabic"/>
        </w:rPr>
        <w:t>, 31(1), 125–145. https://doi.org/10.58729/1941-6679.1511</w:t>
      </w:r>
    </w:p>
    <w:p w14:paraId="6FC36253"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Davis, F. D. (1989). Perceived usefulness, perceived ease of use, and user acceptance of information technology. </w:t>
      </w:r>
      <w:r w:rsidRPr="006E471D">
        <w:rPr>
          <w:rFonts w:ascii="Traditional Arabic" w:hAnsi="Traditional Arabic" w:cs="Traditional Arabic"/>
          <w:i/>
          <w:iCs/>
        </w:rPr>
        <w:t>MIS Quarterly, 13</w:t>
      </w:r>
      <w:r w:rsidRPr="006E471D">
        <w:rPr>
          <w:rFonts w:ascii="Traditional Arabic" w:hAnsi="Traditional Arabic" w:cs="Traditional Arabic"/>
        </w:rPr>
        <w:t xml:space="preserve">(3), 319–340. </w:t>
      </w:r>
      <w:hyperlink r:id="rId33" w:tgtFrame="_new" w:history="1">
        <w:r w:rsidRPr="006E471D">
          <w:rPr>
            <w:rStyle w:val="Hyperlink"/>
            <w:rFonts w:ascii="Traditional Arabic" w:hAnsi="Traditional Arabic" w:cs="Traditional Arabic"/>
          </w:rPr>
          <w:t>https://doi.org/10.2307/249008</w:t>
        </w:r>
      </w:hyperlink>
      <w:r w:rsidRPr="006E471D">
        <w:rPr>
          <w:rFonts w:ascii="Traditional Arabic" w:hAnsi="Traditional Arabic" w:cs="Traditional Arabic"/>
        </w:rPr>
        <w:t xml:space="preserve"> </w:t>
      </w:r>
    </w:p>
    <w:p w14:paraId="35A00B68"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Eggert, M., &amp; Alberts, J. (2020). Frontiers of business intelligence and analytics 3.0: A taxonomy-based literature review and research agenda. </w:t>
      </w:r>
      <w:r w:rsidRPr="006E471D">
        <w:rPr>
          <w:rFonts w:ascii="Traditional Arabic" w:hAnsi="Traditional Arabic" w:cs="Traditional Arabic"/>
          <w:i/>
          <w:iCs/>
        </w:rPr>
        <w:t>Business Research</w:t>
      </w:r>
      <w:r w:rsidRPr="006E471D">
        <w:rPr>
          <w:rFonts w:ascii="Traditional Arabic" w:hAnsi="Traditional Arabic" w:cs="Traditional Arabic"/>
        </w:rPr>
        <w:t xml:space="preserve">, 13, 685–739. </w:t>
      </w:r>
      <w:hyperlink r:id="rId34" w:tgtFrame="_new" w:history="1">
        <w:r w:rsidRPr="006E471D">
          <w:rPr>
            <w:rStyle w:val="Hyperlink"/>
            <w:rFonts w:ascii="Traditional Arabic" w:hAnsi="Traditional Arabic" w:cs="Traditional Arabic"/>
          </w:rPr>
          <w:t>https://doi.org/10.1007/s40685-020-00108-y</w:t>
        </w:r>
      </w:hyperlink>
      <w:r w:rsidRPr="006E471D">
        <w:rPr>
          <w:rFonts w:ascii="Traditional Arabic" w:hAnsi="Traditional Arabic" w:cs="Traditional Arabic"/>
        </w:rPr>
        <w:t xml:space="preserve"> </w:t>
      </w:r>
    </w:p>
    <w:p w14:paraId="57E254FE"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Fattah, I. A., Prabowo, H., </w:t>
      </w:r>
      <w:proofErr w:type="spellStart"/>
      <w:r w:rsidRPr="006E471D">
        <w:rPr>
          <w:rFonts w:ascii="Traditional Arabic" w:hAnsi="Traditional Arabic" w:cs="Traditional Arabic"/>
        </w:rPr>
        <w:t>Tjhin</w:t>
      </w:r>
      <w:proofErr w:type="spellEnd"/>
      <w:r w:rsidRPr="006E471D">
        <w:rPr>
          <w:rFonts w:ascii="Traditional Arabic" w:hAnsi="Traditional Arabic" w:cs="Traditional Arabic"/>
        </w:rPr>
        <w:t xml:space="preserve">, V. U., &amp; Rahim, R. K. (2025). The interplay between business analytics capabilities and decision-making performance in Indonesia's public sector. </w:t>
      </w:r>
      <w:r w:rsidRPr="006E471D">
        <w:rPr>
          <w:rFonts w:ascii="Traditional Arabic" w:hAnsi="Traditional Arabic" w:cs="Traditional Arabic"/>
          <w:i/>
          <w:iCs/>
        </w:rPr>
        <w:t>Digital Business</w:t>
      </w:r>
      <w:r w:rsidRPr="006E471D">
        <w:rPr>
          <w:rFonts w:ascii="Traditional Arabic" w:hAnsi="Traditional Arabic" w:cs="Traditional Arabic"/>
        </w:rPr>
        <w:t xml:space="preserve">, 5(2), 100132. </w:t>
      </w:r>
      <w:hyperlink r:id="rId35" w:history="1">
        <w:r w:rsidRPr="006E471D">
          <w:rPr>
            <w:rStyle w:val="Hyperlink"/>
            <w:rFonts w:ascii="Traditional Arabic" w:hAnsi="Traditional Arabic" w:cs="Traditional Arabic"/>
          </w:rPr>
          <w:t>https://doi.org/10.1016/j.digbus.2025.100132</w:t>
        </w:r>
      </w:hyperlink>
      <w:r w:rsidRPr="006E471D">
        <w:rPr>
          <w:rFonts w:ascii="Traditional Arabic" w:hAnsi="Traditional Arabic" w:cs="Traditional Arabic"/>
        </w:rPr>
        <w:t xml:space="preserve"> </w:t>
      </w:r>
    </w:p>
    <w:p w14:paraId="20E387AA"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t>Golebiowska</w:t>
      </w:r>
      <w:proofErr w:type="spellEnd"/>
      <w:r w:rsidRPr="006E471D">
        <w:rPr>
          <w:rFonts w:ascii="Traditional Arabic" w:hAnsi="Traditional Arabic" w:cs="Traditional Arabic"/>
        </w:rPr>
        <w:t xml:space="preserve">, A., Jakubczak, W., Prokopowicz, D., &amp; Jakubczak, R. (2021). Cybersecurity of business intelligence analytics based on the processing of large sets of information with the use of sentiment analysis and big data. </w:t>
      </w:r>
      <w:r w:rsidRPr="006E471D">
        <w:rPr>
          <w:rFonts w:ascii="Traditional Arabic" w:hAnsi="Traditional Arabic" w:cs="Traditional Arabic"/>
          <w:i/>
          <w:iCs/>
        </w:rPr>
        <w:t>European Research Studies Journal</w:t>
      </w:r>
      <w:r w:rsidRPr="006E471D">
        <w:rPr>
          <w:rFonts w:ascii="Traditional Arabic" w:hAnsi="Traditional Arabic" w:cs="Traditional Arabic"/>
        </w:rPr>
        <w:t xml:space="preserve">, 24(4, Part 1), 850–871. </w:t>
      </w:r>
    </w:p>
    <w:p w14:paraId="53D8541B"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Gonçalves, C. T., Gonçalves, M. J. A., &amp; </w:t>
      </w:r>
      <w:proofErr w:type="spellStart"/>
      <w:r w:rsidRPr="006E471D">
        <w:rPr>
          <w:rFonts w:ascii="Traditional Arabic" w:hAnsi="Traditional Arabic" w:cs="Traditional Arabic"/>
        </w:rPr>
        <w:t>Campante</w:t>
      </w:r>
      <w:proofErr w:type="spellEnd"/>
      <w:r w:rsidRPr="006E471D">
        <w:rPr>
          <w:rFonts w:ascii="Traditional Arabic" w:hAnsi="Traditional Arabic" w:cs="Traditional Arabic"/>
        </w:rPr>
        <w:t xml:space="preserve">, M. I. (2023). Developing integrated performance dashboards </w:t>
      </w:r>
      <w:proofErr w:type="spellStart"/>
      <w:r w:rsidRPr="006E471D">
        <w:rPr>
          <w:rFonts w:ascii="Traditional Arabic" w:hAnsi="Traditional Arabic" w:cs="Traditional Arabic"/>
        </w:rPr>
        <w:t>visualisations</w:t>
      </w:r>
      <w:proofErr w:type="spellEnd"/>
      <w:r w:rsidRPr="006E471D">
        <w:rPr>
          <w:rFonts w:ascii="Traditional Arabic" w:hAnsi="Traditional Arabic" w:cs="Traditional Arabic"/>
        </w:rPr>
        <w:t xml:space="preserve"> using Power BI as a platform. </w:t>
      </w:r>
      <w:r w:rsidRPr="006E471D">
        <w:rPr>
          <w:rFonts w:ascii="Traditional Arabic" w:hAnsi="Traditional Arabic" w:cs="Traditional Arabic"/>
          <w:i/>
          <w:iCs/>
        </w:rPr>
        <w:t>Information</w:t>
      </w:r>
      <w:r w:rsidRPr="006E471D">
        <w:rPr>
          <w:rFonts w:ascii="Traditional Arabic" w:hAnsi="Traditional Arabic" w:cs="Traditional Arabic"/>
        </w:rPr>
        <w:t xml:space="preserve">, 14(11), 614. </w:t>
      </w:r>
      <w:hyperlink r:id="rId36" w:tgtFrame="_new" w:history="1">
        <w:r w:rsidRPr="006E471D">
          <w:rPr>
            <w:rStyle w:val="Hyperlink"/>
            <w:rFonts w:ascii="Traditional Arabic" w:hAnsi="Traditional Arabic" w:cs="Traditional Arabic"/>
          </w:rPr>
          <w:t>https://doi.org/10.3390/info14110614</w:t>
        </w:r>
      </w:hyperlink>
      <w:r w:rsidRPr="006E471D">
        <w:rPr>
          <w:rFonts w:ascii="Traditional Arabic" w:hAnsi="Traditional Arabic" w:cs="Traditional Arabic"/>
        </w:rPr>
        <w:t xml:space="preserve"> </w:t>
      </w:r>
    </w:p>
    <w:p w14:paraId="2D1F775C"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Hernandez </w:t>
      </w:r>
      <w:proofErr w:type="spellStart"/>
      <w:r w:rsidRPr="006E471D">
        <w:rPr>
          <w:rFonts w:ascii="Traditional Arabic" w:hAnsi="Traditional Arabic" w:cs="Traditional Arabic"/>
        </w:rPr>
        <w:t>Aros</w:t>
      </w:r>
      <w:proofErr w:type="spellEnd"/>
      <w:r w:rsidRPr="006E471D">
        <w:rPr>
          <w:rFonts w:ascii="Traditional Arabic" w:hAnsi="Traditional Arabic" w:cs="Traditional Arabic"/>
        </w:rPr>
        <w:t xml:space="preserve">, L., Bustamante Molano, L. X., Gutierrez-Portela, F., Moreno Hernandez, J. J., &amp; Rodríguez Barrero, M. S. (2024). Financial fraud detection through the application </w:t>
      </w:r>
      <w:r w:rsidRPr="006E471D">
        <w:rPr>
          <w:rFonts w:ascii="Traditional Arabic" w:hAnsi="Traditional Arabic" w:cs="Traditional Arabic"/>
        </w:rPr>
        <w:lastRenderedPageBreak/>
        <w:t xml:space="preserve">of machine learning techniques: A literature review. </w:t>
      </w:r>
      <w:r w:rsidRPr="006E471D">
        <w:rPr>
          <w:rFonts w:ascii="Traditional Arabic" w:hAnsi="Traditional Arabic" w:cs="Traditional Arabic"/>
          <w:i/>
          <w:iCs/>
        </w:rPr>
        <w:t>Humanities and Social Sciences Communications</w:t>
      </w:r>
      <w:r w:rsidRPr="006E471D">
        <w:rPr>
          <w:rFonts w:ascii="Traditional Arabic" w:hAnsi="Traditional Arabic" w:cs="Traditional Arabic"/>
        </w:rPr>
        <w:t xml:space="preserve">, 11, Article 1130. </w:t>
      </w:r>
      <w:hyperlink r:id="rId37" w:tgtFrame="_new" w:history="1">
        <w:r w:rsidRPr="006E471D">
          <w:rPr>
            <w:rStyle w:val="Hyperlink"/>
            <w:rFonts w:ascii="Traditional Arabic" w:hAnsi="Traditional Arabic" w:cs="Traditional Arabic"/>
          </w:rPr>
          <w:t>https://doi.org/10.1057/s41599-024-03606-0</w:t>
        </w:r>
      </w:hyperlink>
      <w:r w:rsidRPr="006E471D">
        <w:rPr>
          <w:rFonts w:ascii="Traditional Arabic" w:hAnsi="Traditional Arabic" w:cs="Traditional Arabic"/>
        </w:rPr>
        <w:t xml:space="preserve"> </w:t>
      </w:r>
    </w:p>
    <w:p w14:paraId="2B32DF50"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Hjelle, S., </w:t>
      </w:r>
      <w:proofErr w:type="spellStart"/>
      <w:r w:rsidRPr="006E471D">
        <w:rPr>
          <w:rFonts w:ascii="Traditional Arabic" w:hAnsi="Traditional Arabic" w:cs="Traditional Arabic"/>
        </w:rPr>
        <w:t>Mikalef</w:t>
      </w:r>
      <w:proofErr w:type="spellEnd"/>
      <w:r w:rsidRPr="006E471D">
        <w:rPr>
          <w:rFonts w:ascii="Traditional Arabic" w:hAnsi="Traditional Arabic" w:cs="Traditional Arabic"/>
        </w:rPr>
        <w:t xml:space="preserve">, P., </w:t>
      </w:r>
      <w:proofErr w:type="spellStart"/>
      <w:r w:rsidRPr="006E471D">
        <w:rPr>
          <w:rFonts w:ascii="Traditional Arabic" w:hAnsi="Traditional Arabic" w:cs="Traditional Arabic"/>
        </w:rPr>
        <w:t>Altwaijry</w:t>
      </w:r>
      <w:proofErr w:type="spellEnd"/>
      <w:r w:rsidRPr="006E471D">
        <w:rPr>
          <w:rFonts w:ascii="Traditional Arabic" w:hAnsi="Traditional Arabic" w:cs="Traditional Arabic"/>
        </w:rPr>
        <w:t xml:space="preserve">, N., &amp; Parida, V. (2024). Organizational decision making and analytics: An experimental study on dashboard visualizations. </w:t>
      </w:r>
      <w:r w:rsidRPr="006E471D">
        <w:rPr>
          <w:rFonts w:ascii="Traditional Arabic" w:hAnsi="Traditional Arabic" w:cs="Traditional Arabic"/>
          <w:i/>
          <w:iCs/>
        </w:rPr>
        <w:t>Information &amp; Management</w:t>
      </w:r>
      <w:r w:rsidRPr="006E471D">
        <w:rPr>
          <w:rFonts w:ascii="Traditional Arabic" w:hAnsi="Traditional Arabic" w:cs="Traditional Arabic"/>
        </w:rPr>
        <w:t xml:space="preserve">, 61(6), 104011. </w:t>
      </w:r>
      <w:hyperlink r:id="rId38" w:tgtFrame="_new" w:history="1">
        <w:r w:rsidRPr="006E471D">
          <w:rPr>
            <w:rStyle w:val="Hyperlink"/>
            <w:rFonts w:ascii="Traditional Arabic" w:hAnsi="Traditional Arabic" w:cs="Traditional Arabic"/>
          </w:rPr>
          <w:t>https://doi.org/10.1016/j.im.2024.104011</w:t>
        </w:r>
      </w:hyperlink>
      <w:r w:rsidRPr="006E471D">
        <w:rPr>
          <w:rFonts w:ascii="Traditional Arabic" w:hAnsi="Traditional Arabic" w:cs="Traditional Arabic"/>
        </w:rPr>
        <w:t xml:space="preserve"> </w:t>
      </w:r>
    </w:p>
    <w:p w14:paraId="59ADC033"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Hoai, T. T., Hung, B. Q., &amp; Nguyen, N. P. (2022). The impact of internal control systems on the intensity of innovation and organizational performance of public sector organizations in Vietnam: The moderating role of transformational leadership. </w:t>
      </w:r>
      <w:proofErr w:type="spellStart"/>
      <w:r w:rsidRPr="006E471D">
        <w:rPr>
          <w:rFonts w:ascii="Traditional Arabic" w:hAnsi="Traditional Arabic" w:cs="Traditional Arabic"/>
          <w:i/>
          <w:iCs/>
        </w:rPr>
        <w:t>Heliyon</w:t>
      </w:r>
      <w:proofErr w:type="spellEnd"/>
      <w:r w:rsidRPr="006E471D">
        <w:rPr>
          <w:rFonts w:ascii="Traditional Arabic" w:hAnsi="Traditional Arabic" w:cs="Traditional Arabic"/>
          <w:i/>
          <w:iCs/>
        </w:rPr>
        <w:t>, 8</w:t>
      </w:r>
      <w:r w:rsidRPr="006E471D">
        <w:rPr>
          <w:rFonts w:ascii="Traditional Arabic" w:hAnsi="Traditional Arabic" w:cs="Traditional Arabic"/>
        </w:rPr>
        <w:t xml:space="preserve">(2), e08954. </w:t>
      </w:r>
      <w:hyperlink r:id="rId39" w:tgtFrame="_new" w:history="1">
        <w:r w:rsidRPr="006E471D">
          <w:rPr>
            <w:rStyle w:val="Hyperlink"/>
            <w:rFonts w:ascii="Traditional Arabic" w:hAnsi="Traditional Arabic" w:cs="Traditional Arabic"/>
          </w:rPr>
          <w:t>https://doi.org/10.1016/j.heliyon.2022.e08954</w:t>
        </w:r>
      </w:hyperlink>
      <w:r w:rsidRPr="006E471D">
        <w:rPr>
          <w:rFonts w:ascii="Traditional Arabic" w:hAnsi="Traditional Arabic" w:cs="Traditional Arabic"/>
        </w:rPr>
        <w:t xml:space="preserve"> </w:t>
      </w:r>
    </w:p>
    <w:p w14:paraId="79B350F2"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Jarrar, A. (2021). The association between cognitive biases and the quality of strategic decision making: Evidence from Jordanian banks. </w:t>
      </w:r>
      <w:r w:rsidRPr="006E471D">
        <w:rPr>
          <w:rFonts w:ascii="Traditional Arabic" w:hAnsi="Traditional Arabic" w:cs="Traditional Arabic"/>
          <w:i/>
          <w:iCs/>
        </w:rPr>
        <w:t>Banks and Bank Systems</w:t>
      </w:r>
      <w:r w:rsidRPr="006E471D">
        <w:rPr>
          <w:rFonts w:ascii="Traditional Arabic" w:hAnsi="Traditional Arabic" w:cs="Traditional Arabic"/>
        </w:rPr>
        <w:t xml:space="preserve">, 16(2), 1–11. </w:t>
      </w:r>
      <w:hyperlink r:id="rId40" w:history="1">
        <w:r w:rsidRPr="006E471D">
          <w:rPr>
            <w:rStyle w:val="Hyperlink"/>
            <w:rFonts w:ascii="Traditional Arabic" w:hAnsi="Traditional Arabic" w:cs="Traditional Arabic"/>
          </w:rPr>
          <w:t>https://doi.org/10.21511/bbs.16(2).2021.01</w:t>
        </w:r>
      </w:hyperlink>
      <w:r w:rsidRPr="006E471D">
        <w:rPr>
          <w:rFonts w:ascii="Traditional Arabic" w:hAnsi="Traditional Arabic" w:cs="Traditional Arabic"/>
        </w:rPr>
        <w:t xml:space="preserve"> </w:t>
      </w:r>
    </w:p>
    <w:p w14:paraId="6F354DBF"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Liu, C., Wang, Y., Evans, M., &amp; Correia, A.-P. (2024). Critical antecedents of mobile learning acceptance and moderation effects: A meta-analysis on technology acceptance model. </w:t>
      </w:r>
      <w:r w:rsidRPr="006E471D">
        <w:rPr>
          <w:rFonts w:ascii="Traditional Arabic" w:hAnsi="Traditional Arabic" w:cs="Traditional Arabic"/>
          <w:i/>
          <w:iCs/>
        </w:rPr>
        <w:t>Education and Information Technologies, 29</w:t>
      </w:r>
      <w:r w:rsidRPr="006E471D">
        <w:rPr>
          <w:rFonts w:ascii="Traditional Arabic" w:hAnsi="Traditional Arabic" w:cs="Traditional Arabic"/>
        </w:rPr>
        <w:t xml:space="preserve">, 20351–20382. </w:t>
      </w:r>
      <w:hyperlink r:id="rId41" w:history="1">
        <w:r w:rsidRPr="006E471D">
          <w:rPr>
            <w:rStyle w:val="Hyperlink"/>
            <w:rFonts w:ascii="Traditional Arabic" w:hAnsi="Traditional Arabic" w:cs="Traditional Arabic"/>
          </w:rPr>
          <w:t>https://doi.org/10.1007/s10639-024-12645-8</w:t>
        </w:r>
      </w:hyperlink>
      <w:r w:rsidRPr="006E471D">
        <w:rPr>
          <w:rFonts w:ascii="Traditional Arabic" w:hAnsi="Traditional Arabic" w:cs="Traditional Arabic"/>
        </w:rPr>
        <w:t xml:space="preserve"> </w:t>
      </w:r>
    </w:p>
    <w:p w14:paraId="6AF47FB6"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Liu, Y. D., Zhang, J. Z., Zheng, J., &amp; Kamal, M. M. (2025). Artificial intelligence-enabled systems and innovation in B2B firms: The role of strategic agility and decision-making performance. </w:t>
      </w:r>
      <w:r w:rsidRPr="006E471D">
        <w:rPr>
          <w:rFonts w:ascii="Traditional Arabic" w:hAnsi="Traditional Arabic" w:cs="Traditional Arabic"/>
          <w:i/>
          <w:iCs/>
        </w:rPr>
        <w:t>Industrial Marketing Management</w:t>
      </w:r>
      <w:r w:rsidRPr="006E471D">
        <w:rPr>
          <w:rFonts w:ascii="Traditional Arabic" w:hAnsi="Traditional Arabic" w:cs="Traditional Arabic"/>
        </w:rPr>
        <w:t xml:space="preserve">, 127, 164–174. </w:t>
      </w:r>
      <w:hyperlink r:id="rId42" w:tgtFrame="_new" w:history="1">
        <w:r w:rsidRPr="006E471D">
          <w:rPr>
            <w:rStyle w:val="Hyperlink"/>
            <w:rFonts w:ascii="Traditional Arabic" w:hAnsi="Traditional Arabic" w:cs="Traditional Arabic"/>
          </w:rPr>
          <w:t>https://doi.org/10.1016/j.indmarman.2025.04.003</w:t>
        </w:r>
      </w:hyperlink>
      <w:r w:rsidRPr="006E471D">
        <w:rPr>
          <w:rFonts w:ascii="Traditional Arabic" w:hAnsi="Traditional Arabic" w:cs="Traditional Arabic"/>
        </w:rPr>
        <w:t xml:space="preserve"> </w:t>
      </w:r>
    </w:p>
    <w:p w14:paraId="40D4558A"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Maghsoudi, M., &amp; </w:t>
      </w:r>
      <w:proofErr w:type="spellStart"/>
      <w:r w:rsidRPr="006E471D">
        <w:rPr>
          <w:rFonts w:ascii="Traditional Arabic" w:hAnsi="Traditional Arabic" w:cs="Traditional Arabic"/>
        </w:rPr>
        <w:t>Nezafati</w:t>
      </w:r>
      <w:proofErr w:type="spellEnd"/>
      <w:r w:rsidRPr="006E471D">
        <w:rPr>
          <w:rFonts w:ascii="Traditional Arabic" w:hAnsi="Traditional Arabic" w:cs="Traditional Arabic"/>
        </w:rPr>
        <w:t xml:space="preserve">, N. (2023). Navigating the acceptance of implementing business intelligence in organizations: A system dynamics approach. </w:t>
      </w:r>
      <w:r w:rsidRPr="006E471D">
        <w:rPr>
          <w:rFonts w:ascii="Traditional Arabic" w:hAnsi="Traditional Arabic" w:cs="Traditional Arabic"/>
          <w:i/>
          <w:iCs/>
        </w:rPr>
        <w:t>Telematics and Informatics Reports, 11</w:t>
      </w:r>
      <w:r w:rsidRPr="006E471D">
        <w:rPr>
          <w:rFonts w:ascii="Traditional Arabic" w:hAnsi="Traditional Arabic" w:cs="Traditional Arabic"/>
        </w:rPr>
        <w:t xml:space="preserve">, 100070. </w:t>
      </w:r>
      <w:hyperlink r:id="rId43" w:history="1">
        <w:r w:rsidRPr="006E471D">
          <w:rPr>
            <w:rStyle w:val="Hyperlink"/>
            <w:rFonts w:ascii="Traditional Arabic" w:hAnsi="Traditional Arabic" w:cs="Traditional Arabic"/>
          </w:rPr>
          <w:t>https://doi.org/10.1016/j.teler.2023.100070</w:t>
        </w:r>
      </w:hyperlink>
      <w:r w:rsidRPr="006E471D">
        <w:rPr>
          <w:rFonts w:ascii="Traditional Arabic" w:hAnsi="Traditional Arabic" w:cs="Traditional Arabic"/>
        </w:rPr>
        <w:t xml:space="preserve">  </w:t>
      </w:r>
    </w:p>
    <w:p w14:paraId="2CE262AE"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Mancuso, I., </w:t>
      </w:r>
      <w:proofErr w:type="spellStart"/>
      <w:r w:rsidRPr="006E471D">
        <w:rPr>
          <w:rFonts w:ascii="Traditional Arabic" w:hAnsi="Traditional Arabic" w:cs="Traditional Arabic"/>
        </w:rPr>
        <w:t>Messeni</w:t>
      </w:r>
      <w:proofErr w:type="spellEnd"/>
      <w:r w:rsidRPr="006E471D">
        <w:rPr>
          <w:rFonts w:ascii="Traditional Arabic" w:hAnsi="Traditional Arabic" w:cs="Traditional Arabic"/>
        </w:rPr>
        <w:t xml:space="preserve"> Petruzzelli, A., </w:t>
      </w:r>
      <w:proofErr w:type="spellStart"/>
      <w:r w:rsidRPr="006E471D">
        <w:rPr>
          <w:rFonts w:ascii="Traditional Arabic" w:hAnsi="Traditional Arabic" w:cs="Traditional Arabic"/>
        </w:rPr>
        <w:t>Panniello</w:t>
      </w:r>
      <w:proofErr w:type="spellEnd"/>
      <w:r w:rsidRPr="006E471D">
        <w:rPr>
          <w:rFonts w:ascii="Traditional Arabic" w:hAnsi="Traditional Arabic" w:cs="Traditional Arabic"/>
        </w:rPr>
        <w:t xml:space="preserve">, U., &amp; Vaia, G. (2025). Business model innovation in the banking sector: How digital technologies transform innovation drivers in value mechanisms innovations. </w:t>
      </w:r>
      <w:r w:rsidRPr="006E471D">
        <w:rPr>
          <w:rFonts w:ascii="Traditional Arabic" w:hAnsi="Traditional Arabic" w:cs="Traditional Arabic"/>
          <w:i/>
          <w:iCs/>
        </w:rPr>
        <w:t>Journal of Engineering and Technology Management, 75</w:t>
      </w:r>
      <w:r w:rsidRPr="006E471D">
        <w:rPr>
          <w:rFonts w:ascii="Traditional Arabic" w:hAnsi="Traditional Arabic" w:cs="Traditional Arabic"/>
        </w:rPr>
        <w:t xml:space="preserve">, 101858. </w:t>
      </w:r>
      <w:hyperlink r:id="rId44" w:history="1">
        <w:r w:rsidRPr="006E471D">
          <w:rPr>
            <w:rStyle w:val="Hyperlink"/>
            <w:rFonts w:ascii="Traditional Arabic" w:hAnsi="Traditional Arabic" w:cs="Traditional Arabic"/>
          </w:rPr>
          <w:t>https://doi.org/10.1016/j.jengtecman.2024.101858</w:t>
        </w:r>
      </w:hyperlink>
      <w:r w:rsidRPr="006E471D">
        <w:rPr>
          <w:rFonts w:ascii="Traditional Arabic" w:hAnsi="Traditional Arabic" w:cs="Traditional Arabic"/>
        </w:rPr>
        <w:t xml:space="preserve"> </w:t>
      </w:r>
    </w:p>
    <w:p w14:paraId="03F074FF"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Mohamed, S. D., &amp; Hussein, H. A. (2025). Unveiling the role of innovation practices in organizational learning as a mediator for sustainable performance enhancement in Somali banks. </w:t>
      </w:r>
      <w:r w:rsidRPr="006E471D">
        <w:rPr>
          <w:rFonts w:ascii="Traditional Arabic" w:hAnsi="Traditional Arabic" w:cs="Traditional Arabic"/>
          <w:i/>
          <w:iCs/>
        </w:rPr>
        <w:t>Discover Sustainability, 6</w:t>
      </w:r>
      <w:r w:rsidRPr="006E471D">
        <w:rPr>
          <w:rFonts w:ascii="Traditional Arabic" w:hAnsi="Traditional Arabic" w:cs="Traditional Arabic"/>
        </w:rPr>
        <w:t xml:space="preserve">, 213. </w:t>
      </w:r>
      <w:hyperlink r:id="rId45" w:history="1">
        <w:r w:rsidRPr="006E471D">
          <w:rPr>
            <w:rStyle w:val="Hyperlink"/>
            <w:rFonts w:ascii="Traditional Arabic" w:hAnsi="Traditional Arabic" w:cs="Traditional Arabic"/>
          </w:rPr>
          <w:t>https://doi.org/10.1007/s43621-025-00924-4</w:t>
        </w:r>
      </w:hyperlink>
      <w:r w:rsidRPr="006E471D">
        <w:rPr>
          <w:rFonts w:ascii="Traditional Arabic" w:hAnsi="Traditional Arabic" w:cs="Traditional Arabic"/>
        </w:rPr>
        <w:t xml:space="preserve"> </w:t>
      </w:r>
    </w:p>
    <w:p w14:paraId="3AC50E90"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Mohammed, A. B., Al-</w:t>
      </w:r>
      <w:proofErr w:type="spellStart"/>
      <w:r w:rsidRPr="006E471D">
        <w:rPr>
          <w:rFonts w:ascii="Traditional Arabic" w:hAnsi="Traditional Arabic" w:cs="Traditional Arabic"/>
        </w:rPr>
        <w:t>Okaily</w:t>
      </w:r>
      <w:proofErr w:type="spellEnd"/>
      <w:r w:rsidRPr="006E471D">
        <w:rPr>
          <w:rFonts w:ascii="Traditional Arabic" w:hAnsi="Traditional Arabic" w:cs="Traditional Arabic"/>
        </w:rPr>
        <w:t xml:space="preserve">, M., Qasim, D., &amp; Al-Majali, M. K. (2024). Towards an understanding of business intelligence and analytics usage: Evidence from the banking industry. </w:t>
      </w:r>
      <w:r w:rsidRPr="006E471D">
        <w:rPr>
          <w:rFonts w:ascii="Traditional Arabic" w:hAnsi="Traditional Arabic" w:cs="Traditional Arabic"/>
          <w:i/>
          <w:iCs/>
        </w:rPr>
        <w:t>International Journal of Information Management Data Insights</w:t>
      </w:r>
      <w:r w:rsidRPr="006E471D">
        <w:rPr>
          <w:rFonts w:ascii="Traditional Arabic" w:hAnsi="Traditional Arabic" w:cs="Traditional Arabic"/>
        </w:rPr>
        <w:t xml:space="preserve">, 4(1), 100215. </w:t>
      </w:r>
      <w:hyperlink r:id="rId46" w:history="1">
        <w:r w:rsidRPr="006E471D">
          <w:rPr>
            <w:rStyle w:val="Hyperlink"/>
            <w:rFonts w:ascii="Traditional Arabic" w:hAnsi="Traditional Arabic" w:cs="Traditional Arabic"/>
          </w:rPr>
          <w:t>https://doi.org/10.1016/j.jjimei.2024.100215</w:t>
        </w:r>
      </w:hyperlink>
      <w:r w:rsidRPr="006E471D">
        <w:rPr>
          <w:rFonts w:ascii="Traditional Arabic" w:hAnsi="Traditional Arabic" w:cs="Traditional Arabic"/>
        </w:rPr>
        <w:t xml:space="preserve"> </w:t>
      </w:r>
    </w:p>
    <w:p w14:paraId="34CC7F6F"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lastRenderedPageBreak/>
        <w:t>Moussavou</w:t>
      </w:r>
      <w:proofErr w:type="spellEnd"/>
      <w:r w:rsidRPr="006E471D">
        <w:rPr>
          <w:rFonts w:ascii="Traditional Arabic" w:hAnsi="Traditional Arabic" w:cs="Traditional Arabic"/>
        </w:rPr>
        <w:t xml:space="preserve">, J. (2022). Meeting the challenge of innovation in the banking industry: An analysis through dynamic capabilities. </w:t>
      </w:r>
      <w:r w:rsidRPr="006E471D">
        <w:rPr>
          <w:rFonts w:ascii="Traditional Arabic" w:hAnsi="Traditional Arabic" w:cs="Traditional Arabic"/>
          <w:i/>
          <w:iCs/>
        </w:rPr>
        <w:t>Bankers, Markets &amp; Investors, 168</w:t>
      </w:r>
      <w:r w:rsidRPr="006E471D">
        <w:rPr>
          <w:rFonts w:ascii="Traditional Arabic" w:hAnsi="Traditional Arabic" w:cs="Traditional Arabic"/>
        </w:rPr>
        <w:t xml:space="preserve">(1), 13–27. </w:t>
      </w:r>
      <w:hyperlink r:id="rId47" w:history="1">
        <w:r w:rsidRPr="006E471D">
          <w:rPr>
            <w:rStyle w:val="Hyperlink"/>
            <w:rFonts w:ascii="Traditional Arabic" w:hAnsi="Traditional Arabic" w:cs="Traditional Arabic"/>
          </w:rPr>
          <w:t>https://doi.org/10.54695/bmi.168.0013</w:t>
        </w:r>
      </w:hyperlink>
      <w:r w:rsidRPr="006E471D">
        <w:rPr>
          <w:rFonts w:ascii="Traditional Arabic" w:hAnsi="Traditional Arabic" w:cs="Traditional Arabic"/>
        </w:rPr>
        <w:t xml:space="preserve"> </w:t>
      </w:r>
    </w:p>
    <w:p w14:paraId="244185FD"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Mudau, T. N., Cohen, J., &amp; Papageorgiou, E. (2024). Determinants and consequences of routine and advanced use of business intelligence (BI) systems by management accountants. </w:t>
      </w:r>
      <w:r w:rsidRPr="006E471D">
        <w:rPr>
          <w:rFonts w:ascii="Traditional Arabic" w:hAnsi="Traditional Arabic" w:cs="Traditional Arabic"/>
          <w:i/>
          <w:iCs/>
        </w:rPr>
        <w:t>Information &amp; Management, 61</w:t>
      </w:r>
      <w:r w:rsidRPr="006E471D">
        <w:rPr>
          <w:rFonts w:ascii="Traditional Arabic" w:hAnsi="Traditional Arabic" w:cs="Traditional Arabic"/>
        </w:rPr>
        <w:t xml:space="preserve">(1), 103888. </w:t>
      </w:r>
      <w:hyperlink r:id="rId48" w:tgtFrame="_new" w:history="1">
        <w:r w:rsidRPr="006E471D">
          <w:rPr>
            <w:rStyle w:val="Hyperlink"/>
            <w:rFonts w:ascii="Traditional Arabic" w:hAnsi="Traditional Arabic" w:cs="Traditional Arabic"/>
          </w:rPr>
          <w:t>https://doi.org/10.1016/j.im.2023.103888</w:t>
        </w:r>
      </w:hyperlink>
      <w:r w:rsidRPr="006E471D">
        <w:rPr>
          <w:rFonts w:ascii="Traditional Arabic" w:hAnsi="Traditional Arabic" w:cs="Traditional Arabic"/>
        </w:rPr>
        <w:t xml:space="preserve"> </w:t>
      </w:r>
    </w:p>
    <w:p w14:paraId="00BE0B63"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t>Mutambik</w:t>
      </w:r>
      <w:proofErr w:type="spellEnd"/>
      <w:r w:rsidRPr="006E471D">
        <w:rPr>
          <w:rFonts w:ascii="Traditional Arabic" w:hAnsi="Traditional Arabic" w:cs="Traditional Arabic"/>
        </w:rPr>
        <w:t xml:space="preserve">, I. (2023). Customer experience in open banking and how it affects loyalty intention: A study from Saudi Arabia. </w:t>
      </w:r>
      <w:r w:rsidRPr="006E471D">
        <w:rPr>
          <w:rFonts w:ascii="Traditional Arabic" w:hAnsi="Traditional Arabic" w:cs="Traditional Arabic"/>
          <w:i/>
          <w:iCs/>
        </w:rPr>
        <w:t>Sustainability</w:t>
      </w:r>
      <w:r w:rsidRPr="006E471D">
        <w:rPr>
          <w:rFonts w:ascii="Traditional Arabic" w:hAnsi="Traditional Arabic" w:cs="Traditional Arabic"/>
        </w:rPr>
        <w:t xml:space="preserve">, 15(14), 10867. </w:t>
      </w:r>
      <w:hyperlink r:id="rId49" w:tgtFrame="_new" w:history="1">
        <w:r w:rsidRPr="006E471D">
          <w:rPr>
            <w:rStyle w:val="Hyperlink"/>
            <w:rFonts w:ascii="Traditional Arabic" w:hAnsi="Traditional Arabic" w:cs="Traditional Arabic"/>
          </w:rPr>
          <w:t>https://doi.org/10.3390/su151410867</w:t>
        </w:r>
      </w:hyperlink>
    </w:p>
    <w:p w14:paraId="15C78B97"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Ogbeide, H., Thomson, M. E., Gonul, M. S., Pollock, A. C., Bhowmick, S., &amp; Bello, A. U. (2023). The anti-money laundering risk assessment: A probabilistic approach. </w:t>
      </w:r>
      <w:r w:rsidRPr="006E471D">
        <w:rPr>
          <w:rFonts w:ascii="Traditional Arabic" w:hAnsi="Traditional Arabic" w:cs="Traditional Arabic"/>
          <w:i/>
          <w:iCs/>
        </w:rPr>
        <w:t>Journal of Business Research</w:t>
      </w:r>
      <w:r w:rsidRPr="006E471D">
        <w:rPr>
          <w:rFonts w:ascii="Traditional Arabic" w:hAnsi="Traditional Arabic" w:cs="Traditional Arabic"/>
        </w:rPr>
        <w:t xml:space="preserve">, 162, 113820. </w:t>
      </w:r>
      <w:hyperlink r:id="rId50" w:tgtFrame="_new" w:history="1">
        <w:r w:rsidRPr="006E471D">
          <w:rPr>
            <w:rStyle w:val="Hyperlink"/>
            <w:rFonts w:ascii="Traditional Arabic" w:hAnsi="Traditional Arabic" w:cs="Traditional Arabic"/>
          </w:rPr>
          <w:t>https://doi.org/10.1016/j.jbusres.2023.113820</w:t>
        </w:r>
      </w:hyperlink>
      <w:r w:rsidRPr="006E471D">
        <w:rPr>
          <w:rFonts w:ascii="Traditional Arabic" w:hAnsi="Traditional Arabic" w:cs="Traditional Arabic"/>
        </w:rPr>
        <w:t xml:space="preserve"> </w:t>
      </w:r>
    </w:p>
    <w:p w14:paraId="2342E34B"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t>Qatawneh</w:t>
      </w:r>
      <w:proofErr w:type="spellEnd"/>
      <w:r w:rsidRPr="006E471D">
        <w:rPr>
          <w:rFonts w:ascii="Traditional Arabic" w:hAnsi="Traditional Arabic" w:cs="Traditional Arabic"/>
        </w:rPr>
        <w:t xml:space="preserve">, N. (2024). Empirical insights into business intelligence adoption and decision-making performance during the digital transformation era: Extending the TOE model in the Jordanian banking sector. </w:t>
      </w:r>
      <w:r w:rsidRPr="006E471D">
        <w:rPr>
          <w:rFonts w:ascii="Traditional Arabic" w:hAnsi="Traditional Arabic" w:cs="Traditional Arabic"/>
          <w:i/>
          <w:iCs/>
        </w:rPr>
        <w:t>Journal of Open Innovation: Technology, Market, and Complexity</w:t>
      </w:r>
      <w:r w:rsidRPr="006E471D">
        <w:rPr>
          <w:rFonts w:ascii="Traditional Arabic" w:hAnsi="Traditional Arabic" w:cs="Traditional Arabic"/>
        </w:rPr>
        <w:t xml:space="preserve">, 10(4), 100401. </w:t>
      </w:r>
      <w:hyperlink r:id="rId51" w:history="1">
        <w:r w:rsidRPr="006E471D">
          <w:rPr>
            <w:rStyle w:val="Hyperlink"/>
            <w:rFonts w:ascii="Traditional Arabic" w:hAnsi="Traditional Arabic" w:cs="Traditional Arabic"/>
          </w:rPr>
          <w:t>https://doi.org/10.1016/j.joitmc.2024.100401</w:t>
        </w:r>
      </w:hyperlink>
      <w:r w:rsidRPr="006E471D">
        <w:rPr>
          <w:rFonts w:ascii="Traditional Arabic" w:hAnsi="Traditional Arabic" w:cs="Traditional Arabic"/>
        </w:rPr>
        <w:t xml:space="preserve"> </w:t>
      </w:r>
    </w:p>
    <w:p w14:paraId="58168581"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Snyder, H. (2019). Literature review as a research methodology: An overview and guidelines. Journal of Business Research, 104, 333–339. </w:t>
      </w:r>
      <w:hyperlink r:id="rId52" w:history="1">
        <w:r w:rsidRPr="006E471D">
          <w:rPr>
            <w:rStyle w:val="Hyperlink"/>
            <w:rFonts w:ascii="Traditional Arabic" w:hAnsi="Traditional Arabic" w:cs="Traditional Arabic"/>
          </w:rPr>
          <w:t>https://doi.org/10.1016/j.jbusres.2019.07.039</w:t>
        </w:r>
      </w:hyperlink>
    </w:p>
    <w:p w14:paraId="730C9278" w14:textId="77777777" w:rsidR="005A5DF6" w:rsidRPr="006E471D" w:rsidRDefault="005A5DF6" w:rsidP="005A5DF6">
      <w:pPr>
        <w:bidi w:val="0"/>
        <w:spacing w:line="240" w:lineRule="auto"/>
        <w:ind w:left="720" w:hanging="720"/>
        <w:jc w:val="both"/>
        <w:rPr>
          <w:rFonts w:ascii="Traditional Arabic" w:hAnsi="Traditional Arabic" w:cs="Traditional Arabic"/>
        </w:rPr>
      </w:pPr>
      <w:proofErr w:type="spellStart"/>
      <w:r w:rsidRPr="006E471D">
        <w:rPr>
          <w:rFonts w:ascii="Traditional Arabic" w:hAnsi="Traditional Arabic" w:cs="Traditional Arabic"/>
        </w:rPr>
        <w:t>Tunowski</w:t>
      </w:r>
      <w:proofErr w:type="spellEnd"/>
      <w:r w:rsidRPr="006E471D">
        <w:rPr>
          <w:rFonts w:ascii="Traditional Arabic" w:hAnsi="Traditional Arabic" w:cs="Traditional Arabic"/>
        </w:rPr>
        <w:t xml:space="preserve">, R. (2022). Sustainability of commercial banks supported by business intelligence system. </w:t>
      </w:r>
      <w:r w:rsidRPr="006E471D">
        <w:rPr>
          <w:rFonts w:ascii="Traditional Arabic" w:hAnsi="Traditional Arabic" w:cs="Traditional Arabic"/>
          <w:i/>
          <w:iCs/>
        </w:rPr>
        <w:t>Sustainability</w:t>
      </w:r>
      <w:r w:rsidRPr="006E471D">
        <w:rPr>
          <w:rFonts w:ascii="Traditional Arabic" w:hAnsi="Traditional Arabic" w:cs="Traditional Arabic"/>
        </w:rPr>
        <w:t xml:space="preserve">, 12(11), 1–17. </w:t>
      </w:r>
      <w:hyperlink r:id="rId53" w:history="1">
        <w:r w:rsidRPr="006E471D">
          <w:rPr>
            <w:rStyle w:val="Hyperlink"/>
            <w:rFonts w:ascii="Traditional Arabic" w:hAnsi="Traditional Arabic" w:cs="Traditional Arabic"/>
          </w:rPr>
          <w:t>https://doi.org/10.3390/su12114754</w:t>
        </w:r>
      </w:hyperlink>
      <w:r w:rsidRPr="006E471D">
        <w:rPr>
          <w:rFonts w:ascii="Traditional Arabic" w:hAnsi="Traditional Arabic" w:cs="Traditional Arabic"/>
        </w:rPr>
        <w:t xml:space="preserve"> </w:t>
      </w:r>
    </w:p>
    <w:p w14:paraId="445BFDA1" w14:textId="77777777" w:rsidR="005A5DF6" w:rsidRPr="006E471D" w:rsidRDefault="005A5DF6" w:rsidP="005A5DF6">
      <w:pPr>
        <w:bidi w:val="0"/>
        <w:spacing w:line="240" w:lineRule="auto"/>
        <w:ind w:left="720" w:hanging="720"/>
        <w:jc w:val="both"/>
        <w:rPr>
          <w:rFonts w:ascii="Traditional Arabic" w:hAnsi="Traditional Arabic" w:cs="Traditional Arabic"/>
        </w:rPr>
      </w:pPr>
      <w:r w:rsidRPr="006E471D">
        <w:rPr>
          <w:rFonts w:ascii="Traditional Arabic" w:hAnsi="Traditional Arabic" w:cs="Traditional Arabic"/>
        </w:rPr>
        <w:t xml:space="preserve">Wang, J., Liu, Y., Li, P., Lin, Z., </w:t>
      </w:r>
      <w:proofErr w:type="spellStart"/>
      <w:r w:rsidRPr="006E471D">
        <w:rPr>
          <w:rFonts w:ascii="Traditional Arabic" w:hAnsi="Traditional Arabic" w:cs="Traditional Arabic"/>
        </w:rPr>
        <w:t>Sindakis</w:t>
      </w:r>
      <w:proofErr w:type="spellEnd"/>
      <w:r w:rsidRPr="006E471D">
        <w:rPr>
          <w:rFonts w:ascii="Traditional Arabic" w:hAnsi="Traditional Arabic" w:cs="Traditional Arabic"/>
        </w:rPr>
        <w:t xml:space="preserve">, S., &amp; Aggarwal, S. (2023). Overview of data quality: Examining the dimensions, antecedents, and impacts of data quality. </w:t>
      </w:r>
      <w:r w:rsidRPr="006E471D">
        <w:rPr>
          <w:rFonts w:ascii="Traditional Arabic" w:hAnsi="Traditional Arabic" w:cs="Traditional Arabic"/>
          <w:i/>
          <w:iCs/>
        </w:rPr>
        <w:t>Journal of the Knowledge Economy</w:t>
      </w:r>
      <w:r w:rsidRPr="006E471D">
        <w:rPr>
          <w:rFonts w:ascii="Traditional Arabic" w:hAnsi="Traditional Arabic" w:cs="Traditional Arabic"/>
        </w:rPr>
        <w:t xml:space="preserve">, 1–20 (Online ahead of print). </w:t>
      </w:r>
      <w:hyperlink r:id="rId54" w:history="1">
        <w:r w:rsidRPr="006E471D">
          <w:rPr>
            <w:rStyle w:val="Hyperlink"/>
            <w:rFonts w:ascii="Traditional Arabic" w:hAnsi="Traditional Arabic" w:cs="Traditional Arabic"/>
          </w:rPr>
          <w:t>https://doi.org/10.1007/s13132-022-01096-6</w:t>
        </w:r>
      </w:hyperlink>
      <w:r w:rsidRPr="006E471D">
        <w:rPr>
          <w:rFonts w:ascii="Traditional Arabic" w:hAnsi="Traditional Arabic" w:cs="Traditional Arabic"/>
        </w:rPr>
        <w:t xml:space="preserve"> </w:t>
      </w:r>
    </w:p>
    <w:p w14:paraId="27EF639B" w14:textId="77777777" w:rsidR="005A5DF6" w:rsidRPr="006E471D" w:rsidRDefault="005A5DF6" w:rsidP="005A5DF6">
      <w:pPr>
        <w:bidi w:val="0"/>
        <w:ind w:left="720" w:hanging="720"/>
        <w:jc w:val="both"/>
        <w:rPr>
          <w:rFonts w:ascii="Traditional Arabic" w:hAnsi="Traditional Arabic" w:cs="Traditional Arabic"/>
        </w:rPr>
      </w:pPr>
    </w:p>
    <w:sectPr w:rsidR="005A5DF6" w:rsidRPr="006E471D" w:rsidSect="00F423D6">
      <w:footerReference w:type="default" r:id="rId55"/>
      <w:pgSz w:w="11906" w:h="16838"/>
      <w:pgMar w:top="1440" w:right="1440" w:bottom="1440" w:left="144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89D9B" w14:textId="77777777" w:rsidR="00FD24E4" w:rsidRDefault="00FD24E4" w:rsidP="00F423D6">
      <w:pPr>
        <w:spacing w:after="0" w:line="240" w:lineRule="auto"/>
      </w:pPr>
      <w:r>
        <w:separator/>
      </w:r>
    </w:p>
  </w:endnote>
  <w:endnote w:type="continuationSeparator" w:id="0">
    <w:p w14:paraId="27341E1D" w14:textId="77777777" w:rsidR="00FD24E4" w:rsidRDefault="00FD24E4" w:rsidP="00F42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50001614"/>
      <w:docPartObj>
        <w:docPartGallery w:val="Page Numbers (Bottom of Page)"/>
        <w:docPartUnique/>
      </w:docPartObj>
    </w:sdtPr>
    <w:sdtEndPr/>
    <w:sdtContent>
      <w:p w14:paraId="6187CC21" w14:textId="4ED7C27D" w:rsidR="00F423D6" w:rsidRDefault="00F423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B44EF9" w14:textId="77777777" w:rsidR="00F423D6" w:rsidRDefault="00F42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052B2" w14:textId="77777777" w:rsidR="00FD24E4" w:rsidRDefault="00FD24E4" w:rsidP="00F423D6">
      <w:pPr>
        <w:spacing w:after="0" w:line="240" w:lineRule="auto"/>
      </w:pPr>
      <w:r>
        <w:separator/>
      </w:r>
    </w:p>
  </w:footnote>
  <w:footnote w:type="continuationSeparator" w:id="0">
    <w:p w14:paraId="0168B52D" w14:textId="77777777" w:rsidR="00FD24E4" w:rsidRDefault="00FD24E4" w:rsidP="00F423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4B6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C096D40"/>
    <w:multiLevelType w:val="hybridMultilevel"/>
    <w:tmpl w:val="116802C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41DBB"/>
    <w:multiLevelType w:val="hybridMultilevel"/>
    <w:tmpl w:val="5F26A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9C78BB"/>
    <w:multiLevelType w:val="hybridMultilevel"/>
    <w:tmpl w:val="2228C608"/>
    <w:lvl w:ilvl="0" w:tplc="B9C2BF70">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B474E"/>
    <w:multiLevelType w:val="hybridMultilevel"/>
    <w:tmpl w:val="5688F52E"/>
    <w:lvl w:ilvl="0" w:tplc="94983162">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E51137"/>
    <w:multiLevelType w:val="hybridMultilevel"/>
    <w:tmpl w:val="AD60DDC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8B111E"/>
    <w:multiLevelType w:val="hybridMultilevel"/>
    <w:tmpl w:val="41305630"/>
    <w:lvl w:ilvl="0" w:tplc="EECA7E7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1"/>
  </w:num>
  <w:num w:numId="6">
    <w:abstractNumId w:val="3"/>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564"/>
    <w:rsid w:val="00026C1C"/>
    <w:rsid w:val="00043A2B"/>
    <w:rsid w:val="00053239"/>
    <w:rsid w:val="00060C31"/>
    <w:rsid w:val="00063B98"/>
    <w:rsid w:val="000B134D"/>
    <w:rsid w:val="000C4564"/>
    <w:rsid w:val="00103A96"/>
    <w:rsid w:val="00154AF2"/>
    <w:rsid w:val="001E4194"/>
    <w:rsid w:val="001F1F47"/>
    <w:rsid w:val="00233F70"/>
    <w:rsid w:val="00263A90"/>
    <w:rsid w:val="002A078E"/>
    <w:rsid w:val="002D63AD"/>
    <w:rsid w:val="002D7A6D"/>
    <w:rsid w:val="002F4822"/>
    <w:rsid w:val="0034592D"/>
    <w:rsid w:val="003A71F5"/>
    <w:rsid w:val="003D75C9"/>
    <w:rsid w:val="003E4BD1"/>
    <w:rsid w:val="004100B0"/>
    <w:rsid w:val="00420CAC"/>
    <w:rsid w:val="00477F45"/>
    <w:rsid w:val="004D4C1A"/>
    <w:rsid w:val="004D6A72"/>
    <w:rsid w:val="00563C6C"/>
    <w:rsid w:val="0058753F"/>
    <w:rsid w:val="00594571"/>
    <w:rsid w:val="005A2549"/>
    <w:rsid w:val="005A5DF6"/>
    <w:rsid w:val="00604073"/>
    <w:rsid w:val="00611CA9"/>
    <w:rsid w:val="00613A4F"/>
    <w:rsid w:val="0063386E"/>
    <w:rsid w:val="00680361"/>
    <w:rsid w:val="006E471D"/>
    <w:rsid w:val="00705C55"/>
    <w:rsid w:val="00710317"/>
    <w:rsid w:val="00710413"/>
    <w:rsid w:val="007723CD"/>
    <w:rsid w:val="00785CDF"/>
    <w:rsid w:val="008100AC"/>
    <w:rsid w:val="00850777"/>
    <w:rsid w:val="008527D0"/>
    <w:rsid w:val="008A62BD"/>
    <w:rsid w:val="008F37E8"/>
    <w:rsid w:val="009365B9"/>
    <w:rsid w:val="00941C1F"/>
    <w:rsid w:val="009514B3"/>
    <w:rsid w:val="0099150B"/>
    <w:rsid w:val="009B1E2E"/>
    <w:rsid w:val="009D0BF6"/>
    <w:rsid w:val="00AE7D63"/>
    <w:rsid w:val="00B40FBD"/>
    <w:rsid w:val="00B73C86"/>
    <w:rsid w:val="00BA7973"/>
    <w:rsid w:val="00C3114A"/>
    <w:rsid w:val="00C54BCD"/>
    <w:rsid w:val="00C7737C"/>
    <w:rsid w:val="00C80653"/>
    <w:rsid w:val="00DC1067"/>
    <w:rsid w:val="00E20ABD"/>
    <w:rsid w:val="00E31E75"/>
    <w:rsid w:val="00E50BA3"/>
    <w:rsid w:val="00E5739A"/>
    <w:rsid w:val="00E870B1"/>
    <w:rsid w:val="00E9063B"/>
    <w:rsid w:val="00F23FC1"/>
    <w:rsid w:val="00F423D6"/>
    <w:rsid w:val="00F73221"/>
    <w:rsid w:val="00FB566B"/>
    <w:rsid w:val="00FC150C"/>
    <w:rsid w:val="00FD24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08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C4564"/>
    <w:pPr>
      <w:keepNext/>
      <w:keepLines/>
      <w:numPr>
        <w:numId w:val="7"/>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4564"/>
    <w:pPr>
      <w:keepNext/>
      <w:keepLines/>
      <w:numPr>
        <w:ilvl w:val="1"/>
        <w:numId w:val="7"/>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4564"/>
    <w:pPr>
      <w:keepNext/>
      <w:keepLines/>
      <w:numPr>
        <w:ilvl w:val="2"/>
        <w:numId w:val="7"/>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4564"/>
    <w:pPr>
      <w:keepNext/>
      <w:keepLines/>
      <w:numPr>
        <w:ilvl w:val="3"/>
        <w:numId w:val="7"/>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564"/>
    <w:pPr>
      <w:keepNext/>
      <w:keepLines/>
      <w:numPr>
        <w:ilvl w:val="4"/>
        <w:numId w:val="7"/>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564"/>
    <w:pPr>
      <w:keepNext/>
      <w:keepLines/>
      <w:numPr>
        <w:ilvl w:val="5"/>
        <w:numId w:val="7"/>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564"/>
    <w:pPr>
      <w:keepNext/>
      <w:keepLines/>
      <w:numPr>
        <w:ilvl w:val="6"/>
        <w:numId w:val="7"/>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564"/>
    <w:pPr>
      <w:keepNext/>
      <w:keepLines/>
      <w:numPr>
        <w:ilvl w:val="7"/>
        <w:numId w:val="7"/>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564"/>
    <w:pPr>
      <w:keepNext/>
      <w:keepLines/>
      <w:numPr>
        <w:ilvl w:val="8"/>
        <w:numId w:val="7"/>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4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4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4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564"/>
    <w:rPr>
      <w:rFonts w:eastAsiaTheme="majorEastAsia" w:cstheme="majorBidi"/>
      <w:color w:val="272727" w:themeColor="text1" w:themeTint="D8"/>
    </w:rPr>
  </w:style>
  <w:style w:type="paragraph" w:styleId="Title">
    <w:name w:val="Title"/>
    <w:basedOn w:val="Normal"/>
    <w:next w:val="Normal"/>
    <w:link w:val="TitleChar"/>
    <w:uiPriority w:val="10"/>
    <w:qFormat/>
    <w:rsid w:val="000C4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564"/>
    <w:pPr>
      <w:spacing w:before="160"/>
      <w:jc w:val="center"/>
    </w:pPr>
    <w:rPr>
      <w:i/>
      <w:iCs/>
      <w:color w:val="404040" w:themeColor="text1" w:themeTint="BF"/>
    </w:rPr>
  </w:style>
  <w:style w:type="character" w:customStyle="1" w:styleId="QuoteChar">
    <w:name w:val="Quote Char"/>
    <w:basedOn w:val="DefaultParagraphFont"/>
    <w:link w:val="Quote"/>
    <w:uiPriority w:val="29"/>
    <w:rsid w:val="000C4564"/>
    <w:rPr>
      <w:i/>
      <w:iCs/>
      <w:color w:val="404040" w:themeColor="text1" w:themeTint="BF"/>
    </w:rPr>
  </w:style>
  <w:style w:type="paragraph" w:styleId="ListParagraph">
    <w:name w:val="List Paragraph"/>
    <w:basedOn w:val="Normal"/>
    <w:uiPriority w:val="34"/>
    <w:qFormat/>
    <w:rsid w:val="000C4564"/>
    <w:pPr>
      <w:ind w:left="720"/>
      <w:contextualSpacing/>
    </w:pPr>
  </w:style>
  <w:style w:type="character" w:styleId="IntenseEmphasis">
    <w:name w:val="Intense Emphasis"/>
    <w:basedOn w:val="DefaultParagraphFont"/>
    <w:uiPriority w:val="21"/>
    <w:qFormat/>
    <w:rsid w:val="000C4564"/>
    <w:rPr>
      <w:i/>
      <w:iCs/>
      <w:color w:val="0F4761" w:themeColor="accent1" w:themeShade="BF"/>
    </w:rPr>
  </w:style>
  <w:style w:type="paragraph" w:styleId="IntenseQuote">
    <w:name w:val="Intense Quote"/>
    <w:basedOn w:val="Normal"/>
    <w:next w:val="Normal"/>
    <w:link w:val="IntenseQuoteChar"/>
    <w:uiPriority w:val="30"/>
    <w:qFormat/>
    <w:rsid w:val="000C4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564"/>
    <w:rPr>
      <w:i/>
      <w:iCs/>
      <w:color w:val="0F4761" w:themeColor="accent1" w:themeShade="BF"/>
    </w:rPr>
  </w:style>
  <w:style w:type="character" w:styleId="IntenseReference">
    <w:name w:val="Intense Reference"/>
    <w:basedOn w:val="DefaultParagraphFont"/>
    <w:uiPriority w:val="32"/>
    <w:qFormat/>
    <w:rsid w:val="000C4564"/>
    <w:rPr>
      <w:b/>
      <w:bCs/>
      <w:smallCaps/>
      <w:color w:val="0F4761" w:themeColor="accent1" w:themeShade="BF"/>
      <w:spacing w:val="5"/>
    </w:rPr>
  </w:style>
  <w:style w:type="character" w:styleId="Hyperlink">
    <w:name w:val="Hyperlink"/>
    <w:basedOn w:val="DefaultParagraphFont"/>
    <w:uiPriority w:val="99"/>
    <w:unhideWhenUsed/>
    <w:rsid w:val="00BA7973"/>
    <w:rPr>
      <w:color w:val="467886" w:themeColor="hyperlink"/>
      <w:u w:val="single"/>
    </w:rPr>
  </w:style>
  <w:style w:type="paragraph" w:styleId="Header">
    <w:name w:val="header"/>
    <w:basedOn w:val="Normal"/>
    <w:link w:val="HeaderChar"/>
    <w:uiPriority w:val="99"/>
    <w:unhideWhenUsed/>
    <w:rsid w:val="00F42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3D6"/>
  </w:style>
  <w:style w:type="paragraph" w:styleId="Footer">
    <w:name w:val="footer"/>
    <w:basedOn w:val="Normal"/>
    <w:link w:val="FooterChar"/>
    <w:uiPriority w:val="99"/>
    <w:unhideWhenUsed/>
    <w:rsid w:val="00F42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3D6"/>
  </w:style>
  <w:style w:type="paragraph" w:styleId="TOC1">
    <w:name w:val="toc 1"/>
    <w:basedOn w:val="Normal"/>
    <w:next w:val="Normal"/>
    <w:autoRedefine/>
    <w:uiPriority w:val="39"/>
    <w:unhideWhenUsed/>
    <w:rsid w:val="00F423D6"/>
    <w:pPr>
      <w:spacing w:after="100"/>
    </w:pPr>
  </w:style>
  <w:style w:type="paragraph" w:styleId="TOC2">
    <w:name w:val="toc 2"/>
    <w:basedOn w:val="Normal"/>
    <w:next w:val="Normal"/>
    <w:autoRedefine/>
    <w:uiPriority w:val="39"/>
    <w:unhideWhenUsed/>
    <w:rsid w:val="00F423D6"/>
    <w:pPr>
      <w:spacing w:after="100"/>
      <w:ind w:left="240"/>
    </w:pPr>
  </w:style>
  <w:style w:type="paragraph" w:styleId="TOC3">
    <w:name w:val="toc 3"/>
    <w:basedOn w:val="Normal"/>
    <w:next w:val="Normal"/>
    <w:autoRedefine/>
    <w:uiPriority w:val="39"/>
    <w:unhideWhenUsed/>
    <w:rsid w:val="00F423D6"/>
    <w:pPr>
      <w:tabs>
        <w:tab w:val="left" w:pos="1466"/>
        <w:tab w:val="right" w:leader="dot" w:pos="9016"/>
      </w:tabs>
      <w:spacing w:after="0"/>
      <w:ind w:left="480"/>
      <w:jc w:val="both"/>
    </w:pPr>
  </w:style>
  <w:style w:type="table" w:styleId="TableGrid">
    <w:name w:val="Table Grid"/>
    <w:basedOn w:val="TableNormal"/>
    <w:uiPriority w:val="39"/>
    <w:rsid w:val="00060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5DF6"/>
    <w:rPr>
      <w:color w:val="605E5C"/>
      <w:shd w:val="clear" w:color="auto" w:fill="E1DFDD"/>
    </w:rPr>
  </w:style>
  <w:style w:type="character" w:styleId="FollowedHyperlink">
    <w:name w:val="FollowedHyperlink"/>
    <w:basedOn w:val="DefaultParagraphFont"/>
    <w:uiPriority w:val="99"/>
    <w:semiHidden/>
    <w:unhideWhenUsed/>
    <w:rsid w:val="005A5DF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alat.2023.293010" TargetMode="External"/><Relationship Id="rId18" Type="http://schemas.openxmlformats.org/officeDocument/2006/relationships/hyperlink" Target="https://doi.org/10.35516/jjba.v21i3.186" TargetMode="External"/><Relationship Id="rId26" Type="http://schemas.openxmlformats.org/officeDocument/2006/relationships/hyperlink" Target="https://doi.org/10.1007/s43621-025-01876-5" TargetMode="External"/><Relationship Id="rId39" Type="http://schemas.openxmlformats.org/officeDocument/2006/relationships/hyperlink" Target="https://doi.org/10.1016/j.heliyon.2022.e08954" TargetMode="External"/><Relationship Id="rId21" Type="http://schemas.openxmlformats.org/officeDocument/2006/relationships/hyperlink" Target="https://doi.org/10.21608/jpsa.2021.190043" TargetMode="External"/><Relationship Id="rId34" Type="http://schemas.openxmlformats.org/officeDocument/2006/relationships/hyperlink" Target="https://doi.org/10.1007/s40685-020-00108-y" TargetMode="External"/><Relationship Id="rId42" Type="http://schemas.openxmlformats.org/officeDocument/2006/relationships/hyperlink" Target="https://doi.org/10.1016/j.indmarman.2025.04.003" TargetMode="External"/><Relationship Id="rId47" Type="http://schemas.openxmlformats.org/officeDocument/2006/relationships/hyperlink" Target="https://doi.org/10.54695/bmi.168.0013" TargetMode="External"/><Relationship Id="rId50" Type="http://schemas.openxmlformats.org/officeDocument/2006/relationships/hyperlink" Target="https://doi.org/10.1016/j.jbusres.2023.113820"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21608/alat.2025.443321" TargetMode="External"/><Relationship Id="rId17" Type="http://schemas.openxmlformats.org/officeDocument/2006/relationships/hyperlink" Target="https://doi.org/10.21608/jces.2022.248096" TargetMode="External"/><Relationship Id="rId25" Type="http://schemas.openxmlformats.org/officeDocument/2006/relationships/hyperlink" Target="https://doi.org/10.5267/j.ijdns.2023.7.003" TargetMode="External"/><Relationship Id="rId33" Type="http://schemas.openxmlformats.org/officeDocument/2006/relationships/hyperlink" Target="https://doi.org/10.2307/249008" TargetMode="External"/><Relationship Id="rId38" Type="http://schemas.openxmlformats.org/officeDocument/2006/relationships/hyperlink" Target="https://doi.org/10.1016/j.im.2024.104011" TargetMode="External"/><Relationship Id="rId46" Type="http://schemas.openxmlformats.org/officeDocument/2006/relationships/hyperlink" Target="https://doi.org/10.1016/j.jjimei.2024.100215" TargetMode="External"/><Relationship Id="rId2" Type="http://schemas.openxmlformats.org/officeDocument/2006/relationships/numbering" Target="numbering.xml"/><Relationship Id="rId16" Type="http://schemas.openxmlformats.org/officeDocument/2006/relationships/hyperlink" Target="https://doi.org/10.36602/jsrhs.2025.2.1.1" TargetMode="External"/><Relationship Id="rId20" Type="http://schemas.openxmlformats.org/officeDocument/2006/relationships/hyperlink" Target="https://doi.org/10.26389/AJSRP.H111222" TargetMode="External"/><Relationship Id="rId29" Type="http://schemas.openxmlformats.org/officeDocument/2006/relationships/hyperlink" Target="https://doi.org/10.3390/electronics11233926" TargetMode="External"/><Relationship Id="rId41" Type="http://schemas.openxmlformats.org/officeDocument/2006/relationships/hyperlink" Target="https://doi.org/10.1007/s10639-024-12645-8" TargetMode="External"/><Relationship Id="rId54" Type="http://schemas.openxmlformats.org/officeDocument/2006/relationships/hyperlink" Target="https://doi.org/10.1007/s13132-022-0109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7644/1939-004-003-001" TargetMode="External"/><Relationship Id="rId24" Type="http://schemas.openxmlformats.org/officeDocument/2006/relationships/hyperlink" Target="https://doi.org/10.1016/j.joitmc.2024.100215" TargetMode="External"/><Relationship Id="rId32" Type="http://schemas.openxmlformats.org/officeDocument/2006/relationships/hyperlink" Target="https://doi.org/10.1007/s10479-020-03887-z" TargetMode="External"/><Relationship Id="rId37" Type="http://schemas.openxmlformats.org/officeDocument/2006/relationships/hyperlink" Target="https://doi.org/10.1057/s41599-024-03606-0" TargetMode="External"/><Relationship Id="rId40" Type="http://schemas.openxmlformats.org/officeDocument/2006/relationships/hyperlink" Target="https://doi.org/10.21511/bbs.16(2).2021.01" TargetMode="External"/><Relationship Id="rId45" Type="http://schemas.openxmlformats.org/officeDocument/2006/relationships/hyperlink" Target="https://doi.org/10.1007/s43621-025-00924-4" TargetMode="External"/><Relationship Id="rId53" Type="http://schemas.openxmlformats.org/officeDocument/2006/relationships/hyperlink" Target="https://doi.org/10.3390/su12114754" TargetMode="External"/><Relationship Id="rId5" Type="http://schemas.openxmlformats.org/officeDocument/2006/relationships/webSettings" Target="webSettings.xml"/><Relationship Id="rId15" Type="http://schemas.openxmlformats.org/officeDocument/2006/relationships/hyperlink" Target="https://doi.org/10.35778/jazu.i55.a562" TargetMode="External"/><Relationship Id="rId23" Type="http://schemas.openxmlformats.org/officeDocument/2006/relationships/hyperlink" Target="https://doi.org/10.1016/j.jsinno.2025.200540" TargetMode="External"/><Relationship Id="rId28" Type="http://schemas.openxmlformats.org/officeDocument/2006/relationships/hyperlink" Target="https://doi.org/10.1111/puar.13447" TargetMode="External"/><Relationship Id="rId36" Type="http://schemas.openxmlformats.org/officeDocument/2006/relationships/hyperlink" Target="https://doi.org/10.3390/info14110614" TargetMode="External"/><Relationship Id="rId49" Type="http://schemas.openxmlformats.org/officeDocument/2006/relationships/hyperlink" Target="https://doi.org/10.3390/su151410867" TargetMode="External"/><Relationship Id="rId57" Type="http://schemas.openxmlformats.org/officeDocument/2006/relationships/theme" Target="theme/theme1.xml"/><Relationship Id="rId10" Type="http://schemas.openxmlformats.org/officeDocument/2006/relationships/hyperlink" Target="https://doi.org/10.35516/jjba.v20i3.841" TargetMode="External"/><Relationship Id="rId19" Type="http://schemas.openxmlformats.org/officeDocument/2006/relationships/hyperlink" Target="https://doi.org/10.21608/jkom.2022.253091" TargetMode="External"/><Relationship Id="rId31" Type="http://schemas.openxmlformats.org/officeDocument/2006/relationships/hyperlink" Target="https://doi.org/10.1016/j.jik.2024.100598" TargetMode="External"/><Relationship Id="rId44" Type="http://schemas.openxmlformats.org/officeDocument/2006/relationships/hyperlink" Target="https://doi.org/10.1016/j.jengtecman.2024.101858" TargetMode="External"/><Relationship Id="rId52" Type="http://schemas.openxmlformats.org/officeDocument/2006/relationships/hyperlink" Target="https://doi.org/10.1016/j.jbusres.2019.07.03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9628/jhs.v1i1.582" TargetMode="External"/><Relationship Id="rId22" Type="http://schemas.openxmlformats.org/officeDocument/2006/relationships/hyperlink" Target="https://doi.org/10.1016/j.jum.2025.06.007" TargetMode="External"/><Relationship Id="rId27" Type="http://schemas.openxmlformats.org/officeDocument/2006/relationships/hyperlink" Target="https://doi.org/10.1080/23311975.2023.2195028" TargetMode="External"/><Relationship Id="rId30" Type="http://schemas.openxmlformats.org/officeDocument/2006/relationships/hyperlink" Target="https://doi.org/10.1016/j.digbus.2022.100037" TargetMode="External"/><Relationship Id="rId35" Type="http://schemas.openxmlformats.org/officeDocument/2006/relationships/hyperlink" Target="https://doi.org/10.1016/j.digbus.2025.100132" TargetMode="External"/><Relationship Id="rId43" Type="http://schemas.openxmlformats.org/officeDocument/2006/relationships/hyperlink" Target="https://doi.org/10.1016/j.teler.2023.100070" TargetMode="External"/><Relationship Id="rId48" Type="http://schemas.openxmlformats.org/officeDocument/2006/relationships/hyperlink" Target="https://doi.org/10.1016/j.im.2023.103888"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joitmc.2024.10040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9771B-3ABC-4123-AC1E-A9A2D4A25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15585</Words>
  <Characters>88840</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2026-04-13T15:54:00Z</dcterms:created>
  <dcterms:modified xsi:type="dcterms:W3CDTF">2026-04-13T15:54:00Z</dcterms:modified>
</cp:coreProperties>
</file>