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EDE3105" w14:textId="77777777" w:rsidR="00E000FF" w:rsidRDefault="00E000FF" w:rsidP="00E000FF">
      <w:pPr>
        <w:bidi/>
        <w:spacing w:after="0" w:line="360" w:lineRule="auto"/>
        <w:jc w:val="center"/>
        <w:rPr>
          <w:rFonts w:ascii="Traditional Arabic" w:hAnsi="Traditional Arabic" w:cs="Traditional Arabic"/>
          <w:b/>
          <w:bCs/>
          <w:sz w:val="28"/>
          <w:szCs w:val="28"/>
          <w:rtl/>
        </w:rPr>
      </w:pPr>
    </w:p>
    <w:p w14:paraId="16A2563A" w14:textId="10CFCC52" w:rsidR="005D691F" w:rsidRDefault="00F4227D" w:rsidP="00E000FF">
      <w:pPr>
        <w:bidi/>
        <w:spacing w:after="0" w:line="360" w:lineRule="auto"/>
        <w:jc w:val="center"/>
      </w:pPr>
      <w:r>
        <w:rPr>
          <w:rFonts w:ascii="Traditional Arabic" w:hAnsi="Traditional Arabic" w:cs="Traditional Arabic"/>
          <w:b/>
          <w:bCs/>
          <w:sz w:val="28"/>
          <w:szCs w:val="28"/>
          <w:rtl/>
        </w:rPr>
        <w:t>جامعة ميدأوشن</w:t>
      </w:r>
    </w:p>
    <w:p w14:paraId="6CD29D60" w14:textId="77777777" w:rsidR="005D691F" w:rsidRDefault="00F4227D" w:rsidP="00E000FF">
      <w:pPr>
        <w:bidi/>
        <w:spacing w:after="0" w:line="360" w:lineRule="auto"/>
        <w:jc w:val="center"/>
      </w:pPr>
      <w:r>
        <w:rPr>
          <w:rFonts w:ascii="Traditional Arabic" w:hAnsi="Traditional Arabic" w:cs="Traditional Arabic"/>
          <w:b/>
          <w:bCs/>
          <w:sz w:val="24"/>
          <w:szCs w:val="24"/>
          <w:rtl/>
        </w:rPr>
        <w:t>كلية الإدارة</w:t>
      </w:r>
    </w:p>
    <w:p w14:paraId="66EC4F74" w14:textId="77777777" w:rsidR="005D691F" w:rsidRDefault="005D691F" w:rsidP="00E000FF">
      <w:pPr>
        <w:bidi/>
        <w:spacing w:after="0" w:line="360" w:lineRule="auto"/>
      </w:pPr>
    </w:p>
    <w:p w14:paraId="12B0FE6B" w14:textId="77777777" w:rsidR="005D691F" w:rsidRDefault="00F4227D" w:rsidP="00E000FF">
      <w:pPr>
        <w:bidi/>
        <w:spacing w:after="0" w:line="360" w:lineRule="auto"/>
        <w:jc w:val="center"/>
      </w:pPr>
      <w:r>
        <w:rPr>
          <w:rFonts w:ascii="Traditional Arabic" w:hAnsi="Traditional Arabic" w:cs="Traditional Arabic"/>
          <w:b/>
          <w:bCs/>
          <w:sz w:val="36"/>
          <w:szCs w:val="36"/>
          <w:rtl/>
        </w:rPr>
        <w:t>أثر تقنية الترميز على الأمن السيبراني وكفاءة العمليات المالية في المؤسسات المالية السعودية</w:t>
      </w:r>
    </w:p>
    <w:p w14:paraId="2B1D0A37" w14:textId="77777777" w:rsidR="005D691F" w:rsidRDefault="00F4227D" w:rsidP="00E000FF">
      <w:pPr>
        <w:bidi/>
        <w:spacing w:after="0" w:line="360" w:lineRule="auto"/>
        <w:jc w:val="center"/>
      </w:pPr>
      <w:r>
        <w:rPr>
          <w:rFonts w:ascii="Traditional Arabic" w:hAnsi="Traditional Arabic" w:cs="Traditional Arabic"/>
          <w:b/>
          <w:bCs/>
          <w:sz w:val="28"/>
          <w:szCs w:val="28"/>
          <w:rtl/>
        </w:rPr>
        <w:t>دراسة تحليلية وفق رؤية المملكة 2030</w:t>
      </w:r>
    </w:p>
    <w:p w14:paraId="141DB46D" w14:textId="77777777" w:rsidR="005D691F" w:rsidRDefault="005D691F" w:rsidP="00E000FF">
      <w:pPr>
        <w:bidi/>
        <w:spacing w:after="0" w:line="360" w:lineRule="auto"/>
      </w:pPr>
    </w:p>
    <w:p w14:paraId="529F8846" w14:textId="77777777" w:rsidR="005D691F" w:rsidRDefault="00F4227D" w:rsidP="00E000FF">
      <w:pPr>
        <w:bidi/>
        <w:spacing w:after="0" w:line="360" w:lineRule="auto"/>
        <w:jc w:val="center"/>
      </w:pPr>
      <w:r>
        <w:rPr>
          <w:rFonts w:ascii="Traditional Arabic" w:hAnsi="Traditional Arabic" w:cs="Traditional Arabic"/>
          <w:b/>
          <w:bCs/>
          <w:sz w:val="28"/>
          <w:szCs w:val="28"/>
          <w:rtl/>
        </w:rPr>
        <w:t>إعداد</w:t>
      </w:r>
    </w:p>
    <w:p w14:paraId="4D3BB4A1" w14:textId="77777777" w:rsidR="005D691F" w:rsidRDefault="00F4227D" w:rsidP="00E000FF">
      <w:pPr>
        <w:bidi/>
        <w:spacing w:after="0" w:line="360" w:lineRule="auto"/>
        <w:jc w:val="center"/>
      </w:pPr>
      <w:r>
        <w:rPr>
          <w:rFonts w:ascii="Traditional Arabic" w:hAnsi="Traditional Arabic" w:cs="Traditional Arabic"/>
          <w:b/>
          <w:bCs/>
          <w:sz w:val="28"/>
          <w:szCs w:val="28"/>
          <w:rtl/>
        </w:rPr>
        <w:t>فيصل معيض الشريف</w:t>
      </w:r>
    </w:p>
    <w:p w14:paraId="068D5E1B" w14:textId="77777777" w:rsidR="005D691F" w:rsidRDefault="00F4227D" w:rsidP="00E000FF">
      <w:pPr>
        <w:bidi/>
        <w:spacing w:after="0" w:line="360" w:lineRule="auto"/>
        <w:jc w:val="center"/>
      </w:pPr>
      <w:r>
        <w:rPr>
          <w:rFonts w:ascii="Traditional Arabic" w:hAnsi="Traditional Arabic" w:cs="Traditional Arabic"/>
          <w:b/>
          <w:bCs/>
          <w:sz w:val="24"/>
          <w:szCs w:val="24"/>
          <w:rtl/>
        </w:rPr>
        <w:t>المملكة العربية السعودية</w:t>
      </w:r>
    </w:p>
    <w:p w14:paraId="785FEE93" w14:textId="77777777" w:rsidR="005D691F" w:rsidRDefault="005D691F" w:rsidP="00E000FF">
      <w:pPr>
        <w:bidi/>
        <w:spacing w:after="0" w:line="360" w:lineRule="auto"/>
      </w:pPr>
    </w:p>
    <w:p w14:paraId="13506328"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رسالة مقدمة لجامعة ميدأوشن لاستكمال متطلبات نيل درجة الدكتوراه في الفلسفة</w:t>
      </w:r>
    </w:p>
    <w:p w14:paraId="0DF8C2C9"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في</w:t>
      </w:r>
    </w:p>
    <w:p w14:paraId="1B5556EA"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الإدارة</w:t>
      </w:r>
    </w:p>
    <w:p w14:paraId="33F403D5" w14:textId="77777777" w:rsidR="005D691F" w:rsidRPr="00E000FF" w:rsidRDefault="005D691F" w:rsidP="00E000FF">
      <w:pPr>
        <w:bidi/>
        <w:spacing w:after="0" w:line="360" w:lineRule="auto"/>
        <w:rPr>
          <w:sz w:val="26"/>
          <w:szCs w:val="26"/>
        </w:rPr>
      </w:pPr>
    </w:p>
    <w:p w14:paraId="3343DE64"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sz w:val="20"/>
          <w:szCs w:val="20"/>
          <w:rtl/>
        </w:rPr>
        <w:t>1447 هـ - 2025 م</w:t>
      </w:r>
    </w:p>
    <w:p w14:paraId="1373CBAD" w14:textId="77777777" w:rsidR="005D691F" w:rsidRDefault="00F4227D" w:rsidP="00E000FF">
      <w:pPr>
        <w:bidi/>
        <w:spacing w:after="0"/>
      </w:pPr>
      <w:r>
        <w:br w:type="page"/>
      </w:r>
    </w:p>
    <w:p w14:paraId="5C595E93" w14:textId="77777777" w:rsidR="005D691F" w:rsidRDefault="00F4227D" w:rsidP="00E000FF">
      <w:pPr>
        <w:spacing w:after="0" w:line="360" w:lineRule="auto"/>
        <w:jc w:val="center"/>
      </w:pPr>
      <w:r>
        <w:rPr>
          <w:rFonts w:ascii="Times New Roman" w:hAnsi="Times New Roman" w:cs="Times New Roman"/>
          <w:b/>
          <w:bCs/>
          <w:sz w:val="28"/>
          <w:szCs w:val="28"/>
        </w:rPr>
        <w:lastRenderedPageBreak/>
        <w:t>MIDOCEAN UNIVERSITY</w:t>
      </w:r>
    </w:p>
    <w:p w14:paraId="6B8E061D" w14:textId="77777777" w:rsidR="005D691F" w:rsidRDefault="00F4227D" w:rsidP="00E000FF">
      <w:pPr>
        <w:spacing w:after="0" w:line="360" w:lineRule="auto"/>
        <w:jc w:val="center"/>
      </w:pPr>
      <w:r>
        <w:rPr>
          <w:rFonts w:ascii="Times New Roman" w:hAnsi="Times New Roman" w:cs="Times New Roman"/>
          <w:b/>
          <w:bCs/>
          <w:sz w:val="24"/>
          <w:szCs w:val="24"/>
        </w:rPr>
        <w:t>College of Management</w:t>
      </w:r>
    </w:p>
    <w:p w14:paraId="428D8923" w14:textId="77777777" w:rsidR="005D691F" w:rsidRDefault="005D691F" w:rsidP="00E000FF">
      <w:pPr>
        <w:bidi/>
        <w:spacing w:after="0" w:line="360" w:lineRule="auto"/>
      </w:pPr>
    </w:p>
    <w:p w14:paraId="4AD2CE45" w14:textId="77777777" w:rsidR="005D691F" w:rsidRDefault="00F4227D" w:rsidP="00E000FF">
      <w:pPr>
        <w:spacing w:after="0" w:line="360" w:lineRule="auto"/>
        <w:jc w:val="center"/>
      </w:pPr>
      <w:r>
        <w:rPr>
          <w:rFonts w:ascii="Times New Roman" w:hAnsi="Times New Roman" w:cs="Times New Roman"/>
          <w:b/>
          <w:bCs/>
          <w:sz w:val="36"/>
          <w:szCs w:val="36"/>
        </w:rPr>
        <w:t>THE IMPACT OF TOKENIZATION ON CYBERSECURITY AND FINANCIAL OPERATIONS EFFICIENCY IN SAUDI FINANCIAL INSTITUTIONS</w:t>
      </w:r>
    </w:p>
    <w:p w14:paraId="143FFCA5" w14:textId="77777777" w:rsidR="005D691F" w:rsidRDefault="00F4227D" w:rsidP="00E000FF">
      <w:pPr>
        <w:spacing w:after="0" w:line="360" w:lineRule="auto"/>
        <w:jc w:val="center"/>
      </w:pPr>
      <w:r>
        <w:rPr>
          <w:rFonts w:ascii="Times New Roman" w:hAnsi="Times New Roman" w:cs="Times New Roman"/>
          <w:b/>
          <w:bCs/>
          <w:sz w:val="28"/>
          <w:szCs w:val="28"/>
        </w:rPr>
        <w:t>An Analytical Study in Light of Saudi Vision 2030</w:t>
      </w:r>
    </w:p>
    <w:p w14:paraId="75CBF5AB" w14:textId="77777777" w:rsidR="005D691F" w:rsidRDefault="005D691F" w:rsidP="00E000FF">
      <w:pPr>
        <w:bidi/>
        <w:spacing w:after="0" w:line="360" w:lineRule="auto"/>
      </w:pPr>
    </w:p>
    <w:p w14:paraId="2C9C9603" w14:textId="77777777" w:rsidR="005D691F" w:rsidRDefault="00F4227D" w:rsidP="00E000FF">
      <w:pPr>
        <w:spacing w:after="0" w:line="360" w:lineRule="auto"/>
        <w:jc w:val="center"/>
      </w:pPr>
      <w:r>
        <w:rPr>
          <w:rFonts w:ascii="Times New Roman" w:hAnsi="Times New Roman" w:cs="Times New Roman"/>
          <w:b/>
          <w:bCs/>
          <w:sz w:val="28"/>
          <w:szCs w:val="28"/>
        </w:rPr>
        <w:t>By</w:t>
      </w:r>
    </w:p>
    <w:p w14:paraId="0E33B25B" w14:textId="77777777" w:rsidR="005D691F" w:rsidRDefault="00F4227D" w:rsidP="00E000FF">
      <w:pPr>
        <w:spacing w:after="0" w:line="360" w:lineRule="auto"/>
        <w:jc w:val="center"/>
      </w:pPr>
      <w:r>
        <w:rPr>
          <w:rFonts w:ascii="Times New Roman" w:hAnsi="Times New Roman" w:cs="Times New Roman"/>
          <w:b/>
          <w:bCs/>
          <w:sz w:val="28"/>
          <w:szCs w:val="28"/>
        </w:rPr>
        <w:t>FAISAL MUAID AL-SHARIF</w:t>
      </w:r>
    </w:p>
    <w:p w14:paraId="704E088D" w14:textId="77777777" w:rsidR="005D691F" w:rsidRDefault="00F4227D" w:rsidP="00E000FF">
      <w:pPr>
        <w:spacing w:after="0" w:line="360" w:lineRule="auto"/>
        <w:jc w:val="center"/>
      </w:pPr>
      <w:r>
        <w:rPr>
          <w:rFonts w:ascii="Times New Roman" w:hAnsi="Times New Roman" w:cs="Times New Roman"/>
          <w:b/>
          <w:bCs/>
          <w:sz w:val="24"/>
          <w:szCs w:val="24"/>
        </w:rPr>
        <w:t>Saudi Arabia</w:t>
      </w:r>
    </w:p>
    <w:p w14:paraId="7CAAEB9A" w14:textId="77777777" w:rsidR="005D691F" w:rsidRDefault="005D691F" w:rsidP="00E000FF">
      <w:pPr>
        <w:bidi/>
        <w:spacing w:after="0" w:line="360" w:lineRule="auto"/>
      </w:pPr>
    </w:p>
    <w:p w14:paraId="441D5FD1" w14:textId="77777777" w:rsidR="005D691F" w:rsidRDefault="00F4227D" w:rsidP="00E000FF">
      <w:pPr>
        <w:spacing w:after="0" w:line="360" w:lineRule="auto"/>
        <w:jc w:val="center"/>
      </w:pPr>
      <w:r>
        <w:rPr>
          <w:rFonts w:ascii="Times New Roman" w:hAnsi="Times New Roman" w:cs="Times New Roman"/>
          <w:b/>
          <w:bCs/>
          <w:sz w:val="24"/>
          <w:szCs w:val="24"/>
        </w:rPr>
        <w:t>Submitted to Midocean University in partial fulfillment of the requirements for the degree of Doctor of Philosophy</w:t>
      </w:r>
    </w:p>
    <w:p w14:paraId="35F1ABEB" w14:textId="77777777" w:rsidR="005D691F" w:rsidRDefault="00F4227D" w:rsidP="00E000FF">
      <w:pPr>
        <w:spacing w:after="0" w:line="360" w:lineRule="auto"/>
        <w:jc w:val="center"/>
      </w:pPr>
      <w:r>
        <w:rPr>
          <w:rFonts w:ascii="Times New Roman" w:hAnsi="Times New Roman" w:cs="Times New Roman"/>
          <w:b/>
          <w:bCs/>
          <w:sz w:val="24"/>
          <w:szCs w:val="24"/>
        </w:rPr>
        <w:t>in</w:t>
      </w:r>
    </w:p>
    <w:p w14:paraId="135D2BCB" w14:textId="77777777" w:rsidR="005D691F" w:rsidRDefault="00F4227D" w:rsidP="00E000FF">
      <w:pPr>
        <w:spacing w:after="0" w:line="360" w:lineRule="auto"/>
        <w:jc w:val="center"/>
      </w:pPr>
      <w:r>
        <w:rPr>
          <w:rFonts w:ascii="Times New Roman" w:hAnsi="Times New Roman" w:cs="Times New Roman"/>
          <w:b/>
          <w:bCs/>
          <w:sz w:val="24"/>
          <w:szCs w:val="24"/>
        </w:rPr>
        <w:t>MANAGEMENT</w:t>
      </w:r>
    </w:p>
    <w:p w14:paraId="7865C0EB" w14:textId="77777777" w:rsidR="005D691F" w:rsidRDefault="005D691F" w:rsidP="00E000FF">
      <w:pPr>
        <w:bidi/>
        <w:spacing w:after="0" w:line="360" w:lineRule="auto"/>
      </w:pPr>
    </w:p>
    <w:p w14:paraId="72A6DDB8" w14:textId="77777777" w:rsidR="005D691F" w:rsidRDefault="00F4227D" w:rsidP="00E000FF">
      <w:pPr>
        <w:spacing w:after="0" w:line="360" w:lineRule="auto"/>
        <w:jc w:val="center"/>
      </w:pPr>
      <w:r>
        <w:rPr>
          <w:rFonts w:ascii="Times New Roman" w:hAnsi="Times New Roman" w:cs="Times New Roman"/>
          <w:sz w:val="16"/>
          <w:szCs w:val="16"/>
        </w:rPr>
        <w:t>2025</w:t>
      </w:r>
    </w:p>
    <w:p w14:paraId="188281D5" w14:textId="2EECF615" w:rsidR="005D691F" w:rsidRDefault="005D691F" w:rsidP="00E000FF">
      <w:pPr>
        <w:bidi/>
        <w:spacing w:after="0"/>
      </w:pPr>
    </w:p>
    <w:p w14:paraId="7E6CA43F" w14:textId="77777777" w:rsidR="00DF1676" w:rsidRDefault="006E2853"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br w:type="page"/>
      </w:r>
      <w:bookmarkStart w:id="0" w:name="_Toc224563911"/>
      <w:bookmarkStart w:id="1" w:name="_Toc234424105"/>
      <w:r>
        <w:rPr>
          <w:rFonts w:ascii="Traditional Arabic" w:hAnsi="Traditional Arabic" w:cs="Traditional Arabic" w:hint="cs"/>
          <w:b/>
          <w:bCs/>
          <w:color w:val="auto"/>
          <w:u w:val="single"/>
          <w:rtl/>
        </w:rPr>
        <w:lastRenderedPageBreak/>
        <w:t>المحتويات</w:t>
      </w:r>
      <w:bookmarkEnd w:id="0"/>
      <w:bookmarkEnd w:id="1"/>
    </w:p>
    <w:p w14:paraId="723D5EB3" w14:textId="0D52F8B8" w:rsidR="005D691F" w:rsidRDefault="00F4227D" w:rsidP="00E000FF">
      <w:pPr>
        <w:bidi/>
        <w:spacing w:after="0"/>
      </w:pPr>
      <w:r>
        <w:fldChar w:fldCharType="begin"/>
      </w:r>
      <w:r>
        <w:instrText xml:space="preserve">TOC \t "Hd1,1" \h \z \u </w:instrText>
      </w:r>
      <w:r>
        <w:fldChar w:fldCharType="separate"/>
      </w:r>
      <w:r w:rsidR="00D5434C">
        <w:rPr>
          <w:b/>
          <w:bCs/>
          <w:noProof/>
        </w:rPr>
        <w:t>No table of contents entries found.</w:t>
      </w:r>
      <w:r>
        <w:fldChar w:fldCharType="end"/>
      </w:r>
    </w:p>
    <w:p w14:paraId="3766F050" w14:textId="77777777" w:rsidR="00DF1676" w:rsidRDefault="006E2853"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الجداول</w:t>
      </w:r>
    </w:p>
    <w:p w14:paraId="32F89236" w14:textId="630C1E67" w:rsidR="005D691F" w:rsidRDefault="00F4227D" w:rsidP="00E000FF">
      <w:pPr>
        <w:bidi/>
        <w:spacing w:after="0"/>
      </w:pPr>
      <w:r>
        <w:fldChar w:fldCharType="begin"/>
      </w:r>
      <w:r>
        <w:instrText xml:space="preserve">TOC \t "TblCap,1" \h \z \u </w:instrText>
      </w:r>
      <w:r>
        <w:fldChar w:fldCharType="separate"/>
      </w:r>
      <w:r w:rsidR="00D5434C">
        <w:rPr>
          <w:b/>
          <w:bCs/>
          <w:noProof/>
        </w:rPr>
        <w:t>No table of contents entries found.</w:t>
      </w:r>
      <w:r>
        <w:fldChar w:fldCharType="end"/>
      </w:r>
    </w:p>
    <w:p w14:paraId="050DE9A1" w14:textId="77777777" w:rsidR="00DF1676" w:rsidRDefault="006E2853"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الأشكال</w:t>
      </w:r>
    </w:p>
    <w:p w14:paraId="03BB630F" w14:textId="7025BBBF" w:rsidR="005D691F" w:rsidRDefault="00F4227D" w:rsidP="00E000FF">
      <w:pPr>
        <w:bidi/>
        <w:spacing w:after="0"/>
      </w:pPr>
      <w:r>
        <w:fldChar w:fldCharType="begin"/>
      </w:r>
      <w:r>
        <w:instrText xml:space="preserve">TOC \t "FigCap,1" \h \z \u </w:instrText>
      </w:r>
      <w:r>
        <w:fldChar w:fldCharType="separate"/>
      </w:r>
      <w:r w:rsidR="00D5434C">
        <w:rPr>
          <w:b/>
          <w:bCs/>
          <w:noProof/>
        </w:rPr>
        <w:t>No table of contents entries found.</w:t>
      </w:r>
      <w:r>
        <w:fldChar w:fldCharType="end"/>
      </w:r>
    </w:p>
    <w:p w14:paraId="6DCA3EAC" w14:textId="4E1CF1F0" w:rsidR="00C6300C" w:rsidRPr="00AD7D4E" w:rsidRDefault="00DF1676" w:rsidP="00E000FF">
      <w:pPr>
        <w:pStyle w:val="HeadingTOCEntry"/>
        <w:bidi/>
        <w:spacing w:after="0" w:line="360" w:lineRule="auto"/>
        <w:rPr>
          <w:rFonts w:ascii="Simplified Arabic" w:hAnsi="Simplified Arabic" w:cs="Simplified Arabic"/>
          <w:b/>
          <w:bCs/>
          <w:sz w:val="28"/>
          <w:szCs w:val="28"/>
          <w:u w:val="single"/>
        </w:rPr>
      </w:pPr>
      <w:bookmarkStart w:id="2" w:name="_Toc224563912"/>
      <w:bookmarkStart w:id="3" w:name="_Toc234424106"/>
      <w:r>
        <w:rPr>
          <w:rFonts w:ascii="Traditional Arabic" w:hAnsi="Traditional Arabic" w:cs="Traditional Arabic"/>
          <w:b/>
          <w:bCs/>
          <w:sz w:val="32"/>
          <w:szCs w:val="32"/>
          <w:u w:val="single"/>
          <w:rtl/>
        </w:rPr>
        <w:t>الملخص (بالعربية)</w:t>
      </w:r>
      <w:bookmarkEnd w:id="2"/>
      <w:bookmarkEnd w:id="3"/>
    </w:p>
    <w:p w14:paraId="7A8323AF" w14:textId="2EC8CAFC" w:rsidR="00C6300C" w:rsidRPr="00AD7D4E" w:rsidRDefault="00C6300C"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اعتمدت الدراسة المنهج الكمي الوصفي التحليلي، وطُبِّقت استبانة إلكترونية على عينة قصدية بلغت (196) مستجيباً من العاملين في وظائف تقنية المعلومات والأمن السيبراني والعمليات المالية والامتثال داخل المؤسسات المالية السعودية. وحُلِّلت البيانات بأساليب إحصائية لامعلمية شملت معامل ارتباط سبيرمان، واختبار مان-ويتني U، واختبار كروسكال-واليس، والانحدار المنقّح (Robust Regression)، وذلك بعد التحقق من انحراف البيانات عن التوزيع الطبيعي وعدم تجانس التباين.</w:t>
      </w:r>
    </w:p>
    <w:p w14:paraId="1A76C465" w14:textId="6372C100" w:rsidR="00AD7D4E" w:rsidRDefault="00C6300C" w:rsidP="00E000FF">
      <w:pPr>
        <w:pStyle w:val="21"/>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أظهرت النتائج وجود علاقة طردية دالة إحصائياً بين تطبيق تقنية الترميز ومستوى الأمن السيبراني المؤسسي (r = 0.641، p &lt; 0.001)، وبين تطبيق التقنية وكفاءة العمليات المالية (r = 0.625، p &lt; 0.001). كما فسّر نموذجا الانحدار المنقّح ما نسبته (78.3%) من التباين في الأمن السيبراني المؤسسي و(74.7%) من التباين في الكفاءة التشغيلية المالية. وكشفت النتائج عن فروق دالة إحصائياً تُعزى إلى مستوى تبنّي المؤسسة للتقنية ولنوع المؤسسة المالية. وتوصي الدراسة بتوسيع نطاق تطبيق الترميز وربطه بمنظومة الامتثال للمعايير الدولية بوصفه ممكِّناً لأهداف رؤية 2030.</w:t>
      </w:r>
    </w:p>
    <w:p w14:paraId="7BC4AA21" w14:textId="77777777" w:rsidR="0005531B" w:rsidRDefault="0005531B" w:rsidP="0005531B">
      <w:pPr>
        <w:bidi/>
        <w:rPr>
          <w:rtl/>
        </w:rPr>
      </w:pPr>
    </w:p>
    <w:p w14:paraId="4D8DA346" w14:textId="77777777" w:rsidR="0005531B" w:rsidRPr="0005531B" w:rsidRDefault="0005531B" w:rsidP="0005531B">
      <w:pPr>
        <w:bidi/>
      </w:pPr>
    </w:p>
    <w:p w14:paraId="24E0998E" w14:textId="77777777" w:rsidR="00AD7D4E" w:rsidRPr="00AD7D4E" w:rsidRDefault="00AD7D4E" w:rsidP="00E000FF">
      <w:pPr>
        <w:bidi/>
        <w:spacing w:after="0" w:line="360" w:lineRule="auto"/>
      </w:pPr>
    </w:p>
    <w:p w14:paraId="26C84E4B" w14:textId="77777777" w:rsidR="0005778F" w:rsidRDefault="00F443A5" w:rsidP="00E000FF">
      <w:pPr>
        <w:pStyle w:val="HeadingTOCEntry"/>
        <w:spacing w:after="0" w:line="360" w:lineRule="auto"/>
        <w:rPr>
          <w:rFonts w:ascii="Traditional Arabic" w:hAnsi="Traditional Arabic" w:cs="Traditional Arabic"/>
          <w:b/>
          <w:bCs/>
          <w:sz w:val="32"/>
          <w:szCs w:val="32"/>
          <w:u w:val="single"/>
        </w:rPr>
      </w:pPr>
      <w:r w:rsidRPr="00F443A5">
        <w:rPr>
          <w:rFonts w:ascii="Traditional Arabic" w:hAnsi="Traditional Arabic" w:cs="Traditional Arabic"/>
          <w:b/>
          <w:bCs/>
          <w:sz w:val="32"/>
          <w:szCs w:val="32"/>
          <w:u w:val="single"/>
        </w:rPr>
        <w:lastRenderedPageBreak/>
        <w:t>Abstract (English)</w:t>
      </w:r>
    </w:p>
    <w:p w14:paraId="466B5811"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p>
    <w:p w14:paraId="20E7E422"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p>
    <w:p w14:paraId="217CA05F" w14:textId="3B009884" w:rsidR="00F630BE"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The study adopted a quantitative descriptive-analytical approach. An electronic questionnaire was administered to a purposive sample of 196 respondents working in information technology, cybersecurity, financial operations and compliance functions within Saudi financial institutions. Data were analysed using non-parametric methods: Spearman rank correlation, Mann-Whitney U, Kruskal-Wallis, and Robust Regression, following confirmation of non-normality and heterogeneity of variance.</w:t>
      </w:r>
    </w:p>
    <w:p w14:paraId="6AB6CD3B" w14:textId="4521306E" w:rsidR="00C6300C" w:rsidRPr="00F277A5" w:rsidRDefault="00F630BE" w:rsidP="00E000FF">
      <w:pPr>
        <w:pStyle w:val="21"/>
        <w:spacing w:before="0" w:line="360" w:lineRule="auto"/>
        <w:jc w:val="both"/>
        <w:rPr>
          <w:rFonts w:ascii="Simplified Arabic" w:hAnsi="Simplified Arabic" w:cs="Simplified Arabic"/>
          <w:color w:val="auto"/>
          <w:sz w:val="28"/>
          <w:szCs w:val="28"/>
          <w:rtl/>
        </w:rPr>
      </w:pPr>
      <w:r w:rsidRPr="00F277A5">
        <w:rPr>
          <w:rFonts w:ascii="Traditional Arabic" w:eastAsiaTheme="minorHAnsi" w:hAnsi="Traditional Arabic" w:cs="Traditional Arabic"/>
          <w:color w:val="auto"/>
          <w:sz w:val="28"/>
          <w:szCs w:val="28"/>
        </w:rPr>
        <w:lastRenderedPageBreak/>
        <w:t>Results revealed a statistically significant positive relationship between tokenization adoption and institutional cybersecurity (r = 0.641, p &lt; 0.001), and between tokenization and financial operations efficiency (r = 0.625, p &lt; 0.001). The robust regression models explained 78.3% of the variance in institutional cybersecurity and 74.7% of the variance in financial operational efficiency. Significant differences were found according to the institution's adoption level and institution type. The study recommends expanding tokenization coverage and linking it to international compliance frameworks as an enabler of Vision 2030 objectives.</w:t>
      </w:r>
    </w:p>
    <w:p w14:paraId="13D3A60E" w14:textId="77777777" w:rsidR="0005531B" w:rsidRDefault="0005531B">
      <w:pPr>
        <w:spacing w:after="200" w:line="276" w:lineRule="auto"/>
        <w:rPr>
          <w:rFonts w:ascii="Traditional Arabic" w:hAnsi="Traditional Arabic" w:cs="Traditional Arabic"/>
          <w:b/>
          <w:bCs/>
          <w:sz w:val="92"/>
          <w:szCs w:val="92"/>
          <w:rtl/>
        </w:rPr>
      </w:pPr>
      <w:bookmarkStart w:id="4" w:name="_Toc224563914"/>
      <w:bookmarkStart w:id="5" w:name="_Toc234424108"/>
      <w:r>
        <w:rPr>
          <w:rFonts w:ascii="Traditional Arabic" w:hAnsi="Traditional Arabic" w:cs="Traditional Arabic"/>
          <w:b/>
          <w:bCs/>
          <w:sz w:val="92"/>
          <w:szCs w:val="92"/>
          <w:rtl/>
        </w:rPr>
        <w:br w:type="page"/>
      </w:r>
    </w:p>
    <w:p w14:paraId="4DCB0064" w14:textId="77777777" w:rsidR="0005531B" w:rsidRDefault="0005531B" w:rsidP="00E000FF">
      <w:pPr>
        <w:pStyle w:val="HeadingTOCEntry"/>
        <w:bidi/>
        <w:spacing w:after="0" w:line="360" w:lineRule="auto"/>
        <w:ind w:left="432" w:hanging="432"/>
        <w:jc w:val="center"/>
        <w:rPr>
          <w:rFonts w:ascii="Traditional Arabic" w:hAnsi="Traditional Arabic" w:cs="Traditional Arabic"/>
          <w:b/>
          <w:bCs/>
          <w:sz w:val="92"/>
          <w:szCs w:val="92"/>
          <w:rtl/>
        </w:rPr>
      </w:pPr>
    </w:p>
    <w:p w14:paraId="3ACF47AF"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04E7D36B"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602248CA" w14:textId="1D05DC79" w:rsidR="00D370C1" w:rsidRPr="000C2DBF" w:rsidRDefault="00D370C1" w:rsidP="0005531B">
      <w:pPr>
        <w:pStyle w:val="HeadingTOCEntry"/>
        <w:bidi/>
        <w:spacing w:after="0" w:line="360" w:lineRule="auto"/>
        <w:ind w:left="432" w:hanging="432"/>
        <w:jc w:val="center"/>
        <w:rPr>
          <w:rFonts w:ascii="Simplified Arabic" w:hAnsi="Simplified Arabic" w:cs="Simplified Arabic"/>
          <w:b/>
          <w:bCs/>
          <w:sz w:val="96"/>
          <w:szCs w:val="96"/>
          <w:rtl/>
        </w:rPr>
      </w:pPr>
      <w:r w:rsidRPr="0005778F">
        <w:rPr>
          <w:rFonts w:ascii="Traditional Arabic" w:hAnsi="Traditional Arabic" w:cs="Traditional Arabic" w:hint="cs"/>
          <w:b/>
          <w:bCs/>
          <w:sz w:val="92"/>
          <w:szCs w:val="92"/>
          <w:rtl/>
        </w:rPr>
        <w:t>الفصل الأول</w:t>
      </w:r>
      <w:bookmarkEnd w:id="4"/>
      <w:bookmarkEnd w:id="5"/>
      <w:r w:rsidRPr="0005778F">
        <w:rPr>
          <w:rFonts w:ascii="Traditional Arabic" w:hAnsi="Traditional Arabic" w:cs="Traditional Arabic" w:hint="cs"/>
          <w:b/>
          <w:bCs/>
          <w:sz w:val="92"/>
          <w:szCs w:val="92"/>
          <w:rtl/>
        </w:rPr>
        <w:t xml:space="preserve"> </w:t>
      </w:r>
    </w:p>
    <w:p w14:paraId="1E4F61D3" w14:textId="25455F4A" w:rsidR="00D370C1" w:rsidRPr="0005778F" w:rsidRDefault="00D370C1" w:rsidP="00E000FF">
      <w:pPr>
        <w:bidi/>
        <w:spacing w:after="0" w:line="360" w:lineRule="auto"/>
        <w:jc w:val="center"/>
        <w:rPr>
          <w:rFonts w:ascii="Traditional Arabic" w:hAnsi="Traditional Arabic" w:cs="Traditional Arabic"/>
          <w:b/>
          <w:bCs/>
          <w:sz w:val="92"/>
          <w:szCs w:val="92"/>
          <w:rtl/>
        </w:rPr>
      </w:pPr>
      <w:r w:rsidRPr="0005778F">
        <w:rPr>
          <w:rFonts w:ascii="Traditional Arabic" w:hAnsi="Traditional Arabic" w:cs="Traditional Arabic" w:hint="cs"/>
          <w:b/>
          <w:bCs/>
          <w:sz w:val="92"/>
          <w:szCs w:val="92"/>
          <w:rtl/>
        </w:rPr>
        <w:t>الإطار العام</w:t>
      </w:r>
    </w:p>
    <w:p w14:paraId="5182A08C" w14:textId="77777777" w:rsidR="0005778F" w:rsidRPr="0005778F" w:rsidRDefault="0005778F" w:rsidP="00E000FF">
      <w:pPr>
        <w:spacing w:after="0" w:line="276" w:lineRule="auto"/>
        <w:rPr>
          <w:rFonts w:ascii="Traditional Arabic" w:hAnsi="Traditional Arabic" w:cs="Traditional Arabic"/>
          <w:b/>
          <w:bCs/>
          <w:sz w:val="32"/>
          <w:szCs w:val="32"/>
          <w:rtl/>
        </w:rPr>
      </w:pPr>
      <w:bookmarkStart w:id="6" w:name="_Toc224563915"/>
      <w:bookmarkStart w:id="7" w:name="_Toc234424109"/>
      <w:r w:rsidRPr="0005778F">
        <w:rPr>
          <w:rFonts w:ascii="Traditional Arabic" w:hAnsi="Traditional Arabic" w:cs="Traditional Arabic"/>
          <w:b/>
          <w:bCs/>
          <w:sz w:val="32"/>
          <w:szCs w:val="32"/>
          <w:rtl/>
        </w:rPr>
        <w:br w:type="page"/>
      </w:r>
    </w:p>
    <w:p w14:paraId="63F1891A" w14:textId="77777777" w:rsidR="0005778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commentRangeStart w:id="8"/>
      <w:r>
        <w:rPr>
          <w:rFonts w:ascii="Traditional Arabic" w:hAnsi="Traditional Arabic" w:cs="Traditional Arabic"/>
          <w:b/>
          <w:bCs/>
          <w:sz w:val="32"/>
          <w:szCs w:val="32"/>
          <w:u w:val="single"/>
          <w:rtl/>
        </w:rPr>
        <w:lastRenderedPageBreak/>
        <w:t>مقدمة الدراسة</w:t>
      </w:r>
      <w:bookmarkEnd w:id="6"/>
      <w:bookmarkEnd w:id="7"/>
      <w:commentRangeEnd w:id="8"/>
      <w:r w:rsidR="00431AAC">
        <w:rPr>
          <w:rStyle w:val="affa"/>
          <w:rFonts w:ascii="Traditional Arabic" w:hAnsi="Traditional Arabic" w:cs="Traditional Arabic"/>
          <w:b/>
          <w:bCs/>
          <w:sz w:val="32"/>
          <w:szCs w:val="32"/>
          <w:u w:val="single"/>
          <w:rtl/>
        </w:rPr>
        <w:commentReference w:id="8"/>
      </w:r>
    </w:p>
    <w:p w14:paraId="141BDC50"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يشهد العالم تحولات متسارعة في قطاع التكنولوجيا المالية (</w:t>
      </w:r>
      <w:r w:rsidRPr="0005531B">
        <w:rPr>
          <w:rFonts w:ascii="Traditional Arabic" w:hAnsi="Traditional Arabic" w:cs="Traditional Arabic"/>
          <w:sz w:val="28"/>
          <w:szCs w:val="28"/>
        </w:rPr>
        <w:t>Fintech</w:t>
      </w:r>
      <w:r w:rsidRPr="0005531B">
        <w:rPr>
          <w:rFonts w:ascii="Traditional Arabic" w:hAnsi="Traditional Arabic" w:cs="Traditional Arabic"/>
          <w:sz w:val="28"/>
          <w:szCs w:val="28"/>
          <w:rtl/>
        </w:rPr>
        <w:t>) وتطبيقاتها المتنوعة، حيث برزت تقنية الترميز (</w:t>
      </w:r>
      <w:r w:rsidRPr="0005531B">
        <w:rPr>
          <w:rFonts w:ascii="Traditional Arabic" w:hAnsi="Traditional Arabic" w:cs="Traditional Arabic"/>
          <w:sz w:val="28"/>
          <w:szCs w:val="28"/>
        </w:rPr>
        <w:t>Tokenization</w:t>
      </w:r>
      <w:r w:rsidRPr="0005531B">
        <w:rPr>
          <w:rFonts w:ascii="Traditional Arabic" w:hAnsi="Traditional Arabic" w:cs="Traditional Arabic"/>
          <w:sz w:val="28"/>
          <w:szCs w:val="28"/>
          <w:rtl/>
        </w:rPr>
        <w:t>) 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p>
    <w:p w14:paraId="0BDF9247"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p>
    <w:p w14:paraId="1AFB5D86"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وفقاً لتقرير "</w:t>
      </w:r>
      <w:commentRangeStart w:id="9"/>
      <w:r w:rsidRPr="0005531B">
        <w:rPr>
          <w:rFonts w:ascii="Traditional Arabic" w:hAnsi="Traditional Arabic" w:cs="Traditional Arabic"/>
          <w:sz w:val="28"/>
          <w:szCs w:val="28"/>
          <w:rtl/>
        </w:rPr>
        <w:t>فنتك السعودية</w:t>
      </w:r>
      <w:commentRangeEnd w:id="9"/>
      <w:r w:rsidR="001C4E4D" w:rsidRPr="0005531B">
        <w:rPr>
          <w:rStyle w:val="affa"/>
          <w:rFonts w:ascii="Traditional Arabic" w:hAnsi="Traditional Arabic" w:cs="Traditional Arabic"/>
          <w:sz w:val="28"/>
          <w:szCs w:val="28"/>
          <w:rtl/>
        </w:rPr>
        <w:commentReference w:id="9"/>
      </w:r>
      <w:r w:rsidRPr="0005531B">
        <w:rPr>
          <w:rFonts w:ascii="Traditional Arabic" w:hAnsi="Traditional Arabic" w:cs="Traditional Arabic"/>
          <w:sz w:val="28"/>
          <w:szCs w:val="28"/>
          <w:rtl/>
        </w:rPr>
        <w:t xml:space="preserve">"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 </w:t>
      </w:r>
      <w:commentRangeStart w:id="10"/>
      <w:r w:rsidRPr="0005531B">
        <w:rPr>
          <w:rFonts w:ascii="Traditional Arabic" w:hAnsi="Traditional Arabic" w:cs="Traditional Arabic"/>
          <w:sz w:val="28"/>
          <w:szCs w:val="28"/>
        </w:rPr>
        <w:t>Mordor Intelligence</w:t>
      </w:r>
      <w:commentRangeEnd w:id="10"/>
      <w:r w:rsidR="001C4E4D" w:rsidRPr="0005531B">
        <w:rPr>
          <w:rStyle w:val="affa"/>
          <w:rFonts w:ascii="Traditional Arabic" w:hAnsi="Traditional Arabic" w:cs="Traditional Arabic"/>
          <w:sz w:val="28"/>
          <w:szCs w:val="28"/>
          <w:rtl/>
        </w:rPr>
        <w:commentReference w:id="10"/>
      </w:r>
      <w:r w:rsidRPr="0005531B">
        <w:rPr>
          <w:rFonts w:ascii="Traditional Arabic" w:hAnsi="Traditional Arabic" w:cs="Traditional Arabic"/>
          <w:sz w:val="28"/>
          <w:szCs w:val="28"/>
          <w:rtl/>
        </w:rPr>
        <w:t xml:space="preserve"> (2023) 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p>
    <w:p w14:paraId="383FAC35"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p>
    <w:p w14:paraId="7DBE2E83"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 </w:t>
      </w:r>
      <w:r w:rsidRPr="0005531B">
        <w:rPr>
          <w:rFonts w:ascii="Traditional Arabic" w:hAnsi="Traditional Arabic" w:cs="Traditional Arabic"/>
          <w:sz w:val="28"/>
          <w:szCs w:val="28"/>
        </w:rPr>
        <w:t>PwC</w:t>
      </w:r>
      <w:r w:rsidRPr="0005531B">
        <w:rPr>
          <w:rFonts w:ascii="Traditional Arabic" w:hAnsi="Traditional Arabic" w:cs="Traditional Arabic"/>
          <w:sz w:val="28"/>
          <w:szCs w:val="28"/>
          <w:rtl/>
        </w:rPr>
        <w:t xml:space="preserve"> (2022) أن المؤسسات المالية التي تطبق تقنيات الترميز بشكل فعال تشهد انخفاضاً في معدلات الاختراق بنسبة تصل إلى 73% وتحسناً في كفاءة المعاملات بنسبة 62%.</w:t>
      </w:r>
    </w:p>
    <w:p w14:paraId="040B5FD0"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p>
    <w:p w14:paraId="319E5BA6" w14:textId="43676ABB" w:rsidR="00CF3CD3" w:rsidRPr="0005531B" w:rsidRDefault="00D46A37" w:rsidP="00E000FF">
      <w:pPr>
        <w:bidi/>
        <w:spacing w:after="0" w:line="360" w:lineRule="auto"/>
        <w:jc w:val="both"/>
        <w:rPr>
          <w:rFonts w:ascii="Traditional Arabic" w:hAnsi="Traditional Arabic" w:cs="Traditional Arabic"/>
          <w:sz w:val="28"/>
          <w:szCs w:val="28"/>
          <w:rtl/>
        </w:rPr>
      </w:pPr>
      <w:r w:rsidRPr="0005531B">
        <w:rPr>
          <w:rFonts w:ascii="Traditional Arabic" w:hAnsi="Traditional Arabic" w:cs="Traditional Arabic"/>
          <w:sz w:val="28"/>
          <w:szCs w:val="28"/>
          <w:rtl/>
        </w:rPr>
        <w:t>وفي ضوء ما تقدَّم من نمو متسارع في القطاع المالي السعودي، وتصاعد في التهديدات السيبرانية، وحضور متزايد لتقنية الترميز بوصفها أحد الحلول التقنية المطروحة، تبرز الحاجة إلى فحص علمي منضبط لأثر هذه التقنية على الأمن السيبراني وكفاءة العمليات المالية داخل المؤسسات المالية السعودية، وهو ما يتناوله المبحث التالي في إطار تحديد مشكلة الدراسة.</w:t>
      </w:r>
    </w:p>
    <w:p w14:paraId="198291C8" w14:textId="77777777" w:rsidR="00D46A37" w:rsidRPr="0072768E" w:rsidRDefault="00D46A37" w:rsidP="00E000FF">
      <w:pPr>
        <w:bidi/>
        <w:spacing w:after="0" w:line="360" w:lineRule="auto"/>
        <w:jc w:val="both"/>
        <w:rPr>
          <w:rtl/>
        </w:rPr>
      </w:pPr>
    </w:p>
    <w:p w14:paraId="33922742" w14:textId="77777777" w:rsidR="00D46A37" w:rsidRDefault="00883E09" w:rsidP="00E000FF">
      <w:pPr>
        <w:pStyle w:val="HeadingTOCEntry"/>
        <w:bidi/>
        <w:spacing w:after="0" w:line="360" w:lineRule="auto"/>
        <w:ind w:left="432" w:hanging="432"/>
        <w:jc w:val="both"/>
        <w:rPr>
          <w:rFonts w:ascii="Traditional Arabic" w:hAnsi="Traditional Arabic" w:cs="Traditional Arabic"/>
          <w:b/>
          <w:bCs/>
          <w:sz w:val="32"/>
          <w:szCs w:val="32"/>
          <w:u w:val="single"/>
          <w:rtl/>
        </w:rPr>
      </w:pPr>
      <w:bookmarkStart w:id="11" w:name="_Toc224563916"/>
      <w:bookmarkStart w:id="12" w:name="_Toc234424110"/>
      <w:r>
        <w:rPr>
          <w:rFonts w:ascii="Traditional Arabic" w:hAnsi="Traditional Arabic" w:cs="Traditional Arabic"/>
          <w:b/>
          <w:bCs/>
          <w:sz w:val="32"/>
          <w:szCs w:val="32"/>
          <w:u w:val="single"/>
          <w:rtl/>
        </w:rPr>
        <w:t>مشكلة الدراسة وأسئلتها</w:t>
      </w:r>
      <w:r>
        <w:rPr>
          <w:rFonts w:ascii="Traditional Arabic" w:hAnsi="Traditional Arabic" w:cs="Traditional Arabic" w:hint="cs"/>
          <w:b/>
          <w:bCs/>
          <w:sz w:val="32"/>
          <w:szCs w:val="32"/>
          <w:u w:val="single"/>
          <w:rtl/>
        </w:rPr>
        <w:t>:</w:t>
      </w:r>
      <w:bookmarkEnd w:id="11"/>
      <w:bookmarkEnd w:id="12"/>
    </w:p>
    <w:p w14:paraId="7B803C17" w14:textId="77777777" w:rsidR="00F277A5" w:rsidRPr="0005531B" w:rsidRDefault="00F277A5" w:rsidP="00E000FF">
      <w:pPr>
        <w:bidi/>
        <w:spacing w:after="0" w:line="360" w:lineRule="auto"/>
        <w:jc w:val="both"/>
        <w:rPr>
          <w:rFonts w:ascii="Traditional Arabic" w:hAnsi="Traditional Arabic" w:cs="Traditional Arabic"/>
          <w:sz w:val="28"/>
          <w:szCs w:val="28"/>
        </w:rPr>
      </w:pPr>
      <w:bookmarkStart w:id="13" w:name="_Toc195285632"/>
      <w:commentRangeStart w:id="14"/>
      <w:r w:rsidRPr="0005531B">
        <w:rPr>
          <w:rFonts w:ascii="Traditional Arabic" w:hAnsi="Traditional Arabic" w:cs="Traditional Arabic"/>
          <w:sz w:val="28"/>
          <w:szCs w:val="28"/>
          <w:rtl/>
        </w:rPr>
        <w:t xml:space="preserve">وتعكس هذه التهديدات تأثيراً </w:t>
      </w:r>
      <w:commentRangeEnd w:id="14"/>
      <w:r w:rsidR="007A39E6" w:rsidRPr="0005531B">
        <w:rPr>
          <w:rStyle w:val="affa"/>
          <w:rFonts w:ascii="Traditional Arabic" w:hAnsi="Traditional Arabic" w:cs="Traditional Arabic"/>
          <w:sz w:val="28"/>
          <w:szCs w:val="28"/>
          <w:rtl/>
        </w:rPr>
        <w:commentReference w:id="14"/>
      </w:r>
      <w:r w:rsidRPr="0005531B">
        <w:rPr>
          <w:rFonts w:ascii="Traditional Arabic" w:hAnsi="Traditional Arabic" w:cs="Traditional Arabic"/>
          <w:sz w:val="28"/>
          <w:szCs w:val="28"/>
          <w:rtl/>
        </w:rPr>
        <w:t xml:space="preserve">مباشراً على ثقة المستهلكين، حيث يشير تقرير </w:t>
      </w:r>
      <w:r w:rsidRPr="0005531B">
        <w:rPr>
          <w:rFonts w:ascii="Traditional Arabic" w:hAnsi="Traditional Arabic" w:cs="Traditional Arabic"/>
          <w:sz w:val="28"/>
          <w:szCs w:val="28"/>
        </w:rPr>
        <w:t>Saudi Payments</w:t>
      </w:r>
      <w:r w:rsidRPr="0005531B">
        <w:rPr>
          <w:rFonts w:ascii="Traditional Arabic" w:hAnsi="Traditional Arabic" w:cs="Traditional Arabic"/>
          <w:sz w:val="28"/>
          <w:szCs w:val="28"/>
          <w:rtl/>
        </w:rPr>
        <w:t xml:space="preserve"> (2023) 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p>
    <w:p w14:paraId="018E350C"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p>
    <w:p w14:paraId="4795B60C"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lastRenderedPageBreak/>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p>
    <w:p w14:paraId="5575B60A"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 (</w:t>
      </w:r>
      <w:r w:rsidRPr="0005531B">
        <w:rPr>
          <w:rFonts w:ascii="Traditional Arabic" w:hAnsi="Traditional Arabic" w:cs="Traditional Arabic"/>
          <w:sz w:val="28"/>
          <w:szCs w:val="28"/>
        </w:rPr>
        <w:t>World Economic Forum, 2024</w:t>
      </w:r>
      <w:r w:rsidRPr="0005531B">
        <w:rPr>
          <w:rFonts w:ascii="Traditional Arabic" w:hAnsi="Traditional Arabic" w:cs="Traditional Arabic"/>
          <w:sz w:val="28"/>
          <w:szCs w:val="28"/>
          <w:rtl/>
        </w:rPr>
        <w:t>) 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p>
    <w:p w14:paraId="1FD56E1C"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p>
    <w:p w14:paraId="5B21D740" w14:textId="77777777" w:rsidR="00F277A5" w:rsidRPr="0005531B" w:rsidRDefault="00F277A5" w:rsidP="00E000FF">
      <w:pPr>
        <w:bidi/>
        <w:spacing w:after="0" w:line="360" w:lineRule="auto"/>
        <w:jc w:val="both"/>
        <w:rPr>
          <w:rFonts w:ascii="Traditional Arabic" w:hAnsi="Traditional Arabic" w:cs="Traditional Arabic"/>
          <w:sz w:val="28"/>
          <w:szCs w:val="28"/>
          <w:rtl/>
        </w:rPr>
      </w:pPr>
      <w:r w:rsidRPr="0005531B">
        <w:rPr>
          <w:rFonts w:ascii="Traditional Arabic" w:hAnsi="Traditional Arabic" w:cs="Traditional Arabic"/>
          <w:sz w:val="28"/>
          <w:szCs w:val="28"/>
          <w:rtl/>
        </w:rPr>
        <w:t xml:space="preserve">وعليه، تتبلور مشكلة الدراسة في وجود فجوة معرفية بين التوسع العملي في تطبيق تقنية الترميز داخل المؤسسات المالية السعودية من جهة، وندرة الأدلة الميدانية الكمية التي تقيس أثر هذا التطبيق على الأمن السيبراني وكفاءة العمليات المالية في البيئة السعودية من جهة أخرى. </w:t>
      </w:r>
      <w:commentRangeStart w:id="15"/>
      <w:r w:rsidRPr="0005531B">
        <w:rPr>
          <w:rFonts w:ascii="Traditional Arabic" w:hAnsi="Traditional Arabic" w:cs="Traditional Arabic"/>
          <w:sz w:val="28"/>
          <w:szCs w:val="28"/>
          <w:rtl/>
        </w:rPr>
        <w:t xml:space="preserve">وتُصاغ مشكلة </w:t>
      </w:r>
      <w:commentRangeEnd w:id="15"/>
      <w:r w:rsidR="007A39E6" w:rsidRPr="0005531B">
        <w:rPr>
          <w:rStyle w:val="affa"/>
          <w:rFonts w:ascii="Traditional Arabic" w:hAnsi="Traditional Arabic" w:cs="Traditional Arabic"/>
          <w:sz w:val="28"/>
          <w:szCs w:val="28"/>
          <w:rtl/>
        </w:rPr>
        <w:commentReference w:id="15"/>
      </w:r>
      <w:r w:rsidRPr="0005531B">
        <w:rPr>
          <w:rFonts w:ascii="Traditional Arabic" w:hAnsi="Traditional Arabic" w:cs="Traditional Arabic"/>
          <w:sz w:val="28"/>
          <w:szCs w:val="28"/>
          <w:rtl/>
        </w:rPr>
        <w:t xml:space="preserve">الدراسة في السؤال الرئيس الآتي: </w:t>
      </w:r>
    </w:p>
    <w:p w14:paraId="27B02111" w14:textId="733F36AF" w:rsidR="00091751" w:rsidRPr="0005531B" w:rsidRDefault="00F277A5" w:rsidP="00E000FF">
      <w:pPr>
        <w:bidi/>
        <w:spacing w:after="0" w:line="360" w:lineRule="auto"/>
        <w:jc w:val="both"/>
        <w:rPr>
          <w:b/>
          <w:bCs/>
          <w:rtl/>
        </w:rPr>
      </w:pPr>
      <w:r w:rsidRPr="0005531B">
        <w:rPr>
          <w:rFonts w:ascii="Traditional Arabic" w:hAnsi="Traditional Arabic" w:cs="Traditional Arabic"/>
          <w:b/>
          <w:bCs/>
          <w:sz w:val="28"/>
          <w:szCs w:val="28"/>
          <w:rtl/>
        </w:rPr>
        <w:t xml:space="preserve">ما أثر تطبيق تقنية الترميز على الأمن السيبراني وكفاءة العمليات المالية في المؤسسات المالية السعودية </w:t>
      </w:r>
      <w:commentRangeStart w:id="16"/>
      <w:r w:rsidRPr="0005531B">
        <w:rPr>
          <w:rFonts w:ascii="Traditional Arabic" w:hAnsi="Traditional Arabic" w:cs="Traditional Arabic"/>
          <w:b/>
          <w:bCs/>
          <w:sz w:val="28"/>
          <w:szCs w:val="28"/>
          <w:rtl/>
        </w:rPr>
        <w:t>في ضوء رؤية 2030؟</w:t>
      </w:r>
      <w:commentRangeEnd w:id="16"/>
      <w:r w:rsidR="007A39E6" w:rsidRPr="0005531B">
        <w:rPr>
          <w:rStyle w:val="affa"/>
          <w:b/>
          <w:bCs/>
          <w:sz w:val="22"/>
          <w:szCs w:val="22"/>
          <w:rtl/>
        </w:rPr>
        <w:commentReference w:id="16"/>
      </w:r>
    </w:p>
    <w:p w14:paraId="74D2BC59" w14:textId="77777777" w:rsidR="000F651A" w:rsidRPr="0072768E" w:rsidRDefault="000F651A"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0F651A" w:rsidRPr="0072768E" w:rsidSect="006E2853">
          <w:headerReference w:type="even" r:id="rId16"/>
          <w:headerReference w:type="default" r:id="rId17"/>
          <w:footerReference w:type="default" r:id="rId18"/>
          <w:headerReference w:type="first" r:id="rId19"/>
          <w:footerReference w:type="first" r:id="rId20"/>
          <w:pgSz w:w="11906" w:h="16838"/>
          <w:pgMar w:top="1440" w:right="1800" w:bottom="1440" w:left="1800" w:header="708" w:footer="144" w:gutter="0"/>
          <w:cols w:space="708"/>
          <w:titlePg/>
          <w:bidi/>
          <w:rtlGutter/>
          <w:docGrid w:linePitch="360"/>
        </w:sectPr>
      </w:pPr>
    </w:p>
    <w:p w14:paraId="57AA48D8" w14:textId="73BF133B" w:rsidR="00D64F3E" w:rsidRPr="0072768E" w:rsidRDefault="004C6F90" w:rsidP="00E000FF">
      <w:pPr>
        <w:pStyle w:val="HeadingTOCEntry"/>
        <w:bidi/>
        <w:spacing w:after="0" w:line="360" w:lineRule="auto"/>
        <w:ind w:left="432" w:hanging="432"/>
        <w:rPr>
          <w:rFonts w:ascii="Simplified Arabic" w:hAnsi="Simplified Arabic" w:cs="Simplified Arabic"/>
          <w:b/>
          <w:bCs/>
          <w:sz w:val="28"/>
          <w:szCs w:val="28"/>
          <w:u w:val="single"/>
          <w:rtl/>
        </w:rPr>
      </w:pPr>
      <w:bookmarkStart w:id="17" w:name="_Toc224563917"/>
      <w:bookmarkStart w:id="18" w:name="_Toc234424111"/>
      <w:r>
        <w:rPr>
          <w:rFonts w:ascii="Traditional Arabic" w:hAnsi="Traditional Arabic" w:cs="Traditional Arabic" w:hint="cs"/>
          <w:b/>
          <w:bCs/>
          <w:sz w:val="32"/>
          <w:szCs w:val="32"/>
          <w:u w:val="single"/>
          <w:rtl/>
        </w:rPr>
        <w:lastRenderedPageBreak/>
        <w:t>أسئلة البحث</w:t>
      </w:r>
      <w:bookmarkEnd w:id="13"/>
      <w:bookmarkEnd w:id="17"/>
      <w:bookmarkEnd w:id="18"/>
    </w:p>
    <w:p w14:paraId="79E8F692" w14:textId="77777777" w:rsidR="00091751" w:rsidRPr="0072768E" w:rsidRDefault="00091751"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تسعى هذه الدراسة إلى الإجابة على التساؤل الرئيسي التالي:</w:t>
      </w:r>
    </w:p>
    <w:p w14:paraId="79482EC1" w14:textId="77777777" w:rsidR="00091751" w:rsidRPr="0072768E" w:rsidRDefault="00091751" w:rsidP="00E000FF">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E000FF">
      <w:pPr>
        <w:pStyle w:val="1"/>
        <w:numPr>
          <w:ilvl w:val="0"/>
          <w:numId w:val="0"/>
        </w:numPr>
        <w:bidi/>
        <w:spacing w:before="0" w:line="360" w:lineRule="auto"/>
        <w:jc w:val="both"/>
        <w:rPr>
          <w:rFonts w:ascii="Simplified Arabic" w:hAnsi="Simplified Arabic" w:cs="Simplified Arabic"/>
          <w:color w:val="auto"/>
          <w:sz w:val="28"/>
          <w:szCs w:val="28"/>
        </w:rPr>
      </w:pPr>
      <w:bookmarkStart w:id="19" w:name="_Toc217927615"/>
      <w:bookmarkStart w:id="20" w:name="_Toc224563918"/>
      <w:bookmarkStart w:id="21" w:name="_Toc224563975"/>
      <w:bookmarkStart w:id="22" w:name="_Toc234424112"/>
      <w:bookmarkStart w:id="23" w:name="_Hlk195360523"/>
      <w:r>
        <w:rPr>
          <w:rFonts w:ascii="Traditional Arabic" w:hAnsi="Traditional Arabic" w:cs="Traditional Arabic"/>
          <w:b/>
          <w:bCs/>
          <w:color w:val="auto"/>
          <w:rtl/>
        </w:rPr>
        <w:t>وفي ضوء مشكلة الدراسة والتساؤل الرئيسي، يمكن تحديد التساؤلات البحثية الفرعية التالية:</w:t>
      </w:r>
      <w:bookmarkEnd w:id="19"/>
      <w:bookmarkEnd w:id="20"/>
      <w:bookmarkEnd w:id="21"/>
      <w:bookmarkEnd w:id="22"/>
    </w:p>
    <w:p w14:paraId="069F24C3" w14:textId="77777777" w:rsidR="004A6241" w:rsidRPr="004A6241" w:rsidRDefault="004A6241" w:rsidP="00E000FF">
      <w:pPr>
        <w:pStyle w:val="1"/>
        <w:numPr>
          <w:ilvl w:val="0"/>
          <w:numId w:val="0"/>
        </w:numPr>
        <w:bidi/>
        <w:spacing w:before="0" w:line="360" w:lineRule="auto"/>
        <w:jc w:val="both"/>
        <w:rPr>
          <w:rFonts w:ascii="Simplified Arabic" w:hAnsi="Simplified Arabic" w:cs="Simplified Arabic"/>
          <w:color w:val="auto"/>
          <w:sz w:val="28"/>
          <w:szCs w:val="28"/>
        </w:rPr>
      </w:pPr>
      <w:bookmarkStart w:id="24" w:name="_Toc217927616"/>
      <w:bookmarkStart w:id="25" w:name="_Toc224563919"/>
      <w:bookmarkStart w:id="26" w:name="_Toc224563976"/>
      <w:bookmarkStart w:id="27" w:name="_Toc234424113"/>
      <w:r>
        <w:rPr>
          <w:rFonts w:ascii="Traditional Arabic" w:hAnsi="Traditional Arabic" w:cs="Traditional Arabic"/>
          <w:b/>
          <w:bCs/>
          <w:color w:val="auto"/>
          <w:rtl/>
        </w:rPr>
        <w:t xml:space="preserve">التساؤل البحثي الأول: ما أثر تبنّي تقنية الترميز على </w:t>
      </w:r>
      <w:commentRangeStart w:id="28"/>
      <w:r>
        <w:rPr>
          <w:rFonts w:ascii="Traditional Arabic" w:hAnsi="Traditional Arabic" w:cs="Traditional Arabic"/>
          <w:b/>
          <w:bCs/>
          <w:color w:val="auto"/>
          <w:rtl/>
        </w:rPr>
        <w:t>مؤشرات</w:t>
      </w:r>
      <w:commentRangeEnd w:id="28"/>
      <w:r w:rsidR="007A39E6">
        <w:rPr>
          <w:rStyle w:val="affa"/>
          <w:rFonts w:ascii="Traditional Arabic" w:hAnsi="Traditional Arabic" w:cs="Traditional Arabic"/>
          <w:b/>
          <w:bCs/>
          <w:color w:val="auto"/>
          <w:sz w:val="32"/>
          <w:szCs w:val="32"/>
          <w:rtl/>
        </w:rPr>
        <w:commentReference w:id="28"/>
      </w:r>
      <w:r>
        <w:rPr>
          <w:rFonts w:ascii="Traditional Arabic" w:hAnsi="Traditional Arabic" w:cs="Traditional Arabic"/>
          <w:b/>
          <w:bCs/>
          <w:color w:val="auto"/>
          <w:rtl/>
        </w:rPr>
        <w:t xml:space="preserve"> الأمن السيبراني في المؤسسات المالية السعودية؟</w:t>
      </w:r>
      <w:bookmarkEnd w:id="24"/>
      <w:bookmarkEnd w:id="25"/>
      <w:bookmarkEnd w:id="26"/>
      <w:bookmarkEnd w:id="27"/>
    </w:p>
    <w:p w14:paraId="2251F11B" w14:textId="77777777" w:rsidR="004A6241" w:rsidRPr="004A6241" w:rsidRDefault="004A6241" w:rsidP="00E000FF">
      <w:pPr>
        <w:pStyle w:val="1"/>
        <w:numPr>
          <w:ilvl w:val="0"/>
          <w:numId w:val="0"/>
        </w:numPr>
        <w:bidi/>
        <w:spacing w:before="0" w:line="360" w:lineRule="auto"/>
        <w:jc w:val="both"/>
        <w:rPr>
          <w:rFonts w:ascii="Simplified Arabic" w:hAnsi="Simplified Arabic" w:cs="Simplified Arabic"/>
          <w:color w:val="auto"/>
          <w:sz w:val="28"/>
          <w:szCs w:val="28"/>
        </w:rPr>
      </w:pPr>
      <w:bookmarkStart w:id="29" w:name="_Toc217927617"/>
      <w:bookmarkStart w:id="30" w:name="_Toc224563920"/>
      <w:bookmarkStart w:id="31" w:name="_Toc224563977"/>
      <w:bookmarkStart w:id="32" w:name="_Toc234424114"/>
      <w:r>
        <w:rPr>
          <w:rFonts w:ascii="Traditional Arabic" w:hAnsi="Traditional Arabic" w:cs="Traditional Arabic"/>
          <w:b/>
          <w:bCs/>
          <w:color w:val="auto"/>
          <w:rtl/>
        </w:rPr>
        <w:t>الأسئلة الفرعية:</w:t>
      </w:r>
      <w:bookmarkEnd w:id="29"/>
      <w:bookmarkEnd w:id="30"/>
      <w:bookmarkEnd w:id="31"/>
      <w:bookmarkEnd w:id="32"/>
    </w:p>
    <w:p w14:paraId="3C9B6F5A" w14:textId="77777777" w:rsidR="004A6241" w:rsidRPr="004A6241" w:rsidRDefault="004A6241" w:rsidP="00E000FF">
      <w:pPr>
        <w:pStyle w:val="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الترميز الأمني للبيانات على مستوى الأمن السيبراني ا</w:t>
      </w:r>
      <w:commentRangeStart w:id="33"/>
      <w:r>
        <w:rPr>
          <w:rFonts w:ascii="Traditional Arabic" w:hAnsi="Traditional Arabic" w:cs="Traditional Arabic"/>
          <w:b/>
          <w:bCs/>
          <w:color w:val="auto"/>
          <w:rtl/>
        </w:rPr>
        <w:t>لمؤسسي</w:t>
      </w:r>
      <w:commentRangeEnd w:id="33"/>
      <w:r w:rsidR="007A39E6">
        <w:rPr>
          <w:rStyle w:val="affa"/>
          <w:rFonts w:ascii="Traditional Arabic" w:hAnsi="Traditional Arabic" w:cs="Traditional Arabic"/>
          <w:b/>
          <w:bCs/>
          <w:color w:val="auto"/>
          <w:sz w:val="32"/>
          <w:szCs w:val="32"/>
          <w:rtl/>
        </w:rPr>
        <w:commentReference w:id="33"/>
      </w:r>
      <w:r>
        <w:rPr>
          <w:rFonts w:ascii="Traditional Arabic" w:hAnsi="Traditional Arabic" w:cs="Traditional Arabic"/>
          <w:b/>
          <w:bCs/>
          <w:color w:val="auto"/>
          <w:rtl/>
        </w:rPr>
        <w:t>؟</w:t>
      </w:r>
    </w:p>
    <w:p w14:paraId="320BA1AB" w14:textId="77777777" w:rsidR="004A6241" w:rsidRPr="004A6241" w:rsidRDefault="004A6241" w:rsidP="00E000FF">
      <w:pPr>
        <w:pStyle w:val="1"/>
        <w:numPr>
          <w:ilvl w:val="0"/>
          <w:numId w:val="50"/>
        </w:numPr>
        <w:bidi/>
        <w:spacing w:before="0" w:line="360" w:lineRule="auto"/>
        <w:jc w:val="both"/>
        <w:rPr>
          <w:rFonts w:ascii="Simplified Arabic" w:hAnsi="Simplified Arabic" w:cs="Simplified Arabic"/>
          <w:color w:val="auto"/>
          <w:sz w:val="28"/>
          <w:szCs w:val="28"/>
        </w:rPr>
      </w:pPr>
      <w:commentRangeStart w:id="34"/>
      <w:r>
        <w:rPr>
          <w:rFonts w:ascii="Traditional Arabic" w:hAnsi="Traditional Arabic" w:cs="Traditional Arabic"/>
          <w:b/>
          <w:bCs/>
          <w:color w:val="auto"/>
          <w:rtl/>
        </w:rPr>
        <w:t>ما أثر بُعد الامتثال للمعايير الدولية على مستوى الأمن السيبراني المؤسسي</w:t>
      </w:r>
      <w:commentRangeEnd w:id="34"/>
      <w:r w:rsidR="007A39E6">
        <w:rPr>
          <w:rStyle w:val="affa"/>
          <w:rFonts w:ascii="Traditional Arabic" w:hAnsi="Traditional Arabic" w:cs="Traditional Arabic"/>
          <w:b/>
          <w:bCs/>
          <w:color w:val="auto"/>
          <w:sz w:val="32"/>
          <w:szCs w:val="32"/>
          <w:rtl/>
        </w:rPr>
        <w:commentReference w:id="34"/>
      </w:r>
      <w:r>
        <w:rPr>
          <w:rFonts w:ascii="Traditional Arabic" w:hAnsi="Traditional Arabic" w:cs="Traditional Arabic"/>
          <w:b/>
          <w:bCs/>
          <w:color w:val="auto"/>
          <w:rtl/>
        </w:rPr>
        <w:t>؟</w:t>
      </w:r>
    </w:p>
    <w:p w14:paraId="2C7C5FEC"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bookmarkStart w:id="35" w:name="_Toc217927621"/>
      <w:bookmarkStart w:id="36" w:name="_Toc224563924"/>
      <w:bookmarkStart w:id="37" w:name="_Toc224563981"/>
      <w:bookmarkStart w:id="38" w:name="_Toc234424118"/>
      <w:r>
        <w:rPr>
          <w:rFonts w:ascii="Traditional Arabic" w:hAnsi="Traditional Arabic" w:cs="Traditional Arabic"/>
          <w:b/>
          <w:bCs/>
          <w:sz w:val="32"/>
          <w:szCs w:val="32"/>
          <w:rtl/>
        </w:rPr>
        <w:t>التساؤل البحثي الثاني: ما أثر تبنّي تقنية الترميز على كفاءة العمليات المالية في المؤسسات المالية السعودية؟</w:t>
      </w:r>
      <w:bookmarkEnd w:id="35"/>
      <w:bookmarkEnd w:id="36"/>
      <w:bookmarkEnd w:id="37"/>
      <w:bookmarkEnd w:id="38"/>
    </w:p>
    <w:p w14:paraId="3A78ADFD" w14:textId="77777777" w:rsidR="004A6241" w:rsidRPr="004A6241" w:rsidRDefault="004A6241" w:rsidP="00E000FF">
      <w:pPr>
        <w:pStyle w:val="1"/>
        <w:numPr>
          <w:ilvl w:val="0"/>
          <w:numId w:val="0"/>
        </w:numPr>
        <w:bidi/>
        <w:spacing w:before="0" w:line="360" w:lineRule="auto"/>
        <w:ind w:left="432" w:hanging="432"/>
        <w:jc w:val="both"/>
        <w:rPr>
          <w:rFonts w:ascii="Simplified Arabic" w:hAnsi="Simplified Arabic" w:cs="Simplified Arabic"/>
          <w:color w:val="auto"/>
          <w:sz w:val="28"/>
          <w:szCs w:val="28"/>
        </w:rPr>
      </w:pPr>
      <w:bookmarkStart w:id="39" w:name="_Toc217927622"/>
      <w:bookmarkStart w:id="40" w:name="_Toc224563925"/>
      <w:bookmarkStart w:id="41" w:name="_Toc224563982"/>
      <w:bookmarkStart w:id="42" w:name="_Toc234424119"/>
      <w:r>
        <w:rPr>
          <w:rFonts w:ascii="Traditional Arabic" w:hAnsi="Traditional Arabic" w:cs="Traditional Arabic"/>
          <w:b/>
          <w:bCs/>
          <w:color w:val="auto"/>
          <w:rtl/>
        </w:rPr>
        <w:t>الأسئلة الفرعية:</w:t>
      </w:r>
      <w:bookmarkEnd w:id="39"/>
      <w:bookmarkEnd w:id="40"/>
      <w:bookmarkEnd w:id="41"/>
      <w:bookmarkEnd w:id="42"/>
    </w:p>
    <w:p w14:paraId="42B797CE" w14:textId="77777777" w:rsidR="004A6241" w:rsidRPr="004A6241" w:rsidRDefault="004A6241" w:rsidP="00E000FF">
      <w:pPr>
        <w:pStyle w:val="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الترميز الأمني للبيانات على الكفاءة التشغيلية المالية؟</w:t>
      </w:r>
    </w:p>
    <w:p w14:paraId="18478BF6" w14:textId="77777777" w:rsidR="004A6241" w:rsidRPr="004A6241" w:rsidRDefault="004A6241" w:rsidP="00E000FF">
      <w:pPr>
        <w:pStyle w:val="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الامتثال للمعايير الدولية على الكفاءة التشغيلية المالية؟</w:t>
      </w:r>
    </w:p>
    <w:p w14:paraId="6ECC9DF7"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الثالث: هل تختلف آثار تطبيق تقنية الترميز باختلاف خصائص المؤسسة المالية؟</w:t>
      </w:r>
    </w:p>
    <w:p w14:paraId="60C9C8C5"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الأسئلة الفرعية:</w:t>
      </w:r>
    </w:p>
    <w:p w14:paraId="03BA71C7"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هل توجد فروق دالة إحصائياً في مستوى الامتثال </w:t>
      </w:r>
      <w:commentRangeStart w:id="43"/>
      <w:r>
        <w:rPr>
          <w:rFonts w:ascii="Traditional Arabic" w:hAnsi="Traditional Arabic" w:cs="Traditional Arabic"/>
          <w:b/>
          <w:bCs/>
          <w:color w:val="auto"/>
          <w:sz w:val="28"/>
          <w:szCs w:val="28"/>
          <w:rtl/>
        </w:rPr>
        <w:t xml:space="preserve">للمعايير الدولية </w:t>
      </w:r>
      <w:commentRangeEnd w:id="43"/>
      <w:r w:rsidR="007A39E6">
        <w:rPr>
          <w:rStyle w:val="affa"/>
          <w:rFonts w:ascii="Traditional Arabic" w:hAnsi="Traditional Arabic" w:cs="Traditional Arabic"/>
          <w:b/>
          <w:bCs/>
          <w:color w:val="auto"/>
          <w:sz w:val="28"/>
          <w:szCs w:val="28"/>
          <w:rtl/>
        </w:rPr>
        <w:commentReference w:id="43"/>
      </w:r>
      <w:r>
        <w:rPr>
          <w:rFonts w:ascii="Traditional Arabic" w:hAnsi="Traditional Arabic" w:cs="Traditional Arabic"/>
          <w:b/>
          <w:bCs/>
          <w:color w:val="auto"/>
          <w:sz w:val="28"/>
          <w:szCs w:val="28"/>
          <w:rtl/>
        </w:rPr>
        <w:t>والأمن السيبراني المؤسسي تُعزى إلى مستوى تبنّي المؤسسة لتقنية الترميز؟</w:t>
      </w:r>
    </w:p>
    <w:p w14:paraId="22AB8F19"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commentRangeStart w:id="44"/>
      <w:r>
        <w:rPr>
          <w:rFonts w:ascii="Traditional Arabic" w:hAnsi="Traditional Arabic" w:cs="Traditional Arabic"/>
          <w:b/>
          <w:bCs/>
          <w:color w:val="auto"/>
          <w:sz w:val="28"/>
          <w:szCs w:val="28"/>
          <w:rtl/>
        </w:rPr>
        <w:t>هل توجد فروق دالة إحصائياً في مستوى التوافق مع رؤية 2030 تُعزى إلى نوع المؤسسة المالية؟</w:t>
      </w:r>
      <w:commentRangeEnd w:id="44"/>
      <w:r w:rsidR="007A39E6" w:rsidRPr="0072768E">
        <w:rPr>
          <w:rStyle w:val="affa"/>
          <w:rFonts w:ascii="Simplified Arabic" w:hAnsi="Simplified Arabic" w:cs="Simplified Arabic"/>
          <w:color w:val="auto"/>
          <w:sz w:val="28"/>
          <w:szCs w:val="28"/>
        </w:rPr>
        <w:commentReference w:id="44"/>
      </w:r>
    </w:p>
    <w:p w14:paraId="2594D585" w14:textId="7896B447" w:rsidR="003306B7"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45" w:name="_Toc224563935"/>
      <w:bookmarkStart w:id="46" w:name="_Toc234424129"/>
      <w:r>
        <w:rPr>
          <w:rFonts w:ascii="Traditional Arabic" w:hAnsi="Traditional Arabic" w:cs="Traditional Arabic"/>
          <w:b/>
          <w:bCs/>
          <w:sz w:val="32"/>
          <w:szCs w:val="32"/>
          <w:u w:val="single"/>
          <w:rtl/>
        </w:rPr>
        <w:t>أهمية الدراسة (النظرية والتطبيقية):</w:t>
      </w:r>
      <w:bookmarkEnd w:id="23"/>
      <w:bookmarkEnd w:id="45"/>
      <w:bookmarkEnd w:id="46"/>
    </w:p>
    <w:p w14:paraId="60EB31F9" w14:textId="77777777" w:rsidR="0005531B" w:rsidRDefault="003306B7" w:rsidP="0005531B">
      <w:pPr>
        <w:pStyle w:val="HeadingTOCEntry"/>
        <w:bidi/>
        <w:spacing w:after="0" w:line="360" w:lineRule="auto"/>
        <w:ind w:left="-58"/>
        <w:rPr>
          <w:rFonts w:ascii="Traditional Arabic" w:hAnsi="Traditional Arabic" w:cs="Traditional Arabic"/>
          <w:b/>
          <w:bCs/>
          <w:sz w:val="28"/>
          <w:szCs w:val="28"/>
          <w:rtl/>
        </w:rPr>
      </w:pPr>
      <w:r w:rsidRPr="003306B7">
        <w:rPr>
          <w:rFonts w:ascii="Traditional Arabic" w:hAnsi="Traditional Arabic" w:cs="Traditional Arabic"/>
          <w:b/>
          <w:bCs/>
          <w:sz w:val="28"/>
          <w:szCs w:val="28"/>
          <w:rtl/>
        </w:rPr>
        <w:lastRenderedPageBreak/>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p>
    <w:p w14:paraId="4D375295" w14:textId="77777777" w:rsidR="0005531B" w:rsidRDefault="00421EDA"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الأهمية النظرية</w:t>
      </w:r>
    </w:p>
    <w:p w14:paraId="08816309"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إثراء المعرفة العلمية: 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 </w:t>
      </w:r>
    </w:p>
    <w:p w14:paraId="3C0656AC"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تطوير الأطر النظرية: 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w:t>
      </w:r>
      <w:commentRangeStart w:id="47"/>
      <w:r>
        <w:rPr>
          <w:rFonts w:ascii="Traditional Arabic" w:hAnsi="Traditional Arabic" w:cs="Traditional Arabic"/>
          <w:b/>
          <w:bCs/>
          <w:sz w:val="28"/>
          <w:szCs w:val="28"/>
          <w:rtl/>
        </w:rPr>
        <w:t>مراعاة العوامل الوسيطة التي قد تؤثر على هذه العلاقة.</w:t>
      </w:r>
      <w:commentRangeEnd w:id="47"/>
      <w:r w:rsidR="00431AAC">
        <w:rPr>
          <w:rStyle w:val="affa"/>
          <w:rFonts w:ascii="Traditional Arabic" w:hAnsi="Traditional Arabic" w:cs="Traditional Arabic"/>
          <w:b/>
          <w:bCs/>
          <w:sz w:val="28"/>
          <w:szCs w:val="28"/>
          <w:rtl/>
        </w:rPr>
        <w:commentReference w:id="47"/>
      </w:r>
    </w:p>
    <w:p w14:paraId="0D725EFA"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commentRangeStart w:id="48"/>
      <w:r>
        <w:rPr>
          <w:rFonts w:ascii="Traditional Arabic" w:hAnsi="Traditional Arabic" w:cs="Traditional Arabic"/>
          <w:b/>
          <w:bCs/>
          <w:sz w:val="28"/>
          <w:szCs w:val="28"/>
          <w:rtl/>
        </w:rPr>
        <w:t>سد الفجوة البحثية: 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commentRangeEnd w:id="48"/>
      <w:r w:rsidR="00431AAC">
        <w:rPr>
          <w:rStyle w:val="affa"/>
          <w:rFonts w:ascii="Traditional Arabic" w:hAnsi="Traditional Arabic" w:cs="Traditional Arabic"/>
          <w:b/>
          <w:bCs/>
          <w:sz w:val="28"/>
          <w:szCs w:val="28"/>
          <w:rtl/>
        </w:rPr>
        <w:commentReference w:id="48"/>
      </w:r>
    </w:p>
    <w:p w14:paraId="377B9784" w14:textId="77777777" w:rsidR="006C4DA5"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تحديد مؤشرات قياس: 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p>
    <w:p w14:paraId="21C017CA" w14:textId="5828FCEB" w:rsidR="00986114" w:rsidRPr="0072768E" w:rsidRDefault="00986114" w:rsidP="006C4DA5">
      <w:pPr>
        <w:pStyle w:val="HeadingTOCEntry"/>
        <w:bidi/>
        <w:spacing w:after="0" w:line="360" w:lineRule="auto"/>
        <w:ind w:left="-58"/>
        <w:rPr>
          <w:rFonts w:ascii="Simplified Arabic" w:hAnsi="Simplified Arabic" w:cs="Simplified Arabic"/>
          <w:sz w:val="28"/>
          <w:szCs w:val="28"/>
        </w:rPr>
      </w:pPr>
      <w:r>
        <w:rPr>
          <w:rFonts w:ascii="Traditional Arabic" w:hAnsi="Traditional Arabic" w:cs="Traditional Arabic"/>
          <w:b/>
          <w:bCs/>
          <w:sz w:val="28"/>
          <w:szCs w:val="28"/>
          <w:rtl/>
        </w:rPr>
        <w:t xml:space="preserve">تأصيل المفاهيم العلمية: 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 </w:t>
      </w:r>
    </w:p>
    <w:p w14:paraId="2DEA6E78" w14:textId="6600A2FB" w:rsidR="00986114" w:rsidRPr="0072768E" w:rsidRDefault="00986114"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lastRenderedPageBreak/>
        <w:t>إنشاء قاعدة معرفية: 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p>
    <w:p w14:paraId="0ED5F7B2" w14:textId="77777777" w:rsidR="00421EDA" w:rsidRPr="0072768E" w:rsidRDefault="00421EDA" w:rsidP="00E000FF">
      <w:pPr>
        <w:pStyle w:val="21"/>
        <w:bidi/>
        <w:spacing w:before="0" w:line="360" w:lineRule="auto"/>
        <w:rPr>
          <w:rFonts w:ascii="Simplified Arabic" w:hAnsi="Simplified Arabic" w:cs="Simplified Arabic"/>
          <w:b/>
          <w:bCs/>
          <w:color w:val="auto"/>
          <w:sz w:val="28"/>
          <w:szCs w:val="28"/>
          <w:rtl/>
        </w:rPr>
      </w:pPr>
      <w:commentRangeStart w:id="49"/>
      <w:r>
        <w:rPr>
          <w:rFonts w:ascii="Traditional Arabic" w:hAnsi="Traditional Arabic" w:cs="Traditional Arabic"/>
          <w:b/>
          <w:bCs/>
          <w:color w:val="auto"/>
          <w:sz w:val="28"/>
          <w:szCs w:val="28"/>
          <w:rtl/>
        </w:rPr>
        <w:t>الأهمية التطبيقية</w:t>
      </w:r>
      <w:commentRangeEnd w:id="49"/>
      <w:r w:rsidR="00431AAC" w:rsidRPr="0072768E">
        <w:rPr>
          <w:rStyle w:val="affa"/>
          <w:rFonts w:ascii="Simplified Arabic" w:hAnsi="Simplified Arabic" w:cs="Simplified Arabic"/>
          <w:b/>
          <w:bCs/>
          <w:color w:val="auto"/>
          <w:sz w:val="28"/>
          <w:szCs w:val="28"/>
          <w:rtl/>
        </w:rPr>
        <w:commentReference w:id="49"/>
      </w:r>
    </w:p>
    <w:p w14:paraId="0C351743" w14:textId="3F4FB64D"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صناع القرار: 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 </w:t>
      </w:r>
    </w:p>
    <w:p w14:paraId="6BCA1D16" w14:textId="70116C28"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توجيه الاستثمارات: تساعد نتائج الدراسة على توجيه استثمارات المؤسسات المالية نحو تطبيقات الترميز الأكثر فعالية وتأثيراً على الأمن والكفاءة المالية</w:t>
      </w:r>
      <w:commentRangeStart w:id="50"/>
      <w:r>
        <w:rPr>
          <w:rFonts w:ascii="Traditional Arabic" w:hAnsi="Traditional Arabic" w:cs="Traditional Arabic"/>
          <w:b/>
          <w:bCs/>
          <w:color w:val="auto"/>
          <w:sz w:val="28"/>
          <w:szCs w:val="28"/>
          <w:rtl/>
        </w:rPr>
        <w:t xml:space="preserve">.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 </w:t>
      </w:r>
      <w:commentRangeEnd w:id="50"/>
      <w:r w:rsidR="00431AAC" w:rsidRPr="0072768E">
        <w:rPr>
          <w:rStyle w:val="affa"/>
          <w:rFonts w:ascii="Simplified Arabic" w:hAnsi="Simplified Arabic" w:cs="Simplified Arabic"/>
          <w:color w:val="auto"/>
          <w:sz w:val="28"/>
          <w:szCs w:val="28"/>
        </w:rPr>
        <w:commentReference w:id="50"/>
      </w:r>
    </w:p>
    <w:p w14:paraId="43CACB38" w14:textId="676F1F9C"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تطوير السياسات واللوائح: 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w:t>
      </w:r>
      <w:commentRangeStart w:id="51"/>
      <w:r>
        <w:rPr>
          <w:rFonts w:ascii="Traditional Arabic" w:hAnsi="Traditional Arabic" w:cs="Traditional Arabic"/>
          <w:b/>
          <w:bCs/>
          <w:color w:val="auto"/>
          <w:sz w:val="28"/>
          <w:szCs w:val="28"/>
          <w:rtl/>
        </w:rPr>
        <w:t xml:space="preserve">وتساهم في سد الفجوة التنظيمية التي أشارت إليها دراسة المنتدى الاقتصادي العالمي (2023) كأحد أهم تحديات تبني التقنيات المالية الحديثة في الاقتصادات الناشئة. </w:t>
      </w:r>
      <w:commentRangeEnd w:id="51"/>
      <w:r w:rsidR="00431AAC" w:rsidRPr="0072768E">
        <w:rPr>
          <w:rStyle w:val="affa"/>
          <w:rFonts w:ascii="Simplified Arabic" w:hAnsi="Simplified Arabic" w:cs="Simplified Arabic"/>
          <w:color w:val="auto"/>
          <w:sz w:val="28"/>
          <w:szCs w:val="28"/>
        </w:rPr>
        <w:commentReference w:id="51"/>
      </w:r>
    </w:p>
    <w:p w14:paraId="55E3062C" w14:textId="2D1C7EDC"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تحسين الممارسات: </w:t>
      </w:r>
      <w:commentRangeStart w:id="52"/>
      <w:r>
        <w:rPr>
          <w:rFonts w:ascii="Traditional Arabic" w:hAnsi="Traditional Arabic" w:cs="Traditional Arabic"/>
          <w:b/>
          <w:bCs/>
          <w:color w:val="auto"/>
          <w:sz w:val="28"/>
          <w:szCs w:val="28"/>
          <w:rtl/>
        </w:rPr>
        <w:t>توفر الدراسة أفضل الممارسات والدروس المستفادة في مجال تطبيق تقنية الترميز</w:t>
      </w:r>
      <w:commentRangeEnd w:id="52"/>
      <w:r w:rsidR="00431AAC">
        <w:rPr>
          <w:rStyle w:val="affa"/>
          <w:rFonts w:ascii="Traditional Arabic" w:hAnsi="Traditional Arabic" w:cs="Traditional Arabic"/>
          <w:b/>
          <w:bCs/>
          <w:color w:val="auto"/>
          <w:sz w:val="28"/>
          <w:szCs w:val="28"/>
          <w:rtl/>
        </w:rPr>
        <w:commentReference w:id="52"/>
      </w:r>
      <w:r>
        <w:rPr>
          <w:rFonts w:ascii="Traditional Arabic" w:hAnsi="Traditional Arabic" w:cs="Traditional Arabic"/>
          <w:b/>
          <w:bCs/>
          <w:color w:val="auto"/>
          <w:sz w:val="28"/>
          <w:szCs w:val="28"/>
          <w:rtl/>
        </w:rPr>
        <w:t xml:space="preserve">،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 </w:t>
      </w:r>
    </w:p>
    <w:p w14:paraId="0170B63B" w14:textId="393B99EF"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رؤية المملكة 2030: تساهم الدراسة بشكل مباشر في دعم جهود المملكة لتحقيق التحول الرقمي وتطوير القطاع المالي تماشياً مع رؤية المملكة 2030، </w:t>
      </w:r>
      <w:commentRangeStart w:id="53"/>
      <w:r>
        <w:rPr>
          <w:rFonts w:ascii="Traditional Arabic" w:hAnsi="Traditional Arabic" w:cs="Traditional Arabic"/>
          <w:b/>
          <w:bCs/>
          <w:color w:val="auto"/>
          <w:sz w:val="28"/>
          <w:szCs w:val="28"/>
          <w:rtl/>
        </w:rPr>
        <w:t xml:space="preserve">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 </w:t>
      </w:r>
      <w:commentRangeEnd w:id="53"/>
      <w:r w:rsidR="00431AAC" w:rsidRPr="0072768E">
        <w:rPr>
          <w:rStyle w:val="affa"/>
          <w:rFonts w:ascii="Simplified Arabic" w:hAnsi="Simplified Arabic" w:cs="Simplified Arabic"/>
          <w:color w:val="auto"/>
          <w:sz w:val="28"/>
          <w:szCs w:val="28"/>
        </w:rPr>
        <w:commentReference w:id="53"/>
      </w:r>
    </w:p>
    <w:p w14:paraId="5C0BACA8" w14:textId="3E8D41C3"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 xml:space="preserve">تعزيز التنافسية: 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w:t>
      </w:r>
      <w:commentRangeStart w:id="54"/>
      <w:r>
        <w:rPr>
          <w:rFonts w:ascii="Traditional Arabic" w:hAnsi="Traditional Arabic" w:cs="Traditional Arabic"/>
          <w:b/>
          <w:bCs/>
          <w:color w:val="auto"/>
          <w:sz w:val="28"/>
          <w:szCs w:val="28"/>
          <w:rtl/>
        </w:rPr>
        <w:t xml:space="preserve">وقد أشارت دراسة شركة KPMG (2023) إلى أن المؤسسات المالية التي تتبنى التقنيات المبتكرة تحقق ميزة تنافسية تقدر بـ 15-20% مقارنة بنظيراتها التقليدية. </w:t>
      </w:r>
      <w:commentRangeEnd w:id="54"/>
      <w:r w:rsidR="00431AAC" w:rsidRPr="0072768E">
        <w:rPr>
          <w:rStyle w:val="affa"/>
          <w:rFonts w:ascii="Simplified Arabic" w:hAnsi="Simplified Arabic" w:cs="Simplified Arabic"/>
          <w:color w:val="auto"/>
          <w:sz w:val="28"/>
          <w:szCs w:val="28"/>
        </w:rPr>
        <w:commentReference w:id="54"/>
      </w:r>
    </w:p>
    <w:p w14:paraId="46EB7DDA" w14:textId="4C20AACF"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حماية المستهلك: 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w:t>
      </w:r>
      <w:commentRangeStart w:id="55"/>
      <w:r>
        <w:rPr>
          <w:rFonts w:ascii="Traditional Arabic" w:hAnsi="Traditional Arabic" w:cs="Traditional Arabic"/>
          <w:b/>
          <w:bCs/>
          <w:color w:val="auto"/>
          <w:sz w:val="28"/>
          <w:szCs w:val="28"/>
          <w:rtl/>
        </w:rPr>
        <w:t xml:space="preserve">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 </w:t>
      </w:r>
      <w:commentRangeEnd w:id="55"/>
      <w:r w:rsidR="00431AAC" w:rsidRPr="0072768E">
        <w:rPr>
          <w:rStyle w:val="affa"/>
          <w:rFonts w:ascii="Simplified Arabic" w:hAnsi="Simplified Arabic" w:cs="Simplified Arabic"/>
          <w:color w:val="auto"/>
          <w:sz w:val="28"/>
          <w:szCs w:val="28"/>
        </w:rPr>
        <w:commentReference w:id="55"/>
      </w:r>
    </w:p>
    <w:p w14:paraId="7FB2074C" w14:textId="1C45A04B" w:rsidR="00491655" w:rsidRPr="0072768E" w:rsidRDefault="00491655"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 xml:space="preserve">تطوير الكفاءات: 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w:t>
      </w:r>
      <w:commentRangeStart w:id="56"/>
      <w:r>
        <w:rPr>
          <w:rFonts w:ascii="Traditional Arabic" w:hAnsi="Traditional Arabic" w:cs="Traditional Arabic"/>
          <w:b/>
          <w:bCs/>
          <w:color w:val="auto"/>
          <w:sz w:val="28"/>
          <w:szCs w:val="28"/>
          <w:rtl/>
        </w:rPr>
        <w:t>وتساهم في تحديد الفجوات المهارية التي يجب معالجتها من خلال برامج التدريب والتأهيل.</w:t>
      </w:r>
      <w:commentRangeEnd w:id="56"/>
      <w:r w:rsidR="00431AAC" w:rsidRPr="0072768E">
        <w:rPr>
          <w:rStyle w:val="affa"/>
          <w:rFonts w:ascii="Simplified Arabic" w:hAnsi="Simplified Arabic" w:cs="Simplified Arabic"/>
          <w:color w:val="auto"/>
          <w:sz w:val="28"/>
          <w:szCs w:val="28"/>
          <w:rtl/>
        </w:rPr>
        <w:commentReference w:id="56"/>
      </w:r>
    </w:p>
    <w:p w14:paraId="0CAD3073" w14:textId="36230F99" w:rsidR="006C71F6" w:rsidRPr="0072768E" w:rsidRDefault="006C71F6"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تعزيز الشمول المالي: </w:t>
      </w:r>
      <w:commentRangeStart w:id="57"/>
      <w:r>
        <w:rPr>
          <w:rFonts w:ascii="Traditional Arabic" w:hAnsi="Traditional Arabic" w:cs="Traditional Arabic"/>
          <w:b/>
          <w:bCs/>
          <w:color w:val="auto"/>
          <w:sz w:val="28"/>
          <w:szCs w:val="28"/>
          <w:rtl/>
        </w:rPr>
        <w:t xml:space="preserve">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 </w:t>
      </w:r>
      <w:commentRangeEnd w:id="57"/>
      <w:r w:rsidR="00431AAC" w:rsidRPr="0072768E">
        <w:rPr>
          <w:rStyle w:val="affa"/>
          <w:rFonts w:ascii="Simplified Arabic" w:hAnsi="Simplified Arabic" w:cs="Simplified Arabic"/>
          <w:color w:val="auto"/>
          <w:sz w:val="28"/>
          <w:szCs w:val="28"/>
        </w:rPr>
        <w:commentReference w:id="57"/>
      </w:r>
    </w:p>
    <w:p w14:paraId="6B286D1D" w14:textId="7A1A3CD1" w:rsidR="006C71F6" w:rsidRPr="0072768E" w:rsidRDefault="006C71F6"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الابتكار: 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 </w:t>
      </w:r>
    </w:p>
    <w:p w14:paraId="1E345B10" w14:textId="5B9C0EC4" w:rsidR="006C71F6" w:rsidRPr="0072768E" w:rsidRDefault="006C71F6"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 xml:space="preserve">تحسين إدارة المخاطر: </w:t>
      </w:r>
      <w:commentRangeStart w:id="58"/>
      <w:r>
        <w:rPr>
          <w:rFonts w:ascii="Traditional Arabic" w:hAnsi="Traditional Arabic" w:cs="Traditional Arabic"/>
          <w:b/>
          <w:bCs/>
          <w:color w:val="auto"/>
          <w:sz w:val="28"/>
          <w:szCs w:val="28"/>
          <w:rtl/>
        </w:rPr>
        <w:t>توفر الدراسة إطاراً متكاملاً لفهم وتقييم المخاطر المرتبطة بتبني تقنية الترميز</w:t>
      </w:r>
      <w:commentRangeEnd w:id="58"/>
      <w:r w:rsidR="00431AAC">
        <w:rPr>
          <w:rStyle w:val="affa"/>
          <w:rFonts w:ascii="Traditional Arabic" w:hAnsi="Traditional Arabic" w:cs="Traditional Arabic"/>
          <w:b/>
          <w:bCs/>
          <w:color w:val="auto"/>
          <w:sz w:val="28"/>
          <w:szCs w:val="28"/>
          <w:rtl/>
        </w:rPr>
        <w:commentReference w:id="58"/>
      </w:r>
      <w:r>
        <w:rPr>
          <w:rFonts w:ascii="Traditional Arabic" w:hAnsi="Traditional Arabic" w:cs="Traditional Arabic"/>
          <w:b/>
          <w:bCs/>
          <w:color w:val="auto"/>
          <w:sz w:val="28"/>
          <w:szCs w:val="28"/>
          <w:rtl/>
        </w:rPr>
        <w:t>،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p>
    <w:p w14:paraId="7844FE2A" w14:textId="77777777" w:rsidR="0080377D" w:rsidRPr="0072768E" w:rsidRDefault="0080377D"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74A69978" w14:textId="77777777" w:rsidR="00E000F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59" w:name="_Toc224563936"/>
      <w:bookmarkStart w:id="60" w:name="_Toc234424130"/>
      <w:r>
        <w:rPr>
          <w:rFonts w:ascii="Traditional Arabic" w:hAnsi="Traditional Arabic" w:cs="Traditional Arabic"/>
          <w:b/>
          <w:bCs/>
          <w:sz w:val="32"/>
          <w:szCs w:val="32"/>
          <w:u w:val="single"/>
          <w:rtl/>
        </w:rPr>
        <w:lastRenderedPageBreak/>
        <w:t>أهداف الدراسة:</w:t>
      </w:r>
      <w:bookmarkStart w:id="61" w:name="_Hlk195360772"/>
      <w:bookmarkEnd w:id="59"/>
      <w:bookmarkEnd w:id="60"/>
    </w:p>
    <w:p w14:paraId="7A049149" w14:textId="1C9AAB34" w:rsidR="00A34BF0" w:rsidRPr="0072768E" w:rsidRDefault="00A34BF0" w:rsidP="00E000FF">
      <w:pPr>
        <w:pStyle w:val="HeadingTOCEntry"/>
        <w:bidi/>
        <w:spacing w:after="0" w:line="360" w:lineRule="auto"/>
        <w:rPr>
          <w:rFonts w:ascii="Simplified Arabic" w:hAnsi="Simplified Arabic" w:cs="Simplified Arabic"/>
          <w:sz w:val="28"/>
          <w:szCs w:val="28"/>
        </w:rPr>
      </w:pPr>
      <w:r>
        <w:rPr>
          <w:rFonts w:ascii="Traditional Arabic" w:hAnsi="Traditional Arabic" w:cs="Traditional Arabic"/>
          <w:b/>
          <w:bCs/>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p>
    <w:bookmarkEnd w:id="61"/>
    <w:p w14:paraId="2BBFE9B4" w14:textId="77777777" w:rsidR="00E04048" w:rsidRPr="0072768E" w:rsidRDefault="00E04048" w:rsidP="00E000FF">
      <w:pPr>
        <w:pStyle w:val="21"/>
        <w:numPr>
          <w:ilvl w:val="0"/>
          <w:numId w:val="3"/>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وتحليل تأثير تقنية الترميز على مؤشرات الأمن السيبراني في المؤسسات المالية السعودية، بما يشمل</w:t>
      </w:r>
      <w:r>
        <w:rPr>
          <w:rFonts w:ascii="Traditional Arabic" w:hAnsi="Traditional Arabic" w:cs="Traditional Arabic" w:hint="cs"/>
          <w:b/>
          <w:bCs/>
          <w:color w:val="auto"/>
          <w:sz w:val="28"/>
          <w:szCs w:val="28"/>
          <w:rtl/>
        </w:rPr>
        <w:t>:</w:t>
      </w:r>
    </w:p>
    <w:p w14:paraId="2A9D8794"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تحليل تأثيرها على معدلات الاختراقات الأمنية وحوادث سرقة البيانات</w:t>
      </w:r>
      <w:r>
        <w:rPr>
          <w:rFonts w:ascii="Traditional Arabic" w:hAnsi="Traditional Arabic" w:cs="Traditional Arabic" w:hint="cs"/>
          <w:b/>
          <w:bCs/>
          <w:color w:val="auto"/>
          <w:sz w:val="28"/>
          <w:szCs w:val="28"/>
          <w:rtl/>
        </w:rPr>
        <w:t>.</w:t>
      </w:r>
    </w:p>
    <w:p w14:paraId="69CE6C5E"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تقييم دورها في تحسين مستوى </w:t>
      </w:r>
      <w:commentRangeStart w:id="62"/>
      <w:r>
        <w:rPr>
          <w:rFonts w:ascii="Traditional Arabic" w:hAnsi="Traditional Arabic" w:cs="Traditional Arabic"/>
          <w:b/>
          <w:bCs/>
          <w:color w:val="auto"/>
          <w:sz w:val="28"/>
          <w:szCs w:val="28"/>
          <w:rtl/>
        </w:rPr>
        <w:t xml:space="preserve">الامتثال للمعايير </w:t>
      </w:r>
      <w:commentRangeEnd w:id="62"/>
      <w:r w:rsidR="00431AAC">
        <w:rPr>
          <w:rStyle w:val="affa"/>
          <w:rFonts w:ascii="Traditional Arabic" w:hAnsi="Traditional Arabic" w:cs="Traditional Arabic"/>
          <w:b/>
          <w:bCs/>
          <w:color w:val="auto"/>
          <w:sz w:val="28"/>
          <w:szCs w:val="28"/>
          <w:rtl/>
        </w:rPr>
        <w:commentReference w:id="62"/>
      </w:r>
      <w:r>
        <w:rPr>
          <w:rFonts w:ascii="Traditional Arabic" w:hAnsi="Traditional Arabic" w:cs="Traditional Arabic"/>
          <w:b/>
          <w:bCs/>
          <w:color w:val="auto"/>
          <w:sz w:val="28"/>
          <w:szCs w:val="28"/>
          <w:rtl/>
        </w:rPr>
        <w:t>الأمنية المحلية والدولية</w:t>
      </w:r>
      <w:r>
        <w:rPr>
          <w:rFonts w:ascii="Traditional Arabic" w:hAnsi="Traditional Arabic" w:cs="Traditional Arabic" w:hint="cs"/>
          <w:b/>
          <w:bCs/>
          <w:color w:val="auto"/>
          <w:sz w:val="28"/>
          <w:szCs w:val="28"/>
          <w:rtl/>
        </w:rPr>
        <w:t>.</w:t>
      </w:r>
    </w:p>
    <w:p w14:paraId="5001E94C" w14:textId="03C161F5" w:rsidR="001058D2"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قياس فعاليتها في تعزيز القدرة على اكتشاف والتصدي للهجمات السيبرانية</w:t>
      </w:r>
      <w:r>
        <w:rPr>
          <w:rFonts w:ascii="Traditional Arabic" w:hAnsi="Traditional Arabic" w:cs="Traditional Arabic" w:hint="cs"/>
          <w:b/>
          <w:bCs/>
          <w:color w:val="auto"/>
          <w:sz w:val="28"/>
          <w:szCs w:val="28"/>
          <w:rtl/>
        </w:rPr>
        <w:t>.</w:t>
      </w:r>
    </w:p>
    <w:p w14:paraId="567F0426" w14:textId="77777777" w:rsidR="00D16538" w:rsidRPr="0072768E" w:rsidRDefault="00D16538" w:rsidP="00E000FF">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تحليل مساهمة تقنية الترميز في تحسين كفاءة العمليات المالية في القطاع المالي السعودي من حيث</w:t>
      </w:r>
      <w:r>
        <w:rPr>
          <w:rFonts w:ascii="Traditional Arabic" w:hAnsi="Traditional Arabic" w:cs="Traditional Arabic" w:hint="cs"/>
          <w:b/>
          <w:bCs/>
          <w:color w:val="auto"/>
          <w:sz w:val="28"/>
          <w:szCs w:val="28"/>
          <w:rtl/>
        </w:rPr>
        <w:t>:</w:t>
      </w:r>
    </w:p>
    <w:p w14:paraId="453FDEF3" w14:textId="7B8C5B45" w:rsidR="009365EF"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تقليل وقت معالجة المعاملات المالية</w:t>
      </w:r>
      <w:r>
        <w:rPr>
          <w:rFonts w:ascii="Traditional Arabic" w:hAnsi="Traditional Arabic" w:cs="Traditional Arabic" w:hint="cs"/>
          <w:b/>
          <w:bCs/>
          <w:color w:val="auto"/>
          <w:sz w:val="28"/>
          <w:szCs w:val="28"/>
          <w:rtl/>
        </w:rPr>
        <w:t>.</w:t>
      </w:r>
    </w:p>
    <w:p w14:paraId="747DCE84" w14:textId="52965B7A" w:rsidR="009365EF"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خفض تكاليف العمليات التشغيلية</w:t>
      </w:r>
      <w:r>
        <w:rPr>
          <w:rFonts w:ascii="Traditional Arabic" w:hAnsi="Traditional Arabic" w:cs="Traditional Arabic" w:hint="cs"/>
          <w:b/>
          <w:bCs/>
          <w:color w:val="auto"/>
          <w:sz w:val="28"/>
          <w:szCs w:val="28"/>
          <w:rtl/>
        </w:rPr>
        <w:t>.</w:t>
      </w:r>
    </w:p>
    <w:p w14:paraId="703B12B7" w14:textId="6D40496F" w:rsidR="009365EF"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تحسين مستويات السيولة والوصول إلى الخدمات المالية</w:t>
      </w:r>
      <w:r>
        <w:rPr>
          <w:rFonts w:ascii="Traditional Arabic" w:hAnsi="Traditional Arabic" w:cs="Traditional Arabic" w:hint="cs"/>
          <w:b/>
          <w:bCs/>
          <w:color w:val="auto"/>
          <w:sz w:val="28"/>
          <w:szCs w:val="28"/>
          <w:rtl/>
        </w:rPr>
        <w:t>.</w:t>
      </w:r>
    </w:p>
    <w:p w14:paraId="67F91C57" w14:textId="7AECF9E0" w:rsidR="00D16538"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تعزيز تجربة العملاء وزيادة رضاهم.</w:t>
      </w:r>
    </w:p>
    <w:p w14:paraId="5AC11EA7" w14:textId="77777777" w:rsidR="00D16538" w:rsidRPr="00D16538" w:rsidRDefault="00D16538" w:rsidP="00E000FF">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 xml:space="preserve">الكشف عن الفروق ذات الدلالة الإحصائية في مستوى </w:t>
      </w:r>
      <w:commentRangeStart w:id="63"/>
      <w:r>
        <w:rPr>
          <w:rFonts w:ascii="Traditional Arabic" w:hAnsi="Traditional Arabic" w:cs="Traditional Arabic"/>
          <w:b/>
          <w:bCs/>
          <w:color w:val="auto"/>
          <w:sz w:val="28"/>
          <w:szCs w:val="28"/>
          <w:rtl/>
        </w:rPr>
        <w:t xml:space="preserve">الامتثال للمعايير الدولية والأمن السيبراني </w:t>
      </w:r>
      <w:commentRangeEnd w:id="63"/>
      <w:r w:rsidR="00431AAC">
        <w:rPr>
          <w:rStyle w:val="affa"/>
          <w:rFonts w:ascii="Traditional Arabic" w:hAnsi="Traditional Arabic" w:cs="Traditional Arabic"/>
          <w:b/>
          <w:bCs/>
          <w:color w:val="auto"/>
          <w:sz w:val="28"/>
          <w:szCs w:val="28"/>
          <w:rtl/>
        </w:rPr>
        <w:commentReference w:id="63"/>
      </w:r>
      <w:r>
        <w:rPr>
          <w:rFonts w:ascii="Traditional Arabic" w:hAnsi="Traditional Arabic" w:cs="Traditional Arabic"/>
          <w:b/>
          <w:bCs/>
          <w:color w:val="auto"/>
          <w:sz w:val="28"/>
          <w:szCs w:val="28"/>
          <w:rtl/>
        </w:rPr>
        <w:t>المؤسسي تبعاً لمستوى تبنّي المؤسسة لتقنية الترميز.</w:t>
      </w:r>
    </w:p>
    <w:p w14:paraId="3DC1DFD5" w14:textId="77777777" w:rsidR="00D16538" w:rsidRPr="00D16538" w:rsidRDefault="00D16538" w:rsidP="00E000FF">
      <w:pPr>
        <w:pStyle w:val="21"/>
        <w:numPr>
          <w:ilvl w:val="0"/>
          <w:numId w:val="3"/>
        </w:numPr>
        <w:bidi/>
        <w:spacing w:before="0" w:line="360" w:lineRule="auto"/>
        <w:jc w:val="both"/>
        <w:rPr>
          <w:rFonts w:ascii="Simplified Arabic" w:hAnsi="Simplified Arabic" w:cs="Simplified Arabic"/>
          <w:b/>
          <w:bCs/>
          <w:color w:val="auto"/>
          <w:sz w:val="28"/>
          <w:szCs w:val="28"/>
        </w:rPr>
      </w:pPr>
      <w:commentRangeStart w:id="64"/>
      <w:r>
        <w:rPr>
          <w:rFonts w:ascii="Traditional Arabic" w:hAnsi="Traditional Arabic" w:cs="Traditional Arabic"/>
          <w:b/>
          <w:bCs/>
          <w:color w:val="auto"/>
          <w:sz w:val="28"/>
          <w:szCs w:val="28"/>
          <w:rtl/>
        </w:rPr>
        <w:t>الكشف عن الفروق ذات الدلالة الإحصائية في مستوى التوافق مع رؤية 2030 تبعاً لنوع المؤسسة المالية.</w:t>
      </w:r>
      <w:commentRangeEnd w:id="64"/>
      <w:r w:rsidR="00431AAC" w:rsidRPr="00D16538">
        <w:rPr>
          <w:rStyle w:val="affa"/>
          <w:rFonts w:ascii="Simplified Arabic" w:hAnsi="Simplified Arabic" w:cs="Simplified Arabic"/>
          <w:b/>
          <w:bCs/>
          <w:color w:val="auto"/>
          <w:sz w:val="28"/>
          <w:szCs w:val="28"/>
        </w:rPr>
        <w:commentReference w:id="64"/>
      </w:r>
    </w:p>
    <w:p w14:paraId="56AD5A23" w14:textId="4061F7ED" w:rsidR="009365EF" w:rsidRPr="00C327A0" w:rsidRDefault="00D16538"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تتميز هذه الأهداف بكونها محددة وقابلة للقياس وقابلة للتحقيق وواقعية ومحددة زمنياً (SMART)، مما يساعد على توجيه الدراسة وضمان تحقيق نتائج ملموسة وعملية يمكن الاستفادة منها في تطوير القطاع المالي السعودي</w:t>
      </w:r>
      <w:r>
        <w:rPr>
          <w:rFonts w:ascii="Traditional Arabic" w:hAnsi="Traditional Arabic" w:cs="Traditional Arabic" w:hint="cs"/>
          <w:b/>
          <w:bCs/>
          <w:color w:val="auto"/>
          <w:sz w:val="28"/>
          <w:szCs w:val="28"/>
          <w:rtl/>
        </w:rPr>
        <w:t>.</w:t>
      </w:r>
    </w:p>
    <w:p w14:paraId="45566A95" w14:textId="77777777" w:rsidR="006C4DA5" w:rsidRDefault="006C4DA5"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65" w:name="_Toc224563937"/>
      <w:bookmarkStart w:id="66" w:name="_Toc234424131"/>
    </w:p>
    <w:p w14:paraId="7E315E1C" w14:textId="77777777" w:rsidR="006C4DA5" w:rsidRDefault="006C4DA5" w:rsidP="006C4DA5">
      <w:pPr>
        <w:pStyle w:val="HeadingTOCEntry"/>
        <w:bidi/>
        <w:spacing w:after="0" w:line="360" w:lineRule="auto"/>
        <w:ind w:left="432" w:hanging="432"/>
        <w:rPr>
          <w:rFonts w:ascii="Traditional Arabic" w:hAnsi="Traditional Arabic" w:cs="Traditional Arabic"/>
          <w:b/>
          <w:bCs/>
          <w:sz w:val="32"/>
          <w:szCs w:val="32"/>
          <w:u w:val="single"/>
          <w:rtl/>
        </w:rPr>
      </w:pPr>
    </w:p>
    <w:p w14:paraId="20810C9E" w14:textId="77777777" w:rsidR="006C4DA5" w:rsidRDefault="00A16E60" w:rsidP="006C4DA5">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فرضيات الدراسة:</w:t>
      </w:r>
      <w:bookmarkEnd w:id="65"/>
      <w:bookmarkEnd w:id="66"/>
    </w:p>
    <w:p w14:paraId="29E2BA3B" w14:textId="77777777" w:rsidR="006C4DA5" w:rsidRDefault="007E0546" w:rsidP="006C4DA5">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اشتُقَّت فرضيات الدراسة من مشكلة الدراسة وأسئلتها البحثية </w:t>
      </w:r>
      <w:commentRangeStart w:id="67"/>
      <w:r>
        <w:rPr>
          <w:rFonts w:ascii="Traditional Arabic" w:hAnsi="Traditional Arabic" w:cs="Traditional Arabic"/>
          <w:b/>
          <w:bCs/>
          <w:sz w:val="28"/>
          <w:szCs w:val="28"/>
          <w:rtl/>
        </w:rPr>
        <w:t xml:space="preserve">ومن الإطار النظري والدراسات السابقة، </w:t>
      </w:r>
      <w:commentRangeEnd w:id="67"/>
      <w:r w:rsidR="003A688C">
        <w:rPr>
          <w:rStyle w:val="affa"/>
          <w:rFonts w:ascii="Traditional Arabic" w:hAnsi="Traditional Arabic" w:cs="Traditional Arabic"/>
          <w:b/>
          <w:bCs/>
          <w:sz w:val="28"/>
          <w:szCs w:val="28"/>
          <w:rtl/>
        </w:rPr>
        <w:commentReference w:id="67"/>
      </w:r>
      <w:r>
        <w:rPr>
          <w:rFonts w:ascii="Traditional Arabic" w:hAnsi="Traditional Arabic" w:cs="Traditional Arabic"/>
          <w:b/>
          <w:bCs/>
          <w:sz w:val="28"/>
          <w:szCs w:val="28"/>
          <w:rtl/>
        </w:rPr>
        <w:t>بحيث يقابل كل سؤال بحثي فرضٌ رئيس تتفرع عنه فروض فرعية بعدد أبعاد المتغير المستقل، وذلك على النحو الآتي:</w:t>
      </w:r>
    </w:p>
    <w:p w14:paraId="3C3079D8" w14:textId="77777777" w:rsidR="001276DC" w:rsidRDefault="007E0546" w:rsidP="001276DC">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H1: </w:t>
      </w:r>
      <w:commentRangeStart w:id="68"/>
      <w:r>
        <w:rPr>
          <w:rFonts w:ascii="Traditional Arabic" w:hAnsi="Traditional Arabic" w:cs="Traditional Arabic"/>
          <w:b/>
          <w:bCs/>
          <w:sz w:val="28"/>
          <w:szCs w:val="28"/>
          <w:rtl/>
        </w:rPr>
        <w:t>يوجد أثر ذو دلالة إحصائية لتطبيق تقنية الترميز على مستوى الأمن السيبراني المؤسسي في المؤسسات المالية السعودية.</w:t>
      </w:r>
      <w:commentRangeEnd w:id="68"/>
      <w:r w:rsidR="003A688C">
        <w:rPr>
          <w:rStyle w:val="affa"/>
          <w:rFonts w:ascii="Traditional Arabic" w:hAnsi="Traditional Arabic" w:cs="Traditional Arabic"/>
          <w:b/>
          <w:bCs/>
          <w:sz w:val="28"/>
          <w:szCs w:val="28"/>
          <w:rtl/>
        </w:rPr>
        <w:commentReference w:id="68"/>
      </w:r>
    </w:p>
    <w:p w14:paraId="692B76E7"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H1a: يوجد أثر ذو دلالة إحصائية</w:t>
      </w:r>
      <w:commentRangeStart w:id="69"/>
      <w:r>
        <w:rPr>
          <w:rFonts w:ascii="Traditional Arabic" w:hAnsi="Traditional Arabic" w:cs="Traditional Arabic"/>
          <w:b/>
          <w:bCs/>
          <w:sz w:val="28"/>
          <w:szCs w:val="28"/>
          <w:rtl/>
        </w:rPr>
        <w:t xml:space="preserve"> لبُعد </w:t>
      </w:r>
      <w:commentRangeEnd w:id="69"/>
      <w:r w:rsidR="003A688C">
        <w:rPr>
          <w:rStyle w:val="affa"/>
          <w:rFonts w:ascii="Traditional Arabic" w:hAnsi="Traditional Arabic" w:cs="Traditional Arabic"/>
          <w:b/>
          <w:bCs/>
          <w:sz w:val="28"/>
          <w:szCs w:val="28"/>
          <w:rtl/>
        </w:rPr>
        <w:commentReference w:id="69"/>
      </w:r>
      <w:r>
        <w:rPr>
          <w:rFonts w:ascii="Traditional Arabic" w:hAnsi="Traditional Arabic" w:cs="Traditional Arabic"/>
          <w:b/>
          <w:bCs/>
          <w:sz w:val="28"/>
          <w:szCs w:val="28"/>
          <w:rtl/>
        </w:rPr>
        <w:t xml:space="preserve">الترميز الأمني للبيانات على الأمن السيبراني </w:t>
      </w:r>
      <w:commentRangeStart w:id="70"/>
      <w:r>
        <w:rPr>
          <w:rFonts w:ascii="Traditional Arabic" w:hAnsi="Traditional Arabic" w:cs="Traditional Arabic"/>
          <w:b/>
          <w:bCs/>
          <w:sz w:val="28"/>
          <w:szCs w:val="28"/>
          <w:rtl/>
        </w:rPr>
        <w:t>المؤسسي</w:t>
      </w:r>
      <w:commentRangeEnd w:id="70"/>
      <w:r w:rsidR="003A688C">
        <w:rPr>
          <w:rStyle w:val="affa"/>
          <w:rFonts w:ascii="Traditional Arabic" w:hAnsi="Traditional Arabic" w:cs="Traditional Arabic"/>
          <w:b/>
          <w:bCs/>
          <w:sz w:val="28"/>
          <w:szCs w:val="28"/>
          <w:rtl/>
        </w:rPr>
        <w:commentReference w:id="70"/>
      </w:r>
      <w:r>
        <w:rPr>
          <w:rFonts w:ascii="Traditional Arabic" w:hAnsi="Traditional Arabic" w:cs="Traditional Arabic"/>
          <w:b/>
          <w:bCs/>
          <w:sz w:val="28"/>
          <w:szCs w:val="28"/>
          <w:rtl/>
        </w:rPr>
        <w:t>.</w:t>
      </w:r>
    </w:p>
    <w:p w14:paraId="4E39B312"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H1b: يوجد أثر ذو دلالة إحصائية </w:t>
      </w:r>
      <w:commentRangeStart w:id="71"/>
      <w:r>
        <w:rPr>
          <w:rFonts w:ascii="Traditional Arabic" w:hAnsi="Traditional Arabic" w:cs="Traditional Arabic"/>
          <w:b/>
          <w:bCs/>
          <w:sz w:val="28"/>
          <w:szCs w:val="28"/>
          <w:rtl/>
        </w:rPr>
        <w:t xml:space="preserve">لبُعد </w:t>
      </w:r>
      <w:commentRangeStart w:id="72"/>
      <w:r>
        <w:rPr>
          <w:rFonts w:ascii="Traditional Arabic" w:hAnsi="Traditional Arabic" w:cs="Traditional Arabic"/>
          <w:b/>
          <w:bCs/>
          <w:sz w:val="28"/>
          <w:szCs w:val="28"/>
          <w:rtl/>
        </w:rPr>
        <w:t xml:space="preserve">الامتثال للمعايير الدولية </w:t>
      </w:r>
      <w:commentRangeEnd w:id="72"/>
      <w:r w:rsidR="003A688C">
        <w:rPr>
          <w:rStyle w:val="affa"/>
          <w:rFonts w:ascii="Traditional Arabic" w:hAnsi="Traditional Arabic" w:cs="Traditional Arabic"/>
          <w:b/>
          <w:bCs/>
          <w:sz w:val="28"/>
          <w:szCs w:val="28"/>
          <w:rtl/>
        </w:rPr>
        <w:commentReference w:id="72"/>
      </w:r>
      <w:commentRangeEnd w:id="71"/>
      <w:r w:rsidR="00276F64">
        <w:rPr>
          <w:rStyle w:val="affa"/>
          <w:rFonts w:ascii="Traditional Arabic" w:hAnsi="Traditional Arabic" w:cs="Traditional Arabic"/>
          <w:b/>
          <w:bCs/>
          <w:sz w:val="28"/>
          <w:szCs w:val="28"/>
          <w:rtl/>
        </w:rPr>
        <w:commentReference w:id="71"/>
      </w:r>
      <w:r>
        <w:rPr>
          <w:rFonts w:ascii="Traditional Arabic" w:hAnsi="Traditional Arabic" w:cs="Traditional Arabic"/>
          <w:b/>
          <w:bCs/>
          <w:sz w:val="28"/>
          <w:szCs w:val="28"/>
          <w:rtl/>
        </w:rPr>
        <w:t>على الأمن السيبراني المؤسسي.</w:t>
      </w:r>
    </w:p>
    <w:p w14:paraId="3699F822"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commentRangeStart w:id="73"/>
      <w:r>
        <w:rPr>
          <w:rFonts w:ascii="Traditional Arabic" w:hAnsi="Traditional Arabic" w:cs="Traditional Arabic"/>
          <w:b/>
          <w:bCs/>
          <w:sz w:val="28"/>
          <w:szCs w:val="28"/>
          <w:rtl/>
        </w:rPr>
        <w:t>H2</w:t>
      </w:r>
      <w:commentRangeEnd w:id="73"/>
      <w:r w:rsidR="003A688C">
        <w:rPr>
          <w:rStyle w:val="affa"/>
          <w:rFonts w:ascii="Traditional Arabic" w:hAnsi="Traditional Arabic" w:cs="Traditional Arabic"/>
          <w:b/>
          <w:bCs/>
          <w:sz w:val="28"/>
          <w:szCs w:val="28"/>
          <w:rtl/>
        </w:rPr>
        <w:commentReference w:id="73"/>
      </w:r>
      <w:r>
        <w:rPr>
          <w:rFonts w:ascii="Traditional Arabic" w:hAnsi="Traditional Arabic" w:cs="Traditional Arabic"/>
          <w:b/>
          <w:bCs/>
          <w:sz w:val="28"/>
          <w:szCs w:val="28"/>
          <w:rtl/>
        </w:rPr>
        <w:t>: يوجد أثر ذو دلالة إحصائية لتطبيق تقنية الترميز على الكفاءة التشغيلية المالية في المؤسسات المالية السعودية.</w:t>
      </w:r>
    </w:p>
    <w:p w14:paraId="4F1AED06"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H2a: يوجد أثر ذو دلالة إحصائية لبُعد الترميز الأمني للبيانات على الكفاءة التشغيلية المالية.</w:t>
      </w:r>
    </w:p>
    <w:p w14:paraId="22C5F96A"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commentRangeStart w:id="74"/>
      <w:r>
        <w:rPr>
          <w:rFonts w:ascii="Traditional Arabic" w:hAnsi="Traditional Arabic" w:cs="Traditional Arabic"/>
          <w:b/>
          <w:bCs/>
          <w:sz w:val="28"/>
          <w:szCs w:val="28"/>
          <w:rtl/>
        </w:rPr>
        <w:t>H2b: يوجد أثر ذو دلالة إحصائية لبُعد الامتثال للمعايير الدولية على الكفاءة التشغيلية المالية.</w:t>
      </w:r>
      <w:commentRangeEnd w:id="74"/>
      <w:r w:rsidR="003A688C">
        <w:rPr>
          <w:rStyle w:val="affa"/>
          <w:rFonts w:ascii="Traditional Arabic" w:hAnsi="Traditional Arabic" w:cs="Traditional Arabic"/>
          <w:b/>
          <w:bCs/>
          <w:sz w:val="28"/>
          <w:szCs w:val="28"/>
          <w:rtl/>
        </w:rPr>
        <w:commentReference w:id="74"/>
      </w:r>
    </w:p>
    <w:p w14:paraId="35899449"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 توجد فروق ذات دلالة إحصائية في مستويات متغيرات الدراسة تُعزى إلى خصائص المؤسسة المالية.</w:t>
      </w:r>
    </w:p>
    <w:p w14:paraId="3A5CFCBA"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commentRangeStart w:id="75"/>
      <w:r>
        <w:rPr>
          <w:rFonts w:ascii="Traditional Arabic" w:hAnsi="Traditional Arabic" w:cs="Traditional Arabic"/>
          <w:b/>
          <w:bCs/>
          <w:sz w:val="28"/>
          <w:szCs w:val="28"/>
          <w:rtl/>
        </w:rPr>
        <w:t>H3a: توجد فروق ذات دلالة إحصائية في مستوى الامتثال للمعايير الدولية والأمن السيبراني المؤسسي تُعزى إلى مستوى تبنّي المؤسسة لتقنية الترميز.</w:t>
      </w:r>
    </w:p>
    <w:p w14:paraId="6AB02BFD"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H3b: توجد فروق ذات دلالة إحصائية في مستوى التوافق مع رؤية 2030 تُعزى إلى نوع المؤسسة المالية.</w:t>
      </w:r>
      <w:commentRangeEnd w:id="75"/>
      <w:r w:rsidR="003A688C">
        <w:rPr>
          <w:rStyle w:val="affa"/>
          <w:rFonts w:ascii="Traditional Arabic" w:hAnsi="Traditional Arabic" w:cs="Traditional Arabic"/>
          <w:b/>
          <w:bCs/>
          <w:sz w:val="28"/>
          <w:szCs w:val="28"/>
          <w:rtl/>
        </w:rPr>
        <w:commentReference w:id="75"/>
      </w:r>
    </w:p>
    <w:p w14:paraId="4062ACAB"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وتُعدّ هذه الفروض الثلاثة الرئيسة وفروعها الستة النسخة المعتمدة الوحيدة للدراسة، ويلتزم نصها وترقيمها بالتطابق في الفصل الأول والفصل الثالث والفصل الرابع.</w:t>
      </w:r>
    </w:p>
    <w:p w14:paraId="69688699" w14:textId="77777777" w:rsidR="001276DC" w:rsidRDefault="001276DC" w:rsidP="001276DC">
      <w:pPr>
        <w:pStyle w:val="HeadingTOCEntry"/>
        <w:bidi/>
        <w:spacing w:after="0" w:line="360" w:lineRule="auto"/>
        <w:rPr>
          <w:rFonts w:ascii="Traditional Arabic" w:hAnsi="Traditional Arabic" w:cs="Traditional Arabic"/>
          <w:b/>
          <w:bCs/>
          <w:sz w:val="28"/>
          <w:szCs w:val="28"/>
          <w:rtl/>
        </w:rPr>
      </w:pPr>
    </w:p>
    <w:p w14:paraId="4A388DC5" w14:textId="77777777" w:rsidR="001276DC" w:rsidRDefault="001276DC" w:rsidP="001276DC">
      <w:pPr>
        <w:pStyle w:val="HeadingTOCEntry"/>
        <w:bidi/>
        <w:spacing w:after="0" w:line="360" w:lineRule="auto"/>
        <w:rPr>
          <w:rFonts w:ascii="Traditional Arabic" w:hAnsi="Traditional Arabic" w:cs="Traditional Arabic"/>
          <w:b/>
          <w:bCs/>
          <w:sz w:val="28"/>
          <w:szCs w:val="28"/>
          <w:rtl/>
        </w:rPr>
      </w:pPr>
    </w:p>
    <w:p w14:paraId="64182AC3" w14:textId="2486FB6F" w:rsidR="003C0190" w:rsidRPr="0072768E" w:rsidRDefault="00AD783C" w:rsidP="001276DC">
      <w:pPr>
        <w:pStyle w:val="HeadingTOCEntry"/>
        <w:bidi/>
        <w:spacing w:after="0" w:line="360" w:lineRule="auto"/>
        <w:rPr>
          <w:rFonts w:ascii="Simplified Arabic" w:hAnsi="Simplified Arabic" w:cs="Simplified Arabic"/>
          <w:sz w:val="28"/>
          <w:szCs w:val="28"/>
          <w:rtl/>
        </w:rPr>
      </w:pPr>
      <w:r>
        <w:rPr>
          <w:rFonts w:ascii="Traditional Arabic" w:hAnsi="Traditional Arabic" w:cs="Traditional Arabic"/>
          <w:b/>
          <w:bCs/>
          <w:sz w:val="28"/>
          <w:szCs w:val="28"/>
          <w:u w:val="single"/>
          <w:rtl/>
        </w:rPr>
        <w:lastRenderedPageBreak/>
        <w:t>نموذج الدراسة</w:t>
      </w:r>
    </w:p>
    <w:p w14:paraId="4732385E" w14:textId="0F3BD74C" w:rsidR="002C300C" w:rsidRPr="0072768E" w:rsidRDefault="002C300C"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p>
    <w:p w14:paraId="3544EE58" w14:textId="3E2CAF0A" w:rsidR="00EE1529" w:rsidRPr="0072768E" w:rsidRDefault="00EE1529" w:rsidP="00E000FF">
      <w:pPr>
        <w:pStyle w:val="21"/>
        <w:bidi/>
        <w:spacing w:before="0" w:line="360" w:lineRule="auto"/>
        <w:rPr>
          <w:color w:val="auto"/>
        </w:rPr>
      </w:pPr>
      <w:r>
        <w:rPr>
          <w:rFonts w:ascii="Traditional Arabic" w:hAnsi="Traditional Arabic" w:cs="Traditional Arabic"/>
          <w:b/>
          <w:bCs/>
          <w:color w:val="auto"/>
          <w:sz w:val="28"/>
          <w:szCs w:val="28"/>
          <w:rtl/>
        </w:rPr>
        <w:t>المتغير المستقل: تطبيق تقنية الترميز (Tokenization)، ويُقاس ببُعدين:</w:t>
      </w:r>
    </w:p>
    <w:p w14:paraId="3078747F"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commentRangeStart w:id="76"/>
      <w:commentRangeStart w:id="77"/>
      <w:r>
        <w:rPr>
          <w:rFonts w:ascii="Traditional Arabic" w:hAnsi="Traditional Arabic" w:cs="Traditional Arabic"/>
          <w:sz w:val="24"/>
          <w:szCs w:val="24"/>
          <w:rtl/>
        </w:rPr>
        <w:t>الترميز الأمني للبيانات</w:t>
      </w:r>
    </w:p>
    <w:p w14:paraId="1819ED67"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الامتثال للمعايير الدولية</w:t>
      </w:r>
      <w:commentRangeEnd w:id="77"/>
      <w:r w:rsidR="001C4E4D" w:rsidRPr="0072768E">
        <w:rPr>
          <w:rStyle w:val="affa"/>
          <w:rFonts w:ascii="Simplified Arabic" w:hAnsi="Simplified Arabic" w:cs="Simplified Arabic"/>
          <w:sz w:val="24"/>
          <w:szCs w:val="24"/>
        </w:rPr>
        <w:commentReference w:id="77"/>
      </w:r>
      <w:commentRangeEnd w:id="76"/>
      <w:r w:rsidR="00276F64" w:rsidRPr="0072768E">
        <w:rPr>
          <w:rStyle w:val="affa"/>
          <w:rFonts w:ascii="Simplified Arabic" w:hAnsi="Simplified Arabic" w:cs="Simplified Arabic"/>
          <w:sz w:val="24"/>
          <w:szCs w:val="24"/>
        </w:rPr>
        <w:commentReference w:id="76"/>
      </w:r>
    </w:p>
    <w:p w14:paraId="0EA1E6FB" w14:textId="77777777" w:rsidR="00EE1529" w:rsidRPr="0072768E" w:rsidRDefault="00EE1529" w:rsidP="00E000FF">
      <w:pPr>
        <w:pStyle w:val="21"/>
        <w:bidi/>
        <w:spacing w:before="0" w:line="360" w:lineRule="auto"/>
        <w:rPr>
          <w:rFonts w:ascii="Simplified Arabic" w:hAnsi="Simplified Arabic" w:cs="Simplified Arabic"/>
          <w:b/>
          <w:bCs/>
          <w:color w:val="auto"/>
          <w:sz w:val="28"/>
          <w:szCs w:val="28"/>
        </w:rPr>
      </w:pPr>
      <w:commentRangeStart w:id="78"/>
      <w:r>
        <w:rPr>
          <w:rFonts w:ascii="Traditional Arabic" w:hAnsi="Traditional Arabic" w:cs="Traditional Arabic"/>
          <w:b/>
          <w:bCs/>
          <w:color w:val="auto"/>
          <w:sz w:val="28"/>
          <w:szCs w:val="28"/>
          <w:rtl/>
        </w:rPr>
        <w:t>المتغيرات الضابطة (التصنيفية):</w:t>
      </w:r>
      <w:commentRangeEnd w:id="78"/>
      <w:r w:rsidR="003A688C" w:rsidRPr="0072768E">
        <w:rPr>
          <w:rStyle w:val="affa"/>
          <w:rFonts w:ascii="Simplified Arabic" w:hAnsi="Simplified Arabic" w:cs="Simplified Arabic"/>
          <w:b/>
          <w:bCs/>
          <w:color w:val="auto"/>
          <w:sz w:val="28"/>
          <w:szCs w:val="28"/>
        </w:rPr>
        <w:commentReference w:id="78"/>
      </w:r>
    </w:p>
    <w:p w14:paraId="7426D4C4"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نوع المؤسسة المالية، وحجمها، وعمرها في السوق</w:t>
      </w:r>
    </w:p>
    <w:p w14:paraId="10BD5C24"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مستوى تبنّي المؤسسة لتقنية الترميز (معتمِدة / غير معتمِدة)</w:t>
      </w:r>
    </w:p>
    <w:p w14:paraId="36DB01E1" w14:textId="77777777" w:rsidR="00EE1529" w:rsidRPr="0072768E" w:rsidRDefault="00EE1529" w:rsidP="00E000FF">
      <w:pPr>
        <w:pStyle w:val="21"/>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المتغيرات التابعة:</w:t>
      </w:r>
    </w:p>
    <w:p w14:paraId="0AE3DCBF"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الأمن السيبراني المؤسسي</w:t>
      </w:r>
    </w:p>
    <w:p w14:paraId="7FA9FFBB" w14:textId="6B46284F" w:rsidR="00B1069E"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الكفاءة التشغيلية المالية</w:t>
      </w:r>
    </w:p>
    <w:p w14:paraId="3E1E2598"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التوافق مع رؤية 2030 والتحول </w:t>
      </w:r>
      <w:commentRangeStart w:id="79"/>
      <w:r>
        <w:rPr>
          <w:rFonts w:ascii="Traditional Arabic" w:hAnsi="Traditional Arabic" w:cs="Traditional Arabic"/>
          <w:b/>
          <w:bCs/>
          <w:color w:val="auto"/>
          <w:sz w:val="28"/>
          <w:szCs w:val="28"/>
          <w:rtl/>
        </w:rPr>
        <w:t xml:space="preserve">الرقمي </w:t>
      </w:r>
      <w:commentRangeEnd w:id="79"/>
      <w:r w:rsidR="00276F64">
        <w:rPr>
          <w:rStyle w:val="affa"/>
          <w:rFonts w:ascii="Traditional Arabic" w:hAnsi="Traditional Arabic" w:cs="Traditional Arabic"/>
          <w:b/>
          <w:bCs/>
          <w:color w:val="auto"/>
          <w:sz w:val="28"/>
          <w:szCs w:val="28"/>
          <w:rtl/>
        </w:rPr>
        <w:commentReference w:id="79"/>
      </w:r>
      <w:r>
        <w:rPr>
          <w:rFonts w:ascii="Traditional Arabic" w:hAnsi="Traditional Arabic" w:cs="Traditional Arabic"/>
          <w:b/>
          <w:bCs/>
          <w:color w:val="auto"/>
          <w:sz w:val="28"/>
          <w:szCs w:val="28"/>
          <w:rtl/>
        </w:rPr>
        <w:t>المالي</w:t>
      </w:r>
    </w:p>
    <w:p w14:paraId="7DA8577E" w14:textId="77777777" w:rsidR="00B1069E" w:rsidRPr="0072768E" w:rsidRDefault="00B1069E" w:rsidP="00E000FF">
      <w:pPr>
        <w:pStyle w:val="a0"/>
        <w:numPr>
          <w:ilvl w:val="0"/>
          <w:numId w:val="0"/>
        </w:numPr>
        <w:bidi/>
        <w:spacing w:after="0" w:line="360" w:lineRule="auto"/>
        <w:rPr>
          <w:rFonts w:ascii="Simplified Arabic" w:hAnsi="Simplified Arabic" w:cs="Simplified Arabic"/>
          <w:sz w:val="24"/>
          <w:szCs w:val="24"/>
          <w:rtl/>
        </w:rPr>
      </w:pPr>
    </w:p>
    <w:p w14:paraId="427204E1" w14:textId="378856BA" w:rsidR="001A46CD" w:rsidRPr="0072768E" w:rsidRDefault="00B1069E" w:rsidP="00E000FF">
      <w:pPr>
        <w:pStyle w:val="a0"/>
        <w:numPr>
          <w:ilvl w:val="0"/>
          <w:numId w:val="0"/>
        </w:numPr>
        <w:bidi/>
        <w:spacing w:after="0" w:line="360" w:lineRule="auto"/>
        <w:jc w:val="center"/>
        <w:rPr>
          <w:rFonts w:ascii="Simplified Arabic" w:hAnsi="Simplified Arabic" w:cs="Simplified Arabic"/>
          <w:sz w:val="24"/>
          <w:szCs w:val="24"/>
          <w:rtl/>
        </w:rPr>
      </w:pPr>
      <w:r>
        <w:rPr>
          <w:rFonts w:ascii="Traditional Arabic" w:hAnsi="Traditional Arabic" w:cs="Traditional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21"/>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7270DCA" w14:textId="77777777" w:rsidR="00C30195" w:rsidRDefault="007E0546" w:rsidP="00E000FF">
      <w:pPr>
        <w:pStyle w:val="FigureCaption"/>
        <w:bidi/>
        <w:spacing w:after="0" w:line="300" w:lineRule="auto"/>
        <w:jc w:val="center"/>
        <w:rPr>
          <w:rFonts w:ascii="Simplified Arabic" w:hAnsi="Simplified Arabic" w:cs="Simplified Arabic"/>
          <w:b/>
          <w:sz w:val="24"/>
          <w:szCs w:val="24"/>
          <w:rtl/>
        </w:rPr>
      </w:pPr>
      <w:r>
        <w:rPr>
          <w:rFonts w:ascii="Traditional Arabic" w:hAnsi="Traditional Arabic" w:cs="Traditional Arabic"/>
          <w:b/>
          <w:bCs/>
          <w:sz w:val="24"/>
          <w:szCs w:val="24"/>
          <w:rtl/>
        </w:rPr>
        <w:lastRenderedPageBreak/>
        <w:t>شكل (1.1): نموذج الدراسة</w:t>
      </w:r>
    </w:p>
    <w:p w14:paraId="0C2090D3" w14:textId="77777777" w:rsidR="00061609" w:rsidRPr="0072768E" w:rsidRDefault="00061609" w:rsidP="00E000FF">
      <w:pPr>
        <w:pStyle w:val="a0"/>
        <w:numPr>
          <w:ilvl w:val="0"/>
          <w:numId w:val="0"/>
        </w:numPr>
        <w:bidi/>
        <w:spacing w:after="0" w:line="360" w:lineRule="auto"/>
        <w:ind w:left="360"/>
        <w:jc w:val="center"/>
        <w:rPr>
          <w:rFonts w:ascii="Simplified Arabic" w:hAnsi="Simplified Arabic" w:cs="Simplified Arabic"/>
          <w:b/>
          <w:bCs/>
          <w:sz w:val="20"/>
          <w:szCs w:val="20"/>
          <w:u w:val="single"/>
        </w:rPr>
      </w:pPr>
      <w:r>
        <w:rPr>
          <w:rFonts w:ascii="Traditional Arabic" w:hAnsi="Traditional Arabic" w:cs="Traditional Arabic"/>
          <w:b/>
          <w:bCs/>
          <w:sz w:val="24"/>
          <w:szCs w:val="24"/>
          <w:u w:val="single"/>
          <w:rtl/>
        </w:rPr>
        <w:t xml:space="preserve">ملاحظة: تشير الأسهم في النموذج إلى اتجاه التأثير المفترض من المتغير المستقل بأبعاده نحو المتغيرات التابعة، بينما تُستخدَم المتغيرات الضابطة أساساً لتقسيم العينة عند اختبار الفروض المتعلقة بالفروق، ولا تدخل في نماذج الانحدار بوصفها متغيرات </w:t>
      </w:r>
      <w:commentRangeStart w:id="80"/>
      <w:r>
        <w:rPr>
          <w:rFonts w:ascii="Traditional Arabic" w:hAnsi="Traditional Arabic" w:cs="Traditional Arabic"/>
          <w:b/>
          <w:bCs/>
          <w:sz w:val="24"/>
          <w:szCs w:val="24"/>
          <w:u w:val="single"/>
          <w:rtl/>
        </w:rPr>
        <w:t>وسيطة، إذ لم تُختبَر أي علاقة وساطة في هذه الدراسة.</w:t>
      </w:r>
      <w:commentRangeEnd w:id="80"/>
      <w:r w:rsidR="001C4E4D" w:rsidRPr="0072768E">
        <w:rPr>
          <w:rStyle w:val="affa"/>
          <w:rFonts w:ascii="Simplified Arabic" w:hAnsi="Simplified Arabic" w:cs="Simplified Arabic"/>
          <w:b/>
          <w:bCs/>
          <w:sz w:val="20"/>
          <w:szCs w:val="20"/>
          <w:u w:val="single"/>
        </w:rPr>
        <w:commentReference w:id="80"/>
      </w:r>
    </w:p>
    <w:p w14:paraId="70AAC005" w14:textId="77777777" w:rsidR="006037BB" w:rsidRPr="0072768E" w:rsidRDefault="006037BB" w:rsidP="00E000FF">
      <w:pPr>
        <w:pStyle w:val="a0"/>
        <w:numPr>
          <w:ilvl w:val="0"/>
          <w:numId w:val="0"/>
        </w:numPr>
        <w:bidi/>
        <w:spacing w:after="0" w:line="360" w:lineRule="auto"/>
        <w:rPr>
          <w:rFonts w:ascii="Simplified Arabic" w:hAnsi="Simplified Arabic" w:cs="Simplified Arabic"/>
          <w:sz w:val="24"/>
          <w:szCs w:val="24"/>
          <w:rtl/>
        </w:rPr>
      </w:pPr>
    </w:p>
    <w:p w14:paraId="526D7D4E" w14:textId="77777777" w:rsidR="009D7E0E" w:rsidRDefault="009D7E0E" w:rsidP="00E000FF">
      <w:pPr>
        <w:bidi/>
        <w:spacing w:after="0" w:line="360" w:lineRule="auto"/>
        <w:rPr>
          <w:rFonts w:ascii="Traditional Arabic" w:hAnsi="Traditional Arabic" w:cs="Traditional Arabic"/>
          <w:b/>
          <w:sz w:val="48"/>
        </w:rPr>
      </w:pPr>
      <w:r>
        <w:rPr>
          <w:rFonts w:ascii="Traditional Arabic" w:hAnsi="Traditional Arabic" w:cs="Traditional Arabic"/>
          <w:b/>
          <w:sz w:val="24"/>
          <w:szCs w:val="24"/>
          <w:rtl/>
        </w:rPr>
        <w:br w:type="page"/>
      </w:r>
    </w:p>
    <w:p w14:paraId="59BBA661" w14:textId="42104647" w:rsidR="00AD783C" w:rsidRPr="0072768E" w:rsidRDefault="00AD783C" w:rsidP="00E000FF">
      <w:pPr>
        <w:pStyle w:val="HeadingTOCEntry"/>
        <w:bidi/>
        <w:spacing w:after="0" w:line="360" w:lineRule="auto"/>
        <w:ind w:left="432" w:hanging="432"/>
        <w:rPr>
          <w:rFonts w:ascii="Simplified Arabic" w:hAnsi="Simplified Arabic" w:cs="Simplified Arabic"/>
          <w:b/>
          <w:bCs/>
          <w:sz w:val="28"/>
          <w:szCs w:val="28"/>
          <w:u w:val="single"/>
        </w:rPr>
      </w:pPr>
      <w:bookmarkStart w:id="81" w:name="_Toc224563939"/>
      <w:bookmarkStart w:id="82" w:name="_Toc234424132"/>
      <w:r>
        <w:rPr>
          <w:rFonts w:ascii="Traditional Arabic" w:hAnsi="Traditional Arabic" w:cs="Traditional Arabic"/>
          <w:b/>
          <w:bCs/>
          <w:sz w:val="32"/>
          <w:szCs w:val="32"/>
          <w:u w:val="single"/>
          <w:rtl/>
        </w:rPr>
        <w:lastRenderedPageBreak/>
        <w:t>مصطلحات الدراسة وتعريفاتها الإجرائية</w:t>
      </w:r>
      <w:bookmarkEnd w:id="81"/>
      <w:bookmarkEnd w:id="82"/>
    </w:p>
    <w:p w14:paraId="69ADC6CE" w14:textId="1E8733A2" w:rsidR="00DA2FBD" w:rsidRPr="0072768E" w:rsidRDefault="00DA2FBD" w:rsidP="00E000FF">
      <w:pPr>
        <w:pStyle w:val="21"/>
        <w:bidi/>
        <w:spacing w:before="0" w:line="360" w:lineRule="auto"/>
        <w:jc w:val="both"/>
        <w:rPr>
          <w:color w:val="auto"/>
          <w:rtl/>
        </w:rPr>
      </w:pPr>
      <w:r>
        <w:rPr>
          <w:rFonts w:ascii="Traditional Arabic" w:hAnsi="Traditional Arabic" w:cs="Traditional Arabic"/>
          <w:b/>
          <w:bCs/>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p>
    <w:p w14:paraId="228E2DE2" w14:textId="77777777" w:rsidR="001A250A" w:rsidRPr="0072768E" w:rsidRDefault="00A279D5" w:rsidP="00E000FF">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الترمي</w:t>
      </w:r>
      <w:r>
        <w:rPr>
          <w:rFonts w:ascii="Traditional Arabic" w:hAnsi="Traditional Arabic" w:cs="Traditional Arabic" w:hint="cs"/>
          <w:b/>
          <w:bCs/>
          <w:color w:val="auto"/>
          <w:sz w:val="28"/>
          <w:szCs w:val="28"/>
          <w:rtl/>
        </w:rPr>
        <w:t xml:space="preserve">ز </w:t>
      </w:r>
      <w:r>
        <w:rPr>
          <w:rFonts w:ascii="Traditional Arabic" w:hAnsi="Traditional Arabic" w:cs="Traditional Arabic"/>
          <w:b/>
          <w:bCs/>
          <w:color w:val="auto"/>
          <w:sz w:val="28"/>
          <w:szCs w:val="28"/>
          <w:rtl/>
        </w:rPr>
        <w:t>(Tokenization)</w:t>
      </w:r>
      <w:r>
        <w:rPr>
          <w:rFonts w:ascii="Traditional Arabic" w:hAnsi="Traditional Arabic" w:cs="Traditional Arabic" w:hint="cs"/>
          <w:b/>
          <w:bCs/>
          <w:color w:val="auto"/>
          <w:sz w:val="28"/>
          <w:szCs w:val="28"/>
          <w:rtl/>
        </w:rPr>
        <w:t>:</w:t>
      </w:r>
    </w:p>
    <w:p w14:paraId="6DA38002" w14:textId="77777777" w:rsidR="001276DC" w:rsidRPr="001276DC" w:rsidRDefault="001276DC" w:rsidP="001276DC">
      <w:pPr>
        <w:pStyle w:val="21"/>
        <w:bidi/>
        <w:spacing w:line="360" w:lineRule="auto"/>
        <w:jc w:val="both"/>
        <w:rPr>
          <w:rFonts w:ascii="Traditional Arabic" w:hAnsi="Traditional Arabic" w:cs="Traditional Arabic"/>
          <w:b/>
          <w:bCs/>
          <w:color w:val="auto"/>
          <w:sz w:val="28"/>
          <w:szCs w:val="28"/>
        </w:rPr>
      </w:pPr>
      <w:r w:rsidRPr="001276DC">
        <w:rPr>
          <w:rFonts w:ascii="Traditional Arabic" w:hAnsi="Traditional Arabic" w:cs="Traditional Arabic"/>
          <w:b/>
          <w:bCs/>
          <w:color w:val="auto"/>
          <w:sz w:val="28"/>
          <w:szCs w:val="28"/>
          <w:rtl/>
        </w:rPr>
        <w:t>التعريف الاصطلاحي: 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 (</w:t>
      </w:r>
      <w:r w:rsidRPr="001276DC">
        <w:rPr>
          <w:rFonts w:ascii="Traditional Arabic" w:hAnsi="Traditional Arabic" w:cs="Traditional Arabic"/>
          <w:b/>
          <w:bCs/>
          <w:color w:val="auto"/>
          <w:sz w:val="28"/>
          <w:szCs w:val="28"/>
        </w:rPr>
        <w:t>Payment Card Industry Data Security Standard [PCI DSS], 2022</w:t>
      </w:r>
      <w:r w:rsidRPr="001276DC">
        <w:rPr>
          <w:rFonts w:ascii="Traditional Arabic" w:hAnsi="Traditional Arabic" w:cs="Traditional Arabic"/>
          <w:b/>
          <w:bCs/>
          <w:color w:val="auto"/>
          <w:sz w:val="28"/>
          <w:szCs w:val="28"/>
          <w:rtl/>
        </w:rPr>
        <w:t>). كما تعرفه المنظمة الدولية للتوحيد القياسي (</w:t>
      </w:r>
      <w:r w:rsidRPr="001276DC">
        <w:rPr>
          <w:rFonts w:ascii="Traditional Arabic" w:hAnsi="Traditional Arabic" w:cs="Traditional Arabic"/>
          <w:b/>
          <w:bCs/>
          <w:color w:val="auto"/>
          <w:sz w:val="28"/>
          <w:szCs w:val="28"/>
        </w:rPr>
        <w:t>ISO</w:t>
      </w:r>
      <w:r w:rsidRPr="001276DC">
        <w:rPr>
          <w:rFonts w:ascii="Traditional Arabic" w:hAnsi="Traditional Arabic" w:cs="Traditional Arabic"/>
          <w:b/>
          <w:bCs/>
          <w:color w:val="auto"/>
          <w:sz w:val="28"/>
          <w:szCs w:val="28"/>
          <w:rtl/>
        </w:rPr>
        <w:t>) بأنه "عملية استبدال المعلومات الحساسة بقيمة رمزية غير حساسة تشير إلى البيانات الأصلية دون الكشف عنها" (</w:t>
      </w:r>
      <w:r w:rsidRPr="001276DC">
        <w:rPr>
          <w:rFonts w:ascii="Traditional Arabic" w:hAnsi="Traditional Arabic" w:cs="Traditional Arabic"/>
          <w:b/>
          <w:bCs/>
          <w:color w:val="auto"/>
          <w:sz w:val="28"/>
          <w:szCs w:val="28"/>
        </w:rPr>
        <w:t>ISO 20022, 2022</w:t>
      </w:r>
      <w:r w:rsidRPr="001276DC">
        <w:rPr>
          <w:rFonts w:ascii="Traditional Arabic" w:hAnsi="Traditional Arabic" w:cs="Traditional Arabic"/>
          <w:b/>
          <w:bCs/>
          <w:color w:val="auto"/>
          <w:sz w:val="28"/>
          <w:szCs w:val="28"/>
          <w:rtl/>
        </w:rPr>
        <w:t>).</w:t>
      </w:r>
    </w:p>
    <w:p w14:paraId="223EFE57" w14:textId="77777777" w:rsidR="001276DC" w:rsidRDefault="001276DC" w:rsidP="001276DC">
      <w:pPr>
        <w:pStyle w:val="21"/>
        <w:bidi/>
        <w:spacing w:before="0" w:line="360" w:lineRule="auto"/>
        <w:jc w:val="both"/>
        <w:rPr>
          <w:rFonts w:ascii="Traditional Arabic" w:hAnsi="Traditional Arabic" w:cs="Traditional Arabic"/>
          <w:b/>
          <w:bCs/>
          <w:color w:val="auto"/>
          <w:sz w:val="28"/>
          <w:szCs w:val="28"/>
          <w:rtl/>
        </w:rPr>
      </w:pPr>
      <w:r w:rsidRPr="001276DC">
        <w:rPr>
          <w:rFonts w:ascii="Traditional Arabic" w:hAnsi="Traditional Arabic" w:cs="Traditional Arabic"/>
          <w:b/>
          <w:bCs/>
          <w:color w:val="auto"/>
          <w:sz w:val="28"/>
          <w:szCs w:val="28"/>
          <w:rtl/>
        </w:rPr>
        <w:t>التعريف الإجرائي: 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p>
    <w:p w14:paraId="354879AC" w14:textId="756E444C" w:rsidR="001A250A" w:rsidRPr="0072768E" w:rsidRDefault="00A279D5" w:rsidP="001276DC">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ترميز البيانات الحساسة</w:t>
      </w:r>
      <w:r>
        <w:rPr>
          <w:rFonts w:ascii="Traditional Arabic" w:hAnsi="Traditional Arabic" w:cs="Traditional Arabic" w:hint="cs"/>
          <w:b/>
          <w:bCs/>
          <w:color w:val="auto"/>
          <w:sz w:val="28"/>
          <w:szCs w:val="28"/>
          <w:rtl/>
        </w:rPr>
        <w:t xml:space="preserve"> </w:t>
      </w:r>
      <w:r>
        <w:rPr>
          <w:rFonts w:ascii="Traditional Arabic" w:hAnsi="Traditional Arabic" w:cs="Traditional Arabic"/>
          <w:b/>
          <w:bCs/>
          <w:color w:val="auto"/>
          <w:sz w:val="28"/>
          <w:szCs w:val="28"/>
          <w:rtl/>
        </w:rPr>
        <w:t>(Sensitive Data Tokenization)</w:t>
      </w:r>
      <w:r>
        <w:rPr>
          <w:rFonts w:ascii="Traditional Arabic" w:hAnsi="Traditional Arabic" w:cs="Traditional Arabic" w:hint="cs"/>
          <w:b/>
          <w:bCs/>
          <w:color w:val="auto"/>
          <w:sz w:val="28"/>
          <w:szCs w:val="28"/>
          <w:rtl/>
        </w:rPr>
        <w:t xml:space="preserve">: </w:t>
      </w:r>
    </w:p>
    <w:p w14:paraId="7B62D286" w14:textId="77777777" w:rsidR="001276DC" w:rsidRPr="001276DC" w:rsidRDefault="001276DC" w:rsidP="001276DC">
      <w:pPr>
        <w:bidi/>
        <w:spacing w:after="0" w:line="360" w:lineRule="auto"/>
        <w:jc w:val="both"/>
        <w:rPr>
          <w:rFonts w:ascii="Traditional Arabic" w:eastAsiaTheme="majorEastAsia" w:hAnsi="Traditional Arabic" w:cs="Traditional Arabic"/>
          <w:b/>
          <w:bCs/>
          <w:sz w:val="28"/>
          <w:szCs w:val="28"/>
        </w:rPr>
      </w:pPr>
      <w:r w:rsidRPr="001276DC">
        <w:rPr>
          <w:rFonts w:ascii="Traditional Arabic" w:eastAsiaTheme="majorEastAsia" w:hAnsi="Traditional Arabic" w:cs="Traditional Arabic"/>
          <w:b/>
          <w:bCs/>
          <w:sz w:val="28"/>
          <w:szCs w:val="28"/>
          <w:rtl/>
        </w:rPr>
        <w:t>التعريف الاصطلاحي: 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 (</w:t>
      </w:r>
      <w:r w:rsidRPr="001276DC">
        <w:rPr>
          <w:rFonts w:ascii="Traditional Arabic" w:eastAsiaTheme="majorEastAsia" w:hAnsi="Traditional Arabic" w:cs="Traditional Arabic"/>
          <w:b/>
          <w:bCs/>
          <w:sz w:val="28"/>
          <w:szCs w:val="28"/>
        </w:rPr>
        <w:t>National Institute of Standards and Technology [NIST], 2023</w:t>
      </w:r>
      <w:r w:rsidRPr="001276DC">
        <w:rPr>
          <w:rFonts w:ascii="Traditional Arabic" w:eastAsiaTheme="majorEastAsia" w:hAnsi="Traditional Arabic" w:cs="Traditional Arabic"/>
          <w:b/>
          <w:bCs/>
          <w:sz w:val="28"/>
          <w:szCs w:val="28"/>
          <w:rtl/>
        </w:rPr>
        <w:t xml:space="preserve">). ويشير تعريف </w:t>
      </w:r>
      <w:r w:rsidRPr="001276DC">
        <w:rPr>
          <w:rFonts w:ascii="Traditional Arabic" w:eastAsiaTheme="majorEastAsia" w:hAnsi="Traditional Arabic" w:cs="Traditional Arabic"/>
          <w:b/>
          <w:bCs/>
          <w:sz w:val="28"/>
          <w:szCs w:val="28"/>
        </w:rPr>
        <w:t>Gartner</w:t>
      </w:r>
      <w:r w:rsidRPr="001276DC">
        <w:rPr>
          <w:rFonts w:ascii="Traditional Arabic" w:eastAsiaTheme="majorEastAsia" w:hAnsi="Traditional Arabic" w:cs="Traditional Arabic"/>
          <w:b/>
          <w:bCs/>
          <w:sz w:val="28"/>
          <w:szCs w:val="28"/>
          <w:rtl/>
        </w:rPr>
        <w:t xml:space="preserve"> (2023) إلى أنه "عملية إحلال رموز غير ذات معنى محل البيانات الحساسة مع الاحتفاظ بالقيمة التجارية للبيانات".</w:t>
      </w:r>
    </w:p>
    <w:p w14:paraId="05512EEF" w14:textId="1933567E" w:rsidR="0041700F" w:rsidRPr="001276DC" w:rsidRDefault="001276DC" w:rsidP="001276DC">
      <w:pPr>
        <w:bidi/>
        <w:spacing w:after="0" w:line="360" w:lineRule="auto"/>
        <w:jc w:val="both"/>
        <w:rPr>
          <w:rFonts w:ascii="Simplified Arabic" w:eastAsiaTheme="majorEastAsia" w:hAnsi="Simplified Arabic" w:cs="Simplified Arabic"/>
          <w:b/>
          <w:bCs/>
          <w:sz w:val="32"/>
          <w:szCs w:val="32"/>
          <w:rtl/>
        </w:rPr>
      </w:pPr>
      <w:r w:rsidRPr="001276DC">
        <w:rPr>
          <w:rFonts w:ascii="Traditional Arabic" w:eastAsiaTheme="majorEastAsia" w:hAnsi="Traditional Arabic" w:cs="Traditional Arabic"/>
          <w:b/>
          <w:bCs/>
          <w:sz w:val="28"/>
          <w:szCs w:val="28"/>
          <w:rtl/>
        </w:rPr>
        <w:lastRenderedPageBreak/>
        <w:t>التعريف الإجرائي: 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p>
    <w:p w14:paraId="5D542F96" w14:textId="77777777" w:rsidR="0041700F" w:rsidRPr="0072768E" w:rsidRDefault="00A279D5" w:rsidP="00E000FF">
      <w:pPr>
        <w:bidi/>
        <w:spacing w:after="0"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ترميز المدفوعات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(Payment Tokenization)</w:t>
      </w:r>
      <w:r>
        <w:rPr>
          <w:rFonts w:ascii="Traditional Arabic" w:hAnsi="Traditional Arabic" w:cs="Traditional Arabic" w:hint="cs"/>
          <w:b/>
          <w:bCs/>
          <w:sz w:val="28"/>
          <w:szCs w:val="28"/>
          <w:rtl/>
        </w:rPr>
        <w:t xml:space="preserve">: </w:t>
      </w:r>
    </w:p>
    <w:p w14:paraId="1BAF544E"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sidRPr="001276DC">
        <w:rPr>
          <w:rFonts w:ascii="Traditional Arabic" w:hAnsi="Traditional Arabic" w:cs="Traditional Arabic"/>
          <w:b/>
          <w:bCs/>
          <w:sz w:val="28"/>
          <w:szCs w:val="28"/>
          <w:rtl/>
        </w:rPr>
        <w:t>التعريف الاصطلاحي: يُعرّف اصطلاحاً بأنه استبدال معلومات الدفع الحساسة مثل أرقام بطاقات الائتمان برموز رقمية فريدة أثناء معالجة المعاملات المالية الإلكترونية (</w:t>
      </w:r>
      <w:r w:rsidRPr="001276DC">
        <w:rPr>
          <w:rFonts w:ascii="Traditional Arabic" w:hAnsi="Traditional Arabic" w:cs="Traditional Arabic"/>
          <w:b/>
          <w:bCs/>
          <w:sz w:val="28"/>
          <w:szCs w:val="28"/>
        </w:rPr>
        <w:t>International Organization for Standardization [ISO], 2020</w:t>
      </w:r>
      <w:r w:rsidRPr="001276DC">
        <w:rPr>
          <w:rFonts w:ascii="Traditional Arabic" w:hAnsi="Traditional Arabic" w:cs="Traditional Arabic"/>
          <w:b/>
          <w:bCs/>
          <w:sz w:val="28"/>
          <w:szCs w:val="28"/>
          <w:rtl/>
        </w:rPr>
        <w:t>). وتعرفه جمعية المدفوعات العالمية (</w:t>
      </w:r>
      <w:r w:rsidRPr="001276DC">
        <w:rPr>
          <w:rFonts w:ascii="Traditional Arabic" w:hAnsi="Traditional Arabic" w:cs="Traditional Arabic"/>
          <w:b/>
          <w:bCs/>
          <w:sz w:val="28"/>
          <w:szCs w:val="28"/>
        </w:rPr>
        <w:t>Global Payments Association, 2023</w:t>
      </w:r>
      <w:r w:rsidRPr="001276DC">
        <w:rPr>
          <w:rFonts w:ascii="Traditional Arabic" w:hAnsi="Traditional Arabic" w:cs="Traditional Arabic"/>
          <w:b/>
          <w:bCs/>
          <w:sz w:val="28"/>
          <w:szCs w:val="28"/>
          <w:rtl/>
        </w:rPr>
        <w:t>) بأنه "عملية استبدال بيانات حامل البطاقة برمز رقمي فريد يمكن استخدامه لإتمام المعاملة دون الكشف عن المعلومات الأصلية".</w:t>
      </w:r>
    </w:p>
    <w:p w14:paraId="3E1A521E" w14:textId="3042039D" w:rsidR="00CD417C" w:rsidRPr="001276DC" w:rsidRDefault="001276DC" w:rsidP="001276DC">
      <w:pPr>
        <w:bidi/>
        <w:spacing w:after="0" w:line="360" w:lineRule="auto"/>
        <w:jc w:val="both"/>
        <w:rPr>
          <w:rFonts w:ascii="Simplified Arabic" w:hAnsi="Simplified Arabic" w:cs="Simplified Arabic"/>
          <w:b/>
          <w:bCs/>
          <w:sz w:val="32"/>
          <w:szCs w:val="32"/>
          <w:rtl/>
        </w:rPr>
      </w:pPr>
      <w:r w:rsidRPr="001276DC">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p>
    <w:p w14:paraId="51D38524" w14:textId="77777777" w:rsidR="00CD417C" w:rsidRPr="0072768E" w:rsidRDefault="00A279D5"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(Asset Tokenization)</w:t>
      </w:r>
      <w:r>
        <w:rPr>
          <w:rFonts w:ascii="Traditional Arabic" w:hAnsi="Traditional Arabic" w:cs="Traditional Arabic" w:hint="cs"/>
          <w:b/>
          <w:bCs/>
          <w:sz w:val="28"/>
          <w:szCs w:val="28"/>
          <w:rtl/>
        </w:rPr>
        <w:t xml:space="preserve">: </w:t>
      </w:r>
    </w:p>
    <w:p w14:paraId="79CDF888"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sidRPr="001276DC">
        <w:rPr>
          <w:rFonts w:ascii="Traditional Arabic" w:hAnsi="Traditional Arabic" w:cs="Traditional Arabic"/>
          <w:b/>
          <w:bCs/>
          <w:sz w:val="28"/>
          <w:szCs w:val="28"/>
          <w:rtl/>
        </w:rPr>
        <w:t>التعريف الاصطلاحي: يُعرّف اصطلاحاً بأنه تحويل الأصول المالية التقليدية مثل الأسهم والسندات والعقارات إلى رموز رقمية يمكن تداولها على منصات سلسلة الكتل (</w:t>
      </w:r>
      <w:r w:rsidRPr="001276DC">
        <w:rPr>
          <w:rFonts w:ascii="Traditional Arabic" w:hAnsi="Traditional Arabic" w:cs="Traditional Arabic"/>
          <w:b/>
          <w:bCs/>
          <w:sz w:val="28"/>
          <w:szCs w:val="28"/>
        </w:rPr>
        <w:t>World Economic Forum [WEF], 2023</w:t>
      </w:r>
      <w:r w:rsidRPr="001276DC">
        <w:rPr>
          <w:rFonts w:ascii="Traditional Arabic" w:hAnsi="Traditional Arabic" w:cs="Traditional Arabic"/>
          <w:b/>
          <w:bCs/>
          <w:sz w:val="28"/>
          <w:szCs w:val="28"/>
          <w:rtl/>
        </w:rPr>
        <w:t>). ويعرفه البنك الدولي (</w:t>
      </w:r>
      <w:r w:rsidRPr="001276DC">
        <w:rPr>
          <w:rFonts w:ascii="Traditional Arabic" w:hAnsi="Traditional Arabic" w:cs="Traditional Arabic"/>
          <w:b/>
          <w:bCs/>
          <w:sz w:val="28"/>
          <w:szCs w:val="28"/>
        </w:rPr>
        <w:t>World Bank, 2022</w:t>
      </w:r>
      <w:r w:rsidRPr="001276DC">
        <w:rPr>
          <w:rFonts w:ascii="Traditional Arabic" w:hAnsi="Traditional Arabic" w:cs="Traditional Arabic"/>
          <w:b/>
          <w:bCs/>
          <w:sz w:val="28"/>
          <w:szCs w:val="28"/>
          <w:rtl/>
        </w:rPr>
        <w:t>) 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p>
    <w:p w14:paraId="18DF1B83" w14:textId="77777777" w:rsidR="001276DC" w:rsidRDefault="001276DC" w:rsidP="001276DC">
      <w:pPr>
        <w:bidi/>
        <w:spacing w:after="0" w:line="360" w:lineRule="auto"/>
        <w:jc w:val="both"/>
        <w:rPr>
          <w:rFonts w:ascii="Traditional Arabic" w:hAnsi="Traditional Arabic" w:cs="Traditional Arabic"/>
          <w:b/>
          <w:bCs/>
          <w:sz w:val="28"/>
          <w:szCs w:val="28"/>
          <w:rtl/>
        </w:rPr>
      </w:pPr>
      <w:r w:rsidRPr="001276DC">
        <w:rPr>
          <w:rFonts w:ascii="Traditional Arabic" w:hAnsi="Traditional Arabic" w:cs="Traditional Arabic"/>
          <w:b/>
          <w:bCs/>
          <w:sz w:val="28"/>
          <w:szCs w:val="28"/>
          <w:rtl/>
        </w:rPr>
        <w:lastRenderedPageBreak/>
        <w:t>التعريف الإجرائي: 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p>
    <w:p w14:paraId="0DBD253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الترميز غير القابل للاستبدال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(Non-Fungible Tokenization)</w:t>
      </w:r>
      <w:r>
        <w:rPr>
          <w:rFonts w:ascii="Traditional Arabic" w:hAnsi="Traditional Arabic" w:cs="Traditional Arabic" w:hint="cs"/>
          <w:b/>
          <w:bCs/>
          <w:sz w:val="28"/>
          <w:szCs w:val="28"/>
          <w:rtl/>
        </w:rPr>
        <w:t xml:space="preserve">: </w:t>
      </w:r>
    </w:p>
    <w:p w14:paraId="6964E380"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إنشاء رموز رقمية فريدة غير قابلة للاستبدال لتمثيل الأصول الفريدة مثل الأعمال الفنية والملكية الفكرية (Ethereum Foundation, 2024). ويعرفه قاموس أكسفورد للتقنيات المالية (Oxford FinTech Dictionary, 2023) بأنه "رمز رقمي فريد لا يمكن استبداله بآخر، يمثل ملكية أصل فريد أو محتوى رقمي، ويستخدم تقنية البلوكتشين لتوثيق الملكية والأصالة".</w:t>
      </w:r>
    </w:p>
    <w:p w14:paraId="0CFE8D79"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p>
    <w:p w14:paraId="4F34D046"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الأمن السيبراني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(Cybersecurity)</w:t>
      </w:r>
      <w:r>
        <w:rPr>
          <w:rFonts w:ascii="Traditional Arabic" w:hAnsi="Traditional Arabic" w:cs="Traditional Arabic" w:hint="cs"/>
          <w:b/>
          <w:bCs/>
          <w:sz w:val="28"/>
          <w:szCs w:val="28"/>
          <w:rtl/>
        </w:rPr>
        <w:t xml:space="preserve">: </w:t>
      </w:r>
    </w:p>
    <w:p w14:paraId="37E994BF"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 (ISO/IEC 27032, 2023) بأنه "حماية سلامة وسرية وتوافر المعلومات في الفضاء الإلكتروني". وتعرفه وكالة الأمن السيبراني والبنية التحتية (CISA, 2023) بأنه "فن حماية الشبكات والأنظمة والبرامج من الهجمات الرقمية التي تهدف إلى الوصول غير المصرح به للبيانات أو تعطيل العمليات الرقمية".</w:t>
      </w:r>
    </w:p>
    <w:p w14:paraId="5DE9ED16"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 (مستوى الالتزام بالمعايير المحلية والدولية مثل ISO 27001 ومعايير الهيئة الوطنية للأمن السيبراني)، </w:t>
      </w:r>
      <w:r>
        <w:rPr>
          <w:rFonts w:ascii="Traditional Arabic" w:hAnsi="Traditional Arabic" w:cs="Traditional Arabic"/>
          <w:b/>
          <w:bCs/>
          <w:sz w:val="28"/>
          <w:szCs w:val="28"/>
          <w:rtl/>
        </w:rPr>
        <w:lastRenderedPageBreak/>
        <w:t>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Traditional Arabic" w:hAnsi="Traditional Arabic" w:cs="Traditional Arabic" w:hint="cs"/>
          <w:b/>
          <w:bCs/>
          <w:sz w:val="28"/>
          <w:szCs w:val="28"/>
          <w:rtl/>
        </w:rPr>
        <w:t>.</w:t>
      </w:r>
    </w:p>
    <w:p w14:paraId="530B0E37"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كفاءة المعاملات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Transaction Efficiency)</w:t>
      </w:r>
      <w:r>
        <w:rPr>
          <w:rFonts w:ascii="Traditional Arabic" w:hAnsi="Traditional Arabic" w:cs="Traditional Arabic" w:hint="cs"/>
          <w:b/>
          <w:bCs/>
          <w:sz w:val="28"/>
          <w:szCs w:val="28"/>
          <w:rtl/>
        </w:rPr>
        <w:t xml:space="preserve">: </w:t>
      </w:r>
    </w:p>
    <w:p w14:paraId="293C224E"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مدى سرعة ودقة وتكلفة إجراء المعاملات المالية (Bank for International Settlements [BIS], 2023). ويعرفها معهد التمويل الدولي (Institute of International Finance, 2022) بأنها "قدرة النظام المالي على تنفيذ المعاملات بسرعة وتكلفة منخفضة وبأقل قدر من المخاطر".</w:t>
      </w:r>
    </w:p>
    <w:p w14:paraId="1BF3F42A"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p>
    <w:p w14:paraId="3D447DD1"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رؤية المملكة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(Vision 2030)</w:t>
      </w:r>
      <w:r>
        <w:rPr>
          <w:rFonts w:ascii="Traditional Arabic" w:hAnsi="Traditional Arabic" w:cs="Traditional Arabic" w:hint="cs"/>
          <w:b/>
          <w:bCs/>
          <w:sz w:val="28"/>
          <w:szCs w:val="28"/>
          <w:rtl/>
        </w:rPr>
        <w:t xml:space="preserve">: </w:t>
      </w:r>
    </w:p>
    <w:p w14:paraId="2742C768"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p>
    <w:p w14:paraId="444FDF97"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w:t>
      </w:r>
      <w:r>
        <w:rPr>
          <w:rFonts w:ascii="Traditional Arabic" w:hAnsi="Traditional Arabic" w:cs="Traditional Arabic"/>
          <w:b/>
          <w:bCs/>
          <w:sz w:val="28"/>
          <w:szCs w:val="28"/>
          <w:rtl/>
        </w:rPr>
        <w:lastRenderedPageBreak/>
        <w:t>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Traditional Arabic" w:hAnsi="Traditional Arabic" w:cs="Traditional Arabic" w:hint="cs"/>
          <w:b/>
          <w:bCs/>
          <w:sz w:val="28"/>
          <w:szCs w:val="28"/>
          <w:rtl/>
        </w:rPr>
        <w:t>.</w:t>
      </w:r>
    </w:p>
    <w:p w14:paraId="454F9AFC"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(Digital Transformation)</w:t>
      </w:r>
      <w:r>
        <w:rPr>
          <w:rFonts w:ascii="Traditional Arabic" w:hAnsi="Traditional Arabic" w:cs="Traditional Arabic" w:hint="cs"/>
          <w:b/>
          <w:bCs/>
          <w:sz w:val="28"/>
          <w:szCs w:val="28"/>
          <w:rtl/>
        </w:rPr>
        <w:t>:</w:t>
      </w:r>
    </w:p>
    <w:p w14:paraId="12335F07"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عملية توظيف التكنولوجيا الرقمية وتبنيها في مختلف جوانب الأعمال لتحسين الأداء وزيادة القيمة وتعزيز تجربة العملاء (برنامج التحول الوطني، 2020؛ Gartner, 2023). وتعرفه مؤسسة MIT Sloan (2022) بأنه "عملية تكامل التقنيات الرقمية في جميع مجالات الأعمال، مما يؤدي إلى تغيير جوهري في طريقة عمل المؤسسات وتقديم قيمة للعملاء".</w:t>
      </w:r>
    </w:p>
    <w:p w14:paraId="2FAEB803"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إدراك المستجيبين لإسهام تقنية الترميز في دعم التحول الرقمي المالي ومستهدفات رؤية 2030، ويُقاس بالدرجة التي يحصل عليها المستجيب على عبارات بُعد (التوافق مع رؤية 2030 والتحول الرقمي المالي) في أداة الدراسة.</w:t>
      </w:r>
    </w:p>
    <w:p w14:paraId="7EF4430B"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القطاع المالي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Sector Development)</w:t>
      </w:r>
      <w:r>
        <w:rPr>
          <w:rFonts w:ascii="Traditional Arabic" w:hAnsi="Traditional Arabic" w:cs="Traditional Arabic" w:hint="cs"/>
          <w:b/>
          <w:bCs/>
          <w:sz w:val="28"/>
          <w:szCs w:val="28"/>
          <w:rtl/>
        </w:rPr>
        <w:t xml:space="preserve">: </w:t>
      </w:r>
    </w:p>
    <w:p w14:paraId="1EF51EEB" w14:textId="77777777" w:rsidR="0067429E" w:rsidRDefault="00656233"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الإجراءات والسياسات التي تهدف إلى تعزيز استقرار وكفاءة وتنافسية القطاع المالي (برنامج تطوير القطاع المالي، 2018؛ International Monetary Fund [IMF], 2022). ويعرفه البنك الدولي (2023) بأنه "عملية تحسين وتوسيع الخدمات المالية وجعلها أكثر كفاءة واستقراراً وشمولاً، مما يساهم في النمو الاقتصادي والتنمية المستدامة".</w:t>
      </w:r>
    </w:p>
    <w:p w14:paraId="08BF700A" w14:textId="77777777" w:rsidR="001B355A" w:rsidRDefault="00656233" w:rsidP="001B355A">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p>
    <w:p w14:paraId="7E3AFA9D" w14:textId="1FE0A8FB" w:rsidR="00FC3D33" w:rsidRPr="001B355A" w:rsidRDefault="00656233" w:rsidP="001B355A">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p>
    <w:p w14:paraId="7734DD59" w14:textId="77777777" w:rsidR="001B355A" w:rsidRDefault="00257F01" w:rsidP="001B355A">
      <w:pPr>
        <w:pStyle w:val="HeadingTOCEntry"/>
        <w:bidi/>
        <w:spacing w:after="0" w:line="360" w:lineRule="auto"/>
        <w:ind w:left="432" w:hanging="432"/>
        <w:rPr>
          <w:rFonts w:ascii="Traditional Arabic" w:hAnsi="Traditional Arabic" w:cs="Traditional Arabic"/>
          <w:b/>
          <w:bCs/>
          <w:sz w:val="32"/>
          <w:szCs w:val="32"/>
          <w:u w:val="single"/>
          <w:rtl/>
        </w:rPr>
      </w:pPr>
      <w:bookmarkStart w:id="83" w:name="_Toc224563940"/>
      <w:bookmarkStart w:id="84" w:name="_Toc234424133"/>
      <w:r>
        <w:rPr>
          <w:rFonts w:ascii="Traditional Arabic" w:hAnsi="Traditional Arabic" w:cs="Traditional Arabic"/>
          <w:b/>
          <w:bCs/>
          <w:sz w:val="32"/>
          <w:szCs w:val="32"/>
          <w:u w:val="single"/>
          <w:rtl/>
        </w:rPr>
        <w:t xml:space="preserve">إجراءات </w:t>
      </w:r>
      <w:r>
        <w:rPr>
          <w:rFonts w:ascii="Traditional Arabic" w:hAnsi="Traditional Arabic" w:cs="Traditional Arabic" w:hint="cs"/>
          <w:b/>
          <w:bCs/>
          <w:sz w:val="32"/>
          <w:szCs w:val="32"/>
          <w:u w:val="single"/>
          <w:rtl/>
        </w:rPr>
        <w:t>الدراسة:</w:t>
      </w:r>
      <w:bookmarkEnd w:id="83"/>
      <w:bookmarkEnd w:id="84"/>
    </w:p>
    <w:p w14:paraId="6B9E16EA" w14:textId="77777777" w:rsidR="001B355A" w:rsidRDefault="00E62032"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اعتمدت الدراسة المنهج الكمي الوصفي التحليلي، واستخدمت الاستبانة الإلكترونية أداةً وحيدة لجمع البيانات من عينة قصدية من العاملين في المؤسسات المالية السعودية، وحُلِّلت البيانات بأساليب إحصائية لامعلمية. ويُعرَض التفصيل الكامل لمنهج الدراسة ومجتمعها وعينتها وأداتها وصدقها وثباتها وأساليبها الإحصائية في الفصل الثالث (منهجية الدراسة)، تجنباً للتكرار.</w:t>
      </w:r>
      <w:bookmarkStart w:id="85" w:name="_Toc224563942"/>
      <w:bookmarkStart w:id="86" w:name="_Toc234424135"/>
    </w:p>
    <w:p w14:paraId="6BD53DBC" w14:textId="77777777" w:rsidR="001B355A" w:rsidRDefault="000A1E46"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حدود الدراسة:</w:t>
      </w:r>
      <w:bookmarkEnd w:id="85"/>
      <w:bookmarkEnd w:id="86"/>
      <w:r>
        <w:rPr>
          <w:rFonts w:ascii="Traditional Arabic" w:hAnsi="Traditional Arabic" w:cs="Traditional Arabic"/>
          <w:b/>
          <w:bCs/>
          <w:sz w:val="32"/>
          <w:szCs w:val="32"/>
          <w:u w:val="single"/>
          <w:rtl/>
        </w:rPr>
        <w:t xml:space="preserve"> </w:t>
      </w:r>
    </w:p>
    <w:p w14:paraId="0B5842C5"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hint="cs"/>
          <w:b/>
          <w:bCs/>
          <w:sz w:val="28"/>
          <w:szCs w:val="28"/>
          <w:rtl/>
        </w:rPr>
        <w:t>تعتبر</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إطاراً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منهجياً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يحدد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نطاق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ومجاله،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مما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يساعد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في</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تركيز</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الجهود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وضمان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دقة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النتائج</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وإمكانية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تعميمها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تتضمن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هذه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التالية</w:t>
      </w:r>
      <w:r>
        <w:rPr>
          <w:rFonts w:ascii="Traditional Arabic" w:hAnsi="Traditional Arabic" w:cs="Traditional Arabic"/>
          <w:b/>
          <w:bCs/>
          <w:sz w:val="28"/>
          <w:szCs w:val="28"/>
          <w:rtl/>
        </w:rPr>
        <w:t>:</w:t>
      </w:r>
    </w:p>
    <w:p w14:paraId="0FAC7066"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الحدود الموضوعية</w:t>
      </w:r>
    </w:p>
    <w:p w14:paraId="76D264D5"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Traditional Arabic" w:hAnsi="Traditional Arabic" w:cs="Traditional Arabic" w:hint="cs"/>
          <w:b/>
          <w:bCs/>
          <w:sz w:val="28"/>
          <w:szCs w:val="28"/>
          <w:rtl/>
        </w:rPr>
        <w:t>.</w:t>
      </w:r>
    </w:p>
    <w:p w14:paraId="36422FE8" w14:textId="77777777" w:rsidR="0063519C" w:rsidRDefault="0063519C" w:rsidP="001B355A">
      <w:pPr>
        <w:pStyle w:val="HeadingTOCEntry"/>
        <w:bidi/>
        <w:spacing w:after="0" w:line="360" w:lineRule="auto"/>
        <w:ind w:left="432" w:hanging="432"/>
        <w:rPr>
          <w:rFonts w:ascii="Traditional Arabic" w:hAnsi="Traditional Arabic" w:cs="Traditional Arabic"/>
          <w:b/>
          <w:bCs/>
          <w:sz w:val="28"/>
          <w:szCs w:val="28"/>
          <w:rtl/>
        </w:rPr>
      </w:pPr>
    </w:p>
    <w:p w14:paraId="118AA5D2"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4607D415"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3DA03938"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19812122" w14:textId="355FF755" w:rsidR="001B355A"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الحدود المكانية</w:t>
      </w:r>
    </w:p>
    <w:p w14:paraId="2AF40329" w14:textId="77777777" w:rsidR="0063519C"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المؤسسات المالية العاملة في المملكة العربية السعودية، وتحديداً:</w:t>
      </w:r>
    </w:p>
    <w:p w14:paraId="52276572" w14:textId="77777777" w:rsidR="0063519C" w:rsidRPr="0063519C" w:rsidRDefault="007F6F3E" w:rsidP="0063519C">
      <w:pPr>
        <w:pStyle w:val="21"/>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التجارية المحلية التقليدية المرخصة من قبل البنك المركزي السعودي (ساما) وعددها 11 بنكاً.</w:t>
      </w:r>
    </w:p>
    <w:p w14:paraId="5A071EA3" w14:textId="77777777" w:rsidR="0063519C" w:rsidRPr="0063519C" w:rsidRDefault="007F6F3E" w:rsidP="0063519C">
      <w:pPr>
        <w:pStyle w:val="21"/>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الرقمية المحلية المرخصة وعددها 3 بنوك.</w:t>
      </w:r>
    </w:p>
    <w:p w14:paraId="52F8EC2E" w14:textId="6C92E279" w:rsidR="007F6F3E" w:rsidRPr="0063519C" w:rsidRDefault="007F6F3E" w:rsidP="0063519C">
      <w:pPr>
        <w:pStyle w:val="21"/>
        <w:numPr>
          <w:ilvl w:val="0"/>
          <w:numId w:val="14"/>
        </w:numPr>
        <w:tabs>
          <w:tab w:val="clear" w:pos="720"/>
        </w:tabs>
        <w:bidi/>
        <w:spacing w:before="0"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شركات التقنية المالية (Fintech) المرخصة من قبل البنك المركزي السعودي وعددها 224 شركة.</w:t>
      </w:r>
    </w:p>
    <w:p w14:paraId="3289790D" w14:textId="77777777" w:rsidR="007F6F3E" w:rsidRPr="0072768E" w:rsidRDefault="007F6F3E"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p>
    <w:p w14:paraId="5EF5C77B" w14:textId="77777777" w:rsidR="007F6F3E" w:rsidRPr="0072768E" w:rsidRDefault="007F6F3E" w:rsidP="00E000FF">
      <w:pPr>
        <w:pStyle w:val="21"/>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الحدود الزمانية</w:t>
      </w:r>
    </w:p>
    <w:p w14:paraId="15F298C5" w14:textId="77777777" w:rsidR="007F6F3E" w:rsidRPr="0072768E" w:rsidRDefault="007F6F3E"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تغطي الدراسة الفترة من يناير 2025 إلى ديسمبر 2026، وهي الفترة المخصصة لتنفيذ خطة البحث على النحو التالي:</w:t>
      </w:r>
    </w:p>
    <w:p w14:paraId="16DB844D"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أبريل 2025: مراجعة الأدبيات وتطوير أدوات الدراسة.</w:t>
      </w:r>
    </w:p>
    <w:p w14:paraId="7E6F436D"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مايو إلى ديسمبر 2025: جمع البيانات من عينة الدراسة.</w:t>
      </w:r>
    </w:p>
    <w:p w14:paraId="0D7ABB6A"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يونيو 2026: تحليل البيانات واستخلاص النتائج.</w:t>
      </w:r>
    </w:p>
    <w:p w14:paraId="38748D14"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يوليو إلى ديسمبر 2026: كتابة التقرير النهائي وتقديم التوصيات.</w:t>
      </w:r>
    </w:p>
    <w:p w14:paraId="6A54FB40" w14:textId="77777777" w:rsidR="007F6F3E" w:rsidRPr="0072768E" w:rsidRDefault="007F6F3E"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p>
    <w:p w14:paraId="5937AEEC" w14:textId="77777777" w:rsidR="007F6F3E" w:rsidRPr="0072768E" w:rsidRDefault="007F6F3E" w:rsidP="00E000FF">
      <w:pPr>
        <w:pStyle w:val="21"/>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الحدود البشرية</w:t>
      </w:r>
    </w:p>
    <w:p w14:paraId="483E8A6C" w14:textId="77777777" w:rsidR="007F6F3E" w:rsidRPr="0063519C" w:rsidRDefault="007F6F3E" w:rsidP="00E000FF">
      <w:p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تشمل الدراسة الفئات التالية:</w:t>
      </w:r>
    </w:p>
    <w:p w14:paraId="22512049"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القيادات الإدارية والتنفيذية: 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p>
    <w:p w14:paraId="1D505C33"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lastRenderedPageBreak/>
        <w:t>الخبراء والمتخصصون: 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p>
    <w:p w14:paraId="2EEDD58A"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الفنيون والمختصون التقنيون: الموظفون الفنيون العاملون في مجال تطبيق الترميز مثل محللي البيانات ومطوري البرمجيات ومسؤولي الأمن السيبراني والمختصين في تقنيات الترميز المختلفة.</w:t>
      </w:r>
    </w:p>
    <w:p w14:paraId="4653F913" w14:textId="77777777" w:rsidR="007F6F3E" w:rsidRPr="0063519C" w:rsidRDefault="007F6F3E" w:rsidP="00E000FF">
      <w:pPr>
        <w:pStyle w:val="21"/>
        <w:bidi/>
        <w:spacing w:before="0" w:line="360" w:lineRule="auto"/>
        <w:jc w:val="both"/>
        <w:rPr>
          <w:rFonts w:ascii="Simplified Arabic" w:hAnsi="Simplified Arabic" w:cs="Simplified Arabic"/>
          <w:b/>
          <w:bCs/>
          <w:color w:val="auto"/>
          <w:sz w:val="28"/>
          <w:szCs w:val="28"/>
          <w:rtl/>
        </w:rPr>
      </w:pPr>
      <w:r w:rsidRPr="0063519C">
        <w:rPr>
          <w:rFonts w:ascii="Traditional Arabic" w:hAnsi="Traditional Arabic" w:cs="Traditional Arabic"/>
          <w:b/>
          <w:bCs/>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63519C">
        <w:rPr>
          <w:rFonts w:ascii="Traditional Arabic" w:hAnsi="Traditional Arabic" w:cs="Traditional Arabic" w:hint="cs"/>
          <w:b/>
          <w:bCs/>
          <w:color w:val="auto"/>
          <w:sz w:val="28"/>
          <w:szCs w:val="28"/>
          <w:rtl/>
        </w:rPr>
        <w:t>.</w:t>
      </w:r>
    </w:p>
    <w:p w14:paraId="1E872725" w14:textId="77777777" w:rsidR="007F6F3E" w:rsidRPr="0063519C" w:rsidRDefault="007F6F3E" w:rsidP="00E000FF">
      <w:pPr>
        <w:pStyle w:val="21"/>
        <w:bidi/>
        <w:spacing w:before="0" w:line="360" w:lineRule="auto"/>
        <w:rPr>
          <w:rFonts w:ascii="Simplified Arabic" w:hAnsi="Simplified Arabic" w:cs="Simplified Arabic"/>
          <w:b/>
          <w:bCs/>
          <w:color w:val="auto"/>
          <w:sz w:val="28"/>
          <w:szCs w:val="28"/>
        </w:rPr>
      </w:pPr>
      <w:r w:rsidRPr="0063519C">
        <w:rPr>
          <w:rFonts w:ascii="Traditional Arabic" w:hAnsi="Traditional Arabic" w:cs="Traditional Arabic"/>
          <w:b/>
          <w:bCs/>
          <w:color w:val="auto"/>
          <w:sz w:val="28"/>
          <w:szCs w:val="28"/>
          <w:rtl/>
        </w:rPr>
        <w:t>مبررات اختيار حدود الدراسة</w:t>
      </w:r>
    </w:p>
    <w:p w14:paraId="41F576BB"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الموضوعية: 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p>
    <w:p w14:paraId="00D8B7EF"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المكانية: تم اختيار المؤسسات المالية السعودية لكونها تشهد تحولاً رقمياً متسارعاً، ولوجود فجوة بحثية في دراسة تأثير تقنية الترميز في السياق السعودي تحديداً.</w:t>
      </w:r>
    </w:p>
    <w:p w14:paraId="1514F0B1"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الزمانية: تم تحديد الفترة 2025-2026 لضمان الحصول على بيانات حديثة تعكس الواقع الحالي لتبني تقنية الترميز وتأثيرها، في ظل التطور المتسارع للتكنولوجيا المالية.</w:t>
      </w:r>
    </w:p>
    <w:p w14:paraId="5F6277DD"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البشرية: تم اختيار مجموعة متنوعة من المشاركين لضمان الحصول على رؤية متكاملة تجمع بين الجوانب الإدارية والتقنية والتنظيمية والمستخدم النهائي.</w:t>
      </w:r>
    </w:p>
    <w:p w14:paraId="68977925" w14:textId="044E8549" w:rsidR="007E4F21" w:rsidRDefault="007F6F3E"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p>
    <w:p w14:paraId="0B0EDE16" w14:textId="77777777" w:rsidR="00AF5C9F" w:rsidRPr="00AF5C9F" w:rsidRDefault="00AF5C9F" w:rsidP="00E000FF">
      <w:pPr>
        <w:bidi/>
        <w:spacing w:after="0" w:line="360" w:lineRule="auto"/>
        <w:rPr>
          <w:rtl/>
        </w:rPr>
      </w:pPr>
    </w:p>
    <w:p w14:paraId="7DB1CCBA" w14:textId="77777777" w:rsidR="00A554AC" w:rsidRPr="0072768E" w:rsidRDefault="00A554AC" w:rsidP="00E000FF">
      <w:pPr>
        <w:bidi/>
        <w:spacing w:after="0" w:line="360" w:lineRule="auto"/>
        <w:jc w:val="both"/>
        <w:rPr>
          <w:rFonts w:ascii="Simplified Arabic" w:eastAsiaTheme="majorEastAsia" w:hAnsi="Simplified Arabic" w:cs="Simplified Arabic"/>
          <w:b/>
          <w:bCs/>
          <w:sz w:val="28"/>
          <w:szCs w:val="28"/>
          <w:rtl/>
        </w:rPr>
      </w:pPr>
    </w:p>
    <w:p w14:paraId="253D93FC" w14:textId="77777777" w:rsidR="004E6090" w:rsidRPr="0072768E" w:rsidRDefault="004E6090" w:rsidP="00E000FF">
      <w:pPr>
        <w:bidi/>
        <w:spacing w:after="0" w:line="360" w:lineRule="auto"/>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4FF710B5" w14:textId="77777777" w:rsidR="0063519C" w:rsidRDefault="0063519C" w:rsidP="00E000FF">
      <w:pPr>
        <w:pStyle w:val="HeadingTOCEntry"/>
        <w:bidi/>
        <w:spacing w:after="0" w:line="360" w:lineRule="auto"/>
        <w:ind w:left="432" w:hanging="432"/>
        <w:jc w:val="center"/>
        <w:rPr>
          <w:rFonts w:ascii="Traditional Arabic" w:hAnsi="Traditional Arabic" w:cs="Traditional Arabic"/>
          <w:b/>
          <w:bCs/>
          <w:sz w:val="32"/>
          <w:szCs w:val="32"/>
          <w:rtl/>
        </w:rPr>
      </w:pPr>
      <w:bookmarkStart w:id="87" w:name="_Toc224563956"/>
      <w:bookmarkStart w:id="88" w:name="_Toc234424148"/>
    </w:p>
    <w:p w14:paraId="6447D87C"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5C3CB21"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7C2608D2"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FE8995D"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0E6B3264" w14:textId="7832620E" w:rsidR="00A40CCF" w:rsidRPr="004F6AF4" w:rsidRDefault="00A40CCF" w:rsidP="0063519C">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b/>
          <w:bCs/>
          <w:sz w:val="92"/>
          <w:szCs w:val="92"/>
          <w:rtl/>
        </w:rPr>
        <w:t>الفصل الثاني</w:t>
      </w:r>
      <w:bookmarkEnd w:id="87"/>
      <w:bookmarkEnd w:id="88"/>
    </w:p>
    <w:p w14:paraId="642CB666" w14:textId="1FD9B072" w:rsidR="00BC00FF" w:rsidRPr="004F6AF4" w:rsidRDefault="00A40CCF" w:rsidP="004F6AF4">
      <w:pPr>
        <w:pStyle w:val="HeadingTOCEntry"/>
        <w:bidi/>
        <w:spacing w:after="0" w:line="360" w:lineRule="auto"/>
        <w:ind w:left="432" w:hanging="432"/>
        <w:jc w:val="center"/>
        <w:rPr>
          <w:rFonts w:ascii="Traditional Arabic" w:hAnsi="Traditional Arabic" w:cs="Traditional Arabic"/>
          <w:b/>
          <w:bCs/>
          <w:sz w:val="92"/>
          <w:szCs w:val="92"/>
          <w:rtl/>
        </w:rPr>
      </w:pPr>
      <w:commentRangeStart w:id="89"/>
      <w:r w:rsidRPr="004F6AF4">
        <w:rPr>
          <w:rFonts w:ascii="Traditional Arabic" w:hAnsi="Traditional Arabic" w:cs="Traditional Arabic"/>
          <w:b/>
          <w:bCs/>
          <w:sz w:val="92"/>
          <w:szCs w:val="92"/>
          <w:rtl/>
        </w:rPr>
        <w:t>الإطار النظري والدراسات السابقة</w:t>
      </w:r>
      <w:commentRangeEnd w:id="89"/>
      <w:r w:rsidR="00E1134E" w:rsidRPr="004F6AF4">
        <w:rPr>
          <w:rStyle w:val="affa"/>
          <w:rFonts w:ascii="Traditional Arabic" w:hAnsi="Traditional Arabic" w:cs="Traditional Arabic"/>
          <w:b/>
          <w:bCs/>
          <w:sz w:val="92"/>
          <w:szCs w:val="92"/>
          <w:rtl/>
        </w:rPr>
        <w:commentReference w:id="89"/>
      </w:r>
    </w:p>
    <w:p w14:paraId="151D0399" w14:textId="77777777" w:rsidR="00F16CC0" w:rsidRPr="00F16CC0" w:rsidRDefault="00F16CC0"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5DB6E8FB" w14:textId="6E92E9B7" w:rsidR="00786A9D" w:rsidRPr="00D26972" w:rsidRDefault="00786A9D" w:rsidP="00E000FF">
      <w:pPr>
        <w:pStyle w:val="HeadingTOCEntry"/>
        <w:bidi/>
        <w:spacing w:after="0" w:line="360" w:lineRule="auto"/>
        <w:ind w:left="432" w:hanging="432"/>
        <w:rPr>
          <w:rFonts w:ascii="Simplified Arabic" w:hAnsi="Simplified Arabic" w:cs="Simplified Arabic"/>
          <w:b/>
          <w:bCs/>
          <w:sz w:val="28"/>
          <w:szCs w:val="28"/>
          <w:u w:val="single"/>
        </w:rPr>
      </w:pPr>
      <w:bookmarkStart w:id="90" w:name="_Toc224563957"/>
      <w:bookmarkStart w:id="91" w:name="_Toc234424149"/>
      <w:r>
        <w:rPr>
          <w:rFonts w:ascii="Traditional Arabic" w:hAnsi="Traditional Arabic" w:cs="Traditional Arabic"/>
          <w:b/>
          <w:bCs/>
          <w:sz w:val="32"/>
          <w:szCs w:val="32"/>
          <w:u w:val="single"/>
          <w:rtl/>
        </w:rPr>
        <w:lastRenderedPageBreak/>
        <w:t>مقدمة الفصل</w:t>
      </w:r>
      <w:bookmarkEnd w:id="90"/>
      <w:bookmarkEnd w:id="91"/>
    </w:p>
    <w:p w14:paraId="0FD04E4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تمهيد</w:t>
      </w:r>
    </w:p>
    <w:p w14:paraId="455733A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 (Financial Stability Board, 2024; McKinsey &amp; Company, 2024). 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(Goghie, 2024; Ahammad et al., 2025)</w:t>
      </w:r>
      <w:r w:rsidRPr="004F6AF4">
        <w:rPr>
          <w:rFonts w:ascii="Traditional Arabic" w:hAnsi="Traditional Arabic" w:cs="Traditional Arabic" w:hint="cs"/>
          <w:b/>
          <w:bCs/>
          <w:sz w:val="28"/>
          <w:szCs w:val="28"/>
          <w:rtl/>
        </w:rPr>
        <w:t>.</w:t>
      </w:r>
    </w:p>
    <w:p w14:paraId="01A93482"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92" w:name="_Toc224563958"/>
      <w:bookmarkStart w:id="93" w:name="_Toc234424150"/>
      <w:r w:rsidRPr="004F6AF4">
        <w:rPr>
          <w:rFonts w:ascii="Traditional Arabic" w:hAnsi="Traditional Arabic" w:cs="Traditional Arabic"/>
          <w:b/>
          <w:bCs/>
          <w:sz w:val="28"/>
          <w:szCs w:val="28"/>
          <w:u w:val="single"/>
          <w:rtl/>
        </w:rPr>
        <w:t>2.</w:t>
      </w:r>
      <w:commentRangeStart w:id="94"/>
      <w:r w:rsidRPr="004F6AF4">
        <w:rPr>
          <w:rFonts w:ascii="Traditional Arabic" w:hAnsi="Traditional Arabic" w:cs="Traditional Arabic"/>
          <w:b/>
          <w:bCs/>
          <w:sz w:val="28"/>
          <w:szCs w:val="28"/>
          <w:u w:val="single"/>
          <w:rtl/>
        </w:rPr>
        <w:t>1</w:t>
      </w:r>
      <w:r w:rsidRPr="004F6AF4">
        <w:rPr>
          <w:rFonts w:ascii="Traditional Arabic" w:hAnsi="Traditional Arabic" w:cs="Traditional Arabic" w:hint="cs"/>
          <w:b/>
          <w:bCs/>
          <w:sz w:val="28"/>
          <w:szCs w:val="28"/>
          <w:u w:val="single"/>
          <w:rtl/>
        </w:rPr>
        <w:t xml:space="preserve"> </w:t>
      </w:r>
      <w:r w:rsidRPr="004F6AF4">
        <w:rPr>
          <w:rFonts w:ascii="Traditional Arabic" w:hAnsi="Traditional Arabic" w:cs="Traditional Arabic"/>
          <w:b/>
          <w:bCs/>
          <w:sz w:val="28"/>
          <w:szCs w:val="28"/>
          <w:u w:val="single"/>
          <w:rtl/>
        </w:rPr>
        <w:t>الإطار النظري</w:t>
      </w:r>
      <w:bookmarkEnd w:id="92"/>
      <w:bookmarkEnd w:id="93"/>
      <w:commentRangeEnd w:id="94"/>
      <w:r w:rsidR="00E1134E" w:rsidRPr="004F6AF4">
        <w:rPr>
          <w:rStyle w:val="affa"/>
          <w:rFonts w:ascii="Simplified Arabic" w:hAnsi="Simplified Arabic" w:cs="Simplified Arabic"/>
          <w:b/>
          <w:bCs/>
          <w:sz w:val="28"/>
          <w:szCs w:val="28"/>
          <w:u w:val="single"/>
        </w:rPr>
        <w:commentReference w:id="94"/>
      </w:r>
    </w:p>
    <w:p w14:paraId="16A90C9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الأول (2.1.1) - الأمن السيبراني في النظم المالية الرقمية</w:t>
      </w:r>
    </w:p>
    <w:p w14:paraId="6E55176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 (ENISA, 2024; IBM Security, 2024)، وذلك نتيجة للاعتماد المتزايد على التقنيات الرقمية والاتصالات الإلكترونية في تقديم الخدمات المالية (Goghie, 2024; Ahammad et al., 2025)، بحيث أصبح الأمن السيبراني ليس مجرد متطلب تقني بل ضرورة استراتيجية تؤثر بشكل مباشر على استمرارية الأعمال وثقة العملاء والامتثال التنظيمي (Carapella et al., 2023; Karanovic et al., 2024). وفي ظل التحول الرقمي الشامل الذي تشهده المملكة العربية السعودية ضمن رؤية 2030، يكتسب الأمن السيبراني أهمية مضاعفة، حيث يشكل الأساس </w:t>
      </w:r>
      <w:r w:rsidRPr="004F6AF4">
        <w:rPr>
          <w:rFonts w:ascii="Traditional Arabic" w:hAnsi="Traditional Arabic" w:cs="Traditional Arabic"/>
          <w:b/>
          <w:bCs/>
          <w:sz w:val="28"/>
          <w:szCs w:val="28"/>
          <w:rtl/>
        </w:rPr>
        <w:lastRenderedPageBreak/>
        <w:t>الذي يقوم عليه بناء اقتصاد رقمي آمن ومستدام يحمي مصالح المواطنين والمستثمرين على حد سواء</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Saudi Central Bank, 2024; IMF, 2024</w:t>
      </w:r>
      <w:r w:rsidRPr="004F6AF4">
        <w:rPr>
          <w:rFonts w:ascii="Traditional Arabic" w:hAnsi="Traditional Arabic" w:cs="Traditional Arabic" w:hint="cs"/>
          <w:b/>
          <w:bCs/>
          <w:sz w:val="28"/>
          <w:szCs w:val="28"/>
          <w:rtl/>
        </w:rPr>
        <w:t>).</w:t>
      </w:r>
    </w:p>
    <w:p w14:paraId="5170CC99"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6F65EA5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2.1.1.1 مفهوم الأمن السيبراني في القطاع المالي</w:t>
      </w:r>
    </w:p>
    <w:p w14:paraId="33DAEC0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تعددت التعريفات التي تناولت مفهوم الأمن السيبراني في السياق المالي، حيث ينظر إليه من زوايا مختلفة تشمل البعد التقني والتنظيمي والاستراتيجي (ENISA, 2024; PCI Security Standards Council, 2024)، وجميع هذه التعريفات تؤكد على أن الأمن السيبراني ليس مجرد حماية تقنية بل منظومة شاملة تضم السياسات والإجراءات والتقنيات والموارد البشرية (Goghie, 2024; Sakarneh &amp; Kilani, 2024). تعرف الوكالة الأوروبية للأمن السيبراني ENISA (2024) 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 (IBM Security, 2024; Ahammad et al., 2025)</w:t>
      </w:r>
      <w:r w:rsidRPr="004F6AF4">
        <w:rPr>
          <w:rFonts w:ascii="Traditional Arabic" w:hAnsi="Traditional Arabic" w:cs="Traditional Arabic" w:hint="cs"/>
          <w:b/>
          <w:bCs/>
          <w:sz w:val="28"/>
          <w:szCs w:val="28"/>
          <w:rtl/>
        </w:rPr>
        <w:t>.</w:t>
      </w:r>
    </w:p>
    <w:p w14:paraId="709CE6C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من جانب آخر، يشير المعهد الوطني للمعايير والتقنية الأمريكي NIST 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 (Karanovic et al., 2024; Udeh et al., 2025)، وهذا التعريف يبرز الطبيعة المتعددة الأبعاد للأمن السيبراني التي تتجاوز الحلول التقنية لتشمل البعد البشري والتنظيمي (Sakarneh &amp; Kilani, 2024)</w:t>
      </w:r>
      <w:r w:rsidRPr="004F6AF4">
        <w:rPr>
          <w:rFonts w:ascii="Traditional Arabic" w:hAnsi="Traditional Arabic" w:cs="Traditional Arabic" w:hint="cs"/>
          <w:b/>
          <w:bCs/>
          <w:sz w:val="28"/>
          <w:szCs w:val="28"/>
          <w:rtl/>
        </w:rPr>
        <w:t>.</w:t>
      </w:r>
    </w:p>
    <w:p w14:paraId="4E4D9F1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بينما تعرف منظمة المعايير الدولية ISO/IEC 27001 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 (PCI Security Standards Council, 2024)، وهذا التعريف يضع الأمن السيبراني في إطار منهجي منظم قابل للقياس والتدقيق والتحسين المستمر (Carapella et al., 2023; Islam &amp; In, 2024)</w:t>
      </w:r>
      <w:r w:rsidRPr="004F6AF4">
        <w:rPr>
          <w:rFonts w:ascii="Traditional Arabic" w:hAnsi="Traditional Arabic" w:cs="Traditional Arabic" w:hint="cs"/>
          <w:b/>
          <w:bCs/>
          <w:sz w:val="28"/>
          <w:szCs w:val="28"/>
          <w:rtl/>
        </w:rPr>
        <w:t>.</w:t>
      </w:r>
    </w:p>
    <w:p w14:paraId="12DDA7C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 (ENISA, 2024; IBM Security, 2024; PCI Security Standards Council, 2024)، بحيث تضمن استمرارية تقديم الخدمات المالية بشكل آمن وموثوق يحفظ حقوق العملاء ويحمي أصول المؤسسة ويحقق الامتثال للمتطلبات التنظيمية (Saudi Central Bank, 2024; IMF, 2024)،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 (Goghie, 2024; Ahammad et al., 2025; Karanovic et al., 2024)</w:t>
      </w:r>
      <w:r w:rsidRPr="004F6AF4">
        <w:rPr>
          <w:rFonts w:ascii="Traditional Arabic" w:hAnsi="Traditional Arabic" w:cs="Traditional Arabic" w:hint="cs"/>
          <w:b/>
          <w:bCs/>
          <w:sz w:val="28"/>
          <w:szCs w:val="28"/>
          <w:rtl/>
        </w:rPr>
        <w:t>.</w:t>
      </w:r>
    </w:p>
    <w:p w14:paraId="5C793B87" w14:textId="77777777" w:rsidR="00F00638" w:rsidRPr="005E1B5F" w:rsidRDefault="00F00638" w:rsidP="00E000FF">
      <w:pPr>
        <w:bidi/>
        <w:spacing w:after="0" w:line="360" w:lineRule="auto"/>
        <w:jc w:val="both"/>
        <w:rPr>
          <w:rFonts w:ascii="Simplified Arabic" w:hAnsi="Simplified Arabic" w:cs="Simplified Arabic"/>
          <w:sz w:val="28"/>
          <w:szCs w:val="28"/>
        </w:rPr>
      </w:pPr>
    </w:p>
    <w:p w14:paraId="31ED8E8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2.1.1.2 أهمية الأمن السيبراني في المؤسسات المالية</w:t>
      </w:r>
    </w:p>
    <w:p w14:paraId="0181746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تتعاظم أهمية الأمن السيبراني في المؤسسات المالية يوماً بعد يوم (ENISA, 2024; IBM Security, 2024)، حيث تتمثل هذه الأهمية فيما يلي:</w:t>
      </w:r>
    </w:p>
    <w:p w14:paraId="5E5BAFC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حماية الأصول المالية والبيانات الحساسة للعملاء: حيث تحتفظ المؤسسات المالية بكميات هائلة من البيانات الشخصية والمالية شديدة الحساسية لملايين العملاء (PCI Security Standards Council, 2024; Goghie, 2024)، بما في ذلك تفاصيل الحسابات البنكية، ومعلومات البطاقات الائتمانية، وبيانات الهوية، والسجلات المالية (Ahammad et al., 2025; Carapella et al., 2023)، مما يجعلها </w:t>
      </w:r>
      <w:r w:rsidRPr="004F6AF4">
        <w:rPr>
          <w:rFonts w:ascii="Traditional Arabic" w:hAnsi="Traditional Arabic" w:cs="Traditional Arabic"/>
          <w:b/>
          <w:bCs/>
          <w:sz w:val="28"/>
          <w:szCs w:val="28"/>
          <w:rtl/>
        </w:rPr>
        <w:lastRenderedPageBreak/>
        <w:t>هدفاً رئيسياً للمهاجمين السيبرانيين الذين يسعون لسرقة هذه البيانات واستغلالها في عمليات احتيال مالي أو بيعها في الأسواق السوداء (ENISA, 2024; Karanovic et al., 2024)، بحيث أن أي اختراق لهذه البيانات قد يؤدي إلى خسائر مالية فادحة للعملاء وللمؤسسة وإلى تدمير الثقة التي تمثل رأس المال الحقيقي للمؤسسات المالية (IBM Security, 2024; Udeh et al., 2025)</w:t>
      </w:r>
      <w:r w:rsidRPr="004F6AF4">
        <w:rPr>
          <w:rFonts w:ascii="Traditional Arabic" w:hAnsi="Traditional Arabic" w:cs="Traditional Arabic" w:hint="cs"/>
          <w:b/>
          <w:bCs/>
          <w:sz w:val="28"/>
          <w:szCs w:val="28"/>
          <w:rtl/>
        </w:rPr>
        <w:t>.</w:t>
      </w:r>
    </w:p>
    <w:p w14:paraId="7E73DB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ضمان استمرارية الأعمال والخدمات المالية: من خلال حماية الأنظمة والبنية التحتية الحيوية من الهجمات التي قد تؤدي إلى تعطيل الخدمات (Ahammad et al., 2025; Karanovic et al., 2024)، بحيث أن أي توقف في تقديم الخدمات المالية قد يؤدي إلى خسائر اقتصادية ضخمة ليس فقط للمؤسسة المتأثرة بل للاقتصاد بأكمله (Saudi Central Bank, 2024; IMF, 2024)، حيث أن القطاع المالي يمثل شريان الحياة للنشاط الاقتصادي (Financial Stability Board, 2024)، وهذا يتطلب تصميم أنظمة أمنية قادرة على ضمان التوافرية والمرونة في مواجهة التهديدات المختلفة (Sakarneh &amp; Kilani, 2024; Almadadha, 2025</w:t>
      </w:r>
      <w:r w:rsidRPr="004F6AF4">
        <w:rPr>
          <w:rFonts w:ascii="Traditional Arabic" w:hAnsi="Traditional Arabic" w:cs="Traditional Arabic" w:hint="cs"/>
          <w:b/>
          <w:bCs/>
          <w:sz w:val="28"/>
          <w:szCs w:val="28"/>
          <w:rtl/>
        </w:rPr>
        <w:t>).</w:t>
      </w:r>
    </w:p>
    <w:p w14:paraId="3DC46A1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الامتثال للمتطلبات التنظيمية والقانونية: حيث تفرض الجهات التنظيمية في مختلف الدول متطلبات صارمة على المؤسسات المالية فيما يتعلق بحماية البيانات والأمن السيبراني (PCI Security Standards Council, 2024; ENISA, 2024)، بما في ذلك معايير PCI DSS للمدفوعات، ومتطلبات البنوك المركزية، وقوانين حماية البيانات الشخصية (Saudi Central Bank, 2024)، ومتطلبات الهيئة الوطنية للأمن السيبراني في المملكة (IMF, 2024)، بحيث أن عدم الامتثال لهذه المتطلبات قد يؤدي إلى عقوبات مالية كبيرة وإلى تقييد العمليات وفقدان التراخيص في بعض الحالات (Carapella et al., 2023; Islam &amp; In, 2024</w:t>
      </w:r>
      <w:r w:rsidRPr="004F6AF4">
        <w:rPr>
          <w:rFonts w:ascii="Traditional Arabic" w:hAnsi="Traditional Arabic" w:cs="Traditional Arabic" w:hint="cs"/>
          <w:b/>
          <w:bCs/>
          <w:sz w:val="28"/>
          <w:szCs w:val="28"/>
          <w:rtl/>
        </w:rPr>
        <w:t>).</w:t>
      </w:r>
    </w:p>
    <w:p w14:paraId="3325EE4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حماية السمعة والثقة المؤسسية: من خلال منع الحوادث السيبرانية التي قد تؤدي إلى تشويه سمعة المؤسسة وفقدان ثقة العملاء والمستثمرين (Goghie, 2024; Udeh et al., 2025)،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 (IBM Security, 2024; Karanovic et al., </w:t>
      </w:r>
      <w:r w:rsidRPr="004F6AF4">
        <w:rPr>
          <w:rFonts w:ascii="Traditional Arabic" w:hAnsi="Traditional Arabic" w:cs="Traditional Arabic"/>
          <w:b/>
          <w:bCs/>
          <w:sz w:val="28"/>
          <w:szCs w:val="28"/>
          <w:rtl/>
        </w:rPr>
        <w:lastRenderedPageBreak/>
        <w:t>2024)، وهذه الأضرار طويلة المدى قد تفوق بكثير التكاليف المباشرة للاختراق نفسه (Almadadha, 2025</w:t>
      </w:r>
      <w:r w:rsidRPr="004F6AF4">
        <w:rPr>
          <w:rFonts w:ascii="Traditional Arabic" w:hAnsi="Traditional Arabic" w:cs="Traditional Arabic" w:hint="cs"/>
          <w:b/>
          <w:bCs/>
          <w:sz w:val="28"/>
          <w:szCs w:val="28"/>
          <w:rtl/>
        </w:rPr>
        <w:t>).</w:t>
      </w:r>
    </w:p>
    <w:p w14:paraId="5134284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مواجهة التهديدات السيبرانية المتزايدة والمتطورة: 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 (ENISA, 2024)، إضافة إلى تزايد هجمات سلسلة التوريد التي تستهدف مقدمي الخدمات التقنية (Ahammad et al., 2025; Carapella et al., 2023)، مما يتطلب استثماراً مستمراً في تطوير القدرات الأمنية لمواكبة تطور التهديدات (IBM Security, 2024; Karanovic et al., 2024)</w:t>
      </w:r>
      <w:r w:rsidRPr="004F6AF4">
        <w:rPr>
          <w:rFonts w:ascii="Traditional Arabic" w:hAnsi="Traditional Arabic" w:cs="Traditional Arabic" w:hint="cs"/>
          <w:b/>
          <w:bCs/>
          <w:sz w:val="28"/>
          <w:szCs w:val="28"/>
          <w:rtl/>
        </w:rPr>
        <w:t>.</w:t>
      </w:r>
    </w:p>
    <w:p w14:paraId="58F96AD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الابتكار والتحول الرقمي الآمن: من خلال توفير بيئة آمنة تسمح للمؤسسات المالية بتبني التقنيات الحديثة والابتكار في تقديم الخدمات دون المساس بالأمن (Financial Stability Board, 2024; McKinsey &amp; Company, 2024)، بحيث يصبح الأمن السيبراني ممكناً للتحول الرقمي وليس عائقاً أمامه (Ahammad et al., 2025; Islam &amp; In, 2024)، وهذا يتطلب دمج الأمن في جميع مراحل تطوير المنتجات والخدمات الجديدة منذ البداية وليس كإضافة لاحقة (Sakarneh &amp; Kilani, 2024)</w:t>
      </w:r>
      <w:r w:rsidRPr="004F6AF4">
        <w:rPr>
          <w:rFonts w:ascii="Traditional Arabic" w:hAnsi="Traditional Arabic" w:cs="Traditional Arabic" w:hint="cs"/>
          <w:b/>
          <w:bCs/>
          <w:sz w:val="28"/>
          <w:szCs w:val="28"/>
          <w:rtl/>
        </w:rPr>
        <w:t>.</w:t>
      </w:r>
    </w:p>
    <w:p w14:paraId="738434B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دعم أهداف رؤية السعودية 2030 في بناء اقتصاد رقمي آمن: من خلال المساهمة في تعزيز الثقة في الخدمات المالية الرقمية وحماية المستخدمين والمستثمرين (Saudi Central Bank, 2024; Thunes Research, 2025)،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 (IMF, 2024)</w:t>
      </w:r>
      <w:r w:rsidRPr="004F6AF4">
        <w:rPr>
          <w:rFonts w:ascii="Traditional Arabic" w:hAnsi="Traditional Arabic" w:cs="Traditional Arabic" w:hint="cs"/>
          <w:b/>
          <w:bCs/>
          <w:sz w:val="28"/>
          <w:szCs w:val="28"/>
          <w:rtl/>
        </w:rPr>
        <w:t>.</w:t>
      </w:r>
    </w:p>
    <w:p w14:paraId="31E700F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2.1.1.3 أبعاد ومكونات الأمن السيبراني في القطاع المالي</w:t>
      </w:r>
    </w:p>
    <w:p w14:paraId="061CA4E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يتكون الأمن السيبراني في المؤسسات المالية من عدة أبعاد ومكونات رئيسية تعمل بشكل متكامل (ENISA, 2024; PCI Security Standards Council, 2024)، حيث تتمثل أهم هذه المكونات فيما يلي:</w:t>
      </w:r>
    </w:p>
    <w:p w14:paraId="13EFDD7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أمن الشبكات والبنية التحتية: وتشمل حماية الشبكات الداخلية والخارجية من خلال جدران الحماية (Firewalls)، وأنظمة كشف ومنع الاختراق (IDS/IPS)، وتقسيم الشبكات (Network Segmentation)، والشبكات الافتراضية الخاصة (VPN) (Ahammad et al., 2025; Karanovic et al., 2024)، بحيث يتم التحكم في حركة البيانات ومراقبتها لمنع الوصول غير المصرح به والكشف المبكر عن الأنشطة المشبوهة التي قد تشير إلى محاولة اختراق (Goghie, 2024; Sakarneh &amp; Kilani, 2024)</w:t>
      </w:r>
      <w:r w:rsidRPr="004F6AF4">
        <w:rPr>
          <w:rFonts w:ascii="Traditional Arabic" w:hAnsi="Traditional Arabic" w:cs="Traditional Arabic" w:hint="cs"/>
          <w:b/>
          <w:bCs/>
          <w:sz w:val="28"/>
          <w:szCs w:val="28"/>
          <w:rtl/>
        </w:rPr>
        <w:t>.</w:t>
      </w:r>
    </w:p>
    <w:p w14:paraId="7410992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أمن التطبيقات والأنظمة: من خلال تطبيق ممارسات التطوير الآمن (Secure Development Lifecycle)، واختبار الاختراق المنتظم، ومعالجة الثغرات الأمنية بشكل استباقي، وتحديث الأنظمة بشكل مستمر (Ahammad et al., 2025; Islam &amp; In, 2024)، بحيث يتم تقليل نقاط الضعف التي قد يستغلها المهاجمون للوصول إلى الأنظمة المالية أو التلاعب بالبيانات (Carapella et al., 2023; Udeh et al., 2025</w:t>
      </w:r>
      <w:r w:rsidRPr="004F6AF4">
        <w:rPr>
          <w:rFonts w:ascii="Traditional Arabic" w:hAnsi="Traditional Arabic" w:cs="Traditional Arabic" w:hint="cs"/>
          <w:b/>
          <w:bCs/>
          <w:sz w:val="28"/>
          <w:szCs w:val="28"/>
          <w:rtl/>
        </w:rPr>
        <w:t>).</w:t>
      </w:r>
    </w:p>
    <w:p w14:paraId="3BD0C62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إدارة الهويات والوصول (Identity and Access Management): وتشمل آليات المصادقة القوية (Multi-Factor Authentication)، وإدارة الصلاحيات بناءً على الأدوار، ومراقبة الوصول للموارد الحساسة، ومراجعة الصلاحيات بشكل دوري (PCI Security Standards Council, 2024; Goghie, 2024)، بحيث يتم ضمان أن كل مستخدم يحصل فقط على المستوى المناسب من الوصول المطلوب لأداء مهامه وليس أكثر (Ahammad et al., 2025; Sakarneh &amp; Kilani, 2024)</w:t>
      </w:r>
      <w:r w:rsidRPr="004F6AF4">
        <w:rPr>
          <w:rFonts w:ascii="Traditional Arabic" w:hAnsi="Traditional Arabic" w:cs="Traditional Arabic" w:hint="cs"/>
          <w:b/>
          <w:bCs/>
          <w:sz w:val="28"/>
          <w:szCs w:val="28"/>
          <w:rtl/>
        </w:rPr>
        <w:t>.</w:t>
      </w:r>
    </w:p>
    <w:p w14:paraId="534EEDE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حماية البيانات والتشفير: من خلال تشفير البيانات في حالات السكون والنقل، وإدارة المفاتيح التشفيرية بشكل آمن، وتطبيق تقنيات إخفاء البيانات (Data Masking) والترميز (Tokenization) لحماية البيانات الحساسة (PCI Security Standards Council, 2024; Financial Stability Board, 2024)، بحيث حتى في حال اختراق قواعد البيانات فإن البيانات تبقى غير قابلة للقراءة بدون المفاتيح التشفيرية المناسبة (IBM Security, 2024; Carapella et al., 2023)</w:t>
      </w:r>
      <w:r w:rsidRPr="004F6AF4">
        <w:rPr>
          <w:rFonts w:ascii="Traditional Arabic" w:hAnsi="Traditional Arabic" w:cs="Traditional Arabic" w:hint="cs"/>
          <w:b/>
          <w:bCs/>
          <w:sz w:val="28"/>
          <w:szCs w:val="28"/>
          <w:rtl/>
        </w:rPr>
        <w:t>.</w:t>
      </w:r>
    </w:p>
    <w:p w14:paraId="160AB7E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المراقبة الأمنية والاستجابة للحوادث: عبر مراكز العمليات الأمنية (Security Operations Centers - SOC) التي تعمل على مدار الساعة لرصد التهديدات والحوادث الأمنية (ENISA, 2024; Karanovic et al., 2024)، وتحليل السجلات وأنماط الشبكة للكشف عن الأنشطة المشبوهة (Ahammad et al., 2025)، والاستجابة السريعة للحوادث عند حدوثها، وإجراء التحقيقات الجنائية الرقمية لفهم طبيعة الهجوم وتأثيره واتخاذ الإجراءات التصحيحية (Goghie, 2024; Udeh et al., 2025)</w:t>
      </w:r>
      <w:r w:rsidRPr="004F6AF4">
        <w:rPr>
          <w:rFonts w:ascii="Traditional Arabic" w:hAnsi="Traditional Arabic" w:cs="Traditional Arabic" w:hint="cs"/>
          <w:b/>
          <w:bCs/>
          <w:sz w:val="28"/>
          <w:szCs w:val="28"/>
          <w:rtl/>
        </w:rPr>
        <w:t>.</w:t>
      </w:r>
    </w:p>
    <w:p w14:paraId="343DD6B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إدارة المخاطر السيبرانية: من خلال تقييم المخاطر بشكل منتظم، وتحديد الأصول الحرجة والتهديدات المحتملة، وتطبيق الضوابط المناسبة للتخفيف من المخاطر (Carapella et al., 2023; Saudi Central Bank, 2024)، ومراقبة فعالية هذه الضوابط وتحديثها بناءً على التغيرات في بيئة التهديدات (ENISA, 2024; IBM Security, 2024)، بحيث يتم اتخاذ قرارات مستنيرة بشأن الاستثمارات الأمنية وتخصيص الموارد (Sakarneh &amp; Kilani, 2024)</w:t>
      </w:r>
      <w:r w:rsidRPr="004F6AF4">
        <w:rPr>
          <w:rFonts w:ascii="Traditional Arabic" w:hAnsi="Traditional Arabic" w:cs="Traditional Arabic" w:hint="cs"/>
          <w:b/>
          <w:bCs/>
          <w:sz w:val="28"/>
          <w:szCs w:val="28"/>
          <w:rtl/>
        </w:rPr>
        <w:t>.</w:t>
      </w:r>
    </w:p>
    <w:p w14:paraId="4363BE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الوعي والتدريب الأمني: حيث يمثل العنصر البشري نقطة ضعف محتملة في أي منظومة أمنية (ENISA, 2024; Karanovic et al., 2024)، مما يتطلب تدريب الموظفين بشكل مستمر على أفضل الممارسات الأمنية، وتوعيتهم بالتهديدات الشائعة كهجمات التصيد الاحتيالي (Phishing) (Ahammad et al., 2025; Goghie, 2024)، واختبار مدى التزامهم بالسياسات الأمنية من خلال محاكاة الهجمات، بحيث يصبح كل موظف خط دفاع أول ضد التهديدات السيبرانية (Islam &amp; In, 2024; Sakarneh &amp; Kilani, 2024</w:t>
      </w:r>
      <w:r w:rsidRPr="004F6AF4">
        <w:rPr>
          <w:rFonts w:ascii="Traditional Arabic" w:hAnsi="Traditional Arabic" w:cs="Traditional Arabic" w:hint="cs"/>
          <w:b/>
          <w:bCs/>
          <w:sz w:val="28"/>
          <w:szCs w:val="28"/>
          <w:rtl/>
        </w:rPr>
        <w:t>).</w:t>
      </w:r>
    </w:p>
    <w:p w14:paraId="6490AE1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2.1.1.4 التهديدات السيبرانية الرئيسية للمؤسسات المالية</w:t>
      </w:r>
    </w:p>
    <w:p w14:paraId="1D735D8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تواجه المؤسسات المالية مجموعة واسعة من التهديدات السيبرانية التي تتطور باستمرار (ENISA, 2024; IBM Security, 2024)، حيث تتمثل أبرز هذه التهديدات فيما يلي:</w:t>
      </w:r>
    </w:p>
    <w:p w14:paraId="6DD8E9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برامج الفدية (Ransomware)</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حيث يقوم المهاجمون بتشفير بيانات المؤسسة وطلب فدية لفك التشفير (ENISA, 2024; Karanovic et al., 2024)، مما قد يؤدي إلى توقف العمليات بشكل </w:t>
      </w:r>
      <w:r w:rsidRPr="004F6AF4">
        <w:rPr>
          <w:rFonts w:ascii="Traditional Arabic" w:hAnsi="Traditional Arabic" w:cs="Traditional Arabic"/>
          <w:b/>
          <w:bCs/>
          <w:sz w:val="28"/>
          <w:szCs w:val="28"/>
          <w:rtl/>
        </w:rPr>
        <w:lastRenderedPageBreak/>
        <w:t>كامل وخسائر مالية ضخمة (Ahammad et al., 2025; Carapella et al., 2023)، وقد شهدت السنوات الأخيرة ارتفاعاً حاداً في هذا النوع من الهجمات الموجهة للقطاع المالي (IBM Security, 2024).</w:t>
      </w:r>
    </w:p>
    <w:p w14:paraId="35726B9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اختراقات البيانات وسرقة المعلومات: من خلال استهداف قواعد البيانات التي تحتوي على معلومات العملاء والحسابات (PCI Security Standards Council, 2024; Goghie, 2024)، بهدف سرقة هذه البيانات لاستخدامها في عمليات احتيال أو بيعها في الأسواق السوداء (ENISA, 2024)، وهذا النوع من الهجمات يمثل أكبر التهديدات للقطاع المالي من حيث الانتشار والأضرار المحتملة (IBM Security, 2024; Karanovic et al., 2024).</w:t>
      </w:r>
    </w:p>
    <w:p w14:paraId="0196A36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الحرمان من الخدمة (DDoS)</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التي تهدف إلى إغراق الأنظمة والخوادم بحركة مرور كثيفة لإيقاف الخدمات عن العمل (Ahammad et al., 2025; Karanovic et al., 2024)، مما يؤدي إلى عدم قدرة العملاء على الوصول للخدمات المالية الإلكترونية لفترات قد تطول (ENISA, 2024)، وهذا النوع يستخدم أحياناً كتشتيت للانتباه بينما يجري هجوم آخر أكثر خطورة (Carapella et al., 2023).</w:t>
      </w:r>
    </w:p>
    <w:p w14:paraId="0B08541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التصيد الاحتيالي والهندسة الاجتماعية: من خلال خداع الموظفين أو العملاء للكشف عن بيانات حساسة أو تنفيذ إجراءات معينة تمكن المهاجمين من الوصول للأنظمة (Goghie, 2024; Sakarneh &amp; Kilani, 2024)، وتعتبر هذه الهجمات من أكثر الهجمات نجاحاً لأنها تستهدف الحلقة الأضعف وهي العنصر البشري (ENISA, 2024; Islam &amp; In, 2024).</w:t>
      </w:r>
    </w:p>
    <w:p w14:paraId="598E680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سلسلة التوريد: حيث يستهدف المهاجمون مقدمي الخدمات التقنية للمؤسسات المالية للوصول إلى أنظمة المؤسسات الأساسية بشكل غير مباشر (ENISA, 2024; Carapella et al., 2023)، وهذا النوع شهد تزايداً ملحوظاً في الفترة الأخيرة ويمثل تحدياً كبيراً لأنه يستغل علاقات الثقة القائمة (Ahammad et al., 2025; Karanovic et al., 2024).</w:t>
      </w:r>
    </w:p>
    <w:p w14:paraId="473A5F1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برمجيات التجسس والبرمجيات الخبيثة: التي تستهدف سرقة البيانات أو مراقبة الأنشطة أو السيطرة على الأنظمة دون علم المستخدمين (IBM Security, 2024; Goghie, 2024)، وتتنوع هذه البرمجيات في مستوى </w:t>
      </w:r>
      <w:r w:rsidRPr="004F6AF4">
        <w:rPr>
          <w:rFonts w:ascii="Traditional Arabic" w:hAnsi="Traditional Arabic" w:cs="Traditional Arabic"/>
          <w:b/>
          <w:bCs/>
          <w:sz w:val="28"/>
          <w:szCs w:val="28"/>
          <w:rtl/>
        </w:rPr>
        <w:lastRenderedPageBreak/>
        <w:t>تطورها وقدراتها على التخفي والاستمرار في الأنظمة لفترات طويلة دون اكتشاف (ENISA, 2024; Udeh et al., 2025).</w:t>
      </w:r>
    </w:p>
    <w:p w14:paraId="53500CD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الثاني (2.1.2) -</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تقنية الترميز في المؤسسات المالية</w:t>
      </w:r>
    </w:p>
    <w:p w14:paraId="410A1F27"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(Financial Stability Board, 2024; PCI Security Standards Council, 2024)</w:t>
      </w:r>
      <w:r w:rsidRPr="004F6AF4">
        <w:rPr>
          <w:rFonts w:ascii="Traditional Arabic" w:hAnsi="Traditional Arabic" w:cs="Traditional Arabic" w:hint="cs"/>
          <w:b/>
          <w:bCs/>
          <w:sz w:val="28"/>
          <w:szCs w:val="28"/>
          <w:rtl/>
        </w:rPr>
        <w:t xml:space="preserve">. </w:t>
      </w:r>
    </w:p>
    <w:p w14:paraId="3C59E83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(IBM Security, 2024; ENISA, 2024)</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مما جعل من الترميز حلاً تقنياً متكاملاً يجمع بين الأمان والكفاءة والابتكار</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(McKinsey &amp; Company, 2024; World Economic Forum, 2024)</w:t>
      </w:r>
      <w:r w:rsidRPr="004F6AF4">
        <w:rPr>
          <w:rFonts w:ascii="Traditional Arabic" w:hAnsi="Traditional Arabic" w:cs="Traditional Arabic" w:hint="cs"/>
          <w:b/>
          <w:bCs/>
          <w:sz w:val="28"/>
          <w:szCs w:val="28"/>
          <w:rtl/>
        </w:rPr>
        <w:t>.</w:t>
      </w:r>
    </w:p>
    <w:p w14:paraId="602D958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2.1.2.1</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مفهوم تقنية الترميز في المؤسسات المالية</w:t>
      </w:r>
    </w:p>
    <w:p w14:paraId="4FCDAA2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 (Goghie, 2024; Grossmann et al., 2025). فقد عرف مجلس الاستقرار المالي (Financial Stability Board, 2024) 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p>
    <w:p w14:paraId="200501F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 xml:space="preserve">من جانب آخر، يشير مجلس معايير أمن PCI (PCI Security Standards Council, 2024) إلى أن الترميز في سياق حماية البيانات هو "عملية استبدال عنصر البيانات الحساسة برمز بديل غير حساس يسمى </w:t>
      </w:r>
      <w:r w:rsidRPr="004F6AF4">
        <w:rPr>
          <w:rFonts w:ascii="Traditional Arabic" w:hAnsi="Traditional Arabic" w:cs="Traditional Arabic"/>
          <w:b/>
          <w:bCs/>
          <w:sz w:val="28"/>
          <w:szCs w:val="28"/>
          <w:rtl/>
        </w:rPr>
        <w:lastRenderedPageBreak/>
        <w:t>Token،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sidRPr="004F6AF4">
        <w:rPr>
          <w:rFonts w:ascii="Traditional Arabic" w:hAnsi="Traditional Arabic" w:cs="Traditional Arabic" w:hint="cs"/>
          <w:b/>
          <w:bCs/>
          <w:sz w:val="28"/>
          <w:szCs w:val="28"/>
          <w:rtl/>
        </w:rPr>
        <w:t>ت.</w:t>
      </w:r>
    </w:p>
    <w:p w14:paraId="7B29473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(Ahammad et al., 2025; Carapella et al., 2023)</w:t>
      </w:r>
      <w:r w:rsidRPr="004F6AF4">
        <w:rPr>
          <w:rFonts w:ascii="Traditional Arabic" w:hAnsi="Traditional Arabic" w:cs="Traditional Arabic" w:hint="cs"/>
          <w:b/>
          <w:bCs/>
          <w:sz w:val="28"/>
          <w:szCs w:val="28"/>
          <w:rtl/>
        </w:rPr>
        <w:t>.</w:t>
      </w:r>
    </w:p>
    <w:p w14:paraId="799E8ED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بينما تعرف شركة McKinsey &amp; Company (2024) 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sidRPr="004F6AF4">
        <w:rPr>
          <w:rFonts w:ascii="Traditional Arabic" w:hAnsi="Traditional Arabic" w:cs="Traditional Arabic" w:hint="cs"/>
          <w:b/>
          <w:bCs/>
          <w:sz w:val="28"/>
          <w:szCs w:val="28"/>
          <w:rtl/>
        </w:rPr>
        <w:t>.</w:t>
      </w:r>
    </w:p>
    <w:p w14:paraId="52DB3B1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w:t>
      </w:r>
      <w:commentRangeStart w:id="95"/>
      <w:commentRangeStart w:id="96"/>
      <w:r w:rsidRPr="004F6AF4">
        <w:rPr>
          <w:rFonts w:ascii="Traditional Arabic" w:hAnsi="Traditional Arabic" w:cs="Traditional Arabic"/>
          <w:b/>
          <w:bCs/>
          <w:sz w:val="28"/>
          <w:szCs w:val="28"/>
          <w:rtl/>
        </w:rPr>
        <w:t>Lavayssière &amp; Zhang</w:t>
      </w:r>
      <w:commentRangeEnd w:id="96"/>
      <w:r w:rsidR="00DF6C9D" w:rsidRPr="004F6AF4">
        <w:rPr>
          <w:rStyle w:val="affa"/>
          <w:rFonts w:ascii="Traditional Arabic" w:hAnsi="Traditional Arabic" w:cs="Traditional Arabic"/>
          <w:b/>
          <w:bCs/>
          <w:sz w:val="28"/>
          <w:szCs w:val="28"/>
          <w:rtl/>
        </w:rPr>
        <w:commentReference w:id="96"/>
      </w:r>
      <w:commentRangeEnd w:id="95"/>
      <w:r w:rsidR="00DF6C9D" w:rsidRPr="004F6AF4">
        <w:rPr>
          <w:rStyle w:val="affa"/>
          <w:rFonts w:ascii="Traditional Arabic" w:hAnsi="Traditional Arabic" w:cs="Traditional Arabic"/>
          <w:b/>
          <w:bCs/>
          <w:sz w:val="28"/>
          <w:szCs w:val="28"/>
          <w:rtl/>
        </w:rPr>
        <w:commentReference w:id="95"/>
      </w:r>
      <w:r w:rsidRPr="004F6AF4">
        <w:rPr>
          <w:rFonts w:ascii="Traditional Arabic" w:hAnsi="Traditional Arabic" w:cs="Traditional Arabic"/>
          <w:b/>
          <w:bCs/>
          <w:sz w:val="28"/>
          <w:szCs w:val="28"/>
          <w:rtl/>
        </w:rPr>
        <w:t>, 2025; Al-Qudah et al., 2025)</w:t>
      </w:r>
      <w:r w:rsidRPr="004F6AF4">
        <w:rPr>
          <w:rFonts w:ascii="Traditional Arabic" w:hAnsi="Traditional Arabic" w:cs="Traditional Arabic" w:hint="cs"/>
          <w:b/>
          <w:bCs/>
          <w:sz w:val="28"/>
          <w:szCs w:val="28"/>
          <w:rtl/>
        </w:rPr>
        <w:t>.</w:t>
      </w:r>
    </w:p>
    <w:p w14:paraId="3F7742A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Pr="004F6AF4" w:rsidRDefault="00F00638" w:rsidP="00E000FF">
      <w:pPr>
        <w:bidi/>
        <w:spacing w:after="0" w:line="360" w:lineRule="auto"/>
        <w:jc w:val="right"/>
        <w:rPr>
          <w:rFonts w:ascii="Simplified Arabic" w:hAnsi="Simplified Arabic" w:cs="Simplified Arabic"/>
          <w:b/>
          <w:bCs/>
          <w:sz w:val="28"/>
          <w:szCs w:val="28"/>
          <w:rtl/>
        </w:rPr>
      </w:pPr>
      <w:r w:rsidRPr="004F6AF4">
        <w:rPr>
          <w:rFonts w:ascii="Traditional Arabic" w:hAnsi="Traditional Arabic" w:cs="Traditional Arabic"/>
          <w:b/>
          <w:bCs/>
          <w:sz w:val="28"/>
          <w:szCs w:val="28"/>
          <w:rtl/>
        </w:rPr>
        <w:t>(Financial Stability Board, 2024; PCI Security Standards Council, 2024; McKinsey &amp; Company, 2024)،</w:t>
      </w:r>
    </w:p>
    <w:p w14:paraId="47DB4B7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 (Karanovic et al., 2024; Udeh et al., 2025)، وذلك في إطار يجمع بين التقنيات الحديثة كالبلوكشين والعقود الذكية والذكاء الاصطناعي لتقديم حلول مالية متطورة تلبي احتياجات العصر الرقمي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(Islam &amp; In, 2024)</w:t>
      </w:r>
      <w:r w:rsidRPr="004F6AF4">
        <w:rPr>
          <w:rFonts w:ascii="Traditional Arabic" w:hAnsi="Traditional Arabic" w:cs="Traditional Arabic" w:hint="cs"/>
          <w:b/>
          <w:bCs/>
          <w:sz w:val="28"/>
          <w:szCs w:val="28"/>
          <w:rtl/>
        </w:rPr>
        <w:t>.</w:t>
      </w:r>
    </w:p>
    <w:p w14:paraId="42EA622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2.1.2.2</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أهمية تقنية الترميز في المؤسسات المالية</w:t>
      </w:r>
    </w:p>
    <w:p w14:paraId="34C54BA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تكتسب تقنية الترميز أهمية متزايدة في القطاع المالي العالمي والسعودي على وجه الخصوص (Saudi Central Bank, 2024; Thunes Research, 2025)، حيث تتمثل أهميتها فيما يلي:</w:t>
      </w:r>
    </w:p>
    <w:p w14:paraId="0FF4812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lastRenderedPageBreak/>
        <w:t>تعزيز الأمن السيبراني وحماية البيانات الحساسة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(PCI Security Standards Council, 2024; Ahammad et al., 2025)، بحيث أن البيانات الفعلية تبقى محفوظة في بيئة آمنة معزولة تماماً عن نقاط التعرض للاختراق، مما يوفر طبقة حماية إضافية تكمل تقنيات التشفير التقليدية</w:t>
      </w:r>
      <w:r w:rsidRPr="004F6AF4">
        <w:rPr>
          <w:rFonts w:ascii="Traditional Arabic" w:hAnsi="Traditional Arabic" w:cs="Traditional Arabic" w:hint="cs"/>
          <w:b/>
          <w:bCs/>
          <w:sz w:val="28"/>
          <w:szCs w:val="28"/>
          <w:rtl/>
        </w:rPr>
        <w:t>.</w:t>
      </w:r>
    </w:p>
    <w:p w14:paraId="320B0763"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(Goghie, 2024; Carapella et al., 2023)</w:t>
      </w:r>
      <w:r w:rsidRPr="004F6AF4">
        <w:rPr>
          <w:rFonts w:ascii="Traditional Arabic" w:hAnsi="Traditional Arabic" w:cs="Traditional Arabic" w:hint="cs"/>
          <w:b/>
          <w:bCs/>
          <w:sz w:val="28"/>
          <w:szCs w:val="28"/>
          <w:rtl/>
        </w:rPr>
        <w:t xml:space="preserve">. </w:t>
      </w:r>
    </w:p>
    <w:p w14:paraId="6C273B7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(IBM Security, 2024)</w:t>
      </w:r>
      <w:r w:rsidRPr="004F6AF4">
        <w:rPr>
          <w:rFonts w:ascii="Traditional Arabic" w:hAnsi="Traditional Arabic" w:cs="Traditional Arabic" w:hint="cs"/>
          <w:b/>
          <w:bCs/>
          <w:sz w:val="28"/>
          <w:szCs w:val="28"/>
          <w:rtl/>
        </w:rPr>
        <w:t>.</w:t>
      </w:r>
    </w:p>
    <w:p w14:paraId="3821A15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تحسين الكفاءة التشغيلية وتقليل تكاليف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sidRPr="004F6AF4">
        <w:rPr>
          <w:rFonts w:ascii="Traditional Arabic" w:hAnsi="Traditional Arabic" w:cs="Traditional Arabic" w:hint="cs"/>
          <w:b/>
          <w:bCs/>
          <w:sz w:val="28"/>
          <w:szCs w:val="28"/>
          <w:rtl/>
        </w:rPr>
        <w:t xml:space="preserve"> </w:t>
      </w:r>
    </w:p>
    <w:p w14:paraId="7D3787B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(Al-Qudah et al., 2025; Grossmann et al., 2025)، وذلك عبر إلغاء الحاجة للعديد من الوسطاء وأنظمة المقاصة المركزية التي تضيف تكاليف وتعقيدات للعمليات المالية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(Udeh et al., 2025)، بحيث تتمكن المؤسسات المالية من تحقيق وفورات كبيرة في التكاليف التشغيلية وتحسين تجربة العملاء من خلال خدمات أسرع وأكثر موثوقية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(Almadadha, 2025; Karanovic et al., 2024)</w:t>
      </w:r>
      <w:r w:rsidRPr="004F6AF4">
        <w:rPr>
          <w:rFonts w:ascii="Traditional Arabic" w:hAnsi="Traditional Arabic" w:cs="Traditional Arabic" w:hint="cs"/>
          <w:b/>
          <w:bCs/>
          <w:sz w:val="28"/>
          <w:szCs w:val="28"/>
          <w:rtl/>
        </w:rPr>
        <w:t xml:space="preserve">. </w:t>
      </w:r>
    </w:p>
    <w:p w14:paraId="565E035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(World Economic Forum, 2024)</w:t>
      </w:r>
      <w:r w:rsidRPr="004F6AF4">
        <w:rPr>
          <w:rFonts w:ascii="Traditional Arabic" w:hAnsi="Traditional Arabic" w:cs="Traditional Arabic" w:hint="cs"/>
          <w:b/>
          <w:bCs/>
          <w:sz w:val="28"/>
          <w:szCs w:val="28"/>
          <w:rtl/>
        </w:rPr>
        <w:t>.</w:t>
      </w:r>
    </w:p>
    <w:p w14:paraId="6FB22F3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الشمول المالي وتوسيع قاعدة المستثمرين</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حيث تتيح تقنية الترميز إمكانية تجزئة الأصول عالية القيمة إلى وحدات صغيرة يمكن تداولها (Lavayssière &amp; Zhang, 2025; Multiple Authors, 2025)، مما يفتح المجال أمام صغار المستثمرين للمشاركة في أسواق كانت محصورة تقليدياً على المستثمرين المؤسسيين وكبار الأثرياء (McKinsey &amp; Company, 2024)، بحيث يمكن لأي مستثمر امتلاك حصة جزئية في عقار تجاري أو سندات حكومية أو أصول أخرى بقيمة استثمارية صغيرة نسبياً (Adigwe et al., 2024)، وهذا يتماشى بشكل مباشر مع أهداف رؤية السعودية 2030 في رفع معدل الشمول المالي وتمكين </w:t>
      </w:r>
      <w:r w:rsidRPr="004F6AF4">
        <w:rPr>
          <w:rFonts w:ascii="Traditional Arabic" w:hAnsi="Traditional Arabic" w:cs="Traditional Arabic"/>
          <w:b/>
          <w:bCs/>
          <w:sz w:val="28"/>
          <w:szCs w:val="28"/>
          <w:rtl/>
        </w:rPr>
        <w:lastRenderedPageBreak/>
        <w:t>المواطنين من المشاركة في الاقتصاد الرقمي بشكل فعال (Saudi Central Bank, 2024; IMF, 2024)</w:t>
      </w:r>
      <w:r w:rsidRPr="004F6AF4">
        <w:rPr>
          <w:rFonts w:ascii="Traditional Arabic" w:hAnsi="Traditional Arabic" w:cs="Traditional Arabic" w:hint="cs"/>
          <w:b/>
          <w:bCs/>
          <w:sz w:val="28"/>
          <w:szCs w:val="28"/>
          <w:rtl/>
        </w:rPr>
        <w:t>.</w:t>
      </w:r>
    </w:p>
    <w:p w14:paraId="21CB17D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دعم التحول الرقمي والابتكار في نماذج الأعمال المالية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إتاحة الفرصة لتطوير منتجات وخدمات مالية مبتكرة لم تكن ممكنة في البيئة التقليدية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(Islam &amp; In, 2024; Sakarneh &amp; Kilani, 2024)،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(Ahammad et al., 2025; Udeh et al., 2025)، مما يخلق قيمة مضافة حقيقية للعملاء والمستثمرين ويعزز من تنافسية المؤسسات المالية في السوق</w:t>
      </w:r>
      <w:r w:rsidRPr="004F6AF4">
        <w:rPr>
          <w:rFonts w:ascii="Traditional Arabic" w:hAnsi="Traditional Arabic" w:cs="Traditional Arabic" w:hint="cs"/>
          <w:b/>
          <w:bCs/>
          <w:sz w:val="28"/>
          <w:szCs w:val="28"/>
          <w:rtl/>
        </w:rPr>
        <w:t>.</w:t>
      </w:r>
    </w:p>
    <w:p w14:paraId="075D930F" w14:textId="77777777" w:rsidR="00F00638" w:rsidRPr="004F6AF4" w:rsidRDefault="00F00638" w:rsidP="00E000FF">
      <w:pPr>
        <w:bidi/>
        <w:spacing w:after="0" w:line="360" w:lineRule="auto"/>
        <w:jc w:val="right"/>
        <w:rPr>
          <w:rFonts w:ascii="Simplified Arabic" w:hAnsi="Simplified Arabic" w:cs="Simplified Arabic"/>
          <w:b/>
          <w:bCs/>
          <w:sz w:val="28"/>
          <w:szCs w:val="28"/>
        </w:rPr>
      </w:pPr>
      <w:r w:rsidRPr="004F6AF4">
        <w:rPr>
          <w:rFonts w:ascii="Traditional Arabic" w:hAnsi="Traditional Arabic" w:cs="Traditional Arabic"/>
          <w:b/>
          <w:bCs/>
          <w:sz w:val="28"/>
          <w:szCs w:val="28"/>
          <w:rtl/>
        </w:rPr>
        <w:t>(Financial Stability Board, 2024; McKinsey &amp; Company, 2024).</w:t>
      </w:r>
    </w:p>
    <w:p w14:paraId="2BDF49A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الشفافية والامتثال التنظيمي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توفر تقنية الترميز سجلات غير قابلة للتعديل تحفظ جميع المعاملات بشكل دائم وشفاف</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(Goghie, 2024; Carapella et al., 2023)، مما يسهل عمليات المراجعة والتدقيق ويساعد المؤسسات المالية على الامتثال للمتطلبات التنظيمية المتزايدة التعقيد</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(PCI Security Standards Council, 2024; ENISA, 2024)، بحيث يمكن للجهات الرقابية الوصول إلى سجلات موثوقة ومحدثة بشكل فوري دون الحاجة لعمليات تدقيق مطولة ومكلفة</w:t>
      </w:r>
      <w:r w:rsidRPr="004F6AF4">
        <w:rPr>
          <w:rFonts w:ascii="Traditional Arabic" w:hAnsi="Traditional Arabic" w:cs="Traditional Arabic"/>
          <w:b/>
          <w:bCs/>
          <w:sz w:val="28"/>
          <w:szCs w:val="28"/>
          <w:rtl/>
        </w:rPr>
        <w:br/>
        <w:t>(Karanovic et al., 2024)، وهذا يقلل من مخاطر عدم الامتثال والعقوبات المرتبطة بها</w:t>
      </w:r>
      <w:r w:rsidRPr="004F6AF4">
        <w:rPr>
          <w:rFonts w:ascii="Traditional Arabic" w:hAnsi="Traditional Arabic" w:cs="Traditional Arabic"/>
          <w:b/>
          <w:bCs/>
          <w:sz w:val="28"/>
          <w:szCs w:val="28"/>
          <w:rtl/>
        </w:rPr>
        <w:br/>
        <w:t>(Sakarneh &amp; Kilani, 2024)</w:t>
      </w:r>
      <w:r w:rsidRPr="004F6AF4">
        <w:rPr>
          <w:rFonts w:ascii="Traditional Arabic" w:hAnsi="Traditional Arabic" w:cs="Traditional Arabic" w:hint="cs"/>
          <w:b/>
          <w:bCs/>
          <w:sz w:val="28"/>
          <w:szCs w:val="28"/>
          <w:rtl/>
        </w:rPr>
        <w:t>.</w:t>
      </w:r>
    </w:p>
    <w:p w14:paraId="3019E6D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المساهمة في تحقيق أهداف رؤية السعودية 2030</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دعم التحول الرقمي في القطاع المالي السعودي وتعزيز مكانة المملكة كمركز مالي إقليمي وعالمي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(Saudi Central Bank, 2024; Thunes Research, 2025)،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(IMF, 2024)، مما يسهم في بناء اقتصاد معرفي تنافسي قائم على الابتكار والتقنية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(McKinsey &amp; Company, 2024; World Economic Forum, 2024)</w:t>
      </w:r>
      <w:r w:rsidRPr="004F6AF4">
        <w:rPr>
          <w:rFonts w:ascii="Traditional Arabic" w:hAnsi="Traditional Arabic" w:cs="Traditional Arabic" w:hint="cs"/>
          <w:b/>
          <w:bCs/>
          <w:sz w:val="28"/>
          <w:szCs w:val="28"/>
          <w:rtl/>
        </w:rPr>
        <w:t>.</w:t>
      </w:r>
    </w:p>
    <w:p w14:paraId="6CB95EA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2.1.2.3</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أنواع تقنية الترميز في القطاع المالي</w:t>
      </w:r>
    </w:p>
    <w:p w14:paraId="1E72293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تتنوع تطبيقات تقنية الترميز في القطاع المالي لتشمل عدة أنواع رئيسية، حيث يخدم كل نوع أغراضاً وحالات استخدام محددة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(Financial Stability Board, 2024; Multiple Authors, 2025)، وتتمثل أهم هذه الأنواع فيما يلي:</w:t>
      </w:r>
    </w:p>
    <w:p w14:paraId="1CA4853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البيانات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(Data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(PCI Security Standards Council, 2024)، بحيث تبقى البيانات الفعلية في بيئة آمنة معزولة بينما تستخدم الرموز في جميع العمليات اليومية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(Ahammad et al., 2025; Goghie, 2024)، وهذا النوع شائع بشكل كبير في أنظمة الدفع الإلكتروني ومعاملات التجارة الإلكترونية لتقليل مخاطر الاختراق وسرقة البيانات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(Saudi Central Bank, 2024)</w:t>
      </w:r>
      <w:r w:rsidRPr="004F6AF4">
        <w:rPr>
          <w:rFonts w:ascii="Traditional Arabic" w:hAnsi="Traditional Arabic" w:cs="Traditional Arabic" w:hint="cs"/>
          <w:b/>
          <w:bCs/>
          <w:sz w:val="28"/>
          <w:szCs w:val="28"/>
          <w:rtl/>
        </w:rPr>
        <w:t>.</w:t>
      </w:r>
    </w:p>
    <w:p w14:paraId="6E966A96"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ترميز الأصول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(Asset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تحويل الحقوق في أصل مالي أو مادي إلى رموز رقمية يمكن تداولها على منصات رقمية</w:t>
      </w:r>
      <w:r w:rsidRPr="004F6AF4">
        <w:rPr>
          <w:rFonts w:ascii="Traditional Arabic" w:hAnsi="Traditional Arabic" w:cs="Traditional Arabic" w:hint="cs"/>
          <w:b/>
          <w:bCs/>
          <w:sz w:val="28"/>
          <w:szCs w:val="28"/>
          <w:rtl/>
        </w:rPr>
        <w:t xml:space="preserve"> مثل:</w:t>
      </w:r>
    </w:p>
    <w:p w14:paraId="1B83E8C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(McKinsey &amp; Company, 2024; Lavayssière &amp; Zhang, 2025)، بحيث يمكن ترميز أصول متنوعة تشمل الأوراق المالية، العقارات، السلع، الديون، حقوق الملكية الفكرية، وغيرها</w:t>
      </w:r>
      <w:r w:rsidRPr="004F6AF4">
        <w:rPr>
          <w:rFonts w:ascii="Traditional Arabic" w:hAnsi="Traditional Arabic" w:cs="Traditional Arabic"/>
          <w:b/>
          <w:bCs/>
          <w:sz w:val="28"/>
          <w:szCs w:val="28"/>
          <w:rtl/>
        </w:rPr>
        <w:br/>
        <w:t>(Multiple Authors, 2025; Adigwe et al., 2024)، مما يفتح إمكانيات جديدة للسيولة والتداول والملكية الجزئية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(Grossmann et al., 2025; Carapella et al., 2023)، وهذا النوع يمثل ثورة حقيقية في كيفية امتلاك وتداول الأصول في العصر الرقمي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(Financial Stability Board, 2024)</w:t>
      </w:r>
      <w:r w:rsidRPr="004F6AF4">
        <w:rPr>
          <w:rFonts w:ascii="Traditional Arabic" w:hAnsi="Traditional Arabic" w:cs="Traditional Arabic" w:hint="cs"/>
          <w:b/>
          <w:bCs/>
          <w:sz w:val="28"/>
          <w:szCs w:val="28"/>
          <w:rtl/>
        </w:rPr>
        <w:t>.</w:t>
      </w:r>
    </w:p>
    <w:p w14:paraId="2E856CD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(Transaction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يتم تحويل تفاصيل المعاملات المالية إلى رموز لحمايتها أثناء الإرسال والمعالجة</w:t>
      </w:r>
      <w:r w:rsidRPr="004F6AF4">
        <w:rPr>
          <w:rFonts w:ascii="Traditional Arabic" w:hAnsi="Traditional Arabic" w:cs="Traditional Arabic" w:hint="cs"/>
          <w:b/>
          <w:bCs/>
          <w:sz w:val="28"/>
          <w:szCs w:val="28"/>
          <w:rtl/>
        </w:rPr>
        <w:t xml:space="preserve"> حسب التقرير </w:t>
      </w:r>
      <w:r w:rsidRPr="004F6AF4">
        <w:rPr>
          <w:rFonts w:ascii="Traditional Arabic" w:hAnsi="Traditional Arabic" w:cs="Traditional Arabic"/>
          <w:b/>
          <w:bCs/>
          <w:sz w:val="28"/>
          <w:szCs w:val="28"/>
          <w:rtl/>
        </w:rPr>
        <w:t xml:space="preserve">(PCI Security Standards Council, 2024; Karanovic et al., 2024)، بحيث تبقى المعاملة آمنة من التلاعب أو الاعتراض حتى في بيئات الاتصال </w:t>
      </w:r>
      <w:r w:rsidRPr="004F6AF4">
        <w:rPr>
          <w:rFonts w:ascii="Traditional Arabic" w:hAnsi="Traditional Arabic" w:cs="Traditional Arabic"/>
          <w:b/>
          <w:bCs/>
          <w:sz w:val="28"/>
          <w:szCs w:val="28"/>
          <w:rtl/>
        </w:rPr>
        <w:lastRenderedPageBreak/>
        <w:t>غير الآمنة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(Ahammad et al., 2025)، وهذا النوع يستخدم بكثرة في المدفوعات عبر الهاتف المحمول والمحافظ الرقمية لضمان سلامة وأمن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(Thunes Research, 2025)</w:t>
      </w:r>
      <w:r w:rsidRPr="004F6AF4">
        <w:rPr>
          <w:rFonts w:ascii="Traditional Arabic" w:hAnsi="Traditional Arabic" w:cs="Traditional Arabic" w:hint="cs"/>
          <w:b/>
          <w:bCs/>
          <w:sz w:val="28"/>
          <w:szCs w:val="28"/>
          <w:rtl/>
        </w:rPr>
        <w:t>.</w:t>
      </w:r>
    </w:p>
    <w:p w14:paraId="4FAC379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الهوية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(Identity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إنشاء هويات رقمية آمنة للأفراد والكيانات باستخدام تقنيات الترميز</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(Islam &amp; In, 2024; Goghie, 2024)، بحيث يمكن التحقق من الهوية دون الكشف عن البيانات الشخصية الفعلية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(ENISA, 2024)، مما يوفر توازناً بين متطلبات التحقق من الهوية والخصوصية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PCI Security Standards Council, 2024</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وهذا النوع يكتسب أهمية متزايدة في ظل التشديدات التنظيمية على معرفة العميل (KYC) ومكافحة غسل الأموال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(Saudi Central Bank, 2024; IMF, 2024)</w:t>
      </w:r>
      <w:r w:rsidRPr="004F6AF4">
        <w:rPr>
          <w:rFonts w:ascii="Traditional Arabic" w:hAnsi="Traditional Arabic" w:cs="Traditional Arabic" w:hint="cs"/>
          <w:b/>
          <w:bCs/>
          <w:sz w:val="28"/>
          <w:szCs w:val="28"/>
          <w:rtl/>
        </w:rPr>
        <w:t>.</w:t>
      </w:r>
    </w:p>
    <w:p w14:paraId="1CDD4F0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2.1.2.4 خصائص تقنية الترميز</w:t>
      </w:r>
    </w:p>
    <w:p w14:paraId="712DC21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تتميز تقنية الترميز بمجموعة من الخصائص التقنية والتشغيلية التي تجعلها حلاً مناسباً للمؤسسات المالية (Financial Stability Board, 2024; McKinsey &amp; Company, 2024)، حيث تتمثل أهم هذه الخصائص فيما يلي:</w:t>
      </w:r>
    </w:p>
    <w:p w14:paraId="037AF00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عدم القابلية للعكس</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(Irreversibility)</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أن العملية التصميمية للترميز تجعل من المستحيل عملياً استخراج البيانات الأصلية من الرمز دون الوصول إلى نظام الترميز المركزي (PCI Security Standards Council, 2024; Ahammad et al., 2025)، بحيث حتى في حال اختراق قاعدة البيانات التي تحتوي على الرموز فإن المخترق لن يتمكن من الحصول على البيانات الحساسة الفعلية (Goghie, 2024; Carapella et al., 2023)، وهذه الخاصية تمثل الفارق الجوهري بين الترميز والتشفير الذي يمكن عكسه بالمفتاح الصحيح (IBM Security, 2024)</w:t>
      </w:r>
      <w:r w:rsidRPr="004F6AF4">
        <w:rPr>
          <w:rFonts w:ascii="Traditional Arabic" w:hAnsi="Traditional Arabic" w:cs="Traditional Arabic" w:hint="cs"/>
          <w:b/>
          <w:bCs/>
          <w:sz w:val="28"/>
          <w:szCs w:val="28"/>
          <w:rtl/>
        </w:rPr>
        <w:t>.</w:t>
      </w:r>
    </w:p>
    <w:p w14:paraId="1E57EF8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الاحتفاظ بالتنسيق</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(Format Preservation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في العديد من تطبيقات الترميز، يتم تصميم الرموز بحيث تحتفظ بنفس تنسيق البيانات الأصلية من حيث الطول ونوع الأحرف (PCI Security Standards Council, 2024)، مما يسمح باستخدام الرموز في الأنظمة الموجودة دون الحاجة لتعديلات كبيرة في البنية </w:t>
      </w:r>
      <w:r w:rsidRPr="004F6AF4">
        <w:rPr>
          <w:rFonts w:ascii="Traditional Arabic" w:hAnsi="Traditional Arabic" w:cs="Traditional Arabic"/>
          <w:b/>
          <w:bCs/>
          <w:sz w:val="28"/>
          <w:szCs w:val="28"/>
          <w:rtl/>
        </w:rPr>
        <w:lastRenderedPageBreak/>
        <w:t>التحتية التقنية (Sakarneh &amp; Kilani, 2024; Karanovic et al., 2024)، بحيث يمكن للمؤسسات المالية تطبيق الترميز بسلاسة دون تعطيل العمليات القائمة (Almadadha, 2025)</w:t>
      </w:r>
      <w:r w:rsidRPr="004F6AF4">
        <w:rPr>
          <w:rFonts w:ascii="Traditional Arabic" w:hAnsi="Traditional Arabic" w:cs="Traditional Arabic" w:hint="cs"/>
          <w:b/>
          <w:bCs/>
          <w:sz w:val="28"/>
          <w:szCs w:val="28"/>
          <w:rtl/>
        </w:rPr>
        <w:t>.</w:t>
      </w:r>
    </w:p>
    <w:p w14:paraId="2E8CC87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القابلية للبرمجة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(Programmability)</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خاصة في ترميز الأصول، حيث يمكن دمج قواعد وشروط قابلة للتنفيذ التلقائي في الرموز نفسها من خلال العقود الذكية (Ahammad et al., 2025; Udeh et al., 2025)، بحيث تتم إدارة الحقوق والالتزامات المرتبطة بالأصل بشكل آلي دون الحاجة لتدخل بشري (Grossmann et al., 2025; Lavayssière &amp; Zhang, 2025)، مما يقلل من التكاليف والأخطاء ويزيد من الكفاءة التشغيلية بشكل كبير (Al-Qudah et al., 2025; Karanovic et al., 2024).</w:t>
      </w:r>
    </w:p>
    <w:p w14:paraId="69F430F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القابلية للتوسع (Scalability)</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حيث تدعم أنظمة الترميز الحديثة معالجة حجم هائل من المعاملات بشكل متزامن (Islam &amp; In, 2024; Karanovic et al., 2024)، مما يجعلها مناسبة للمؤسسات المالية الكبرى التي تتعامل مع ملايين المعاملات يومياً (Saudi Central Bank, 2024)، وذلك من خلال البنية التحتية الموزعة والمعمارية الحديثة التي تتيح التوسع الأفقي حسب الحاجة (Ahammad et al., 2025).</w:t>
      </w:r>
    </w:p>
    <w:p w14:paraId="5807272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التشغيل البيني (Interoperability)</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إمكانية تبادل الرموز والتعامل معها عبر منصات وأنظمة مختلفة (Financial Stability Board, 2024; Multiple Authors, 2025)، بحيث لا تكون الرموز محصورة في نظام واحد بل يمكن نقلها وتداولها عبر بيئات متعددة (Islam &amp; In, 2024; Goghie, 2024)، وهذه الخاصية تعزز من السيولة والكفاءة في الأسواق المالية الرقمية وتفتح آفاقاً واسعة للابتكار والتعاون بين المؤسسات المالية المختلفة (McKinsey &amp; Company, 2024; World Economic Forum, 2024).</w:t>
      </w:r>
    </w:p>
    <w:p w14:paraId="25750E0F"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255F363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الثالث (2.1.3) - كفاءة العمليات المالية وعلاقتها بتقنية الترميز والأمن السيبراني</w:t>
      </w:r>
    </w:p>
    <w:p w14:paraId="50AFF10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تعد كفاءة العمليات المالية من الأهداف الرئيسية والاستراتيجية لأي مؤسسة مالية تسعى للتميز والتنافسية في بيئة أعمال سريعة التغير ومتزايدة التعقيد (McKinsey &amp; Company, 2024; Al-Qudah et al., 2025)، حيث أصبحت المؤسسات المالية مطالبة بتقديم خدمات أسرع وأكثر دقة وبتكلفة أقل مع الحفاظ على مستويات عالية من الجودة والأمان (Almadadha, 2025; Karanovic et al., 2024)، وذلك في ظل توقعات متزايدة من العملاء الذين أصبحوا أكثر وعياً ومطالبة بتجربة رقمية سلسة ومتكاملة (Thunes Research, 2025; Saudi Central Bank, 2024). ويرتبط مفهوم كفاءة العمليات ارتباطاً وثيقاً بالتحول الرقمي الذي يمثل رحلة شاملة لإعادة تصميم العمليات والخدمات باستخدام التقنيات الحديثة (Financial Stability Board, 2024; Islam &amp; In, 2024)، بحيث لا يقتصر التحول على مجرد رقمنة العمليات القائمة بل يشمل إعادة التفكير الجذري في نماذج الأعمال وطرق تقديم القيمة للعملاء (Sakarneh &amp; Kilani, 2024; Udeh et al., 2025</w:t>
      </w:r>
      <w:r w:rsidRPr="004F6AF4">
        <w:rPr>
          <w:rFonts w:ascii="Traditional Arabic" w:hAnsi="Traditional Arabic" w:cs="Traditional Arabic" w:hint="cs"/>
          <w:b/>
          <w:bCs/>
          <w:sz w:val="28"/>
          <w:szCs w:val="28"/>
          <w:rtl/>
        </w:rPr>
        <w:t>).</w:t>
      </w:r>
    </w:p>
    <w:p w14:paraId="08BDE4C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2.1.3.1 مفهوم كفاءة العمليات المالية</w:t>
      </w:r>
    </w:p>
    <w:p w14:paraId="77FF1E6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 (Al-Qudah et al., 2025; Grossmann et al., 2025)، وجميع هذه التعريفات تؤكد على أن الكفاءة ليست مجرد تقليل للتكاليف بل تحسين شامل للأداء</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Almadadha, 2025; Lavayssière &amp; Zhang, 2025</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 (Karanovic et al., 2024; Sakarneh &amp; Kilani, 2024)، وهذا التعريف يركز على العلاقة بين المدخلات والمخرجات كمقياس أساسي للكفاءة.</w:t>
      </w:r>
    </w:p>
    <w:p w14:paraId="113D58E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w:t>
      </w:r>
      <w:r w:rsidRPr="004F6AF4">
        <w:rPr>
          <w:rFonts w:ascii="Traditional Arabic" w:hAnsi="Traditional Arabic" w:cs="Traditional Arabic"/>
          <w:b/>
          <w:bCs/>
          <w:sz w:val="28"/>
          <w:szCs w:val="28"/>
          <w:rtl/>
        </w:rPr>
        <w:lastRenderedPageBreak/>
        <w:t>الحديثة والأتمتة والتحسين المستمر للعمليات" (Al-Qudah et al., 2025; Almadadha, 2025)، بحيث تنعكس هذه الكفاءة على المؤشرات المالية للمؤسسة من خلال تحسين الربحية وزيادة القيمة المقدمة للمساهمين (Grossmann et al., 2025; Lavayssière &amp; Zhang, 2025)</w:t>
      </w:r>
      <w:r w:rsidRPr="004F6AF4">
        <w:rPr>
          <w:rFonts w:ascii="Traditional Arabic" w:hAnsi="Traditional Arabic" w:cs="Traditional Arabic" w:hint="cs"/>
          <w:b/>
          <w:bCs/>
          <w:sz w:val="28"/>
          <w:szCs w:val="28"/>
          <w:rtl/>
        </w:rPr>
        <w:t>.</w:t>
      </w:r>
    </w:p>
    <w:p w14:paraId="7987DAC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 (McKinsey &amp; Company, 2024; Financial Stability Board, 2024)، وهذا التعريف يؤكد على أن الكفاءة ليست هدفاً ثابتاً بل عملية مستمرة من التحسين والتطوير (Islam &amp; In, 2024; Udeh et al., 2025</w:t>
      </w:r>
      <w:r w:rsidRPr="004F6AF4">
        <w:rPr>
          <w:rFonts w:ascii="Traditional Arabic" w:hAnsi="Traditional Arabic" w:cs="Traditional Arabic" w:hint="cs"/>
          <w:b/>
          <w:bCs/>
          <w:sz w:val="28"/>
          <w:szCs w:val="28"/>
          <w:rtl/>
        </w:rPr>
        <w:t>).</w:t>
      </w:r>
    </w:p>
    <w:p w14:paraId="6BE1B83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 (Al-Qudah et al., 2025; Karanovic et al., 2024; Almadadha, 2025)،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 (Grossmann et al., 2025; Lavayssière &amp; Zhang, 2025; Sakarneh &amp; Kilani, 2024)،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 (Financial Stability Board, 2024; McKinsey &amp; Company, 2024; Udeh et al., 2025</w:t>
      </w:r>
      <w:r w:rsidRPr="004F6AF4">
        <w:rPr>
          <w:rFonts w:ascii="Traditional Arabic" w:hAnsi="Traditional Arabic" w:cs="Traditional Arabic" w:hint="cs"/>
          <w:b/>
          <w:bCs/>
          <w:sz w:val="28"/>
          <w:szCs w:val="28"/>
          <w:rtl/>
        </w:rPr>
        <w:t>).</w:t>
      </w:r>
    </w:p>
    <w:p w14:paraId="4D6637B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2.1.3.2 أبعاد ومؤشرات كفاءة العمليات المالية</w:t>
      </w:r>
    </w:p>
    <w:p w14:paraId="6573E71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تتعدد الأبعاد والمؤشرات التي يمكن من خلالها قياس كفاءة العمليات المالية (Al-Qudah et al., 2025; Karanovic et al., 2024)، حيث تتمثل أهم هذه الأبعاد فيما يلي:</w:t>
      </w:r>
    </w:p>
    <w:p w14:paraId="2A75D42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سرعة تنفيذ المعاملات ودورات التسوية: وتقاس بالوقت المستغرق لإتمام المعاملة من البداية للنهاية، حيث كلما كانت العمليات أسرع كلما كانت أكثر كفاءة (Karanovic et al., 2024; Grossmann et al., 2025)، بحيث تتحول دورات التسوية من أيام في الأنظمة التقليدية (T+2 أو T+5) إلى ثوانٍ معدودة </w:t>
      </w:r>
      <w:r w:rsidRPr="004F6AF4">
        <w:rPr>
          <w:rFonts w:ascii="Traditional Arabic" w:hAnsi="Traditional Arabic" w:cs="Traditional Arabic"/>
          <w:b/>
          <w:bCs/>
          <w:sz w:val="28"/>
          <w:szCs w:val="28"/>
          <w:rtl/>
        </w:rPr>
        <w:lastRenderedPageBreak/>
        <w:t>في الأنظمة الرقمية الحديثة (Ahammad et al., 2025; Almadadha, 2025)،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 (Lavayssière &amp; Zhang, 2025; Financial Stability Board, 2024</w:t>
      </w:r>
      <w:r w:rsidRPr="004F6AF4">
        <w:rPr>
          <w:rFonts w:ascii="Traditional Arabic" w:hAnsi="Traditional Arabic" w:cs="Traditional Arabic" w:hint="cs"/>
          <w:b/>
          <w:bCs/>
          <w:sz w:val="28"/>
          <w:szCs w:val="28"/>
          <w:rtl/>
        </w:rPr>
        <w:t>).</w:t>
      </w:r>
    </w:p>
    <w:p w14:paraId="05595BE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تكلفة العمليات التشغيلية: وتشمل جميع التكاليف المرتبطة بتنفيذ المعاملات من تكاليف المعالجة، والتسوية والمقاصة، والبنية التحتية التقنية، والموارد البشرية، والامتثال والمراجعة (Al-Qudah et al., 2025; Grossmann et al., 2025</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بحيث كلما انخفضت هذه التكاليف دون التأثير على الجودة كلما كانت العمليات أكثر كفاءة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(Karanovic et al., 2024; Sakarneh &amp; Kilani, 2024)،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(Al-Qudah et al., 2025)</w:t>
      </w:r>
      <w:r w:rsidRPr="004F6AF4">
        <w:rPr>
          <w:rFonts w:ascii="Traditional Arabic" w:hAnsi="Traditional Arabic" w:cs="Traditional Arabic" w:hint="cs"/>
          <w:b/>
          <w:bCs/>
          <w:sz w:val="28"/>
          <w:szCs w:val="28"/>
          <w:rtl/>
        </w:rPr>
        <w:t>.</w:t>
      </w:r>
    </w:p>
    <w:p w14:paraId="50275E1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دقة التنفيذ ومعدلات الأخطاء: من خلال قياس نسبة المعاملات التي تتم بشكل صحيح من المرة الأولى دون الحاجة لتصحيحات أو إعادة معالجة (Ahammad et al., 2025; Udeh et al., 2025)، بحيث أن الأتمتة الكاملة والسجلات غير القابلة للتعديل تساهم في تقليل الأخطاء البشرية والتناقضات في البيانات (Grossmann et al., 2025; Islam &amp; In, 2024)، مما يعزز موثوقية النظام المالي ويقلل من تكاليف التصحيح والمراجعة، وقد وثقت بعض الدراسات انخفاضاً بنسبة 90% في أخطاء التسوية بفضل الأتمتة الكاملة (Grossmann et al., 2025; Karanovic et al., 2024)</w:t>
      </w:r>
      <w:r w:rsidRPr="004F6AF4">
        <w:rPr>
          <w:rFonts w:ascii="Traditional Arabic" w:hAnsi="Traditional Arabic" w:cs="Traditional Arabic" w:hint="cs"/>
          <w:b/>
          <w:bCs/>
          <w:sz w:val="28"/>
          <w:szCs w:val="28"/>
          <w:rtl/>
        </w:rPr>
        <w:t>.</w:t>
      </w:r>
    </w:p>
    <w:p w14:paraId="1150B86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القدرة على التوسع والمرونة التشغيلية: وتقاس بقدرة الأنظمة على التعامل مع حجم متزايد من المعاملات دون تدهور في الأداء (Ahammad et al., 2025; Islam &amp; In, 2024)، وبقدرة المؤسسة على تقديم خدمات جديدة والتكيف مع التغيرات في احتياجات السوق بسرعة (McKinsey &amp; Company, 2024; Financial Stability Board, 2024)، بحيث تدعم البنية التحتية الحديثة معالجة ملايين المعاملات بشكل متزامن مع إمكانية التوسع الأفقي حسب الحاجة (Karanovic et al., 2024; Saudi Central Bank, 2024</w:t>
      </w:r>
      <w:r w:rsidRPr="004F6AF4">
        <w:rPr>
          <w:rFonts w:ascii="Traditional Arabic" w:hAnsi="Traditional Arabic" w:cs="Traditional Arabic" w:hint="cs"/>
          <w:b/>
          <w:bCs/>
          <w:sz w:val="28"/>
          <w:szCs w:val="28"/>
          <w:rtl/>
        </w:rPr>
        <w:t>).</w:t>
      </w:r>
    </w:p>
    <w:p w14:paraId="60BDFA9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التوافرية والاستمرارية: من خلال قياس نسبة الوقت الذي تكون فيه الخدمات متاحة للعملاء (Almadadha, 2025; Karanovic et al., 2024)، حيث أن الأنظمة الحديثة تمكن من التشغيل على مدار الساعة طوال أيام الأسبوع (24/7) (Ahammad et al., 2025; Islam &amp; In, 2024)،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 (Saudi Central Bank, 2024; Thunes Research, 2025)</w:t>
      </w:r>
      <w:r w:rsidRPr="004F6AF4">
        <w:rPr>
          <w:rFonts w:ascii="Traditional Arabic" w:hAnsi="Traditional Arabic" w:cs="Traditional Arabic" w:hint="cs"/>
          <w:b/>
          <w:bCs/>
          <w:sz w:val="28"/>
          <w:szCs w:val="28"/>
          <w:rtl/>
        </w:rPr>
        <w:t>.</w:t>
      </w:r>
    </w:p>
    <w:p w14:paraId="73424F4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جودة تجربة العملاء ومعدلات الرضا: من خلال قياس مدى سهولة استخدام الخدمات، وسرعة الاستجابة لاحتياجات العملاء، ومستوى الشفافية في العمليات، ومعدلات رضا العملاء (Udeh et al., 2025; Sakarneh &amp; Kilani, 2024)،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 (Almadadha, 2025; Thunes Research, 2025</w:t>
      </w:r>
      <w:r w:rsidRPr="004F6AF4">
        <w:rPr>
          <w:rFonts w:ascii="Traditional Arabic" w:hAnsi="Traditional Arabic" w:cs="Traditional Arabic" w:hint="cs"/>
          <w:b/>
          <w:bCs/>
          <w:sz w:val="28"/>
          <w:szCs w:val="28"/>
          <w:rtl/>
        </w:rPr>
        <w:t>).</w:t>
      </w:r>
    </w:p>
    <w:p w14:paraId="51E88FB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2.1.3.3 العلاقة بين تقنية الترميز وكفاءة العمليات المالية</w:t>
      </w:r>
    </w:p>
    <w:p w14:paraId="638C337D"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ترتبط تقنية الترميز بكفاءة العمليات المالية عبر ثلاث قنوات تشغيلية مباشرة. الأولى تقليص نطاق البيانات الحساسة الخاضعة للتدقيق داخل أنظمة المؤسسة، إذ يستبدل الترميز البيانات الأصلية برموز بديلة لا تحمل قيمة استغلالية، ما يقلّص عدد الأنظمة الداخلة في نطاق الامتثال ويخفّض كلفة التدقيق الدوري وزمنه. والثانية تسريع دورة تسوية المعاملات، لأن تمرير الرمز بدلاً من بيانات البطاقة الكاملة يقلّل خطوات التحقق والتشفير المتكررة بين أطراف المعاملة. والثالثة خفض كلفة معالجة الحوادث، إذ يصبح أثر أي تسريب محدوداً ما دامت البيانات المسرَّبة رموزاً لا تُفكّ خارج مخزن الرموز.</w:t>
      </w:r>
    </w:p>
    <w:p w14:paraId="14A03534"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أما العلاقة بين الأمن السيبراني وكفاءة العمليات المالية فتتحقق بصورة غير مباشرة، إذ إن انخفاض عدد الحوادث الأمنية يقلّل توقّف الخدمة وتكاليف الاستجابة والتعويض، ويرفع معدل إتمام المعاملات من المحاولة الأولى، وهو ما ينعكس مباشرة على مؤشرات الكفاءة التشغيلية. وبهذا تتشكل علاقة تسلسلية يمثل فيها الترميز مدخلاً تقنياً، ويمثل الأمن السيبراني حالة وسيطة في الأداء، وتمثل كفاءة العمليات المالية مخرجاً تشغيلياً.</w:t>
      </w:r>
    </w:p>
    <w:p w14:paraId="61DE446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يلعب التحول الرقمي دوراً محورياً في تحسين كفاءة العمليات المالية من خلال عدة آليات رئيسية (Financial Stability Board, 2024; McKinsey &amp; Company, 2024)، حيث تتمثل أهم هذه الآليات فيما يلي:</w:t>
      </w:r>
    </w:p>
    <w:p w14:paraId="26F33D5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الأتمتة الذكية للعمليات: من خلال استخدام تقنيات الذكاء الاصطناعي والروبوتات البرمجية (RPA) لأتمتة العمليات اليدوية المتكررة (Ahammad et al., 2025; Karanovic et al., 2024)، بحيث يتم تحرير الموارد البشرية للتركيز على المهام ذات القيمة الأعلى التي تتطلب التفكير الإبداعي والحكم البشري (Sakarneh &amp; Kilani, 2024; Islam &amp; In, 2024)، مما يقلل من الأخطاء ويسرع من الإنجاز ويخفض التكاليف التشغيلية بشكل كبير (Al-Qudah et al., 2025; Grossmann et al., 2025)</w:t>
      </w:r>
      <w:r w:rsidRPr="004F6AF4">
        <w:rPr>
          <w:rFonts w:ascii="Traditional Arabic" w:hAnsi="Traditional Arabic" w:cs="Traditional Arabic" w:hint="cs"/>
          <w:b/>
          <w:bCs/>
          <w:sz w:val="28"/>
          <w:szCs w:val="28"/>
          <w:rtl/>
        </w:rPr>
        <w:t>.</w:t>
      </w:r>
    </w:p>
    <w:p w14:paraId="5C8450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تحسين عمليات اتخاذ القرار بالبيانات: من خلال القدرة على جمع وتحليل كميات ضخمة من البيانات بشكل فوري (Almadadha, 2025; Karanovic et al., 2024)، بحيث يمكن للمؤسسات المالية اتخاذ قرارات أكثر استنارة بناءً على رؤى دقيقة ومحدثة، سواء فيما يتعلق بإدارة المخاطر، أو تحديد الأسعار، أو تطوير المنتجات، </w:t>
      </w:r>
      <w:r w:rsidRPr="004F6AF4">
        <w:rPr>
          <w:rFonts w:ascii="Traditional Arabic" w:hAnsi="Traditional Arabic" w:cs="Traditional Arabic"/>
          <w:b/>
          <w:bCs/>
          <w:sz w:val="28"/>
          <w:szCs w:val="28"/>
          <w:rtl/>
        </w:rPr>
        <w:lastRenderedPageBreak/>
        <w:t>أو استهداف العملاء (McKinsey &amp; Company, 2024; Udeh et al., 2025)، مما يحسن من فعالية القرارات ويقلل من المخاطر (Lavayssière &amp; Zhang, 2025; Carapella et al., 2023).</w:t>
      </w:r>
    </w:p>
    <w:p w14:paraId="5B00C83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تجربة العملاء الرقمية: عبر توفير منصات وتطبيقات رقمية سهلة الاستخدام تمكن العملاء من إنجاز معاملاتهم بشكل ذاتي في أي وقت ومن أي مكان (Saudi Central Bank, 2024; Thunes Research, 2025)، مع إمكانية التخصيص حسب احتياجات كل عميل، وتقديم خدمات استباقية بناءً على التحليلات التنبؤية (Sakarneh &amp; Kilani, 2024; Almadadha, 2025)، مما يعزز من رضا العملاء وولائهم (Karanovic et al., 2024; Udeh et al., 2025)</w:t>
      </w:r>
      <w:r w:rsidRPr="004F6AF4">
        <w:rPr>
          <w:rFonts w:ascii="Traditional Arabic" w:hAnsi="Traditional Arabic" w:cs="Traditional Arabic" w:hint="cs"/>
          <w:b/>
          <w:bCs/>
          <w:sz w:val="28"/>
          <w:szCs w:val="28"/>
          <w:rtl/>
        </w:rPr>
        <w:t>.</w:t>
      </w:r>
    </w:p>
    <w:p w14:paraId="480D9B4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خفض تكاليف البنية التحتية: من خلال الانتقال من الأنظمة القديمة المكلفة في الصيانة والتشغيل إلى حلول سحابية مرنة وقابلة للتوسع تدفع حسب الاستخدام (Ahammad et al., 2025; Islam &amp; In, 2024)، بحيث يمكن للمؤسسات المالية تقليل استثماراتها الرأسمالية في البنية التحتية التقنية والتركيز على الابتكار وتطوير الخدمات (Al-Qudah et al., 2025; Karanovic et al., 2024)</w:t>
      </w:r>
      <w:r w:rsidRPr="004F6AF4">
        <w:rPr>
          <w:rFonts w:ascii="Traditional Arabic" w:hAnsi="Traditional Arabic" w:cs="Traditional Arabic" w:hint="cs"/>
          <w:b/>
          <w:bCs/>
          <w:sz w:val="28"/>
          <w:szCs w:val="28"/>
          <w:rtl/>
        </w:rPr>
        <w:t>.</w:t>
      </w:r>
    </w:p>
    <w:p w14:paraId="4D09EC1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نماذج أعمال جديدة: من خلال فتح إمكانيات لم تكن متاحة في البيئة التقليدية، مثل الخدمات المصرفية المفتوحة (Open Banking)، والتمويل اللامركزي (DeFi)، والمنتجات المالية القابلة للبرمجة (Financial Stability Board, 2024; McKinsey &amp; Company, 2024)، بحيث يمكن للمؤسسات المالية إعادة اختراع نفسها والمنافسة بطرق جديدة (Islam &amp; In, 2024; Thunes Research, 2025)</w:t>
      </w:r>
      <w:r w:rsidRPr="004F6AF4">
        <w:rPr>
          <w:rFonts w:ascii="Traditional Arabic" w:hAnsi="Traditional Arabic" w:cs="Traditional Arabic" w:hint="cs"/>
          <w:b/>
          <w:bCs/>
          <w:sz w:val="28"/>
          <w:szCs w:val="28"/>
          <w:rtl/>
        </w:rPr>
        <w:t>.</w:t>
      </w:r>
    </w:p>
    <w:p w14:paraId="10B2581E"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p>
    <w:p w14:paraId="24EB27C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الرابع (2.1.4) - رؤية السعودية 2030 والتحول الرقمي في القطاع المالي</w:t>
      </w:r>
    </w:p>
    <w:p w14:paraId="6C60DB1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تمثل رؤية السعودية 2030 إطاراً استراتيجياً شاملاً ومتكاملاً للتحول الاقتصادي والاجتماعي في المملكة (Saudi Central Bank, 2024; IMF, 2024)، حيث تهدف إلى بناء مجتمع حيوي واقتصاد مزدهر </w:t>
      </w:r>
      <w:r w:rsidRPr="004F6AF4">
        <w:rPr>
          <w:rFonts w:ascii="Traditional Arabic" w:hAnsi="Traditional Arabic" w:cs="Traditional Arabic"/>
          <w:b/>
          <w:bCs/>
          <w:sz w:val="28"/>
          <w:szCs w:val="28"/>
          <w:rtl/>
        </w:rPr>
        <w:lastRenderedPageBreak/>
        <w:t>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 (Thunes Research, 2025). ويحتل التحول الرقمي موقعاً محورياً ضمن هذه الرؤية الطموحة، حيث يمثل ممكناً رئيسياً لتحقيق العديد من الأهداف الاستراتيجية عبر مختلف القطاعات (IMF, 2024; McKinsey &amp; Company, 2024)، ومن بينها القطاع المالي الذي يلعب دوراً حيوياً في دعم النمو الاقتصادي وتمكين ريادة الأعمال وجذب الاستثمارات (Saudi Central Bank, 2024; Financial Stability Board, 2024)</w:t>
      </w:r>
      <w:r w:rsidRPr="004F6AF4">
        <w:rPr>
          <w:rFonts w:ascii="Traditional Arabic" w:hAnsi="Traditional Arabic" w:cs="Traditional Arabic" w:hint="cs"/>
          <w:b/>
          <w:bCs/>
          <w:sz w:val="28"/>
          <w:szCs w:val="28"/>
          <w:rtl/>
        </w:rPr>
        <w:t>.</w:t>
      </w:r>
    </w:p>
    <w:p w14:paraId="5AC138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2.1.4.1 أهداف رؤية 2030 المرتبطة بالقطاع المالي الرقمي</w:t>
      </w:r>
    </w:p>
    <w:p w14:paraId="4191188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ترتبط العديد من أهداف رؤية 2030 بشكل مباشر بتطوير القطاع المالي الرقمي (Saudi Central Bank, 2024; Thunes Research, 2025)، حيث تتمثل أهم هذه الأهداف فيما يلي:</w:t>
      </w:r>
    </w:p>
    <w:p w14:paraId="7666D4E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رفع معدل الشمول المالي وزيادة نسبة المعاملات غير النقدية: حيث تستهدف الرؤية الوصول إلى مجتمع أقل اعتماداً على النقد من خلال تحفيز استخدام وسائل الدفع الإلكترونية (Saudi Central Bank, 2024; IMF, 2024)، وتوسيع نطاق الوصول للخدمات المالية لتشمل كافة شرائح المجتمع بما في ذلك الفئات المحرومة تقليدياً من الخدمات المصرفية (Thunes Research, 2025; McKinsey &amp; Company, 2024)،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 (Saudi Central Bank, 2024)</w:t>
      </w:r>
      <w:r w:rsidRPr="004F6AF4">
        <w:rPr>
          <w:rFonts w:ascii="Traditional Arabic" w:hAnsi="Traditional Arabic" w:cs="Traditional Arabic" w:hint="cs"/>
          <w:b/>
          <w:bCs/>
          <w:sz w:val="28"/>
          <w:szCs w:val="28"/>
          <w:rtl/>
        </w:rPr>
        <w:t>.</w:t>
      </w:r>
    </w:p>
    <w:p w14:paraId="62025DE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تطوير بنية تحتية رقمية متطورة وآمنة: من خلال الاستثمار في شبكات الاتصالات عالية السرعة، ومراكز البيانات، والحوسبة السحابية، والأمن السيبراني (IMF, 2024; ENISA, 2024)، بحيث توفر المملكة بيئة رقمية تمكينية تدعم الابتكار والنمو في القطاع المالي وغيره من القطاعات (Thunes Research, 2025; Saudi Central Bank, 2024)، وتستقطب الاستثمارات التقنية العالمية (McKinsey &amp; Company, 2024; Financial Stability Board, 2024</w:t>
      </w:r>
      <w:r w:rsidRPr="004F6AF4">
        <w:rPr>
          <w:rFonts w:ascii="Traditional Arabic" w:hAnsi="Traditional Arabic" w:cs="Traditional Arabic" w:hint="cs"/>
          <w:b/>
          <w:bCs/>
          <w:sz w:val="28"/>
          <w:szCs w:val="28"/>
          <w:rtl/>
        </w:rPr>
        <w:t>).</w:t>
      </w:r>
    </w:p>
    <w:p w14:paraId="0FDA86B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تعزيز دور الفنتك والابتكار المالي: من خلال إنشاء بيئة تنظيمية داعمة للابتكار، وتوفير البيئات التجريبية (Regulatory Sandboxes) التي تمكن الشركات الناشئة من تجربة منتجاتها وخدماتها الجديدة في بيئة محكومة (Saudi Central Bank, 2024; IMF, 2024)، وتقديم الحوافز والدعم لشركات الفنتك (Thunes Research, 2025)، وقد شهد القطاع نمواً ملحوظاً حيث يعمل حالياً 72 شركة فنتك في مجال المدفوعات، مما يعكس بيئة تنافسية وابتكارية (Thunes Research, 2025; Islam &amp; In, 2024)</w:t>
      </w:r>
      <w:r w:rsidRPr="004F6AF4">
        <w:rPr>
          <w:rFonts w:ascii="Traditional Arabic" w:hAnsi="Traditional Arabic" w:cs="Traditional Arabic" w:hint="cs"/>
          <w:b/>
          <w:bCs/>
          <w:sz w:val="28"/>
          <w:szCs w:val="28"/>
          <w:rtl/>
        </w:rPr>
        <w:t>.</w:t>
      </w:r>
    </w:p>
    <w:p w14:paraId="4D6E31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كفاءة القطاع المالي وتنافسيته: من خلال تشجيع المؤسسات المالية على تبني أحدث التقنيات لتحسين عملياتها وخفض تكاليفها وتحسين تجربة عملائها (Saudi Central Bank, 2024; Sakarneh &amp; Kilani, 2024)، بحيث تصبح المؤسسات المالية السعودية قادرة على المنافسة عالمياً وجذب العملاء والاستثمارات من مختلف أنحاء العالم (IMF, 2024; McKinsey &amp; Company, 2024)</w:t>
      </w:r>
      <w:r w:rsidRPr="004F6AF4">
        <w:rPr>
          <w:rFonts w:ascii="Traditional Arabic" w:hAnsi="Traditional Arabic" w:cs="Traditional Arabic" w:hint="cs"/>
          <w:b/>
          <w:bCs/>
          <w:sz w:val="28"/>
          <w:szCs w:val="28"/>
          <w:rtl/>
        </w:rPr>
        <w:t>.</w:t>
      </w:r>
    </w:p>
    <w:p w14:paraId="1770EF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تعزيز الأمن السيبراني وحماية البيانات: من خلال تطوير الأطر التنظيمية والمعايير الفنية التي تضمن حماية بيانات العملاء وأمن المعاملات المالية (Saudi Central Bank, 2024; ENISA, 2024)، وبناء قدرات وطنية في مجال الأمن السيبراني (IMF, 2024; PCI Security Standards Council, 2024)، بحيث تكون المملكة من الدول الرائدة عالمياً في هذا المجال الحيوي (Saudi Central Bank, 2024; IBM Security, 2024</w:t>
      </w:r>
      <w:r w:rsidRPr="004F6AF4">
        <w:rPr>
          <w:rFonts w:ascii="Traditional Arabic" w:hAnsi="Traditional Arabic" w:cs="Traditional Arabic" w:hint="cs"/>
          <w:b/>
          <w:bCs/>
          <w:sz w:val="28"/>
          <w:szCs w:val="28"/>
          <w:rtl/>
        </w:rPr>
        <w:t>).</w:t>
      </w:r>
    </w:p>
    <w:p w14:paraId="62A3E16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2.1.4.2 الإنجازات المحققة في التحول المالي الرقمي</w:t>
      </w:r>
    </w:p>
    <w:p w14:paraId="440BD23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حققت المملكة العربية السعودية تقدماً ملموساً في مسيرة التحول المالي الرقمي ضمن رؤية 2030 (Saudi Central Bank, 2024; IMF, 2024)، حيث تتمثل أبرز هذه الإنجازات فيما يلي:</w:t>
      </w:r>
    </w:p>
    <w:p w14:paraId="148C43A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نمو ملحوظ في المدفوعات الرقمية: حيث عالج نظام سريع 593 مليون معاملة في عام 2024، بينما وصلت نسبة المدفوعات الإلكترونية إلى 79% من إجمالي المعاملات (Saudi Central Bank, 2024)، مع تزايد استخدام تقنيات الدفع بدون بطاقة التي تعتمد على الترميز (Thunes Research, 2025; </w:t>
      </w:r>
      <w:r w:rsidRPr="004F6AF4">
        <w:rPr>
          <w:rFonts w:ascii="Traditional Arabic" w:hAnsi="Traditional Arabic" w:cs="Traditional Arabic"/>
          <w:b/>
          <w:bCs/>
          <w:sz w:val="28"/>
          <w:szCs w:val="28"/>
          <w:rtl/>
        </w:rPr>
        <w:lastRenderedPageBreak/>
        <w:t>Financial Stability Board, 2024)، مما يعكس التحول الكبير نحو الاقتصاد الرقمي (IMF, 2024; McKinsey &amp; Company, 2024</w:t>
      </w:r>
      <w:r w:rsidRPr="004F6AF4">
        <w:rPr>
          <w:rFonts w:ascii="Traditional Arabic" w:hAnsi="Traditional Arabic" w:cs="Traditional Arabic" w:hint="cs"/>
          <w:b/>
          <w:bCs/>
          <w:sz w:val="28"/>
          <w:szCs w:val="28"/>
          <w:rtl/>
        </w:rPr>
        <w:t>).</w:t>
      </w:r>
    </w:p>
    <w:p w14:paraId="640B1B1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توسع النظام البيئي للفنتك: من خلال زيادة عدد شركات الفنتك العاملة في المملكة، وتنوع الخدمات المقدمة لتشمل المدفوعات، والتمويل، والاستثمار، والتأمين، وغيرها (Thunes Research, 2025; Islam &amp; In, 2024)، مما يثري الخيارات المتاحة للمستهلكين ويعزز المنافسة والابتكار (Saudi Central Bank, 2024; Sakarneh &amp; Kilani, 2024</w:t>
      </w:r>
      <w:r w:rsidRPr="004F6AF4">
        <w:rPr>
          <w:rFonts w:ascii="Traditional Arabic" w:hAnsi="Traditional Arabic" w:cs="Traditional Arabic" w:hint="cs"/>
          <w:b/>
          <w:bCs/>
          <w:sz w:val="28"/>
          <w:szCs w:val="28"/>
          <w:rtl/>
        </w:rPr>
        <w:t>).</w:t>
      </w:r>
    </w:p>
    <w:p w14:paraId="191AB2D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إشادة دولية بالتقدم المحرز: 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 (IMF, 2024)، مما يضع المملكة في مصاف الدول الرائدة في هذا المجال (Saudi Central Bank, 2024; McKinsey &amp; Company, 2024</w:t>
      </w:r>
      <w:r w:rsidRPr="004F6AF4">
        <w:rPr>
          <w:rFonts w:ascii="Traditional Arabic" w:hAnsi="Traditional Arabic" w:cs="Traditional Arabic" w:hint="cs"/>
          <w:b/>
          <w:bCs/>
          <w:sz w:val="28"/>
          <w:szCs w:val="28"/>
          <w:rtl/>
        </w:rPr>
        <w:t>).</w:t>
      </w:r>
    </w:p>
    <w:p w14:paraId="304AF2F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نمو متوقع للاقتصاد الرقمي: حيث تشير التوقعات إلى وصول قيمة الاقتصاد الرقمي في المملكة إلى 87 مليار دولار بحلول عام 2025، مع معدل انتشار رقمي يبلغ 99% (Thunes Research, 2025)، مما يعكس حجم الفرص الهائلة المتاحة في هذا القطاع (Saudi Central Bank, 2024; Financial Stability Board, 2024</w:t>
      </w:r>
      <w:r w:rsidRPr="004F6AF4">
        <w:rPr>
          <w:rFonts w:ascii="Traditional Arabic" w:hAnsi="Traditional Arabic" w:cs="Traditional Arabic" w:hint="cs"/>
          <w:b/>
          <w:bCs/>
          <w:sz w:val="28"/>
          <w:szCs w:val="28"/>
          <w:rtl/>
        </w:rPr>
        <w:t>).</w:t>
      </w:r>
    </w:p>
    <w:p w14:paraId="46589F7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2.1.4.3 دور تقنية الترميز في تحقيق أهداف رؤية 2030</w:t>
      </w:r>
    </w:p>
    <w:p w14:paraId="50E9691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تساهم تقنية الترميز بشكل مباشر في تحقيق العديد من أهداف رؤية 2030 في القطاع المالي (Saudi Central Bank, 2024; Financial Stability Board, 2024)، حيث يتمثل هذا الدور فيما يلي:</w:t>
      </w:r>
    </w:p>
    <w:p w14:paraId="2572B78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تعزيز الأمن السيبراني: من خلال توفير طبقة حماية إضافية للبيانات الحساسة (PCI Security Standards Council, 2024; Goghie, 2024)، بما يتماشى مع أهداف الرؤية في بناء فضاء إلكتروني آمن يحمي المواطنين والمستثمرين (Saudi Central Bank, 2024; ENISA, 2024)، ويعزز من ثقتهم في الخدمات المالية الرقمية (IMF, 2024; Ahammad et al., 2025)</w:t>
      </w:r>
      <w:r w:rsidRPr="004F6AF4">
        <w:rPr>
          <w:rFonts w:ascii="Traditional Arabic" w:hAnsi="Traditional Arabic" w:cs="Traditional Arabic" w:hint="cs"/>
          <w:b/>
          <w:bCs/>
          <w:sz w:val="28"/>
          <w:szCs w:val="28"/>
          <w:rtl/>
        </w:rPr>
        <w:t>.</w:t>
      </w:r>
    </w:p>
    <w:p w14:paraId="3CF6C99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تحسين كفاءة العمليات المالية: عبر تسريع المعاملات وخفض التكاليف (Al-Qudah et al., 2025; Grossmann et al., 2025)، بما يساهم في تعزيز تنافسية المؤسسات المالية السعودية ويجعلها أكثر جاذبية للعملاء والمستثمرين على المستوى الإقليمي والعالمي (Saudi Central Bank, 2024; McKinsey &amp; Company, 2024</w:t>
      </w:r>
      <w:r w:rsidRPr="004F6AF4">
        <w:rPr>
          <w:rFonts w:ascii="Traditional Arabic" w:hAnsi="Traditional Arabic" w:cs="Traditional Arabic" w:hint="cs"/>
          <w:b/>
          <w:bCs/>
          <w:sz w:val="28"/>
          <w:szCs w:val="28"/>
          <w:rtl/>
        </w:rPr>
        <w:t>).</w:t>
      </w:r>
    </w:p>
    <w:p w14:paraId="62A1B8F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توسيع نطاق الشمول المالي: من خلال تمكين الملكية الجزئية للأصول وخفض حواجز الدخول للاستثمار (Lavayssière &amp; Zhang, 2025; Multiple Authors, 2025)، بما يفتح المجال أمام شرائح أوسع من المجتمع للمشاركة في الأسواق المالية والاستفادة من فرص الاستثمار (Saudi Central Bank, 2024; IMF, 2024</w:t>
      </w:r>
      <w:r w:rsidRPr="004F6AF4">
        <w:rPr>
          <w:rFonts w:ascii="Traditional Arabic" w:hAnsi="Traditional Arabic" w:cs="Traditional Arabic" w:hint="cs"/>
          <w:b/>
          <w:bCs/>
          <w:sz w:val="28"/>
          <w:szCs w:val="28"/>
          <w:rtl/>
        </w:rPr>
        <w:t>).</w:t>
      </w:r>
    </w:p>
    <w:p w14:paraId="7141E49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دعم الابتكار المالي: عبر إتاحة إمكانيات جديدة لتطوير منتجات وخدمات مالية مبتكرة (Financial Stability Board, 2024; Islam &amp; In, 2024)، بما يعزز من النظام البيئي للفنتك ويجعل المملكة مركزاً إقليمياً للابتكار المالي (Thunes Research, 2025; McKinsey &amp; Company, 2024)</w:t>
      </w:r>
      <w:r w:rsidRPr="004F6AF4">
        <w:rPr>
          <w:rFonts w:ascii="Traditional Arabic" w:hAnsi="Traditional Arabic" w:cs="Traditional Arabic" w:hint="cs"/>
          <w:b/>
          <w:bCs/>
          <w:sz w:val="28"/>
          <w:szCs w:val="28"/>
          <w:rtl/>
        </w:rPr>
        <w:t>.</w:t>
      </w:r>
    </w:p>
    <w:p w14:paraId="07ECA2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جذب الاستثمارات: من خلال توفير بنية تحتية مالية رقمية متطورة تستقطب الاستثمارات المحلية والأجنبية (Saudi Central Bank, 2024; IMF, 2024)، وتعزز من مكانة المملكة كوجهة استثمارية جاذبة (McKinsey &amp; Company, 2024; Financial Stability Board, 2024)</w:t>
      </w:r>
      <w:r w:rsidRPr="004F6AF4">
        <w:rPr>
          <w:rFonts w:ascii="Traditional Arabic" w:hAnsi="Traditional Arabic" w:cs="Traditional Arabic" w:hint="cs"/>
          <w:b/>
          <w:bCs/>
          <w:sz w:val="28"/>
          <w:szCs w:val="28"/>
          <w:rtl/>
        </w:rPr>
        <w:t>.</w:t>
      </w:r>
    </w:p>
    <w:p w14:paraId="1C22A9F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 الأسس النظرية المفسّرة للعلاقة بين تقنية الترميز والأمن السيبراني وكفاءة العمليات المالية</w:t>
      </w:r>
    </w:p>
    <w:p w14:paraId="78E0568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تستند الدراسة الحالية إلى مجموعة من النظريات والأطر المفاهيمية التي تفسر كيفية تأثير تقنية الترميز على كل من الأمن السيبراني وكفاءة العمليات المالية (Financial Stability Board, 2024; Carapella et al., 2023)، حيث توفر هذه النظريات الأساس المنطقي والعلمي لفهم الآليات والعمليات التي من خلالها تحدث هذه التأثيرات (Goghie, 2024; Udeh et al., 2025)، بحيث لا تقتصر الدراسة على مجرد رصد العلاقات الظاهرة بل تسعى لفهم الديناميكيات الكامنة وراءها من خلال عدسات نظرية متعددة (Grossmann et al., 2025; Lavayssière &amp; Zhang, 2025). وتتكامل هذه النظريات </w:t>
      </w:r>
      <w:r w:rsidRPr="004F6AF4">
        <w:rPr>
          <w:rFonts w:ascii="Traditional Arabic" w:hAnsi="Traditional Arabic" w:cs="Traditional Arabic"/>
          <w:b/>
          <w:bCs/>
          <w:sz w:val="28"/>
          <w:szCs w:val="28"/>
          <w:rtl/>
        </w:rPr>
        <w:lastRenderedPageBreak/>
        <w:t>لتقديم فهم شامل ومتعدد الأبعاد للظاهرة محل الدراسة (Al-Qudah et al., 2025; Karanovic et al., 2024)، بحيث تغطي الجوانب التقنية والاقتصادية والتنظيمية والسلوكية المرتبطة بتبني وتطبيق تقنية الترميز في المؤسسات المالية (Islam &amp; In, 2024; Sakarneh &amp; Kilani, 2024)</w:t>
      </w:r>
      <w:r w:rsidRPr="004F6AF4">
        <w:rPr>
          <w:rFonts w:ascii="Traditional Arabic" w:hAnsi="Traditional Arabic" w:cs="Traditional Arabic" w:hint="cs"/>
          <w:b/>
          <w:bCs/>
          <w:sz w:val="28"/>
          <w:szCs w:val="28"/>
          <w:rtl/>
        </w:rPr>
        <w:t>.</w:t>
      </w:r>
    </w:p>
    <w:p w14:paraId="5164706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2.1.5.1 نظرية أمن المعلومات (Information Security Theory)</w:t>
      </w:r>
    </w:p>
    <w:p w14:paraId="153906E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تقدم نظرية أمن المعلومات إطاراً أساسياً لفهم كيفية حماية الأصول المعلوماتية من التهديدات المختلفة (ENISA, 2024; PCI Security Standards Council, 2024)، حيث ترتكز هذه النظرية على ثلاثية CIA التي تمثل الأهداف الرئيسية لأمن المعلومات، وهي السرية (Confidentiality) والسلامة (Integrity) والتوافرية (Availability) (IBM Security, 2024; Ahammad et al., 2025)، بحيث يجب أن تحقق أي منظومة أمنية فعالة هذه الأهداف الثلاثة بشكل متوازن (Goghie, 2024; Carapella et al., 2023). وفي سياق تقنية الترميز، تتحقق السرية من خلال استبدال البيانات الحساسة برموز عديمة القيمة في حال اعتراضها (PCI Security Standards Council, 2024; Financial Stability Board, 2024)، مما يمنع الوصول غير المصرح به للمعلومات حتى في حال اختراق النظام (Ahammad et al., 2025; Karanovic et al., 2024)، وهذا يمثل طبقة حماية إضافية تكمل وتعزز من فعالية التشفير التقليدي (IBM Security, 2024). أما السلامة فتتحقق من خلال السجلات غير القابلة للتعديل في أنظمة البلوكشين التي تعتمد عليها العديد من تطبيقات الترميز (Goghie, 2024; Udeh et al., 2025)، بحيث يمكن التحقق من أن البيانات لم تتعرض للتلاعب أو التعديل غير المصرح به (Islam &amp; In, 2024; Carapella et al., 2023). وبالنسبة للتوافرية، فإن الطبيعة الموزعة للأنظمة اللامركزية تضمن استمرارية الخدمة حتى في حال تعطل بعض العقد في الشبكة (Ahammad et al., 2025; Karanovic et al., 2024)، مما يحسن من موثوقية واستمرارية الخدمات المالية (Almadadha, 2025; Sakarneh &amp; Kilani, 2024)</w:t>
      </w:r>
      <w:r w:rsidRPr="004F6AF4">
        <w:rPr>
          <w:rFonts w:ascii="Traditional Arabic" w:hAnsi="Traditional Arabic" w:cs="Traditional Arabic" w:hint="cs"/>
          <w:b/>
          <w:bCs/>
          <w:sz w:val="28"/>
          <w:szCs w:val="28"/>
          <w:rtl/>
        </w:rPr>
        <w:t>.</w:t>
      </w:r>
    </w:p>
    <w:p w14:paraId="47CA531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2.1.5.2 نظرية تكاليف المعاملات (Transaction Cost Economics)</w:t>
      </w:r>
    </w:p>
    <w:p w14:paraId="37E343C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طور ويليامسون (Williamson) نظرية تكاليف المعاملات لتفسير كيف تؤثر خصائص المعاملات على التكاليف المرتبطة بها وعلى الهياكل التنظيمية المناسبة لإدارتها (Grossmann et al., 2025; Al-Qudah et al., 2025)، حيث حدد ثلاثة أنواع رئيسية من تكاليف المعاملات (Lavayssière &amp; Zhang, 2025; Udeh et al., 2025)، وهي تكاليف البحث والمعلومات (Search and Information Costs) التي تتكبدها الأطراف للعثور على بعضها البعض والحصول على المعلومات اللازمة لاتخاذ القرارات، وتكاليف المفاوضة والتعاقد (Bargaining and Contracting Costs) التي تنشأ من التفاوض على شروط الصفقة وصياغة العقود، وتكاليف المراقبة والإنفاذ (Monitoring and Enforcement Costs) المرتبطة بضمان التزام الأطراف بشروط الاتفاق (Grossmann et al., 2025; Karanovic et al., 2024). وتساهم تقنية الترميز، خاصة عندما تكون مبنية على البلوكشين، في خفض هذه التكاليف الثلاثة بشكل جوهري (Al-Qudah et al., 2025; Ahammad et al., 2025)، حيث توفر الشفافية الفورية للمعلومات مما يقلل من تكاليف البحث والمعلومات (Udeh et al., 2025; Islam &amp; In, 2024)، وتمكن العقود الذكية من أتمتة عمليات التعاقد والتنفيذ مما يخفض تكاليف المفاوضة والتعاقد (Grossmann et al., 2025; Lavayssière &amp; Zhang, 2025)، بينما يوفر التنفيذ الذاتي للعقود الذكية آلية مضمونة للإنفاذ تلغي الحاجة للمراقبة اليدوية وتقلل من تكاليف المراقبة والإنفاذ (Udeh et al., 2025; Karanovic et al., 2024)، وهذا يفسر كيف تحقق تقنية الترميز وفورات كبيرة في تكاليف العمليات المالية (Al-Qudah et al., 2025; Almadadha, 2025; Sakarneh &amp; Kilani, 2024</w:t>
      </w:r>
      <w:r w:rsidRPr="004F6AF4">
        <w:rPr>
          <w:rFonts w:ascii="Traditional Arabic" w:hAnsi="Traditional Arabic" w:cs="Traditional Arabic" w:hint="cs"/>
          <w:b/>
          <w:bCs/>
          <w:sz w:val="28"/>
          <w:szCs w:val="28"/>
          <w:rtl/>
        </w:rPr>
        <w:t>).</w:t>
      </w:r>
    </w:p>
    <w:p w14:paraId="24ACAEC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2.1.5.3 نظرية إدارة المخاطر (Risk Management Theory)</w:t>
      </w:r>
    </w:p>
    <w:p w14:paraId="0FBA78BE"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 xml:space="preserve">توفر نظرية إدارة المخاطر إطاراً منظماً لتحديد المخاطر المحتملة وتقييمها واتخاذ الإجراءات المناسبة للتخفيف منها أو نقلها أو قبولها (Carapella et al., 2023; ENISA, 2024)، حيث تمر عملية إدارة المخاطر بمراحل متعددة تشمل تحديد المخاطر (Risk Identification)، وتقييم المخاطر (Risk Assessment)، ومعالجة المخاطر (Risk Treatment)، ومراقبة المخاطر (Risk </w:t>
      </w:r>
      <w:r w:rsidRPr="004F6AF4">
        <w:rPr>
          <w:rFonts w:ascii="Traditional Arabic" w:hAnsi="Traditional Arabic" w:cs="Traditional Arabic"/>
          <w:b/>
          <w:bCs/>
          <w:sz w:val="28"/>
          <w:szCs w:val="28"/>
          <w:rtl/>
        </w:rPr>
        <w:lastRenderedPageBreak/>
        <w:t>Monitoring) (IBM Security, 2024; Saudi Central Bank, 2024). وفي سياق تبني تقنية الترميز، يجب فهم أن هذه التقنية لا تلغي المخاطر بل تغير من طبيعتها (Carapella et al., 2023; Goghie, 2024)،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 (Ahammad et al., 2025; Karanovic et al., 2024). لذا فإن التطبيق الناجح للترميز يتطلب فهماً عميقاً لهذا التحول في طبيعة المخاطر (Carapella et al., 2023; ENISA, 2024)، وتصميم أطر إدارة مخاطر متطورة تأخذ في الاعتبار الخصائص الفريدة للتقنيات الجديدة (PCI Security Standards Council, 2024; Sakarneh &amp; Kilani, 2024)، وتطوير ضوابط وإجراءات مناسبة للتخفيف من المخاطر الناشئة (Saudi Central Bank, 2024; IMF, 2024)</w:t>
      </w:r>
      <w:r w:rsidRPr="004F6AF4">
        <w:rPr>
          <w:rFonts w:ascii="Traditional Arabic" w:hAnsi="Traditional Arabic" w:cs="Traditional Arabic" w:hint="cs"/>
          <w:b/>
          <w:bCs/>
          <w:sz w:val="28"/>
          <w:szCs w:val="28"/>
          <w:rtl/>
        </w:rPr>
        <w:t>.</w:t>
      </w:r>
    </w:p>
    <w:p w14:paraId="7FB6C0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2.1.5.4 نموذج قبول التقنية (Technology Acceptance Model - TAM)</w:t>
      </w:r>
    </w:p>
    <w:p w14:paraId="20F39B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طور ديفيس (Davis) نموذج قبول التقنية لتفسير العوامل التي تؤثر على قرارات الأفراد والمؤسسات بتبني أو رفض التقنيات الجديدة (Sakarneh &amp; Kilani, 2024; Islam &amp; In, 2024)، حيث يحدد النموذج عاملين رئيسيين يؤثران على قبول التقنية (Almadadha, 2025; Karanovic et al., 2024)، وهما الفائدة المدركة (Perceived Usefulness) التي تشير إلى درجة اعتقاد المستخدم بأن استخدام نظام معين سيحسن من أدائه، وسهولة الاستخدام المدركة (Perceived Ease of Use) التي تعبر عن درجة اعتقاد المستخدم بأن استخدام النظام لن يتطلب جهداً كبيراً (Ahammad et al., 2025; Udeh et al., 2025). وفي سياق تقنية الترميز، يمكن تطبيق هذا النموذج لفهم العوامل التي تعيق أو تسهل تبني المؤسسات المالية لهذه التقنية (Financial Stability Board, 2024; McKinsey &amp; Company, 2024)، حيث أن إدراك المؤسسة للفوائد المحتملة من الترميز من حيث تحسين الأمن وخفض التكاليف وزيادة الكفاءة يشكل محركاً رئيسياً للتبني (Al-Qudah et al., 2025; Grossmann et al., 2025; Lavayssière &amp; Zhang, 2025)، بينما قد تشكل التعقيدات التقنية المدركة </w:t>
      </w:r>
      <w:r w:rsidRPr="004F6AF4">
        <w:rPr>
          <w:rFonts w:ascii="Traditional Arabic" w:hAnsi="Traditional Arabic" w:cs="Traditional Arabic"/>
          <w:b/>
          <w:bCs/>
          <w:sz w:val="28"/>
          <w:szCs w:val="28"/>
          <w:rtl/>
        </w:rPr>
        <w:lastRenderedPageBreak/>
        <w:t>والحاجة لمهارات متخصصة والتكاليف الأولية للتطبيق عوائق أمام التبني (Carapella et al., 2023; Sakarneh &amp; Kilani, 2024)، وهذا يبرز أهمية التوعية والتدريب وتوفير حلول سهلة الاستخدام لتسهيل عملية التبني (Saudi Central Bank, 2024; Thunes Research, 2025)، وهو ما تفحصه الدراسة الحالية في السياق السعودي تحديداً (IMF, 2024)</w:t>
      </w:r>
      <w:r w:rsidRPr="004F6AF4">
        <w:rPr>
          <w:rFonts w:ascii="Traditional Arabic" w:hAnsi="Traditional Arabic" w:cs="Traditional Arabic" w:hint="cs"/>
          <w:b/>
          <w:bCs/>
          <w:sz w:val="28"/>
          <w:szCs w:val="28"/>
          <w:rtl/>
        </w:rPr>
        <w:t>.</w:t>
      </w:r>
    </w:p>
    <w:p w14:paraId="3CACEDE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2.1.5.5 نظرية الانتشار والابتكار (Diffusion of Innovation Theory)</w:t>
      </w:r>
    </w:p>
    <w:p w14:paraId="512F760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قدم روجرز (Rogers) نظرية انتشار الابتكار التي تشرح كيف تنتشر الأفكار والتقنيات الجديدة عبر المجتمعات والمؤسسات مع مرور الوقت (Islam &amp; In, 2024; Thunes Research, 2025)، حيث حدد خمس فئات من المتبنين بناءً على سرعة تبنيهم للابتكار (Sakarneh &amp; Kilani, 2024; Karanovic et al., 2024)، وهم المبتكرون (Innovators) الذين يتبنون التقنية في مراحلها المبكرة، ثم المتبنون الأوائل (Early Adopters)، ثم الأغلبية المبكرة (Early Majority)، فالأغلبية المتأخرة (Late Majority)، وأخيراً المتأخرون (Laggards) (Almadadha, 2025; Islam &amp; In, 2024). كما حدد خمس خصائص للابتكار تؤثر على سرعة انتشاره (Financial Stability Board, 2024; McKinsey &amp; Company, 2024)، وهي الميزة النسبية (Relative Advantage)، والتوافق (Compatibility)، والتعقيد (Complexity)، وقابلية التجربة (Trialability)، وقابلية الملاحظة (Observability) (Goghie, 2024; Ahammad et al., 2025). وبتطبيق هذه النظرية على تقنية الترميز، يمكن فهم أن المؤسسات المالية الرائدة والشركات الفنتك تمثل المبتكرين والمتبنين الأوائل (Thunes Research, 2025; Islam &amp; In, 2024)، بينما البنوك التقليدية الكبرى قد تكون ضمن الأغلبية المبكرة أو المتأخرة (Sakarneh &amp; Kilani, 2024; Almadadha, 2025)، ويعتمد معدل الانتشار على مدى وضوح الميزة النسبية للترميز (Al-Qudah et al., 2025; Karanovic et al., 2024)، ومدى توافقه مع البنية التحتية القائمة (Ahammad et al., 2025; Saudi Central Bank, 2024)، ومستوى التعقيد المدرك </w:t>
      </w:r>
      <w:r w:rsidRPr="004F6AF4">
        <w:rPr>
          <w:rFonts w:ascii="Traditional Arabic" w:hAnsi="Traditional Arabic" w:cs="Traditional Arabic"/>
          <w:b/>
          <w:bCs/>
          <w:sz w:val="28"/>
          <w:szCs w:val="28"/>
          <w:rtl/>
        </w:rPr>
        <w:lastRenderedPageBreak/>
        <w:t>(Carapella et al., 2023)، وتوفر فرص للتجربة في بيئات محدودة قبل التطبيق الشامل (Saudi Central Bank, 2024; IMF, 2024</w:t>
      </w:r>
      <w:r w:rsidRPr="004F6AF4">
        <w:rPr>
          <w:rFonts w:ascii="Traditional Arabic" w:hAnsi="Traditional Arabic" w:cs="Traditional Arabic" w:hint="cs"/>
          <w:b/>
          <w:bCs/>
          <w:sz w:val="28"/>
          <w:szCs w:val="28"/>
          <w:rtl/>
        </w:rPr>
        <w:t>).</w:t>
      </w:r>
    </w:p>
    <w:p w14:paraId="24CF025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 (Financial Stability Board, 2024; ENISA, 2024; IBM Security, 2024; PCI Security Standards Council, 2024; Saudi Central Bank, 2024)،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 (Goghie, 2024; Al-Qudah et al., 2025; Grossmann et al., 2025; Carapella et al., 2023; Sakarneh &amp; Kilani, 2024; Islam &amp; In, 2024)،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 (Saudi Central Bank, 2024; IMF, 2024; Thunes Research, 2025)</w:t>
      </w:r>
      <w:r w:rsidRPr="004F6AF4">
        <w:rPr>
          <w:rFonts w:ascii="Traditional Arabic" w:hAnsi="Traditional Arabic" w:cs="Traditional Arabic" w:hint="cs"/>
          <w:b/>
          <w:bCs/>
          <w:sz w:val="28"/>
          <w:szCs w:val="28"/>
          <w:rtl/>
        </w:rPr>
        <w:t>.</w:t>
      </w:r>
    </w:p>
    <w:p w14:paraId="6125C9D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2.1.5.6 نظرية التقنية والتنظيم والبيئة (Technology–Organization–Environment)</w:t>
      </w:r>
    </w:p>
    <w:p w14:paraId="01BDB8B8"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تُعدّ نظرية التقنية والتنظيم والبيئة (TOE) التي طوّرها تورناتزكي وفليشر الإطار النظري الأنسب لتفسير العلاقة بين متغيرات هذه الدراسة، لأنها لا تفسّر قرار تبنّي التقنية وحده، بل تفسّر كذلك تفاوت أثر التقنية على أداء المؤسسات باختلاف سياقها. وتقوم النظرية على ثلاثة سياقات متفاعلة تحدد مجتمعةً مسار التبنّي وعمقه ونتائجه.</w:t>
      </w:r>
    </w:p>
    <w:p w14:paraId="66641C5F"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التقني: خصائص تقنية الترميز ذاتها من حيث قابلية التكامل مع الأنظمة القائمة، ومستوى النضج، والميزة النسبية مقارنة بالبدائل. ويقابل هذا السياق في الدراسة الحالية بُعد الترميز الأمني للبيانات.</w:t>
      </w:r>
    </w:p>
    <w:p w14:paraId="29A144D4"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التنظيمي: حجم المؤسسة، وعمرها في السوق، وبنيتها التقنية، وجاهزية كوادرها. ويقابل هذا السياق في الدراسة الحالية المتغيرات الضابطة المتعلقة بخصائص المؤسسة ومستوى تبنّيها للتقنية.</w:t>
      </w:r>
    </w:p>
    <w:p w14:paraId="2ADA3B1B"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البيئي: الضغوط التنظيمية والتشريعية الخارجية، ومتطلبات الجهات الرقابية، والمنافسة في السوق. ويقابل هذا السياق في الدراسة الحالية بُعد الامتثال للمعايير الدولية ومتطلبات البنك المركزي السعودي ومعيار PCI DSS.</w:t>
      </w:r>
    </w:p>
    <w:p w14:paraId="111A363B"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ويُتوقع وفق هذه النظرية أن يكون أثر تقنية الترميز على الأمن السيبراني وكفاءة العمليات المالية أقوى في المؤسسات التي يجتمع فيها نضج تقني مرتفع مع ضغط تنظيمي خارجي واضح، وأن تظهر فروق دالة بين المؤسسات المعتمِدة للتقنية وغير المعتمِدة، وبين أنواع المؤسسات المالية المختلفة. وهذه التوقعات هي التي تُترجَم إلى فروض الدراسة الرئيسة الثلاثة وفروعها الستة.</w:t>
      </w:r>
    </w:p>
    <w:p w14:paraId="359F2A7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2.1.6 تفسير العلاقة بين تقنية الترميز والأمن السيبراني</w:t>
      </w:r>
    </w:p>
    <w:p w14:paraId="362DA19A"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يعمل الترميز على تقليص سطح الهجوم عبر إزالة البيانات الحساسة من الأنظمة التشغيلية واستبدالها برموز بلا قيمة استغلالية خارج سياقها. وبذلك يفقد المهاجم الحافز الاقتصادي من اختراق تلك الأنظمة، لأن ما يحصل عليه لا يمكن تحويله إلى معاملة مالية. ومن هنا ينخفض احتمال اختراق البيانات المالية، وتنخفض معه خطورة تسريب بيانات البطاقات، إذ يبقى مخزن الرموز وحده هو النقطة الحساسة، وهي نقطة محدودة يسهل تحصينها ومراقبتها مقارنة بتحصين كامل البنية التشغيلية.</w:t>
      </w:r>
    </w:p>
    <w:p w14:paraId="0F9D6086"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وينعكس ذلك على ثلاثة مؤشرات أمنية: انخفاض عدد الحوادث الأمنية ذات الأثر المالي، وارتفاع مستوى الامتثال للمعايير الأمنية بسبب تقلّص نطاق التدقيق، وتحسّن قدرة المؤسسة على احتواء الحوادث لأن أثرها يبقى محصوراً. وهذه المؤشرات هي التي يقيسها بُعد الأمن السيبراني المؤسسي في أداة الدراسة.</w:t>
      </w:r>
    </w:p>
    <w:p w14:paraId="238CA46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2.1.7 مقارنة تحليلية بين الترميز والتشفير</w:t>
      </w:r>
    </w:p>
    <w:p w14:paraId="658C1EAB"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يُخلَط كثيراً بين الترميز والتشفير رغم اختلافهما الجوهري في آلية العمل والأثر التنظيمي. ويوضح الجدول الآتي أوجه المقارنة بينهما وفق المعايير الأكثر ارتباطاً بموضوع الدراسة.</w:t>
      </w:r>
    </w:p>
    <w:tbl>
      <w:tblPr>
        <w:bidiVisual/>
        <w:tblW w:w="8298" w:type="dxa"/>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10"/>
        <w:gridCol w:w="3344"/>
        <w:gridCol w:w="3344"/>
      </w:tblGrid>
      <w:tr w:rsidR="005D691F" w:rsidRPr="004F6AF4" w14:paraId="6147F0B6" w14:textId="77777777" w:rsidTr="004F6AF4">
        <w:trPr>
          <w:jc w:val="center"/>
        </w:trPr>
        <w:tc>
          <w:tcPr>
            <w:tcW w:w="1610" w:type="dxa"/>
            <w:shd w:val="clear" w:color="auto" w:fill="DCE9F5"/>
            <w:vAlign w:val="center"/>
          </w:tcPr>
          <w:p w14:paraId="4B816DB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وجه المقارنة</w:t>
            </w:r>
          </w:p>
        </w:tc>
        <w:tc>
          <w:tcPr>
            <w:tcW w:w="3344" w:type="dxa"/>
            <w:shd w:val="clear" w:color="auto" w:fill="DCE9F5"/>
            <w:vAlign w:val="center"/>
          </w:tcPr>
          <w:p w14:paraId="3F5C1A3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تقنية الترميز (Tokenization)</w:t>
            </w:r>
          </w:p>
        </w:tc>
        <w:tc>
          <w:tcPr>
            <w:tcW w:w="3344" w:type="dxa"/>
            <w:shd w:val="clear" w:color="auto" w:fill="DCE9F5"/>
            <w:vAlign w:val="center"/>
          </w:tcPr>
          <w:p w14:paraId="4B679EE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التشفير (Encryption)</w:t>
            </w:r>
          </w:p>
        </w:tc>
      </w:tr>
      <w:tr w:rsidR="005D691F" w:rsidRPr="004F6AF4" w14:paraId="4C6E4083" w14:textId="77777777" w:rsidTr="004F6AF4">
        <w:trPr>
          <w:jc w:val="center"/>
        </w:trPr>
        <w:tc>
          <w:tcPr>
            <w:tcW w:w="1610" w:type="dxa"/>
            <w:vAlign w:val="center"/>
          </w:tcPr>
          <w:p w14:paraId="1FEA6C6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آلية العمل</w:t>
            </w:r>
          </w:p>
        </w:tc>
        <w:tc>
          <w:tcPr>
            <w:tcW w:w="3344" w:type="dxa"/>
            <w:vAlign w:val="center"/>
          </w:tcPr>
          <w:p w14:paraId="7F4E8A8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استبدال البيانة الحساسة برمز بديل لا تربطه بها علاقة رياضية</w:t>
            </w:r>
          </w:p>
        </w:tc>
        <w:tc>
          <w:tcPr>
            <w:tcW w:w="3344" w:type="dxa"/>
            <w:vAlign w:val="center"/>
          </w:tcPr>
          <w:p w14:paraId="032563B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تحويل البيانة بخوارزمية ومفتاح إلى صيغة غير مقروءة</w:t>
            </w:r>
          </w:p>
        </w:tc>
      </w:tr>
      <w:tr w:rsidR="005D691F" w:rsidRPr="004F6AF4" w14:paraId="2EABDA29" w14:textId="77777777" w:rsidTr="004F6AF4">
        <w:trPr>
          <w:jc w:val="center"/>
        </w:trPr>
        <w:tc>
          <w:tcPr>
            <w:tcW w:w="1610" w:type="dxa"/>
            <w:vAlign w:val="center"/>
          </w:tcPr>
          <w:p w14:paraId="3CADB8C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قابلية الاسترجاع</w:t>
            </w:r>
          </w:p>
        </w:tc>
        <w:tc>
          <w:tcPr>
            <w:tcW w:w="3344" w:type="dxa"/>
            <w:vAlign w:val="center"/>
          </w:tcPr>
          <w:p w14:paraId="6F97B82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لا يمكن استرجاع البيانة إلا بالرجوع إلى مخزن الرموز</w:t>
            </w:r>
          </w:p>
        </w:tc>
        <w:tc>
          <w:tcPr>
            <w:tcW w:w="3344" w:type="dxa"/>
            <w:vAlign w:val="center"/>
          </w:tcPr>
          <w:p w14:paraId="2A80EA5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يمكن استرجاع البيانة بحيازة المفتاح</w:t>
            </w:r>
          </w:p>
        </w:tc>
      </w:tr>
      <w:tr w:rsidR="005D691F" w:rsidRPr="004F6AF4" w14:paraId="2366220F" w14:textId="77777777" w:rsidTr="004F6AF4">
        <w:trPr>
          <w:jc w:val="center"/>
        </w:trPr>
        <w:tc>
          <w:tcPr>
            <w:tcW w:w="1610" w:type="dxa"/>
            <w:vAlign w:val="center"/>
          </w:tcPr>
          <w:p w14:paraId="11DD31B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نقطة الضعف الرئيسة</w:t>
            </w:r>
          </w:p>
        </w:tc>
        <w:tc>
          <w:tcPr>
            <w:tcW w:w="3344" w:type="dxa"/>
            <w:vAlign w:val="center"/>
          </w:tcPr>
          <w:p w14:paraId="6DC8CC4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مخزن الرموز</w:t>
            </w:r>
          </w:p>
        </w:tc>
        <w:tc>
          <w:tcPr>
            <w:tcW w:w="3344" w:type="dxa"/>
            <w:vAlign w:val="center"/>
          </w:tcPr>
          <w:p w14:paraId="4B51FD10"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إدارة المفاتيح وتوزيعها</w:t>
            </w:r>
          </w:p>
        </w:tc>
      </w:tr>
      <w:tr w:rsidR="005D691F" w:rsidRPr="004F6AF4" w14:paraId="6A2CA790" w14:textId="77777777" w:rsidTr="004F6AF4">
        <w:trPr>
          <w:jc w:val="center"/>
        </w:trPr>
        <w:tc>
          <w:tcPr>
            <w:tcW w:w="1610" w:type="dxa"/>
            <w:vAlign w:val="center"/>
          </w:tcPr>
          <w:p w14:paraId="20356BB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الأثر على نطاق الامتثال</w:t>
            </w:r>
          </w:p>
        </w:tc>
        <w:tc>
          <w:tcPr>
            <w:tcW w:w="3344" w:type="dxa"/>
            <w:vAlign w:val="center"/>
          </w:tcPr>
          <w:p w14:paraId="3C725C9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يقلّص نطاق أنظمة معيار PCI DSS بصورة كبيرة</w:t>
            </w:r>
          </w:p>
        </w:tc>
        <w:tc>
          <w:tcPr>
            <w:tcW w:w="3344" w:type="dxa"/>
            <w:vAlign w:val="center"/>
          </w:tcPr>
          <w:p w14:paraId="0A57ED0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لا يُخرج الأنظمة من النطاق في الغالب</w:t>
            </w:r>
          </w:p>
        </w:tc>
      </w:tr>
      <w:tr w:rsidR="005D691F" w:rsidRPr="004F6AF4" w14:paraId="5EB73F3E" w14:textId="77777777" w:rsidTr="004F6AF4">
        <w:trPr>
          <w:jc w:val="center"/>
        </w:trPr>
        <w:tc>
          <w:tcPr>
            <w:tcW w:w="1610" w:type="dxa"/>
            <w:vAlign w:val="center"/>
          </w:tcPr>
          <w:p w14:paraId="4E253BD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الأثر على الأداء التشغيلي</w:t>
            </w:r>
          </w:p>
        </w:tc>
        <w:tc>
          <w:tcPr>
            <w:tcW w:w="3344" w:type="dxa"/>
            <w:vAlign w:val="center"/>
          </w:tcPr>
          <w:p w14:paraId="0575A2F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منخفض الكلفة الحسابية عند المعالجة</w:t>
            </w:r>
          </w:p>
        </w:tc>
        <w:tc>
          <w:tcPr>
            <w:tcW w:w="3344" w:type="dxa"/>
            <w:vAlign w:val="center"/>
          </w:tcPr>
          <w:p w14:paraId="0CF99AE0"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يضيف عبئاً حسابياً عند كل عملية فك وتشفير</w:t>
            </w:r>
          </w:p>
        </w:tc>
      </w:tr>
      <w:tr w:rsidR="005D691F" w:rsidRPr="004F6AF4" w14:paraId="49980600" w14:textId="77777777" w:rsidTr="004F6AF4">
        <w:trPr>
          <w:jc w:val="center"/>
        </w:trPr>
        <w:tc>
          <w:tcPr>
            <w:tcW w:w="1610" w:type="dxa"/>
            <w:vAlign w:val="center"/>
          </w:tcPr>
          <w:p w14:paraId="37020C6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الملاءمة لبيانات الدفع</w:t>
            </w:r>
          </w:p>
        </w:tc>
        <w:tc>
          <w:tcPr>
            <w:tcW w:w="3344" w:type="dxa"/>
            <w:vAlign w:val="center"/>
          </w:tcPr>
          <w:p w14:paraId="64A1E3CA"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عالية، ولا سيما في المعاملات المتكررة</w:t>
            </w:r>
          </w:p>
        </w:tc>
        <w:tc>
          <w:tcPr>
            <w:tcW w:w="3344" w:type="dxa"/>
            <w:vAlign w:val="center"/>
          </w:tcPr>
          <w:p w14:paraId="31ACB49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متوسطة، وتُستخدم غالباً في مرحلة النقل</w:t>
            </w:r>
          </w:p>
        </w:tc>
      </w:tr>
    </w:tbl>
    <w:p w14:paraId="108B0346"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(2.1): مقارنة تحليلية بين تقنية الترميز والتشفير</w:t>
      </w:r>
    </w:p>
    <w:p w14:paraId="5A09490F"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97" w:name="_Toc224563959"/>
      <w:bookmarkStart w:id="98" w:name="_Toc234424151"/>
    </w:p>
    <w:p w14:paraId="45FE906E"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2E65B240"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63ACC700" w14:textId="36DBEED2" w:rsidR="00F00638" w:rsidRPr="00FB5EDA" w:rsidRDefault="00F00638" w:rsidP="004F6AF4">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2.2 الدراسات السابقة</w:t>
      </w:r>
      <w:bookmarkEnd w:id="97"/>
      <w:bookmarkEnd w:id="98"/>
    </w:p>
    <w:p w14:paraId="765B3459" w14:textId="77777777" w:rsidR="00F00638" w:rsidRPr="004F6AF4" w:rsidRDefault="00F00638" w:rsidP="00E000FF">
      <w:pPr>
        <w:bidi/>
        <w:spacing w:after="0" w:line="360" w:lineRule="auto"/>
        <w:jc w:val="both"/>
        <w:rPr>
          <w:rFonts w:ascii="Simplified Arabic" w:hAnsi="Simplified Arabic" w:cs="Simplified Arabic"/>
          <w:sz w:val="32"/>
          <w:szCs w:val="32"/>
        </w:rPr>
      </w:pPr>
      <w:r w:rsidRPr="004F6AF4">
        <w:rPr>
          <w:rFonts w:ascii="Traditional Arabic" w:hAnsi="Traditional Arabic" w:cs="Traditional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Goghie, 2024; Ahammad et al., 2025; Al-Qudah et al., 2025</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Carapella et al., 2023; Grossmann et al., 2025; Karanovic et al., 2024)</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sidRPr="004F6AF4">
        <w:rPr>
          <w:rFonts w:ascii="Traditional Arabic" w:hAnsi="Traditional Arabic" w:cs="Traditional Arabic" w:hint="cs"/>
          <w:sz w:val="28"/>
          <w:szCs w:val="28"/>
          <w:rtl/>
        </w:rPr>
        <w:t>ل (</w:t>
      </w:r>
      <w:r w:rsidRPr="004F6AF4">
        <w:rPr>
          <w:rFonts w:ascii="Traditional Arabic" w:hAnsi="Traditional Arabic" w:cs="Traditional Arabic"/>
          <w:sz w:val="28"/>
          <w:szCs w:val="28"/>
          <w:rtl/>
        </w:rPr>
        <w:t>Islam &amp; In, 2024; Sakarneh &amp; Kilani, 2024</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مما يضمن الاستفادة من أحدث المعارف المتاحة في هذا المجال سريع التطور</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(Financial Stability Board, 2024; McKinsey &amp; Company, 2024)</w:t>
      </w:r>
      <w:r w:rsidRPr="004F6AF4">
        <w:rPr>
          <w:rFonts w:ascii="Traditional Arabic" w:hAnsi="Traditional Arabic" w:cs="Traditional Arabic" w:hint="cs"/>
          <w:sz w:val="28"/>
          <w:szCs w:val="28"/>
          <w:rtl/>
        </w:rPr>
        <w:t>.</w:t>
      </w:r>
    </w:p>
    <w:p w14:paraId="23F42302" w14:textId="77777777" w:rsidR="00F00638" w:rsidRPr="00FB5EDA"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2.2.1 الدراسات المرتبطة بالأمن السيبراني وتقنية الترميز</w:t>
      </w:r>
    </w:p>
    <w:p w14:paraId="67EFD41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تناولت عدة دراسات حديثة العلاقة بين تقنية الترميز والأمن السيبراني في القطاع المالي من زوايا متعددة، حيث أجرى Goghie (2024) دراسة حول كيفية إعادة تعريف تقنية الترميز والبلوكشين للسلطة والنفوذ في النظام المصرفي التقليدي، وذلك من خلال تحليل البنية التحتية لحالتين رئيسيتين هما SocGen-Forge من مجموعة Société Générale وشبكة الضمانات المرمزة من J.P. Morgan،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p>
    <w:p w14:paraId="76A9A5A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كما قدم Ahammad et al. (2025) إطار عمل بلوكشين مبتكر يعتمد على منصة Ethereum لتعزيز الأمن والكفاءة في القطاع المصرفي، وذلك من خلال بناء نظام تجريبي باستخدام العقود الذكية على شبكة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Sepolia Testnet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وتطويره بتقنيات Solidity وEther.js وReact.js، بحيث أظهرت النتائج أن </w:t>
      </w:r>
      <w:r w:rsidRPr="004F6AF4">
        <w:rPr>
          <w:rFonts w:ascii="Traditional Arabic" w:hAnsi="Traditional Arabic" w:cs="Traditional Arabic"/>
          <w:b/>
          <w:bCs/>
          <w:sz w:val="28"/>
          <w:szCs w:val="28"/>
          <w:rtl/>
        </w:rPr>
        <w:lastRenderedPageBreak/>
        <w:t>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p>
    <w:p w14:paraId="6544727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وفي نفس السياق، استهدف Grossmann et al. (2025) تصميم أسواق سندات مستقبلية تعتمد على الترميز لخفض تكاليف المعاملات، وذلك باستخدام منهجية Design Science Research 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p>
    <w:p w14:paraId="0DE95DF6"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بينما فحص Carapella et al. (2023) 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p>
    <w:p w14:paraId="4CC6687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 (Goghie, 2024; Ahammad et al., 2025; Grossmann et al., 2025; Carapella et al., 2023). 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p>
    <w:p w14:paraId="72A20BEB" w14:textId="77777777" w:rsidR="00F00638" w:rsidRDefault="00F00638" w:rsidP="00E000FF">
      <w:pPr>
        <w:bidi/>
        <w:spacing w:after="0" w:line="360" w:lineRule="auto"/>
        <w:jc w:val="both"/>
        <w:rPr>
          <w:rFonts w:ascii="Simplified Arabic" w:hAnsi="Simplified Arabic" w:cs="Simplified Arabic"/>
          <w:sz w:val="28"/>
          <w:szCs w:val="28"/>
          <w:rtl/>
        </w:rPr>
      </w:pPr>
    </w:p>
    <w:p w14:paraId="4DB03825" w14:textId="77777777" w:rsidR="00F00638" w:rsidRPr="00FB5EDA" w:rsidRDefault="00F00638" w:rsidP="00E000FF">
      <w:pPr>
        <w:bidi/>
        <w:spacing w:after="0" w:line="360" w:lineRule="auto"/>
        <w:jc w:val="both"/>
        <w:rPr>
          <w:rFonts w:ascii="Simplified Arabic" w:hAnsi="Simplified Arabic" w:cs="Simplified Arabic"/>
          <w:sz w:val="28"/>
          <w:szCs w:val="28"/>
        </w:rPr>
      </w:pPr>
    </w:p>
    <w:p w14:paraId="7C66D45B" w14:textId="77777777" w:rsidR="00F00638" w:rsidRPr="00FB5EDA"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2.2.2 الدراسات المرتبطة بكفاءة العمليات المالية وتقنية الترميز</w:t>
      </w:r>
    </w:p>
    <w:p w14:paraId="0FED9D00"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ركزت مجموعة أخرى من الدراسات على قياس تأثير تقنية البلوكشين والترميز على كفاءة المعاملات المالية بشكل كمي وتطبيقي، حيث هدف Al-Qudah et al. (2025) إلى قياس تأثير تقنية البلوكشين على تكاليف المعاملات المصرفية بشكل كمي من خلال تحليل بيانات 17 بنكاً في الإمارات على مدى 7 سنوات باستخدام تقنية Random Forest،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p>
    <w:p w14:paraId="29ACB8E2"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كما فحص Almadadha (2025) 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 Lygon الذي خفض وقت معالجة الضمانات المصرفية من 30 يوماً إلى أقل من يوم واحد.</w:t>
      </w:r>
    </w:p>
    <w:p w14:paraId="623D6C33"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وفي سياق مماثل، استهدف Lavayssière &amp; Zhang (2025) 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p>
    <w:p w14:paraId="696CBFE9"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بينما بحث Udeh et al. (2025) في تأثير البلوكشين والعقود الذكية على ديناميكيات الثقة في القطاع المالي باستخدام منهجية مختلطة تجمع بين دراسات الحالة مثل منصة Quorum من J.P. Morgan والتحليل الكيفي، بحيث أظهرت النتائج أن البلوكشين يقلل بشكل كبير من تكاليف المعاملات من خلال إلغاء الحاجة </w:t>
      </w:r>
      <w:r w:rsidRPr="004F6AF4">
        <w:rPr>
          <w:rFonts w:ascii="Traditional Arabic" w:hAnsi="Traditional Arabic" w:cs="Traditional Arabic"/>
          <w:b/>
          <w:bCs/>
          <w:sz w:val="28"/>
          <w:szCs w:val="28"/>
          <w:rtl/>
        </w:rPr>
        <w:lastRenderedPageBreak/>
        <w:t>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p>
    <w:p w14:paraId="0C0B3041"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 (Al-Qudah et al., 2025; Almadadha, 2025; Lavayssière &amp; Zhang, 2025; Udeh et al., 2025). 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p>
    <w:p w14:paraId="2446E297" w14:textId="77777777" w:rsidR="00F00638" w:rsidRPr="00FB5EDA" w:rsidRDefault="00F00638" w:rsidP="00E000FF">
      <w:pPr>
        <w:bidi/>
        <w:spacing w:after="0" w:line="360" w:lineRule="auto"/>
        <w:jc w:val="both"/>
        <w:rPr>
          <w:rFonts w:ascii="Simplified Arabic" w:hAnsi="Simplified Arabic" w:cs="Simplified Arabic"/>
          <w:sz w:val="28"/>
          <w:szCs w:val="28"/>
          <w:rtl/>
        </w:rPr>
      </w:pPr>
    </w:p>
    <w:p w14:paraId="4E6F7E71" w14:textId="77777777" w:rsidR="00F00638" w:rsidRPr="00FB5EDA"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2.2.3 الدراسات المرتبطة برؤية 2030 والتحول الرقمي في القطاع المالي</w:t>
      </w:r>
    </w:p>
    <w:p w14:paraId="265288B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تناولت بعض الدراسات الحديثة التحول الرقمي في القطاع المالي في السياق الإقليمي القريب من المملكة العربية السعودية، حيث هدف Sakarneh &amp; Kilani (2024) 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p>
    <w:p w14:paraId="4754DD1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كما استهدف Islam &amp; In (2024) إجراء تحليل محتوى شامل لتطبيقات تقنية البلوكشين في القطاع المصرفي مع التركيز على العملات الرقمية للبنوك المركزية من خلال منهجية IntelliSLR التي تجمع بين نمذجة المواضيع الذكية وتحليل المحتوى التقليدي وفق إرشادات PRISMA، بحيث أظهرت النتائج أن البلوكشين يسهل الانتقال </w:t>
      </w:r>
      <w:r w:rsidRPr="004F6AF4">
        <w:rPr>
          <w:rFonts w:ascii="Traditional Arabic" w:hAnsi="Traditional Arabic" w:cs="Traditional Arabic"/>
          <w:b/>
          <w:bCs/>
          <w:sz w:val="28"/>
          <w:szCs w:val="28"/>
          <w:rtl/>
        </w:rPr>
        <w:lastRenderedPageBreak/>
        <w:t>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p>
    <w:p w14:paraId="1DB326D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تشير دراسات المجموعة الثالثة إلى أهمية السياق الإقليمي والتنظيمي في نجاح تبني تقنيات الترميز والبلوكشين (Sakarneh &amp; Kilani, 2024; Islam &amp; In, 2024)، حيث أن العوامل الثقافية والتنظيمية والمؤسسية تلعب دوراً محورياً في تحديد معدل ونجاح التبني. وبينما قدمت دراسة Sakarneh &amp; Kilani (2024) 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p>
    <w:p w14:paraId="7CE6756C"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3033B6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2.2.4 الدراسات المرتبطة بتطبيقات الترميز في المؤسسات المالية</w:t>
      </w:r>
    </w:p>
    <w:p w14:paraId="4AF03FD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ركزت مجموعة من الدراسات على التطبيقات الفعلية لتقنية الترميز في قطاعات وأصول متنوعة، حيث قدمت دراسة جماعية من باحثين متعددين (Multiple Authors, 2025) 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p>
    <w:p w14:paraId="7DCD8FB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كما فحص Adigwe et al. (2024) ترميز الأصول الزراعية وتعزيز أمن البلوكشين ضد الاحتيال والمخاطر السيبرانية من خلال منهجية تجريبية تعتمد على تحليل بيانات من World Bank Global Findex وسجلات معاملات Ethereum وإحصاءات FAO، بحيث أظهرت النتائج أن الترميز يقلل وقت صرف </w:t>
      </w:r>
      <w:r w:rsidRPr="004F6AF4">
        <w:rPr>
          <w:rFonts w:ascii="Traditional Arabic" w:hAnsi="Traditional Arabic" w:cs="Traditional Arabic"/>
          <w:b/>
          <w:bCs/>
          <w:sz w:val="28"/>
          <w:szCs w:val="28"/>
          <w:rtl/>
        </w:rPr>
        <w:lastRenderedPageBreak/>
        <w:t>القروض بنسبة 31.3% ويخفض تكاليف المعاملات بنسبة 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p>
    <w:p w14:paraId="520F484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بينما استهدف Karanovic et al. (2024) 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p>
    <w:p w14:paraId="2F55B6AC" w14:textId="77777777" w:rsidR="00F00638" w:rsidRPr="00FB5EDA"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b/>
          <w:bCs/>
          <w:sz w:val="28"/>
          <w:szCs w:val="28"/>
          <w:rtl/>
        </w:rPr>
        <w:t>تكشف دراسات المجموعة الرابعة عن التنوع الكبير في تطبيقات تقنية الترميز عبر قطاعات وأصول وجغرافيات مختلفة (Multiple Authors, 2025; Adigwe et al., 2024; Karanovic et al., 2024)، حيث أن التقنية أثبتت قدرتها على تحسين الكفاءة والأمن في سياقات متنوعة تتراوح من الأصول الزراعية إلى الأوراق المالية التقليدية. وتبرز دراسة Karanovic et al. (2024) 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p>
    <w:p w14:paraId="2269DE44"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99" w:name="_Toc224563960"/>
      <w:bookmarkStart w:id="100" w:name="_Toc234424152"/>
    </w:p>
    <w:p w14:paraId="6DBC7CA5" w14:textId="52C11B7C" w:rsidR="00F00638" w:rsidRPr="00FB5EDA" w:rsidRDefault="00F00638" w:rsidP="004F6AF4">
      <w:pPr>
        <w:pStyle w:val="HeadingTOCEntry"/>
        <w:bidi/>
        <w:spacing w:after="0" w:line="360" w:lineRule="auto"/>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t>2.3 جدول شامل للدراسات السابقة</w:t>
      </w:r>
      <w:bookmarkEnd w:id="99"/>
      <w:bookmarkEnd w:id="100"/>
    </w:p>
    <w:p w14:paraId="682B1A58" w14:textId="77777777" w:rsidR="005D691F" w:rsidRDefault="005D691F" w:rsidP="00E000FF">
      <w:pPr>
        <w:bidi/>
        <w:spacing w:after="0"/>
        <w:sectPr w:rsidR="005D691F" w:rsidSect="006E2853">
          <w:pgSz w:w="11906" w:h="16838"/>
          <w:pgMar w:top="1440" w:right="1800" w:bottom="1440" w:left="1800" w:header="708" w:footer="144" w:gutter="0"/>
          <w:cols w:space="708"/>
          <w:titlePg/>
          <w:bidi/>
          <w:rtlGutter/>
          <w:docGrid w:linePitch="360"/>
        </w:sectPr>
      </w:pPr>
    </w:p>
    <w:p w14:paraId="61CD5A93" w14:textId="77777777" w:rsidR="00F00638" w:rsidRPr="00FB5EDA" w:rsidRDefault="00F00638" w:rsidP="00E000FF">
      <w:pPr>
        <w:pStyle w:val="TableCaption"/>
        <w:bidi/>
        <w:spacing w:after="0" w:line="300" w:lineRule="auto"/>
        <w:jc w:val="both"/>
        <w:rPr>
          <w:rFonts w:ascii="Simplified Arabic" w:hAnsi="Simplified Arabic" w:cs="Simplified Arabic"/>
          <w:sz w:val="28"/>
          <w:szCs w:val="28"/>
        </w:rPr>
      </w:pPr>
      <w:r>
        <w:rPr>
          <w:rFonts w:ascii="Traditional Arabic" w:hAnsi="Traditional Arabic" w:cs="Traditional Arabic"/>
          <w:b/>
          <w:bCs/>
          <w:sz w:val="24"/>
          <w:szCs w:val="24"/>
          <w:rtl/>
        </w:rPr>
        <w:lastRenderedPageBreak/>
        <w:t>جدول (2.2): تحليل مقارن للدراسات السابقة حول تقنية الترميز وأثرها على الأمن السيبراني وكفاءة العمليات المالية</w:t>
      </w:r>
    </w:p>
    <w:tbl>
      <w:tblPr>
        <w:bidiVisual/>
        <w:tblW w:w="147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00"/>
        <w:gridCol w:w="1700"/>
        <w:gridCol w:w="1900"/>
        <w:gridCol w:w="1500"/>
        <w:gridCol w:w="2000"/>
        <w:gridCol w:w="2100"/>
        <w:gridCol w:w="1900"/>
        <w:gridCol w:w="2000"/>
      </w:tblGrid>
      <w:tr w:rsidR="005D691F" w14:paraId="4AA46A5C" w14:textId="77777777" w:rsidTr="004F6AF4">
        <w:trPr>
          <w:tblHeader/>
        </w:trPr>
        <w:tc>
          <w:tcPr>
            <w:tcW w:w="1600" w:type="dxa"/>
            <w:shd w:val="clear" w:color="auto" w:fill="DCE9F5"/>
            <w:vAlign w:val="center"/>
          </w:tcPr>
          <w:p w14:paraId="589E94D5" w14:textId="77777777" w:rsidR="005D691F" w:rsidRDefault="00F4227D" w:rsidP="004F6AF4">
            <w:pPr>
              <w:bidi/>
              <w:spacing w:after="0" w:line="260" w:lineRule="auto"/>
              <w:jc w:val="center"/>
            </w:pPr>
            <w:r>
              <w:rPr>
                <w:rFonts w:ascii="Traditional Arabic" w:hAnsi="Traditional Arabic" w:cs="Traditional Arabic"/>
                <w:b/>
                <w:bCs/>
                <w:rtl/>
              </w:rPr>
              <w:t>الباحث والسنة</w:t>
            </w:r>
          </w:p>
        </w:tc>
        <w:tc>
          <w:tcPr>
            <w:tcW w:w="1700" w:type="dxa"/>
            <w:shd w:val="clear" w:color="auto" w:fill="DCE9F5"/>
            <w:vAlign w:val="center"/>
          </w:tcPr>
          <w:p w14:paraId="56C09AAD" w14:textId="77777777" w:rsidR="005D691F" w:rsidRDefault="00F4227D" w:rsidP="004F6AF4">
            <w:pPr>
              <w:bidi/>
              <w:spacing w:after="0" w:line="260" w:lineRule="auto"/>
              <w:jc w:val="center"/>
            </w:pPr>
            <w:r>
              <w:rPr>
                <w:rFonts w:ascii="Traditional Arabic" w:hAnsi="Traditional Arabic" w:cs="Traditional Arabic"/>
                <w:b/>
                <w:bCs/>
                <w:rtl/>
              </w:rPr>
              <w:t>الدولة أو البيئة التطبيقية</w:t>
            </w:r>
          </w:p>
        </w:tc>
        <w:tc>
          <w:tcPr>
            <w:tcW w:w="1900" w:type="dxa"/>
            <w:shd w:val="clear" w:color="auto" w:fill="DCE9F5"/>
            <w:vAlign w:val="center"/>
          </w:tcPr>
          <w:p w14:paraId="35FABCE2" w14:textId="77777777" w:rsidR="005D691F" w:rsidRDefault="00F4227D" w:rsidP="004F6AF4">
            <w:pPr>
              <w:bidi/>
              <w:spacing w:after="0" w:line="260" w:lineRule="auto"/>
              <w:jc w:val="center"/>
            </w:pPr>
            <w:r>
              <w:rPr>
                <w:rFonts w:ascii="Traditional Arabic" w:hAnsi="Traditional Arabic" w:cs="Traditional Arabic"/>
                <w:b/>
                <w:bCs/>
                <w:rtl/>
              </w:rPr>
              <w:t>الهدف</w:t>
            </w:r>
          </w:p>
        </w:tc>
        <w:tc>
          <w:tcPr>
            <w:tcW w:w="1500" w:type="dxa"/>
            <w:shd w:val="clear" w:color="auto" w:fill="DCE9F5"/>
            <w:vAlign w:val="center"/>
          </w:tcPr>
          <w:p w14:paraId="6F2D025D" w14:textId="77777777" w:rsidR="005D691F" w:rsidRDefault="00F4227D" w:rsidP="004F6AF4">
            <w:pPr>
              <w:bidi/>
              <w:spacing w:after="0" w:line="260" w:lineRule="auto"/>
              <w:jc w:val="center"/>
            </w:pPr>
            <w:r>
              <w:rPr>
                <w:rFonts w:ascii="Traditional Arabic" w:hAnsi="Traditional Arabic" w:cs="Traditional Arabic"/>
                <w:b/>
                <w:bCs/>
                <w:rtl/>
              </w:rPr>
              <w:t>المنهج</w:t>
            </w:r>
          </w:p>
        </w:tc>
        <w:tc>
          <w:tcPr>
            <w:tcW w:w="2000" w:type="dxa"/>
            <w:shd w:val="clear" w:color="auto" w:fill="DCE9F5"/>
            <w:vAlign w:val="center"/>
          </w:tcPr>
          <w:p w14:paraId="2CC0A8F1" w14:textId="77777777" w:rsidR="005D691F" w:rsidRDefault="00F4227D" w:rsidP="004F6AF4">
            <w:pPr>
              <w:bidi/>
              <w:spacing w:after="0" w:line="260" w:lineRule="auto"/>
              <w:jc w:val="center"/>
            </w:pPr>
            <w:r>
              <w:rPr>
                <w:rFonts w:ascii="Traditional Arabic" w:hAnsi="Traditional Arabic" w:cs="Traditional Arabic"/>
                <w:b/>
                <w:bCs/>
                <w:rtl/>
              </w:rPr>
              <w:t>متغيرات الدراسة</w:t>
            </w:r>
          </w:p>
        </w:tc>
        <w:tc>
          <w:tcPr>
            <w:tcW w:w="2100" w:type="dxa"/>
            <w:shd w:val="clear" w:color="auto" w:fill="DCE9F5"/>
            <w:vAlign w:val="center"/>
          </w:tcPr>
          <w:p w14:paraId="761DE277" w14:textId="77777777" w:rsidR="005D691F" w:rsidRDefault="00F4227D" w:rsidP="004F6AF4">
            <w:pPr>
              <w:bidi/>
              <w:spacing w:after="0" w:line="260" w:lineRule="auto"/>
              <w:jc w:val="center"/>
            </w:pPr>
            <w:r>
              <w:rPr>
                <w:rFonts w:ascii="Traditional Arabic" w:hAnsi="Traditional Arabic" w:cs="Traditional Arabic"/>
                <w:b/>
                <w:bCs/>
                <w:rtl/>
              </w:rPr>
              <w:t>أهم النتائج</w:t>
            </w:r>
          </w:p>
        </w:tc>
        <w:tc>
          <w:tcPr>
            <w:tcW w:w="1900" w:type="dxa"/>
            <w:shd w:val="clear" w:color="auto" w:fill="DCE9F5"/>
            <w:vAlign w:val="center"/>
          </w:tcPr>
          <w:p w14:paraId="7385E2EB" w14:textId="77777777" w:rsidR="005D691F" w:rsidRDefault="00F4227D" w:rsidP="004F6AF4">
            <w:pPr>
              <w:bidi/>
              <w:spacing w:after="0" w:line="260" w:lineRule="auto"/>
              <w:jc w:val="center"/>
            </w:pPr>
            <w:commentRangeStart w:id="101"/>
            <w:r>
              <w:rPr>
                <w:rFonts w:ascii="Traditional Arabic" w:hAnsi="Traditional Arabic" w:cs="Traditional Arabic"/>
                <w:b/>
                <w:bCs/>
                <w:rtl/>
              </w:rPr>
              <w:t>أوجه القصور والفجوة</w:t>
            </w:r>
            <w:commentRangeEnd w:id="101"/>
            <w:r w:rsidR="001501E7">
              <w:rPr>
                <w:rStyle w:val="affa"/>
                <w:sz w:val="22"/>
                <w:szCs w:val="22"/>
              </w:rPr>
              <w:commentReference w:id="101"/>
            </w:r>
          </w:p>
        </w:tc>
        <w:tc>
          <w:tcPr>
            <w:tcW w:w="2000" w:type="dxa"/>
            <w:shd w:val="clear" w:color="auto" w:fill="DCE9F5"/>
            <w:vAlign w:val="center"/>
          </w:tcPr>
          <w:p w14:paraId="725F3C97" w14:textId="77777777" w:rsidR="005D691F" w:rsidRDefault="00F4227D" w:rsidP="004F6AF4">
            <w:pPr>
              <w:bidi/>
              <w:spacing w:after="0" w:line="260" w:lineRule="auto"/>
              <w:jc w:val="center"/>
            </w:pPr>
            <w:r>
              <w:rPr>
                <w:rFonts w:ascii="Traditional Arabic" w:hAnsi="Traditional Arabic" w:cs="Traditional Arabic"/>
                <w:b/>
                <w:bCs/>
                <w:rtl/>
              </w:rPr>
              <w:t>أوجه الإفادة للدراسة الحالية</w:t>
            </w:r>
          </w:p>
        </w:tc>
      </w:tr>
      <w:tr w:rsidR="005D691F" w14:paraId="572E4E7B" w14:textId="77777777" w:rsidTr="004F6AF4">
        <w:tc>
          <w:tcPr>
            <w:tcW w:w="1600" w:type="dxa"/>
            <w:vAlign w:val="center"/>
          </w:tcPr>
          <w:p w14:paraId="20912EDB" w14:textId="77777777" w:rsidR="005D691F" w:rsidRDefault="00F4227D" w:rsidP="004F6AF4">
            <w:pPr>
              <w:bidi/>
              <w:spacing w:after="0" w:line="260" w:lineRule="auto"/>
              <w:jc w:val="center"/>
            </w:pPr>
            <w:r>
              <w:rPr>
                <w:rFonts w:ascii="Traditional Arabic" w:hAnsi="Traditional Arabic" w:cs="Traditional Arabic"/>
                <w:rtl/>
              </w:rPr>
              <w:t>Goghie (2024)</w:t>
            </w:r>
          </w:p>
        </w:tc>
        <w:tc>
          <w:tcPr>
            <w:tcW w:w="1700" w:type="dxa"/>
            <w:vAlign w:val="center"/>
          </w:tcPr>
          <w:p w14:paraId="7CBF3C74" w14:textId="77777777" w:rsidR="005D691F" w:rsidRDefault="00F4227D" w:rsidP="004F6AF4">
            <w:pPr>
              <w:bidi/>
              <w:spacing w:after="0" w:line="260" w:lineRule="auto"/>
              <w:jc w:val="center"/>
            </w:pPr>
            <w:r>
              <w:rPr>
                <w:rFonts w:ascii="Traditional Arabic" w:hAnsi="Traditional Arabic" w:cs="Traditional Arabic"/>
                <w:rtl/>
              </w:rPr>
              <w:t>أوروبا — بنوك كبرى</w:t>
            </w:r>
          </w:p>
        </w:tc>
        <w:tc>
          <w:tcPr>
            <w:tcW w:w="1900" w:type="dxa"/>
            <w:vAlign w:val="center"/>
          </w:tcPr>
          <w:p w14:paraId="4F7F377C" w14:textId="77777777" w:rsidR="005D691F" w:rsidRDefault="00F4227D" w:rsidP="004F6AF4">
            <w:pPr>
              <w:bidi/>
              <w:spacing w:after="0" w:line="260" w:lineRule="auto"/>
              <w:jc w:val="center"/>
            </w:pPr>
            <w:r>
              <w:rPr>
                <w:rFonts w:ascii="Traditional Arabic" w:hAnsi="Traditional Arabic" w:cs="Traditional Arabic"/>
                <w:rtl/>
              </w:rPr>
              <w:t>تحليل موقع البنوك الكبرى في بنية الترميز</w:t>
            </w:r>
          </w:p>
        </w:tc>
        <w:tc>
          <w:tcPr>
            <w:tcW w:w="1500" w:type="dxa"/>
            <w:vAlign w:val="center"/>
          </w:tcPr>
          <w:p w14:paraId="5E8067F0" w14:textId="77777777" w:rsidR="005D691F" w:rsidRDefault="00F4227D" w:rsidP="004F6AF4">
            <w:pPr>
              <w:bidi/>
              <w:spacing w:after="0" w:line="260" w:lineRule="auto"/>
              <w:jc w:val="center"/>
            </w:pPr>
            <w:r>
              <w:rPr>
                <w:rFonts w:ascii="Traditional Arabic" w:hAnsi="Traditional Arabic" w:cs="Traditional Arabic"/>
                <w:rtl/>
              </w:rPr>
              <w:t>تحليل البنية التحتية</w:t>
            </w:r>
          </w:p>
        </w:tc>
        <w:tc>
          <w:tcPr>
            <w:tcW w:w="2000" w:type="dxa"/>
            <w:vAlign w:val="center"/>
          </w:tcPr>
          <w:p w14:paraId="7F203E7F" w14:textId="77777777" w:rsidR="005D691F" w:rsidRDefault="00F4227D" w:rsidP="004F6AF4">
            <w:pPr>
              <w:bidi/>
              <w:spacing w:after="0" w:line="260" w:lineRule="auto"/>
              <w:jc w:val="center"/>
            </w:pPr>
            <w:r>
              <w:rPr>
                <w:rFonts w:ascii="Traditional Arabic" w:hAnsi="Traditional Arabic" w:cs="Traditional Arabic"/>
                <w:rtl/>
              </w:rPr>
              <w:t>المتغير المستقل: بنية الترميز / التابع: معايير الأمن</w:t>
            </w:r>
          </w:p>
        </w:tc>
        <w:tc>
          <w:tcPr>
            <w:tcW w:w="2100" w:type="dxa"/>
            <w:vAlign w:val="center"/>
          </w:tcPr>
          <w:p w14:paraId="130A85F3" w14:textId="77777777" w:rsidR="005D691F" w:rsidRDefault="00F4227D" w:rsidP="004F6AF4">
            <w:pPr>
              <w:bidi/>
              <w:spacing w:after="0" w:line="260" w:lineRule="auto"/>
              <w:jc w:val="center"/>
            </w:pPr>
            <w:r>
              <w:rPr>
                <w:rFonts w:ascii="Traditional Arabic" w:hAnsi="Traditional Arabic" w:cs="Traditional Arabic"/>
                <w:rtl/>
              </w:rPr>
              <w:t>البنوك الكبرى في موقع مركزي وتشكّل معايير الأمن</w:t>
            </w:r>
          </w:p>
        </w:tc>
        <w:tc>
          <w:tcPr>
            <w:tcW w:w="1900" w:type="dxa"/>
            <w:vAlign w:val="center"/>
          </w:tcPr>
          <w:p w14:paraId="15C17FD7" w14:textId="77777777" w:rsidR="005D691F" w:rsidRDefault="00F4227D" w:rsidP="004F6AF4">
            <w:pPr>
              <w:bidi/>
              <w:spacing w:after="0" w:line="260" w:lineRule="auto"/>
              <w:jc w:val="center"/>
            </w:pPr>
            <w:commentRangeStart w:id="102"/>
            <w:r>
              <w:rPr>
                <w:rFonts w:ascii="Traditional Arabic" w:hAnsi="Traditional Arabic" w:cs="Traditional Arabic"/>
                <w:rtl/>
              </w:rPr>
              <w:t>غياب أبحاث توازن القوى</w:t>
            </w:r>
            <w:commentRangeEnd w:id="102"/>
            <w:r w:rsidR="001501E7">
              <w:rPr>
                <w:rStyle w:val="affa"/>
                <w:sz w:val="22"/>
                <w:szCs w:val="22"/>
              </w:rPr>
              <w:commentReference w:id="102"/>
            </w:r>
          </w:p>
        </w:tc>
        <w:tc>
          <w:tcPr>
            <w:tcW w:w="2000" w:type="dxa"/>
            <w:vAlign w:val="center"/>
          </w:tcPr>
          <w:p w14:paraId="3B52164D" w14:textId="77777777" w:rsidR="005D691F" w:rsidRDefault="00F4227D" w:rsidP="004F6AF4">
            <w:pPr>
              <w:bidi/>
              <w:spacing w:after="0" w:line="260" w:lineRule="auto"/>
              <w:jc w:val="center"/>
            </w:pPr>
            <w:r>
              <w:rPr>
                <w:rFonts w:ascii="Traditional Arabic" w:hAnsi="Traditional Arabic" w:cs="Traditional Arabic"/>
                <w:rtl/>
              </w:rPr>
              <w:t>الإفادة في تفسير تفوّق البنوك على غيرها في نتائج الفرض H3b</w:t>
            </w:r>
          </w:p>
        </w:tc>
      </w:tr>
      <w:tr w:rsidR="005D691F" w14:paraId="0556744A" w14:textId="77777777" w:rsidTr="004F6AF4">
        <w:tc>
          <w:tcPr>
            <w:tcW w:w="1600" w:type="dxa"/>
            <w:vAlign w:val="center"/>
          </w:tcPr>
          <w:p w14:paraId="26859B9A" w14:textId="77777777" w:rsidR="005D691F" w:rsidRDefault="00F4227D" w:rsidP="004F6AF4">
            <w:pPr>
              <w:bidi/>
              <w:spacing w:after="0" w:line="260" w:lineRule="auto"/>
              <w:jc w:val="center"/>
            </w:pPr>
            <w:r>
              <w:rPr>
                <w:rFonts w:ascii="Traditional Arabic" w:hAnsi="Traditional Arabic" w:cs="Traditional Arabic"/>
                <w:rtl/>
              </w:rPr>
              <w:t>Ahammad et al. (2025)</w:t>
            </w:r>
          </w:p>
        </w:tc>
        <w:tc>
          <w:tcPr>
            <w:tcW w:w="1700" w:type="dxa"/>
            <w:vAlign w:val="center"/>
          </w:tcPr>
          <w:p w14:paraId="6EAF3165" w14:textId="77777777" w:rsidR="005D691F" w:rsidRDefault="00F4227D" w:rsidP="004F6AF4">
            <w:pPr>
              <w:bidi/>
              <w:spacing w:after="0" w:line="260" w:lineRule="auto"/>
              <w:jc w:val="center"/>
            </w:pPr>
            <w:r>
              <w:rPr>
                <w:rFonts w:ascii="Traditional Arabic" w:hAnsi="Traditional Arabic" w:cs="Traditional Arabic"/>
                <w:rtl/>
              </w:rPr>
              <w:t>بيئة تقنية — Ethereum</w:t>
            </w:r>
          </w:p>
        </w:tc>
        <w:tc>
          <w:tcPr>
            <w:tcW w:w="1900" w:type="dxa"/>
            <w:vAlign w:val="center"/>
          </w:tcPr>
          <w:p w14:paraId="5206D059" w14:textId="77777777" w:rsidR="005D691F" w:rsidRDefault="00F4227D" w:rsidP="004F6AF4">
            <w:pPr>
              <w:bidi/>
              <w:spacing w:after="0" w:line="260" w:lineRule="auto"/>
              <w:jc w:val="center"/>
            </w:pPr>
            <w:r>
              <w:rPr>
                <w:rFonts w:ascii="Traditional Arabic" w:hAnsi="Traditional Arabic" w:cs="Traditional Arabic"/>
                <w:rtl/>
              </w:rPr>
              <w:t>تطوير نموذج ترميز لإلغاء الوسطاء</w:t>
            </w:r>
          </w:p>
        </w:tc>
        <w:tc>
          <w:tcPr>
            <w:tcW w:w="1500" w:type="dxa"/>
            <w:vAlign w:val="center"/>
          </w:tcPr>
          <w:p w14:paraId="6A73CC75" w14:textId="77777777" w:rsidR="005D691F" w:rsidRDefault="00F4227D" w:rsidP="004F6AF4">
            <w:pPr>
              <w:bidi/>
              <w:spacing w:after="0" w:line="260" w:lineRule="auto"/>
              <w:jc w:val="center"/>
            </w:pPr>
            <w:r>
              <w:rPr>
                <w:rFonts w:ascii="Traditional Arabic" w:hAnsi="Traditional Arabic" w:cs="Traditional Arabic"/>
                <w:rtl/>
              </w:rPr>
              <w:t>تطوير تجريبي</w:t>
            </w:r>
          </w:p>
        </w:tc>
        <w:tc>
          <w:tcPr>
            <w:tcW w:w="2000" w:type="dxa"/>
            <w:vAlign w:val="center"/>
          </w:tcPr>
          <w:p w14:paraId="77779472"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السرعة والأمن</w:t>
            </w:r>
          </w:p>
        </w:tc>
        <w:tc>
          <w:tcPr>
            <w:tcW w:w="2100" w:type="dxa"/>
            <w:vAlign w:val="center"/>
          </w:tcPr>
          <w:p w14:paraId="4186C17D" w14:textId="77777777" w:rsidR="005D691F" w:rsidRDefault="00F4227D" w:rsidP="004F6AF4">
            <w:pPr>
              <w:bidi/>
              <w:spacing w:after="0" w:line="260" w:lineRule="auto"/>
              <w:jc w:val="center"/>
            </w:pPr>
            <w:r>
              <w:rPr>
                <w:rFonts w:ascii="Traditional Arabic" w:hAnsi="Traditional Arabic" w:cs="Traditional Arabic"/>
                <w:rtl/>
              </w:rPr>
              <w:t>إلغاء الوسطاء وتحسين السرعة والأمن</w:t>
            </w:r>
          </w:p>
        </w:tc>
        <w:tc>
          <w:tcPr>
            <w:tcW w:w="1900" w:type="dxa"/>
            <w:vAlign w:val="center"/>
          </w:tcPr>
          <w:p w14:paraId="69B9BDC9" w14:textId="77777777" w:rsidR="005D691F" w:rsidRDefault="00F4227D" w:rsidP="004F6AF4">
            <w:pPr>
              <w:bidi/>
              <w:spacing w:after="0" w:line="260" w:lineRule="auto"/>
              <w:jc w:val="center"/>
            </w:pPr>
            <w:r>
              <w:rPr>
                <w:rFonts w:ascii="Traditional Arabic" w:hAnsi="Traditional Arabic" w:cs="Traditional Arabic"/>
                <w:rtl/>
              </w:rPr>
              <w:t>الحاجة لأبحاث التكامل بالأسواق الناشئة</w:t>
            </w:r>
          </w:p>
        </w:tc>
        <w:tc>
          <w:tcPr>
            <w:tcW w:w="2000" w:type="dxa"/>
            <w:vAlign w:val="center"/>
          </w:tcPr>
          <w:p w14:paraId="15B2BF02" w14:textId="77777777" w:rsidR="005D691F" w:rsidRDefault="00F4227D" w:rsidP="004F6AF4">
            <w:pPr>
              <w:bidi/>
              <w:spacing w:after="0" w:line="260" w:lineRule="auto"/>
              <w:jc w:val="center"/>
            </w:pPr>
            <w:r>
              <w:rPr>
                <w:rFonts w:ascii="Traditional Arabic" w:hAnsi="Traditional Arabic" w:cs="Traditional Arabic"/>
                <w:rtl/>
              </w:rPr>
              <w:t>دعم الربط بين الترميز وكفاءة العمليات في H2</w:t>
            </w:r>
          </w:p>
        </w:tc>
      </w:tr>
      <w:tr w:rsidR="005D691F" w14:paraId="4231C176" w14:textId="77777777" w:rsidTr="004F6AF4">
        <w:tc>
          <w:tcPr>
            <w:tcW w:w="1600" w:type="dxa"/>
            <w:vAlign w:val="center"/>
          </w:tcPr>
          <w:p w14:paraId="60B7F613" w14:textId="77777777" w:rsidR="005D691F" w:rsidRDefault="00F4227D" w:rsidP="004F6AF4">
            <w:pPr>
              <w:bidi/>
              <w:spacing w:after="0" w:line="260" w:lineRule="auto"/>
              <w:jc w:val="center"/>
            </w:pPr>
            <w:r>
              <w:rPr>
                <w:rFonts w:ascii="Traditional Arabic" w:hAnsi="Traditional Arabic" w:cs="Traditional Arabic"/>
                <w:rtl/>
              </w:rPr>
              <w:t>Grossmann et al. (2025)</w:t>
            </w:r>
          </w:p>
        </w:tc>
        <w:tc>
          <w:tcPr>
            <w:tcW w:w="1700" w:type="dxa"/>
            <w:vAlign w:val="center"/>
          </w:tcPr>
          <w:p w14:paraId="0C6823C7" w14:textId="77777777" w:rsidR="005D691F" w:rsidRDefault="00F4227D" w:rsidP="004F6AF4">
            <w:pPr>
              <w:bidi/>
              <w:spacing w:after="0" w:line="260" w:lineRule="auto"/>
              <w:jc w:val="center"/>
            </w:pPr>
            <w:r>
              <w:rPr>
                <w:rFonts w:ascii="Traditional Arabic" w:hAnsi="Traditional Arabic" w:cs="Traditional Arabic"/>
                <w:rtl/>
              </w:rPr>
              <w:t>أوروبا</w:t>
            </w:r>
          </w:p>
        </w:tc>
        <w:tc>
          <w:tcPr>
            <w:tcW w:w="1900" w:type="dxa"/>
            <w:vAlign w:val="center"/>
          </w:tcPr>
          <w:p w14:paraId="123139DA" w14:textId="77777777" w:rsidR="005D691F" w:rsidRDefault="00F4227D" w:rsidP="004F6AF4">
            <w:pPr>
              <w:bidi/>
              <w:spacing w:after="0" w:line="260" w:lineRule="auto"/>
              <w:jc w:val="center"/>
            </w:pPr>
            <w:r>
              <w:rPr>
                <w:rFonts w:ascii="Traditional Arabic" w:hAnsi="Traditional Arabic" w:cs="Traditional Arabic"/>
                <w:rtl/>
              </w:rPr>
              <w:t>بناء مبادئ تصميم لأنظمة الترميز</w:t>
            </w:r>
          </w:p>
        </w:tc>
        <w:tc>
          <w:tcPr>
            <w:tcW w:w="1500" w:type="dxa"/>
            <w:vAlign w:val="center"/>
          </w:tcPr>
          <w:p w14:paraId="05850849" w14:textId="77777777" w:rsidR="005D691F" w:rsidRDefault="00F4227D" w:rsidP="004F6AF4">
            <w:pPr>
              <w:bidi/>
              <w:spacing w:after="0" w:line="260" w:lineRule="auto"/>
              <w:jc w:val="center"/>
            </w:pPr>
            <w:r>
              <w:rPr>
                <w:rFonts w:ascii="Traditional Arabic" w:hAnsi="Traditional Arabic" w:cs="Traditional Arabic"/>
                <w:rtl/>
              </w:rPr>
              <w:t>Design Science Research</w:t>
            </w:r>
          </w:p>
        </w:tc>
        <w:tc>
          <w:tcPr>
            <w:tcW w:w="2000" w:type="dxa"/>
            <w:vAlign w:val="center"/>
          </w:tcPr>
          <w:p w14:paraId="5B9B92D0" w14:textId="77777777" w:rsidR="005D691F" w:rsidRDefault="00F4227D" w:rsidP="004F6AF4">
            <w:pPr>
              <w:bidi/>
              <w:spacing w:after="0" w:line="260" w:lineRule="auto"/>
              <w:jc w:val="center"/>
            </w:pPr>
            <w:r>
              <w:rPr>
                <w:rFonts w:ascii="Traditional Arabic" w:hAnsi="Traditional Arabic" w:cs="Traditional Arabic"/>
                <w:rtl/>
              </w:rPr>
              <w:t>المستقل: تصميم الترميز / التابع: التكلفة والأخطاء</w:t>
            </w:r>
          </w:p>
        </w:tc>
        <w:tc>
          <w:tcPr>
            <w:tcW w:w="2100" w:type="dxa"/>
            <w:vAlign w:val="center"/>
          </w:tcPr>
          <w:p w14:paraId="7A5C1B89" w14:textId="77777777" w:rsidR="005D691F" w:rsidRDefault="00F4227D" w:rsidP="004F6AF4">
            <w:pPr>
              <w:bidi/>
              <w:spacing w:after="0" w:line="260" w:lineRule="auto"/>
              <w:jc w:val="center"/>
            </w:pPr>
            <w:r>
              <w:rPr>
                <w:rFonts w:ascii="Traditional Arabic" w:hAnsi="Traditional Arabic" w:cs="Traditional Arabic"/>
                <w:rtl/>
              </w:rPr>
              <w:t>خفض التكاليف 40-60% وانخفاض الأخطاء 90%</w:t>
            </w:r>
          </w:p>
        </w:tc>
        <w:tc>
          <w:tcPr>
            <w:tcW w:w="1900" w:type="dxa"/>
            <w:vAlign w:val="center"/>
          </w:tcPr>
          <w:p w14:paraId="3A995F24" w14:textId="77777777" w:rsidR="005D691F" w:rsidRDefault="00F4227D" w:rsidP="004F6AF4">
            <w:pPr>
              <w:bidi/>
              <w:spacing w:after="0" w:line="260" w:lineRule="auto"/>
              <w:jc w:val="center"/>
            </w:pPr>
            <w:r>
              <w:rPr>
                <w:rFonts w:ascii="Traditional Arabic" w:hAnsi="Traditional Arabic" w:cs="Traditional Arabic"/>
                <w:rtl/>
              </w:rPr>
              <w:t>محدودية اختبار المبادئ بأسواق حقيقية</w:t>
            </w:r>
          </w:p>
        </w:tc>
        <w:tc>
          <w:tcPr>
            <w:tcW w:w="2000" w:type="dxa"/>
            <w:vAlign w:val="center"/>
          </w:tcPr>
          <w:p w14:paraId="28E3B209" w14:textId="77777777" w:rsidR="005D691F" w:rsidRDefault="00F4227D" w:rsidP="004F6AF4">
            <w:pPr>
              <w:bidi/>
              <w:spacing w:after="0" w:line="260" w:lineRule="auto"/>
              <w:jc w:val="center"/>
            </w:pPr>
            <w:r>
              <w:rPr>
                <w:rFonts w:ascii="Traditional Arabic" w:hAnsi="Traditional Arabic" w:cs="Traditional Arabic"/>
                <w:rtl/>
              </w:rPr>
              <w:t>مرجع كمي لمؤشرات الكفاءة التشغيلية</w:t>
            </w:r>
          </w:p>
        </w:tc>
      </w:tr>
      <w:tr w:rsidR="005D691F" w14:paraId="006E8021" w14:textId="77777777" w:rsidTr="004F6AF4">
        <w:tc>
          <w:tcPr>
            <w:tcW w:w="1600" w:type="dxa"/>
            <w:vAlign w:val="center"/>
          </w:tcPr>
          <w:p w14:paraId="09D79C92" w14:textId="77777777" w:rsidR="005D691F" w:rsidRDefault="00F4227D" w:rsidP="004F6AF4">
            <w:pPr>
              <w:bidi/>
              <w:spacing w:after="0" w:line="260" w:lineRule="auto"/>
              <w:jc w:val="center"/>
            </w:pPr>
            <w:r>
              <w:rPr>
                <w:rFonts w:ascii="Traditional Arabic" w:hAnsi="Traditional Arabic" w:cs="Traditional Arabic"/>
                <w:rtl/>
              </w:rPr>
              <w:t>Carapella et al. (2023)</w:t>
            </w:r>
          </w:p>
        </w:tc>
        <w:tc>
          <w:tcPr>
            <w:tcW w:w="1700" w:type="dxa"/>
            <w:vAlign w:val="center"/>
          </w:tcPr>
          <w:p w14:paraId="2F9E3234" w14:textId="77777777" w:rsidR="005D691F" w:rsidRDefault="00F4227D" w:rsidP="004F6AF4">
            <w:pPr>
              <w:bidi/>
              <w:spacing w:after="0" w:line="260" w:lineRule="auto"/>
              <w:jc w:val="center"/>
            </w:pPr>
            <w:r>
              <w:rPr>
                <w:rFonts w:ascii="Traditional Arabic" w:hAnsi="Traditional Arabic" w:cs="Traditional Arabic"/>
                <w:rtl/>
              </w:rPr>
              <w:t>الولايات المتحدة</w:t>
            </w:r>
          </w:p>
        </w:tc>
        <w:tc>
          <w:tcPr>
            <w:tcW w:w="1900" w:type="dxa"/>
            <w:vAlign w:val="center"/>
          </w:tcPr>
          <w:p w14:paraId="62F8D253" w14:textId="77777777" w:rsidR="005D691F" w:rsidRDefault="00F4227D" w:rsidP="004F6AF4">
            <w:pPr>
              <w:bidi/>
              <w:spacing w:after="0" w:line="260" w:lineRule="auto"/>
              <w:jc w:val="center"/>
            </w:pPr>
            <w:r>
              <w:rPr>
                <w:rFonts w:ascii="Traditional Arabic" w:hAnsi="Traditional Arabic" w:cs="Traditional Arabic"/>
                <w:rtl/>
              </w:rPr>
              <w:t>تقييم فوائد ومخاطر الترميز نظامياً</w:t>
            </w:r>
          </w:p>
        </w:tc>
        <w:tc>
          <w:tcPr>
            <w:tcW w:w="1500" w:type="dxa"/>
            <w:vAlign w:val="center"/>
          </w:tcPr>
          <w:p w14:paraId="7EA9A765" w14:textId="77777777" w:rsidR="005D691F" w:rsidRDefault="00F4227D" w:rsidP="004F6AF4">
            <w:pPr>
              <w:bidi/>
              <w:spacing w:after="0" w:line="260" w:lineRule="auto"/>
              <w:jc w:val="center"/>
            </w:pPr>
            <w:r>
              <w:rPr>
                <w:rFonts w:ascii="Traditional Arabic" w:hAnsi="Traditional Arabic" w:cs="Traditional Arabic"/>
                <w:rtl/>
              </w:rPr>
              <w:t>تحليل نوعي شامل</w:t>
            </w:r>
          </w:p>
        </w:tc>
        <w:tc>
          <w:tcPr>
            <w:tcW w:w="2000" w:type="dxa"/>
            <w:vAlign w:val="center"/>
          </w:tcPr>
          <w:p w14:paraId="4D87C773"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الكفاءة والمخاطر النظامية</w:t>
            </w:r>
          </w:p>
        </w:tc>
        <w:tc>
          <w:tcPr>
            <w:tcW w:w="2100" w:type="dxa"/>
            <w:vAlign w:val="center"/>
          </w:tcPr>
          <w:p w14:paraId="6CFB670F" w14:textId="77777777" w:rsidR="005D691F" w:rsidRDefault="00F4227D" w:rsidP="004F6AF4">
            <w:pPr>
              <w:bidi/>
              <w:spacing w:after="0" w:line="260" w:lineRule="auto"/>
              <w:jc w:val="center"/>
            </w:pPr>
            <w:r>
              <w:rPr>
                <w:rFonts w:ascii="Traditional Arabic" w:hAnsi="Traditional Arabic" w:cs="Traditional Arabic"/>
                <w:rtl/>
              </w:rPr>
              <w:t>فوائد بالكفاءة مقابل مخاطر نظامية</w:t>
            </w:r>
          </w:p>
        </w:tc>
        <w:tc>
          <w:tcPr>
            <w:tcW w:w="1900" w:type="dxa"/>
            <w:vAlign w:val="center"/>
          </w:tcPr>
          <w:p w14:paraId="03AD93F4" w14:textId="77777777" w:rsidR="005D691F" w:rsidRDefault="00F4227D" w:rsidP="004F6AF4">
            <w:pPr>
              <w:bidi/>
              <w:spacing w:after="0" w:line="260" w:lineRule="auto"/>
              <w:jc w:val="center"/>
            </w:pPr>
            <w:r>
              <w:rPr>
                <w:rFonts w:ascii="Traditional Arabic" w:hAnsi="Traditional Arabic" w:cs="Traditional Arabic"/>
                <w:rtl/>
              </w:rPr>
              <w:t>نقص دراسات تجريبية تحت ضغط</w:t>
            </w:r>
          </w:p>
        </w:tc>
        <w:tc>
          <w:tcPr>
            <w:tcW w:w="2000" w:type="dxa"/>
            <w:vAlign w:val="center"/>
          </w:tcPr>
          <w:p w14:paraId="3511A187" w14:textId="77777777" w:rsidR="005D691F" w:rsidRDefault="00F4227D" w:rsidP="004F6AF4">
            <w:pPr>
              <w:bidi/>
              <w:spacing w:after="0" w:line="260" w:lineRule="auto"/>
              <w:jc w:val="center"/>
            </w:pPr>
            <w:r>
              <w:rPr>
                <w:rFonts w:ascii="Traditional Arabic" w:hAnsi="Traditional Arabic" w:cs="Traditional Arabic"/>
                <w:rtl/>
              </w:rPr>
              <w:t>تنبيه إلى ضرورة قياس الامتثال إلى جانب الكفاءة</w:t>
            </w:r>
          </w:p>
        </w:tc>
      </w:tr>
      <w:tr w:rsidR="005D691F" w14:paraId="06823DAD" w14:textId="77777777" w:rsidTr="004F6AF4">
        <w:tc>
          <w:tcPr>
            <w:tcW w:w="1600" w:type="dxa"/>
            <w:vAlign w:val="center"/>
          </w:tcPr>
          <w:p w14:paraId="2A361B6D" w14:textId="77777777" w:rsidR="005D691F" w:rsidRDefault="00F4227D" w:rsidP="004F6AF4">
            <w:pPr>
              <w:bidi/>
              <w:spacing w:after="0" w:line="260" w:lineRule="auto"/>
              <w:jc w:val="center"/>
            </w:pPr>
            <w:r>
              <w:rPr>
                <w:rFonts w:ascii="Traditional Arabic" w:hAnsi="Traditional Arabic" w:cs="Traditional Arabic"/>
                <w:rtl/>
              </w:rPr>
              <w:t>Al-Qudah et al. (2025)</w:t>
            </w:r>
          </w:p>
        </w:tc>
        <w:tc>
          <w:tcPr>
            <w:tcW w:w="1700" w:type="dxa"/>
            <w:vAlign w:val="center"/>
          </w:tcPr>
          <w:p w14:paraId="78C6E93B" w14:textId="77777777" w:rsidR="005D691F" w:rsidRDefault="00F4227D" w:rsidP="004F6AF4">
            <w:pPr>
              <w:bidi/>
              <w:spacing w:after="0" w:line="260" w:lineRule="auto"/>
              <w:jc w:val="center"/>
            </w:pPr>
            <w:r>
              <w:rPr>
                <w:rFonts w:ascii="Traditional Arabic" w:hAnsi="Traditional Arabic" w:cs="Traditional Arabic"/>
                <w:rtl/>
              </w:rPr>
              <w:t>الإمارات</w:t>
            </w:r>
          </w:p>
        </w:tc>
        <w:tc>
          <w:tcPr>
            <w:tcW w:w="1900" w:type="dxa"/>
            <w:vAlign w:val="center"/>
          </w:tcPr>
          <w:p w14:paraId="01EE7077"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الحوادث والتكاليف</w:t>
            </w:r>
          </w:p>
        </w:tc>
        <w:tc>
          <w:tcPr>
            <w:tcW w:w="1500" w:type="dxa"/>
            <w:vAlign w:val="center"/>
          </w:tcPr>
          <w:p w14:paraId="335D3004" w14:textId="77777777" w:rsidR="005D691F" w:rsidRDefault="00F4227D" w:rsidP="004F6AF4">
            <w:pPr>
              <w:bidi/>
              <w:spacing w:after="0" w:line="260" w:lineRule="auto"/>
              <w:jc w:val="center"/>
            </w:pPr>
            <w:r>
              <w:rPr>
                <w:rFonts w:ascii="Traditional Arabic" w:hAnsi="Traditional Arabic" w:cs="Traditional Arabic"/>
                <w:rtl/>
              </w:rPr>
              <w:t>Random Forest</w:t>
            </w:r>
          </w:p>
        </w:tc>
        <w:tc>
          <w:tcPr>
            <w:tcW w:w="2000" w:type="dxa"/>
            <w:vAlign w:val="center"/>
          </w:tcPr>
          <w:p w14:paraId="1907D86F"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الحوادث والتكاليف</w:t>
            </w:r>
          </w:p>
        </w:tc>
        <w:tc>
          <w:tcPr>
            <w:tcW w:w="2100" w:type="dxa"/>
            <w:vAlign w:val="center"/>
          </w:tcPr>
          <w:p w14:paraId="5D06CFAC" w14:textId="77777777" w:rsidR="005D691F" w:rsidRDefault="00F4227D" w:rsidP="004F6AF4">
            <w:pPr>
              <w:bidi/>
              <w:spacing w:after="0" w:line="260" w:lineRule="auto"/>
              <w:jc w:val="center"/>
            </w:pPr>
            <w:r>
              <w:rPr>
                <w:rFonts w:ascii="Traditional Arabic" w:hAnsi="Traditional Arabic" w:cs="Traditional Arabic"/>
                <w:rtl/>
              </w:rPr>
              <w:t>علاقة سلبية r = -0.73 وخفض التكاليف 41-52%</w:t>
            </w:r>
          </w:p>
        </w:tc>
        <w:tc>
          <w:tcPr>
            <w:tcW w:w="1900" w:type="dxa"/>
            <w:vAlign w:val="center"/>
          </w:tcPr>
          <w:p w14:paraId="6959DFE9" w14:textId="77777777" w:rsidR="005D691F" w:rsidRDefault="00F4227D" w:rsidP="004F6AF4">
            <w:pPr>
              <w:bidi/>
              <w:spacing w:after="0" w:line="260" w:lineRule="auto"/>
              <w:jc w:val="center"/>
            </w:pPr>
            <w:r>
              <w:rPr>
                <w:rFonts w:ascii="Traditional Arabic" w:hAnsi="Traditional Arabic" w:cs="Traditional Arabic"/>
                <w:rtl/>
              </w:rPr>
              <w:t>محدودية دراسات كمية بالسعودية</w:t>
            </w:r>
          </w:p>
        </w:tc>
        <w:tc>
          <w:tcPr>
            <w:tcW w:w="2000" w:type="dxa"/>
            <w:vAlign w:val="center"/>
          </w:tcPr>
          <w:p w14:paraId="37EFD319" w14:textId="77777777" w:rsidR="005D691F" w:rsidRDefault="00F4227D" w:rsidP="004F6AF4">
            <w:pPr>
              <w:bidi/>
              <w:spacing w:after="0" w:line="260" w:lineRule="auto"/>
              <w:jc w:val="center"/>
            </w:pPr>
            <w:r>
              <w:rPr>
                <w:rFonts w:ascii="Traditional Arabic" w:hAnsi="Traditional Arabic" w:cs="Traditional Arabic"/>
                <w:rtl/>
              </w:rPr>
              <w:t>أقرب دراسة خليجية، وتؤكد الفجوة التي تسدّها الدراسة الحالية</w:t>
            </w:r>
          </w:p>
        </w:tc>
      </w:tr>
      <w:tr w:rsidR="005D691F" w14:paraId="3920A45A" w14:textId="77777777" w:rsidTr="004F6AF4">
        <w:tc>
          <w:tcPr>
            <w:tcW w:w="1600" w:type="dxa"/>
            <w:vAlign w:val="center"/>
          </w:tcPr>
          <w:p w14:paraId="4D84D649" w14:textId="77777777" w:rsidR="005D691F" w:rsidRDefault="00F4227D" w:rsidP="004F6AF4">
            <w:pPr>
              <w:bidi/>
              <w:spacing w:after="0" w:line="260" w:lineRule="auto"/>
              <w:jc w:val="center"/>
            </w:pPr>
            <w:r>
              <w:rPr>
                <w:rFonts w:ascii="Traditional Arabic" w:hAnsi="Traditional Arabic" w:cs="Traditional Arabic"/>
                <w:rtl/>
              </w:rPr>
              <w:t>Almadadha (2025)</w:t>
            </w:r>
          </w:p>
        </w:tc>
        <w:tc>
          <w:tcPr>
            <w:tcW w:w="1700" w:type="dxa"/>
            <w:vAlign w:val="center"/>
          </w:tcPr>
          <w:p w14:paraId="7C1D9073" w14:textId="77777777" w:rsidR="005D691F" w:rsidRDefault="00F4227D" w:rsidP="004F6AF4">
            <w:pPr>
              <w:bidi/>
              <w:spacing w:after="0" w:line="260" w:lineRule="auto"/>
              <w:jc w:val="center"/>
            </w:pPr>
            <w:r>
              <w:rPr>
                <w:rFonts w:ascii="Traditional Arabic" w:hAnsi="Traditional Arabic" w:cs="Traditional Arabic"/>
                <w:rtl/>
              </w:rPr>
              <w:t>أستراليا</w:t>
            </w:r>
          </w:p>
        </w:tc>
        <w:tc>
          <w:tcPr>
            <w:tcW w:w="1900" w:type="dxa"/>
            <w:vAlign w:val="center"/>
          </w:tcPr>
          <w:p w14:paraId="153B7521" w14:textId="77777777" w:rsidR="005D691F" w:rsidRDefault="00F4227D" w:rsidP="004F6AF4">
            <w:pPr>
              <w:bidi/>
              <w:spacing w:after="0" w:line="260" w:lineRule="auto"/>
              <w:jc w:val="center"/>
            </w:pPr>
            <w:r>
              <w:rPr>
                <w:rFonts w:ascii="Traditional Arabic" w:hAnsi="Traditional Arabic" w:cs="Traditional Arabic"/>
                <w:rtl/>
              </w:rPr>
              <w:t>تحليل أثر الترميز على الأداء المالي</w:t>
            </w:r>
          </w:p>
        </w:tc>
        <w:tc>
          <w:tcPr>
            <w:tcW w:w="1500" w:type="dxa"/>
            <w:vAlign w:val="center"/>
          </w:tcPr>
          <w:p w14:paraId="25093574" w14:textId="77777777" w:rsidR="005D691F" w:rsidRDefault="00F4227D" w:rsidP="004F6AF4">
            <w:pPr>
              <w:bidi/>
              <w:spacing w:after="0" w:line="260" w:lineRule="auto"/>
              <w:jc w:val="center"/>
            </w:pPr>
            <w:r>
              <w:rPr>
                <w:rFonts w:ascii="Traditional Arabic" w:hAnsi="Traditional Arabic" w:cs="Traditional Arabic"/>
                <w:rtl/>
              </w:rPr>
              <w:t>وصفية تحليلية</w:t>
            </w:r>
          </w:p>
        </w:tc>
        <w:tc>
          <w:tcPr>
            <w:tcW w:w="2000" w:type="dxa"/>
            <w:vAlign w:val="center"/>
          </w:tcPr>
          <w:p w14:paraId="6D545B09"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ROA وROE ووقت الضمانات</w:t>
            </w:r>
          </w:p>
        </w:tc>
        <w:tc>
          <w:tcPr>
            <w:tcW w:w="2100" w:type="dxa"/>
            <w:vAlign w:val="center"/>
          </w:tcPr>
          <w:p w14:paraId="58355570" w14:textId="77777777" w:rsidR="005D691F" w:rsidRDefault="00F4227D" w:rsidP="004F6AF4">
            <w:pPr>
              <w:bidi/>
              <w:spacing w:after="0" w:line="260" w:lineRule="auto"/>
              <w:jc w:val="center"/>
            </w:pPr>
            <w:r>
              <w:rPr>
                <w:rFonts w:ascii="Traditional Arabic" w:hAnsi="Traditional Arabic" w:cs="Traditional Arabic"/>
                <w:rtl/>
              </w:rPr>
              <w:t>تحسن ROA وROE وخفض وقت الضمانات</w:t>
            </w:r>
          </w:p>
        </w:tc>
        <w:tc>
          <w:tcPr>
            <w:tcW w:w="1900" w:type="dxa"/>
            <w:vAlign w:val="center"/>
          </w:tcPr>
          <w:p w14:paraId="111B9C8E" w14:textId="77777777" w:rsidR="005D691F" w:rsidRDefault="00F4227D" w:rsidP="004F6AF4">
            <w:pPr>
              <w:bidi/>
              <w:spacing w:after="0" w:line="260" w:lineRule="auto"/>
              <w:jc w:val="center"/>
            </w:pPr>
            <w:r>
              <w:rPr>
                <w:rFonts w:ascii="Traditional Arabic" w:hAnsi="Traditional Arabic" w:cs="Traditional Arabic"/>
                <w:rtl/>
              </w:rPr>
              <w:t>نقص ربط التقنية بالأداء بالسعودية</w:t>
            </w:r>
          </w:p>
        </w:tc>
        <w:tc>
          <w:tcPr>
            <w:tcW w:w="2000" w:type="dxa"/>
            <w:vAlign w:val="center"/>
          </w:tcPr>
          <w:p w14:paraId="6B51B885" w14:textId="77777777" w:rsidR="005D691F" w:rsidRDefault="00F4227D" w:rsidP="004F6AF4">
            <w:pPr>
              <w:bidi/>
              <w:spacing w:after="0" w:line="260" w:lineRule="auto"/>
              <w:jc w:val="center"/>
            </w:pPr>
            <w:r>
              <w:rPr>
                <w:rFonts w:ascii="Traditional Arabic" w:hAnsi="Traditional Arabic" w:cs="Traditional Arabic"/>
                <w:rtl/>
              </w:rPr>
              <w:t>دعم اختيار مؤشرات الكفاءة التشغيلية في الأداة</w:t>
            </w:r>
          </w:p>
        </w:tc>
      </w:tr>
      <w:tr w:rsidR="005D691F" w14:paraId="4A4DE8A1" w14:textId="77777777" w:rsidTr="004F6AF4">
        <w:tc>
          <w:tcPr>
            <w:tcW w:w="1600" w:type="dxa"/>
            <w:vAlign w:val="center"/>
          </w:tcPr>
          <w:p w14:paraId="344DE909" w14:textId="77777777" w:rsidR="005D691F" w:rsidRDefault="00F4227D" w:rsidP="004F6AF4">
            <w:pPr>
              <w:bidi/>
              <w:spacing w:after="0" w:line="260" w:lineRule="auto"/>
              <w:jc w:val="center"/>
            </w:pPr>
            <w:r>
              <w:rPr>
                <w:rFonts w:ascii="Traditional Arabic" w:hAnsi="Traditional Arabic" w:cs="Traditional Arabic"/>
                <w:rtl/>
              </w:rPr>
              <w:t>Lavayssière &amp; Zhang (2025)</w:t>
            </w:r>
          </w:p>
        </w:tc>
        <w:tc>
          <w:tcPr>
            <w:tcW w:w="1700" w:type="dxa"/>
            <w:vAlign w:val="center"/>
          </w:tcPr>
          <w:p w14:paraId="2BF1DE08" w14:textId="77777777" w:rsidR="005D691F" w:rsidRDefault="00F4227D" w:rsidP="004F6AF4">
            <w:pPr>
              <w:bidi/>
              <w:spacing w:after="0" w:line="260" w:lineRule="auto"/>
              <w:jc w:val="center"/>
            </w:pPr>
            <w:r>
              <w:rPr>
                <w:rFonts w:ascii="Traditional Arabic" w:hAnsi="Traditional Arabic" w:cs="Traditional Arabic"/>
                <w:rtl/>
              </w:rPr>
              <w:t>كندا</w:t>
            </w:r>
          </w:p>
        </w:tc>
        <w:tc>
          <w:tcPr>
            <w:tcW w:w="1900" w:type="dxa"/>
            <w:vAlign w:val="center"/>
          </w:tcPr>
          <w:p w14:paraId="78DF91A0" w14:textId="77777777" w:rsidR="005D691F" w:rsidRDefault="00F4227D" w:rsidP="004F6AF4">
            <w:pPr>
              <w:bidi/>
              <w:spacing w:after="0" w:line="260" w:lineRule="auto"/>
              <w:jc w:val="center"/>
            </w:pPr>
            <w:r>
              <w:rPr>
                <w:rFonts w:ascii="Traditional Arabic" w:hAnsi="Traditional Arabic" w:cs="Traditional Arabic"/>
                <w:rtl/>
              </w:rPr>
              <w:t>نمذجة أثر الترميز على تكاليف الإصدار</w:t>
            </w:r>
          </w:p>
        </w:tc>
        <w:tc>
          <w:tcPr>
            <w:tcW w:w="1500" w:type="dxa"/>
            <w:vAlign w:val="center"/>
          </w:tcPr>
          <w:p w14:paraId="33E29439" w14:textId="77777777" w:rsidR="005D691F" w:rsidRDefault="00F4227D" w:rsidP="004F6AF4">
            <w:pPr>
              <w:bidi/>
              <w:spacing w:after="0" w:line="260" w:lineRule="auto"/>
              <w:jc w:val="center"/>
            </w:pPr>
            <w:r>
              <w:rPr>
                <w:rFonts w:ascii="Traditional Arabic" w:hAnsi="Traditional Arabic" w:cs="Traditional Arabic"/>
                <w:rtl/>
              </w:rPr>
              <w:t>نمذجة نظرية</w:t>
            </w:r>
          </w:p>
        </w:tc>
        <w:tc>
          <w:tcPr>
            <w:tcW w:w="2000" w:type="dxa"/>
            <w:vAlign w:val="center"/>
          </w:tcPr>
          <w:p w14:paraId="165D142B" w14:textId="77777777" w:rsidR="005D691F" w:rsidRDefault="00F4227D" w:rsidP="004F6AF4">
            <w:pPr>
              <w:bidi/>
              <w:spacing w:after="0" w:line="260" w:lineRule="auto"/>
              <w:jc w:val="center"/>
            </w:pPr>
            <w:r>
              <w:rPr>
                <w:rFonts w:ascii="Traditional Arabic" w:hAnsi="Traditional Arabic" w:cs="Traditional Arabic"/>
                <w:rtl/>
              </w:rPr>
              <w:t>المستقل: ترميز الأصول / التابع: تكاليف الإصدار</w:t>
            </w:r>
          </w:p>
        </w:tc>
        <w:tc>
          <w:tcPr>
            <w:tcW w:w="2100" w:type="dxa"/>
            <w:vAlign w:val="center"/>
          </w:tcPr>
          <w:p w14:paraId="0BDB77B6" w14:textId="77777777" w:rsidR="005D691F" w:rsidRDefault="00F4227D" w:rsidP="004F6AF4">
            <w:pPr>
              <w:bidi/>
              <w:spacing w:after="0" w:line="260" w:lineRule="auto"/>
              <w:jc w:val="center"/>
            </w:pPr>
            <w:r>
              <w:rPr>
                <w:rFonts w:ascii="Traditional Arabic" w:hAnsi="Traditional Arabic" w:cs="Traditional Arabic"/>
                <w:rtl/>
              </w:rPr>
              <w:t>خفض تكاليف الإصدار وتسهيل الرهن</w:t>
            </w:r>
          </w:p>
        </w:tc>
        <w:tc>
          <w:tcPr>
            <w:tcW w:w="1900" w:type="dxa"/>
            <w:vAlign w:val="center"/>
          </w:tcPr>
          <w:p w14:paraId="7D8C3C88" w14:textId="77777777" w:rsidR="005D691F" w:rsidRDefault="00F4227D" w:rsidP="004F6AF4">
            <w:pPr>
              <w:bidi/>
              <w:spacing w:after="0" w:line="260" w:lineRule="auto"/>
              <w:jc w:val="center"/>
            </w:pPr>
            <w:r>
              <w:rPr>
                <w:rFonts w:ascii="Traditional Arabic" w:hAnsi="Traditional Arabic" w:cs="Traditional Arabic"/>
                <w:rtl/>
              </w:rPr>
              <w:t>محدودية فهم التأثيرات طويلة المدى</w:t>
            </w:r>
          </w:p>
        </w:tc>
        <w:tc>
          <w:tcPr>
            <w:tcW w:w="2000" w:type="dxa"/>
            <w:vAlign w:val="center"/>
          </w:tcPr>
          <w:p w14:paraId="07FB2F30" w14:textId="77777777" w:rsidR="005D691F" w:rsidRDefault="00F4227D" w:rsidP="004F6AF4">
            <w:pPr>
              <w:bidi/>
              <w:spacing w:after="0" w:line="260" w:lineRule="auto"/>
              <w:jc w:val="center"/>
            </w:pPr>
            <w:r>
              <w:rPr>
                <w:rFonts w:ascii="Traditional Arabic" w:hAnsi="Traditional Arabic" w:cs="Traditional Arabic"/>
                <w:rtl/>
              </w:rPr>
              <w:t>تحديد حدود التعميم الزمني لنتائج الدراسة الحالية</w:t>
            </w:r>
          </w:p>
        </w:tc>
      </w:tr>
      <w:tr w:rsidR="005D691F" w14:paraId="5ECA60F3" w14:textId="77777777" w:rsidTr="004F6AF4">
        <w:tc>
          <w:tcPr>
            <w:tcW w:w="1600" w:type="dxa"/>
            <w:vAlign w:val="center"/>
          </w:tcPr>
          <w:p w14:paraId="29E23810" w14:textId="77777777" w:rsidR="005D691F" w:rsidRDefault="00F4227D" w:rsidP="004F6AF4">
            <w:pPr>
              <w:bidi/>
              <w:spacing w:after="0" w:line="260" w:lineRule="auto"/>
              <w:jc w:val="center"/>
            </w:pPr>
            <w:r>
              <w:rPr>
                <w:rFonts w:ascii="Traditional Arabic" w:hAnsi="Traditional Arabic" w:cs="Traditional Arabic"/>
                <w:rtl/>
              </w:rPr>
              <w:t>Udeh et al. (2025)</w:t>
            </w:r>
          </w:p>
        </w:tc>
        <w:tc>
          <w:tcPr>
            <w:tcW w:w="1700" w:type="dxa"/>
            <w:vAlign w:val="center"/>
          </w:tcPr>
          <w:p w14:paraId="668D93E7" w14:textId="77777777" w:rsidR="005D691F" w:rsidRDefault="00F4227D" w:rsidP="004F6AF4">
            <w:pPr>
              <w:bidi/>
              <w:spacing w:after="0" w:line="260" w:lineRule="auto"/>
              <w:jc w:val="center"/>
            </w:pPr>
            <w:r>
              <w:rPr>
                <w:rFonts w:ascii="Traditional Arabic" w:hAnsi="Traditional Arabic" w:cs="Traditional Arabic"/>
                <w:rtl/>
              </w:rPr>
              <w:t>بيئات متعددة</w:t>
            </w:r>
          </w:p>
        </w:tc>
        <w:tc>
          <w:tcPr>
            <w:tcW w:w="1900" w:type="dxa"/>
            <w:vAlign w:val="center"/>
          </w:tcPr>
          <w:p w14:paraId="606FF9CE" w14:textId="77777777" w:rsidR="005D691F" w:rsidRDefault="00F4227D" w:rsidP="004F6AF4">
            <w:pPr>
              <w:bidi/>
              <w:spacing w:after="0" w:line="260" w:lineRule="auto"/>
              <w:jc w:val="center"/>
            </w:pPr>
            <w:r>
              <w:rPr>
                <w:rFonts w:ascii="Traditional Arabic" w:hAnsi="Traditional Arabic" w:cs="Traditional Arabic"/>
                <w:rtl/>
              </w:rPr>
              <w:t>دراسة أثر الترميز على الشفافية والثقة</w:t>
            </w:r>
          </w:p>
        </w:tc>
        <w:tc>
          <w:tcPr>
            <w:tcW w:w="1500" w:type="dxa"/>
            <w:vAlign w:val="center"/>
          </w:tcPr>
          <w:p w14:paraId="42CF3B76" w14:textId="77777777" w:rsidR="005D691F" w:rsidRDefault="00F4227D" w:rsidP="004F6AF4">
            <w:pPr>
              <w:bidi/>
              <w:spacing w:after="0" w:line="260" w:lineRule="auto"/>
              <w:jc w:val="center"/>
            </w:pPr>
            <w:r>
              <w:rPr>
                <w:rFonts w:ascii="Traditional Arabic" w:hAnsi="Traditional Arabic" w:cs="Traditional Arabic"/>
                <w:rtl/>
              </w:rPr>
              <w:t>مختلطة ودراسات حالة</w:t>
            </w:r>
          </w:p>
        </w:tc>
        <w:tc>
          <w:tcPr>
            <w:tcW w:w="2000" w:type="dxa"/>
            <w:vAlign w:val="center"/>
          </w:tcPr>
          <w:p w14:paraId="2328FFBA"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والشفافية والأمن</w:t>
            </w:r>
          </w:p>
        </w:tc>
        <w:tc>
          <w:tcPr>
            <w:tcW w:w="2100" w:type="dxa"/>
            <w:vAlign w:val="center"/>
          </w:tcPr>
          <w:p w14:paraId="76E73E96" w14:textId="77777777" w:rsidR="005D691F" w:rsidRDefault="00F4227D" w:rsidP="004F6AF4">
            <w:pPr>
              <w:bidi/>
              <w:spacing w:after="0" w:line="260" w:lineRule="auto"/>
              <w:jc w:val="center"/>
            </w:pPr>
            <w:r>
              <w:rPr>
                <w:rFonts w:ascii="Traditional Arabic" w:hAnsi="Traditional Arabic" w:cs="Traditional Arabic"/>
                <w:rtl/>
              </w:rPr>
              <w:t>تقليل التكاليف وتعزيز الشفافية والأمن</w:t>
            </w:r>
          </w:p>
        </w:tc>
        <w:tc>
          <w:tcPr>
            <w:tcW w:w="1900" w:type="dxa"/>
            <w:vAlign w:val="center"/>
          </w:tcPr>
          <w:p w14:paraId="2058ED4A" w14:textId="77777777" w:rsidR="005D691F" w:rsidRDefault="00F4227D" w:rsidP="004F6AF4">
            <w:pPr>
              <w:bidi/>
              <w:spacing w:after="0" w:line="260" w:lineRule="auto"/>
              <w:jc w:val="center"/>
            </w:pPr>
            <w:r>
              <w:rPr>
                <w:rFonts w:ascii="Traditional Arabic" w:hAnsi="Traditional Arabic" w:cs="Traditional Arabic"/>
                <w:rtl/>
              </w:rPr>
              <w:t>نقص أبحاث بناء الثقة بأطر ثقافية مختلفة</w:t>
            </w:r>
          </w:p>
        </w:tc>
        <w:tc>
          <w:tcPr>
            <w:tcW w:w="2000" w:type="dxa"/>
            <w:vAlign w:val="center"/>
          </w:tcPr>
          <w:p w14:paraId="0E93FFD6" w14:textId="77777777" w:rsidR="005D691F" w:rsidRDefault="00F4227D" w:rsidP="004F6AF4">
            <w:pPr>
              <w:bidi/>
              <w:spacing w:after="0" w:line="260" w:lineRule="auto"/>
              <w:jc w:val="center"/>
            </w:pPr>
            <w:r>
              <w:rPr>
                <w:rFonts w:ascii="Traditional Arabic" w:hAnsi="Traditional Arabic" w:cs="Traditional Arabic"/>
                <w:rtl/>
              </w:rPr>
              <w:t>مبرر إضافي لدراسة السياق السعودي تحديداً</w:t>
            </w:r>
          </w:p>
        </w:tc>
      </w:tr>
      <w:tr w:rsidR="005D691F" w14:paraId="2AF3FDE8" w14:textId="77777777" w:rsidTr="004F6AF4">
        <w:tc>
          <w:tcPr>
            <w:tcW w:w="1600" w:type="dxa"/>
            <w:vAlign w:val="center"/>
          </w:tcPr>
          <w:p w14:paraId="14F62A90" w14:textId="77777777" w:rsidR="005D691F" w:rsidRDefault="00F4227D" w:rsidP="004F6AF4">
            <w:pPr>
              <w:bidi/>
              <w:spacing w:after="0" w:line="260" w:lineRule="auto"/>
              <w:jc w:val="center"/>
            </w:pPr>
            <w:r>
              <w:rPr>
                <w:rFonts w:ascii="Traditional Arabic" w:hAnsi="Traditional Arabic" w:cs="Traditional Arabic"/>
                <w:rtl/>
              </w:rPr>
              <w:t>Sakarneh &amp; Kilani (2024)</w:t>
            </w:r>
          </w:p>
        </w:tc>
        <w:tc>
          <w:tcPr>
            <w:tcW w:w="1700" w:type="dxa"/>
            <w:vAlign w:val="center"/>
          </w:tcPr>
          <w:p w14:paraId="42CB9973" w14:textId="77777777" w:rsidR="005D691F" w:rsidRDefault="00F4227D" w:rsidP="004F6AF4">
            <w:pPr>
              <w:bidi/>
              <w:spacing w:after="0" w:line="260" w:lineRule="auto"/>
              <w:jc w:val="center"/>
            </w:pPr>
            <w:r>
              <w:rPr>
                <w:rFonts w:ascii="Traditional Arabic" w:hAnsi="Traditional Arabic" w:cs="Traditional Arabic"/>
                <w:rtl/>
              </w:rPr>
              <w:t>الأردن</w:t>
            </w:r>
          </w:p>
        </w:tc>
        <w:tc>
          <w:tcPr>
            <w:tcW w:w="1900" w:type="dxa"/>
            <w:vAlign w:val="center"/>
          </w:tcPr>
          <w:p w14:paraId="17CAA107"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الكفاءة ودور الدعم التنظيمي</w:t>
            </w:r>
          </w:p>
        </w:tc>
        <w:tc>
          <w:tcPr>
            <w:tcW w:w="1500" w:type="dxa"/>
            <w:vAlign w:val="center"/>
          </w:tcPr>
          <w:p w14:paraId="539051A0" w14:textId="77777777" w:rsidR="005D691F" w:rsidRDefault="00F4227D" w:rsidP="004F6AF4">
            <w:pPr>
              <w:bidi/>
              <w:spacing w:after="0" w:line="260" w:lineRule="auto"/>
              <w:jc w:val="center"/>
            </w:pPr>
            <w:r>
              <w:rPr>
                <w:rFonts w:ascii="Traditional Arabic" w:hAnsi="Traditional Arabic" w:cs="Traditional Arabic"/>
                <w:rtl/>
              </w:rPr>
              <w:t>مسحية</w:t>
            </w:r>
          </w:p>
        </w:tc>
        <w:tc>
          <w:tcPr>
            <w:tcW w:w="2000" w:type="dxa"/>
            <w:vAlign w:val="center"/>
          </w:tcPr>
          <w:p w14:paraId="629836EC" w14:textId="77777777" w:rsidR="005D691F" w:rsidRDefault="00F4227D" w:rsidP="004F6AF4">
            <w:pPr>
              <w:bidi/>
              <w:spacing w:after="0" w:line="260" w:lineRule="auto"/>
              <w:jc w:val="center"/>
            </w:pPr>
            <w:r>
              <w:rPr>
                <w:rFonts w:ascii="Traditional Arabic" w:hAnsi="Traditional Arabic" w:cs="Traditional Arabic"/>
                <w:rtl/>
              </w:rPr>
              <w:t>المستقل: الترميز / الضابط: الدعم التنظيمي / التابع: الكفاءة</w:t>
            </w:r>
          </w:p>
        </w:tc>
        <w:tc>
          <w:tcPr>
            <w:tcW w:w="2100" w:type="dxa"/>
            <w:vAlign w:val="center"/>
          </w:tcPr>
          <w:p w14:paraId="047FE6BC" w14:textId="77777777" w:rsidR="005D691F" w:rsidRDefault="00F4227D" w:rsidP="004F6AF4">
            <w:pPr>
              <w:bidi/>
              <w:spacing w:after="0" w:line="260" w:lineRule="auto"/>
              <w:jc w:val="center"/>
            </w:pPr>
            <w:r>
              <w:rPr>
                <w:rFonts w:ascii="Traditional Arabic" w:hAnsi="Traditional Arabic" w:cs="Traditional Arabic"/>
                <w:rtl/>
              </w:rPr>
              <w:t>تحسين الكفاءة وأهمية الدعم التنظيمي</w:t>
            </w:r>
          </w:p>
        </w:tc>
        <w:tc>
          <w:tcPr>
            <w:tcW w:w="1900" w:type="dxa"/>
            <w:vAlign w:val="center"/>
          </w:tcPr>
          <w:p w14:paraId="39C37C76" w14:textId="77777777" w:rsidR="005D691F" w:rsidRDefault="00F4227D" w:rsidP="004F6AF4">
            <w:pPr>
              <w:bidi/>
              <w:spacing w:after="0" w:line="260" w:lineRule="auto"/>
              <w:jc w:val="center"/>
            </w:pPr>
            <w:r>
              <w:rPr>
                <w:rFonts w:ascii="Traditional Arabic" w:hAnsi="Traditional Arabic" w:cs="Traditional Arabic"/>
                <w:rtl/>
              </w:rPr>
              <w:t>نقص دراسات سعودية للعوامل الثقافية</w:t>
            </w:r>
          </w:p>
        </w:tc>
        <w:tc>
          <w:tcPr>
            <w:tcW w:w="2000" w:type="dxa"/>
            <w:vAlign w:val="center"/>
          </w:tcPr>
          <w:p w14:paraId="1B8A7D42" w14:textId="77777777" w:rsidR="005D691F" w:rsidRDefault="00F4227D" w:rsidP="004F6AF4">
            <w:pPr>
              <w:bidi/>
              <w:spacing w:after="0" w:line="260" w:lineRule="auto"/>
              <w:jc w:val="center"/>
            </w:pPr>
            <w:r>
              <w:rPr>
                <w:rFonts w:ascii="Traditional Arabic" w:hAnsi="Traditional Arabic" w:cs="Traditional Arabic"/>
                <w:rtl/>
              </w:rPr>
              <w:t>سند لاعتماد خصائص المؤسسة متغيرات ضابطة</w:t>
            </w:r>
          </w:p>
        </w:tc>
      </w:tr>
      <w:tr w:rsidR="005D691F" w14:paraId="6F69E52D" w14:textId="77777777" w:rsidTr="004F6AF4">
        <w:tc>
          <w:tcPr>
            <w:tcW w:w="1600" w:type="dxa"/>
            <w:vAlign w:val="center"/>
          </w:tcPr>
          <w:p w14:paraId="6D607835" w14:textId="77777777" w:rsidR="005D691F" w:rsidRDefault="00F4227D" w:rsidP="004F6AF4">
            <w:pPr>
              <w:bidi/>
              <w:spacing w:after="0" w:line="260" w:lineRule="auto"/>
              <w:jc w:val="center"/>
            </w:pPr>
            <w:r>
              <w:rPr>
                <w:rFonts w:ascii="Traditional Arabic" w:hAnsi="Traditional Arabic" w:cs="Traditional Arabic"/>
                <w:rtl/>
              </w:rPr>
              <w:lastRenderedPageBreak/>
              <w:t>Islam &amp; In (2024)</w:t>
            </w:r>
          </w:p>
        </w:tc>
        <w:tc>
          <w:tcPr>
            <w:tcW w:w="1700" w:type="dxa"/>
            <w:vAlign w:val="center"/>
          </w:tcPr>
          <w:p w14:paraId="28F07BAC" w14:textId="77777777" w:rsidR="005D691F" w:rsidRDefault="00F4227D" w:rsidP="004F6AF4">
            <w:pPr>
              <w:bidi/>
              <w:spacing w:after="0" w:line="260" w:lineRule="auto"/>
              <w:jc w:val="center"/>
            </w:pPr>
            <w:r>
              <w:rPr>
                <w:rFonts w:ascii="Traditional Arabic" w:hAnsi="Traditional Arabic" w:cs="Traditional Arabic"/>
                <w:rtl/>
              </w:rPr>
              <w:t>مراجعة منهجية دولية</w:t>
            </w:r>
          </w:p>
        </w:tc>
        <w:tc>
          <w:tcPr>
            <w:tcW w:w="1900" w:type="dxa"/>
            <w:vAlign w:val="center"/>
          </w:tcPr>
          <w:p w14:paraId="2CC5370C" w14:textId="77777777" w:rsidR="005D691F" w:rsidRDefault="00F4227D" w:rsidP="004F6AF4">
            <w:pPr>
              <w:bidi/>
              <w:spacing w:after="0" w:line="260" w:lineRule="auto"/>
              <w:jc w:val="center"/>
            </w:pPr>
            <w:r>
              <w:rPr>
                <w:rFonts w:ascii="Traditional Arabic" w:hAnsi="Traditional Arabic" w:cs="Traditional Arabic"/>
                <w:rtl/>
              </w:rPr>
              <w:t>رصد اتجاهات الترميز واللامركزية</w:t>
            </w:r>
          </w:p>
        </w:tc>
        <w:tc>
          <w:tcPr>
            <w:tcW w:w="1500" w:type="dxa"/>
            <w:vAlign w:val="center"/>
          </w:tcPr>
          <w:p w14:paraId="24DD9EBA" w14:textId="77777777" w:rsidR="005D691F" w:rsidRDefault="00F4227D" w:rsidP="004F6AF4">
            <w:pPr>
              <w:bidi/>
              <w:spacing w:after="0" w:line="260" w:lineRule="auto"/>
              <w:jc w:val="center"/>
            </w:pPr>
            <w:r>
              <w:rPr>
                <w:rFonts w:ascii="Traditional Arabic" w:hAnsi="Traditional Arabic" w:cs="Traditional Arabic"/>
                <w:rtl/>
              </w:rPr>
              <w:t>IntelliSLR وPRISMA</w:t>
            </w:r>
          </w:p>
        </w:tc>
        <w:tc>
          <w:tcPr>
            <w:tcW w:w="2000" w:type="dxa"/>
            <w:vAlign w:val="center"/>
          </w:tcPr>
          <w:p w14:paraId="651F1777"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اتجاهات CBDCs</w:t>
            </w:r>
          </w:p>
        </w:tc>
        <w:tc>
          <w:tcPr>
            <w:tcW w:w="2100" w:type="dxa"/>
            <w:vAlign w:val="center"/>
          </w:tcPr>
          <w:p w14:paraId="74D41E86" w14:textId="77777777" w:rsidR="005D691F" w:rsidRDefault="00F4227D" w:rsidP="004F6AF4">
            <w:pPr>
              <w:bidi/>
              <w:spacing w:after="0" w:line="260" w:lineRule="auto"/>
              <w:jc w:val="center"/>
            </w:pPr>
            <w:r>
              <w:rPr>
                <w:rFonts w:ascii="Traditional Arabic" w:hAnsi="Traditional Arabic" w:cs="Traditional Arabic"/>
                <w:rtl/>
              </w:rPr>
              <w:t>تسهيل الانتقال للامركزية واتجاه نحو CBDCs</w:t>
            </w:r>
          </w:p>
        </w:tc>
        <w:tc>
          <w:tcPr>
            <w:tcW w:w="1900" w:type="dxa"/>
            <w:vAlign w:val="center"/>
          </w:tcPr>
          <w:p w14:paraId="08A3E2E9" w14:textId="77777777" w:rsidR="005D691F" w:rsidRDefault="00F4227D" w:rsidP="004F6AF4">
            <w:pPr>
              <w:bidi/>
              <w:spacing w:after="0" w:line="260" w:lineRule="auto"/>
              <w:jc w:val="center"/>
            </w:pPr>
            <w:r>
              <w:rPr>
                <w:rFonts w:ascii="Traditional Arabic" w:hAnsi="Traditional Arabic" w:cs="Traditional Arabic"/>
                <w:rtl/>
              </w:rPr>
              <w:t>محدودية ربط البنوك المركزية برؤية 2030</w:t>
            </w:r>
          </w:p>
        </w:tc>
        <w:tc>
          <w:tcPr>
            <w:tcW w:w="2000" w:type="dxa"/>
            <w:vAlign w:val="center"/>
          </w:tcPr>
          <w:p w14:paraId="1244AB3C" w14:textId="77777777" w:rsidR="005D691F" w:rsidRDefault="00F4227D" w:rsidP="004F6AF4">
            <w:pPr>
              <w:bidi/>
              <w:spacing w:after="0" w:line="260" w:lineRule="auto"/>
              <w:jc w:val="center"/>
            </w:pPr>
            <w:r>
              <w:rPr>
                <w:rFonts w:ascii="Traditional Arabic" w:hAnsi="Traditional Arabic" w:cs="Traditional Arabic"/>
                <w:rtl/>
              </w:rPr>
              <w:t>مبرر مباشر لبُعد التوافق مع رؤية 2030 في الأداة</w:t>
            </w:r>
          </w:p>
        </w:tc>
      </w:tr>
      <w:tr w:rsidR="005D691F" w14:paraId="73D6864E" w14:textId="77777777" w:rsidTr="004F6AF4">
        <w:tc>
          <w:tcPr>
            <w:tcW w:w="1600" w:type="dxa"/>
            <w:vAlign w:val="center"/>
          </w:tcPr>
          <w:p w14:paraId="4C89DB05" w14:textId="77777777" w:rsidR="005D691F" w:rsidRDefault="00F4227D" w:rsidP="004F6AF4">
            <w:pPr>
              <w:bidi/>
              <w:spacing w:after="0" w:line="260" w:lineRule="auto"/>
              <w:jc w:val="center"/>
            </w:pPr>
            <w:commentRangeStart w:id="103"/>
            <w:r>
              <w:rPr>
                <w:rFonts w:ascii="Traditional Arabic" w:hAnsi="Traditional Arabic" w:cs="Traditional Arabic"/>
                <w:rtl/>
              </w:rPr>
              <w:t xml:space="preserve">Multiple Authors </w:t>
            </w:r>
            <w:commentRangeEnd w:id="103"/>
            <w:r w:rsidR="00DF6C9D">
              <w:rPr>
                <w:rStyle w:val="affa"/>
                <w:rFonts w:ascii="Traditional Arabic" w:hAnsi="Traditional Arabic" w:cs="Traditional Arabic"/>
                <w:sz w:val="22"/>
                <w:szCs w:val="22"/>
                <w:rtl/>
              </w:rPr>
              <w:commentReference w:id="103"/>
            </w:r>
            <w:r>
              <w:rPr>
                <w:rFonts w:ascii="Traditional Arabic" w:hAnsi="Traditional Arabic" w:cs="Traditional Arabic"/>
                <w:rtl/>
              </w:rPr>
              <w:t>(2025)</w:t>
            </w:r>
          </w:p>
        </w:tc>
        <w:tc>
          <w:tcPr>
            <w:tcW w:w="1700" w:type="dxa"/>
            <w:vAlign w:val="center"/>
          </w:tcPr>
          <w:p w14:paraId="5FA42967" w14:textId="77777777" w:rsidR="005D691F" w:rsidRDefault="00F4227D" w:rsidP="004F6AF4">
            <w:pPr>
              <w:bidi/>
              <w:spacing w:after="0" w:line="260" w:lineRule="auto"/>
              <w:jc w:val="center"/>
            </w:pPr>
            <w:r>
              <w:rPr>
                <w:rFonts w:ascii="Traditional Arabic" w:hAnsi="Traditional Arabic" w:cs="Traditional Arabic"/>
                <w:rtl/>
              </w:rPr>
              <w:t>أوروبا — تحليل قانوني مقارن</w:t>
            </w:r>
          </w:p>
        </w:tc>
        <w:tc>
          <w:tcPr>
            <w:tcW w:w="1900" w:type="dxa"/>
            <w:vAlign w:val="center"/>
          </w:tcPr>
          <w:p w14:paraId="37D54569" w14:textId="77777777" w:rsidR="005D691F" w:rsidRDefault="00F4227D" w:rsidP="004F6AF4">
            <w:pPr>
              <w:bidi/>
              <w:spacing w:after="0" w:line="260" w:lineRule="auto"/>
              <w:jc w:val="center"/>
            </w:pPr>
            <w:r>
              <w:rPr>
                <w:rFonts w:ascii="Traditional Arabic" w:hAnsi="Traditional Arabic" w:cs="Traditional Arabic"/>
                <w:rtl/>
              </w:rPr>
              <w:t>تحليل الأطر القانونية للأصول المرمّزة</w:t>
            </w:r>
          </w:p>
        </w:tc>
        <w:tc>
          <w:tcPr>
            <w:tcW w:w="1500" w:type="dxa"/>
            <w:vAlign w:val="center"/>
          </w:tcPr>
          <w:p w14:paraId="0BD4A3B1" w14:textId="77777777" w:rsidR="005D691F" w:rsidRDefault="00F4227D" w:rsidP="004F6AF4">
            <w:pPr>
              <w:bidi/>
              <w:spacing w:after="0" w:line="260" w:lineRule="auto"/>
              <w:jc w:val="center"/>
            </w:pPr>
            <w:r>
              <w:rPr>
                <w:rFonts w:ascii="Traditional Arabic" w:hAnsi="Traditional Arabic" w:cs="Traditional Arabic"/>
                <w:rtl/>
              </w:rPr>
              <w:t>تحليل قانوني مقارن</w:t>
            </w:r>
          </w:p>
        </w:tc>
        <w:tc>
          <w:tcPr>
            <w:tcW w:w="2000" w:type="dxa"/>
            <w:vAlign w:val="center"/>
          </w:tcPr>
          <w:p w14:paraId="779868E8" w14:textId="77777777" w:rsidR="005D691F" w:rsidRDefault="00F4227D" w:rsidP="004F6AF4">
            <w:pPr>
              <w:bidi/>
              <w:spacing w:after="0" w:line="260" w:lineRule="auto"/>
              <w:jc w:val="center"/>
            </w:pPr>
            <w:r>
              <w:rPr>
                <w:rFonts w:ascii="Traditional Arabic" w:hAnsi="Traditional Arabic" w:cs="Traditional Arabic"/>
                <w:rtl/>
              </w:rPr>
              <w:t>المستقل: الأطر القانونية / التابع: حجم الأصول المرمّزة</w:t>
            </w:r>
          </w:p>
        </w:tc>
        <w:tc>
          <w:tcPr>
            <w:tcW w:w="2100" w:type="dxa"/>
            <w:vAlign w:val="center"/>
          </w:tcPr>
          <w:p w14:paraId="2CFD818C" w14:textId="77777777" w:rsidR="005D691F" w:rsidRDefault="00F4227D" w:rsidP="004F6AF4">
            <w:pPr>
              <w:bidi/>
              <w:spacing w:after="0" w:line="260" w:lineRule="auto"/>
              <w:jc w:val="center"/>
            </w:pPr>
            <w:r>
              <w:rPr>
                <w:rFonts w:ascii="Traditional Arabic" w:hAnsi="Traditional Arabic" w:cs="Traditional Arabic"/>
                <w:rtl/>
              </w:rPr>
              <w:t>225 مليار دولار أوراق مرمّزة بقيادة أوروبية</w:t>
            </w:r>
          </w:p>
        </w:tc>
        <w:tc>
          <w:tcPr>
            <w:tcW w:w="1900" w:type="dxa"/>
            <w:vAlign w:val="center"/>
          </w:tcPr>
          <w:p w14:paraId="145F95AE" w14:textId="77777777" w:rsidR="005D691F" w:rsidRDefault="00F4227D" w:rsidP="004F6AF4">
            <w:pPr>
              <w:bidi/>
              <w:spacing w:after="0" w:line="260" w:lineRule="auto"/>
              <w:jc w:val="center"/>
            </w:pPr>
            <w:r>
              <w:rPr>
                <w:rFonts w:ascii="Traditional Arabic" w:hAnsi="Traditional Arabic" w:cs="Traditional Arabic"/>
                <w:rtl/>
              </w:rPr>
              <w:t>نقص أبحاث الأطر القانونية الإسلامية</w:t>
            </w:r>
          </w:p>
        </w:tc>
        <w:tc>
          <w:tcPr>
            <w:tcW w:w="2000" w:type="dxa"/>
            <w:vAlign w:val="center"/>
          </w:tcPr>
          <w:p w14:paraId="31FDE211" w14:textId="77777777" w:rsidR="005D691F" w:rsidRDefault="00F4227D" w:rsidP="004F6AF4">
            <w:pPr>
              <w:bidi/>
              <w:spacing w:after="0" w:line="260" w:lineRule="auto"/>
              <w:jc w:val="center"/>
            </w:pPr>
            <w:r>
              <w:rPr>
                <w:rFonts w:ascii="Traditional Arabic" w:hAnsi="Traditional Arabic" w:cs="Traditional Arabic"/>
                <w:rtl/>
              </w:rPr>
              <w:t>دعم بُعد الامتثال للمعايير الدولية</w:t>
            </w:r>
          </w:p>
        </w:tc>
      </w:tr>
      <w:tr w:rsidR="005D691F" w14:paraId="6447BFAF" w14:textId="77777777" w:rsidTr="004F6AF4">
        <w:tc>
          <w:tcPr>
            <w:tcW w:w="1600" w:type="dxa"/>
            <w:vAlign w:val="center"/>
          </w:tcPr>
          <w:p w14:paraId="07EB6044" w14:textId="77777777" w:rsidR="005D691F" w:rsidRDefault="00F4227D" w:rsidP="004F6AF4">
            <w:pPr>
              <w:bidi/>
              <w:spacing w:after="0" w:line="260" w:lineRule="auto"/>
              <w:jc w:val="center"/>
            </w:pPr>
            <w:r>
              <w:rPr>
                <w:rFonts w:ascii="Traditional Arabic" w:hAnsi="Traditional Arabic" w:cs="Traditional Arabic"/>
                <w:rtl/>
              </w:rPr>
              <w:t>Adigwe et al. (2024)</w:t>
            </w:r>
          </w:p>
        </w:tc>
        <w:tc>
          <w:tcPr>
            <w:tcW w:w="1700" w:type="dxa"/>
            <w:vAlign w:val="center"/>
          </w:tcPr>
          <w:p w14:paraId="6BD8C2FA" w14:textId="77777777" w:rsidR="005D691F" w:rsidRDefault="00F4227D" w:rsidP="004F6AF4">
            <w:pPr>
              <w:bidi/>
              <w:spacing w:after="0" w:line="260" w:lineRule="auto"/>
              <w:jc w:val="center"/>
            </w:pPr>
            <w:r>
              <w:rPr>
                <w:rFonts w:ascii="Traditional Arabic" w:hAnsi="Traditional Arabic" w:cs="Traditional Arabic"/>
                <w:rtl/>
              </w:rPr>
              <w:t>بيانات البنك الدولي</w:t>
            </w:r>
          </w:p>
        </w:tc>
        <w:tc>
          <w:tcPr>
            <w:tcW w:w="1900" w:type="dxa"/>
            <w:vAlign w:val="center"/>
          </w:tcPr>
          <w:p w14:paraId="75BCEC73"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زمن القروض وتكلفتها</w:t>
            </w:r>
          </w:p>
        </w:tc>
        <w:tc>
          <w:tcPr>
            <w:tcW w:w="1500" w:type="dxa"/>
            <w:vAlign w:val="center"/>
          </w:tcPr>
          <w:p w14:paraId="6BC7ECE3" w14:textId="77777777" w:rsidR="005D691F" w:rsidRDefault="00F4227D" w:rsidP="004F6AF4">
            <w:pPr>
              <w:bidi/>
              <w:spacing w:after="0" w:line="260" w:lineRule="auto"/>
              <w:jc w:val="center"/>
            </w:pPr>
            <w:r>
              <w:rPr>
                <w:rFonts w:ascii="Traditional Arabic" w:hAnsi="Traditional Arabic" w:cs="Traditional Arabic"/>
                <w:rtl/>
              </w:rPr>
              <w:t>تجريبية</w:t>
            </w:r>
          </w:p>
        </w:tc>
        <w:tc>
          <w:tcPr>
            <w:tcW w:w="2000" w:type="dxa"/>
            <w:vAlign w:val="center"/>
          </w:tcPr>
          <w:p w14:paraId="6FD7BD11"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زمن القروض والتكاليف</w:t>
            </w:r>
          </w:p>
        </w:tc>
        <w:tc>
          <w:tcPr>
            <w:tcW w:w="2100" w:type="dxa"/>
            <w:vAlign w:val="center"/>
          </w:tcPr>
          <w:p w14:paraId="427D3813" w14:textId="77777777" w:rsidR="005D691F" w:rsidRDefault="00F4227D" w:rsidP="004F6AF4">
            <w:pPr>
              <w:bidi/>
              <w:spacing w:after="0" w:line="260" w:lineRule="auto"/>
              <w:jc w:val="center"/>
            </w:pPr>
            <w:r>
              <w:rPr>
                <w:rFonts w:ascii="Traditional Arabic" w:hAnsi="Traditional Arabic" w:cs="Traditional Arabic"/>
                <w:rtl/>
              </w:rPr>
              <w:t>خفض وقت القروض 31% والتكاليف 37%</w:t>
            </w:r>
          </w:p>
        </w:tc>
        <w:tc>
          <w:tcPr>
            <w:tcW w:w="1900" w:type="dxa"/>
            <w:vAlign w:val="center"/>
          </w:tcPr>
          <w:p w14:paraId="58DD1754" w14:textId="77777777" w:rsidR="005D691F" w:rsidRDefault="00F4227D" w:rsidP="004F6AF4">
            <w:pPr>
              <w:bidi/>
              <w:spacing w:after="0" w:line="260" w:lineRule="auto"/>
              <w:jc w:val="center"/>
            </w:pPr>
            <w:r>
              <w:rPr>
                <w:rFonts w:ascii="Traditional Arabic" w:hAnsi="Traditional Arabic" w:cs="Traditional Arabic"/>
                <w:rtl/>
              </w:rPr>
              <w:t>محدودية دراسات ترميز أصول متنوعة</w:t>
            </w:r>
          </w:p>
        </w:tc>
        <w:tc>
          <w:tcPr>
            <w:tcW w:w="2000" w:type="dxa"/>
            <w:vAlign w:val="center"/>
          </w:tcPr>
          <w:p w14:paraId="34D4D6F8" w14:textId="77777777" w:rsidR="005D691F" w:rsidRDefault="00F4227D" w:rsidP="004F6AF4">
            <w:pPr>
              <w:bidi/>
              <w:spacing w:after="0" w:line="260" w:lineRule="auto"/>
              <w:jc w:val="center"/>
            </w:pPr>
            <w:r>
              <w:rPr>
                <w:rFonts w:ascii="Traditional Arabic" w:hAnsi="Traditional Arabic" w:cs="Traditional Arabic"/>
                <w:rtl/>
              </w:rPr>
              <w:t>مرجع مقارنة لنتائج الفرض H2</w:t>
            </w:r>
          </w:p>
        </w:tc>
      </w:tr>
      <w:tr w:rsidR="005D691F" w14:paraId="1CDD7DEE" w14:textId="77777777" w:rsidTr="004F6AF4">
        <w:tc>
          <w:tcPr>
            <w:tcW w:w="1600" w:type="dxa"/>
            <w:vAlign w:val="center"/>
          </w:tcPr>
          <w:p w14:paraId="2F918361" w14:textId="77777777" w:rsidR="005D691F" w:rsidRDefault="00F4227D" w:rsidP="004F6AF4">
            <w:pPr>
              <w:bidi/>
              <w:spacing w:after="0" w:line="260" w:lineRule="auto"/>
              <w:jc w:val="center"/>
            </w:pPr>
            <w:r>
              <w:rPr>
                <w:rFonts w:ascii="Traditional Arabic" w:hAnsi="Traditional Arabic" w:cs="Traditional Arabic"/>
                <w:rtl/>
              </w:rPr>
              <w:t>Karanovic et al. (2024)</w:t>
            </w:r>
          </w:p>
        </w:tc>
        <w:tc>
          <w:tcPr>
            <w:tcW w:w="1700" w:type="dxa"/>
            <w:vAlign w:val="center"/>
          </w:tcPr>
          <w:p w14:paraId="7C69DBCE" w14:textId="77777777" w:rsidR="005D691F" w:rsidRDefault="00F4227D" w:rsidP="004F6AF4">
            <w:pPr>
              <w:bidi/>
              <w:spacing w:after="0" w:line="260" w:lineRule="auto"/>
              <w:jc w:val="center"/>
            </w:pPr>
            <w:r>
              <w:rPr>
                <w:rFonts w:ascii="Traditional Arabic" w:hAnsi="Traditional Arabic" w:cs="Traditional Arabic"/>
                <w:rtl/>
              </w:rPr>
              <w:t>500 مؤسسة — بيئات متعددة</w:t>
            </w:r>
          </w:p>
        </w:tc>
        <w:tc>
          <w:tcPr>
            <w:tcW w:w="1900" w:type="dxa"/>
            <w:vAlign w:val="center"/>
          </w:tcPr>
          <w:p w14:paraId="04225730"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التكاليف والأوقات</w:t>
            </w:r>
          </w:p>
        </w:tc>
        <w:tc>
          <w:tcPr>
            <w:tcW w:w="1500" w:type="dxa"/>
            <w:vAlign w:val="center"/>
          </w:tcPr>
          <w:p w14:paraId="34778EE6" w14:textId="77777777" w:rsidR="005D691F" w:rsidRDefault="00F4227D" w:rsidP="004F6AF4">
            <w:pPr>
              <w:bidi/>
              <w:spacing w:after="0" w:line="260" w:lineRule="auto"/>
              <w:jc w:val="center"/>
            </w:pPr>
            <w:r>
              <w:rPr>
                <w:rFonts w:ascii="Traditional Arabic" w:hAnsi="Traditional Arabic" w:cs="Traditional Arabic"/>
                <w:rtl/>
              </w:rPr>
              <w:t>مختلطة</w:t>
            </w:r>
          </w:p>
        </w:tc>
        <w:tc>
          <w:tcPr>
            <w:tcW w:w="2000" w:type="dxa"/>
            <w:vAlign w:val="center"/>
          </w:tcPr>
          <w:p w14:paraId="69B1EBD0"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والأوقات</w:t>
            </w:r>
          </w:p>
        </w:tc>
        <w:tc>
          <w:tcPr>
            <w:tcW w:w="2100" w:type="dxa"/>
            <w:vAlign w:val="center"/>
          </w:tcPr>
          <w:p w14:paraId="69B077BB" w14:textId="77777777" w:rsidR="005D691F" w:rsidRDefault="00F4227D" w:rsidP="004F6AF4">
            <w:pPr>
              <w:bidi/>
              <w:spacing w:after="0" w:line="260" w:lineRule="auto"/>
              <w:jc w:val="center"/>
            </w:pPr>
            <w:r>
              <w:rPr>
                <w:rFonts w:ascii="Traditional Arabic" w:hAnsi="Traditional Arabic" w:cs="Traditional Arabic"/>
                <w:rtl/>
              </w:rPr>
              <w:t>انخفاض التكاليف 43% والأوقات 78%</w:t>
            </w:r>
          </w:p>
        </w:tc>
        <w:tc>
          <w:tcPr>
            <w:tcW w:w="1900" w:type="dxa"/>
            <w:vAlign w:val="center"/>
          </w:tcPr>
          <w:p w14:paraId="31EE33BA" w14:textId="77777777" w:rsidR="005D691F" w:rsidRDefault="00F4227D" w:rsidP="004F6AF4">
            <w:pPr>
              <w:bidi/>
              <w:spacing w:after="0" w:line="260" w:lineRule="auto"/>
              <w:jc w:val="center"/>
            </w:pPr>
            <w:r>
              <w:rPr>
                <w:rFonts w:ascii="Traditional Arabic" w:hAnsi="Traditional Arabic" w:cs="Traditional Arabic"/>
                <w:rtl/>
              </w:rPr>
              <w:t>نقص دراسات مقارنة واسعة بالسعودية</w:t>
            </w:r>
          </w:p>
        </w:tc>
        <w:tc>
          <w:tcPr>
            <w:tcW w:w="2000" w:type="dxa"/>
            <w:vAlign w:val="center"/>
          </w:tcPr>
          <w:p w14:paraId="1A43248A" w14:textId="77777777" w:rsidR="005D691F" w:rsidRDefault="00F4227D" w:rsidP="004F6AF4">
            <w:pPr>
              <w:bidi/>
              <w:spacing w:after="0" w:line="260" w:lineRule="auto"/>
              <w:jc w:val="center"/>
            </w:pPr>
            <w:r>
              <w:rPr>
                <w:rFonts w:ascii="Traditional Arabic" w:hAnsi="Traditional Arabic" w:cs="Traditional Arabic"/>
                <w:rtl/>
              </w:rPr>
              <w:t>أساس مقارنة لحجم الأثر المرصود في الدراسة الحالية</w:t>
            </w:r>
          </w:p>
        </w:tc>
      </w:tr>
    </w:tbl>
    <w:p w14:paraId="7834C4FC" w14:textId="77777777" w:rsidR="005D691F" w:rsidRDefault="005D691F" w:rsidP="00E000FF">
      <w:pPr>
        <w:bidi/>
        <w:spacing w:after="0"/>
        <w:sectPr w:rsidR="005D691F" w:rsidSect="006E2853">
          <w:pgSz w:w="16838" w:h="11906" w:orient="landscape"/>
          <w:pgMar w:top="1080" w:right="1080" w:bottom="1080" w:left="1080" w:header="708" w:footer="144" w:gutter="0"/>
          <w:cols w:space="708"/>
          <w:titlePg/>
          <w:bidi/>
          <w:rtlGutter/>
          <w:docGrid w:linePitch="360"/>
        </w:sectPr>
      </w:pPr>
    </w:p>
    <w:p w14:paraId="017BD2C9" w14:textId="77777777" w:rsidR="00F00638" w:rsidRPr="00FB5EDA"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104" w:name="_Toc224563961"/>
      <w:bookmarkStart w:id="105" w:name="_Toc234424153"/>
      <w:r>
        <w:rPr>
          <w:rFonts w:ascii="Traditional Arabic" w:hAnsi="Traditional Arabic" w:cs="Traditional Arabic"/>
          <w:b/>
          <w:bCs/>
          <w:sz w:val="32"/>
          <w:szCs w:val="32"/>
          <w:u w:val="single"/>
          <w:rtl/>
        </w:rPr>
        <w:lastRenderedPageBreak/>
        <w:t>2.4 التعليق على الدراسات السابقة</w:t>
      </w:r>
      <w:bookmarkEnd w:id="104"/>
      <w:bookmarkEnd w:id="105"/>
    </w:p>
    <w:p w14:paraId="06521DD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 (Goghie, 2024; Ahammad et al., 2025; Al-Qudah et al., 2025; Carapella et al., 2023; Grossmann et al., 2025; Almadadha, 2025; Lavayssière &amp; Zhang, 2025; Udeh et al., 2025; Sakarneh &amp; Kilani, 2024; Islam &amp; In, 2024; Multiple Authors, 2025; Adigwe et al., 2024; Karanovic et al., 2024) 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p>
    <w:p w14:paraId="174FC37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2.4.1 أوجه الشبه بين الدراسة الحالية والدراسات السابقة</w:t>
      </w:r>
    </w:p>
    <w:p w14:paraId="6A0B2D1D"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مع العديد من الدراسات السابقة في عدة جوانب رئيسية، حيث تتمثل أهم أوجه الشبه فيما يلي:</w:t>
      </w:r>
    </w:p>
    <w:p w14:paraId="49CEB3E4"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الهدف العام والمتغيرات الرئيسية مع العديد من الدراسات السابقة مثل دراسة Goghie (2024) التي تناولت تأثير تقنية الترميز على النظام المصرفي، ودراسة Ahammad et al. (2025) التي تناولت تعزيز الأمن والكفاءة باستخدام البلوكشين في القطاع المصرفي، ودراسة Grossmann et al. (2025) 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p>
    <w:p w14:paraId="19D815A3"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المتغير المستقل وهو تقنية الترميز مع العديد من الدراسات السابقة مثل دراسة Carapella et al. (2023) التي فحصت تأثير الترميز على الاستقرار المالي، ودراسة Multiple Authors (2025) التي تناولت ترميز الأصول الواقعية، ودراسة Adigwe et al. (2024) التي تناولت ترميز الأصول الزراعية، بحيث تشترك هذه الدراسات في تناول تقنية الترميز كمتغير مستقل أو محوري في التحليل رغم اختلاف المجالات التطبيقية.</w:t>
      </w:r>
    </w:p>
    <w:p w14:paraId="11C2BF9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اتفقت الدراسة الحالية في أحد المتغيرات التابعة وهو الأمن السيبراني مع دراسة Goghie (2024) التي تناولت معايير الأمن والامتثال في أنظمة الترميز، ودراسة Ahammad et al. (2025) التي ركزت على تحسينات الأمن من خلال إلغاء الوسطاء وتقليل نقاط الضعف، ودراسة Karanovic et al. (2024) التي وثقت انخفاضاً بنسبة 56.2% في حوادث الأمن السيبراني بعد تبني البلوكشين، بحيث تشترك هذه الدراسات في الاهتمام بالبعد الأمني لتقنية الترميز.</w:t>
      </w:r>
    </w:p>
    <w:p w14:paraId="773CF897"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المتغير التابع الآخر وهو كفاءة العمليات المالية مع دراسة Al-Qudah et al. (2025) التي قاست تأثير البلوكشين على تكاليف المعاملات، ودراسة Almadadha (2025) التي ربطت تبني البلوكشين بتحسن الأداء المالي، ودراسة Lavayssière &amp; Zhang (2025) التي فحصت كيفية معالجة الترميز لأوجه القصور في الأسواق المالية، ودراسة Udeh et al. (2025) 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p>
    <w:p w14:paraId="7919B8E8"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الاهتمام بالسياق الإقليمي مع دراسة Sakarneh &amp; Kilani (2024) 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p>
    <w:p w14:paraId="6AD78674"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الاهتمام بالتحول الرقمي والأهداف الاستراتيجية الوطنية مع دراسة Islam &amp; In (2024) التي ربطت تطبيقات البلوكشين بالعملات الرقمية للبنوك المركزية كجزء من التحول الرقمي الوطني، ودراسة Sakarneh &amp; Kilani (2024) التي أكدت على أهمية الدعم التنظيمي والتوعية المؤسسية، بحيث تعكس هذه الدراسات أهمية ربط التبني التقني بالرؤى والاستراتيجيات الوطنية.</w:t>
      </w:r>
    </w:p>
    <w:p w14:paraId="694DF8D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استخدام منهجيات بحثية متقدمة مع دراسة Al-Qudah et al. (2025) التي استخدمت تقنية Random Forest للتحليل الكمي، ودراسة Karanovic et al. (2024) التي استخدمت منهجية مختلطة واسعة النطاق، ودراسة Grossmann et al. (2025) التي استخدمت Design Science Research، بحيث تعكس هذه الدراسات التطور المنهجي في دراسة تأثير التقنيات الحديثة على القطاع المالي.</w:t>
      </w:r>
    </w:p>
    <w:p w14:paraId="6F4F3A5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2.4.2 أوجه الاختلاف بين الدراسة الحالية والدراسات السابقة</w:t>
      </w:r>
    </w:p>
    <w:p w14:paraId="4D7D582B"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تختلف الدراسة الحالية عن الدراسات السابقة في عدة جوانب جوهرية، حيث تتمثل أهم أوجه الاختلاف فيما يلي:</w:t>
      </w:r>
    </w:p>
    <w:p w14:paraId="5CAC578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السياق الجغرافي والمؤسسي بشكل جوهري عن جميع الدراسات السابقة المستعرضة (Goghie, 2024; Ahammad et al., 2025; Al-Qudah et al., 2025; Carapella et al., 2023; Grossmann et al., 2025; Almadadha, 2025; Lavayssière &amp; Zhang, 2025; Udeh et al., 2025; Sakarneh &amp; Kilani, 2024; Islam &amp; In, 2024; Multiple Authors, 2025; Adigwe et al., 2024; Karanovic et al., 2024)، حيث أن الدراسة الحالية هي الأولى من نوعها التي تطبق على المؤسسات المالية السعودية بأنواعها المختلفة، بينما ركزت الدراسات السابقة على سياقات أوروبية (Goghie, 2024; Grossmann et al., 2025; Multiple Authors, 2025)، أو آسيوية (Ahammad et al., 2025; Islam &amp; In, 2024)، أو أمريكية (Carapella et al., 2023; Lavayssière &amp; Zhang, 2025)، أو إقليمية عربية غير سعودية (Al-Qudah et al., 2025; Sakarneh &amp; Kilani, 2024)، أو أسترالية (Almadadha, 2025)، مما يجعل الدراسة الحالية فريدة في تناولها للسياق السعودي المحدد بخصائصه التنظيمية والثقافية والاقتصادية المميزة.</w:t>
      </w:r>
    </w:p>
    <w:p w14:paraId="5AA734E1"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ربطها المباشر والصريح برؤية السعودية 2030 وأهداف التحول الرقمي الوطني (Saudi Central Bank, 2024; IMF, 2024; Thunes Research, 2025)،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p>
    <w:p w14:paraId="5BA47D38"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الفنتك في نفس السياق (Saudi Central Bank, 2024; Thunes Research, 2025)، بينما ركزت معظم الدراسات السابقة على نوع واحد من المؤسسات فقط مثل البنوك التقليدية الكبرى (Goghie, 2024; Almadadha, 2025; Sakarneh &amp; Kilani, 2024) أو قدمت مقارنات عامة دون تركيز على أنواع </w:t>
      </w:r>
      <w:r w:rsidRPr="004F6AF4">
        <w:rPr>
          <w:rFonts w:ascii="Traditional Arabic" w:hAnsi="Traditional Arabic" w:cs="Traditional Arabic"/>
          <w:sz w:val="28"/>
          <w:szCs w:val="28"/>
          <w:rtl/>
        </w:rPr>
        <w:lastRenderedPageBreak/>
        <w:t>محددة (Karanovic et al., 2024)، وهذه المقارنة الثلاثية تمكن من فهم أعمق لكيفية اختلاف تأثير تقنية الترميز باختلاف حجم ونوع وطبيعة المؤسسة المالية.</w:t>
      </w:r>
    </w:p>
    <w:p w14:paraId="5064B33F"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 (ENISA, 2024; IBM Security, 2024; Al-Qudah et al., 2025; Karanovic et al., 2024)، بينما ركزت معظم الدراسات السابقة على أحد هذين البعدين دون الآخر، حيث اهتمت بعض الدراسات بالبعد الأمني بشكل أساسي (Goghie, 2024; Ahammad et al., 2025) بينما ركزت دراسات أخرى على بعد الكفاءة والتكاليف (Grossmann et al., 2025; Lavayssière &amp; Zhang, 2025; Sakarneh &amp; Kilani, 2024)، وهذا النهج المتكامل يمكن من فهم التأثيرات المتشابكة والمتبادلة بين البعدين.</w:t>
      </w:r>
    </w:p>
    <w:p w14:paraId="423D52ED"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تطبيقها للأطر التنظيمية السعودية المحددة التي تحكم القطاع المالي (Saudi Central Bank, 2024; IMF, 2024)، بما في ذلك متطلبات مؤسسة النقد العربي السعودي (SAMA) ومتطلبات الهيئة الوطنية للأمن السيبراني (PCI Security Standards Council, 2024; ENISA, 2024)،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p>
    <w:p w14:paraId="45A31C2C"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 (Financial Stability Board, 2024; McKinsey &amp; Company, 2024; Thunes Research, 2025)، بينما ركزت بعض الدراسات السابقة على قطاعات أو تطبيقات محددة مثل أسواق السندات فقط (Grossmann et al., 2025; Lavayssière &amp; Zhang, 2025) أو الأصول الزراعية (Adigwe et al., 2024) أو الضمانات المصرفية (Almadadha, 2025)، مما يجعل الدراسة الحالية أكثر شمولية في تغطيتها لمختلف جوانب العمل المالي.</w:t>
      </w:r>
    </w:p>
    <w:p w14:paraId="1D7CA82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w:t>
      </w:r>
      <w:r w:rsidRPr="004F6AF4">
        <w:rPr>
          <w:rFonts w:ascii="Traditional Arabic" w:hAnsi="Traditional Arabic" w:cs="Traditional Arabic"/>
          <w:sz w:val="28"/>
          <w:szCs w:val="28"/>
          <w:rtl/>
        </w:rPr>
        <w:lastRenderedPageBreak/>
        <w:t>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p>
    <w:p w14:paraId="524C277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توقيتها الحرج ضمن مسيرة التحول الرقمي في المملكة (Saudi Central Bank, 2024; Thunes Research, 2025; IMF, 2024)،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p>
    <w:p w14:paraId="4E93537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2.4.3 أوجه استفادة الدراسة الحالية من الدراسات السابقة</w:t>
      </w:r>
    </w:p>
    <w:p w14:paraId="04F564B5"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استفادت الدراسة الحالية من الدراسات السابقة في عدة جوانب مهمة، حيث تتمثل أهم أوجه الاستفادة فيما يلي:</w:t>
      </w:r>
    </w:p>
    <w:p w14:paraId="552525E1"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بناء الإطار المفاهيمي والنظري للدراسة الحالية (Goghie, 2024; Ahammad et al., 2025; Carapella et al., 2023; Grossmann et al., 2025; Udeh et al., 2025)،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p>
    <w:p w14:paraId="0D2B167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تحديد المتغيرات الرئيسية والعلاقات المفترضة بينها (Al-Qudah et al., 2025; Almadadha, 2025; Karanovic et al., 2024; Sakarneh &amp; Kilani, 2024)،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p>
    <w:p w14:paraId="4908772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ساعدت الدراسات السابقة في اختيار المنهجية المناسبة وتصميم أدوات جمع البيانات (Al-Qudah et al., 2025; Karanovic et al., 2024; Sakarneh &amp; Kilani, 2024; Islam &amp; In, 2024)، حيث استفادت الدراسة الحالية من المنهجيات المتنوعة التي استخدمتها تلك الدراسات من حيث الأساليب الكمية </w:t>
      </w:r>
      <w:r w:rsidRPr="004F6AF4">
        <w:rPr>
          <w:rFonts w:ascii="Traditional Arabic" w:hAnsi="Traditional Arabic" w:cs="Traditional Arabic"/>
          <w:sz w:val="28"/>
          <w:szCs w:val="28"/>
          <w:rtl/>
        </w:rPr>
        <w:lastRenderedPageBreak/>
        <w:t>والنوعية والمختلطة، ومن تصميم الاستبانات والمقابلات وطرق التحليل الإحصائي، مما ساعد في تطوير منهجية شاملة ومناسبة للسياق السعودي.</w:t>
      </w:r>
    </w:p>
    <w:p w14:paraId="64D0741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تقدير حجم التأثيرات المتوقعة والمؤشرات الكمية المرجعية (Al-Qudah et al., 2025; Grossmann et al., 2025; Karanovic et al., 2024; Adigwe et al., 2024)،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p>
    <w:p w14:paraId="2C02EE3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فهم التحديات والعوائق المحتملة لتبني تقنية الترميز (Carapella et al., 2023; Goghie, 2024; Sakarneh &amp; Kilani, 2024; Multiple Authors, 2025)،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p>
    <w:p w14:paraId="0779E65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إثراء الإطار النظري من خلال النظريات والنماذج المستخدمة (Grossmann et al., 2025; Udeh et al., 2025; Sakarneh &amp; Kilani, 2024; Islam &amp; In, 2024)،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p>
    <w:p w14:paraId="6A854A3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تحديد الفجوة البحثية بوضوح ودقة (Goghie, 2024; Al-Qudah et al., 2025; Sakarneh &amp; Kilani, 2024; Karanovic et al., 2024)،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p>
    <w:p w14:paraId="167D71A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2.4.4 ما يميز الدراسة الحالية عن الدراسات السابقة</w:t>
      </w:r>
    </w:p>
    <w:p w14:paraId="657D102B"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p>
    <w:p w14:paraId="438920ED" w14:textId="77777777" w:rsidR="00F00638" w:rsidRPr="004F6AF4" w:rsidRDefault="00F00638" w:rsidP="00E000FF">
      <w:pPr>
        <w:bidi/>
        <w:spacing w:after="0" w:line="360" w:lineRule="auto"/>
        <w:jc w:val="both"/>
        <w:rPr>
          <w:rFonts w:ascii="Simplified Arabic" w:hAnsi="Simplified Arabic" w:cs="Simplified Arabic"/>
          <w:sz w:val="28"/>
          <w:szCs w:val="28"/>
        </w:rPr>
      </w:pPr>
    </w:p>
    <w:p w14:paraId="1B75FA3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2.4.5 الاتجاهات العامة للدراسات السابقة</w:t>
      </w:r>
    </w:p>
    <w:p w14:paraId="180D2E28"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تكشف مراجعة الدراسات السابقة عن تركّز واضح في ثلاثة اتجاهات: الاتجاه الأول يتناول الأثر الأمني للترميز في حماية بيانات الدفع، وهو الأكثر تكراراً؛ والاتجاه الثاني يتناول الأثر التشغيلي على زمن المعاملة وكلفتها؛ والاتجاه الثالث يربط التقنية بالسياسات الوطنية للتحول الرقمي. ويلاحَظ ضعف حضور الاتجاه الذي يجمع بين الأثرين الأمني والتشغيلي في دراسة واحدة.</w:t>
      </w:r>
    </w:p>
    <w:p w14:paraId="4CB0790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2.4.6 نقاط الاتفاق ونقاط الاختلاف</w:t>
      </w:r>
    </w:p>
    <w:p w14:paraId="291F690B"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lastRenderedPageBreak/>
        <w:t>تتفق غالبية الدراسات على وجود أثر إيجابي دال للترميز في خفض حوادث تسريب البيانات وفي تقليص نطاق الامتثال. وتختلف في تقدير حجم الأثر التشغيلي، إذ تُرجع بعض الدراسات التحسّن إلى الترميز ذاته بينما تُرجعه أخرى إلى إعادة هندسة العمليات المصاحبة لتطبيقه. ويعود جانب من هذا الاختلاف إلى تباين البيئات التنظيمية وإلى اختلاف مؤشرات القياس المستخدمة بين دراسة وأخرى.</w:t>
      </w:r>
    </w:p>
    <w:p w14:paraId="350D95A0"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2.4.7 القيود المنهجية في الدراسات السابقة</w:t>
      </w:r>
    </w:p>
    <w:p w14:paraId="6531F1AA"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تتمثل أبرز القيود المنهجية في صغر أحجام العينات في عدد من الدراسات، وغلبة المنهج الوصفي غير الاختباري، والاعتماد على بيانات معلنة من المؤسسات دون تحقق مستقل، وتركّز الدراسات في بيئات أوروبية وأمريكية تختلف أطرها التنظيمية عن البيئة السعودية. كما يغلب على أدوات القياس المستخدمة الطابع السببي في صياغة العبارات، وهو ما قد يوجّه استجابات المبحوثين.</w:t>
      </w:r>
    </w:p>
    <w:p w14:paraId="4810FF18"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2.4.8 الفجوة البحثية ومساهمة الدراسة الحالية</w:t>
      </w:r>
    </w:p>
    <w:p w14:paraId="4F170A9E"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تتحدد الفجوة البحثية في غياب دراسة ميدانية كمية تختبر أثر تقنية الترميز على الأمن السيبراني وكفاءة العمليات المالية معاً داخل المؤسسات المالية السعودية، وتربط هذا الأثر بإطار نظري مفسّر وبمستهدفات رؤية 2030. وتسدّ الدراسة الحالية هذه الفجوة عبر أداة مطبّقة على عينة من العاملين في المؤسسات المالية السعودية، وبأساليب إحصائية لامعلمية تختبر الأثر والفروق معاً، وبإطار نظري مستمد من نظرية التقنية والتنظيم والبيئة يفسّر تفاوت الأثر باختلاف سياق المؤسسة.</w:t>
      </w:r>
    </w:p>
    <w:p w14:paraId="7EC0F82A"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106" w:name="_Toc224563962"/>
      <w:bookmarkStart w:id="107" w:name="_Toc234424154"/>
      <w:r w:rsidRPr="004F6AF4">
        <w:rPr>
          <w:rFonts w:ascii="Traditional Arabic" w:hAnsi="Traditional Arabic" w:cs="Traditional Arabic"/>
          <w:b/>
          <w:bCs/>
          <w:sz w:val="28"/>
          <w:szCs w:val="28"/>
          <w:u w:val="single"/>
          <w:rtl/>
        </w:rPr>
        <w:t>2.5 خلاصة الفصل</w:t>
      </w:r>
      <w:bookmarkEnd w:id="106"/>
      <w:bookmarkEnd w:id="107"/>
    </w:p>
    <w:p w14:paraId="4BFD5BD1"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w:t>
      </w:r>
      <w:r w:rsidRPr="004F6AF4">
        <w:rPr>
          <w:rFonts w:ascii="Traditional Arabic" w:hAnsi="Traditional Arabic" w:cs="Traditional Arabic"/>
          <w:sz w:val="28"/>
          <w:szCs w:val="28"/>
          <w:rtl/>
        </w:rPr>
        <w:lastRenderedPageBreak/>
        <w:t>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p>
    <w:p w14:paraId="51B844CE"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p>
    <w:p w14:paraId="426131F6"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4A9CBE78" w14:textId="77777777" w:rsidR="001C4FBE" w:rsidRDefault="001C4FBE" w:rsidP="00E000FF">
      <w:pPr>
        <w:bidi/>
        <w:spacing w:after="0" w:line="360" w:lineRule="auto"/>
        <w:jc w:val="center"/>
        <w:rPr>
          <w:rFonts w:ascii="Simplified Arabic" w:hAnsi="Simplified Arabic" w:cs="Simplified Arabic"/>
          <w:b/>
          <w:bCs/>
          <w:sz w:val="48"/>
          <w:szCs w:val="48"/>
          <w:rtl/>
        </w:rPr>
      </w:pPr>
    </w:p>
    <w:p w14:paraId="303D7E42" w14:textId="77777777" w:rsidR="001C4FBE" w:rsidRDefault="001C4FBE" w:rsidP="00E000FF">
      <w:pPr>
        <w:bidi/>
        <w:spacing w:after="0" w:line="360" w:lineRule="auto"/>
        <w:jc w:val="center"/>
        <w:rPr>
          <w:rFonts w:ascii="Simplified Arabic" w:hAnsi="Simplified Arabic" w:cs="Simplified Arabic"/>
          <w:b/>
          <w:bCs/>
          <w:sz w:val="48"/>
          <w:szCs w:val="48"/>
        </w:rPr>
      </w:pPr>
    </w:p>
    <w:p w14:paraId="7A43D73C" w14:textId="5353779B" w:rsidR="001C4FBE" w:rsidRPr="004F6AF4" w:rsidRDefault="001C4FBE"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108" w:name="_Toc234424155"/>
      <w:r w:rsidRPr="004F6AF4">
        <w:rPr>
          <w:rFonts w:ascii="Traditional Arabic" w:hAnsi="Traditional Arabic" w:cs="Traditional Arabic"/>
          <w:b/>
          <w:bCs/>
          <w:sz w:val="92"/>
          <w:szCs w:val="92"/>
          <w:rtl/>
        </w:rPr>
        <w:t xml:space="preserve">الفصل </w:t>
      </w:r>
      <w:r w:rsidRPr="004F6AF4">
        <w:rPr>
          <w:rFonts w:ascii="Traditional Arabic" w:hAnsi="Traditional Arabic" w:cs="Traditional Arabic" w:hint="cs"/>
          <w:b/>
          <w:bCs/>
          <w:sz w:val="92"/>
          <w:szCs w:val="92"/>
          <w:rtl/>
        </w:rPr>
        <w:t>الثالث</w:t>
      </w:r>
      <w:bookmarkEnd w:id="108"/>
    </w:p>
    <w:p w14:paraId="629CB31A" w14:textId="69A10412" w:rsidR="003A3893" w:rsidRPr="004F6AF4" w:rsidRDefault="003A3893" w:rsidP="004F6AF4">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hint="cs"/>
          <w:b/>
          <w:bCs/>
          <w:sz w:val="92"/>
          <w:szCs w:val="92"/>
          <w:rtl/>
        </w:rPr>
        <w:t>منهجية الدراسة</w:t>
      </w:r>
    </w:p>
    <w:p w14:paraId="17A50A3E" w14:textId="77777777" w:rsidR="001C4FBE" w:rsidRDefault="001C4FBE" w:rsidP="00E000FF">
      <w:pPr>
        <w:bidi/>
        <w:spacing w:after="0" w:line="360" w:lineRule="auto"/>
        <w:jc w:val="center"/>
        <w:rPr>
          <w:b/>
          <w:bCs/>
          <w:sz w:val="96"/>
          <w:szCs w:val="96"/>
          <w:rtl/>
          <w:lang w:bidi="ar-EG"/>
        </w:rPr>
      </w:pPr>
    </w:p>
    <w:p w14:paraId="3186A04D" w14:textId="77777777" w:rsidR="001C4FBE" w:rsidRPr="00D370C1" w:rsidRDefault="001C4FBE" w:rsidP="00E000FF">
      <w:pPr>
        <w:bidi/>
        <w:spacing w:after="0" w:line="360" w:lineRule="auto"/>
        <w:jc w:val="center"/>
        <w:rPr>
          <w:b/>
          <w:bCs/>
          <w:sz w:val="96"/>
          <w:szCs w:val="96"/>
          <w:lang w:bidi="ar-EG"/>
        </w:rPr>
      </w:pPr>
    </w:p>
    <w:p w14:paraId="11B1E64C" w14:textId="357D76B3" w:rsidR="00B21BA2" w:rsidRDefault="00B21BA2" w:rsidP="00E000FF">
      <w:pPr>
        <w:bidi/>
        <w:spacing w:after="0" w:line="360" w:lineRule="auto"/>
        <w:jc w:val="center"/>
        <w:rPr>
          <w:b/>
          <w:bCs/>
          <w:sz w:val="96"/>
          <w:szCs w:val="96"/>
          <w:rtl/>
          <w:lang w:bidi="ar-EG"/>
        </w:rPr>
      </w:pPr>
    </w:p>
    <w:p w14:paraId="70DCB3B2" w14:textId="78515E23" w:rsidR="001C4FBE" w:rsidRDefault="001C4FBE" w:rsidP="00E000FF">
      <w:pPr>
        <w:bidi/>
        <w:spacing w:after="0" w:line="360" w:lineRule="auto"/>
        <w:rPr>
          <w:b/>
          <w:bCs/>
          <w:sz w:val="96"/>
          <w:szCs w:val="96"/>
          <w:rtl/>
          <w:lang w:bidi="ar-EG"/>
        </w:rPr>
      </w:pPr>
      <w:r>
        <w:rPr>
          <w:rFonts w:ascii="Traditional Arabic" w:hAnsi="Traditional Arabic" w:cs="Traditional Arabic"/>
          <w:b/>
          <w:bCs/>
          <w:sz w:val="24"/>
          <w:szCs w:val="24"/>
          <w:rtl/>
          <w:lang w:bidi="ar-EG"/>
        </w:rPr>
        <w:br w:type="page"/>
      </w:r>
    </w:p>
    <w:p w14:paraId="00AA934B" w14:textId="77777777" w:rsidR="00B35152" w:rsidRPr="004F6AF4" w:rsidRDefault="00B35152" w:rsidP="00E000FF">
      <w:pPr>
        <w:pStyle w:val="HeadingTOCEntry"/>
        <w:bidi/>
        <w:spacing w:after="0" w:line="360" w:lineRule="auto"/>
        <w:ind w:left="432" w:hanging="432"/>
        <w:rPr>
          <w:rFonts w:ascii="Simplified Arabic" w:hAnsi="Simplified Arabic" w:cs="Simplified Arabic"/>
          <w:b/>
          <w:bCs/>
          <w:sz w:val="28"/>
          <w:szCs w:val="28"/>
          <w:u w:val="single"/>
        </w:rPr>
      </w:pPr>
      <w:bookmarkStart w:id="109" w:name="_Toc234424156"/>
      <w:r w:rsidRPr="004F6AF4">
        <w:rPr>
          <w:rFonts w:ascii="Traditional Arabic" w:hAnsi="Traditional Arabic" w:cs="Traditional Arabic"/>
          <w:b/>
          <w:bCs/>
          <w:sz w:val="28"/>
          <w:szCs w:val="28"/>
          <w:u w:val="single"/>
          <w:rtl/>
        </w:rPr>
        <w:lastRenderedPageBreak/>
        <w:t>مقدمة</w:t>
      </w:r>
      <w:bookmarkEnd w:id="109"/>
    </w:p>
    <w:p w14:paraId="2AE15B05"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(Tokenization)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226DA031" w14:textId="77777777" w:rsidR="00B35152" w:rsidRPr="00D329C2" w:rsidRDefault="00B35152" w:rsidP="00E000FF">
      <w:pPr>
        <w:bidi/>
        <w:spacing w:after="0" w:line="360" w:lineRule="auto"/>
        <w:jc w:val="both"/>
        <w:rPr>
          <w:rFonts w:ascii="Simplified Arabic" w:hAnsi="Simplified Arabic" w:cs="Simplified Arabic"/>
          <w:sz w:val="28"/>
          <w:szCs w:val="28"/>
        </w:rPr>
      </w:pPr>
      <w:commentRangeStart w:id="110"/>
    </w:p>
    <w:p w14:paraId="62A740D1"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111" w:name="_Toc234424157"/>
      <w:r w:rsidRPr="004F6AF4">
        <w:rPr>
          <w:rFonts w:ascii="Traditional Arabic" w:hAnsi="Traditional Arabic" w:cs="Traditional Arabic"/>
          <w:b/>
          <w:bCs/>
          <w:sz w:val="28"/>
          <w:szCs w:val="28"/>
          <w:u w:val="single"/>
          <w:rtl/>
        </w:rPr>
        <w:t>3.2 أهداف الدراسة وفرضياتها</w:t>
      </w:r>
      <w:bookmarkEnd w:id="111"/>
    </w:p>
    <w:p w14:paraId="456E7F4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3.2.1 أهداف الدراسة</w:t>
      </w:r>
    </w:p>
    <w:p w14:paraId="3B15DE26"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تسعى هذه الدراسة إلى تحقيق الأهداف الآتية:</w:t>
      </w:r>
    </w:p>
    <w:p w14:paraId="50F82E59"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قياس أثر تطبيق تقنية الترميز على مستوى الأمن السيبراني في المؤسسات المالية السعودية.</w:t>
      </w:r>
    </w:p>
    <w:p w14:paraId="5C16DE4D"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تقييم أثر تطبيق تقنية الترميز على كفاءة العمليات المالية في المؤسسات المالية السعودية.</w:t>
      </w:r>
    </w:p>
    <w:p w14:paraId="745B253C"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p>
    <w:p w14:paraId="67B052E6"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Pr>
      </w:pPr>
      <w:r w:rsidRPr="004F6AF4">
        <w:rPr>
          <w:rFonts w:ascii="Traditional Arabic" w:hAnsi="Traditional Arabic" w:cs="Traditional Arabic"/>
          <w:sz w:val="28"/>
          <w:szCs w:val="28"/>
          <w:rtl/>
        </w:rPr>
        <w:t>دراسة العلاقة بين مستوى تطبيق تقنية الترميز ومستوى الامتثال للمتطلبات التنظيمية السعودية.</w:t>
      </w:r>
    </w:p>
    <w:p w14:paraId="7269352B"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الكشف عن الفروق في مستوى التوافق مع رؤية 2030 تبعاً لنوع المؤسسة المالية.</w:t>
      </w:r>
    </w:p>
    <w:p w14:paraId="492996E0"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5B8DEAB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3.2.2 فرضيات الدراسة</w:t>
      </w:r>
    </w:p>
    <w:p w14:paraId="6E723210"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اشتُقَّت فرضيات الدراسة من مشكلة الدراسة وأسئلتها والإطار النظري، بحيث يقابل كل سؤال بحثي فرض رئيس تتفرع عنه فروض فرعية بعدد أبعاد المتغير المستقل، وذلك على النحو الآتي:</w:t>
      </w:r>
    </w:p>
    <w:p w14:paraId="2DF789DF"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0C7105CF"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H1: يوجد أثر ذو دلالة إحصائية لتطبيق تقنية الترميز على مستوى الأمن السيبراني المؤسسي في المؤسسات المالية السعودية.</w:t>
      </w:r>
    </w:p>
    <w:p w14:paraId="41FF3381"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H1a: يوجد أثر ذو دلالة إحصائية لبُعد الترميز الأمني للبيانات على الأمن السيبراني المؤسسي.</w:t>
      </w:r>
    </w:p>
    <w:p w14:paraId="7667A91D"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H1b: يوجد أثر ذو دلالة إحصائية لبُعد الامتثال للمعايير الدولية على الأمن السيبراني المؤسسي.</w:t>
      </w:r>
    </w:p>
    <w:p w14:paraId="66F888D9"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H2: يوجد أثر ذو دلالة إحصائية لتطبيق تقنية الترميز على الكفاءة التشغيلية المالية في المؤسسات المالية السعودية.</w:t>
      </w:r>
    </w:p>
    <w:p w14:paraId="01CFA1CB"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H2a: يوجد أثر ذو دلالة إحصائية لبُعد الترميز الأمني للبيانات على الكفاءة التشغيلية المالية.</w:t>
      </w:r>
    </w:p>
    <w:p w14:paraId="157E9DB9"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H2b: يوجد أثر ذو دلالة إحصائية لبُعد الامتثال للمعايير الدولية على الكفاءة التشغيلية المالية.</w:t>
      </w:r>
    </w:p>
    <w:p w14:paraId="67A6E4F1"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H3: توجد فروق ذات دلالة إحصائية في مستويات متغيرات الدراسة تُعزى إلى خصائص المؤسسة المالية.</w:t>
      </w:r>
    </w:p>
    <w:p w14:paraId="357585CC"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H3a: توجد فروق ذات دلالة إحصائية في مستوى الامتثال للمعايير الدولية والأمن السيبراني المؤسسي تُعزى إلى مستوى تبنّي المؤسسة لتقنية الترميز.</w:t>
      </w:r>
    </w:p>
    <w:p w14:paraId="789AA771"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H3b: توجد فروق ذات دلالة إحصائية في مستوى التوافق مع رؤية 2030 تُعزى إلى نوع المؤسسة المالية.</w:t>
      </w:r>
      <w:commentRangeEnd w:id="110"/>
      <w:r w:rsidR="001501E7" w:rsidRPr="004F6AF4">
        <w:rPr>
          <w:rStyle w:val="affa"/>
          <w:rFonts w:ascii="Simplified Arabic" w:hAnsi="Simplified Arabic" w:cs="Simplified Arabic"/>
          <w:color w:val="auto"/>
          <w:sz w:val="28"/>
          <w:szCs w:val="28"/>
        </w:rPr>
        <w:commentReference w:id="110"/>
      </w:r>
    </w:p>
    <w:p w14:paraId="2BD80EE1"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1ABF9632"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112" w:name="_Toc234424158"/>
      <w:r w:rsidRPr="004F6AF4">
        <w:rPr>
          <w:rFonts w:ascii="Traditional Arabic" w:hAnsi="Traditional Arabic" w:cs="Traditional Arabic"/>
          <w:b/>
          <w:bCs/>
          <w:sz w:val="28"/>
          <w:szCs w:val="28"/>
          <w:u w:val="single"/>
          <w:rtl/>
        </w:rPr>
        <w:t>3.3 منهج الدراسة</w:t>
      </w:r>
      <w:bookmarkEnd w:id="112"/>
    </w:p>
    <w:p w14:paraId="42F1C871"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50A36D71"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8AA7273"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DF57CEC"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3.3.1 مصادر البيانات</w:t>
      </w:r>
    </w:p>
    <w:p w14:paraId="3DC626BA"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أولاً: المصادر الثانوية</w:t>
      </w:r>
    </w:p>
    <w:p w14:paraId="75C881DD"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PCI DSS وNIST وISO.</w:t>
      </w:r>
    </w:p>
    <w:p w14:paraId="282AE263"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أسهمت هذه المصادر في بناء الأساس النظري للدراسة وصياغة فرضياتها.</w:t>
      </w:r>
    </w:p>
    <w:p w14:paraId="103BC769"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605DB9A5"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ثانياً: المصادر الأولية</w:t>
      </w:r>
    </w:p>
    <w:p w14:paraId="06A7D91E"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70411622"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0BFB0613"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113" w:name="_Toc234424159"/>
      <w:r w:rsidRPr="004F6AF4">
        <w:rPr>
          <w:rFonts w:ascii="Traditional Arabic" w:hAnsi="Traditional Arabic" w:cs="Traditional Arabic"/>
          <w:b/>
          <w:bCs/>
          <w:sz w:val="28"/>
          <w:szCs w:val="28"/>
          <w:u w:val="single"/>
          <w:rtl/>
        </w:rPr>
        <w:t>3.4 مجتمع الدراسة وعينتها</w:t>
      </w:r>
      <w:bookmarkEnd w:id="113"/>
    </w:p>
    <w:p w14:paraId="3824B3C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3.4.1 مجتمع الدراسة</w:t>
      </w:r>
    </w:p>
    <w:p w14:paraId="7311F84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136F19A9"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البنوك التجارية التقليدية: 14 بنكاً مرخصاً.</w:t>
      </w:r>
    </w:p>
    <w:p w14:paraId="283815B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البنوك الرقمية: </w:t>
      </w:r>
      <w:r w:rsidRPr="004F6AF4">
        <w:rPr>
          <w:rFonts w:ascii="Traditional Arabic" w:hAnsi="Traditional Arabic" w:cs="Traditional Arabic" w:hint="cs"/>
          <w:sz w:val="28"/>
          <w:szCs w:val="28"/>
          <w:rtl/>
        </w:rPr>
        <w:t>2</w:t>
      </w:r>
      <w:r w:rsidRPr="004F6AF4">
        <w:rPr>
          <w:rFonts w:ascii="Traditional Arabic" w:hAnsi="Traditional Arabic" w:cs="Traditional Arabic"/>
          <w:sz w:val="28"/>
          <w:szCs w:val="28"/>
          <w:rtl/>
        </w:rPr>
        <w:t xml:space="preserve"> بنوك رقمية مرخصة وفق قائمة المرخصين الصادرة عن البنك المركزي السعودي (ساما، 2024)، وهي: بنك STC Pay، وبنك D360.</w:t>
      </w:r>
    </w:p>
    <w:p w14:paraId="0AA6564B"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شركات التقنية المالية (Fintech)</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224 شركة مرخصة أو حاصلة على موافقة تنظيمية.</w:t>
      </w:r>
    </w:p>
    <w:p w14:paraId="2A4926EE"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وبذلك يبلغ إجمالي مجتمع الدراسة 23</w:t>
      </w:r>
      <w:r w:rsidRPr="004F6AF4">
        <w:rPr>
          <w:rFonts w:ascii="Traditional Arabic" w:hAnsi="Traditional Arabic" w:cs="Traditional Arabic" w:hint="cs"/>
          <w:sz w:val="28"/>
          <w:szCs w:val="28"/>
          <w:rtl/>
        </w:rPr>
        <w:t>7</w:t>
      </w:r>
      <w:r w:rsidRPr="004F6AF4">
        <w:rPr>
          <w:rFonts w:ascii="Traditional Arabic" w:hAnsi="Traditional Arabic" w:cs="Traditional Arabic"/>
          <w:sz w:val="28"/>
          <w:szCs w:val="28"/>
          <w:rtl/>
        </w:rPr>
        <w:t xml:space="preserve"> مؤسسة مالية تعمل في البيئة المالية الرقمية السعودية.</w:t>
      </w:r>
    </w:p>
    <w:p w14:paraId="53674E54"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3.4.2 عينة الدراسة</w:t>
      </w:r>
    </w:p>
    <w:p w14:paraId="3D34CC80"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نظراً لطبيعة الدراسة التي تستهدف تقييم أثر تقنية متخصصة في سياق تنظيمي محدد، اعتمد الباحث على أسلوب العينة القصدية (Purposive Sampling). تُعدّ هذه الطريقة الأنسب لأن اختيار المؤسسات يستند إلى معايير محددة مسبقاً تضمن أن تكون العينة ممثِّلة للسياق الرقمي المالي المستهدف.</w:t>
      </w:r>
    </w:p>
    <w:p w14:paraId="2D961821"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معايير اختيار العينة:</w:t>
      </w:r>
    </w:p>
    <w:p w14:paraId="7228645B"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أن تكون المؤسسة مُرخَّصة من قِبَل البنك المركزي السعودي (ساما).</w:t>
      </w:r>
    </w:p>
    <w:p w14:paraId="129EE402"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أن تكون تقنية الترميز مطبَّقة أو في مرحلة دراسة التطبيق.</w:t>
      </w:r>
    </w:p>
    <w:p w14:paraId="749DD865"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تنوع حجم المؤسسة (كبيرة، متوسطة، صغيرة).</w:t>
      </w:r>
    </w:p>
    <w:p w14:paraId="66839951"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تنوع نوع المؤسسة (بنوك تقليدية، بنوك رقمية، شركات Fintech).</w:t>
      </w:r>
    </w:p>
    <w:p w14:paraId="619DB7B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وبناءً على هذه المعايير، وُزِّعت الاستبانة الإلكترونية على العاملين في وظائف تقنية المعلومات والأمن السيبراني والعمليات المالية والامتثال داخل المؤسسات المالية المستوفية لمعايير الاختيار، وبلغ عدد الاستجابات الصالحة للتحليل (196) استجابة، وهي العينة الفعلية المعتمدة في الفصل الرابع.</w:t>
      </w:r>
    </w:p>
    <w:p w14:paraId="7A9E4BB5"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5CB699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3.4.3 حجم العينة وتوزيعها</w:t>
      </w:r>
    </w:p>
    <w:p w14:paraId="60168D10"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المستوفية لمعايير الاختيار. وقد بلغ عدد الاستجابات الصالحة للتحليل الإحصائي (196) استجابة، وهي العينة الفعلية التي أُجري عليها التحليل الوارد في الفصل الرابع.</w:t>
      </w:r>
    </w:p>
    <w:p w14:paraId="5C2E981F" w14:textId="77777777" w:rsidR="00E62032" w:rsidRDefault="00E62032" w:rsidP="00E000FF">
      <w:pPr>
        <w:pStyle w:val="21"/>
        <w:bidi/>
        <w:spacing w:before="0" w:line="360" w:lineRule="auto"/>
        <w:jc w:val="both"/>
        <w:rPr>
          <w:rFonts w:ascii="Traditional Arabic" w:hAnsi="Traditional Arabic" w:cs="Traditional Arabic"/>
          <w:b/>
          <w:bCs/>
          <w:color w:val="auto"/>
          <w:sz w:val="28"/>
          <w:szCs w:val="28"/>
          <w:rtl/>
        </w:rPr>
      </w:pPr>
      <w:r w:rsidRPr="004F6AF4">
        <w:rPr>
          <w:rFonts w:ascii="Traditional Arabic" w:hAnsi="Traditional Arabic" w:cs="Traditional Arabic"/>
          <w:b/>
          <w:bCs/>
          <w:color w:val="auto"/>
          <w:sz w:val="28"/>
          <w:szCs w:val="28"/>
          <w:rtl/>
        </w:rPr>
        <w:t>ويُعدّ هذا الحجم كافياً من الناحية الإحصائية، إذ يتجاوز القاعدة المتعارف عليها التي تشترط ما لا يقل عن عشر استجابات لكل متغير متنبئ في نماذج الانحدار، كما يتجاوز الحد الأدنى اللازم لتطبيق الاختبارات اللامعلمية المستخدمة في الدراسة. ويوضح الجدول الآتي التوزيع الفعلي للعينة وفق نوع المؤسسة.</w:t>
      </w:r>
    </w:p>
    <w:p w14:paraId="5B652810" w14:textId="77777777" w:rsidR="004F6AF4" w:rsidRDefault="004F6AF4" w:rsidP="004F6AF4">
      <w:pPr>
        <w:bidi/>
        <w:rPr>
          <w:rtl/>
        </w:rPr>
      </w:pPr>
    </w:p>
    <w:p w14:paraId="7C881D21" w14:textId="77777777" w:rsidR="004F6AF4" w:rsidRPr="004F6AF4" w:rsidRDefault="004F6AF4" w:rsidP="004F6AF4">
      <w:pPr>
        <w:bidi/>
      </w:pP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4316"/>
        <w:gridCol w:w="1992"/>
        <w:gridCol w:w="1992"/>
      </w:tblGrid>
      <w:tr w:rsidR="005D691F" w:rsidRPr="004F6AF4" w14:paraId="05116E06" w14:textId="77777777" w:rsidTr="004F6AF4">
        <w:tc>
          <w:tcPr>
            <w:tcW w:w="4316" w:type="dxa"/>
            <w:shd w:val="clear" w:color="auto" w:fill="DCE9F5"/>
            <w:vAlign w:val="center"/>
          </w:tcPr>
          <w:p w14:paraId="028EBA0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lastRenderedPageBreak/>
              <w:t>نوع المؤسسة</w:t>
            </w:r>
          </w:p>
        </w:tc>
        <w:tc>
          <w:tcPr>
            <w:tcW w:w="1992" w:type="dxa"/>
            <w:shd w:val="clear" w:color="auto" w:fill="DCE9F5"/>
            <w:vAlign w:val="center"/>
          </w:tcPr>
          <w:p w14:paraId="38834D1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التكرار</w:t>
            </w:r>
          </w:p>
        </w:tc>
        <w:tc>
          <w:tcPr>
            <w:tcW w:w="1992" w:type="dxa"/>
            <w:shd w:val="clear" w:color="auto" w:fill="DCE9F5"/>
            <w:vAlign w:val="center"/>
          </w:tcPr>
          <w:p w14:paraId="2030A40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النسبة المئوية</w:t>
            </w:r>
          </w:p>
        </w:tc>
      </w:tr>
      <w:tr w:rsidR="005D691F" w:rsidRPr="004F6AF4" w14:paraId="336BD6D3" w14:textId="77777777" w:rsidTr="004F6AF4">
        <w:tc>
          <w:tcPr>
            <w:tcW w:w="4316" w:type="dxa"/>
            <w:vAlign w:val="center"/>
          </w:tcPr>
          <w:p w14:paraId="08B6889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البنوك التجارية</w:t>
            </w:r>
          </w:p>
        </w:tc>
        <w:tc>
          <w:tcPr>
            <w:tcW w:w="1992" w:type="dxa"/>
            <w:vAlign w:val="center"/>
          </w:tcPr>
          <w:p w14:paraId="5DA3BDD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87</w:t>
            </w:r>
          </w:p>
        </w:tc>
        <w:tc>
          <w:tcPr>
            <w:tcW w:w="1992" w:type="dxa"/>
            <w:vAlign w:val="center"/>
          </w:tcPr>
          <w:p w14:paraId="6DB77E0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44.4%</w:t>
            </w:r>
          </w:p>
        </w:tc>
      </w:tr>
      <w:tr w:rsidR="005D691F" w:rsidRPr="004F6AF4" w14:paraId="1A15EFD3" w14:textId="77777777" w:rsidTr="004F6AF4">
        <w:tc>
          <w:tcPr>
            <w:tcW w:w="4316" w:type="dxa"/>
            <w:vAlign w:val="center"/>
          </w:tcPr>
          <w:p w14:paraId="4B1D1A5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مؤسسات مالية أخرى</w:t>
            </w:r>
          </w:p>
        </w:tc>
        <w:tc>
          <w:tcPr>
            <w:tcW w:w="1992" w:type="dxa"/>
            <w:vAlign w:val="center"/>
          </w:tcPr>
          <w:p w14:paraId="3687821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36</w:t>
            </w:r>
          </w:p>
        </w:tc>
        <w:tc>
          <w:tcPr>
            <w:tcW w:w="1992" w:type="dxa"/>
            <w:vAlign w:val="center"/>
          </w:tcPr>
          <w:p w14:paraId="0795D4E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18.4%</w:t>
            </w:r>
          </w:p>
        </w:tc>
      </w:tr>
      <w:tr w:rsidR="005D691F" w:rsidRPr="004F6AF4" w14:paraId="35208CA8" w14:textId="77777777" w:rsidTr="004F6AF4">
        <w:tc>
          <w:tcPr>
            <w:tcW w:w="4316" w:type="dxa"/>
            <w:vAlign w:val="center"/>
          </w:tcPr>
          <w:p w14:paraId="569E2AD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الدفع الإلكتروني</w:t>
            </w:r>
          </w:p>
        </w:tc>
        <w:tc>
          <w:tcPr>
            <w:tcW w:w="1992" w:type="dxa"/>
            <w:vAlign w:val="center"/>
          </w:tcPr>
          <w:p w14:paraId="0CDDAAD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29</w:t>
            </w:r>
          </w:p>
        </w:tc>
        <w:tc>
          <w:tcPr>
            <w:tcW w:w="1992" w:type="dxa"/>
            <w:vAlign w:val="center"/>
          </w:tcPr>
          <w:p w14:paraId="2EEF807A"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14.8%</w:t>
            </w:r>
          </w:p>
        </w:tc>
      </w:tr>
      <w:tr w:rsidR="005D691F" w:rsidRPr="004F6AF4" w14:paraId="6485BE44" w14:textId="77777777" w:rsidTr="004F6AF4">
        <w:tc>
          <w:tcPr>
            <w:tcW w:w="4316" w:type="dxa"/>
            <w:vAlign w:val="center"/>
          </w:tcPr>
          <w:p w14:paraId="3CC0D5A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التأمين</w:t>
            </w:r>
          </w:p>
        </w:tc>
        <w:tc>
          <w:tcPr>
            <w:tcW w:w="1992" w:type="dxa"/>
            <w:vAlign w:val="center"/>
          </w:tcPr>
          <w:p w14:paraId="4CD26D7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26</w:t>
            </w:r>
          </w:p>
        </w:tc>
        <w:tc>
          <w:tcPr>
            <w:tcW w:w="1992" w:type="dxa"/>
            <w:vAlign w:val="center"/>
          </w:tcPr>
          <w:p w14:paraId="3FBD8435"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13.3%</w:t>
            </w:r>
          </w:p>
        </w:tc>
      </w:tr>
      <w:tr w:rsidR="005D691F" w:rsidRPr="004F6AF4" w14:paraId="678477F9" w14:textId="77777777" w:rsidTr="004F6AF4">
        <w:tc>
          <w:tcPr>
            <w:tcW w:w="4316" w:type="dxa"/>
            <w:vAlign w:val="center"/>
          </w:tcPr>
          <w:p w14:paraId="79E12EC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التقنية المالية (Fintech)</w:t>
            </w:r>
          </w:p>
        </w:tc>
        <w:tc>
          <w:tcPr>
            <w:tcW w:w="1992" w:type="dxa"/>
            <w:vAlign w:val="center"/>
          </w:tcPr>
          <w:p w14:paraId="4ECDC1E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18</w:t>
            </w:r>
          </w:p>
        </w:tc>
        <w:tc>
          <w:tcPr>
            <w:tcW w:w="1992" w:type="dxa"/>
            <w:vAlign w:val="center"/>
          </w:tcPr>
          <w:p w14:paraId="469544FD"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9.2%</w:t>
            </w:r>
          </w:p>
        </w:tc>
      </w:tr>
      <w:tr w:rsidR="005D691F" w:rsidRPr="004F6AF4" w14:paraId="5B8AD88E" w14:textId="77777777" w:rsidTr="004F6AF4">
        <w:tc>
          <w:tcPr>
            <w:tcW w:w="4316" w:type="dxa"/>
            <w:vAlign w:val="center"/>
          </w:tcPr>
          <w:p w14:paraId="5FFB720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الإجمالي</w:t>
            </w:r>
          </w:p>
        </w:tc>
        <w:tc>
          <w:tcPr>
            <w:tcW w:w="1992" w:type="dxa"/>
            <w:vAlign w:val="center"/>
          </w:tcPr>
          <w:p w14:paraId="4C52904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196</w:t>
            </w:r>
          </w:p>
        </w:tc>
        <w:tc>
          <w:tcPr>
            <w:tcW w:w="1992" w:type="dxa"/>
            <w:vAlign w:val="center"/>
          </w:tcPr>
          <w:p w14:paraId="167682F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100%</w:t>
            </w:r>
          </w:p>
        </w:tc>
      </w:tr>
    </w:tbl>
    <w:p w14:paraId="78A29A79"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(3.1): التوزيع الفعلي لعينة الدراسة وفق نوع المؤسسة (ن = 196)</w:t>
      </w:r>
    </w:p>
    <w:p w14:paraId="110CFA76"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ويتضح من الجدول أن البنوك التجارية شكّلت النسبة الأكبر من العينة، وهو ما يتسق مع كونها الأوسع تطبيقاً لتقنية الترميز في القطاع المالي السعودي. ولأغراض اختبار الفرض الفرعي H3b، أُعيد تصنيف هذه الفئات إلى ثلاث مجموعات متجانسة نسبياً هي: البنوك (87)، ومؤسسات الفنتك والدفع الإلكتروني (47)، والمؤسسات المالية الأخرى (62).</w:t>
      </w:r>
    </w:p>
    <w:p w14:paraId="400953D2"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40E16C64"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114" w:name="_Toc234424160"/>
      <w:r>
        <w:rPr>
          <w:rFonts w:ascii="Traditional Arabic" w:hAnsi="Traditional Arabic" w:cs="Traditional Arabic"/>
          <w:b/>
          <w:bCs/>
          <w:sz w:val="32"/>
          <w:szCs w:val="32"/>
          <w:u w:val="single"/>
          <w:rtl/>
        </w:rPr>
        <w:t>3.5 أدوات جمع البيانات</w:t>
      </w:r>
      <w:bookmarkEnd w:id="114"/>
    </w:p>
    <w:p w14:paraId="23080EA6" w14:textId="77777777" w:rsidR="00B35152" w:rsidRPr="007F40DD" w:rsidRDefault="00B35152" w:rsidP="00E000FF">
      <w:pPr>
        <w:bidi/>
        <w:spacing w:after="0" w:line="360" w:lineRule="auto"/>
        <w:jc w:val="both"/>
        <w:rPr>
          <w:rFonts w:ascii="Simplified Arabic" w:hAnsi="Simplified Arabic" w:cs="Simplified Arabic"/>
          <w:b/>
          <w:bCs/>
          <w:sz w:val="28"/>
          <w:szCs w:val="28"/>
        </w:rPr>
      </w:pPr>
      <w:r w:rsidRPr="007F40DD">
        <w:rPr>
          <w:rFonts w:ascii="Traditional Arabic" w:hAnsi="Traditional Arabic" w:cs="Traditional Arabic"/>
          <w:b/>
          <w:bCs/>
          <w:sz w:val="28"/>
          <w:szCs w:val="28"/>
          <w:rtl/>
        </w:rPr>
        <w:t>3.5.1 الاستبانة الإلكترونية</w:t>
      </w:r>
    </w:p>
    <w:p w14:paraId="0726B360" w14:textId="77777777" w:rsidR="00B35152" w:rsidRPr="007F40DD" w:rsidRDefault="00B35152" w:rsidP="00E000FF">
      <w:pPr>
        <w:bidi/>
        <w:spacing w:after="0" w:line="360" w:lineRule="auto"/>
        <w:jc w:val="both"/>
        <w:rPr>
          <w:rFonts w:ascii="Simplified Arabic" w:hAnsi="Simplified Arabic" w:cs="Simplified Arabic"/>
          <w:sz w:val="28"/>
          <w:szCs w:val="28"/>
          <w:rtl/>
        </w:rPr>
      </w:pPr>
      <w:r w:rsidRPr="007F40DD">
        <w:rPr>
          <w:rFonts w:ascii="Traditional Arabic" w:hAnsi="Traditional Arabic" w:cs="Traditional Arabic"/>
          <w:sz w:val="28"/>
          <w:szCs w:val="28"/>
          <w:rtl/>
        </w:rPr>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a9"/>
        <w:bidiVisual/>
        <w:tblW w:w="8297"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655"/>
        <w:gridCol w:w="2298"/>
        <w:gridCol w:w="2172"/>
        <w:gridCol w:w="2172"/>
      </w:tblGrid>
      <w:tr w:rsidR="00B35152" w:rsidRPr="007F40DD" w14:paraId="302DE114" w14:textId="77777777" w:rsidTr="007F40DD">
        <w:tc>
          <w:tcPr>
            <w:tcW w:w="1655" w:type="dxa"/>
            <w:shd w:val="clear" w:color="auto" w:fill="1F4E79"/>
            <w:vAlign w:val="center"/>
          </w:tcPr>
          <w:p w14:paraId="72BC1EC6"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الوزن</w:t>
            </w:r>
          </w:p>
        </w:tc>
        <w:tc>
          <w:tcPr>
            <w:tcW w:w="2298" w:type="dxa"/>
            <w:shd w:val="clear" w:color="auto" w:fill="1F4E79"/>
            <w:vAlign w:val="center"/>
          </w:tcPr>
          <w:p w14:paraId="35F574E9"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مستوى الموافقة</w:t>
            </w:r>
          </w:p>
        </w:tc>
        <w:tc>
          <w:tcPr>
            <w:tcW w:w="2172" w:type="dxa"/>
            <w:shd w:val="clear" w:color="auto" w:fill="1F4E79"/>
            <w:vAlign w:val="center"/>
          </w:tcPr>
          <w:p w14:paraId="2492E68A"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المدى</w:t>
            </w:r>
          </w:p>
        </w:tc>
        <w:tc>
          <w:tcPr>
            <w:tcW w:w="2172" w:type="dxa"/>
            <w:shd w:val="clear" w:color="auto" w:fill="1F4E79"/>
            <w:vAlign w:val="center"/>
          </w:tcPr>
          <w:p w14:paraId="32A2F215"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درجة الموافقة</w:t>
            </w:r>
          </w:p>
        </w:tc>
      </w:tr>
      <w:tr w:rsidR="00B35152" w:rsidRPr="007F40DD" w14:paraId="186A5D78" w14:textId="77777777" w:rsidTr="007F40DD">
        <w:tc>
          <w:tcPr>
            <w:tcW w:w="1655" w:type="dxa"/>
            <w:vAlign w:val="center"/>
          </w:tcPr>
          <w:p w14:paraId="6B2080BF"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5</w:t>
            </w:r>
          </w:p>
        </w:tc>
        <w:tc>
          <w:tcPr>
            <w:tcW w:w="2298" w:type="dxa"/>
            <w:vAlign w:val="center"/>
          </w:tcPr>
          <w:p w14:paraId="58F82056"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مرتفع جداً</w:t>
            </w:r>
          </w:p>
        </w:tc>
        <w:tc>
          <w:tcPr>
            <w:tcW w:w="2172" w:type="dxa"/>
            <w:vAlign w:val="center"/>
          </w:tcPr>
          <w:p w14:paraId="41FD744F"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4.21 - 5.00</w:t>
            </w:r>
          </w:p>
        </w:tc>
        <w:tc>
          <w:tcPr>
            <w:tcW w:w="2172" w:type="dxa"/>
            <w:vAlign w:val="center"/>
          </w:tcPr>
          <w:p w14:paraId="3363D836"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أوافق بشدة</w:t>
            </w:r>
          </w:p>
        </w:tc>
      </w:tr>
      <w:tr w:rsidR="00B35152" w:rsidRPr="007F40DD" w14:paraId="3FEDB14A" w14:textId="77777777" w:rsidTr="007F40DD">
        <w:tc>
          <w:tcPr>
            <w:tcW w:w="1655" w:type="dxa"/>
            <w:shd w:val="clear" w:color="auto" w:fill="E8F0F7"/>
            <w:vAlign w:val="center"/>
          </w:tcPr>
          <w:p w14:paraId="439093DE"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4</w:t>
            </w:r>
          </w:p>
        </w:tc>
        <w:tc>
          <w:tcPr>
            <w:tcW w:w="2298" w:type="dxa"/>
            <w:shd w:val="clear" w:color="auto" w:fill="E8F0F7"/>
            <w:vAlign w:val="center"/>
          </w:tcPr>
          <w:p w14:paraId="1C858C3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مرتفع</w:t>
            </w:r>
          </w:p>
        </w:tc>
        <w:tc>
          <w:tcPr>
            <w:tcW w:w="2172" w:type="dxa"/>
            <w:shd w:val="clear" w:color="auto" w:fill="E8F0F7"/>
            <w:vAlign w:val="center"/>
          </w:tcPr>
          <w:p w14:paraId="4A619271"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3.41 - 4.20</w:t>
            </w:r>
          </w:p>
        </w:tc>
        <w:tc>
          <w:tcPr>
            <w:tcW w:w="2172" w:type="dxa"/>
            <w:shd w:val="clear" w:color="auto" w:fill="E8F0F7"/>
            <w:vAlign w:val="center"/>
          </w:tcPr>
          <w:p w14:paraId="1C3BDF2E"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أوافق</w:t>
            </w:r>
          </w:p>
        </w:tc>
      </w:tr>
      <w:tr w:rsidR="00B35152" w:rsidRPr="007F40DD" w14:paraId="22C2F9D8" w14:textId="77777777" w:rsidTr="007F40DD">
        <w:tc>
          <w:tcPr>
            <w:tcW w:w="1655" w:type="dxa"/>
            <w:vAlign w:val="center"/>
          </w:tcPr>
          <w:p w14:paraId="1CB74BF6"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3</w:t>
            </w:r>
          </w:p>
        </w:tc>
        <w:tc>
          <w:tcPr>
            <w:tcW w:w="2298" w:type="dxa"/>
            <w:vAlign w:val="center"/>
          </w:tcPr>
          <w:p w14:paraId="3EE9DB4F"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متوسط</w:t>
            </w:r>
          </w:p>
        </w:tc>
        <w:tc>
          <w:tcPr>
            <w:tcW w:w="2172" w:type="dxa"/>
            <w:vAlign w:val="center"/>
          </w:tcPr>
          <w:p w14:paraId="2C8F2F5B"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2.61 - 3.40</w:t>
            </w:r>
          </w:p>
        </w:tc>
        <w:tc>
          <w:tcPr>
            <w:tcW w:w="2172" w:type="dxa"/>
            <w:vAlign w:val="center"/>
          </w:tcPr>
          <w:p w14:paraId="0C187EBE"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محايد</w:t>
            </w:r>
          </w:p>
        </w:tc>
      </w:tr>
      <w:tr w:rsidR="00B35152" w:rsidRPr="007F40DD" w14:paraId="40121269" w14:textId="77777777" w:rsidTr="007F40DD">
        <w:tc>
          <w:tcPr>
            <w:tcW w:w="1655" w:type="dxa"/>
            <w:shd w:val="clear" w:color="auto" w:fill="E8F0F7"/>
            <w:vAlign w:val="center"/>
          </w:tcPr>
          <w:p w14:paraId="2CF79D80"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2</w:t>
            </w:r>
          </w:p>
        </w:tc>
        <w:tc>
          <w:tcPr>
            <w:tcW w:w="2298" w:type="dxa"/>
            <w:shd w:val="clear" w:color="auto" w:fill="E8F0F7"/>
            <w:vAlign w:val="center"/>
          </w:tcPr>
          <w:p w14:paraId="3261FCA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منخفض</w:t>
            </w:r>
          </w:p>
        </w:tc>
        <w:tc>
          <w:tcPr>
            <w:tcW w:w="2172" w:type="dxa"/>
            <w:shd w:val="clear" w:color="auto" w:fill="E8F0F7"/>
            <w:vAlign w:val="center"/>
          </w:tcPr>
          <w:p w14:paraId="7426ABF8"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1.81 - 2.60</w:t>
            </w:r>
          </w:p>
        </w:tc>
        <w:tc>
          <w:tcPr>
            <w:tcW w:w="2172" w:type="dxa"/>
            <w:shd w:val="clear" w:color="auto" w:fill="E8F0F7"/>
            <w:vAlign w:val="center"/>
          </w:tcPr>
          <w:p w14:paraId="0AA03B5D"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لا أوافق</w:t>
            </w:r>
          </w:p>
        </w:tc>
      </w:tr>
      <w:tr w:rsidR="00B35152" w:rsidRPr="007F40DD" w14:paraId="70D696EB" w14:textId="77777777" w:rsidTr="007F40DD">
        <w:tc>
          <w:tcPr>
            <w:tcW w:w="1655" w:type="dxa"/>
            <w:vAlign w:val="center"/>
          </w:tcPr>
          <w:p w14:paraId="105925C2"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w:t>
            </w:r>
          </w:p>
        </w:tc>
        <w:tc>
          <w:tcPr>
            <w:tcW w:w="2298" w:type="dxa"/>
            <w:vAlign w:val="center"/>
          </w:tcPr>
          <w:p w14:paraId="470A2E43"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منخفض جداً</w:t>
            </w:r>
          </w:p>
        </w:tc>
        <w:tc>
          <w:tcPr>
            <w:tcW w:w="2172" w:type="dxa"/>
            <w:vAlign w:val="center"/>
          </w:tcPr>
          <w:p w14:paraId="6C9D8F50"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1.00 - 1.80</w:t>
            </w:r>
          </w:p>
        </w:tc>
        <w:tc>
          <w:tcPr>
            <w:tcW w:w="2172" w:type="dxa"/>
            <w:vAlign w:val="center"/>
          </w:tcPr>
          <w:p w14:paraId="738FDB22"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لا أوافق بشدة</w:t>
            </w:r>
          </w:p>
        </w:tc>
      </w:tr>
    </w:tbl>
    <w:p w14:paraId="7368A10A" w14:textId="77777777" w:rsidR="00B35152" w:rsidRDefault="00B35152" w:rsidP="00E000FF">
      <w:pPr>
        <w:pStyle w:val="TableCaption"/>
        <w:bidi/>
        <w:spacing w:after="0" w:line="300" w:lineRule="auto"/>
        <w:jc w:val="center"/>
        <w:rPr>
          <w:rFonts w:ascii="Simplified Arabic" w:hAnsi="Simplified Arabic" w:cs="Simplified Arabic"/>
          <w:sz w:val="24"/>
          <w:szCs w:val="24"/>
          <w:rtl/>
        </w:rPr>
      </w:pPr>
      <w:r>
        <w:rPr>
          <w:rFonts w:ascii="Traditional Arabic" w:hAnsi="Traditional Arabic" w:cs="Traditional Arabic"/>
          <w:b/>
          <w:bCs/>
          <w:sz w:val="24"/>
          <w:szCs w:val="24"/>
          <w:rtl/>
        </w:rPr>
        <w:t>جدول (3.2-ب): أوزان مقياس ليكرت الخماسي ومستويات الموافقة</w:t>
      </w:r>
    </w:p>
    <w:p w14:paraId="0FF6FD96" w14:textId="77777777" w:rsidR="00B35152" w:rsidRPr="007F40DD" w:rsidRDefault="00B35152" w:rsidP="00E000FF">
      <w:pPr>
        <w:bidi/>
        <w:spacing w:after="0" w:line="360" w:lineRule="auto"/>
        <w:jc w:val="both"/>
        <w:rPr>
          <w:rFonts w:ascii="Simplified Arabic" w:hAnsi="Simplified Arabic" w:cs="Simplified Arabic"/>
          <w:sz w:val="32"/>
          <w:szCs w:val="32"/>
          <w:rtl/>
        </w:rPr>
      </w:pPr>
      <w:r w:rsidRPr="007F40DD">
        <w:rPr>
          <w:rFonts w:ascii="Traditional Arabic" w:hAnsi="Traditional Arabic" w:cs="Traditional Arabic"/>
          <w:sz w:val="28"/>
          <w:szCs w:val="28"/>
          <w:rtl/>
        </w:rPr>
        <w:lastRenderedPageBreak/>
        <w:t>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PCI Security Standards Council).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116B2E33"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W w:w="8298" w:type="dxa"/>
        <w:jc w:val="center"/>
        <w:tblLook w:val="04A0" w:firstRow="1" w:lastRow="0" w:firstColumn="1" w:lastColumn="0" w:noHBand="0" w:noVBand="1"/>
      </w:tblPr>
      <w:tblGrid>
        <w:gridCol w:w="1960"/>
        <w:gridCol w:w="1280"/>
        <w:gridCol w:w="1957"/>
        <w:gridCol w:w="1176"/>
        <w:gridCol w:w="1925"/>
      </w:tblGrid>
      <w:tr w:rsidR="00B35152" w:rsidRPr="00DD4597" w14:paraId="7BEA7658" w14:textId="77777777" w:rsidTr="00FD6B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57D811AC"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w:t>
            </w:r>
          </w:p>
        </w:tc>
        <w:tc>
          <w:tcPr>
            <w:tcW w:w="1280" w:type="dxa"/>
            <w:vAlign w:val="center"/>
          </w:tcPr>
          <w:p w14:paraId="172AE7B3"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957" w:type="dxa"/>
            <w:vAlign w:val="center"/>
          </w:tcPr>
          <w:p w14:paraId="64078D4D"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الأبعاد الفرعية</w:t>
            </w:r>
          </w:p>
        </w:tc>
        <w:tc>
          <w:tcPr>
            <w:tcW w:w="1176" w:type="dxa"/>
            <w:vAlign w:val="center"/>
          </w:tcPr>
          <w:p w14:paraId="10C4A38F"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نوع المتغير</w:t>
            </w:r>
          </w:p>
        </w:tc>
        <w:tc>
          <w:tcPr>
            <w:tcW w:w="1925" w:type="dxa"/>
            <w:vAlign w:val="center"/>
          </w:tcPr>
          <w:p w14:paraId="62C35D98"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DD4597" w14:paraId="3387ABFC" w14:textId="77777777" w:rsidTr="00FD6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6CCAFDE9"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EMVCo, 2023; PCI DSS</w:t>
            </w:r>
          </w:p>
        </w:tc>
        <w:tc>
          <w:tcPr>
            <w:tcW w:w="1280" w:type="dxa"/>
            <w:vAlign w:val="center"/>
          </w:tcPr>
          <w:p w14:paraId="427BBBDF"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 عبارات</w:t>
            </w:r>
          </w:p>
        </w:tc>
        <w:tc>
          <w:tcPr>
            <w:tcW w:w="1957" w:type="dxa"/>
            <w:vAlign w:val="center"/>
          </w:tcPr>
          <w:p w14:paraId="1FE326F7"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أمان البيانات، </w:t>
            </w:r>
            <w:commentRangeStart w:id="115"/>
            <w:r>
              <w:rPr>
                <w:rFonts w:ascii="Traditional Arabic" w:hAnsi="Traditional Arabic" w:cs="Traditional Arabic"/>
                <w:rtl/>
              </w:rPr>
              <w:t>الحماية من الاحتيال</w:t>
            </w:r>
            <w:commentRangeEnd w:id="115"/>
            <w:r w:rsidR="00276F64" w:rsidRPr="00FB1CD1">
              <w:rPr>
                <w:rStyle w:val="affa"/>
                <w:rFonts w:ascii="Simplified Arabic" w:hAnsi="Simplified Arabic" w:cs="Simplified Arabic"/>
                <w:sz w:val="24"/>
                <w:szCs w:val="24"/>
              </w:rPr>
              <w:commentReference w:id="115"/>
            </w:r>
          </w:p>
        </w:tc>
        <w:tc>
          <w:tcPr>
            <w:tcW w:w="1176" w:type="dxa"/>
            <w:vAlign w:val="center"/>
          </w:tcPr>
          <w:p w14:paraId="685A9A1C"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مستقل</w:t>
            </w:r>
          </w:p>
        </w:tc>
        <w:tc>
          <w:tcPr>
            <w:tcW w:w="1925" w:type="dxa"/>
            <w:vAlign w:val="center"/>
          </w:tcPr>
          <w:p w14:paraId="76D70FD7"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D4597" w14:paraId="3DA154D5" w14:textId="77777777" w:rsidTr="00FD6BAF">
        <w:trPr>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76DDA634"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2023; NIST</w:t>
            </w:r>
          </w:p>
        </w:tc>
        <w:tc>
          <w:tcPr>
            <w:tcW w:w="1280" w:type="dxa"/>
            <w:vAlign w:val="center"/>
          </w:tcPr>
          <w:p w14:paraId="303E19EB"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7 عبارات</w:t>
            </w:r>
          </w:p>
        </w:tc>
        <w:tc>
          <w:tcPr>
            <w:tcW w:w="1957" w:type="dxa"/>
            <w:vAlign w:val="center"/>
          </w:tcPr>
          <w:p w14:paraId="59751E1E"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الوقاية، الاستجابة، </w:t>
            </w:r>
            <w:commentRangeStart w:id="116"/>
            <w:r>
              <w:rPr>
                <w:rFonts w:ascii="Traditional Arabic" w:hAnsi="Traditional Arabic" w:cs="Traditional Arabic"/>
                <w:rtl/>
              </w:rPr>
              <w:t>الامتثال</w:t>
            </w:r>
            <w:commentRangeEnd w:id="116"/>
            <w:r w:rsidR="00276F64" w:rsidRPr="00FB1CD1">
              <w:rPr>
                <w:rStyle w:val="affa"/>
                <w:rFonts w:ascii="Simplified Arabic" w:hAnsi="Simplified Arabic" w:cs="Simplified Arabic"/>
                <w:sz w:val="24"/>
                <w:szCs w:val="24"/>
              </w:rPr>
              <w:commentReference w:id="116"/>
            </w:r>
          </w:p>
        </w:tc>
        <w:tc>
          <w:tcPr>
            <w:tcW w:w="1176" w:type="dxa"/>
            <w:vAlign w:val="center"/>
          </w:tcPr>
          <w:p w14:paraId="7D114541"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تابع</w:t>
            </w:r>
          </w:p>
        </w:tc>
        <w:tc>
          <w:tcPr>
            <w:tcW w:w="1925" w:type="dxa"/>
            <w:vAlign w:val="center"/>
          </w:tcPr>
          <w:p w14:paraId="1A9ABF15"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D4597" w14:paraId="1B7ADA22" w14:textId="77777777" w:rsidTr="00FD6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71403ECD"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SAMA, 2023; BIS</w:t>
            </w:r>
          </w:p>
        </w:tc>
        <w:tc>
          <w:tcPr>
            <w:tcW w:w="1280" w:type="dxa"/>
            <w:vAlign w:val="center"/>
          </w:tcPr>
          <w:p w14:paraId="48B62CFE"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 عبارات</w:t>
            </w:r>
          </w:p>
        </w:tc>
        <w:tc>
          <w:tcPr>
            <w:tcW w:w="1957" w:type="dxa"/>
            <w:vAlign w:val="center"/>
          </w:tcPr>
          <w:p w14:paraId="0FE8E31E"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سرعة المعالجة، التكلفة، الدقة</w:t>
            </w:r>
          </w:p>
        </w:tc>
        <w:tc>
          <w:tcPr>
            <w:tcW w:w="1176" w:type="dxa"/>
            <w:vAlign w:val="center"/>
          </w:tcPr>
          <w:p w14:paraId="745DBD61"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تابع</w:t>
            </w:r>
          </w:p>
        </w:tc>
        <w:tc>
          <w:tcPr>
            <w:tcW w:w="1925" w:type="dxa"/>
            <w:vAlign w:val="center"/>
          </w:tcPr>
          <w:p w14:paraId="4B371704"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D4597" w14:paraId="0A33B5FA" w14:textId="77777777" w:rsidTr="00FD6BAF">
        <w:trPr>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530F107C"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ساما، 2022</w:t>
            </w:r>
          </w:p>
        </w:tc>
        <w:tc>
          <w:tcPr>
            <w:tcW w:w="1280" w:type="dxa"/>
            <w:vAlign w:val="center"/>
          </w:tcPr>
          <w:p w14:paraId="03F83F7D"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commentRangeStart w:id="117"/>
            <w:r>
              <w:rPr>
                <w:rFonts w:ascii="Traditional Arabic" w:hAnsi="Traditional Arabic" w:cs="Traditional Arabic"/>
                <w:rtl/>
              </w:rPr>
              <w:t>5 عبارات</w:t>
            </w:r>
          </w:p>
        </w:tc>
        <w:tc>
          <w:tcPr>
            <w:tcW w:w="1957" w:type="dxa"/>
            <w:vAlign w:val="center"/>
          </w:tcPr>
          <w:p w14:paraId="65A85B1A"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commentRangeStart w:id="118"/>
            <w:r>
              <w:rPr>
                <w:rFonts w:ascii="Traditional Arabic" w:hAnsi="Traditional Arabic" w:cs="Traditional Arabic"/>
                <w:rtl/>
              </w:rPr>
              <w:t>الامتثال التنظيمي</w:t>
            </w:r>
            <w:commentRangeEnd w:id="118"/>
            <w:r w:rsidR="00380C94" w:rsidRPr="00FB1CD1">
              <w:rPr>
                <w:rStyle w:val="affa"/>
                <w:rFonts w:ascii="Simplified Arabic" w:hAnsi="Simplified Arabic" w:cs="Simplified Arabic"/>
                <w:sz w:val="24"/>
                <w:szCs w:val="24"/>
              </w:rPr>
              <w:commentReference w:id="118"/>
            </w:r>
          </w:p>
        </w:tc>
        <w:tc>
          <w:tcPr>
            <w:tcW w:w="1176" w:type="dxa"/>
            <w:vAlign w:val="center"/>
          </w:tcPr>
          <w:p w14:paraId="06BBD33C"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تابع</w:t>
            </w:r>
          </w:p>
        </w:tc>
        <w:tc>
          <w:tcPr>
            <w:tcW w:w="1925" w:type="dxa"/>
            <w:vAlign w:val="center"/>
          </w:tcPr>
          <w:p w14:paraId="6EA34FA7"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commentRangeEnd w:id="117"/>
            <w:r w:rsidR="00276F64" w:rsidRPr="00FB1CD1">
              <w:rPr>
                <w:rStyle w:val="affa"/>
                <w:rFonts w:ascii="Simplified Arabic" w:hAnsi="Simplified Arabic" w:cs="Simplified Arabic"/>
                <w:sz w:val="24"/>
                <w:szCs w:val="24"/>
              </w:rPr>
              <w:commentReference w:id="117"/>
            </w:r>
          </w:p>
        </w:tc>
      </w:tr>
      <w:tr w:rsidR="00B35152" w:rsidRPr="00DD4597" w14:paraId="45883A4E" w14:textId="77777777" w:rsidTr="00FD6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7CD8F87B"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الأدبيات المتخصصة</w:t>
            </w:r>
          </w:p>
        </w:tc>
        <w:tc>
          <w:tcPr>
            <w:tcW w:w="1280" w:type="dxa"/>
            <w:vAlign w:val="center"/>
          </w:tcPr>
          <w:p w14:paraId="2AC17D86"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 عبارات</w:t>
            </w:r>
          </w:p>
        </w:tc>
        <w:tc>
          <w:tcPr>
            <w:tcW w:w="1957" w:type="dxa"/>
            <w:vAlign w:val="center"/>
          </w:tcPr>
          <w:p w14:paraId="5BF93473"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التحديات التقنية والتنظيمية</w:t>
            </w:r>
          </w:p>
        </w:tc>
        <w:tc>
          <w:tcPr>
            <w:tcW w:w="1176" w:type="dxa"/>
            <w:vAlign w:val="center"/>
          </w:tcPr>
          <w:p w14:paraId="025E1784"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commentRangeStart w:id="119"/>
            <w:r>
              <w:rPr>
                <w:rFonts w:ascii="Traditional Arabic" w:hAnsi="Traditional Arabic" w:cs="Traditional Arabic"/>
                <w:rtl/>
              </w:rPr>
              <w:t>معدِّل</w:t>
            </w:r>
          </w:p>
        </w:tc>
        <w:tc>
          <w:tcPr>
            <w:tcW w:w="1925" w:type="dxa"/>
            <w:vAlign w:val="center"/>
          </w:tcPr>
          <w:p w14:paraId="6EB8E077"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commentRangeEnd w:id="119"/>
            <w:r w:rsidR="00276F64" w:rsidRPr="00FB1CD1">
              <w:rPr>
                <w:rStyle w:val="affa"/>
                <w:rFonts w:ascii="Simplified Arabic" w:hAnsi="Simplified Arabic" w:cs="Simplified Arabic"/>
                <w:sz w:val="24"/>
                <w:szCs w:val="24"/>
              </w:rPr>
              <w:commentReference w:id="119"/>
            </w:r>
          </w:p>
        </w:tc>
      </w:tr>
    </w:tbl>
    <w:p w14:paraId="1631A3AC" w14:textId="77777777" w:rsidR="00B35152" w:rsidRPr="00085CAB"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(3.2): متغيرات الدراسة ومقاييسها</w:t>
      </w:r>
    </w:p>
    <w:p w14:paraId="0960AF17" w14:textId="77777777" w:rsidR="00B35152" w:rsidRDefault="00B35152" w:rsidP="00E000FF">
      <w:pPr>
        <w:bidi/>
        <w:spacing w:after="0" w:line="360" w:lineRule="auto"/>
        <w:jc w:val="both"/>
        <w:rPr>
          <w:rFonts w:ascii="Simplified Arabic" w:hAnsi="Simplified Arabic" w:cs="Simplified Arabic"/>
          <w:sz w:val="28"/>
          <w:szCs w:val="28"/>
        </w:rPr>
      </w:pPr>
    </w:p>
    <w:p w14:paraId="5D29C245" w14:textId="77777777" w:rsidR="00B35152" w:rsidRPr="0050606C"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hint="cs"/>
          <w:b/>
          <w:bCs/>
          <w:sz w:val="24"/>
          <w:szCs w:val="24"/>
          <w:rtl/>
        </w:rPr>
        <w:t>جدول</w:t>
      </w:r>
      <w:r>
        <w:rPr>
          <w:rFonts w:ascii="Traditional Arabic" w:hAnsi="Traditional Arabic" w:cs="Traditional Arabic"/>
          <w:b/>
          <w:bCs/>
          <w:sz w:val="24"/>
          <w:szCs w:val="24"/>
          <w:rtl/>
        </w:rPr>
        <w:t xml:space="preserve"> (3.2-</w:t>
      </w:r>
      <w:r>
        <w:rPr>
          <w:rFonts w:ascii="Traditional Arabic" w:hAnsi="Traditional Arabic" w:cs="Traditional Arabic" w:hint="cs"/>
          <w:b/>
          <w:bCs/>
          <w:sz w:val="24"/>
          <w:szCs w:val="24"/>
          <w:rtl/>
        </w:rPr>
        <w:t>أ</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المصادر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العلمية</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لبناء</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محاور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الاستبانة</w:t>
      </w:r>
    </w:p>
    <w:tbl>
      <w:tblPr>
        <w:tblStyle w:val="4-1"/>
        <w:tblW w:w="8298" w:type="dxa"/>
        <w:tblLook w:val="04A0" w:firstRow="1" w:lastRow="0" w:firstColumn="1" w:lastColumn="0" w:noHBand="0" w:noVBand="1"/>
      </w:tblPr>
      <w:tblGrid>
        <w:gridCol w:w="3218"/>
        <w:gridCol w:w="3154"/>
        <w:gridCol w:w="1926"/>
      </w:tblGrid>
      <w:tr w:rsidR="00B35152" w:rsidRPr="00DB43FD" w14:paraId="390BE81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260EC4C2"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 المعتمد</w:t>
            </w:r>
          </w:p>
        </w:tc>
        <w:tc>
          <w:tcPr>
            <w:tcW w:w="3154" w:type="dxa"/>
            <w:vAlign w:val="center"/>
          </w:tcPr>
          <w:p w14:paraId="1F9F0B57"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المصادر العلمية</w:t>
            </w:r>
          </w:p>
        </w:tc>
        <w:tc>
          <w:tcPr>
            <w:tcW w:w="1926" w:type="dxa"/>
            <w:vAlign w:val="center"/>
          </w:tcPr>
          <w:p w14:paraId="3382B94F"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المحور</w:t>
            </w:r>
          </w:p>
        </w:tc>
      </w:tr>
      <w:tr w:rsidR="00B35152" w:rsidRPr="00DB43FD" w14:paraId="4401D4E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18D36C69"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EMVCo (2023); PCI DSS (2022); Al-Otaibi et al. (2023)</w:t>
            </w:r>
          </w:p>
        </w:tc>
        <w:tc>
          <w:tcPr>
            <w:tcW w:w="3154" w:type="dxa"/>
            <w:vAlign w:val="center"/>
          </w:tcPr>
          <w:p w14:paraId="01F2B883"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معايير دولية + دراسات تطبيقية في الترميز المالي</w:t>
            </w:r>
          </w:p>
        </w:tc>
        <w:tc>
          <w:tcPr>
            <w:tcW w:w="1926" w:type="dxa"/>
            <w:vAlign w:val="center"/>
          </w:tcPr>
          <w:p w14:paraId="579D2E30"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B43FD" w14:paraId="0C0743AB"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1551C796"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(2022); NIST (2021); Al-Ghamdi &amp; Hassan (2022)</w:t>
            </w:r>
          </w:p>
        </w:tc>
        <w:tc>
          <w:tcPr>
            <w:tcW w:w="3154" w:type="dxa"/>
            <w:vAlign w:val="center"/>
          </w:tcPr>
          <w:p w14:paraId="7D629044"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إطار الأمن السيبراني الوطني + دراسات أمن المعلومات</w:t>
            </w:r>
          </w:p>
        </w:tc>
        <w:tc>
          <w:tcPr>
            <w:tcW w:w="1926" w:type="dxa"/>
            <w:vAlign w:val="center"/>
          </w:tcPr>
          <w:p w14:paraId="49458B8C"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B43FD" w14:paraId="7268A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0DBBA761"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BIS (2022); Arner et al. (2023); Al-Zahrani (2023)</w:t>
            </w:r>
          </w:p>
        </w:tc>
        <w:tc>
          <w:tcPr>
            <w:tcW w:w="3154" w:type="dxa"/>
            <w:vAlign w:val="center"/>
          </w:tcPr>
          <w:p w14:paraId="7310E6D0"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تقارير دولية + دراسات كفاءة العمليات المالية</w:t>
            </w:r>
          </w:p>
        </w:tc>
        <w:tc>
          <w:tcPr>
            <w:tcW w:w="1926" w:type="dxa"/>
            <w:vAlign w:val="center"/>
          </w:tcPr>
          <w:p w14:paraId="6A73AAB4"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B43FD" w14:paraId="7FA6D9C7"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32CFB77C" w14:textId="77777777" w:rsidR="00B35152" w:rsidRPr="00DB43FD" w:rsidRDefault="00B35152" w:rsidP="00E000FF">
            <w:pPr>
              <w:bidi/>
              <w:spacing w:after="0" w:line="260" w:lineRule="auto"/>
              <w:jc w:val="center"/>
              <w:rPr>
                <w:rFonts w:ascii="Simplified Arabic" w:hAnsi="Simplified Arabic" w:cs="Simplified Arabic"/>
                <w:sz w:val="24"/>
                <w:szCs w:val="24"/>
                <w:lang w:val="pt-BR"/>
              </w:rPr>
            </w:pPr>
            <w:r>
              <w:rPr>
                <w:rFonts w:ascii="Traditional Arabic" w:hAnsi="Traditional Arabic" w:cs="Traditional Arabic"/>
                <w:rtl/>
                <w:lang w:val="pt-BR"/>
              </w:rPr>
              <w:t>SAMA (2023); Basel III; Al-Malki (2022)</w:t>
            </w:r>
          </w:p>
        </w:tc>
        <w:tc>
          <w:tcPr>
            <w:tcW w:w="3154" w:type="dxa"/>
            <w:vAlign w:val="center"/>
          </w:tcPr>
          <w:p w14:paraId="65BED79A"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commentRangeStart w:id="120"/>
            <w:r>
              <w:rPr>
                <w:rFonts w:ascii="Traditional Arabic" w:hAnsi="Traditional Arabic" w:cs="Traditional Arabic"/>
                <w:rtl/>
              </w:rPr>
              <w:t>لوائح ساما + إطار بازل + دراسات الامتثال</w:t>
            </w:r>
            <w:commentRangeEnd w:id="120"/>
            <w:r w:rsidR="00380C94" w:rsidRPr="00DB43FD">
              <w:rPr>
                <w:rStyle w:val="affa"/>
                <w:rFonts w:ascii="Simplified Arabic" w:hAnsi="Simplified Arabic" w:cs="Simplified Arabic"/>
                <w:sz w:val="24"/>
                <w:szCs w:val="24"/>
              </w:rPr>
              <w:commentReference w:id="120"/>
            </w:r>
          </w:p>
        </w:tc>
        <w:tc>
          <w:tcPr>
            <w:tcW w:w="1926" w:type="dxa"/>
            <w:vAlign w:val="center"/>
          </w:tcPr>
          <w:p w14:paraId="65621AB1"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DB43FD" w14:paraId="50A829B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3EFDB38F"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Rogers (2003); Venkatesh et al. (2021); Al-Shehri (2022)</w:t>
            </w:r>
          </w:p>
        </w:tc>
        <w:tc>
          <w:tcPr>
            <w:tcW w:w="3154" w:type="dxa"/>
            <w:vAlign w:val="center"/>
          </w:tcPr>
          <w:p w14:paraId="25DE4FFD"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نظرية الابتكار + UTAUT + دراسات التبني التقني</w:t>
            </w:r>
          </w:p>
        </w:tc>
        <w:tc>
          <w:tcPr>
            <w:tcW w:w="1926" w:type="dxa"/>
            <w:vAlign w:val="center"/>
          </w:tcPr>
          <w:p w14:paraId="5CAF6AFC"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bl>
    <w:p w14:paraId="5E5598CA" w14:textId="77777777" w:rsidR="00B35152" w:rsidRDefault="00B35152" w:rsidP="00E000FF">
      <w:pPr>
        <w:bidi/>
        <w:spacing w:after="0" w:line="360" w:lineRule="auto"/>
        <w:jc w:val="both"/>
        <w:rPr>
          <w:rFonts w:ascii="Simplified Arabic" w:hAnsi="Simplified Arabic" w:cs="Simplified Arabic"/>
          <w:sz w:val="28"/>
          <w:szCs w:val="28"/>
          <w:rtl/>
        </w:rPr>
      </w:pPr>
    </w:p>
    <w:p w14:paraId="531CA0C8" w14:textId="77777777" w:rsidR="00FD6BAF" w:rsidRPr="00085CAB" w:rsidRDefault="00FD6BAF" w:rsidP="00FD6BAF">
      <w:pPr>
        <w:bidi/>
        <w:spacing w:after="0" w:line="360" w:lineRule="auto"/>
        <w:jc w:val="both"/>
        <w:rPr>
          <w:rFonts w:ascii="Simplified Arabic" w:hAnsi="Simplified Arabic" w:cs="Simplified Arabic"/>
          <w:sz w:val="28"/>
          <w:szCs w:val="28"/>
        </w:rPr>
      </w:pPr>
    </w:p>
    <w:p w14:paraId="14D35D85"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121" w:name="_Toc234424161"/>
      <w:r>
        <w:rPr>
          <w:rFonts w:ascii="Traditional Arabic" w:hAnsi="Traditional Arabic" w:cs="Traditional Arabic"/>
          <w:b/>
          <w:bCs/>
          <w:sz w:val="32"/>
          <w:szCs w:val="32"/>
          <w:u w:val="single"/>
          <w:rtl/>
        </w:rPr>
        <w:lastRenderedPageBreak/>
        <w:t>3.6 صدق أداة القياس</w:t>
      </w:r>
      <w:bookmarkEnd w:id="121"/>
    </w:p>
    <w:p w14:paraId="0BB76C85"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3.6.1 صدق المحكّمين</w:t>
      </w:r>
    </w:p>
    <w:p w14:paraId="16CADC72"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7F77C8BE"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3.6.2 صدق الاتساق الداخلي</w:t>
      </w:r>
    </w:p>
    <w:p w14:paraId="315D1E3B"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حُسِبَ معامل ارتباط سبيرمان بين درجة كل عبارة والدرجة الكلية للبُعد الذي تنتمي إليه، للتحقق من اتساق العبارات داخلياً. وقد جاءت جميع معاملات الارتباط دالة إحصائياً عند مستوى (0.01)، وتفصيل النتائج معروض في الفصل الرابع.</w:t>
      </w:r>
    </w:p>
    <w:p w14:paraId="5C5D84FD"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W w:w="5000" w:type="pct"/>
        <w:tblLook w:val="04A0" w:firstRow="1" w:lastRow="0" w:firstColumn="1" w:lastColumn="0" w:noHBand="0" w:noVBand="1"/>
      </w:tblPr>
      <w:tblGrid>
        <w:gridCol w:w="1660"/>
        <w:gridCol w:w="1659"/>
        <w:gridCol w:w="1659"/>
        <w:gridCol w:w="1659"/>
        <w:gridCol w:w="1659"/>
      </w:tblGrid>
      <w:tr w:rsidR="00B35152" w:rsidRPr="00FD6BAF" w14:paraId="4B76888B"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AC3C9A9"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القيمة الاحتمالية</w:t>
            </w:r>
          </w:p>
        </w:tc>
        <w:tc>
          <w:tcPr>
            <w:tcW w:w="1000" w:type="pct"/>
            <w:vAlign w:val="center"/>
          </w:tcPr>
          <w:p w14:paraId="141C1384"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الارتباط مع الدرجة الكلية</w:t>
            </w:r>
          </w:p>
        </w:tc>
        <w:tc>
          <w:tcPr>
            <w:tcW w:w="1000" w:type="pct"/>
            <w:vAlign w:val="center"/>
          </w:tcPr>
          <w:p w14:paraId="14256E7F"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القيمة الاحتمالية</w:t>
            </w:r>
          </w:p>
        </w:tc>
        <w:tc>
          <w:tcPr>
            <w:tcW w:w="1000" w:type="pct"/>
            <w:vAlign w:val="center"/>
          </w:tcPr>
          <w:p w14:paraId="7B0CB2CF"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الارتباط مع البُعد</w:t>
            </w:r>
          </w:p>
        </w:tc>
        <w:tc>
          <w:tcPr>
            <w:tcW w:w="1000" w:type="pct"/>
            <w:vAlign w:val="center"/>
          </w:tcPr>
          <w:p w14:paraId="3134A3A4"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رقم العبارة</w:t>
            </w:r>
          </w:p>
        </w:tc>
      </w:tr>
      <w:tr w:rsidR="00B35152" w:rsidRPr="00FD6BAF" w14:paraId="456FCD3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D611EA8"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31E1C48F"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3D3E7E4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217EA1C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21186DF"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1</w:t>
            </w:r>
          </w:p>
        </w:tc>
      </w:tr>
      <w:tr w:rsidR="00B35152" w:rsidRPr="00FD6BAF" w14:paraId="74F06232"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6D2167C9"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359786ED"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1200426"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144BD550"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3C4317AF"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2</w:t>
            </w:r>
          </w:p>
        </w:tc>
      </w:tr>
      <w:tr w:rsidR="00B35152" w:rsidRPr="00FD6BAF" w14:paraId="6E806EC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4F41F43"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646013FF"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54EC027D"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7D2861F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143BB9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3</w:t>
            </w:r>
          </w:p>
        </w:tc>
      </w:tr>
    </w:tbl>
    <w:p w14:paraId="50271A8B" w14:textId="77777777" w:rsidR="00B35152" w:rsidRDefault="00B35152" w:rsidP="00FD6BAF">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(3.3): نموذج عرض نتائج صدق الاتساق الداخلي</w:t>
      </w:r>
    </w:p>
    <w:p w14:paraId="0732145A" w14:textId="77777777" w:rsidR="00B35152" w:rsidRDefault="00B35152" w:rsidP="00E000FF">
      <w:pPr>
        <w:bidi/>
        <w:spacing w:after="0" w:line="360" w:lineRule="auto"/>
        <w:jc w:val="both"/>
        <w:rPr>
          <w:rFonts w:ascii="Simplified Arabic" w:hAnsi="Simplified Arabic" w:cs="Simplified Arabic"/>
          <w:sz w:val="28"/>
          <w:szCs w:val="28"/>
          <w:rtl/>
        </w:rPr>
      </w:pPr>
    </w:p>
    <w:p w14:paraId="2743699C" w14:textId="77777777" w:rsidR="00B35152" w:rsidRDefault="00B35152" w:rsidP="00E000FF">
      <w:pPr>
        <w:bidi/>
        <w:spacing w:after="0" w:line="360" w:lineRule="auto"/>
        <w:jc w:val="both"/>
        <w:rPr>
          <w:rFonts w:ascii="Simplified Arabic" w:hAnsi="Simplified Arabic" w:cs="Simplified Arabic"/>
          <w:sz w:val="28"/>
          <w:szCs w:val="28"/>
          <w:rtl/>
        </w:rPr>
      </w:pPr>
    </w:p>
    <w:p w14:paraId="1C5EF6AD" w14:textId="77777777" w:rsidR="00FD6BAF" w:rsidRDefault="00FD6BAF" w:rsidP="00FD6BAF">
      <w:pPr>
        <w:bidi/>
        <w:spacing w:after="0" w:line="360" w:lineRule="auto"/>
        <w:jc w:val="both"/>
        <w:rPr>
          <w:rFonts w:ascii="Simplified Arabic" w:hAnsi="Simplified Arabic" w:cs="Simplified Arabic"/>
          <w:sz w:val="28"/>
          <w:szCs w:val="28"/>
          <w:rtl/>
        </w:rPr>
      </w:pPr>
    </w:p>
    <w:p w14:paraId="22EB86D9" w14:textId="77777777" w:rsidR="00FD6BAF" w:rsidRDefault="00FD6BAF" w:rsidP="00FD6BAF">
      <w:pPr>
        <w:bidi/>
        <w:spacing w:after="0" w:line="360" w:lineRule="auto"/>
        <w:jc w:val="both"/>
        <w:rPr>
          <w:rFonts w:ascii="Simplified Arabic" w:hAnsi="Simplified Arabic" w:cs="Simplified Arabic"/>
          <w:sz w:val="28"/>
          <w:szCs w:val="28"/>
          <w:rtl/>
        </w:rPr>
      </w:pPr>
    </w:p>
    <w:p w14:paraId="60373FE4" w14:textId="77777777" w:rsidR="00B35152" w:rsidRPr="00682DDF"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3.6.3</w:t>
      </w:r>
      <w:r>
        <w:rPr>
          <w:rFonts w:ascii="Traditional Arabic" w:hAnsi="Traditional Arabic" w:cs="Traditional Arabic" w:hint="cs"/>
          <w:b/>
          <w:bCs/>
          <w:sz w:val="28"/>
          <w:szCs w:val="28"/>
          <w:rtl/>
        </w:rPr>
        <w:t xml:space="preserve"> صدق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المحتوى</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وإجراءات</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التحكيم</w:t>
      </w:r>
    </w:p>
    <w:p w14:paraId="429AECD6"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يُعدّ صدق المحتوى (Content Validity) ركيزةً أساسية في التحقق من قدرة الاستبانة على قياس المفاهيم التي صُمِّمت لأجلها. ولإثبات هذا الصدق، عُرضت الاستبانة في صورتها الأولية على مجموعة من المحكّمين المتخصصين من جامعة Midocean قبل تطبيقها الفعلي.</w:t>
      </w:r>
    </w:p>
    <w:p w14:paraId="4C7CB3DE"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أولاً: المحكّمون وتخصصاتهم</w:t>
      </w:r>
    </w:p>
    <w:p w14:paraId="670D3B97"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سيُستعان بمجموعة من الأساتذة المتخصصين من جامعة Midocean،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01B3F7EF"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ثانياً: إجراءات التحكيم</w:t>
      </w:r>
    </w:p>
    <w:p w14:paraId="703B4AC3"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ستُرسَل الاستبانة في صورتها الأولية إلى المحكّمين من أعضاء هيئة التدريس في جامعة Midocean،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حذف / إبقاء / إضافة). ولن تُوزَّع الاستبانة على عينة الدراسة الأساسية إلا بعد الأخذ بمرئيات المحكّمين وإجراء التعديلات اللازمة.</w:t>
      </w:r>
    </w:p>
    <w:p w14:paraId="2DB00ADD"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ثالثاً: معيار قبول التحكيم</w:t>
      </w:r>
    </w:p>
    <w:p w14:paraId="559D799B" w14:textId="77777777" w:rsidR="00B35152" w:rsidRPr="00FD6BAF" w:rsidRDefault="00B35152" w:rsidP="00E000FF">
      <w:pPr>
        <w:bidi/>
        <w:spacing w:after="0" w:line="360" w:lineRule="auto"/>
        <w:jc w:val="both"/>
        <w:rPr>
          <w:rFonts w:ascii="Simplified Arabic" w:hAnsi="Simplified Arabic" w:cs="Simplified Arabic"/>
          <w:sz w:val="28"/>
          <w:szCs w:val="28"/>
          <w:rtl/>
        </w:rPr>
      </w:pPr>
      <w:r w:rsidRPr="00FD6BAF">
        <w:rPr>
          <w:rFonts w:ascii="Traditional Arabic" w:hAnsi="Traditional Arabic" w:cs="Traditional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154F076D" w14:textId="77777777" w:rsidR="00B35152" w:rsidRPr="00FD6BAF" w:rsidRDefault="00B35152" w:rsidP="00E000FF">
      <w:pPr>
        <w:bidi/>
        <w:spacing w:after="0" w:line="360" w:lineRule="auto"/>
        <w:jc w:val="both"/>
        <w:rPr>
          <w:rFonts w:ascii="Simplified Arabic" w:hAnsi="Simplified Arabic" w:cs="Simplified Arabic"/>
          <w:b/>
          <w:bCs/>
          <w:sz w:val="28"/>
          <w:szCs w:val="28"/>
          <w:rtl/>
        </w:rPr>
      </w:pPr>
      <w:r w:rsidRPr="00FD6BAF">
        <w:rPr>
          <w:rFonts w:ascii="Traditional Arabic" w:hAnsi="Traditional Arabic" w:cs="Traditional Arabic"/>
          <w:b/>
          <w:bCs/>
          <w:sz w:val="28"/>
          <w:szCs w:val="28"/>
          <w:rtl/>
        </w:rPr>
        <w:t>رابعاً: نتائج التحكيم</w:t>
      </w:r>
    </w:p>
    <w:p w14:paraId="13DCAB74" w14:textId="77777777" w:rsidR="00B35152" w:rsidRPr="00FD6BAF" w:rsidRDefault="00B35152" w:rsidP="00E000FF">
      <w:pPr>
        <w:bidi/>
        <w:spacing w:after="0" w:line="360" w:lineRule="auto"/>
        <w:jc w:val="both"/>
        <w:rPr>
          <w:rFonts w:ascii="Simplified Arabic" w:hAnsi="Simplified Arabic" w:cs="Simplified Arabic"/>
          <w:sz w:val="28"/>
          <w:szCs w:val="28"/>
          <w:rtl/>
        </w:rPr>
      </w:pPr>
      <w:r w:rsidRPr="00FD6BAF">
        <w:rPr>
          <w:rFonts w:ascii="Traditional Arabic" w:hAnsi="Traditional Arabic" w:cs="Traditional Arabic"/>
          <w:sz w:val="28"/>
          <w:szCs w:val="28"/>
          <w:rtl/>
        </w:rPr>
        <w:t>بناءً على ملاحظات المحكّمين، أُعيدت صياغة عدد من الفقرات التي كانت تفترض علاقة سببية مباشرة إلى صيغة إدراكية تقيس تصوّر المستجيب، وحُذفت فقرات مكررة، وعُدِّلت صياغة أخرى لغوياً. وقد أُجريت جميع التعديلات المطلوبة قبل التطبيق النهائي للأداة. وتُرفَق قائمة المحكّمين وصورة الاستبانة في صورتها النهائية ضمن ملاحق الدراسة.</w:t>
      </w:r>
    </w:p>
    <w:p w14:paraId="0C165CAD"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50EE2234"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122" w:name="_Toc234424162"/>
      <w:r>
        <w:rPr>
          <w:rFonts w:ascii="Traditional Arabic" w:hAnsi="Traditional Arabic" w:cs="Traditional Arabic"/>
          <w:b/>
          <w:bCs/>
          <w:sz w:val="32"/>
          <w:szCs w:val="32"/>
          <w:u w:val="single"/>
          <w:rtl/>
        </w:rPr>
        <w:lastRenderedPageBreak/>
        <w:t>3.7 ثبات أداة القياس</w:t>
      </w:r>
      <w:bookmarkEnd w:id="122"/>
    </w:p>
    <w:p w14:paraId="5AA2F80F"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استُخدم معامل ألفا كرونباخ (Cronbach's Alpha)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(0.980)، وتفصيل النتائج معروض في الفصل الرابع.</w:t>
      </w:r>
    </w:p>
    <w:p w14:paraId="3913491E"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W w:w="5000" w:type="pct"/>
        <w:tblLook w:val="04A0" w:firstRow="1" w:lastRow="0" w:firstColumn="1" w:lastColumn="0" w:noHBand="0" w:noVBand="1"/>
      </w:tblPr>
      <w:tblGrid>
        <w:gridCol w:w="3481"/>
        <w:gridCol w:w="1923"/>
        <w:gridCol w:w="2892"/>
      </w:tblGrid>
      <w:tr w:rsidR="00B35152" w:rsidRPr="00CA7275" w14:paraId="6BDFD973" w14:textId="77777777" w:rsidTr="00FD6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33E8CC6E"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معامل ألفا كرونباخ</w:t>
            </w:r>
          </w:p>
        </w:tc>
        <w:tc>
          <w:tcPr>
            <w:tcW w:w="1159" w:type="pct"/>
            <w:vAlign w:val="center"/>
          </w:tcPr>
          <w:p w14:paraId="04F76B36"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743" w:type="pct"/>
            <w:vAlign w:val="center"/>
          </w:tcPr>
          <w:p w14:paraId="22D8A287"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CA7275" w14:paraId="60D2A7AC"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05A60AC4"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DF7A997"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3131DC06"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CA7275" w14:paraId="6A37F660"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0C7754FE"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59045024"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7</w:t>
            </w:r>
          </w:p>
        </w:tc>
        <w:tc>
          <w:tcPr>
            <w:tcW w:w="1743" w:type="pct"/>
            <w:vAlign w:val="center"/>
          </w:tcPr>
          <w:p w14:paraId="158353F1"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CA7275" w14:paraId="7760FB2A"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7FF3B90E"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40F5BC7"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1C40A75A"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CA7275" w14:paraId="26A39613"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5E90616F"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63F6BDCF"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w:t>
            </w:r>
          </w:p>
        </w:tc>
        <w:tc>
          <w:tcPr>
            <w:tcW w:w="1743" w:type="pct"/>
            <w:vAlign w:val="center"/>
          </w:tcPr>
          <w:p w14:paraId="0BDC89EA"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CA7275" w14:paraId="5F38A6CB"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6CC115FD"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67588DD"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6106D2A"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r w:rsidR="00B35152" w:rsidRPr="00CA7275" w14:paraId="4C5DEC5A"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1B639EFA"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57D69F81"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30</w:t>
            </w:r>
          </w:p>
        </w:tc>
        <w:tc>
          <w:tcPr>
            <w:tcW w:w="1743" w:type="pct"/>
            <w:vAlign w:val="center"/>
          </w:tcPr>
          <w:p w14:paraId="5FB20B07"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الاستبانة ككل</w:t>
            </w:r>
          </w:p>
        </w:tc>
      </w:tr>
    </w:tbl>
    <w:p w14:paraId="4A41063F" w14:textId="77777777" w:rsidR="00B35152" w:rsidRPr="00CA7275"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(3.4): نموذج عرض قيم معامل ألفا كرونباخ</w:t>
      </w:r>
    </w:p>
    <w:p w14:paraId="3B9978A7" w14:textId="77777777" w:rsidR="00B35152" w:rsidRDefault="00B35152" w:rsidP="00E000FF">
      <w:pPr>
        <w:bidi/>
        <w:spacing w:after="0" w:line="360" w:lineRule="auto"/>
        <w:jc w:val="both"/>
        <w:rPr>
          <w:rFonts w:ascii="Simplified Arabic" w:hAnsi="Simplified Arabic" w:cs="Simplified Arabic"/>
          <w:sz w:val="28"/>
          <w:szCs w:val="28"/>
          <w:rtl/>
        </w:rPr>
      </w:pPr>
    </w:p>
    <w:p w14:paraId="09B66960" w14:textId="77777777" w:rsidR="00B35152" w:rsidRPr="009A42B9" w:rsidRDefault="00B35152" w:rsidP="00E000FF">
      <w:pPr>
        <w:pStyle w:val="HeadingTOCEntry"/>
        <w:bidi/>
        <w:spacing w:after="0" w:line="360" w:lineRule="auto"/>
        <w:rPr>
          <w:rFonts w:ascii="Simplified Arabic" w:hAnsi="Simplified Arabic" w:cs="Simplified Arabic"/>
          <w:b/>
          <w:bCs/>
          <w:sz w:val="28"/>
          <w:szCs w:val="28"/>
          <w:u w:val="single"/>
        </w:rPr>
      </w:pPr>
      <w:bookmarkStart w:id="123" w:name="_Toc234424163"/>
      <w:r>
        <w:rPr>
          <w:rFonts w:ascii="Traditional Arabic" w:hAnsi="Traditional Arabic" w:cs="Traditional Arabic"/>
          <w:b/>
          <w:bCs/>
          <w:sz w:val="32"/>
          <w:szCs w:val="32"/>
          <w:u w:val="single"/>
          <w:rtl/>
        </w:rPr>
        <w:t>3.7.1</w:t>
      </w:r>
      <w:r>
        <w:rPr>
          <w:rFonts w:ascii="Traditional Arabic" w:hAnsi="Traditional Arabic" w:cs="Traditional Arabic" w:hint="cs"/>
          <w:b/>
          <w:bCs/>
          <w:sz w:val="32"/>
          <w:szCs w:val="32"/>
          <w:u w:val="single"/>
          <w:rtl/>
        </w:rPr>
        <w:t xml:space="preserve"> نتائج</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التطبيق</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الاستطلاعي</w:t>
      </w:r>
      <w:r>
        <w:rPr>
          <w:rFonts w:ascii="Traditional Arabic" w:hAnsi="Traditional Arabic" w:cs="Traditional Arabic"/>
          <w:b/>
          <w:bCs/>
          <w:sz w:val="32"/>
          <w:szCs w:val="32"/>
          <w:u w:val="single"/>
          <w:rtl/>
        </w:rPr>
        <w:t xml:space="preserve"> (Prototype)</w:t>
      </w:r>
      <w:bookmarkEnd w:id="123"/>
    </w:p>
    <w:p w14:paraId="35F53F06"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قبل الشروع في التطبيق الفعلي للاستبانة، سيُجرَى تطبيق استطلاعي (Prototype) يهدف إلى التحقق من جاهزية الأداة وصلاحيتها للتطبيق على عينة الدراسة الأساسية.</w:t>
      </w:r>
    </w:p>
    <w:p w14:paraId="1C7F9708"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أولاً: حجم العينة الاستطلاعية وأسلوب اختيارها</w:t>
      </w:r>
    </w:p>
    <w:p w14:paraId="65D1DD2E"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3F1F0E4B"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ثانياً: أهداف التطبيق الاستطلاعي</w:t>
      </w:r>
    </w:p>
    <w:p w14:paraId="25743242"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يهدف التطبيق الاستطلاعي إلى تحقيق الأغراض الآتية:</w:t>
      </w:r>
    </w:p>
    <w:p w14:paraId="75B8CDBD"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التحقق من وضوح العبارات وفهمها بالشكل المقصود دون لبس.</w:t>
      </w:r>
    </w:p>
    <w:p w14:paraId="4DB9BB9A"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تقدير الزمن المناسب للإجابة على الاستبانة كاملةً.</w:t>
      </w:r>
    </w:p>
    <w:p w14:paraId="695EEB2B"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تقييم تسلسل الفقرات ومنطقيتها من منظور المستجيب.</w:t>
      </w:r>
    </w:p>
    <w:p w14:paraId="7970C3DC"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lastRenderedPageBreak/>
        <w:t>رصد أي عبارات إشكالية تحتاج إعادة صياغة.</w:t>
      </w:r>
    </w:p>
    <w:p w14:paraId="7616B6B2"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حساب مؤشرات الصدق والثبات الأولية قبل التطبيق النهائي.</w:t>
      </w:r>
    </w:p>
    <w:p w14:paraId="606BBA88"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ثالثاً: التعديلات المتوقعة</w:t>
      </w:r>
    </w:p>
    <w:p w14:paraId="1FDFD497"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68EB6EE2" w14:textId="77777777" w:rsidR="00B35152" w:rsidRPr="009A42B9" w:rsidRDefault="00B35152" w:rsidP="00E000FF">
      <w:pPr>
        <w:bidi/>
        <w:spacing w:after="0" w:line="360" w:lineRule="auto"/>
        <w:jc w:val="both"/>
        <w:rPr>
          <w:rFonts w:ascii="Simplified Arabic" w:hAnsi="Simplified Arabic" w:cs="Simplified Arabic"/>
          <w:sz w:val="28"/>
          <w:szCs w:val="28"/>
        </w:rPr>
      </w:pPr>
    </w:p>
    <w:p w14:paraId="2B09BFA0"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124" w:name="_Toc234424164"/>
      <w:r>
        <w:rPr>
          <w:rFonts w:ascii="Traditional Arabic" w:hAnsi="Traditional Arabic" w:cs="Traditional Arabic"/>
          <w:b/>
          <w:bCs/>
          <w:sz w:val="32"/>
          <w:szCs w:val="32"/>
          <w:u w:val="single"/>
          <w:rtl/>
        </w:rPr>
        <w:t>3.8 الأساليب الإحصائية</w:t>
      </w:r>
      <w:bookmarkEnd w:id="124"/>
    </w:p>
    <w:p w14:paraId="300929B4"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نظراً لاعتماد الدراسة على العينة القصدية (غير الاحتمالية)، فإن الأساليب الإحصائية اللابارامترية (Non-parametric) هي الأنسب لتحليل البيانات. وستُستخدَم الأساليب الآتية:</w:t>
      </w:r>
    </w:p>
    <w:p w14:paraId="131DD28A"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FD6BAF" w14:paraId="4AA369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22A71C"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الفرضية المرتبطة</w:t>
            </w:r>
          </w:p>
        </w:tc>
        <w:tc>
          <w:tcPr>
            <w:tcW w:w="1903" w:type="pct"/>
          </w:tcPr>
          <w:p w14:paraId="1E71D91B"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الهدف من الاستخدام</w:t>
            </w:r>
          </w:p>
        </w:tc>
        <w:tc>
          <w:tcPr>
            <w:tcW w:w="2113" w:type="pct"/>
          </w:tcPr>
          <w:p w14:paraId="10A2A512"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الأسلوب الإحصائي</w:t>
            </w:r>
          </w:p>
        </w:tc>
      </w:tr>
      <w:tr w:rsidR="00B35152" w:rsidRPr="00FD6BAF" w14:paraId="54DD63A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0886B2"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وصف العينة</w:t>
            </w:r>
          </w:p>
        </w:tc>
        <w:tc>
          <w:tcPr>
            <w:tcW w:w="1903" w:type="pct"/>
          </w:tcPr>
          <w:p w14:paraId="3424567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وصف خصائص عينة الدراسة والمتغيرات</w:t>
            </w:r>
          </w:p>
        </w:tc>
        <w:tc>
          <w:tcPr>
            <w:tcW w:w="2113" w:type="pct"/>
          </w:tcPr>
          <w:p w14:paraId="71152FF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الإحصاء الوصفي (Mean, SD)</w:t>
            </w:r>
          </w:p>
        </w:tc>
      </w:tr>
      <w:tr w:rsidR="00B35152" w:rsidRPr="00FD6BAF" w14:paraId="135A9F39"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4C43F61F"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H1, H2</w:t>
            </w:r>
          </w:p>
        </w:tc>
        <w:tc>
          <w:tcPr>
            <w:tcW w:w="1903" w:type="pct"/>
          </w:tcPr>
          <w:p w14:paraId="6645ECE9"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قياس قوة العلاقة بين المتغيرات الكمية</w:t>
            </w:r>
          </w:p>
        </w:tc>
        <w:tc>
          <w:tcPr>
            <w:tcW w:w="2113" w:type="pct"/>
          </w:tcPr>
          <w:p w14:paraId="239E84D5"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ارتباط سبيرمان</w:t>
            </w:r>
          </w:p>
        </w:tc>
      </w:tr>
      <w:tr w:rsidR="00B35152" w:rsidRPr="00FD6BAF" w14:paraId="74E7205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9AF7E5"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H3</w:t>
            </w:r>
          </w:p>
        </w:tc>
        <w:tc>
          <w:tcPr>
            <w:tcW w:w="1903" w:type="pct"/>
          </w:tcPr>
          <w:p w14:paraId="5224C9C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المقارنة بين نوعين من المؤسسات</w:t>
            </w:r>
          </w:p>
        </w:tc>
        <w:tc>
          <w:tcPr>
            <w:tcW w:w="2113" w:type="pct"/>
          </w:tcPr>
          <w:p w14:paraId="685DE355"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اختبار مان-ويتني (Mann-Whitney U)</w:t>
            </w:r>
          </w:p>
        </w:tc>
      </w:tr>
      <w:tr w:rsidR="00B35152" w:rsidRPr="00FD6BAF" w14:paraId="3B336EB0"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1D1DD50"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H3</w:t>
            </w:r>
          </w:p>
        </w:tc>
        <w:tc>
          <w:tcPr>
            <w:tcW w:w="1903" w:type="pct"/>
          </w:tcPr>
          <w:p w14:paraId="4B242931"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المقارنة بين أكثر من مجموعتين</w:t>
            </w:r>
          </w:p>
        </w:tc>
        <w:tc>
          <w:tcPr>
            <w:tcW w:w="2113" w:type="pct"/>
          </w:tcPr>
          <w:p w14:paraId="454D228E"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اختبار كروسكال-واليس (Kruskal-Wallis)</w:t>
            </w:r>
          </w:p>
        </w:tc>
      </w:tr>
      <w:tr w:rsidR="00B35152" w:rsidRPr="00FD6BAF" w14:paraId="2155E8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3F2A2C41"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H4</w:t>
            </w:r>
          </w:p>
        </w:tc>
        <w:tc>
          <w:tcPr>
            <w:tcW w:w="1903" w:type="pct"/>
          </w:tcPr>
          <w:p w14:paraId="4FF09D0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قياس العلاقة بين الامتثال وتقنية الترميز</w:t>
            </w:r>
          </w:p>
        </w:tc>
        <w:tc>
          <w:tcPr>
            <w:tcW w:w="2113" w:type="pct"/>
          </w:tcPr>
          <w:p w14:paraId="5CC58A4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انحدار روبست (Robust Regression)</w:t>
            </w:r>
          </w:p>
        </w:tc>
      </w:tr>
      <w:tr w:rsidR="00B35152" w:rsidRPr="00FD6BAF" w14:paraId="07C6A238"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77D6D6D1"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H5</w:t>
            </w:r>
          </w:p>
        </w:tc>
        <w:tc>
          <w:tcPr>
            <w:tcW w:w="1903" w:type="pct"/>
          </w:tcPr>
          <w:p w14:paraId="07FC0BA3"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تأثير التحديات على التبني التنظيمي</w:t>
            </w:r>
          </w:p>
        </w:tc>
        <w:tc>
          <w:tcPr>
            <w:tcW w:w="2113" w:type="pct"/>
          </w:tcPr>
          <w:p w14:paraId="6B571B7E"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ارتباط سبيرمان</w:t>
            </w:r>
          </w:p>
        </w:tc>
      </w:tr>
      <w:tr w:rsidR="00B35152" w:rsidRPr="00FD6BAF" w14:paraId="63D2458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6A49F21E"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الفرضية المرتبطة</w:t>
            </w:r>
          </w:p>
        </w:tc>
        <w:tc>
          <w:tcPr>
            <w:tcW w:w="1903" w:type="pct"/>
          </w:tcPr>
          <w:p w14:paraId="31DA567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الهدف من الاستخدام</w:t>
            </w:r>
          </w:p>
        </w:tc>
        <w:tc>
          <w:tcPr>
            <w:tcW w:w="2113" w:type="pct"/>
          </w:tcPr>
          <w:p w14:paraId="20331C5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الأسلوب الإحصائي</w:t>
            </w:r>
          </w:p>
        </w:tc>
      </w:tr>
    </w:tbl>
    <w:p w14:paraId="14C1969F" w14:textId="77777777" w:rsidR="00B35152" w:rsidRPr="0087261A"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(3.5): الأساليب الإحصائية وارتباطها بفرضيات الدراسة</w:t>
      </w:r>
    </w:p>
    <w:p w14:paraId="61BC180B" w14:textId="77777777" w:rsidR="00B35152" w:rsidRPr="00DF2AA7" w:rsidRDefault="00B35152" w:rsidP="00E000FF">
      <w:pPr>
        <w:bidi/>
        <w:spacing w:after="0" w:line="360" w:lineRule="auto"/>
        <w:jc w:val="both"/>
        <w:rPr>
          <w:rFonts w:ascii="Simplified Arabic" w:hAnsi="Simplified Arabic" w:cs="Simplified Arabic"/>
          <w:sz w:val="28"/>
          <w:szCs w:val="28"/>
          <w:rtl/>
        </w:rPr>
      </w:pPr>
    </w:p>
    <w:p w14:paraId="07F34660"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ستُحلَّل جميع البيانات الكمية باستخدام برنامج الحزم الإحصائية للعلوم الاجتماعية (SPSS).</w:t>
      </w:r>
    </w:p>
    <w:p w14:paraId="1ADF8554" w14:textId="77777777" w:rsidR="00B35152" w:rsidRDefault="00B35152" w:rsidP="00E000FF">
      <w:pPr>
        <w:bidi/>
        <w:spacing w:after="0" w:line="360" w:lineRule="auto"/>
        <w:jc w:val="both"/>
        <w:rPr>
          <w:rFonts w:ascii="Simplified Arabic" w:hAnsi="Simplified Arabic" w:cs="Simplified Arabic"/>
          <w:sz w:val="28"/>
          <w:szCs w:val="28"/>
          <w:rtl/>
        </w:rPr>
      </w:pPr>
    </w:p>
    <w:p w14:paraId="0530638B" w14:textId="77777777" w:rsidR="00FD6BAF" w:rsidRDefault="00FD6BAF" w:rsidP="00FD6BAF">
      <w:pPr>
        <w:bidi/>
        <w:spacing w:after="0" w:line="360" w:lineRule="auto"/>
        <w:jc w:val="both"/>
        <w:rPr>
          <w:rFonts w:ascii="Simplified Arabic" w:hAnsi="Simplified Arabic" w:cs="Simplified Arabic"/>
          <w:sz w:val="28"/>
          <w:szCs w:val="28"/>
          <w:rtl/>
        </w:rPr>
      </w:pPr>
    </w:p>
    <w:p w14:paraId="1A5C3E2C" w14:textId="77777777" w:rsidR="00FD6BAF" w:rsidRPr="0087261A" w:rsidRDefault="00FD6BAF" w:rsidP="00FD6BAF">
      <w:pPr>
        <w:bidi/>
        <w:spacing w:after="0" w:line="360" w:lineRule="auto"/>
        <w:jc w:val="both"/>
        <w:rPr>
          <w:rFonts w:ascii="Simplified Arabic" w:hAnsi="Simplified Arabic" w:cs="Simplified Arabic"/>
          <w:sz w:val="28"/>
          <w:szCs w:val="28"/>
        </w:rPr>
      </w:pPr>
    </w:p>
    <w:p w14:paraId="0C0AA0B0"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125" w:name="_Toc234424165"/>
      <w:r>
        <w:rPr>
          <w:rFonts w:ascii="Traditional Arabic" w:hAnsi="Traditional Arabic" w:cs="Traditional Arabic"/>
          <w:b/>
          <w:bCs/>
          <w:sz w:val="32"/>
          <w:szCs w:val="32"/>
          <w:u w:val="single"/>
          <w:rtl/>
        </w:rPr>
        <w:lastRenderedPageBreak/>
        <w:t>3.9 الاعتبارات الأخلاقية</w:t>
      </w:r>
      <w:bookmarkEnd w:id="125"/>
    </w:p>
    <w:p w14:paraId="0EC34A1F"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ستُراعَى في هذه الدراسة جميع الاعتبارات الأخلاقية المتعلقة بالبحث العلمي، وتشمل:</w:t>
      </w:r>
    </w:p>
    <w:p w14:paraId="74FF33FE" w14:textId="77777777" w:rsidR="00B35152" w:rsidRPr="00FD6BAF" w:rsidRDefault="00B35152" w:rsidP="00E000FF">
      <w:pPr>
        <w:pStyle w:val="a5"/>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الحصول على الموافقة المُستنيرة (Informed Consent) من جميع المشاركين قبل جمع البيانات.</w:t>
      </w:r>
    </w:p>
    <w:p w14:paraId="7D7A81F8" w14:textId="77777777" w:rsidR="00B35152" w:rsidRPr="00FD6BAF" w:rsidRDefault="00B35152" w:rsidP="00E000FF">
      <w:pPr>
        <w:pStyle w:val="a5"/>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ضمان سرية هوية المشاركين وعدم الكشف عن المعلومات الخاصة بهم.</w:t>
      </w:r>
    </w:p>
    <w:p w14:paraId="5FD8FA1B" w14:textId="77777777" w:rsidR="00B35152" w:rsidRPr="00FD6BAF" w:rsidRDefault="00B35152" w:rsidP="00E000FF">
      <w:pPr>
        <w:pStyle w:val="a5"/>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توضيح أن المشاركة طوعية وأن للمشارك الحق في الانسحاب في أي وقت.</w:t>
      </w:r>
    </w:p>
    <w:p w14:paraId="21FFD71F" w14:textId="77777777" w:rsidR="00B35152" w:rsidRPr="0087261A" w:rsidRDefault="00B35152" w:rsidP="00E000FF">
      <w:pPr>
        <w:pStyle w:val="a5"/>
        <w:numPr>
          <w:ilvl w:val="0"/>
          <w:numId w:val="59"/>
        </w:num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استخدام البيانات لأغراض البحث العلمي فقط.</w:t>
      </w:r>
    </w:p>
    <w:p w14:paraId="6EEC76A8"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br w:type="page"/>
      </w:r>
    </w:p>
    <w:p w14:paraId="1A7D9A91" w14:textId="77777777" w:rsidR="00FD201E" w:rsidRDefault="00FD201E" w:rsidP="00E000FF">
      <w:pPr>
        <w:bidi/>
        <w:spacing w:after="0" w:line="360" w:lineRule="auto"/>
        <w:jc w:val="both"/>
        <w:rPr>
          <w:rFonts w:ascii="Simplified Arabic" w:hAnsi="Simplified Arabic" w:cs="Simplified Arabic"/>
          <w:sz w:val="28"/>
          <w:szCs w:val="28"/>
          <w:rtl/>
        </w:rPr>
      </w:pPr>
    </w:p>
    <w:p w14:paraId="04577A62" w14:textId="77777777" w:rsidR="00FD201E" w:rsidRDefault="00FD201E" w:rsidP="00E000FF">
      <w:pPr>
        <w:bidi/>
        <w:spacing w:after="0" w:line="360" w:lineRule="auto"/>
        <w:jc w:val="both"/>
        <w:rPr>
          <w:rFonts w:ascii="Simplified Arabic" w:hAnsi="Simplified Arabic" w:cs="Simplified Arabic"/>
          <w:sz w:val="28"/>
          <w:szCs w:val="28"/>
          <w:rtl/>
        </w:rPr>
      </w:pPr>
    </w:p>
    <w:p w14:paraId="05F48EC8" w14:textId="77777777" w:rsidR="00FD201E" w:rsidRDefault="00FD201E" w:rsidP="00E000FF">
      <w:pPr>
        <w:bidi/>
        <w:spacing w:after="0" w:line="360" w:lineRule="auto"/>
        <w:jc w:val="both"/>
        <w:rPr>
          <w:rFonts w:ascii="Simplified Arabic" w:hAnsi="Simplified Arabic" w:cs="Simplified Arabic"/>
          <w:sz w:val="28"/>
          <w:szCs w:val="28"/>
          <w:rtl/>
        </w:rPr>
      </w:pPr>
    </w:p>
    <w:p w14:paraId="7AA087C5" w14:textId="77777777" w:rsidR="00FD201E" w:rsidRDefault="00FD201E" w:rsidP="00E000FF">
      <w:pPr>
        <w:bidi/>
        <w:spacing w:after="0" w:line="360" w:lineRule="auto"/>
        <w:jc w:val="both"/>
        <w:rPr>
          <w:rFonts w:ascii="Simplified Arabic" w:hAnsi="Simplified Arabic" w:cs="Simplified Arabic"/>
          <w:sz w:val="28"/>
          <w:szCs w:val="28"/>
          <w:rtl/>
        </w:rPr>
      </w:pPr>
    </w:p>
    <w:p w14:paraId="4EA80062" w14:textId="77777777" w:rsidR="00FD201E" w:rsidRDefault="00FD201E" w:rsidP="00E000FF">
      <w:pPr>
        <w:bidi/>
        <w:spacing w:after="0" w:line="360" w:lineRule="auto"/>
        <w:jc w:val="both"/>
        <w:rPr>
          <w:rFonts w:ascii="Simplified Arabic" w:hAnsi="Simplified Arabic" w:cs="Simplified Arabic"/>
          <w:sz w:val="28"/>
          <w:szCs w:val="28"/>
          <w:rtl/>
        </w:rPr>
      </w:pPr>
    </w:p>
    <w:p w14:paraId="56117210" w14:textId="77777777" w:rsidR="00FD201E" w:rsidRDefault="00FD201E" w:rsidP="00E000FF">
      <w:pPr>
        <w:bidi/>
        <w:spacing w:after="0" w:line="360" w:lineRule="auto"/>
        <w:jc w:val="both"/>
        <w:rPr>
          <w:rFonts w:ascii="Simplified Arabic" w:hAnsi="Simplified Arabic" w:cs="Simplified Arabic"/>
          <w:sz w:val="28"/>
          <w:szCs w:val="28"/>
          <w:rtl/>
        </w:rPr>
      </w:pPr>
    </w:p>
    <w:p w14:paraId="39B1D1A1" w14:textId="77777777" w:rsidR="00FD201E" w:rsidRDefault="00FD201E" w:rsidP="00E000FF">
      <w:pPr>
        <w:bidi/>
        <w:spacing w:after="0" w:line="360" w:lineRule="auto"/>
        <w:jc w:val="both"/>
        <w:rPr>
          <w:rFonts w:ascii="Simplified Arabic" w:hAnsi="Simplified Arabic" w:cs="Simplified Arabic"/>
          <w:sz w:val="28"/>
          <w:szCs w:val="28"/>
          <w:rtl/>
        </w:rPr>
      </w:pPr>
    </w:p>
    <w:p w14:paraId="75B6E865" w14:textId="77777777" w:rsidR="00FD201E" w:rsidRDefault="00FD201E" w:rsidP="00E000FF">
      <w:pPr>
        <w:bidi/>
        <w:spacing w:after="0" w:line="360" w:lineRule="auto"/>
        <w:jc w:val="both"/>
        <w:rPr>
          <w:rFonts w:ascii="Simplified Arabic" w:hAnsi="Simplified Arabic" w:cs="Simplified Arabic"/>
          <w:sz w:val="28"/>
          <w:szCs w:val="28"/>
          <w:rtl/>
        </w:rPr>
      </w:pPr>
    </w:p>
    <w:p w14:paraId="2D18BECE" w14:textId="77777777" w:rsidR="00FD201E" w:rsidRDefault="00FD201E" w:rsidP="00E000FF">
      <w:pPr>
        <w:bidi/>
        <w:spacing w:after="0" w:line="360" w:lineRule="auto"/>
        <w:jc w:val="both"/>
        <w:rPr>
          <w:rFonts w:ascii="Simplified Arabic" w:hAnsi="Simplified Arabic" w:cs="Simplified Arabic"/>
          <w:sz w:val="28"/>
          <w:szCs w:val="28"/>
          <w:rtl/>
        </w:rPr>
      </w:pPr>
    </w:p>
    <w:p w14:paraId="640EFB69" w14:textId="77777777" w:rsidR="00FD201E" w:rsidRPr="00D329C2" w:rsidRDefault="00FD201E" w:rsidP="00E000FF">
      <w:pPr>
        <w:bidi/>
        <w:spacing w:after="0" w:line="360" w:lineRule="auto"/>
        <w:jc w:val="both"/>
        <w:rPr>
          <w:rFonts w:ascii="Simplified Arabic" w:hAnsi="Simplified Arabic" w:cs="Simplified Arabic"/>
          <w:sz w:val="28"/>
          <w:szCs w:val="28"/>
        </w:rPr>
      </w:pPr>
    </w:p>
    <w:p w14:paraId="17A443B1" w14:textId="7C1DCC3B" w:rsidR="00481285" w:rsidRPr="00FD6BAF" w:rsidRDefault="00481285"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126" w:name="_Toc234424166"/>
      <w:r w:rsidRPr="00FD6BAF">
        <w:rPr>
          <w:rFonts w:ascii="Traditional Arabic" w:hAnsi="Traditional Arabic" w:cs="Traditional Arabic"/>
          <w:b/>
          <w:bCs/>
          <w:sz w:val="92"/>
          <w:szCs w:val="92"/>
          <w:rtl/>
        </w:rPr>
        <w:t xml:space="preserve">الفصل </w:t>
      </w:r>
      <w:r w:rsidRPr="00FD6BAF">
        <w:rPr>
          <w:rFonts w:ascii="Traditional Arabic" w:hAnsi="Traditional Arabic" w:cs="Traditional Arabic" w:hint="cs"/>
          <w:b/>
          <w:bCs/>
          <w:sz w:val="92"/>
          <w:szCs w:val="92"/>
          <w:rtl/>
        </w:rPr>
        <w:t>الرابع</w:t>
      </w:r>
      <w:bookmarkEnd w:id="126"/>
    </w:p>
    <w:p w14:paraId="5D7B27B1" w14:textId="77777777" w:rsidR="007C5A80" w:rsidRPr="007C5A80" w:rsidRDefault="007C5A80" w:rsidP="00E000FF">
      <w:pPr>
        <w:pStyle w:val="HeadingTOCEntry"/>
        <w:bidi/>
        <w:spacing w:after="0" w:line="360" w:lineRule="auto"/>
        <w:ind w:left="432" w:hanging="432"/>
        <w:jc w:val="center"/>
        <w:rPr>
          <w:rFonts w:ascii="Simplified Arabic" w:hAnsi="Simplified Arabic" w:cs="Simplified Arabic"/>
          <w:b/>
          <w:bCs/>
          <w:sz w:val="96"/>
          <w:szCs w:val="96"/>
        </w:rPr>
      </w:pPr>
      <w:bookmarkStart w:id="127" w:name="_Toc234424167"/>
      <w:r w:rsidRPr="00FD6BAF">
        <w:rPr>
          <w:rFonts w:ascii="Traditional Arabic" w:hAnsi="Traditional Arabic" w:cs="Traditional Arabic"/>
          <w:b/>
          <w:bCs/>
          <w:sz w:val="92"/>
          <w:szCs w:val="92"/>
          <w:rtl/>
        </w:rPr>
        <w:t>عرض وتحليل نتائج الدراسة</w:t>
      </w:r>
      <w:bookmarkEnd w:id="127"/>
    </w:p>
    <w:p w14:paraId="5364CF8D" w14:textId="74BF93E8" w:rsidR="00E07760" w:rsidRDefault="00E07760" w:rsidP="00E000FF">
      <w:pPr>
        <w:bidi/>
        <w:spacing w:after="0" w:line="360" w:lineRule="auto"/>
        <w:rPr>
          <w:rtl/>
        </w:rPr>
      </w:pPr>
      <w:r>
        <w:rPr>
          <w:rFonts w:ascii="Traditional Arabic" w:hAnsi="Traditional Arabic" w:cs="Traditional Arabic"/>
          <w:sz w:val="24"/>
          <w:szCs w:val="24"/>
          <w:rtl/>
        </w:rPr>
        <w:br w:type="page"/>
      </w:r>
    </w:p>
    <w:p w14:paraId="5BE7B6FB"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128" w:name="_Toc234424168"/>
      <w:commentRangeStart w:id="129"/>
      <w:r>
        <w:rPr>
          <w:rFonts w:ascii="Traditional Arabic" w:hAnsi="Traditional Arabic" w:cs="Traditional Arabic"/>
          <w:b/>
          <w:bCs/>
          <w:sz w:val="32"/>
          <w:szCs w:val="32"/>
          <w:u w:val="single"/>
          <w:rtl/>
        </w:rPr>
        <w:lastRenderedPageBreak/>
        <w:t>مقدمة</w:t>
      </w:r>
      <w:bookmarkEnd w:id="128"/>
      <w:commentRangeEnd w:id="129"/>
      <w:r w:rsidR="00380C94" w:rsidRPr="004F7D3F">
        <w:rPr>
          <w:rStyle w:val="affa"/>
          <w:rFonts w:ascii="Simplified Arabic" w:hAnsi="Simplified Arabic" w:cs="Simplified Arabic"/>
          <w:b/>
          <w:bCs/>
          <w:sz w:val="28"/>
          <w:szCs w:val="28"/>
          <w:u w:val="single"/>
        </w:rPr>
        <w:commentReference w:id="129"/>
      </w:r>
    </w:p>
    <w:p w14:paraId="6363AD99"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يُعَدّ هذا الفصل من الفصول الجوهرية في هذه الأطروحة، إذ يمثّل الجانب التطبيقي للإطارين النظري والمنهجي اللذين تم عرضهما في الفصلين الثاني والثالث، ويعكس قدرة الباحث على تحليل البيانات الميدانية وتفسيرها تفسيراً علمياً دقيقاً ومنهجياً. ويهدف هذا الفصل إلى عرض نتائج الدراسة الميدانية وتحليلها باستخدام مجموعة من الأساليب الإحصائية الوصفية والاستدلالية غير المعلمية، بما يتلاءم مع طبيعة البيانات ومستوى القياس وحجم العينة القصدية المعتمدة، وذلك بغرض اختبار فرضيات الدراسة الخمس والإجابة عن أسئلتها البحثية، تمهيداً لمناقشة هذه النتائج وتفسيرها في الفصل الخامس.</w:t>
      </w:r>
    </w:p>
    <w:p w14:paraId="0207AE70"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طُبِّقت الاستبانة الإلكترونية على عينة قصدية بلغ حجمها 196 استجابة صحيحة ومكتملة من العاملين في المؤسسات المالية السعودية موضع الدراسة، بعد استبعاد الاستجابات غير المكتملة أو التي لم تتضمن موافقة صريحة على المشاركة. ويرتبط هذا الفصل ارتباطاً مباشراً بالفصل الثالث، حيث يعتمد في تحليلاته على أداة الدراسة المكوّنة من خمسة أبعاد رئيسية (الترميز الأمني للبيانات، الامتثال للمعايير الدولية، الكفاءة التشغيلية المالية، الأمن السيبراني المؤسسي، التوافق مع رؤية 2030)، وعلى المنهج الإحصائي غير المعلمي الذي تحدد اعتماده بناءً على نتائج اختبار افتراضات التوزيع الطبيعي الواردة في هذا الفصل.</w:t>
      </w:r>
    </w:p>
    <w:p w14:paraId="7BBBA8B8"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المنقّح، وينتهي الفصل بتلخيص أبرز النتائج التي تم التوصل إليها.</w:t>
      </w:r>
    </w:p>
    <w:p w14:paraId="6944973A"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130" w:name="_Toc234424169"/>
      <w:r>
        <w:rPr>
          <w:rFonts w:ascii="Traditional Arabic" w:hAnsi="Traditional Arabic" w:cs="Traditional Arabic"/>
          <w:b/>
          <w:bCs/>
          <w:sz w:val="32"/>
          <w:szCs w:val="32"/>
          <w:u w:val="single"/>
          <w:rtl/>
        </w:rPr>
        <w:t>أولاً: الخصائص الديموغرافية لأفراد العينة</w:t>
      </w:r>
      <w:bookmarkEnd w:id="130"/>
    </w:p>
    <w:p w14:paraId="076A6AB5" w14:textId="77777777" w:rsidR="007608E1" w:rsidRPr="00FD6BAF" w:rsidRDefault="007608E1" w:rsidP="00E000FF">
      <w:pPr>
        <w:bidi/>
        <w:spacing w:after="0" w:line="360" w:lineRule="auto"/>
        <w:jc w:val="both"/>
        <w:rPr>
          <w:sz w:val="28"/>
          <w:szCs w:val="28"/>
        </w:rPr>
      </w:pPr>
      <w:r w:rsidRPr="00FD6BAF">
        <w:rPr>
          <w:rFonts w:ascii="Traditional Arabic" w:eastAsia="Simplified Arabic" w:hAnsi="Traditional Arabic" w:cs="Traditional Arabic"/>
          <w:sz w:val="28"/>
          <w:szCs w:val="28"/>
          <w:rtl/>
        </w:rPr>
        <w:t>يتناول هذا الجزء عرضاً وصفياً لخصائص مفردات عينة الدراسة البالغ عددها (196) مستجيباً، من حيث نوع المؤسسة وحجمها وعمرها في السوق، والمنصب الوظيفي للمستجيب وسنوات خبرته، فضلاً عن مدى اعتماد المؤسسة لتقنية الترميز حالياً، وذلك باستخدام التكرارات والنسب المئوية.</w:t>
      </w:r>
    </w:p>
    <w:p w14:paraId="188C650B" w14:textId="77777777" w:rsidR="007608E1" w:rsidRDefault="007608E1" w:rsidP="00E000FF">
      <w:pPr>
        <w:bidi/>
        <w:spacing w:after="0" w:line="360" w:lineRule="auto"/>
        <w:jc w:val="both"/>
      </w:pPr>
      <w:r w:rsidRPr="00FD6BAF">
        <w:rPr>
          <w:rFonts w:ascii="Traditional Arabic" w:eastAsia="Simplified Arabic" w:hAnsi="Traditional Arabic" w:cs="Traditional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FD6BAF" w14:paraId="64A223B9" w14:textId="77777777" w:rsidTr="00036983">
        <w:trPr>
          <w:tblHeader/>
          <w:jc w:val="center"/>
        </w:trPr>
        <w:tc>
          <w:tcPr>
            <w:tcW w:w="3022" w:type="pct"/>
            <w:shd w:val="clear" w:color="auto" w:fill="2E5395"/>
            <w:tcMar>
              <w:top w:w="60" w:type="dxa"/>
              <w:left w:w="100" w:type="dxa"/>
              <w:bottom w:w="60" w:type="dxa"/>
              <w:right w:w="100" w:type="dxa"/>
            </w:tcMar>
            <w:vAlign w:val="center"/>
          </w:tcPr>
          <w:p w14:paraId="5D0D0ED1"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lastRenderedPageBreak/>
              <w:t>نوع المؤسسة</w:t>
            </w:r>
          </w:p>
        </w:tc>
        <w:tc>
          <w:tcPr>
            <w:tcW w:w="989" w:type="pct"/>
            <w:shd w:val="clear" w:color="auto" w:fill="2E5395"/>
            <w:tcMar>
              <w:top w:w="60" w:type="dxa"/>
              <w:left w:w="100" w:type="dxa"/>
              <w:bottom w:w="60" w:type="dxa"/>
              <w:right w:w="100" w:type="dxa"/>
            </w:tcMar>
            <w:vAlign w:val="center"/>
          </w:tcPr>
          <w:p w14:paraId="58FE4E20"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2F08188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النسبة المئوية</w:t>
            </w:r>
          </w:p>
        </w:tc>
      </w:tr>
      <w:tr w:rsidR="007608E1" w:rsidRPr="00FD6BAF" w14:paraId="214A8DE0" w14:textId="77777777" w:rsidTr="00036983">
        <w:trPr>
          <w:jc w:val="center"/>
        </w:trPr>
        <w:tc>
          <w:tcPr>
            <w:tcW w:w="3022" w:type="pct"/>
            <w:tcMar>
              <w:top w:w="60" w:type="dxa"/>
              <w:left w:w="100" w:type="dxa"/>
              <w:bottom w:w="60" w:type="dxa"/>
              <w:right w:w="100" w:type="dxa"/>
            </w:tcMar>
            <w:vAlign w:val="center"/>
          </w:tcPr>
          <w:p w14:paraId="3B4155E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بنك تجاري</w:t>
            </w:r>
          </w:p>
        </w:tc>
        <w:tc>
          <w:tcPr>
            <w:tcW w:w="989" w:type="pct"/>
            <w:tcMar>
              <w:top w:w="60" w:type="dxa"/>
              <w:left w:w="100" w:type="dxa"/>
              <w:bottom w:w="60" w:type="dxa"/>
              <w:right w:w="100" w:type="dxa"/>
            </w:tcMar>
            <w:vAlign w:val="center"/>
          </w:tcPr>
          <w:p w14:paraId="5488AB9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87</w:t>
            </w:r>
          </w:p>
        </w:tc>
        <w:tc>
          <w:tcPr>
            <w:tcW w:w="989" w:type="pct"/>
            <w:tcMar>
              <w:top w:w="60" w:type="dxa"/>
              <w:left w:w="100" w:type="dxa"/>
              <w:bottom w:w="60" w:type="dxa"/>
              <w:right w:w="100" w:type="dxa"/>
            </w:tcMar>
            <w:vAlign w:val="center"/>
          </w:tcPr>
          <w:p w14:paraId="1A2BE706"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44.4%</w:t>
            </w:r>
          </w:p>
        </w:tc>
      </w:tr>
      <w:tr w:rsidR="007608E1" w:rsidRPr="00FD6BAF" w14:paraId="21D1AE3E" w14:textId="77777777" w:rsidTr="00036983">
        <w:trPr>
          <w:jc w:val="center"/>
        </w:trPr>
        <w:tc>
          <w:tcPr>
            <w:tcW w:w="3022" w:type="pct"/>
            <w:shd w:val="clear" w:color="auto" w:fill="F2F2F2"/>
            <w:tcMar>
              <w:top w:w="60" w:type="dxa"/>
              <w:left w:w="100" w:type="dxa"/>
              <w:bottom w:w="60" w:type="dxa"/>
              <w:right w:w="100" w:type="dxa"/>
            </w:tcMar>
            <w:vAlign w:val="center"/>
          </w:tcPr>
          <w:p w14:paraId="443182C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مؤسسة مالية أخرى</w:t>
            </w:r>
          </w:p>
        </w:tc>
        <w:tc>
          <w:tcPr>
            <w:tcW w:w="989" w:type="pct"/>
            <w:shd w:val="clear" w:color="auto" w:fill="F2F2F2"/>
            <w:tcMar>
              <w:top w:w="60" w:type="dxa"/>
              <w:left w:w="100" w:type="dxa"/>
              <w:bottom w:w="60" w:type="dxa"/>
              <w:right w:w="100" w:type="dxa"/>
            </w:tcMar>
            <w:vAlign w:val="center"/>
          </w:tcPr>
          <w:p w14:paraId="3A739D55"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36</w:t>
            </w:r>
          </w:p>
        </w:tc>
        <w:tc>
          <w:tcPr>
            <w:tcW w:w="989" w:type="pct"/>
            <w:shd w:val="clear" w:color="auto" w:fill="F2F2F2"/>
            <w:tcMar>
              <w:top w:w="60" w:type="dxa"/>
              <w:left w:w="100" w:type="dxa"/>
              <w:bottom w:w="60" w:type="dxa"/>
              <w:right w:w="100" w:type="dxa"/>
            </w:tcMar>
            <w:vAlign w:val="center"/>
          </w:tcPr>
          <w:p w14:paraId="00679BD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18.4%</w:t>
            </w:r>
          </w:p>
        </w:tc>
      </w:tr>
      <w:tr w:rsidR="007608E1" w:rsidRPr="00FD6BAF" w14:paraId="1DAFC639" w14:textId="77777777" w:rsidTr="00036983">
        <w:trPr>
          <w:jc w:val="center"/>
        </w:trPr>
        <w:tc>
          <w:tcPr>
            <w:tcW w:w="3022" w:type="pct"/>
            <w:tcMar>
              <w:top w:w="60" w:type="dxa"/>
              <w:left w:w="100" w:type="dxa"/>
              <w:bottom w:w="60" w:type="dxa"/>
              <w:right w:w="100" w:type="dxa"/>
            </w:tcMar>
            <w:vAlign w:val="center"/>
          </w:tcPr>
          <w:p w14:paraId="04164A0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دفع إلكتروني</w:t>
            </w:r>
          </w:p>
        </w:tc>
        <w:tc>
          <w:tcPr>
            <w:tcW w:w="989" w:type="pct"/>
            <w:tcMar>
              <w:top w:w="60" w:type="dxa"/>
              <w:left w:w="100" w:type="dxa"/>
              <w:bottom w:w="60" w:type="dxa"/>
              <w:right w:w="100" w:type="dxa"/>
            </w:tcMar>
            <w:vAlign w:val="center"/>
          </w:tcPr>
          <w:p w14:paraId="6622DE0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29</w:t>
            </w:r>
          </w:p>
        </w:tc>
        <w:tc>
          <w:tcPr>
            <w:tcW w:w="989" w:type="pct"/>
            <w:tcMar>
              <w:top w:w="60" w:type="dxa"/>
              <w:left w:w="100" w:type="dxa"/>
              <w:bottom w:w="60" w:type="dxa"/>
              <w:right w:w="100" w:type="dxa"/>
            </w:tcMar>
            <w:vAlign w:val="center"/>
          </w:tcPr>
          <w:p w14:paraId="62ACE3E5"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14.8%</w:t>
            </w:r>
          </w:p>
        </w:tc>
      </w:tr>
      <w:tr w:rsidR="007608E1" w:rsidRPr="00FD6BAF" w14:paraId="0D5F2675" w14:textId="77777777" w:rsidTr="00036983">
        <w:trPr>
          <w:jc w:val="center"/>
        </w:trPr>
        <w:tc>
          <w:tcPr>
            <w:tcW w:w="3022" w:type="pct"/>
            <w:shd w:val="clear" w:color="auto" w:fill="F2F2F2"/>
            <w:tcMar>
              <w:top w:w="60" w:type="dxa"/>
              <w:left w:w="100" w:type="dxa"/>
              <w:bottom w:w="60" w:type="dxa"/>
              <w:right w:w="100" w:type="dxa"/>
            </w:tcMar>
            <w:vAlign w:val="center"/>
          </w:tcPr>
          <w:p w14:paraId="7B54401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تأمين</w:t>
            </w:r>
          </w:p>
        </w:tc>
        <w:tc>
          <w:tcPr>
            <w:tcW w:w="989" w:type="pct"/>
            <w:shd w:val="clear" w:color="auto" w:fill="F2F2F2"/>
            <w:tcMar>
              <w:top w:w="60" w:type="dxa"/>
              <w:left w:w="100" w:type="dxa"/>
              <w:bottom w:w="60" w:type="dxa"/>
              <w:right w:w="100" w:type="dxa"/>
            </w:tcMar>
            <w:vAlign w:val="center"/>
          </w:tcPr>
          <w:p w14:paraId="6A2C765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26</w:t>
            </w:r>
          </w:p>
        </w:tc>
        <w:tc>
          <w:tcPr>
            <w:tcW w:w="989" w:type="pct"/>
            <w:shd w:val="clear" w:color="auto" w:fill="F2F2F2"/>
            <w:tcMar>
              <w:top w:w="60" w:type="dxa"/>
              <w:left w:w="100" w:type="dxa"/>
              <w:bottom w:w="60" w:type="dxa"/>
              <w:right w:w="100" w:type="dxa"/>
            </w:tcMar>
            <w:vAlign w:val="center"/>
          </w:tcPr>
          <w:p w14:paraId="46C4F7B1"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13.3%</w:t>
            </w:r>
          </w:p>
        </w:tc>
      </w:tr>
      <w:tr w:rsidR="007608E1" w:rsidRPr="00FD6BAF" w14:paraId="0E43FBCF" w14:textId="77777777" w:rsidTr="00036983">
        <w:trPr>
          <w:jc w:val="center"/>
        </w:trPr>
        <w:tc>
          <w:tcPr>
            <w:tcW w:w="3022" w:type="pct"/>
            <w:tcMar>
              <w:top w:w="60" w:type="dxa"/>
              <w:left w:w="100" w:type="dxa"/>
              <w:bottom w:w="60" w:type="dxa"/>
              <w:right w:w="100" w:type="dxa"/>
            </w:tcMar>
            <w:vAlign w:val="center"/>
          </w:tcPr>
          <w:p w14:paraId="1653123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فنتك (FinTech)</w:t>
            </w:r>
          </w:p>
        </w:tc>
        <w:tc>
          <w:tcPr>
            <w:tcW w:w="989" w:type="pct"/>
            <w:tcMar>
              <w:top w:w="60" w:type="dxa"/>
              <w:left w:w="100" w:type="dxa"/>
              <w:bottom w:w="60" w:type="dxa"/>
              <w:right w:w="100" w:type="dxa"/>
            </w:tcMar>
            <w:vAlign w:val="center"/>
          </w:tcPr>
          <w:p w14:paraId="0BEEE5A2"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18</w:t>
            </w:r>
          </w:p>
        </w:tc>
        <w:tc>
          <w:tcPr>
            <w:tcW w:w="989" w:type="pct"/>
            <w:tcMar>
              <w:top w:w="60" w:type="dxa"/>
              <w:left w:w="100" w:type="dxa"/>
              <w:bottom w:w="60" w:type="dxa"/>
              <w:right w:w="100" w:type="dxa"/>
            </w:tcMar>
            <w:vAlign w:val="center"/>
          </w:tcPr>
          <w:p w14:paraId="66EC31EB"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9.2%</w:t>
            </w:r>
          </w:p>
        </w:tc>
      </w:tr>
    </w:tbl>
    <w:p w14:paraId="611FFC34"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(4.1): توزيع أفراد العينة وفق نوع المؤسسة</w:t>
      </w:r>
    </w:p>
    <w:p w14:paraId="231B4616"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يتبيّن من الجدول أعلاه أن البنوك التجارية استحوذت على النسبة الأكبر من أفراد العينة بنسبة 44.4%، تلتها المؤسسات المالية الأخرى بنسبة 18.4%، ثم شركات الدفع الإلكتروني بنسبة 14.8%، فشركات التأمين بنسبة 13.3%، وأخيراً شركات التقنية المالية (Fintech) بنسبة 9.2%. ولأغراض اختبار الفرضية الخامسة المتعلقة بالفروق حسب نوع المؤسسة، أُعيد تصنيف هذه الفئات إلى ثلاث مجموعات متجانسة نسبياً من حيث طبيعة النشاط ومستوى الرقمنة، على النحو التالي: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FD6BAF" w14:paraId="18121888" w14:textId="77777777" w:rsidTr="00036983">
        <w:trPr>
          <w:tblHeader/>
          <w:jc w:val="center"/>
        </w:trPr>
        <w:tc>
          <w:tcPr>
            <w:tcW w:w="3022" w:type="pct"/>
            <w:shd w:val="clear" w:color="auto" w:fill="2E5395"/>
            <w:tcMar>
              <w:top w:w="60" w:type="dxa"/>
              <w:left w:w="100" w:type="dxa"/>
              <w:bottom w:w="60" w:type="dxa"/>
              <w:right w:w="100" w:type="dxa"/>
            </w:tcMar>
            <w:vAlign w:val="center"/>
          </w:tcPr>
          <w:p w14:paraId="685C82BF"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المجموعة المدمجة</w:t>
            </w:r>
          </w:p>
        </w:tc>
        <w:tc>
          <w:tcPr>
            <w:tcW w:w="989" w:type="pct"/>
            <w:shd w:val="clear" w:color="auto" w:fill="2E5395"/>
            <w:tcMar>
              <w:top w:w="60" w:type="dxa"/>
              <w:left w:w="100" w:type="dxa"/>
              <w:bottom w:w="60" w:type="dxa"/>
              <w:right w:w="100" w:type="dxa"/>
            </w:tcMar>
            <w:vAlign w:val="center"/>
          </w:tcPr>
          <w:p w14:paraId="4010C18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DDD910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النسبة المئوية</w:t>
            </w:r>
          </w:p>
        </w:tc>
      </w:tr>
      <w:tr w:rsidR="007608E1" w:rsidRPr="00FD6BAF" w14:paraId="28B1066A" w14:textId="77777777" w:rsidTr="00036983">
        <w:trPr>
          <w:jc w:val="center"/>
        </w:trPr>
        <w:tc>
          <w:tcPr>
            <w:tcW w:w="3022" w:type="pct"/>
            <w:tcMar>
              <w:top w:w="60" w:type="dxa"/>
              <w:left w:w="100" w:type="dxa"/>
              <w:bottom w:w="60" w:type="dxa"/>
              <w:right w:w="100" w:type="dxa"/>
            </w:tcMar>
            <w:vAlign w:val="center"/>
          </w:tcPr>
          <w:p w14:paraId="0943E277"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بنوك</w:t>
            </w:r>
          </w:p>
        </w:tc>
        <w:tc>
          <w:tcPr>
            <w:tcW w:w="989" w:type="pct"/>
            <w:tcMar>
              <w:top w:w="60" w:type="dxa"/>
              <w:left w:w="100" w:type="dxa"/>
              <w:bottom w:w="60" w:type="dxa"/>
              <w:right w:w="100" w:type="dxa"/>
            </w:tcMar>
            <w:vAlign w:val="center"/>
          </w:tcPr>
          <w:p w14:paraId="0C53A68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87</w:t>
            </w:r>
          </w:p>
        </w:tc>
        <w:tc>
          <w:tcPr>
            <w:tcW w:w="989" w:type="pct"/>
            <w:tcMar>
              <w:top w:w="60" w:type="dxa"/>
              <w:left w:w="100" w:type="dxa"/>
              <w:bottom w:w="60" w:type="dxa"/>
              <w:right w:w="100" w:type="dxa"/>
            </w:tcMar>
            <w:vAlign w:val="center"/>
          </w:tcPr>
          <w:p w14:paraId="002864D6"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44.4%</w:t>
            </w:r>
          </w:p>
        </w:tc>
      </w:tr>
      <w:tr w:rsidR="007608E1" w:rsidRPr="00FD6BAF" w14:paraId="522BAECE" w14:textId="77777777" w:rsidTr="00036983">
        <w:trPr>
          <w:jc w:val="center"/>
        </w:trPr>
        <w:tc>
          <w:tcPr>
            <w:tcW w:w="3022" w:type="pct"/>
            <w:shd w:val="clear" w:color="auto" w:fill="F2F2F2"/>
            <w:tcMar>
              <w:top w:w="60" w:type="dxa"/>
              <w:left w:w="100" w:type="dxa"/>
              <w:bottom w:w="60" w:type="dxa"/>
              <w:right w:w="100" w:type="dxa"/>
            </w:tcMar>
            <w:vAlign w:val="center"/>
          </w:tcPr>
          <w:p w14:paraId="2A4FCB7B"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مؤسسات أخرى</w:t>
            </w:r>
          </w:p>
        </w:tc>
        <w:tc>
          <w:tcPr>
            <w:tcW w:w="989" w:type="pct"/>
            <w:shd w:val="clear" w:color="auto" w:fill="F2F2F2"/>
            <w:tcMar>
              <w:top w:w="60" w:type="dxa"/>
              <w:left w:w="100" w:type="dxa"/>
              <w:bottom w:w="60" w:type="dxa"/>
              <w:right w:w="100" w:type="dxa"/>
            </w:tcMar>
            <w:vAlign w:val="center"/>
          </w:tcPr>
          <w:p w14:paraId="523DEDA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62</w:t>
            </w:r>
          </w:p>
        </w:tc>
        <w:tc>
          <w:tcPr>
            <w:tcW w:w="989" w:type="pct"/>
            <w:shd w:val="clear" w:color="auto" w:fill="F2F2F2"/>
            <w:tcMar>
              <w:top w:w="60" w:type="dxa"/>
              <w:left w:w="100" w:type="dxa"/>
              <w:bottom w:w="60" w:type="dxa"/>
              <w:right w:w="100" w:type="dxa"/>
            </w:tcMar>
            <w:vAlign w:val="center"/>
          </w:tcPr>
          <w:p w14:paraId="2CD3BDF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31.6%</w:t>
            </w:r>
          </w:p>
        </w:tc>
      </w:tr>
      <w:tr w:rsidR="007608E1" w:rsidRPr="00FD6BAF" w14:paraId="6BAB6EC8" w14:textId="77777777" w:rsidTr="00036983">
        <w:trPr>
          <w:jc w:val="center"/>
        </w:trPr>
        <w:tc>
          <w:tcPr>
            <w:tcW w:w="3022" w:type="pct"/>
            <w:tcMar>
              <w:top w:w="60" w:type="dxa"/>
              <w:left w:w="100" w:type="dxa"/>
              <w:bottom w:w="60" w:type="dxa"/>
              <w:right w:w="100" w:type="dxa"/>
            </w:tcMar>
            <w:vAlign w:val="center"/>
          </w:tcPr>
          <w:p w14:paraId="70DDFB4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فنتك ودفع إلكتروني</w:t>
            </w:r>
          </w:p>
        </w:tc>
        <w:tc>
          <w:tcPr>
            <w:tcW w:w="989" w:type="pct"/>
            <w:tcMar>
              <w:top w:w="60" w:type="dxa"/>
              <w:left w:w="100" w:type="dxa"/>
              <w:bottom w:w="60" w:type="dxa"/>
              <w:right w:w="100" w:type="dxa"/>
            </w:tcMar>
            <w:vAlign w:val="center"/>
          </w:tcPr>
          <w:p w14:paraId="0EFD1EC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47</w:t>
            </w:r>
          </w:p>
        </w:tc>
        <w:tc>
          <w:tcPr>
            <w:tcW w:w="989" w:type="pct"/>
            <w:tcMar>
              <w:top w:w="60" w:type="dxa"/>
              <w:left w:w="100" w:type="dxa"/>
              <w:bottom w:w="60" w:type="dxa"/>
              <w:right w:w="100" w:type="dxa"/>
            </w:tcMar>
            <w:vAlign w:val="center"/>
          </w:tcPr>
          <w:p w14:paraId="1F93297D"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24%</w:t>
            </w:r>
          </w:p>
        </w:tc>
      </w:tr>
    </w:tbl>
    <w:p w14:paraId="2AC5EEB6"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(4.2): إعادة تصنيف نوع المؤسسة إلى ثلاث مجموعات لأغراض اختبار الفرض الفرعي (H3b)</w:t>
      </w:r>
    </w:p>
    <w:p w14:paraId="06637FEE" w14:textId="77777777" w:rsidR="007608E1" w:rsidRDefault="007608E1" w:rsidP="00E000FF">
      <w:pPr>
        <w:bidi/>
        <w:spacing w:after="0" w:line="360" w:lineRule="auto"/>
        <w:jc w:val="both"/>
      </w:pPr>
      <w:r>
        <w:rPr>
          <w:rFonts w:ascii="Traditional Arabic" w:eastAsia="Simplified Arabic" w:hAnsi="Traditional Arabic" w:cs="Traditional Arabic"/>
          <w:i/>
          <w:iCs/>
          <w:sz w:val="24"/>
          <w:szCs w:val="24"/>
          <w:rtl/>
        </w:rPr>
        <w:t>ملاحظة: ضمّت مجموعة "بنوك" فئة البنوك التجارية، وضمّت مجموعة "فنتك ودفع إلكتروني" شركات التقنية المالية وشركات الدفع الإلكتروني معاً لتشابه طبيعة نشاطها الرقمي، بينما ضمّت مجموعة "مؤسسات أخرى" شركات التأمين والمؤسسات المالية الأخرى.</w:t>
      </w:r>
    </w:p>
    <w:p w14:paraId="322F8FB3"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2. حجم المؤسسة (عدد الموظفين)</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65C2DE53" w14:textId="77777777" w:rsidTr="00036983">
        <w:trPr>
          <w:tblHeader/>
          <w:jc w:val="center"/>
        </w:trPr>
        <w:tc>
          <w:tcPr>
            <w:tcW w:w="3022" w:type="pct"/>
            <w:shd w:val="clear" w:color="auto" w:fill="2E5395"/>
            <w:tcMar>
              <w:top w:w="60" w:type="dxa"/>
              <w:left w:w="100" w:type="dxa"/>
              <w:bottom w:w="60" w:type="dxa"/>
              <w:right w:w="100" w:type="dxa"/>
            </w:tcMar>
            <w:vAlign w:val="center"/>
          </w:tcPr>
          <w:p w14:paraId="65A88F6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حجم المؤسسة</w:t>
            </w:r>
          </w:p>
        </w:tc>
        <w:tc>
          <w:tcPr>
            <w:tcW w:w="989" w:type="pct"/>
            <w:shd w:val="clear" w:color="auto" w:fill="2E5395"/>
            <w:tcMar>
              <w:top w:w="60" w:type="dxa"/>
              <w:left w:w="100" w:type="dxa"/>
              <w:bottom w:w="60" w:type="dxa"/>
              <w:right w:w="100" w:type="dxa"/>
            </w:tcMar>
            <w:vAlign w:val="center"/>
          </w:tcPr>
          <w:p w14:paraId="0E9175C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7D5FF83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35A7F147" w14:textId="77777777" w:rsidTr="00036983">
        <w:trPr>
          <w:jc w:val="center"/>
        </w:trPr>
        <w:tc>
          <w:tcPr>
            <w:tcW w:w="3022" w:type="pct"/>
            <w:tcMar>
              <w:top w:w="60" w:type="dxa"/>
              <w:left w:w="100" w:type="dxa"/>
              <w:bottom w:w="60" w:type="dxa"/>
              <w:right w:w="100" w:type="dxa"/>
            </w:tcMar>
            <w:vAlign w:val="center"/>
          </w:tcPr>
          <w:p w14:paraId="7FD80FC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250 موظفاً</w:t>
            </w:r>
          </w:p>
        </w:tc>
        <w:tc>
          <w:tcPr>
            <w:tcW w:w="989" w:type="pct"/>
            <w:tcMar>
              <w:top w:w="60" w:type="dxa"/>
              <w:left w:w="100" w:type="dxa"/>
              <w:bottom w:w="60" w:type="dxa"/>
              <w:right w:w="100" w:type="dxa"/>
            </w:tcMar>
            <w:vAlign w:val="center"/>
          </w:tcPr>
          <w:p w14:paraId="1EE17E1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130</w:t>
            </w:r>
          </w:p>
        </w:tc>
        <w:tc>
          <w:tcPr>
            <w:tcW w:w="989" w:type="pct"/>
            <w:tcMar>
              <w:top w:w="60" w:type="dxa"/>
              <w:left w:w="100" w:type="dxa"/>
              <w:bottom w:w="60" w:type="dxa"/>
              <w:right w:w="100" w:type="dxa"/>
            </w:tcMar>
            <w:vAlign w:val="center"/>
          </w:tcPr>
          <w:p w14:paraId="4BAFE31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66.3%</w:t>
            </w:r>
          </w:p>
        </w:tc>
      </w:tr>
      <w:tr w:rsidR="007608E1" w:rsidRPr="00DB70A4" w14:paraId="09792C74" w14:textId="77777777" w:rsidTr="00036983">
        <w:trPr>
          <w:jc w:val="center"/>
        </w:trPr>
        <w:tc>
          <w:tcPr>
            <w:tcW w:w="3022" w:type="pct"/>
            <w:shd w:val="clear" w:color="auto" w:fill="F2F2F2"/>
            <w:tcMar>
              <w:top w:w="60" w:type="dxa"/>
              <w:left w:w="100" w:type="dxa"/>
              <w:bottom w:w="60" w:type="dxa"/>
              <w:right w:w="100" w:type="dxa"/>
            </w:tcMar>
            <w:vAlign w:val="center"/>
          </w:tcPr>
          <w:p w14:paraId="06DFF74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50 موظفاً</w:t>
            </w:r>
          </w:p>
        </w:tc>
        <w:tc>
          <w:tcPr>
            <w:tcW w:w="989" w:type="pct"/>
            <w:shd w:val="clear" w:color="auto" w:fill="F2F2F2"/>
            <w:tcMar>
              <w:top w:w="60" w:type="dxa"/>
              <w:left w:w="100" w:type="dxa"/>
              <w:bottom w:w="60" w:type="dxa"/>
              <w:right w:w="100" w:type="dxa"/>
            </w:tcMar>
            <w:vAlign w:val="center"/>
          </w:tcPr>
          <w:p w14:paraId="591F1BE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37</w:t>
            </w:r>
          </w:p>
        </w:tc>
        <w:tc>
          <w:tcPr>
            <w:tcW w:w="989" w:type="pct"/>
            <w:shd w:val="clear" w:color="auto" w:fill="F2F2F2"/>
            <w:tcMar>
              <w:top w:w="60" w:type="dxa"/>
              <w:left w:w="100" w:type="dxa"/>
              <w:bottom w:w="60" w:type="dxa"/>
              <w:right w:w="100" w:type="dxa"/>
            </w:tcMar>
            <w:vAlign w:val="center"/>
          </w:tcPr>
          <w:p w14:paraId="197DC84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18.9%</w:t>
            </w:r>
          </w:p>
        </w:tc>
      </w:tr>
      <w:tr w:rsidR="007608E1" w:rsidRPr="00DB70A4" w14:paraId="2ACCC489" w14:textId="77777777" w:rsidTr="00036983">
        <w:trPr>
          <w:jc w:val="center"/>
        </w:trPr>
        <w:tc>
          <w:tcPr>
            <w:tcW w:w="3022" w:type="pct"/>
            <w:tcMar>
              <w:top w:w="60" w:type="dxa"/>
              <w:left w:w="100" w:type="dxa"/>
              <w:bottom w:w="60" w:type="dxa"/>
              <w:right w:w="100" w:type="dxa"/>
            </w:tcMar>
            <w:vAlign w:val="center"/>
          </w:tcPr>
          <w:p w14:paraId="08AB1DC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50 إلى 250 موظفاً</w:t>
            </w:r>
          </w:p>
        </w:tc>
        <w:tc>
          <w:tcPr>
            <w:tcW w:w="989" w:type="pct"/>
            <w:tcMar>
              <w:top w:w="60" w:type="dxa"/>
              <w:left w:w="100" w:type="dxa"/>
              <w:bottom w:w="60" w:type="dxa"/>
              <w:right w:w="100" w:type="dxa"/>
            </w:tcMar>
            <w:vAlign w:val="center"/>
          </w:tcPr>
          <w:p w14:paraId="27A1571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29</w:t>
            </w:r>
          </w:p>
        </w:tc>
        <w:tc>
          <w:tcPr>
            <w:tcW w:w="989" w:type="pct"/>
            <w:tcMar>
              <w:top w:w="60" w:type="dxa"/>
              <w:left w:w="100" w:type="dxa"/>
              <w:bottom w:w="60" w:type="dxa"/>
              <w:right w:w="100" w:type="dxa"/>
            </w:tcMar>
            <w:vAlign w:val="center"/>
          </w:tcPr>
          <w:p w14:paraId="73980A3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14.8%</w:t>
            </w:r>
          </w:p>
        </w:tc>
      </w:tr>
    </w:tbl>
    <w:p w14:paraId="0C9C8C9F"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(4.3): توزيع أفراد العينة وفق حجم المؤسسة</w:t>
      </w:r>
    </w:p>
    <w:p w14:paraId="6CCB62DC"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lastRenderedPageBreak/>
        <w:t>تشير النتائج إلى أن غالبية أفراد العينة (66.3%) ينتمون إلى مؤسسات كبيرة يزيد عدد موظفيها عن 250 موظفاً، في حين مثّلت المؤسسات الصغيرة (أقل من 50 موظفاً) نسبة 18.9%، والمؤسسات المتوسطة نسبة 14.8%، وهو ما يعكس تركّز عينة الدراسة في المؤسسات الكبيرة الأكثر قدرة على تبني التقنيات المالية المتقدمة كتقنية الترميز.</w:t>
      </w:r>
    </w:p>
    <w:p w14:paraId="519C8D7A"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عمر المؤسسة في السوق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7C4AA238" w14:textId="77777777" w:rsidTr="00036983">
        <w:trPr>
          <w:tblHeader/>
          <w:jc w:val="center"/>
        </w:trPr>
        <w:tc>
          <w:tcPr>
            <w:tcW w:w="3022" w:type="pct"/>
            <w:shd w:val="clear" w:color="auto" w:fill="2E5395"/>
            <w:tcMar>
              <w:top w:w="60" w:type="dxa"/>
              <w:left w:w="100" w:type="dxa"/>
              <w:bottom w:w="60" w:type="dxa"/>
              <w:right w:w="100" w:type="dxa"/>
            </w:tcMar>
            <w:vAlign w:val="center"/>
          </w:tcPr>
          <w:p w14:paraId="7DEC6F6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عمر المؤسسة</w:t>
            </w:r>
          </w:p>
        </w:tc>
        <w:tc>
          <w:tcPr>
            <w:tcW w:w="989" w:type="pct"/>
            <w:shd w:val="clear" w:color="auto" w:fill="2E5395"/>
            <w:tcMar>
              <w:top w:w="60" w:type="dxa"/>
              <w:left w:w="100" w:type="dxa"/>
              <w:bottom w:w="60" w:type="dxa"/>
              <w:right w:w="100" w:type="dxa"/>
            </w:tcMar>
            <w:vAlign w:val="center"/>
          </w:tcPr>
          <w:p w14:paraId="727A22A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290138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51AB5B28" w14:textId="77777777" w:rsidTr="00036983">
        <w:trPr>
          <w:jc w:val="center"/>
        </w:trPr>
        <w:tc>
          <w:tcPr>
            <w:tcW w:w="3022" w:type="pct"/>
            <w:tcMar>
              <w:top w:w="60" w:type="dxa"/>
              <w:left w:w="100" w:type="dxa"/>
              <w:bottom w:w="60" w:type="dxa"/>
              <w:right w:w="100" w:type="dxa"/>
            </w:tcMar>
            <w:vAlign w:val="center"/>
          </w:tcPr>
          <w:p w14:paraId="563E3FA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20 سنة</w:t>
            </w:r>
          </w:p>
        </w:tc>
        <w:tc>
          <w:tcPr>
            <w:tcW w:w="989" w:type="pct"/>
            <w:tcMar>
              <w:top w:w="60" w:type="dxa"/>
              <w:left w:w="100" w:type="dxa"/>
              <w:bottom w:w="60" w:type="dxa"/>
              <w:right w:w="100" w:type="dxa"/>
            </w:tcMar>
            <w:vAlign w:val="center"/>
          </w:tcPr>
          <w:p w14:paraId="2D1D70B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124</w:t>
            </w:r>
          </w:p>
        </w:tc>
        <w:tc>
          <w:tcPr>
            <w:tcW w:w="989" w:type="pct"/>
            <w:tcMar>
              <w:top w:w="60" w:type="dxa"/>
              <w:left w:w="100" w:type="dxa"/>
              <w:bottom w:w="60" w:type="dxa"/>
              <w:right w:w="100" w:type="dxa"/>
            </w:tcMar>
            <w:vAlign w:val="center"/>
          </w:tcPr>
          <w:p w14:paraId="5D7AF8E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63.3%</w:t>
            </w:r>
          </w:p>
        </w:tc>
      </w:tr>
      <w:tr w:rsidR="007608E1" w:rsidRPr="00DB70A4" w14:paraId="306D250C" w14:textId="77777777" w:rsidTr="00036983">
        <w:trPr>
          <w:jc w:val="center"/>
        </w:trPr>
        <w:tc>
          <w:tcPr>
            <w:tcW w:w="3022" w:type="pct"/>
            <w:shd w:val="clear" w:color="auto" w:fill="F2F2F2"/>
            <w:tcMar>
              <w:top w:w="60" w:type="dxa"/>
              <w:left w:w="100" w:type="dxa"/>
              <w:bottom w:w="60" w:type="dxa"/>
              <w:right w:w="100" w:type="dxa"/>
            </w:tcMar>
            <w:vAlign w:val="center"/>
          </w:tcPr>
          <w:p w14:paraId="35D4F1F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5 سنوات</w:t>
            </w:r>
          </w:p>
        </w:tc>
        <w:tc>
          <w:tcPr>
            <w:tcW w:w="989" w:type="pct"/>
            <w:shd w:val="clear" w:color="auto" w:fill="F2F2F2"/>
            <w:tcMar>
              <w:top w:w="60" w:type="dxa"/>
              <w:left w:w="100" w:type="dxa"/>
              <w:bottom w:w="60" w:type="dxa"/>
              <w:right w:w="100" w:type="dxa"/>
            </w:tcMar>
            <w:vAlign w:val="center"/>
          </w:tcPr>
          <w:p w14:paraId="455246F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35</w:t>
            </w:r>
          </w:p>
        </w:tc>
        <w:tc>
          <w:tcPr>
            <w:tcW w:w="989" w:type="pct"/>
            <w:shd w:val="clear" w:color="auto" w:fill="F2F2F2"/>
            <w:tcMar>
              <w:top w:w="60" w:type="dxa"/>
              <w:left w:w="100" w:type="dxa"/>
              <w:bottom w:w="60" w:type="dxa"/>
              <w:right w:w="100" w:type="dxa"/>
            </w:tcMar>
            <w:vAlign w:val="center"/>
          </w:tcPr>
          <w:p w14:paraId="0078AC0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17.9%</w:t>
            </w:r>
          </w:p>
        </w:tc>
      </w:tr>
      <w:tr w:rsidR="007608E1" w:rsidRPr="00DB70A4" w14:paraId="5529A582" w14:textId="77777777" w:rsidTr="00036983">
        <w:trPr>
          <w:jc w:val="center"/>
        </w:trPr>
        <w:tc>
          <w:tcPr>
            <w:tcW w:w="3022" w:type="pct"/>
            <w:tcMar>
              <w:top w:w="60" w:type="dxa"/>
              <w:left w:w="100" w:type="dxa"/>
              <w:bottom w:w="60" w:type="dxa"/>
              <w:right w:w="100" w:type="dxa"/>
            </w:tcMar>
            <w:vAlign w:val="center"/>
          </w:tcPr>
          <w:p w14:paraId="66330B4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5 إلى 10 سنوات</w:t>
            </w:r>
          </w:p>
        </w:tc>
        <w:tc>
          <w:tcPr>
            <w:tcW w:w="989" w:type="pct"/>
            <w:tcMar>
              <w:top w:w="60" w:type="dxa"/>
              <w:left w:w="100" w:type="dxa"/>
              <w:bottom w:w="60" w:type="dxa"/>
              <w:right w:w="100" w:type="dxa"/>
            </w:tcMar>
            <w:vAlign w:val="center"/>
          </w:tcPr>
          <w:p w14:paraId="4F44D14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22</w:t>
            </w:r>
          </w:p>
        </w:tc>
        <w:tc>
          <w:tcPr>
            <w:tcW w:w="989" w:type="pct"/>
            <w:tcMar>
              <w:top w:w="60" w:type="dxa"/>
              <w:left w:w="100" w:type="dxa"/>
              <w:bottom w:w="60" w:type="dxa"/>
              <w:right w:w="100" w:type="dxa"/>
            </w:tcMar>
            <w:vAlign w:val="center"/>
          </w:tcPr>
          <w:p w14:paraId="1E1CE27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11.2%</w:t>
            </w:r>
          </w:p>
        </w:tc>
      </w:tr>
      <w:tr w:rsidR="007608E1" w:rsidRPr="00DB70A4" w14:paraId="1731C422" w14:textId="77777777" w:rsidTr="00036983">
        <w:trPr>
          <w:jc w:val="center"/>
        </w:trPr>
        <w:tc>
          <w:tcPr>
            <w:tcW w:w="3022" w:type="pct"/>
            <w:shd w:val="clear" w:color="auto" w:fill="F2F2F2"/>
            <w:tcMar>
              <w:top w:w="60" w:type="dxa"/>
              <w:left w:w="100" w:type="dxa"/>
              <w:bottom w:w="60" w:type="dxa"/>
              <w:right w:w="100" w:type="dxa"/>
            </w:tcMar>
            <w:vAlign w:val="center"/>
          </w:tcPr>
          <w:p w14:paraId="39BF4CB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10 إلى 20 سنة</w:t>
            </w:r>
          </w:p>
        </w:tc>
        <w:tc>
          <w:tcPr>
            <w:tcW w:w="989" w:type="pct"/>
            <w:shd w:val="clear" w:color="auto" w:fill="F2F2F2"/>
            <w:tcMar>
              <w:top w:w="60" w:type="dxa"/>
              <w:left w:w="100" w:type="dxa"/>
              <w:bottom w:w="60" w:type="dxa"/>
              <w:right w:w="100" w:type="dxa"/>
            </w:tcMar>
            <w:vAlign w:val="center"/>
          </w:tcPr>
          <w:p w14:paraId="7AEFA05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15</w:t>
            </w:r>
          </w:p>
        </w:tc>
        <w:tc>
          <w:tcPr>
            <w:tcW w:w="989" w:type="pct"/>
            <w:shd w:val="clear" w:color="auto" w:fill="F2F2F2"/>
            <w:tcMar>
              <w:top w:w="60" w:type="dxa"/>
              <w:left w:w="100" w:type="dxa"/>
              <w:bottom w:w="60" w:type="dxa"/>
              <w:right w:w="100" w:type="dxa"/>
            </w:tcMar>
            <w:vAlign w:val="center"/>
          </w:tcPr>
          <w:p w14:paraId="55E6ED7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7.7%</w:t>
            </w:r>
          </w:p>
        </w:tc>
      </w:tr>
    </w:tbl>
    <w:p w14:paraId="6B3DF928"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(4.4): توزيع أفراد العينة وفق عمر المؤسسة في السوق</w:t>
      </w:r>
    </w:p>
    <w:p w14:paraId="438C6533"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يتضح أن نسبة 63.3% من أفراد العينة ينتمون إلى مؤسسات راسخة يزيد عمرها عن 20 عاماً في السوق، بينما مثّلت المؤسسات الناشئة (أقل من 5 سنوات) نسبة 17.9%، وهو ما يشير إلى أن معظم المؤسسات المشمولة بالدراسة تتمتع بخبرة تشغيلية طويلة قد تنعكس على نضج بنيتها التقنية والتنظيمية.</w:t>
      </w:r>
    </w:p>
    <w:p w14:paraId="7C131E2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4. المنصب الوظيفي للمستجيب</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1A4B4D93" w14:textId="77777777" w:rsidTr="00036983">
        <w:trPr>
          <w:tblHeader/>
          <w:jc w:val="center"/>
        </w:trPr>
        <w:tc>
          <w:tcPr>
            <w:tcW w:w="3022" w:type="pct"/>
            <w:shd w:val="clear" w:color="auto" w:fill="2E5395"/>
            <w:tcMar>
              <w:top w:w="60" w:type="dxa"/>
              <w:left w:w="100" w:type="dxa"/>
              <w:bottom w:w="60" w:type="dxa"/>
              <w:right w:w="100" w:type="dxa"/>
            </w:tcMar>
            <w:vAlign w:val="center"/>
          </w:tcPr>
          <w:p w14:paraId="0477D89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المنصب الوظيفي</w:t>
            </w:r>
          </w:p>
        </w:tc>
        <w:tc>
          <w:tcPr>
            <w:tcW w:w="989" w:type="pct"/>
            <w:shd w:val="clear" w:color="auto" w:fill="2E5395"/>
            <w:tcMar>
              <w:top w:w="60" w:type="dxa"/>
              <w:left w:w="100" w:type="dxa"/>
              <w:bottom w:w="60" w:type="dxa"/>
              <w:right w:w="100" w:type="dxa"/>
            </w:tcMar>
            <w:vAlign w:val="center"/>
          </w:tcPr>
          <w:p w14:paraId="04BC00D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3B7889C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1C4A690B" w14:textId="77777777" w:rsidTr="00036983">
        <w:trPr>
          <w:jc w:val="center"/>
        </w:trPr>
        <w:tc>
          <w:tcPr>
            <w:tcW w:w="3022" w:type="pct"/>
            <w:tcMar>
              <w:top w:w="60" w:type="dxa"/>
              <w:left w:w="100" w:type="dxa"/>
              <w:bottom w:w="60" w:type="dxa"/>
              <w:right w:w="100" w:type="dxa"/>
            </w:tcMar>
            <w:vAlign w:val="center"/>
          </w:tcPr>
          <w:p w14:paraId="55EBBA8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تقنية المعلومات / الأمن السيبراني</w:t>
            </w:r>
          </w:p>
        </w:tc>
        <w:tc>
          <w:tcPr>
            <w:tcW w:w="989" w:type="pct"/>
            <w:tcMar>
              <w:top w:w="60" w:type="dxa"/>
              <w:left w:w="100" w:type="dxa"/>
              <w:bottom w:w="60" w:type="dxa"/>
              <w:right w:w="100" w:type="dxa"/>
            </w:tcMar>
            <w:vAlign w:val="center"/>
          </w:tcPr>
          <w:p w14:paraId="4F6064E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70</w:t>
            </w:r>
          </w:p>
        </w:tc>
        <w:tc>
          <w:tcPr>
            <w:tcW w:w="989" w:type="pct"/>
            <w:tcMar>
              <w:top w:w="60" w:type="dxa"/>
              <w:left w:w="100" w:type="dxa"/>
              <w:bottom w:w="60" w:type="dxa"/>
              <w:right w:w="100" w:type="dxa"/>
            </w:tcMar>
            <w:vAlign w:val="center"/>
          </w:tcPr>
          <w:p w14:paraId="400BB5C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35.7%</w:t>
            </w:r>
          </w:p>
        </w:tc>
      </w:tr>
      <w:tr w:rsidR="007608E1" w:rsidRPr="00DB70A4" w14:paraId="34BE5BE4" w14:textId="77777777" w:rsidTr="00036983">
        <w:trPr>
          <w:jc w:val="center"/>
        </w:trPr>
        <w:tc>
          <w:tcPr>
            <w:tcW w:w="3022" w:type="pct"/>
            <w:shd w:val="clear" w:color="auto" w:fill="F2F2F2"/>
            <w:tcMar>
              <w:top w:w="60" w:type="dxa"/>
              <w:left w:w="100" w:type="dxa"/>
              <w:bottom w:w="60" w:type="dxa"/>
              <w:right w:w="100" w:type="dxa"/>
            </w:tcMar>
            <w:vAlign w:val="center"/>
          </w:tcPr>
          <w:p w14:paraId="6DAC903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تنفيذي / قيادي</w:t>
            </w:r>
          </w:p>
        </w:tc>
        <w:tc>
          <w:tcPr>
            <w:tcW w:w="989" w:type="pct"/>
            <w:shd w:val="clear" w:color="auto" w:fill="F2F2F2"/>
            <w:tcMar>
              <w:top w:w="60" w:type="dxa"/>
              <w:left w:w="100" w:type="dxa"/>
              <w:bottom w:w="60" w:type="dxa"/>
              <w:right w:w="100" w:type="dxa"/>
            </w:tcMar>
            <w:vAlign w:val="center"/>
          </w:tcPr>
          <w:p w14:paraId="1025FAF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36</w:t>
            </w:r>
          </w:p>
        </w:tc>
        <w:tc>
          <w:tcPr>
            <w:tcW w:w="989" w:type="pct"/>
            <w:shd w:val="clear" w:color="auto" w:fill="F2F2F2"/>
            <w:tcMar>
              <w:top w:w="60" w:type="dxa"/>
              <w:left w:w="100" w:type="dxa"/>
              <w:bottom w:w="60" w:type="dxa"/>
              <w:right w:w="100" w:type="dxa"/>
            </w:tcMar>
            <w:vAlign w:val="center"/>
          </w:tcPr>
          <w:p w14:paraId="1C1A370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18.4%</w:t>
            </w:r>
          </w:p>
        </w:tc>
      </w:tr>
      <w:tr w:rsidR="007608E1" w:rsidRPr="00DB70A4" w14:paraId="77873E03" w14:textId="77777777" w:rsidTr="00036983">
        <w:trPr>
          <w:jc w:val="center"/>
        </w:trPr>
        <w:tc>
          <w:tcPr>
            <w:tcW w:w="3022" w:type="pct"/>
            <w:tcMar>
              <w:top w:w="60" w:type="dxa"/>
              <w:left w:w="100" w:type="dxa"/>
              <w:bottom w:w="60" w:type="dxa"/>
              <w:right w:w="100" w:type="dxa"/>
            </w:tcMar>
            <w:vAlign w:val="center"/>
          </w:tcPr>
          <w:p w14:paraId="05D80AD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العمليات المالية</w:t>
            </w:r>
          </w:p>
        </w:tc>
        <w:tc>
          <w:tcPr>
            <w:tcW w:w="989" w:type="pct"/>
            <w:tcMar>
              <w:top w:w="60" w:type="dxa"/>
              <w:left w:w="100" w:type="dxa"/>
              <w:bottom w:w="60" w:type="dxa"/>
              <w:right w:w="100" w:type="dxa"/>
            </w:tcMar>
            <w:vAlign w:val="center"/>
          </w:tcPr>
          <w:p w14:paraId="4C24280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32</w:t>
            </w:r>
          </w:p>
        </w:tc>
        <w:tc>
          <w:tcPr>
            <w:tcW w:w="989" w:type="pct"/>
            <w:tcMar>
              <w:top w:w="60" w:type="dxa"/>
              <w:left w:w="100" w:type="dxa"/>
              <w:bottom w:w="60" w:type="dxa"/>
              <w:right w:w="100" w:type="dxa"/>
            </w:tcMar>
            <w:vAlign w:val="center"/>
          </w:tcPr>
          <w:p w14:paraId="22216E0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16.3%</w:t>
            </w:r>
          </w:p>
        </w:tc>
      </w:tr>
      <w:tr w:rsidR="007608E1" w:rsidRPr="00DB70A4" w14:paraId="10484467" w14:textId="77777777" w:rsidTr="00036983">
        <w:trPr>
          <w:jc w:val="center"/>
        </w:trPr>
        <w:tc>
          <w:tcPr>
            <w:tcW w:w="3022" w:type="pct"/>
            <w:shd w:val="clear" w:color="auto" w:fill="F2F2F2"/>
            <w:tcMar>
              <w:top w:w="60" w:type="dxa"/>
              <w:left w:w="100" w:type="dxa"/>
              <w:bottom w:w="60" w:type="dxa"/>
              <w:right w:w="100" w:type="dxa"/>
            </w:tcMar>
            <w:vAlign w:val="center"/>
          </w:tcPr>
          <w:p w14:paraId="1A62E4C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مسؤول الامتثال والمخاطر</w:t>
            </w:r>
          </w:p>
        </w:tc>
        <w:tc>
          <w:tcPr>
            <w:tcW w:w="989" w:type="pct"/>
            <w:shd w:val="clear" w:color="auto" w:fill="F2F2F2"/>
            <w:tcMar>
              <w:top w:w="60" w:type="dxa"/>
              <w:left w:w="100" w:type="dxa"/>
              <w:bottom w:w="60" w:type="dxa"/>
              <w:right w:w="100" w:type="dxa"/>
            </w:tcMar>
            <w:vAlign w:val="center"/>
          </w:tcPr>
          <w:p w14:paraId="5EEEE76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30</w:t>
            </w:r>
          </w:p>
        </w:tc>
        <w:tc>
          <w:tcPr>
            <w:tcW w:w="989" w:type="pct"/>
            <w:shd w:val="clear" w:color="auto" w:fill="F2F2F2"/>
            <w:tcMar>
              <w:top w:w="60" w:type="dxa"/>
              <w:left w:w="100" w:type="dxa"/>
              <w:bottom w:w="60" w:type="dxa"/>
              <w:right w:w="100" w:type="dxa"/>
            </w:tcMar>
            <w:vAlign w:val="center"/>
          </w:tcPr>
          <w:p w14:paraId="0E31319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15.3%</w:t>
            </w:r>
          </w:p>
        </w:tc>
      </w:tr>
      <w:tr w:rsidR="007608E1" w:rsidRPr="00DB70A4" w14:paraId="5BCA70C8" w14:textId="77777777" w:rsidTr="00036983">
        <w:trPr>
          <w:jc w:val="center"/>
        </w:trPr>
        <w:tc>
          <w:tcPr>
            <w:tcW w:w="3022" w:type="pct"/>
            <w:tcMar>
              <w:top w:w="60" w:type="dxa"/>
              <w:left w:w="100" w:type="dxa"/>
              <w:bottom w:w="60" w:type="dxa"/>
              <w:right w:w="100" w:type="dxa"/>
            </w:tcMar>
            <w:vAlign w:val="center"/>
          </w:tcPr>
          <w:p w14:paraId="3F74CF0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محلل مالي أو تقني</w:t>
            </w:r>
          </w:p>
        </w:tc>
        <w:tc>
          <w:tcPr>
            <w:tcW w:w="989" w:type="pct"/>
            <w:tcMar>
              <w:top w:w="60" w:type="dxa"/>
              <w:left w:w="100" w:type="dxa"/>
              <w:bottom w:w="60" w:type="dxa"/>
              <w:right w:w="100" w:type="dxa"/>
            </w:tcMar>
            <w:vAlign w:val="center"/>
          </w:tcPr>
          <w:p w14:paraId="7F370E7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28</w:t>
            </w:r>
          </w:p>
        </w:tc>
        <w:tc>
          <w:tcPr>
            <w:tcW w:w="989" w:type="pct"/>
            <w:tcMar>
              <w:top w:w="60" w:type="dxa"/>
              <w:left w:w="100" w:type="dxa"/>
              <w:bottom w:w="60" w:type="dxa"/>
              <w:right w:w="100" w:type="dxa"/>
            </w:tcMar>
            <w:vAlign w:val="center"/>
          </w:tcPr>
          <w:p w14:paraId="7E31E92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14.3%</w:t>
            </w:r>
          </w:p>
        </w:tc>
      </w:tr>
    </w:tbl>
    <w:p w14:paraId="00558CFD"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(4.5): توزيع أفراد العينة وفق المنصب الوظيفي</w:t>
      </w:r>
    </w:p>
    <w:p w14:paraId="6D0E81B3"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 xml:space="preserve">شكّل مديرو تقنية المعلومات والأمن السيبراني أعلى نسبة من المستجيبين (35.7%)، وهو ما يتسق مع طبيعة موضوع الدراسة المرتبط بالترميز والأمن السيبراني، تلاهم المديرون التنفيذيون بنسبة 18.4%، فمديرو العمليات المالية بنسبة 16.3%، ومسؤولو الامتثال والمخاطر بنسبة 15.3%، وأخيراً المحللون الماليون والتقنيون بنسبة 14.3%. ويعكس </w:t>
      </w:r>
      <w:r w:rsidRPr="00DB70A4">
        <w:rPr>
          <w:rFonts w:ascii="Traditional Arabic" w:eastAsia="Simplified Arabic" w:hAnsi="Traditional Arabic" w:cs="Traditional Arabic"/>
          <w:sz w:val="28"/>
          <w:szCs w:val="28"/>
          <w:rtl/>
        </w:rPr>
        <w:lastRenderedPageBreak/>
        <w:t>هذا التوزيع تنوعاً وظيفياً يعزز من مصداقية الإجابات، إذ شمل المستجيبون فئات مسؤولة مباشرة عن قرارات تبني التقنية وتقييم أثرها.</w:t>
      </w:r>
    </w:p>
    <w:p w14:paraId="6092AE4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5. سنوات الخبرة في القطاع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7A108367" w14:textId="77777777" w:rsidTr="00036983">
        <w:trPr>
          <w:tblHeader/>
          <w:jc w:val="center"/>
        </w:trPr>
        <w:tc>
          <w:tcPr>
            <w:tcW w:w="3022" w:type="pct"/>
            <w:shd w:val="clear" w:color="auto" w:fill="2E5395"/>
            <w:tcMar>
              <w:top w:w="60" w:type="dxa"/>
              <w:left w:w="100" w:type="dxa"/>
              <w:bottom w:w="60" w:type="dxa"/>
              <w:right w:w="100" w:type="dxa"/>
            </w:tcMar>
            <w:vAlign w:val="center"/>
          </w:tcPr>
          <w:p w14:paraId="7634EAE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سنوات الخبرة</w:t>
            </w:r>
          </w:p>
        </w:tc>
        <w:tc>
          <w:tcPr>
            <w:tcW w:w="989" w:type="pct"/>
            <w:shd w:val="clear" w:color="auto" w:fill="2E5395"/>
            <w:tcMar>
              <w:top w:w="60" w:type="dxa"/>
              <w:left w:w="100" w:type="dxa"/>
              <w:bottom w:w="60" w:type="dxa"/>
              <w:right w:w="100" w:type="dxa"/>
            </w:tcMar>
            <w:vAlign w:val="center"/>
          </w:tcPr>
          <w:p w14:paraId="6725801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24AF746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6428D2D5" w14:textId="77777777" w:rsidTr="00036983">
        <w:trPr>
          <w:jc w:val="center"/>
        </w:trPr>
        <w:tc>
          <w:tcPr>
            <w:tcW w:w="3022" w:type="pct"/>
            <w:tcMar>
              <w:top w:w="60" w:type="dxa"/>
              <w:left w:w="100" w:type="dxa"/>
              <w:bottom w:w="60" w:type="dxa"/>
              <w:right w:w="100" w:type="dxa"/>
            </w:tcMar>
            <w:vAlign w:val="center"/>
          </w:tcPr>
          <w:p w14:paraId="668E024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10 سنوات</w:t>
            </w:r>
          </w:p>
        </w:tc>
        <w:tc>
          <w:tcPr>
            <w:tcW w:w="989" w:type="pct"/>
            <w:tcMar>
              <w:top w:w="60" w:type="dxa"/>
              <w:left w:w="100" w:type="dxa"/>
              <w:bottom w:w="60" w:type="dxa"/>
              <w:right w:w="100" w:type="dxa"/>
            </w:tcMar>
            <w:vAlign w:val="center"/>
          </w:tcPr>
          <w:p w14:paraId="70FA1B0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76</w:t>
            </w:r>
          </w:p>
        </w:tc>
        <w:tc>
          <w:tcPr>
            <w:tcW w:w="989" w:type="pct"/>
            <w:tcMar>
              <w:top w:w="60" w:type="dxa"/>
              <w:left w:w="100" w:type="dxa"/>
              <w:bottom w:w="60" w:type="dxa"/>
              <w:right w:w="100" w:type="dxa"/>
            </w:tcMar>
            <w:vAlign w:val="center"/>
          </w:tcPr>
          <w:p w14:paraId="45EB04E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38.8%</w:t>
            </w:r>
          </w:p>
        </w:tc>
      </w:tr>
      <w:tr w:rsidR="007608E1" w:rsidRPr="00DB70A4" w14:paraId="57A95C10" w14:textId="77777777" w:rsidTr="00036983">
        <w:trPr>
          <w:jc w:val="center"/>
        </w:trPr>
        <w:tc>
          <w:tcPr>
            <w:tcW w:w="3022" w:type="pct"/>
            <w:shd w:val="clear" w:color="auto" w:fill="F2F2F2"/>
            <w:tcMar>
              <w:top w:w="60" w:type="dxa"/>
              <w:left w:w="100" w:type="dxa"/>
              <w:bottom w:w="60" w:type="dxa"/>
              <w:right w:w="100" w:type="dxa"/>
            </w:tcMar>
            <w:vAlign w:val="center"/>
          </w:tcPr>
          <w:p w14:paraId="0D2D345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7 إلى 10 سنوات</w:t>
            </w:r>
          </w:p>
        </w:tc>
        <w:tc>
          <w:tcPr>
            <w:tcW w:w="989" w:type="pct"/>
            <w:shd w:val="clear" w:color="auto" w:fill="F2F2F2"/>
            <w:tcMar>
              <w:top w:w="60" w:type="dxa"/>
              <w:left w:w="100" w:type="dxa"/>
              <w:bottom w:w="60" w:type="dxa"/>
              <w:right w:w="100" w:type="dxa"/>
            </w:tcMar>
            <w:vAlign w:val="center"/>
          </w:tcPr>
          <w:p w14:paraId="1A3C890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59</w:t>
            </w:r>
          </w:p>
        </w:tc>
        <w:tc>
          <w:tcPr>
            <w:tcW w:w="989" w:type="pct"/>
            <w:shd w:val="clear" w:color="auto" w:fill="F2F2F2"/>
            <w:tcMar>
              <w:top w:w="60" w:type="dxa"/>
              <w:left w:w="100" w:type="dxa"/>
              <w:bottom w:w="60" w:type="dxa"/>
              <w:right w:w="100" w:type="dxa"/>
            </w:tcMar>
            <w:vAlign w:val="center"/>
          </w:tcPr>
          <w:p w14:paraId="1F6097B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30.1%</w:t>
            </w:r>
          </w:p>
        </w:tc>
      </w:tr>
      <w:tr w:rsidR="007608E1" w:rsidRPr="00DB70A4" w14:paraId="0DA411F0" w14:textId="77777777" w:rsidTr="00036983">
        <w:trPr>
          <w:jc w:val="center"/>
        </w:trPr>
        <w:tc>
          <w:tcPr>
            <w:tcW w:w="3022" w:type="pct"/>
            <w:tcMar>
              <w:top w:w="60" w:type="dxa"/>
              <w:left w:w="100" w:type="dxa"/>
              <w:bottom w:w="60" w:type="dxa"/>
              <w:right w:w="100" w:type="dxa"/>
            </w:tcMar>
            <w:vAlign w:val="center"/>
          </w:tcPr>
          <w:p w14:paraId="173DB31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3 إلى 6 سنوات</w:t>
            </w:r>
          </w:p>
        </w:tc>
        <w:tc>
          <w:tcPr>
            <w:tcW w:w="989" w:type="pct"/>
            <w:tcMar>
              <w:top w:w="60" w:type="dxa"/>
              <w:left w:w="100" w:type="dxa"/>
              <w:bottom w:w="60" w:type="dxa"/>
              <w:right w:w="100" w:type="dxa"/>
            </w:tcMar>
            <w:vAlign w:val="center"/>
          </w:tcPr>
          <w:p w14:paraId="350B8A8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51</w:t>
            </w:r>
          </w:p>
        </w:tc>
        <w:tc>
          <w:tcPr>
            <w:tcW w:w="989" w:type="pct"/>
            <w:tcMar>
              <w:top w:w="60" w:type="dxa"/>
              <w:left w:w="100" w:type="dxa"/>
              <w:bottom w:w="60" w:type="dxa"/>
              <w:right w:w="100" w:type="dxa"/>
            </w:tcMar>
            <w:vAlign w:val="center"/>
          </w:tcPr>
          <w:p w14:paraId="16CE912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26%</w:t>
            </w:r>
          </w:p>
        </w:tc>
      </w:tr>
      <w:tr w:rsidR="007608E1" w:rsidRPr="00DB70A4" w14:paraId="6387AA7E" w14:textId="77777777" w:rsidTr="00036983">
        <w:trPr>
          <w:jc w:val="center"/>
        </w:trPr>
        <w:tc>
          <w:tcPr>
            <w:tcW w:w="3022" w:type="pct"/>
            <w:shd w:val="clear" w:color="auto" w:fill="F2F2F2"/>
            <w:tcMar>
              <w:top w:w="60" w:type="dxa"/>
              <w:left w:w="100" w:type="dxa"/>
              <w:bottom w:w="60" w:type="dxa"/>
              <w:right w:w="100" w:type="dxa"/>
            </w:tcMar>
            <w:vAlign w:val="center"/>
          </w:tcPr>
          <w:p w14:paraId="6A50EC9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3 سنوات</w:t>
            </w:r>
          </w:p>
        </w:tc>
        <w:tc>
          <w:tcPr>
            <w:tcW w:w="989" w:type="pct"/>
            <w:shd w:val="clear" w:color="auto" w:fill="F2F2F2"/>
            <w:tcMar>
              <w:top w:w="60" w:type="dxa"/>
              <w:left w:w="100" w:type="dxa"/>
              <w:bottom w:w="60" w:type="dxa"/>
              <w:right w:w="100" w:type="dxa"/>
            </w:tcMar>
            <w:vAlign w:val="center"/>
          </w:tcPr>
          <w:p w14:paraId="3D90625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10</w:t>
            </w:r>
          </w:p>
        </w:tc>
        <w:tc>
          <w:tcPr>
            <w:tcW w:w="989" w:type="pct"/>
            <w:shd w:val="clear" w:color="auto" w:fill="F2F2F2"/>
            <w:tcMar>
              <w:top w:w="60" w:type="dxa"/>
              <w:left w:w="100" w:type="dxa"/>
              <w:bottom w:w="60" w:type="dxa"/>
              <w:right w:w="100" w:type="dxa"/>
            </w:tcMar>
            <w:vAlign w:val="center"/>
          </w:tcPr>
          <w:p w14:paraId="6719CAD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5.1%</w:t>
            </w:r>
          </w:p>
        </w:tc>
      </w:tr>
    </w:tbl>
    <w:p w14:paraId="66A47E6F"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(4.6): توزيع أفراد العينة وفق سنوات الخبرة في القطاع المالي</w:t>
      </w:r>
    </w:p>
    <w:p w14:paraId="4F936049"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يلاحظ أن نسبة 68.9% من أفراد العينة (مجموع فئتي أكثر من 10 سنوات ومن 7 إلى 10 سنوات) يمتلكون خبرة مهنية تزيد عن 7 سنوات في القطاع المالي، مما يعزز من موثوقية إجاباتهم بوصفهم أفراداً ذوي دراية كافية بطبيعة العمليات المالية والتحديات السيبرانية التي تواجه مؤسساتهم.</w:t>
      </w:r>
    </w:p>
    <w:p w14:paraId="63E1A2F0"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6. مدى اعتماد المؤسسة لتقنية الترميز حالياً</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00681E48" w14:textId="77777777" w:rsidTr="00036983">
        <w:trPr>
          <w:tblHeader/>
          <w:jc w:val="center"/>
        </w:trPr>
        <w:tc>
          <w:tcPr>
            <w:tcW w:w="3022" w:type="pct"/>
            <w:shd w:val="clear" w:color="auto" w:fill="2E5395"/>
            <w:tcMar>
              <w:top w:w="60" w:type="dxa"/>
              <w:left w:w="100" w:type="dxa"/>
              <w:bottom w:w="60" w:type="dxa"/>
              <w:right w:w="100" w:type="dxa"/>
            </w:tcMar>
            <w:vAlign w:val="center"/>
          </w:tcPr>
          <w:p w14:paraId="6234C9E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مستوى اعتماد الترميز</w:t>
            </w:r>
          </w:p>
        </w:tc>
        <w:tc>
          <w:tcPr>
            <w:tcW w:w="989" w:type="pct"/>
            <w:shd w:val="clear" w:color="auto" w:fill="2E5395"/>
            <w:tcMar>
              <w:top w:w="60" w:type="dxa"/>
              <w:left w:w="100" w:type="dxa"/>
              <w:bottom w:w="60" w:type="dxa"/>
              <w:right w:w="100" w:type="dxa"/>
            </w:tcMar>
            <w:vAlign w:val="center"/>
          </w:tcPr>
          <w:p w14:paraId="1E3247E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09FE6B5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1AEB9179" w14:textId="77777777" w:rsidTr="00036983">
        <w:trPr>
          <w:jc w:val="center"/>
        </w:trPr>
        <w:tc>
          <w:tcPr>
            <w:tcW w:w="3022" w:type="pct"/>
            <w:tcMar>
              <w:top w:w="60" w:type="dxa"/>
              <w:left w:w="100" w:type="dxa"/>
              <w:bottom w:w="60" w:type="dxa"/>
              <w:right w:w="100" w:type="dxa"/>
            </w:tcMar>
            <w:vAlign w:val="center"/>
          </w:tcPr>
          <w:p w14:paraId="355E5C7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نعم، بشكل كامل</w:t>
            </w:r>
          </w:p>
        </w:tc>
        <w:tc>
          <w:tcPr>
            <w:tcW w:w="989" w:type="pct"/>
            <w:tcMar>
              <w:top w:w="60" w:type="dxa"/>
              <w:left w:w="100" w:type="dxa"/>
              <w:bottom w:w="60" w:type="dxa"/>
              <w:right w:w="100" w:type="dxa"/>
            </w:tcMar>
            <w:vAlign w:val="center"/>
          </w:tcPr>
          <w:p w14:paraId="000D1BF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118</w:t>
            </w:r>
          </w:p>
        </w:tc>
        <w:tc>
          <w:tcPr>
            <w:tcW w:w="989" w:type="pct"/>
            <w:tcMar>
              <w:top w:w="60" w:type="dxa"/>
              <w:left w:w="100" w:type="dxa"/>
              <w:bottom w:w="60" w:type="dxa"/>
              <w:right w:w="100" w:type="dxa"/>
            </w:tcMar>
            <w:vAlign w:val="center"/>
          </w:tcPr>
          <w:p w14:paraId="11F5B9F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60.2%</w:t>
            </w:r>
          </w:p>
        </w:tc>
      </w:tr>
      <w:tr w:rsidR="007608E1" w:rsidRPr="00DB70A4" w14:paraId="22C12B99" w14:textId="77777777" w:rsidTr="00036983">
        <w:trPr>
          <w:jc w:val="center"/>
        </w:trPr>
        <w:tc>
          <w:tcPr>
            <w:tcW w:w="3022" w:type="pct"/>
            <w:shd w:val="clear" w:color="auto" w:fill="F2F2F2"/>
            <w:tcMar>
              <w:top w:w="60" w:type="dxa"/>
              <w:left w:w="100" w:type="dxa"/>
              <w:bottom w:w="60" w:type="dxa"/>
              <w:right w:w="100" w:type="dxa"/>
            </w:tcMar>
            <w:vAlign w:val="center"/>
          </w:tcPr>
          <w:p w14:paraId="5A38893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نعم، بشكل جزئي (في مرحلة التطبيق)</w:t>
            </w:r>
          </w:p>
        </w:tc>
        <w:tc>
          <w:tcPr>
            <w:tcW w:w="989" w:type="pct"/>
            <w:shd w:val="clear" w:color="auto" w:fill="F2F2F2"/>
            <w:tcMar>
              <w:top w:w="60" w:type="dxa"/>
              <w:left w:w="100" w:type="dxa"/>
              <w:bottom w:w="60" w:type="dxa"/>
              <w:right w:w="100" w:type="dxa"/>
            </w:tcMar>
            <w:vAlign w:val="center"/>
          </w:tcPr>
          <w:p w14:paraId="45F41A4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44</w:t>
            </w:r>
          </w:p>
        </w:tc>
        <w:tc>
          <w:tcPr>
            <w:tcW w:w="989" w:type="pct"/>
            <w:shd w:val="clear" w:color="auto" w:fill="F2F2F2"/>
            <w:tcMar>
              <w:top w:w="60" w:type="dxa"/>
              <w:left w:w="100" w:type="dxa"/>
              <w:bottom w:w="60" w:type="dxa"/>
              <w:right w:w="100" w:type="dxa"/>
            </w:tcMar>
            <w:vAlign w:val="center"/>
          </w:tcPr>
          <w:p w14:paraId="40A205B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22.4%</w:t>
            </w:r>
          </w:p>
        </w:tc>
      </w:tr>
      <w:tr w:rsidR="007608E1" w:rsidRPr="00DB70A4" w14:paraId="66D4A7C8" w14:textId="77777777" w:rsidTr="00036983">
        <w:trPr>
          <w:jc w:val="center"/>
        </w:trPr>
        <w:tc>
          <w:tcPr>
            <w:tcW w:w="3022" w:type="pct"/>
            <w:tcMar>
              <w:top w:w="60" w:type="dxa"/>
              <w:left w:w="100" w:type="dxa"/>
              <w:bottom w:w="60" w:type="dxa"/>
              <w:right w:w="100" w:type="dxa"/>
            </w:tcMar>
            <w:vAlign w:val="center"/>
          </w:tcPr>
          <w:p w14:paraId="67B24D5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لا، لكن مخطط لذلك</w:t>
            </w:r>
          </w:p>
        </w:tc>
        <w:tc>
          <w:tcPr>
            <w:tcW w:w="989" w:type="pct"/>
            <w:tcMar>
              <w:top w:w="60" w:type="dxa"/>
              <w:left w:w="100" w:type="dxa"/>
              <w:bottom w:w="60" w:type="dxa"/>
              <w:right w:w="100" w:type="dxa"/>
            </w:tcMar>
            <w:vAlign w:val="center"/>
          </w:tcPr>
          <w:p w14:paraId="3E4D1A3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27</w:t>
            </w:r>
          </w:p>
        </w:tc>
        <w:tc>
          <w:tcPr>
            <w:tcW w:w="989" w:type="pct"/>
            <w:tcMar>
              <w:top w:w="60" w:type="dxa"/>
              <w:left w:w="100" w:type="dxa"/>
              <w:bottom w:w="60" w:type="dxa"/>
              <w:right w:w="100" w:type="dxa"/>
            </w:tcMar>
            <w:vAlign w:val="center"/>
          </w:tcPr>
          <w:p w14:paraId="2EF4224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13.8%</w:t>
            </w:r>
          </w:p>
        </w:tc>
      </w:tr>
      <w:tr w:rsidR="007608E1" w:rsidRPr="00DB70A4" w14:paraId="31AA9F07" w14:textId="77777777" w:rsidTr="00036983">
        <w:trPr>
          <w:jc w:val="center"/>
        </w:trPr>
        <w:tc>
          <w:tcPr>
            <w:tcW w:w="3022" w:type="pct"/>
            <w:shd w:val="clear" w:color="auto" w:fill="F2F2F2"/>
            <w:tcMar>
              <w:top w:w="60" w:type="dxa"/>
              <w:left w:w="100" w:type="dxa"/>
              <w:bottom w:w="60" w:type="dxa"/>
              <w:right w:w="100" w:type="dxa"/>
            </w:tcMar>
            <w:vAlign w:val="center"/>
          </w:tcPr>
          <w:p w14:paraId="07358C4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لا، ولا توجد خطط</w:t>
            </w:r>
          </w:p>
        </w:tc>
        <w:tc>
          <w:tcPr>
            <w:tcW w:w="989" w:type="pct"/>
            <w:shd w:val="clear" w:color="auto" w:fill="F2F2F2"/>
            <w:tcMar>
              <w:top w:w="60" w:type="dxa"/>
              <w:left w:w="100" w:type="dxa"/>
              <w:bottom w:w="60" w:type="dxa"/>
              <w:right w:w="100" w:type="dxa"/>
            </w:tcMar>
            <w:vAlign w:val="center"/>
          </w:tcPr>
          <w:p w14:paraId="2C52895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w:t>
            </w:r>
          </w:p>
        </w:tc>
        <w:tc>
          <w:tcPr>
            <w:tcW w:w="989" w:type="pct"/>
            <w:shd w:val="clear" w:color="auto" w:fill="F2F2F2"/>
            <w:tcMar>
              <w:top w:w="60" w:type="dxa"/>
              <w:left w:w="100" w:type="dxa"/>
              <w:bottom w:w="60" w:type="dxa"/>
              <w:right w:w="100" w:type="dxa"/>
            </w:tcMar>
            <w:vAlign w:val="center"/>
          </w:tcPr>
          <w:p w14:paraId="756B550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3.6%</w:t>
            </w:r>
          </w:p>
        </w:tc>
      </w:tr>
    </w:tbl>
    <w:p w14:paraId="79A39825"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(4.7): توزيع أفراد العينة وفق مستوى اعتماد المؤسسة لتقنية الترميز</w:t>
      </w:r>
    </w:p>
    <w:p w14:paraId="1410C405"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 xml:space="preserve">تكشف النتائج أن نسبة 82.7% من المؤسسات المشمولة بالدراسة تعتمد تقنية الترميز حالياً بشكل كامل أو جزئي (60.2% بشكل كامل، و22.4% بشكل جزئي في مرحلة التطبيق)، في حين لا تزال نسبة 17.3% من المؤسسات خارج نطاق التطبيق الفعلي (13.8% تخطط لذلك مستقبلاً، و3.6% لا توجد لديها خطط حالية). ويعكس هذا التوزيع مستوى نضج مرتفعاً نسبياً في تبني تقنية الترميز داخل القطاع المالي السعودي، بما يتسق مع توجهات رؤية 2030 </w:t>
      </w:r>
      <w:r w:rsidRPr="00DB70A4">
        <w:rPr>
          <w:rFonts w:ascii="Traditional Arabic" w:eastAsia="Simplified Arabic" w:hAnsi="Traditional Arabic" w:cs="Traditional Arabic"/>
          <w:sz w:val="28"/>
          <w:szCs w:val="28"/>
          <w:rtl/>
        </w:rPr>
        <w:lastRenderedPageBreak/>
        <w:t>نحو التحول الرقمي الآمن. وقد استُخدم هذا التصنيف (معتمِدة/غير معتمِدة) لاحقاً كأساس لتجميع فئتين متمايزتين عند اختبار الفرضية الثالثة.</w:t>
      </w:r>
    </w:p>
    <w:p w14:paraId="623CC1F7"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131" w:name="_Toc234424170"/>
      <w:r>
        <w:rPr>
          <w:rFonts w:ascii="Traditional Arabic" w:hAnsi="Traditional Arabic" w:cs="Traditional Arabic"/>
          <w:b/>
          <w:bCs/>
          <w:sz w:val="32"/>
          <w:szCs w:val="32"/>
          <w:u w:val="single"/>
          <w:rtl/>
        </w:rPr>
        <w:t>ثانياً: التحليل الوصفي لمتغيرات الدراسة</w:t>
      </w:r>
      <w:bookmarkEnd w:id="131"/>
    </w:p>
    <w:p w14:paraId="4FEA0BE1"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يهدف هذا الجزء إلى وصف استجابات أفراد العينة تجاه متغيرات الدراسة الأساسية الخمسة، وذلك من خلال استخدام المتوسطات الحسابية والانحرافات المعيارية لكل عبارة من عبارات الاستبانة ولكل بُعد من أبعادها الخمسة، وفقاً لمقياس ليكرت الخماسي ومستويات الموافقة المعتمدة في الفصل الثالث (جدول 3.2-ب)، بما يتيح تكوين صورة واضحة عن اتجاهات آراء المبحوثين.</w:t>
      </w:r>
    </w:p>
    <w:p w14:paraId="60D686D6"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 xml:space="preserve">البُعد الأول: </w:t>
      </w:r>
      <w:commentRangeStart w:id="132"/>
      <w:r>
        <w:rPr>
          <w:rFonts w:ascii="Traditional Arabic" w:eastAsia="Simplified Arabic" w:hAnsi="Traditional Arabic" w:cs="Traditional Arabic"/>
          <w:b/>
          <w:bCs/>
          <w:sz w:val="28"/>
          <w:szCs w:val="28"/>
          <w:rtl/>
        </w:rPr>
        <w:t>الترميز الأمني للبيانات</w:t>
      </w:r>
      <w:commentRangeEnd w:id="132"/>
      <w:r w:rsidR="002151A4">
        <w:rPr>
          <w:rStyle w:val="affa"/>
          <w:sz w:val="22"/>
          <w:szCs w:val="22"/>
        </w:rPr>
        <w:commentReference w:id="132"/>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0299D2A0" w14:textId="77777777" w:rsidTr="00036983">
        <w:trPr>
          <w:tblHeader/>
          <w:jc w:val="center"/>
        </w:trPr>
        <w:tc>
          <w:tcPr>
            <w:tcW w:w="238" w:type="pct"/>
            <w:shd w:val="clear" w:color="auto" w:fill="2E5395"/>
            <w:tcMar>
              <w:top w:w="60" w:type="dxa"/>
              <w:left w:w="100" w:type="dxa"/>
              <w:bottom w:w="60" w:type="dxa"/>
              <w:right w:w="100" w:type="dxa"/>
            </w:tcMar>
            <w:vAlign w:val="center"/>
          </w:tcPr>
          <w:p w14:paraId="20FFA04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09B38F4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88CF4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627E858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2AD6842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285E7873" w14:textId="77777777" w:rsidTr="00036983">
        <w:trPr>
          <w:jc w:val="center"/>
        </w:trPr>
        <w:tc>
          <w:tcPr>
            <w:tcW w:w="238" w:type="pct"/>
            <w:tcMar>
              <w:top w:w="60" w:type="dxa"/>
              <w:left w:w="100" w:type="dxa"/>
              <w:bottom w:w="60" w:type="dxa"/>
              <w:right w:w="100" w:type="dxa"/>
            </w:tcMar>
            <w:vAlign w:val="center"/>
          </w:tcPr>
          <w:p w14:paraId="6231E58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7</w:t>
            </w:r>
          </w:p>
        </w:tc>
        <w:tc>
          <w:tcPr>
            <w:tcW w:w="2762" w:type="pct"/>
            <w:tcMar>
              <w:top w:w="60" w:type="dxa"/>
              <w:left w:w="100" w:type="dxa"/>
              <w:bottom w:w="60" w:type="dxa"/>
              <w:right w:w="100" w:type="dxa"/>
            </w:tcMar>
            <w:vAlign w:val="center"/>
          </w:tcPr>
          <w:p w14:paraId="2F3FDFC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تعتمد المؤسسة تقنية الترميز لحماية بيانات الدفع الحساسة وفق معيار PCI DSS</w:t>
            </w:r>
          </w:p>
        </w:tc>
        <w:tc>
          <w:tcPr>
            <w:tcW w:w="619" w:type="pct"/>
            <w:tcMar>
              <w:top w:w="60" w:type="dxa"/>
              <w:left w:w="100" w:type="dxa"/>
              <w:bottom w:w="60" w:type="dxa"/>
              <w:right w:w="100" w:type="dxa"/>
            </w:tcMar>
            <w:vAlign w:val="center"/>
          </w:tcPr>
          <w:p w14:paraId="40790E2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4.276</w:t>
            </w:r>
          </w:p>
        </w:tc>
        <w:tc>
          <w:tcPr>
            <w:tcW w:w="714" w:type="pct"/>
            <w:tcMar>
              <w:top w:w="60" w:type="dxa"/>
              <w:left w:w="100" w:type="dxa"/>
              <w:bottom w:w="60" w:type="dxa"/>
              <w:right w:w="100" w:type="dxa"/>
            </w:tcMar>
            <w:vAlign w:val="center"/>
          </w:tcPr>
          <w:p w14:paraId="7F20590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1.166</w:t>
            </w:r>
          </w:p>
        </w:tc>
        <w:tc>
          <w:tcPr>
            <w:tcW w:w="667" w:type="pct"/>
            <w:tcMar>
              <w:top w:w="60" w:type="dxa"/>
              <w:left w:w="100" w:type="dxa"/>
              <w:bottom w:w="60" w:type="dxa"/>
              <w:right w:w="100" w:type="dxa"/>
            </w:tcMar>
            <w:vAlign w:val="center"/>
          </w:tcPr>
          <w:p w14:paraId="1704A5E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AC39340" w14:textId="77777777" w:rsidTr="00036983">
        <w:trPr>
          <w:jc w:val="center"/>
        </w:trPr>
        <w:tc>
          <w:tcPr>
            <w:tcW w:w="238" w:type="pct"/>
            <w:shd w:val="clear" w:color="auto" w:fill="F2F2F2"/>
            <w:tcMar>
              <w:top w:w="60" w:type="dxa"/>
              <w:left w:w="100" w:type="dxa"/>
              <w:bottom w:w="60" w:type="dxa"/>
              <w:right w:w="100" w:type="dxa"/>
            </w:tcMar>
            <w:vAlign w:val="center"/>
          </w:tcPr>
          <w:p w14:paraId="4B3F973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8</w:t>
            </w:r>
          </w:p>
        </w:tc>
        <w:tc>
          <w:tcPr>
            <w:tcW w:w="2762" w:type="pct"/>
            <w:shd w:val="clear" w:color="auto" w:fill="F2F2F2"/>
            <w:tcMar>
              <w:top w:w="60" w:type="dxa"/>
              <w:left w:w="100" w:type="dxa"/>
              <w:bottom w:w="60" w:type="dxa"/>
              <w:right w:w="100" w:type="dxa"/>
            </w:tcMar>
            <w:vAlign w:val="center"/>
          </w:tcPr>
          <w:p w14:paraId="6198DE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نسبة اختراق البيانات المالية بشكل ملحوظ خلال السنتين الماضيتين</w:t>
            </w:r>
          </w:p>
        </w:tc>
        <w:tc>
          <w:tcPr>
            <w:tcW w:w="619" w:type="pct"/>
            <w:shd w:val="clear" w:color="auto" w:fill="F2F2F2"/>
            <w:tcMar>
              <w:top w:w="60" w:type="dxa"/>
              <w:left w:w="100" w:type="dxa"/>
              <w:bottom w:w="60" w:type="dxa"/>
              <w:right w:w="100" w:type="dxa"/>
            </w:tcMar>
            <w:vAlign w:val="center"/>
          </w:tcPr>
          <w:p w14:paraId="40A5D69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4.332</w:t>
            </w:r>
          </w:p>
        </w:tc>
        <w:tc>
          <w:tcPr>
            <w:tcW w:w="714" w:type="pct"/>
            <w:shd w:val="clear" w:color="auto" w:fill="F2F2F2"/>
            <w:tcMar>
              <w:top w:w="60" w:type="dxa"/>
              <w:left w:w="100" w:type="dxa"/>
              <w:bottom w:w="60" w:type="dxa"/>
              <w:right w:w="100" w:type="dxa"/>
            </w:tcMar>
            <w:vAlign w:val="center"/>
          </w:tcPr>
          <w:p w14:paraId="352763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0.965</w:t>
            </w:r>
          </w:p>
        </w:tc>
        <w:tc>
          <w:tcPr>
            <w:tcW w:w="667" w:type="pct"/>
            <w:shd w:val="clear" w:color="auto" w:fill="F2F2F2"/>
            <w:tcMar>
              <w:top w:w="60" w:type="dxa"/>
              <w:left w:w="100" w:type="dxa"/>
              <w:bottom w:w="60" w:type="dxa"/>
              <w:right w:w="100" w:type="dxa"/>
            </w:tcMar>
            <w:vAlign w:val="center"/>
          </w:tcPr>
          <w:p w14:paraId="431013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3CB0B53" w14:textId="77777777" w:rsidTr="00036983">
        <w:trPr>
          <w:jc w:val="center"/>
        </w:trPr>
        <w:tc>
          <w:tcPr>
            <w:tcW w:w="238" w:type="pct"/>
            <w:tcMar>
              <w:top w:w="60" w:type="dxa"/>
              <w:left w:w="100" w:type="dxa"/>
              <w:bottom w:w="60" w:type="dxa"/>
              <w:right w:w="100" w:type="dxa"/>
            </w:tcMar>
            <w:vAlign w:val="center"/>
          </w:tcPr>
          <w:p w14:paraId="1BF4EE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9</w:t>
            </w:r>
          </w:p>
        </w:tc>
        <w:tc>
          <w:tcPr>
            <w:tcW w:w="2762" w:type="pct"/>
            <w:tcMar>
              <w:top w:w="60" w:type="dxa"/>
              <w:left w:w="100" w:type="dxa"/>
              <w:bottom w:w="60" w:type="dxa"/>
              <w:right w:w="100" w:type="dxa"/>
            </w:tcMar>
            <w:vAlign w:val="center"/>
          </w:tcPr>
          <w:p w14:paraId="1E6E35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يُعزّز الترميز مستوى حماية هوية العملاء وبياناتهم المصرفية من التهديدات السيبرانية</w:t>
            </w:r>
          </w:p>
        </w:tc>
        <w:tc>
          <w:tcPr>
            <w:tcW w:w="619" w:type="pct"/>
            <w:tcMar>
              <w:top w:w="60" w:type="dxa"/>
              <w:left w:w="100" w:type="dxa"/>
              <w:bottom w:w="60" w:type="dxa"/>
              <w:right w:w="100" w:type="dxa"/>
            </w:tcMar>
            <w:vAlign w:val="center"/>
          </w:tcPr>
          <w:p w14:paraId="0501DF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4.551</w:t>
            </w:r>
          </w:p>
        </w:tc>
        <w:tc>
          <w:tcPr>
            <w:tcW w:w="714" w:type="pct"/>
            <w:tcMar>
              <w:top w:w="60" w:type="dxa"/>
              <w:left w:w="100" w:type="dxa"/>
              <w:bottom w:w="60" w:type="dxa"/>
              <w:right w:w="100" w:type="dxa"/>
            </w:tcMar>
            <w:vAlign w:val="center"/>
          </w:tcPr>
          <w:p w14:paraId="33DE18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0.773</w:t>
            </w:r>
          </w:p>
        </w:tc>
        <w:tc>
          <w:tcPr>
            <w:tcW w:w="667" w:type="pct"/>
            <w:tcMar>
              <w:top w:w="60" w:type="dxa"/>
              <w:left w:w="100" w:type="dxa"/>
              <w:bottom w:w="60" w:type="dxa"/>
              <w:right w:w="100" w:type="dxa"/>
            </w:tcMar>
            <w:vAlign w:val="center"/>
          </w:tcPr>
          <w:p w14:paraId="6A6585C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92FED69" w14:textId="77777777" w:rsidTr="00036983">
        <w:trPr>
          <w:jc w:val="center"/>
        </w:trPr>
        <w:tc>
          <w:tcPr>
            <w:tcW w:w="238" w:type="pct"/>
            <w:shd w:val="clear" w:color="auto" w:fill="F2F2F2"/>
            <w:tcMar>
              <w:top w:w="60" w:type="dxa"/>
              <w:left w:w="100" w:type="dxa"/>
              <w:bottom w:w="60" w:type="dxa"/>
              <w:right w:w="100" w:type="dxa"/>
            </w:tcMar>
            <w:vAlign w:val="center"/>
          </w:tcPr>
          <w:p w14:paraId="2F7E40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w:t>
            </w:r>
          </w:p>
        </w:tc>
        <w:tc>
          <w:tcPr>
            <w:tcW w:w="2762" w:type="pct"/>
            <w:shd w:val="clear" w:color="auto" w:fill="F2F2F2"/>
            <w:tcMar>
              <w:top w:w="60" w:type="dxa"/>
              <w:left w:w="100" w:type="dxa"/>
              <w:bottom w:w="60" w:type="dxa"/>
              <w:right w:w="100" w:type="dxa"/>
            </w:tcMar>
            <w:vAlign w:val="center"/>
          </w:tcPr>
          <w:p w14:paraId="1983F84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تُطبّق المؤسسة آليات ترميز ديناميكي (Dynamic Tokenization) لتعزيز الأمن في المعاملات الآنية</w:t>
            </w:r>
          </w:p>
        </w:tc>
        <w:tc>
          <w:tcPr>
            <w:tcW w:w="619" w:type="pct"/>
            <w:shd w:val="clear" w:color="auto" w:fill="F2F2F2"/>
            <w:tcMar>
              <w:top w:w="60" w:type="dxa"/>
              <w:left w:w="100" w:type="dxa"/>
              <w:bottom w:w="60" w:type="dxa"/>
              <w:right w:w="100" w:type="dxa"/>
            </w:tcMar>
            <w:vAlign w:val="center"/>
          </w:tcPr>
          <w:p w14:paraId="76D9787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4.107</w:t>
            </w:r>
          </w:p>
        </w:tc>
        <w:tc>
          <w:tcPr>
            <w:tcW w:w="714" w:type="pct"/>
            <w:shd w:val="clear" w:color="auto" w:fill="F2F2F2"/>
            <w:tcMar>
              <w:top w:w="60" w:type="dxa"/>
              <w:left w:w="100" w:type="dxa"/>
              <w:bottom w:w="60" w:type="dxa"/>
              <w:right w:w="100" w:type="dxa"/>
            </w:tcMar>
            <w:vAlign w:val="center"/>
          </w:tcPr>
          <w:p w14:paraId="0FEE52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1.225</w:t>
            </w:r>
          </w:p>
        </w:tc>
        <w:tc>
          <w:tcPr>
            <w:tcW w:w="667" w:type="pct"/>
            <w:shd w:val="clear" w:color="auto" w:fill="F2F2F2"/>
            <w:tcMar>
              <w:top w:w="60" w:type="dxa"/>
              <w:left w:w="100" w:type="dxa"/>
              <w:bottom w:w="60" w:type="dxa"/>
              <w:right w:w="100" w:type="dxa"/>
            </w:tcMar>
            <w:vAlign w:val="center"/>
          </w:tcPr>
          <w:p w14:paraId="44CEB62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533004C4" w14:textId="77777777" w:rsidTr="00036983">
        <w:trPr>
          <w:jc w:val="center"/>
        </w:trPr>
        <w:tc>
          <w:tcPr>
            <w:tcW w:w="238" w:type="pct"/>
            <w:tcMar>
              <w:top w:w="60" w:type="dxa"/>
              <w:left w:w="100" w:type="dxa"/>
              <w:bottom w:w="60" w:type="dxa"/>
              <w:right w:w="100" w:type="dxa"/>
            </w:tcMar>
            <w:vAlign w:val="center"/>
          </w:tcPr>
          <w:p w14:paraId="4EB3A1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w:t>
            </w:r>
          </w:p>
        </w:tc>
        <w:tc>
          <w:tcPr>
            <w:tcW w:w="2762" w:type="pct"/>
            <w:tcMar>
              <w:top w:w="60" w:type="dxa"/>
              <w:left w:w="100" w:type="dxa"/>
              <w:bottom w:w="60" w:type="dxa"/>
              <w:right w:w="100" w:type="dxa"/>
            </w:tcMar>
            <w:vAlign w:val="center"/>
          </w:tcPr>
          <w:p w14:paraId="5C52E1F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أدّى الترميز إلى خفض تكاليف الاستجابة للحوادث السيبرانية وعمليات الاستعادة</w:t>
            </w:r>
          </w:p>
        </w:tc>
        <w:tc>
          <w:tcPr>
            <w:tcW w:w="619" w:type="pct"/>
            <w:tcMar>
              <w:top w:w="60" w:type="dxa"/>
              <w:left w:w="100" w:type="dxa"/>
              <w:bottom w:w="60" w:type="dxa"/>
              <w:right w:w="100" w:type="dxa"/>
            </w:tcMar>
            <w:vAlign w:val="center"/>
          </w:tcPr>
          <w:p w14:paraId="72B42FF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4.163</w:t>
            </w:r>
          </w:p>
        </w:tc>
        <w:tc>
          <w:tcPr>
            <w:tcW w:w="714" w:type="pct"/>
            <w:tcMar>
              <w:top w:w="60" w:type="dxa"/>
              <w:left w:w="100" w:type="dxa"/>
              <w:bottom w:w="60" w:type="dxa"/>
              <w:right w:w="100" w:type="dxa"/>
            </w:tcMar>
            <w:vAlign w:val="center"/>
          </w:tcPr>
          <w:p w14:paraId="05A162D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0.994</w:t>
            </w:r>
          </w:p>
        </w:tc>
        <w:tc>
          <w:tcPr>
            <w:tcW w:w="667" w:type="pct"/>
            <w:tcMar>
              <w:top w:w="60" w:type="dxa"/>
              <w:left w:w="100" w:type="dxa"/>
              <w:bottom w:w="60" w:type="dxa"/>
              <w:right w:w="100" w:type="dxa"/>
            </w:tcMar>
            <w:vAlign w:val="center"/>
          </w:tcPr>
          <w:p w14:paraId="1B597D7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371D6616" w14:textId="77777777" w:rsidTr="00036983">
        <w:trPr>
          <w:jc w:val="center"/>
        </w:trPr>
        <w:tc>
          <w:tcPr>
            <w:tcW w:w="238" w:type="pct"/>
            <w:shd w:val="clear" w:color="auto" w:fill="F2F2F2"/>
            <w:tcMar>
              <w:top w:w="60" w:type="dxa"/>
              <w:left w:w="100" w:type="dxa"/>
              <w:bottom w:w="60" w:type="dxa"/>
              <w:right w:w="100" w:type="dxa"/>
            </w:tcMar>
            <w:vAlign w:val="center"/>
          </w:tcPr>
          <w:p w14:paraId="7433C3A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12</w:t>
            </w:r>
          </w:p>
        </w:tc>
        <w:tc>
          <w:tcPr>
            <w:tcW w:w="2762" w:type="pct"/>
            <w:shd w:val="clear" w:color="auto" w:fill="F2F2F2"/>
            <w:tcMar>
              <w:top w:w="60" w:type="dxa"/>
              <w:left w:w="100" w:type="dxa"/>
              <w:bottom w:w="60" w:type="dxa"/>
              <w:right w:w="100" w:type="dxa"/>
            </w:tcMar>
            <w:vAlign w:val="center"/>
          </w:tcPr>
          <w:p w14:paraId="00E669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يُتيح الترميز الامتثال الكامل لمتطلبات الهيئة الوطنية للأمن السيبراني (NCA)</w:t>
            </w:r>
          </w:p>
        </w:tc>
        <w:tc>
          <w:tcPr>
            <w:tcW w:w="619" w:type="pct"/>
            <w:shd w:val="clear" w:color="auto" w:fill="F2F2F2"/>
            <w:tcMar>
              <w:top w:w="60" w:type="dxa"/>
              <w:left w:w="100" w:type="dxa"/>
              <w:bottom w:w="60" w:type="dxa"/>
              <w:right w:w="100" w:type="dxa"/>
            </w:tcMar>
            <w:vAlign w:val="center"/>
          </w:tcPr>
          <w:p w14:paraId="226E747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4.546</w:t>
            </w:r>
          </w:p>
        </w:tc>
        <w:tc>
          <w:tcPr>
            <w:tcW w:w="714" w:type="pct"/>
            <w:shd w:val="clear" w:color="auto" w:fill="F2F2F2"/>
            <w:tcMar>
              <w:top w:w="60" w:type="dxa"/>
              <w:left w:w="100" w:type="dxa"/>
              <w:bottom w:w="60" w:type="dxa"/>
              <w:right w:w="100" w:type="dxa"/>
            </w:tcMar>
            <w:vAlign w:val="center"/>
          </w:tcPr>
          <w:p w14:paraId="0277D20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0.718</w:t>
            </w:r>
          </w:p>
        </w:tc>
        <w:tc>
          <w:tcPr>
            <w:tcW w:w="667" w:type="pct"/>
            <w:shd w:val="clear" w:color="auto" w:fill="F2F2F2"/>
            <w:tcMar>
              <w:top w:w="60" w:type="dxa"/>
              <w:left w:w="100" w:type="dxa"/>
              <w:bottom w:w="60" w:type="dxa"/>
              <w:right w:w="100" w:type="dxa"/>
            </w:tcMar>
            <w:vAlign w:val="center"/>
          </w:tcPr>
          <w:p w14:paraId="49C21E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DEF4FAF" w14:textId="77777777" w:rsidTr="00036983">
        <w:trPr>
          <w:jc w:val="center"/>
        </w:trPr>
        <w:tc>
          <w:tcPr>
            <w:tcW w:w="238" w:type="pct"/>
            <w:tcMar>
              <w:top w:w="60" w:type="dxa"/>
              <w:left w:w="100" w:type="dxa"/>
              <w:bottom w:w="60" w:type="dxa"/>
              <w:right w:w="100" w:type="dxa"/>
            </w:tcMar>
            <w:vAlign w:val="center"/>
          </w:tcPr>
          <w:p w14:paraId="7DE2222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6744E29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58B4E2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4.329</w:t>
            </w:r>
          </w:p>
        </w:tc>
        <w:tc>
          <w:tcPr>
            <w:tcW w:w="714" w:type="pct"/>
            <w:tcMar>
              <w:top w:w="60" w:type="dxa"/>
              <w:left w:w="100" w:type="dxa"/>
              <w:bottom w:w="60" w:type="dxa"/>
              <w:right w:w="100" w:type="dxa"/>
            </w:tcMar>
            <w:vAlign w:val="center"/>
          </w:tcPr>
          <w:p w14:paraId="2E5176A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0.847</w:t>
            </w:r>
          </w:p>
        </w:tc>
        <w:tc>
          <w:tcPr>
            <w:tcW w:w="667" w:type="pct"/>
            <w:tcMar>
              <w:top w:w="60" w:type="dxa"/>
              <w:left w:w="100" w:type="dxa"/>
              <w:bottom w:w="60" w:type="dxa"/>
              <w:right w:w="100" w:type="dxa"/>
            </w:tcMar>
            <w:vAlign w:val="center"/>
          </w:tcPr>
          <w:p w14:paraId="06419B4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00D0B25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(4.8): المتوسطات الحسابية والانحرافات المعيارية لعبارات الترميز الأمني للبيانات</w:t>
      </w:r>
    </w:p>
    <w:p w14:paraId="074A3195" w14:textId="77777777" w:rsidR="00B5019C" w:rsidRDefault="00B5019C" w:rsidP="00E000FF">
      <w:pPr>
        <w:bidi/>
        <w:spacing w:after="0" w:line="360" w:lineRule="auto"/>
        <w:jc w:val="both"/>
        <w:rPr>
          <w:rFonts w:ascii="Traditional Arabic" w:eastAsia="Simplified Arabic" w:hAnsi="Traditional Arabic" w:cs="Traditional Arabic"/>
          <w:b/>
          <w:bCs/>
          <w:sz w:val="28"/>
          <w:szCs w:val="28"/>
          <w:rtl/>
        </w:rPr>
      </w:pPr>
    </w:p>
    <w:p w14:paraId="396EC34F" w14:textId="77777777" w:rsidR="00B5019C" w:rsidRDefault="00B5019C" w:rsidP="00B5019C">
      <w:pPr>
        <w:bidi/>
        <w:spacing w:after="0" w:line="360" w:lineRule="auto"/>
        <w:jc w:val="both"/>
        <w:rPr>
          <w:rFonts w:ascii="Traditional Arabic" w:eastAsia="Simplified Arabic" w:hAnsi="Traditional Arabic" w:cs="Traditional Arabic"/>
          <w:b/>
          <w:bCs/>
          <w:sz w:val="28"/>
          <w:szCs w:val="28"/>
          <w:rtl/>
        </w:rPr>
      </w:pPr>
    </w:p>
    <w:p w14:paraId="615644D6" w14:textId="445CDBF3" w:rsidR="007608E1" w:rsidRDefault="007608E1" w:rsidP="00B5019C">
      <w:pPr>
        <w:bidi/>
        <w:spacing w:after="0" w:line="360" w:lineRule="auto"/>
        <w:jc w:val="both"/>
      </w:pPr>
      <w:commentRangeStart w:id="133"/>
      <w:r>
        <w:rPr>
          <w:rFonts w:ascii="Traditional Arabic" w:eastAsia="Simplified Arabic" w:hAnsi="Traditional Arabic" w:cs="Traditional Arabic"/>
          <w:b/>
          <w:bCs/>
          <w:sz w:val="28"/>
          <w:szCs w:val="28"/>
          <w:rtl/>
        </w:rPr>
        <w:lastRenderedPageBreak/>
        <w:t>البُعد الثاني: الامتثال للمعايير الدولية</w:t>
      </w:r>
      <w:commentRangeEnd w:id="133"/>
      <w:r w:rsidR="002151A4">
        <w:rPr>
          <w:rStyle w:val="affa"/>
          <w:sz w:val="22"/>
          <w:szCs w:val="22"/>
        </w:rPr>
        <w:commentReference w:id="133"/>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6C755276" w14:textId="77777777" w:rsidTr="00036983">
        <w:trPr>
          <w:tblHeader/>
          <w:jc w:val="center"/>
        </w:trPr>
        <w:tc>
          <w:tcPr>
            <w:tcW w:w="238" w:type="pct"/>
            <w:shd w:val="clear" w:color="auto" w:fill="2E5395"/>
            <w:tcMar>
              <w:top w:w="60" w:type="dxa"/>
              <w:left w:w="100" w:type="dxa"/>
              <w:bottom w:w="60" w:type="dxa"/>
              <w:right w:w="100" w:type="dxa"/>
            </w:tcMar>
            <w:vAlign w:val="center"/>
          </w:tcPr>
          <w:p w14:paraId="459BBD6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02BE00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E31468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536CBB7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0D6165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7F99B1F3" w14:textId="77777777" w:rsidTr="00036983">
        <w:trPr>
          <w:jc w:val="center"/>
        </w:trPr>
        <w:tc>
          <w:tcPr>
            <w:tcW w:w="238" w:type="pct"/>
            <w:tcMar>
              <w:top w:w="60" w:type="dxa"/>
              <w:left w:w="100" w:type="dxa"/>
              <w:bottom w:w="60" w:type="dxa"/>
              <w:right w:w="100" w:type="dxa"/>
            </w:tcMar>
            <w:vAlign w:val="center"/>
          </w:tcPr>
          <w:p w14:paraId="6BE9646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13</w:t>
            </w:r>
          </w:p>
        </w:tc>
        <w:tc>
          <w:tcPr>
            <w:tcW w:w="2762" w:type="pct"/>
            <w:tcMar>
              <w:top w:w="60" w:type="dxa"/>
              <w:left w:w="100" w:type="dxa"/>
              <w:bottom w:w="60" w:type="dxa"/>
              <w:right w:w="100" w:type="dxa"/>
            </w:tcMar>
            <w:vAlign w:val="center"/>
          </w:tcPr>
          <w:p w14:paraId="73BD1CF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ساعد تطبيق الترميز المؤسسة على استيفاء متطلبات معيار ISO 27001 لأمن المعلومات</w:t>
            </w:r>
          </w:p>
        </w:tc>
        <w:tc>
          <w:tcPr>
            <w:tcW w:w="619" w:type="pct"/>
            <w:tcMar>
              <w:top w:w="60" w:type="dxa"/>
              <w:left w:w="100" w:type="dxa"/>
              <w:bottom w:w="60" w:type="dxa"/>
              <w:right w:w="100" w:type="dxa"/>
            </w:tcMar>
            <w:vAlign w:val="center"/>
          </w:tcPr>
          <w:p w14:paraId="390D9C2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4.255</w:t>
            </w:r>
          </w:p>
        </w:tc>
        <w:tc>
          <w:tcPr>
            <w:tcW w:w="714" w:type="pct"/>
            <w:tcMar>
              <w:top w:w="60" w:type="dxa"/>
              <w:left w:w="100" w:type="dxa"/>
              <w:bottom w:w="60" w:type="dxa"/>
              <w:right w:w="100" w:type="dxa"/>
            </w:tcMar>
            <w:vAlign w:val="center"/>
          </w:tcPr>
          <w:p w14:paraId="5A2B7A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0.909</w:t>
            </w:r>
          </w:p>
        </w:tc>
        <w:tc>
          <w:tcPr>
            <w:tcW w:w="667" w:type="pct"/>
            <w:tcMar>
              <w:top w:w="60" w:type="dxa"/>
              <w:left w:w="100" w:type="dxa"/>
              <w:bottom w:w="60" w:type="dxa"/>
              <w:right w:w="100" w:type="dxa"/>
            </w:tcMar>
            <w:vAlign w:val="center"/>
          </w:tcPr>
          <w:p w14:paraId="5113CC8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3B3E8AA" w14:textId="77777777" w:rsidTr="00036983">
        <w:trPr>
          <w:jc w:val="center"/>
        </w:trPr>
        <w:tc>
          <w:tcPr>
            <w:tcW w:w="238" w:type="pct"/>
            <w:shd w:val="clear" w:color="auto" w:fill="F2F2F2"/>
            <w:tcMar>
              <w:top w:w="60" w:type="dxa"/>
              <w:left w:w="100" w:type="dxa"/>
              <w:bottom w:w="60" w:type="dxa"/>
              <w:right w:w="100" w:type="dxa"/>
            </w:tcMar>
            <w:vAlign w:val="center"/>
          </w:tcPr>
          <w:p w14:paraId="464CBAD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14</w:t>
            </w:r>
          </w:p>
        </w:tc>
        <w:tc>
          <w:tcPr>
            <w:tcW w:w="2762" w:type="pct"/>
            <w:shd w:val="clear" w:color="auto" w:fill="F2F2F2"/>
            <w:tcMar>
              <w:top w:w="60" w:type="dxa"/>
              <w:left w:w="100" w:type="dxa"/>
              <w:bottom w:w="60" w:type="dxa"/>
              <w:right w:w="100" w:type="dxa"/>
            </w:tcMar>
            <w:vAlign w:val="center"/>
          </w:tcPr>
          <w:p w14:paraId="08A9158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يدعم الترميز الامتثال لأطر حماية البيانات الصادرة عن البنك المركزي السعودي (SAMA)</w:t>
            </w:r>
          </w:p>
        </w:tc>
        <w:tc>
          <w:tcPr>
            <w:tcW w:w="619" w:type="pct"/>
            <w:shd w:val="clear" w:color="auto" w:fill="F2F2F2"/>
            <w:tcMar>
              <w:top w:w="60" w:type="dxa"/>
              <w:left w:w="100" w:type="dxa"/>
              <w:bottom w:w="60" w:type="dxa"/>
              <w:right w:w="100" w:type="dxa"/>
            </w:tcMar>
            <w:vAlign w:val="center"/>
          </w:tcPr>
          <w:p w14:paraId="59AC08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4.622</w:t>
            </w:r>
          </w:p>
        </w:tc>
        <w:tc>
          <w:tcPr>
            <w:tcW w:w="714" w:type="pct"/>
            <w:shd w:val="clear" w:color="auto" w:fill="F2F2F2"/>
            <w:tcMar>
              <w:top w:w="60" w:type="dxa"/>
              <w:left w:w="100" w:type="dxa"/>
              <w:bottom w:w="60" w:type="dxa"/>
              <w:right w:w="100" w:type="dxa"/>
            </w:tcMar>
            <w:vAlign w:val="center"/>
          </w:tcPr>
          <w:p w14:paraId="37D0022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0.680</w:t>
            </w:r>
          </w:p>
        </w:tc>
        <w:tc>
          <w:tcPr>
            <w:tcW w:w="667" w:type="pct"/>
            <w:shd w:val="clear" w:color="auto" w:fill="F2F2F2"/>
            <w:tcMar>
              <w:top w:w="60" w:type="dxa"/>
              <w:left w:w="100" w:type="dxa"/>
              <w:bottom w:w="60" w:type="dxa"/>
              <w:right w:w="100" w:type="dxa"/>
            </w:tcMar>
            <w:vAlign w:val="center"/>
          </w:tcPr>
          <w:p w14:paraId="41EE72B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0FED6EC" w14:textId="77777777" w:rsidTr="00036983">
        <w:trPr>
          <w:jc w:val="center"/>
        </w:trPr>
        <w:tc>
          <w:tcPr>
            <w:tcW w:w="238" w:type="pct"/>
            <w:tcMar>
              <w:top w:w="60" w:type="dxa"/>
              <w:left w:w="100" w:type="dxa"/>
              <w:bottom w:w="60" w:type="dxa"/>
              <w:right w:w="100" w:type="dxa"/>
            </w:tcMar>
            <w:vAlign w:val="center"/>
          </w:tcPr>
          <w:p w14:paraId="57F1AA3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15</w:t>
            </w:r>
          </w:p>
        </w:tc>
        <w:tc>
          <w:tcPr>
            <w:tcW w:w="2762" w:type="pct"/>
            <w:tcMar>
              <w:top w:w="60" w:type="dxa"/>
              <w:left w:w="100" w:type="dxa"/>
              <w:bottom w:w="60" w:type="dxa"/>
              <w:right w:w="100" w:type="dxa"/>
            </w:tcMar>
            <w:vAlign w:val="center"/>
          </w:tcPr>
          <w:p w14:paraId="6D1B952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تيسير عمليات التدقيق الخارجي وتقليص وقتها وتكاليفها</w:t>
            </w:r>
          </w:p>
        </w:tc>
        <w:tc>
          <w:tcPr>
            <w:tcW w:w="619" w:type="pct"/>
            <w:tcMar>
              <w:top w:w="60" w:type="dxa"/>
              <w:left w:w="100" w:type="dxa"/>
              <w:bottom w:w="60" w:type="dxa"/>
              <w:right w:w="100" w:type="dxa"/>
            </w:tcMar>
            <w:vAlign w:val="center"/>
          </w:tcPr>
          <w:p w14:paraId="5637156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4.311</w:t>
            </w:r>
          </w:p>
        </w:tc>
        <w:tc>
          <w:tcPr>
            <w:tcW w:w="714" w:type="pct"/>
            <w:tcMar>
              <w:top w:w="60" w:type="dxa"/>
              <w:left w:w="100" w:type="dxa"/>
              <w:bottom w:w="60" w:type="dxa"/>
              <w:right w:w="100" w:type="dxa"/>
            </w:tcMar>
            <w:vAlign w:val="center"/>
          </w:tcPr>
          <w:p w14:paraId="1A3DB9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0.758</w:t>
            </w:r>
          </w:p>
        </w:tc>
        <w:tc>
          <w:tcPr>
            <w:tcW w:w="667" w:type="pct"/>
            <w:tcMar>
              <w:top w:w="60" w:type="dxa"/>
              <w:left w:w="100" w:type="dxa"/>
              <w:bottom w:w="60" w:type="dxa"/>
              <w:right w:w="100" w:type="dxa"/>
            </w:tcMar>
            <w:vAlign w:val="center"/>
          </w:tcPr>
          <w:p w14:paraId="4CF152B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C8429E2" w14:textId="77777777" w:rsidTr="00036983">
        <w:trPr>
          <w:jc w:val="center"/>
        </w:trPr>
        <w:tc>
          <w:tcPr>
            <w:tcW w:w="238" w:type="pct"/>
            <w:shd w:val="clear" w:color="auto" w:fill="F2F2F2"/>
            <w:tcMar>
              <w:top w:w="60" w:type="dxa"/>
              <w:left w:w="100" w:type="dxa"/>
              <w:bottom w:w="60" w:type="dxa"/>
              <w:right w:w="100" w:type="dxa"/>
            </w:tcMar>
            <w:vAlign w:val="center"/>
          </w:tcPr>
          <w:p w14:paraId="2B880E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16</w:t>
            </w:r>
          </w:p>
        </w:tc>
        <w:tc>
          <w:tcPr>
            <w:tcW w:w="2762" w:type="pct"/>
            <w:shd w:val="clear" w:color="auto" w:fill="F2F2F2"/>
            <w:tcMar>
              <w:top w:w="60" w:type="dxa"/>
              <w:left w:w="100" w:type="dxa"/>
              <w:bottom w:w="60" w:type="dxa"/>
              <w:right w:w="100" w:type="dxa"/>
            </w:tcMar>
            <w:vAlign w:val="center"/>
          </w:tcPr>
          <w:p w14:paraId="1DA20F0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تُوظّف المؤسسة الترميز كأداة للامتثال لأنظمة حماية البيانات المحلية والدولية</w:t>
            </w:r>
          </w:p>
        </w:tc>
        <w:tc>
          <w:tcPr>
            <w:tcW w:w="619" w:type="pct"/>
            <w:shd w:val="clear" w:color="auto" w:fill="F2F2F2"/>
            <w:tcMar>
              <w:top w:w="60" w:type="dxa"/>
              <w:left w:w="100" w:type="dxa"/>
              <w:bottom w:w="60" w:type="dxa"/>
              <w:right w:w="100" w:type="dxa"/>
            </w:tcMar>
            <w:vAlign w:val="center"/>
          </w:tcPr>
          <w:p w14:paraId="6D26A1E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4.311</w:t>
            </w:r>
          </w:p>
        </w:tc>
        <w:tc>
          <w:tcPr>
            <w:tcW w:w="714" w:type="pct"/>
            <w:shd w:val="clear" w:color="auto" w:fill="F2F2F2"/>
            <w:tcMar>
              <w:top w:w="60" w:type="dxa"/>
              <w:left w:w="100" w:type="dxa"/>
              <w:bottom w:w="60" w:type="dxa"/>
              <w:right w:w="100" w:type="dxa"/>
            </w:tcMar>
            <w:vAlign w:val="center"/>
          </w:tcPr>
          <w:p w14:paraId="7E1D32F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0.997</w:t>
            </w:r>
          </w:p>
        </w:tc>
        <w:tc>
          <w:tcPr>
            <w:tcW w:w="667" w:type="pct"/>
            <w:shd w:val="clear" w:color="auto" w:fill="F2F2F2"/>
            <w:tcMar>
              <w:top w:w="60" w:type="dxa"/>
              <w:left w:w="100" w:type="dxa"/>
              <w:bottom w:w="60" w:type="dxa"/>
              <w:right w:w="100" w:type="dxa"/>
            </w:tcMar>
            <w:vAlign w:val="center"/>
          </w:tcPr>
          <w:p w14:paraId="413A16A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6955E32" w14:textId="77777777" w:rsidTr="00036983">
        <w:trPr>
          <w:jc w:val="center"/>
        </w:trPr>
        <w:tc>
          <w:tcPr>
            <w:tcW w:w="238" w:type="pct"/>
            <w:tcMar>
              <w:top w:w="60" w:type="dxa"/>
              <w:left w:w="100" w:type="dxa"/>
              <w:bottom w:w="60" w:type="dxa"/>
              <w:right w:w="100" w:type="dxa"/>
            </w:tcMar>
            <w:vAlign w:val="center"/>
          </w:tcPr>
          <w:p w14:paraId="2547B0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17</w:t>
            </w:r>
          </w:p>
        </w:tc>
        <w:tc>
          <w:tcPr>
            <w:tcW w:w="2762" w:type="pct"/>
            <w:tcMar>
              <w:top w:w="60" w:type="dxa"/>
              <w:left w:w="100" w:type="dxa"/>
              <w:bottom w:w="60" w:type="dxa"/>
              <w:right w:w="100" w:type="dxa"/>
            </w:tcMar>
            <w:vAlign w:val="center"/>
          </w:tcPr>
          <w:p w14:paraId="4A5658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يُيسّر الترميز تطبيق سياسات حوكمة البيانات المؤسسية بشكل فعّال</w:t>
            </w:r>
          </w:p>
        </w:tc>
        <w:tc>
          <w:tcPr>
            <w:tcW w:w="619" w:type="pct"/>
            <w:tcMar>
              <w:top w:w="60" w:type="dxa"/>
              <w:left w:w="100" w:type="dxa"/>
              <w:bottom w:w="60" w:type="dxa"/>
              <w:right w:w="100" w:type="dxa"/>
            </w:tcMar>
            <w:vAlign w:val="center"/>
          </w:tcPr>
          <w:p w14:paraId="6D9F501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4.393</w:t>
            </w:r>
          </w:p>
        </w:tc>
        <w:tc>
          <w:tcPr>
            <w:tcW w:w="714" w:type="pct"/>
            <w:tcMar>
              <w:top w:w="60" w:type="dxa"/>
              <w:left w:w="100" w:type="dxa"/>
              <w:bottom w:w="60" w:type="dxa"/>
              <w:right w:w="100" w:type="dxa"/>
            </w:tcMar>
            <w:vAlign w:val="center"/>
          </w:tcPr>
          <w:p w14:paraId="13D19A0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0.800</w:t>
            </w:r>
          </w:p>
        </w:tc>
        <w:tc>
          <w:tcPr>
            <w:tcW w:w="667" w:type="pct"/>
            <w:tcMar>
              <w:top w:w="60" w:type="dxa"/>
              <w:left w:w="100" w:type="dxa"/>
              <w:bottom w:w="60" w:type="dxa"/>
              <w:right w:w="100" w:type="dxa"/>
            </w:tcMar>
            <w:vAlign w:val="center"/>
          </w:tcPr>
          <w:p w14:paraId="6B0F574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2410F96" w14:textId="77777777" w:rsidTr="00036983">
        <w:trPr>
          <w:jc w:val="center"/>
        </w:trPr>
        <w:tc>
          <w:tcPr>
            <w:tcW w:w="238" w:type="pct"/>
            <w:shd w:val="clear" w:color="auto" w:fill="F2F2F2"/>
            <w:tcMar>
              <w:top w:w="60" w:type="dxa"/>
              <w:left w:w="100" w:type="dxa"/>
              <w:bottom w:w="60" w:type="dxa"/>
              <w:right w:w="100" w:type="dxa"/>
            </w:tcMar>
            <w:vAlign w:val="center"/>
          </w:tcPr>
          <w:p w14:paraId="6B4B7E9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18</w:t>
            </w:r>
          </w:p>
        </w:tc>
        <w:tc>
          <w:tcPr>
            <w:tcW w:w="2762" w:type="pct"/>
            <w:shd w:val="clear" w:color="auto" w:fill="F2F2F2"/>
            <w:tcMar>
              <w:top w:w="60" w:type="dxa"/>
              <w:left w:w="100" w:type="dxa"/>
              <w:bottom w:w="60" w:type="dxa"/>
              <w:right w:w="100" w:type="dxa"/>
            </w:tcMar>
            <w:vAlign w:val="center"/>
          </w:tcPr>
          <w:p w14:paraId="4A44BD0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تُقلّص تقنية الترميز المخاطر القانونية والتنظيمية المترتبة على تسريب البيانات</w:t>
            </w:r>
          </w:p>
        </w:tc>
        <w:tc>
          <w:tcPr>
            <w:tcW w:w="619" w:type="pct"/>
            <w:shd w:val="clear" w:color="auto" w:fill="F2F2F2"/>
            <w:tcMar>
              <w:top w:w="60" w:type="dxa"/>
              <w:left w:w="100" w:type="dxa"/>
              <w:bottom w:w="60" w:type="dxa"/>
              <w:right w:w="100" w:type="dxa"/>
            </w:tcMar>
            <w:vAlign w:val="center"/>
          </w:tcPr>
          <w:p w14:paraId="4A1387E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4.490</w:t>
            </w:r>
          </w:p>
        </w:tc>
        <w:tc>
          <w:tcPr>
            <w:tcW w:w="714" w:type="pct"/>
            <w:shd w:val="clear" w:color="auto" w:fill="F2F2F2"/>
            <w:tcMar>
              <w:top w:w="60" w:type="dxa"/>
              <w:left w:w="100" w:type="dxa"/>
              <w:bottom w:w="60" w:type="dxa"/>
              <w:right w:w="100" w:type="dxa"/>
            </w:tcMar>
            <w:vAlign w:val="center"/>
          </w:tcPr>
          <w:p w14:paraId="6A52BAF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0.775</w:t>
            </w:r>
          </w:p>
        </w:tc>
        <w:tc>
          <w:tcPr>
            <w:tcW w:w="667" w:type="pct"/>
            <w:shd w:val="clear" w:color="auto" w:fill="F2F2F2"/>
            <w:tcMar>
              <w:top w:w="60" w:type="dxa"/>
              <w:left w:w="100" w:type="dxa"/>
              <w:bottom w:w="60" w:type="dxa"/>
              <w:right w:w="100" w:type="dxa"/>
            </w:tcMar>
            <w:vAlign w:val="center"/>
          </w:tcPr>
          <w:p w14:paraId="02DC234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0816766B" w14:textId="77777777" w:rsidTr="00036983">
        <w:trPr>
          <w:jc w:val="center"/>
        </w:trPr>
        <w:tc>
          <w:tcPr>
            <w:tcW w:w="238" w:type="pct"/>
            <w:tcMar>
              <w:top w:w="60" w:type="dxa"/>
              <w:left w:w="100" w:type="dxa"/>
              <w:bottom w:w="60" w:type="dxa"/>
              <w:right w:w="100" w:type="dxa"/>
            </w:tcMar>
            <w:vAlign w:val="center"/>
          </w:tcPr>
          <w:p w14:paraId="24FFD6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19</w:t>
            </w:r>
          </w:p>
        </w:tc>
        <w:tc>
          <w:tcPr>
            <w:tcW w:w="2762" w:type="pct"/>
            <w:tcMar>
              <w:top w:w="60" w:type="dxa"/>
              <w:left w:w="100" w:type="dxa"/>
              <w:bottom w:w="60" w:type="dxa"/>
              <w:right w:w="100" w:type="dxa"/>
            </w:tcMar>
            <w:vAlign w:val="center"/>
          </w:tcPr>
          <w:p w14:paraId="05CDD6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تمتلك المؤسسة سياسة واضحة وموثقة لتطبيق معايير الترميز المعتمدة دولياً</w:t>
            </w:r>
          </w:p>
        </w:tc>
        <w:tc>
          <w:tcPr>
            <w:tcW w:w="619" w:type="pct"/>
            <w:tcMar>
              <w:top w:w="60" w:type="dxa"/>
              <w:left w:w="100" w:type="dxa"/>
              <w:bottom w:w="60" w:type="dxa"/>
              <w:right w:w="100" w:type="dxa"/>
            </w:tcMar>
            <w:vAlign w:val="center"/>
          </w:tcPr>
          <w:p w14:paraId="44B2020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4.265</w:t>
            </w:r>
          </w:p>
        </w:tc>
        <w:tc>
          <w:tcPr>
            <w:tcW w:w="714" w:type="pct"/>
            <w:tcMar>
              <w:top w:w="60" w:type="dxa"/>
              <w:left w:w="100" w:type="dxa"/>
              <w:bottom w:w="60" w:type="dxa"/>
              <w:right w:w="100" w:type="dxa"/>
            </w:tcMar>
            <w:vAlign w:val="center"/>
          </w:tcPr>
          <w:p w14:paraId="7C052D3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1.164</w:t>
            </w:r>
          </w:p>
        </w:tc>
        <w:tc>
          <w:tcPr>
            <w:tcW w:w="667" w:type="pct"/>
            <w:tcMar>
              <w:top w:w="60" w:type="dxa"/>
              <w:left w:w="100" w:type="dxa"/>
              <w:bottom w:w="60" w:type="dxa"/>
              <w:right w:w="100" w:type="dxa"/>
            </w:tcMar>
            <w:vAlign w:val="center"/>
          </w:tcPr>
          <w:p w14:paraId="6DA5AE2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D1FA931" w14:textId="77777777" w:rsidTr="00036983">
        <w:trPr>
          <w:jc w:val="center"/>
        </w:trPr>
        <w:tc>
          <w:tcPr>
            <w:tcW w:w="238" w:type="pct"/>
            <w:shd w:val="clear" w:color="auto" w:fill="F2F2F2"/>
            <w:tcMar>
              <w:top w:w="60" w:type="dxa"/>
              <w:left w:w="100" w:type="dxa"/>
              <w:bottom w:w="60" w:type="dxa"/>
              <w:right w:w="100" w:type="dxa"/>
            </w:tcMar>
            <w:vAlign w:val="center"/>
          </w:tcPr>
          <w:p w14:paraId="60C9AA8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shd w:val="clear" w:color="auto" w:fill="F2F2F2"/>
            <w:tcMar>
              <w:top w:w="60" w:type="dxa"/>
              <w:left w:w="100" w:type="dxa"/>
              <w:bottom w:w="60" w:type="dxa"/>
              <w:right w:w="100" w:type="dxa"/>
            </w:tcMar>
            <w:vAlign w:val="center"/>
          </w:tcPr>
          <w:p w14:paraId="339FFE1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shd w:val="clear" w:color="auto" w:fill="F2F2F2"/>
            <w:tcMar>
              <w:top w:w="60" w:type="dxa"/>
              <w:left w:w="100" w:type="dxa"/>
              <w:bottom w:w="60" w:type="dxa"/>
              <w:right w:w="100" w:type="dxa"/>
            </w:tcMar>
            <w:vAlign w:val="center"/>
          </w:tcPr>
          <w:p w14:paraId="1BE2CA2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4.378</w:t>
            </w:r>
          </w:p>
        </w:tc>
        <w:tc>
          <w:tcPr>
            <w:tcW w:w="714" w:type="pct"/>
            <w:shd w:val="clear" w:color="auto" w:fill="F2F2F2"/>
            <w:tcMar>
              <w:top w:w="60" w:type="dxa"/>
              <w:left w:w="100" w:type="dxa"/>
              <w:bottom w:w="60" w:type="dxa"/>
              <w:right w:w="100" w:type="dxa"/>
            </w:tcMar>
            <w:vAlign w:val="center"/>
          </w:tcPr>
          <w:p w14:paraId="667173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0.743</w:t>
            </w:r>
          </w:p>
        </w:tc>
        <w:tc>
          <w:tcPr>
            <w:tcW w:w="667" w:type="pct"/>
            <w:shd w:val="clear" w:color="auto" w:fill="F2F2F2"/>
            <w:tcMar>
              <w:top w:w="60" w:type="dxa"/>
              <w:left w:w="100" w:type="dxa"/>
              <w:bottom w:w="60" w:type="dxa"/>
              <w:right w:w="100" w:type="dxa"/>
            </w:tcMar>
            <w:vAlign w:val="center"/>
          </w:tcPr>
          <w:p w14:paraId="295AD8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62AA8C4C"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(4.9): المتوسطات الحسابية والانحرافات المعيارية لعبارات الامتثال للمعايير الدولية</w:t>
      </w:r>
    </w:p>
    <w:p w14:paraId="43D53519"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الثالث: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35F7ED8C" w14:textId="77777777" w:rsidTr="00036983">
        <w:trPr>
          <w:tblHeader/>
          <w:jc w:val="center"/>
        </w:trPr>
        <w:tc>
          <w:tcPr>
            <w:tcW w:w="238" w:type="pct"/>
            <w:shd w:val="clear" w:color="auto" w:fill="2E5395"/>
            <w:tcMar>
              <w:top w:w="60" w:type="dxa"/>
              <w:left w:w="100" w:type="dxa"/>
              <w:bottom w:w="60" w:type="dxa"/>
              <w:right w:w="100" w:type="dxa"/>
            </w:tcMar>
            <w:vAlign w:val="center"/>
          </w:tcPr>
          <w:p w14:paraId="6562D2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1B3B10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4012DA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7C41C9B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02E568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784A9E6F" w14:textId="77777777" w:rsidTr="00036983">
        <w:trPr>
          <w:jc w:val="center"/>
        </w:trPr>
        <w:tc>
          <w:tcPr>
            <w:tcW w:w="238" w:type="pct"/>
            <w:tcMar>
              <w:top w:w="60" w:type="dxa"/>
              <w:left w:w="100" w:type="dxa"/>
              <w:bottom w:w="60" w:type="dxa"/>
              <w:right w:w="100" w:type="dxa"/>
            </w:tcMar>
            <w:vAlign w:val="center"/>
          </w:tcPr>
          <w:p w14:paraId="0360E15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20</w:t>
            </w:r>
          </w:p>
        </w:tc>
        <w:tc>
          <w:tcPr>
            <w:tcW w:w="2762" w:type="pct"/>
            <w:tcMar>
              <w:top w:w="60" w:type="dxa"/>
              <w:left w:w="100" w:type="dxa"/>
              <w:bottom w:w="60" w:type="dxa"/>
              <w:right w:w="100" w:type="dxa"/>
            </w:tcMar>
            <w:vAlign w:val="center"/>
          </w:tcPr>
          <w:p w14:paraId="36B18A0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وقت معالجة المعاملات المالية بنسبة ملحوظة</w:t>
            </w:r>
          </w:p>
        </w:tc>
        <w:tc>
          <w:tcPr>
            <w:tcW w:w="619" w:type="pct"/>
            <w:tcMar>
              <w:top w:w="60" w:type="dxa"/>
              <w:left w:w="100" w:type="dxa"/>
              <w:bottom w:w="60" w:type="dxa"/>
              <w:right w:w="100" w:type="dxa"/>
            </w:tcMar>
            <w:vAlign w:val="center"/>
          </w:tcPr>
          <w:p w14:paraId="54098DC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4.209</w:t>
            </w:r>
          </w:p>
        </w:tc>
        <w:tc>
          <w:tcPr>
            <w:tcW w:w="714" w:type="pct"/>
            <w:tcMar>
              <w:top w:w="60" w:type="dxa"/>
              <w:left w:w="100" w:type="dxa"/>
              <w:bottom w:w="60" w:type="dxa"/>
              <w:right w:w="100" w:type="dxa"/>
            </w:tcMar>
            <w:vAlign w:val="center"/>
          </w:tcPr>
          <w:p w14:paraId="0D90031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0.940</w:t>
            </w:r>
          </w:p>
        </w:tc>
        <w:tc>
          <w:tcPr>
            <w:tcW w:w="667" w:type="pct"/>
            <w:tcMar>
              <w:top w:w="60" w:type="dxa"/>
              <w:left w:w="100" w:type="dxa"/>
              <w:bottom w:w="60" w:type="dxa"/>
              <w:right w:w="100" w:type="dxa"/>
            </w:tcMar>
            <w:vAlign w:val="center"/>
          </w:tcPr>
          <w:p w14:paraId="68D2C1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662511FF" w14:textId="77777777" w:rsidTr="00036983">
        <w:trPr>
          <w:jc w:val="center"/>
        </w:trPr>
        <w:tc>
          <w:tcPr>
            <w:tcW w:w="238" w:type="pct"/>
            <w:shd w:val="clear" w:color="auto" w:fill="F2F2F2"/>
            <w:tcMar>
              <w:top w:w="60" w:type="dxa"/>
              <w:left w:w="100" w:type="dxa"/>
              <w:bottom w:w="60" w:type="dxa"/>
              <w:right w:w="100" w:type="dxa"/>
            </w:tcMar>
            <w:vAlign w:val="center"/>
          </w:tcPr>
          <w:p w14:paraId="61AD118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21</w:t>
            </w:r>
          </w:p>
        </w:tc>
        <w:tc>
          <w:tcPr>
            <w:tcW w:w="2762" w:type="pct"/>
            <w:shd w:val="clear" w:color="auto" w:fill="F2F2F2"/>
            <w:tcMar>
              <w:top w:w="60" w:type="dxa"/>
              <w:left w:w="100" w:type="dxa"/>
              <w:bottom w:w="60" w:type="dxa"/>
              <w:right w:w="100" w:type="dxa"/>
            </w:tcMar>
            <w:vAlign w:val="center"/>
          </w:tcPr>
          <w:p w14:paraId="4785E54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خفّض الترميز تكاليف التشغيل المرتبطة بأمن المدفوعات الإلكترونية</w:t>
            </w:r>
          </w:p>
        </w:tc>
        <w:tc>
          <w:tcPr>
            <w:tcW w:w="619" w:type="pct"/>
            <w:shd w:val="clear" w:color="auto" w:fill="F2F2F2"/>
            <w:tcMar>
              <w:top w:w="60" w:type="dxa"/>
              <w:left w:w="100" w:type="dxa"/>
              <w:bottom w:w="60" w:type="dxa"/>
              <w:right w:w="100" w:type="dxa"/>
            </w:tcMar>
            <w:vAlign w:val="center"/>
          </w:tcPr>
          <w:p w14:paraId="76B96C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4.056</w:t>
            </w:r>
          </w:p>
        </w:tc>
        <w:tc>
          <w:tcPr>
            <w:tcW w:w="714" w:type="pct"/>
            <w:shd w:val="clear" w:color="auto" w:fill="F2F2F2"/>
            <w:tcMar>
              <w:top w:w="60" w:type="dxa"/>
              <w:left w:w="100" w:type="dxa"/>
              <w:bottom w:w="60" w:type="dxa"/>
              <w:right w:w="100" w:type="dxa"/>
            </w:tcMar>
            <w:vAlign w:val="center"/>
          </w:tcPr>
          <w:p w14:paraId="4288E07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1.063</w:t>
            </w:r>
          </w:p>
        </w:tc>
        <w:tc>
          <w:tcPr>
            <w:tcW w:w="667" w:type="pct"/>
            <w:shd w:val="clear" w:color="auto" w:fill="F2F2F2"/>
            <w:tcMar>
              <w:top w:w="60" w:type="dxa"/>
              <w:left w:w="100" w:type="dxa"/>
              <w:bottom w:w="60" w:type="dxa"/>
              <w:right w:w="100" w:type="dxa"/>
            </w:tcMar>
            <w:vAlign w:val="center"/>
          </w:tcPr>
          <w:p w14:paraId="1817DA7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5693C7DD" w14:textId="77777777" w:rsidTr="00036983">
        <w:trPr>
          <w:jc w:val="center"/>
        </w:trPr>
        <w:tc>
          <w:tcPr>
            <w:tcW w:w="238" w:type="pct"/>
            <w:tcMar>
              <w:top w:w="60" w:type="dxa"/>
              <w:left w:w="100" w:type="dxa"/>
              <w:bottom w:w="60" w:type="dxa"/>
              <w:right w:w="100" w:type="dxa"/>
            </w:tcMar>
            <w:vAlign w:val="center"/>
          </w:tcPr>
          <w:p w14:paraId="37304CC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22</w:t>
            </w:r>
          </w:p>
        </w:tc>
        <w:tc>
          <w:tcPr>
            <w:tcW w:w="2762" w:type="pct"/>
            <w:tcMar>
              <w:top w:w="60" w:type="dxa"/>
              <w:left w:w="100" w:type="dxa"/>
              <w:bottom w:w="60" w:type="dxa"/>
              <w:right w:w="100" w:type="dxa"/>
            </w:tcMar>
            <w:vAlign w:val="center"/>
          </w:tcPr>
          <w:p w14:paraId="52FDA8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عزّز تطبيق الترميز مستوى ثقة العملاء في المنصات المالية الرقمية للمؤسسة</w:t>
            </w:r>
          </w:p>
        </w:tc>
        <w:tc>
          <w:tcPr>
            <w:tcW w:w="619" w:type="pct"/>
            <w:tcMar>
              <w:top w:w="60" w:type="dxa"/>
              <w:left w:w="100" w:type="dxa"/>
              <w:bottom w:w="60" w:type="dxa"/>
              <w:right w:w="100" w:type="dxa"/>
            </w:tcMar>
            <w:vAlign w:val="center"/>
          </w:tcPr>
          <w:p w14:paraId="683A455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4.520</w:t>
            </w:r>
          </w:p>
        </w:tc>
        <w:tc>
          <w:tcPr>
            <w:tcW w:w="714" w:type="pct"/>
            <w:tcMar>
              <w:top w:w="60" w:type="dxa"/>
              <w:left w:w="100" w:type="dxa"/>
              <w:bottom w:w="60" w:type="dxa"/>
              <w:right w:w="100" w:type="dxa"/>
            </w:tcMar>
            <w:vAlign w:val="center"/>
          </w:tcPr>
          <w:p w14:paraId="1E83A8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0.761</w:t>
            </w:r>
          </w:p>
        </w:tc>
        <w:tc>
          <w:tcPr>
            <w:tcW w:w="667" w:type="pct"/>
            <w:tcMar>
              <w:top w:w="60" w:type="dxa"/>
              <w:left w:w="100" w:type="dxa"/>
              <w:bottom w:w="60" w:type="dxa"/>
              <w:right w:w="100" w:type="dxa"/>
            </w:tcMar>
            <w:vAlign w:val="center"/>
          </w:tcPr>
          <w:p w14:paraId="3BDE349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58FF0B4" w14:textId="77777777" w:rsidTr="00036983">
        <w:trPr>
          <w:jc w:val="center"/>
        </w:trPr>
        <w:tc>
          <w:tcPr>
            <w:tcW w:w="238" w:type="pct"/>
            <w:shd w:val="clear" w:color="auto" w:fill="F2F2F2"/>
            <w:tcMar>
              <w:top w:w="60" w:type="dxa"/>
              <w:left w:w="100" w:type="dxa"/>
              <w:bottom w:w="60" w:type="dxa"/>
              <w:right w:w="100" w:type="dxa"/>
            </w:tcMar>
            <w:vAlign w:val="center"/>
          </w:tcPr>
          <w:p w14:paraId="7E6748A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23</w:t>
            </w:r>
          </w:p>
        </w:tc>
        <w:tc>
          <w:tcPr>
            <w:tcW w:w="2762" w:type="pct"/>
            <w:shd w:val="clear" w:color="auto" w:fill="F2F2F2"/>
            <w:tcMar>
              <w:top w:w="60" w:type="dxa"/>
              <w:left w:w="100" w:type="dxa"/>
              <w:bottom w:w="60" w:type="dxa"/>
              <w:right w:w="100" w:type="dxa"/>
            </w:tcMar>
            <w:vAlign w:val="center"/>
          </w:tcPr>
          <w:p w14:paraId="5B5BAA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تُعالَج المعاملات المالية المُرمَّزة بسرعة ودقة أعلى مقارنةً بالأنظمة التقليدية</w:t>
            </w:r>
          </w:p>
        </w:tc>
        <w:tc>
          <w:tcPr>
            <w:tcW w:w="619" w:type="pct"/>
            <w:shd w:val="clear" w:color="auto" w:fill="F2F2F2"/>
            <w:tcMar>
              <w:top w:w="60" w:type="dxa"/>
              <w:left w:w="100" w:type="dxa"/>
              <w:bottom w:w="60" w:type="dxa"/>
              <w:right w:w="100" w:type="dxa"/>
            </w:tcMar>
            <w:vAlign w:val="center"/>
          </w:tcPr>
          <w:p w14:paraId="66B17CE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4.418</w:t>
            </w:r>
          </w:p>
        </w:tc>
        <w:tc>
          <w:tcPr>
            <w:tcW w:w="714" w:type="pct"/>
            <w:shd w:val="clear" w:color="auto" w:fill="F2F2F2"/>
            <w:tcMar>
              <w:top w:w="60" w:type="dxa"/>
              <w:left w:w="100" w:type="dxa"/>
              <w:bottom w:w="60" w:type="dxa"/>
              <w:right w:w="100" w:type="dxa"/>
            </w:tcMar>
            <w:vAlign w:val="center"/>
          </w:tcPr>
          <w:p w14:paraId="4211BA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0.858</w:t>
            </w:r>
          </w:p>
        </w:tc>
        <w:tc>
          <w:tcPr>
            <w:tcW w:w="667" w:type="pct"/>
            <w:shd w:val="clear" w:color="auto" w:fill="F2F2F2"/>
            <w:tcMar>
              <w:top w:w="60" w:type="dxa"/>
              <w:left w:w="100" w:type="dxa"/>
              <w:bottom w:w="60" w:type="dxa"/>
              <w:right w:w="100" w:type="dxa"/>
            </w:tcMar>
            <w:vAlign w:val="center"/>
          </w:tcPr>
          <w:p w14:paraId="3D223D2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CC35259" w14:textId="77777777" w:rsidTr="00036983">
        <w:trPr>
          <w:jc w:val="center"/>
        </w:trPr>
        <w:tc>
          <w:tcPr>
            <w:tcW w:w="238" w:type="pct"/>
            <w:tcMar>
              <w:top w:w="60" w:type="dxa"/>
              <w:left w:w="100" w:type="dxa"/>
              <w:bottom w:w="60" w:type="dxa"/>
              <w:right w:w="100" w:type="dxa"/>
            </w:tcMar>
            <w:vAlign w:val="center"/>
          </w:tcPr>
          <w:p w14:paraId="5E1221C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24</w:t>
            </w:r>
          </w:p>
        </w:tc>
        <w:tc>
          <w:tcPr>
            <w:tcW w:w="2762" w:type="pct"/>
            <w:tcMar>
              <w:top w:w="60" w:type="dxa"/>
              <w:left w:w="100" w:type="dxa"/>
              <w:bottom w:w="60" w:type="dxa"/>
              <w:right w:w="100" w:type="dxa"/>
            </w:tcMar>
            <w:vAlign w:val="center"/>
          </w:tcPr>
          <w:p w14:paraId="78A78B5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معدلات الاحتيال المالي (Fraud) والمعاملات المزيفة</w:t>
            </w:r>
          </w:p>
        </w:tc>
        <w:tc>
          <w:tcPr>
            <w:tcW w:w="619" w:type="pct"/>
            <w:tcMar>
              <w:top w:w="60" w:type="dxa"/>
              <w:left w:w="100" w:type="dxa"/>
              <w:bottom w:w="60" w:type="dxa"/>
              <w:right w:w="100" w:type="dxa"/>
            </w:tcMar>
            <w:vAlign w:val="center"/>
          </w:tcPr>
          <w:p w14:paraId="4E99689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4.515</w:t>
            </w:r>
          </w:p>
        </w:tc>
        <w:tc>
          <w:tcPr>
            <w:tcW w:w="714" w:type="pct"/>
            <w:tcMar>
              <w:top w:w="60" w:type="dxa"/>
              <w:left w:w="100" w:type="dxa"/>
              <w:bottom w:w="60" w:type="dxa"/>
              <w:right w:w="100" w:type="dxa"/>
            </w:tcMar>
            <w:vAlign w:val="center"/>
          </w:tcPr>
          <w:p w14:paraId="6E4E368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0.788</w:t>
            </w:r>
          </w:p>
        </w:tc>
        <w:tc>
          <w:tcPr>
            <w:tcW w:w="667" w:type="pct"/>
            <w:tcMar>
              <w:top w:w="60" w:type="dxa"/>
              <w:left w:w="100" w:type="dxa"/>
              <w:bottom w:w="60" w:type="dxa"/>
              <w:right w:w="100" w:type="dxa"/>
            </w:tcMar>
            <w:vAlign w:val="center"/>
          </w:tcPr>
          <w:p w14:paraId="498FCD4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8A17B20" w14:textId="77777777" w:rsidTr="00036983">
        <w:trPr>
          <w:jc w:val="center"/>
        </w:trPr>
        <w:tc>
          <w:tcPr>
            <w:tcW w:w="238" w:type="pct"/>
            <w:shd w:val="clear" w:color="auto" w:fill="F2F2F2"/>
            <w:tcMar>
              <w:top w:w="60" w:type="dxa"/>
              <w:left w:w="100" w:type="dxa"/>
              <w:bottom w:w="60" w:type="dxa"/>
              <w:right w:w="100" w:type="dxa"/>
            </w:tcMar>
            <w:vAlign w:val="center"/>
          </w:tcPr>
          <w:p w14:paraId="5C3AD83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25</w:t>
            </w:r>
          </w:p>
        </w:tc>
        <w:tc>
          <w:tcPr>
            <w:tcW w:w="2762" w:type="pct"/>
            <w:shd w:val="clear" w:color="auto" w:fill="F2F2F2"/>
            <w:tcMar>
              <w:top w:w="60" w:type="dxa"/>
              <w:left w:w="100" w:type="dxa"/>
              <w:bottom w:w="60" w:type="dxa"/>
              <w:right w:w="100" w:type="dxa"/>
            </w:tcMar>
            <w:vAlign w:val="center"/>
          </w:tcPr>
          <w:p w14:paraId="588616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أتاح الترميز توسيع نطاق الخدمات المالية الرقمية دون المساس بمستوى الأمان</w:t>
            </w:r>
          </w:p>
        </w:tc>
        <w:tc>
          <w:tcPr>
            <w:tcW w:w="619" w:type="pct"/>
            <w:shd w:val="clear" w:color="auto" w:fill="F2F2F2"/>
            <w:tcMar>
              <w:top w:w="60" w:type="dxa"/>
              <w:left w:w="100" w:type="dxa"/>
              <w:bottom w:w="60" w:type="dxa"/>
              <w:right w:w="100" w:type="dxa"/>
            </w:tcMar>
            <w:vAlign w:val="center"/>
          </w:tcPr>
          <w:p w14:paraId="2B1014F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4.495</w:t>
            </w:r>
          </w:p>
        </w:tc>
        <w:tc>
          <w:tcPr>
            <w:tcW w:w="714" w:type="pct"/>
            <w:shd w:val="clear" w:color="auto" w:fill="F2F2F2"/>
            <w:tcMar>
              <w:top w:w="60" w:type="dxa"/>
              <w:left w:w="100" w:type="dxa"/>
              <w:bottom w:w="60" w:type="dxa"/>
              <w:right w:w="100" w:type="dxa"/>
            </w:tcMar>
            <w:vAlign w:val="center"/>
          </w:tcPr>
          <w:p w14:paraId="230092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0.748</w:t>
            </w:r>
          </w:p>
        </w:tc>
        <w:tc>
          <w:tcPr>
            <w:tcW w:w="667" w:type="pct"/>
            <w:shd w:val="clear" w:color="auto" w:fill="F2F2F2"/>
            <w:tcMar>
              <w:top w:w="60" w:type="dxa"/>
              <w:left w:w="100" w:type="dxa"/>
              <w:bottom w:w="60" w:type="dxa"/>
              <w:right w:w="100" w:type="dxa"/>
            </w:tcMar>
            <w:vAlign w:val="center"/>
          </w:tcPr>
          <w:p w14:paraId="6805267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08022EEC" w14:textId="77777777" w:rsidTr="00036983">
        <w:trPr>
          <w:jc w:val="center"/>
        </w:trPr>
        <w:tc>
          <w:tcPr>
            <w:tcW w:w="238" w:type="pct"/>
            <w:tcMar>
              <w:top w:w="60" w:type="dxa"/>
              <w:left w:w="100" w:type="dxa"/>
              <w:bottom w:w="60" w:type="dxa"/>
              <w:right w:w="100" w:type="dxa"/>
            </w:tcMar>
            <w:vAlign w:val="center"/>
          </w:tcPr>
          <w:p w14:paraId="55FD309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6D3D48D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632097A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4.369</w:t>
            </w:r>
          </w:p>
        </w:tc>
        <w:tc>
          <w:tcPr>
            <w:tcW w:w="714" w:type="pct"/>
            <w:tcMar>
              <w:top w:w="60" w:type="dxa"/>
              <w:left w:w="100" w:type="dxa"/>
              <w:bottom w:w="60" w:type="dxa"/>
              <w:right w:w="100" w:type="dxa"/>
            </w:tcMar>
            <w:vAlign w:val="center"/>
          </w:tcPr>
          <w:p w14:paraId="7467C8F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0.730</w:t>
            </w:r>
          </w:p>
        </w:tc>
        <w:tc>
          <w:tcPr>
            <w:tcW w:w="667" w:type="pct"/>
            <w:tcMar>
              <w:top w:w="60" w:type="dxa"/>
              <w:left w:w="100" w:type="dxa"/>
              <w:bottom w:w="60" w:type="dxa"/>
              <w:right w:w="100" w:type="dxa"/>
            </w:tcMar>
            <w:vAlign w:val="center"/>
          </w:tcPr>
          <w:p w14:paraId="4C94EAD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56CECE07"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(4.10): المتوسطات الحسابية والانحرافات المعيارية لعبارات الكفاءة التشغيلية المالية</w:t>
      </w:r>
    </w:p>
    <w:p w14:paraId="56C2C885" w14:textId="77777777" w:rsidR="007608E1" w:rsidRDefault="007608E1" w:rsidP="00E000FF">
      <w:pPr>
        <w:bidi/>
        <w:spacing w:after="0" w:line="360" w:lineRule="auto"/>
        <w:jc w:val="both"/>
      </w:pPr>
      <w:commentRangeStart w:id="134"/>
      <w:r>
        <w:rPr>
          <w:rFonts w:ascii="Traditional Arabic" w:eastAsia="Simplified Arabic" w:hAnsi="Traditional Arabic" w:cs="Traditional Arabic"/>
          <w:b/>
          <w:bCs/>
          <w:sz w:val="28"/>
          <w:szCs w:val="28"/>
          <w:rtl/>
        </w:rPr>
        <w:t>البُعد الرابع: الأمن السيبراني المؤسسي</w:t>
      </w:r>
      <w:commentRangeEnd w:id="134"/>
      <w:r w:rsidR="002151A4">
        <w:rPr>
          <w:rStyle w:val="affa"/>
          <w:sz w:val="22"/>
          <w:szCs w:val="22"/>
        </w:rPr>
        <w:commentReference w:id="134"/>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147F7AC6" w14:textId="77777777" w:rsidTr="00036983">
        <w:trPr>
          <w:tblHeader/>
          <w:jc w:val="center"/>
        </w:trPr>
        <w:tc>
          <w:tcPr>
            <w:tcW w:w="238" w:type="pct"/>
            <w:shd w:val="clear" w:color="auto" w:fill="2E5395"/>
            <w:tcMar>
              <w:top w:w="60" w:type="dxa"/>
              <w:left w:w="100" w:type="dxa"/>
              <w:bottom w:w="60" w:type="dxa"/>
              <w:right w:w="100" w:type="dxa"/>
            </w:tcMar>
            <w:vAlign w:val="center"/>
          </w:tcPr>
          <w:p w14:paraId="0993785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797BD21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1E383A5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6E23D2A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6F546A5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7669F9D2" w14:textId="77777777" w:rsidTr="00036983">
        <w:trPr>
          <w:jc w:val="center"/>
        </w:trPr>
        <w:tc>
          <w:tcPr>
            <w:tcW w:w="238" w:type="pct"/>
            <w:tcMar>
              <w:top w:w="60" w:type="dxa"/>
              <w:left w:w="100" w:type="dxa"/>
              <w:bottom w:w="60" w:type="dxa"/>
              <w:right w:w="100" w:type="dxa"/>
            </w:tcMar>
            <w:vAlign w:val="center"/>
          </w:tcPr>
          <w:p w14:paraId="7995AD3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26</w:t>
            </w:r>
          </w:p>
        </w:tc>
        <w:tc>
          <w:tcPr>
            <w:tcW w:w="2762" w:type="pct"/>
            <w:tcMar>
              <w:top w:w="60" w:type="dxa"/>
              <w:left w:w="100" w:type="dxa"/>
              <w:bottom w:w="60" w:type="dxa"/>
              <w:right w:w="100" w:type="dxa"/>
            </w:tcMar>
            <w:vAlign w:val="center"/>
          </w:tcPr>
          <w:p w14:paraId="7E22BB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يُقلّص الترميز مساحة الهجوم السيبراني (Attack Surface) على البنية التحتية المالية للمؤسسة</w:t>
            </w:r>
          </w:p>
        </w:tc>
        <w:tc>
          <w:tcPr>
            <w:tcW w:w="619" w:type="pct"/>
            <w:tcMar>
              <w:top w:w="60" w:type="dxa"/>
              <w:left w:w="100" w:type="dxa"/>
              <w:bottom w:w="60" w:type="dxa"/>
              <w:right w:w="100" w:type="dxa"/>
            </w:tcMar>
            <w:vAlign w:val="center"/>
          </w:tcPr>
          <w:p w14:paraId="158775C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4.418</w:t>
            </w:r>
          </w:p>
        </w:tc>
        <w:tc>
          <w:tcPr>
            <w:tcW w:w="714" w:type="pct"/>
            <w:tcMar>
              <w:top w:w="60" w:type="dxa"/>
              <w:left w:w="100" w:type="dxa"/>
              <w:bottom w:w="60" w:type="dxa"/>
              <w:right w:w="100" w:type="dxa"/>
            </w:tcMar>
            <w:vAlign w:val="center"/>
          </w:tcPr>
          <w:p w14:paraId="08BF271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0.757</w:t>
            </w:r>
          </w:p>
        </w:tc>
        <w:tc>
          <w:tcPr>
            <w:tcW w:w="667" w:type="pct"/>
            <w:tcMar>
              <w:top w:w="60" w:type="dxa"/>
              <w:left w:w="100" w:type="dxa"/>
              <w:bottom w:w="60" w:type="dxa"/>
              <w:right w:w="100" w:type="dxa"/>
            </w:tcMar>
            <w:vAlign w:val="center"/>
          </w:tcPr>
          <w:p w14:paraId="284B939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D1E645D" w14:textId="77777777" w:rsidTr="00036983">
        <w:trPr>
          <w:jc w:val="center"/>
        </w:trPr>
        <w:tc>
          <w:tcPr>
            <w:tcW w:w="238" w:type="pct"/>
            <w:shd w:val="clear" w:color="auto" w:fill="F2F2F2"/>
            <w:tcMar>
              <w:top w:w="60" w:type="dxa"/>
              <w:left w:w="100" w:type="dxa"/>
              <w:bottom w:w="60" w:type="dxa"/>
              <w:right w:w="100" w:type="dxa"/>
            </w:tcMar>
            <w:vAlign w:val="center"/>
          </w:tcPr>
          <w:p w14:paraId="5AA1D1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27</w:t>
            </w:r>
          </w:p>
        </w:tc>
        <w:tc>
          <w:tcPr>
            <w:tcW w:w="2762" w:type="pct"/>
            <w:shd w:val="clear" w:color="auto" w:fill="F2F2F2"/>
            <w:tcMar>
              <w:top w:w="60" w:type="dxa"/>
              <w:left w:w="100" w:type="dxa"/>
              <w:bottom w:w="60" w:type="dxa"/>
              <w:right w:w="100" w:type="dxa"/>
            </w:tcMar>
            <w:vAlign w:val="center"/>
          </w:tcPr>
          <w:p w14:paraId="0CF65C6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خفّض اعتماد الترميز من تداعيات اختراق البيانات حتى في حالات نجاح الهجمات</w:t>
            </w:r>
          </w:p>
        </w:tc>
        <w:tc>
          <w:tcPr>
            <w:tcW w:w="619" w:type="pct"/>
            <w:shd w:val="clear" w:color="auto" w:fill="F2F2F2"/>
            <w:tcMar>
              <w:top w:w="60" w:type="dxa"/>
              <w:left w:w="100" w:type="dxa"/>
              <w:bottom w:w="60" w:type="dxa"/>
              <w:right w:w="100" w:type="dxa"/>
            </w:tcMar>
            <w:vAlign w:val="center"/>
          </w:tcPr>
          <w:p w14:paraId="6244955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4.423</w:t>
            </w:r>
          </w:p>
        </w:tc>
        <w:tc>
          <w:tcPr>
            <w:tcW w:w="714" w:type="pct"/>
            <w:shd w:val="clear" w:color="auto" w:fill="F2F2F2"/>
            <w:tcMar>
              <w:top w:w="60" w:type="dxa"/>
              <w:left w:w="100" w:type="dxa"/>
              <w:bottom w:w="60" w:type="dxa"/>
              <w:right w:w="100" w:type="dxa"/>
            </w:tcMar>
            <w:vAlign w:val="center"/>
          </w:tcPr>
          <w:p w14:paraId="7C2313D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0.723</w:t>
            </w:r>
          </w:p>
        </w:tc>
        <w:tc>
          <w:tcPr>
            <w:tcW w:w="667" w:type="pct"/>
            <w:shd w:val="clear" w:color="auto" w:fill="F2F2F2"/>
            <w:tcMar>
              <w:top w:w="60" w:type="dxa"/>
              <w:left w:w="100" w:type="dxa"/>
              <w:bottom w:w="60" w:type="dxa"/>
              <w:right w:w="100" w:type="dxa"/>
            </w:tcMar>
            <w:vAlign w:val="center"/>
          </w:tcPr>
          <w:p w14:paraId="68BCC6A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D9E045C" w14:textId="77777777" w:rsidTr="00036983">
        <w:trPr>
          <w:jc w:val="center"/>
        </w:trPr>
        <w:tc>
          <w:tcPr>
            <w:tcW w:w="238" w:type="pct"/>
            <w:tcMar>
              <w:top w:w="60" w:type="dxa"/>
              <w:left w:w="100" w:type="dxa"/>
              <w:bottom w:w="60" w:type="dxa"/>
              <w:right w:w="100" w:type="dxa"/>
            </w:tcMar>
            <w:vAlign w:val="center"/>
          </w:tcPr>
          <w:p w14:paraId="01FD204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28</w:t>
            </w:r>
          </w:p>
        </w:tc>
        <w:tc>
          <w:tcPr>
            <w:tcW w:w="2762" w:type="pct"/>
            <w:tcMar>
              <w:top w:w="60" w:type="dxa"/>
              <w:left w:w="100" w:type="dxa"/>
              <w:bottom w:w="60" w:type="dxa"/>
              <w:right w:w="100" w:type="dxa"/>
            </w:tcMar>
            <w:vAlign w:val="center"/>
          </w:tcPr>
          <w:p w14:paraId="66CAF04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عزّزت تقنية الترميز قدرة المؤسسة على الكشف المبكر عن التهديدات السيبرانية والاستجابة لها</w:t>
            </w:r>
          </w:p>
        </w:tc>
        <w:tc>
          <w:tcPr>
            <w:tcW w:w="619" w:type="pct"/>
            <w:tcMar>
              <w:top w:w="60" w:type="dxa"/>
              <w:left w:w="100" w:type="dxa"/>
              <w:bottom w:w="60" w:type="dxa"/>
              <w:right w:w="100" w:type="dxa"/>
            </w:tcMar>
            <w:vAlign w:val="center"/>
          </w:tcPr>
          <w:p w14:paraId="127069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4.245</w:t>
            </w:r>
          </w:p>
        </w:tc>
        <w:tc>
          <w:tcPr>
            <w:tcW w:w="714" w:type="pct"/>
            <w:tcMar>
              <w:top w:w="60" w:type="dxa"/>
              <w:left w:w="100" w:type="dxa"/>
              <w:bottom w:w="60" w:type="dxa"/>
              <w:right w:w="100" w:type="dxa"/>
            </w:tcMar>
            <w:vAlign w:val="center"/>
          </w:tcPr>
          <w:p w14:paraId="7D92DDD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0.956</w:t>
            </w:r>
          </w:p>
        </w:tc>
        <w:tc>
          <w:tcPr>
            <w:tcW w:w="667" w:type="pct"/>
            <w:tcMar>
              <w:top w:w="60" w:type="dxa"/>
              <w:left w:w="100" w:type="dxa"/>
              <w:bottom w:w="60" w:type="dxa"/>
              <w:right w:w="100" w:type="dxa"/>
            </w:tcMar>
            <w:vAlign w:val="center"/>
          </w:tcPr>
          <w:p w14:paraId="0654C88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E702DAA" w14:textId="77777777" w:rsidTr="00036983">
        <w:trPr>
          <w:jc w:val="center"/>
        </w:trPr>
        <w:tc>
          <w:tcPr>
            <w:tcW w:w="238" w:type="pct"/>
            <w:shd w:val="clear" w:color="auto" w:fill="F2F2F2"/>
            <w:tcMar>
              <w:top w:w="60" w:type="dxa"/>
              <w:left w:w="100" w:type="dxa"/>
              <w:bottom w:w="60" w:type="dxa"/>
              <w:right w:w="100" w:type="dxa"/>
            </w:tcMar>
            <w:vAlign w:val="center"/>
          </w:tcPr>
          <w:p w14:paraId="321A406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29</w:t>
            </w:r>
          </w:p>
        </w:tc>
        <w:tc>
          <w:tcPr>
            <w:tcW w:w="2762" w:type="pct"/>
            <w:shd w:val="clear" w:color="auto" w:fill="F2F2F2"/>
            <w:tcMar>
              <w:top w:w="60" w:type="dxa"/>
              <w:left w:w="100" w:type="dxa"/>
              <w:bottom w:w="60" w:type="dxa"/>
              <w:right w:w="100" w:type="dxa"/>
            </w:tcMar>
            <w:vAlign w:val="center"/>
          </w:tcPr>
          <w:p w14:paraId="34255003" w14:textId="77777777" w:rsidR="007608E1" w:rsidRPr="00B5019C" w:rsidRDefault="007608E1" w:rsidP="00E000FF">
            <w:pPr>
              <w:bidi/>
              <w:spacing w:after="0" w:line="260" w:lineRule="auto"/>
              <w:jc w:val="center"/>
              <w:rPr>
                <w:sz w:val="24"/>
                <w:szCs w:val="24"/>
              </w:rPr>
            </w:pPr>
            <w:commentRangeStart w:id="135"/>
            <w:r w:rsidRPr="00B5019C">
              <w:rPr>
                <w:rFonts w:ascii="Traditional Arabic" w:eastAsia="Simplified Arabic" w:hAnsi="Traditional Arabic" w:cs="Traditional Arabic"/>
                <w:color w:val="000000"/>
                <w:sz w:val="24"/>
                <w:szCs w:val="24"/>
                <w:rtl/>
              </w:rPr>
              <w:t>يُساهم الترميز في الحفاظ على استمرارية الأعمال وتقليص وقت التوقف الناجم عن الحوادث</w:t>
            </w:r>
            <w:commentRangeEnd w:id="135"/>
            <w:r w:rsidR="002151A4" w:rsidRPr="00B5019C">
              <w:rPr>
                <w:rStyle w:val="affa"/>
                <w:sz w:val="24"/>
                <w:szCs w:val="24"/>
              </w:rPr>
              <w:commentReference w:id="135"/>
            </w:r>
          </w:p>
        </w:tc>
        <w:tc>
          <w:tcPr>
            <w:tcW w:w="619" w:type="pct"/>
            <w:shd w:val="clear" w:color="auto" w:fill="F2F2F2"/>
            <w:tcMar>
              <w:top w:w="60" w:type="dxa"/>
              <w:left w:w="100" w:type="dxa"/>
              <w:bottom w:w="60" w:type="dxa"/>
              <w:right w:w="100" w:type="dxa"/>
            </w:tcMar>
            <w:vAlign w:val="center"/>
          </w:tcPr>
          <w:p w14:paraId="167B5D7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4.388</w:t>
            </w:r>
          </w:p>
        </w:tc>
        <w:tc>
          <w:tcPr>
            <w:tcW w:w="714" w:type="pct"/>
            <w:shd w:val="clear" w:color="auto" w:fill="F2F2F2"/>
            <w:tcMar>
              <w:top w:w="60" w:type="dxa"/>
              <w:left w:w="100" w:type="dxa"/>
              <w:bottom w:w="60" w:type="dxa"/>
              <w:right w:w="100" w:type="dxa"/>
            </w:tcMar>
            <w:vAlign w:val="center"/>
          </w:tcPr>
          <w:p w14:paraId="15BD07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0.824</w:t>
            </w:r>
          </w:p>
        </w:tc>
        <w:tc>
          <w:tcPr>
            <w:tcW w:w="667" w:type="pct"/>
            <w:shd w:val="clear" w:color="auto" w:fill="F2F2F2"/>
            <w:tcMar>
              <w:top w:w="60" w:type="dxa"/>
              <w:left w:w="100" w:type="dxa"/>
              <w:bottom w:w="60" w:type="dxa"/>
              <w:right w:w="100" w:type="dxa"/>
            </w:tcMar>
            <w:vAlign w:val="center"/>
          </w:tcPr>
          <w:p w14:paraId="0FCB1EF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E864AF4" w14:textId="77777777" w:rsidTr="00036983">
        <w:trPr>
          <w:jc w:val="center"/>
        </w:trPr>
        <w:tc>
          <w:tcPr>
            <w:tcW w:w="238" w:type="pct"/>
            <w:tcMar>
              <w:top w:w="60" w:type="dxa"/>
              <w:left w:w="100" w:type="dxa"/>
              <w:bottom w:w="60" w:type="dxa"/>
              <w:right w:w="100" w:type="dxa"/>
            </w:tcMar>
            <w:vAlign w:val="center"/>
          </w:tcPr>
          <w:p w14:paraId="3094D2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30</w:t>
            </w:r>
          </w:p>
        </w:tc>
        <w:tc>
          <w:tcPr>
            <w:tcW w:w="2762" w:type="pct"/>
            <w:tcMar>
              <w:top w:w="60" w:type="dxa"/>
              <w:left w:w="100" w:type="dxa"/>
              <w:bottom w:w="60" w:type="dxa"/>
              <w:right w:w="100" w:type="dxa"/>
            </w:tcMar>
            <w:vAlign w:val="center"/>
          </w:tcPr>
          <w:p w14:paraId="585F99D6" w14:textId="77777777" w:rsidR="007608E1" w:rsidRPr="00B5019C" w:rsidRDefault="007608E1" w:rsidP="00E000FF">
            <w:pPr>
              <w:bidi/>
              <w:spacing w:after="0" w:line="260" w:lineRule="auto"/>
              <w:jc w:val="center"/>
              <w:rPr>
                <w:sz w:val="24"/>
                <w:szCs w:val="24"/>
              </w:rPr>
            </w:pPr>
            <w:commentRangeStart w:id="136"/>
            <w:r w:rsidRPr="00B5019C">
              <w:rPr>
                <w:rFonts w:ascii="Traditional Arabic" w:eastAsia="Simplified Arabic" w:hAnsi="Traditional Arabic" w:cs="Traditional Arabic"/>
                <w:color w:val="000000"/>
                <w:sz w:val="24"/>
                <w:szCs w:val="24"/>
                <w:rtl/>
              </w:rPr>
              <w:t>ارتفع مستوى الوعي الأمني لدى الموظفين بفضل اعتماد ثقافة الترميز المؤسسي</w:t>
            </w:r>
            <w:commentRangeEnd w:id="136"/>
            <w:r w:rsidR="002151A4" w:rsidRPr="00B5019C">
              <w:rPr>
                <w:rStyle w:val="affa"/>
                <w:sz w:val="24"/>
                <w:szCs w:val="24"/>
              </w:rPr>
              <w:commentReference w:id="136"/>
            </w:r>
          </w:p>
        </w:tc>
        <w:tc>
          <w:tcPr>
            <w:tcW w:w="619" w:type="pct"/>
            <w:tcMar>
              <w:top w:w="60" w:type="dxa"/>
              <w:left w:w="100" w:type="dxa"/>
              <w:bottom w:w="60" w:type="dxa"/>
              <w:right w:w="100" w:type="dxa"/>
            </w:tcMar>
            <w:vAlign w:val="center"/>
          </w:tcPr>
          <w:p w14:paraId="669D7C4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4.148</w:t>
            </w:r>
          </w:p>
        </w:tc>
        <w:tc>
          <w:tcPr>
            <w:tcW w:w="714" w:type="pct"/>
            <w:tcMar>
              <w:top w:w="60" w:type="dxa"/>
              <w:left w:w="100" w:type="dxa"/>
              <w:bottom w:w="60" w:type="dxa"/>
              <w:right w:w="100" w:type="dxa"/>
            </w:tcMar>
            <w:vAlign w:val="center"/>
          </w:tcPr>
          <w:p w14:paraId="42B6CD2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0.984</w:t>
            </w:r>
          </w:p>
        </w:tc>
        <w:tc>
          <w:tcPr>
            <w:tcW w:w="667" w:type="pct"/>
            <w:tcMar>
              <w:top w:w="60" w:type="dxa"/>
              <w:left w:w="100" w:type="dxa"/>
              <w:bottom w:w="60" w:type="dxa"/>
              <w:right w:w="100" w:type="dxa"/>
            </w:tcMar>
            <w:vAlign w:val="center"/>
          </w:tcPr>
          <w:p w14:paraId="79E9EF1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3CFB513D" w14:textId="77777777" w:rsidTr="00036983">
        <w:trPr>
          <w:jc w:val="center"/>
        </w:trPr>
        <w:tc>
          <w:tcPr>
            <w:tcW w:w="238" w:type="pct"/>
            <w:shd w:val="clear" w:color="auto" w:fill="F2F2F2"/>
            <w:tcMar>
              <w:top w:w="60" w:type="dxa"/>
              <w:left w:w="100" w:type="dxa"/>
              <w:bottom w:w="60" w:type="dxa"/>
              <w:right w:w="100" w:type="dxa"/>
            </w:tcMar>
            <w:vAlign w:val="center"/>
          </w:tcPr>
          <w:p w14:paraId="20F6476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31</w:t>
            </w:r>
          </w:p>
        </w:tc>
        <w:tc>
          <w:tcPr>
            <w:tcW w:w="2762" w:type="pct"/>
            <w:shd w:val="clear" w:color="auto" w:fill="F2F2F2"/>
            <w:tcMar>
              <w:top w:w="60" w:type="dxa"/>
              <w:left w:w="100" w:type="dxa"/>
              <w:bottom w:w="60" w:type="dxa"/>
              <w:right w:w="100" w:type="dxa"/>
            </w:tcMar>
            <w:vAlign w:val="center"/>
          </w:tcPr>
          <w:p w14:paraId="231D652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تُقيّم المؤسسة بصورة دورية فاعلية حلول الترميز وتُحدّثها وفق أحدث التهديدات</w:t>
            </w:r>
          </w:p>
        </w:tc>
        <w:tc>
          <w:tcPr>
            <w:tcW w:w="619" w:type="pct"/>
            <w:shd w:val="clear" w:color="auto" w:fill="F2F2F2"/>
            <w:tcMar>
              <w:top w:w="60" w:type="dxa"/>
              <w:left w:w="100" w:type="dxa"/>
              <w:bottom w:w="60" w:type="dxa"/>
              <w:right w:w="100" w:type="dxa"/>
            </w:tcMar>
            <w:vAlign w:val="center"/>
          </w:tcPr>
          <w:p w14:paraId="39BE47E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4.260</w:t>
            </w:r>
          </w:p>
        </w:tc>
        <w:tc>
          <w:tcPr>
            <w:tcW w:w="714" w:type="pct"/>
            <w:shd w:val="clear" w:color="auto" w:fill="F2F2F2"/>
            <w:tcMar>
              <w:top w:w="60" w:type="dxa"/>
              <w:left w:w="100" w:type="dxa"/>
              <w:bottom w:w="60" w:type="dxa"/>
              <w:right w:w="100" w:type="dxa"/>
            </w:tcMar>
            <w:vAlign w:val="center"/>
          </w:tcPr>
          <w:p w14:paraId="53D8843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1.198</w:t>
            </w:r>
          </w:p>
        </w:tc>
        <w:tc>
          <w:tcPr>
            <w:tcW w:w="667" w:type="pct"/>
            <w:shd w:val="clear" w:color="auto" w:fill="F2F2F2"/>
            <w:tcMar>
              <w:top w:w="60" w:type="dxa"/>
              <w:left w:w="100" w:type="dxa"/>
              <w:bottom w:w="60" w:type="dxa"/>
              <w:right w:w="100" w:type="dxa"/>
            </w:tcMar>
            <w:vAlign w:val="center"/>
          </w:tcPr>
          <w:p w14:paraId="3455070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AAA784C" w14:textId="77777777" w:rsidTr="00036983">
        <w:trPr>
          <w:jc w:val="center"/>
        </w:trPr>
        <w:tc>
          <w:tcPr>
            <w:tcW w:w="238" w:type="pct"/>
            <w:tcMar>
              <w:top w:w="60" w:type="dxa"/>
              <w:left w:w="100" w:type="dxa"/>
              <w:bottom w:w="60" w:type="dxa"/>
              <w:right w:w="100" w:type="dxa"/>
            </w:tcMar>
            <w:vAlign w:val="center"/>
          </w:tcPr>
          <w:p w14:paraId="106865C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101479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7C8E9B8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4.314</w:t>
            </w:r>
          </w:p>
        </w:tc>
        <w:tc>
          <w:tcPr>
            <w:tcW w:w="714" w:type="pct"/>
            <w:tcMar>
              <w:top w:w="60" w:type="dxa"/>
              <w:left w:w="100" w:type="dxa"/>
              <w:bottom w:w="60" w:type="dxa"/>
              <w:right w:w="100" w:type="dxa"/>
            </w:tcMar>
            <w:vAlign w:val="center"/>
          </w:tcPr>
          <w:p w14:paraId="05F1646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0.755</w:t>
            </w:r>
          </w:p>
        </w:tc>
        <w:tc>
          <w:tcPr>
            <w:tcW w:w="667" w:type="pct"/>
            <w:tcMar>
              <w:top w:w="60" w:type="dxa"/>
              <w:left w:w="100" w:type="dxa"/>
              <w:bottom w:w="60" w:type="dxa"/>
              <w:right w:w="100" w:type="dxa"/>
            </w:tcMar>
            <w:vAlign w:val="center"/>
          </w:tcPr>
          <w:p w14:paraId="18A5C60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68D5C43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(4.11): المتوسطات الحسابية والانحرافات المعيارية لعبارات الأمن السيبراني المؤسسي</w:t>
      </w:r>
    </w:p>
    <w:p w14:paraId="6BD54C3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الخامس: التوافق مع رؤية 2030 والتحول الرقمي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2EB6B7D7" w14:textId="77777777" w:rsidTr="00036983">
        <w:trPr>
          <w:tblHeader/>
          <w:jc w:val="center"/>
        </w:trPr>
        <w:tc>
          <w:tcPr>
            <w:tcW w:w="238" w:type="pct"/>
            <w:shd w:val="clear" w:color="auto" w:fill="2E5395"/>
            <w:tcMar>
              <w:top w:w="60" w:type="dxa"/>
              <w:left w:w="100" w:type="dxa"/>
              <w:bottom w:w="60" w:type="dxa"/>
              <w:right w:w="100" w:type="dxa"/>
            </w:tcMar>
            <w:vAlign w:val="center"/>
          </w:tcPr>
          <w:p w14:paraId="70D8E85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4C55304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7B2A37A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1DA631C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0BCF67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328E0C55" w14:textId="77777777" w:rsidTr="00036983">
        <w:trPr>
          <w:jc w:val="center"/>
        </w:trPr>
        <w:tc>
          <w:tcPr>
            <w:tcW w:w="238" w:type="pct"/>
            <w:tcMar>
              <w:top w:w="60" w:type="dxa"/>
              <w:left w:w="100" w:type="dxa"/>
              <w:bottom w:w="60" w:type="dxa"/>
              <w:right w:w="100" w:type="dxa"/>
            </w:tcMar>
            <w:vAlign w:val="center"/>
          </w:tcPr>
          <w:p w14:paraId="32B7824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32</w:t>
            </w:r>
          </w:p>
        </w:tc>
        <w:tc>
          <w:tcPr>
            <w:tcW w:w="2762" w:type="pct"/>
            <w:tcMar>
              <w:top w:w="60" w:type="dxa"/>
              <w:left w:w="100" w:type="dxa"/>
              <w:bottom w:w="60" w:type="dxa"/>
              <w:right w:w="100" w:type="dxa"/>
            </w:tcMar>
            <w:vAlign w:val="center"/>
          </w:tcPr>
          <w:p w14:paraId="450EC3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يُسهم الترميز في تحقيق أهداف التحول الرقمي المالي ضمن إطار رؤية المملكة 2030</w:t>
            </w:r>
          </w:p>
        </w:tc>
        <w:tc>
          <w:tcPr>
            <w:tcW w:w="619" w:type="pct"/>
            <w:tcMar>
              <w:top w:w="60" w:type="dxa"/>
              <w:left w:w="100" w:type="dxa"/>
              <w:bottom w:w="60" w:type="dxa"/>
              <w:right w:w="100" w:type="dxa"/>
            </w:tcMar>
            <w:vAlign w:val="center"/>
          </w:tcPr>
          <w:p w14:paraId="6280246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4.612</w:t>
            </w:r>
          </w:p>
        </w:tc>
        <w:tc>
          <w:tcPr>
            <w:tcW w:w="714" w:type="pct"/>
            <w:tcMar>
              <w:top w:w="60" w:type="dxa"/>
              <w:left w:w="100" w:type="dxa"/>
              <w:bottom w:w="60" w:type="dxa"/>
              <w:right w:w="100" w:type="dxa"/>
            </w:tcMar>
            <w:vAlign w:val="center"/>
          </w:tcPr>
          <w:p w14:paraId="69018F8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0.704</w:t>
            </w:r>
          </w:p>
        </w:tc>
        <w:tc>
          <w:tcPr>
            <w:tcW w:w="667" w:type="pct"/>
            <w:tcMar>
              <w:top w:w="60" w:type="dxa"/>
              <w:left w:w="100" w:type="dxa"/>
              <w:bottom w:w="60" w:type="dxa"/>
              <w:right w:w="100" w:type="dxa"/>
            </w:tcMar>
            <w:vAlign w:val="center"/>
          </w:tcPr>
          <w:p w14:paraId="7BEC47D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4066D46" w14:textId="77777777" w:rsidTr="00036983">
        <w:trPr>
          <w:jc w:val="center"/>
        </w:trPr>
        <w:tc>
          <w:tcPr>
            <w:tcW w:w="238" w:type="pct"/>
            <w:shd w:val="clear" w:color="auto" w:fill="F2F2F2"/>
            <w:tcMar>
              <w:top w:w="60" w:type="dxa"/>
              <w:left w:w="100" w:type="dxa"/>
              <w:bottom w:w="60" w:type="dxa"/>
              <w:right w:w="100" w:type="dxa"/>
            </w:tcMar>
            <w:vAlign w:val="center"/>
          </w:tcPr>
          <w:p w14:paraId="0E7BD5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33</w:t>
            </w:r>
          </w:p>
        </w:tc>
        <w:tc>
          <w:tcPr>
            <w:tcW w:w="2762" w:type="pct"/>
            <w:shd w:val="clear" w:color="auto" w:fill="F2F2F2"/>
            <w:tcMar>
              <w:top w:w="60" w:type="dxa"/>
              <w:left w:w="100" w:type="dxa"/>
              <w:bottom w:w="60" w:type="dxa"/>
              <w:right w:w="100" w:type="dxa"/>
            </w:tcMar>
            <w:vAlign w:val="center"/>
          </w:tcPr>
          <w:p w14:paraId="3FCB802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يدعم الترميز توجه المملكة نحو بناء منظومة مالية رقمية متكاملة وآمنة</w:t>
            </w:r>
          </w:p>
        </w:tc>
        <w:tc>
          <w:tcPr>
            <w:tcW w:w="619" w:type="pct"/>
            <w:shd w:val="clear" w:color="auto" w:fill="F2F2F2"/>
            <w:tcMar>
              <w:top w:w="60" w:type="dxa"/>
              <w:left w:w="100" w:type="dxa"/>
              <w:bottom w:w="60" w:type="dxa"/>
              <w:right w:w="100" w:type="dxa"/>
            </w:tcMar>
            <w:vAlign w:val="center"/>
          </w:tcPr>
          <w:p w14:paraId="7D01215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4.643</w:t>
            </w:r>
          </w:p>
        </w:tc>
        <w:tc>
          <w:tcPr>
            <w:tcW w:w="714" w:type="pct"/>
            <w:shd w:val="clear" w:color="auto" w:fill="F2F2F2"/>
            <w:tcMar>
              <w:top w:w="60" w:type="dxa"/>
              <w:left w:w="100" w:type="dxa"/>
              <w:bottom w:w="60" w:type="dxa"/>
              <w:right w:w="100" w:type="dxa"/>
            </w:tcMar>
            <w:vAlign w:val="center"/>
          </w:tcPr>
          <w:p w14:paraId="2F686B5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0.636</w:t>
            </w:r>
          </w:p>
        </w:tc>
        <w:tc>
          <w:tcPr>
            <w:tcW w:w="667" w:type="pct"/>
            <w:shd w:val="clear" w:color="auto" w:fill="F2F2F2"/>
            <w:tcMar>
              <w:top w:w="60" w:type="dxa"/>
              <w:left w:w="100" w:type="dxa"/>
              <w:bottom w:w="60" w:type="dxa"/>
              <w:right w:w="100" w:type="dxa"/>
            </w:tcMar>
            <w:vAlign w:val="center"/>
          </w:tcPr>
          <w:p w14:paraId="53EA713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2D31630" w14:textId="77777777" w:rsidTr="00036983">
        <w:trPr>
          <w:jc w:val="center"/>
        </w:trPr>
        <w:tc>
          <w:tcPr>
            <w:tcW w:w="238" w:type="pct"/>
            <w:tcMar>
              <w:top w:w="60" w:type="dxa"/>
              <w:left w:w="100" w:type="dxa"/>
              <w:bottom w:w="60" w:type="dxa"/>
              <w:right w:w="100" w:type="dxa"/>
            </w:tcMar>
            <w:vAlign w:val="center"/>
          </w:tcPr>
          <w:p w14:paraId="659B00E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34</w:t>
            </w:r>
          </w:p>
        </w:tc>
        <w:tc>
          <w:tcPr>
            <w:tcW w:w="2762" w:type="pct"/>
            <w:tcMar>
              <w:top w:w="60" w:type="dxa"/>
              <w:left w:w="100" w:type="dxa"/>
              <w:bottom w:w="60" w:type="dxa"/>
              <w:right w:w="100" w:type="dxa"/>
            </w:tcMar>
            <w:vAlign w:val="center"/>
          </w:tcPr>
          <w:p w14:paraId="067E7C0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أسهمت تقنية الترميز في تعزيز تنافسية المؤسسة المالية إقليمياً ودولياً</w:t>
            </w:r>
          </w:p>
        </w:tc>
        <w:tc>
          <w:tcPr>
            <w:tcW w:w="619" w:type="pct"/>
            <w:tcMar>
              <w:top w:w="60" w:type="dxa"/>
              <w:left w:w="100" w:type="dxa"/>
              <w:bottom w:w="60" w:type="dxa"/>
              <w:right w:w="100" w:type="dxa"/>
            </w:tcMar>
            <w:vAlign w:val="center"/>
          </w:tcPr>
          <w:p w14:paraId="3D68F7C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4.372</w:t>
            </w:r>
          </w:p>
        </w:tc>
        <w:tc>
          <w:tcPr>
            <w:tcW w:w="714" w:type="pct"/>
            <w:tcMar>
              <w:top w:w="60" w:type="dxa"/>
              <w:left w:w="100" w:type="dxa"/>
              <w:bottom w:w="60" w:type="dxa"/>
              <w:right w:w="100" w:type="dxa"/>
            </w:tcMar>
            <w:vAlign w:val="center"/>
          </w:tcPr>
          <w:p w14:paraId="7EF661F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0.790</w:t>
            </w:r>
          </w:p>
        </w:tc>
        <w:tc>
          <w:tcPr>
            <w:tcW w:w="667" w:type="pct"/>
            <w:tcMar>
              <w:top w:w="60" w:type="dxa"/>
              <w:left w:w="100" w:type="dxa"/>
              <w:bottom w:w="60" w:type="dxa"/>
              <w:right w:w="100" w:type="dxa"/>
            </w:tcMar>
            <w:vAlign w:val="center"/>
          </w:tcPr>
          <w:p w14:paraId="4D18FDF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0E320EA" w14:textId="77777777" w:rsidTr="00036983">
        <w:trPr>
          <w:jc w:val="center"/>
        </w:trPr>
        <w:tc>
          <w:tcPr>
            <w:tcW w:w="238" w:type="pct"/>
            <w:shd w:val="clear" w:color="auto" w:fill="F2F2F2"/>
            <w:tcMar>
              <w:top w:w="60" w:type="dxa"/>
              <w:left w:w="100" w:type="dxa"/>
              <w:bottom w:w="60" w:type="dxa"/>
              <w:right w:w="100" w:type="dxa"/>
            </w:tcMar>
            <w:vAlign w:val="center"/>
          </w:tcPr>
          <w:p w14:paraId="0707112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35</w:t>
            </w:r>
          </w:p>
        </w:tc>
        <w:tc>
          <w:tcPr>
            <w:tcW w:w="2762" w:type="pct"/>
            <w:shd w:val="clear" w:color="auto" w:fill="F2F2F2"/>
            <w:tcMar>
              <w:top w:w="60" w:type="dxa"/>
              <w:left w:w="100" w:type="dxa"/>
              <w:bottom w:w="60" w:type="dxa"/>
              <w:right w:w="100" w:type="dxa"/>
            </w:tcMar>
            <w:vAlign w:val="center"/>
          </w:tcPr>
          <w:p w14:paraId="35298CE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تتوافق استراتيجية الترميز في مؤسستك مع التوجيهات التنظيمية لمبادرة الفنتك السعودية</w:t>
            </w:r>
          </w:p>
        </w:tc>
        <w:tc>
          <w:tcPr>
            <w:tcW w:w="619" w:type="pct"/>
            <w:shd w:val="clear" w:color="auto" w:fill="F2F2F2"/>
            <w:tcMar>
              <w:top w:w="60" w:type="dxa"/>
              <w:left w:w="100" w:type="dxa"/>
              <w:bottom w:w="60" w:type="dxa"/>
              <w:right w:w="100" w:type="dxa"/>
            </w:tcMar>
            <w:vAlign w:val="center"/>
          </w:tcPr>
          <w:p w14:paraId="160EAF2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4.398</w:t>
            </w:r>
          </w:p>
        </w:tc>
        <w:tc>
          <w:tcPr>
            <w:tcW w:w="714" w:type="pct"/>
            <w:shd w:val="clear" w:color="auto" w:fill="F2F2F2"/>
            <w:tcMar>
              <w:top w:w="60" w:type="dxa"/>
              <w:left w:w="100" w:type="dxa"/>
              <w:bottom w:w="60" w:type="dxa"/>
              <w:right w:w="100" w:type="dxa"/>
            </w:tcMar>
            <w:vAlign w:val="center"/>
          </w:tcPr>
          <w:p w14:paraId="4C61C74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0.788</w:t>
            </w:r>
          </w:p>
        </w:tc>
        <w:tc>
          <w:tcPr>
            <w:tcW w:w="667" w:type="pct"/>
            <w:shd w:val="clear" w:color="auto" w:fill="F2F2F2"/>
            <w:tcMar>
              <w:top w:w="60" w:type="dxa"/>
              <w:left w:w="100" w:type="dxa"/>
              <w:bottom w:w="60" w:type="dxa"/>
              <w:right w:w="100" w:type="dxa"/>
            </w:tcMar>
            <w:vAlign w:val="center"/>
          </w:tcPr>
          <w:p w14:paraId="5E26C86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025EA20" w14:textId="77777777" w:rsidTr="00036983">
        <w:trPr>
          <w:jc w:val="center"/>
        </w:trPr>
        <w:tc>
          <w:tcPr>
            <w:tcW w:w="238" w:type="pct"/>
            <w:tcMar>
              <w:top w:w="60" w:type="dxa"/>
              <w:left w:w="100" w:type="dxa"/>
              <w:bottom w:w="60" w:type="dxa"/>
              <w:right w:w="100" w:type="dxa"/>
            </w:tcMar>
            <w:vAlign w:val="center"/>
          </w:tcPr>
          <w:p w14:paraId="747270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36</w:t>
            </w:r>
          </w:p>
        </w:tc>
        <w:tc>
          <w:tcPr>
            <w:tcW w:w="2762" w:type="pct"/>
            <w:tcMar>
              <w:top w:w="60" w:type="dxa"/>
              <w:left w:w="100" w:type="dxa"/>
              <w:bottom w:w="60" w:type="dxa"/>
              <w:right w:w="100" w:type="dxa"/>
            </w:tcMar>
            <w:vAlign w:val="center"/>
          </w:tcPr>
          <w:p w14:paraId="654EC62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يُعزّز تطبيق الترميز ثقة المستثمرين والشركاء في البنية التحتية الرقمية للمؤسسة</w:t>
            </w:r>
          </w:p>
        </w:tc>
        <w:tc>
          <w:tcPr>
            <w:tcW w:w="619" w:type="pct"/>
            <w:tcMar>
              <w:top w:w="60" w:type="dxa"/>
              <w:left w:w="100" w:type="dxa"/>
              <w:bottom w:w="60" w:type="dxa"/>
              <w:right w:w="100" w:type="dxa"/>
            </w:tcMar>
            <w:vAlign w:val="center"/>
          </w:tcPr>
          <w:p w14:paraId="1A14C2E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4.459</w:t>
            </w:r>
          </w:p>
        </w:tc>
        <w:tc>
          <w:tcPr>
            <w:tcW w:w="714" w:type="pct"/>
            <w:tcMar>
              <w:top w:w="60" w:type="dxa"/>
              <w:left w:w="100" w:type="dxa"/>
              <w:bottom w:w="60" w:type="dxa"/>
              <w:right w:w="100" w:type="dxa"/>
            </w:tcMar>
            <w:vAlign w:val="center"/>
          </w:tcPr>
          <w:p w14:paraId="2986C2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0.733</w:t>
            </w:r>
          </w:p>
        </w:tc>
        <w:tc>
          <w:tcPr>
            <w:tcW w:w="667" w:type="pct"/>
            <w:tcMar>
              <w:top w:w="60" w:type="dxa"/>
              <w:left w:w="100" w:type="dxa"/>
              <w:bottom w:w="60" w:type="dxa"/>
              <w:right w:w="100" w:type="dxa"/>
            </w:tcMar>
            <w:vAlign w:val="center"/>
          </w:tcPr>
          <w:p w14:paraId="31D269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CCF02C4" w14:textId="77777777" w:rsidTr="00036983">
        <w:trPr>
          <w:jc w:val="center"/>
        </w:trPr>
        <w:tc>
          <w:tcPr>
            <w:tcW w:w="238" w:type="pct"/>
            <w:shd w:val="clear" w:color="auto" w:fill="F2F2F2"/>
            <w:tcMar>
              <w:top w:w="60" w:type="dxa"/>
              <w:left w:w="100" w:type="dxa"/>
              <w:bottom w:w="60" w:type="dxa"/>
              <w:right w:w="100" w:type="dxa"/>
            </w:tcMar>
            <w:vAlign w:val="center"/>
          </w:tcPr>
          <w:p w14:paraId="7993C84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37</w:t>
            </w:r>
          </w:p>
        </w:tc>
        <w:tc>
          <w:tcPr>
            <w:tcW w:w="2762" w:type="pct"/>
            <w:shd w:val="clear" w:color="auto" w:fill="F2F2F2"/>
            <w:tcMar>
              <w:top w:w="60" w:type="dxa"/>
              <w:left w:w="100" w:type="dxa"/>
              <w:bottom w:w="60" w:type="dxa"/>
              <w:right w:w="100" w:type="dxa"/>
            </w:tcMar>
            <w:vAlign w:val="center"/>
          </w:tcPr>
          <w:p w14:paraId="3577595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تُشكّل تقنية الترميز ركيزة أساسية في خارطة طريق التحول الرقمي لمؤسستك</w:t>
            </w:r>
          </w:p>
        </w:tc>
        <w:tc>
          <w:tcPr>
            <w:tcW w:w="619" w:type="pct"/>
            <w:shd w:val="clear" w:color="auto" w:fill="F2F2F2"/>
            <w:tcMar>
              <w:top w:w="60" w:type="dxa"/>
              <w:left w:w="100" w:type="dxa"/>
              <w:bottom w:w="60" w:type="dxa"/>
              <w:right w:w="100" w:type="dxa"/>
            </w:tcMar>
            <w:vAlign w:val="center"/>
          </w:tcPr>
          <w:p w14:paraId="3EAAF05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4.398</w:t>
            </w:r>
          </w:p>
        </w:tc>
        <w:tc>
          <w:tcPr>
            <w:tcW w:w="714" w:type="pct"/>
            <w:shd w:val="clear" w:color="auto" w:fill="F2F2F2"/>
            <w:tcMar>
              <w:top w:w="60" w:type="dxa"/>
              <w:left w:w="100" w:type="dxa"/>
              <w:bottom w:w="60" w:type="dxa"/>
              <w:right w:w="100" w:type="dxa"/>
            </w:tcMar>
            <w:vAlign w:val="center"/>
          </w:tcPr>
          <w:p w14:paraId="3ED3FB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0.963</w:t>
            </w:r>
          </w:p>
        </w:tc>
        <w:tc>
          <w:tcPr>
            <w:tcW w:w="667" w:type="pct"/>
            <w:shd w:val="clear" w:color="auto" w:fill="F2F2F2"/>
            <w:tcMar>
              <w:top w:w="60" w:type="dxa"/>
              <w:left w:w="100" w:type="dxa"/>
              <w:bottom w:w="60" w:type="dxa"/>
              <w:right w:w="100" w:type="dxa"/>
            </w:tcMar>
            <w:vAlign w:val="center"/>
          </w:tcPr>
          <w:p w14:paraId="65641D9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5AC32FE" w14:textId="77777777" w:rsidTr="00036983">
        <w:trPr>
          <w:jc w:val="center"/>
        </w:trPr>
        <w:tc>
          <w:tcPr>
            <w:tcW w:w="238" w:type="pct"/>
            <w:tcMar>
              <w:top w:w="60" w:type="dxa"/>
              <w:left w:w="100" w:type="dxa"/>
              <w:bottom w:w="60" w:type="dxa"/>
              <w:right w:w="100" w:type="dxa"/>
            </w:tcMar>
            <w:vAlign w:val="center"/>
          </w:tcPr>
          <w:p w14:paraId="3CA9F0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5E87828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0FA816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4.480</w:t>
            </w:r>
          </w:p>
        </w:tc>
        <w:tc>
          <w:tcPr>
            <w:tcW w:w="714" w:type="pct"/>
            <w:tcMar>
              <w:top w:w="60" w:type="dxa"/>
              <w:left w:w="100" w:type="dxa"/>
              <w:bottom w:w="60" w:type="dxa"/>
              <w:right w:w="100" w:type="dxa"/>
            </w:tcMar>
            <w:vAlign w:val="center"/>
          </w:tcPr>
          <w:p w14:paraId="3E7F2CB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0.668</w:t>
            </w:r>
          </w:p>
        </w:tc>
        <w:tc>
          <w:tcPr>
            <w:tcW w:w="667" w:type="pct"/>
            <w:tcMar>
              <w:top w:w="60" w:type="dxa"/>
              <w:left w:w="100" w:type="dxa"/>
              <w:bottom w:w="60" w:type="dxa"/>
              <w:right w:w="100" w:type="dxa"/>
            </w:tcMar>
            <w:vAlign w:val="center"/>
          </w:tcPr>
          <w:p w14:paraId="2FE3EA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4A2D2FB0"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(4.12): المتوسطات الحسابية والانحرافات المعيارية لعبارات التوافق مع رؤية 2030 والتحول الرقمي المالي</w:t>
      </w:r>
    </w:p>
    <w:p w14:paraId="428B3E9E"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يتضح من الجداول السابقة أن جميع أبعاد الدراسة الخمسة حصلت على درجة موافقة "مرتفعة جداً" وفقاً لمقياس التصنيف المعتمد، إذ تراوحت المتوسطات الحسابية العامة للأبعاد بين (4.314) لبُعد الأمن السيبراني المؤسسي و(4.480) لبُعد التوافق مع رؤية 2030، مما يعكس اتجاهاً إيجابياً واضحاً لدى أفراد العينة نحو إدراك الأثر الإيجابي لتقنية الترميز على الأمن السيبراني وكفاءة العمليات المالية والامتثال التنظيمي وتحقيق مستهدفات رؤية المملكة 2030. وبلغ المتوسط الحسابي العام لمحور تطبيق تقنية الترميز مجتمعاً (الجمع بين بُعدي الترميز الأمني والامتثال للمعايير الدولية) (4.356) بانحراف معياري (0.775)، وهو ما يؤكد اتساق استجابات أفراد العينة حول محاور الدراسة الرئيسية.</w:t>
      </w:r>
    </w:p>
    <w:p w14:paraId="72EDF868"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137" w:name="_Toc234424171"/>
      <w:r>
        <w:rPr>
          <w:rFonts w:ascii="Traditional Arabic" w:hAnsi="Traditional Arabic" w:cs="Traditional Arabic"/>
          <w:b/>
          <w:bCs/>
          <w:sz w:val="32"/>
          <w:szCs w:val="32"/>
          <w:u w:val="single"/>
          <w:rtl/>
        </w:rPr>
        <w:t>السؤال الختامي: التقييم العام لأثر تقنية الترميز</w:t>
      </w:r>
      <w:bookmarkEnd w:id="137"/>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B5019C" w14:paraId="0776C7EC" w14:textId="77777777" w:rsidTr="00036983">
        <w:trPr>
          <w:tblHeader/>
          <w:jc w:val="center"/>
        </w:trPr>
        <w:tc>
          <w:tcPr>
            <w:tcW w:w="3022" w:type="pct"/>
            <w:shd w:val="clear" w:color="auto" w:fill="2E5395"/>
            <w:tcMar>
              <w:top w:w="60" w:type="dxa"/>
              <w:left w:w="100" w:type="dxa"/>
              <w:bottom w:w="60" w:type="dxa"/>
              <w:right w:w="100" w:type="dxa"/>
            </w:tcMar>
            <w:vAlign w:val="center"/>
          </w:tcPr>
          <w:p w14:paraId="2E5F92C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مستوى التأثير العام المُدرَك</w:t>
            </w:r>
          </w:p>
        </w:tc>
        <w:tc>
          <w:tcPr>
            <w:tcW w:w="989" w:type="pct"/>
            <w:shd w:val="clear" w:color="auto" w:fill="2E5395"/>
            <w:tcMar>
              <w:top w:w="60" w:type="dxa"/>
              <w:left w:w="100" w:type="dxa"/>
              <w:bottom w:w="60" w:type="dxa"/>
              <w:right w:w="100" w:type="dxa"/>
            </w:tcMar>
            <w:vAlign w:val="center"/>
          </w:tcPr>
          <w:p w14:paraId="238EFD2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3F930D6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النسبة المئوية</w:t>
            </w:r>
          </w:p>
        </w:tc>
      </w:tr>
      <w:tr w:rsidR="007608E1" w:rsidRPr="00B5019C" w14:paraId="1942E3DD" w14:textId="77777777" w:rsidTr="00036983">
        <w:trPr>
          <w:jc w:val="center"/>
        </w:trPr>
        <w:tc>
          <w:tcPr>
            <w:tcW w:w="3022" w:type="pct"/>
            <w:tcMar>
              <w:top w:w="60" w:type="dxa"/>
              <w:left w:w="100" w:type="dxa"/>
              <w:bottom w:w="60" w:type="dxa"/>
              <w:right w:w="100" w:type="dxa"/>
            </w:tcMar>
            <w:vAlign w:val="center"/>
          </w:tcPr>
          <w:p w14:paraId="72E05A7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استراتيجي بالغ الأهمية</w:t>
            </w:r>
          </w:p>
        </w:tc>
        <w:tc>
          <w:tcPr>
            <w:tcW w:w="989" w:type="pct"/>
            <w:tcMar>
              <w:top w:w="60" w:type="dxa"/>
              <w:left w:w="100" w:type="dxa"/>
              <w:bottom w:w="60" w:type="dxa"/>
              <w:right w:w="100" w:type="dxa"/>
            </w:tcMar>
            <w:vAlign w:val="center"/>
          </w:tcPr>
          <w:p w14:paraId="23FC38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106</w:t>
            </w:r>
          </w:p>
        </w:tc>
        <w:tc>
          <w:tcPr>
            <w:tcW w:w="989" w:type="pct"/>
            <w:tcMar>
              <w:top w:w="60" w:type="dxa"/>
              <w:left w:w="100" w:type="dxa"/>
              <w:bottom w:w="60" w:type="dxa"/>
              <w:right w:w="100" w:type="dxa"/>
            </w:tcMar>
            <w:vAlign w:val="center"/>
          </w:tcPr>
          <w:p w14:paraId="1E074DD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54.1%</w:t>
            </w:r>
          </w:p>
        </w:tc>
      </w:tr>
      <w:tr w:rsidR="007608E1" w:rsidRPr="00B5019C" w14:paraId="4DCA2183" w14:textId="77777777" w:rsidTr="00036983">
        <w:trPr>
          <w:jc w:val="center"/>
        </w:trPr>
        <w:tc>
          <w:tcPr>
            <w:tcW w:w="3022" w:type="pct"/>
            <w:shd w:val="clear" w:color="auto" w:fill="F2F2F2"/>
            <w:tcMar>
              <w:top w:w="60" w:type="dxa"/>
              <w:left w:w="100" w:type="dxa"/>
              <w:bottom w:w="60" w:type="dxa"/>
              <w:right w:w="100" w:type="dxa"/>
            </w:tcMar>
            <w:vAlign w:val="center"/>
          </w:tcPr>
          <w:p w14:paraId="362C613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واضح</w:t>
            </w:r>
          </w:p>
        </w:tc>
        <w:tc>
          <w:tcPr>
            <w:tcW w:w="989" w:type="pct"/>
            <w:shd w:val="clear" w:color="auto" w:fill="F2F2F2"/>
            <w:tcMar>
              <w:top w:w="60" w:type="dxa"/>
              <w:left w:w="100" w:type="dxa"/>
              <w:bottom w:w="60" w:type="dxa"/>
              <w:right w:w="100" w:type="dxa"/>
            </w:tcMar>
            <w:vAlign w:val="center"/>
          </w:tcPr>
          <w:p w14:paraId="5F9948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54</w:t>
            </w:r>
          </w:p>
        </w:tc>
        <w:tc>
          <w:tcPr>
            <w:tcW w:w="989" w:type="pct"/>
            <w:shd w:val="clear" w:color="auto" w:fill="F2F2F2"/>
            <w:tcMar>
              <w:top w:w="60" w:type="dxa"/>
              <w:left w:w="100" w:type="dxa"/>
              <w:bottom w:w="60" w:type="dxa"/>
              <w:right w:w="100" w:type="dxa"/>
            </w:tcMar>
            <w:vAlign w:val="center"/>
          </w:tcPr>
          <w:p w14:paraId="16797D5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27.6%</w:t>
            </w:r>
          </w:p>
        </w:tc>
      </w:tr>
      <w:tr w:rsidR="007608E1" w:rsidRPr="00B5019C" w14:paraId="287C8756" w14:textId="77777777" w:rsidTr="00036983">
        <w:trPr>
          <w:jc w:val="center"/>
        </w:trPr>
        <w:tc>
          <w:tcPr>
            <w:tcW w:w="3022" w:type="pct"/>
            <w:tcMar>
              <w:top w:w="60" w:type="dxa"/>
              <w:left w:w="100" w:type="dxa"/>
              <w:bottom w:w="60" w:type="dxa"/>
              <w:right w:w="100" w:type="dxa"/>
            </w:tcMar>
            <w:vAlign w:val="center"/>
          </w:tcPr>
          <w:p w14:paraId="5E746D3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لا يوجد تأثير ملحوظ</w:t>
            </w:r>
          </w:p>
        </w:tc>
        <w:tc>
          <w:tcPr>
            <w:tcW w:w="989" w:type="pct"/>
            <w:tcMar>
              <w:top w:w="60" w:type="dxa"/>
              <w:left w:w="100" w:type="dxa"/>
              <w:bottom w:w="60" w:type="dxa"/>
              <w:right w:w="100" w:type="dxa"/>
            </w:tcMar>
            <w:vAlign w:val="center"/>
          </w:tcPr>
          <w:p w14:paraId="338DB90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19</w:t>
            </w:r>
          </w:p>
        </w:tc>
        <w:tc>
          <w:tcPr>
            <w:tcW w:w="989" w:type="pct"/>
            <w:tcMar>
              <w:top w:w="60" w:type="dxa"/>
              <w:left w:w="100" w:type="dxa"/>
              <w:bottom w:w="60" w:type="dxa"/>
              <w:right w:w="100" w:type="dxa"/>
            </w:tcMar>
            <w:vAlign w:val="center"/>
          </w:tcPr>
          <w:p w14:paraId="5F0045A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9.7%</w:t>
            </w:r>
          </w:p>
        </w:tc>
      </w:tr>
      <w:tr w:rsidR="007608E1" w:rsidRPr="00B5019C" w14:paraId="6478ADF6" w14:textId="77777777" w:rsidTr="00036983">
        <w:trPr>
          <w:jc w:val="center"/>
        </w:trPr>
        <w:tc>
          <w:tcPr>
            <w:tcW w:w="3022" w:type="pct"/>
            <w:shd w:val="clear" w:color="auto" w:fill="F2F2F2"/>
            <w:tcMar>
              <w:top w:w="60" w:type="dxa"/>
              <w:left w:w="100" w:type="dxa"/>
              <w:bottom w:w="60" w:type="dxa"/>
              <w:right w:w="100" w:type="dxa"/>
            </w:tcMar>
            <w:vAlign w:val="center"/>
          </w:tcPr>
          <w:p w14:paraId="4C60B12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محدود</w:t>
            </w:r>
          </w:p>
        </w:tc>
        <w:tc>
          <w:tcPr>
            <w:tcW w:w="989" w:type="pct"/>
            <w:shd w:val="clear" w:color="auto" w:fill="F2F2F2"/>
            <w:tcMar>
              <w:top w:w="60" w:type="dxa"/>
              <w:left w:w="100" w:type="dxa"/>
              <w:bottom w:w="60" w:type="dxa"/>
              <w:right w:w="100" w:type="dxa"/>
            </w:tcMar>
            <w:vAlign w:val="center"/>
          </w:tcPr>
          <w:p w14:paraId="347906E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17</w:t>
            </w:r>
          </w:p>
        </w:tc>
        <w:tc>
          <w:tcPr>
            <w:tcW w:w="989" w:type="pct"/>
            <w:shd w:val="clear" w:color="auto" w:fill="F2F2F2"/>
            <w:tcMar>
              <w:top w:w="60" w:type="dxa"/>
              <w:left w:w="100" w:type="dxa"/>
              <w:bottom w:w="60" w:type="dxa"/>
              <w:right w:w="100" w:type="dxa"/>
            </w:tcMar>
            <w:vAlign w:val="center"/>
          </w:tcPr>
          <w:p w14:paraId="220993D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8.7%</w:t>
            </w:r>
          </w:p>
        </w:tc>
      </w:tr>
    </w:tbl>
    <w:p w14:paraId="04B6ABEF"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(4.13): توزيع تقييم أفراد العينة لمستوى تأثير تقنية الترميز على الأداء المؤسسي الشامل</w:t>
      </w:r>
    </w:p>
    <w:p w14:paraId="6EEEA313"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يؤكد هذا التقييم العام النتائج التفصيلية السابقة، إذ أفاد ما نسبته 81.7% من أفراد العينة (54.1% تأثير إيجابي استراتيجي بالغ الأهمية، و27.6% تأثير إيجابي واضح) بوجود أثر إيجابي ملموس لتقنية الترميز على الأداء المؤسسي </w:t>
      </w:r>
      <w:r w:rsidRPr="00B5019C">
        <w:rPr>
          <w:rFonts w:ascii="Traditional Arabic" w:eastAsia="Simplified Arabic" w:hAnsi="Traditional Arabic" w:cs="Traditional Arabic"/>
          <w:sz w:val="28"/>
          <w:szCs w:val="28"/>
          <w:rtl/>
        </w:rPr>
        <w:lastRenderedPageBreak/>
        <w:t>الشامل، في مقابل 8.7% أشاروا إلى تأثير إيجابي محدود، و9.7% لم يلحظوا تأثيراً واضحاً، ولم يُسجَّل أي تقييم بوجود تأثير سلبي. ويُعدّ هذا الاتساق بين التقييم العام والمتوسطات التفصيلية للأبعاد الخمسة مؤشراً على الصدق الظاهري لأداة الدراسة.</w:t>
      </w:r>
    </w:p>
    <w:p w14:paraId="53F2F308"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أما فيما يتعلق بحقل الملاحظات والمقترحات المفتوح (السؤال 39)، فقد بلغت نسبة الاستجابة الاختيارية له 26.0% (51 من أصل 196 مستجيباً)، ونظراً لاعتماد الدراسة الحالية على المنهج الكمي بشكل كامل دون توظيف أدوات التحليل النوعي، فقد اقتُصر التعامل مع هذا الحقل على بيان نسبة الاستجابة له دون إخضاع مضمونه لتحليل موضوعاتي.</w:t>
      </w:r>
    </w:p>
    <w:p w14:paraId="1471B420" w14:textId="77777777" w:rsidR="008B1684" w:rsidRDefault="008B1684" w:rsidP="00E000FF">
      <w:pPr>
        <w:bidi/>
        <w:spacing w:after="0" w:line="360" w:lineRule="auto"/>
        <w:rPr>
          <w:rFonts w:ascii="Simplified Arabic" w:eastAsiaTheme="majorEastAsia" w:hAnsi="Simplified Arabic" w:cs="Simplified Arabic"/>
          <w:b/>
          <w:bCs/>
          <w:sz w:val="28"/>
          <w:szCs w:val="28"/>
          <w:u w:val="single"/>
          <w:rtl/>
        </w:rPr>
      </w:pPr>
      <w:r>
        <w:rPr>
          <w:rFonts w:ascii="Traditional Arabic" w:hAnsi="Traditional Arabic" w:cs="Traditional Arabic"/>
          <w:b/>
          <w:bCs/>
          <w:sz w:val="24"/>
          <w:szCs w:val="24"/>
          <w:u w:val="single"/>
          <w:rtl/>
        </w:rPr>
        <w:br w:type="page"/>
      </w:r>
    </w:p>
    <w:p w14:paraId="2A625FBC" w14:textId="7E3D65A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138" w:name="_Toc234424172"/>
      <w:r>
        <w:rPr>
          <w:rFonts w:ascii="Traditional Arabic" w:hAnsi="Traditional Arabic" w:cs="Traditional Arabic"/>
          <w:b/>
          <w:bCs/>
          <w:sz w:val="32"/>
          <w:szCs w:val="32"/>
          <w:u w:val="single"/>
          <w:rtl/>
        </w:rPr>
        <w:lastRenderedPageBreak/>
        <w:t>ثالثاً: اختبار صدق وثبات أداة الدراسة</w:t>
      </w:r>
      <w:bookmarkEnd w:id="138"/>
    </w:p>
    <w:p w14:paraId="1AFF835E" w14:textId="77777777" w:rsidR="007608E1" w:rsidRPr="00B5019C" w:rsidRDefault="007608E1" w:rsidP="00E000FF">
      <w:pPr>
        <w:bidi/>
        <w:spacing w:after="0" w:line="360" w:lineRule="auto"/>
        <w:jc w:val="both"/>
        <w:rPr>
          <w:rFonts w:ascii="Simplified Arabic" w:eastAsia="Simplified Arabic" w:hAnsi="Simplified Arabic" w:cs="Simplified Arabic"/>
          <w:sz w:val="28"/>
          <w:szCs w:val="28"/>
          <w:rtl/>
        </w:rPr>
      </w:pPr>
      <w:r w:rsidRPr="00B5019C">
        <w:rPr>
          <w:rFonts w:ascii="Traditional Arabic" w:eastAsia="Simplified Arabic" w:hAnsi="Traditional Arabic" w:cs="Traditional Arabic"/>
          <w:sz w:val="28"/>
          <w:szCs w:val="28"/>
          <w:rtl/>
        </w:rPr>
        <w:t>يتناول هذا الجزء التحقق من صدق وثبات أداة الدراسة (الاستبانة)، من خلال عرض نتائج الصدق الظاهري وصدق الاتساق الداخلي بين الفقرات والأبعاد، بالإضافة إلى حساب معامل ألفا كرونباخ لقياس الثبات، مع تفسير القيم الإحصائية وبيان مدى قبولها علمياً.</w:t>
      </w:r>
    </w:p>
    <w:p w14:paraId="56D3E86D" w14:textId="77777777" w:rsidR="00036983" w:rsidRPr="00B5019C" w:rsidRDefault="00036983" w:rsidP="00E000FF">
      <w:pPr>
        <w:bidi/>
        <w:spacing w:after="0" w:line="360" w:lineRule="auto"/>
        <w:jc w:val="both"/>
        <w:rPr>
          <w:sz w:val="28"/>
          <w:szCs w:val="28"/>
        </w:rPr>
      </w:pPr>
    </w:p>
    <w:p w14:paraId="575F7F58"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b/>
          <w:bCs/>
          <w:sz w:val="28"/>
          <w:szCs w:val="28"/>
          <w:rtl/>
        </w:rPr>
        <w:t>1. الصدق الظاهري</w:t>
      </w:r>
    </w:p>
    <w:p w14:paraId="05A536C7"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sz w:val="28"/>
          <w:szCs w:val="28"/>
          <w:rtl/>
        </w:rPr>
        <w:t>عُرضت الاستبانة في صورتها الأولية على مجموعة من الأساتذة المحكّمين المتخصصين في مجالات الأمن السيبراني والتقنية المالية والمناهج البحثية بجامعة Midocean، حيث أبدوا آراءهم وملاحظاتهم حول مدى ملاءمة العبارات للأبعاد التي صُممت لقياسها، ووضوح صياغتها اللغوية، وشمولية الأبعاد الخمسة لأهداف الدراسة. وفي ضوء تلك الآراء، عُدِّلت صياغة بعض العبارات دون المساس بجوهر المتغيرات المقاسة، بما يؤكد توافر الصدق الظاهري للأداة.</w:t>
      </w:r>
    </w:p>
    <w:p w14:paraId="2E3321AC"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b/>
          <w:bCs/>
          <w:sz w:val="28"/>
          <w:szCs w:val="28"/>
          <w:rtl/>
        </w:rPr>
        <w:t>2. صدق الاتساق الداخلي</w:t>
      </w:r>
    </w:p>
    <w:p w14:paraId="7A9F91DB" w14:textId="77777777" w:rsidR="007608E1" w:rsidRDefault="007608E1" w:rsidP="00E000FF">
      <w:pPr>
        <w:bidi/>
        <w:spacing w:after="0" w:line="360" w:lineRule="auto"/>
        <w:jc w:val="both"/>
      </w:pPr>
      <w:r w:rsidRPr="00B5019C">
        <w:rPr>
          <w:rFonts w:ascii="Traditional Arabic" w:eastAsia="Simplified Arabic" w:hAnsi="Traditional Arabic" w:cs="Traditional Arabic"/>
          <w:sz w:val="28"/>
          <w:szCs w:val="28"/>
          <w:rtl/>
        </w:rPr>
        <w:t>تحقق الباحث من صدق الاتساق الداخلي لفقرات الاستبانة من خلال حساب معامل ارتباط سبيرمان (Spearman) — تماشياً مع الطبيعة غير المعلمية للبيانات كما سيرد بيانه في اختبار افتراضات التحليل الإحصائي — بين درجة كل عبارة والدرجة الكلية للبُعد الذي تنتمي إليه. وتُعدّ العبارة صادقة داخلياً إذا كان معامل ارتباطها موجباً ودالاً إحصائياً عند مستوى (0.01 أو 0.05)، وتراوحت معاملات الارتباط لجميع عبارات الأبعاد الخمسة بين (0.635) و(0.848)، وجاءت جميعها دالة إحصائياً عند مستوى دلالة (0.01&gt;)، مما يؤكد اتساقها الداخلي وصلاحيتها لقياس ما وُضعت لأجله.</w:t>
      </w:r>
    </w:p>
    <w:p w14:paraId="5880BF4D"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1D686483"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2139C202"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5A2F3736"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413E5566"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56AB7E9C" w14:textId="5E37CAB5"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lastRenderedPageBreak/>
        <w:t>صدق الاتساق الداخلي لبُعد: الترميز الأمني للبيانات</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1"/>
        <w:gridCol w:w="4082"/>
        <w:gridCol w:w="1488"/>
        <w:gridCol w:w="1243"/>
        <w:gridCol w:w="934"/>
      </w:tblGrid>
      <w:tr w:rsidR="007608E1" w14:paraId="2C95D517" w14:textId="77777777" w:rsidTr="00B5019C">
        <w:trPr>
          <w:tblHeader/>
          <w:jc w:val="center"/>
        </w:trPr>
        <w:tc>
          <w:tcPr>
            <w:tcW w:w="499" w:type="dxa"/>
            <w:shd w:val="clear" w:color="auto" w:fill="2E5395"/>
            <w:tcMar>
              <w:top w:w="60" w:type="dxa"/>
              <w:left w:w="100" w:type="dxa"/>
              <w:bottom w:w="60" w:type="dxa"/>
              <w:right w:w="100" w:type="dxa"/>
            </w:tcMar>
            <w:vAlign w:val="center"/>
          </w:tcPr>
          <w:p w14:paraId="0C2510D9"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39F146ED"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05041713"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08F5D6E6"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5A41E25C"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08A7C5B" w14:textId="77777777" w:rsidTr="00B5019C">
        <w:trPr>
          <w:jc w:val="center"/>
        </w:trPr>
        <w:tc>
          <w:tcPr>
            <w:tcW w:w="499" w:type="dxa"/>
            <w:tcMar>
              <w:top w:w="60" w:type="dxa"/>
              <w:left w:w="100" w:type="dxa"/>
              <w:bottom w:w="60" w:type="dxa"/>
              <w:right w:w="100" w:type="dxa"/>
            </w:tcMar>
            <w:vAlign w:val="center"/>
          </w:tcPr>
          <w:p w14:paraId="0B1C9BE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7</w:t>
            </w:r>
          </w:p>
        </w:tc>
        <w:tc>
          <w:tcPr>
            <w:tcW w:w="4118" w:type="dxa"/>
            <w:vAlign w:val="center"/>
          </w:tcPr>
          <w:p w14:paraId="783AC591" w14:textId="77777777" w:rsidR="005D691F" w:rsidRDefault="00F4227D" w:rsidP="00B5019C">
            <w:pPr>
              <w:bidi/>
              <w:spacing w:after="0" w:line="260" w:lineRule="auto"/>
              <w:jc w:val="center"/>
            </w:pPr>
            <w:r>
              <w:rPr>
                <w:rFonts w:ascii="Traditional Arabic" w:hAnsi="Traditional Arabic" w:cs="Traditional Arabic"/>
                <w:rtl/>
              </w:rPr>
              <w:t>تعتمد المؤسسة تقنية الترميز لحماية بيانات الدفع الحساسة وفق معيار PCI DSS</w:t>
            </w:r>
          </w:p>
        </w:tc>
        <w:tc>
          <w:tcPr>
            <w:tcW w:w="1497" w:type="dxa"/>
            <w:tcMar>
              <w:top w:w="60" w:type="dxa"/>
              <w:left w:w="100" w:type="dxa"/>
              <w:bottom w:w="60" w:type="dxa"/>
              <w:right w:w="100" w:type="dxa"/>
            </w:tcMar>
            <w:vAlign w:val="center"/>
          </w:tcPr>
          <w:p w14:paraId="639526B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0.720</w:t>
            </w:r>
          </w:p>
        </w:tc>
        <w:tc>
          <w:tcPr>
            <w:tcW w:w="1248" w:type="dxa"/>
            <w:tcMar>
              <w:top w:w="60" w:type="dxa"/>
              <w:left w:w="100" w:type="dxa"/>
              <w:bottom w:w="60" w:type="dxa"/>
              <w:right w:w="100" w:type="dxa"/>
            </w:tcMar>
            <w:vAlign w:val="center"/>
          </w:tcPr>
          <w:p w14:paraId="6BFAE66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3654EB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7AB5741" w14:textId="77777777" w:rsidTr="00B5019C">
        <w:trPr>
          <w:jc w:val="center"/>
        </w:trPr>
        <w:tc>
          <w:tcPr>
            <w:tcW w:w="499" w:type="dxa"/>
            <w:shd w:val="clear" w:color="auto" w:fill="F2F2F2"/>
            <w:tcMar>
              <w:top w:w="60" w:type="dxa"/>
              <w:left w:w="100" w:type="dxa"/>
              <w:bottom w:w="60" w:type="dxa"/>
              <w:right w:w="100" w:type="dxa"/>
            </w:tcMar>
            <w:vAlign w:val="center"/>
          </w:tcPr>
          <w:p w14:paraId="4BD184C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8</w:t>
            </w:r>
          </w:p>
        </w:tc>
        <w:tc>
          <w:tcPr>
            <w:tcW w:w="4118" w:type="dxa"/>
            <w:vAlign w:val="center"/>
          </w:tcPr>
          <w:p w14:paraId="01BA32DB"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نسبة اختراق البيانات المالية بشكل ملحوظ خلال السنتين الماضيتين</w:t>
            </w:r>
          </w:p>
        </w:tc>
        <w:tc>
          <w:tcPr>
            <w:tcW w:w="1497" w:type="dxa"/>
            <w:shd w:val="clear" w:color="auto" w:fill="F2F2F2"/>
            <w:tcMar>
              <w:top w:w="60" w:type="dxa"/>
              <w:left w:w="100" w:type="dxa"/>
              <w:bottom w:w="60" w:type="dxa"/>
              <w:right w:w="100" w:type="dxa"/>
            </w:tcMar>
            <w:vAlign w:val="center"/>
          </w:tcPr>
          <w:p w14:paraId="3FDF985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0.705</w:t>
            </w:r>
          </w:p>
        </w:tc>
        <w:tc>
          <w:tcPr>
            <w:tcW w:w="1248" w:type="dxa"/>
            <w:shd w:val="clear" w:color="auto" w:fill="F2F2F2"/>
            <w:tcMar>
              <w:top w:w="60" w:type="dxa"/>
              <w:left w:w="100" w:type="dxa"/>
              <w:bottom w:w="60" w:type="dxa"/>
              <w:right w:w="100" w:type="dxa"/>
            </w:tcMar>
            <w:vAlign w:val="center"/>
          </w:tcPr>
          <w:p w14:paraId="7FE4177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C655CF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BE6E91B" w14:textId="77777777" w:rsidTr="00B5019C">
        <w:trPr>
          <w:jc w:val="center"/>
        </w:trPr>
        <w:tc>
          <w:tcPr>
            <w:tcW w:w="499" w:type="dxa"/>
            <w:tcMar>
              <w:top w:w="60" w:type="dxa"/>
              <w:left w:w="100" w:type="dxa"/>
              <w:bottom w:w="60" w:type="dxa"/>
              <w:right w:w="100" w:type="dxa"/>
            </w:tcMar>
            <w:vAlign w:val="center"/>
          </w:tcPr>
          <w:p w14:paraId="533F1A0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9</w:t>
            </w:r>
          </w:p>
        </w:tc>
        <w:tc>
          <w:tcPr>
            <w:tcW w:w="4118" w:type="dxa"/>
            <w:vAlign w:val="center"/>
          </w:tcPr>
          <w:p w14:paraId="5F3DB3AE" w14:textId="77777777" w:rsidR="005D691F" w:rsidRDefault="00F4227D" w:rsidP="00B5019C">
            <w:pPr>
              <w:bidi/>
              <w:spacing w:after="0" w:line="260" w:lineRule="auto"/>
              <w:jc w:val="center"/>
            </w:pPr>
            <w:r>
              <w:rPr>
                <w:rFonts w:ascii="Traditional Arabic" w:hAnsi="Traditional Arabic" w:cs="Traditional Arabic"/>
                <w:rtl/>
              </w:rPr>
              <w:t>يُعزّز الترميز مستوى حماية هوية العملاء وبياناتهم المصرفية من التهديدات السيبرانية</w:t>
            </w:r>
          </w:p>
        </w:tc>
        <w:tc>
          <w:tcPr>
            <w:tcW w:w="1497" w:type="dxa"/>
            <w:tcMar>
              <w:top w:w="60" w:type="dxa"/>
              <w:left w:w="100" w:type="dxa"/>
              <w:bottom w:w="60" w:type="dxa"/>
              <w:right w:w="100" w:type="dxa"/>
            </w:tcMar>
            <w:vAlign w:val="center"/>
          </w:tcPr>
          <w:p w14:paraId="36D647F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0.700</w:t>
            </w:r>
          </w:p>
        </w:tc>
        <w:tc>
          <w:tcPr>
            <w:tcW w:w="1248" w:type="dxa"/>
            <w:tcMar>
              <w:top w:w="60" w:type="dxa"/>
              <w:left w:w="100" w:type="dxa"/>
              <w:bottom w:w="60" w:type="dxa"/>
              <w:right w:w="100" w:type="dxa"/>
            </w:tcMar>
            <w:vAlign w:val="center"/>
          </w:tcPr>
          <w:p w14:paraId="5593F59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841B5C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6047456" w14:textId="77777777" w:rsidTr="00B5019C">
        <w:trPr>
          <w:jc w:val="center"/>
        </w:trPr>
        <w:tc>
          <w:tcPr>
            <w:tcW w:w="499" w:type="dxa"/>
            <w:shd w:val="clear" w:color="auto" w:fill="F2F2F2"/>
            <w:tcMar>
              <w:top w:w="60" w:type="dxa"/>
              <w:left w:w="100" w:type="dxa"/>
              <w:bottom w:w="60" w:type="dxa"/>
              <w:right w:w="100" w:type="dxa"/>
            </w:tcMar>
            <w:vAlign w:val="center"/>
          </w:tcPr>
          <w:p w14:paraId="6489A6E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10</w:t>
            </w:r>
          </w:p>
        </w:tc>
        <w:tc>
          <w:tcPr>
            <w:tcW w:w="4118" w:type="dxa"/>
            <w:vAlign w:val="center"/>
          </w:tcPr>
          <w:p w14:paraId="5D22F5ED" w14:textId="77777777" w:rsidR="005D691F" w:rsidRDefault="00F4227D" w:rsidP="00B5019C">
            <w:pPr>
              <w:bidi/>
              <w:spacing w:after="0" w:line="260" w:lineRule="auto"/>
              <w:jc w:val="center"/>
            </w:pPr>
            <w:r>
              <w:rPr>
                <w:rFonts w:ascii="Traditional Arabic" w:hAnsi="Traditional Arabic" w:cs="Traditional Arabic"/>
                <w:rtl/>
              </w:rPr>
              <w:t>تُطبّق المؤسسة آليات ترميز ديناميكي (Dynamic Tokenization) لتعزيز الأمن في المعاملات الآنية</w:t>
            </w:r>
          </w:p>
        </w:tc>
        <w:tc>
          <w:tcPr>
            <w:tcW w:w="1497" w:type="dxa"/>
            <w:shd w:val="clear" w:color="auto" w:fill="F2F2F2"/>
            <w:tcMar>
              <w:top w:w="60" w:type="dxa"/>
              <w:left w:w="100" w:type="dxa"/>
              <w:bottom w:w="60" w:type="dxa"/>
              <w:right w:w="100" w:type="dxa"/>
            </w:tcMar>
            <w:vAlign w:val="center"/>
          </w:tcPr>
          <w:p w14:paraId="0FD4833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0.785</w:t>
            </w:r>
          </w:p>
        </w:tc>
        <w:tc>
          <w:tcPr>
            <w:tcW w:w="1248" w:type="dxa"/>
            <w:shd w:val="clear" w:color="auto" w:fill="F2F2F2"/>
            <w:tcMar>
              <w:top w:w="60" w:type="dxa"/>
              <w:left w:w="100" w:type="dxa"/>
              <w:bottom w:w="60" w:type="dxa"/>
              <w:right w:w="100" w:type="dxa"/>
            </w:tcMar>
            <w:vAlign w:val="center"/>
          </w:tcPr>
          <w:p w14:paraId="66BAE7F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B62BD4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2788AE5" w14:textId="77777777" w:rsidTr="00B5019C">
        <w:trPr>
          <w:jc w:val="center"/>
        </w:trPr>
        <w:tc>
          <w:tcPr>
            <w:tcW w:w="499" w:type="dxa"/>
            <w:tcMar>
              <w:top w:w="60" w:type="dxa"/>
              <w:left w:w="100" w:type="dxa"/>
              <w:bottom w:w="60" w:type="dxa"/>
              <w:right w:w="100" w:type="dxa"/>
            </w:tcMar>
            <w:vAlign w:val="center"/>
          </w:tcPr>
          <w:p w14:paraId="73EFC06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11</w:t>
            </w:r>
          </w:p>
        </w:tc>
        <w:tc>
          <w:tcPr>
            <w:tcW w:w="4118" w:type="dxa"/>
            <w:vAlign w:val="center"/>
          </w:tcPr>
          <w:p w14:paraId="21415C2B" w14:textId="77777777" w:rsidR="005D691F" w:rsidRDefault="00F4227D" w:rsidP="00B5019C">
            <w:pPr>
              <w:bidi/>
              <w:spacing w:after="0" w:line="260" w:lineRule="auto"/>
              <w:jc w:val="center"/>
            </w:pPr>
            <w:r>
              <w:rPr>
                <w:rFonts w:ascii="Traditional Arabic" w:hAnsi="Traditional Arabic" w:cs="Traditional Arabic"/>
                <w:rtl/>
              </w:rPr>
              <w:t>أدّى الترميز إلى خفض تكاليف الاستجابة للحوادث السيبرانية وعمليات الاستعادة</w:t>
            </w:r>
          </w:p>
        </w:tc>
        <w:tc>
          <w:tcPr>
            <w:tcW w:w="1497" w:type="dxa"/>
            <w:tcMar>
              <w:top w:w="60" w:type="dxa"/>
              <w:left w:w="100" w:type="dxa"/>
              <w:bottom w:w="60" w:type="dxa"/>
              <w:right w:w="100" w:type="dxa"/>
            </w:tcMar>
            <w:vAlign w:val="center"/>
          </w:tcPr>
          <w:p w14:paraId="4FB56CB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0.807</w:t>
            </w:r>
          </w:p>
        </w:tc>
        <w:tc>
          <w:tcPr>
            <w:tcW w:w="1248" w:type="dxa"/>
            <w:tcMar>
              <w:top w:w="60" w:type="dxa"/>
              <w:left w:w="100" w:type="dxa"/>
              <w:bottom w:w="60" w:type="dxa"/>
              <w:right w:w="100" w:type="dxa"/>
            </w:tcMar>
            <w:vAlign w:val="center"/>
          </w:tcPr>
          <w:p w14:paraId="7E176F2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6411305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38F50BF" w14:textId="77777777" w:rsidTr="00B5019C">
        <w:trPr>
          <w:jc w:val="center"/>
        </w:trPr>
        <w:tc>
          <w:tcPr>
            <w:tcW w:w="499" w:type="dxa"/>
            <w:shd w:val="clear" w:color="auto" w:fill="F2F2F2"/>
            <w:tcMar>
              <w:top w:w="60" w:type="dxa"/>
              <w:left w:w="100" w:type="dxa"/>
              <w:bottom w:w="60" w:type="dxa"/>
              <w:right w:w="100" w:type="dxa"/>
            </w:tcMar>
            <w:vAlign w:val="center"/>
          </w:tcPr>
          <w:p w14:paraId="65752E6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12</w:t>
            </w:r>
          </w:p>
        </w:tc>
        <w:tc>
          <w:tcPr>
            <w:tcW w:w="4118" w:type="dxa"/>
            <w:vAlign w:val="center"/>
          </w:tcPr>
          <w:p w14:paraId="637993A4" w14:textId="77777777" w:rsidR="005D691F" w:rsidRDefault="00F4227D" w:rsidP="00B5019C">
            <w:pPr>
              <w:bidi/>
              <w:spacing w:after="0" w:line="260" w:lineRule="auto"/>
              <w:jc w:val="center"/>
            </w:pPr>
            <w:r>
              <w:rPr>
                <w:rFonts w:ascii="Traditional Arabic" w:hAnsi="Traditional Arabic" w:cs="Traditional Arabic"/>
                <w:rtl/>
              </w:rPr>
              <w:t>يُتيح الترميز الامتثال الكامل لمتطلبات الهيئة الوطنية للأمن السيبراني (NCA)</w:t>
            </w:r>
          </w:p>
        </w:tc>
        <w:tc>
          <w:tcPr>
            <w:tcW w:w="1497" w:type="dxa"/>
            <w:shd w:val="clear" w:color="auto" w:fill="F2F2F2"/>
            <w:tcMar>
              <w:top w:w="60" w:type="dxa"/>
              <w:left w:w="100" w:type="dxa"/>
              <w:bottom w:w="60" w:type="dxa"/>
              <w:right w:w="100" w:type="dxa"/>
            </w:tcMar>
            <w:vAlign w:val="center"/>
          </w:tcPr>
          <w:p w14:paraId="5B81527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0.692</w:t>
            </w:r>
          </w:p>
        </w:tc>
        <w:tc>
          <w:tcPr>
            <w:tcW w:w="1248" w:type="dxa"/>
            <w:shd w:val="clear" w:color="auto" w:fill="F2F2F2"/>
            <w:tcMar>
              <w:top w:w="60" w:type="dxa"/>
              <w:left w:w="100" w:type="dxa"/>
              <w:bottom w:w="60" w:type="dxa"/>
              <w:right w:w="100" w:type="dxa"/>
            </w:tcMar>
            <w:vAlign w:val="center"/>
          </w:tcPr>
          <w:p w14:paraId="0B45D9E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11C4522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4A21F95B"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0986E836"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1C196EEE" w14:textId="48E4B880"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الامتثال للمعايير الدولية</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2"/>
        <w:gridCol w:w="4080"/>
        <w:gridCol w:w="1489"/>
        <w:gridCol w:w="1243"/>
        <w:gridCol w:w="934"/>
      </w:tblGrid>
      <w:tr w:rsidR="007608E1" w14:paraId="5CFCDB8A" w14:textId="77777777" w:rsidTr="00B5019C">
        <w:trPr>
          <w:tblHeader/>
          <w:jc w:val="center"/>
        </w:trPr>
        <w:tc>
          <w:tcPr>
            <w:tcW w:w="499" w:type="dxa"/>
            <w:shd w:val="clear" w:color="auto" w:fill="2E5395"/>
            <w:tcMar>
              <w:top w:w="60" w:type="dxa"/>
              <w:left w:w="100" w:type="dxa"/>
              <w:bottom w:w="60" w:type="dxa"/>
              <w:right w:w="100" w:type="dxa"/>
            </w:tcMar>
            <w:vAlign w:val="center"/>
          </w:tcPr>
          <w:p w14:paraId="16C15523"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1467FECA"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11EBEDCB"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230E4290"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751C628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495439F" w14:textId="77777777" w:rsidTr="00B5019C">
        <w:trPr>
          <w:jc w:val="center"/>
        </w:trPr>
        <w:tc>
          <w:tcPr>
            <w:tcW w:w="499" w:type="dxa"/>
            <w:tcMar>
              <w:top w:w="60" w:type="dxa"/>
              <w:left w:w="100" w:type="dxa"/>
              <w:bottom w:w="60" w:type="dxa"/>
              <w:right w:w="100" w:type="dxa"/>
            </w:tcMar>
            <w:vAlign w:val="center"/>
          </w:tcPr>
          <w:p w14:paraId="6B7F18C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13</w:t>
            </w:r>
          </w:p>
        </w:tc>
        <w:tc>
          <w:tcPr>
            <w:tcW w:w="4118" w:type="dxa"/>
            <w:vAlign w:val="center"/>
          </w:tcPr>
          <w:p w14:paraId="74A63FFB" w14:textId="77777777" w:rsidR="005D691F" w:rsidRDefault="00F4227D" w:rsidP="00B5019C">
            <w:pPr>
              <w:bidi/>
              <w:spacing w:after="0" w:line="260" w:lineRule="auto"/>
              <w:jc w:val="center"/>
            </w:pPr>
            <w:r>
              <w:rPr>
                <w:rFonts w:ascii="Traditional Arabic" w:hAnsi="Traditional Arabic" w:cs="Traditional Arabic"/>
                <w:rtl/>
              </w:rPr>
              <w:t>ساعد تطبيق الترميز المؤسسة على استيفاء متطلبات معيار ISO 27001 لأمن المعلومات</w:t>
            </w:r>
          </w:p>
        </w:tc>
        <w:tc>
          <w:tcPr>
            <w:tcW w:w="1497" w:type="dxa"/>
            <w:tcMar>
              <w:top w:w="60" w:type="dxa"/>
              <w:left w:w="100" w:type="dxa"/>
              <w:bottom w:w="60" w:type="dxa"/>
              <w:right w:w="100" w:type="dxa"/>
            </w:tcMar>
            <w:vAlign w:val="center"/>
          </w:tcPr>
          <w:p w14:paraId="05E61D0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0.694</w:t>
            </w:r>
          </w:p>
        </w:tc>
        <w:tc>
          <w:tcPr>
            <w:tcW w:w="1248" w:type="dxa"/>
            <w:tcMar>
              <w:top w:w="60" w:type="dxa"/>
              <w:left w:w="100" w:type="dxa"/>
              <w:bottom w:w="60" w:type="dxa"/>
              <w:right w:w="100" w:type="dxa"/>
            </w:tcMar>
            <w:vAlign w:val="center"/>
          </w:tcPr>
          <w:p w14:paraId="67F458E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4037B1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BFDE984" w14:textId="77777777" w:rsidTr="00B5019C">
        <w:trPr>
          <w:jc w:val="center"/>
        </w:trPr>
        <w:tc>
          <w:tcPr>
            <w:tcW w:w="499" w:type="dxa"/>
            <w:shd w:val="clear" w:color="auto" w:fill="F2F2F2"/>
            <w:tcMar>
              <w:top w:w="60" w:type="dxa"/>
              <w:left w:w="100" w:type="dxa"/>
              <w:bottom w:w="60" w:type="dxa"/>
              <w:right w:w="100" w:type="dxa"/>
            </w:tcMar>
            <w:vAlign w:val="center"/>
          </w:tcPr>
          <w:p w14:paraId="5D4FFBA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14</w:t>
            </w:r>
          </w:p>
        </w:tc>
        <w:tc>
          <w:tcPr>
            <w:tcW w:w="4118" w:type="dxa"/>
            <w:vAlign w:val="center"/>
          </w:tcPr>
          <w:p w14:paraId="28F16DA8" w14:textId="77777777" w:rsidR="005D691F" w:rsidRDefault="00F4227D" w:rsidP="00B5019C">
            <w:pPr>
              <w:bidi/>
              <w:spacing w:after="0" w:line="260" w:lineRule="auto"/>
              <w:jc w:val="center"/>
            </w:pPr>
            <w:r>
              <w:rPr>
                <w:rFonts w:ascii="Traditional Arabic" w:hAnsi="Traditional Arabic" w:cs="Traditional Arabic"/>
                <w:rtl/>
              </w:rPr>
              <w:t>يدعم الترميز الامتثال لأطر حماية البيانات الصادرة عن البنك المركزي السعودي (SAMA)</w:t>
            </w:r>
          </w:p>
        </w:tc>
        <w:tc>
          <w:tcPr>
            <w:tcW w:w="1497" w:type="dxa"/>
            <w:shd w:val="clear" w:color="auto" w:fill="F2F2F2"/>
            <w:tcMar>
              <w:top w:w="60" w:type="dxa"/>
              <w:left w:w="100" w:type="dxa"/>
              <w:bottom w:w="60" w:type="dxa"/>
              <w:right w:w="100" w:type="dxa"/>
            </w:tcMar>
            <w:vAlign w:val="center"/>
          </w:tcPr>
          <w:p w14:paraId="6077490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0.635</w:t>
            </w:r>
          </w:p>
        </w:tc>
        <w:tc>
          <w:tcPr>
            <w:tcW w:w="1248" w:type="dxa"/>
            <w:shd w:val="clear" w:color="auto" w:fill="F2F2F2"/>
            <w:tcMar>
              <w:top w:w="60" w:type="dxa"/>
              <w:left w:w="100" w:type="dxa"/>
              <w:bottom w:w="60" w:type="dxa"/>
              <w:right w:w="100" w:type="dxa"/>
            </w:tcMar>
            <w:vAlign w:val="center"/>
          </w:tcPr>
          <w:p w14:paraId="5B38A2C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6CA5A7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5DDF74D" w14:textId="77777777" w:rsidTr="00B5019C">
        <w:trPr>
          <w:jc w:val="center"/>
        </w:trPr>
        <w:tc>
          <w:tcPr>
            <w:tcW w:w="499" w:type="dxa"/>
            <w:tcMar>
              <w:top w:w="60" w:type="dxa"/>
              <w:left w:w="100" w:type="dxa"/>
              <w:bottom w:w="60" w:type="dxa"/>
              <w:right w:w="100" w:type="dxa"/>
            </w:tcMar>
            <w:vAlign w:val="center"/>
          </w:tcPr>
          <w:p w14:paraId="16F435B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15</w:t>
            </w:r>
          </w:p>
        </w:tc>
        <w:tc>
          <w:tcPr>
            <w:tcW w:w="4118" w:type="dxa"/>
            <w:vAlign w:val="center"/>
          </w:tcPr>
          <w:p w14:paraId="5108880B" w14:textId="77777777" w:rsidR="005D691F" w:rsidRDefault="00F4227D" w:rsidP="00B5019C">
            <w:pPr>
              <w:bidi/>
              <w:spacing w:after="0" w:line="260" w:lineRule="auto"/>
              <w:jc w:val="center"/>
            </w:pPr>
            <w:r>
              <w:rPr>
                <w:rFonts w:ascii="Traditional Arabic" w:hAnsi="Traditional Arabic" w:cs="Traditional Arabic"/>
                <w:rtl/>
              </w:rPr>
              <w:t>أسهم الترميز في تيسير عمليات التدقيق الخارجي وتقليص وقتها وتكاليفها</w:t>
            </w:r>
          </w:p>
        </w:tc>
        <w:tc>
          <w:tcPr>
            <w:tcW w:w="1497" w:type="dxa"/>
            <w:tcMar>
              <w:top w:w="60" w:type="dxa"/>
              <w:left w:w="100" w:type="dxa"/>
              <w:bottom w:w="60" w:type="dxa"/>
              <w:right w:w="100" w:type="dxa"/>
            </w:tcMar>
            <w:vAlign w:val="center"/>
          </w:tcPr>
          <w:p w14:paraId="31BD48E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0.764</w:t>
            </w:r>
          </w:p>
        </w:tc>
        <w:tc>
          <w:tcPr>
            <w:tcW w:w="1248" w:type="dxa"/>
            <w:tcMar>
              <w:top w:w="60" w:type="dxa"/>
              <w:left w:w="100" w:type="dxa"/>
              <w:bottom w:w="60" w:type="dxa"/>
              <w:right w:w="100" w:type="dxa"/>
            </w:tcMar>
            <w:vAlign w:val="center"/>
          </w:tcPr>
          <w:p w14:paraId="45A2B23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0D9AC75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3A45167" w14:textId="77777777" w:rsidTr="00B5019C">
        <w:trPr>
          <w:jc w:val="center"/>
        </w:trPr>
        <w:tc>
          <w:tcPr>
            <w:tcW w:w="499" w:type="dxa"/>
            <w:shd w:val="clear" w:color="auto" w:fill="F2F2F2"/>
            <w:tcMar>
              <w:top w:w="60" w:type="dxa"/>
              <w:left w:w="100" w:type="dxa"/>
              <w:bottom w:w="60" w:type="dxa"/>
              <w:right w:w="100" w:type="dxa"/>
            </w:tcMar>
            <w:vAlign w:val="center"/>
          </w:tcPr>
          <w:p w14:paraId="2F64FC4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lastRenderedPageBreak/>
              <w:t>16</w:t>
            </w:r>
          </w:p>
        </w:tc>
        <w:tc>
          <w:tcPr>
            <w:tcW w:w="4118" w:type="dxa"/>
            <w:vAlign w:val="center"/>
          </w:tcPr>
          <w:p w14:paraId="4F57E8CF" w14:textId="77777777" w:rsidR="005D691F" w:rsidRDefault="00F4227D" w:rsidP="00B5019C">
            <w:pPr>
              <w:bidi/>
              <w:spacing w:after="0" w:line="260" w:lineRule="auto"/>
              <w:jc w:val="center"/>
            </w:pPr>
            <w:r>
              <w:rPr>
                <w:rFonts w:ascii="Traditional Arabic" w:hAnsi="Traditional Arabic" w:cs="Traditional Arabic"/>
                <w:rtl/>
              </w:rPr>
              <w:t>تُوظّف المؤسسة الترميز كأداة للامتثال لأنظمة حماية البيانات المحلية والدولية</w:t>
            </w:r>
          </w:p>
        </w:tc>
        <w:tc>
          <w:tcPr>
            <w:tcW w:w="1497" w:type="dxa"/>
            <w:shd w:val="clear" w:color="auto" w:fill="F2F2F2"/>
            <w:tcMar>
              <w:top w:w="60" w:type="dxa"/>
              <w:left w:w="100" w:type="dxa"/>
              <w:bottom w:w="60" w:type="dxa"/>
              <w:right w:w="100" w:type="dxa"/>
            </w:tcMar>
            <w:vAlign w:val="center"/>
          </w:tcPr>
          <w:p w14:paraId="502EBED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0.756</w:t>
            </w:r>
          </w:p>
        </w:tc>
        <w:tc>
          <w:tcPr>
            <w:tcW w:w="1248" w:type="dxa"/>
            <w:shd w:val="clear" w:color="auto" w:fill="F2F2F2"/>
            <w:tcMar>
              <w:top w:w="60" w:type="dxa"/>
              <w:left w:w="100" w:type="dxa"/>
              <w:bottom w:w="60" w:type="dxa"/>
              <w:right w:w="100" w:type="dxa"/>
            </w:tcMar>
            <w:vAlign w:val="center"/>
          </w:tcPr>
          <w:p w14:paraId="2C5C9E9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783CE82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62C57D1" w14:textId="77777777" w:rsidTr="00B5019C">
        <w:trPr>
          <w:jc w:val="center"/>
        </w:trPr>
        <w:tc>
          <w:tcPr>
            <w:tcW w:w="499" w:type="dxa"/>
            <w:tcMar>
              <w:top w:w="60" w:type="dxa"/>
              <w:left w:w="100" w:type="dxa"/>
              <w:bottom w:w="60" w:type="dxa"/>
              <w:right w:w="100" w:type="dxa"/>
            </w:tcMar>
            <w:vAlign w:val="center"/>
          </w:tcPr>
          <w:p w14:paraId="61D3BFD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17</w:t>
            </w:r>
          </w:p>
        </w:tc>
        <w:tc>
          <w:tcPr>
            <w:tcW w:w="4118" w:type="dxa"/>
            <w:vAlign w:val="center"/>
          </w:tcPr>
          <w:p w14:paraId="7A8B2CBB" w14:textId="77777777" w:rsidR="005D691F" w:rsidRDefault="00F4227D" w:rsidP="00B5019C">
            <w:pPr>
              <w:bidi/>
              <w:spacing w:after="0" w:line="260" w:lineRule="auto"/>
              <w:jc w:val="center"/>
            </w:pPr>
            <w:r>
              <w:rPr>
                <w:rFonts w:ascii="Traditional Arabic" w:hAnsi="Traditional Arabic" w:cs="Traditional Arabic"/>
                <w:rtl/>
              </w:rPr>
              <w:t>يُيسّر الترميز تطبيق سياسات حوكمة البيانات المؤسسية بشكل فعّال</w:t>
            </w:r>
          </w:p>
        </w:tc>
        <w:tc>
          <w:tcPr>
            <w:tcW w:w="1497" w:type="dxa"/>
            <w:tcMar>
              <w:top w:w="60" w:type="dxa"/>
              <w:left w:w="100" w:type="dxa"/>
              <w:bottom w:w="60" w:type="dxa"/>
              <w:right w:w="100" w:type="dxa"/>
            </w:tcMar>
            <w:vAlign w:val="center"/>
          </w:tcPr>
          <w:p w14:paraId="1373C31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0.769</w:t>
            </w:r>
          </w:p>
        </w:tc>
        <w:tc>
          <w:tcPr>
            <w:tcW w:w="1248" w:type="dxa"/>
            <w:tcMar>
              <w:top w:w="60" w:type="dxa"/>
              <w:left w:w="100" w:type="dxa"/>
              <w:bottom w:w="60" w:type="dxa"/>
              <w:right w:w="100" w:type="dxa"/>
            </w:tcMar>
            <w:vAlign w:val="center"/>
          </w:tcPr>
          <w:p w14:paraId="5B1052B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C4174D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CF1BFD4" w14:textId="77777777" w:rsidTr="00B5019C">
        <w:trPr>
          <w:jc w:val="center"/>
        </w:trPr>
        <w:tc>
          <w:tcPr>
            <w:tcW w:w="499" w:type="dxa"/>
            <w:shd w:val="clear" w:color="auto" w:fill="F2F2F2"/>
            <w:tcMar>
              <w:top w:w="60" w:type="dxa"/>
              <w:left w:w="100" w:type="dxa"/>
              <w:bottom w:w="60" w:type="dxa"/>
              <w:right w:w="100" w:type="dxa"/>
            </w:tcMar>
            <w:vAlign w:val="center"/>
          </w:tcPr>
          <w:p w14:paraId="3E319C2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18</w:t>
            </w:r>
          </w:p>
        </w:tc>
        <w:tc>
          <w:tcPr>
            <w:tcW w:w="4118" w:type="dxa"/>
            <w:vAlign w:val="center"/>
          </w:tcPr>
          <w:p w14:paraId="483FF27A" w14:textId="77777777" w:rsidR="005D691F" w:rsidRDefault="00F4227D" w:rsidP="00B5019C">
            <w:pPr>
              <w:bidi/>
              <w:spacing w:after="0" w:line="260" w:lineRule="auto"/>
              <w:jc w:val="center"/>
            </w:pPr>
            <w:r>
              <w:rPr>
                <w:rFonts w:ascii="Traditional Arabic" w:hAnsi="Traditional Arabic" w:cs="Traditional Arabic"/>
                <w:rtl/>
              </w:rPr>
              <w:t>تُقلّص تقنية الترميز المخاطر القانونية والتنظيمية المترتبة على تسريب البيانات</w:t>
            </w:r>
          </w:p>
        </w:tc>
        <w:tc>
          <w:tcPr>
            <w:tcW w:w="1497" w:type="dxa"/>
            <w:shd w:val="clear" w:color="auto" w:fill="F2F2F2"/>
            <w:tcMar>
              <w:top w:w="60" w:type="dxa"/>
              <w:left w:w="100" w:type="dxa"/>
              <w:bottom w:w="60" w:type="dxa"/>
              <w:right w:w="100" w:type="dxa"/>
            </w:tcMar>
            <w:vAlign w:val="center"/>
          </w:tcPr>
          <w:p w14:paraId="103F887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0.741</w:t>
            </w:r>
          </w:p>
        </w:tc>
        <w:tc>
          <w:tcPr>
            <w:tcW w:w="1248" w:type="dxa"/>
            <w:shd w:val="clear" w:color="auto" w:fill="F2F2F2"/>
            <w:tcMar>
              <w:top w:w="60" w:type="dxa"/>
              <w:left w:w="100" w:type="dxa"/>
              <w:bottom w:w="60" w:type="dxa"/>
              <w:right w:w="100" w:type="dxa"/>
            </w:tcMar>
            <w:vAlign w:val="center"/>
          </w:tcPr>
          <w:p w14:paraId="7062F4F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1F5CFA0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F000021" w14:textId="77777777" w:rsidTr="00B5019C">
        <w:trPr>
          <w:jc w:val="center"/>
        </w:trPr>
        <w:tc>
          <w:tcPr>
            <w:tcW w:w="499" w:type="dxa"/>
            <w:tcMar>
              <w:top w:w="60" w:type="dxa"/>
              <w:left w:w="100" w:type="dxa"/>
              <w:bottom w:w="60" w:type="dxa"/>
              <w:right w:w="100" w:type="dxa"/>
            </w:tcMar>
            <w:vAlign w:val="center"/>
          </w:tcPr>
          <w:p w14:paraId="7159129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19</w:t>
            </w:r>
          </w:p>
        </w:tc>
        <w:tc>
          <w:tcPr>
            <w:tcW w:w="4118" w:type="dxa"/>
            <w:vAlign w:val="center"/>
          </w:tcPr>
          <w:p w14:paraId="58460591" w14:textId="77777777" w:rsidR="005D691F" w:rsidRDefault="00F4227D" w:rsidP="00B5019C">
            <w:pPr>
              <w:bidi/>
              <w:spacing w:after="0" w:line="260" w:lineRule="auto"/>
              <w:jc w:val="center"/>
            </w:pPr>
            <w:r>
              <w:rPr>
                <w:rFonts w:ascii="Traditional Arabic" w:hAnsi="Traditional Arabic" w:cs="Traditional Arabic"/>
                <w:rtl/>
              </w:rPr>
              <w:t>تمتلك المؤسسة سياسة واضحة وموثقة لتطبيق معايير الترميز المعتمدة دولياً</w:t>
            </w:r>
          </w:p>
        </w:tc>
        <w:tc>
          <w:tcPr>
            <w:tcW w:w="1497" w:type="dxa"/>
            <w:tcMar>
              <w:top w:w="60" w:type="dxa"/>
              <w:left w:w="100" w:type="dxa"/>
              <w:bottom w:w="60" w:type="dxa"/>
              <w:right w:w="100" w:type="dxa"/>
            </w:tcMar>
            <w:vAlign w:val="center"/>
          </w:tcPr>
          <w:p w14:paraId="012A036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0.773</w:t>
            </w:r>
          </w:p>
        </w:tc>
        <w:tc>
          <w:tcPr>
            <w:tcW w:w="1248" w:type="dxa"/>
            <w:tcMar>
              <w:top w:w="60" w:type="dxa"/>
              <w:left w:w="100" w:type="dxa"/>
              <w:bottom w:w="60" w:type="dxa"/>
              <w:right w:w="100" w:type="dxa"/>
            </w:tcMar>
            <w:vAlign w:val="center"/>
          </w:tcPr>
          <w:p w14:paraId="43D0EE8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415B19F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11505DF3"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1E11E54E"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الكفاءة التشغيلية المالية</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1"/>
        <w:gridCol w:w="4080"/>
        <w:gridCol w:w="1489"/>
        <w:gridCol w:w="1244"/>
        <w:gridCol w:w="934"/>
      </w:tblGrid>
      <w:tr w:rsidR="007608E1" w14:paraId="4B6E3476" w14:textId="77777777" w:rsidTr="00B5019C">
        <w:trPr>
          <w:tblHeader/>
          <w:jc w:val="center"/>
        </w:trPr>
        <w:tc>
          <w:tcPr>
            <w:tcW w:w="499" w:type="dxa"/>
            <w:shd w:val="clear" w:color="auto" w:fill="2E5395"/>
            <w:tcMar>
              <w:top w:w="60" w:type="dxa"/>
              <w:left w:w="100" w:type="dxa"/>
              <w:bottom w:w="60" w:type="dxa"/>
              <w:right w:w="100" w:type="dxa"/>
            </w:tcMar>
            <w:vAlign w:val="center"/>
          </w:tcPr>
          <w:p w14:paraId="2F96A9B8"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5330F7B0"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41F9BD2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24DA5BAF"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67FC0C3B"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87C56E1" w14:textId="77777777" w:rsidTr="00B5019C">
        <w:trPr>
          <w:jc w:val="center"/>
        </w:trPr>
        <w:tc>
          <w:tcPr>
            <w:tcW w:w="499" w:type="dxa"/>
            <w:tcMar>
              <w:top w:w="60" w:type="dxa"/>
              <w:left w:w="100" w:type="dxa"/>
              <w:bottom w:w="60" w:type="dxa"/>
              <w:right w:w="100" w:type="dxa"/>
            </w:tcMar>
            <w:vAlign w:val="center"/>
          </w:tcPr>
          <w:p w14:paraId="5DDF647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20</w:t>
            </w:r>
          </w:p>
        </w:tc>
        <w:tc>
          <w:tcPr>
            <w:tcW w:w="4118" w:type="dxa"/>
            <w:vAlign w:val="center"/>
          </w:tcPr>
          <w:p w14:paraId="189AEE8F"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وقت معالجة المعاملات المالية بنسبة ملحوظة</w:t>
            </w:r>
          </w:p>
        </w:tc>
        <w:tc>
          <w:tcPr>
            <w:tcW w:w="1497" w:type="dxa"/>
            <w:tcMar>
              <w:top w:w="60" w:type="dxa"/>
              <w:left w:w="100" w:type="dxa"/>
              <w:bottom w:w="60" w:type="dxa"/>
              <w:right w:w="100" w:type="dxa"/>
            </w:tcMar>
            <w:vAlign w:val="center"/>
          </w:tcPr>
          <w:p w14:paraId="5E1DFBA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0.848</w:t>
            </w:r>
          </w:p>
        </w:tc>
        <w:tc>
          <w:tcPr>
            <w:tcW w:w="1248" w:type="dxa"/>
            <w:tcMar>
              <w:top w:w="60" w:type="dxa"/>
              <w:left w:w="100" w:type="dxa"/>
              <w:bottom w:w="60" w:type="dxa"/>
              <w:right w:w="100" w:type="dxa"/>
            </w:tcMar>
            <w:vAlign w:val="center"/>
          </w:tcPr>
          <w:p w14:paraId="3F4C080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62DC4CD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4D704C2" w14:textId="77777777" w:rsidTr="00B5019C">
        <w:trPr>
          <w:jc w:val="center"/>
        </w:trPr>
        <w:tc>
          <w:tcPr>
            <w:tcW w:w="499" w:type="dxa"/>
            <w:shd w:val="clear" w:color="auto" w:fill="F2F2F2"/>
            <w:tcMar>
              <w:top w:w="60" w:type="dxa"/>
              <w:left w:w="100" w:type="dxa"/>
              <w:bottom w:w="60" w:type="dxa"/>
              <w:right w:w="100" w:type="dxa"/>
            </w:tcMar>
            <w:vAlign w:val="center"/>
          </w:tcPr>
          <w:p w14:paraId="151DC4D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21</w:t>
            </w:r>
          </w:p>
        </w:tc>
        <w:tc>
          <w:tcPr>
            <w:tcW w:w="4118" w:type="dxa"/>
            <w:vAlign w:val="center"/>
          </w:tcPr>
          <w:p w14:paraId="0ABEB2B4" w14:textId="77777777" w:rsidR="005D691F" w:rsidRDefault="00F4227D" w:rsidP="00B5019C">
            <w:pPr>
              <w:bidi/>
              <w:spacing w:after="0" w:line="260" w:lineRule="auto"/>
              <w:jc w:val="center"/>
            </w:pPr>
            <w:r>
              <w:rPr>
                <w:rFonts w:ascii="Traditional Arabic" w:hAnsi="Traditional Arabic" w:cs="Traditional Arabic"/>
                <w:rtl/>
              </w:rPr>
              <w:t>خفّض الترميز تكاليف التشغيل المرتبطة بأمن المدفوعات الإلكترونية</w:t>
            </w:r>
          </w:p>
        </w:tc>
        <w:tc>
          <w:tcPr>
            <w:tcW w:w="1497" w:type="dxa"/>
            <w:shd w:val="clear" w:color="auto" w:fill="F2F2F2"/>
            <w:tcMar>
              <w:top w:w="60" w:type="dxa"/>
              <w:left w:w="100" w:type="dxa"/>
              <w:bottom w:w="60" w:type="dxa"/>
              <w:right w:w="100" w:type="dxa"/>
            </w:tcMar>
            <w:vAlign w:val="center"/>
          </w:tcPr>
          <w:p w14:paraId="321624E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0.833</w:t>
            </w:r>
          </w:p>
        </w:tc>
        <w:tc>
          <w:tcPr>
            <w:tcW w:w="1248" w:type="dxa"/>
            <w:shd w:val="clear" w:color="auto" w:fill="F2F2F2"/>
            <w:tcMar>
              <w:top w:w="60" w:type="dxa"/>
              <w:left w:w="100" w:type="dxa"/>
              <w:bottom w:w="60" w:type="dxa"/>
              <w:right w:w="100" w:type="dxa"/>
            </w:tcMar>
            <w:vAlign w:val="center"/>
          </w:tcPr>
          <w:p w14:paraId="1693A5B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39491C7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78437D4" w14:textId="77777777" w:rsidTr="00B5019C">
        <w:trPr>
          <w:jc w:val="center"/>
        </w:trPr>
        <w:tc>
          <w:tcPr>
            <w:tcW w:w="499" w:type="dxa"/>
            <w:tcMar>
              <w:top w:w="60" w:type="dxa"/>
              <w:left w:w="100" w:type="dxa"/>
              <w:bottom w:w="60" w:type="dxa"/>
              <w:right w:w="100" w:type="dxa"/>
            </w:tcMar>
            <w:vAlign w:val="center"/>
          </w:tcPr>
          <w:p w14:paraId="07DE716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22</w:t>
            </w:r>
          </w:p>
        </w:tc>
        <w:tc>
          <w:tcPr>
            <w:tcW w:w="4118" w:type="dxa"/>
            <w:vAlign w:val="center"/>
          </w:tcPr>
          <w:p w14:paraId="50DA5332" w14:textId="77777777" w:rsidR="005D691F" w:rsidRDefault="00F4227D" w:rsidP="00B5019C">
            <w:pPr>
              <w:bidi/>
              <w:spacing w:after="0" w:line="260" w:lineRule="auto"/>
              <w:jc w:val="center"/>
            </w:pPr>
            <w:r>
              <w:rPr>
                <w:rFonts w:ascii="Traditional Arabic" w:hAnsi="Traditional Arabic" w:cs="Traditional Arabic"/>
                <w:rtl/>
              </w:rPr>
              <w:t>عزّز تطبيق الترميز مستوى ثقة العملاء في المنصات المالية الرقمية للمؤسسة</w:t>
            </w:r>
          </w:p>
        </w:tc>
        <w:tc>
          <w:tcPr>
            <w:tcW w:w="1497" w:type="dxa"/>
            <w:tcMar>
              <w:top w:w="60" w:type="dxa"/>
              <w:left w:w="100" w:type="dxa"/>
              <w:bottom w:w="60" w:type="dxa"/>
              <w:right w:w="100" w:type="dxa"/>
            </w:tcMar>
            <w:vAlign w:val="center"/>
          </w:tcPr>
          <w:p w14:paraId="7BB1379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0.707</w:t>
            </w:r>
          </w:p>
        </w:tc>
        <w:tc>
          <w:tcPr>
            <w:tcW w:w="1248" w:type="dxa"/>
            <w:tcMar>
              <w:top w:w="60" w:type="dxa"/>
              <w:left w:w="100" w:type="dxa"/>
              <w:bottom w:w="60" w:type="dxa"/>
              <w:right w:w="100" w:type="dxa"/>
            </w:tcMar>
            <w:vAlign w:val="center"/>
          </w:tcPr>
          <w:p w14:paraId="58AF488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577ED37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62F550C6" w14:textId="77777777" w:rsidTr="00B5019C">
        <w:trPr>
          <w:jc w:val="center"/>
        </w:trPr>
        <w:tc>
          <w:tcPr>
            <w:tcW w:w="499" w:type="dxa"/>
            <w:shd w:val="clear" w:color="auto" w:fill="F2F2F2"/>
            <w:tcMar>
              <w:top w:w="60" w:type="dxa"/>
              <w:left w:w="100" w:type="dxa"/>
              <w:bottom w:w="60" w:type="dxa"/>
              <w:right w:w="100" w:type="dxa"/>
            </w:tcMar>
            <w:vAlign w:val="center"/>
          </w:tcPr>
          <w:p w14:paraId="665E9C8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23</w:t>
            </w:r>
          </w:p>
        </w:tc>
        <w:tc>
          <w:tcPr>
            <w:tcW w:w="4118" w:type="dxa"/>
            <w:vAlign w:val="center"/>
          </w:tcPr>
          <w:p w14:paraId="62B67AA8" w14:textId="77777777" w:rsidR="005D691F" w:rsidRDefault="00F4227D" w:rsidP="00B5019C">
            <w:pPr>
              <w:bidi/>
              <w:spacing w:after="0" w:line="260" w:lineRule="auto"/>
              <w:jc w:val="center"/>
            </w:pPr>
            <w:r>
              <w:rPr>
                <w:rFonts w:ascii="Traditional Arabic" w:hAnsi="Traditional Arabic" w:cs="Traditional Arabic"/>
                <w:rtl/>
              </w:rPr>
              <w:t>تُعالَج المعاملات المالية المُرمَّزة بسرعة ودقة أعلى مقارنةً بالأنظمة التقليدية</w:t>
            </w:r>
          </w:p>
        </w:tc>
        <w:tc>
          <w:tcPr>
            <w:tcW w:w="1497" w:type="dxa"/>
            <w:shd w:val="clear" w:color="auto" w:fill="F2F2F2"/>
            <w:tcMar>
              <w:top w:w="60" w:type="dxa"/>
              <w:left w:w="100" w:type="dxa"/>
              <w:bottom w:w="60" w:type="dxa"/>
              <w:right w:w="100" w:type="dxa"/>
            </w:tcMar>
            <w:vAlign w:val="center"/>
          </w:tcPr>
          <w:p w14:paraId="56A8B39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0.803</w:t>
            </w:r>
          </w:p>
        </w:tc>
        <w:tc>
          <w:tcPr>
            <w:tcW w:w="1248" w:type="dxa"/>
            <w:shd w:val="clear" w:color="auto" w:fill="F2F2F2"/>
            <w:tcMar>
              <w:top w:w="60" w:type="dxa"/>
              <w:left w:w="100" w:type="dxa"/>
              <w:bottom w:w="60" w:type="dxa"/>
              <w:right w:w="100" w:type="dxa"/>
            </w:tcMar>
            <w:vAlign w:val="center"/>
          </w:tcPr>
          <w:p w14:paraId="20FDECE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48759C2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281A79E" w14:textId="77777777" w:rsidTr="00B5019C">
        <w:trPr>
          <w:jc w:val="center"/>
        </w:trPr>
        <w:tc>
          <w:tcPr>
            <w:tcW w:w="499" w:type="dxa"/>
            <w:tcMar>
              <w:top w:w="60" w:type="dxa"/>
              <w:left w:w="100" w:type="dxa"/>
              <w:bottom w:w="60" w:type="dxa"/>
              <w:right w:w="100" w:type="dxa"/>
            </w:tcMar>
            <w:vAlign w:val="center"/>
          </w:tcPr>
          <w:p w14:paraId="7828A16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24</w:t>
            </w:r>
          </w:p>
        </w:tc>
        <w:tc>
          <w:tcPr>
            <w:tcW w:w="4118" w:type="dxa"/>
            <w:vAlign w:val="center"/>
          </w:tcPr>
          <w:p w14:paraId="0D8C628A"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معدلات الاحتيال المالي (Fraud) والمعاملات المزيفة</w:t>
            </w:r>
          </w:p>
        </w:tc>
        <w:tc>
          <w:tcPr>
            <w:tcW w:w="1497" w:type="dxa"/>
            <w:tcMar>
              <w:top w:w="60" w:type="dxa"/>
              <w:left w:w="100" w:type="dxa"/>
              <w:bottom w:w="60" w:type="dxa"/>
              <w:right w:w="100" w:type="dxa"/>
            </w:tcMar>
            <w:vAlign w:val="center"/>
          </w:tcPr>
          <w:p w14:paraId="49C4043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0.717</w:t>
            </w:r>
          </w:p>
        </w:tc>
        <w:tc>
          <w:tcPr>
            <w:tcW w:w="1248" w:type="dxa"/>
            <w:tcMar>
              <w:top w:w="60" w:type="dxa"/>
              <w:left w:w="100" w:type="dxa"/>
              <w:bottom w:w="60" w:type="dxa"/>
              <w:right w:w="100" w:type="dxa"/>
            </w:tcMar>
            <w:vAlign w:val="center"/>
          </w:tcPr>
          <w:p w14:paraId="7FE1B2A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0907FC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437E87B" w14:textId="77777777" w:rsidTr="00B5019C">
        <w:trPr>
          <w:jc w:val="center"/>
        </w:trPr>
        <w:tc>
          <w:tcPr>
            <w:tcW w:w="499" w:type="dxa"/>
            <w:shd w:val="clear" w:color="auto" w:fill="F2F2F2"/>
            <w:tcMar>
              <w:top w:w="60" w:type="dxa"/>
              <w:left w:w="100" w:type="dxa"/>
              <w:bottom w:w="60" w:type="dxa"/>
              <w:right w:w="100" w:type="dxa"/>
            </w:tcMar>
            <w:vAlign w:val="center"/>
          </w:tcPr>
          <w:p w14:paraId="13081B1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25</w:t>
            </w:r>
          </w:p>
        </w:tc>
        <w:tc>
          <w:tcPr>
            <w:tcW w:w="4118" w:type="dxa"/>
            <w:vAlign w:val="center"/>
          </w:tcPr>
          <w:p w14:paraId="5DAD0400" w14:textId="77777777" w:rsidR="005D691F" w:rsidRDefault="00F4227D" w:rsidP="00B5019C">
            <w:pPr>
              <w:bidi/>
              <w:spacing w:after="0" w:line="260" w:lineRule="auto"/>
              <w:jc w:val="center"/>
            </w:pPr>
            <w:r>
              <w:rPr>
                <w:rFonts w:ascii="Traditional Arabic" w:hAnsi="Traditional Arabic" w:cs="Traditional Arabic"/>
                <w:rtl/>
              </w:rPr>
              <w:t>أتاح الترميز توسيع نطاق الخدمات المالية الرقمية دون المساس بمستوى الأمان</w:t>
            </w:r>
          </w:p>
        </w:tc>
        <w:tc>
          <w:tcPr>
            <w:tcW w:w="1497" w:type="dxa"/>
            <w:shd w:val="clear" w:color="auto" w:fill="F2F2F2"/>
            <w:tcMar>
              <w:top w:w="60" w:type="dxa"/>
              <w:left w:w="100" w:type="dxa"/>
              <w:bottom w:w="60" w:type="dxa"/>
              <w:right w:w="100" w:type="dxa"/>
            </w:tcMar>
            <w:vAlign w:val="center"/>
          </w:tcPr>
          <w:p w14:paraId="3903E7C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0.684</w:t>
            </w:r>
          </w:p>
        </w:tc>
        <w:tc>
          <w:tcPr>
            <w:tcW w:w="1248" w:type="dxa"/>
            <w:shd w:val="clear" w:color="auto" w:fill="F2F2F2"/>
            <w:tcMar>
              <w:top w:w="60" w:type="dxa"/>
              <w:left w:w="100" w:type="dxa"/>
              <w:bottom w:w="60" w:type="dxa"/>
              <w:right w:w="100" w:type="dxa"/>
            </w:tcMar>
            <w:vAlign w:val="center"/>
          </w:tcPr>
          <w:p w14:paraId="65E0378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5C0102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517F52DC"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33255AB4"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3FDE8163" w14:textId="17870DB3"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lastRenderedPageBreak/>
        <w:t>صدق الاتساق الداخلي لبُعد: الأمن السيبراني المؤسسي</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2"/>
        <w:gridCol w:w="4080"/>
        <w:gridCol w:w="1489"/>
        <w:gridCol w:w="1243"/>
        <w:gridCol w:w="934"/>
      </w:tblGrid>
      <w:tr w:rsidR="007608E1" w14:paraId="10ED5DF6" w14:textId="77777777" w:rsidTr="00B5019C">
        <w:trPr>
          <w:tblHeader/>
          <w:jc w:val="center"/>
        </w:trPr>
        <w:tc>
          <w:tcPr>
            <w:tcW w:w="499" w:type="dxa"/>
            <w:shd w:val="clear" w:color="auto" w:fill="2E5395"/>
            <w:tcMar>
              <w:top w:w="60" w:type="dxa"/>
              <w:left w:w="100" w:type="dxa"/>
              <w:bottom w:w="60" w:type="dxa"/>
              <w:right w:w="100" w:type="dxa"/>
            </w:tcMar>
            <w:vAlign w:val="center"/>
          </w:tcPr>
          <w:p w14:paraId="56169079"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1C9A9A1D"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3AB1662C"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42A97542"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7A04458E"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59B45C56" w14:textId="77777777" w:rsidTr="00B5019C">
        <w:trPr>
          <w:jc w:val="center"/>
        </w:trPr>
        <w:tc>
          <w:tcPr>
            <w:tcW w:w="499" w:type="dxa"/>
            <w:tcMar>
              <w:top w:w="60" w:type="dxa"/>
              <w:left w:w="100" w:type="dxa"/>
              <w:bottom w:w="60" w:type="dxa"/>
              <w:right w:w="100" w:type="dxa"/>
            </w:tcMar>
            <w:vAlign w:val="center"/>
          </w:tcPr>
          <w:p w14:paraId="7D3A662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26</w:t>
            </w:r>
          </w:p>
        </w:tc>
        <w:tc>
          <w:tcPr>
            <w:tcW w:w="4118" w:type="dxa"/>
            <w:vAlign w:val="center"/>
          </w:tcPr>
          <w:p w14:paraId="72171C5B" w14:textId="77777777" w:rsidR="005D691F" w:rsidRDefault="00F4227D" w:rsidP="00B5019C">
            <w:pPr>
              <w:bidi/>
              <w:spacing w:after="0" w:line="260" w:lineRule="auto"/>
              <w:jc w:val="center"/>
            </w:pPr>
            <w:r>
              <w:rPr>
                <w:rFonts w:ascii="Traditional Arabic" w:hAnsi="Traditional Arabic" w:cs="Traditional Arabic"/>
                <w:rtl/>
              </w:rPr>
              <w:t>يُقلّص الترميز مساحة الهجوم السيبراني (Attack Surface) على البنية التحتية المالية للمؤسسة</w:t>
            </w:r>
          </w:p>
        </w:tc>
        <w:tc>
          <w:tcPr>
            <w:tcW w:w="1497" w:type="dxa"/>
            <w:tcMar>
              <w:top w:w="60" w:type="dxa"/>
              <w:left w:w="100" w:type="dxa"/>
              <w:bottom w:w="60" w:type="dxa"/>
              <w:right w:w="100" w:type="dxa"/>
            </w:tcMar>
            <w:vAlign w:val="center"/>
          </w:tcPr>
          <w:p w14:paraId="446CEFE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0.730</w:t>
            </w:r>
          </w:p>
        </w:tc>
        <w:tc>
          <w:tcPr>
            <w:tcW w:w="1248" w:type="dxa"/>
            <w:tcMar>
              <w:top w:w="60" w:type="dxa"/>
              <w:left w:w="100" w:type="dxa"/>
              <w:bottom w:w="60" w:type="dxa"/>
              <w:right w:w="100" w:type="dxa"/>
            </w:tcMar>
            <w:vAlign w:val="center"/>
          </w:tcPr>
          <w:p w14:paraId="223D65B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872DDD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C714BDA" w14:textId="77777777" w:rsidTr="00B5019C">
        <w:trPr>
          <w:jc w:val="center"/>
        </w:trPr>
        <w:tc>
          <w:tcPr>
            <w:tcW w:w="499" w:type="dxa"/>
            <w:shd w:val="clear" w:color="auto" w:fill="F2F2F2"/>
            <w:tcMar>
              <w:top w:w="60" w:type="dxa"/>
              <w:left w:w="100" w:type="dxa"/>
              <w:bottom w:w="60" w:type="dxa"/>
              <w:right w:w="100" w:type="dxa"/>
            </w:tcMar>
            <w:vAlign w:val="center"/>
          </w:tcPr>
          <w:p w14:paraId="77473F0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27</w:t>
            </w:r>
          </w:p>
        </w:tc>
        <w:tc>
          <w:tcPr>
            <w:tcW w:w="4118" w:type="dxa"/>
            <w:vAlign w:val="center"/>
          </w:tcPr>
          <w:p w14:paraId="7BA7B662" w14:textId="77777777" w:rsidR="005D691F" w:rsidRDefault="00F4227D" w:rsidP="00B5019C">
            <w:pPr>
              <w:bidi/>
              <w:spacing w:after="0" w:line="260" w:lineRule="auto"/>
              <w:jc w:val="center"/>
            </w:pPr>
            <w:r>
              <w:rPr>
                <w:rFonts w:ascii="Traditional Arabic" w:hAnsi="Traditional Arabic" w:cs="Traditional Arabic"/>
                <w:rtl/>
              </w:rPr>
              <w:t>خفّض اعتماد الترميز من تداعيات اختراق البيانات حتى في حالات نجاح الهجمات</w:t>
            </w:r>
          </w:p>
        </w:tc>
        <w:tc>
          <w:tcPr>
            <w:tcW w:w="1497" w:type="dxa"/>
            <w:shd w:val="clear" w:color="auto" w:fill="F2F2F2"/>
            <w:tcMar>
              <w:top w:w="60" w:type="dxa"/>
              <w:left w:w="100" w:type="dxa"/>
              <w:bottom w:w="60" w:type="dxa"/>
              <w:right w:w="100" w:type="dxa"/>
            </w:tcMar>
            <w:vAlign w:val="center"/>
          </w:tcPr>
          <w:p w14:paraId="034A166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0.680</w:t>
            </w:r>
          </w:p>
        </w:tc>
        <w:tc>
          <w:tcPr>
            <w:tcW w:w="1248" w:type="dxa"/>
            <w:shd w:val="clear" w:color="auto" w:fill="F2F2F2"/>
            <w:tcMar>
              <w:top w:w="60" w:type="dxa"/>
              <w:left w:w="100" w:type="dxa"/>
              <w:bottom w:w="60" w:type="dxa"/>
              <w:right w:w="100" w:type="dxa"/>
            </w:tcMar>
            <w:vAlign w:val="center"/>
          </w:tcPr>
          <w:p w14:paraId="4C4A816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1531C4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52BCC6E" w14:textId="77777777" w:rsidTr="00B5019C">
        <w:trPr>
          <w:jc w:val="center"/>
        </w:trPr>
        <w:tc>
          <w:tcPr>
            <w:tcW w:w="499" w:type="dxa"/>
            <w:tcMar>
              <w:top w:w="60" w:type="dxa"/>
              <w:left w:w="100" w:type="dxa"/>
              <w:bottom w:w="60" w:type="dxa"/>
              <w:right w:w="100" w:type="dxa"/>
            </w:tcMar>
            <w:vAlign w:val="center"/>
          </w:tcPr>
          <w:p w14:paraId="3177C58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28</w:t>
            </w:r>
          </w:p>
        </w:tc>
        <w:tc>
          <w:tcPr>
            <w:tcW w:w="4118" w:type="dxa"/>
            <w:vAlign w:val="center"/>
          </w:tcPr>
          <w:p w14:paraId="6C0CBA05" w14:textId="77777777" w:rsidR="005D691F" w:rsidRDefault="00F4227D" w:rsidP="00B5019C">
            <w:pPr>
              <w:bidi/>
              <w:spacing w:after="0" w:line="260" w:lineRule="auto"/>
              <w:jc w:val="center"/>
            </w:pPr>
            <w:r>
              <w:rPr>
                <w:rFonts w:ascii="Traditional Arabic" w:hAnsi="Traditional Arabic" w:cs="Traditional Arabic"/>
                <w:rtl/>
              </w:rPr>
              <w:t>عزّزت تقنية الترميز قدرة المؤسسة على الكشف المبكر عن التهديدات السيبرانية والاستجابة لها</w:t>
            </w:r>
          </w:p>
        </w:tc>
        <w:tc>
          <w:tcPr>
            <w:tcW w:w="1497" w:type="dxa"/>
            <w:tcMar>
              <w:top w:w="60" w:type="dxa"/>
              <w:left w:w="100" w:type="dxa"/>
              <w:bottom w:w="60" w:type="dxa"/>
              <w:right w:w="100" w:type="dxa"/>
            </w:tcMar>
            <w:vAlign w:val="center"/>
          </w:tcPr>
          <w:p w14:paraId="5AE1DC5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0.769</w:t>
            </w:r>
          </w:p>
        </w:tc>
        <w:tc>
          <w:tcPr>
            <w:tcW w:w="1248" w:type="dxa"/>
            <w:tcMar>
              <w:top w:w="60" w:type="dxa"/>
              <w:left w:w="100" w:type="dxa"/>
              <w:bottom w:w="60" w:type="dxa"/>
              <w:right w:w="100" w:type="dxa"/>
            </w:tcMar>
            <w:vAlign w:val="center"/>
          </w:tcPr>
          <w:p w14:paraId="25CF62C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00C5BD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34D5E94" w14:textId="77777777" w:rsidTr="00B5019C">
        <w:trPr>
          <w:jc w:val="center"/>
        </w:trPr>
        <w:tc>
          <w:tcPr>
            <w:tcW w:w="499" w:type="dxa"/>
            <w:shd w:val="clear" w:color="auto" w:fill="F2F2F2"/>
            <w:tcMar>
              <w:top w:w="60" w:type="dxa"/>
              <w:left w:w="100" w:type="dxa"/>
              <w:bottom w:w="60" w:type="dxa"/>
              <w:right w:w="100" w:type="dxa"/>
            </w:tcMar>
            <w:vAlign w:val="center"/>
          </w:tcPr>
          <w:p w14:paraId="4C4E477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29</w:t>
            </w:r>
          </w:p>
        </w:tc>
        <w:tc>
          <w:tcPr>
            <w:tcW w:w="4118" w:type="dxa"/>
            <w:vAlign w:val="center"/>
          </w:tcPr>
          <w:p w14:paraId="3F494BBA" w14:textId="77777777" w:rsidR="005D691F" w:rsidRDefault="00F4227D" w:rsidP="00B5019C">
            <w:pPr>
              <w:bidi/>
              <w:spacing w:after="0" w:line="260" w:lineRule="auto"/>
              <w:jc w:val="center"/>
            </w:pPr>
            <w:r>
              <w:rPr>
                <w:rFonts w:ascii="Traditional Arabic" w:hAnsi="Traditional Arabic" w:cs="Traditional Arabic"/>
                <w:rtl/>
              </w:rPr>
              <w:t>يُساهم الترميز في الحفاظ على استمرارية الأعمال وتقليص وقت التوقف الناجم عن الحوادث</w:t>
            </w:r>
          </w:p>
        </w:tc>
        <w:tc>
          <w:tcPr>
            <w:tcW w:w="1497" w:type="dxa"/>
            <w:shd w:val="clear" w:color="auto" w:fill="F2F2F2"/>
            <w:tcMar>
              <w:top w:w="60" w:type="dxa"/>
              <w:left w:w="100" w:type="dxa"/>
              <w:bottom w:w="60" w:type="dxa"/>
              <w:right w:w="100" w:type="dxa"/>
            </w:tcMar>
            <w:vAlign w:val="center"/>
          </w:tcPr>
          <w:p w14:paraId="7218803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0.746</w:t>
            </w:r>
          </w:p>
        </w:tc>
        <w:tc>
          <w:tcPr>
            <w:tcW w:w="1248" w:type="dxa"/>
            <w:shd w:val="clear" w:color="auto" w:fill="F2F2F2"/>
            <w:tcMar>
              <w:top w:w="60" w:type="dxa"/>
              <w:left w:w="100" w:type="dxa"/>
              <w:bottom w:w="60" w:type="dxa"/>
              <w:right w:w="100" w:type="dxa"/>
            </w:tcMar>
            <w:vAlign w:val="center"/>
          </w:tcPr>
          <w:p w14:paraId="30FB8B9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3D279A0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272552B" w14:textId="77777777" w:rsidTr="00B5019C">
        <w:trPr>
          <w:jc w:val="center"/>
        </w:trPr>
        <w:tc>
          <w:tcPr>
            <w:tcW w:w="499" w:type="dxa"/>
            <w:tcMar>
              <w:top w:w="60" w:type="dxa"/>
              <w:left w:w="100" w:type="dxa"/>
              <w:bottom w:w="60" w:type="dxa"/>
              <w:right w:w="100" w:type="dxa"/>
            </w:tcMar>
            <w:vAlign w:val="center"/>
          </w:tcPr>
          <w:p w14:paraId="3A3231A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30</w:t>
            </w:r>
          </w:p>
        </w:tc>
        <w:tc>
          <w:tcPr>
            <w:tcW w:w="4118" w:type="dxa"/>
            <w:vAlign w:val="center"/>
          </w:tcPr>
          <w:p w14:paraId="79EAE66C" w14:textId="77777777" w:rsidR="005D691F" w:rsidRDefault="00F4227D" w:rsidP="00B5019C">
            <w:pPr>
              <w:bidi/>
              <w:spacing w:after="0" w:line="260" w:lineRule="auto"/>
              <w:jc w:val="center"/>
            </w:pPr>
            <w:r>
              <w:rPr>
                <w:rFonts w:ascii="Traditional Arabic" w:hAnsi="Traditional Arabic" w:cs="Traditional Arabic"/>
                <w:rtl/>
              </w:rPr>
              <w:t>ارتفع مستوى الوعي الأمني لدى الموظفين بفضل اعتماد ثقافة الترميز المؤسسي</w:t>
            </w:r>
          </w:p>
        </w:tc>
        <w:tc>
          <w:tcPr>
            <w:tcW w:w="1497" w:type="dxa"/>
            <w:tcMar>
              <w:top w:w="60" w:type="dxa"/>
              <w:left w:w="100" w:type="dxa"/>
              <w:bottom w:w="60" w:type="dxa"/>
              <w:right w:w="100" w:type="dxa"/>
            </w:tcMar>
            <w:vAlign w:val="center"/>
          </w:tcPr>
          <w:p w14:paraId="32A79DF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0.816</w:t>
            </w:r>
          </w:p>
        </w:tc>
        <w:tc>
          <w:tcPr>
            <w:tcW w:w="1248" w:type="dxa"/>
            <w:tcMar>
              <w:top w:w="60" w:type="dxa"/>
              <w:left w:w="100" w:type="dxa"/>
              <w:bottom w:w="60" w:type="dxa"/>
              <w:right w:w="100" w:type="dxa"/>
            </w:tcMar>
            <w:vAlign w:val="center"/>
          </w:tcPr>
          <w:p w14:paraId="636520A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39A3229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0F8C309" w14:textId="77777777" w:rsidTr="00B5019C">
        <w:trPr>
          <w:jc w:val="center"/>
        </w:trPr>
        <w:tc>
          <w:tcPr>
            <w:tcW w:w="499" w:type="dxa"/>
            <w:shd w:val="clear" w:color="auto" w:fill="F2F2F2"/>
            <w:tcMar>
              <w:top w:w="60" w:type="dxa"/>
              <w:left w:w="100" w:type="dxa"/>
              <w:bottom w:w="60" w:type="dxa"/>
              <w:right w:w="100" w:type="dxa"/>
            </w:tcMar>
            <w:vAlign w:val="center"/>
          </w:tcPr>
          <w:p w14:paraId="373A1E7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31</w:t>
            </w:r>
          </w:p>
        </w:tc>
        <w:tc>
          <w:tcPr>
            <w:tcW w:w="4118" w:type="dxa"/>
            <w:vAlign w:val="center"/>
          </w:tcPr>
          <w:p w14:paraId="4396C4DB" w14:textId="77777777" w:rsidR="005D691F" w:rsidRDefault="00F4227D" w:rsidP="00B5019C">
            <w:pPr>
              <w:bidi/>
              <w:spacing w:after="0" w:line="260" w:lineRule="auto"/>
              <w:jc w:val="center"/>
            </w:pPr>
            <w:r>
              <w:rPr>
                <w:rFonts w:ascii="Traditional Arabic" w:hAnsi="Traditional Arabic" w:cs="Traditional Arabic"/>
                <w:rtl/>
              </w:rPr>
              <w:t>تُقيّم المؤسسة بصورة دورية فاعلية حلول الترميز وتُحدّثها وفق أحدث التهديدات</w:t>
            </w:r>
          </w:p>
        </w:tc>
        <w:tc>
          <w:tcPr>
            <w:tcW w:w="1497" w:type="dxa"/>
            <w:shd w:val="clear" w:color="auto" w:fill="F2F2F2"/>
            <w:tcMar>
              <w:top w:w="60" w:type="dxa"/>
              <w:left w:w="100" w:type="dxa"/>
              <w:bottom w:w="60" w:type="dxa"/>
              <w:right w:w="100" w:type="dxa"/>
            </w:tcMar>
            <w:vAlign w:val="center"/>
          </w:tcPr>
          <w:p w14:paraId="4BAEF4B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0.751</w:t>
            </w:r>
          </w:p>
        </w:tc>
        <w:tc>
          <w:tcPr>
            <w:tcW w:w="1248" w:type="dxa"/>
            <w:shd w:val="clear" w:color="auto" w:fill="F2F2F2"/>
            <w:tcMar>
              <w:top w:w="60" w:type="dxa"/>
              <w:left w:w="100" w:type="dxa"/>
              <w:bottom w:w="60" w:type="dxa"/>
              <w:right w:w="100" w:type="dxa"/>
            </w:tcMar>
            <w:vAlign w:val="center"/>
          </w:tcPr>
          <w:p w14:paraId="11EF39F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18FB3F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0A0AD6B6"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420CCC78"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025EE6BF" w14:textId="3B157A9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التوافق مع رؤية 2030</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83"/>
        <w:gridCol w:w="4054"/>
        <w:gridCol w:w="1485"/>
        <w:gridCol w:w="1242"/>
        <w:gridCol w:w="934"/>
      </w:tblGrid>
      <w:tr w:rsidR="007608E1" w:rsidRPr="00B5019C" w14:paraId="17B28186" w14:textId="77777777" w:rsidTr="00B5019C">
        <w:trPr>
          <w:tblHeader/>
          <w:jc w:val="center"/>
        </w:trPr>
        <w:tc>
          <w:tcPr>
            <w:tcW w:w="499" w:type="dxa"/>
            <w:shd w:val="clear" w:color="auto" w:fill="2E5395"/>
            <w:tcMar>
              <w:top w:w="60" w:type="dxa"/>
              <w:left w:w="100" w:type="dxa"/>
              <w:bottom w:w="60" w:type="dxa"/>
              <w:right w:w="100" w:type="dxa"/>
            </w:tcMar>
            <w:vAlign w:val="center"/>
          </w:tcPr>
          <w:p w14:paraId="0DC6E2E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رقم العبارة</w:t>
            </w:r>
          </w:p>
        </w:tc>
        <w:tc>
          <w:tcPr>
            <w:tcW w:w="4118" w:type="dxa"/>
            <w:shd w:val="clear" w:color="auto" w:fill="DCE9F5"/>
            <w:vAlign w:val="center"/>
          </w:tcPr>
          <w:p w14:paraId="5CDBACBA"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b/>
                <w:bCs/>
                <w:sz w:val="24"/>
                <w:szCs w:val="24"/>
                <w:rtl/>
              </w:rPr>
              <w:t>نص العبارة</w:t>
            </w:r>
          </w:p>
        </w:tc>
        <w:tc>
          <w:tcPr>
            <w:tcW w:w="1497" w:type="dxa"/>
            <w:shd w:val="clear" w:color="auto" w:fill="2E5395"/>
            <w:tcMar>
              <w:top w:w="60" w:type="dxa"/>
              <w:left w:w="100" w:type="dxa"/>
              <w:bottom w:w="60" w:type="dxa"/>
              <w:right w:w="100" w:type="dxa"/>
            </w:tcMar>
            <w:vAlign w:val="center"/>
          </w:tcPr>
          <w:p w14:paraId="21FAEC78"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324E857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القيمة الاحتمالية (p)</w:t>
            </w:r>
          </w:p>
        </w:tc>
        <w:tc>
          <w:tcPr>
            <w:tcW w:w="936" w:type="dxa"/>
            <w:shd w:val="clear" w:color="auto" w:fill="2E5395"/>
            <w:tcMar>
              <w:top w:w="60" w:type="dxa"/>
              <w:left w:w="100" w:type="dxa"/>
              <w:bottom w:w="60" w:type="dxa"/>
              <w:right w:w="100" w:type="dxa"/>
            </w:tcMar>
            <w:vAlign w:val="center"/>
          </w:tcPr>
          <w:p w14:paraId="096235B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الدلالة الإحصائية</w:t>
            </w:r>
          </w:p>
        </w:tc>
      </w:tr>
      <w:tr w:rsidR="007608E1" w:rsidRPr="00B5019C" w14:paraId="4DFD08A1" w14:textId="77777777" w:rsidTr="00B5019C">
        <w:trPr>
          <w:jc w:val="center"/>
        </w:trPr>
        <w:tc>
          <w:tcPr>
            <w:tcW w:w="499" w:type="dxa"/>
            <w:tcMar>
              <w:top w:w="60" w:type="dxa"/>
              <w:left w:w="100" w:type="dxa"/>
              <w:bottom w:w="60" w:type="dxa"/>
              <w:right w:w="100" w:type="dxa"/>
            </w:tcMar>
            <w:vAlign w:val="center"/>
          </w:tcPr>
          <w:p w14:paraId="361FAA5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32</w:t>
            </w:r>
          </w:p>
        </w:tc>
        <w:tc>
          <w:tcPr>
            <w:tcW w:w="4118" w:type="dxa"/>
            <w:vAlign w:val="center"/>
          </w:tcPr>
          <w:p w14:paraId="727E46A4"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يُسهم الترميز في تحقيق أهداف التحول الرقمي المالي ضمن إطار رؤية المملكة 2030</w:t>
            </w:r>
          </w:p>
        </w:tc>
        <w:tc>
          <w:tcPr>
            <w:tcW w:w="1497" w:type="dxa"/>
            <w:tcMar>
              <w:top w:w="60" w:type="dxa"/>
              <w:left w:w="100" w:type="dxa"/>
              <w:bottom w:w="60" w:type="dxa"/>
              <w:right w:w="100" w:type="dxa"/>
            </w:tcMar>
            <w:vAlign w:val="center"/>
          </w:tcPr>
          <w:p w14:paraId="77D61847"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0.761</w:t>
            </w:r>
          </w:p>
        </w:tc>
        <w:tc>
          <w:tcPr>
            <w:tcW w:w="1248" w:type="dxa"/>
            <w:tcMar>
              <w:top w:w="60" w:type="dxa"/>
              <w:left w:w="100" w:type="dxa"/>
              <w:bottom w:w="60" w:type="dxa"/>
              <w:right w:w="100" w:type="dxa"/>
            </w:tcMar>
            <w:vAlign w:val="center"/>
          </w:tcPr>
          <w:p w14:paraId="6B6E4BBC"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015C5387"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02533BE8" w14:textId="77777777" w:rsidTr="00B5019C">
        <w:trPr>
          <w:jc w:val="center"/>
        </w:trPr>
        <w:tc>
          <w:tcPr>
            <w:tcW w:w="499" w:type="dxa"/>
            <w:shd w:val="clear" w:color="auto" w:fill="F2F2F2"/>
            <w:tcMar>
              <w:top w:w="60" w:type="dxa"/>
              <w:left w:w="100" w:type="dxa"/>
              <w:bottom w:w="60" w:type="dxa"/>
              <w:right w:w="100" w:type="dxa"/>
            </w:tcMar>
            <w:vAlign w:val="center"/>
          </w:tcPr>
          <w:p w14:paraId="7F40F73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33</w:t>
            </w:r>
          </w:p>
        </w:tc>
        <w:tc>
          <w:tcPr>
            <w:tcW w:w="4118" w:type="dxa"/>
            <w:vAlign w:val="center"/>
          </w:tcPr>
          <w:p w14:paraId="7168F112"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يدعم الترميز توجه المملكة نحو بناء منظومة مالية رقمية متكاملة وآمنة</w:t>
            </w:r>
          </w:p>
        </w:tc>
        <w:tc>
          <w:tcPr>
            <w:tcW w:w="1497" w:type="dxa"/>
            <w:shd w:val="clear" w:color="auto" w:fill="F2F2F2"/>
            <w:tcMar>
              <w:top w:w="60" w:type="dxa"/>
              <w:left w:w="100" w:type="dxa"/>
              <w:bottom w:w="60" w:type="dxa"/>
              <w:right w:w="100" w:type="dxa"/>
            </w:tcMar>
            <w:vAlign w:val="center"/>
          </w:tcPr>
          <w:p w14:paraId="7A59899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0.726</w:t>
            </w:r>
          </w:p>
        </w:tc>
        <w:tc>
          <w:tcPr>
            <w:tcW w:w="1248" w:type="dxa"/>
            <w:shd w:val="clear" w:color="auto" w:fill="F2F2F2"/>
            <w:tcMar>
              <w:top w:w="60" w:type="dxa"/>
              <w:left w:w="100" w:type="dxa"/>
              <w:bottom w:w="60" w:type="dxa"/>
              <w:right w:w="100" w:type="dxa"/>
            </w:tcMar>
            <w:vAlign w:val="center"/>
          </w:tcPr>
          <w:p w14:paraId="57FF78AF"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7EC5B8E6"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04C2AC93" w14:textId="77777777" w:rsidTr="00B5019C">
        <w:trPr>
          <w:jc w:val="center"/>
        </w:trPr>
        <w:tc>
          <w:tcPr>
            <w:tcW w:w="499" w:type="dxa"/>
            <w:tcMar>
              <w:top w:w="60" w:type="dxa"/>
              <w:left w:w="100" w:type="dxa"/>
              <w:bottom w:w="60" w:type="dxa"/>
              <w:right w:w="100" w:type="dxa"/>
            </w:tcMar>
            <w:vAlign w:val="center"/>
          </w:tcPr>
          <w:p w14:paraId="4E2DD99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34</w:t>
            </w:r>
          </w:p>
        </w:tc>
        <w:tc>
          <w:tcPr>
            <w:tcW w:w="4118" w:type="dxa"/>
            <w:vAlign w:val="center"/>
          </w:tcPr>
          <w:p w14:paraId="61F5242B"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أسهمت تقنية الترميز في تعزيز تنافسية المؤسسة المالية إقليمياً ودولياً</w:t>
            </w:r>
          </w:p>
        </w:tc>
        <w:tc>
          <w:tcPr>
            <w:tcW w:w="1497" w:type="dxa"/>
            <w:tcMar>
              <w:top w:w="60" w:type="dxa"/>
              <w:left w:w="100" w:type="dxa"/>
              <w:bottom w:w="60" w:type="dxa"/>
              <w:right w:w="100" w:type="dxa"/>
            </w:tcMar>
            <w:vAlign w:val="center"/>
          </w:tcPr>
          <w:p w14:paraId="500088E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0.819</w:t>
            </w:r>
          </w:p>
        </w:tc>
        <w:tc>
          <w:tcPr>
            <w:tcW w:w="1248" w:type="dxa"/>
            <w:tcMar>
              <w:top w:w="60" w:type="dxa"/>
              <w:left w:w="100" w:type="dxa"/>
              <w:bottom w:w="60" w:type="dxa"/>
              <w:right w:w="100" w:type="dxa"/>
            </w:tcMar>
            <w:vAlign w:val="center"/>
          </w:tcPr>
          <w:p w14:paraId="3F913F7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423BA200"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610FD20" w14:textId="77777777" w:rsidTr="00B5019C">
        <w:trPr>
          <w:jc w:val="center"/>
        </w:trPr>
        <w:tc>
          <w:tcPr>
            <w:tcW w:w="499" w:type="dxa"/>
            <w:shd w:val="clear" w:color="auto" w:fill="F2F2F2"/>
            <w:tcMar>
              <w:top w:w="60" w:type="dxa"/>
              <w:left w:w="100" w:type="dxa"/>
              <w:bottom w:w="60" w:type="dxa"/>
              <w:right w:w="100" w:type="dxa"/>
            </w:tcMar>
            <w:vAlign w:val="center"/>
          </w:tcPr>
          <w:p w14:paraId="3B633D5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35</w:t>
            </w:r>
          </w:p>
        </w:tc>
        <w:tc>
          <w:tcPr>
            <w:tcW w:w="4118" w:type="dxa"/>
            <w:vAlign w:val="center"/>
          </w:tcPr>
          <w:p w14:paraId="14795D5D"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تتوافق استراتيجية الترميز في مؤسستك مع التوجيهات التنظيمية لمبادرة الفنتك السعودية</w:t>
            </w:r>
          </w:p>
        </w:tc>
        <w:tc>
          <w:tcPr>
            <w:tcW w:w="1497" w:type="dxa"/>
            <w:shd w:val="clear" w:color="auto" w:fill="F2F2F2"/>
            <w:tcMar>
              <w:top w:w="60" w:type="dxa"/>
              <w:left w:w="100" w:type="dxa"/>
              <w:bottom w:w="60" w:type="dxa"/>
              <w:right w:w="100" w:type="dxa"/>
            </w:tcMar>
            <w:vAlign w:val="center"/>
          </w:tcPr>
          <w:p w14:paraId="69345C4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0.796</w:t>
            </w:r>
          </w:p>
        </w:tc>
        <w:tc>
          <w:tcPr>
            <w:tcW w:w="1248" w:type="dxa"/>
            <w:shd w:val="clear" w:color="auto" w:fill="F2F2F2"/>
            <w:tcMar>
              <w:top w:w="60" w:type="dxa"/>
              <w:left w:w="100" w:type="dxa"/>
              <w:bottom w:w="60" w:type="dxa"/>
              <w:right w:w="100" w:type="dxa"/>
            </w:tcMar>
            <w:vAlign w:val="center"/>
          </w:tcPr>
          <w:p w14:paraId="18C5532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6513076E"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DADD351" w14:textId="77777777" w:rsidTr="00B5019C">
        <w:trPr>
          <w:jc w:val="center"/>
        </w:trPr>
        <w:tc>
          <w:tcPr>
            <w:tcW w:w="499" w:type="dxa"/>
            <w:tcMar>
              <w:top w:w="60" w:type="dxa"/>
              <w:left w:w="100" w:type="dxa"/>
              <w:bottom w:w="60" w:type="dxa"/>
              <w:right w:w="100" w:type="dxa"/>
            </w:tcMar>
            <w:vAlign w:val="center"/>
          </w:tcPr>
          <w:p w14:paraId="74CB794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36</w:t>
            </w:r>
          </w:p>
        </w:tc>
        <w:tc>
          <w:tcPr>
            <w:tcW w:w="4118" w:type="dxa"/>
            <w:vAlign w:val="center"/>
          </w:tcPr>
          <w:p w14:paraId="0EFF872A"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يُعزّز تطبيق الترميز ثقة المستثمرين والشركاء في البنية التحتية الرقمية للمؤسسة</w:t>
            </w:r>
          </w:p>
        </w:tc>
        <w:tc>
          <w:tcPr>
            <w:tcW w:w="1497" w:type="dxa"/>
            <w:tcMar>
              <w:top w:w="60" w:type="dxa"/>
              <w:left w:w="100" w:type="dxa"/>
              <w:bottom w:w="60" w:type="dxa"/>
              <w:right w:w="100" w:type="dxa"/>
            </w:tcMar>
            <w:vAlign w:val="center"/>
          </w:tcPr>
          <w:p w14:paraId="3CF7C18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0.789</w:t>
            </w:r>
          </w:p>
        </w:tc>
        <w:tc>
          <w:tcPr>
            <w:tcW w:w="1248" w:type="dxa"/>
            <w:tcMar>
              <w:top w:w="60" w:type="dxa"/>
              <w:left w:w="100" w:type="dxa"/>
              <w:bottom w:w="60" w:type="dxa"/>
              <w:right w:w="100" w:type="dxa"/>
            </w:tcMar>
            <w:vAlign w:val="center"/>
          </w:tcPr>
          <w:p w14:paraId="07C7345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002F326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B7F224F" w14:textId="77777777" w:rsidTr="00B5019C">
        <w:trPr>
          <w:jc w:val="center"/>
        </w:trPr>
        <w:tc>
          <w:tcPr>
            <w:tcW w:w="499" w:type="dxa"/>
            <w:shd w:val="clear" w:color="auto" w:fill="F2F2F2"/>
            <w:tcMar>
              <w:top w:w="60" w:type="dxa"/>
              <w:left w:w="100" w:type="dxa"/>
              <w:bottom w:w="60" w:type="dxa"/>
              <w:right w:w="100" w:type="dxa"/>
            </w:tcMar>
            <w:vAlign w:val="center"/>
          </w:tcPr>
          <w:p w14:paraId="009096DC"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37</w:t>
            </w:r>
          </w:p>
        </w:tc>
        <w:tc>
          <w:tcPr>
            <w:tcW w:w="4118" w:type="dxa"/>
            <w:vAlign w:val="center"/>
          </w:tcPr>
          <w:p w14:paraId="7BF10995"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تُشكّل تقنية الترميز ركيزة أساسية في خارطة طريق التحول الرقمي لمؤسستك</w:t>
            </w:r>
          </w:p>
        </w:tc>
        <w:tc>
          <w:tcPr>
            <w:tcW w:w="1497" w:type="dxa"/>
            <w:shd w:val="clear" w:color="auto" w:fill="F2F2F2"/>
            <w:tcMar>
              <w:top w:w="60" w:type="dxa"/>
              <w:left w:w="100" w:type="dxa"/>
              <w:bottom w:w="60" w:type="dxa"/>
              <w:right w:w="100" w:type="dxa"/>
            </w:tcMar>
            <w:vAlign w:val="center"/>
          </w:tcPr>
          <w:p w14:paraId="45F81BE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0.755</w:t>
            </w:r>
          </w:p>
        </w:tc>
        <w:tc>
          <w:tcPr>
            <w:tcW w:w="1248" w:type="dxa"/>
            <w:shd w:val="clear" w:color="auto" w:fill="F2F2F2"/>
            <w:tcMar>
              <w:top w:w="60" w:type="dxa"/>
              <w:left w:w="100" w:type="dxa"/>
              <w:bottom w:w="60" w:type="dxa"/>
              <w:right w:w="100" w:type="dxa"/>
            </w:tcMar>
            <w:vAlign w:val="center"/>
          </w:tcPr>
          <w:p w14:paraId="5A53970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53D4F31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bl>
    <w:p w14:paraId="6909833A"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4753FFD3"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جداول (4.14 - 4.18): معاملات ارتباط سبيرمان بين عبارات كل بُعد والدرجة الكلية للبُعد</w:t>
      </w:r>
    </w:p>
    <w:p w14:paraId="77D1291F" w14:textId="77777777" w:rsidR="00DC02DC" w:rsidRDefault="00DC02DC" w:rsidP="00E000FF">
      <w:pPr>
        <w:bidi/>
        <w:spacing w:after="0" w:line="360" w:lineRule="auto"/>
        <w:jc w:val="both"/>
        <w:rPr>
          <w:rFonts w:ascii="Simplified Arabic" w:eastAsia="Simplified Arabic" w:hAnsi="Simplified Arabic" w:cs="Simplified Arabic"/>
          <w:b/>
          <w:bCs/>
          <w:sz w:val="28"/>
          <w:szCs w:val="28"/>
        </w:rPr>
      </w:pPr>
    </w:p>
    <w:p w14:paraId="7C8A144B" w14:textId="6AC08C3E"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ثبات الأداة (معامل ألفا كرونباخ)</w:t>
      </w:r>
    </w:p>
    <w:p w14:paraId="58398EDC"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استُخدمت طريقة ألفا كرونباخ (Cronbach's Alpha) للتحقق من ثبات أداة الدراسة، إذ تُعدّ القيم التي تتجاوز (0.70) مقبولة إحصائياً، بينما تعكس القيم التي تفوق (0.90) ثباتاً مرتفعاً جداً. ويوضح الجدول التالي قيم معامل ألفا كرونباخ لكل بُعد من أبعاد الدراسة وللأداة ككل.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1382"/>
        <w:gridCol w:w="1643"/>
        <w:gridCol w:w="1641"/>
      </w:tblGrid>
      <w:tr w:rsidR="007608E1" w:rsidRPr="00B5019C" w14:paraId="21989755" w14:textId="77777777" w:rsidTr="00036983">
        <w:trPr>
          <w:tblHeader/>
          <w:jc w:val="center"/>
        </w:trPr>
        <w:tc>
          <w:tcPr>
            <w:tcW w:w="2188" w:type="pct"/>
            <w:shd w:val="clear" w:color="auto" w:fill="2E5395"/>
            <w:tcMar>
              <w:top w:w="60" w:type="dxa"/>
              <w:left w:w="100" w:type="dxa"/>
              <w:bottom w:w="60" w:type="dxa"/>
              <w:right w:w="100" w:type="dxa"/>
            </w:tcMar>
            <w:vAlign w:val="center"/>
          </w:tcPr>
          <w:p w14:paraId="332A737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البُعد / المحور</w:t>
            </w:r>
          </w:p>
        </w:tc>
        <w:tc>
          <w:tcPr>
            <w:tcW w:w="833" w:type="pct"/>
            <w:shd w:val="clear" w:color="auto" w:fill="2E5395"/>
            <w:tcMar>
              <w:top w:w="60" w:type="dxa"/>
              <w:left w:w="100" w:type="dxa"/>
              <w:bottom w:w="60" w:type="dxa"/>
              <w:right w:w="100" w:type="dxa"/>
            </w:tcMar>
            <w:vAlign w:val="center"/>
          </w:tcPr>
          <w:p w14:paraId="7E9BE15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عدد العبارات</w:t>
            </w:r>
          </w:p>
        </w:tc>
        <w:tc>
          <w:tcPr>
            <w:tcW w:w="990" w:type="pct"/>
            <w:shd w:val="clear" w:color="auto" w:fill="2E5395"/>
            <w:tcMar>
              <w:top w:w="60" w:type="dxa"/>
              <w:left w:w="100" w:type="dxa"/>
              <w:bottom w:w="60" w:type="dxa"/>
              <w:right w:w="100" w:type="dxa"/>
            </w:tcMar>
            <w:vAlign w:val="center"/>
          </w:tcPr>
          <w:p w14:paraId="3D2082E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معامل ألفا كرونباخ</w:t>
            </w:r>
          </w:p>
        </w:tc>
        <w:tc>
          <w:tcPr>
            <w:tcW w:w="990" w:type="pct"/>
            <w:shd w:val="clear" w:color="auto" w:fill="2E5395"/>
            <w:tcMar>
              <w:top w:w="60" w:type="dxa"/>
              <w:left w:w="100" w:type="dxa"/>
              <w:bottom w:w="60" w:type="dxa"/>
              <w:right w:w="100" w:type="dxa"/>
            </w:tcMar>
            <w:vAlign w:val="center"/>
          </w:tcPr>
          <w:p w14:paraId="234B7A1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مستوى الثبات</w:t>
            </w:r>
          </w:p>
        </w:tc>
      </w:tr>
      <w:tr w:rsidR="007608E1" w:rsidRPr="00B5019C" w14:paraId="3BA4D4DD" w14:textId="77777777" w:rsidTr="00036983">
        <w:trPr>
          <w:jc w:val="center"/>
        </w:trPr>
        <w:tc>
          <w:tcPr>
            <w:tcW w:w="2188" w:type="pct"/>
            <w:tcMar>
              <w:top w:w="60" w:type="dxa"/>
              <w:left w:w="100" w:type="dxa"/>
              <w:bottom w:w="60" w:type="dxa"/>
              <w:right w:w="100" w:type="dxa"/>
            </w:tcMar>
            <w:vAlign w:val="center"/>
          </w:tcPr>
          <w:p w14:paraId="75F267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الترميز الأمني للبيانات</w:t>
            </w:r>
          </w:p>
        </w:tc>
        <w:tc>
          <w:tcPr>
            <w:tcW w:w="833" w:type="pct"/>
            <w:tcMar>
              <w:top w:w="60" w:type="dxa"/>
              <w:left w:w="100" w:type="dxa"/>
              <w:bottom w:w="60" w:type="dxa"/>
              <w:right w:w="100" w:type="dxa"/>
            </w:tcMar>
            <w:vAlign w:val="center"/>
          </w:tcPr>
          <w:p w14:paraId="6F8602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031E14E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0.926</w:t>
            </w:r>
          </w:p>
        </w:tc>
        <w:tc>
          <w:tcPr>
            <w:tcW w:w="990" w:type="pct"/>
            <w:tcMar>
              <w:top w:w="60" w:type="dxa"/>
              <w:left w:w="100" w:type="dxa"/>
              <w:bottom w:w="60" w:type="dxa"/>
              <w:right w:w="100" w:type="dxa"/>
            </w:tcMar>
            <w:vAlign w:val="center"/>
          </w:tcPr>
          <w:p w14:paraId="341599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4B3CCCA" w14:textId="77777777" w:rsidTr="00036983">
        <w:trPr>
          <w:jc w:val="center"/>
        </w:trPr>
        <w:tc>
          <w:tcPr>
            <w:tcW w:w="2188" w:type="pct"/>
            <w:shd w:val="clear" w:color="auto" w:fill="F2F2F2"/>
            <w:tcMar>
              <w:top w:w="60" w:type="dxa"/>
              <w:left w:w="100" w:type="dxa"/>
              <w:bottom w:w="60" w:type="dxa"/>
              <w:right w:w="100" w:type="dxa"/>
            </w:tcMar>
            <w:vAlign w:val="center"/>
          </w:tcPr>
          <w:p w14:paraId="3D86FD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الامتثال للمعايير الدولية</w:t>
            </w:r>
          </w:p>
        </w:tc>
        <w:tc>
          <w:tcPr>
            <w:tcW w:w="833" w:type="pct"/>
            <w:shd w:val="clear" w:color="auto" w:fill="F2F2F2"/>
            <w:tcMar>
              <w:top w:w="60" w:type="dxa"/>
              <w:left w:w="100" w:type="dxa"/>
              <w:bottom w:w="60" w:type="dxa"/>
              <w:right w:w="100" w:type="dxa"/>
            </w:tcMar>
            <w:vAlign w:val="center"/>
          </w:tcPr>
          <w:p w14:paraId="7ECB06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7</w:t>
            </w:r>
          </w:p>
        </w:tc>
        <w:tc>
          <w:tcPr>
            <w:tcW w:w="990" w:type="pct"/>
            <w:shd w:val="clear" w:color="auto" w:fill="F2F2F2"/>
            <w:tcMar>
              <w:top w:w="60" w:type="dxa"/>
              <w:left w:w="100" w:type="dxa"/>
              <w:bottom w:w="60" w:type="dxa"/>
              <w:right w:w="100" w:type="dxa"/>
            </w:tcMar>
            <w:vAlign w:val="center"/>
          </w:tcPr>
          <w:p w14:paraId="4DB479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0.931</w:t>
            </w:r>
          </w:p>
        </w:tc>
        <w:tc>
          <w:tcPr>
            <w:tcW w:w="990" w:type="pct"/>
            <w:shd w:val="clear" w:color="auto" w:fill="F2F2F2"/>
            <w:tcMar>
              <w:top w:w="60" w:type="dxa"/>
              <w:left w:w="100" w:type="dxa"/>
              <w:bottom w:w="60" w:type="dxa"/>
              <w:right w:w="100" w:type="dxa"/>
            </w:tcMar>
            <w:vAlign w:val="center"/>
          </w:tcPr>
          <w:p w14:paraId="1F9CFD7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2BAE87E" w14:textId="77777777" w:rsidTr="00036983">
        <w:trPr>
          <w:jc w:val="center"/>
        </w:trPr>
        <w:tc>
          <w:tcPr>
            <w:tcW w:w="2188" w:type="pct"/>
            <w:tcMar>
              <w:top w:w="60" w:type="dxa"/>
              <w:left w:w="100" w:type="dxa"/>
              <w:bottom w:w="60" w:type="dxa"/>
              <w:right w:w="100" w:type="dxa"/>
            </w:tcMar>
            <w:vAlign w:val="center"/>
          </w:tcPr>
          <w:p w14:paraId="60C43B1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الكفاءة التشغيلية المالية</w:t>
            </w:r>
          </w:p>
        </w:tc>
        <w:tc>
          <w:tcPr>
            <w:tcW w:w="833" w:type="pct"/>
            <w:tcMar>
              <w:top w:w="60" w:type="dxa"/>
              <w:left w:w="100" w:type="dxa"/>
              <w:bottom w:w="60" w:type="dxa"/>
              <w:right w:w="100" w:type="dxa"/>
            </w:tcMar>
            <w:vAlign w:val="center"/>
          </w:tcPr>
          <w:p w14:paraId="631B0BA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1F9A4DD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0.918</w:t>
            </w:r>
          </w:p>
        </w:tc>
        <w:tc>
          <w:tcPr>
            <w:tcW w:w="990" w:type="pct"/>
            <w:tcMar>
              <w:top w:w="60" w:type="dxa"/>
              <w:left w:w="100" w:type="dxa"/>
              <w:bottom w:w="60" w:type="dxa"/>
              <w:right w:w="100" w:type="dxa"/>
            </w:tcMar>
            <w:vAlign w:val="center"/>
          </w:tcPr>
          <w:p w14:paraId="7DA94B4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7355613" w14:textId="77777777" w:rsidTr="00036983">
        <w:trPr>
          <w:jc w:val="center"/>
        </w:trPr>
        <w:tc>
          <w:tcPr>
            <w:tcW w:w="2188" w:type="pct"/>
            <w:shd w:val="clear" w:color="auto" w:fill="F2F2F2"/>
            <w:tcMar>
              <w:top w:w="60" w:type="dxa"/>
              <w:left w:w="100" w:type="dxa"/>
              <w:bottom w:w="60" w:type="dxa"/>
              <w:right w:w="100" w:type="dxa"/>
            </w:tcMar>
            <w:vAlign w:val="center"/>
          </w:tcPr>
          <w:p w14:paraId="37761F0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الأمن السيبراني المؤسسي</w:t>
            </w:r>
          </w:p>
        </w:tc>
        <w:tc>
          <w:tcPr>
            <w:tcW w:w="833" w:type="pct"/>
            <w:shd w:val="clear" w:color="auto" w:fill="F2F2F2"/>
            <w:tcMar>
              <w:top w:w="60" w:type="dxa"/>
              <w:left w:w="100" w:type="dxa"/>
              <w:bottom w:w="60" w:type="dxa"/>
              <w:right w:w="100" w:type="dxa"/>
            </w:tcMar>
            <w:vAlign w:val="center"/>
          </w:tcPr>
          <w:p w14:paraId="4991806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shd w:val="clear" w:color="auto" w:fill="F2F2F2"/>
            <w:tcMar>
              <w:top w:w="60" w:type="dxa"/>
              <w:left w:w="100" w:type="dxa"/>
              <w:bottom w:w="60" w:type="dxa"/>
              <w:right w:w="100" w:type="dxa"/>
            </w:tcMar>
            <w:vAlign w:val="center"/>
          </w:tcPr>
          <w:p w14:paraId="6DF6B02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0.902</w:t>
            </w:r>
          </w:p>
        </w:tc>
        <w:tc>
          <w:tcPr>
            <w:tcW w:w="990" w:type="pct"/>
            <w:shd w:val="clear" w:color="auto" w:fill="F2F2F2"/>
            <w:tcMar>
              <w:top w:w="60" w:type="dxa"/>
              <w:left w:w="100" w:type="dxa"/>
              <w:bottom w:w="60" w:type="dxa"/>
              <w:right w:w="100" w:type="dxa"/>
            </w:tcMar>
            <w:vAlign w:val="center"/>
          </w:tcPr>
          <w:p w14:paraId="2BCF9FE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C6D2C25" w14:textId="77777777" w:rsidTr="00036983">
        <w:trPr>
          <w:jc w:val="center"/>
        </w:trPr>
        <w:tc>
          <w:tcPr>
            <w:tcW w:w="2188" w:type="pct"/>
            <w:tcMar>
              <w:top w:w="60" w:type="dxa"/>
              <w:left w:w="100" w:type="dxa"/>
              <w:bottom w:w="60" w:type="dxa"/>
              <w:right w:w="100" w:type="dxa"/>
            </w:tcMar>
            <w:vAlign w:val="center"/>
          </w:tcPr>
          <w:p w14:paraId="343400D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التوافق مع رؤية 2030</w:t>
            </w:r>
          </w:p>
        </w:tc>
        <w:tc>
          <w:tcPr>
            <w:tcW w:w="833" w:type="pct"/>
            <w:tcMar>
              <w:top w:w="60" w:type="dxa"/>
              <w:left w:w="100" w:type="dxa"/>
              <w:bottom w:w="60" w:type="dxa"/>
              <w:right w:w="100" w:type="dxa"/>
            </w:tcMar>
            <w:vAlign w:val="center"/>
          </w:tcPr>
          <w:p w14:paraId="4A117EE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1C3DC68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0.930</w:t>
            </w:r>
          </w:p>
        </w:tc>
        <w:tc>
          <w:tcPr>
            <w:tcW w:w="990" w:type="pct"/>
            <w:tcMar>
              <w:top w:w="60" w:type="dxa"/>
              <w:left w:w="100" w:type="dxa"/>
              <w:bottom w:w="60" w:type="dxa"/>
              <w:right w:w="100" w:type="dxa"/>
            </w:tcMar>
            <w:vAlign w:val="center"/>
          </w:tcPr>
          <w:p w14:paraId="08F6BAE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B6D3429" w14:textId="77777777" w:rsidTr="00036983">
        <w:trPr>
          <w:jc w:val="center"/>
        </w:trPr>
        <w:tc>
          <w:tcPr>
            <w:tcW w:w="2188" w:type="pct"/>
            <w:shd w:val="clear" w:color="auto" w:fill="F2F2F2"/>
            <w:tcMar>
              <w:top w:w="60" w:type="dxa"/>
              <w:left w:w="100" w:type="dxa"/>
              <w:bottom w:w="60" w:type="dxa"/>
              <w:right w:w="100" w:type="dxa"/>
            </w:tcMar>
            <w:vAlign w:val="center"/>
          </w:tcPr>
          <w:p w14:paraId="03438D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تطبيق تقنية الترميز (إجمالي البُعدين الأول والثاني)</w:t>
            </w:r>
          </w:p>
        </w:tc>
        <w:tc>
          <w:tcPr>
            <w:tcW w:w="833" w:type="pct"/>
            <w:shd w:val="clear" w:color="auto" w:fill="F2F2F2"/>
            <w:tcMar>
              <w:top w:w="60" w:type="dxa"/>
              <w:left w:w="100" w:type="dxa"/>
              <w:bottom w:w="60" w:type="dxa"/>
              <w:right w:w="100" w:type="dxa"/>
            </w:tcMar>
            <w:vAlign w:val="center"/>
          </w:tcPr>
          <w:p w14:paraId="51A34C1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13</w:t>
            </w:r>
          </w:p>
        </w:tc>
        <w:tc>
          <w:tcPr>
            <w:tcW w:w="990" w:type="pct"/>
            <w:shd w:val="clear" w:color="auto" w:fill="F2F2F2"/>
            <w:tcMar>
              <w:top w:w="60" w:type="dxa"/>
              <w:left w:w="100" w:type="dxa"/>
              <w:bottom w:w="60" w:type="dxa"/>
              <w:right w:w="100" w:type="dxa"/>
            </w:tcMar>
            <w:vAlign w:val="center"/>
          </w:tcPr>
          <w:p w14:paraId="00AAA95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0.962</w:t>
            </w:r>
          </w:p>
        </w:tc>
        <w:tc>
          <w:tcPr>
            <w:tcW w:w="990" w:type="pct"/>
            <w:shd w:val="clear" w:color="auto" w:fill="F2F2F2"/>
            <w:tcMar>
              <w:top w:w="60" w:type="dxa"/>
              <w:left w:w="100" w:type="dxa"/>
              <w:bottom w:w="60" w:type="dxa"/>
              <w:right w:w="100" w:type="dxa"/>
            </w:tcMar>
            <w:vAlign w:val="center"/>
          </w:tcPr>
          <w:p w14:paraId="2E2EFB5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1ED375B" w14:textId="77777777" w:rsidTr="00036983">
        <w:trPr>
          <w:jc w:val="center"/>
        </w:trPr>
        <w:tc>
          <w:tcPr>
            <w:tcW w:w="2188" w:type="pct"/>
            <w:tcMar>
              <w:top w:w="60" w:type="dxa"/>
              <w:left w:w="100" w:type="dxa"/>
              <w:bottom w:w="60" w:type="dxa"/>
              <w:right w:w="100" w:type="dxa"/>
            </w:tcMar>
            <w:vAlign w:val="center"/>
          </w:tcPr>
          <w:p w14:paraId="077702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الأداة ككل (31 عبارة)</w:t>
            </w:r>
          </w:p>
        </w:tc>
        <w:tc>
          <w:tcPr>
            <w:tcW w:w="833" w:type="pct"/>
            <w:tcMar>
              <w:top w:w="60" w:type="dxa"/>
              <w:left w:w="100" w:type="dxa"/>
              <w:bottom w:w="60" w:type="dxa"/>
              <w:right w:w="100" w:type="dxa"/>
            </w:tcMar>
            <w:vAlign w:val="center"/>
          </w:tcPr>
          <w:p w14:paraId="7BA391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31</w:t>
            </w:r>
          </w:p>
        </w:tc>
        <w:tc>
          <w:tcPr>
            <w:tcW w:w="990" w:type="pct"/>
            <w:tcMar>
              <w:top w:w="60" w:type="dxa"/>
              <w:left w:w="100" w:type="dxa"/>
              <w:bottom w:w="60" w:type="dxa"/>
              <w:right w:w="100" w:type="dxa"/>
            </w:tcMar>
            <w:vAlign w:val="center"/>
          </w:tcPr>
          <w:p w14:paraId="4D09B1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0.980</w:t>
            </w:r>
          </w:p>
        </w:tc>
        <w:tc>
          <w:tcPr>
            <w:tcW w:w="990" w:type="pct"/>
            <w:tcMar>
              <w:top w:w="60" w:type="dxa"/>
              <w:left w:w="100" w:type="dxa"/>
              <w:bottom w:w="60" w:type="dxa"/>
              <w:right w:w="100" w:type="dxa"/>
            </w:tcMar>
            <w:vAlign w:val="center"/>
          </w:tcPr>
          <w:p w14:paraId="07E5B21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5471573A"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(4.19): قيم معامل ألفا كرونباخ لثبات أبعاد أداة الدراسة</w:t>
      </w:r>
    </w:p>
    <w:p w14:paraId="1B2C3C9D"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يتبيّن من الجدول أعلاه أن جميع معاملات ألفا كرونباخ للأبعاد الخمسة تجاوزت القيمة (0.90)، وبلغ معامل الثبات الكلي للأداة (0.980)، وهي قيم مرتفعة جداً تفوق الحد الأدنى المقبول علمياً (0.70) بفارق كبير، مما يؤكد تمتع أداة الدراسة بدرجة عالية جداً من الثبات الداخلي، وصلاحيتها للاعتماد عليها في قياس متغيرات الدراسة واختبار فرضياتها.</w:t>
      </w:r>
    </w:p>
    <w:p w14:paraId="0B1E2622"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u w:val="single"/>
          <w:rtl/>
        </w:rPr>
        <w:t>رابعاً: اختبار افتراضات التحليل الإحصائي</w:t>
      </w:r>
    </w:p>
    <w:p w14:paraId="1EA9AAB0"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يهدف هذا الجزء إلى التحقق من مدى تحقق افتراضات التحليل الإحصائي اللازمة لاستخدام الاختبارات الإحصائية المعتمدة في الدراسة، مثل: التوزيع الطبيعي للبيانات، وتجانس التباين، والاستقلالية، والارتباط الخطي (الرتبي)، وبيان مدى ملاءمة البيانات لهذه الاختبارات، بما يبرر اعتماد الأساليب الإحصائية اللامعلمية (Non-parametric) المحددة في الفصل الثالث.</w:t>
      </w:r>
    </w:p>
    <w:p w14:paraId="6E05EE96"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1. اختبار التوزيع الطبيعي (Shapiro-Wilk)</w:t>
      </w:r>
    </w:p>
    <w:p w14:paraId="749EE9B9"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طُبِّق اختبار شابيرو-ويلك (Shapiro-Wilk) للتحقق من مدى اتباع بيانات أبعاد الدراسة الخمسة للتوزيع الطبيعي، حيث تشير القيمة الاحتمالية الأقل من (0.05) إلى انحراف البيانات عن التوزيع الطبيعي.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53"/>
        <w:gridCol w:w="1576"/>
        <w:gridCol w:w="1576"/>
        <w:gridCol w:w="1991"/>
      </w:tblGrid>
      <w:tr w:rsidR="007608E1" w:rsidRPr="00B5019C" w14:paraId="1BA73270" w14:textId="77777777" w:rsidTr="00036983">
        <w:trPr>
          <w:tblHeader/>
          <w:jc w:val="center"/>
        </w:trPr>
        <w:tc>
          <w:tcPr>
            <w:tcW w:w="1900" w:type="pct"/>
            <w:shd w:val="clear" w:color="auto" w:fill="2E5395"/>
            <w:tcMar>
              <w:top w:w="60" w:type="dxa"/>
              <w:left w:w="100" w:type="dxa"/>
              <w:bottom w:w="60" w:type="dxa"/>
              <w:right w:w="100" w:type="dxa"/>
            </w:tcMar>
            <w:vAlign w:val="center"/>
          </w:tcPr>
          <w:p w14:paraId="0F795A8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البُعد</w:t>
            </w:r>
          </w:p>
        </w:tc>
        <w:tc>
          <w:tcPr>
            <w:tcW w:w="950" w:type="pct"/>
            <w:shd w:val="clear" w:color="auto" w:fill="2E5395"/>
            <w:tcMar>
              <w:top w:w="60" w:type="dxa"/>
              <w:left w:w="100" w:type="dxa"/>
              <w:bottom w:w="60" w:type="dxa"/>
              <w:right w:w="100" w:type="dxa"/>
            </w:tcMar>
            <w:vAlign w:val="center"/>
          </w:tcPr>
          <w:p w14:paraId="3D923A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قيمة الإحصائي (W)</w:t>
            </w:r>
          </w:p>
        </w:tc>
        <w:tc>
          <w:tcPr>
            <w:tcW w:w="950" w:type="pct"/>
            <w:shd w:val="clear" w:color="auto" w:fill="2E5395"/>
            <w:tcMar>
              <w:top w:w="60" w:type="dxa"/>
              <w:left w:w="100" w:type="dxa"/>
              <w:bottom w:w="60" w:type="dxa"/>
              <w:right w:w="100" w:type="dxa"/>
            </w:tcMar>
            <w:vAlign w:val="center"/>
          </w:tcPr>
          <w:p w14:paraId="2DDF8FD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القيمة الاحتمالية (p)</w:t>
            </w:r>
          </w:p>
        </w:tc>
        <w:tc>
          <w:tcPr>
            <w:tcW w:w="1200" w:type="pct"/>
            <w:shd w:val="clear" w:color="auto" w:fill="2E5395"/>
            <w:tcMar>
              <w:top w:w="60" w:type="dxa"/>
              <w:left w:w="100" w:type="dxa"/>
              <w:bottom w:w="60" w:type="dxa"/>
              <w:right w:w="100" w:type="dxa"/>
            </w:tcMar>
            <w:vAlign w:val="center"/>
          </w:tcPr>
          <w:p w14:paraId="749F3A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القرار</w:t>
            </w:r>
          </w:p>
        </w:tc>
      </w:tr>
      <w:tr w:rsidR="007608E1" w:rsidRPr="00B5019C" w14:paraId="36F6F6CE" w14:textId="77777777" w:rsidTr="00036983">
        <w:trPr>
          <w:jc w:val="center"/>
        </w:trPr>
        <w:tc>
          <w:tcPr>
            <w:tcW w:w="1900" w:type="pct"/>
            <w:tcMar>
              <w:top w:w="60" w:type="dxa"/>
              <w:left w:w="100" w:type="dxa"/>
              <w:bottom w:w="60" w:type="dxa"/>
              <w:right w:w="100" w:type="dxa"/>
            </w:tcMar>
            <w:vAlign w:val="center"/>
          </w:tcPr>
          <w:p w14:paraId="7846B87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الترميز الأمني للبيانات</w:t>
            </w:r>
          </w:p>
        </w:tc>
        <w:tc>
          <w:tcPr>
            <w:tcW w:w="950" w:type="pct"/>
            <w:tcMar>
              <w:top w:w="60" w:type="dxa"/>
              <w:left w:w="100" w:type="dxa"/>
              <w:bottom w:w="60" w:type="dxa"/>
              <w:right w:w="100" w:type="dxa"/>
            </w:tcMar>
            <w:vAlign w:val="center"/>
          </w:tcPr>
          <w:p w14:paraId="4C1ECB6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0.723</w:t>
            </w:r>
          </w:p>
        </w:tc>
        <w:tc>
          <w:tcPr>
            <w:tcW w:w="950" w:type="pct"/>
            <w:tcMar>
              <w:top w:w="60" w:type="dxa"/>
              <w:left w:w="100" w:type="dxa"/>
              <w:bottom w:w="60" w:type="dxa"/>
              <w:right w:w="100" w:type="dxa"/>
            </w:tcMar>
            <w:vAlign w:val="center"/>
          </w:tcPr>
          <w:p w14:paraId="546CF3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72BF7BA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42D65C45" w14:textId="77777777" w:rsidTr="00036983">
        <w:trPr>
          <w:jc w:val="center"/>
        </w:trPr>
        <w:tc>
          <w:tcPr>
            <w:tcW w:w="1900" w:type="pct"/>
            <w:shd w:val="clear" w:color="auto" w:fill="F2F2F2"/>
            <w:tcMar>
              <w:top w:w="60" w:type="dxa"/>
              <w:left w:w="100" w:type="dxa"/>
              <w:bottom w:w="60" w:type="dxa"/>
              <w:right w:w="100" w:type="dxa"/>
            </w:tcMar>
            <w:vAlign w:val="center"/>
          </w:tcPr>
          <w:p w14:paraId="3B67078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الامتثال للمعايير الدولية</w:t>
            </w:r>
          </w:p>
        </w:tc>
        <w:tc>
          <w:tcPr>
            <w:tcW w:w="950" w:type="pct"/>
            <w:shd w:val="clear" w:color="auto" w:fill="F2F2F2"/>
            <w:tcMar>
              <w:top w:w="60" w:type="dxa"/>
              <w:left w:w="100" w:type="dxa"/>
              <w:bottom w:w="60" w:type="dxa"/>
              <w:right w:w="100" w:type="dxa"/>
            </w:tcMar>
            <w:vAlign w:val="center"/>
          </w:tcPr>
          <w:p w14:paraId="7A9916A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0.744</w:t>
            </w:r>
          </w:p>
        </w:tc>
        <w:tc>
          <w:tcPr>
            <w:tcW w:w="950" w:type="pct"/>
            <w:shd w:val="clear" w:color="auto" w:fill="F2F2F2"/>
            <w:tcMar>
              <w:top w:w="60" w:type="dxa"/>
              <w:left w:w="100" w:type="dxa"/>
              <w:bottom w:w="60" w:type="dxa"/>
              <w:right w:w="100" w:type="dxa"/>
            </w:tcMar>
            <w:vAlign w:val="center"/>
          </w:tcPr>
          <w:p w14:paraId="5E0685C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3B478C1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4BF8746" w14:textId="77777777" w:rsidTr="00036983">
        <w:trPr>
          <w:jc w:val="center"/>
        </w:trPr>
        <w:tc>
          <w:tcPr>
            <w:tcW w:w="1900" w:type="pct"/>
            <w:tcMar>
              <w:top w:w="60" w:type="dxa"/>
              <w:left w:w="100" w:type="dxa"/>
              <w:bottom w:w="60" w:type="dxa"/>
              <w:right w:w="100" w:type="dxa"/>
            </w:tcMar>
            <w:vAlign w:val="center"/>
          </w:tcPr>
          <w:p w14:paraId="349E9DF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الكفاءة التشغيلية المالية</w:t>
            </w:r>
          </w:p>
        </w:tc>
        <w:tc>
          <w:tcPr>
            <w:tcW w:w="950" w:type="pct"/>
            <w:tcMar>
              <w:top w:w="60" w:type="dxa"/>
              <w:left w:w="100" w:type="dxa"/>
              <w:bottom w:w="60" w:type="dxa"/>
              <w:right w:w="100" w:type="dxa"/>
            </w:tcMar>
            <w:vAlign w:val="center"/>
          </w:tcPr>
          <w:p w14:paraId="441E802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0.787</w:t>
            </w:r>
          </w:p>
        </w:tc>
        <w:tc>
          <w:tcPr>
            <w:tcW w:w="950" w:type="pct"/>
            <w:tcMar>
              <w:top w:w="60" w:type="dxa"/>
              <w:left w:w="100" w:type="dxa"/>
              <w:bottom w:w="60" w:type="dxa"/>
              <w:right w:w="100" w:type="dxa"/>
            </w:tcMar>
            <w:vAlign w:val="center"/>
          </w:tcPr>
          <w:p w14:paraId="6126D1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293FEEF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6B7E09E" w14:textId="77777777" w:rsidTr="00036983">
        <w:trPr>
          <w:jc w:val="center"/>
        </w:trPr>
        <w:tc>
          <w:tcPr>
            <w:tcW w:w="1900" w:type="pct"/>
            <w:shd w:val="clear" w:color="auto" w:fill="F2F2F2"/>
            <w:tcMar>
              <w:top w:w="60" w:type="dxa"/>
              <w:left w:w="100" w:type="dxa"/>
              <w:bottom w:w="60" w:type="dxa"/>
              <w:right w:w="100" w:type="dxa"/>
            </w:tcMar>
            <w:vAlign w:val="center"/>
          </w:tcPr>
          <w:p w14:paraId="12B5407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الأمن السيبراني المؤسسي</w:t>
            </w:r>
          </w:p>
        </w:tc>
        <w:tc>
          <w:tcPr>
            <w:tcW w:w="950" w:type="pct"/>
            <w:shd w:val="clear" w:color="auto" w:fill="F2F2F2"/>
            <w:tcMar>
              <w:top w:w="60" w:type="dxa"/>
              <w:left w:w="100" w:type="dxa"/>
              <w:bottom w:w="60" w:type="dxa"/>
              <w:right w:w="100" w:type="dxa"/>
            </w:tcMar>
            <w:vAlign w:val="center"/>
          </w:tcPr>
          <w:p w14:paraId="4E775D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0.786</w:t>
            </w:r>
          </w:p>
        </w:tc>
        <w:tc>
          <w:tcPr>
            <w:tcW w:w="950" w:type="pct"/>
            <w:shd w:val="clear" w:color="auto" w:fill="F2F2F2"/>
            <w:tcMar>
              <w:top w:w="60" w:type="dxa"/>
              <w:left w:w="100" w:type="dxa"/>
              <w:bottom w:w="60" w:type="dxa"/>
              <w:right w:w="100" w:type="dxa"/>
            </w:tcMar>
            <w:vAlign w:val="center"/>
          </w:tcPr>
          <w:p w14:paraId="543A19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53EBC38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20860DF6" w14:textId="77777777" w:rsidTr="00036983">
        <w:trPr>
          <w:jc w:val="center"/>
        </w:trPr>
        <w:tc>
          <w:tcPr>
            <w:tcW w:w="1900" w:type="pct"/>
            <w:tcMar>
              <w:top w:w="60" w:type="dxa"/>
              <w:left w:w="100" w:type="dxa"/>
              <w:bottom w:w="60" w:type="dxa"/>
              <w:right w:w="100" w:type="dxa"/>
            </w:tcMar>
            <w:vAlign w:val="center"/>
          </w:tcPr>
          <w:p w14:paraId="2730BC1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التوافق مع رؤية 2030</w:t>
            </w:r>
          </w:p>
        </w:tc>
        <w:tc>
          <w:tcPr>
            <w:tcW w:w="950" w:type="pct"/>
            <w:tcMar>
              <w:top w:w="60" w:type="dxa"/>
              <w:left w:w="100" w:type="dxa"/>
              <w:bottom w:w="60" w:type="dxa"/>
              <w:right w:w="100" w:type="dxa"/>
            </w:tcMar>
            <w:vAlign w:val="center"/>
          </w:tcPr>
          <w:p w14:paraId="13AC2B5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0.750</w:t>
            </w:r>
          </w:p>
        </w:tc>
        <w:tc>
          <w:tcPr>
            <w:tcW w:w="950" w:type="pct"/>
            <w:tcMar>
              <w:top w:w="60" w:type="dxa"/>
              <w:left w:w="100" w:type="dxa"/>
              <w:bottom w:w="60" w:type="dxa"/>
              <w:right w:w="100" w:type="dxa"/>
            </w:tcMar>
            <w:vAlign w:val="center"/>
          </w:tcPr>
          <w:p w14:paraId="4F06E3B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565BF2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E1E63A0" w14:textId="77777777" w:rsidTr="00036983">
        <w:trPr>
          <w:jc w:val="center"/>
        </w:trPr>
        <w:tc>
          <w:tcPr>
            <w:tcW w:w="1900" w:type="pct"/>
            <w:shd w:val="clear" w:color="auto" w:fill="F2F2F2"/>
            <w:tcMar>
              <w:top w:w="60" w:type="dxa"/>
              <w:left w:w="100" w:type="dxa"/>
              <w:bottom w:w="60" w:type="dxa"/>
              <w:right w:w="100" w:type="dxa"/>
            </w:tcMar>
            <w:vAlign w:val="center"/>
          </w:tcPr>
          <w:p w14:paraId="51D24A5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تطبيق تقنية الترميز (إجمالي)</w:t>
            </w:r>
          </w:p>
        </w:tc>
        <w:tc>
          <w:tcPr>
            <w:tcW w:w="950" w:type="pct"/>
            <w:shd w:val="clear" w:color="auto" w:fill="F2F2F2"/>
            <w:tcMar>
              <w:top w:w="60" w:type="dxa"/>
              <w:left w:w="100" w:type="dxa"/>
              <w:bottom w:w="60" w:type="dxa"/>
              <w:right w:w="100" w:type="dxa"/>
            </w:tcMar>
            <w:vAlign w:val="center"/>
          </w:tcPr>
          <w:p w14:paraId="0B7BD4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0.691</w:t>
            </w:r>
          </w:p>
        </w:tc>
        <w:tc>
          <w:tcPr>
            <w:tcW w:w="950" w:type="pct"/>
            <w:shd w:val="clear" w:color="auto" w:fill="F2F2F2"/>
            <w:tcMar>
              <w:top w:w="60" w:type="dxa"/>
              <w:left w:w="100" w:type="dxa"/>
              <w:bottom w:w="60" w:type="dxa"/>
              <w:right w:w="100" w:type="dxa"/>
            </w:tcMar>
            <w:vAlign w:val="center"/>
          </w:tcPr>
          <w:p w14:paraId="2889E4B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4D179E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bl>
    <w:p w14:paraId="0EE0C65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(4.20): نتائج اختبار شابيرو-ويلك للتوزيع الطبيعي لأبعاد الدراسة</w:t>
      </w:r>
    </w:p>
    <w:p w14:paraId="6024FF6B" w14:textId="77777777" w:rsidR="007608E1" w:rsidRPr="00B5019C" w:rsidRDefault="007608E1" w:rsidP="00E000FF">
      <w:pPr>
        <w:bidi/>
        <w:spacing w:after="0" w:line="360" w:lineRule="auto"/>
        <w:jc w:val="both"/>
        <w:rPr>
          <w:rFonts w:ascii="Simplified Arabic" w:eastAsia="Simplified Arabic" w:hAnsi="Simplified Arabic" w:cs="Simplified Arabic"/>
          <w:sz w:val="32"/>
          <w:szCs w:val="32"/>
          <w:rtl/>
        </w:rPr>
      </w:pPr>
      <w:r w:rsidRPr="00B5019C">
        <w:rPr>
          <w:rFonts w:ascii="Traditional Arabic" w:eastAsia="Simplified Arabic" w:hAnsi="Traditional Arabic" w:cs="Traditional Arabic"/>
          <w:sz w:val="28"/>
          <w:szCs w:val="28"/>
          <w:rtl/>
        </w:rPr>
        <w:t>يتضح من نتائج الجدول أن القيمة الاحتمالية لجميع أبعاد الدراسة جاءت أقل من (0.001)، وهو ما يشير إلى وجود انحراف دال إحصائياً عن التوزيع الطبيعي في بيانات جميع الأبعاد، ويعزى ذلك في جانب منه إلى طبيعة مقياس ليكرت الترتيبي (Ordinal) المستخدم وإلى الالتواء السلبي الملحوظ في الاستجابات نحو فئتي "أوافق" و"أوافق بشدة". وعليه، فإن هذه النتيجة تُبرِّر إحصائياً الاعتماد على الأساليب اللامعلمية (اختبار سبيرمان للارتباط، ومان-ويتني U، وكروسكال-واليس، والانحدار المنقّح) بدلاً من الأساليب المعلمية المناظرة، بما يتسق مع ما ورد في منهجية الفصل الثالث.</w:t>
      </w:r>
    </w:p>
    <w:p w14:paraId="3E809191" w14:textId="77777777" w:rsidR="008B1684" w:rsidRDefault="008B1684" w:rsidP="00E000FF">
      <w:pPr>
        <w:bidi/>
        <w:spacing w:after="0" w:line="360" w:lineRule="auto"/>
        <w:jc w:val="both"/>
        <w:rPr>
          <w:rFonts w:ascii="Simplified Arabic" w:eastAsia="Simplified Arabic" w:hAnsi="Simplified Arabic" w:cs="Simplified Arabic"/>
          <w:sz w:val="28"/>
          <w:szCs w:val="28"/>
          <w:rtl/>
        </w:rPr>
      </w:pPr>
    </w:p>
    <w:p w14:paraId="463F8FC5" w14:textId="77777777" w:rsidR="008B1684" w:rsidRDefault="008B1684" w:rsidP="00E000FF">
      <w:pPr>
        <w:bidi/>
        <w:spacing w:after="0" w:line="360" w:lineRule="auto"/>
        <w:jc w:val="both"/>
      </w:pPr>
    </w:p>
    <w:p w14:paraId="06679E97"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2. اختبار تجانس التباين (Levene)</w:t>
      </w:r>
    </w:p>
    <w:p w14:paraId="503BBDDA"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طُبِّق اختبار ليفين (Levene's Test) للتحقق من تجانس التباين في درجات محور تطبيق تقنية الترميز بين المجموعات الثلاث لنوع المؤسسة (بنوك، فنتك ودفع إلكتروني، مؤسسات أخرى). وقد بلغت قيمة إحصائي ليفين (80.921) بقيمة احتمالية (0.001&gt;)، وهي أقل من (0.05)، مما يشير إلى عدم تجانس التباين بين المجموعات الثلاث. وتُعدّ هذه النتيجة مبرراً إحصائياً إضافياً لاستبعاد تحليل التباين الأحادي (ANOVA) المعلمي واعتماد اختبار كروسكال-واليس اللامعلمي بديلاً عنه عند اختبار الفرضية الخامسة.</w:t>
      </w:r>
    </w:p>
    <w:tbl>
      <w:tblPr>
        <w:bidiVisual/>
        <w:tblW w:w="8298"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719"/>
        <w:gridCol w:w="2371"/>
        <w:gridCol w:w="1304"/>
        <w:gridCol w:w="1304"/>
        <w:gridCol w:w="1600"/>
      </w:tblGrid>
      <w:tr w:rsidR="005D691F" w:rsidRPr="0047534A" w14:paraId="4A97A3FB" w14:textId="77777777" w:rsidTr="0047534A">
        <w:tc>
          <w:tcPr>
            <w:tcW w:w="1719" w:type="dxa"/>
            <w:shd w:val="clear" w:color="auto" w:fill="DCE9F5"/>
            <w:vAlign w:val="center"/>
          </w:tcPr>
          <w:p w14:paraId="2CFC29B4"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المتغير المقارَن</w:t>
            </w:r>
          </w:p>
        </w:tc>
        <w:tc>
          <w:tcPr>
            <w:tcW w:w="2371" w:type="dxa"/>
            <w:shd w:val="clear" w:color="auto" w:fill="DCE9F5"/>
            <w:vAlign w:val="center"/>
          </w:tcPr>
          <w:p w14:paraId="60D8ABDD"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مجموعات المقارنة</w:t>
            </w:r>
          </w:p>
        </w:tc>
        <w:tc>
          <w:tcPr>
            <w:tcW w:w="1304" w:type="dxa"/>
            <w:shd w:val="clear" w:color="auto" w:fill="DCE9F5"/>
            <w:vAlign w:val="center"/>
          </w:tcPr>
          <w:p w14:paraId="73463671"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قيمة إحصائي ليفين</w:t>
            </w:r>
          </w:p>
        </w:tc>
        <w:tc>
          <w:tcPr>
            <w:tcW w:w="1304" w:type="dxa"/>
            <w:shd w:val="clear" w:color="auto" w:fill="DCE9F5"/>
            <w:vAlign w:val="center"/>
          </w:tcPr>
          <w:p w14:paraId="67A3823D"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القيمة الاحتمالية (p)</w:t>
            </w:r>
          </w:p>
        </w:tc>
        <w:tc>
          <w:tcPr>
            <w:tcW w:w="1600" w:type="dxa"/>
            <w:shd w:val="clear" w:color="auto" w:fill="DCE9F5"/>
            <w:vAlign w:val="center"/>
          </w:tcPr>
          <w:p w14:paraId="06C83B4D"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القرار</w:t>
            </w:r>
          </w:p>
        </w:tc>
      </w:tr>
      <w:tr w:rsidR="005D691F" w:rsidRPr="0047534A" w14:paraId="18567E06" w14:textId="77777777" w:rsidTr="0047534A">
        <w:tc>
          <w:tcPr>
            <w:tcW w:w="1719" w:type="dxa"/>
            <w:vAlign w:val="center"/>
          </w:tcPr>
          <w:p w14:paraId="367AB810"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تطبيق تقنية الترميز</w:t>
            </w:r>
          </w:p>
        </w:tc>
        <w:tc>
          <w:tcPr>
            <w:tcW w:w="2371" w:type="dxa"/>
            <w:vAlign w:val="center"/>
          </w:tcPr>
          <w:p w14:paraId="1CF41C86"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بنوك / فنتك ودفع إلكتروني / مؤسسات أخرى</w:t>
            </w:r>
          </w:p>
        </w:tc>
        <w:tc>
          <w:tcPr>
            <w:tcW w:w="1304" w:type="dxa"/>
            <w:vAlign w:val="center"/>
          </w:tcPr>
          <w:p w14:paraId="5BF70AEF"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80.921</w:t>
            </w:r>
          </w:p>
        </w:tc>
        <w:tc>
          <w:tcPr>
            <w:tcW w:w="1304" w:type="dxa"/>
            <w:vAlign w:val="center"/>
          </w:tcPr>
          <w:p w14:paraId="2F6B4CE4"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&lt; 0.001</w:t>
            </w:r>
          </w:p>
        </w:tc>
        <w:tc>
          <w:tcPr>
            <w:tcW w:w="1600" w:type="dxa"/>
            <w:vAlign w:val="center"/>
          </w:tcPr>
          <w:p w14:paraId="4271870B"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عدم تجانس التباين</w:t>
            </w:r>
          </w:p>
        </w:tc>
      </w:tr>
    </w:tbl>
    <w:p w14:paraId="492D7B87" w14:textId="77777777" w:rsidR="00B35152" w:rsidRDefault="00B35152" w:rsidP="00E000FF">
      <w:pPr>
        <w:pStyle w:val="TableCaption"/>
        <w:bidi/>
        <w:spacing w:after="0" w:line="300" w:lineRule="auto"/>
        <w:jc w:val="both"/>
        <w:rPr>
          <w:rFonts w:ascii="Simplified Arabic" w:hAnsi="Simplified Arabic" w:cs="Simplified Arabic"/>
          <w:sz w:val="28"/>
          <w:szCs w:val="28"/>
          <w:rtl/>
        </w:rPr>
      </w:pPr>
      <w:r>
        <w:rPr>
          <w:rFonts w:ascii="Traditional Arabic" w:hAnsi="Traditional Arabic" w:cs="Traditional Arabic"/>
          <w:b/>
          <w:bCs/>
          <w:sz w:val="24"/>
          <w:szCs w:val="24"/>
          <w:rtl/>
        </w:rPr>
        <w:t>جدول (4.20-أ): نتائج اختبار ليفين لتجانس التباين بين مجموعات نوع المؤسسة</w:t>
      </w:r>
    </w:p>
    <w:p w14:paraId="70E8D197"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يتضح من الجدول أن القيمة الاحتمالية لاختبار ليفين جاءت أقل من (0.05)، وهو ما يدل على عدم تجانس التباين بين المجموعات الثلاث. وتُعدّ هذه النتيجة مبرراً إحصائياً لاستبعاد تحليل التباين الأحادي المعلمي واعتماد اختبار كروسكال-واليس اللامعلمي بديلاً عنه.</w:t>
      </w:r>
    </w:p>
    <w:p w14:paraId="1EEF3A7A"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اختبار الارتباط الخطي (الرتبي)</w:t>
      </w:r>
    </w:p>
    <w:p w14:paraId="5AA30B79"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نظراً لاعتماد الدراسة أسلوب الانحدار المنقّح (Robust Regression) لاختبار الفرضية الرابعة، جرى التحقق من وجود علاقة ارتباطية رتبية دالة بين محور تطبيق تقنية الترميز والمتغيرين التابعين (كفاءة العمليات المالية والأمن السيبراني المؤسسي) كشرط أساسي لملاءمة نموذج الانحدار.</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485"/>
        <w:gridCol w:w="1659"/>
        <w:gridCol w:w="1576"/>
        <w:gridCol w:w="1576"/>
      </w:tblGrid>
      <w:tr w:rsidR="007608E1" w14:paraId="6CB770C3" w14:textId="77777777" w:rsidTr="0047534A">
        <w:trPr>
          <w:tblHeader/>
        </w:trPr>
        <w:tc>
          <w:tcPr>
            <w:tcW w:w="2100" w:type="pct"/>
            <w:shd w:val="clear" w:color="auto" w:fill="2E5395"/>
            <w:tcMar>
              <w:top w:w="60" w:type="dxa"/>
              <w:left w:w="100" w:type="dxa"/>
              <w:bottom w:w="60" w:type="dxa"/>
              <w:right w:w="100" w:type="dxa"/>
            </w:tcMar>
            <w:vAlign w:val="center"/>
          </w:tcPr>
          <w:p w14:paraId="3BFC00CA"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العلاقة</w:t>
            </w:r>
          </w:p>
        </w:tc>
        <w:tc>
          <w:tcPr>
            <w:tcW w:w="1000" w:type="pct"/>
            <w:shd w:val="clear" w:color="auto" w:fill="2E5395"/>
            <w:tcMar>
              <w:top w:w="60" w:type="dxa"/>
              <w:left w:w="100" w:type="dxa"/>
              <w:bottom w:w="60" w:type="dxa"/>
              <w:right w:w="100" w:type="dxa"/>
            </w:tcMar>
            <w:vAlign w:val="center"/>
          </w:tcPr>
          <w:p w14:paraId="4DB72B6F"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معامل ارتباط سبيرمان (r)</w:t>
            </w:r>
          </w:p>
        </w:tc>
        <w:tc>
          <w:tcPr>
            <w:tcW w:w="950" w:type="pct"/>
            <w:shd w:val="clear" w:color="auto" w:fill="2E5395"/>
            <w:tcMar>
              <w:top w:w="60" w:type="dxa"/>
              <w:left w:w="100" w:type="dxa"/>
              <w:bottom w:w="60" w:type="dxa"/>
              <w:right w:w="100" w:type="dxa"/>
            </w:tcMar>
            <w:vAlign w:val="center"/>
          </w:tcPr>
          <w:p w14:paraId="070A2A4D"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50" w:type="pct"/>
            <w:shd w:val="clear" w:color="auto" w:fill="2E5395"/>
            <w:tcMar>
              <w:top w:w="60" w:type="dxa"/>
              <w:left w:w="100" w:type="dxa"/>
              <w:bottom w:w="60" w:type="dxa"/>
              <w:right w:w="100" w:type="dxa"/>
            </w:tcMar>
            <w:vAlign w:val="center"/>
          </w:tcPr>
          <w:p w14:paraId="2C0591CF"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القرار</w:t>
            </w:r>
          </w:p>
        </w:tc>
      </w:tr>
      <w:tr w:rsidR="007608E1" w14:paraId="1C1D70BA" w14:textId="77777777" w:rsidTr="0047534A">
        <w:tc>
          <w:tcPr>
            <w:tcW w:w="2100" w:type="pct"/>
            <w:tcMar>
              <w:top w:w="60" w:type="dxa"/>
              <w:left w:w="100" w:type="dxa"/>
              <w:bottom w:w="60" w:type="dxa"/>
              <w:right w:w="100" w:type="dxa"/>
            </w:tcMar>
            <w:vAlign w:val="center"/>
          </w:tcPr>
          <w:p w14:paraId="546DDC61"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تطبيق تقنية الترميز × الكفاءة التشغيلية المالية</w:t>
            </w:r>
          </w:p>
        </w:tc>
        <w:tc>
          <w:tcPr>
            <w:tcW w:w="1000" w:type="pct"/>
            <w:tcMar>
              <w:top w:w="60" w:type="dxa"/>
              <w:left w:w="100" w:type="dxa"/>
              <w:bottom w:w="60" w:type="dxa"/>
              <w:right w:w="100" w:type="dxa"/>
            </w:tcMar>
            <w:vAlign w:val="center"/>
          </w:tcPr>
          <w:p w14:paraId="15AC52AD"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0.625</w:t>
            </w:r>
          </w:p>
        </w:tc>
        <w:tc>
          <w:tcPr>
            <w:tcW w:w="950" w:type="pct"/>
            <w:tcMar>
              <w:top w:w="60" w:type="dxa"/>
              <w:left w:w="100" w:type="dxa"/>
              <w:bottom w:w="60" w:type="dxa"/>
              <w:right w:w="100" w:type="dxa"/>
            </w:tcMar>
            <w:vAlign w:val="center"/>
          </w:tcPr>
          <w:p w14:paraId="0EEC7DBC"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0.001&gt;</w:t>
            </w:r>
          </w:p>
        </w:tc>
        <w:tc>
          <w:tcPr>
            <w:tcW w:w="950" w:type="pct"/>
            <w:tcMar>
              <w:top w:w="60" w:type="dxa"/>
              <w:left w:w="100" w:type="dxa"/>
              <w:bottom w:w="60" w:type="dxa"/>
              <w:right w:w="100" w:type="dxa"/>
            </w:tcMar>
            <w:vAlign w:val="center"/>
          </w:tcPr>
          <w:p w14:paraId="21A04255"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علاقة طردية دالة</w:t>
            </w:r>
          </w:p>
        </w:tc>
      </w:tr>
      <w:tr w:rsidR="007608E1" w14:paraId="6D80764C" w14:textId="77777777" w:rsidTr="0047534A">
        <w:tc>
          <w:tcPr>
            <w:tcW w:w="2100" w:type="pct"/>
            <w:shd w:val="clear" w:color="auto" w:fill="F2F2F2"/>
            <w:tcMar>
              <w:top w:w="60" w:type="dxa"/>
              <w:left w:w="100" w:type="dxa"/>
              <w:bottom w:w="60" w:type="dxa"/>
              <w:right w:w="100" w:type="dxa"/>
            </w:tcMar>
            <w:vAlign w:val="center"/>
          </w:tcPr>
          <w:p w14:paraId="307A4BBD"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تطبيق تقنية الترميز × الأمن السيبراني المؤسسي</w:t>
            </w:r>
          </w:p>
        </w:tc>
        <w:tc>
          <w:tcPr>
            <w:tcW w:w="1000" w:type="pct"/>
            <w:shd w:val="clear" w:color="auto" w:fill="F2F2F2"/>
            <w:tcMar>
              <w:top w:w="60" w:type="dxa"/>
              <w:left w:w="100" w:type="dxa"/>
              <w:bottom w:w="60" w:type="dxa"/>
              <w:right w:w="100" w:type="dxa"/>
            </w:tcMar>
            <w:vAlign w:val="center"/>
          </w:tcPr>
          <w:p w14:paraId="5EB86607"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0.641</w:t>
            </w:r>
          </w:p>
        </w:tc>
        <w:tc>
          <w:tcPr>
            <w:tcW w:w="950" w:type="pct"/>
            <w:shd w:val="clear" w:color="auto" w:fill="F2F2F2"/>
            <w:tcMar>
              <w:top w:w="60" w:type="dxa"/>
              <w:left w:w="100" w:type="dxa"/>
              <w:bottom w:w="60" w:type="dxa"/>
              <w:right w:w="100" w:type="dxa"/>
            </w:tcMar>
            <w:vAlign w:val="center"/>
          </w:tcPr>
          <w:p w14:paraId="632F089C"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0.001&gt;</w:t>
            </w:r>
          </w:p>
        </w:tc>
        <w:tc>
          <w:tcPr>
            <w:tcW w:w="950" w:type="pct"/>
            <w:shd w:val="clear" w:color="auto" w:fill="F2F2F2"/>
            <w:tcMar>
              <w:top w:w="60" w:type="dxa"/>
              <w:left w:w="100" w:type="dxa"/>
              <w:bottom w:w="60" w:type="dxa"/>
              <w:right w:w="100" w:type="dxa"/>
            </w:tcMar>
            <w:vAlign w:val="center"/>
          </w:tcPr>
          <w:p w14:paraId="1E6A425C"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علاقة طردية دالة</w:t>
            </w:r>
          </w:p>
        </w:tc>
      </w:tr>
    </w:tbl>
    <w:p w14:paraId="7447284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(4.21): نتائج اختبار الارتباط الرتبي كشرط لملاءمة نموذج الانحدار المنقّح</w:t>
      </w:r>
    </w:p>
    <w:p w14:paraId="68E0667B"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تشير النتائج إلى وجود علاقة ارتباطية طردية دالة إحصائياً بين محور تطبيق تقنية الترميز وكل من الكفاءة التشغيلية المالية والأمن السيبراني المؤسسي، مما يؤكد تحقق شرط العلاقة الاتجاهية اللازم لبناء نموذجي الانحدار المنقّح الواردين في الجزء السادس من هذا الفصل.</w:t>
      </w:r>
    </w:p>
    <w:p w14:paraId="03C87C4A" w14:textId="77777777" w:rsidR="007608E1" w:rsidRDefault="007608E1" w:rsidP="00E000FF">
      <w:pPr>
        <w:bidi/>
        <w:spacing w:after="0" w:line="360" w:lineRule="auto"/>
        <w:jc w:val="both"/>
      </w:pPr>
      <w:r w:rsidRPr="0047534A">
        <w:rPr>
          <w:rFonts w:ascii="Traditional Arabic" w:eastAsia="Simplified Arabic" w:hAnsi="Traditional Arabic" w:cs="Traditional Arabic"/>
          <w:sz w:val="28"/>
          <w:szCs w:val="28"/>
          <w:rtl/>
        </w:rPr>
        <w:t>وبناءً على ما تقدم من نتائج اختبارات التوزيع الطبيعي وتجانس التباين، تقرر اعتماد الأساليب الإحصائية اللامعلمية التالية في اختبار فرضيات الدراسة: معامل ارتباط سبيرمان للرتب، واختبار مان-ويتني U، واختبار كروسكال-واليس، والانحدار المنقّح (Robust Regression) كبديل مقاوم للانحراف عن التوزيع الطبيعي وتبايناته غير المتجانسة.</w:t>
      </w:r>
    </w:p>
    <w:p w14:paraId="3D54E32C"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u w:val="single"/>
          <w:rtl/>
        </w:rPr>
        <w:t>خامساً: اختبار فرضيات الدراسة</w:t>
      </w:r>
    </w:p>
    <w:p w14:paraId="7C9BE2FA"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يتضمن هذا الجزء عرض نتائج اختبار فروض الدراسة الرئيسة الثلاثة وفروعها الستة وفق ترتيبها الوارد في الفصل الثالث، مع تحديد الاختبار الإحصائي المستخدم لكل فرض، ومستوى الدلالة المعتمد (0.05)، والقرار الإحصائي المتخذ، إلى جانب تفسير النتائج تفسيراً إحصائياً دون التوسع في المناقشة النظرية التي يُفرد لها الفصل الخامس.</w:t>
      </w:r>
    </w:p>
    <w:p w14:paraId="035F826A" w14:textId="77777777" w:rsidR="007608E1" w:rsidRDefault="007608E1" w:rsidP="00E000FF">
      <w:pPr>
        <w:bidi/>
        <w:spacing w:after="0" w:line="360" w:lineRule="auto"/>
        <w:jc w:val="both"/>
      </w:pPr>
      <w:r>
        <w:rPr>
          <w:rFonts w:ascii="Traditional Arabic" w:eastAsia="Simplified Arabic" w:hAnsi="Traditional Arabic" w:cs="Traditional Arabic"/>
          <w:b/>
          <w:bCs/>
          <w:sz w:val="24"/>
          <w:szCs w:val="24"/>
          <w:rtl/>
        </w:rPr>
        <w:lastRenderedPageBreak/>
        <w:t>الفرض الأول (H1): يوجد أثر ذو دلالة إحصائية لتطبيق تقنية الترميز على مستوى الأمن السيبراني المؤسسي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rsidRPr="00F153B7" w14:paraId="5F2122E2" w14:textId="77777777" w:rsidTr="007D4210">
        <w:trPr>
          <w:tblHeader/>
          <w:jc w:val="center"/>
        </w:trPr>
        <w:tc>
          <w:tcPr>
            <w:tcW w:w="979" w:type="pct"/>
            <w:shd w:val="clear" w:color="auto" w:fill="2E5395"/>
            <w:tcMar>
              <w:top w:w="60" w:type="dxa"/>
              <w:left w:w="100" w:type="dxa"/>
              <w:bottom w:w="60" w:type="dxa"/>
              <w:right w:w="100" w:type="dxa"/>
            </w:tcMar>
            <w:vAlign w:val="center"/>
          </w:tcPr>
          <w:p w14:paraId="021ADE13"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المستقل</w:t>
            </w:r>
          </w:p>
        </w:tc>
        <w:tc>
          <w:tcPr>
            <w:tcW w:w="979" w:type="pct"/>
            <w:shd w:val="clear" w:color="auto" w:fill="2E5395"/>
            <w:tcMar>
              <w:top w:w="60" w:type="dxa"/>
              <w:left w:w="100" w:type="dxa"/>
              <w:bottom w:w="60" w:type="dxa"/>
              <w:right w:w="100" w:type="dxa"/>
            </w:tcMar>
            <w:vAlign w:val="center"/>
          </w:tcPr>
          <w:p w14:paraId="5BC62FE7"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التابع</w:t>
            </w:r>
          </w:p>
        </w:tc>
        <w:tc>
          <w:tcPr>
            <w:tcW w:w="876" w:type="pct"/>
            <w:shd w:val="clear" w:color="auto" w:fill="2E5395"/>
            <w:tcMar>
              <w:top w:w="60" w:type="dxa"/>
              <w:left w:w="100" w:type="dxa"/>
              <w:bottom w:w="60" w:type="dxa"/>
              <w:right w:w="100" w:type="dxa"/>
            </w:tcMar>
            <w:vAlign w:val="center"/>
          </w:tcPr>
          <w:p w14:paraId="5D28A92E"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معامل ارتباط سبيرمان (r)</w:t>
            </w:r>
          </w:p>
        </w:tc>
        <w:tc>
          <w:tcPr>
            <w:tcW w:w="773" w:type="pct"/>
            <w:shd w:val="clear" w:color="auto" w:fill="2E5395"/>
            <w:tcMar>
              <w:top w:w="60" w:type="dxa"/>
              <w:left w:w="100" w:type="dxa"/>
              <w:bottom w:w="60" w:type="dxa"/>
              <w:right w:w="100" w:type="dxa"/>
            </w:tcMar>
            <w:vAlign w:val="center"/>
          </w:tcPr>
          <w:p w14:paraId="7BEF28A4"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515" w:type="pct"/>
            <w:shd w:val="clear" w:color="auto" w:fill="2E5395"/>
            <w:tcMar>
              <w:top w:w="60" w:type="dxa"/>
              <w:left w:w="100" w:type="dxa"/>
              <w:bottom w:w="60" w:type="dxa"/>
              <w:right w:w="100" w:type="dxa"/>
            </w:tcMar>
            <w:vAlign w:val="center"/>
          </w:tcPr>
          <w:p w14:paraId="20F7211A"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حجم العينة (n)</w:t>
            </w:r>
          </w:p>
        </w:tc>
        <w:tc>
          <w:tcPr>
            <w:tcW w:w="876" w:type="pct"/>
            <w:shd w:val="clear" w:color="auto" w:fill="2E5395"/>
            <w:tcMar>
              <w:top w:w="60" w:type="dxa"/>
              <w:left w:w="100" w:type="dxa"/>
              <w:bottom w:w="60" w:type="dxa"/>
              <w:right w:w="100" w:type="dxa"/>
            </w:tcMar>
            <w:vAlign w:val="center"/>
          </w:tcPr>
          <w:p w14:paraId="43BDB04C"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 الإحصائية</w:t>
            </w:r>
          </w:p>
        </w:tc>
      </w:tr>
      <w:tr w:rsidR="007608E1" w:rsidRPr="00F153B7" w14:paraId="34D976E3" w14:textId="77777777" w:rsidTr="007D4210">
        <w:trPr>
          <w:jc w:val="center"/>
        </w:trPr>
        <w:tc>
          <w:tcPr>
            <w:tcW w:w="979" w:type="pct"/>
            <w:tcMar>
              <w:top w:w="60" w:type="dxa"/>
              <w:left w:w="100" w:type="dxa"/>
              <w:bottom w:w="60" w:type="dxa"/>
              <w:right w:w="100" w:type="dxa"/>
            </w:tcMar>
            <w:vAlign w:val="center"/>
          </w:tcPr>
          <w:p w14:paraId="154418B0"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تطبيق تقنية الترميز</w:t>
            </w:r>
          </w:p>
        </w:tc>
        <w:tc>
          <w:tcPr>
            <w:tcW w:w="979" w:type="pct"/>
            <w:tcMar>
              <w:top w:w="60" w:type="dxa"/>
              <w:left w:w="100" w:type="dxa"/>
              <w:bottom w:w="60" w:type="dxa"/>
              <w:right w:w="100" w:type="dxa"/>
            </w:tcMar>
            <w:vAlign w:val="center"/>
          </w:tcPr>
          <w:p w14:paraId="7073D095"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الأمن السيبراني المؤسسي</w:t>
            </w:r>
          </w:p>
        </w:tc>
        <w:tc>
          <w:tcPr>
            <w:tcW w:w="876" w:type="pct"/>
            <w:tcMar>
              <w:top w:w="60" w:type="dxa"/>
              <w:left w:w="100" w:type="dxa"/>
              <w:bottom w:w="60" w:type="dxa"/>
              <w:right w:w="100" w:type="dxa"/>
            </w:tcMar>
            <w:vAlign w:val="center"/>
          </w:tcPr>
          <w:p w14:paraId="2615CA42"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0.641</w:t>
            </w:r>
          </w:p>
        </w:tc>
        <w:tc>
          <w:tcPr>
            <w:tcW w:w="773" w:type="pct"/>
            <w:tcMar>
              <w:top w:w="60" w:type="dxa"/>
              <w:left w:w="100" w:type="dxa"/>
              <w:bottom w:w="60" w:type="dxa"/>
              <w:right w:w="100" w:type="dxa"/>
            </w:tcMar>
            <w:vAlign w:val="center"/>
          </w:tcPr>
          <w:p w14:paraId="2CFD0FA2"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515" w:type="pct"/>
            <w:tcMar>
              <w:top w:w="60" w:type="dxa"/>
              <w:left w:w="100" w:type="dxa"/>
              <w:bottom w:w="60" w:type="dxa"/>
              <w:right w:w="100" w:type="dxa"/>
            </w:tcMar>
            <w:vAlign w:val="center"/>
          </w:tcPr>
          <w:p w14:paraId="034D8289"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196</w:t>
            </w:r>
          </w:p>
        </w:tc>
        <w:tc>
          <w:tcPr>
            <w:tcW w:w="876" w:type="pct"/>
            <w:tcMar>
              <w:top w:w="60" w:type="dxa"/>
              <w:left w:w="100" w:type="dxa"/>
              <w:bottom w:w="60" w:type="dxa"/>
              <w:right w:w="100" w:type="dxa"/>
            </w:tcMar>
            <w:vAlign w:val="center"/>
          </w:tcPr>
          <w:p w14:paraId="4F957C96"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15B2BEA1"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(4.22): نتائج اختبار معامل ارتباط سبيرمان للفرضية الأولى</w:t>
      </w:r>
    </w:p>
    <w:p w14:paraId="0547EA01"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t>أظهرت نتائج معامل ارتباط سبيرمان وجود علاقة ارتباطية طردية قوية ودالة إحصائياً بين تطبيق تقنية الترميز ومستوى الأمن السيبراني المؤسسي (r = 0.641، p &lt; 0.001)، وبذلك تُقبَل الفرضية الأولى، أي يوجد أثر ذو دلالة إحصائية لتطبيق تقنية الترميز على مستوى الأمن السيبراني في المؤسسات المالية السعودية.</w:t>
      </w:r>
    </w:p>
    <w:p w14:paraId="2EBD8F1C"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وفيما يخص الفرعين، أظهرت نتائج نموذج الانحدار المنقّح الثاني (جدول 4.28) أن بُعد الترميز الأمني للبيانات يؤثر تأثيراً موجباً ودالاً إحصائياً في الأمن السيبراني المؤسسي (B = 0.329، t = 5.889، p &lt; 0.001)، وبذلك يُقبَل الفرض الفرعي H1a. كما أظهرت النتائج أن بُعد الامتثال للمعايير الدولية يؤثر تأثيراً موجباً ودالاً إحصائياً في المتغير ذاته (B = 0.557، t = 8.747، p &lt; 0.001)، وبذلك يُقبَل الفرض الفرعي H1b، مع تفوّق نسبي لأثر بُعد الامتثال.</w:t>
      </w:r>
    </w:p>
    <w:p w14:paraId="32E8CEBA"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b/>
          <w:bCs/>
          <w:sz w:val="28"/>
          <w:szCs w:val="28"/>
          <w:rtl/>
        </w:rPr>
        <w:t>الفرض الثاني (H2): يوجد أثر ذو دلالة إحصائية لتطبيق تقنية الترميز على الكفاءة التشغيلية المالية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rsidRPr="00F153B7" w14:paraId="6DAA597F" w14:textId="77777777" w:rsidTr="00F153B7">
        <w:trPr>
          <w:tblHeader/>
          <w:jc w:val="center"/>
        </w:trPr>
        <w:tc>
          <w:tcPr>
            <w:tcW w:w="979" w:type="pct"/>
            <w:shd w:val="clear" w:color="auto" w:fill="2E5395"/>
            <w:tcMar>
              <w:top w:w="60" w:type="dxa"/>
              <w:left w:w="100" w:type="dxa"/>
              <w:bottom w:w="60" w:type="dxa"/>
              <w:right w:w="100" w:type="dxa"/>
            </w:tcMar>
            <w:vAlign w:val="center"/>
          </w:tcPr>
          <w:p w14:paraId="284F8F69"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المستقل</w:t>
            </w:r>
          </w:p>
        </w:tc>
        <w:tc>
          <w:tcPr>
            <w:tcW w:w="979" w:type="pct"/>
            <w:shd w:val="clear" w:color="auto" w:fill="2E5395"/>
            <w:tcMar>
              <w:top w:w="60" w:type="dxa"/>
              <w:left w:w="100" w:type="dxa"/>
              <w:bottom w:w="60" w:type="dxa"/>
              <w:right w:w="100" w:type="dxa"/>
            </w:tcMar>
            <w:vAlign w:val="center"/>
          </w:tcPr>
          <w:p w14:paraId="0F3D80D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التابع</w:t>
            </w:r>
          </w:p>
        </w:tc>
        <w:tc>
          <w:tcPr>
            <w:tcW w:w="876" w:type="pct"/>
            <w:shd w:val="clear" w:color="auto" w:fill="2E5395"/>
            <w:tcMar>
              <w:top w:w="60" w:type="dxa"/>
              <w:left w:w="100" w:type="dxa"/>
              <w:bottom w:w="60" w:type="dxa"/>
              <w:right w:w="100" w:type="dxa"/>
            </w:tcMar>
            <w:vAlign w:val="center"/>
          </w:tcPr>
          <w:p w14:paraId="4583AB51"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معامل ارتباط سبيرمان (r)</w:t>
            </w:r>
          </w:p>
        </w:tc>
        <w:tc>
          <w:tcPr>
            <w:tcW w:w="773" w:type="pct"/>
            <w:shd w:val="clear" w:color="auto" w:fill="2E5395"/>
            <w:tcMar>
              <w:top w:w="60" w:type="dxa"/>
              <w:left w:w="100" w:type="dxa"/>
              <w:bottom w:w="60" w:type="dxa"/>
              <w:right w:w="100" w:type="dxa"/>
            </w:tcMar>
            <w:vAlign w:val="center"/>
          </w:tcPr>
          <w:p w14:paraId="675010A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515" w:type="pct"/>
            <w:shd w:val="clear" w:color="auto" w:fill="2E5395"/>
            <w:tcMar>
              <w:top w:w="60" w:type="dxa"/>
              <w:left w:w="100" w:type="dxa"/>
              <w:bottom w:w="60" w:type="dxa"/>
              <w:right w:w="100" w:type="dxa"/>
            </w:tcMar>
            <w:vAlign w:val="center"/>
          </w:tcPr>
          <w:p w14:paraId="059BA26D"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حجم العينة (n)</w:t>
            </w:r>
          </w:p>
        </w:tc>
        <w:tc>
          <w:tcPr>
            <w:tcW w:w="876" w:type="pct"/>
            <w:shd w:val="clear" w:color="auto" w:fill="2E5395"/>
            <w:tcMar>
              <w:top w:w="60" w:type="dxa"/>
              <w:left w:w="100" w:type="dxa"/>
              <w:bottom w:w="60" w:type="dxa"/>
              <w:right w:w="100" w:type="dxa"/>
            </w:tcMar>
            <w:vAlign w:val="center"/>
          </w:tcPr>
          <w:p w14:paraId="3EB2D53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 الإحصائية</w:t>
            </w:r>
          </w:p>
        </w:tc>
      </w:tr>
      <w:tr w:rsidR="007608E1" w:rsidRPr="00F153B7" w14:paraId="76352B2E" w14:textId="77777777" w:rsidTr="00F153B7">
        <w:trPr>
          <w:jc w:val="center"/>
        </w:trPr>
        <w:tc>
          <w:tcPr>
            <w:tcW w:w="979" w:type="pct"/>
            <w:tcMar>
              <w:top w:w="60" w:type="dxa"/>
              <w:left w:w="100" w:type="dxa"/>
              <w:bottom w:w="60" w:type="dxa"/>
              <w:right w:w="100" w:type="dxa"/>
            </w:tcMar>
            <w:vAlign w:val="center"/>
          </w:tcPr>
          <w:p w14:paraId="3B38580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تطبيق تقنية الترميز</w:t>
            </w:r>
          </w:p>
        </w:tc>
        <w:tc>
          <w:tcPr>
            <w:tcW w:w="979" w:type="pct"/>
            <w:tcMar>
              <w:top w:w="60" w:type="dxa"/>
              <w:left w:w="100" w:type="dxa"/>
              <w:bottom w:w="60" w:type="dxa"/>
              <w:right w:w="100" w:type="dxa"/>
            </w:tcMar>
            <w:vAlign w:val="center"/>
          </w:tcPr>
          <w:p w14:paraId="7B958D7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الكفاءة التشغيلية المالية</w:t>
            </w:r>
          </w:p>
        </w:tc>
        <w:tc>
          <w:tcPr>
            <w:tcW w:w="876" w:type="pct"/>
            <w:tcMar>
              <w:top w:w="60" w:type="dxa"/>
              <w:left w:w="100" w:type="dxa"/>
              <w:bottom w:w="60" w:type="dxa"/>
              <w:right w:w="100" w:type="dxa"/>
            </w:tcMar>
            <w:vAlign w:val="center"/>
          </w:tcPr>
          <w:p w14:paraId="3360B2F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0.625</w:t>
            </w:r>
          </w:p>
        </w:tc>
        <w:tc>
          <w:tcPr>
            <w:tcW w:w="773" w:type="pct"/>
            <w:tcMar>
              <w:top w:w="60" w:type="dxa"/>
              <w:left w:w="100" w:type="dxa"/>
              <w:bottom w:w="60" w:type="dxa"/>
              <w:right w:w="100" w:type="dxa"/>
            </w:tcMar>
            <w:vAlign w:val="center"/>
          </w:tcPr>
          <w:p w14:paraId="1FBDC80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515" w:type="pct"/>
            <w:tcMar>
              <w:top w:w="60" w:type="dxa"/>
              <w:left w:w="100" w:type="dxa"/>
              <w:bottom w:w="60" w:type="dxa"/>
              <w:right w:w="100" w:type="dxa"/>
            </w:tcMar>
            <w:vAlign w:val="center"/>
          </w:tcPr>
          <w:p w14:paraId="4EB08844"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196</w:t>
            </w:r>
          </w:p>
        </w:tc>
        <w:tc>
          <w:tcPr>
            <w:tcW w:w="876" w:type="pct"/>
            <w:tcMar>
              <w:top w:w="60" w:type="dxa"/>
              <w:left w:w="100" w:type="dxa"/>
              <w:bottom w:w="60" w:type="dxa"/>
              <w:right w:w="100" w:type="dxa"/>
            </w:tcMar>
            <w:vAlign w:val="center"/>
          </w:tcPr>
          <w:p w14:paraId="656887F8"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70C667BD"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(4.23): نتائج اختبار معامل ارتباط سبيرمان للفرضية الثانية</w:t>
      </w:r>
    </w:p>
    <w:p w14:paraId="0686AA63"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lastRenderedPageBreak/>
        <w:t>أظهرت النتائج وجود علاقة ارتباطية طردية قوية ودالة إحصائياً بين تطبيق تقنية الترميز وكفاءة العمليات المالية (r = 0.625، p &lt; 0.001)، وبذلك تُقبَل الفرضية الثانية، أي يوجد أثر ذو دلالة إحصائية لتطبيق تقنية الترميز على كفاءة العمليات المالية في المؤسسات المالية السعودية.</w:t>
      </w:r>
    </w:p>
    <w:p w14:paraId="3927E563"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وفيما يخص الفرعين، أظهرت نتائج نموذج الانحدار المنقّح الأول (جدول 4.27) أن بُعد الترميز الأمني للبيانات يؤثر تأثيراً موجباً ودالاً إحصائياً في الكفاءة التشغيلية المالية (B = 0.173، t = 3.103، p = 0.002)، وبذلك يُقبَل الفرض الفرعي H2a. كما أظهرت النتائج أن بُعد الامتثال للمعايير الدولية يؤثر تأثيراً موجباً ودالاً إحصائياً في المتغير ذاته (B = 0.677، t = 10.672، p &lt; 0.001)، وبذلك يُقبَل الفرض الفرعي H2b.</w:t>
      </w:r>
    </w:p>
    <w:p w14:paraId="77433AA7"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الفرض الثالث (H3): توجد فروق ذات دلالة إحصائية في مستويات متغيرات الدراسة تُعزى إلى خصائص المؤسسة المالية</w:t>
      </w:r>
    </w:p>
    <w:p w14:paraId="4A97D3FE"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الفرض الفرعي H3a: توجد فروق ذات دلالة إحصائية في مستوى الامتثال للمعايير الدولية والأمن السيبراني المؤسسي تُعزى إلى مستوى تبنّي المؤسسة لتقنية الترميز.</w:t>
      </w:r>
    </w:p>
    <w:p w14:paraId="692E1CB0"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t>اختُبرت هذه الفرضية باستخدام اختبار مان-ويتني U للمقارنة بين مجموعتين: المؤسسات المعتمِدة لتقنية الترميز حالياً (بشكل كامل أو جزئي) والمؤسسات غير المعتمِدة لها (المخطِّطة أو التي لا توجد لديها خطط)، وذلك على بُعدي الامتثال للمعايير الدولية والأمن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21"/>
        <w:gridCol w:w="1117"/>
        <w:gridCol w:w="553"/>
        <w:gridCol w:w="1290"/>
        <w:gridCol w:w="436"/>
        <w:gridCol w:w="859"/>
        <w:gridCol w:w="1204"/>
        <w:gridCol w:w="1116"/>
      </w:tblGrid>
      <w:tr w:rsidR="007608E1" w:rsidRPr="00F153B7" w14:paraId="1DBD6968" w14:textId="77777777" w:rsidTr="00F153B7">
        <w:trPr>
          <w:tblHeader/>
          <w:jc w:val="center"/>
        </w:trPr>
        <w:tc>
          <w:tcPr>
            <w:tcW w:w="1045" w:type="pct"/>
            <w:shd w:val="clear" w:color="auto" w:fill="2E5395"/>
            <w:tcMar>
              <w:top w:w="60" w:type="dxa"/>
              <w:left w:w="100" w:type="dxa"/>
              <w:bottom w:w="60" w:type="dxa"/>
              <w:right w:w="100" w:type="dxa"/>
            </w:tcMar>
            <w:vAlign w:val="center"/>
          </w:tcPr>
          <w:p w14:paraId="290F8E3D"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البُعد</w:t>
            </w:r>
          </w:p>
        </w:tc>
        <w:tc>
          <w:tcPr>
            <w:tcW w:w="681" w:type="pct"/>
            <w:shd w:val="clear" w:color="auto" w:fill="2E5395"/>
            <w:tcMar>
              <w:top w:w="60" w:type="dxa"/>
              <w:left w:w="100" w:type="dxa"/>
              <w:bottom w:w="60" w:type="dxa"/>
              <w:right w:w="100" w:type="dxa"/>
            </w:tcMar>
            <w:vAlign w:val="center"/>
          </w:tcPr>
          <w:p w14:paraId="54D08F21"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متوسط المعتمِدة</w:t>
            </w:r>
          </w:p>
        </w:tc>
        <w:tc>
          <w:tcPr>
            <w:tcW w:w="288" w:type="pct"/>
            <w:shd w:val="clear" w:color="auto" w:fill="2E5395"/>
            <w:tcMar>
              <w:top w:w="60" w:type="dxa"/>
              <w:left w:w="100" w:type="dxa"/>
              <w:bottom w:w="60" w:type="dxa"/>
              <w:right w:w="100" w:type="dxa"/>
            </w:tcMar>
            <w:vAlign w:val="center"/>
          </w:tcPr>
          <w:p w14:paraId="600FBE14"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ن</w:t>
            </w:r>
          </w:p>
        </w:tc>
        <w:tc>
          <w:tcPr>
            <w:tcW w:w="785" w:type="pct"/>
            <w:shd w:val="clear" w:color="auto" w:fill="2E5395"/>
            <w:tcMar>
              <w:top w:w="60" w:type="dxa"/>
              <w:left w:w="100" w:type="dxa"/>
              <w:bottom w:w="60" w:type="dxa"/>
              <w:right w:w="100" w:type="dxa"/>
            </w:tcMar>
            <w:vAlign w:val="center"/>
          </w:tcPr>
          <w:p w14:paraId="56FBDDFB"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متوسط غير المعتمِدة</w:t>
            </w:r>
          </w:p>
        </w:tc>
        <w:tc>
          <w:tcPr>
            <w:tcW w:w="263" w:type="pct"/>
            <w:shd w:val="clear" w:color="auto" w:fill="2E5395"/>
            <w:tcMar>
              <w:top w:w="60" w:type="dxa"/>
              <w:left w:w="100" w:type="dxa"/>
              <w:bottom w:w="60" w:type="dxa"/>
              <w:right w:w="100" w:type="dxa"/>
            </w:tcMar>
            <w:vAlign w:val="center"/>
          </w:tcPr>
          <w:p w14:paraId="177FC26C"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ن</w:t>
            </w:r>
          </w:p>
        </w:tc>
        <w:tc>
          <w:tcPr>
            <w:tcW w:w="525" w:type="pct"/>
            <w:shd w:val="clear" w:color="auto" w:fill="2E5395"/>
            <w:tcMar>
              <w:top w:w="60" w:type="dxa"/>
              <w:left w:w="100" w:type="dxa"/>
              <w:bottom w:w="60" w:type="dxa"/>
              <w:right w:w="100" w:type="dxa"/>
            </w:tcMar>
            <w:vAlign w:val="center"/>
          </w:tcPr>
          <w:p w14:paraId="1B5273B7"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قيمة U</w:t>
            </w:r>
          </w:p>
        </w:tc>
        <w:tc>
          <w:tcPr>
            <w:tcW w:w="733" w:type="pct"/>
            <w:shd w:val="clear" w:color="auto" w:fill="2E5395"/>
            <w:tcMar>
              <w:top w:w="60" w:type="dxa"/>
              <w:left w:w="100" w:type="dxa"/>
              <w:bottom w:w="60" w:type="dxa"/>
              <w:right w:w="100" w:type="dxa"/>
            </w:tcMar>
            <w:vAlign w:val="center"/>
          </w:tcPr>
          <w:p w14:paraId="452DFC1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681" w:type="pct"/>
            <w:shd w:val="clear" w:color="auto" w:fill="2E5395"/>
            <w:tcMar>
              <w:top w:w="60" w:type="dxa"/>
              <w:left w:w="100" w:type="dxa"/>
              <w:bottom w:w="60" w:type="dxa"/>
              <w:right w:w="100" w:type="dxa"/>
            </w:tcMar>
            <w:vAlign w:val="center"/>
          </w:tcPr>
          <w:p w14:paraId="102CB23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w:t>
            </w:r>
          </w:p>
        </w:tc>
      </w:tr>
      <w:tr w:rsidR="007608E1" w:rsidRPr="00F153B7" w14:paraId="093E273C" w14:textId="77777777" w:rsidTr="00F153B7">
        <w:trPr>
          <w:jc w:val="center"/>
        </w:trPr>
        <w:tc>
          <w:tcPr>
            <w:tcW w:w="1045" w:type="pct"/>
            <w:tcMar>
              <w:top w:w="60" w:type="dxa"/>
              <w:left w:w="100" w:type="dxa"/>
              <w:bottom w:w="60" w:type="dxa"/>
              <w:right w:w="100" w:type="dxa"/>
            </w:tcMar>
            <w:vAlign w:val="center"/>
          </w:tcPr>
          <w:p w14:paraId="06817F9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الامتثال للمعايير الدولية</w:t>
            </w:r>
          </w:p>
        </w:tc>
        <w:tc>
          <w:tcPr>
            <w:tcW w:w="681" w:type="pct"/>
            <w:tcMar>
              <w:top w:w="60" w:type="dxa"/>
              <w:left w:w="100" w:type="dxa"/>
              <w:bottom w:w="60" w:type="dxa"/>
              <w:right w:w="100" w:type="dxa"/>
            </w:tcMar>
            <w:vAlign w:val="center"/>
          </w:tcPr>
          <w:p w14:paraId="3107ADC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4.663</w:t>
            </w:r>
          </w:p>
        </w:tc>
        <w:tc>
          <w:tcPr>
            <w:tcW w:w="288" w:type="pct"/>
            <w:tcMar>
              <w:top w:w="60" w:type="dxa"/>
              <w:left w:w="100" w:type="dxa"/>
              <w:bottom w:w="60" w:type="dxa"/>
              <w:right w:w="100" w:type="dxa"/>
            </w:tcMar>
            <w:vAlign w:val="center"/>
          </w:tcPr>
          <w:p w14:paraId="0EA26571"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162</w:t>
            </w:r>
          </w:p>
        </w:tc>
        <w:tc>
          <w:tcPr>
            <w:tcW w:w="785" w:type="pct"/>
            <w:tcMar>
              <w:top w:w="60" w:type="dxa"/>
              <w:left w:w="100" w:type="dxa"/>
              <w:bottom w:w="60" w:type="dxa"/>
              <w:right w:w="100" w:type="dxa"/>
            </w:tcMar>
            <w:vAlign w:val="center"/>
          </w:tcPr>
          <w:p w14:paraId="071A51BB"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3.021</w:t>
            </w:r>
          </w:p>
        </w:tc>
        <w:tc>
          <w:tcPr>
            <w:tcW w:w="263" w:type="pct"/>
            <w:tcMar>
              <w:top w:w="60" w:type="dxa"/>
              <w:left w:w="100" w:type="dxa"/>
              <w:bottom w:w="60" w:type="dxa"/>
              <w:right w:w="100" w:type="dxa"/>
            </w:tcMar>
            <w:vAlign w:val="center"/>
          </w:tcPr>
          <w:p w14:paraId="17BE36D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34</w:t>
            </w:r>
          </w:p>
        </w:tc>
        <w:tc>
          <w:tcPr>
            <w:tcW w:w="525" w:type="pct"/>
            <w:tcMar>
              <w:top w:w="60" w:type="dxa"/>
              <w:left w:w="100" w:type="dxa"/>
              <w:bottom w:w="60" w:type="dxa"/>
              <w:right w:w="100" w:type="dxa"/>
            </w:tcMar>
            <w:vAlign w:val="center"/>
          </w:tcPr>
          <w:p w14:paraId="7749DF7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5258.5</w:t>
            </w:r>
          </w:p>
        </w:tc>
        <w:tc>
          <w:tcPr>
            <w:tcW w:w="733" w:type="pct"/>
            <w:tcMar>
              <w:top w:w="60" w:type="dxa"/>
              <w:left w:w="100" w:type="dxa"/>
              <w:bottom w:w="60" w:type="dxa"/>
              <w:right w:w="100" w:type="dxa"/>
            </w:tcMar>
            <w:vAlign w:val="center"/>
          </w:tcPr>
          <w:p w14:paraId="680FD05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681" w:type="pct"/>
            <w:tcMar>
              <w:top w:w="60" w:type="dxa"/>
              <w:left w:w="100" w:type="dxa"/>
              <w:bottom w:w="60" w:type="dxa"/>
              <w:right w:w="100" w:type="dxa"/>
            </w:tcMar>
            <w:vAlign w:val="center"/>
          </w:tcPr>
          <w:p w14:paraId="41B9A00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r w:rsidR="007608E1" w:rsidRPr="00F153B7" w14:paraId="49499F1B" w14:textId="77777777" w:rsidTr="00F153B7">
        <w:trPr>
          <w:jc w:val="center"/>
        </w:trPr>
        <w:tc>
          <w:tcPr>
            <w:tcW w:w="1045" w:type="pct"/>
            <w:shd w:val="clear" w:color="auto" w:fill="F2F2F2"/>
            <w:tcMar>
              <w:top w:w="60" w:type="dxa"/>
              <w:left w:w="100" w:type="dxa"/>
              <w:bottom w:w="60" w:type="dxa"/>
              <w:right w:w="100" w:type="dxa"/>
            </w:tcMar>
            <w:vAlign w:val="center"/>
          </w:tcPr>
          <w:p w14:paraId="3073DCB9"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الأمن السيبراني المؤسسي</w:t>
            </w:r>
          </w:p>
        </w:tc>
        <w:tc>
          <w:tcPr>
            <w:tcW w:w="681" w:type="pct"/>
            <w:shd w:val="clear" w:color="auto" w:fill="F2F2F2"/>
            <w:tcMar>
              <w:top w:w="60" w:type="dxa"/>
              <w:left w:w="100" w:type="dxa"/>
              <w:bottom w:w="60" w:type="dxa"/>
              <w:right w:w="100" w:type="dxa"/>
            </w:tcMar>
            <w:vAlign w:val="center"/>
          </w:tcPr>
          <w:p w14:paraId="67E77A5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4.578</w:t>
            </w:r>
          </w:p>
        </w:tc>
        <w:tc>
          <w:tcPr>
            <w:tcW w:w="288" w:type="pct"/>
            <w:shd w:val="clear" w:color="auto" w:fill="F2F2F2"/>
            <w:tcMar>
              <w:top w:w="60" w:type="dxa"/>
              <w:left w:w="100" w:type="dxa"/>
              <w:bottom w:w="60" w:type="dxa"/>
              <w:right w:w="100" w:type="dxa"/>
            </w:tcMar>
            <w:vAlign w:val="center"/>
          </w:tcPr>
          <w:p w14:paraId="364CA92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162</w:t>
            </w:r>
          </w:p>
        </w:tc>
        <w:tc>
          <w:tcPr>
            <w:tcW w:w="785" w:type="pct"/>
            <w:shd w:val="clear" w:color="auto" w:fill="F2F2F2"/>
            <w:tcMar>
              <w:top w:w="60" w:type="dxa"/>
              <w:left w:w="100" w:type="dxa"/>
              <w:bottom w:w="60" w:type="dxa"/>
              <w:right w:w="100" w:type="dxa"/>
            </w:tcMar>
            <w:vAlign w:val="center"/>
          </w:tcPr>
          <w:p w14:paraId="36031A2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3.054</w:t>
            </w:r>
          </w:p>
        </w:tc>
        <w:tc>
          <w:tcPr>
            <w:tcW w:w="263" w:type="pct"/>
            <w:shd w:val="clear" w:color="auto" w:fill="F2F2F2"/>
            <w:tcMar>
              <w:top w:w="60" w:type="dxa"/>
              <w:left w:w="100" w:type="dxa"/>
              <w:bottom w:w="60" w:type="dxa"/>
              <w:right w:w="100" w:type="dxa"/>
            </w:tcMar>
            <w:vAlign w:val="center"/>
          </w:tcPr>
          <w:p w14:paraId="30105A10"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34</w:t>
            </w:r>
          </w:p>
        </w:tc>
        <w:tc>
          <w:tcPr>
            <w:tcW w:w="525" w:type="pct"/>
            <w:shd w:val="clear" w:color="auto" w:fill="F2F2F2"/>
            <w:tcMar>
              <w:top w:w="60" w:type="dxa"/>
              <w:left w:w="100" w:type="dxa"/>
              <w:bottom w:w="60" w:type="dxa"/>
              <w:right w:w="100" w:type="dxa"/>
            </w:tcMar>
            <w:vAlign w:val="center"/>
          </w:tcPr>
          <w:p w14:paraId="7E5BDB3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5201.5</w:t>
            </w:r>
          </w:p>
        </w:tc>
        <w:tc>
          <w:tcPr>
            <w:tcW w:w="733" w:type="pct"/>
            <w:shd w:val="clear" w:color="auto" w:fill="F2F2F2"/>
            <w:tcMar>
              <w:top w:w="60" w:type="dxa"/>
              <w:left w:w="100" w:type="dxa"/>
              <w:bottom w:w="60" w:type="dxa"/>
              <w:right w:w="100" w:type="dxa"/>
            </w:tcMar>
            <w:vAlign w:val="center"/>
          </w:tcPr>
          <w:p w14:paraId="24F6EC0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681" w:type="pct"/>
            <w:shd w:val="clear" w:color="auto" w:fill="F2F2F2"/>
            <w:tcMar>
              <w:top w:w="60" w:type="dxa"/>
              <w:left w:w="100" w:type="dxa"/>
              <w:bottom w:w="60" w:type="dxa"/>
              <w:right w:w="100" w:type="dxa"/>
            </w:tcMar>
            <w:vAlign w:val="center"/>
          </w:tcPr>
          <w:p w14:paraId="2FC8E6C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34964993" w14:textId="77777777" w:rsidR="00F36ECD" w:rsidRDefault="007608E1" w:rsidP="00E000FF">
      <w:pPr>
        <w:pStyle w:val="TableCaption"/>
        <w:bidi/>
        <w:spacing w:after="0" w:line="300" w:lineRule="auto"/>
        <w:jc w:val="center"/>
        <w:rPr>
          <w:rFonts w:ascii="Simplified Arabic" w:eastAsia="Simplified Arabic" w:hAnsi="Simplified Arabic" w:cs="Simplified Arabic"/>
          <w:b/>
          <w:bCs/>
          <w:sz w:val="24"/>
          <w:szCs w:val="24"/>
          <w:rtl/>
        </w:rPr>
      </w:pPr>
      <w:r>
        <w:rPr>
          <w:rFonts w:ascii="Traditional Arabic" w:eastAsia="Simplified Arabic" w:hAnsi="Traditional Arabic" w:cs="Traditional Arabic"/>
          <w:b/>
          <w:bCs/>
          <w:sz w:val="24"/>
          <w:szCs w:val="24"/>
          <w:rtl/>
        </w:rPr>
        <w:t>جدول (4.24): نتائج اختبار مان-ويتني U للفروق بين المؤسسات المعتمِدة وغير المعتمِدة لتقنية الترميز</w:t>
      </w:r>
    </w:p>
    <w:p w14:paraId="58CFCCE9" w14:textId="77777777" w:rsidR="00F36ECD" w:rsidRDefault="00F36ECD" w:rsidP="00E000FF">
      <w:pPr>
        <w:bidi/>
        <w:spacing w:after="0" w:line="360" w:lineRule="auto"/>
        <w:jc w:val="both"/>
        <w:rPr>
          <w:rFonts w:ascii="Simplified Arabic" w:eastAsia="Simplified Arabic" w:hAnsi="Simplified Arabic" w:cs="Simplified Arabic"/>
          <w:b/>
          <w:bCs/>
          <w:sz w:val="24"/>
          <w:szCs w:val="24"/>
          <w:rtl/>
        </w:rPr>
      </w:pPr>
    </w:p>
    <w:p w14:paraId="784F7BC9" w14:textId="049164AC"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sz w:val="28"/>
          <w:szCs w:val="28"/>
          <w:rtl/>
        </w:rPr>
        <w:t xml:space="preserve">أظهرت نتائج اختبار مان-ويتني U وجود فروق دالة إحصائياً بين المؤسسات المعتمِدة لتقنية الترميز وغير المعتمِدة لها على كلا البُعدين؛ إذ سجّلت المؤسسات المعتمِدة (ن = 162) متوسط استجابة أعلى على بُعد الامتثال للمعايير الدولية (4.663) مقارنة بالمؤسسات غير المعتمِدة (ن = 34، متوسط = 3.021) بقيمة (U = 5258.5، p </w:t>
      </w:r>
      <w:r w:rsidRPr="00F7361A">
        <w:rPr>
          <w:rFonts w:ascii="Traditional Arabic" w:eastAsia="Simplified Arabic" w:hAnsi="Traditional Arabic" w:cs="Traditional Arabic"/>
          <w:sz w:val="28"/>
          <w:szCs w:val="28"/>
          <w:rtl/>
        </w:rPr>
        <w:lastRenderedPageBreak/>
        <w:t>&lt; 0.001)، وكذلك على بُعد الأمن السيبراني المؤسسي (4.578 مقابل 3.054 على التوالي) بقيمة (U = 5201.5، p &lt; 0.001). وبذلك تُقبَل الفرضية الثالثة، أي توجد فروق ذات دلالة إحصائية في مستوى الامتثال التنظيمي والأمن السيبراني المُدرَك تُعزى إلى مستوى تبنّي المؤسسة لتقنية الترميز، لصالح المؤسسات المعتمِدة لها.</w:t>
      </w:r>
    </w:p>
    <w:p w14:paraId="1C4CBABE" w14:textId="77777777"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b/>
          <w:bCs/>
          <w:sz w:val="28"/>
          <w:szCs w:val="28"/>
          <w:rtl/>
        </w:rPr>
        <w:t>الفرضية الرابعة (H4): يوجد أثر ذو دلالة إحصائية لتطبيق تقنية الترميز على كل من كفاءة العمليات المالية والأمن السيبراني المؤسسي (نموذج الانحدار المنقّح)</w:t>
      </w:r>
    </w:p>
    <w:p w14:paraId="3C68E0ED" w14:textId="77777777"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b/>
          <w:bCs/>
          <w:sz w:val="28"/>
          <w:szCs w:val="28"/>
          <w:rtl/>
        </w:rPr>
        <w:t>الفرضية الخامسة (H5): توجد فروق ذات دلالة إحصائية في مستوى التوافق مع رؤية 2030 تُعزى إلى نوع المؤسسة المالية</w:t>
      </w:r>
    </w:p>
    <w:p w14:paraId="1E89BFE3" w14:textId="77777777" w:rsidR="007608E1" w:rsidRDefault="007608E1" w:rsidP="00E000FF">
      <w:pPr>
        <w:bidi/>
        <w:spacing w:after="0" w:line="360" w:lineRule="auto"/>
        <w:jc w:val="both"/>
      </w:pPr>
      <w:r w:rsidRPr="00F7361A">
        <w:rPr>
          <w:rFonts w:ascii="Traditional Arabic" w:eastAsia="Simplified Arabic" w:hAnsi="Traditional Arabic" w:cs="Traditional Arabic"/>
          <w:sz w:val="28"/>
          <w:szCs w:val="28"/>
          <w:rtl/>
        </w:rPr>
        <w:t>اختُبر هذا الفرض الفرعي باستخدام اختبار كروسكال-واليس (Kruskal-Wallis) للمقارنة بين المجموعات الثلاث لنوع المؤسسة (بنوك، فنتك ودفع إلكتروني، مؤسسات أخرى) على بُعد التوافق مع رؤية 2030.</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2074"/>
        <w:gridCol w:w="2592"/>
      </w:tblGrid>
      <w:tr w:rsidR="007608E1" w:rsidRPr="00F7361A" w14:paraId="5C89CF3A" w14:textId="77777777" w:rsidTr="00036983">
        <w:trPr>
          <w:tblHeader/>
        </w:trPr>
        <w:tc>
          <w:tcPr>
            <w:tcW w:w="2188" w:type="pct"/>
            <w:shd w:val="clear" w:color="auto" w:fill="2E5395"/>
            <w:tcMar>
              <w:top w:w="60" w:type="dxa"/>
              <w:left w:w="100" w:type="dxa"/>
              <w:bottom w:w="60" w:type="dxa"/>
              <w:right w:w="100" w:type="dxa"/>
            </w:tcMar>
            <w:vAlign w:val="center"/>
          </w:tcPr>
          <w:p w14:paraId="25932E8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مجموعة نوع المؤسسة</w:t>
            </w:r>
          </w:p>
        </w:tc>
        <w:tc>
          <w:tcPr>
            <w:tcW w:w="1250" w:type="pct"/>
            <w:shd w:val="clear" w:color="auto" w:fill="2E5395"/>
            <w:tcMar>
              <w:top w:w="60" w:type="dxa"/>
              <w:left w:w="100" w:type="dxa"/>
              <w:bottom w:w="60" w:type="dxa"/>
              <w:right w:w="100" w:type="dxa"/>
            </w:tcMar>
            <w:vAlign w:val="center"/>
          </w:tcPr>
          <w:p w14:paraId="1A6B9F79"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حجم المجموعة (ن)</w:t>
            </w:r>
          </w:p>
        </w:tc>
        <w:tc>
          <w:tcPr>
            <w:tcW w:w="1563" w:type="pct"/>
            <w:shd w:val="clear" w:color="auto" w:fill="2E5395"/>
            <w:tcMar>
              <w:top w:w="60" w:type="dxa"/>
              <w:left w:w="100" w:type="dxa"/>
              <w:bottom w:w="60" w:type="dxa"/>
              <w:right w:w="100" w:type="dxa"/>
            </w:tcMar>
            <w:vAlign w:val="center"/>
          </w:tcPr>
          <w:p w14:paraId="2DD1969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متوسط الرتب / الدرجة</w:t>
            </w:r>
          </w:p>
        </w:tc>
      </w:tr>
      <w:tr w:rsidR="007608E1" w:rsidRPr="00F7361A" w14:paraId="6CCD0F41" w14:textId="77777777" w:rsidTr="00036983">
        <w:tc>
          <w:tcPr>
            <w:tcW w:w="2188" w:type="pct"/>
            <w:tcMar>
              <w:top w:w="60" w:type="dxa"/>
              <w:left w:w="100" w:type="dxa"/>
              <w:bottom w:w="60" w:type="dxa"/>
              <w:right w:w="100" w:type="dxa"/>
            </w:tcMar>
            <w:vAlign w:val="center"/>
          </w:tcPr>
          <w:p w14:paraId="2DDFD7C3"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مؤسسات أخرى</w:t>
            </w:r>
          </w:p>
        </w:tc>
        <w:tc>
          <w:tcPr>
            <w:tcW w:w="1250" w:type="pct"/>
            <w:tcMar>
              <w:top w:w="60" w:type="dxa"/>
              <w:left w:w="100" w:type="dxa"/>
              <w:bottom w:w="60" w:type="dxa"/>
              <w:right w:w="100" w:type="dxa"/>
            </w:tcMar>
            <w:vAlign w:val="center"/>
          </w:tcPr>
          <w:p w14:paraId="7F6518B2"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62</w:t>
            </w:r>
          </w:p>
        </w:tc>
        <w:tc>
          <w:tcPr>
            <w:tcW w:w="1563" w:type="pct"/>
            <w:tcMar>
              <w:top w:w="60" w:type="dxa"/>
              <w:left w:w="100" w:type="dxa"/>
              <w:bottom w:w="60" w:type="dxa"/>
              <w:right w:w="100" w:type="dxa"/>
            </w:tcMar>
            <w:vAlign w:val="center"/>
          </w:tcPr>
          <w:p w14:paraId="64716218"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3.906</w:t>
            </w:r>
          </w:p>
        </w:tc>
      </w:tr>
      <w:tr w:rsidR="007608E1" w:rsidRPr="00F7361A" w14:paraId="00543583" w14:textId="77777777" w:rsidTr="00036983">
        <w:tc>
          <w:tcPr>
            <w:tcW w:w="2188" w:type="pct"/>
            <w:shd w:val="clear" w:color="auto" w:fill="F2F2F2"/>
            <w:tcMar>
              <w:top w:w="60" w:type="dxa"/>
              <w:left w:w="100" w:type="dxa"/>
              <w:bottom w:w="60" w:type="dxa"/>
              <w:right w:w="100" w:type="dxa"/>
            </w:tcMar>
            <w:vAlign w:val="center"/>
          </w:tcPr>
          <w:p w14:paraId="11CF16F8"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بنوك</w:t>
            </w:r>
          </w:p>
        </w:tc>
        <w:tc>
          <w:tcPr>
            <w:tcW w:w="1250" w:type="pct"/>
            <w:shd w:val="clear" w:color="auto" w:fill="F2F2F2"/>
            <w:tcMar>
              <w:top w:w="60" w:type="dxa"/>
              <w:left w:w="100" w:type="dxa"/>
              <w:bottom w:w="60" w:type="dxa"/>
              <w:right w:w="100" w:type="dxa"/>
            </w:tcMar>
            <w:vAlign w:val="center"/>
          </w:tcPr>
          <w:p w14:paraId="50B0E05D"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87</w:t>
            </w:r>
          </w:p>
        </w:tc>
        <w:tc>
          <w:tcPr>
            <w:tcW w:w="1563" w:type="pct"/>
            <w:shd w:val="clear" w:color="auto" w:fill="F2F2F2"/>
            <w:tcMar>
              <w:top w:w="60" w:type="dxa"/>
              <w:left w:w="100" w:type="dxa"/>
              <w:bottom w:w="60" w:type="dxa"/>
              <w:right w:w="100" w:type="dxa"/>
            </w:tcMar>
            <w:vAlign w:val="center"/>
          </w:tcPr>
          <w:p w14:paraId="2C9C397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4.695</w:t>
            </w:r>
          </w:p>
        </w:tc>
      </w:tr>
      <w:tr w:rsidR="007608E1" w:rsidRPr="00F7361A" w14:paraId="71B10A8E" w14:textId="77777777" w:rsidTr="00036983">
        <w:tc>
          <w:tcPr>
            <w:tcW w:w="2188" w:type="pct"/>
            <w:tcMar>
              <w:top w:w="60" w:type="dxa"/>
              <w:left w:w="100" w:type="dxa"/>
              <w:bottom w:w="60" w:type="dxa"/>
              <w:right w:w="100" w:type="dxa"/>
            </w:tcMar>
            <w:vAlign w:val="center"/>
          </w:tcPr>
          <w:p w14:paraId="3995A26E"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فنتك ودفع إلكتروني</w:t>
            </w:r>
          </w:p>
        </w:tc>
        <w:tc>
          <w:tcPr>
            <w:tcW w:w="1250" w:type="pct"/>
            <w:tcMar>
              <w:top w:w="60" w:type="dxa"/>
              <w:left w:w="100" w:type="dxa"/>
              <w:bottom w:w="60" w:type="dxa"/>
              <w:right w:w="100" w:type="dxa"/>
            </w:tcMar>
            <w:vAlign w:val="center"/>
          </w:tcPr>
          <w:p w14:paraId="3C852683"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47</w:t>
            </w:r>
          </w:p>
        </w:tc>
        <w:tc>
          <w:tcPr>
            <w:tcW w:w="1563" w:type="pct"/>
            <w:tcMar>
              <w:top w:w="60" w:type="dxa"/>
              <w:left w:w="100" w:type="dxa"/>
              <w:bottom w:w="60" w:type="dxa"/>
              <w:right w:w="100" w:type="dxa"/>
            </w:tcMar>
            <w:vAlign w:val="center"/>
          </w:tcPr>
          <w:p w14:paraId="5B233B91"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4.840</w:t>
            </w:r>
          </w:p>
        </w:tc>
      </w:tr>
    </w:tbl>
    <w:p w14:paraId="2FEEE478"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(4.25): المتوسطات الحسابية لبُعد التوافق مع رؤية 2030 حسب مجموعات نوع المؤسسة (H = 61.326, p 0.001&gt;)</w:t>
      </w:r>
    </w:p>
    <w:p w14:paraId="7ABFA53C" w14:textId="77777777" w:rsidR="007608E1" w:rsidRPr="003620CC" w:rsidRDefault="007608E1" w:rsidP="00E000FF">
      <w:pPr>
        <w:bidi/>
        <w:spacing w:after="0" w:line="360" w:lineRule="auto"/>
        <w:jc w:val="both"/>
        <w:rPr>
          <w:sz w:val="26"/>
          <w:szCs w:val="26"/>
        </w:rPr>
      </w:pPr>
      <w:r w:rsidRPr="003620CC">
        <w:rPr>
          <w:rFonts w:ascii="Traditional Arabic" w:eastAsia="Simplified Arabic" w:hAnsi="Traditional Arabic" w:cs="Traditional Arabic"/>
          <w:sz w:val="28"/>
          <w:szCs w:val="28"/>
          <w:rtl/>
        </w:rPr>
        <w:t>أظهرت نتائج اختبار كروسكال-واليس وجود فروق دالة إحصائياً في مستوى التوافق مع رؤية 2030 تُعزى إلى نوع المؤسسة (H = 61.326، p &lt; 0.001)، إذ سجّلت مؤسسات الفنتك والدفع الإلكتروني أعلى متوسط (4.840)، تلتها البنوك (4.695)، ثم المؤسسات المالية الأخرى (شركات التأمين والمؤسسات المالية الأخرى) بمتوسط أقل (3.906). وبذلك تُقبَل الفرضية الخامسة، أي توجد فروق ذات دلالة إحصائية في مستوى التوافق المُدرَك مع رؤية 2030 تُعزى إلى نوع المؤسسة المالية، لصالح المؤسسات الرقمية الأكثر ارتباطاً تقنياً بمبادرات التحول الرقمي المالي.</w:t>
      </w:r>
    </w:p>
    <w:p w14:paraId="2532E03E"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ملخص نتائج اختبار الفرضيات</w:t>
      </w:r>
    </w:p>
    <w:tbl>
      <w:tblPr>
        <w:bidiVisual/>
        <w:tblW w:w="8297"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713"/>
        <w:gridCol w:w="2982"/>
        <w:gridCol w:w="1685"/>
        <w:gridCol w:w="1880"/>
        <w:gridCol w:w="1037"/>
      </w:tblGrid>
      <w:tr w:rsidR="005D691F" w:rsidRPr="003620CC" w14:paraId="177901F4" w14:textId="77777777" w:rsidTr="003620CC">
        <w:tc>
          <w:tcPr>
            <w:tcW w:w="713" w:type="dxa"/>
            <w:shd w:val="clear" w:color="auto" w:fill="DCE9F5"/>
            <w:vAlign w:val="center"/>
          </w:tcPr>
          <w:p w14:paraId="3DAC869F"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الفرض</w:t>
            </w:r>
          </w:p>
        </w:tc>
        <w:tc>
          <w:tcPr>
            <w:tcW w:w="2982" w:type="dxa"/>
            <w:shd w:val="clear" w:color="auto" w:fill="DCE9F5"/>
            <w:vAlign w:val="center"/>
          </w:tcPr>
          <w:p w14:paraId="1EB56951"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مضمون الفرض</w:t>
            </w:r>
          </w:p>
        </w:tc>
        <w:tc>
          <w:tcPr>
            <w:tcW w:w="1685" w:type="dxa"/>
            <w:shd w:val="clear" w:color="auto" w:fill="DCE9F5"/>
            <w:vAlign w:val="center"/>
          </w:tcPr>
          <w:p w14:paraId="3095FCF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الاختبار المستخدم</w:t>
            </w:r>
          </w:p>
        </w:tc>
        <w:tc>
          <w:tcPr>
            <w:tcW w:w="1880" w:type="dxa"/>
            <w:shd w:val="clear" w:color="auto" w:fill="DCE9F5"/>
            <w:vAlign w:val="center"/>
          </w:tcPr>
          <w:p w14:paraId="0515DCC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النتيجة الإحصائية</w:t>
            </w:r>
          </w:p>
        </w:tc>
        <w:tc>
          <w:tcPr>
            <w:tcW w:w="1037" w:type="dxa"/>
            <w:shd w:val="clear" w:color="auto" w:fill="DCE9F5"/>
            <w:vAlign w:val="center"/>
          </w:tcPr>
          <w:p w14:paraId="32C3AAB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القرار</w:t>
            </w:r>
          </w:p>
        </w:tc>
      </w:tr>
      <w:tr w:rsidR="005D691F" w:rsidRPr="003620CC" w14:paraId="1A236ADE" w14:textId="77777777" w:rsidTr="003620CC">
        <w:tc>
          <w:tcPr>
            <w:tcW w:w="713" w:type="dxa"/>
            <w:vAlign w:val="center"/>
          </w:tcPr>
          <w:p w14:paraId="184CAE7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H1</w:t>
            </w:r>
          </w:p>
        </w:tc>
        <w:tc>
          <w:tcPr>
            <w:tcW w:w="2982" w:type="dxa"/>
            <w:vAlign w:val="center"/>
          </w:tcPr>
          <w:p w14:paraId="50CD768D"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تطبيق الترميز على الأمن السيبراني المؤسسي</w:t>
            </w:r>
          </w:p>
        </w:tc>
        <w:tc>
          <w:tcPr>
            <w:tcW w:w="1685" w:type="dxa"/>
            <w:vAlign w:val="center"/>
          </w:tcPr>
          <w:p w14:paraId="7549D3F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ارتباط سبيرمان</w:t>
            </w:r>
          </w:p>
        </w:tc>
        <w:tc>
          <w:tcPr>
            <w:tcW w:w="1880" w:type="dxa"/>
            <w:vAlign w:val="center"/>
          </w:tcPr>
          <w:p w14:paraId="2C55954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r = 0.641, p &lt; 0.001</w:t>
            </w:r>
          </w:p>
        </w:tc>
        <w:tc>
          <w:tcPr>
            <w:tcW w:w="1037" w:type="dxa"/>
            <w:vAlign w:val="center"/>
          </w:tcPr>
          <w:p w14:paraId="6A4CAA0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0B7BE6A0" w14:textId="77777777" w:rsidTr="003620CC">
        <w:tc>
          <w:tcPr>
            <w:tcW w:w="713" w:type="dxa"/>
            <w:vAlign w:val="center"/>
          </w:tcPr>
          <w:p w14:paraId="5BC79373"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lastRenderedPageBreak/>
              <w:t>H1a</w:t>
            </w:r>
          </w:p>
        </w:tc>
        <w:tc>
          <w:tcPr>
            <w:tcW w:w="2982" w:type="dxa"/>
            <w:vAlign w:val="center"/>
          </w:tcPr>
          <w:p w14:paraId="12708396"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الترميز الأمني للبيانات على الأمن السيبراني</w:t>
            </w:r>
          </w:p>
        </w:tc>
        <w:tc>
          <w:tcPr>
            <w:tcW w:w="1685" w:type="dxa"/>
            <w:vAlign w:val="center"/>
          </w:tcPr>
          <w:p w14:paraId="0174DF0C"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7B9D82C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0.329, p &lt; 0.001</w:t>
            </w:r>
          </w:p>
        </w:tc>
        <w:tc>
          <w:tcPr>
            <w:tcW w:w="1037" w:type="dxa"/>
            <w:vAlign w:val="center"/>
          </w:tcPr>
          <w:p w14:paraId="64AE3D8B"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661AEF06" w14:textId="77777777" w:rsidTr="003620CC">
        <w:tc>
          <w:tcPr>
            <w:tcW w:w="713" w:type="dxa"/>
            <w:vAlign w:val="center"/>
          </w:tcPr>
          <w:p w14:paraId="2B4B358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H1b</w:t>
            </w:r>
          </w:p>
        </w:tc>
        <w:tc>
          <w:tcPr>
            <w:tcW w:w="2982" w:type="dxa"/>
            <w:vAlign w:val="center"/>
          </w:tcPr>
          <w:p w14:paraId="7F517F1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الامتثال للمعايير الدولية على الأمن السيبراني</w:t>
            </w:r>
          </w:p>
        </w:tc>
        <w:tc>
          <w:tcPr>
            <w:tcW w:w="1685" w:type="dxa"/>
            <w:vAlign w:val="center"/>
          </w:tcPr>
          <w:p w14:paraId="748589A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41FE552F"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0.557, p &lt; 0.001</w:t>
            </w:r>
          </w:p>
        </w:tc>
        <w:tc>
          <w:tcPr>
            <w:tcW w:w="1037" w:type="dxa"/>
            <w:vAlign w:val="center"/>
          </w:tcPr>
          <w:p w14:paraId="5516C89C"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5915F0E8" w14:textId="77777777" w:rsidTr="003620CC">
        <w:tc>
          <w:tcPr>
            <w:tcW w:w="713" w:type="dxa"/>
            <w:vAlign w:val="center"/>
          </w:tcPr>
          <w:p w14:paraId="325097AA"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H2</w:t>
            </w:r>
          </w:p>
        </w:tc>
        <w:tc>
          <w:tcPr>
            <w:tcW w:w="2982" w:type="dxa"/>
            <w:vAlign w:val="center"/>
          </w:tcPr>
          <w:p w14:paraId="58D7307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تطبيق الترميز على الكفاءة التشغيلية المالية</w:t>
            </w:r>
          </w:p>
        </w:tc>
        <w:tc>
          <w:tcPr>
            <w:tcW w:w="1685" w:type="dxa"/>
            <w:vAlign w:val="center"/>
          </w:tcPr>
          <w:p w14:paraId="526B520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ارتباط سبيرمان</w:t>
            </w:r>
          </w:p>
        </w:tc>
        <w:tc>
          <w:tcPr>
            <w:tcW w:w="1880" w:type="dxa"/>
            <w:vAlign w:val="center"/>
          </w:tcPr>
          <w:p w14:paraId="7A366F4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r = 0.625, p &lt; 0.001</w:t>
            </w:r>
          </w:p>
        </w:tc>
        <w:tc>
          <w:tcPr>
            <w:tcW w:w="1037" w:type="dxa"/>
            <w:vAlign w:val="center"/>
          </w:tcPr>
          <w:p w14:paraId="155781A9"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671113E5" w14:textId="77777777" w:rsidTr="003620CC">
        <w:tc>
          <w:tcPr>
            <w:tcW w:w="713" w:type="dxa"/>
            <w:vAlign w:val="center"/>
          </w:tcPr>
          <w:p w14:paraId="39C7DD2E"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H2a</w:t>
            </w:r>
          </w:p>
        </w:tc>
        <w:tc>
          <w:tcPr>
            <w:tcW w:w="2982" w:type="dxa"/>
            <w:vAlign w:val="center"/>
          </w:tcPr>
          <w:p w14:paraId="437D12F0"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الترميز الأمني للبيانات على الكفاءة التشغيلية</w:t>
            </w:r>
          </w:p>
        </w:tc>
        <w:tc>
          <w:tcPr>
            <w:tcW w:w="1685" w:type="dxa"/>
            <w:vAlign w:val="center"/>
          </w:tcPr>
          <w:p w14:paraId="304C6A3D"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7E9472F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0.173, p = 0.002</w:t>
            </w:r>
          </w:p>
        </w:tc>
        <w:tc>
          <w:tcPr>
            <w:tcW w:w="1037" w:type="dxa"/>
            <w:vAlign w:val="center"/>
          </w:tcPr>
          <w:p w14:paraId="200B282D"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464B139A" w14:textId="77777777" w:rsidTr="003620CC">
        <w:tc>
          <w:tcPr>
            <w:tcW w:w="713" w:type="dxa"/>
            <w:vAlign w:val="center"/>
          </w:tcPr>
          <w:p w14:paraId="1535385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H2b</w:t>
            </w:r>
          </w:p>
        </w:tc>
        <w:tc>
          <w:tcPr>
            <w:tcW w:w="2982" w:type="dxa"/>
            <w:vAlign w:val="center"/>
          </w:tcPr>
          <w:p w14:paraId="35BE6C7E"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الامتثال للمعايير الدولية على الكفاءة التشغيلية</w:t>
            </w:r>
          </w:p>
        </w:tc>
        <w:tc>
          <w:tcPr>
            <w:tcW w:w="1685" w:type="dxa"/>
            <w:vAlign w:val="center"/>
          </w:tcPr>
          <w:p w14:paraId="6554FB4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0838ED60"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0.677, p &lt; 0.001</w:t>
            </w:r>
          </w:p>
        </w:tc>
        <w:tc>
          <w:tcPr>
            <w:tcW w:w="1037" w:type="dxa"/>
            <w:vAlign w:val="center"/>
          </w:tcPr>
          <w:p w14:paraId="0AF724CA"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473197A2" w14:textId="77777777" w:rsidTr="003620CC">
        <w:tc>
          <w:tcPr>
            <w:tcW w:w="713" w:type="dxa"/>
            <w:vAlign w:val="center"/>
          </w:tcPr>
          <w:p w14:paraId="493BD9F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H3a</w:t>
            </w:r>
          </w:p>
        </w:tc>
        <w:tc>
          <w:tcPr>
            <w:tcW w:w="2982" w:type="dxa"/>
            <w:vAlign w:val="center"/>
          </w:tcPr>
          <w:p w14:paraId="18254BC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فروق تُعزى إلى مستوى تبنّي التقنية</w:t>
            </w:r>
          </w:p>
        </w:tc>
        <w:tc>
          <w:tcPr>
            <w:tcW w:w="1685" w:type="dxa"/>
            <w:vAlign w:val="center"/>
          </w:tcPr>
          <w:p w14:paraId="69D88E2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مان-ويتني U</w:t>
            </w:r>
          </w:p>
        </w:tc>
        <w:tc>
          <w:tcPr>
            <w:tcW w:w="1880" w:type="dxa"/>
            <w:vAlign w:val="center"/>
          </w:tcPr>
          <w:p w14:paraId="33D2098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p &lt; 0.001 للبُعدين</w:t>
            </w:r>
          </w:p>
        </w:tc>
        <w:tc>
          <w:tcPr>
            <w:tcW w:w="1037" w:type="dxa"/>
            <w:vAlign w:val="center"/>
          </w:tcPr>
          <w:p w14:paraId="1BC3F24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5A191A4B" w14:textId="77777777" w:rsidTr="003620CC">
        <w:tc>
          <w:tcPr>
            <w:tcW w:w="713" w:type="dxa"/>
            <w:vAlign w:val="center"/>
          </w:tcPr>
          <w:p w14:paraId="5492EA8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H3b</w:t>
            </w:r>
          </w:p>
        </w:tc>
        <w:tc>
          <w:tcPr>
            <w:tcW w:w="2982" w:type="dxa"/>
            <w:vAlign w:val="center"/>
          </w:tcPr>
          <w:p w14:paraId="233C449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فروق في التوافق مع رؤية 2030 تُعزى إلى نوع المؤسسة</w:t>
            </w:r>
          </w:p>
        </w:tc>
        <w:tc>
          <w:tcPr>
            <w:tcW w:w="1685" w:type="dxa"/>
            <w:vAlign w:val="center"/>
          </w:tcPr>
          <w:p w14:paraId="5A201EE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كروسكال-واليس</w:t>
            </w:r>
          </w:p>
        </w:tc>
        <w:tc>
          <w:tcPr>
            <w:tcW w:w="1880" w:type="dxa"/>
            <w:vAlign w:val="center"/>
          </w:tcPr>
          <w:p w14:paraId="1D4DAFA0"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 = 61.326, p &lt; 0.001</w:t>
            </w:r>
          </w:p>
        </w:tc>
        <w:tc>
          <w:tcPr>
            <w:tcW w:w="1037" w:type="dxa"/>
            <w:vAlign w:val="center"/>
          </w:tcPr>
          <w:p w14:paraId="485759B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bl>
    <w:p w14:paraId="20E7AAB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(4.26): ملخص نتائج اختبار فروض الدراسة</w:t>
      </w:r>
    </w:p>
    <w:p w14:paraId="728CBA17"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يتضح من الجدول أعلاه قبول جميع فروض الدراسة الرئيسة وفروعها عند مستوى دلالة (0.01)، مما يؤكد وجود أثر إيجابي دال إحصائياً لتطبيق تقنية الترميز بأبعاده على تعزيز الأمن السيبراني المؤسسي والكفاءة التشغيلية المالية في المؤسسات المالية السعودية، ووجود فروق دالة تُعزى إلى مستوى تبنّي التقنية وإلى نوع المؤسسة.</w:t>
      </w:r>
    </w:p>
    <w:p w14:paraId="1BCC0A7B"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u w:val="single"/>
          <w:rtl/>
        </w:rPr>
        <w:t>سادساً: نماذج الانحدار المنقّح</w:t>
      </w:r>
    </w:p>
    <w:p w14:paraId="7DBAC98D"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يتناول هذا الجزء عرض نتائج نموذجي الانحدار المنقّح (Robust Regression) المستخدَمين لاختبار الفرضية الرابعة، من حيث معاملات التأثير والقوة التفسيرية للنماذج ودلالة العلاقات بين المتغيرات، وذلك باستخدام أسلوب الانحدار المنقّح المعتمد على دالة وزن Huber (Huber's T)، بوصفه أسلوباً مقاوماً لعدم التوزيع الطبيعي والقيم المتطرفة التي أظهرها اختبار شابيرو-ويلك في الجزء الرابع من هذا الفصل.</w:t>
      </w:r>
    </w:p>
    <w:p w14:paraId="01D32142"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النموذج الأول: أثر تطبيق تقنية الترميز على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rsidRPr="003620CC" w14:paraId="3147368B" w14:textId="77777777" w:rsidTr="003620CC">
        <w:trPr>
          <w:tblHeader/>
          <w:jc w:val="center"/>
        </w:trPr>
        <w:tc>
          <w:tcPr>
            <w:tcW w:w="1778" w:type="pct"/>
            <w:shd w:val="clear" w:color="auto" w:fill="2E5395"/>
            <w:tcMar>
              <w:top w:w="60" w:type="dxa"/>
              <w:left w:w="100" w:type="dxa"/>
              <w:bottom w:w="60" w:type="dxa"/>
              <w:right w:w="100" w:type="dxa"/>
            </w:tcMar>
            <w:vAlign w:val="center"/>
          </w:tcPr>
          <w:p w14:paraId="1BAF9E5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المتغير</w:t>
            </w:r>
          </w:p>
        </w:tc>
        <w:tc>
          <w:tcPr>
            <w:tcW w:w="1111" w:type="pct"/>
            <w:shd w:val="clear" w:color="auto" w:fill="2E5395"/>
            <w:tcMar>
              <w:top w:w="60" w:type="dxa"/>
              <w:left w:w="100" w:type="dxa"/>
              <w:bottom w:w="60" w:type="dxa"/>
              <w:right w:w="100" w:type="dxa"/>
            </w:tcMar>
            <w:vAlign w:val="center"/>
          </w:tcPr>
          <w:p w14:paraId="3B5A66BF"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1624708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قيمة (t)</w:t>
            </w:r>
          </w:p>
        </w:tc>
        <w:tc>
          <w:tcPr>
            <w:tcW w:w="1111" w:type="pct"/>
            <w:shd w:val="clear" w:color="auto" w:fill="2E5395"/>
            <w:tcMar>
              <w:top w:w="60" w:type="dxa"/>
              <w:left w:w="100" w:type="dxa"/>
              <w:bottom w:w="60" w:type="dxa"/>
              <w:right w:w="100" w:type="dxa"/>
            </w:tcMar>
            <w:vAlign w:val="center"/>
          </w:tcPr>
          <w:p w14:paraId="0EFD94EE"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القيمة الاحتمالية (p)</w:t>
            </w:r>
          </w:p>
        </w:tc>
      </w:tr>
      <w:tr w:rsidR="007608E1" w:rsidRPr="003620CC" w14:paraId="001C9678" w14:textId="77777777" w:rsidTr="003620CC">
        <w:trPr>
          <w:jc w:val="center"/>
        </w:trPr>
        <w:tc>
          <w:tcPr>
            <w:tcW w:w="1778" w:type="pct"/>
            <w:tcMar>
              <w:top w:w="60" w:type="dxa"/>
              <w:left w:w="100" w:type="dxa"/>
              <w:bottom w:w="60" w:type="dxa"/>
              <w:right w:w="100" w:type="dxa"/>
            </w:tcMar>
            <w:vAlign w:val="center"/>
          </w:tcPr>
          <w:p w14:paraId="1404424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الثابت</w:t>
            </w:r>
          </w:p>
        </w:tc>
        <w:tc>
          <w:tcPr>
            <w:tcW w:w="1111" w:type="pct"/>
            <w:tcMar>
              <w:top w:w="60" w:type="dxa"/>
              <w:left w:w="100" w:type="dxa"/>
              <w:bottom w:w="60" w:type="dxa"/>
              <w:right w:w="100" w:type="dxa"/>
            </w:tcMar>
            <w:vAlign w:val="center"/>
          </w:tcPr>
          <w:p w14:paraId="0270223F"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0.7027</w:t>
            </w:r>
          </w:p>
        </w:tc>
        <w:tc>
          <w:tcPr>
            <w:tcW w:w="1000" w:type="pct"/>
            <w:tcMar>
              <w:top w:w="60" w:type="dxa"/>
              <w:left w:w="100" w:type="dxa"/>
              <w:bottom w:w="60" w:type="dxa"/>
              <w:right w:w="100" w:type="dxa"/>
            </w:tcMar>
            <w:vAlign w:val="center"/>
          </w:tcPr>
          <w:p w14:paraId="22DE8D0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w:t>
            </w:r>
          </w:p>
        </w:tc>
        <w:tc>
          <w:tcPr>
            <w:tcW w:w="1111" w:type="pct"/>
            <w:tcMar>
              <w:top w:w="60" w:type="dxa"/>
              <w:left w:w="100" w:type="dxa"/>
              <w:bottom w:w="60" w:type="dxa"/>
              <w:right w:w="100" w:type="dxa"/>
            </w:tcMar>
            <w:vAlign w:val="center"/>
          </w:tcPr>
          <w:p w14:paraId="4ED5EE1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72214A3F" w14:textId="77777777" w:rsidTr="003620CC">
        <w:trPr>
          <w:jc w:val="center"/>
        </w:trPr>
        <w:tc>
          <w:tcPr>
            <w:tcW w:w="1778" w:type="pct"/>
            <w:shd w:val="clear" w:color="auto" w:fill="F2F2F2"/>
            <w:tcMar>
              <w:top w:w="60" w:type="dxa"/>
              <w:left w:w="100" w:type="dxa"/>
              <w:bottom w:w="60" w:type="dxa"/>
              <w:right w:w="100" w:type="dxa"/>
            </w:tcMar>
            <w:vAlign w:val="center"/>
          </w:tcPr>
          <w:p w14:paraId="63C53B7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الترميز الأمني للبيانات</w:t>
            </w:r>
          </w:p>
        </w:tc>
        <w:tc>
          <w:tcPr>
            <w:tcW w:w="1111" w:type="pct"/>
            <w:shd w:val="clear" w:color="auto" w:fill="F2F2F2"/>
            <w:tcMar>
              <w:top w:w="60" w:type="dxa"/>
              <w:left w:w="100" w:type="dxa"/>
              <w:bottom w:w="60" w:type="dxa"/>
              <w:right w:w="100" w:type="dxa"/>
            </w:tcMar>
            <w:vAlign w:val="center"/>
          </w:tcPr>
          <w:p w14:paraId="2086C462"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0.1726</w:t>
            </w:r>
          </w:p>
        </w:tc>
        <w:tc>
          <w:tcPr>
            <w:tcW w:w="1000" w:type="pct"/>
            <w:shd w:val="clear" w:color="auto" w:fill="F2F2F2"/>
            <w:tcMar>
              <w:top w:w="60" w:type="dxa"/>
              <w:left w:w="100" w:type="dxa"/>
              <w:bottom w:w="60" w:type="dxa"/>
              <w:right w:w="100" w:type="dxa"/>
            </w:tcMar>
            <w:vAlign w:val="center"/>
          </w:tcPr>
          <w:p w14:paraId="6D28B36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3.103</w:t>
            </w:r>
          </w:p>
        </w:tc>
        <w:tc>
          <w:tcPr>
            <w:tcW w:w="1111" w:type="pct"/>
            <w:shd w:val="clear" w:color="auto" w:fill="F2F2F2"/>
            <w:tcMar>
              <w:top w:w="60" w:type="dxa"/>
              <w:left w:w="100" w:type="dxa"/>
              <w:bottom w:w="60" w:type="dxa"/>
              <w:right w:w="100" w:type="dxa"/>
            </w:tcMar>
            <w:vAlign w:val="center"/>
          </w:tcPr>
          <w:p w14:paraId="4D773B0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0.002</w:t>
            </w:r>
          </w:p>
        </w:tc>
      </w:tr>
      <w:tr w:rsidR="007608E1" w:rsidRPr="003620CC" w14:paraId="72142BAE" w14:textId="77777777" w:rsidTr="003620CC">
        <w:trPr>
          <w:jc w:val="center"/>
        </w:trPr>
        <w:tc>
          <w:tcPr>
            <w:tcW w:w="1778" w:type="pct"/>
            <w:tcMar>
              <w:top w:w="60" w:type="dxa"/>
              <w:left w:w="100" w:type="dxa"/>
              <w:bottom w:w="60" w:type="dxa"/>
              <w:right w:w="100" w:type="dxa"/>
            </w:tcMar>
            <w:vAlign w:val="center"/>
          </w:tcPr>
          <w:p w14:paraId="022A3BA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الامتثال للمعايير الدولية</w:t>
            </w:r>
          </w:p>
        </w:tc>
        <w:tc>
          <w:tcPr>
            <w:tcW w:w="1111" w:type="pct"/>
            <w:tcMar>
              <w:top w:w="60" w:type="dxa"/>
              <w:left w:w="100" w:type="dxa"/>
              <w:bottom w:w="60" w:type="dxa"/>
              <w:right w:w="100" w:type="dxa"/>
            </w:tcMar>
            <w:vAlign w:val="center"/>
          </w:tcPr>
          <w:p w14:paraId="293EB3A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0.6770</w:t>
            </w:r>
          </w:p>
        </w:tc>
        <w:tc>
          <w:tcPr>
            <w:tcW w:w="1000" w:type="pct"/>
            <w:tcMar>
              <w:top w:w="60" w:type="dxa"/>
              <w:left w:w="100" w:type="dxa"/>
              <w:bottom w:w="60" w:type="dxa"/>
              <w:right w:w="100" w:type="dxa"/>
            </w:tcMar>
            <w:vAlign w:val="center"/>
          </w:tcPr>
          <w:p w14:paraId="657F0CE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10.672</w:t>
            </w:r>
          </w:p>
        </w:tc>
        <w:tc>
          <w:tcPr>
            <w:tcW w:w="1111" w:type="pct"/>
            <w:tcMar>
              <w:top w:w="60" w:type="dxa"/>
              <w:left w:w="100" w:type="dxa"/>
              <w:bottom w:w="60" w:type="dxa"/>
              <w:right w:w="100" w:type="dxa"/>
            </w:tcMar>
            <w:vAlign w:val="center"/>
          </w:tcPr>
          <w:p w14:paraId="561EAE5E"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bl>
    <w:p w14:paraId="0ADCA2C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(4.27): نتائج نموذج الانحدار المنقّح للمتغير التابع "الكفاءة التشغيلية المالية" (R² = 0.747)</w:t>
      </w:r>
    </w:p>
    <w:p w14:paraId="4D5C995C" w14:textId="77777777" w:rsidR="007608E1" w:rsidRPr="003620CC" w:rsidRDefault="007608E1" w:rsidP="00E000FF">
      <w:pPr>
        <w:bidi/>
        <w:spacing w:after="0" w:line="360" w:lineRule="auto"/>
        <w:jc w:val="both"/>
        <w:rPr>
          <w:sz w:val="26"/>
          <w:szCs w:val="26"/>
        </w:rPr>
      </w:pPr>
      <w:r w:rsidRPr="003620CC">
        <w:rPr>
          <w:rFonts w:ascii="Traditional Arabic" w:eastAsia="Simplified Arabic" w:hAnsi="Traditional Arabic" w:cs="Traditional Arabic"/>
          <w:sz w:val="28"/>
          <w:szCs w:val="28"/>
          <w:rtl/>
        </w:rPr>
        <w:lastRenderedPageBreak/>
        <w:t>تشير نتائج النموذج الأول إلى أن كلاً من بُعدي الترميز الأمني للبيانات (B = 0.173، t = 3.103، p &lt; 0.01) والامتثال للمعايير الدولية (B = 0.677، t = 10.672، p &lt; 0.001) يؤثران تأثيراً موجباً ودالاً إحصائياً في الكفاءة التشغيلية المالية، مع تفوّق واضح لتأثير بُعد الامتثال للمعايير الدولية على بُعد الترميز الأمني. وفسّر النموذج مجتمعاً نحو (74.7%) من التباين في الكفاءة التشغيلية المالية، وهي نسبة تفسيرية مرتفعة تعكس قوة تأثير محور تطبيق تقنية الترميز على تحسين كفاءة العمليات المالية.</w:t>
      </w:r>
    </w:p>
    <w:p w14:paraId="747430B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النموذج الثاني: أثر تطبيق تقنية الترميز على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rsidRPr="003620CC" w14:paraId="39C329AF" w14:textId="77777777" w:rsidTr="003620CC">
        <w:trPr>
          <w:tblHeader/>
          <w:jc w:val="center"/>
        </w:trPr>
        <w:tc>
          <w:tcPr>
            <w:tcW w:w="1778" w:type="pct"/>
            <w:shd w:val="clear" w:color="auto" w:fill="2E5395"/>
            <w:tcMar>
              <w:top w:w="60" w:type="dxa"/>
              <w:left w:w="100" w:type="dxa"/>
              <w:bottom w:w="60" w:type="dxa"/>
              <w:right w:w="100" w:type="dxa"/>
            </w:tcMar>
            <w:vAlign w:val="center"/>
          </w:tcPr>
          <w:p w14:paraId="287CE11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المتغير</w:t>
            </w:r>
          </w:p>
        </w:tc>
        <w:tc>
          <w:tcPr>
            <w:tcW w:w="1111" w:type="pct"/>
            <w:shd w:val="clear" w:color="auto" w:fill="2E5395"/>
            <w:tcMar>
              <w:top w:w="60" w:type="dxa"/>
              <w:left w:w="100" w:type="dxa"/>
              <w:bottom w:w="60" w:type="dxa"/>
              <w:right w:w="100" w:type="dxa"/>
            </w:tcMar>
            <w:vAlign w:val="center"/>
          </w:tcPr>
          <w:p w14:paraId="59D36999"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1E86E84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قيمة (t)</w:t>
            </w:r>
          </w:p>
        </w:tc>
        <w:tc>
          <w:tcPr>
            <w:tcW w:w="1111" w:type="pct"/>
            <w:shd w:val="clear" w:color="auto" w:fill="2E5395"/>
            <w:tcMar>
              <w:top w:w="60" w:type="dxa"/>
              <w:left w:w="100" w:type="dxa"/>
              <w:bottom w:w="60" w:type="dxa"/>
              <w:right w:w="100" w:type="dxa"/>
            </w:tcMar>
            <w:vAlign w:val="center"/>
          </w:tcPr>
          <w:p w14:paraId="388AA40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القيمة الاحتمالية (p)</w:t>
            </w:r>
          </w:p>
        </w:tc>
      </w:tr>
      <w:tr w:rsidR="007608E1" w:rsidRPr="003620CC" w14:paraId="5F98BF7E" w14:textId="77777777" w:rsidTr="003620CC">
        <w:trPr>
          <w:jc w:val="center"/>
        </w:trPr>
        <w:tc>
          <w:tcPr>
            <w:tcW w:w="1778" w:type="pct"/>
            <w:tcMar>
              <w:top w:w="60" w:type="dxa"/>
              <w:left w:w="100" w:type="dxa"/>
              <w:bottom w:w="60" w:type="dxa"/>
              <w:right w:w="100" w:type="dxa"/>
            </w:tcMar>
            <w:vAlign w:val="center"/>
          </w:tcPr>
          <w:p w14:paraId="0F22FE9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الثابت</w:t>
            </w:r>
          </w:p>
        </w:tc>
        <w:tc>
          <w:tcPr>
            <w:tcW w:w="1111" w:type="pct"/>
            <w:tcMar>
              <w:top w:w="60" w:type="dxa"/>
              <w:left w:w="100" w:type="dxa"/>
              <w:bottom w:w="60" w:type="dxa"/>
              <w:right w:w="100" w:type="dxa"/>
            </w:tcMar>
            <w:vAlign w:val="center"/>
          </w:tcPr>
          <w:p w14:paraId="4C8C819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0.4885</w:t>
            </w:r>
          </w:p>
        </w:tc>
        <w:tc>
          <w:tcPr>
            <w:tcW w:w="1000" w:type="pct"/>
            <w:tcMar>
              <w:top w:w="60" w:type="dxa"/>
              <w:left w:w="100" w:type="dxa"/>
              <w:bottom w:w="60" w:type="dxa"/>
              <w:right w:w="100" w:type="dxa"/>
            </w:tcMar>
            <w:vAlign w:val="center"/>
          </w:tcPr>
          <w:p w14:paraId="4553C52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w:t>
            </w:r>
          </w:p>
        </w:tc>
        <w:tc>
          <w:tcPr>
            <w:tcW w:w="1111" w:type="pct"/>
            <w:tcMar>
              <w:top w:w="60" w:type="dxa"/>
              <w:left w:w="100" w:type="dxa"/>
              <w:bottom w:w="60" w:type="dxa"/>
              <w:right w:w="100" w:type="dxa"/>
            </w:tcMar>
            <w:vAlign w:val="center"/>
          </w:tcPr>
          <w:p w14:paraId="39BE964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6B982BBD" w14:textId="77777777" w:rsidTr="003620CC">
        <w:trPr>
          <w:jc w:val="center"/>
        </w:trPr>
        <w:tc>
          <w:tcPr>
            <w:tcW w:w="1778" w:type="pct"/>
            <w:shd w:val="clear" w:color="auto" w:fill="F2F2F2"/>
            <w:tcMar>
              <w:top w:w="60" w:type="dxa"/>
              <w:left w:w="100" w:type="dxa"/>
              <w:bottom w:w="60" w:type="dxa"/>
              <w:right w:w="100" w:type="dxa"/>
            </w:tcMar>
            <w:vAlign w:val="center"/>
          </w:tcPr>
          <w:p w14:paraId="01F7357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الترميز الأمني للبيانات</w:t>
            </w:r>
          </w:p>
        </w:tc>
        <w:tc>
          <w:tcPr>
            <w:tcW w:w="1111" w:type="pct"/>
            <w:shd w:val="clear" w:color="auto" w:fill="F2F2F2"/>
            <w:tcMar>
              <w:top w:w="60" w:type="dxa"/>
              <w:left w:w="100" w:type="dxa"/>
              <w:bottom w:w="60" w:type="dxa"/>
              <w:right w:w="100" w:type="dxa"/>
            </w:tcMar>
            <w:vAlign w:val="center"/>
          </w:tcPr>
          <w:p w14:paraId="03CAF74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0.3288</w:t>
            </w:r>
          </w:p>
        </w:tc>
        <w:tc>
          <w:tcPr>
            <w:tcW w:w="1000" w:type="pct"/>
            <w:shd w:val="clear" w:color="auto" w:fill="F2F2F2"/>
            <w:tcMar>
              <w:top w:w="60" w:type="dxa"/>
              <w:left w:w="100" w:type="dxa"/>
              <w:bottom w:w="60" w:type="dxa"/>
              <w:right w:w="100" w:type="dxa"/>
            </w:tcMar>
            <w:vAlign w:val="center"/>
          </w:tcPr>
          <w:p w14:paraId="1C7CA7C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5.889</w:t>
            </w:r>
          </w:p>
        </w:tc>
        <w:tc>
          <w:tcPr>
            <w:tcW w:w="1111" w:type="pct"/>
            <w:shd w:val="clear" w:color="auto" w:fill="F2F2F2"/>
            <w:tcMar>
              <w:top w:w="60" w:type="dxa"/>
              <w:left w:w="100" w:type="dxa"/>
              <w:bottom w:w="60" w:type="dxa"/>
              <w:right w:w="100" w:type="dxa"/>
            </w:tcMar>
            <w:vAlign w:val="center"/>
          </w:tcPr>
          <w:p w14:paraId="753E218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4C7C77FC" w14:textId="77777777" w:rsidTr="003620CC">
        <w:trPr>
          <w:jc w:val="center"/>
        </w:trPr>
        <w:tc>
          <w:tcPr>
            <w:tcW w:w="1778" w:type="pct"/>
            <w:tcMar>
              <w:top w:w="60" w:type="dxa"/>
              <w:left w:w="100" w:type="dxa"/>
              <w:bottom w:w="60" w:type="dxa"/>
              <w:right w:w="100" w:type="dxa"/>
            </w:tcMar>
            <w:vAlign w:val="center"/>
          </w:tcPr>
          <w:p w14:paraId="47D2DA09"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الامتثال للمعايير الدولية</w:t>
            </w:r>
          </w:p>
        </w:tc>
        <w:tc>
          <w:tcPr>
            <w:tcW w:w="1111" w:type="pct"/>
            <w:tcMar>
              <w:top w:w="60" w:type="dxa"/>
              <w:left w:w="100" w:type="dxa"/>
              <w:bottom w:w="60" w:type="dxa"/>
              <w:right w:w="100" w:type="dxa"/>
            </w:tcMar>
            <w:vAlign w:val="center"/>
          </w:tcPr>
          <w:p w14:paraId="7F036627"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0.5571</w:t>
            </w:r>
          </w:p>
        </w:tc>
        <w:tc>
          <w:tcPr>
            <w:tcW w:w="1000" w:type="pct"/>
            <w:tcMar>
              <w:top w:w="60" w:type="dxa"/>
              <w:left w:w="100" w:type="dxa"/>
              <w:bottom w:w="60" w:type="dxa"/>
              <w:right w:w="100" w:type="dxa"/>
            </w:tcMar>
            <w:vAlign w:val="center"/>
          </w:tcPr>
          <w:p w14:paraId="4072F309"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8.747</w:t>
            </w:r>
          </w:p>
        </w:tc>
        <w:tc>
          <w:tcPr>
            <w:tcW w:w="1111" w:type="pct"/>
            <w:tcMar>
              <w:top w:w="60" w:type="dxa"/>
              <w:left w:w="100" w:type="dxa"/>
              <w:bottom w:w="60" w:type="dxa"/>
              <w:right w:w="100" w:type="dxa"/>
            </w:tcMar>
            <w:vAlign w:val="center"/>
          </w:tcPr>
          <w:p w14:paraId="14E2665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bl>
    <w:p w14:paraId="5E13E5B9"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(4.28): نتائج نموذج الانحدار المنقّح للمتغير التابع "الأمن السيبراني المؤسسي" (R² = 0.783)</w:t>
      </w:r>
    </w:p>
    <w:p w14:paraId="3C60C89E"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تشير نتائج النموذج الثاني إلى أن كلاً من بُعدي الترميز الأمني للبيانات (B = 0.329، t = 5.889، p &lt; 0.001) والامتثال للمعايير الدولية (B = 0.557، t = 8.747، p &lt; 0.001) يؤثران تأثيراً موجباً ودالاً إحصائياً في الأمن السيبراني المؤسسي، مع تفوّق نسبي لتأثير بُعد الامتثال للمعايير الدولية. وفسّر النموذج مجتمعاً نحو (78.3%) من التباين في الأمن السيبراني المؤسسي، وهي نسبة تفسيرية مرتفعة جداً تؤكد الدور المحوري لتطبيق تقنية الترميز بأبعاده المختلفة في تعزيز المستوى الأمني السيبراني للمؤسسات المالية السعودية.</w:t>
      </w:r>
    </w:p>
    <w:p w14:paraId="67FD2A24"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وتتفق نتائج النموذجين مع نتائج اختبار الفرضيتين الأولى والثانية القائمة على معامل ارتباط سبيرمان، إذ تؤكد النماذج الانحدارية أن العلاقة الارتباطية الموجودة بين تطبيق تقنية الترميز والمتغيرين التابعين ليست علاقة ارتباطية فحسب، بل علاقة تأثيرية دالة إحصائياً يمكن التنبؤ من خلالها بمستوى الكفاءة التشغيلية والأمن السيبراني بناءً على مستوى تطبيق أبعاد تقنية الترميز.</w:t>
      </w:r>
    </w:p>
    <w:p w14:paraId="764691A0"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u w:val="single"/>
          <w:rtl/>
        </w:rPr>
        <w:t>سابعاً: تلخيص نتائج الفصل</w:t>
      </w:r>
    </w:p>
    <w:p w14:paraId="0C4D8C35"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يختتم هذا الفصل بتلخيص أبرز النتائج التي تم التوصل إليها من خلال التحليل الإحصائي لبيانات عينة الدراسة البالغة (196) مستجيباً من العاملين في المؤسسات المالية السعودية، وذلك على النحو التالي:</w:t>
      </w:r>
    </w:p>
    <w:p w14:paraId="16088215"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lastRenderedPageBreak/>
        <w:t>أظهرت الخصائص الديموغرافية أن عينة الدراسة تمثّلت بشكل رئيسي في البنوك التجارية والمؤسسات الكبيرة الحجم الراسخة في السوق، وأن غالبية المستجيبين يشغلون مناصب فنية وإدارية ذات صلة مباشرة بالأمن السيبراني والتقنية المالية، وأن نسبة 82.7% من المؤسسات المشمولة بالدراسة تعتمد تقنية الترميز حالياً بشكل كامل أو جزئي.</w:t>
      </w:r>
    </w:p>
    <w:p w14:paraId="5F731547"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أظهر التحليل الوصفي أن جميع أبعاد الدراسة الخمسة (الترميز الأمني للبيانات، الامتثال للمعايير الدولية، الكفاءة التشغيلية المالية، الأمن السيبراني المؤسسي، التوافق مع رؤية 2030) حصلت على درجة موافقة "مرتفعة جداً"، بمتوسطات حسابية تراوحت بين (4.314) و(4.480)، وهو ما اتسق مع تقييم أفراد العينة العام لأثر تقنية الترميز على أدائهم المؤسسي (81.7% أفادوا بوجود تأثير إيجابي واضح أو استراتيجي بالغ الأهمية).</w:t>
      </w:r>
    </w:p>
    <w:p w14:paraId="5D0420BB"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أكدت نتائج اختبار الصدق والثبات تمتع أداة الدراسة بخصائص سيكومترية مرتفعة جداً، إذ تراوحت معاملات الاتساق الداخلي بين (0.635) و(0.848) لجميع العبارات، وتجاوزت معاملات ألفا كرونباخ لجميع الأبعاد القيمة (0.90)، وبلغ معامل الثبات الكلي للأداة (0.980).</w:t>
      </w:r>
    </w:p>
    <w:p w14:paraId="02687AE8"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أظهرت نتائج اختبار شابيرو-ويلك انحراف بيانات جميع أبعاد الدراسة عن التوزيع الطبيعي (p&lt;0.001)، كما أظهر اختبار ليفين عدم تجانس التباين بين مجموعات نوع المؤسسة، مما بَرَّر إحصائياً اعتماد الأساليب اللامعلمية في اختبار الفرضيات.</w:t>
      </w:r>
    </w:p>
    <w:p w14:paraId="7D3FC901"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تم قبول جميع فرضيات الدراسة الخمس عند مستوى دلالة (0.01): فقد تبيّن وجود أثر موجب دال لتطبيق تقنية الترميز على الأمن السيبراني (H1: r=0.641) وعلى كفاءة العمليات المالية (H2: r=0.625)، ووجود فروق دالة بين المؤسسات المعتمِدة وغير المعتمِدة للترميز على بُعدي الامتثال والأمن السيبراني (H3)، وأكد نموذجا الانحدار المنقّح وجود أثر تنبؤي دال لأبعاد الترميز على الكفاءة (R²=0.747) والأمن السيبراني (R²=0.783) معاً (H4)، كما تبيّن وجود فروق دالة في مستوى التوافق مع رؤية 2030 تُعزى إلى نوع المؤسسة لصالح المؤسسات الرقمية (H5: H=61.326).</w:t>
      </w:r>
    </w:p>
    <w:p w14:paraId="130F2A72"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تتسق هذه النتائج مجتمعةً مع اتجاهات آراء أفراد العينة التي أُبرزت من خلال التحليل الوصفي، وتُشكّل أساساً كمياً متيناً للانتقال إلى مناقشة هذه النتائج وتفسيرها في ضوء الإطار النظري والدراسات السابقة، وربطها بمستهدفات رؤية المملكة العربية السعودية 2030، في الفصل الخامس.</w:t>
      </w:r>
    </w:p>
    <w:p w14:paraId="47DC245E"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rtl/>
        </w:rPr>
        <w:lastRenderedPageBreak/>
        <w:t>الضوابط العلمية والمنهجية للفصل</w:t>
      </w:r>
    </w:p>
    <w:p w14:paraId="636BF287"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الدقة في عرض ونقل النتائج الإحصائية كما أسفر عنها التحليل دون تدخل أو تأويل.</w:t>
      </w:r>
    </w:p>
    <w:p w14:paraId="3F4410B7"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توحيد أسلوب عرض الجداول والأشكال عبر أجزاء الفصل كافة.</w:t>
      </w:r>
    </w:p>
    <w:p w14:paraId="314216FF"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الفصل الواضح بين عرض النتائج ومناقشتها، مع إرجاء المناقشة النظرية للفصل الخامس.</w:t>
      </w:r>
    </w:p>
    <w:p w14:paraId="4F78F84C"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استخدام لغة علمية واضحة ودقيقة تتفق مع الأسلوب الأكاديمي المعتمد في كتابة الرسائل العلمية.</w:t>
      </w:r>
    </w:p>
    <w:p w14:paraId="6EDA5645"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الربط المستمر بين النتائج وأهداف الدراسة وفرضياتها كما وردت في الفصلين الأول والثالث.</w:t>
      </w:r>
    </w:p>
    <w:p w14:paraId="749A3047" w14:textId="241C962F" w:rsidR="007C5A80" w:rsidRPr="003620CC" w:rsidRDefault="007C5A80" w:rsidP="00E000FF">
      <w:pPr>
        <w:bidi/>
        <w:spacing w:after="0" w:line="360" w:lineRule="auto"/>
        <w:rPr>
          <w:sz w:val="28"/>
          <w:szCs w:val="28"/>
          <w:rtl/>
        </w:rPr>
      </w:pPr>
    </w:p>
    <w:p w14:paraId="7D8071C0" w14:textId="6C004DCC" w:rsidR="00C30195" w:rsidRPr="003620CC" w:rsidRDefault="007E0546" w:rsidP="003620CC">
      <w:pPr>
        <w:bidi/>
        <w:spacing w:after="0" w:line="360" w:lineRule="auto"/>
        <w:rPr>
          <w:rFonts w:ascii="Simplified Arabic" w:hAnsi="Simplified Arabic" w:cs="Simplified Arabic"/>
          <w:b/>
          <w:bCs/>
          <w:sz w:val="28"/>
          <w:szCs w:val="28"/>
          <w:u w:val="single"/>
          <w:rtl/>
        </w:rPr>
      </w:pPr>
      <w:r w:rsidRPr="003620CC">
        <w:rPr>
          <w:rFonts w:ascii="Traditional Arabic" w:eastAsia="Simplified Arabic" w:hAnsi="Traditional Arabic" w:cs="Traditional Arabic"/>
          <w:b/>
          <w:bCs/>
          <w:sz w:val="28"/>
          <w:szCs w:val="28"/>
          <w:rtl/>
        </w:rPr>
        <w:t>محددات الفصل وحدود التحليل الإحصائي:</w:t>
      </w:r>
    </w:p>
    <w:p w14:paraId="4398C192" w14:textId="2873C9B4" w:rsidR="003620CC" w:rsidRDefault="007E0546" w:rsidP="00E000FF">
      <w:pPr>
        <w:bidi/>
        <w:spacing w:after="0" w:line="360" w:lineRule="auto"/>
        <w:jc w:val="both"/>
        <w:rPr>
          <w:rFonts w:ascii="Traditional Arabic" w:eastAsia="Simplified Arabic" w:hAnsi="Traditional Arabic" w:cs="Traditional Arabic"/>
          <w:sz w:val="28"/>
          <w:szCs w:val="28"/>
          <w:rtl/>
        </w:rPr>
      </w:pPr>
      <w:r w:rsidRPr="003620CC">
        <w:rPr>
          <w:rFonts w:ascii="Traditional Arabic" w:eastAsia="Simplified Arabic" w:hAnsi="Traditional Arabic" w:cs="Traditional Arabic"/>
          <w:sz w:val="28"/>
          <w:szCs w:val="28"/>
          <w:rtl/>
        </w:rPr>
        <w:t>اقتصر التحليل الإحصائي في هذا الفصل على اختبار العلاقة بين تطبيق تقنية الترميز وكل من الأمن السيبراني المؤسسي وكفاءة العمليات المالية كمتغيرين تابعين مستقلين عن بعضهما (عبر الارتباط والانحدار المنقّح)، ولم يتضمن اختبار أي علاقة تفاعلية أو وساطة بين الأمن السيبراني وكفاءة العمليات المالية نفسيهما. وبناءً على ذلك، فإن ملاحظة لجنة المراجعة الخاصة بصياغة فرض يختبر تأثير تقنية الترميز في العلاقة بين الأمن السيبراني وكفاءة العمليات المالية (أي علاقة وساطة أو تفاعل بين المتغيرين التابعين) لم تُختبر إحصائياً على بيانات الدراسة الحالية، ويوصى بمعالجتها في دراسات لاحقة عبر تحليل وساطة (Mediation Analysis) أو تحليل تفاعل (Interaction Analysis) مخصص، بعد جمع بيانات إضافية تسمح بذلك.</w:t>
      </w:r>
    </w:p>
    <w:p w14:paraId="65A93C1B" w14:textId="1AB5EE6A" w:rsidR="00C30195" w:rsidRPr="003620CC" w:rsidRDefault="003620CC" w:rsidP="003620CC">
      <w:pPr>
        <w:spacing w:after="200" w:line="276" w:lineRule="auto"/>
        <w:rPr>
          <w:rFonts w:ascii="Traditional Arabic" w:eastAsia="Simplified Arabic" w:hAnsi="Traditional Arabic" w:cs="Traditional Arabic"/>
          <w:sz w:val="28"/>
          <w:szCs w:val="28"/>
          <w:rtl/>
        </w:rPr>
      </w:pPr>
      <w:r>
        <w:rPr>
          <w:rFonts w:ascii="Traditional Arabic" w:eastAsia="Simplified Arabic" w:hAnsi="Traditional Arabic" w:cs="Traditional Arabic"/>
          <w:sz w:val="28"/>
          <w:szCs w:val="28"/>
          <w:rtl/>
        </w:rPr>
        <w:br w:type="page"/>
      </w:r>
    </w:p>
    <w:p w14:paraId="0091064B" w14:textId="469E1D2A" w:rsidR="00B35152" w:rsidRPr="00310DA8" w:rsidRDefault="00B35152" w:rsidP="00E000FF">
      <w:pPr>
        <w:pStyle w:val="HeadingTOCEntry"/>
        <w:bidi/>
        <w:spacing w:after="0" w:line="360" w:lineRule="auto"/>
        <w:jc w:val="center"/>
        <w:rPr>
          <w:rFonts w:ascii="Simplified Arabic" w:hAnsi="Simplified Arabic" w:cs="Simplified Arabic"/>
          <w:b/>
          <w:bCs/>
          <w:sz w:val="28"/>
          <w:szCs w:val="28"/>
          <w:u w:val="single"/>
        </w:rPr>
      </w:pPr>
      <w:bookmarkStart w:id="139" w:name="_Toc234424173"/>
      <w:r>
        <w:rPr>
          <w:rFonts w:ascii="Traditional Arabic" w:hAnsi="Traditional Arabic" w:cs="Traditional Arabic"/>
          <w:b/>
          <w:bCs/>
          <w:sz w:val="32"/>
          <w:szCs w:val="32"/>
          <w:u w:val="single"/>
          <w:rtl/>
        </w:rPr>
        <w:lastRenderedPageBreak/>
        <w:t>ملحق (1)</w:t>
      </w:r>
      <w:bookmarkEnd w:id="139"/>
    </w:p>
    <w:p w14:paraId="56AB1714"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استبانة الدراسة</w:t>
      </w:r>
    </w:p>
    <w:p w14:paraId="7CA13E11" w14:textId="77777777" w:rsidR="00B35152" w:rsidRPr="0087261A" w:rsidRDefault="00B35152" w:rsidP="00E000FF">
      <w:pPr>
        <w:bidi/>
        <w:spacing w:after="0" w:line="360" w:lineRule="auto"/>
        <w:jc w:val="both"/>
        <w:rPr>
          <w:rFonts w:ascii="Simplified Arabic" w:hAnsi="Simplified Arabic" w:cs="Simplified Arabic"/>
          <w:sz w:val="28"/>
          <w:szCs w:val="28"/>
        </w:rPr>
      </w:pPr>
    </w:p>
    <w:p w14:paraId="50D71BBE"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الأخ/الأخت الكريم/ة،</w:t>
      </w:r>
    </w:p>
    <w:p w14:paraId="675034BE"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السلام عليكم ورحمة الله وبركاته،</w:t>
      </w:r>
    </w:p>
    <w:p w14:paraId="0B044C5F"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يسعدني أن أضع بين يديكم هذه الاستبانة التي صُمِّمت لأغراض البحث العلمي في إطار أطروحة دكتوراه بعنوان:</w:t>
      </w:r>
    </w:p>
    <w:p w14:paraId="3EF288D7"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"أثر تقنية الترميز على الأمن السيبراني وكفاءة العمليات المالية في المؤسسات السعودية - دراسة تحليلية"</w:t>
      </w:r>
    </w:p>
    <w:p w14:paraId="79788003"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وتقبّلوا خالص الشكر والتقدير،</w:t>
      </w:r>
    </w:p>
    <w:p w14:paraId="4149771A"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الباحث</w:t>
      </w:r>
    </w:p>
    <w:p w14:paraId="3A6AED9F" w14:textId="77777777" w:rsidR="00B35152" w:rsidRPr="0087261A" w:rsidRDefault="00B35152" w:rsidP="00E000FF">
      <w:pPr>
        <w:bidi/>
        <w:spacing w:after="0" w:line="360" w:lineRule="auto"/>
        <w:jc w:val="both"/>
        <w:rPr>
          <w:rFonts w:ascii="Simplified Arabic" w:hAnsi="Simplified Arabic" w:cs="Simplified Arabic"/>
          <w:sz w:val="28"/>
          <w:szCs w:val="28"/>
        </w:rPr>
      </w:pPr>
    </w:p>
    <w:p w14:paraId="332ACA0C"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القسم الأول: البيانات الديموغرافية والوظيفية</w:t>
      </w:r>
    </w:p>
    <w:p w14:paraId="0B960DAC"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يرجى وضع علامة (</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في</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المكان</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المناسب</w:t>
      </w:r>
      <w:r>
        <w:rPr>
          <w:rFonts w:ascii="Traditional Arabic" w:hAnsi="Traditional Arabic" w:cs="Traditional Arabic"/>
          <w:sz w:val="24"/>
          <w:szCs w:val="24"/>
          <w:rtl/>
        </w:rPr>
        <w:t>:</w:t>
      </w:r>
    </w:p>
    <w:tbl>
      <w:tblPr>
        <w:tblStyle w:val="4-1"/>
        <w:tblW w:w="8299" w:type="dxa"/>
        <w:tblLook w:val="04A0" w:firstRow="1" w:lastRow="0" w:firstColumn="1" w:lastColumn="0" w:noHBand="0" w:noVBand="1"/>
      </w:tblPr>
      <w:tblGrid>
        <w:gridCol w:w="5279"/>
        <w:gridCol w:w="616"/>
        <w:gridCol w:w="2404"/>
      </w:tblGrid>
      <w:tr w:rsidR="00B35152" w:rsidRPr="00A74EA0" w14:paraId="5D4F1B6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vAlign w:val="center"/>
          </w:tcPr>
          <w:p w14:paraId="169734C3"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الخيارات</w:t>
            </w:r>
          </w:p>
        </w:tc>
        <w:tc>
          <w:tcPr>
            <w:tcW w:w="636" w:type="dxa"/>
            <w:gridSpan w:val="2"/>
            <w:vAlign w:val="center"/>
          </w:tcPr>
          <w:p w14:paraId="41CFD5EF" w14:textId="77777777" w:rsidR="00B35152" w:rsidRPr="003050DB"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السؤال</w:t>
            </w:r>
          </w:p>
        </w:tc>
      </w:tr>
      <w:tr w:rsidR="00B35152" w:rsidRPr="00A74EA0" w14:paraId="338D108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3EDAEF46"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بنك تجاري تقليدي  </w:t>
            </w:r>
            <w:r>
              <w:rPr>
                <w:rFonts w:ascii="Traditional Arabic" w:hAnsi="Traditional Arabic" w:cs="Traditional Arabic" w:hint="cs"/>
                <w:rtl/>
              </w:rPr>
              <w:t>☐</w:t>
            </w:r>
            <w:r>
              <w:rPr>
                <w:rFonts w:ascii="Traditional Arabic" w:hAnsi="Traditional Arabic" w:cs="Traditional Arabic"/>
                <w:rtl/>
              </w:rPr>
              <w:t xml:space="preserve"> بنك رقمي  </w:t>
            </w:r>
            <w:r>
              <w:rPr>
                <w:rFonts w:ascii="Traditional Arabic" w:hAnsi="Traditional Arabic" w:cs="Traditional Arabic" w:hint="cs"/>
                <w:rtl/>
              </w:rPr>
              <w:t>☐</w:t>
            </w:r>
            <w:r>
              <w:rPr>
                <w:rFonts w:ascii="Traditional Arabic" w:hAnsi="Traditional Arabic" w:cs="Traditional Arabic"/>
                <w:rtl/>
              </w:rPr>
              <w:t xml:space="preserve"> شركة تقنية مالية (Fintech)</w:t>
            </w:r>
          </w:p>
        </w:tc>
        <w:tc>
          <w:tcPr>
            <w:tcW w:w="636" w:type="dxa"/>
            <w:vAlign w:val="center"/>
          </w:tcPr>
          <w:p w14:paraId="701A1463"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 نوع المؤسسة التي تعمل بها</w:t>
            </w:r>
          </w:p>
        </w:tc>
      </w:tr>
      <w:tr w:rsidR="00B35152" w:rsidRPr="00A74EA0" w14:paraId="5CE9C010" w14:textId="77777777" w:rsidTr="00B943E6">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45BEE620"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أقل من 3 سنوات  </w:t>
            </w:r>
            <w:r>
              <w:rPr>
                <w:rFonts w:ascii="Traditional Arabic" w:hAnsi="Traditional Arabic" w:cs="Traditional Arabic" w:hint="cs"/>
                <w:rtl/>
              </w:rPr>
              <w:t>☐</w:t>
            </w:r>
            <w:r>
              <w:rPr>
                <w:rFonts w:ascii="Traditional Arabic" w:hAnsi="Traditional Arabic" w:cs="Traditional Arabic"/>
                <w:rtl/>
              </w:rPr>
              <w:t xml:space="preserve"> 3-6 سنوات  </w:t>
            </w:r>
            <w:r>
              <w:rPr>
                <w:rFonts w:ascii="Traditional Arabic" w:hAnsi="Traditional Arabic" w:cs="Traditional Arabic" w:hint="cs"/>
                <w:rtl/>
              </w:rPr>
              <w:t>☐</w:t>
            </w:r>
            <w:r>
              <w:rPr>
                <w:rFonts w:ascii="Traditional Arabic" w:hAnsi="Traditional Arabic" w:cs="Traditional Arabic"/>
                <w:rtl/>
              </w:rPr>
              <w:t xml:space="preserve"> 7-10 سنوات  </w:t>
            </w:r>
            <w:r>
              <w:rPr>
                <w:rFonts w:ascii="Traditional Arabic" w:hAnsi="Traditional Arabic" w:cs="Traditional Arabic" w:hint="cs"/>
                <w:rtl/>
              </w:rPr>
              <w:t>☐</w:t>
            </w:r>
            <w:r>
              <w:rPr>
                <w:rFonts w:ascii="Traditional Arabic" w:hAnsi="Traditional Arabic" w:cs="Traditional Arabic"/>
                <w:rtl/>
              </w:rPr>
              <w:t xml:space="preserve"> أكثر من 10 سنوات</w:t>
            </w:r>
          </w:p>
        </w:tc>
        <w:tc>
          <w:tcPr>
            <w:tcW w:w="636" w:type="dxa"/>
            <w:vAlign w:val="center"/>
          </w:tcPr>
          <w:p w14:paraId="478F3B7B" w14:textId="77777777" w:rsidR="00B35152" w:rsidRPr="003050DB" w:rsidRDefault="00B35152" w:rsidP="00E000FF">
            <w:pPr>
              <w:tabs>
                <w:tab w:val="num" w:pos="907"/>
              </w:tabs>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 سنوات خبرتك في المجال</w:t>
            </w:r>
          </w:p>
        </w:tc>
      </w:tr>
      <w:tr w:rsidR="00B35152" w:rsidRPr="00A74EA0" w14:paraId="418C385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0E7A129D"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مدير تنفيذي/قيادي  </w:t>
            </w:r>
            <w:r>
              <w:rPr>
                <w:rFonts w:ascii="Traditional Arabic" w:hAnsi="Traditional Arabic" w:cs="Traditional Arabic" w:hint="cs"/>
                <w:rtl/>
              </w:rPr>
              <w:t>☐</w:t>
            </w:r>
            <w:r>
              <w:rPr>
                <w:rFonts w:ascii="Traditional Arabic" w:hAnsi="Traditional Arabic" w:cs="Traditional Arabic"/>
                <w:rtl/>
              </w:rPr>
              <w:t xml:space="preserve"> مدير وسطى  </w:t>
            </w:r>
            <w:r>
              <w:rPr>
                <w:rFonts w:ascii="Traditional Arabic" w:hAnsi="Traditional Arabic" w:cs="Traditional Arabic" w:hint="cs"/>
                <w:rtl/>
              </w:rPr>
              <w:t>☐</w:t>
            </w:r>
            <w:r>
              <w:rPr>
                <w:rFonts w:ascii="Traditional Arabic" w:hAnsi="Traditional Arabic" w:cs="Traditional Arabic"/>
                <w:rtl/>
              </w:rPr>
              <w:t xml:space="preserve"> متخصص تقني  </w:t>
            </w:r>
            <w:r>
              <w:rPr>
                <w:rFonts w:ascii="Traditional Arabic" w:hAnsi="Traditional Arabic" w:cs="Traditional Arabic" w:hint="cs"/>
                <w:rtl/>
              </w:rPr>
              <w:t>☐</w:t>
            </w:r>
            <w:r>
              <w:rPr>
                <w:rFonts w:ascii="Traditional Arabic" w:hAnsi="Traditional Arabic" w:cs="Traditional Arabic"/>
                <w:rtl/>
              </w:rPr>
              <w:t xml:space="preserve"> أخرى</w:t>
            </w:r>
          </w:p>
        </w:tc>
        <w:tc>
          <w:tcPr>
            <w:tcW w:w="636" w:type="dxa"/>
            <w:vAlign w:val="center"/>
          </w:tcPr>
          <w:p w14:paraId="7C28BA9E"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 المستوى الوظيفي</w:t>
            </w:r>
          </w:p>
        </w:tc>
      </w:tr>
      <w:tr w:rsidR="00B35152" w:rsidRPr="00A74EA0" w14:paraId="702B39B8" w14:textId="77777777" w:rsidTr="00B943E6">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3B59F550"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بكالوريوس  </w:t>
            </w:r>
            <w:r>
              <w:rPr>
                <w:rFonts w:ascii="Traditional Arabic" w:hAnsi="Traditional Arabic" w:cs="Traditional Arabic" w:hint="cs"/>
                <w:rtl/>
              </w:rPr>
              <w:t>☐</w:t>
            </w:r>
            <w:r>
              <w:rPr>
                <w:rFonts w:ascii="Traditional Arabic" w:hAnsi="Traditional Arabic" w:cs="Traditional Arabic"/>
                <w:rtl/>
              </w:rPr>
              <w:t xml:space="preserve"> ماجستير  </w:t>
            </w:r>
            <w:r>
              <w:rPr>
                <w:rFonts w:ascii="Traditional Arabic" w:hAnsi="Traditional Arabic" w:cs="Traditional Arabic" w:hint="cs"/>
                <w:rtl/>
              </w:rPr>
              <w:t>☐</w:t>
            </w:r>
            <w:r>
              <w:rPr>
                <w:rFonts w:ascii="Traditional Arabic" w:hAnsi="Traditional Arabic" w:cs="Traditional Arabic"/>
                <w:rtl/>
              </w:rPr>
              <w:t xml:space="preserve"> دكتوراه</w:t>
            </w:r>
          </w:p>
        </w:tc>
        <w:tc>
          <w:tcPr>
            <w:tcW w:w="636" w:type="dxa"/>
            <w:vAlign w:val="center"/>
          </w:tcPr>
          <w:p w14:paraId="0524CF24" w14:textId="77777777" w:rsidR="00B35152" w:rsidRPr="003050DB" w:rsidRDefault="00B35152" w:rsidP="00E000FF">
            <w:pPr>
              <w:tabs>
                <w:tab w:val="num" w:pos="907"/>
              </w:tabs>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 المؤهل العلمي</w:t>
            </w:r>
          </w:p>
        </w:tc>
      </w:tr>
      <w:tr w:rsidR="00B35152" w:rsidRPr="00A74EA0" w14:paraId="3724151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4552370A"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أمن سيبراني  </w:t>
            </w:r>
            <w:r>
              <w:rPr>
                <w:rFonts w:ascii="Traditional Arabic" w:hAnsi="Traditional Arabic" w:cs="Traditional Arabic" w:hint="cs"/>
                <w:rtl/>
              </w:rPr>
              <w:t>☐</w:t>
            </w:r>
            <w:r>
              <w:rPr>
                <w:rFonts w:ascii="Traditional Arabic" w:hAnsi="Traditional Arabic" w:cs="Traditional Arabic"/>
                <w:rtl/>
              </w:rPr>
              <w:t xml:space="preserve"> تقنية المعلومات  </w:t>
            </w:r>
            <w:r>
              <w:rPr>
                <w:rFonts w:ascii="Traditional Arabic" w:hAnsi="Traditional Arabic" w:cs="Traditional Arabic" w:hint="cs"/>
                <w:rtl/>
              </w:rPr>
              <w:t>☐</w:t>
            </w:r>
            <w:r>
              <w:rPr>
                <w:rFonts w:ascii="Traditional Arabic" w:hAnsi="Traditional Arabic" w:cs="Traditional Arabic"/>
                <w:rtl/>
              </w:rPr>
              <w:t xml:space="preserve"> عمليات مالية  </w:t>
            </w:r>
            <w:r>
              <w:rPr>
                <w:rFonts w:ascii="Traditional Arabic" w:hAnsi="Traditional Arabic" w:cs="Traditional Arabic" w:hint="cs"/>
                <w:rtl/>
              </w:rPr>
              <w:t>☐</w:t>
            </w:r>
            <w:r>
              <w:rPr>
                <w:rFonts w:ascii="Traditional Arabic" w:hAnsi="Traditional Arabic" w:cs="Traditional Arabic"/>
                <w:rtl/>
              </w:rPr>
              <w:t xml:space="preserve"> إدارة مخاطر  </w:t>
            </w:r>
            <w:r>
              <w:rPr>
                <w:rFonts w:ascii="Traditional Arabic" w:hAnsi="Traditional Arabic" w:cs="Traditional Arabic" w:hint="cs"/>
                <w:rtl/>
              </w:rPr>
              <w:t>☐</w:t>
            </w:r>
            <w:r>
              <w:rPr>
                <w:rFonts w:ascii="Traditional Arabic" w:hAnsi="Traditional Arabic" w:cs="Traditional Arabic"/>
                <w:rtl/>
              </w:rPr>
              <w:t xml:space="preserve"> أخرى</w:t>
            </w:r>
          </w:p>
        </w:tc>
        <w:tc>
          <w:tcPr>
            <w:tcW w:w="636" w:type="dxa"/>
            <w:vAlign w:val="center"/>
          </w:tcPr>
          <w:p w14:paraId="7E164362"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 مجال التخصص</w:t>
            </w:r>
          </w:p>
        </w:tc>
      </w:tr>
      <w:tr w:rsidR="00B35152" w14:paraId="2578F849"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6715" w:type="dxa"/>
            <w:vAlign w:val="center"/>
          </w:tcPr>
          <w:p w14:paraId="7E4AE5F4" w14:textId="77777777" w:rsidR="00B35152" w:rsidRDefault="00B35152" w:rsidP="00E000FF">
            <w:pPr>
              <w:bidi/>
              <w:spacing w:after="0" w:line="260" w:lineRule="auto"/>
              <w:rPr>
                <w:rFonts w:ascii="Simplified Arabic" w:hAnsi="Simplified Arabic" w:cs="Simplified Arabic"/>
                <w:sz w:val="24"/>
                <w:szCs w:val="24"/>
                <w:rtl/>
              </w:rPr>
            </w:pPr>
            <w:r>
              <w:rPr>
                <w:rFonts w:ascii="Traditional Arabic" w:hAnsi="Traditional Arabic" w:cs="Traditional Arabic" w:hint="cs"/>
                <w:rtl/>
              </w:rPr>
              <w:t>☐</w:t>
            </w:r>
            <w:r>
              <w:rPr>
                <w:rFonts w:ascii="Traditional Arabic" w:hAnsi="Traditional Arabic" w:cs="Traditional Arabic"/>
                <w:rtl/>
              </w:rPr>
              <w:t xml:space="preserve"> الأمن السيبراني  </w:t>
            </w:r>
            <w:r>
              <w:rPr>
                <w:rFonts w:ascii="Traditional Arabic" w:hAnsi="Traditional Arabic" w:cs="Traditional Arabic" w:hint="cs"/>
                <w:rtl/>
              </w:rPr>
              <w:t>☐</w:t>
            </w:r>
            <w:r>
              <w:rPr>
                <w:rFonts w:ascii="Traditional Arabic" w:hAnsi="Traditional Arabic" w:cs="Traditional Arabic"/>
                <w:rtl/>
              </w:rPr>
              <w:t xml:space="preserve"> تقنية المعلومات  </w:t>
            </w:r>
            <w:r>
              <w:rPr>
                <w:rFonts w:ascii="Traditional Arabic" w:hAnsi="Traditional Arabic" w:cs="Traditional Arabic" w:hint="cs"/>
                <w:rtl/>
              </w:rPr>
              <w:t>☐</w:t>
            </w:r>
            <w:r>
              <w:rPr>
                <w:rFonts w:ascii="Traditional Arabic" w:hAnsi="Traditional Arabic" w:cs="Traditional Arabic"/>
                <w:rtl/>
              </w:rPr>
              <w:t xml:space="preserve"> العمليات المالية  </w:t>
            </w:r>
            <w:r>
              <w:rPr>
                <w:rFonts w:ascii="Traditional Arabic" w:hAnsi="Traditional Arabic" w:cs="Traditional Arabic" w:hint="cs"/>
                <w:rtl/>
              </w:rPr>
              <w:t>☐</w:t>
            </w:r>
            <w:r>
              <w:rPr>
                <w:rFonts w:ascii="Traditional Arabic" w:hAnsi="Traditional Arabic" w:cs="Traditional Arabic"/>
                <w:rtl/>
              </w:rPr>
              <w:t xml:space="preserve"> إدارة المخاطر والامتثال  </w:t>
            </w:r>
            <w:r>
              <w:rPr>
                <w:rFonts w:ascii="Traditional Arabic" w:hAnsi="Traditional Arabic" w:cs="Traditional Arabic" w:hint="cs"/>
                <w:rtl/>
              </w:rPr>
              <w:t>☐</w:t>
            </w:r>
            <w:r>
              <w:rPr>
                <w:rFonts w:ascii="Traditional Arabic" w:hAnsi="Traditional Arabic" w:cs="Traditional Arabic"/>
                <w:rtl/>
              </w:rPr>
              <w:t xml:space="preserve"> أخرى</w:t>
            </w:r>
          </w:p>
        </w:tc>
        <w:tc>
          <w:tcPr>
            <w:tcW w:w="636" w:type="dxa"/>
            <w:vAlign w:val="center"/>
          </w:tcPr>
          <w:p w14:paraId="1A64BB7A" w14:textId="77777777" w:rsidR="00B35152"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Traditional Arabic" w:hAnsi="Traditional Arabic" w:cs="Traditional Arabic"/>
                <w:rtl/>
              </w:rPr>
              <w:t>6. الإدارة أو القسم</w:t>
            </w:r>
          </w:p>
        </w:tc>
      </w:tr>
    </w:tbl>
    <w:p w14:paraId="2CD9CE81"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البيانات الديموغرافية والوظيفية</w:t>
      </w:r>
    </w:p>
    <w:p w14:paraId="3AD3F75E" w14:textId="77777777" w:rsidR="00B35152" w:rsidRDefault="00B35152" w:rsidP="00E000FF">
      <w:pPr>
        <w:bidi/>
        <w:spacing w:after="0" w:line="360" w:lineRule="auto"/>
        <w:jc w:val="both"/>
        <w:rPr>
          <w:rFonts w:ascii="Simplified Arabic" w:hAnsi="Simplified Arabic" w:cs="Simplified Arabic"/>
          <w:sz w:val="28"/>
          <w:szCs w:val="28"/>
          <w:rtl/>
        </w:rPr>
      </w:pPr>
    </w:p>
    <w:p w14:paraId="049C6432" w14:textId="77777777" w:rsidR="00B35152" w:rsidRDefault="00B35152" w:rsidP="00E000FF">
      <w:pPr>
        <w:bidi/>
        <w:spacing w:after="0" w:line="360" w:lineRule="auto"/>
        <w:jc w:val="both"/>
        <w:rPr>
          <w:rFonts w:ascii="Simplified Arabic" w:hAnsi="Simplified Arabic" w:cs="Simplified Arabic"/>
          <w:sz w:val="28"/>
          <w:szCs w:val="28"/>
          <w:rtl/>
        </w:rPr>
      </w:pPr>
    </w:p>
    <w:p w14:paraId="7EBC7288"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تعريفات إجرائية للمصطلحات التقنية</w:t>
      </w:r>
    </w:p>
    <w:tbl>
      <w:tblPr>
        <w:tblStyle w:val="1-11"/>
        <w:bidiVisual/>
        <w:tblW w:w="0" w:type="auto"/>
        <w:tblLook w:val="04A0" w:firstRow="1" w:lastRow="0" w:firstColumn="1" w:lastColumn="0" w:noHBand="0" w:noVBand="1"/>
      </w:tblPr>
      <w:tblGrid>
        <w:gridCol w:w="4192"/>
        <w:gridCol w:w="4094"/>
      </w:tblGrid>
      <w:tr w:rsidR="00B35152" w:rsidRPr="00C8462C" w14:paraId="256EF3F8"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82B73B"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تقنية الترميز (Tokenization)</w:t>
            </w:r>
          </w:p>
        </w:tc>
        <w:tc>
          <w:tcPr>
            <w:tcW w:w="4675" w:type="dxa"/>
            <w:vAlign w:val="center"/>
          </w:tcPr>
          <w:p w14:paraId="17BC1499" w14:textId="77777777" w:rsidR="00B35152" w:rsidRPr="00C8462C"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 xml:space="preserve"> استبدال البيانات الحساسة برمز بديل (Token) فريد وغير قابل للاستغلال خارج النظام الذي أُنشئ فيه.</w:t>
            </w:r>
          </w:p>
        </w:tc>
      </w:tr>
      <w:tr w:rsidR="00B35152" w:rsidRPr="00C8462C" w14:paraId="43FAC5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C924863"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الترميز في حالة التخزين (Tokenization at Rest)</w:t>
            </w:r>
          </w:p>
        </w:tc>
        <w:tc>
          <w:tcPr>
            <w:tcW w:w="4675" w:type="dxa"/>
            <w:vAlign w:val="center"/>
          </w:tcPr>
          <w:p w14:paraId="02EFC8E6" w14:textId="77777777" w:rsidR="00B35152" w:rsidRPr="00C8462C"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حماية البيانات الحساسة المخزّنة في قواعد البيانات والأنظمة الداخلية باستبدالها بترموز.</w:t>
            </w:r>
          </w:p>
        </w:tc>
      </w:tr>
      <w:tr w:rsidR="00B35152" w:rsidRPr="00C8462C" w14:paraId="13226DBF"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66DC361"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الترميز أثناء النقل (Tokenization in Transit)</w:t>
            </w:r>
          </w:p>
        </w:tc>
        <w:tc>
          <w:tcPr>
            <w:tcW w:w="4675" w:type="dxa"/>
            <w:vAlign w:val="center"/>
          </w:tcPr>
          <w:p w14:paraId="3BED2147" w14:textId="77777777" w:rsidR="00B35152" w:rsidRPr="00C8462C"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حماية البيانات الحساسة أثناء انتقالها عبر الشبكات والأنظمة المختلفة.</w:t>
            </w:r>
          </w:p>
        </w:tc>
      </w:tr>
      <w:tr w:rsidR="00B35152" w:rsidRPr="00C8462C" w14:paraId="19E84D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D900C5"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معيار PCI DSS</w:t>
            </w:r>
          </w:p>
        </w:tc>
        <w:tc>
          <w:tcPr>
            <w:tcW w:w="4675" w:type="dxa"/>
            <w:vAlign w:val="center"/>
          </w:tcPr>
          <w:p w14:paraId="61FF4AE0" w14:textId="77777777" w:rsidR="00B35152" w:rsidRPr="00C8462C"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معيار أمان بيانات بطاقات الدفع الدولي الصادر عن PCI Security Standards Council، ويُحدد متطلبات حماية بيانات حاملي البطاقات.</w:t>
            </w:r>
          </w:p>
        </w:tc>
      </w:tr>
      <w:tr w:rsidR="00B35152" w:rsidRPr="00C8462C" w14:paraId="2A0D878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000E77E"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الضوابط الأساسية للأمن السيبراني (ECC)</w:t>
            </w:r>
          </w:p>
        </w:tc>
        <w:tc>
          <w:tcPr>
            <w:tcW w:w="4675" w:type="dxa"/>
            <w:vAlign w:val="center"/>
          </w:tcPr>
          <w:p w14:paraId="3DBD8113" w14:textId="77777777" w:rsidR="00B35152" w:rsidRPr="00C8462C"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إطار وطني سعودي صادر عن الهيئة الوطنية للأمن السيبراني يُحدد الحد الأدنى من متطلبات الأمن السيبراني للمؤسسات.</w:t>
            </w:r>
          </w:p>
        </w:tc>
      </w:tr>
    </w:tbl>
    <w:p w14:paraId="641419B5" w14:textId="77777777" w:rsidR="00B35152" w:rsidRPr="00C8462C" w:rsidRDefault="00B35152" w:rsidP="00E000FF">
      <w:pPr>
        <w:bidi/>
        <w:spacing w:after="0" w:line="360" w:lineRule="auto"/>
        <w:jc w:val="both"/>
        <w:rPr>
          <w:rFonts w:ascii="Simplified Arabic" w:hAnsi="Simplified Arabic" w:cs="Simplified Arabic"/>
          <w:sz w:val="28"/>
          <w:szCs w:val="28"/>
        </w:rPr>
      </w:pPr>
    </w:p>
    <w:p w14:paraId="2CBEB9B3" w14:textId="77777777" w:rsidR="00C51308" w:rsidRDefault="00C51308" w:rsidP="00E000FF">
      <w:pPr>
        <w:bidi/>
        <w:spacing w:after="0" w:line="360" w:lineRule="auto"/>
        <w:jc w:val="both"/>
        <w:rPr>
          <w:rFonts w:ascii="Simplified Arabic" w:hAnsi="Simplified Arabic" w:cs="Simplified Arabic"/>
          <w:sz w:val="28"/>
          <w:szCs w:val="28"/>
          <w:rtl/>
        </w:rPr>
      </w:pPr>
    </w:p>
    <w:p w14:paraId="722B1748" w14:textId="2F500AE5" w:rsidR="00B35152" w:rsidRPr="009A358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t>القسم الثاني: متغيرات الدراسة الرئيسية</w:t>
      </w:r>
    </w:p>
    <w:p w14:paraId="7A291FE3" w14:textId="77777777" w:rsidR="00B35152" w:rsidRPr="009A358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يرجى تحديد درجة موافقتك على كل عبارة وفق مقياس ليكرت الخماسي:</w:t>
      </w:r>
    </w:p>
    <w:tbl>
      <w:tblPr>
        <w:tblStyle w:val="a9"/>
        <w:tblW w:w="5000" w:type="pct"/>
        <w:tblLook w:val="04A0" w:firstRow="1" w:lastRow="0" w:firstColumn="1" w:lastColumn="0" w:noHBand="0" w:noVBand="1"/>
      </w:tblPr>
      <w:tblGrid>
        <w:gridCol w:w="1660"/>
        <w:gridCol w:w="1659"/>
        <w:gridCol w:w="1659"/>
        <w:gridCol w:w="1659"/>
        <w:gridCol w:w="1659"/>
      </w:tblGrid>
      <w:tr w:rsidR="00B35152" w:rsidRPr="009A3584" w14:paraId="3F810023" w14:textId="77777777" w:rsidTr="00B943E6">
        <w:tc>
          <w:tcPr>
            <w:tcW w:w="1000" w:type="pct"/>
            <w:vAlign w:val="center"/>
          </w:tcPr>
          <w:p w14:paraId="16B935B0"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أوافق بشدة (5)</w:t>
            </w:r>
          </w:p>
        </w:tc>
        <w:tc>
          <w:tcPr>
            <w:tcW w:w="1000" w:type="pct"/>
            <w:vAlign w:val="center"/>
          </w:tcPr>
          <w:p w14:paraId="5A4D5BE8"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أوافق (4)</w:t>
            </w:r>
          </w:p>
        </w:tc>
        <w:tc>
          <w:tcPr>
            <w:tcW w:w="1000" w:type="pct"/>
            <w:vAlign w:val="center"/>
          </w:tcPr>
          <w:p w14:paraId="64CBAB3F"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محايد (3)</w:t>
            </w:r>
          </w:p>
        </w:tc>
        <w:tc>
          <w:tcPr>
            <w:tcW w:w="1000" w:type="pct"/>
            <w:vAlign w:val="center"/>
          </w:tcPr>
          <w:p w14:paraId="7475732A"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لا أوافق (2)</w:t>
            </w:r>
          </w:p>
        </w:tc>
        <w:tc>
          <w:tcPr>
            <w:tcW w:w="1000" w:type="pct"/>
            <w:vAlign w:val="center"/>
          </w:tcPr>
          <w:p w14:paraId="58D005F2"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لا أوافق بشدة (1)</w:t>
            </w:r>
          </w:p>
        </w:tc>
      </w:tr>
    </w:tbl>
    <w:p w14:paraId="52EF15C8"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مقياس ليكرت الخماسي المستخدم</w:t>
      </w:r>
    </w:p>
    <w:p w14:paraId="3923760B" w14:textId="77777777" w:rsidR="00B35152" w:rsidRPr="004D506A" w:rsidRDefault="00B35152" w:rsidP="00E000FF">
      <w:pPr>
        <w:bidi/>
        <w:spacing w:after="0" w:line="360" w:lineRule="auto"/>
        <w:jc w:val="both"/>
        <w:rPr>
          <w:rFonts w:ascii="Simplified Arabic" w:hAnsi="Simplified Arabic" w:cs="Simplified Arabic"/>
          <w:sz w:val="28"/>
          <w:szCs w:val="28"/>
        </w:rPr>
      </w:pPr>
    </w:p>
    <w:p w14:paraId="20745C6A" w14:textId="77777777" w:rsidR="00B35152" w:rsidRPr="002764B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أولاً: تطبيق تقنية الترميز (المتغير المستقل)</w:t>
      </w:r>
    </w:p>
    <w:tbl>
      <w:tblPr>
        <w:tblStyle w:val="4-1"/>
        <w:tblW w:w="8296" w:type="dxa"/>
        <w:jc w:val="center"/>
        <w:tblLook w:val="04A0" w:firstRow="1" w:lastRow="0" w:firstColumn="1" w:lastColumn="0" w:noHBand="0" w:noVBand="1"/>
      </w:tblPr>
      <w:tblGrid>
        <w:gridCol w:w="575"/>
        <w:gridCol w:w="587"/>
        <w:gridCol w:w="587"/>
        <w:gridCol w:w="587"/>
        <w:gridCol w:w="587"/>
        <w:gridCol w:w="5373"/>
      </w:tblGrid>
      <w:tr w:rsidR="00B35152" w:rsidRPr="00D06E2E" w14:paraId="0EB98CB9"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B0A0EDF"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3BE95BFA"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027A4CEE"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28E60866"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1BDD04E8"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0911E637"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D06E2E" w14:paraId="3B670B27"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F584648"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88D3762"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C9294EC"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681858"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A7AD669"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5580707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تستخدم مؤسستنا تقنية الترميز لحماية بيانات الدفع والمعاملات المالية الحساسة.</w:t>
            </w:r>
          </w:p>
        </w:tc>
      </w:tr>
      <w:tr w:rsidR="00B35152" w:rsidRPr="00D06E2E" w14:paraId="2CCDD561"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B23980D"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F8D3677"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76F43EF"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28DCCF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4FDE359"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B079437"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تطبق مؤسستنا ترميز البيانات في مرحلة التخزين (Tokenization at Rest).</w:t>
            </w:r>
          </w:p>
        </w:tc>
      </w:tr>
      <w:tr w:rsidR="00B35152" w:rsidRPr="00D06E2E" w14:paraId="44929765"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6F7FA415"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EC69C2A"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461A556"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110C947"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C069E81"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04FBA26B"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تطبق مؤسستنا ترميز البيانات في مرحلة النقل (Tokenization in Transit).</w:t>
            </w:r>
          </w:p>
        </w:tc>
      </w:tr>
      <w:tr w:rsidR="00B35152" w:rsidRPr="00D06E2E" w14:paraId="2CFDD8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6C6E431"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72D1839"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807162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2EAA386"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E902A2A"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BAE68F8"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تغطي تقنية الترميز أنواعاً متعددة من البيانات الحساسة (بطاقات الدفع، الهوية، الحسابات).</w:t>
            </w:r>
          </w:p>
        </w:tc>
      </w:tr>
      <w:tr w:rsidR="00B35152" w:rsidRPr="00D06E2E" w14:paraId="4BC08D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1684BC6"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92F9C29"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286915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F824BD0"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4A32DA0"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731A1C67"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يتسق تطبيق تقنية الترميز في مؤسستنا مع متطلبات معيار PCI DSS.</w:t>
            </w:r>
          </w:p>
        </w:tc>
      </w:tr>
      <w:tr w:rsidR="00B35152" w:rsidRPr="00D06E2E" w14:paraId="6535B27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513CC0C"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387B77C"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896E2B2"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F83878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3F4119A"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55411A4"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تُحدَّث منظومة الترميز بصفة منتظمة لمواكبة التطورات التقنية والتهديدات المستحدثة.</w:t>
            </w:r>
          </w:p>
        </w:tc>
      </w:tr>
    </w:tbl>
    <w:p w14:paraId="580C8307"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تطبيق تقنية الترميز</w:t>
      </w:r>
    </w:p>
    <w:p w14:paraId="730B90C9" w14:textId="77777777" w:rsidR="00B35152" w:rsidRDefault="00B35152" w:rsidP="00E000FF">
      <w:pPr>
        <w:bidi/>
        <w:spacing w:after="0" w:line="360" w:lineRule="auto"/>
        <w:jc w:val="both"/>
        <w:rPr>
          <w:rFonts w:ascii="Simplified Arabic" w:hAnsi="Simplified Arabic" w:cs="Simplified Arabic"/>
          <w:sz w:val="28"/>
          <w:szCs w:val="28"/>
          <w:rtl/>
        </w:rPr>
      </w:pPr>
    </w:p>
    <w:p w14:paraId="76B038BC" w14:textId="77777777" w:rsidR="003620CC" w:rsidRPr="004D506A" w:rsidRDefault="003620CC" w:rsidP="003620CC">
      <w:pPr>
        <w:bidi/>
        <w:spacing w:after="0" w:line="360" w:lineRule="auto"/>
        <w:jc w:val="both"/>
        <w:rPr>
          <w:rFonts w:ascii="Simplified Arabic" w:hAnsi="Simplified Arabic" w:cs="Simplified Arabic"/>
          <w:sz w:val="28"/>
          <w:szCs w:val="28"/>
        </w:rPr>
      </w:pPr>
    </w:p>
    <w:p w14:paraId="1DBE68C8"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ثانياً: الأمن السيبراني (المتغير التابع الأول)</w:t>
      </w:r>
    </w:p>
    <w:tbl>
      <w:tblPr>
        <w:tblStyle w:val="4-1"/>
        <w:tblW w:w="8296" w:type="dxa"/>
        <w:jc w:val="center"/>
        <w:tblLook w:val="04A0" w:firstRow="1" w:lastRow="0" w:firstColumn="1" w:lastColumn="0" w:noHBand="0" w:noVBand="1"/>
      </w:tblPr>
      <w:tblGrid>
        <w:gridCol w:w="575"/>
        <w:gridCol w:w="587"/>
        <w:gridCol w:w="587"/>
        <w:gridCol w:w="587"/>
        <w:gridCol w:w="587"/>
        <w:gridCol w:w="5373"/>
      </w:tblGrid>
      <w:tr w:rsidR="00B35152" w:rsidRPr="006B261A" w14:paraId="10328CDA"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CC67A94"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555942E7"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5C68682A"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2C7101B4"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065B2631"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71D4EA6F"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6B261A" w14:paraId="15CC6CFF"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E5249A7"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E0904B"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30C5435"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B07294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CC67EB4"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55F792ED"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حماية البيانات من الاختراقات وتقليص مخاطرها.</w:t>
            </w:r>
          </w:p>
        </w:tc>
      </w:tr>
      <w:tr w:rsidR="00B35152" w:rsidRPr="006B261A" w14:paraId="67F43C7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5E7E3B2A"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BB0B3DE"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4F11DEC"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115AB25"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7537E0F"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917FA90"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الحماية من الاحتيال المالي الإلكتروني.</w:t>
            </w:r>
          </w:p>
        </w:tc>
      </w:tr>
      <w:tr w:rsidR="00B35152" w:rsidRPr="006B261A" w14:paraId="35456060"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1FC1102E"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C9671DA"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29A9A6D"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0232675"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F872EB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017347D"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الترميز في تحقيق متطلبات الضوابط الأساسية للأمن السيبراني (ECC).</w:t>
            </w:r>
          </w:p>
        </w:tc>
      </w:tr>
      <w:tr w:rsidR="00B35152" w:rsidRPr="006B261A" w14:paraId="30B99D43"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18F08DC"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753AC6D"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00A9688"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13DBD71"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8997050"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176AC38"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تعزيز الحماية من المخاطر المرتبطة بالتهديدات الداخلية (Insider Threats).</w:t>
            </w:r>
          </w:p>
        </w:tc>
      </w:tr>
      <w:tr w:rsidR="00B35152" w:rsidRPr="006B261A" w14:paraId="1A7E37F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5BD2E0AA"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401C4FB"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2EEA841"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8B97BA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EC8F4A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E5DAB36"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تسريع الاستجابة للحوادث السيبرانية وتحسين الأثر المُحتوَى.</w:t>
            </w:r>
          </w:p>
        </w:tc>
      </w:tr>
      <w:tr w:rsidR="00B35152" w:rsidRPr="006B261A" w14:paraId="6D8BCB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735062B"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3A95DC"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93E4AE"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6B88CD3"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0FF5B89"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F676B49"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حماية البيانات من الاختراقات وتقليص مخاطرها.</w:t>
            </w:r>
          </w:p>
        </w:tc>
      </w:tr>
      <w:tr w:rsidR="00B35152" w:rsidRPr="006B261A" w14:paraId="510F7DF3"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70BC533"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998F033"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B43909F"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A0FF129"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0A3A416"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0DAB2F0"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الحماية من الاحتيال المالي الإلكتروني.</w:t>
            </w:r>
          </w:p>
        </w:tc>
      </w:tr>
    </w:tbl>
    <w:p w14:paraId="5A5FA82B"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الأمن السيبراني</w:t>
      </w:r>
    </w:p>
    <w:p w14:paraId="22C3721C"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3EFD52A5"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ثالثاً: كفاءة العمليات المالية (المتغير التابع الثاني)</w:t>
      </w:r>
    </w:p>
    <w:tbl>
      <w:tblPr>
        <w:tblStyle w:val="4-1"/>
        <w:tblW w:w="8299" w:type="dxa"/>
        <w:tblLook w:val="04A0" w:firstRow="1" w:lastRow="0" w:firstColumn="1" w:lastColumn="0" w:noHBand="0" w:noVBand="1"/>
      </w:tblPr>
      <w:tblGrid>
        <w:gridCol w:w="523"/>
        <w:gridCol w:w="536"/>
        <w:gridCol w:w="536"/>
        <w:gridCol w:w="536"/>
        <w:gridCol w:w="536"/>
        <w:gridCol w:w="5632"/>
      </w:tblGrid>
      <w:tr w:rsidR="00B35152" w:rsidRPr="00F83044" w14:paraId="53BEF4F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17585FCE"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5</w:t>
            </w:r>
          </w:p>
        </w:tc>
        <w:tc>
          <w:tcPr>
            <w:tcW w:w="536" w:type="dxa"/>
            <w:vAlign w:val="center"/>
          </w:tcPr>
          <w:p w14:paraId="34602FD6"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4</w:t>
            </w:r>
          </w:p>
        </w:tc>
        <w:tc>
          <w:tcPr>
            <w:tcW w:w="536" w:type="dxa"/>
            <w:vAlign w:val="center"/>
          </w:tcPr>
          <w:p w14:paraId="691801F3"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3</w:t>
            </w:r>
          </w:p>
        </w:tc>
        <w:tc>
          <w:tcPr>
            <w:tcW w:w="536" w:type="dxa"/>
            <w:vAlign w:val="center"/>
          </w:tcPr>
          <w:p w14:paraId="590FC5FB"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2</w:t>
            </w:r>
          </w:p>
        </w:tc>
        <w:tc>
          <w:tcPr>
            <w:tcW w:w="536" w:type="dxa"/>
            <w:vAlign w:val="center"/>
          </w:tcPr>
          <w:p w14:paraId="4D2B0DF1"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1</w:t>
            </w:r>
          </w:p>
        </w:tc>
        <w:tc>
          <w:tcPr>
            <w:tcW w:w="5632" w:type="dxa"/>
            <w:vAlign w:val="center"/>
          </w:tcPr>
          <w:p w14:paraId="07C2B5A3"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F83044" w14:paraId="2C7AE9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5FC7D3BC"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1012BBC0"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39B9702B"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A10FD09"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8C80CD3"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4DA0CA3A"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تسريع معالجة المعاملات المالية وتحسين إنتاجية العمليات.</w:t>
            </w:r>
          </w:p>
        </w:tc>
      </w:tr>
      <w:tr w:rsidR="00B35152" w:rsidRPr="00F83044" w14:paraId="0015EB9E"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024FBEC9"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4856E648"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8CD3A04"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04377E7A"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FFBCBAF"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59C1EFB5"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خفض التكاليف التشغيلية المرتبطة بإدارة أمن البيانات.</w:t>
            </w:r>
          </w:p>
        </w:tc>
      </w:tr>
      <w:tr w:rsidR="00B35152" w:rsidRPr="00F83044" w14:paraId="41D60B1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63FCBF59"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7245A6F3"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7522BC26"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098F205"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689792B"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32FA27CF"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تقليل معدلات الأخطاء وتحسين الدقة في معالجة المعاملات المالية الرقمية.</w:t>
            </w:r>
          </w:p>
        </w:tc>
      </w:tr>
      <w:tr w:rsidR="00B35152" w:rsidRPr="00F83044" w14:paraId="07738B27"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4B74317E"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439B9B32"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39DA0A2"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1284E08"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24640F4"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6C36A562"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رفع كفاءة تنفيذ المعاملات من حيث السرعة والدقة والإنتاجية التشغيلية.</w:t>
            </w:r>
          </w:p>
        </w:tc>
      </w:tr>
      <w:tr w:rsidR="00B35152" w:rsidRPr="00F83044" w14:paraId="50C4E89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76AE1608"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0F9019F6"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264098F5"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738B763"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75E01645"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30C355F2"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تحقيق تكامل أكثر سلاسة مع الأنظمة المالية الخارجية والشركاء التجاريين.</w:t>
            </w:r>
          </w:p>
        </w:tc>
      </w:tr>
      <w:tr w:rsidR="00B35152" w:rsidRPr="00F83044" w14:paraId="441C70BE"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2D1B2A11"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06299FC7"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05E3415B"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7A4EEC0A"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0C22D60"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74538B85"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تقليص الوقت اللازم للامتثال التنظيمي والتدقيق الداخلي.</w:t>
            </w:r>
          </w:p>
        </w:tc>
      </w:tr>
    </w:tbl>
    <w:p w14:paraId="121DF395"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كفاءة العمليات المالية</w:t>
      </w:r>
    </w:p>
    <w:p w14:paraId="237EDD08" w14:textId="77777777" w:rsidR="00C51308" w:rsidRPr="00927861" w:rsidRDefault="00C51308" w:rsidP="00E000FF">
      <w:pPr>
        <w:bidi/>
        <w:spacing w:after="0" w:line="360" w:lineRule="auto"/>
        <w:jc w:val="both"/>
        <w:rPr>
          <w:rFonts w:ascii="Simplified Arabic" w:hAnsi="Simplified Arabic" w:cs="Simplified Arabic"/>
          <w:sz w:val="28"/>
          <w:szCs w:val="28"/>
        </w:rPr>
      </w:pPr>
    </w:p>
    <w:p w14:paraId="4B4893B3"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رابعاً: الامتثال التنظيمي (المتغير التابع الثالث)</w:t>
      </w:r>
    </w:p>
    <w:tbl>
      <w:tblPr>
        <w:tblStyle w:val="4-1"/>
        <w:tblW w:w="8296" w:type="dxa"/>
        <w:tblLook w:val="04A0" w:firstRow="1" w:lastRow="0" w:firstColumn="1" w:lastColumn="0" w:noHBand="0" w:noVBand="1"/>
      </w:tblPr>
      <w:tblGrid>
        <w:gridCol w:w="575"/>
        <w:gridCol w:w="587"/>
        <w:gridCol w:w="587"/>
        <w:gridCol w:w="587"/>
        <w:gridCol w:w="587"/>
        <w:gridCol w:w="5373"/>
      </w:tblGrid>
      <w:tr w:rsidR="00B35152" w:rsidRPr="0045178D" w14:paraId="3F91019A"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A57088E"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37EFF0D9"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0AF796B1"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575CC051"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1C4AD039"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tcPr>
          <w:p w14:paraId="7D22EAA7" w14:textId="77777777" w:rsidR="00B35152" w:rsidRPr="0045178D" w:rsidRDefault="00B35152" w:rsidP="00E000FF">
            <w:pPr>
              <w:bidi/>
              <w:spacing w:after="0" w:line="2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45178D" w14:paraId="3CBCAFF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8F75161"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2F9C751"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3601012"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7554B5F"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395B44"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796F4526"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استيفاء متطلبات الأطر التنظيمية لحماية البيانات الصادرة عن ساما.</w:t>
            </w:r>
          </w:p>
        </w:tc>
      </w:tr>
      <w:tr w:rsidR="00B35152" w:rsidRPr="0045178D" w14:paraId="407CAB92"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2DB7D653"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0A5F317"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96B7106"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9DBF1D0"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5D87686"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0C47FB34" w14:textId="77777777" w:rsidR="00B35152" w:rsidRPr="0045178D"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يُيسِّر الترميز الحصول على الموافقات التنظيمية لإطلاق خدمات مالية جديدة.</w:t>
            </w:r>
          </w:p>
        </w:tc>
      </w:tr>
      <w:tr w:rsidR="00B35152" w:rsidRPr="0045178D" w14:paraId="3F7B7BB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09CEC3ED"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C3F244D"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D608991"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B8A7995"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67375A"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4C332AA"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يُخفِّف الترميز من المسؤوليات القانونية المترتبة على إدارة البيانات الحساسة.</w:t>
            </w:r>
          </w:p>
        </w:tc>
      </w:tr>
      <w:tr w:rsidR="00B35152" w:rsidRPr="0045178D" w14:paraId="0058A2D0"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7F464B7C"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6CAC7BC"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C5D6284"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5995F62"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7ED0F23"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C6A9811" w14:textId="77777777" w:rsidR="00B35152" w:rsidRPr="0045178D"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تحقيق متطلبات المعايير الدولية ذات الصلة (PCI DSS, ISO 27001).</w:t>
            </w:r>
          </w:p>
        </w:tc>
      </w:tr>
      <w:tr w:rsidR="00B35152" w:rsidRPr="0045178D" w14:paraId="1C8521B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636AC8D9"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2A80B05"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3BB8D0A"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D1EAABF"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C8953B9"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B5DE774"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يُقلِّل الترميز من مستوى مخاطر التدقيق والغرامات التنظيمية المحتملة.</w:t>
            </w:r>
          </w:p>
        </w:tc>
      </w:tr>
    </w:tbl>
    <w:p w14:paraId="3A6C05E9"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الامتثال التنظيمي</w:t>
      </w:r>
    </w:p>
    <w:p w14:paraId="5D2B829A" w14:textId="77777777" w:rsidR="00B35152" w:rsidRPr="00927861" w:rsidRDefault="00B35152" w:rsidP="00E000FF">
      <w:pPr>
        <w:bidi/>
        <w:spacing w:after="0" w:line="360" w:lineRule="auto"/>
        <w:jc w:val="both"/>
        <w:rPr>
          <w:rFonts w:ascii="Simplified Arabic" w:hAnsi="Simplified Arabic" w:cs="Simplified Arabic"/>
          <w:sz w:val="28"/>
          <w:szCs w:val="28"/>
        </w:rPr>
      </w:pPr>
    </w:p>
    <w:p w14:paraId="693E284F"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خامساً: تحديات تطبيق تقنية الترميز (المتغير المعدِّل)</w:t>
      </w:r>
    </w:p>
    <w:tbl>
      <w:tblPr>
        <w:tblStyle w:val="4-1"/>
        <w:tblW w:w="8296" w:type="dxa"/>
        <w:tblLook w:val="04A0" w:firstRow="1" w:lastRow="0" w:firstColumn="1" w:lastColumn="0" w:noHBand="0" w:noVBand="1"/>
      </w:tblPr>
      <w:tblGrid>
        <w:gridCol w:w="575"/>
        <w:gridCol w:w="587"/>
        <w:gridCol w:w="587"/>
        <w:gridCol w:w="587"/>
        <w:gridCol w:w="587"/>
        <w:gridCol w:w="5373"/>
      </w:tblGrid>
      <w:tr w:rsidR="00B35152" w:rsidRPr="001C2101" w14:paraId="50904260"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109D3ACA"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7AE513EC"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413A3BF2"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721A8C73"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7F8B1A4D"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167CE600"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1C2101" w14:paraId="33FCB76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94F3571"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C1FE59"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347956A"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C3BF1BB"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2B54DE7"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407A6EE2"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تُمثِّل التكلفة العالية للبنية التحتية التقنية تحدياً رئيسياً أمام تطبيق الترميز في مؤسستنا.</w:t>
            </w:r>
          </w:p>
        </w:tc>
      </w:tr>
      <w:tr w:rsidR="00B35152" w:rsidRPr="001C2101" w14:paraId="16772CB7"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0113F7EF"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61B2A51"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B3362DC"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D64537C"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CE3936A"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19B1B67"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يُشكِّل غياب الكوادر البشرية المتخصصة في تقنية الترميز عائقاً أمام التطبيق الفعّال.</w:t>
            </w:r>
          </w:p>
        </w:tc>
      </w:tr>
      <w:tr w:rsidR="00B35152" w:rsidRPr="001C2101" w14:paraId="1AB7738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4FB2A57"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2943ED8"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C3BCC64"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D1D160F"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FE40F7E"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1B335102"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تُعيق صعوبات التكامل مع الأنظمة القائمة عملية تطبيق تقنية الترميز.</w:t>
            </w:r>
          </w:p>
        </w:tc>
      </w:tr>
      <w:tr w:rsidR="00B35152" w:rsidRPr="001C2101" w14:paraId="34D3EC4A"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0AD6AAB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85F6D84"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FF94EA6"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4B0D26"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C44324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F49FF4C"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تُقيِّد بعض متطلبات الجهات التنظيمية مرونة تطبيق تقنية الترميز في بعض الأحيان.</w:t>
            </w:r>
          </w:p>
        </w:tc>
      </w:tr>
      <w:tr w:rsidR="00B35152" w:rsidRPr="001C2101" w14:paraId="71D716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11C990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12708E5"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18CF5E2"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7C1BDE4"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E9E8A27"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326C818"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يُشكِّل نقص الوعي الداخلي بأهمية الترميز عائقاً أمام توسيع نطاق التطبيق.</w:t>
            </w:r>
          </w:p>
        </w:tc>
      </w:tr>
      <w:tr w:rsidR="00B35152" w:rsidRPr="001C2101" w14:paraId="44BC360C"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6398B7D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4D11F8C"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5B42E6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C64F8AA"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8A4640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59E4B51"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تُعوق صعوبة قياس العائد على الاستثمار (ROI) لتقنية الترميز قرارات التبني المؤسسي.</w:t>
            </w:r>
          </w:p>
        </w:tc>
      </w:tr>
    </w:tbl>
    <w:p w14:paraId="0372391D"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تحديات تطبيق تقنية الترميز</w:t>
      </w:r>
    </w:p>
    <w:p w14:paraId="5005BD57" w14:textId="77777777" w:rsidR="00B35152" w:rsidRPr="00927861" w:rsidRDefault="00B35152" w:rsidP="00E000FF">
      <w:pPr>
        <w:bidi/>
        <w:spacing w:after="0" w:line="360" w:lineRule="auto"/>
        <w:jc w:val="both"/>
        <w:rPr>
          <w:rFonts w:ascii="Simplified Arabic" w:hAnsi="Simplified Arabic" w:cs="Simplified Arabic"/>
          <w:sz w:val="28"/>
          <w:szCs w:val="28"/>
        </w:rPr>
      </w:pPr>
    </w:p>
    <w:p w14:paraId="073D881A"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القسم الثالث: أسئلة مفتوحة</w:t>
      </w:r>
    </w:p>
    <w:p w14:paraId="5E9B0A96" w14:textId="77777777" w:rsidR="00B35152" w:rsidRPr="006F4893" w:rsidRDefault="00B35152" w:rsidP="00E000FF">
      <w:pPr>
        <w:pStyle w:val="a5"/>
        <w:numPr>
          <w:ilvl w:val="0"/>
          <w:numId w:val="60"/>
        </w:numPr>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4"/>
          <w:szCs w:val="24"/>
          <w:rtl/>
        </w:rPr>
        <w:t>ما أبرز الفوائد العملية التي حقّقتها مؤسستكم من تطبيق تقنية الترميز؟</w:t>
      </w:r>
    </w:p>
    <w:p w14:paraId="7CF1FEB8" w14:textId="77777777" w:rsidR="00B35152" w:rsidRDefault="00B35152" w:rsidP="00E000FF">
      <w:pPr>
        <w:bidi/>
        <w:spacing w:after="0" w:line="360" w:lineRule="auto"/>
        <w:jc w:val="both"/>
        <w:rPr>
          <w:rFonts w:ascii="Simplified Arabic" w:hAnsi="Simplified Arabic" w:cs="Simplified Arabic"/>
          <w:sz w:val="28"/>
          <w:szCs w:val="28"/>
          <w:rtl/>
        </w:rPr>
      </w:pPr>
    </w:p>
    <w:p w14:paraId="6AC5DE10"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3E50A84"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4D149C9" w14:textId="77777777" w:rsidR="00B35152" w:rsidRDefault="00B35152" w:rsidP="00E000FF">
      <w:pPr>
        <w:bidi/>
        <w:spacing w:after="0" w:line="360" w:lineRule="auto"/>
        <w:jc w:val="both"/>
        <w:rPr>
          <w:rFonts w:ascii="Simplified Arabic" w:hAnsi="Simplified Arabic" w:cs="Simplified Arabic"/>
          <w:sz w:val="28"/>
          <w:szCs w:val="28"/>
          <w:rtl/>
          <w:lang w:bidi="ar-EG"/>
        </w:rPr>
      </w:pPr>
    </w:p>
    <w:p w14:paraId="2C088A13" w14:textId="77777777" w:rsidR="00B35152" w:rsidRPr="00927861" w:rsidRDefault="00B35152" w:rsidP="00E000FF">
      <w:pPr>
        <w:pStyle w:val="a5"/>
        <w:numPr>
          <w:ilvl w:val="0"/>
          <w:numId w:val="60"/>
        </w:numPr>
        <w:bidi/>
        <w:spacing w:after="0" w:line="360" w:lineRule="auto"/>
        <w:ind w:left="386"/>
        <w:jc w:val="both"/>
        <w:rPr>
          <w:rFonts w:ascii="Simplified Arabic" w:hAnsi="Simplified Arabic" w:cs="Simplified Arabic"/>
          <w:sz w:val="28"/>
          <w:szCs w:val="28"/>
        </w:rPr>
      </w:pPr>
      <w:r>
        <w:rPr>
          <w:rFonts w:ascii="Traditional Arabic" w:hAnsi="Traditional Arabic" w:cs="Traditional Arabic"/>
          <w:sz w:val="24"/>
          <w:szCs w:val="24"/>
          <w:rtl/>
        </w:rPr>
        <w:t>ما التوصيات التي تقترحها لتعزيز تطبيق تقنية الترميز في القطاع المالي السعودي؟</w:t>
      </w:r>
    </w:p>
    <w:p w14:paraId="5EA5BD83" w14:textId="77777777" w:rsidR="00B35152" w:rsidRDefault="00B35152" w:rsidP="00E000FF">
      <w:pPr>
        <w:bidi/>
        <w:spacing w:after="0" w:line="360" w:lineRule="auto"/>
        <w:jc w:val="both"/>
        <w:rPr>
          <w:rFonts w:ascii="Simplified Arabic" w:hAnsi="Simplified Arabic" w:cs="Simplified Arabic"/>
          <w:sz w:val="28"/>
          <w:szCs w:val="28"/>
          <w:rtl/>
        </w:rPr>
      </w:pPr>
    </w:p>
    <w:p w14:paraId="176436CA"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7A96A1F2"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35EAEFD" w14:textId="77777777" w:rsidR="00D329C2" w:rsidRPr="00D329C2" w:rsidRDefault="00D329C2"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1012892A" w14:textId="77777777" w:rsidR="005D691F" w:rsidRDefault="00F4227D" w:rsidP="003620CC">
      <w:pPr>
        <w:pStyle w:val="HeadingTOCEntry"/>
        <w:bidi/>
        <w:spacing w:after="0" w:line="360" w:lineRule="auto"/>
      </w:pPr>
      <w:r>
        <w:rPr>
          <w:rFonts w:ascii="Traditional Arabic" w:hAnsi="Traditional Arabic" w:cs="Traditional Arabic"/>
          <w:b/>
          <w:bCs/>
          <w:sz w:val="32"/>
          <w:szCs w:val="32"/>
          <w:rtl/>
        </w:rPr>
        <w:lastRenderedPageBreak/>
        <w:t>ملحق (2): قائمة المحكّمين</w:t>
      </w:r>
    </w:p>
    <w:p w14:paraId="3224C289" w14:textId="77777777" w:rsidR="005D691F" w:rsidRDefault="00F4227D" w:rsidP="003620CC">
      <w:pPr>
        <w:bidi/>
        <w:spacing w:after="0" w:line="360" w:lineRule="auto"/>
      </w:pPr>
      <w:r>
        <w:rPr>
          <w:rFonts w:ascii="Traditional Arabic" w:hAnsi="Traditional Arabic" w:cs="Traditional Arabic"/>
          <w:sz w:val="24"/>
          <w:szCs w:val="24"/>
          <w:rtl/>
        </w:rPr>
        <w:t>يتضمن هذا الملحق أسماء السادة المحكّمين الذين شاركوا في تحكيم أداة الدراسة، ودرجاتهم العلمية، وتخصصاتهم، وجهات عملهم.</w:t>
      </w: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600"/>
        <w:gridCol w:w="2400"/>
        <w:gridCol w:w="1600"/>
        <w:gridCol w:w="1900"/>
        <w:gridCol w:w="1800"/>
      </w:tblGrid>
      <w:tr w:rsidR="005D691F" w14:paraId="3FD5C301" w14:textId="77777777" w:rsidTr="003620CC">
        <w:tc>
          <w:tcPr>
            <w:tcW w:w="600" w:type="dxa"/>
            <w:shd w:val="clear" w:color="auto" w:fill="DCE9F5"/>
            <w:vAlign w:val="center"/>
          </w:tcPr>
          <w:p w14:paraId="4747D70A" w14:textId="77777777" w:rsidR="005D691F" w:rsidRDefault="00F4227D" w:rsidP="003620CC">
            <w:pPr>
              <w:bidi/>
              <w:spacing w:after="0" w:line="300" w:lineRule="auto"/>
              <w:jc w:val="center"/>
            </w:pPr>
            <w:r>
              <w:rPr>
                <w:rFonts w:ascii="Traditional Arabic" w:hAnsi="Traditional Arabic" w:cs="Traditional Arabic"/>
                <w:b/>
                <w:bCs/>
                <w:rtl/>
              </w:rPr>
              <w:t>م</w:t>
            </w:r>
          </w:p>
        </w:tc>
        <w:tc>
          <w:tcPr>
            <w:tcW w:w="2400" w:type="dxa"/>
            <w:shd w:val="clear" w:color="auto" w:fill="DCE9F5"/>
            <w:vAlign w:val="center"/>
          </w:tcPr>
          <w:p w14:paraId="2A11693C" w14:textId="77777777" w:rsidR="005D691F" w:rsidRDefault="00F4227D" w:rsidP="003620CC">
            <w:pPr>
              <w:bidi/>
              <w:spacing w:after="0" w:line="300" w:lineRule="auto"/>
              <w:jc w:val="center"/>
            </w:pPr>
            <w:r>
              <w:rPr>
                <w:rFonts w:ascii="Traditional Arabic" w:hAnsi="Traditional Arabic" w:cs="Traditional Arabic"/>
                <w:b/>
                <w:bCs/>
                <w:rtl/>
              </w:rPr>
              <w:t>اسم المحكّم</w:t>
            </w:r>
          </w:p>
        </w:tc>
        <w:tc>
          <w:tcPr>
            <w:tcW w:w="1600" w:type="dxa"/>
            <w:shd w:val="clear" w:color="auto" w:fill="DCE9F5"/>
            <w:vAlign w:val="center"/>
          </w:tcPr>
          <w:p w14:paraId="78FEEB06" w14:textId="77777777" w:rsidR="005D691F" w:rsidRDefault="00F4227D" w:rsidP="003620CC">
            <w:pPr>
              <w:bidi/>
              <w:spacing w:after="0" w:line="300" w:lineRule="auto"/>
              <w:jc w:val="center"/>
            </w:pPr>
            <w:r>
              <w:rPr>
                <w:rFonts w:ascii="Traditional Arabic" w:hAnsi="Traditional Arabic" w:cs="Traditional Arabic"/>
                <w:b/>
                <w:bCs/>
                <w:rtl/>
              </w:rPr>
              <w:t>الدرجة العلمية</w:t>
            </w:r>
          </w:p>
        </w:tc>
        <w:tc>
          <w:tcPr>
            <w:tcW w:w="1900" w:type="dxa"/>
            <w:shd w:val="clear" w:color="auto" w:fill="DCE9F5"/>
            <w:vAlign w:val="center"/>
          </w:tcPr>
          <w:p w14:paraId="668B4947" w14:textId="77777777" w:rsidR="005D691F" w:rsidRDefault="00F4227D" w:rsidP="003620CC">
            <w:pPr>
              <w:bidi/>
              <w:spacing w:after="0" w:line="300" w:lineRule="auto"/>
              <w:jc w:val="center"/>
            </w:pPr>
            <w:r>
              <w:rPr>
                <w:rFonts w:ascii="Traditional Arabic" w:hAnsi="Traditional Arabic" w:cs="Traditional Arabic"/>
                <w:b/>
                <w:bCs/>
                <w:rtl/>
              </w:rPr>
              <w:t>التخصص</w:t>
            </w:r>
          </w:p>
        </w:tc>
        <w:tc>
          <w:tcPr>
            <w:tcW w:w="1800" w:type="dxa"/>
            <w:shd w:val="clear" w:color="auto" w:fill="DCE9F5"/>
            <w:vAlign w:val="center"/>
          </w:tcPr>
          <w:p w14:paraId="08870BA1" w14:textId="77777777" w:rsidR="005D691F" w:rsidRDefault="00F4227D" w:rsidP="003620CC">
            <w:pPr>
              <w:bidi/>
              <w:spacing w:after="0" w:line="300" w:lineRule="auto"/>
              <w:jc w:val="center"/>
            </w:pPr>
            <w:r>
              <w:rPr>
                <w:rFonts w:ascii="Traditional Arabic" w:hAnsi="Traditional Arabic" w:cs="Traditional Arabic"/>
                <w:b/>
                <w:bCs/>
                <w:rtl/>
              </w:rPr>
              <w:t>جهة العمل</w:t>
            </w:r>
          </w:p>
        </w:tc>
      </w:tr>
      <w:tr w:rsidR="005D691F" w14:paraId="292C7178" w14:textId="77777777" w:rsidTr="003620CC">
        <w:tc>
          <w:tcPr>
            <w:tcW w:w="600" w:type="dxa"/>
            <w:vAlign w:val="center"/>
          </w:tcPr>
          <w:p w14:paraId="06A6DAF4" w14:textId="77777777" w:rsidR="005D691F" w:rsidRDefault="00F4227D" w:rsidP="003620CC">
            <w:pPr>
              <w:bidi/>
              <w:spacing w:after="0" w:line="300" w:lineRule="auto"/>
              <w:jc w:val="center"/>
            </w:pPr>
            <w:r>
              <w:rPr>
                <w:rFonts w:ascii="Traditional Arabic" w:hAnsi="Traditional Arabic" w:cs="Traditional Arabic"/>
                <w:rtl/>
              </w:rPr>
              <w:t>1</w:t>
            </w:r>
          </w:p>
        </w:tc>
        <w:tc>
          <w:tcPr>
            <w:tcW w:w="2400" w:type="dxa"/>
            <w:vAlign w:val="center"/>
          </w:tcPr>
          <w:p w14:paraId="4A2A7119" w14:textId="77777777" w:rsidR="005D691F" w:rsidRDefault="005D691F" w:rsidP="003620CC">
            <w:pPr>
              <w:bidi/>
              <w:spacing w:after="0" w:line="300" w:lineRule="auto"/>
              <w:jc w:val="center"/>
            </w:pPr>
          </w:p>
        </w:tc>
        <w:tc>
          <w:tcPr>
            <w:tcW w:w="1600" w:type="dxa"/>
            <w:vAlign w:val="center"/>
          </w:tcPr>
          <w:p w14:paraId="5941973C" w14:textId="77777777" w:rsidR="005D691F" w:rsidRDefault="005D691F" w:rsidP="003620CC">
            <w:pPr>
              <w:bidi/>
              <w:spacing w:after="0" w:line="300" w:lineRule="auto"/>
              <w:jc w:val="center"/>
            </w:pPr>
          </w:p>
        </w:tc>
        <w:tc>
          <w:tcPr>
            <w:tcW w:w="1900" w:type="dxa"/>
            <w:vAlign w:val="center"/>
          </w:tcPr>
          <w:p w14:paraId="4453B9C1" w14:textId="77777777" w:rsidR="005D691F" w:rsidRDefault="005D691F" w:rsidP="003620CC">
            <w:pPr>
              <w:bidi/>
              <w:spacing w:after="0" w:line="300" w:lineRule="auto"/>
              <w:jc w:val="center"/>
            </w:pPr>
          </w:p>
        </w:tc>
        <w:tc>
          <w:tcPr>
            <w:tcW w:w="1800" w:type="dxa"/>
            <w:vAlign w:val="center"/>
          </w:tcPr>
          <w:p w14:paraId="5B09FC99" w14:textId="77777777" w:rsidR="005D691F" w:rsidRDefault="005D691F" w:rsidP="003620CC">
            <w:pPr>
              <w:bidi/>
              <w:spacing w:after="0" w:line="300" w:lineRule="auto"/>
              <w:jc w:val="center"/>
            </w:pPr>
          </w:p>
        </w:tc>
      </w:tr>
      <w:tr w:rsidR="005D691F" w14:paraId="55D2559F" w14:textId="77777777" w:rsidTr="003620CC">
        <w:tc>
          <w:tcPr>
            <w:tcW w:w="600" w:type="dxa"/>
            <w:vAlign w:val="center"/>
          </w:tcPr>
          <w:p w14:paraId="2909D40C" w14:textId="77777777" w:rsidR="005D691F" w:rsidRDefault="00F4227D" w:rsidP="003620CC">
            <w:pPr>
              <w:bidi/>
              <w:spacing w:after="0" w:line="300" w:lineRule="auto"/>
              <w:jc w:val="center"/>
            </w:pPr>
            <w:r>
              <w:rPr>
                <w:rFonts w:ascii="Traditional Arabic" w:hAnsi="Traditional Arabic" w:cs="Traditional Arabic"/>
                <w:rtl/>
              </w:rPr>
              <w:t>2</w:t>
            </w:r>
          </w:p>
        </w:tc>
        <w:tc>
          <w:tcPr>
            <w:tcW w:w="2400" w:type="dxa"/>
            <w:vAlign w:val="center"/>
          </w:tcPr>
          <w:p w14:paraId="7918A6D3" w14:textId="77777777" w:rsidR="005D691F" w:rsidRDefault="005D691F" w:rsidP="003620CC">
            <w:pPr>
              <w:bidi/>
              <w:spacing w:after="0" w:line="300" w:lineRule="auto"/>
              <w:jc w:val="center"/>
            </w:pPr>
          </w:p>
        </w:tc>
        <w:tc>
          <w:tcPr>
            <w:tcW w:w="1600" w:type="dxa"/>
            <w:vAlign w:val="center"/>
          </w:tcPr>
          <w:p w14:paraId="41C4DE05" w14:textId="77777777" w:rsidR="005D691F" w:rsidRDefault="005D691F" w:rsidP="003620CC">
            <w:pPr>
              <w:bidi/>
              <w:spacing w:after="0" w:line="300" w:lineRule="auto"/>
              <w:jc w:val="center"/>
            </w:pPr>
          </w:p>
        </w:tc>
        <w:tc>
          <w:tcPr>
            <w:tcW w:w="1900" w:type="dxa"/>
            <w:vAlign w:val="center"/>
          </w:tcPr>
          <w:p w14:paraId="388638EA" w14:textId="77777777" w:rsidR="005D691F" w:rsidRDefault="005D691F" w:rsidP="003620CC">
            <w:pPr>
              <w:bidi/>
              <w:spacing w:after="0" w:line="300" w:lineRule="auto"/>
              <w:jc w:val="center"/>
            </w:pPr>
          </w:p>
        </w:tc>
        <w:tc>
          <w:tcPr>
            <w:tcW w:w="1800" w:type="dxa"/>
            <w:vAlign w:val="center"/>
          </w:tcPr>
          <w:p w14:paraId="10422D58" w14:textId="77777777" w:rsidR="005D691F" w:rsidRDefault="005D691F" w:rsidP="003620CC">
            <w:pPr>
              <w:bidi/>
              <w:spacing w:after="0" w:line="300" w:lineRule="auto"/>
              <w:jc w:val="center"/>
            </w:pPr>
          </w:p>
        </w:tc>
      </w:tr>
      <w:tr w:rsidR="005D691F" w14:paraId="7F49766F" w14:textId="77777777" w:rsidTr="003620CC">
        <w:tc>
          <w:tcPr>
            <w:tcW w:w="600" w:type="dxa"/>
            <w:vAlign w:val="center"/>
          </w:tcPr>
          <w:p w14:paraId="012B87A3" w14:textId="77777777" w:rsidR="005D691F" w:rsidRDefault="00F4227D" w:rsidP="003620CC">
            <w:pPr>
              <w:bidi/>
              <w:spacing w:after="0" w:line="300" w:lineRule="auto"/>
              <w:jc w:val="center"/>
            </w:pPr>
            <w:r>
              <w:rPr>
                <w:rFonts w:ascii="Traditional Arabic" w:hAnsi="Traditional Arabic" w:cs="Traditional Arabic"/>
                <w:rtl/>
              </w:rPr>
              <w:t>3</w:t>
            </w:r>
          </w:p>
        </w:tc>
        <w:tc>
          <w:tcPr>
            <w:tcW w:w="2400" w:type="dxa"/>
            <w:vAlign w:val="center"/>
          </w:tcPr>
          <w:p w14:paraId="7DFF27A4" w14:textId="77777777" w:rsidR="005D691F" w:rsidRDefault="005D691F" w:rsidP="003620CC">
            <w:pPr>
              <w:bidi/>
              <w:spacing w:after="0" w:line="300" w:lineRule="auto"/>
              <w:jc w:val="center"/>
            </w:pPr>
          </w:p>
        </w:tc>
        <w:tc>
          <w:tcPr>
            <w:tcW w:w="1600" w:type="dxa"/>
            <w:vAlign w:val="center"/>
          </w:tcPr>
          <w:p w14:paraId="40A0BDF5" w14:textId="77777777" w:rsidR="005D691F" w:rsidRDefault="005D691F" w:rsidP="003620CC">
            <w:pPr>
              <w:bidi/>
              <w:spacing w:after="0" w:line="300" w:lineRule="auto"/>
              <w:jc w:val="center"/>
            </w:pPr>
          </w:p>
        </w:tc>
        <w:tc>
          <w:tcPr>
            <w:tcW w:w="1900" w:type="dxa"/>
            <w:vAlign w:val="center"/>
          </w:tcPr>
          <w:p w14:paraId="71A43D49" w14:textId="77777777" w:rsidR="005D691F" w:rsidRDefault="005D691F" w:rsidP="003620CC">
            <w:pPr>
              <w:bidi/>
              <w:spacing w:after="0" w:line="300" w:lineRule="auto"/>
              <w:jc w:val="center"/>
            </w:pPr>
          </w:p>
        </w:tc>
        <w:tc>
          <w:tcPr>
            <w:tcW w:w="1800" w:type="dxa"/>
            <w:vAlign w:val="center"/>
          </w:tcPr>
          <w:p w14:paraId="44D01F31" w14:textId="77777777" w:rsidR="005D691F" w:rsidRDefault="005D691F" w:rsidP="003620CC">
            <w:pPr>
              <w:bidi/>
              <w:spacing w:after="0" w:line="300" w:lineRule="auto"/>
              <w:jc w:val="center"/>
            </w:pPr>
          </w:p>
        </w:tc>
      </w:tr>
      <w:tr w:rsidR="005D691F" w14:paraId="292C5EB5" w14:textId="77777777" w:rsidTr="003620CC">
        <w:tc>
          <w:tcPr>
            <w:tcW w:w="600" w:type="dxa"/>
            <w:vAlign w:val="center"/>
          </w:tcPr>
          <w:p w14:paraId="40518625" w14:textId="77777777" w:rsidR="005D691F" w:rsidRDefault="00F4227D" w:rsidP="003620CC">
            <w:pPr>
              <w:bidi/>
              <w:spacing w:after="0" w:line="300" w:lineRule="auto"/>
              <w:jc w:val="center"/>
            </w:pPr>
            <w:r>
              <w:rPr>
                <w:rFonts w:ascii="Traditional Arabic" w:hAnsi="Traditional Arabic" w:cs="Traditional Arabic"/>
                <w:rtl/>
              </w:rPr>
              <w:t>4</w:t>
            </w:r>
          </w:p>
        </w:tc>
        <w:tc>
          <w:tcPr>
            <w:tcW w:w="2400" w:type="dxa"/>
            <w:vAlign w:val="center"/>
          </w:tcPr>
          <w:p w14:paraId="1294232B" w14:textId="77777777" w:rsidR="005D691F" w:rsidRDefault="005D691F" w:rsidP="003620CC">
            <w:pPr>
              <w:bidi/>
              <w:spacing w:after="0" w:line="300" w:lineRule="auto"/>
              <w:jc w:val="center"/>
            </w:pPr>
          </w:p>
        </w:tc>
        <w:tc>
          <w:tcPr>
            <w:tcW w:w="1600" w:type="dxa"/>
            <w:vAlign w:val="center"/>
          </w:tcPr>
          <w:p w14:paraId="5815E769" w14:textId="77777777" w:rsidR="005D691F" w:rsidRDefault="005D691F" w:rsidP="003620CC">
            <w:pPr>
              <w:bidi/>
              <w:spacing w:after="0" w:line="300" w:lineRule="auto"/>
              <w:jc w:val="center"/>
            </w:pPr>
          </w:p>
        </w:tc>
        <w:tc>
          <w:tcPr>
            <w:tcW w:w="1900" w:type="dxa"/>
            <w:vAlign w:val="center"/>
          </w:tcPr>
          <w:p w14:paraId="5B5B8939" w14:textId="77777777" w:rsidR="005D691F" w:rsidRDefault="005D691F" w:rsidP="003620CC">
            <w:pPr>
              <w:bidi/>
              <w:spacing w:after="0" w:line="300" w:lineRule="auto"/>
              <w:jc w:val="center"/>
            </w:pPr>
          </w:p>
        </w:tc>
        <w:tc>
          <w:tcPr>
            <w:tcW w:w="1800" w:type="dxa"/>
            <w:vAlign w:val="center"/>
          </w:tcPr>
          <w:p w14:paraId="61AC46FE" w14:textId="77777777" w:rsidR="005D691F" w:rsidRDefault="005D691F" w:rsidP="003620CC">
            <w:pPr>
              <w:bidi/>
              <w:spacing w:after="0" w:line="300" w:lineRule="auto"/>
              <w:jc w:val="center"/>
            </w:pPr>
          </w:p>
        </w:tc>
      </w:tr>
      <w:tr w:rsidR="005D691F" w14:paraId="6AF240AB" w14:textId="77777777" w:rsidTr="003620CC">
        <w:tc>
          <w:tcPr>
            <w:tcW w:w="600" w:type="dxa"/>
            <w:vAlign w:val="center"/>
          </w:tcPr>
          <w:p w14:paraId="263A16D4" w14:textId="77777777" w:rsidR="005D691F" w:rsidRDefault="00F4227D" w:rsidP="003620CC">
            <w:pPr>
              <w:bidi/>
              <w:spacing w:after="0" w:line="300" w:lineRule="auto"/>
              <w:jc w:val="center"/>
            </w:pPr>
            <w:r>
              <w:rPr>
                <w:rFonts w:ascii="Traditional Arabic" w:hAnsi="Traditional Arabic" w:cs="Traditional Arabic"/>
                <w:rtl/>
              </w:rPr>
              <w:t>5</w:t>
            </w:r>
          </w:p>
        </w:tc>
        <w:tc>
          <w:tcPr>
            <w:tcW w:w="2400" w:type="dxa"/>
            <w:vAlign w:val="center"/>
          </w:tcPr>
          <w:p w14:paraId="1D8A8B06" w14:textId="77777777" w:rsidR="005D691F" w:rsidRDefault="005D691F" w:rsidP="003620CC">
            <w:pPr>
              <w:bidi/>
              <w:spacing w:after="0" w:line="300" w:lineRule="auto"/>
              <w:jc w:val="center"/>
            </w:pPr>
          </w:p>
        </w:tc>
        <w:tc>
          <w:tcPr>
            <w:tcW w:w="1600" w:type="dxa"/>
            <w:vAlign w:val="center"/>
          </w:tcPr>
          <w:p w14:paraId="67042E02" w14:textId="77777777" w:rsidR="005D691F" w:rsidRDefault="005D691F" w:rsidP="003620CC">
            <w:pPr>
              <w:bidi/>
              <w:spacing w:after="0" w:line="300" w:lineRule="auto"/>
              <w:jc w:val="center"/>
            </w:pPr>
          </w:p>
        </w:tc>
        <w:tc>
          <w:tcPr>
            <w:tcW w:w="1900" w:type="dxa"/>
            <w:vAlign w:val="center"/>
          </w:tcPr>
          <w:p w14:paraId="2665F1D9" w14:textId="77777777" w:rsidR="005D691F" w:rsidRDefault="005D691F" w:rsidP="003620CC">
            <w:pPr>
              <w:bidi/>
              <w:spacing w:after="0" w:line="300" w:lineRule="auto"/>
              <w:jc w:val="center"/>
            </w:pPr>
          </w:p>
        </w:tc>
        <w:tc>
          <w:tcPr>
            <w:tcW w:w="1800" w:type="dxa"/>
            <w:vAlign w:val="center"/>
          </w:tcPr>
          <w:p w14:paraId="2FFBD39F" w14:textId="77777777" w:rsidR="005D691F" w:rsidRDefault="005D691F" w:rsidP="003620CC">
            <w:pPr>
              <w:bidi/>
              <w:spacing w:after="0" w:line="300" w:lineRule="auto"/>
              <w:jc w:val="center"/>
            </w:pPr>
          </w:p>
        </w:tc>
      </w:tr>
      <w:tr w:rsidR="005D691F" w14:paraId="4AACC233" w14:textId="77777777" w:rsidTr="003620CC">
        <w:tc>
          <w:tcPr>
            <w:tcW w:w="600" w:type="dxa"/>
            <w:vAlign w:val="center"/>
          </w:tcPr>
          <w:p w14:paraId="6AA7CC04" w14:textId="77777777" w:rsidR="005D691F" w:rsidRDefault="00F4227D" w:rsidP="003620CC">
            <w:pPr>
              <w:bidi/>
              <w:spacing w:after="0" w:line="300" w:lineRule="auto"/>
              <w:jc w:val="center"/>
            </w:pPr>
            <w:r>
              <w:rPr>
                <w:rFonts w:ascii="Traditional Arabic" w:hAnsi="Traditional Arabic" w:cs="Traditional Arabic"/>
                <w:rtl/>
              </w:rPr>
              <w:t>6</w:t>
            </w:r>
          </w:p>
        </w:tc>
        <w:tc>
          <w:tcPr>
            <w:tcW w:w="2400" w:type="dxa"/>
            <w:vAlign w:val="center"/>
          </w:tcPr>
          <w:p w14:paraId="424AA4DF" w14:textId="77777777" w:rsidR="005D691F" w:rsidRDefault="005D691F" w:rsidP="003620CC">
            <w:pPr>
              <w:bidi/>
              <w:spacing w:after="0" w:line="300" w:lineRule="auto"/>
              <w:jc w:val="center"/>
            </w:pPr>
          </w:p>
        </w:tc>
        <w:tc>
          <w:tcPr>
            <w:tcW w:w="1600" w:type="dxa"/>
            <w:vAlign w:val="center"/>
          </w:tcPr>
          <w:p w14:paraId="44A3DCAC" w14:textId="77777777" w:rsidR="005D691F" w:rsidRDefault="005D691F" w:rsidP="003620CC">
            <w:pPr>
              <w:bidi/>
              <w:spacing w:after="0" w:line="300" w:lineRule="auto"/>
              <w:jc w:val="center"/>
            </w:pPr>
          </w:p>
        </w:tc>
        <w:tc>
          <w:tcPr>
            <w:tcW w:w="1900" w:type="dxa"/>
            <w:vAlign w:val="center"/>
          </w:tcPr>
          <w:p w14:paraId="5D558E45" w14:textId="77777777" w:rsidR="005D691F" w:rsidRDefault="005D691F" w:rsidP="003620CC">
            <w:pPr>
              <w:bidi/>
              <w:spacing w:after="0" w:line="300" w:lineRule="auto"/>
              <w:jc w:val="center"/>
            </w:pPr>
          </w:p>
        </w:tc>
        <w:tc>
          <w:tcPr>
            <w:tcW w:w="1800" w:type="dxa"/>
            <w:vAlign w:val="center"/>
          </w:tcPr>
          <w:p w14:paraId="363FDA76" w14:textId="77777777" w:rsidR="005D691F" w:rsidRDefault="005D691F" w:rsidP="003620CC">
            <w:pPr>
              <w:bidi/>
              <w:spacing w:after="0" w:line="300" w:lineRule="auto"/>
              <w:jc w:val="center"/>
            </w:pPr>
          </w:p>
        </w:tc>
      </w:tr>
    </w:tbl>
    <w:p w14:paraId="60A2F67E" w14:textId="77777777" w:rsidR="005D691F" w:rsidRDefault="00F4227D" w:rsidP="003620CC">
      <w:pPr>
        <w:pStyle w:val="TableCaption"/>
        <w:bidi/>
        <w:spacing w:after="0" w:line="360" w:lineRule="auto"/>
      </w:pPr>
      <w:r>
        <w:rPr>
          <w:rFonts w:ascii="Traditional Arabic" w:hAnsi="Traditional Arabic" w:cs="Traditional Arabic"/>
          <w:b/>
          <w:bCs/>
          <w:sz w:val="24"/>
          <w:szCs w:val="24"/>
          <w:rtl/>
        </w:rPr>
        <w:t>جدول (م-2): بيانات محكّمي أداة الدراسة</w:t>
      </w:r>
    </w:p>
    <w:p w14:paraId="66D7230D" w14:textId="77777777" w:rsidR="005D691F" w:rsidRDefault="005D691F" w:rsidP="00E000FF">
      <w:pPr>
        <w:bidi/>
        <w:spacing w:after="0" w:line="360" w:lineRule="auto"/>
        <w:jc w:val="right"/>
      </w:pPr>
    </w:p>
    <w:p w14:paraId="5311F6C2" w14:textId="77777777" w:rsidR="003620CC" w:rsidRPr="003620CC" w:rsidRDefault="003620CC">
      <w:pPr>
        <w:spacing w:after="200" w:line="276" w:lineRule="auto"/>
        <w:rPr>
          <w:rFonts w:ascii="Traditional Arabic" w:hAnsi="Traditional Arabic" w:cs="Traditional Arabic"/>
          <w:b/>
          <w:bCs/>
          <w:sz w:val="32"/>
          <w:szCs w:val="32"/>
          <w:rtl/>
        </w:rPr>
      </w:pPr>
      <w:bookmarkStart w:id="140" w:name="_Toc224563965"/>
      <w:bookmarkStart w:id="141" w:name="_Toc234424174"/>
      <w:r w:rsidRPr="003620CC">
        <w:rPr>
          <w:rFonts w:ascii="Traditional Arabic" w:hAnsi="Traditional Arabic" w:cs="Traditional Arabic"/>
          <w:b/>
          <w:bCs/>
          <w:sz w:val="32"/>
          <w:szCs w:val="32"/>
          <w:rtl/>
        </w:rPr>
        <w:br w:type="page"/>
      </w:r>
    </w:p>
    <w:p w14:paraId="1CC194DD" w14:textId="2F0E4FA3" w:rsidR="007F4183" w:rsidRPr="0072768E" w:rsidRDefault="007F4183"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b/>
          <w:bCs/>
          <w:sz w:val="32"/>
          <w:szCs w:val="32"/>
          <w:u w:val="single"/>
          <w:rtl/>
        </w:rPr>
        <w:lastRenderedPageBreak/>
        <w:t>المراجع:</w:t>
      </w:r>
      <w:bookmarkEnd w:id="140"/>
      <w:bookmarkEnd w:id="141"/>
    </w:p>
    <w:p w14:paraId="1B257D74" w14:textId="5C3A0A12" w:rsidR="00381524" w:rsidRPr="0072768E" w:rsidRDefault="00381524"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142" w:name="_Toc224563966"/>
      <w:bookmarkStart w:id="143" w:name="_Toc234424175"/>
      <w:r>
        <w:rPr>
          <w:rFonts w:ascii="Traditional Arabic" w:hAnsi="Traditional Arabic" w:cs="Traditional Arabic" w:hint="cs"/>
          <w:b/>
          <w:bCs/>
          <w:color w:val="auto"/>
          <w:u w:val="single"/>
          <w:rtl/>
        </w:rPr>
        <w:t>المراجع العربية:</w:t>
      </w:r>
      <w:bookmarkEnd w:id="142"/>
      <w:bookmarkEnd w:id="143"/>
    </w:p>
    <w:p w14:paraId="74B2012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1130AB1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نايف، والسلمي، عبدالرحمن.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الدخيل، عبدالعزيز. (2023). *الابتكار المالي ورؤية المملكة 2030*. الرياض: مركز الملك فيصل للبحوث والدراسات الإسلامية.</w:t>
      </w:r>
    </w:p>
    <w:p w14:paraId="57A6AAB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الزهراني، عبدالله.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الشمري، عبدالله،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الصالح، محمد، والقحطاني، عبدالرحمن. (2024). كفاءة العمليات المالية في ظل التحول الرقمي. *مجلة العلوم الاقتصادية والإدارية*، *30*(4)، 123-156.</w:t>
      </w:r>
    </w:p>
    <w:p w14:paraId="057B5EBB"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العبدالله،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عبدالله،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الفهد، عبدالعزيز،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القحطاني، علي. (2024). *أمن المعلومات في المؤسسات المالية الحديثة*. الدمام: مكتبة المتنبي.</w:t>
      </w:r>
    </w:p>
    <w:p w14:paraId="14721A0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القرني، سلطان، والشمري، عبدالله. (2024). استراتيجيات حماية البيانات في البنوك الرقمية. *المجلة السعودية لتقنية المعلومات*، *8*(1)، 67-94.</w:t>
      </w:r>
    </w:p>
    <w:p w14:paraId="0906FB1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6BDAAC1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محمد، عبدالله، والزهراني، فيصل. (2023). أثر تقنية البلوكشين على كفاءة التسويات المالية. *مجلة العلوم المالية والمحاسبية*، *19*(3)، 145-178.</w:t>
      </w:r>
    </w:p>
    <w:p w14:paraId="4326992B" w14:textId="3ACED4C6" w:rsidR="00832328" w:rsidRDefault="00832328" w:rsidP="00E000FF">
      <w:pPr>
        <w:bidi/>
        <w:spacing w:after="0" w:line="360" w:lineRule="auto"/>
        <w:rPr>
          <w:rFonts w:ascii="Simplified Arabic" w:eastAsiaTheme="majorEastAsia" w:hAnsi="Simplified Arabic" w:cs="Simplified Arabic"/>
          <w:rtl/>
        </w:rPr>
      </w:pPr>
      <w:r>
        <w:rPr>
          <w:rFonts w:ascii="Traditional Arabic" w:eastAsiaTheme="majorEastAsia" w:hAnsi="Traditional Arabic" w:cs="Traditional Arabic"/>
          <w:sz w:val="24"/>
          <w:szCs w:val="24"/>
          <w:rtl/>
        </w:rPr>
        <w:br w:type="page"/>
      </w:r>
    </w:p>
    <w:p w14:paraId="7E6106A2" w14:textId="1F718D5F" w:rsidR="00381524" w:rsidRDefault="00381524"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144" w:name="_Toc224563967"/>
      <w:bookmarkStart w:id="145" w:name="_Toc234424176"/>
      <w:commentRangeStart w:id="146"/>
      <w:r>
        <w:rPr>
          <w:rFonts w:ascii="Traditional Arabic" w:hAnsi="Traditional Arabic" w:cs="Traditional Arabic" w:hint="cs"/>
          <w:b/>
          <w:bCs/>
          <w:color w:val="auto"/>
          <w:u w:val="single"/>
          <w:rtl/>
        </w:rPr>
        <w:lastRenderedPageBreak/>
        <w:t>المراجع الأجنبية:</w:t>
      </w:r>
      <w:bookmarkEnd w:id="144"/>
      <w:bookmarkEnd w:id="145"/>
      <w:commentRangeEnd w:id="146"/>
      <w:r w:rsidR="00DF6C9D">
        <w:rPr>
          <w:rStyle w:val="affa"/>
          <w:rFonts w:ascii="Simplified Arabic" w:hAnsi="Simplified Arabic" w:cs="Simplified Arabic"/>
          <w:b/>
          <w:bCs/>
          <w:color w:val="auto"/>
          <w:sz w:val="28"/>
          <w:szCs w:val="28"/>
          <w:u w:val="single"/>
          <w:rtl/>
        </w:rPr>
        <w:commentReference w:id="146"/>
      </w:r>
    </w:p>
    <w:p w14:paraId="3EC4AE25"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(أ) التقارير المهنية والمؤسسية:</w:t>
      </w:r>
    </w:p>
    <w:p w14:paraId="1A59A985"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ENISA. (2024). ENISA Threat Landscape: Finance Sector January 2023 to June 2024. European Union Agency for Cybersecurity.</w:t>
      </w:r>
    </w:p>
    <w:p w14:paraId="7CC91241"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Stability Board. (2024). The financial stability implications of tokenisation. FSB.</w:t>
      </w:r>
    </w:p>
    <w:p w14:paraId="48CE37A2"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IBM Security. (2024). Cost of a Data Breach 2024: Financial Industry. IBM Corporation.</w:t>
      </w:r>
    </w:p>
    <w:p w14:paraId="2A390A9C"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International Monetary Fund. (2024). Financial Sector Assessment Program: Saudi Arabia. IMF.</w:t>
      </w:r>
    </w:p>
    <w:p w14:paraId="6958C475"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McKinsey &amp; Company. (2024). From ripples to waves: The transformational power of tokenizing assets. McKinsey Global Institute.</w:t>
      </w:r>
    </w:p>
    <w:p w14:paraId="0D75A8C7"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PCI Security Standards Council. (2024). PCI DSS v4.0 and tokenization guidelines. PCI SSC.</w:t>
      </w:r>
    </w:p>
    <w:p w14:paraId="75D89FD3"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Central Bank (SAMA). (2024). National Payments Strategy and Digital Transformation Report. SAMA.</w:t>
      </w:r>
    </w:p>
    <w:p w14:paraId="12785113"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Thunes Research. (2025). Saudi Arabia: Unlocking fintech potential across the Middle East. Thunes.</w:t>
      </w:r>
    </w:p>
    <w:p w14:paraId="2CCAFD47"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World Economic Forum. (2024). How tokenization is transforming finance and investment. WEF.</w:t>
      </w:r>
    </w:p>
    <w:p w14:paraId="02634930"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(ب) الدراسات الأكاديمية المحكمة:</w:t>
      </w:r>
    </w:p>
    <w:p w14:paraId="35FB7959"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Adigwe, C., et al. (2024). Tokenization of agricultural assets: Strengthening blockchain security in agri-finance and investment models against fraud and cyber risks. Agricultural Finance Review. </w:t>
      </w:r>
    </w:p>
    <w:p w14:paraId="0B6B2D0B" w14:textId="1012FC14"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Ahammad, M. S., Maliha, M., &amp; Nila, N. E. (2025). An innovative blockchain framework for strengthening security and efficiency in banking. Scientific Reports, 15, 39029. </w:t>
      </w:r>
      <w:hyperlink r:id="rId22" w:history="1">
        <w:r>
          <w:rPr>
            <w:rStyle w:val="Hyperlink"/>
            <w:rFonts w:cstheme="minorHAnsi"/>
          </w:rPr>
          <w:t>https://doi.org/10.1038/s41598-025-25457-8</w:t>
        </w:r>
      </w:hyperlink>
      <w:r>
        <w:rPr>
          <w:rFonts w:ascii="Traditional Arabic" w:hAnsi="Traditional Arabic" w:cstheme="minorHAnsi"/>
          <w:sz w:val="24"/>
          <w:szCs w:val="24"/>
          <w:rtl/>
        </w:rPr>
        <w:t xml:space="preserve"> </w:t>
      </w:r>
    </w:p>
    <w:p w14:paraId="29ABC415" w14:textId="6ACF959B"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Almadadha, R. (2025). Blockchain and financial performance: Empirical evidence from major Australian banks. Frontiers in Blockchain, 8, 1463633. </w:t>
      </w:r>
      <w:hyperlink r:id="rId23" w:history="1">
        <w:r>
          <w:rPr>
            <w:rStyle w:val="Hyperlink"/>
            <w:rFonts w:cstheme="minorHAnsi"/>
          </w:rPr>
          <w:t>https://doi.org/10.3389/fbloc.2025.1463633</w:t>
        </w:r>
      </w:hyperlink>
      <w:r>
        <w:rPr>
          <w:rFonts w:ascii="Traditional Arabic" w:hAnsi="Traditional Arabic" w:cstheme="minorHAnsi"/>
          <w:sz w:val="24"/>
          <w:szCs w:val="24"/>
          <w:rtl/>
        </w:rPr>
        <w:t xml:space="preserve"> </w:t>
      </w:r>
    </w:p>
    <w:p w14:paraId="3D8E1F3D" w14:textId="2149FDAF"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Al-Qudah, A. A., Al-Okaily, M., &amp; Yadav, M. P. P. (2025). Analyzing the impact of blockchain technology on banking transaction costs using random forest method. Frontiers in Blockchain, 8, 1551970. </w:t>
      </w:r>
      <w:hyperlink r:id="rId24" w:history="1">
        <w:r>
          <w:rPr>
            <w:rStyle w:val="Hyperlink"/>
            <w:rFonts w:cstheme="minorHAnsi"/>
          </w:rPr>
          <w:t>https://doi.org/10.3389/fbloc.2025.1551970</w:t>
        </w:r>
      </w:hyperlink>
      <w:r>
        <w:rPr>
          <w:rFonts w:ascii="Traditional Arabic" w:hAnsi="Traditional Arabic" w:cstheme="minorHAnsi"/>
          <w:sz w:val="24"/>
          <w:szCs w:val="24"/>
          <w:rtl/>
        </w:rPr>
        <w:t xml:space="preserve"> </w:t>
      </w:r>
    </w:p>
    <w:p w14:paraId="1051373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Carapella, F., et al. (2023). Tokenization: Overview and financial stability implications. Finance and Economics Discussion Series, Federal Reserve Board. </w:t>
      </w:r>
    </w:p>
    <w:p w14:paraId="16BEDF9E" w14:textId="46FF0E59"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Goghie, A. S. (2024). Tokenization and the banking system: Redefining authority in the blockchain era. Journal of Banking Regulation. </w:t>
      </w:r>
      <w:hyperlink r:id="rId25" w:history="1">
        <w:r>
          <w:rPr>
            <w:rStyle w:val="Hyperlink"/>
            <w:rFonts w:cstheme="minorHAnsi"/>
          </w:rPr>
          <w:t>https://doi.org/10.1177/10245294241258255</w:t>
        </w:r>
      </w:hyperlink>
      <w:r>
        <w:rPr>
          <w:rFonts w:ascii="Traditional Arabic" w:hAnsi="Traditional Arabic" w:cstheme="minorHAnsi"/>
          <w:sz w:val="24"/>
          <w:szCs w:val="24"/>
          <w:rtl/>
        </w:rPr>
        <w:t xml:space="preserve"> </w:t>
      </w:r>
    </w:p>
    <w:p w14:paraId="33956633"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Grossmann, A., et al. (2025). Designing the future of bond markets: Reducing transaction costs through tokenization. Journal of Financial Markets. </w:t>
      </w:r>
    </w:p>
    <w:p w14:paraId="057E760B" w14:textId="56402148"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Islam, M. S., &amp; In, H. P. (2024). Blockchain technology in the banking sector: A content analysis. Frontiers in Blockchain, 8, 1667848. </w:t>
      </w:r>
      <w:hyperlink r:id="rId26" w:history="1">
        <w:r>
          <w:rPr>
            <w:rStyle w:val="Hyperlink"/>
            <w:rFonts w:cstheme="minorHAnsi"/>
          </w:rPr>
          <w:t>https://doi.org/10.3389/fbloc.2025.1667848</w:t>
        </w:r>
      </w:hyperlink>
      <w:r>
        <w:rPr>
          <w:rFonts w:ascii="Traditional Arabic" w:hAnsi="Traditional Arabic" w:cstheme="minorHAnsi"/>
          <w:sz w:val="24"/>
          <w:szCs w:val="24"/>
          <w:rtl/>
        </w:rPr>
        <w:t xml:space="preserve"> </w:t>
      </w:r>
    </w:p>
    <w:p w14:paraId="5F832A5C" w14:textId="27052D8A"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Karanovic, V., et al. (2024). The impact of blockchain technology on financial services and digital transactions. In Proceedings of the 8th International Conference on Future Networks &amp; Distributed Systems. ACM. </w:t>
      </w:r>
      <w:hyperlink r:id="rId27" w:history="1">
        <w:r>
          <w:rPr>
            <w:rStyle w:val="Hyperlink"/>
            <w:rFonts w:cstheme="minorHAnsi"/>
          </w:rPr>
          <w:t>https://doi.org/10.1145/3726122.3726195</w:t>
        </w:r>
      </w:hyperlink>
    </w:p>
    <w:p w14:paraId="45FCE543"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Lavayssière, X., &amp; Zhang, J. (2025). Tokenization and financial market inefficiencies. FinTech Notes, 2025(001). </w:t>
      </w:r>
    </w:p>
    <w:p w14:paraId="11F40D0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[Multiple Authors]. (2025). Tokenization of real-world assets: Legal frameworks, market dynamics, and policy pathways for a decentralized financial future. Research Publication. </w:t>
      </w:r>
    </w:p>
    <w:p w14:paraId="5AA4057A" w14:textId="7749526C"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Sakarneh, B., &amp; Kilani, Y. M. (2024). The role of blockchain technology in managing efficiency and cost reduction in the banking sector in Jordan. Journal of Systems Management Sciences, 14(5), 251-267. </w:t>
      </w:r>
      <w:hyperlink r:id="rId28" w:history="1">
        <w:r>
          <w:rPr>
            <w:rStyle w:val="Hyperlink"/>
            <w:rFonts w:cstheme="minorHAnsi"/>
          </w:rPr>
          <w:t>https://doi.org/10.33168/JSMS.2024.0516</w:t>
        </w:r>
      </w:hyperlink>
      <w:r>
        <w:rPr>
          <w:rFonts w:ascii="Traditional Arabic" w:hAnsi="Traditional Arabic" w:cstheme="minorHAnsi"/>
          <w:sz w:val="24"/>
          <w:szCs w:val="24"/>
          <w:rtl/>
        </w:rPr>
        <w:t xml:space="preserve"> </w:t>
      </w:r>
    </w:p>
    <w:p w14:paraId="61730DE8" w14:textId="3F0FAEFD" w:rsidR="00A845B0" w:rsidRPr="00A845B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Udeh, C. A., et al. (2025). Exploring trust dynamics in finance: The impact of blockchain technology and smart contracts. Humanities and Social Sciences Communications, 12, 105473. </w:t>
      </w:r>
      <w:hyperlink r:id="rId29" w:history="1">
        <w:r>
          <w:rPr>
            <w:rStyle w:val="Hyperlink"/>
            <w:rFonts w:cstheme="minorHAnsi"/>
          </w:rPr>
          <w:t>https://doi.org/10.1038/s41599-025-05473-9</w:t>
        </w:r>
      </w:hyperlink>
    </w:p>
    <w:p w14:paraId="09758459" w14:textId="2115CF11" w:rsidR="00A96A8E" w:rsidRPr="00832328" w:rsidRDefault="00A96A8E" w:rsidP="00E000FF">
      <w:pPr>
        <w:bidi/>
        <w:spacing w:after="0" w:line="360" w:lineRule="auto"/>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A" w:date="2026-08-17T16:03:00Z" w:initials="K">
    <w:p w14:paraId="4B6286A1" w14:textId="06D0FE06" w:rsidR="00431AAC" w:rsidRDefault="00431AAC">
      <w:pPr>
        <w:pStyle w:val="affb"/>
      </w:pPr>
      <w:r>
        <w:rPr>
          <w:rStyle w:val="affa"/>
        </w:rPr>
        <w:annotationRef/>
      </w:r>
      <w:r>
        <w:rPr>
          <w:rFonts w:hint="cs"/>
          <w:rtl/>
        </w:rPr>
        <w:t xml:space="preserve">اين الترقيم </w:t>
      </w:r>
    </w:p>
  </w:comment>
  <w:comment w:id="9" w:author="A" w:date="2026-08-17T16:22:00Z" w:initials="K">
    <w:p w14:paraId="6061D203" w14:textId="223C2743" w:rsidR="001C4E4D" w:rsidRDefault="001C4E4D">
      <w:pPr>
        <w:pStyle w:val="affb"/>
      </w:pPr>
      <w:r>
        <w:rPr>
          <w:rStyle w:val="affa"/>
        </w:rPr>
        <w:annotationRef/>
      </w:r>
      <w:r>
        <w:rPr>
          <w:rFonts w:hint="cs"/>
          <w:rtl/>
        </w:rPr>
        <w:t xml:space="preserve">هذا المصدر غير موجود في قائمة المراجع </w:t>
      </w:r>
    </w:p>
  </w:comment>
  <w:comment w:id="10" w:author="A" w:date="2026-08-17T16:21:00Z" w:initials="K">
    <w:p w14:paraId="2A7F46AA" w14:textId="2D779A29" w:rsidR="001C4E4D" w:rsidRDefault="001C4E4D">
      <w:pPr>
        <w:pStyle w:val="affb"/>
      </w:pPr>
      <w:r>
        <w:rPr>
          <w:rStyle w:val="affa"/>
        </w:rPr>
        <w:annotationRef/>
      </w:r>
      <w:r>
        <w:rPr>
          <w:rFonts w:hint="cs"/>
          <w:rtl/>
        </w:rPr>
        <w:t xml:space="preserve">هذا المصدر غير موجود في قائمة المراجع </w:t>
      </w:r>
    </w:p>
  </w:comment>
  <w:comment w:id="14" w:author="A" w:date="2026-08-17T15:49:00Z" w:initials="K">
    <w:p w14:paraId="0BADD909" w14:textId="30366254" w:rsidR="007A39E6" w:rsidRDefault="007A39E6">
      <w:pPr>
        <w:pStyle w:val="affb"/>
      </w:pPr>
      <w:r>
        <w:rPr>
          <w:rStyle w:val="affa"/>
        </w:rPr>
        <w:annotationRef/>
      </w:r>
      <w:r>
        <w:rPr>
          <w:rFonts w:hint="cs"/>
          <w:rtl/>
        </w:rPr>
        <w:t xml:space="preserve">بداية غير موفقة، بدا الباحث الحديث عن التهديات دون تمهيد مسبق، </w:t>
      </w:r>
    </w:p>
  </w:comment>
  <w:comment w:id="15" w:author="A" w:date="2026-08-17T15:52:00Z" w:initials="K">
    <w:p w14:paraId="484F7DE8" w14:textId="43D6CF25" w:rsidR="007A39E6" w:rsidRDefault="007A39E6">
      <w:pPr>
        <w:pStyle w:val="affb"/>
      </w:pPr>
      <w:r>
        <w:rPr>
          <w:rStyle w:val="affa"/>
        </w:rPr>
        <w:annotationRef/>
      </w:r>
      <w:r>
        <w:rPr>
          <w:rFonts w:hint="cs"/>
          <w:rtl/>
        </w:rPr>
        <w:t xml:space="preserve">وبناء على ما سبق </w:t>
      </w:r>
    </w:p>
  </w:comment>
  <w:comment w:id="16" w:author="A" w:date="2026-08-17T15:52:00Z" w:initials="K">
    <w:p w14:paraId="22D58EC4" w14:textId="780B7FC3" w:rsidR="007A39E6" w:rsidRDefault="007A39E6">
      <w:pPr>
        <w:pStyle w:val="affb"/>
      </w:pPr>
      <w:r>
        <w:rPr>
          <w:rStyle w:val="affa"/>
        </w:rPr>
        <w:annotationRef/>
      </w:r>
      <w:r>
        <w:rPr>
          <w:rFonts w:hint="cs"/>
          <w:rtl/>
        </w:rPr>
        <w:t xml:space="preserve">حذف </w:t>
      </w:r>
    </w:p>
  </w:comment>
  <w:comment w:id="28" w:author="A" w:date="2026-08-17T15:53:00Z" w:initials="K">
    <w:p w14:paraId="6C314A6E" w14:textId="41E244FC" w:rsidR="007A39E6" w:rsidRDefault="007A39E6">
      <w:pPr>
        <w:pStyle w:val="affb"/>
      </w:pPr>
      <w:r>
        <w:rPr>
          <w:rStyle w:val="affa"/>
        </w:rPr>
        <w:annotationRef/>
      </w:r>
      <w:r>
        <w:rPr>
          <w:rFonts w:hint="cs"/>
          <w:rtl/>
        </w:rPr>
        <w:t xml:space="preserve">هل المطلوب اكتشاف الأثر على المؤشرات ام على الامن السيبراني </w:t>
      </w:r>
    </w:p>
  </w:comment>
  <w:comment w:id="33" w:author="A" w:date="2026-08-17T15:54:00Z" w:initials="K">
    <w:p w14:paraId="79719C6A" w14:textId="77777777" w:rsidR="007A39E6" w:rsidRDefault="007A39E6">
      <w:pPr>
        <w:pStyle w:val="affb"/>
        <w:rPr>
          <w:rtl/>
        </w:rPr>
      </w:pPr>
      <w:r>
        <w:rPr>
          <w:rStyle w:val="affa"/>
        </w:rPr>
        <w:annotationRef/>
      </w:r>
      <w:r>
        <w:rPr>
          <w:rFonts w:hint="cs"/>
          <w:rtl/>
        </w:rPr>
        <w:t>المؤسسات المالية</w:t>
      </w:r>
    </w:p>
    <w:p w14:paraId="207D5E47" w14:textId="0C2538D8" w:rsidR="007A39E6" w:rsidRDefault="007A39E6">
      <w:pPr>
        <w:pStyle w:val="affb"/>
      </w:pPr>
      <w:r>
        <w:rPr>
          <w:rFonts w:hint="cs"/>
          <w:rtl/>
        </w:rPr>
        <w:t xml:space="preserve">وينطبق على باقي الأسئلة </w:t>
      </w:r>
    </w:p>
  </w:comment>
  <w:comment w:id="34" w:author="A" w:date="2026-08-17T15:54:00Z" w:initials="K">
    <w:p w14:paraId="0B028107" w14:textId="0611C4AA" w:rsidR="007A39E6" w:rsidRDefault="007A39E6">
      <w:pPr>
        <w:pStyle w:val="affb"/>
      </w:pPr>
      <w:r>
        <w:rPr>
          <w:rStyle w:val="affa"/>
        </w:rPr>
        <w:annotationRef/>
      </w:r>
      <w:r>
        <w:rPr>
          <w:rFonts w:hint="cs"/>
          <w:rtl/>
        </w:rPr>
        <w:t xml:space="preserve">ما هو المقصود بالامتثال للمعاير الدولية هنا </w:t>
      </w:r>
    </w:p>
  </w:comment>
  <w:comment w:id="43" w:author="A" w:date="2026-08-17T15:55:00Z" w:initials="K">
    <w:p w14:paraId="03D4EBAE" w14:textId="77777777" w:rsidR="007A39E6" w:rsidRDefault="007A39E6">
      <w:pPr>
        <w:pStyle w:val="affb"/>
        <w:rPr>
          <w:rtl/>
        </w:rPr>
      </w:pPr>
      <w:r>
        <w:rPr>
          <w:rStyle w:val="affa"/>
        </w:rPr>
        <w:annotationRef/>
      </w:r>
      <w:r>
        <w:rPr>
          <w:rFonts w:hint="cs"/>
          <w:rtl/>
        </w:rPr>
        <w:t xml:space="preserve">سؤال غير واضح بحاجة إلى تعديل ، مطلوب ان يكون هناك سؤال له علاقة بالفوق ، ولكن السؤال الرئيسي مرتبط بخصائص المؤسسة المالية ، وليس </w:t>
      </w:r>
      <w:r w:rsidR="00431AAC">
        <w:rPr>
          <w:rFonts w:hint="cs"/>
          <w:rtl/>
        </w:rPr>
        <w:t>تبنى المؤسسة تقنية الترميز يجب إعادة الصياغة بما يتلائم مع السؤال الرئيس</w:t>
      </w:r>
    </w:p>
    <w:p w14:paraId="2774839B" w14:textId="7BAB28EE" w:rsidR="00431AAC" w:rsidRDefault="00431AAC">
      <w:pPr>
        <w:pStyle w:val="affb"/>
      </w:pPr>
    </w:p>
  </w:comment>
  <w:comment w:id="44" w:author="A" w:date="2026-08-17T15:55:00Z" w:initials="K">
    <w:p w14:paraId="42582218" w14:textId="77777777" w:rsidR="007A39E6" w:rsidRDefault="007A39E6">
      <w:pPr>
        <w:pStyle w:val="affb"/>
        <w:rPr>
          <w:rtl/>
        </w:rPr>
      </w:pPr>
      <w:r>
        <w:rPr>
          <w:rStyle w:val="affa"/>
        </w:rPr>
        <w:annotationRef/>
      </w:r>
      <w:r>
        <w:rPr>
          <w:rFonts w:hint="cs"/>
          <w:rtl/>
        </w:rPr>
        <w:t xml:space="preserve">كيف سيتم اختبار والتحقق من هذا السؤال </w:t>
      </w:r>
    </w:p>
    <w:p w14:paraId="72B25ED5" w14:textId="2A1DE16B" w:rsidR="00431AAC" w:rsidRDefault="00431AAC">
      <w:pPr>
        <w:pStyle w:val="affb"/>
      </w:pPr>
      <w:r>
        <w:rPr>
          <w:rFonts w:hint="cs"/>
          <w:rtl/>
        </w:rPr>
        <w:t xml:space="preserve">اضف إلى ذلك ان هذا السؤال الفرعي لا يرتبط بالسؤال الرئيس </w:t>
      </w:r>
    </w:p>
  </w:comment>
  <w:comment w:id="47" w:author="A" w:date="2026-08-17T15:58:00Z" w:initials="K">
    <w:p w14:paraId="575D9BD0" w14:textId="005E3C04" w:rsidR="00431AAC" w:rsidRDefault="00431AAC">
      <w:pPr>
        <w:pStyle w:val="affb"/>
      </w:pPr>
      <w:r>
        <w:rPr>
          <w:rStyle w:val="affa"/>
        </w:rPr>
        <w:annotationRef/>
      </w:r>
      <w:r>
        <w:rPr>
          <w:rFonts w:hint="cs"/>
          <w:rtl/>
        </w:rPr>
        <w:t xml:space="preserve">يجب ان تذكر العوامل الوسيطة ، وان تحددها عند صياغة الفروض، حيث ان الفروض واسئلة الدراسة لا يوجد بها عوامل وسيطة </w:t>
      </w:r>
    </w:p>
  </w:comment>
  <w:comment w:id="48" w:author="A" w:date="2026-08-17T15:59:00Z" w:initials="K">
    <w:p w14:paraId="3A31091F" w14:textId="1FABD8C5" w:rsidR="00431AAC" w:rsidRDefault="00431AAC">
      <w:pPr>
        <w:pStyle w:val="affb"/>
      </w:pPr>
      <w:r>
        <w:rPr>
          <w:rStyle w:val="affa"/>
        </w:rPr>
        <w:annotationRef/>
      </w:r>
      <w:r>
        <w:rPr>
          <w:rFonts w:hint="cs"/>
          <w:rtl/>
        </w:rPr>
        <w:t xml:space="preserve">تكرار لما سبق، وهنا نحن لا نتحدث عن الفجوة، اذا اردت الحديث عن الفجوة يجب ان يتم ابراز هذه الفجوة بوضوح في الجزء الخاص بالفجوة البحثية </w:t>
      </w:r>
    </w:p>
  </w:comment>
  <w:comment w:id="49" w:author="A" w:date="2026-08-17T16:02:00Z" w:initials="K">
    <w:p w14:paraId="6CB3580C" w14:textId="22CA711F" w:rsidR="00431AAC" w:rsidRDefault="00431AAC">
      <w:pPr>
        <w:pStyle w:val="affb"/>
      </w:pPr>
      <w:r>
        <w:rPr>
          <w:rStyle w:val="affa"/>
        </w:rPr>
        <w:annotationRef/>
      </w:r>
      <w:r>
        <w:rPr>
          <w:rFonts w:hint="cs"/>
          <w:rtl/>
        </w:rPr>
        <w:t xml:space="preserve">مطلوب الترقيم </w:t>
      </w:r>
    </w:p>
  </w:comment>
  <w:comment w:id="50" w:author="A" w:date="2026-08-17T16:00:00Z" w:initials="K">
    <w:p w14:paraId="1EA7BE3B" w14:textId="713D046D" w:rsidR="00431AAC" w:rsidRDefault="00431AAC">
      <w:pPr>
        <w:pStyle w:val="affb"/>
      </w:pPr>
      <w:r>
        <w:rPr>
          <w:rStyle w:val="affa"/>
        </w:rPr>
        <w:annotationRef/>
      </w:r>
      <w:r>
        <w:rPr>
          <w:rFonts w:hint="cs"/>
          <w:rtl/>
        </w:rPr>
        <w:t xml:space="preserve">حشو غير مبرر ، حذف ، نحن نستعرض فقط الأهمية التطبيقة للبحث </w:t>
      </w:r>
    </w:p>
  </w:comment>
  <w:comment w:id="51" w:author="A" w:date="2026-08-17T16:00:00Z" w:initials="K">
    <w:p w14:paraId="4CDFC3BB" w14:textId="3E037DB8" w:rsidR="00431AAC" w:rsidRDefault="00431AAC">
      <w:pPr>
        <w:pStyle w:val="affb"/>
      </w:pPr>
      <w:r>
        <w:rPr>
          <w:rStyle w:val="affa"/>
        </w:rPr>
        <w:annotationRef/>
      </w:r>
      <w:r>
        <w:rPr>
          <w:rFonts w:hint="cs"/>
          <w:rtl/>
        </w:rPr>
        <w:t>حشو غير مبرر</w:t>
      </w:r>
    </w:p>
  </w:comment>
  <w:comment w:id="52" w:author="A" w:date="2026-08-17T16:01:00Z" w:initials="K">
    <w:p w14:paraId="26FAD6E2" w14:textId="38929167" w:rsidR="00431AAC" w:rsidRDefault="00431AAC">
      <w:pPr>
        <w:pStyle w:val="affb"/>
      </w:pPr>
      <w:r>
        <w:rPr>
          <w:rStyle w:val="affa"/>
        </w:rPr>
        <w:annotationRef/>
      </w:r>
      <w:r>
        <w:rPr>
          <w:rFonts w:hint="cs"/>
          <w:rtl/>
        </w:rPr>
        <w:t xml:space="preserve">هل سنجد في الدارسة ممارسة يمكن تطبيقها في مجال الترميز، ام فقط اختيار فقرات وجمل قوية </w:t>
      </w:r>
    </w:p>
  </w:comment>
  <w:comment w:id="53" w:author="A" w:date="2026-08-17T16:02:00Z" w:initials="K">
    <w:p w14:paraId="69E0F881" w14:textId="742E0598" w:rsidR="00431AAC" w:rsidRDefault="00431AAC">
      <w:pPr>
        <w:pStyle w:val="affb"/>
      </w:pPr>
      <w:r>
        <w:rPr>
          <w:rStyle w:val="affa"/>
        </w:rPr>
        <w:annotationRef/>
      </w:r>
      <w:r>
        <w:rPr>
          <w:rFonts w:hint="cs"/>
          <w:rtl/>
        </w:rPr>
        <w:t>حذف</w:t>
      </w:r>
    </w:p>
  </w:comment>
  <w:comment w:id="54" w:author="A" w:date="2026-08-17T16:02:00Z" w:initials="K">
    <w:p w14:paraId="24998910" w14:textId="35A09650" w:rsidR="00431AAC" w:rsidRDefault="00431AAC">
      <w:pPr>
        <w:pStyle w:val="affb"/>
      </w:pPr>
      <w:r>
        <w:rPr>
          <w:rStyle w:val="affa"/>
        </w:rPr>
        <w:annotationRef/>
      </w:r>
      <w:r>
        <w:rPr>
          <w:rFonts w:hint="cs"/>
          <w:rtl/>
        </w:rPr>
        <w:t xml:space="preserve">حذف </w:t>
      </w:r>
    </w:p>
  </w:comment>
  <w:comment w:id="55" w:author="A" w:date="2026-08-17T16:03:00Z" w:initials="K">
    <w:p w14:paraId="1AADDB50" w14:textId="65D3B373" w:rsidR="00431AAC" w:rsidRDefault="00431AAC">
      <w:pPr>
        <w:pStyle w:val="affb"/>
      </w:pPr>
      <w:r>
        <w:rPr>
          <w:rStyle w:val="affa"/>
        </w:rPr>
        <w:annotationRef/>
      </w:r>
      <w:r>
        <w:rPr>
          <w:rFonts w:hint="cs"/>
          <w:rtl/>
        </w:rPr>
        <w:t>حذف</w:t>
      </w:r>
    </w:p>
  </w:comment>
  <w:comment w:id="56" w:author="A" w:date="2026-08-17T16:04:00Z" w:initials="K">
    <w:p w14:paraId="05983AF7" w14:textId="143BF636" w:rsidR="00431AAC" w:rsidRDefault="00431AAC">
      <w:pPr>
        <w:pStyle w:val="affb"/>
      </w:pPr>
      <w:r>
        <w:rPr>
          <w:rStyle w:val="affa"/>
        </w:rPr>
        <w:annotationRef/>
      </w:r>
      <w:r>
        <w:rPr>
          <w:rFonts w:hint="cs"/>
          <w:rtl/>
        </w:rPr>
        <w:t>حذف</w:t>
      </w:r>
    </w:p>
  </w:comment>
  <w:comment w:id="57" w:author="A" w:date="2026-08-17T16:04:00Z" w:initials="K">
    <w:p w14:paraId="5B613455" w14:textId="53AD30AC" w:rsidR="00431AAC" w:rsidRDefault="00431AAC">
      <w:pPr>
        <w:pStyle w:val="affb"/>
      </w:pPr>
      <w:r>
        <w:rPr>
          <w:rStyle w:val="affa"/>
        </w:rPr>
        <w:annotationRef/>
      </w:r>
      <w:r>
        <w:rPr>
          <w:rFonts w:hint="cs"/>
          <w:rtl/>
        </w:rPr>
        <w:t xml:space="preserve">لم يذكر الباحث أي شيء له علاقة بالشمول المالي لا في مشكلة البحث ولا في مقدمة البحث، هذا من باب الحشو ، او اذا رغب الباحث ، يجب عليه ان يضيفها إلى المشكلة والفروض </w:t>
      </w:r>
    </w:p>
  </w:comment>
  <w:comment w:id="58" w:author="A" w:date="2026-08-17T16:05:00Z" w:initials="K">
    <w:p w14:paraId="36310E73" w14:textId="6BBC61CE" w:rsidR="00431AAC" w:rsidRDefault="00431AAC">
      <w:pPr>
        <w:pStyle w:val="affb"/>
      </w:pPr>
      <w:r>
        <w:rPr>
          <w:rStyle w:val="affa"/>
        </w:rPr>
        <w:annotationRef/>
      </w:r>
      <w:r>
        <w:rPr>
          <w:rFonts w:hint="cs"/>
          <w:rtl/>
        </w:rPr>
        <w:t xml:space="preserve">هل سيغطي الاطار النظري هذا الجزء </w:t>
      </w:r>
    </w:p>
  </w:comment>
  <w:comment w:id="62" w:author="A" w:date="2026-08-17T16:06:00Z" w:initials="K">
    <w:p w14:paraId="35010530" w14:textId="10EC361D" w:rsidR="00431AAC" w:rsidRDefault="00431AAC">
      <w:pPr>
        <w:pStyle w:val="affb"/>
      </w:pPr>
      <w:r>
        <w:rPr>
          <w:rStyle w:val="affa"/>
        </w:rPr>
        <w:annotationRef/>
      </w:r>
      <w:r>
        <w:rPr>
          <w:rFonts w:hint="cs"/>
          <w:rtl/>
        </w:rPr>
        <w:t>هل الامتثال للمعاير الدولية والأمنية هي احد مؤشرات الامن السيبراني ،</w:t>
      </w:r>
    </w:p>
  </w:comment>
  <w:comment w:id="63" w:author="A" w:date="2026-08-17T16:06:00Z" w:initials="K">
    <w:p w14:paraId="1D801EB5" w14:textId="77777777" w:rsidR="00431AAC" w:rsidRDefault="00431AAC">
      <w:pPr>
        <w:pStyle w:val="affb"/>
        <w:rPr>
          <w:rtl/>
        </w:rPr>
      </w:pPr>
      <w:r>
        <w:rPr>
          <w:rStyle w:val="affa"/>
        </w:rPr>
        <w:annotationRef/>
      </w:r>
      <w:r>
        <w:rPr>
          <w:rFonts w:hint="cs"/>
          <w:rtl/>
        </w:rPr>
        <w:t xml:space="preserve">الامثال للمعاير هل هو مرتبط بالترميز، ام بالامن السيراني </w:t>
      </w:r>
    </w:p>
    <w:p w14:paraId="50E4ADE8" w14:textId="607443D3" w:rsidR="00431AAC" w:rsidRDefault="00431AAC">
      <w:pPr>
        <w:pStyle w:val="affb"/>
      </w:pPr>
      <w:r>
        <w:rPr>
          <w:rFonts w:hint="cs"/>
          <w:rtl/>
        </w:rPr>
        <w:t xml:space="preserve">اضف إلى ذلك هذا السؤال بصيغته الحالية بحاجة إلى تعديل وفق الملاحظة الواردة في أسئلة البحث </w:t>
      </w:r>
    </w:p>
  </w:comment>
  <w:comment w:id="64" w:author="A" w:date="2026-08-17T16:07:00Z" w:initials="K">
    <w:p w14:paraId="675AE72B" w14:textId="7EC29F3D" w:rsidR="00431AAC" w:rsidRDefault="00431AAC">
      <w:pPr>
        <w:pStyle w:val="affb"/>
      </w:pPr>
      <w:r>
        <w:rPr>
          <w:rStyle w:val="affa"/>
        </w:rPr>
        <w:annotationRef/>
      </w:r>
      <w:r>
        <w:rPr>
          <w:rFonts w:hint="cs"/>
          <w:rtl/>
        </w:rPr>
        <w:t xml:space="preserve">مرة أخرى  هل سوف يتمكن الباحث من تحقيق هذا الهدف </w:t>
      </w:r>
    </w:p>
  </w:comment>
  <w:comment w:id="67" w:author="A" w:date="2026-08-17T16:07:00Z" w:initials="K">
    <w:p w14:paraId="1AAE74C0" w14:textId="169E10DF" w:rsidR="003A688C" w:rsidRDefault="003A688C">
      <w:pPr>
        <w:pStyle w:val="affb"/>
      </w:pPr>
      <w:r>
        <w:rPr>
          <w:rStyle w:val="affa"/>
        </w:rPr>
        <w:annotationRef/>
      </w:r>
      <w:r>
        <w:rPr>
          <w:rFonts w:hint="cs"/>
          <w:rtl/>
        </w:rPr>
        <w:t>حذف</w:t>
      </w:r>
    </w:p>
  </w:comment>
  <w:comment w:id="68" w:author="A" w:date="2026-08-17T16:10:00Z" w:initials="K">
    <w:p w14:paraId="098489AA" w14:textId="77777777" w:rsidR="003A688C" w:rsidRDefault="003A688C">
      <w:pPr>
        <w:pStyle w:val="affb"/>
        <w:rPr>
          <w:rtl/>
        </w:rPr>
      </w:pPr>
      <w:r>
        <w:rPr>
          <w:rStyle w:val="affa"/>
        </w:rPr>
        <w:annotationRef/>
      </w:r>
      <w:r>
        <w:rPr>
          <w:rFonts w:hint="cs"/>
          <w:rtl/>
        </w:rPr>
        <w:t xml:space="preserve">أعادة الصياغة ، الصياغة ضعيفة </w:t>
      </w:r>
    </w:p>
    <w:p w14:paraId="7B930B03" w14:textId="77777777" w:rsidR="003A688C" w:rsidRDefault="003A688C">
      <w:pPr>
        <w:pStyle w:val="affb"/>
        <w:rPr>
          <w:rtl/>
        </w:rPr>
      </w:pPr>
      <w:r>
        <w:rPr>
          <w:rFonts w:hint="cs"/>
          <w:rtl/>
        </w:rPr>
        <w:t xml:space="preserve">الصياغة البديلة </w:t>
      </w:r>
    </w:p>
    <w:p w14:paraId="72333FA7" w14:textId="1EEF6ED0" w:rsidR="003A688C" w:rsidRDefault="003A688C">
      <w:pPr>
        <w:pStyle w:val="affb"/>
      </w:pPr>
      <w:r>
        <w:rPr>
          <w:rFonts w:hint="cs"/>
          <w:rtl/>
        </w:rPr>
        <w:t xml:space="preserve">يوجد أثر ذو دلالة إحصائية لتطبيق تقنية الترميز على الأمن السيراني في المؤسسات المالية السعودية </w:t>
      </w:r>
    </w:p>
  </w:comment>
  <w:comment w:id="69" w:author="A" w:date="2026-08-17T16:11:00Z" w:initials="K">
    <w:p w14:paraId="627ADEED" w14:textId="72AB984C" w:rsidR="003A688C" w:rsidRDefault="003A688C">
      <w:pPr>
        <w:pStyle w:val="affb"/>
      </w:pPr>
      <w:r>
        <w:rPr>
          <w:rStyle w:val="affa"/>
        </w:rPr>
        <w:annotationRef/>
      </w:r>
      <w:r>
        <w:rPr>
          <w:rFonts w:hint="cs"/>
          <w:rtl/>
        </w:rPr>
        <w:t xml:space="preserve">الترميز هو بعد واحد </w:t>
      </w:r>
    </w:p>
  </w:comment>
  <w:comment w:id="70" w:author="A" w:date="2026-08-17T16:08:00Z" w:initials="K">
    <w:p w14:paraId="48F9F59B" w14:textId="7CB9AD21" w:rsidR="003A688C" w:rsidRDefault="003A688C">
      <w:pPr>
        <w:pStyle w:val="affb"/>
      </w:pPr>
      <w:r>
        <w:rPr>
          <w:rStyle w:val="affa"/>
        </w:rPr>
        <w:annotationRef/>
      </w:r>
      <w:r>
        <w:rPr>
          <w:rFonts w:hint="cs"/>
          <w:rtl/>
        </w:rPr>
        <w:t xml:space="preserve">الربط مع  عنوان الدراسة ، المؤسسات المالية ، وهذا ينطبق على باقي الفروض </w:t>
      </w:r>
    </w:p>
  </w:comment>
  <w:comment w:id="72" w:author="A" w:date="2026-08-17T16:08:00Z" w:initials="K">
    <w:p w14:paraId="7A33C498" w14:textId="3CFE6E23" w:rsidR="003A688C" w:rsidRDefault="003A688C">
      <w:pPr>
        <w:pStyle w:val="affb"/>
      </w:pPr>
      <w:r>
        <w:rPr>
          <w:rStyle w:val="affa"/>
        </w:rPr>
        <w:annotationRef/>
      </w:r>
      <w:r>
        <w:rPr>
          <w:rFonts w:hint="cs"/>
          <w:rtl/>
        </w:rPr>
        <w:t>الامتثال هل هل متغير مستقل اخر، ام هو بعد من ابعاد المتغير التابع ، يجب تحديد هذا المتغير</w:t>
      </w:r>
    </w:p>
  </w:comment>
  <w:comment w:id="71" w:author="A" w:date="2026-08-17T16:50:00Z" w:initials="K">
    <w:p w14:paraId="1100EEBB" w14:textId="4592A94E" w:rsidR="00276F64" w:rsidRDefault="00276F64">
      <w:pPr>
        <w:pStyle w:val="affb"/>
      </w:pPr>
      <w:r>
        <w:rPr>
          <w:rStyle w:val="affa"/>
        </w:rPr>
        <w:annotationRef/>
      </w:r>
      <w:r>
        <w:rPr>
          <w:rFonts w:hint="cs"/>
          <w:rtl/>
        </w:rPr>
        <w:t xml:space="preserve">هل تعتبر من ابعاد تقينة الترميز </w:t>
      </w:r>
    </w:p>
  </w:comment>
  <w:comment w:id="73" w:author="A" w:date="2026-08-17T16:12:00Z" w:initials="K">
    <w:p w14:paraId="50AF415C" w14:textId="4134FC21" w:rsidR="003A688C" w:rsidRDefault="003A688C">
      <w:pPr>
        <w:pStyle w:val="affb"/>
      </w:pPr>
      <w:r>
        <w:rPr>
          <w:rStyle w:val="affa"/>
        </w:rPr>
        <w:annotationRef/>
      </w:r>
      <w:r>
        <w:rPr>
          <w:rFonts w:hint="cs"/>
          <w:rtl/>
        </w:rPr>
        <w:t xml:space="preserve">الغاء النقطة ، لكي يظهر هذا الفرض على انه فرض رئيسي ثاني </w:t>
      </w:r>
    </w:p>
  </w:comment>
  <w:comment w:id="74" w:author="A" w:date="2026-08-17T16:13:00Z" w:initials="K">
    <w:p w14:paraId="28B95C1A" w14:textId="322A3324" w:rsidR="003A688C" w:rsidRDefault="003A688C">
      <w:pPr>
        <w:pStyle w:val="affb"/>
      </w:pPr>
      <w:r>
        <w:rPr>
          <w:rStyle w:val="affa"/>
        </w:rPr>
        <w:annotationRef/>
      </w:r>
      <w:r>
        <w:rPr>
          <w:rFonts w:hint="cs"/>
          <w:rtl/>
        </w:rPr>
        <w:t xml:space="preserve">مرة أخرى الامتثال هنا ماذا يمثل ، هل هو متغير مستقل ثاني ، ام احد ابعاد المتغير المستقل ، ام احد ابعاد المتغير التابع </w:t>
      </w:r>
    </w:p>
  </w:comment>
  <w:comment w:id="75" w:author="A" w:date="2026-08-17T16:15:00Z" w:initials="K">
    <w:p w14:paraId="71E94A16" w14:textId="77777777" w:rsidR="003A688C" w:rsidRDefault="003A688C">
      <w:pPr>
        <w:pStyle w:val="affb"/>
        <w:rPr>
          <w:rtl/>
        </w:rPr>
      </w:pPr>
      <w:r>
        <w:rPr>
          <w:rStyle w:val="affa"/>
        </w:rPr>
        <w:annotationRef/>
      </w:r>
      <w:r>
        <w:rPr>
          <w:rFonts w:hint="cs"/>
          <w:rtl/>
        </w:rPr>
        <w:t xml:space="preserve">هذه الفروض بحاجة إلى إعادة صياغة بما يتلائم مع السؤال الرئيس ، </w:t>
      </w:r>
    </w:p>
    <w:p w14:paraId="17F8CA91" w14:textId="06B24004" w:rsidR="003A688C" w:rsidRDefault="003A688C">
      <w:pPr>
        <w:pStyle w:val="affb"/>
      </w:pPr>
      <w:r>
        <w:rPr>
          <w:rFonts w:hint="cs"/>
          <w:rtl/>
        </w:rPr>
        <w:t xml:space="preserve">اضف إلى ذلك ؤية الممكلة كيف سوف تعامل ، هل هي متغير تابع جديد، انت تتحدث عن فروق ثم في نفس الوقت تتحدث عن توافق </w:t>
      </w:r>
    </w:p>
  </w:comment>
  <w:comment w:id="77" w:author="A" w:date="2026-08-17T16:18:00Z" w:initials="K">
    <w:p w14:paraId="1A92D951" w14:textId="73F3896F" w:rsidR="001C4E4D" w:rsidRDefault="001C4E4D">
      <w:pPr>
        <w:pStyle w:val="affb"/>
      </w:pPr>
      <w:r>
        <w:rPr>
          <w:rStyle w:val="affa"/>
        </w:rPr>
        <w:annotationRef/>
      </w:r>
      <w:r>
        <w:rPr>
          <w:rFonts w:hint="cs"/>
          <w:rtl/>
        </w:rPr>
        <w:t xml:space="preserve">كان يجب على الباحث ان يوضح ان تقنية الترميز لها بعدين </w:t>
      </w:r>
    </w:p>
  </w:comment>
  <w:comment w:id="76" w:author="A" w:date="2026-08-17T16:51:00Z" w:initials="K">
    <w:p w14:paraId="2675E6B6" w14:textId="2B961368" w:rsidR="00276F64" w:rsidRDefault="00276F64">
      <w:pPr>
        <w:pStyle w:val="affb"/>
      </w:pPr>
      <w:r>
        <w:rPr>
          <w:rStyle w:val="affa"/>
        </w:rPr>
        <w:annotationRef/>
      </w:r>
      <w:r>
        <w:rPr>
          <w:rFonts w:hint="cs"/>
          <w:rtl/>
        </w:rPr>
        <w:t xml:space="preserve">هناك تناقض واضح بين نموذج الدراسة ، حيث ان وفق نموذج الدراسة المرفق تحديد 4 ابعاد للمتغير المستقل وهي مختلفة عن هذه الابعاد </w:t>
      </w:r>
    </w:p>
  </w:comment>
  <w:comment w:id="78" w:author="A" w:date="2026-08-17T16:16:00Z" w:initials="K">
    <w:p w14:paraId="7F4E95C4" w14:textId="6F841D87" w:rsidR="003A688C" w:rsidRDefault="003A688C">
      <w:pPr>
        <w:pStyle w:val="affb"/>
      </w:pPr>
      <w:r>
        <w:rPr>
          <w:rStyle w:val="affa"/>
        </w:rPr>
        <w:annotationRef/>
      </w:r>
      <w:r>
        <w:rPr>
          <w:rFonts w:hint="cs"/>
          <w:rtl/>
        </w:rPr>
        <w:t xml:space="preserve">يجب على الباحث ان يحدد هل هي متغيرات ضابطة ام متغيرات وسيطة ، لان طريقة الاختبار سوف تختلف اذا كانت ضابطة أم وسيطة ، في النموذج ذكرها الباحث كمتغيرات وسيطة، وهذا يعتبر تناقض منهجي خطيرا جدا يؤثر بشكل مباشر على سلامة الجزء الاحصائي </w:t>
      </w:r>
    </w:p>
  </w:comment>
  <w:comment w:id="79" w:author="A" w:date="2026-08-17T16:52:00Z" w:initials="K">
    <w:p w14:paraId="37735679" w14:textId="0DC34B9D" w:rsidR="00276F64" w:rsidRDefault="00276F64">
      <w:pPr>
        <w:pStyle w:val="affb"/>
      </w:pPr>
      <w:r>
        <w:rPr>
          <w:rStyle w:val="affa"/>
        </w:rPr>
        <w:annotationRef/>
      </w:r>
      <w:r>
        <w:rPr>
          <w:rFonts w:hint="cs"/>
          <w:rtl/>
        </w:rPr>
        <w:t>النموذج الموجد في الشكل يختلف في ابعاد المتغير المستقل عن الفروض</w:t>
      </w:r>
    </w:p>
  </w:comment>
  <w:comment w:id="80" w:author="A" w:date="2026-08-17T16:18:00Z" w:initials="K">
    <w:p w14:paraId="470E9D66" w14:textId="77777777" w:rsidR="001C4E4D" w:rsidRDefault="001C4E4D">
      <w:pPr>
        <w:pStyle w:val="affb"/>
        <w:rPr>
          <w:rtl/>
        </w:rPr>
      </w:pPr>
      <w:r>
        <w:rPr>
          <w:rStyle w:val="affa"/>
        </w:rPr>
        <w:annotationRef/>
      </w:r>
      <w:r>
        <w:rPr>
          <w:rFonts w:hint="cs"/>
          <w:rtl/>
        </w:rPr>
        <w:t xml:space="preserve">أشار الباحث سابقا انه سوف يختبر علاقة وسيطة ، وهنا يقول ان الدراسة لم تختبر ا علاقة وسيطة ، لذا يجب على الباحث مراجعة ما كتبه سابقا وتوحيد المعلومات </w:t>
      </w:r>
    </w:p>
    <w:p w14:paraId="60EC59D0" w14:textId="13E099F7" w:rsidR="001C4E4D" w:rsidRDefault="001C4E4D">
      <w:pPr>
        <w:pStyle w:val="affb"/>
      </w:pPr>
      <w:r>
        <w:rPr>
          <w:rFonts w:hint="cs"/>
          <w:rtl/>
        </w:rPr>
        <w:t xml:space="preserve">اضف إلى ذلك يفضل ان يكون في رسائل الدكتوراه متغير وسيط </w:t>
      </w:r>
    </w:p>
  </w:comment>
  <w:comment w:id="89" w:author="A" w:date="2026-08-17T16:31:00Z" w:initials="K">
    <w:p w14:paraId="5A612950" w14:textId="3F52DE31" w:rsidR="00E1134E" w:rsidRDefault="00E1134E">
      <w:pPr>
        <w:pStyle w:val="affb"/>
      </w:pPr>
      <w:r>
        <w:rPr>
          <w:rStyle w:val="affa"/>
        </w:rPr>
        <w:annotationRef/>
      </w:r>
      <w:r>
        <w:rPr>
          <w:rFonts w:hint="cs"/>
          <w:rtl/>
        </w:rPr>
        <w:t xml:space="preserve">يجب ان يقسم إلى مباحث </w:t>
      </w:r>
    </w:p>
  </w:comment>
  <w:comment w:id="94" w:author="A" w:date="2026-08-17T16:31:00Z" w:initials="K">
    <w:p w14:paraId="6922E07B" w14:textId="046441F5" w:rsidR="00E1134E" w:rsidRDefault="00E1134E">
      <w:pPr>
        <w:pStyle w:val="affb"/>
      </w:pPr>
      <w:r>
        <w:rPr>
          <w:rStyle w:val="affa"/>
        </w:rPr>
        <w:annotationRef/>
      </w:r>
      <w:r>
        <w:rPr>
          <w:rFonts w:hint="cs"/>
          <w:rtl/>
        </w:rPr>
        <w:t xml:space="preserve">المبحث الأول : الامن السيبراني </w:t>
      </w:r>
    </w:p>
  </w:comment>
  <w:comment w:id="96" w:author="A" w:date="2026-08-17T16:27:00Z" w:initials="K">
    <w:p w14:paraId="6F3272E3" w14:textId="7D6E6FCA" w:rsidR="00DF6C9D" w:rsidRDefault="00DF6C9D">
      <w:pPr>
        <w:pStyle w:val="affb"/>
      </w:pPr>
      <w:r>
        <w:rPr>
          <w:rStyle w:val="affa"/>
        </w:rPr>
        <w:annotationRef/>
      </w:r>
    </w:p>
  </w:comment>
  <w:comment w:id="95" w:author="A" w:date="2026-08-17T16:27:00Z" w:initials="K">
    <w:p w14:paraId="11FA6F40" w14:textId="14A993AB" w:rsidR="00DF6C9D" w:rsidRDefault="00DF6C9D" w:rsidP="00DF6C9D">
      <w:pPr>
        <w:pStyle w:val="affb"/>
      </w:pPr>
      <w:r>
        <w:rPr>
          <w:rStyle w:val="affa"/>
        </w:rPr>
        <w:annotationRef/>
      </w:r>
      <w:r>
        <w:rPr>
          <w:rFonts w:hint="cs"/>
          <w:rtl/>
        </w:rPr>
        <w:t xml:space="preserve">هل هو منشور في مجلة ام </w:t>
      </w:r>
      <w:r w:rsidRPr="00DF6C9D">
        <w:t>FinTech Notes</w:t>
      </w:r>
      <w:r>
        <w:rPr>
          <w:rFonts w:hint="cs"/>
          <w:rtl/>
        </w:rPr>
        <w:t xml:space="preserve"> </w:t>
      </w:r>
    </w:p>
  </w:comment>
  <w:comment w:id="101" w:author="A" w:date="2026-08-17T16:38:00Z" w:initials="K">
    <w:p w14:paraId="16116726" w14:textId="16069F55" w:rsidR="001501E7" w:rsidRDefault="001501E7">
      <w:pPr>
        <w:pStyle w:val="affb"/>
      </w:pPr>
      <w:r>
        <w:rPr>
          <w:rStyle w:val="affa"/>
        </w:rPr>
        <w:annotationRef/>
      </w:r>
      <w:r>
        <w:rPr>
          <w:rFonts w:hint="cs"/>
          <w:rtl/>
        </w:rPr>
        <w:t>يجب ذكر المزيد من التفاصيل</w:t>
      </w:r>
    </w:p>
  </w:comment>
  <w:comment w:id="102" w:author="A" w:date="2026-08-17T16:37:00Z" w:initials="K">
    <w:p w14:paraId="198BEC21" w14:textId="36CA9DB8" w:rsidR="001501E7" w:rsidRDefault="001501E7">
      <w:pPr>
        <w:pStyle w:val="affb"/>
      </w:pPr>
      <w:r>
        <w:rPr>
          <w:rStyle w:val="affa"/>
        </w:rPr>
        <w:annotationRef/>
      </w:r>
      <w:r>
        <w:rPr>
          <w:rFonts w:hint="cs"/>
          <w:rtl/>
        </w:rPr>
        <w:t xml:space="preserve">يجب الحديث بتفصل اكثر , ايضاع معنى توازن القوى </w:t>
      </w:r>
    </w:p>
  </w:comment>
  <w:comment w:id="103" w:author="A" w:date="2026-08-17T16:25:00Z" w:initials="K">
    <w:p w14:paraId="7E409E45" w14:textId="40D96632" w:rsidR="00DF6C9D" w:rsidRDefault="00DF6C9D">
      <w:pPr>
        <w:pStyle w:val="affb"/>
      </w:pPr>
      <w:r>
        <w:rPr>
          <w:rStyle w:val="affa"/>
        </w:rPr>
        <w:annotationRef/>
      </w:r>
      <w:r>
        <w:rPr>
          <w:rFonts w:hint="cs"/>
          <w:rtl/>
        </w:rPr>
        <w:t xml:space="preserve">هذا مرجع غير مقبول اكاديما ، كيف يعقل ان توثق بدون ذكر أسماء الباحثين </w:t>
      </w:r>
    </w:p>
  </w:comment>
  <w:comment w:id="110" w:author="A" w:date="2026-08-17T16:41:00Z" w:initials="K">
    <w:p w14:paraId="171B2AE4" w14:textId="66B83598" w:rsidR="001501E7" w:rsidRDefault="001501E7">
      <w:pPr>
        <w:pStyle w:val="affb"/>
      </w:pPr>
      <w:r>
        <w:rPr>
          <w:rStyle w:val="affa"/>
        </w:rPr>
        <w:annotationRef/>
      </w:r>
      <w:r>
        <w:rPr>
          <w:rFonts w:hint="cs"/>
          <w:rtl/>
        </w:rPr>
        <w:t>حذف موقعها في الفصل الاول</w:t>
      </w:r>
    </w:p>
  </w:comment>
  <w:comment w:id="115" w:author="A" w:date="2026-08-17T16:55:00Z" w:initials="K">
    <w:p w14:paraId="159B1AFC" w14:textId="1BF05F29" w:rsidR="00276F64" w:rsidRDefault="00276F64">
      <w:pPr>
        <w:pStyle w:val="affb"/>
      </w:pPr>
      <w:r>
        <w:rPr>
          <w:rStyle w:val="affa"/>
        </w:rPr>
        <w:annotationRef/>
      </w:r>
      <w:r>
        <w:rPr>
          <w:rFonts w:hint="cs"/>
          <w:rtl/>
        </w:rPr>
        <w:t xml:space="preserve">تناقض مع الفروض، وتناقض مع النموذج ، الباحث ادرح الامتثال كاحد ابعاد المتغير ، وفي النموذج ادرح 4 ابعاد، وفي الفروض تحدث عن  الامتثال ، ما هذا التناقض الغريب </w:t>
      </w:r>
    </w:p>
  </w:comment>
  <w:comment w:id="116" w:author="A" w:date="2026-08-17T16:56:00Z" w:initials="K">
    <w:p w14:paraId="6F7F6D5A" w14:textId="516734C8" w:rsidR="00276F64" w:rsidRDefault="00276F64">
      <w:pPr>
        <w:pStyle w:val="affb"/>
      </w:pPr>
      <w:r>
        <w:rPr>
          <w:rStyle w:val="affa"/>
        </w:rPr>
        <w:annotationRef/>
      </w:r>
      <w:r>
        <w:rPr>
          <w:rFonts w:hint="cs"/>
          <w:rtl/>
        </w:rPr>
        <w:t xml:space="preserve">الامتثال ، ماذا يمثل هنا ، هل و احد ابعاد المتغير التابع، ام المستقل </w:t>
      </w:r>
    </w:p>
  </w:comment>
  <w:comment w:id="118" w:author="A" w:date="2026-08-17T16:59:00Z" w:initials="K">
    <w:p w14:paraId="3FD4B56D" w14:textId="0C78C4E2" w:rsidR="00380C94" w:rsidRDefault="00380C94">
      <w:pPr>
        <w:pStyle w:val="affb"/>
      </w:pPr>
      <w:r>
        <w:rPr>
          <w:rStyle w:val="affa"/>
        </w:rPr>
        <w:annotationRef/>
      </w:r>
      <w:r>
        <w:rPr>
          <w:rFonts w:hint="cs"/>
          <w:rtl/>
        </w:rPr>
        <w:t>هل المقصود هنا بالامتثال التنظيمي ام الامتثال للمعاير الدولية الخاصة بالترميز</w:t>
      </w:r>
    </w:p>
  </w:comment>
  <w:comment w:id="117" w:author="A" w:date="2026-08-17T16:57:00Z" w:initials="K">
    <w:p w14:paraId="7F60AF73" w14:textId="3133191B" w:rsidR="00276F64" w:rsidRDefault="00276F64">
      <w:pPr>
        <w:pStyle w:val="affb"/>
      </w:pPr>
      <w:r>
        <w:rPr>
          <w:rStyle w:val="affa"/>
        </w:rPr>
        <w:annotationRef/>
      </w:r>
      <w:r>
        <w:rPr>
          <w:rFonts w:hint="cs"/>
          <w:rtl/>
        </w:rPr>
        <w:t>كيف يكون الامتثال متغير تابع ، وهو الفروض متغير مستقل</w:t>
      </w:r>
    </w:p>
  </w:comment>
  <w:comment w:id="119" w:author="A" w:date="2026-08-17T16:55:00Z" w:initials="K">
    <w:p w14:paraId="183889FF" w14:textId="2124F98B" w:rsidR="00276F64" w:rsidRDefault="00276F64">
      <w:pPr>
        <w:pStyle w:val="affb"/>
      </w:pPr>
      <w:r>
        <w:rPr>
          <w:rStyle w:val="affa"/>
        </w:rPr>
        <w:annotationRef/>
      </w:r>
      <w:r>
        <w:rPr>
          <w:rFonts w:hint="cs"/>
          <w:rtl/>
        </w:rPr>
        <w:t xml:space="preserve">هذا لم يدرج ضمن الفروض ، وتحدث الباحث سابقا ان الدراسة لا يوجد بها متغير معدل </w:t>
      </w:r>
    </w:p>
  </w:comment>
  <w:comment w:id="120" w:author="A" w:date="2026-08-17T17:00:00Z" w:initials="K">
    <w:p w14:paraId="1025C4D5" w14:textId="1F318316" w:rsidR="00380C94" w:rsidRDefault="00380C94">
      <w:pPr>
        <w:pStyle w:val="affb"/>
      </w:pPr>
      <w:r>
        <w:rPr>
          <w:rStyle w:val="affa"/>
        </w:rPr>
        <w:annotationRef/>
      </w:r>
      <w:r>
        <w:rPr>
          <w:rFonts w:hint="cs"/>
          <w:rtl/>
        </w:rPr>
        <w:t>ما علاقة الامتثال التنظيمي بالترميز ليكون احد الابعاد</w:t>
      </w:r>
    </w:p>
  </w:comment>
  <w:comment w:id="129" w:author="A" w:date="2026-08-17T17:04:00Z" w:initials="K">
    <w:p w14:paraId="307C233E" w14:textId="1A26D445" w:rsidR="00380C94" w:rsidRDefault="00380C94" w:rsidP="00380C94">
      <w:pPr>
        <w:pStyle w:val="affb"/>
        <w:bidi/>
        <w:rPr>
          <w:rtl/>
        </w:rPr>
      </w:pPr>
      <w:r>
        <w:rPr>
          <w:rStyle w:val="affa"/>
        </w:rPr>
        <w:annotationRef/>
      </w:r>
      <w:r>
        <w:rPr>
          <w:rFonts w:hint="cs"/>
          <w:rtl/>
        </w:rPr>
        <w:t xml:space="preserve">هناك تناقض واضح  في متغيرات الدراسة </w:t>
      </w:r>
    </w:p>
    <w:p w14:paraId="00482EF6" w14:textId="77777777" w:rsidR="00380C94" w:rsidRPr="00380C94" w:rsidRDefault="00380C94" w:rsidP="00380C94">
      <w:pPr>
        <w:pStyle w:val="affb"/>
        <w:bidi/>
        <w:rPr>
          <w:lang/>
        </w:rPr>
      </w:pPr>
      <w:r w:rsidRPr="00380C94">
        <w:rPr>
          <w:rtl/>
        </w:rPr>
        <w:t xml:space="preserve">أي أن هناك </w:t>
      </w:r>
      <w:r w:rsidRPr="00380C94">
        <w:rPr>
          <w:b/>
          <w:bCs/>
          <w:rtl/>
        </w:rPr>
        <w:t>ثلاثة تصنيفات مختلفة تقريبًا للمتغيرات</w:t>
      </w:r>
      <w:r w:rsidRPr="00380C94">
        <w:rPr>
          <w:lang/>
        </w:rPr>
        <w:t>:</w:t>
      </w:r>
    </w:p>
    <w:p w14:paraId="6C3E48CA" w14:textId="77777777" w:rsidR="00380C94" w:rsidRPr="00380C94" w:rsidRDefault="00380C94" w:rsidP="00380C94">
      <w:pPr>
        <w:pStyle w:val="affb"/>
        <w:numPr>
          <w:ilvl w:val="0"/>
          <w:numId w:val="49"/>
        </w:numPr>
        <w:bidi/>
        <w:rPr>
          <w:b/>
          <w:bCs/>
          <w:lang/>
        </w:rPr>
      </w:pPr>
      <w:r w:rsidRPr="00380C94">
        <w:rPr>
          <w:b/>
          <w:bCs/>
          <w:rtl/>
        </w:rPr>
        <w:t>التصنيف الأول — الفصل الأول</w:t>
      </w:r>
    </w:p>
    <w:p w14:paraId="2C7B5AC8" w14:textId="77777777" w:rsidR="00380C94" w:rsidRPr="00380C94" w:rsidRDefault="00380C94" w:rsidP="00380C94">
      <w:pPr>
        <w:pStyle w:val="affb"/>
        <w:bidi/>
        <w:rPr>
          <w:lang/>
        </w:rPr>
      </w:pPr>
      <w:r w:rsidRPr="00380C94">
        <w:rPr>
          <w:rtl/>
        </w:rPr>
        <w:t>تطبيق الترميز → أمن سيبراني + كفاءة مالية</w:t>
      </w:r>
      <w:r w:rsidRPr="00380C94">
        <w:rPr>
          <w:lang/>
        </w:rPr>
        <w:t>.</w:t>
      </w:r>
    </w:p>
    <w:p w14:paraId="13567404" w14:textId="77777777" w:rsidR="00380C94" w:rsidRPr="00380C94" w:rsidRDefault="00380C94" w:rsidP="00380C94">
      <w:pPr>
        <w:pStyle w:val="affb"/>
        <w:numPr>
          <w:ilvl w:val="0"/>
          <w:numId w:val="49"/>
        </w:numPr>
        <w:bidi/>
        <w:rPr>
          <w:b/>
          <w:bCs/>
          <w:lang/>
        </w:rPr>
      </w:pPr>
      <w:r w:rsidRPr="00380C94">
        <w:rPr>
          <w:b/>
          <w:bCs/>
          <w:rtl/>
        </w:rPr>
        <w:t>التصنيف الثاني — الفصل الثالث</w:t>
      </w:r>
    </w:p>
    <w:p w14:paraId="76AD6A42" w14:textId="77777777" w:rsidR="00380C94" w:rsidRPr="00380C94" w:rsidRDefault="00380C94" w:rsidP="00380C94">
      <w:pPr>
        <w:pStyle w:val="affb"/>
        <w:bidi/>
        <w:rPr>
          <w:lang/>
        </w:rPr>
      </w:pPr>
      <w:r w:rsidRPr="00380C94">
        <w:rPr>
          <w:rtl/>
        </w:rPr>
        <w:t>تطبيق الترميز + الأمن السيبراني + الكفاءة + الامتثال التنظيمي + تحديات التطبيق</w:t>
      </w:r>
      <w:r w:rsidRPr="00380C94">
        <w:rPr>
          <w:lang/>
        </w:rPr>
        <w:t>.</w:t>
      </w:r>
    </w:p>
    <w:p w14:paraId="75D257A4" w14:textId="77777777" w:rsidR="00380C94" w:rsidRPr="00380C94" w:rsidRDefault="00380C94" w:rsidP="00380C94">
      <w:pPr>
        <w:pStyle w:val="affb"/>
        <w:numPr>
          <w:ilvl w:val="0"/>
          <w:numId w:val="49"/>
        </w:numPr>
        <w:bidi/>
        <w:rPr>
          <w:b/>
          <w:bCs/>
          <w:lang/>
        </w:rPr>
      </w:pPr>
      <w:r w:rsidRPr="00380C94">
        <w:rPr>
          <w:b/>
          <w:bCs/>
          <w:rtl/>
        </w:rPr>
        <w:t>التصنيف الثالث — الفصل الرابع</w:t>
      </w:r>
    </w:p>
    <w:p w14:paraId="21791D8D" w14:textId="77777777" w:rsidR="00380C94" w:rsidRPr="00380C94" w:rsidRDefault="00380C94" w:rsidP="00380C94">
      <w:pPr>
        <w:pStyle w:val="affb"/>
        <w:bidi/>
        <w:rPr>
          <w:lang/>
        </w:rPr>
      </w:pPr>
      <w:r w:rsidRPr="00380C94">
        <w:rPr>
          <w:rtl/>
        </w:rPr>
        <w:t>الترميز الأمني + الامتثال الدولي + الكفاءة + الأمن السيبراني + رؤية 2030</w:t>
      </w:r>
      <w:r w:rsidRPr="00380C94">
        <w:rPr>
          <w:lang/>
        </w:rPr>
        <w:t>.</w:t>
      </w:r>
    </w:p>
    <w:p w14:paraId="497E9AE3" w14:textId="6D9BA4F5" w:rsidR="00380C94" w:rsidRPr="00380C94" w:rsidRDefault="00380C94">
      <w:pPr>
        <w:pStyle w:val="affb"/>
        <w:rPr>
          <w:lang/>
        </w:rPr>
      </w:pPr>
    </w:p>
  </w:comment>
  <w:comment w:id="132" w:author="A" w:date="2026-08-17T17:08:00Z" w:initials="K">
    <w:p w14:paraId="5957EBAE" w14:textId="6075D03D" w:rsidR="002151A4" w:rsidRDefault="002151A4">
      <w:pPr>
        <w:pStyle w:val="affb"/>
      </w:pPr>
      <w:r>
        <w:rPr>
          <w:rStyle w:val="affa"/>
        </w:rPr>
        <w:annotationRef/>
      </w:r>
      <w:r>
        <w:rPr>
          <w:rFonts w:hint="cs"/>
          <w:rtl/>
        </w:rPr>
        <w:t xml:space="preserve">هذه الفقرات لا تقيس الترميز الأمني، فهي تخلط بين الترميز والامتثال ، والامتثال له بعد خاص به </w:t>
      </w:r>
    </w:p>
  </w:comment>
  <w:comment w:id="133" w:author="A" w:date="2026-08-17T17:10:00Z" w:initials="K">
    <w:p w14:paraId="37491EF1" w14:textId="77777777" w:rsidR="002151A4" w:rsidRDefault="002151A4">
      <w:pPr>
        <w:pStyle w:val="affb"/>
        <w:rPr>
          <w:rFonts w:cs="Arial"/>
          <w:rtl/>
        </w:rPr>
      </w:pPr>
      <w:r>
        <w:rPr>
          <w:rStyle w:val="affa"/>
        </w:rPr>
        <w:annotationRef/>
      </w:r>
      <w:r w:rsidRPr="002151A4">
        <w:rPr>
          <w:rFonts w:cs="Arial"/>
          <w:rtl/>
        </w:rPr>
        <w:t>هل الامتثال التنظيمي متغير تابع؟ أم بُعد من تطبيق الترميز؟ أم متغير وسيط؟</w:t>
      </w:r>
    </w:p>
    <w:p w14:paraId="22C2AE72" w14:textId="380F1BB8" w:rsidR="002151A4" w:rsidRDefault="002151A4">
      <w:pPr>
        <w:pStyle w:val="affb"/>
      </w:pPr>
      <w:r>
        <w:rPr>
          <w:rFonts w:cs="Arial" w:hint="cs"/>
          <w:rtl/>
        </w:rPr>
        <w:t xml:space="preserve">هل هذه الفقرات تقيس الامتال للمعاير الدولية، ام الامتثال التنظيمي ، هنا يوجد خلط لدى الباحث </w:t>
      </w:r>
    </w:p>
  </w:comment>
  <w:comment w:id="134" w:author="A" w:date="2026-08-17T17:14:00Z" w:initials="K">
    <w:p w14:paraId="646084B1" w14:textId="061AC2EF" w:rsidR="002151A4" w:rsidRDefault="002151A4">
      <w:pPr>
        <w:pStyle w:val="affb"/>
      </w:pPr>
      <w:r>
        <w:rPr>
          <w:rStyle w:val="affa"/>
        </w:rPr>
        <w:annotationRef/>
      </w:r>
      <w:r>
        <w:rPr>
          <w:rFonts w:hint="cs"/>
          <w:rtl/>
        </w:rPr>
        <w:t xml:space="preserve">هذه الفقرات تقيس الترميز وليس الامن السيبراني </w:t>
      </w:r>
    </w:p>
  </w:comment>
  <w:comment w:id="135" w:author="A" w:date="2026-08-17T17:13:00Z" w:initials="K">
    <w:p w14:paraId="36A73038" w14:textId="4DDAF370" w:rsidR="002151A4" w:rsidRDefault="002151A4">
      <w:pPr>
        <w:pStyle w:val="affb"/>
      </w:pPr>
      <w:r>
        <w:rPr>
          <w:rStyle w:val="affa"/>
        </w:rPr>
        <w:annotationRef/>
      </w:r>
      <w:r>
        <w:rPr>
          <w:rFonts w:hint="cs"/>
          <w:rtl/>
        </w:rPr>
        <w:t xml:space="preserve">هذه الفقرة لها علاقة بالترميز وليس بالامن السيبراني </w:t>
      </w:r>
    </w:p>
  </w:comment>
  <w:comment w:id="136" w:author="A" w:date="2026-08-17T17:14:00Z" w:initials="K">
    <w:p w14:paraId="63B9E9D3" w14:textId="6D72B396" w:rsidR="002151A4" w:rsidRDefault="002151A4">
      <w:pPr>
        <w:pStyle w:val="affb"/>
      </w:pPr>
      <w:r>
        <w:rPr>
          <w:rStyle w:val="affa"/>
        </w:rPr>
        <w:annotationRef/>
      </w:r>
      <w:r>
        <w:rPr>
          <w:rFonts w:hint="cs"/>
          <w:rtl/>
        </w:rPr>
        <w:t xml:space="preserve">مرة أخرى ترميز </w:t>
      </w:r>
    </w:p>
  </w:comment>
  <w:comment w:id="146" w:author="A" w:date="2026-08-17T16:23:00Z" w:initials="K">
    <w:p w14:paraId="0699DCDB" w14:textId="733974BE" w:rsidR="00DF6C9D" w:rsidRDefault="00DF6C9D">
      <w:pPr>
        <w:pStyle w:val="affb"/>
      </w:pPr>
      <w:r>
        <w:rPr>
          <w:rStyle w:val="affa"/>
        </w:rPr>
        <w:annotationRef/>
      </w:r>
      <w:r>
        <w:rPr>
          <w:rFonts w:hint="cs"/>
          <w:rtl/>
        </w:rPr>
        <w:t xml:space="preserve">هل من المنطق ان تكون رسالة دكتورا فقط بها  22 مرجع ، هذا غير كافي ويدل على عدم اطلاع الباحث الكافي على موضوع الدراسة وعدم استعانة بمراجع لتعزيز البحث وخاصة ان 9 مراجع من اصل 22 هي عبارة عن تقارير ، بمعنى ان الباحث استند فقط على 12 دراسة لبناء رسالة دكتوراه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6286A1" w15:done="0"/>
  <w15:commentEx w15:paraId="6061D203" w15:done="0"/>
  <w15:commentEx w15:paraId="2A7F46AA" w15:done="0"/>
  <w15:commentEx w15:paraId="0BADD909" w15:done="0"/>
  <w15:commentEx w15:paraId="484F7DE8" w15:done="0"/>
  <w15:commentEx w15:paraId="22D58EC4" w15:done="0"/>
  <w15:commentEx w15:paraId="6C314A6E" w15:done="0"/>
  <w15:commentEx w15:paraId="207D5E47" w15:done="0"/>
  <w15:commentEx w15:paraId="0B028107" w15:done="0"/>
  <w15:commentEx w15:paraId="2774839B" w15:done="0"/>
  <w15:commentEx w15:paraId="72B25ED5" w15:done="0"/>
  <w15:commentEx w15:paraId="575D9BD0" w15:done="0"/>
  <w15:commentEx w15:paraId="3A31091F" w15:done="0"/>
  <w15:commentEx w15:paraId="6CB3580C" w15:done="0"/>
  <w15:commentEx w15:paraId="1EA7BE3B" w15:done="0"/>
  <w15:commentEx w15:paraId="4CDFC3BB" w15:done="0"/>
  <w15:commentEx w15:paraId="26FAD6E2" w15:done="0"/>
  <w15:commentEx w15:paraId="69E0F881" w15:done="0"/>
  <w15:commentEx w15:paraId="24998910" w15:done="0"/>
  <w15:commentEx w15:paraId="1AADDB50" w15:done="0"/>
  <w15:commentEx w15:paraId="05983AF7" w15:done="0"/>
  <w15:commentEx w15:paraId="5B613455" w15:done="0"/>
  <w15:commentEx w15:paraId="36310E73" w15:done="0"/>
  <w15:commentEx w15:paraId="35010530" w15:done="0"/>
  <w15:commentEx w15:paraId="50E4ADE8" w15:done="0"/>
  <w15:commentEx w15:paraId="675AE72B" w15:done="0"/>
  <w15:commentEx w15:paraId="1AAE74C0" w15:done="0"/>
  <w15:commentEx w15:paraId="72333FA7" w15:done="0"/>
  <w15:commentEx w15:paraId="627ADEED" w15:done="0"/>
  <w15:commentEx w15:paraId="48F9F59B" w15:done="0"/>
  <w15:commentEx w15:paraId="7A33C498" w15:done="0"/>
  <w15:commentEx w15:paraId="1100EEBB" w15:done="0"/>
  <w15:commentEx w15:paraId="50AF415C" w15:done="0"/>
  <w15:commentEx w15:paraId="28B95C1A" w15:done="0"/>
  <w15:commentEx w15:paraId="17F8CA91" w15:done="0"/>
  <w15:commentEx w15:paraId="1A92D951" w15:done="0"/>
  <w15:commentEx w15:paraId="2675E6B6" w15:done="0"/>
  <w15:commentEx w15:paraId="7F4E95C4" w15:done="0"/>
  <w15:commentEx w15:paraId="37735679" w15:done="0"/>
  <w15:commentEx w15:paraId="60EC59D0" w15:done="0"/>
  <w15:commentEx w15:paraId="5A612950" w15:done="0"/>
  <w15:commentEx w15:paraId="6922E07B" w15:done="0"/>
  <w15:commentEx w15:paraId="6F3272E3" w15:done="0"/>
  <w15:commentEx w15:paraId="11FA6F40" w15:done="0"/>
  <w15:commentEx w15:paraId="16116726" w15:done="0"/>
  <w15:commentEx w15:paraId="198BEC21" w15:done="0"/>
  <w15:commentEx w15:paraId="7E409E45" w15:done="0"/>
  <w15:commentEx w15:paraId="171B2AE4" w15:done="0"/>
  <w15:commentEx w15:paraId="159B1AFC" w15:done="0"/>
  <w15:commentEx w15:paraId="6F7F6D5A" w15:done="0"/>
  <w15:commentEx w15:paraId="3FD4B56D" w15:done="0"/>
  <w15:commentEx w15:paraId="7F60AF73" w15:done="0"/>
  <w15:commentEx w15:paraId="183889FF" w15:done="0"/>
  <w15:commentEx w15:paraId="1025C4D5" w15:done="0"/>
  <w15:commentEx w15:paraId="497E9AE3" w15:done="0"/>
  <w15:commentEx w15:paraId="5957EBAE" w15:done="0"/>
  <w15:commentEx w15:paraId="22C2AE72" w15:done="0"/>
  <w15:commentEx w15:paraId="646084B1" w15:done="0"/>
  <w15:commentEx w15:paraId="36A73038" w15:done="0"/>
  <w15:commentEx w15:paraId="63B9E9D3" w15:done="0"/>
  <w15:commentEx w15:paraId="0699DC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C22F00" w16cex:dateUtc="2026-08-17T12:03:00Z"/>
  <w16cex:commentExtensible w16cex:durableId="70C48B3C" w16cex:dateUtc="2026-08-17T12:22:00Z"/>
  <w16cex:commentExtensible w16cex:durableId="4B430498" w16cex:dateUtc="2026-08-17T12:21:00Z"/>
  <w16cex:commentExtensible w16cex:durableId="3F28ECB1" w16cex:dateUtc="2026-08-17T11:49:00Z"/>
  <w16cex:commentExtensible w16cex:durableId="51BE96BF" w16cex:dateUtc="2026-08-17T11:52:00Z"/>
  <w16cex:commentExtensible w16cex:durableId="3B32EF99" w16cex:dateUtc="2026-08-17T11:52:00Z"/>
  <w16cex:commentExtensible w16cex:durableId="785AAF67" w16cex:dateUtc="2026-08-17T11:53:00Z"/>
  <w16cex:commentExtensible w16cex:durableId="6EA04587" w16cex:dateUtc="2026-08-17T11:54:00Z"/>
  <w16cex:commentExtensible w16cex:durableId="3EDE9AD2" w16cex:dateUtc="2026-08-17T11:54:00Z"/>
  <w16cex:commentExtensible w16cex:durableId="6745B825" w16cex:dateUtc="2026-08-17T11:55:00Z"/>
  <w16cex:commentExtensible w16cex:durableId="6D42E62C" w16cex:dateUtc="2026-08-17T11:55:00Z"/>
  <w16cex:commentExtensible w16cex:durableId="4DC5AECE" w16cex:dateUtc="2026-08-17T11:58:00Z"/>
  <w16cex:commentExtensible w16cex:durableId="0EBE062B" w16cex:dateUtc="2026-08-17T11:59:00Z"/>
  <w16cex:commentExtensible w16cex:durableId="759D37F5" w16cex:dateUtc="2026-08-17T12:02:00Z"/>
  <w16cex:commentExtensible w16cex:durableId="09068F0B" w16cex:dateUtc="2026-08-17T12:00:00Z"/>
  <w16cex:commentExtensible w16cex:durableId="21AF7F58" w16cex:dateUtc="2026-08-17T12:00:00Z"/>
  <w16cex:commentExtensible w16cex:durableId="504A88F2" w16cex:dateUtc="2026-08-17T12:01:00Z"/>
  <w16cex:commentExtensible w16cex:durableId="46AF5DD9" w16cex:dateUtc="2026-08-17T12:02:00Z"/>
  <w16cex:commentExtensible w16cex:durableId="650BAC47" w16cex:dateUtc="2026-08-17T12:02:00Z"/>
  <w16cex:commentExtensible w16cex:durableId="415F687D" w16cex:dateUtc="2026-08-17T12:03:00Z"/>
  <w16cex:commentExtensible w16cex:durableId="2090B11C" w16cex:dateUtc="2026-08-17T12:04:00Z"/>
  <w16cex:commentExtensible w16cex:durableId="0379A775" w16cex:dateUtc="2026-08-17T12:04:00Z"/>
  <w16cex:commentExtensible w16cex:durableId="223B0CD3" w16cex:dateUtc="2026-08-17T12:05:00Z"/>
  <w16cex:commentExtensible w16cex:durableId="1D0D740C" w16cex:dateUtc="2026-08-17T12:06:00Z"/>
  <w16cex:commentExtensible w16cex:durableId="631BE9EE" w16cex:dateUtc="2026-08-17T12:06:00Z"/>
  <w16cex:commentExtensible w16cex:durableId="19BD113B" w16cex:dateUtc="2026-08-17T12:07:00Z"/>
  <w16cex:commentExtensible w16cex:durableId="024C29A4" w16cex:dateUtc="2026-08-17T12:07:00Z"/>
  <w16cex:commentExtensible w16cex:durableId="50AF674B" w16cex:dateUtc="2026-08-17T12:10:00Z"/>
  <w16cex:commentExtensible w16cex:durableId="617F06EE" w16cex:dateUtc="2026-08-17T12:11:00Z"/>
  <w16cex:commentExtensible w16cex:durableId="6B1D7B89" w16cex:dateUtc="2026-08-17T12:08:00Z"/>
  <w16cex:commentExtensible w16cex:durableId="67F872E8" w16cex:dateUtc="2026-08-17T12:08:00Z"/>
  <w16cex:commentExtensible w16cex:durableId="229A445E" w16cex:dateUtc="2026-08-17T12:50:00Z"/>
  <w16cex:commentExtensible w16cex:durableId="53BBA2ED" w16cex:dateUtc="2026-08-17T12:12:00Z"/>
  <w16cex:commentExtensible w16cex:durableId="1A44BF09" w16cex:dateUtc="2026-08-17T12:13:00Z"/>
  <w16cex:commentExtensible w16cex:durableId="23F8C15E" w16cex:dateUtc="2026-08-17T12:15:00Z"/>
  <w16cex:commentExtensible w16cex:durableId="10CD0AC2" w16cex:dateUtc="2026-08-17T12:18:00Z"/>
  <w16cex:commentExtensible w16cex:durableId="2BE5FF3F" w16cex:dateUtc="2026-08-17T12:51:00Z"/>
  <w16cex:commentExtensible w16cex:durableId="460860EA" w16cex:dateUtc="2026-08-17T12:16:00Z"/>
  <w16cex:commentExtensible w16cex:durableId="4019FC51" w16cex:dateUtc="2026-08-17T12:52:00Z"/>
  <w16cex:commentExtensible w16cex:durableId="3E458251" w16cex:dateUtc="2026-08-17T12:18:00Z"/>
  <w16cex:commentExtensible w16cex:durableId="4B31C1E2" w16cex:dateUtc="2026-08-17T12:31:00Z"/>
  <w16cex:commentExtensible w16cex:durableId="29FE84A1" w16cex:dateUtc="2026-08-17T12:31:00Z"/>
  <w16cex:commentExtensible w16cex:durableId="1B7BA8B0" w16cex:dateUtc="2026-08-17T12:27:00Z"/>
  <w16cex:commentExtensible w16cex:durableId="69923BE7" w16cex:dateUtc="2026-08-17T12:27:00Z"/>
  <w16cex:commentExtensible w16cex:durableId="61D5FAE8" w16cex:dateUtc="2026-08-17T12:38:00Z"/>
  <w16cex:commentExtensible w16cex:durableId="6C0F1153" w16cex:dateUtc="2026-08-17T12:37:00Z"/>
  <w16cex:commentExtensible w16cex:durableId="6DB924EF" w16cex:dateUtc="2026-08-17T12:25:00Z"/>
  <w16cex:commentExtensible w16cex:durableId="21A9E7BA" w16cex:dateUtc="2026-08-17T12:41:00Z"/>
  <w16cex:commentExtensible w16cex:durableId="49E2D8D8" w16cex:dateUtc="2026-08-17T12:55:00Z"/>
  <w16cex:commentExtensible w16cex:durableId="157968C5" w16cex:dateUtc="2026-08-17T12:56:00Z"/>
  <w16cex:commentExtensible w16cex:durableId="1154F2FC" w16cex:dateUtc="2026-08-17T12:59:00Z"/>
  <w16cex:commentExtensible w16cex:durableId="5630BF48" w16cex:dateUtc="2026-08-17T12:57:00Z"/>
  <w16cex:commentExtensible w16cex:durableId="44642066" w16cex:dateUtc="2026-08-17T12:55:00Z"/>
  <w16cex:commentExtensible w16cex:durableId="0EAB223D" w16cex:dateUtc="2026-08-17T13:00:00Z"/>
  <w16cex:commentExtensible w16cex:durableId="782CD596" w16cex:dateUtc="2026-08-17T13:04:00Z"/>
  <w16cex:commentExtensible w16cex:durableId="2D6488C4" w16cex:dateUtc="2026-08-17T13:08:00Z"/>
  <w16cex:commentExtensible w16cex:durableId="0EAE9D06" w16cex:dateUtc="2026-08-17T13:10:00Z"/>
  <w16cex:commentExtensible w16cex:durableId="0F248DCD" w16cex:dateUtc="2026-08-17T13:14:00Z"/>
  <w16cex:commentExtensible w16cex:durableId="1AB287C6" w16cex:dateUtc="2026-08-17T13:13:00Z"/>
  <w16cex:commentExtensible w16cex:durableId="0C0F382C" w16cex:dateUtc="2026-08-17T13:14:00Z"/>
  <w16cex:commentExtensible w16cex:durableId="51EA8C4D" w16cex:dateUtc="2026-08-17T12: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6286A1" w16cid:durableId="2AC22F00"/>
  <w16cid:commentId w16cid:paraId="6061D203" w16cid:durableId="70C48B3C"/>
  <w16cid:commentId w16cid:paraId="2A7F46AA" w16cid:durableId="4B430498"/>
  <w16cid:commentId w16cid:paraId="0BADD909" w16cid:durableId="3F28ECB1"/>
  <w16cid:commentId w16cid:paraId="484F7DE8" w16cid:durableId="51BE96BF"/>
  <w16cid:commentId w16cid:paraId="22D58EC4" w16cid:durableId="3B32EF99"/>
  <w16cid:commentId w16cid:paraId="6C314A6E" w16cid:durableId="785AAF67"/>
  <w16cid:commentId w16cid:paraId="207D5E47" w16cid:durableId="6EA04587"/>
  <w16cid:commentId w16cid:paraId="0B028107" w16cid:durableId="3EDE9AD2"/>
  <w16cid:commentId w16cid:paraId="2774839B" w16cid:durableId="6745B825"/>
  <w16cid:commentId w16cid:paraId="72B25ED5" w16cid:durableId="6D42E62C"/>
  <w16cid:commentId w16cid:paraId="575D9BD0" w16cid:durableId="4DC5AECE"/>
  <w16cid:commentId w16cid:paraId="3A31091F" w16cid:durableId="0EBE062B"/>
  <w16cid:commentId w16cid:paraId="6CB3580C" w16cid:durableId="759D37F5"/>
  <w16cid:commentId w16cid:paraId="1EA7BE3B" w16cid:durableId="09068F0B"/>
  <w16cid:commentId w16cid:paraId="4CDFC3BB" w16cid:durableId="21AF7F58"/>
  <w16cid:commentId w16cid:paraId="26FAD6E2" w16cid:durableId="504A88F2"/>
  <w16cid:commentId w16cid:paraId="69E0F881" w16cid:durableId="46AF5DD9"/>
  <w16cid:commentId w16cid:paraId="24998910" w16cid:durableId="650BAC47"/>
  <w16cid:commentId w16cid:paraId="1AADDB50" w16cid:durableId="415F687D"/>
  <w16cid:commentId w16cid:paraId="05983AF7" w16cid:durableId="2090B11C"/>
  <w16cid:commentId w16cid:paraId="5B613455" w16cid:durableId="0379A775"/>
  <w16cid:commentId w16cid:paraId="36310E73" w16cid:durableId="223B0CD3"/>
  <w16cid:commentId w16cid:paraId="35010530" w16cid:durableId="1D0D740C"/>
  <w16cid:commentId w16cid:paraId="50E4ADE8" w16cid:durableId="631BE9EE"/>
  <w16cid:commentId w16cid:paraId="675AE72B" w16cid:durableId="19BD113B"/>
  <w16cid:commentId w16cid:paraId="1AAE74C0" w16cid:durableId="024C29A4"/>
  <w16cid:commentId w16cid:paraId="72333FA7" w16cid:durableId="50AF674B"/>
  <w16cid:commentId w16cid:paraId="627ADEED" w16cid:durableId="617F06EE"/>
  <w16cid:commentId w16cid:paraId="48F9F59B" w16cid:durableId="6B1D7B89"/>
  <w16cid:commentId w16cid:paraId="7A33C498" w16cid:durableId="67F872E8"/>
  <w16cid:commentId w16cid:paraId="1100EEBB" w16cid:durableId="229A445E"/>
  <w16cid:commentId w16cid:paraId="50AF415C" w16cid:durableId="53BBA2ED"/>
  <w16cid:commentId w16cid:paraId="28B95C1A" w16cid:durableId="1A44BF09"/>
  <w16cid:commentId w16cid:paraId="17F8CA91" w16cid:durableId="23F8C15E"/>
  <w16cid:commentId w16cid:paraId="1A92D951" w16cid:durableId="10CD0AC2"/>
  <w16cid:commentId w16cid:paraId="2675E6B6" w16cid:durableId="2BE5FF3F"/>
  <w16cid:commentId w16cid:paraId="7F4E95C4" w16cid:durableId="460860EA"/>
  <w16cid:commentId w16cid:paraId="37735679" w16cid:durableId="4019FC51"/>
  <w16cid:commentId w16cid:paraId="60EC59D0" w16cid:durableId="3E458251"/>
  <w16cid:commentId w16cid:paraId="5A612950" w16cid:durableId="4B31C1E2"/>
  <w16cid:commentId w16cid:paraId="6922E07B" w16cid:durableId="29FE84A1"/>
  <w16cid:commentId w16cid:paraId="6F3272E3" w16cid:durableId="1B7BA8B0"/>
  <w16cid:commentId w16cid:paraId="11FA6F40" w16cid:durableId="69923BE7"/>
  <w16cid:commentId w16cid:paraId="16116726" w16cid:durableId="61D5FAE8"/>
  <w16cid:commentId w16cid:paraId="198BEC21" w16cid:durableId="6C0F1153"/>
  <w16cid:commentId w16cid:paraId="7E409E45" w16cid:durableId="6DB924EF"/>
  <w16cid:commentId w16cid:paraId="171B2AE4" w16cid:durableId="21A9E7BA"/>
  <w16cid:commentId w16cid:paraId="159B1AFC" w16cid:durableId="49E2D8D8"/>
  <w16cid:commentId w16cid:paraId="6F7F6D5A" w16cid:durableId="157968C5"/>
  <w16cid:commentId w16cid:paraId="3FD4B56D" w16cid:durableId="1154F2FC"/>
  <w16cid:commentId w16cid:paraId="7F60AF73" w16cid:durableId="5630BF48"/>
  <w16cid:commentId w16cid:paraId="183889FF" w16cid:durableId="44642066"/>
  <w16cid:commentId w16cid:paraId="1025C4D5" w16cid:durableId="0EAB223D"/>
  <w16cid:commentId w16cid:paraId="497E9AE3" w16cid:durableId="782CD596"/>
  <w16cid:commentId w16cid:paraId="5957EBAE" w16cid:durableId="2D6488C4"/>
  <w16cid:commentId w16cid:paraId="22C2AE72" w16cid:durableId="0EAE9D06"/>
  <w16cid:commentId w16cid:paraId="646084B1" w16cid:durableId="0F248DCD"/>
  <w16cid:commentId w16cid:paraId="36A73038" w16cid:durableId="1AB287C6"/>
  <w16cid:commentId w16cid:paraId="63B9E9D3" w16cid:durableId="0C0F382C"/>
  <w16cid:commentId w16cid:paraId="0699DCDB" w16cid:durableId="51EA8C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75256" w14:textId="77777777" w:rsidR="002B3331" w:rsidRDefault="002B3331" w:rsidP="00F628F0">
      <w:pPr>
        <w:spacing w:after="0" w:line="240" w:lineRule="auto"/>
      </w:pPr>
      <w:r>
        <w:separator/>
      </w:r>
    </w:p>
  </w:endnote>
  <w:endnote w:type="continuationSeparator" w:id="0">
    <w:p w14:paraId="32CD86D8" w14:textId="77777777" w:rsidR="002B3331" w:rsidRDefault="002B333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a7"/>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519DFD" w:rsidR="00883E09" w:rsidRPr="006E2853" w:rsidRDefault="00883E09" w:rsidP="00883E09">
    <w:pPr>
      <w:pStyle w:val="a7"/>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40755" w14:textId="77777777" w:rsidR="002B3331" w:rsidRDefault="002B3331" w:rsidP="00F628F0">
      <w:pPr>
        <w:spacing w:after="0" w:line="240" w:lineRule="auto"/>
      </w:pPr>
      <w:r>
        <w:separator/>
      </w:r>
    </w:p>
  </w:footnote>
  <w:footnote w:type="continuationSeparator" w:id="0">
    <w:p w14:paraId="0DCC571E" w14:textId="77777777" w:rsidR="002B3331" w:rsidRDefault="002B333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6"/>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6"/>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6"/>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bullet"/>
      <w:pStyle w:val="31"/>
      <w:lvlText w:val=""/>
      <w:lvlJc w:val="left"/>
      <w:pPr>
        <w:ind w:left="360" w:hanging="360"/>
      </w:pPr>
      <w:rPr>
        <w:rFonts w:ascii="Symbol" w:hAnsi="Symbol" w:hint="default"/>
      </w:rPr>
    </w:lvl>
    <w:lvl w:ilvl="3">
      <w:start w:val="1"/>
      <w:numFmt w:val="bullet"/>
      <w:pStyle w:val="4"/>
      <w:lvlText w:val="o"/>
      <w:lvlJc w:val="left"/>
      <w:pPr>
        <w:ind w:left="360" w:hanging="360"/>
      </w:pPr>
      <w:rPr>
        <w:rFonts w:ascii="Courier New" w:hAnsi="Courier New" w:cs="Courier New" w:hint="default"/>
      </w:r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6"/>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7"/>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8"/>
  </w:num>
  <w:num w:numId="63" w16cid:durableId="963078233">
    <w:abstractNumId w:val="52"/>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151A4"/>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90F88"/>
    <w:rsid w:val="002A113E"/>
    <w:rsid w:val="002A1374"/>
    <w:rsid w:val="002B3331"/>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6B7"/>
    <w:rsid w:val="00330F56"/>
    <w:rsid w:val="00333FF1"/>
    <w:rsid w:val="00334002"/>
    <w:rsid w:val="00343773"/>
    <w:rsid w:val="003557D8"/>
    <w:rsid w:val="00356156"/>
    <w:rsid w:val="003601E0"/>
    <w:rsid w:val="00360A3F"/>
    <w:rsid w:val="003620CC"/>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019C"/>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3F87"/>
    <w:rsid w:val="00D46A37"/>
    <w:rsid w:val="00D4735D"/>
    <w:rsid w:val="00D47F4C"/>
    <w:rsid w:val="00D51A70"/>
    <w:rsid w:val="00D53FE2"/>
    <w:rsid w:val="00D5405D"/>
    <w:rsid w:val="00D5434C"/>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3B7"/>
    <w:rsid w:val="00F1554E"/>
    <w:rsid w:val="00F16CC0"/>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4FBE"/>
    <w:pPr>
      <w:spacing w:after="160" w:line="259" w:lineRule="auto"/>
    </w:pPr>
  </w:style>
  <w:style w:type="paragraph" w:styleId="1">
    <w:name w:val="heading 1"/>
    <w:basedOn w:val="a1"/>
    <w:next w:val="a1"/>
    <w:link w:val="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1"/>
    <w:next w:val="a1"/>
    <w:link w:val="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next w:val="a1"/>
    <w:link w:val="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1"/>
    <w:next w:val="a1"/>
    <w:link w:val="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1"/>
    <w:next w:val="a1"/>
    <w:link w:val="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1"/>
    <w:next w:val="a1"/>
    <w:link w:val="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1"/>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basedOn w:val="a1"/>
    <w:qFormat/>
    <w:rsid w:val="000F7F04"/>
    <w:pPr>
      <w:ind w:left="720"/>
      <w:contextualSpacing/>
    </w:pPr>
  </w:style>
  <w:style w:type="paragraph" w:styleId="a6">
    <w:name w:val="header"/>
    <w:basedOn w:val="a1"/>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2"/>
    <w:link w:val="a6"/>
    <w:uiPriority w:val="99"/>
    <w:rsid w:val="00F628F0"/>
  </w:style>
  <w:style w:type="paragraph" w:styleId="a7">
    <w:name w:val="footer"/>
    <w:basedOn w:val="a1"/>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2"/>
    <w:link w:val="a7"/>
    <w:uiPriority w:val="99"/>
    <w:rsid w:val="00F628F0"/>
  </w:style>
  <w:style w:type="paragraph" w:styleId="a8">
    <w:name w:val="Balloon Text"/>
    <w:basedOn w:val="a1"/>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styleId="Hyperlink">
    <w:name w:val="Hyperlink"/>
    <w:basedOn w:val="a2"/>
    <w:uiPriority w:val="99"/>
    <w:unhideWhenUsed/>
    <w:rsid w:val="00374A8C"/>
    <w:rPr>
      <w:color w:val="0000FF" w:themeColor="hyperlink"/>
      <w:u w:val="single"/>
    </w:rPr>
  </w:style>
  <w:style w:type="character" w:styleId="ad">
    <w:name w:val="Unresolved Mention"/>
    <w:basedOn w:val="a2"/>
    <w:uiPriority w:val="99"/>
    <w:semiHidden/>
    <w:unhideWhenUsed/>
    <w:rsid w:val="00374A8C"/>
    <w:rPr>
      <w:color w:val="605E5C"/>
      <w:shd w:val="clear" w:color="auto" w:fill="E1DFDD"/>
    </w:rPr>
  </w:style>
  <w:style w:type="character" w:customStyle="1" w:styleId="3Char">
    <w:name w:val="عنوان 3 Char"/>
    <w:basedOn w:val="a2"/>
    <w:link w:val="31"/>
    <w:uiPriority w:val="9"/>
    <w:rsid w:val="00325D77"/>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2"/>
    <w:link w:val="4"/>
    <w:uiPriority w:val="9"/>
    <w:rsid w:val="00325D77"/>
    <w:rPr>
      <w:rFonts w:asciiTheme="majorHAnsi" w:eastAsiaTheme="majorEastAsia" w:hAnsiTheme="majorHAnsi" w:cstheme="majorBidi"/>
      <w:i/>
      <w:iCs/>
      <w:color w:val="365F91" w:themeColor="accent1" w:themeShade="BF"/>
    </w:rPr>
  </w:style>
  <w:style w:type="character" w:customStyle="1" w:styleId="5Char">
    <w:name w:val="عنوان 5 Char"/>
    <w:basedOn w:val="a2"/>
    <w:link w:val="5"/>
    <w:uiPriority w:val="9"/>
    <w:semiHidden/>
    <w:rsid w:val="00325D77"/>
    <w:rPr>
      <w:rFonts w:asciiTheme="majorHAnsi" w:eastAsiaTheme="majorEastAsia" w:hAnsiTheme="majorHAnsi" w:cstheme="majorBidi"/>
      <w:color w:val="365F91" w:themeColor="accent1" w:themeShade="BF"/>
    </w:rPr>
  </w:style>
  <w:style w:type="character" w:customStyle="1" w:styleId="6Char">
    <w:name w:val="عنوان 6 Char"/>
    <w:basedOn w:val="a2"/>
    <w:link w:val="6"/>
    <w:uiPriority w:val="9"/>
    <w:semiHidden/>
    <w:rsid w:val="00325D77"/>
    <w:rPr>
      <w:rFonts w:asciiTheme="majorHAnsi" w:eastAsiaTheme="majorEastAsia" w:hAnsiTheme="majorHAnsi" w:cstheme="majorBidi"/>
      <w:color w:val="243F60" w:themeColor="accent1" w:themeShade="7F"/>
    </w:rPr>
  </w:style>
  <w:style w:type="character" w:customStyle="1" w:styleId="7Char">
    <w:name w:val="عنوان 7 Char"/>
    <w:basedOn w:val="a2"/>
    <w:link w:val="7"/>
    <w:uiPriority w:val="9"/>
    <w:semiHidden/>
    <w:rsid w:val="00325D77"/>
    <w:rPr>
      <w:rFonts w:asciiTheme="majorHAnsi" w:eastAsiaTheme="majorEastAsia" w:hAnsiTheme="majorHAnsi" w:cstheme="majorBidi"/>
      <w:i/>
      <w:iCs/>
      <w:color w:val="243F60" w:themeColor="accent1" w:themeShade="7F"/>
    </w:rPr>
  </w:style>
  <w:style w:type="character" w:customStyle="1" w:styleId="8Char">
    <w:name w:val="عنوان 8 Char"/>
    <w:basedOn w:val="a2"/>
    <w:link w:val="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2"/>
    <w:link w:val="9"/>
    <w:uiPriority w:val="9"/>
    <w:semiHidden/>
    <w:rsid w:val="00325D77"/>
    <w:rPr>
      <w:rFonts w:asciiTheme="majorHAnsi" w:eastAsiaTheme="majorEastAsia" w:hAnsiTheme="majorHAnsi" w:cstheme="majorBidi"/>
      <w:i/>
      <w:iCs/>
      <w:color w:val="272727" w:themeColor="text1" w:themeTint="D8"/>
      <w:sz w:val="21"/>
      <w:szCs w:val="21"/>
    </w:rPr>
  </w:style>
  <w:style w:type="paragraph" w:styleId="10">
    <w:name w:val="toc 1"/>
    <w:basedOn w:val="a1"/>
    <w:next w:val="a1"/>
    <w:autoRedefine/>
    <w:uiPriority w:val="39"/>
    <w:unhideWhenUsed/>
    <w:rsid w:val="000C2DBF"/>
    <w:pPr>
      <w:bidi/>
      <w:spacing w:before="360" w:after="0"/>
    </w:pPr>
    <w:rPr>
      <w:rFonts w:asciiTheme="majorHAnsi" w:hAnsiTheme="majorHAnsi" w:cs="Times New Roman"/>
      <w:b/>
      <w:bCs/>
      <w:caps/>
      <w:sz w:val="24"/>
      <w:szCs w:val="28"/>
    </w:rPr>
  </w:style>
  <w:style w:type="paragraph" w:styleId="22">
    <w:name w:val="toc 2"/>
    <w:basedOn w:val="a1"/>
    <w:next w:val="a1"/>
    <w:autoRedefine/>
    <w:uiPriority w:val="39"/>
    <w:unhideWhenUsed/>
    <w:rsid w:val="003A195A"/>
    <w:pPr>
      <w:bidi/>
      <w:spacing w:before="240" w:after="0"/>
    </w:pPr>
    <w:rPr>
      <w:rFonts w:cstheme="minorHAnsi"/>
      <w:b/>
      <w:bCs/>
      <w:sz w:val="20"/>
      <w:szCs w:val="24"/>
    </w:rPr>
  </w:style>
  <w:style w:type="paragraph" w:styleId="32">
    <w:name w:val="toc 3"/>
    <w:basedOn w:val="a1"/>
    <w:next w:val="a1"/>
    <w:autoRedefine/>
    <w:uiPriority w:val="39"/>
    <w:unhideWhenUsed/>
    <w:rsid w:val="003A195A"/>
    <w:pPr>
      <w:bidi/>
      <w:spacing w:after="0"/>
      <w:ind w:left="220"/>
    </w:pPr>
    <w:rPr>
      <w:rFonts w:cstheme="minorHAnsi"/>
      <w:sz w:val="20"/>
      <w:szCs w:val="24"/>
    </w:rPr>
  </w:style>
  <w:style w:type="paragraph" w:styleId="40">
    <w:name w:val="toc 4"/>
    <w:basedOn w:val="a1"/>
    <w:next w:val="a1"/>
    <w:autoRedefine/>
    <w:uiPriority w:val="39"/>
    <w:unhideWhenUsed/>
    <w:rsid w:val="003A195A"/>
    <w:pPr>
      <w:bidi/>
      <w:spacing w:after="0"/>
      <w:ind w:left="440"/>
    </w:pPr>
    <w:rPr>
      <w:rFonts w:cstheme="minorHAnsi"/>
      <w:sz w:val="20"/>
      <w:szCs w:val="24"/>
    </w:rPr>
  </w:style>
  <w:style w:type="paragraph" w:styleId="50">
    <w:name w:val="toc 5"/>
    <w:basedOn w:val="a1"/>
    <w:next w:val="a1"/>
    <w:autoRedefine/>
    <w:uiPriority w:val="39"/>
    <w:unhideWhenUsed/>
    <w:rsid w:val="003A195A"/>
    <w:pPr>
      <w:bidi/>
      <w:spacing w:after="0"/>
      <w:ind w:left="660"/>
    </w:pPr>
    <w:rPr>
      <w:rFonts w:cstheme="minorHAnsi"/>
      <w:sz w:val="20"/>
      <w:szCs w:val="24"/>
    </w:rPr>
  </w:style>
  <w:style w:type="paragraph" w:styleId="60">
    <w:name w:val="toc 6"/>
    <w:basedOn w:val="a1"/>
    <w:next w:val="a1"/>
    <w:autoRedefine/>
    <w:uiPriority w:val="39"/>
    <w:unhideWhenUsed/>
    <w:rsid w:val="003A195A"/>
    <w:pPr>
      <w:bidi/>
      <w:spacing w:after="0"/>
      <w:ind w:left="880"/>
    </w:pPr>
    <w:rPr>
      <w:rFonts w:cstheme="minorHAnsi"/>
      <w:sz w:val="20"/>
      <w:szCs w:val="24"/>
    </w:rPr>
  </w:style>
  <w:style w:type="paragraph" w:styleId="70">
    <w:name w:val="toc 7"/>
    <w:basedOn w:val="a1"/>
    <w:next w:val="a1"/>
    <w:autoRedefine/>
    <w:uiPriority w:val="39"/>
    <w:unhideWhenUsed/>
    <w:rsid w:val="003A195A"/>
    <w:pPr>
      <w:bidi/>
      <w:spacing w:after="0"/>
      <w:ind w:left="1100"/>
    </w:pPr>
    <w:rPr>
      <w:rFonts w:cstheme="minorHAnsi"/>
      <w:sz w:val="20"/>
      <w:szCs w:val="24"/>
    </w:rPr>
  </w:style>
  <w:style w:type="paragraph" w:styleId="80">
    <w:name w:val="toc 8"/>
    <w:basedOn w:val="a1"/>
    <w:next w:val="a1"/>
    <w:autoRedefine/>
    <w:uiPriority w:val="39"/>
    <w:unhideWhenUsed/>
    <w:rsid w:val="003A195A"/>
    <w:pPr>
      <w:bidi/>
      <w:spacing w:after="0"/>
      <w:ind w:left="1320"/>
    </w:pPr>
    <w:rPr>
      <w:rFonts w:cstheme="minorHAnsi"/>
      <w:sz w:val="20"/>
      <w:szCs w:val="24"/>
    </w:rPr>
  </w:style>
  <w:style w:type="paragraph" w:styleId="90">
    <w:name w:val="toc 9"/>
    <w:basedOn w:val="a1"/>
    <w:next w:val="a1"/>
    <w:autoRedefine/>
    <w:uiPriority w:val="39"/>
    <w:unhideWhenUsed/>
    <w:rsid w:val="003A195A"/>
    <w:pPr>
      <w:bidi/>
      <w:spacing w:after="0"/>
      <w:ind w:left="1540"/>
    </w:pPr>
    <w:rPr>
      <w:rFonts w:cstheme="minorHAnsi"/>
      <w:sz w:val="20"/>
      <w:szCs w:val="24"/>
    </w:rPr>
  </w:style>
  <w:style w:type="paragraph" w:styleId="a0">
    <w:name w:val="List Bullet"/>
    <w:basedOn w:val="a1"/>
    <w:uiPriority w:val="99"/>
    <w:unhideWhenUsed/>
    <w:rsid w:val="001E4226"/>
    <w:pPr>
      <w:numPr>
        <w:numId w:val="1"/>
      </w:numPr>
      <w:contextualSpacing/>
    </w:pPr>
  </w:style>
  <w:style w:type="character" w:styleId="ae">
    <w:name w:val="FollowedHyperlink"/>
    <w:basedOn w:val="a2"/>
    <w:uiPriority w:val="99"/>
    <w:semiHidden/>
    <w:unhideWhenUsed/>
    <w:rsid w:val="003B0E76"/>
    <w:rPr>
      <w:color w:val="800080" w:themeColor="followedHyperlink"/>
      <w:u w:val="single"/>
    </w:rPr>
  </w:style>
  <w:style w:type="paragraph" w:styleId="HTML">
    <w:name w:val="HTML Preformatted"/>
    <w:basedOn w:val="a1"/>
    <w:link w:val="HTML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0705AD"/>
    <w:rPr>
      <w:rFonts w:ascii="Courier New" w:eastAsia="Times New Roman" w:hAnsi="Courier New" w:cs="Courier New"/>
      <w:sz w:val="20"/>
      <w:szCs w:val="20"/>
    </w:rPr>
  </w:style>
  <w:style w:type="character" w:styleId="HTMLCode">
    <w:name w:val="HTML Code"/>
    <w:basedOn w:val="a2"/>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a1"/>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No Spacing"/>
    <w:uiPriority w:val="1"/>
    <w:qFormat/>
    <w:rsid w:val="00D93936"/>
    <w:pPr>
      <w:spacing w:after="0" w:line="240" w:lineRule="auto"/>
    </w:pPr>
    <w:rPr>
      <w:rFonts w:eastAsiaTheme="minorEastAsia"/>
    </w:rPr>
  </w:style>
  <w:style w:type="paragraph" w:styleId="af0">
    <w:name w:val="Title"/>
    <w:basedOn w:val="a1"/>
    <w:next w:val="a1"/>
    <w:link w:val="Char3"/>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3">
    <w:name w:val="العنوان Char"/>
    <w:basedOn w:val="a2"/>
    <w:link w:val="af0"/>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af1">
    <w:name w:val="Body Text"/>
    <w:basedOn w:val="a1"/>
    <w:link w:val="Char4"/>
    <w:uiPriority w:val="99"/>
    <w:unhideWhenUsed/>
    <w:rsid w:val="00D93936"/>
    <w:pPr>
      <w:spacing w:after="120" w:line="276" w:lineRule="auto"/>
    </w:pPr>
    <w:rPr>
      <w:rFonts w:eastAsiaTheme="minorEastAsia"/>
    </w:rPr>
  </w:style>
  <w:style w:type="character" w:customStyle="1" w:styleId="Char4">
    <w:name w:val="نص أساسي Char"/>
    <w:basedOn w:val="a2"/>
    <w:link w:val="af1"/>
    <w:uiPriority w:val="99"/>
    <w:rsid w:val="00D93936"/>
    <w:rPr>
      <w:rFonts w:eastAsiaTheme="minorEastAsia"/>
    </w:rPr>
  </w:style>
  <w:style w:type="paragraph" w:styleId="23">
    <w:name w:val="Body Text 2"/>
    <w:basedOn w:val="a1"/>
    <w:link w:val="2Char0"/>
    <w:uiPriority w:val="99"/>
    <w:unhideWhenUsed/>
    <w:rsid w:val="00D93936"/>
    <w:pPr>
      <w:spacing w:after="120" w:line="480" w:lineRule="auto"/>
    </w:pPr>
    <w:rPr>
      <w:rFonts w:eastAsiaTheme="minorEastAsia"/>
    </w:rPr>
  </w:style>
  <w:style w:type="character" w:customStyle="1" w:styleId="2Char0">
    <w:name w:val="نص أساسي 2 Char"/>
    <w:basedOn w:val="a2"/>
    <w:link w:val="23"/>
    <w:uiPriority w:val="99"/>
    <w:rsid w:val="00D93936"/>
    <w:rPr>
      <w:rFonts w:eastAsiaTheme="minorEastAsia"/>
    </w:rPr>
  </w:style>
  <w:style w:type="paragraph" w:styleId="33">
    <w:name w:val="Body Text 3"/>
    <w:basedOn w:val="a1"/>
    <w:link w:val="3Char0"/>
    <w:uiPriority w:val="99"/>
    <w:unhideWhenUsed/>
    <w:rsid w:val="00D93936"/>
    <w:pPr>
      <w:spacing w:after="120" w:line="276" w:lineRule="auto"/>
    </w:pPr>
    <w:rPr>
      <w:rFonts w:eastAsiaTheme="minorEastAsia"/>
      <w:sz w:val="16"/>
      <w:szCs w:val="16"/>
    </w:rPr>
  </w:style>
  <w:style w:type="character" w:customStyle="1" w:styleId="3Char0">
    <w:name w:val="نص أساسي 3 Char"/>
    <w:basedOn w:val="a2"/>
    <w:link w:val="33"/>
    <w:uiPriority w:val="99"/>
    <w:rsid w:val="00D93936"/>
    <w:rPr>
      <w:rFonts w:eastAsiaTheme="minorEastAsia"/>
      <w:sz w:val="16"/>
      <w:szCs w:val="16"/>
    </w:rPr>
  </w:style>
  <w:style w:type="paragraph" w:styleId="af2">
    <w:name w:val="List"/>
    <w:basedOn w:val="a1"/>
    <w:uiPriority w:val="99"/>
    <w:unhideWhenUsed/>
    <w:rsid w:val="00D93936"/>
    <w:pPr>
      <w:spacing w:after="200" w:line="276" w:lineRule="auto"/>
      <w:ind w:left="360" w:hanging="360"/>
      <w:contextualSpacing/>
    </w:pPr>
    <w:rPr>
      <w:rFonts w:eastAsiaTheme="minorEastAsia"/>
    </w:rPr>
  </w:style>
  <w:style w:type="paragraph" w:styleId="24">
    <w:name w:val="List 2"/>
    <w:basedOn w:val="a1"/>
    <w:uiPriority w:val="99"/>
    <w:unhideWhenUsed/>
    <w:rsid w:val="00D93936"/>
    <w:pPr>
      <w:spacing w:after="200" w:line="276" w:lineRule="auto"/>
      <w:ind w:left="720" w:hanging="360"/>
      <w:contextualSpacing/>
    </w:pPr>
    <w:rPr>
      <w:rFonts w:eastAsiaTheme="minorEastAsia"/>
    </w:rPr>
  </w:style>
  <w:style w:type="paragraph" w:styleId="34">
    <w:name w:val="List 3"/>
    <w:basedOn w:val="a1"/>
    <w:uiPriority w:val="99"/>
    <w:unhideWhenUsed/>
    <w:rsid w:val="00D93936"/>
    <w:pPr>
      <w:spacing w:after="200" w:line="276" w:lineRule="auto"/>
      <w:ind w:left="1080" w:hanging="360"/>
      <w:contextualSpacing/>
    </w:pPr>
    <w:rPr>
      <w:rFonts w:eastAsiaTheme="minorEastAsia"/>
    </w:rPr>
  </w:style>
  <w:style w:type="paragraph" w:styleId="20">
    <w:name w:val="List Bullet 2"/>
    <w:basedOn w:val="a1"/>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30">
    <w:name w:val="List Bullet 3"/>
    <w:basedOn w:val="a1"/>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a">
    <w:name w:val="List Number"/>
    <w:basedOn w:val="a1"/>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2">
    <w:name w:val="List Number 2"/>
    <w:basedOn w:val="a1"/>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3">
    <w:name w:val="List Number 3"/>
    <w:basedOn w:val="a1"/>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af3">
    <w:name w:val="List Continue"/>
    <w:basedOn w:val="a1"/>
    <w:uiPriority w:val="99"/>
    <w:unhideWhenUsed/>
    <w:rsid w:val="00D93936"/>
    <w:pPr>
      <w:spacing w:after="120" w:line="276" w:lineRule="auto"/>
      <w:ind w:left="360"/>
      <w:contextualSpacing/>
    </w:pPr>
    <w:rPr>
      <w:rFonts w:eastAsiaTheme="minorEastAsia"/>
    </w:rPr>
  </w:style>
  <w:style w:type="paragraph" w:styleId="25">
    <w:name w:val="List Continue 2"/>
    <w:basedOn w:val="a1"/>
    <w:uiPriority w:val="99"/>
    <w:unhideWhenUsed/>
    <w:rsid w:val="00D93936"/>
    <w:pPr>
      <w:spacing w:after="120" w:line="276" w:lineRule="auto"/>
      <w:ind w:left="720"/>
      <w:contextualSpacing/>
    </w:pPr>
    <w:rPr>
      <w:rFonts w:eastAsiaTheme="minorEastAsia"/>
    </w:rPr>
  </w:style>
  <w:style w:type="paragraph" w:styleId="35">
    <w:name w:val="List Continue 3"/>
    <w:basedOn w:val="a1"/>
    <w:uiPriority w:val="99"/>
    <w:unhideWhenUsed/>
    <w:rsid w:val="00D93936"/>
    <w:pPr>
      <w:spacing w:after="120" w:line="276" w:lineRule="auto"/>
      <w:ind w:left="1080"/>
      <w:contextualSpacing/>
    </w:pPr>
    <w:rPr>
      <w:rFonts w:eastAsiaTheme="minorEastAsia"/>
    </w:rPr>
  </w:style>
  <w:style w:type="paragraph" w:styleId="af4">
    <w:name w:val="macro"/>
    <w:link w:val="Char5"/>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Char5">
    <w:name w:val="نص ماكرو Char"/>
    <w:basedOn w:val="a2"/>
    <w:link w:val="af4"/>
    <w:uiPriority w:val="99"/>
    <w:rsid w:val="00D93936"/>
    <w:rPr>
      <w:rFonts w:ascii="Courier" w:eastAsiaTheme="minorEastAsia" w:hAnsi="Courier"/>
      <w:sz w:val="20"/>
      <w:szCs w:val="20"/>
    </w:rPr>
  </w:style>
  <w:style w:type="paragraph" w:styleId="af5">
    <w:name w:val="Quote"/>
    <w:basedOn w:val="a1"/>
    <w:next w:val="a1"/>
    <w:link w:val="Char6"/>
    <w:uiPriority w:val="29"/>
    <w:qFormat/>
    <w:rsid w:val="00D93936"/>
    <w:pPr>
      <w:spacing w:after="200" w:line="276" w:lineRule="auto"/>
    </w:pPr>
    <w:rPr>
      <w:rFonts w:eastAsiaTheme="minorEastAsia"/>
      <w:i/>
      <w:iCs/>
      <w:color w:val="000000" w:themeColor="text1"/>
    </w:rPr>
  </w:style>
  <w:style w:type="character" w:customStyle="1" w:styleId="Char6">
    <w:name w:val="اقتباس Char"/>
    <w:basedOn w:val="a2"/>
    <w:link w:val="af5"/>
    <w:uiPriority w:val="29"/>
    <w:rsid w:val="00D93936"/>
    <w:rPr>
      <w:rFonts w:eastAsiaTheme="minorEastAsia"/>
      <w:i/>
      <w:iCs/>
      <w:color w:val="000000" w:themeColor="text1"/>
    </w:rPr>
  </w:style>
  <w:style w:type="paragraph" w:styleId="af6">
    <w:name w:val="caption"/>
    <w:basedOn w:val="a1"/>
    <w:next w:val="a1"/>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af7">
    <w:name w:val="Emphasis"/>
    <w:basedOn w:val="a2"/>
    <w:uiPriority w:val="20"/>
    <w:qFormat/>
    <w:rsid w:val="00D93936"/>
    <w:rPr>
      <w:i/>
      <w:iCs/>
    </w:rPr>
  </w:style>
  <w:style w:type="paragraph" w:styleId="af8">
    <w:name w:val="Intense Quote"/>
    <w:basedOn w:val="a1"/>
    <w:next w:val="a1"/>
    <w:link w:val="Char7"/>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Char7">
    <w:name w:val="اقتباس مكثف Char"/>
    <w:basedOn w:val="a2"/>
    <w:link w:val="af8"/>
    <w:uiPriority w:val="30"/>
    <w:rsid w:val="00D93936"/>
    <w:rPr>
      <w:rFonts w:eastAsiaTheme="minorEastAsia"/>
      <w:b/>
      <w:bCs/>
      <w:i/>
      <w:iCs/>
      <w:color w:val="4F81BD" w:themeColor="accent1"/>
    </w:rPr>
  </w:style>
  <w:style w:type="character" w:styleId="af9">
    <w:name w:val="Subtle Emphasis"/>
    <w:basedOn w:val="a2"/>
    <w:uiPriority w:val="19"/>
    <w:qFormat/>
    <w:rsid w:val="00D93936"/>
    <w:rPr>
      <w:i/>
      <w:iCs/>
      <w:color w:val="808080" w:themeColor="text1" w:themeTint="7F"/>
    </w:rPr>
  </w:style>
  <w:style w:type="character" w:styleId="afa">
    <w:name w:val="Intense Emphasis"/>
    <w:basedOn w:val="a2"/>
    <w:uiPriority w:val="21"/>
    <w:qFormat/>
    <w:rsid w:val="00D93936"/>
    <w:rPr>
      <w:b/>
      <w:bCs/>
      <w:i/>
      <w:iCs/>
      <w:color w:val="4F81BD" w:themeColor="accent1"/>
    </w:rPr>
  </w:style>
  <w:style w:type="character" w:styleId="afb">
    <w:name w:val="Subtle Reference"/>
    <w:basedOn w:val="a2"/>
    <w:uiPriority w:val="31"/>
    <w:qFormat/>
    <w:rsid w:val="00D93936"/>
    <w:rPr>
      <w:smallCaps/>
      <w:color w:val="C0504D" w:themeColor="accent2"/>
      <w:u w:val="single"/>
    </w:rPr>
  </w:style>
  <w:style w:type="character" w:styleId="afc">
    <w:name w:val="Intense Reference"/>
    <w:basedOn w:val="a2"/>
    <w:uiPriority w:val="32"/>
    <w:qFormat/>
    <w:rsid w:val="00D93936"/>
    <w:rPr>
      <w:b/>
      <w:bCs/>
      <w:smallCaps/>
      <w:color w:val="C0504D" w:themeColor="accent2"/>
      <w:spacing w:val="5"/>
      <w:u w:val="single"/>
    </w:rPr>
  </w:style>
  <w:style w:type="character" w:styleId="afd">
    <w:name w:val="Book Title"/>
    <w:basedOn w:val="a2"/>
    <w:uiPriority w:val="33"/>
    <w:qFormat/>
    <w:rsid w:val="00D93936"/>
    <w:rPr>
      <w:b/>
      <w:bCs/>
      <w:smallCaps/>
      <w:spacing w:val="5"/>
    </w:rPr>
  </w:style>
  <w:style w:type="paragraph" w:styleId="afe">
    <w:name w:val="TOC Heading"/>
    <w:basedOn w:val="1"/>
    <w:next w:val="a1"/>
    <w:uiPriority w:val="39"/>
    <w:semiHidden/>
    <w:unhideWhenUsed/>
    <w:qFormat/>
    <w:rsid w:val="00D93936"/>
    <w:pPr>
      <w:numPr>
        <w:numId w:val="0"/>
      </w:numPr>
      <w:spacing w:before="480" w:line="276" w:lineRule="auto"/>
      <w:outlineLvl w:val="9"/>
    </w:pPr>
    <w:rPr>
      <w:b/>
      <w:bCs/>
      <w:sz w:val="28"/>
      <w:szCs w:val="28"/>
    </w:rPr>
  </w:style>
  <w:style w:type="table" w:styleId="aff">
    <w:name w:val="Light Shading"/>
    <w:basedOn w:val="a3"/>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0">
    <w:name w:val="Light List"/>
    <w:basedOn w:val="a3"/>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1">
    <w:name w:val="Light Grid"/>
    <w:basedOn w:val="a3"/>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6">
    <w:name w:val="Medium Grid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2">
    <w:name w:val="Dark List"/>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3">
    <w:name w:val="Colorful Shading"/>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4">
    <w:name w:val="Colorful List"/>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5">
    <w:name w:val="Colorful Grid"/>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a3"/>
    <w:next w:val="a9"/>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3"/>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1">
    <w:name w:val="Grid Table 4"/>
    <w:basedOn w:val="a3"/>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aff6">
    <w:name w:val="footnote reference"/>
    <w:uiPriority w:val="99"/>
    <w:semiHidden/>
    <w:unhideWhenUsed/>
    <w:rsid w:val="007608E1"/>
    <w:rPr>
      <w:vertAlign w:val="superscript"/>
    </w:rPr>
  </w:style>
  <w:style w:type="paragraph" w:styleId="aff7">
    <w:name w:val="footnote text"/>
    <w:link w:val="Char8"/>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8">
    <w:name w:val="نص حاشية سفلية Char"/>
    <w:basedOn w:val="a2"/>
    <w:link w:val="aff7"/>
    <w:uiPriority w:val="99"/>
    <w:semiHidden/>
    <w:rsid w:val="007608E1"/>
    <w:rPr>
      <w:rFonts w:ascii="Simplified Arabic" w:eastAsia="Simplified Arabic" w:hAnsi="Simplified Arabic" w:cs="Simplified Arabic"/>
      <w:sz w:val="20"/>
      <w:szCs w:val="20"/>
    </w:rPr>
  </w:style>
  <w:style w:type="character" w:styleId="aff8">
    <w:name w:val="endnote reference"/>
    <w:uiPriority w:val="99"/>
    <w:semiHidden/>
    <w:unhideWhenUsed/>
    <w:rsid w:val="007608E1"/>
    <w:rPr>
      <w:vertAlign w:val="superscript"/>
    </w:rPr>
  </w:style>
  <w:style w:type="paragraph" w:styleId="aff9">
    <w:name w:val="endnote text"/>
    <w:link w:val="Char9"/>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9">
    <w:name w:val="نص تعليق ختامي Char"/>
    <w:basedOn w:val="a2"/>
    <w:link w:val="aff9"/>
    <w:uiPriority w:val="99"/>
    <w:semiHidden/>
    <w:rsid w:val="007608E1"/>
    <w:rPr>
      <w:rFonts w:ascii="Simplified Arabic" w:eastAsia="Simplified Arabic" w:hAnsi="Simplified Arabic" w:cs="Simplified Arabic"/>
      <w:sz w:val="20"/>
      <w:szCs w:val="20"/>
    </w:rPr>
  </w:style>
  <w:style w:type="character" w:styleId="affa">
    <w:name w:val="annotation reference"/>
    <w:basedOn w:val="a2"/>
    <w:uiPriority w:val="99"/>
    <w:semiHidden/>
    <w:unhideWhenUsed/>
    <w:rsid w:val="00BF5EEF"/>
    <w:rPr>
      <w:sz w:val="16"/>
      <w:szCs w:val="16"/>
    </w:rPr>
  </w:style>
  <w:style w:type="paragraph" w:styleId="affb">
    <w:name w:val="annotation text"/>
    <w:basedOn w:val="a1"/>
    <w:link w:val="Chara"/>
    <w:uiPriority w:val="99"/>
    <w:semiHidden/>
    <w:unhideWhenUsed/>
    <w:rsid w:val="00BF5EEF"/>
    <w:pPr>
      <w:spacing w:line="240" w:lineRule="auto"/>
    </w:pPr>
    <w:rPr>
      <w:sz w:val="20"/>
      <w:szCs w:val="20"/>
    </w:rPr>
  </w:style>
  <w:style w:type="character" w:customStyle="1" w:styleId="Chara">
    <w:name w:val="نص تعليق Char"/>
    <w:basedOn w:val="a2"/>
    <w:link w:val="affb"/>
    <w:uiPriority w:val="99"/>
    <w:semiHidden/>
    <w:rsid w:val="00BF5EEF"/>
    <w:rPr>
      <w:sz w:val="20"/>
      <w:szCs w:val="20"/>
    </w:rPr>
  </w:style>
  <w:style w:type="paragraph" w:styleId="affc">
    <w:name w:val="annotation subject"/>
    <w:basedOn w:val="affb"/>
    <w:next w:val="affb"/>
    <w:link w:val="Charb"/>
    <w:uiPriority w:val="99"/>
    <w:semiHidden/>
    <w:unhideWhenUsed/>
    <w:rsid w:val="00BF5EEF"/>
    <w:rPr>
      <w:b/>
      <w:bCs/>
    </w:rPr>
  </w:style>
  <w:style w:type="character" w:customStyle="1" w:styleId="Charb">
    <w:name w:val="موضوع تعليق Char"/>
    <w:basedOn w:val="Chara"/>
    <w:link w:val="affc"/>
    <w:uiPriority w:val="99"/>
    <w:semiHidden/>
    <w:rsid w:val="00BF5EEF"/>
    <w:rPr>
      <w:b/>
      <w:bCs/>
      <w:sz w:val="20"/>
      <w:szCs w:val="20"/>
    </w:rPr>
  </w:style>
  <w:style w:type="paragraph" w:styleId="affd">
    <w:name w:val="Revision"/>
    <w:hidden/>
    <w:uiPriority w:val="99"/>
    <w:semiHidden/>
    <w:rsid w:val="00883CF3"/>
    <w:pPr>
      <w:spacing w:after="0" w:line="240" w:lineRule="auto"/>
    </w:pPr>
  </w:style>
  <w:style w:type="paragraph" w:customStyle="1" w:styleId="HeadingTOCEntry">
    <w:name w:val="Heading TOC Entry"/>
    <w:basedOn w:val="a1"/>
    <w:qFormat/>
  </w:style>
  <w:style w:type="paragraph" w:customStyle="1" w:styleId="TableCaption">
    <w:name w:val="Table Caption"/>
    <w:basedOn w:val="a1"/>
    <w:qFormat/>
  </w:style>
  <w:style w:type="paragraph" w:customStyle="1" w:styleId="FigureCaption">
    <w:name w:val="Figure Caption"/>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26" Type="http://schemas.openxmlformats.org/officeDocument/2006/relationships/hyperlink" Target="https://doi.org/10.3389/fbloc.2025.1667848"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hyperlink" Target="https://doi.org/10.1177/10245294241258255"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https://doi.org/10.1038/s41599-025-0547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3389/fbloc.2025.1551970" TargetMode="External"/><Relationship Id="rId32"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s://doi.org/10.3389/fbloc.2025.1463633" TargetMode="External"/><Relationship Id="rId28" Type="http://schemas.openxmlformats.org/officeDocument/2006/relationships/hyperlink" Target="https://doi.org/10.33168/JSMS.2024.0516" TargetMode="External"/><Relationship Id="rId10" Type="http://schemas.openxmlformats.org/officeDocument/2006/relationships/endnotes" Target="endnotes.xml"/><Relationship Id="rId19" Type="http://schemas.openxmlformats.org/officeDocument/2006/relationships/header" Target="header3.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doi.org/10.1038/s41598-025-25457-8" TargetMode="External"/><Relationship Id="rId27" Type="http://schemas.openxmlformats.org/officeDocument/2006/relationships/hyperlink" Target="https://doi.org/10.1145/3726122.3726195"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2.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4.xml><?xml version="1.0" encoding="utf-8"?>
<ds:datastoreItem xmlns:ds="http://schemas.openxmlformats.org/officeDocument/2006/customXml" ds:itemID="{6818BBA5-3CEA-4F86-8185-20072C1CA093}">
  <ds:schemaRefs>
    <ds:schemaRef ds:uri="http://schemas.microsoft.com/sharepoint/v3/contenttype/forms"/>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Normal.dotm</Template>
  <TotalTime>89</TotalTime>
  <Pages>123</Pages>
  <Words>27152</Words>
  <Characters>154767</Characters>
  <Application>Microsoft Office Word</Application>
  <DocSecurity>0</DocSecurity>
  <Lines>1289</Lines>
  <Paragraphs>363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A</cp:lastModifiedBy>
  <cp:revision>4</cp:revision>
  <cp:lastPrinted>2025-12-29T16:09:00Z</cp:lastPrinted>
  <dcterms:created xsi:type="dcterms:W3CDTF">2026-08-15T14:22:00Z</dcterms:created>
  <dcterms:modified xsi:type="dcterms:W3CDTF">2026-08-17T13:14:00Z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