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14B66EF" w:rsidR="008239B5" w:rsidRDefault="00EB387B" w:rsidP="00EB387B">
      <w:pPr>
        <w:rPr>
          <w:b/>
          <w:bCs/>
          <w:rtl/>
        </w:rPr>
      </w:pPr>
      <w:r>
        <w:t xml:space="preserve">Leader Name: </w:t>
      </w:r>
      <w:r w:rsidR="00D7646C">
        <w:rPr>
          <w:rFonts w:ascii="Segoe UI" w:hAnsi="Segoe UI" w:cs="Segoe UI"/>
          <w:color w:val="0F1115"/>
          <w:shd w:val="clear" w:color="auto" w:fill="FFFFFF"/>
          <w:rtl/>
        </w:rPr>
        <w:t>حبيب العبندي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D330262" w:rsidR="008239B5" w:rsidRDefault="00AD60A7">
            <w:pPr>
              <w:jc w:val="center"/>
            </w:pPr>
            <w:r w:rsidRPr="00AD60A7">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E1774B" w14:paraId="4C9FB4B1" w14:textId="77777777">
        <w:trPr>
          <w:trHeight w:val="453"/>
        </w:trPr>
        <w:tc>
          <w:tcPr>
            <w:tcW w:w="3897" w:type="dxa"/>
            <w:shd w:val="clear" w:color="auto" w:fill="EEECE1"/>
            <w:vAlign w:val="center"/>
          </w:tcPr>
          <w:p w14:paraId="1A499FB2"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79A0AF6" w:rsidR="00E1774B" w:rsidRDefault="00E1774B" w:rsidP="00E1774B">
            <w:pPr>
              <w:jc w:val="center"/>
            </w:pPr>
            <w:r w:rsidRPr="00AD60A7">
              <w:t>√</w:t>
            </w:r>
          </w:p>
        </w:tc>
        <w:tc>
          <w:tcPr>
            <w:tcW w:w="944" w:type="dxa"/>
            <w:vAlign w:val="center"/>
          </w:tcPr>
          <w:p w14:paraId="70C822A0" w14:textId="77777777" w:rsidR="00E1774B" w:rsidRDefault="00E1774B" w:rsidP="00E1774B">
            <w:pPr>
              <w:jc w:val="center"/>
            </w:pPr>
          </w:p>
        </w:tc>
        <w:tc>
          <w:tcPr>
            <w:tcW w:w="1177" w:type="dxa"/>
            <w:vAlign w:val="center"/>
          </w:tcPr>
          <w:p w14:paraId="48E54ABC" w14:textId="77C7F00A" w:rsidR="00E1774B" w:rsidRDefault="00E1774B" w:rsidP="00E1774B">
            <w:pPr>
              <w:jc w:val="center"/>
            </w:pPr>
          </w:p>
        </w:tc>
        <w:tc>
          <w:tcPr>
            <w:tcW w:w="3978" w:type="dxa"/>
            <w:vAlign w:val="center"/>
          </w:tcPr>
          <w:p w14:paraId="1F70FCD2" w14:textId="29A888CC" w:rsidR="00E1774B" w:rsidRDefault="00E1774B" w:rsidP="00E1774B">
            <w:pPr>
              <w:jc w:val="center"/>
            </w:pPr>
          </w:p>
        </w:tc>
      </w:tr>
      <w:tr w:rsidR="00E1774B" w14:paraId="5F3C740D" w14:textId="77777777">
        <w:trPr>
          <w:trHeight w:val="453"/>
        </w:trPr>
        <w:tc>
          <w:tcPr>
            <w:tcW w:w="3897" w:type="dxa"/>
            <w:shd w:val="clear" w:color="auto" w:fill="EEECE1"/>
            <w:vAlign w:val="center"/>
          </w:tcPr>
          <w:p w14:paraId="25E3D12E"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BA351A3" w:rsidR="00E1774B" w:rsidRDefault="00E1774B" w:rsidP="00E1774B">
            <w:pPr>
              <w:jc w:val="center"/>
            </w:pPr>
            <w:r w:rsidRPr="00AD60A7">
              <w:t>√</w:t>
            </w:r>
          </w:p>
        </w:tc>
        <w:tc>
          <w:tcPr>
            <w:tcW w:w="944" w:type="dxa"/>
            <w:vAlign w:val="center"/>
          </w:tcPr>
          <w:p w14:paraId="3C301A1E" w14:textId="77777777" w:rsidR="00E1774B" w:rsidRDefault="00E1774B" w:rsidP="00E1774B">
            <w:pPr>
              <w:jc w:val="center"/>
            </w:pPr>
          </w:p>
        </w:tc>
        <w:tc>
          <w:tcPr>
            <w:tcW w:w="1177" w:type="dxa"/>
            <w:vAlign w:val="center"/>
          </w:tcPr>
          <w:p w14:paraId="1C66B396" w14:textId="4C509862" w:rsidR="00E1774B" w:rsidRDefault="00E1774B" w:rsidP="00E1774B">
            <w:pPr>
              <w:jc w:val="center"/>
            </w:pPr>
          </w:p>
        </w:tc>
        <w:tc>
          <w:tcPr>
            <w:tcW w:w="3978" w:type="dxa"/>
            <w:vAlign w:val="center"/>
          </w:tcPr>
          <w:p w14:paraId="2B044E4C" w14:textId="4194D440" w:rsidR="00E1774B" w:rsidRDefault="00E1774B" w:rsidP="00E1774B">
            <w:pPr>
              <w:jc w:val="center"/>
            </w:pPr>
          </w:p>
        </w:tc>
      </w:tr>
      <w:tr w:rsidR="00E1774B" w14:paraId="7C535DC1" w14:textId="77777777">
        <w:trPr>
          <w:trHeight w:val="453"/>
        </w:trPr>
        <w:tc>
          <w:tcPr>
            <w:tcW w:w="3897" w:type="dxa"/>
            <w:shd w:val="clear" w:color="auto" w:fill="EEECE1"/>
            <w:vAlign w:val="center"/>
          </w:tcPr>
          <w:p w14:paraId="2D3D0AA3"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37FC4FD" w:rsidR="00E1774B" w:rsidRDefault="00E1774B" w:rsidP="00E1774B">
            <w:pPr>
              <w:jc w:val="center"/>
            </w:pPr>
            <w:r w:rsidRPr="00AD60A7">
              <w:t>√</w:t>
            </w:r>
          </w:p>
        </w:tc>
        <w:tc>
          <w:tcPr>
            <w:tcW w:w="944" w:type="dxa"/>
            <w:vAlign w:val="center"/>
          </w:tcPr>
          <w:p w14:paraId="0B6FAFE4" w14:textId="77777777" w:rsidR="00E1774B" w:rsidRDefault="00E1774B" w:rsidP="00E1774B">
            <w:pPr>
              <w:jc w:val="center"/>
            </w:pPr>
          </w:p>
        </w:tc>
        <w:tc>
          <w:tcPr>
            <w:tcW w:w="1177" w:type="dxa"/>
            <w:vAlign w:val="center"/>
          </w:tcPr>
          <w:p w14:paraId="56BB74F9" w14:textId="4AF2BF0B" w:rsidR="00E1774B" w:rsidRDefault="00E1774B" w:rsidP="00E1774B">
            <w:pPr>
              <w:jc w:val="center"/>
            </w:pPr>
          </w:p>
        </w:tc>
        <w:tc>
          <w:tcPr>
            <w:tcW w:w="3978" w:type="dxa"/>
            <w:vAlign w:val="center"/>
          </w:tcPr>
          <w:p w14:paraId="708368AB" w14:textId="344ABDC2" w:rsidR="00E1774B" w:rsidRDefault="00E1774B" w:rsidP="00E1774B">
            <w:pPr>
              <w:jc w:val="center"/>
            </w:pPr>
          </w:p>
        </w:tc>
      </w:tr>
      <w:tr w:rsidR="00E1774B" w14:paraId="38DA2FC1" w14:textId="77777777">
        <w:trPr>
          <w:trHeight w:val="558"/>
        </w:trPr>
        <w:tc>
          <w:tcPr>
            <w:tcW w:w="3897" w:type="dxa"/>
            <w:shd w:val="clear" w:color="auto" w:fill="EEECE1"/>
            <w:vAlign w:val="center"/>
          </w:tcPr>
          <w:p w14:paraId="2540BC36"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7B4F19C" w:rsidR="00E1774B" w:rsidRDefault="00E1774B" w:rsidP="00E1774B">
            <w:pPr>
              <w:jc w:val="center"/>
            </w:pPr>
            <w:r w:rsidRPr="00AD60A7">
              <w:t>√</w:t>
            </w:r>
          </w:p>
        </w:tc>
        <w:tc>
          <w:tcPr>
            <w:tcW w:w="944" w:type="dxa"/>
            <w:vAlign w:val="center"/>
          </w:tcPr>
          <w:p w14:paraId="593FA448" w14:textId="77777777" w:rsidR="00E1774B" w:rsidRDefault="00E1774B" w:rsidP="00E1774B">
            <w:pPr>
              <w:jc w:val="center"/>
            </w:pPr>
          </w:p>
        </w:tc>
        <w:tc>
          <w:tcPr>
            <w:tcW w:w="1177" w:type="dxa"/>
            <w:vAlign w:val="center"/>
          </w:tcPr>
          <w:p w14:paraId="798E4AB9" w14:textId="5D97E1DC" w:rsidR="00E1774B" w:rsidRDefault="00E1774B" w:rsidP="00E1774B">
            <w:pPr>
              <w:jc w:val="center"/>
            </w:pPr>
          </w:p>
        </w:tc>
        <w:tc>
          <w:tcPr>
            <w:tcW w:w="3978" w:type="dxa"/>
            <w:vAlign w:val="center"/>
          </w:tcPr>
          <w:p w14:paraId="62D5A2FA" w14:textId="059F6270" w:rsidR="00E1774B" w:rsidRDefault="00E1774B" w:rsidP="00E1774B">
            <w:pPr>
              <w:jc w:val="center"/>
            </w:pPr>
          </w:p>
        </w:tc>
      </w:tr>
      <w:tr w:rsidR="00E1774B" w14:paraId="031A8D42" w14:textId="77777777">
        <w:trPr>
          <w:trHeight w:val="605"/>
        </w:trPr>
        <w:tc>
          <w:tcPr>
            <w:tcW w:w="3897" w:type="dxa"/>
            <w:shd w:val="clear" w:color="auto" w:fill="EEECE1"/>
            <w:vAlign w:val="center"/>
          </w:tcPr>
          <w:p w14:paraId="2566DE46"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3A59D08" w:rsidR="00E1774B" w:rsidRDefault="00E1774B" w:rsidP="00E1774B">
            <w:pPr>
              <w:jc w:val="center"/>
            </w:pPr>
            <w:r w:rsidRPr="00AD60A7">
              <w:t>√</w:t>
            </w:r>
          </w:p>
        </w:tc>
        <w:tc>
          <w:tcPr>
            <w:tcW w:w="944" w:type="dxa"/>
            <w:vAlign w:val="center"/>
          </w:tcPr>
          <w:p w14:paraId="595466B0" w14:textId="77777777" w:rsidR="00E1774B" w:rsidRDefault="00E1774B" w:rsidP="00E1774B">
            <w:pPr>
              <w:jc w:val="center"/>
            </w:pPr>
          </w:p>
        </w:tc>
        <w:tc>
          <w:tcPr>
            <w:tcW w:w="1177" w:type="dxa"/>
            <w:vAlign w:val="center"/>
          </w:tcPr>
          <w:p w14:paraId="15F456C4" w14:textId="26C09F19" w:rsidR="00E1774B" w:rsidRDefault="00E1774B" w:rsidP="00E1774B">
            <w:pPr>
              <w:jc w:val="center"/>
            </w:pPr>
          </w:p>
        </w:tc>
        <w:tc>
          <w:tcPr>
            <w:tcW w:w="3978" w:type="dxa"/>
            <w:vAlign w:val="center"/>
          </w:tcPr>
          <w:p w14:paraId="59B15519" w14:textId="4E90053B" w:rsidR="00E1774B" w:rsidRDefault="00E1774B" w:rsidP="00E1774B">
            <w:pPr>
              <w:jc w:val="center"/>
            </w:pPr>
          </w:p>
        </w:tc>
      </w:tr>
      <w:tr w:rsidR="00E1774B" w14:paraId="63828664" w14:textId="77777777">
        <w:trPr>
          <w:trHeight w:val="453"/>
        </w:trPr>
        <w:tc>
          <w:tcPr>
            <w:tcW w:w="3897" w:type="dxa"/>
            <w:shd w:val="clear" w:color="auto" w:fill="EEECE1"/>
            <w:vAlign w:val="center"/>
          </w:tcPr>
          <w:p w14:paraId="2CA9C30B"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385E797" w:rsidR="00E1774B" w:rsidRDefault="00E1774B" w:rsidP="00E1774B">
            <w:pPr>
              <w:jc w:val="center"/>
            </w:pPr>
            <w:r w:rsidRPr="00AD60A7">
              <w:t>√</w:t>
            </w:r>
          </w:p>
        </w:tc>
        <w:tc>
          <w:tcPr>
            <w:tcW w:w="944" w:type="dxa"/>
            <w:vAlign w:val="center"/>
          </w:tcPr>
          <w:p w14:paraId="755EE886" w14:textId="77777777" w:rsidR="00E1774B" w:rsidRDefault="00E1774B" w:rsidP="00E1774B">
            <w:pPr>
              <w:jc w:val="center"/>
            </w:pPr>
          </w:p>
        </w:tc>
        <w:tc>
          <w:tcPr>
            <w:tcW w:w="1177" w:type="dxa"/>
            <w:vAlign w:val="center"/>
          </w:tcPr>
          <w:p w14:paraId="550B51DE" w14:textId="46A44452" w:rsidR="00E1774B" w:rsidRDefault="00E1774B" w:rsidP="00E1774B">
            <w:pPr>
              <w:jc w:val="center"/>
            </w:pPr>
          </w:p>
        </w:tc>
        <w:tc>
          <w:tcPr>
            <w:tcW w:w="3978" w:type="dxa"/>
            <w:vAlign w:val="center"/>
          </w:tcPr>
          <w:p w14:paraId="2E508EC9" w14:textId="06257829" w:rsidR="00E1774B" w:rsidRDefault="00E1774B" w:rsidP="00E1774B">
            <w:pPr>
              <w:jc w:val="center"/>
            </w:pPr>
          </w:p>
        </w:tc>
      </w:tr>
      <w:tr w:rsidR="00E1774B" w14:paraId="2BC8EA47" w14:textId="77777777" w:rsidTr="007A68B3">
        <w:trPr>
          <w:trHeight w:val="622"/>
        </w:trPr>
        <w:tc>
          <w:tcPr>
            <w:tcW w:w="3897" w:type="dxa"/>
            <w:shd w:val="clear" w:color="auto" w:fill="EEECE1"/>
            <w:vAlign w:val="center"/>
          </w:tcPr>
          <w:p w14:paraId="216A8E36"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B7B0F18" w:rsidR="00E1774B" w:rsidRDefault="00E1774B" w:rsidP="00E1774B">
            <w:pPr>
              <w:jc w:val="center"/>
            </w:pPr>
            <w:r w:rsidRPr="00683969">
              <w:t>√</w:t>
            </w:r>
          </w:p>
        </w:tc>
        <w:tc>
          <w:tcPr>
            <w:tcW w:w="944" w:type="dxa"/>
            <w:vAlign w:val="center"/>
          </w:tcPr>
          <w:p w14:paraId="61FA7EFC" w14:textId="77777777" w:rsidR="00E1774B" w:rsidRDefault="00E1774B" w:rsidP="00E1774B">
            <w:pPr>
              <w:jc w:val="center"/>
            </w:pPr>
          </w:p>
        </w:tc>
        <w:tc>
          <w:tcPr>
            <w:tcW w:w="1177" w:type="dxa"/>
            <w:vAlign w:val="center"/>
          </w:tcPr>
          <w:p w14:paraId="61E6639C" w14:textId="77777777" w:rsidR="00E1774B" w:rsidRDefault="00E1774B" w:rsidP="00E1774B">
            <w:pPr>
              <w:jc w:val="center"/>
            </w:pPr>
          </w:p>
        </w:tc>
        <w:tc>
          <w:tcPr>
            <w:tcW w:w="3978" w:type="dxa"/>
            <w:vAlign w:val="center"/>
          </w:tcPr>
          <w:p w14:paraId="5E883E3F" w14:textId="342B2078" w:rsidR="00E1774B" w:rsidRDefault="00E1774B" w:rsidP="00E1774B">
            <w:pPr>
              <w:jc w:val="center"/>
            </w:pPr>
          </w:p>
        </w:tc>
      </w:tr>
      <w:tr w:rsidR="00E1774B" w14:paraId="73B9F130" w14:textId="77777777" w:rsidTr="007A68B3">
        <w:trPr>
          <w:trHeight w:val="574"/>
        </w:trPr>
        <w:tc>
          <w:tcPr>
            <w:tcW w:w="3897" w:type="dxa"/>
            <w:shd w:val="clear" w:color="auto" w:fill="EEECE1"/>
            <w:vAlign w:val="center"/>
          </w:tcPr>
          <w:p w14:paraId="55D07524"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3AFF1211" w:rsidR="00E1774B" w:rsidRDefault="00E1774B" w:rsidP="00E1774B">
            <w:pPr>
              <w:jc w:val="center"/>
            </w:pPr>
            <w:r w:rsidRPr="00683969">
              <w:t>√</w:t>
            </w:r>
          </w:p>
        </w:tc>
        <w:tc>
          <w:tcPr>
            <w:tcW w:w="944" w:type="dxa"/>
            <w:vAlign w:val="center"/>
          </w:tcPr>
          <w:p w14:paraId="3A1F7461" w14:textId="77777777" w:rsidR="00E1774B" w:rsidRDefault="00E1774B" w:rsidP="00E1774B">
            <w:pPr>
              <w:jc w:val="center"/>
            </w:pPr>
          </w:p>
        </w:tc>
        <w:tc>
          <w:tcPr>
            <w:tcW w:w="1177" w:type="dxa"/>
            <w:vAlign w:val="center"/>
          </w:tcPr>
          <w:p w14:paraId="63C06D60" w14:textId="77777777" w:rsidR="00E1774B" w:rsidRDefault="00E1774B" w:rsidP="00E1774B">
            <w:pPr>
              <w:jc w:val="center"/>
            </w:pPr>
          </w:p>
        </w:tc>
        <w:tc>
          <w:tcPr>
            <w:tcW w:w="3978" w:type="dxa"/>
            <w:vAlign w:val="center"/>
          </w:tcPr>
          <w:p w14:paraId="6FA3A33B" w14:textId="7589779A" w:rsidR="00E1774B" w:rsidRDefault="00E1774B" w:rsidP="00E1774B">
            <w:pPr>
              <w:jc w:val="center"/>
            </w:pPr>
          </w:p>
        </w:tc>
      </w:tr>
      <w:tr w:rsidR="00E1774B" w14:paraId="48272684" w14:textId="77777777" w:rsidTr="007A68B3">
        <w:trPr>
          <w:trHeight w:val="533"/>
        </w:trPr>
        <w:tc>
          <w:tcPr>
            <w:tcW w:w="3897" w:type="dxa"/>
            <w:shd w:val="clear" w:color="auto" w:fill="EEECE1"/>
            <w:vAlign w:val="center"/>
          </w:tcPr>
          <w:p w14:paraId="3F66A7DD"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664E3E0" w:rsidR="00E1774B" w:rsidRDefault="00E1774B" w:rsidP="00E1774B">
            <w:pPr>
              <w:jc w:val="center"/>
            </w:pPr>
            <w:r w:rsidRPr="00683969">
              <w:t>√</w:t>
            </w:r>
          </w:p>
        </w:tc>
        <w:tc>
          <w:tcPr>
            <w:tcW w:w="944" w:type="dxa"/>
            <w:vAlign w:val="center"/>
          </w:tcPr>
          <w:p w14:paraId="750070BF" w14:textId="77777777" w:rsidR="00E1774B" w:rsidRDefault="00E1774B" w:rsidP="00E1774B">
            <w:pPr>
              <w:jc w:val="center"/>
            </w:pPr>
          </w:p>
        </w:tc>
        <w:tc>
          <w:tcPr>
            <w:tcW w:w="1177" w:type="dxa"/>
            <w:vAlign w:val="center"/>
          </w:tcPr>
          <w:p w14:paraId="2CF2410E" w14:textId="77777777" w:rsidR="00E1774B" w:rsidRDefault="00E1774B" w:rsidP="00E1774B">
            <w:pPr>
              <w:jc w:val="center"/>
            </w:pPr>
          </w:p>
        </w:tc>
        <w:tc>
          <w:tcPr>
            <w:tcW w:w="3978" w:type="dxa"/>
            <w:vAlign w:val="center"/>
          </w:tcPr>
          <w:p w14:paraId="64B67EB1" w14:textId="35BE513F" w:rsidR="00E1774B" w:rsidRDefault="00E1774B" w:rsidP="00E1774B">
            <w:pPr>
              <w:jc w:val="center"/>
            </w:pPr>
          </w:p>
        </w:tc>
      </w:tr>
      <w:tr w:rsidR="00E1774B" w14:paraId="2739CAFA" w14:textId="77777777" w:rsidTr="007A68B3">
        <w:trPr>
          <w:trHeight w:val="453"/>
        </w:trPr>
        <w:tc>
          <w:tcPr>
            <w:tcW w:w="3897" w:type="dxa"/>
            <w:shd w:val="clear" w:color="auto" w:fill="EEECE1"/>
            <w:vAlign w:val="center"/>
          </w:tcPr>
          <w:p w14:paraId="20FD641B"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786F013" w:rsidR="00E1774B" w:rsidRDefault="00E1774B" w:rsidP="00E1774B">
            <w:pPr>
              <w:jc w:val="center"/>
            </w:pPr>
            <w:r w:rsidRPr="00683969">
              <w:t>√</w:t>
            </w:r>
          </w:p>
        </w:tc>
        <w:tc>
          <w:tcPr>
            <w:tcW w:w="944" w:type="dxa"/>
            <w:vAlign w:val="center"/>
          </w:tcPr>
          <w:p w14:paraId="04E6AB52" w14:textId="77777777" w:rsidR="00E1774B" w:rsidRDefault="00E1774B" w:rsidP="00E1774B">
            <w:pPr>
              <w:jc w:val="center"/>
            </w:pPr>
          </w:p>
        </w:tc>
        <w:tc>
          <w:tcPr>
            <w:tcW w:w="1177" w:type="dxa"/>
            <w:vAlign w:val="center"/>
          </w:tcPr>
          <w:p w14:paraId="204722F0" w14:textId="77777777" w:rsidR="00E1774B" w:rsidRDefault="00E1774B" w:rsidP="00E1774B">
            <w:pPr>
              <w:jc w:val="center"/>
            </w:pPr>
          </w:p>
        </w:tc>
        <w:tc>
          <w:tcPr>
            <w:tcW w:w="3978" w:type="dxa"/>
            <w:vAlign w:val="center"/>
          </w:tcPr>
          <w:p w14:paraId="6EBEC288" w14:textId="77777777" w:rsidR="00E1774B" w:rsidRDefault="00E1774B" w:rsidP="00E1774B">
            <w:pPr>
              <w:jc w:val="center"/>
            </w:pPr>
          </w:p>
        </w:tc>
      </w:tr>
      <w:tr w:rsidR="00E1774B" w14:paraId="775BDB18" w14:textId="77777777" w:rsidTr="007A68B3">
        <w:trPr>
          <w:trHeight w:val="453"/>
        </w:trPr>
        <w:tc>
          <w:tcPr>
            <w:tcW w:w="3897" w:type="dxa"/>
            <w:shd w:val="clear" w:color="auto" w:fill="EEECE1"/>
            <w:vAlign w:val="center"/>
          </w:tcPr>
          <w:p w14:paraId="6F2C9E20"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EB4F1BB" w:rsidR="00E1774B" w:rsidRDefault="00E1774B" w:rsidP="00E1774B">
            <w:pPr>
              <w:jc w:val="center"/>
            </w:pPr>
            <w:r w:rsidRPr="00683969">
              <w:t>√</w:t>
            </w:r>
          </w:p>
        </w:tc>
        <w:tc>
          <w:tcPr>
            <w:tcW w:w="944" w:type="dxa"/>
            <w:vAlign w:val="center"/>
          </w:tcPr>
          <w:p w14:paraId="318D4286" w14:textId="77777777" w:rsidR="00E1774B" w:rsidRDefault="00E1774B" w:rsidP="00E1774B">
            <w:pPr>
              <w:jc w:val="center"/>
            </w:pPr>
          </w:p>
        </w:tc>
        <w:tc>
          <w:tcPr>
            <w:tcW w:w="1177" w:type="dxa"/>
            <w:vAlign w:val="center"/>
          </w:tcPr>
          <w:p w14:paraId="133DE959" w14:textId="77777777" w:rsidR="00E1774B" w:rsidRDefault="00E1774B" w:rsidP="00E1774B">
            <w:pPr>
              <w:jc w:val="center"/>
            </w:pPr>
          </w:p>
        </w:tc>
        <w:tc>
          <w:tcPr>
            <w:tcW w:w="3978" w:type="dxa"/>
            <w:vAlign w:val="center"/>
          </w:tcPr>
          <w:p w14:paraId="492DA691" w14:textId="613FB2EE" w:rsidR="00E1774B" w:rsidRDefault="00E1774B" w:rsidP="00E1774B">
            <w:pPr>
              <w:jc w:val="center"/>
            </w:pPr>
          </w:p>
        </w:tc>
      </w:tr>
      <w:tr w:rsidR="00E1774B" w14:paraId="26B6E1C1" w14:textId="77777777" w:rsidTr="007A68B3">
        <w:trPr>
          <w:trHeight w:val="884"/>
        </w:trPr>
        <w:tc>
          <w:tcPr>
            <w:tcW w:w="3897" w:type="dxa"/>
            <w:shd w:val="clear" w:color="auto" w:fill="EEECE1"/>
            <w:vAlign w:val="center"/>
          </w:tcPr>
          <w:p w14:paraId="19F1206E"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EAA4AD5" w:rsidR="00E1774B" w:rsidRDefault="00E1774B" w:rsidP="00E1774B">
            <w:pPr>
              <w:jc w:val="center"/>
            </w:pPr>
            <w:r w:rsidRPr="00683969">
              <w:t>√</w:t>
            </w:r>
          </w:p>
        </w:tc>
        <w:tc>
          <w:tcPr>
            <w:tcW w:w="944" w:type="dxa"/>
            <w:vAlign w:val="center"/>
          </w:tcPr>
          <w:p w14:paraId="103BA3FA" w14:textId="77777777" w:rsidR="00E1774B" w:rsidRDefault="00E1774B" w:rsidP="00E1774B">
            <w:pPr>
              <w:jc w:val="center"/>
            </w:pPr>
          </w:p>
        </w:tc>
        <w:tc>
          <w:tcPr>
            <w:tcW w:w="1177" w:type="dxa"/>
            <w:vAlign w:val="center"/>
          </w:tcPr>
          <w:p w14:paraId="5B0E78D2" w14:textId="77777777" w:rsidR="00E1774B" w:rsidRDefault="00E1774B" w:rsidP="00E1774B">
            <w:pPr>
              <w:jc w:val="center"/>
            </w:pPr>
          </w:p>
        </w:tc>
        <w:tc>
          <w:tcPr>
            <w:tcW w:w="3978" w:type="dxa"/>
            <w:vAlign w:val="center"/>
          </w:tcPr>
          <w:p w14:paraId="4805EF37" w14:textId="77777777" w:rsidR="00E1774B" w:rsidRDefault="00E1774B" w:rsidP="00E1774B">
            <w:pPr>
              <w:jc w:val="center"/>
            </w:pPr>
          </w:p>
        </w:tc>
      </w:tr>
      <w:tr w:rsidR="00E1774B" w14:paraId="5337F92B" w14:textId="77777777">
        <w:trPr>
          <w:trHeight w:val="1403"/>
        </w:trPr>
        <w:tc>
          <w:tcPr>
            <w:tcW w:w="3897" w:type="dxa"/>
            <w:shd w:val="clear" w:color="auto" w:fill="EEECE1"/>
            <w:vAlign w:val="center"/>
          </w:tcPr>
          <w:p w14:paraId="50FF7B9C"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38BAFBC" w14:textId="36EC6F0E" w:rsidR="00D7646C" w:rsidRDefault="00D7646C" w:rsidP="00D7646C">
            <w:pPr>
              <w:bidi/>
            </w:pPr>
            <w:r>
              <w:rPr>
                <w:rtl/>
              </w:rPr>
              <w:t xml:space="preserve">توصيات </w:t>
            </w:r>
          </w:p>
          <w:p w14:paraId="40E189B3" w14:textId="2226D48E" w:rsidR="00D7646C" w:rsidRDefault="00D7646C" w:rsidP="00D7646C">
            <w:pPr>
              <w:bidi/>
            </w:pPr>
            <w:r>
              <w:rPr>
                <w:rtl/>
              </w:rPr>
              <w:t xml:space="preserve">حجم العينة </w:t>
            </w:r>
            <w:r>
              <w:rPr>
                <w:rFonts w:hint="cs"/>
                <w:rtl/>
              </w:rPr>
              <w:t>:</w:t>
            </w:r>
            <w:r>
              <w:rPr>
                <w:rtl/>
              </w:rPr>
              <w:t xml:space="preserve"> ذكر الباحث أن حجم العينة للاستبيان سيكون بين 80-110 مشاركًا. بالنظر إلى طبيعة التحليلات الإحصائية المقترحة</w:t>
            </w:r>
            <w:r>
              <w:t xml:space="preserve"> (</w:t>
            </w:r>
            <w:r>
              <w:rPr>
                <w:rtl/>
              </w:rPr>
              <w:t>الانحدار المتعدد، نمذجة المعادلات الهيكلية، و</w:t>
            </w:r>
            <w:r>
              <w:t>DEA)</w:t>
            </w:r>
            <w:r>
              <w:rPr>
                <w:rtl/>
              </w:rPr>
              <w:t>، قد يكون هذا الحجم مناسبًا، ولكن يُفضل مراجعة المعادلات الإحصائية لتحديد الحجم الأمثل الذي يضمن قوة إحصائية كافية</w:t>
            </w:r>
            <w:r>
              <w:t xml:space="preserve"> (Statistical Power)</w:t>
            </w:r>
            <w:r>
              <w:rPr>
                <w:rtl/>
              </w:rPr>
              <w:t>، خاصة وأن الباحث يستخدم تقنيات متقدمة. يُنصح باستخدام برامج تحديد حجم العينة مثل</w:t>
            </w:r>
            <w:r>
              <w:t xml:space="preserve"> (G*Power).</w:t>
            </w:r>
          </w:p>
          <w:p w14:paraId="276C8008" w14:textId="77777777" w:rsidR="00D7646C" w:rsidRDefault="00D7646C" w:rsidP="00D7646C">
            <w:pPr>
              <w:bidi/>
            </w:pPr>
          </w:p>
          <w:p w14:paraId="08786AE2" w14:textId="77777777" w:rsidR="00D7646C" w:rsidRDefault="00D7646C" w:rsidP="00D7646C">
            <w:pPr>
              <w:bidi/>
            </w:pPr>
            <w:r>
              <w:rPr>
                <w:rtl/>
              </w:rPr>
              <w:t>توثيق المراجع في النص: لاحظت وجود بعض المراجع في المتن</w:t>
            </w:r>
            <w:r>
              <w:t xml:space="preserve"> (</w:t>
            </w:r>
            <w:r>
              <w:rPr>
                <w:rtl/>
              </w:rPr>
              <w:t>مثل</w:t>
            </w:r>
            <w:r>
              <w:t xml:space="preserve">: </w:t>
            </w:r>
            <w:proofErr w:type="spellStart"/>
            <w:r>
              <w:t>Dağistan</w:t>
            </w:r>
            <w:proofErr w:type="spellEnd"/>
            <w:r>
              <w:t xml:space="preserve"> et al., 2025; Hossain, 2025; Deng, Lu &amp; Chen, 2025) </w:t>
            </w:r>
            <w:r>
              <w:rPr>
                <w:rtl/>
              </w:rPr>
              <w:t>وهي مراجع حديثة جدًا لعام 2025، وهذا ممتاز. ولكن يجب التأكد من إدراجها جميعًا في قائمة المراجع النهائية بدقة</w:t>
            </w:r>
            <w:r>
              <w:t>.</w:t>
            </w:r>
          </w:p>
          <w:p w14:paraId="0EA90784" w14:textId="77777777" w:rsidR="00D7646C" w:rsidRDefault="00D7646C" w:rsidP="00D7646C">
            <w:pPr>
              <w:bidi/>
            </w:pPr>
          </w:p>
          <w:p w14:paraId="05921B43" w14:textId="77777777" w:rsidR="00D7646C" w:rsidRDefault="00D7646C" w:rsidP="00D7646C">
            <w:pPr>
              <w:bidi/>
            </w:pPr>
            <w:r>
              <w:rPr>
                <w:rtl/>
              </w:rPr>
              <w:t>النموذج النظري</w:t>
            </w:r>
            <w:r>
              <w:t xml:space="preserve"> (IPIRF): </w:t>
            </w:r>
            <w:r>
              <w:rPr>
                <w:rtl/>
              </w:rPr>
              <w:t>الإطار النظري مبتكر وقوي جدًا. أنصح الباحث بالنظر في نشر هذا الإطار كـ "ورقة مفاهيمية" أو "مقال نظرية" في إحدى المجلات العلمية المصنفة بعد الانتهاء من الدراسة، لأن هذا الإطار في حد ذاته يُعتبر إضافة علمية تستحق النشر</w:t>
            </w:r>
            <w:r>
              <w:t>.</w:t>
            </w:r>
          </w:p>
          <w:p w14:paraId="512C97AE" w14:textId="77777777" w:rsidR="00D7646C" w:rsidRDefault="00D7646C" w:rsidP="00D7646C">
            <w:pPr>
              <w:bidi/>
            </w:pPr>
          </w:p>
          <w:p w14:paraId="36C3CCD9" w14:textId="77777777" w:rsidR="00D7646C" w:rsidRDefault="00D7646C" w:rsidP="00D7646C">
            <w:pPr>
              <w:bidi/>
            </w:pPr>
            <w:r>
              <w:rPr>
                <w:rtl/>
              </w:rPr>
              <w:t>تحليل البيانات الكيفية: تم التطرق لاستخدام برنامج</w:t>
            </w:r>
            <w:r>
              <w:t xml:space="preserve"> (NVivo) </w:t>
            </w:r>
            <w:r>
              <w:rPr>
                <w:rtl/>
              </w:rPr>
              <w:t xml:space="preserve">لتحليل البيانات النوعية، وهذا </w:t>
            </w:r>
            <w:r>
              <w:rPr>
                <w:rtl/>
              </w:rPr>
              <w:lastRenderedPageBreak/>
              <w:t>ممتاز. أنصح أيضًا باستخدام طريقة التثليث</w:t>
            </w:r>
            <w:r>
              <w:t xml:space="preserve"> (Triangulation) </w:t>
            </w:r>
            <w:r>
              <w:rPr>
                <w:rtl/>
              </w:rPr>
              <w:t>للتحقق من صحة النتائج من خلال مقارنة ما توصلت إليه المقابلات مع ما أظهرته مصفوفة</w:t>
            </w:r>
            <w:r>
              <w:t xml:space="preserve"> IPIRF </w:t>
            </w:r>
            <w:r>
              <w:rPr>
                <w:rtl/>
              </w:rPr>
              <w:t>وتحليل الوثائق</w:t>
            </w:r>
            <w:r>
              <w:t>.</w:t>
            </w:r>
          </w:p>
          <w:p w14:paraId="1096641F" w14:textId="77777777" w:rsidR="00D7646C" w:rsidRDefault="00D7646C" w:rsidP="00D7646C">
            <w:pPr>
              <w:bidi/>
            </w:pPr>
          </w:p>
          <w:p w14:paraId="748BB115" w14:textId="28C0D974" w:rsidR="00D7646C" w:rsidRDefault="00D7646C" w:rsidP="00D7646C">
            <w:pPr>
              <w:bidi/>
            </w:pPr>
            <w:r>
              <w:rPr>
                <w:rtl/>
              </w:rPr>
              <w:t>القيود: ) تم ذكر القيود بشكل موضوعي (تصميم دراسة حالة واحدة، صعوبة الوصول للبيانات السرية). هذا يعكس نضجًا بحثيًا. يمكن إضافة قيد آخر وهو أن التغيرات التكنولوجية السريعة قد تجعل بعض التوصيات التقنية قديمة بسرعة، لذلك يُنصح ببناء خارطة طريق قابلة للتكيف</w:t>
            </w:r>
            <w:r>
              <w:t xml:space="preserve"> (Adaptive Roadmap).</w:t>
            </w:r>
          </w:p>
          <w:p w14:paraId="7435E8FC" w14:textId="0962EF91" w:rsidR="00E1774B" w:rsidRDefault="00E1774B" w:rsidP="00D7646C">
            <w:pPr>
              <w:bidi/>
            </w:pP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8239B5"/>
    <w:rsid w:val="008D7A2A"/>
    <w:rsid w:val="00AD60A7"/>
    <w:rsid w:val="00C60C27"/>
    <w:rsid w:val="00D34A3E"/>
    <w:rsid w:val="00D7646C"/>
    <w:rsid w:val="00E1774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5E0E9DBC-4A58-4DA0-85E5-C954BDA2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16</cp:revision>
  <dcterms:created xsi:type="dcterms:W3CDTF">2025-07-04T13:09:00Z</dcterms:created>
  <dcterms:modified xsi:type="dcterms:W3CDTF">2026-07-22T16:01:00Z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