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715DD5">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ميدأوشن </w:t>
      </w:r>
    </w:p>
    <w:p w14:paraId="1E957002" w14:textId="06C399EB" w:rsidR="00F546CE" w:rsidRPr="004B6AF8" w:rsidRDefault="009125CE" w:rsidP="00715DD5">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w:t>
      </w:r>
      <w:r w:rsidR="00715DD5">
        <w:rPr>
          <w:rFonts w:asciiTheme="majorBidi" w:hAnsiTheme="majorBidi" w:cstheme="majorBidi" w:hint="cs"/>
          <w:color w:val="000000" w:themeColor="text1"/>
          <w:sz w:val="24"/>
          <w:szCs w:val="24"/>
          <w:rtl/>
          <w:lang w:bidi="ar-EG"/>
        </w:rPr>
        <w:t xml:space="preserve">العلوم الإنسانية </w:t>
      </w:r>
    </w:p>
    <w:p w14:paraId="76A6F8B4" w14:textId="786A7336" w:rsidR="00471290" w:rsidRPr="00471290" w:rsidRDefault="0034558C" w:rsidP="00715DD5">
      <w:pPr>
        <w:spacing w:line="360" w:lineRule="auto"/>
        <w:ind w:left="360"/>
        <w:rPr>
          <w:rFonts w:asciiTheme="majorBidi" w:eastAsia="Calibri" w:hAnsiTheme="majorBidi" w:cstheme="majorBidi"/>
          <w:b/>
          <w:bCs/>
          <w:sz w:val="24"/>
          <w:szCs w:val="24"/>
          <w:rtl/>
        </w:rPr>
      </w:pPr>
      <w:r w:rsidRPr="0034558C">
        <w:rPr>
          <w:rFonts w:asciiTheme="majorBidi" w:eastAsia="Calibri" w:hAnsiTheme="majorBidi" w:cstheme="majorBidi"/>
          <w:sz w:val="24"/>
          <w:szCs w:val="24"/>
          <w:rtl/>
        </w:rPr>
        <w:t xml:space="preserve">تخصص </w:t>
      </w:r>
      <w:r w:rsidR="00715DD5">
        <w:rPr>
          <w:rFonts w:asciiTheme="majorBidi" w:eastAsia="Calibri" w:hAnsiTheme="majorBidi" w:cstheme="majorBidi" w:hint="cs"/>
          <w:sz w:val="24"/>
          <w:szCs w:val="24"/>
          <w:rtl/>
        </w:rPr>
        <w:t>إعلام رقمى</w:t>
      </w:r>
    </w:p>
    <w:p w14:paraId="7E9FF604" w14:textId="77777777" w:rsidR="00471290" w:rsidRPr="00471290" w:rsidRDefault="00471290" w:rsidP="00715DD5">
      <w:pPr>
        <w:spacing w:line="360" w:lineRule="auto"/>
        <w:ind w:left="360"/>
        <w:jc w:val="center"/>
        <w:rPr>
          <w:rFonts w:asciiTheme="majorBidi" w:eastAsia="Calibri" w:hAnsiTheme="majorBidi" w:cstheme="majorBidi"/>
          <w:b/>
          <w:bCs/>
          <w:sz w:val="24"/>
          <w:szCs w:val="24"/>
          <w:rtl/>
          <w:lang w:bidi="ar-EG"/>
        </w:rPr>
      </w:pPr>
    </w:p>
    <w:p w14:paraId="14B71F48" w14:textId="77777777" w:rsidR="00715DD5" w:rsidRDefault="00715DD5" w:rsidP="00715DD5">
      <w:pPr>
        <w:spacing w:line="360" w:lineRule="auto"/>
        <w:ind w:left="360"/>
        <w:jc w:val="center"/>
        <w:rPr>
          <w:rFonts w:asciiTheme="majorBidi" w:eastAsia="Calibri" w:hAnsiTheme="majorBidi" w:cstheme="majorBidi"/>
          <w:b/>
          <w:bCs/>
          <w:sz w:val="28"/>
          <w:szCs w:val="28"/>
          <w:rtl/>
        </w:rPr>
      </w:pPr>
    </w:p>
    <w:p w14:paraId="36224AFE" w14:textId="79678DC8" w:rsidR="0034558C" w:rsidRPr="00715DD5" w:rsidRDefault="00715DD5" w:rsidP="00715DD5">
      <w:pPr>
        <w:spacing w:line="360" w:lineRule="auto"/>
        <w:ind w:left="360"/>
        <w:jc w:val="center"/>
        <w:rPr>
          <w:rFonts w:ascii="Traditional Arabic" w:eastAsia="Calibri" w:hAnsi="Traditional Arabic" w:cs="Traditional Arabic"/>
          <w:b/>
          <w:bCs/>
          <w:sz w:val="32"/>
          <w:szCs w:val="32"/>
          <w:rtl/>
        </w:rPr>
      </w:pPr>
      <w:r w:rsidRPr="00715DD5">
        <w:rPr>
          <w:rFonts w:ascii="Traditional Arabic" w:eastAsia="Calibri" w:hAnsi="Traditional Arabic" w:cs="Traditional Arabic" w:hint="cs"/>
          <w:b/>
          <w:bCs/>
          <w:sz w:val="32"/>
          <w:szCs w:val="32"/>
          <w:rtl/>
        </w:rPr>
        <w:t>تقرير حول النزاهة الأكاديمية وأخلاقيات البحث العلمي والأمانة العلمية</w:t>
      </w:r>
    </w:p>
    <w:p w14:paraId="40972D83" w14:textId="314B1B89" w:rsidR="0034558C" w:rsidRPr="00715DD5" w:rsidRDefault="0034558C" w:rsidP="00715DD5">
      <w:pPr>
        <w:spacing w:line="360" w:lineRule="auto"/>
        <w:ind w:left="360"/>
        <w:jc w:val="center"/>
        <w:rPr>
          <w:rFonts w:ascii="Traditional Arabic" w:eastAsia="Calibri" w:hAnsi="Traditional Arabic" w:cs="Traditional Arabic"/>
          <w:b/>
          <w:bCs/>
          <w:sz w:val="32"/>
          <w:szCs w:val="32"/>
        </w:rPr>
      </w:pPr>
      <w:r w:rsidRPr="00715DD5">
        <w:rPr>
          <w:rFonts w:ascii="Traditional Arabic" w:eastAsia="Calibri" w:hAnsi="Traditional Arabic" w:cs="Traditional Arabic" w:hint="cs"/>
          <w:b/>
          <w:bCs/>
          <w:sz w:val="32"/>
          <w:szCs w:val="32"/>
          <w:rtl/>
        </w:rPr>
        <w:t>أثر استخدام تقنيات الذكاء الاصطناعي في إنتاج المحتوى الرقمي على تفاعل الجمهور</w:t>
      </w:r>
      <w:r w:rsidRPr="00715DD5">
        <w:rPr>
          <w:rFonts w:ascii="Traditional Arabic" w:eastAsia="Calibri" w:hAnsi="Traditional Arabic" w:cs="Traditional Arabic" w:hint="cs"/>
          <w:b/>
          <w:bCs/>
          <w:sz w:val="32"/>
          <w:szCs w:val="32"/>
        </w:rPr>
        <w:t xml:space="preserve"> –</w:t>
      </w:r>
    </w:p>
    <w:p w14:paraId="7A592E57" w14:textId="77777777" w:rsidR="0034558C" w:rsidRPr="00715DD5" w:rsidRDefault="0034558C" w:rsidP="00715DD5">
      <w:pPr>
        <w:spacing w:line="360" w:lineRule="auto"/>
        <w:ind w:left="360"/>
        <w:jc w:val="center"/>
        <w:rPr>
          <w:rFonts w:ascii="Traditional Arabic" w:eastAsia="Calibri" w:hAnsi="Traditional Arabic" w:cs="Traditional Arabic"/>
          <w:b/>
          <w:bCs/>
          <w:sz w:val="32"/>
          <w:szCs w:val="32"/>
          <w:rtl/>
        </w:rPr>
      </w:pPr>
      <w:r w:rsidRPr="00715DD5">
        <w:rPr>
          <w:rFonts w:ascii="Traditional Arabic" w:eastAsia="Calibri" w:hAnsi="Traditional Arabic" w:cs="Traditional Arabic" w:hint="cs"/>
          <w:b/>
          <w:bCs/>
          <w:sz w:val="32"/>
          <w:szCs w:val="32"/>
          <w:rtl/>
        </w:rPr>
        <w:t xml:space="preserve">دراسة ميدانية على منصة وزارة الإعلام السعودية </w:t>
      </w:r>
    </w:p>
    <w:p w14:paraId="01B23D67" w14:textId="58CAE251" w:rsidR="00471290" w:rsidRDefault="00471290" w:rsidP="00715DD5">
      <w:pPr>
        <w:spacing w:line="360" w:lineRule="auto"/>
        <w:ind w:left="360"/>
        <w:jc w:val="center"/>
        <w:rPr>
          <w:rFonts w:ascii="Traditional Arabic" w:eastAsia="Calibri" w:hAnsi="Traditional Arabic" w:cs="Traditional Arabic"/>
          <w:b/>
          <w:bCs/>
          <w:sz w:val="28"/>
          <w:szCs w:val="28"/>
          <w:rtl/>
          <w:lang w:bidi="ar-EG"/>
        </w:rPr>
      </w:pPr>
      <w:r w:rsidRPr="00715DD5">
        <w:rPr>
          <w:rFonts w:ascii="Traditional Arabic" w:eastAsia="Calibri" w:hAnsi="Traditional Arabic" w:cs="Traditional Arabic" w:hint="cs"/>
          <w:b/>
          <w:bCs/>
          <w:sz w:val="28"/>
          <w:szCs w:val="28"/>
          <w:rtl/>
          <w:lang w:bidi="ar-EG"/>
        </w:rPr>
        <w:t>إعداد الطالب/</w:t>
      </w:r>
    </w:p>
    <w:p w14:paraId="0C368F78" w14:textId="26C3FE99" w:rsidR="00813708" w:rsidRPr="00715DD5" w:rsidRDefault="00813708" w:rsidP="00715DD5">
      <w:pPr>
        <w:spacing w:line="360" w:lineRule="auto"/>
        <w:ind w:left="360"/>
        <w:jc w:val="center"/>
        <w:rPr>
          <w:rFonts w:ascii="Traditional Arabic" w:eastAsia="Calibri" w:hAnsi="Traditional Arabic" w:cs="Traditional Arabic"/>
          <w:b/>
          <w:bCs/>
          <w:sz w:val="28"/>
          <w:szCs w:val="28"/>
          <w:rtl/>
          <w:lang w:bidi="ar-EG"/>
        </w:rPr>
      </w:pPr>
      <w:r>
        <w:rPr>
          <w:rFonts w:ascii="Traditional Arabic" w:eastAsia="Calibri" w:hAnsi="Traditional Arabic" w:cs="Traditional Arabic" w:hint="cs"/>
          <w:b/>
          <w:bCs/>
          <w:sz w:val="28"/>
          <w:szCs w:val="28"/>
          <w:rtl/>
          <w:lang w:bidi="ar-EG"/>
        </w:rPr>
        <w:t>فاطمة صالح النجار</w:t>
      </w:r>
    </w:p>
    <w:p w14:paraId="08686BBE" w14:textId="77777777" w:rsidR="0034558C" w:rsidRPr="00715DD5" w:rsidRDefault="0034558C" w:rsidP="00715DD5">
      <w:pPr>
        <w:spacing w:line="360" w:lineRule="auto"/>
        <w:ind w:left="360"/>
        <w:jc w:val="center"/>
        <w:rPr>
          <w:rFonts w:ascii="Traditional Arabic" w:eastAsia="Calibri" w:hAnsi="Traditional Arabic" w:cs="Traditional Arabic"/>
          <w:b/>
          <w:bCs/>
          <w:sz w:val="28"/>
          <w:szCs w:val="28"/>
          <w:rtl/>
        </w:rPr>
      </w:pPr>
    </w:p>
    <w:p w14:paraId="1BFC9AA6" w14:textId="77777777" w:rsidR="0034558C" w:rsidRPr="00715DD5" w:rsidRDefault="0034558C" w:rsidP="00715DD5">
      <w:pPr>
        <w:spacing w:line="360" w:lineRule="auto"/>
        <w:ind w:left="360"/>
        <w:jc w:val="center"/>
        <w:rPr>
          <w:rFonts w:ascii="Traditional Arabic" w:eastAsia="Calibri" w:hAnsi="Traditional Arabic" w:cs="Traditional Arabic"/>
          <w:b/>
          <w:bCs/>
          <w:sz w:val="28"/>
          <w:szCs w:val="28"/>
          <w:rtl/>
        </w:rPr>
      </w:pPr>
    </w:p>
    <w:p w14:paraId="22738CC6" w14:textId="480AF1C6" w:rsidR="009125CE" w:rsidRPr="00715DD5" w:rsidRDefault="009125CE" w:rsidP="00813708">
      <w:pPr>
        <w:spacing w:line="360" w:lineRule="auto"/>
        <w:ind w:left="360"/>
        <w:jc w:val="center"/>
        <w:rPr>
          <w:rFonts w:ascii="Traditional Arabic" w:hAnsi="Traditional Arabic" w:cs="Traditional Arabic"/>
          <w:color w:val="000000" w:themeColor="text1"/>
          <w:sz w:val="28"/>
          <w:szCs w:val="28"/>
          <w:rtl/>
          <w:lang w:bidi="ar-EG"/>
        </w:rPr>
      </w:pPr>
      <w:r w:rsidRPr="00715DD5">
        <w:rPr>
          <w:rFonts w:ascii="Traditional Arabic" w:hAnsi="Traditional Arabic" w:cs="Traditional Arabic" w:hint="cs"/>
          <w:color w:val="000000" w:themeColor="text1"/>
          <w:sz w:val="28"/>
          <w:szCs w:val="28"/>
          <w:rtl/>
          <w:lang w:bidi="ar-EG"/>
        </w:rPr>
        <w:t>إشراف/</w:t>
      </w:r>
    </w:p>
    <w:p w14:paraId="0095E8AB" w14:textId="77777777" w:rsidR="00715DD5" w:rsidRPr="00715DD5" w:rsidRDefault="00715DD5" w:rsidP="00715DD5">
      <w:pPr>
        <w:spacing w:line="360" w:lineRule="auto"/>
        <w:jc w:val="center"/>
        <w:rPr>
          <w:rFonts w:ascii="Traditional Arabic" w:hAnsi="Traditional Arabic" w:cs="Traditional Arabic"/>
          <w:color w:val="000000" w:themeColor="text1"/>
          <w:sz w:val="28"/>
          <w:szCs w:val="28"/>
          <w:rtl/>
          <w:lang w:bidi="ar-EG"/>
        </w:rPr>
      </w:pPr>
    </w:p>
    <w:p w14:paraId="5F85CEF9" w14:textId="77777777" w:rsidR="00715DD5" w:rsidRPr="00715DD5" w:rsidRDefault="00715DD5" w:rsidP="00715DD5">
      <w:pPr>
        <w:spacing w:line="360" w:lineRule="auto"/>
        <w:jc w:val="center"/>
        <w:rPr>
          <w:rFonts w:ascii="Traditional Arabic" w:hAnsi="Traditional Arabic" w:cs="Traditional Arabic"/>
          <w:color w:val="000000" w:themeColor="text1"/>
          <w:sz w:val="28"/>
          <w:szCs w:val="28"/>
          <w:rtl/>
          <w:lang w:bidi="ar-EG"/>
        </w:rPr>
      </w:pPr>
    </w:p>
    <w:p w14:paraId="6C5FC666" w14:textId="77777777" w:rsidR="00715DD5" w:rsidRPr="00715DD5" w:rsidRDefault="00715DD5" w:rsidP="00715DD5">
      <w:pPr>
        <w:spacing w:line="360" w:lineRule="auto"/>
        <w:jc w:val="center"/>
        <w:rPr>
          <w:rFonts w:ascii="Traditional Arabic" w:hAnsi="Traditional Arabic" w:cs="Traditional Arabic"/>
          <w:color w:val="000000" w:themeColor="text1"/>
          <w:sz w:val="28"/>
          <w:szCs w:val="28"/>
          <w:rtl/>
          <w:lang w:bidi="ar-EG"/>
        </w:rPr>
      </w:pPr>
    </w:p>
    <w:p w14:paraId="14480418" w14:textId="78A6C3AC" w:rsidR="009125CE" w:rsidRPr="00715DD5" w:rsidRDefault="009125CE" w:rsidP="00715DD5">
      <w:pPr>
        <w:spacing w:line="360" w:lineRule="auto"/>
        <w:ind w:left="360"/>
        <w:jc w:val="center"/>
        <w:rPr>
          <w:rFonts w:ascii="Traditional Arabic" w:hAnsi="Traditional Arabic" w:cs="Traditional Arabic"/>
          <w:color w:val="000000" w:themeColor="text1"/>
          <w:sz w:val="28"/>
          <w:szCs w:val="28"/>
          <w:rtl/>
          <w:lang w:bidi="ar-EG"/>
        </w:rPr>
      </w:pPr>
      <w:r w:rsidRPr="00715DD5">
        <w:rPr>
          <w:rFonts w:ascii="Traditional Arabic" w:hAnsi="Traditional Arabic" w:cs="Traditional Arabic" w:hint="cs"/>
          <w:color w:val="000000" w:themeColor="text1"/>
          <w:sz w:val="28"/>
          <w:szCs w:val="28"/>
          <w:rtl/>
          <w:lang w:bidi="ar-EG"/>
        </w:rPr>
        <w:t>العام الدراسي:</w:t>
      </w:r>
    </w:p>
    <w:p w14:paraId="0ECF42F7" w14:textId="6CDEC5BF" w:rsidR="009125CE" w:rsidRPr="00715DD5" w:rsidRDefault="002D35A2" w:rsidP="00715DD5">
      <w:pPr>
        <w:spacing w:line="360" w:lineRule="auto"/>
        <w:ind w:left="360"/>
        <w:jc w:val="center"/>
        <w:rPr>
          <w:rFonts w:ascii="Traditional Arabic" w:hAnsi="Traditional Arabic" w:cs="Traditional Arabic"/>
          <w:color w:val="000000" w:themeColor="text1"/>
          <w:sz w:val="28"/>
          <w:szCs w:val="28"/>
          <w:rtl/>
          <w:lang w:bidi="ar-EG"/>
        </w:rPr>
      </w:pPr>
      <w:r w:rsidRPr="00715DD5">
        <w:rPr>
          <w:rFonts w:ascii="Traditional Arabic" w:hAnsi="Traditional Arabic" w:cs="Traditional Arabic" w:hint="cs"/>
          <w:color w:val="000000" w:themeColor="text1"/>
          <w:sz w:val="28"/>
          <w:szCs w:val="28"/>
          <w:rtl/>
          <w:lang w:bidi="ar-EG"/>
        </w:rPr>
        <w:t>2026</w:t>
      </w:r>
    </w:p>
    <w:p w14:paraId="0F323BA9"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lastRenderedPageBreak/>
        <w:t>أولاً: مفهوم النزاهة الأكاديمية</w:t>
      </w:r>
    </w:p>
    <w:p w14:paraId="15278C0D"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تُمثّل النزاهة الأكاديمية منظومة القيم التي توجّه سلوك الباحث وتقوم على الصدق والمسؤولية والاحترام والعدالة والشفافية، وهي لا تقتصر على كونها مجرد سمة أخلاقية للباحث، بل أصبحت أحد المعايير الأساسية لتقييم البحث العلمي وتقويمه بوصفه مخرجًا رئيسًا من مخرجات التعليم العالي (أحمد، 2024). وتكتسب أهميتها من كونها الأساس الذي تُبنى عليه الثقة بين الباحث والمجتمع العلمي والمؤسسة الأكاديمية</w:t>
      </w:r>
      <w:r w:rsidRPr="00715DD5">
        <w:rPr>
          <w:rFonts w:ascii="Traditional Arabic" w:eastAsia="Times New Roman" w:hAnsi="Traditional Arabic" w:cs="Traditional Arabic" w:hint="cs"/>
          <w:sz w:val="28"/>
          <w:szCs w:val="28"/>
        </w:rPr>
        <w:t>.</w:t>
      </w:r>
    </w:p>
    <w:p w14:paraId="29349768"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ويبرز دور النزاهة الأكاديمية في تعزيز مصداقية النتائج العلمية وجودة البحوث، إذ إن الالتزام بمؤشراتها وضوابطها المتعلقة بالسلامة المنهجية والمسؤولية العلمية يسهم في تجويد البحث وتحقيق مصداقيته (أحمد، 2024)، فتصبح النتائج قابلة للتحقق والبناء عليها، وهو أمر بالغ الأهمية في الموضوعات المتسارعة كتقنيات الذكاء الاصطناعي</w:t>
      </w:r>
      <w:r w:rsidRPr="00715DD5">
        <w:rPr>
          <w:rFonts w:ascii="Traditional Arabic" w:eastAsia="Times New Roman" w:hAnsi="Traditional Arabic" w:cs="Traditional Arabic" w:hint="cs"/>
          <w:sz w:val="28"/>
          <w:szCs w:val="28"/>
        </w:rPr>
        <w:t>.</w:t>
      </w:r>
    </w:p>
    <w:p w14:paraId="61A12B99"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ثانياً: الأمانة العلمية</w:t>
      </w:r>
    </w:p>
    <w:p w14:paraId="7F127CF9"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تعني الأمانة العلمية أن ينسب الباحث كل فكرة أو معلومة إلى مصدرها الأصلي، وأن يعترف بفضل من سبقوه. ويُعدّ التوثيق الصحيح للمصادر والمراجع أحد أبرز تطبيقاتها، إذ يتيح للقارئ الرجوع إلى الأصول والتحقق منها، ويميّز بوضوح بين إنتاج الباحث وما اقتبسه. ويُسمح بالاقتباس في جميع المؤسسات البحثية ضمن نسب محددة، شريطة توثيق المصادر المقتبَس منها، وذلك تمييزًا له عن الانتحال الذي يهدف إلى نسب ملكية الغير الفكرية إلى الباحث (المنارة للاستشارات، د.ت.)</w:t>
      </w:r>
      <w:r w:rsidRPr="00715DD5">
        <w:rPr>
          <w:rFonts w:ascii="Traditional Arabic" w:eastAsia="Times New Roman" w:hAnsi="Traditional Arabic" w:cs="Traditional Arabic" w:hint="cs"/>
          <w:sz w:val="28"/>
          <w:szCs w:val="28"/>
        </w:rPr>
        <w:t>.</w:t>
      </w:r>
    </w:p>
    <w:p w14:paraId="035147FC"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ويُعرّف الانتحال العلمي بأنه ادّعاء الشخص صراحة أو ضمنًا تأليف ما كتبه غيره، أو النقل من أعمال الآخرين كليًا أو جزئيًا دون عزو مناسب (بن زينة، 2020). ويستلزم تجنّبه بمختلف أشكاله، من النسخ الحرفي إلى إعادة الصياغة دون إشارة، مع احترام حقوق الملكية الفكرية للمؤلفين. ويزداد هذا الالتزام حساسية في البحوث المتعلقة بإنتاج المحتوى الرقمي والذكاء الاصطناعي، حيث يجب التمييز الدقيق بين ما ينتجه الباحث وما تُسهم فيه الأدوات التقنية</w:t>
      </w:r>
      <w:r w:rsidRPr="00715DD5">
        <w:rPr>
          <w:rFonts w:ascii="Traditional Arabic" w:eastAsia="Times New Roman" w:hAnsi="Traditional Arabic" w:cs="Traditional Arabic" w:hint="cs"/>
          <w:sz w:val="28"/>
          <w:szCs w:val="28"/>
        </w:rPr>
        <w:t>.</w:t>
      </w:r>
    </w:p>
    <w:p w14:paraId="64BD3433" w14:textId="77777777" w:rsidR="00715DD5" w:rsidRDefault="00715DD5" w:rsidP="00715DD5">
      <w:pPr>
        <w:spacing w:line="360" w:lineRule="auto"/>
        <w:jc w:val="both"/>
        <w:rPr>
          <w:rFonts w:ascii="Traditional Arabic" w:eastAsia="Times New Roman" w:hAnsi="Traditional Arabic" w:cs="Traditional Arabic"/>
          <w:b/>
          <w:bCs/>
          <w:sz w:val="28"/>
          <w:szCs w:val="28"/>
          <w:rtl/>
        </w:rPr>
      </w:pPr>
    </w:p>
    <w:p w14:paraId="13883B6A" w14:textId="77777777" w:rsidR="00715DD5" w:rsidRDefault="00715DD5" w:rsidP="00715DD5">
      <w:pPr>
        <w:spacing w:line="360" w:lineRule="auto"/>
        <w:jc w:val="both"/>
        <w:rPr>
          <w:rFonts w:ascii="Traditional Arabic" w:eastAsia="Times New Roman" w:hAnsi="Traditional Arabic" w:cs="Traditional Arabic"/>
          <w:b/>
          <w:bCs/>
          <w:sz w:val="28"/>
          <w:szCs w:val="28"/>
          <w:rtl/>
        </w:rPr>
      </w:pPr>
    </w:p>
    <w:p w14:paraId="604334D5" w14:textId="4988789F"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lastRenderedPageBreak/>
        <w:t>ثالثاً: أخلاقيات البحث العلمي</w:t>
      </w:r>
    </w:p>
    <w:p w14:paraId="0D4EC89E"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تقوم أخلاقيات البحث على مبادئ الموضوعية والحياد والمسؤولية وعدم الإضرار. ومن أبرز التزاماتها احترام المشاركين في البحث والمحافظة على خصوصيتهم وسرية بياناتهم، بحيث لا تُستخدم المعلومات إلا في الأغراض العلمية المصرّح بها. ويتطلب إجراء الدراسات الميدانية الحصول على الموافقات الأخلاقية اللازمة من اللجان المختصة قبل جمع البيانات، إذ تمثّل موافقة لجنة الأخلاقيات حماية قانونية وأكاديمية للباحث، وتثبت اتباعه للإجراءات المطلوبة ومراعاته للجوانب الأخلاقية (دراسة.سا، 2025)</w:t>
      </w:r>
      <w:r w:rsidRPr="00715DD5">
        <w:rPr>
          <w:rFonts w:ascii="Traditional Arabic" w:eastAsia="Times New Roman" w:hAnsi="Traditional Arabic" w:cs="Traditional Arabic" w:hint="cs"/>
          <w:sz w:val="28"/>
          <w:szCs w:val="28"/>
        </w:rPr>
        <w:t>.</w:t>
      </w:r>
    </w:p>
    <w:p w14:paraId="22731BD5"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كما تنصّ السياسة الوطنية للنزاهة العلمية في المملكة العربية السعودية على التزام الباحث بالشفافية والموضوعية والدقة في صياغة مخرجات البحث، والمحافظة على السرية عند تقييم البحوث (هيئة تقويم التعليم والتدريب، د.ت.). وفي الدراسة الحالية المطبَّقة على جمهور منصة وزارة الإعلام، يصبح حفظ سرية بيانات المستجيبين والحصول على موافقتهم المستنيرة شرطًا أساسيًا لسلامة العمل أخلاقيًا</w:t>
      </w:r>
      <w:r w:rsidRPr="00715DD5">
        <w:rPr>
          <w:rFonts w:ascii="Traditional Arabic" w:eastAsia="Times New Roman" w:hAnsi="Traditional Arabic" w:cs="Traditional Arabic" w:hint="cs"/>
          <w:sz w:val="28"/>
          <w:szCs w:val="28"/>
        </w:rPr>
        <w:t>.</w:t>
      </w:r>
    </w:p>
    <w:p w14:paraId="34FF8A54"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رابعاً: مسؤوليات الباحث</w:t>
      </w:r>
    </w:p>
    <w:p w14:paraId="4A6A8B16"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يتحمّل الباحث مسؤولية الدقة والصدق في عرض النتائج كما توصّل إليها دون تجميل أو حذف، وتجنّب فبركة البيانات أو التلاعب بها أو إخفاء النتائج غير المرغوبة. ووفقًا للسياسة الوطنية للنزاهة العلمية، يلتزم الباحث بالإفصاح عن أي تعارض في المصالح المادية والمعنوية عند كتابة الأبحاث والمقترحات البحثية، وبتحمّل المسؤولية في تنفيذ البحوث ومراعاة الدقة في مخرجاتها، والاحتفاظ بسجلات بيانات الأبحاث لمدة لا تقل عن خمس سنوات (هيئة تقويم التعليم والتدريب، د.ت.). ويُتوّج ذلك بالالتزام بمعايير النشر العلمي المسؤول التي تستلزم أصالة المحتوى ومصداقية النتائج، وتشمل الإفصاح عن أي استعانة بأدوات الذكاء الاصطناعي في مراحل العمل</w:t>
      </w:r>
      <w:r w:rsidRPr="00715DD5">
        <w:rPr>
          <w:rFonts w:ascii="Traditional Arabic" w:eastAsia="Times New Roman" w:hAnsi="Traditional Arabic" w:cs="Traditional Arabic" w:hint="cs"/>
          <w:sz w:val="28"/>
          <w:szCs w:val="28"/>
        </w:rPr>
        <w:t>.</w:t>
      </w:r>
    </w:p>
    <w:p w14:paraId="7466AB46"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خامساً: التأمل الشخصي</w:t>
      </w:r>
    </w:p>
    <w:p w14:paraId="21C585EE"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 xml:space="preserve">أدرك أن موضوع رسالتي المتعلق بأثر تقنيات الذكاء الاصطناعي في إنتاج المحتوى الرقمي يضعني أمام مسؤولية أخلاقية مضاعفة؛ فأنا أبحث في أداة قد أستعين بها ذاتها، ما يستوجب وعيًا دقيقًا بالحدّ الفاصل بين الاستعانة المشروعة والانتحال. </w:t>
      </w:r>
      <w:r w:rsidRPr="00715DD5">
        <w:rPr>
          <w:rFonts w:ascii="Traditional Arabic" w:eastAsia="Times New Roman" w:hAnsi="Traditional Arabic" w:cs="Traditional Arabic" w:hint="cs"/>
          <w:sz w:val="28"/>
          <w:szCs w:val="28"/>
          <w:rtl/>
        </w:rPr>
        <w:lastRenderedPageBreak/>
        <w:t>لذا أنوي تطبيق مبادئ النزاهة والأمانة العلمية بأن أنسب كل فكرة إلى مصدرها، وأوثّق مراجعي وفق نظام</w:t>
      </w:r>
      <w:r w:rsidRPr="00715DD5">
        <w:rPr>
          <w:rFonts w:ascii="Traditional Arabic" w:eastAsia="Times New Roman" w:hAnsi="Traditional Arabic" w:cs="Traditional Arabic" w:hint="cs"/>
          <w:sz w:val="28"/>
          <w:szCs w:val="28"/>
        </w:rPr>
        <w:t xml:space="preserve"> APA</w:t>
      </w:r>
      <w:r w:rsidRPr="00715DD5">
        <w:rPr>
          <w:rFonts w:ascii="Traditional Arabic" w:eastAsia="Times New Roman" w:hAnsi="Traditional Arabic" w:cs="Traditional Arabic" w:hint="cs"/>
          <w:sz w:val="28"/>
          <w:szCs w:val="28"/>
          <w:rtl/>
        </w:rPr>
        <w:t>، وأميّز بوضوح بين تحليلي الشخصي وما تنتجه أي أداة تقنية، مع الإفصاح الصريح عن نطاق هذه الاستعانة</w:t>
      </w:r>
      <w:r w:rsidRPr="00715DD5">
        <w:rPr>
          <w:rFonts w:ascii="Traditional Arabic" w:eastAsia="Times New Roman" w:hAnsi="Traditional Arabic" w:cs="Traditional Arabic" w:hint="cs"/>
          <w:sz w:val="28"/>
          <w:szCs w:val="28"/>
        </w:rPr>
        <w:t>.</w:t>
      </w:r>
    </w:p>
    <w:p w14:paraId="31AFCBB6"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وأما الإجراءات التي سأتبعها، فتشمل الحصول على الموافقات الرسمية قبل جمع بيانات الجمهور على منصة وزارة الإعلام، وضمان سرية بيانات المستجيبين، وعرض النتائج كما تظهر دون تحيّز، وفحص الرسالة عبر برامج كشف الانتحال قبل التسليم، والرجوع المستمر إلى مشرفي للتحقق من سلامة الإجراءات المنهجية والأخلاقية، بما يجعل بحثي إسهامًا علميًا أصيلًا وموثوقًا</w:t>
      </w:r>
      <w:r w:rsidRPr="00715DD5">
        <w:rPr>
          <w:rFonts w:ascii="Traditional Arabic" w:eastAsia="Times New Roman" w:hAnsi="Traditional Arabic" w:cs="Traditional Arabic" w:hint="cs"/>
          <w:sz w:val="28"/>
          <w:szCs w:val="28"/>
        </w:rPr>
        <w:t>.</w:t>
      </w:r>
    </w:p>
    <w:p w14:paraId="2B9AED54"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قائمة المراجع</w:t>
      </w:r>
    </w:p>
    <w:p w14:paraId="718F7426"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المراجع العربية</w:t>
      </w:r>
    </w:p>
    <w:p w14:paraId="2767BE55"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أحمد، ع. (2024). أخلاقيات البحث العلمي في ضوء توافر معايير النزاهة الأكاديمية (رؤية منهجية)</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i/>
          <w:iCs/>
          <w:sz w:val="28"/>
          <w:szCs w:val="28"/>
          <w:rtl/>
        </w:rPr>
        <w:t>مجلة كلية التربية، جامعة بورسعيد</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sz w:val="28"/>
          <w:szCs w:val="28"/>
          <w:rtl/>
        </w:rPr>
        <w:t xml:space="preserve">مسترجَع من </w:t>
      </w:r>
      <w:hyperlink r:id="rId9" w:history="1">
        <w:r w:rsidRPr="00715DD5">
          <w:rPr>
            <w:rStyle w:val="Hyperlink"/>
            <w:rFonts w:ascii="Traditional Arabic" w:eastAsia="Times New Roman" w:hAnsi="Traditional Arabic" w:cs="Traditional Arabic" w:hint="cs"/>
            <w:sz w:val="28"/>
            <w:szCs w:val="28"/>
          </w:rPr>
          <w:t>https://fisb.journals.ekb.eg/article_367697.html</w:t>
        </w:r>
      </w:hyperlink>
    </w:p>
    <w:p w14:paraId="51FD8557"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بن زينة، ص. (2020). الانتحال العلمي: مفهومه وآليات ردعه</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i/>
          <w:iCs/>
          <w:sz w:val="28"/>
          <w:szCs w:val="28"/>
          <w:rtl/>
        </w:rPr>
        <w:t>مجلة جسر المعرفة، 6</w:t>
      </w:r>
      <w:r w:rsidRPr="00715DD5">
        <w:rPr>
          <w:rFonts w:ascii="Traditional Arabic" w:eastAsia="Times New Roman" w:hAnsi="Traditional Arabic" w:cs="Traditional Arabic" w:hint="cs"/>
          <w:sz w:val="28"/>
          <w:szCs w:val="28"/>
        </w:rPr>
        <w:t>(1)</w:t>
      </w:r>
      <w:r w:rsidRPr="00715DD5">
        <w:rPr>
          <w:rFonts w:ascii="Traditional Arabic" w:eastAsia="Times New Roman" w:hAnsi="Traditional Arabic" w:cs="Traditional Arabic" w:hint="cs"/>
          <w:sz w:val="28"/>
          <w:szCs w:val="28"/>
          <w:rtl/>
        </w:rPr>
        <w:t>، جامعة حسيبة بن بوعلي – الشلف</w:t>
      </w:r>
      <w:r w:rsidRPr="00715DD5">
        <w:rPr>
          <w:rFonts w:ascii="Traditional Arabic" w:eastAsia="Times New Roman" w:hAnsi="Traditional Arabic" w:cs="Traditional Arabic" w:hint="cs"/>
          <w:sz w:val="28"/>
          <w:szCs w:val="28"/>
        </w:rPr>
        <w:t>.</w:t>
      </w:r>
    </w:p>
    <w:p w14:paraId="05F138DE"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دراسة.سا</w:t>
      </w:r>
      <w:r w:rsidRPr="00715DD5">
        <w:rPr>
          <w:rFonts w:ascii="Traditional Arabic" w:eastAsia="Times New Roman" w:hAnsi="Traditional Arabic" w:cs="Traditional Arabic" w:hint="cs"/>
          <w:sz w:val="28"/>
          <w:szCs w:val="28"/>
        </w:rPr>
        <w:t xml:space="preserve">. (2025). </w:t>
      </w:r>
      <w:r w:rsidRPr="00715DD5">
        <w:rPr>
          <w:rFonts w:ascii="Traditional Arabic" w:eastAsia="Times New Roman" w:hAnsi="Traditional Arabic" w:cs="Traditional Arabic" w:hint="cs"/>
          <w:i/>
          <w:iCs/>
          <w:sz w:val="28"/>
          <w:szCs w:val="28"/>
          <w:rtl/>
        </w:rPr>
        <w:t>المبادئ الأخلاقية للباحث: دليل شامل لأخلاقيات البحث العلمي</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sz w:val="28"/>
          <w:szCs w:val="28"/>
          <w:rtl/>
        </w:rPr>
        <w:t xml:space="preserve">مسترجَع من </w:t>
      </w:r>
      <w:hyperlink r:id="rId10" w:history="1">
        <w:r w:rsidRPr="00715DD5">
          <w:rPr>
            <w:rStyle w:val="Hyperlink"/>
            <w:rFonts w:ascii="Traditional Arabic" w:eastAsia="Times New Roman" w:hAnsi="Traditional Arabic" w:cs="Traditional Arabic" w:hint="cs"/>
            <w:sz w:val="28"/>
            <w:szCs w:val="28"/>
          </w:rPr>
          <w:t>https://study.sa</w:t>
        </w:r>
      </w:hyperlink>
    </w:p>
    <w:p w14:paraId="121F6375"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المنارة للاستشارات. (د.ت.)</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i/>
          <w:iCs/>
          <w:sz w:val="28"/>
          <w:szCs w:val="28"/>
          <w:rtl/>
        </w:rPr>
        <w:t>كشف السرقات الأدبية والعلمية وبرامجها</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sz w:val="28"/>
          <w:szCs w:val="28"/>
          <w:rtl/>
        </w:rPr>
        <w:t xml:space="preserve">مسترجَع من </w:t>
      </w:r>
      <w:hyperlink r:id="rId11" w:history="1">
        <w:r w:rsidRPr="00715DD5">
          <w:rPr>
            <w:rStyle w:val="Hyperlink"/>
            <w:rFonts w:ascii="Traditional Arabic" w:eastAsia="Times New Roman" w:hAnsi="Traditional Arabic" w:cs="Traditional Arabic" w:hint="cs"/>
            <w:sz w:val="28"/>
            <w:szCs w:val="28"/>
          </w:rPr>
          <w:t>https://www.manaraa.com</w:t>
        </w:r>
      </w:hyperlink>
    </w:p>
    <w:p w14:paraId="59374BEE" w14:textId="77777777" w:rsidR="00715DD5" w:rsidRPr="00715DD5" w:rsidRDefault="00715DD5" w:rsidP="00715DD5">
      <w:pPr>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tl/>
        </w:rPr>
        <w:t>هيئة تقويم التعليم والتدريب. (د.ت.)</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i/>
          <w:iCs/>
          <w:sz w:val="28"/>
          <w:szCs w:val="28"/>
          <w:rtl/>
        </w:rPr>
        <w:t>السياسة الوطنية للنزاهة العلمية وأخلاقيات البحث</w:t>
      </w:r>
      <w:r w:rsidRPr="00715DD5">
        <w:rPr>
          <w:rFonts w:ascii="Traditional Arabic" w:eastAsia="Times New Roman" w:hAnsi="Traditional Arabic" w:cs="Traditional Arabic" w:hint="cs"/>
          <w:sz w:val="28"/>
          <w:szCs w:val="28"/>
        </w:rPr>
        <w:t xml:space="preserve">. </w:t>
      </w:r>
      <w:r w:rsidRPr="00715DD5">
        <w:rPr>
          <w:rFonts w:ascii="Traditional Arabic" w:eastAsia="Times New Roman" w:hAnsi="Traditional Arabic" w:cs="Traditional Arabic" w:hint="cs"/>
          <w:sz w:val="28"/>
          <w:szCs w:val="28"/>
          <w:rtl/>
        </w:rPr>
        <w:t xml:space="preserve">المملكة العربية السعودية. مسترجَع من </w:t>
      </w:r>
      <w:hyperlink r:id="rId12" w:history="1">
        <w:r w:rsidRPr="00715DD5">
          <w:rPr>
            <w:rStyle w:val="Hyperlink"/>
            <w:rFonts w:ascii="Traditional Arabic" w:eastAsia="Times New Roman" w:hAnsi="Traditional Arabic" w:cs="Traditional Arabic" w:hint="cs"/>
            <w:sz w:val="28"/>
            <w:szCs w:val="28"/>
          </w:rPr>
          <w:t>https://istitlaa.ncc.gov.sa</w:t>
        </w:r>
      </w:hyperlink>
    </w:p>
    <w:p w14:paraId="3968CDCA" w14:textId="77777777" w:rsidR="00715DD5" w:rsidRPr="00715DD5" w:rsidRDefault="00715DD5" w:rsidP="00715DD5">
      <w:pPr>
        <w:spacing w:line="360" w:lineRule="auto"/>
        <w:jc w:val="both"/>
        <w:rPr>
          <w:rFonts w:ascii="Traditional Arabic" w:eastAsia="Times New Roman" w:hAnsi="Traditional Arabic" w:cs="Traditional Arabic"/>
          <w:b/>
          <w:bCs/>
          <w:sz w:val="28"/>
          <w:szCs w:val="28"/>
        </w:rPr>
      </w:pPr>
      <w:r w:rsidRPr="00715DD5">
        <w:rPr>
          <w:rFonts w:ascii="Traditional Arabic" w:eastAsia="Times New Roman" w:hAnsi="Traditional Arabic" w:cs="Traditional Arabic" w:hint="cs"/>
          <w:b/>
          <w:bCs/>
          <w:sz w:val="28"/>
          <w:szCs w:val="28"/>
          <w:rtl/>
        </w:rPr>
        <w:t>المراجع الأجنبية</w:t>
      </w:r>
    </w:p>
    <w:p w14:paraId="04ABA08B" w14:textId="77777777" w:rsidR="00715DD5" w:rsidRPr="00715DD5" w:rsidRDefault="00715DD5" w:rsidP="00715DD5">
      <w:pPr>
        <w:bidi w:val="0"/>
        <w:spacing w:line="360" w:lineRule="auto"/>
        <w:jc w:val="both"/>
        <w:rPr>
          <w:rFonts w:ascii="Traditional Arabic" w:eastAsia="Times New Roman" w:hAnsi="Traditional Arabic" w:cs="Traditional Arabic"/>
          <w:sz w:val="28"/>
          <w:szCs w:val="28"/>
        </w:rPr>
      </w:pPr>
      <w:r w:rsidRPr="00715DD5">
        <w:rPr>
          <w:rFonts w:ascii="Traditional Arabic" w:eastAsia="Times New Roman" w:hAnsi="Traditional Arabic" w:cs="Traditional Arabic" w:hint="cs"/>
          <w:sz w:val="28"/>
          <w:szCs w:val="28"/>
        </w:rPr>
        <w:lastRenderedPageBreak/>
        <w:t xml:space="preserve">Kadam, D. (2018). </w:t>
      </w:r>
      <w:r w:rsidRPr="00715DD5">
        <w:rPr>
          <w:rFonts w:ascii="Traditional Arabic" w:eastAsia="Times New Roman" w:hAnsi="Traditional Arabic" w:cs="Traditional Arabic" w:hint="cs"/>
          <w:i/>
          <w:iCs/>
          <w:sz w:val="28"/>
          <w:szCs w:val="28"/>
        </w:rPr>
        <w:t>Academic integrity and plagiarism: The new regulations in India</w:t>
      </w:r>
      <w:r w:rsidRPr="00715DD5">
        <w:rPr>
          <w:rFonts w:ascii="Traditional Arabic" w:eastAsia="Times New Roman" w:hAnsi="Traditional Arabic" w:cs="Traditional Arabic" w:hint="cs"/>
          <w:sz w:val="28"/>
          <w:szCs w:val="28"/>
        </w:rPr>
        <w:t>. Indian Journal of Plastic Surgery.</w:t>
      </w:r>
    </w:p>
    <w:p w14:paraId="53380236" w14:textId="15E97C14" w:rsidR="002B6DFB" w:rsidRPr="004B6AF8" w:rsidRDefault="002B6DFB" w:rsidP="00715DD5">
      <w:pPr>
        <w:bidi w:val="0"/>
        <w:spacing w:line="360" w:lineRule="auto"/>
        <w:jc w:val="both"/>
        <w:rPr>
          <w:rFonts w:asciiTheme="majorBidi" w:eastAsia="Times New Roman" w:hAnsiTheme="majorBidi" w:cstheme="majorBidi"/>
          <w:kern w:val="0"/>
          <w:sz w:val="24"/>
          <w:szCs w:val="24"/>
          <w:lang w:bidi="ar-EG"/>
          <w14:ligatures w14:val="none"/>
        </w:rPr>
      </w:pPr>
    </w:p>
    <w:sectPr w:rsidR="002B6DFB" w:rsidRPr="004B6AF8" w:rsidSect="00376B50">
      <w:footerReference w:type="default" r:id="rId13"/>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51D47" w14:textId="77777777" w:rsidR="00482371" w:rsidRDefault="00482371" w:rsidP="009125CE">
      <w:pPr>
        <w:spacing w:after="0" w:line="240" w:lineRule="auto"/>
      </w:pPr>
      <w:r>
        <w:separator/>
      </w:r>
    </w:p>
  </w:endnote>
  <w:endnote w:type="continuationSeparator" w:id="0">
    <w:p w14:paraId="0EA8FEF8" w14:textId="77777777" w:rsidR="00482371" w:rsidRDefault="004823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Footer"/>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E57B1" w14:textId="77777777" w:rsidR="00482371" w:rsidRDefault="00482371" w:rsidP="009125CE">
      <w:pPr>
        <w:spacing w:after="0" w:line="240" w:lineRule="auto"/>
      </w:pPr>
      <w:r>
        <w:separator/>
      </w:r>
    </w:p>
  </w:footnote>
  <w:footnote w:type="continuationSeparator" w:id="0">
    <w:p w14:paraId="4E706AFB" w14:textId="77777777" w:rsidR="00482371" w:rsidRDefault="004823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7AE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F7F6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92A76"/>
    <w:multiLevelType w:val="hybridMultilevel"/>
    <w:tmpl w:val="9132A3AC"/>
    <w:lvl w:ilvl="0" w:tplc="04090009">
      <w:start w:val="1"/>
      <w:numFmt w:val="bullet"/>
      <w:lvlText w:val=""/>
      <w:lvlJc w:val="left"/>
      <w:pPr>
        <w:ind w:left="780" w:hanging="360"/>
      </w:pPr>
      <w:rPr>
        <w:rFonts w:ascii="Wingdings" w:hAnsi="Wingdings" w:hint="default"/>
        <w:color w:val="1F3864" w:themeColor="accent1" w:themeShade="80"/>
        <w:szCs w:val="24"/>
        <w:u w:color="000000" w:themeColor="text1"/>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3" w15:restartNumberingAfterBreak="0">
    <w:nsid w:val="140065AA"/>
    <w:multiLevelType w:val="hybridMultilevel"/>
    <w:tmpl w:val="DA187C26"/>
    <w:lvl w:ilvl="0" w:tplc="7FEA96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A684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B17E4"/>
    <w:multiLevelType w:val="hybridMultilevel"/>
    <w:tmpl w:val="7B2CEA1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4A000E3"/>
    <w:multiLevelType w:val="hybridMultilevel"/>
    <w:tmpl w:val="4696396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02129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753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51C5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125252"/>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B544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797A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E93D94"/>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217BFE"/>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8511A"/>
    <w:multiLevelType w:val="hybridMultilevel"/>
    <w:tmpl w:val="9DF2E8C2"/>
    <w:lvl w:ilvl="0" w:tplc="F74A84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5C08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62BE7"/>
    <w:multiLevelType w:val="hybridMultilevel"/>
    <w:tmpl w:val="971821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637243"/>
    <w:multiLevelType w:val="multilevel"/>
    <w:tmpl w:val="484E497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1177B48"/>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2B717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D8087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E52F0"/>
    <w:multiLevelType w:val="hybridMultilevel"/>
    <w:tmpl w:val="26AA8DFC"/>
    <w:lvl w:ilvl="0" w:tplc="DFE61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44471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FB55B9"/>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232AF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72158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396235"/>
    <w:multiLevelType w:val="hybridMultilevel"/>
    <w:tmpl w:val="B7E6757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95C60B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FD6051"/>
    <w:multiLevelType w:val="hybridMultilevel"/>
    <w:tmpl w:val="4D9014BC"/>
    <w:lvl w:ilvl="0" w:tplc="3BE6403A">
      <w:start w:val="1"/>
      <w:numFmt w:val="bullet"/>
      <w:lvlText w:val=""/>
      <w:lvlJc w:val="left"/>
      <w:pPr>
        <w:ind w:left="780" w:hanging="360"/>
      </w:pPr>
      <w:rPr>
        <w:rFonts w:ascii="Wingdings" w:hAnsi="Wingdings" w:cs="Wingdings" w:hint="default"/>
        <w:color w:val="1F3864" w:themeColor="accent1" w:themeShade="80"/>
        <w:szCs w:val="24"/>
        <w:u w:color="000000" w:themeColor="text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5B4D575D"/>
    <w:multiLevelType w:val="hybridMultilevel"/>
    <w:tmpl w:val="5A249D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A5BD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5C23A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716EF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02161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EB746F"/>
    <w:multiLevelType w:val="hybridMultilevel"/>
    <w:tmpl w:val="516278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F7B170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AA040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3211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C74A9B"/>
    <w:multiLevelType w:val="hybridMultilevel"/>
    <w:tmpl w:val="D82A7028"/>
    <w:lvl w:ilvl="0" w:tplc="BD96B8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3F0E4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9B42F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249590">
    <w:abstractNumId w:val="25"/>
  </w:num>
  <w:num w:numId="2" w16cid:durableId="180902381">
    <w:abstractNumId w:val="32"/>
  </w:num>
  <w:num w:numId="3" w16cid:durableId="729154388">
    <w:abstractNumId w:val="4"/>
  </w:num>
  <w:num w:numId="4" w16cid:durableId="1189181215">
    <w:abstractNumId w:val="33"/>
  </w:num>
  <w:num w:numId="5" w16cid:durableId="450561455">
    <w:abstractNumId w:val="16"/>
  </w:num>
  <w:num w:numId="6" w16cid:durableId="1934851543">
    <w:abstractNumId w:val="24"/>
  </w:num>
  <w:num w:numId="7" w16cid:durableId="987630682">
    <w:abstractNumId w:val="38"/>
  </w:num>
  <w:num w:numId="8" w16cid:durableId="666592801">
    <w:abstractNumId w:val="41"/>
  </w:num>
  <w:num w:numId="9" w16cid:durableId="991105575">
    <w:abstractNumId w:val="8"/>
  </w:num>
  <w:num w:numId="10" w16cid:durableId="1473592843">
    <w:abstractNumId w:val="10"/>
  </w:num>
  <w:num w:numId="11" w16cid:durableId="924412740">
    <w:abstractNumId w:val="29"/>
  </w:num>
  <w:num w:numId="12" w16cid:durableId="1968855437">
    <w:abstractNumId w:val="36"/>
  </w:num>
  <w:num w:numId="13" w16cid:durableId="961955975">
    <w:abstractNumId w:val="23"/>
  </w:num>
  <w:num w:numId="14" w16cid:durableId="534931838">
    <w:abstractNumId w:val="2"/>
  </w:num>
  <w:num w:numId="15" w16cid:durableId="1000546502">
    <w:abstractNumId w:val="0"/>
  </w:num>
  <w:num w:numId="16" w16cid:durableId="1436369468">
    <w:abstractNumId w:val="1"/>
  </w:num>
  <w:num w:numId="17" w16cid:durableId="2032367172">
    <w:abstractNumId w:val="37"/>
  </w:num>
  <w:num w:numId="18" w16cid:durableId="865097586">
    <w:abstractNumId w:val="31"/>
  </w:num>
  <w:num w:numId="19" w16cid:durableId="397365076">
    <w:abstractNumId w:val="13"/>
  </w:num>
  <w:num w:numId="20" w16cid:durableId="1215004187">
    <w:abstractNumId w:val="7"/>
  </w:num>
  <w:num w:numId="21" w16cid:durableId="1472555779">
    <w:abstractNumId w:val="11"/>
  </w:num>
  <w:num w:numId="22" w16cid:durableId="1685789562">
    <w:abstractNumId w:val="9"/>
  </w:num>
  <w:num w:numId="23" w16cid:durableId="871575517">
    <w:abstractNumId w:val="21"/>
  </w:num>
  <w:num w:numId="24" w16cid:durableId="859047051">
    <w:abstractNumId w:val="34"/>
  </w:num>
  <w:num w:numId="25" w16cid:durableId="438918948">
    <w:abstractNumId w:val="40"/>
  </w:num>
  <w:num w:numId="26" w16cid:durableId="1265578274">
    <w:abstractNumId w:val="6"/>
  </w:num>
  <w:num w:numId="27" w16cid:durableId="828444420">
    <w:abstractNumId w:val="12"/>
  </w:num>
  <w:num w:numId="28" w16cid:durableId="1411269817">
    <w:abstractNumId w:val="19"/>
  </w:num>
  <w:num w:numId="29" w16cid:durableId="1157770280">
    <w:abstractNumId w:val="20"/>
  </w:num>
  <w:num w:numId="30" w16cid:durableId="2146000658">
    <w:abstractNumId w:val="14"/>
  </w:num>
  <w:num w:numId="31" w16cid:durableId="180896190">
    <w:abstractNumId w:val="30"/>
  </w:num>
  <w:num w:numId="32" w16cid:durableId="1737124933">
    <w:abstractNumId w:val="22"/>
  </w:num>
  <w:num w:numId="33" w16cid:durableId="1132671066">
    <w:abstractNumId w:val="18"/>
  </w:num>
  <w:num w:numId="34" w16cid:durableId="474835661">
    <w:abstractNumId w:val="5"/>
  </w:num>
  <w:num w:numId="35" w16cid:durableId="1668166835">
    <w:abstractNumId w:val="35"/>
  </w:num>
  <w:num w:numId="36" w16cid:durableId="1774085912">
    <w:abstractNumId w:val="27"/>
  </w:num>
  <w:num w:numId="37" w16cid:durableId="848563314">
    <w:abstractNumId w:val="17"/>
  </w:num>
  <w:num w:numId="38" w16cid:durableId="1141267920">
    <w:abstractNumId w:val="3"/>
  </w:num>
  <w:num w:numId="39" w16cid:durableId="1336417507">
    <w:abstractNumId w:val="39"/>
  </w:num>
  <w:num w:numId="40" w16cid:durableId="331876214">
    <w:abstractNumId w:val="15"/>
  </w:num>
  <w:num w:numId="41" w16cid:durableId="1910339280">
    <w:abstractNumId w:val="28"/>
  </w:num>
  <w:num w:numId="42" w16cid:durableId="140090570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23D49"/>
    <w:rsid w:val="0004198D"/>
    <w:rsid w:val="0006709C"/>
    <w:rsid w:val="00067FF4"/>
    <w:rsid w:val="00090F21"/>
    <w:rsid w:val="000B7BDE"/>
    <w:rsid w:val="000C6813"/>
    <w:rsid w:val="000C6EC5"/>
    <w:rsid w:val="000D5702"/>
    <w:rsid w:val="000F44B4"/>
    <w:rsid w:val="00105748"/>
    <w:rsid w:val="00111653"/>
    <w:rsid w:val="001129E5"/>
    <w:rsid w:val="00113DBE"/>
    <w:rsid w:val="00121A58"/>
    <w:rsid w:val="00137F3D"/>
    <w:rsid w:val="00156466"/>
    <w:rsid w:val="00165856"/>
    <w:rsid w:val="00170DB3"/>
    <w:rsid w:val="0018724C"/>
    <w:rsid w:val="001902DB"/>
    <w:rsid w:val="001A2A53"/>
    <w:rsid w:val="001A4A25"/>
    <w:rsid w:val="001C2162"/>
    <w:rsid w:val="001C5D4A"/>
    <w:rsid w:val="001F616E"/>
    <w:rsid w:val="00200E4E"/>
    <w:rsid w:val="002059DD"/>
    <w:rsid w:val="00210177"/>
    <w:rsid w:val="00212556"/>
    <w:rsid w:val="00213BE4"/>
    <w:rsid w:val="00215B37"/>
    <w:rsid w:val="00222F6F"/>
    <w:rsid w:val="00267699"/>
    <w:rsid w:val="00270C69"/>
    <w:rsid w:val="00271CD4"/>
    <w:rsid w:val="002739D2"/>
    <w:rsid w:val="00274C6D"/>
    <w:rsid w:val="00287E3A"/>
    <w:rsid w:val="0029432D"/>
    <w:rsid w:val="002A0AD5"/>
    <w:rsid w:val="002A2260"/>
    <w:rsid w:val="002A3770"/>
    <w:rsid w:val="002B6DFB"/>
    <w:rsid w:val="002D35A2"/>
    <w:rsid w:val="002E1C43"/>
    <w:rsid w:val="00316620"/>
    <w:rsid w:val="00317645"/>
    <w:rsid w:val="00324963"/>
    <w:rsid w:val="00343929"/>
    <w:rsid w:val="0034558C"/>
    <w:rsid w:val="00356263"/>
    <w:rsid w:val="0036416B"/>
    <w:rsid w:val="00376B50"/>
    <w:rsid w:val="003B22D9"/>
    <w:rsid w:val="003D3600"/>
    <w:rsid w:val="003D3B7C"/>
    <w:rsid w:val="00407607"/>
    <w:rsid w:val="004163C7"/>
    <w:rsid w:val="004229E0"/>
    <w:rsid w:val="00441182"/>
    <w:rsid w:val="00457C9C"/>
    <w:rsid w:val="00471290"/>
    <w:rsid w:val="0048111F"/>
    <w:rsid w:val="00482371"/>
    <w:rsid w:val="00483840"/>
    <w:rsid w:val="00485B7F"/>
    <w:rsid w:val="0048689A"/>
    <w:rsid w:val="0049709F"/>
    <w:rsid w:val="004B121B"/>
    <w:rsid w:val="004B278D"/>
    <w:rsid w:val="004B6AF8"/>
    <w:rsid w:val="004D675B"/>
    <w:rsid w:val="0050229D"/>
    <w:rsid w:val="00516AE6"/>
    <w:rsid w:val="00534B2F"/>
    <w:rsid w:val="00537842"/>
    <w:rsid w:val="0055693B"/>
    <w:rsid w:val="00557CF9"/>
    <w:rsid w:val="00576FF7"/>
    <w:rsid w:val="005905D2"/>
    <w:rsid w:val="005A5E69"/>
    <w:rsid w:val="005A7EF6"/>
    <w:rsid w:val="005B1711"/>
    <w:rsid w:val="005C34B8"/>
    <w:rsid w:val="005D4269"/>
    <w:rsid w:val="005E5E98"/>
    <w:rsid w:val="00612218"/>
    <w:rsid w:val="00634E76"/>
    <w:rsid w:val="00651277"/>
    <w:rsid w:val="006562EB"/>
    <w:rsid w:val="00665D60"/>
    <w:rsid w:val="00686F57"/>
    <w:rsid w:val="006878B6"/>
    <w:rsid w:val="006948DE"/>
    <w:rsid w:val="007066DD"/>
    <w:rsid w:val="00715DD5"/>
    <w:rsid w:val="007359B5"/>
    <w:rsid w:val="00750036"/>
    <w:rsid w:val="0077268D"/>
    <w:rsid w:val="00795C67"/>
    <w:rsid w:val="007B0E54"/>
    <w:rsid w:val="007B5E32"/>
    <w:rsid w:val="007C1089"/>
    <w:rsid w:val="007C4A0C"/>
    <w:rsid w:val="007C6EE1"/>
    <w:rsid w:val="007D1470"/>
    <w:rsid w:val="007E2EF6"/>
    <w:rsid w:val="007E37F4"/>
    <w:rsid w:val="007E3A20"/>
    <w:rsid w:val="007E5404"/>
    <w:rsid w:val="00804B6C"/>
    <w:rsid w:val="00813708"/>
    <w:rsid w:val="008206ED"/>
    <w:rsid w:val="008212A6"/>
    <w:rsid w:val="0082585C"/>
    <w:rsid w:val="0085613D"/>
    <w:rsid w:val="008719CB"/>
    <w:rsid w:val="00876CEA"/>
    <w:rsid w:val="00877AAC"/>
    <w:rsid w:val="00880B14"/>
    <w:rsid w:val="008963D4"/>
    <w:rsid w:val="00896FE4"/>
    <w:rsid w:val="008A6519"/>
    <w:rsid w:val="008D2C72"/>
    <w:rsid w:val="008D49D9"/>
    <w:rsid w:val="008F1EAE"/>
    <w:rsid w:val="009125CE"/>
    <w:rsid w:val="009129E5"/>
    <w:rsid w:val="00946F5F"/>
    <w:rsid w:val="00956AE0"/>
    <w:rsid w:val="009637D7"/>
    <w:rsid w:val="009672FC"/>
    <w:rsid w:val="00985D34"/>
    <w:rsid w:val="009914C4"/>
    <w:rsid w:val="009A1AB0"/>
    <w:rsid w:val="009B0CE6"/>
    <w:rsid w:val="009B27DA"/>
    <w:rsid w:val="009B6888"/>
    <w:rsid w:val="009C0161"/>
    <w:rsid w:val="009C527C"/>
    <w:rsid w:val="009C6494"/>
    <w:rsid w:val="009C6635"/>
    <w:rsid w:val="009D108D"/>
    <w:rsid w:val="009D7E30"/>
    <w:rsid w:val="009E1436"/>
    <w:rsid w:val="009E1467"/>
    <w:rsid w:val="009E5468"/>
    <w:rsid w:val="009E5668"/>
    <w:rsid w:val="00A12BDB"/>
    <w:rsid w:val="00A65395"/>
    <w:rsid w:val="00A77982"/>
    <w:rsid w:val="00A8468B"/>
    <w:rsid w:val="00AA79E9"/>
    <w:rsid w:val="00AB0A70"/>
    <w:rsid w:val="00AC4CD1"/>
    <w:rsid w:val="00B10163"/>
    <w:rsid w:val="00B1496E"/>
    <w:rsid w:val="00B14B06"/>
    <w:rsid w:val="00B20ECC"/>
    <w:rsid w:val="00B23351"/>
    <w:rsid w:val="00B25BA2"/>
    <w:rsid w:val="00B27039"/>
    <w:rsid w:val="00B30165"/>
    <w:rsid w:val="00B44450"/>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C0243A"/>
    <w:rsid w:val="00C04895"/>
    <w:rsid w:val="00C11F7C"/>
    <w:rsid w:val="00C172B4"/>
    <w:rsid w:val="00C216DA"/>
    <w:rsid w:val="00C24534"/>
    <w:rsid w:val="00C41763"/>
    <w:rsid w:val="00C56D2A"/>
    <w:rsid w:val="00C72744"/>
    <w:rsid w:val="00C73DF1"/>
    <w:rsid w:val="00C85D92"/>
    <w:rsid w:val="00C86F49"/>
    <w:rsid w:val="00CB2633"/>
    <w:rsid w:val="00CB2A44"/>
    <w:rsid w:val="00CE7D23"/>
    <w:rsid w:val="00CF035A"/>
    <w:rsid w:val="00D04F62"/>
    <w:rsid w:val="00D22171"/>
    <w:rsid w:val="00D43FCE"/>
    <w:rsid w:val="00D52480"/>
    <w:rsid w:val="00D527F5"/>
    <w:rsid w:val="00D60C60"/>
    <w:rsid w:val="00D628E2"/>
    <w:rsid w:val="00D84C82"/>
    <w:rsid w:val="00D906DE"/>
    <w:rsid w:val="00DB1479"/>
    <w:rsid w:val="00DC366B"/>
    <w:rsid w:val="00DE7FAE"/>
    <w:rsid w:val="00E04097"/>
    <w:rsid w:val="00E76CFC"/>
    <w:rsid w:val="00E80DF8"/>
    <w:rsid w:val="00E80FD9"/>
    <w:rsid w:val="00EA0B82"/>
    <w:rsid w:val="00EA1CAC"/>
    <w:rsid w:val="00EA5285"/>
    <w:rsid w:val="00EC33D7"/>
    <w:rsid w:val="00F12EE4"/>
    <w:rsid w:val="00F30C4A"/>
    <w:rsid w:val="00F337B9"/>
    <w:rsid w:val="00F52BB7"/>
    <w:rsid w:val="00F545AE"/>
    <w:rsid w:val="00F546CE"/>
    <w:rsid w:val="00F7295A"/>
    <w:rsid w:val="00F74BC1"/>
    <w:rsid w:val="00F82B3E"/>
    <w:rsid w:val="00F84D9B"/>
    <w:rsid w:val="00F925D0"/>
    <w:rsid w:val="00FA6F47"/>
    <w:rsid w:val="00FC75F9"/>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76B50"/>
    <w:pPr>
      <w:ind w:left="720"/>
      <w:contextualSpacing/>
    </w:pPr>
  </w:style>
  <w:style w:type="character" w:styleId="Hyperlink">
    <w:name w:val="Hyperlink"/>
    <w:basedOn w:val="DefaultParagraphFont"/>
    <w:uiPriority w:val="99"/>
    <w:unhideWhenUsed/>
    <w:rsid w:val="009672FC"/>
    <w:rPr>
      <w:color w:val="0563C1" w:themeColor="hyperlink"/>
      <w:u w:val="single"/>
    </w:rPr>
  </w:style>
  <w:style w:type="character" w:styleId="UnresolvedMention">
    <w:name w:val="Unresolved Mention"/>
    <w:basedOn w:val="DefaultParagraphFont"/>
    <w:uiPriority w:val="99"/>
    <w:semiHidden/>
    <w:unhideWhenUsed/>
    <w:rsid w:val="009672FC"/>
    <w:rPr>
      <w:color w:val="605E5C"/>
      <w:shd w:val="clear" w:color="auto" w:fill="E1DFDD"/>
    </w:rPr>
  </w:style>
  <w:style w:type="table" w:styleId="PlainTable1">
    <w:name w:val="Plain Table 1"/>
    <w:basedOn w:val="TableNormal"/>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uiPriority w:val="9"/>
    <w:rsid w:val="009C527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516AE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213BE4"/>
    <w:rPr>
      <w:rFonts w:asciiTheme="majorHAnsi" w:eastAsiaTheme="majorEastAsia" w:hAnsiTheme="majorHAnsi" w:cstheme="majorBidi"/>
      <w:i/>
      <w:iCs/>
      <w:color w:val="2F5496" w:themeColor="accent1" w:themeShade="BF"/>
    </w:rPr>
  </w:style>
  <w:style w:type="table" w:styleId="GridTable4-Accent5">
    <w:name w:val="Grid Table 4 Accent 5"/>
    <w:basedOn w:val="TableNormal"/>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5Char">
    <w:name w:val="Heading 5 Char"/>
    <w:basedOn w:val="DefaultParagraphFont"/>
    <w:link w:val="Heading5"/>
    <w:uiPriority w:val="9"/>
    <w:semiHidden/>
    <w:rsid w:val="00B44450"/>
    <w:rPr>
      <w:rFonts w:asciiTheme="majorHAnsi" w:eastAsiaTheme="majorEastAsia" w:hAnsiTheme="majorHAnsi" w:cstheme="majorBidi"/>
      <w:color w:val="2F5496" w:themeColor="accent1" w:themeShade="BF"/>
    </w:rPr>
  </w:style>
  <w:style w:type="table" w:styleId="GridTable4-Accent6">
    <w:name w:val="Grid Table 4 Accent 6"/>
    <w:basedOn w:val="TableNormal"/>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Normal"/>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56AE0"/>
    <w:rPr>
      <w:b/>
      <w:bCs/>
    </w:rPr>
  </w:style>
  <w:style w:type="character" w:styleId="Emphasis">
    <w:name w:val="Emphasis"/>
    <w:basedOn w:val="DefaultParagraphFont"/>
    <w:uiPriority w:val="20"/>
    <w:qFormat/>
    <w:rsid w:val="00956AE0"/>
    <w:rPr>
      <w:i/>
      <w:iCs/>
    </w:rPr>
  </w:style>
  <w:style w:type="table" w:styleId="GridTable4-Accent4">
    <w:name w:val="Grid Table 4 Accent 4"/>
    <w:basedOn w:val="TableNormal"/>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6">
    <w:name w:val="Grid Table 5 Dark Accent 6"/>
    <w:basedOn w:val="TableNormal"/>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Normal"/>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5B1711"/>
    <w:rPr>
      <w:color w:val="800080"/>
      <w:u w:val="single"/>
    </w:rPr>
  </w:style>
  <w:style w:type="table" w:styleId="GridTable3-Accent6">
    <w:name w:val="Grid Table 3 Accent 6"/>
    <w:basedOn w:val="TableNormal"/>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1Char">
    <w:name w:val="Heading 1 Char"/>
    <w:basedOn w:val="DefaultParagraphFont"/>
    <w:link w:val="Heading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stitlaa.ncc.gov.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ra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tudy.sa" TargetMode="External"/><Relationship Id="rId4" Type="http://schemas.openxmlformats.org/officeDocument/2006/relationships/settings" Target="settings.xml"/><Relationship Id="rId9" Type="http://schemas.openxmlformats.org/officeDocument/2006/relationships/hyperlink" Target="https://fisb.journals.ekb.eg/article_367697.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783</Words>
  <Characters>4468</Characters>
  <Application>Microsoft Office Word</Application>
  <DocSecurity>0</DocSecurity>
  <Lines>37</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 Alnajar</cp:lastModifiedBy>
  <cp:revision>9</cp:revision>
  <cp:lastPrinted>2026-06-12T03:50:00Z</cp:lastPrinted>
  <dcterms:created xsi:type="dcterms:W3CDTF">2026-06-12T03:24:00Z</dcterms:created>
  <dcterms:modified xsi:type="dcterms:W3CDTF">2026-06-13T16:13:00Z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