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00" w:after="240" w:line="440" w:lineRule="exact"/>
        <w:jc w:val="center"/>
        <w:bidi w:val="1"/>
      </w:pPr>
      <w:r>
        <w:rPr>
          <w:rFonts w:ascii="Sakkal Majalla" w:hAnsi="Sakkal Majalla"/>
          <w:b/>
          <w:color w:val="003366"/>
          <w:sz w:val="44"/>
          <w:rtl/>
          <w:cs/>
          <w:rFonts w:cs="Sakkal Majalla"/>
          <w:szCs w:val="44"/>
        </w:rPr>
        <w:t>الفصل الثالث</w:t>
      </w:r>
    </w:p>
    <w:p>
      <w:pPr>
        <w:spacing w:before="400" w:after="240" w:line="440" w:lineRule="exact"/>
        <w:jc w:val="center"/>
        <w:bidi w:val="1"/>
      </w:pPr>
      <w:r>
        <w:rPr>
          <w:rFonts w:ascii="Sakkal Majalla" w:hAnsi="Sakkal Majalla"/>
          <w:b/>
          <w:color w:val="003366"/>
          <w:sz w:val="44"/>
          <w:rtl/>
          <w:cs/>
          <w:rFonts w:cs="Sakkal Majalla"/>
          <w:szCs w:val="44"/>
        </w:rPr>
        <w:t>إجراءات الدراسة الميدانية (المنهجية والإجراءات)</w:t>
      </w:r>
    </w:p>
    <w:p>
      <w:pPr>
        <w:spacing w:before="320" w:after="160" w:line="440" w:lineRule="exact"/>
        <w:jc w:val="right"/>
        <w:bidi w:val="1"/>
      </w:pPr>
      <w:r>
        <w:rPr>
          <w:rFonts w:ascii="Sakkal Majalla" w:hAnsi="Sakkal Majalla"/>
          <w:b/>
          <w:color w:val="003366"/>
          <w:sz w:val="36"/>
          <w:rtl/>
          <w:cs/>
          <w:rFonts w:cs="Sakkal Majalla"/>
          <w:szCs w:val="36"/>
        </w:rPr>
        <w:t>أولاً/ المقدمة</w:t>
      </w:r>
    </w:p>
    <w:p>
      <w:pPr>
        <w:spacing w:before="40" w:after="80" w:line="440" w:lineRule="exact"/>
        <w:ind w:firstLine="567"/>
        <w:jc w:val="right"/>
        <w:bidi w:val="1"/>
      </w:pPr>
      <w:r>
        <w:rPr>
          <w:rFonts w:ascii="Sakkal Majalla" w:hAnsi="Sakkal Majalla"/>
          <w:b w:val="0"/>
          <w:sz w:val="28"/>
          <w:rtl/>
          <w:cs/>
          <w:rFonts w:cs="Sakkal Majalla"/>
          <w:szCs w:val="28"/>
        </w:rPr>
        <w:t>بعد أن تناول الفصل الأول الإطار العام للدراسة من حيث تحديد مشكلتها وأسئلتها وفرضياتها وأهدافها وأهميتها النظرية والتطبيقية، واستعرض الفصل الثاني الإطار النظري والأدبيات والدراسات السابقة المتعلقة بأخلاقيات الذكاء الاصطناعي في معالجة البيانات الشخصية، يأتي هذا الفصل ليمثّل الركيزة المنهجية التي تنقل الدراسة من حيّزها النظري إلى مرحلة التطبيق الفعلي والتحقق الميداني.</w:t>
      </w:r>
    </w:p>
    <w:p>
      <w:pPr>
        <w:spacing w:before="40" w:after="80" w:line="440" w:lineRule="exact"/>
        <w:ind w:firstLine="567"/>
        <w:jc w:val="right"/>
        <w:bidi w:val="1"/>
      </w:pPr>
      <w:r>
        <w:rPr>
          <w:rFonts w:ascii="Sakkal Majalla" w:hAnsi="Sakkal Majalla"/>
          <w:b w:val="0"/>
          <w:sz w:val="28"/>
          <w:rtl/>
          <w:cs/>
          <w:rFonts w:cs="Sakkal Majalla"/>
          <w:szCs w:val="28"/>
        </w:rPr>
        <w:t>يهدف هذا الفصل إلى عرض الإجراءات المنهجية التي اتُّبعت لتحقيق أهداف الدراسة الستة التي صِيغت في الفصل الأول، والمتمثلة في تحليل مدى التزام أنظمة الذكاء الاصطناعي بالمبادئ الأخلاقية، وتحديد التحديات الأخلاقية، وتقييم فعالية التشريعات، ودراسة أثر الوعي المجتمعي والرقابة التنظيمية، وصولاً إلى تقديم مقترحات عملية لتعزيز الاستخدام الأخلاقي للذكاء الاصطناعي. كما يسعى إلى اختبار الفرضيات العشر (H1–H10) التي تغطي خمسة محاور: التوازن بين الخصوصية والاستغلال، والتشريعات، والشفافية والعدالة، ووعي المستخدمين، والإجراءات التقنية.</w:t>
      </w:r>
    </w:p>
    <w:p>
      <w:pPr>
        <w:spacing w:before="40" w:after="80" w:line="440" w:lineRule="exact"/>
        <w:ind w:firstLine="567"/>
        <w:jc w:val="right"/>
        <w:bidi w:val="1"/>
      </w:pPr>
      <w:r>
        <w:rPr>
          <w:rFonts w:ascii="Sakkal Majalla" w:hAnsi="Sakkal Majalla"/>
          <w:b w:val="0"/>
          <w:sz w:val="28"/>
          <w:rtl/>
          <w:cs/>
          <w:rFonts w:cs="Sakkal Majalla"/>
          <w:szCs w:val="28"/>
        </w:rPr>
        <w:t>وعليه، يتضمن هذا الفصل وصفاً تفصيلياً لمنهج البحث المستخدم، ومجتمع الدراسة وعينتها، وأدوات جمع البيانات وخطوات بنائها ومكوناتها، وآلية تصحيحها، وإجراءات التحقق من صدقها وثباتها، واختبار التوزيع الطبيعي، والأساليب الإحصائية المعتمدة، وأخيراً الصعوبات التي واجهت الباحث. إن الالتزام بهذه المنهجية يهدف في النهاية إلى ضمان سلامة البناء الإحصائي ومنطقية النتائج، بما يمكّن من الإجابة عن تساؤلات البحث الستة وتحقيق أهدافه بدقة وموضوعية.</w:t>
      </w:r>
    </w:p>
    <w:p>
      <w:pPr>
        <w:spacing w:before="320" w:after="160" w:line="440" w:lineRule="exact"/>
        <w:jc w:val="right"/>
        <w:bidi w:val="1"/>
      </w:pPr>
      <w:r>
        <w:rPr>
          <w:rFonts w:ascii="Sakkal Majalla" w:hAnsi="Sakkal Majalla"/>
          <w:b/>
          <w:color w:val="003366"/>
          <w:sz w:val="36"/>
          <w:rtl/>
          <w:cs/>
          <w:rFonts w:cs="Sakkal Majalla"/>
          <w:szCs w:val="36"/>
        </w:rPr>
        <w:t>ثانياً/ منهج البحث</w:t>
      </w:r>
    </w:p>
    <w:p>
      <w:pPr>
        <w:spacing w:before="40" w:after="80" w:line="440" w:lineRule="exact"/>
        <w:ind w:firstLine="567"/>
        <w:jc w:val="right"/>
        <w:bidi w:val="1"/>
      </w:pPr>
      <w:r>
        <w:rPr>
          <w:rFonts w:ascii="Sakkal Majalla" w:hAnsi="Sakkal Majalla"/>
          <w:b w:val="0"/>
          <w:sz w:val="28"/>
          <w:rtl/>
          <w:cs/>
          <w:rFonts w:cs="Sakkal Majalla"/>
          <w:szCs w:val="28"/>
        </w:rPr>
        <w:t>نظراً للطبيعة المركّبة لموضوع هذه الدراسة، الذي يجمع بين المفاهيم الأخلاقية والتشريعات القانونية والسلوك البشري والتطبيقات التقنية، اعتمد الباحث على منهجية متعددة الأساليب (Mixed-Methods Approach) تجمع بين ثلاثة مناهج متكاملة، وذلك لضمان الإحاطة الشاملة بأبعاد الظاهرة المدروسة وتحقيق أهداف الدراسة بكفاءة. وفيما يلي توضيح لكل منهج ومبررات اختياره:</w:t>
      </w:r>
    </w:p>
    <w:p>
      <w:pPr>
        <w:spacing w:before="200" w:after="120" w:line="440" w:lineRule="exact"/>
        <w:jc w:val="right"/>
        <w:bidi w:val="1"/>
      </w:pPr>
      <w:r>
        <w:rPr>
          <w:rFonts w:ascii="Sakkal Majalla" w:hAnsi="Sakkal Majalla"/>
          <w:b/>
          <w:color w:val="004682"/>
          <w:sz w:val="30"/>
          <w:rtl/>
          <w:cs/>
          <w:rFonts w:cs="Sakkal Majalla"/>
          <w:szCs w:val="30"/>
        </w:rPr>
        <w:t>1. المنهج الوصفي التحليلي (Descriptive-Analytical Method)</w:t>
      </w:r>
    </w:p>
    <w:p>
      <w:pPr>
        <w:spacing w:before="40" w:after="80" w:line="440" w:lineRule="exact"/>
        <w:ind w:firstLine="567"/>
        <w:jc w:val="right"/>
        <w:bidi w:val="1"/>
      </w:pPr>
      <w:r>
        <w:rPr>
          <w:rFonts w:ascii="Sakkal Majalla" w:hAnsi="Sakkal Majalla"/>
          <w:b w:val="0"/>
          <w:sz w:val="28"/>
          <w:rtl/>
          <w:cs/>
          <w:rFonts w:cs="Sakkal Majalla"/>
          <w:szCs w:val="28"/>
        </w:rPr>
        <w:t>يُعدّ المنهج الوصفي التحليلي الأنسب لهذه الدراسة كونه يتيح تحليل الظاهرة كما هي في الواقع دون التدخل فيها، مع تقديم تفسيرات علمية للعلاقات بين المتغيرات. وقد استُخدم هذا المنهج لتحقيق عدة أغراض:</w:t>
      </w:r>
    </w:p>
    <w:p>
      <w:pPr>
        <w:spacing w:before="40" w:after="80" w:line="440" w:lineRule="exact"/>
        <w:jc w:val="right"/>
        <w:bidi w:val="1"/>
      </w:pPr>
      <w:r>
        <w:rPr>
          <w:rFonts w:ascii="Sakkal Majalla" w:hAnsi="Sakkal Majalla"/>
          <w:b w:val="0"/>
          <w:sz w:val="26"/>
          <w:rtl/>
          <w:cs/>
          <w:rFonts w:cs="Sakkal Majalla"/>
          <w:szCs w:val="26"/>
        </w:rPr>
        <w:t>- تحليل المفاهيم الأساسية: مثل الذكاء الاصطناعي، والخصوصية الرقمية، واستغلال البيانات الشخصية، والشفافية الخوارزمية، والمساءلة الأخلاقية.</w:t>
      </w:r>
    </w:p>
    <w:p>
      <w:pPr>
        <w:spacing w:before="40" w:after="80" w:line="440" w:lineRule="exact"/>
        <w:jc w:val="right"/>
        <w:bidi w:val="1"/>
      </w:pPr>
      <w:r>
        <w:rPr>
          <w:rFonts w:ascii="Sakkal Majalla" w:hAnsi="Sakkal Majalla"/>
          <w:b w:val="0"/>
          <w:sz w:val="26"/>
          <w:rtl/>
          <w:cs/>
          <w:rFonts w:cs="Sakkal Majalla"/>
          <w:szCs w:val="26"/>
        </w:rPr>
        <w:t>- تحليل التشريعات الدولية والوطنية: بما فيها اللائحة العامة لحماية البيانات (GDPR)، وقانون خصوصية المستهلك في كاليفورنيا (CCPA)، ونظام حماية البيانات الشخصية السعودي، ومبادئ سدايا لأخلاقيات الذكاء الاصطناعي.</w:t>
      </w:r>
    </w:p>
    <w:p>
      <w:pPr>
        <w:spacing w:before="40" w:after="80" w:line="440" w:lineRule="exact"/>
        <w:jc w:val="right"/>
        <w:bidi w:val="1"/>
      </w:pPr>
      <w:r>
        <w:rPr>
          <w:rFonts w:ascii="Sakkal Majalla" w:hAnsi="Sakkal Majalla"/>
          <w:b w:val="0"/>
          <w:sz w:val="26"/>
          <w:rtl/>
          <w:cs/>
          <w:rFonts w:cs="Sakkal Majalla"/>
          <w:szCs w:val="26"/>
        </w:rPr>
        <w:t>- مراجعة الأدبيات العلمية السابقة: بهدف بناء إطار نظري متين يفسّر العلاقات بين المتغير المستقل (استخدام الذكاء الاصطناعي في معالجة البيانات الشخصية)، والمتغير التابع (مستوى حماية الخصوصية مقابل استغلال البيانات)، والمتغيرات الوسيطة (التشريعات القانونية، والوعي المجتمعي، والشفافية).</w:t>
      </w:r>
    </w:p>
    <w:p>
      <w:pPr>
        <w:spacing w:before="40" w:after="80" w:line="440" w:lineRule="exact"/>
        <w:ind w:firstLine="567"/>
        <w:jc w:val="right"/>
        <w:bidi w:val="1"/>
      </w:pPr>
      <w:r>
        <w:rPr>
          <w:rFonts w:ascii="Sakkal Majalla" w:hAnsi="Sakkal Majalla"/>
          <w:b w:val="0"/>
          <w:sz w:val="28"/>
          <w:rtl/>
          <w:cs/>
          <w:rFonts w:cs="Sakkal Majalla"/>
          <w:szCs w:val="28"/>
        </w:rPr>
        <w:t>يُعدّ هذا المنهج الأنسب لأنه يمكّن الباحث من فهم العلاقات المعقدة بين المتغيرات وتفسيرها في ضوء الإطار النظري، وهو ما يخدم مباشرةً الإجابة عن أسئلة الدراسة المتعلقة بالمبادئ الأخلاقية (السؤال الأول)، والتحديات (السؤال الثاني)، والقوانين (السؤال الثالث).</w:t>
      </w:r>
    </w:p>
    <w:p>
      <w:pPr>
        <w:spacing w:before="200" w:after="120" w:line="440" w:lineRule="exact"/>
        <w:jc w:val="right"/>
        <w:bidi w:val="1"/>
      </w:pPr>
      <w:r>
        <w:rPr>
          <w:rFonts w:ascii="Sakkal Majalla" w:hAnsi="Sakkal Majalla"/>
          <w:b/>
          <w:color w:val="004682"/>
          <w:sz w:val="30"/>
          <w:rtl/>
          <w:cs/>
          <w:rFonts w:cs="Sakkal Majalla"/>
          <w:szCs w:val="30"/>
        </w:rPr>
        <w:t>2. المنهج المسحي (Survey Method)</w:t>
      </w:r>
    </w:p>
    <w:p>
      <w:pPr>
        <w:spacing w:before="40" w:after="80" w:line="440" w:lineRule="exact"/>
        <w:ind w:firstLine="567"/>
        <w:jc w:val="right"/>
        <w:bidi w:val="1"/>
      </w:pPr>
      <w:r>
        <w:rPr>
          <w:rFonts w:ascii="Sakkal Majalla" w:hAnsi="Sakkal Majalla"/>
          <w:b w:val="0"/>
          <w:sz w:val="28"/>
          <w:rtl/>
          <w:cs/>
          <w:rFonts w:cs="Sakkal Majalla"/>
          <w:szCs w:val="28"/>
        </w:rPr>
        <w:t>يُعدّ المنهج المسحي من أهم المناهج في الدراسات الاجتماعية والتقنية التي تهدف إلى جمع بيانات كمية من أفراد يمثلون مجتمعاً معيناً. وقد استُخدم هذا المنهج لقياس:</w:t>
      </w:r>
    </w:p>
    <w:p>
      <w:pPr>
        <w:spacing w:before="40" w:after="80" w:line="440" w:lineRule="exact"/>
        <w:jc w:val="right"/>
        <w:bidi w:val="1"/>
      </w:pPr>
      <w:r>
        <w:rPr>
          <w:rFonts w:ascii="Sakkal Majalla" w:hAnsi="Sakkal Majalla"/>
          <w:b w:val="0"/>
          <w:sz w:val="26"/>
          <w:rtl/>
          <w:cs/>
          <w:rFonts w:cs="Sakkal Majalla"/>
          <w:szCs w:val="26"/>
        </w:rPr>
        <w:t>- مستوى وعي الأفراد بالخصوصية الرقمية وحقوقهم في حماية بياناتهم.</w:t>
      </w:r>
    </w:p>
    <w:p>
      <w:pPr>
        <w:spacing w:before="40" w:after="80" w:line="440" w:lineRule="exact"/>
        <w:jc w:val="right"/>
        <w:bidi w:val="1"/>
      </w:pPr>
      <w:r>
        <w:rPr>
          <w:rFonts w:ascii="Sakkal Majalla" w:hAnsi="Sakkal Majalla"/>
          <w:b w:val="0"/>
          <w:sz w:val="26"/>
          <w:rtl/>
          <w:cs/>
          <w:rFonts w:cs="Sakkal Majalla"/>
          <w:szCs w:val="26"/>
        </w:rPr>
        <w:t>- درجة ثقتهم في أنظمة الذكاء الاصطناعي المستخدمة في تحليل بياناتهم.</w:t>
      </w:r>
    </w:p>
    <w:p>
      <w:pPr>
        <w:spacing w:before="40" w:after="80" w:line="440" w:lineRule="exact"/>
        <w:jc w:val="right"/>
        <w:bidi w:val="1"/>
      </w:pPr>
      <w:r>
        <w:rPr>
          <w:rFonts w:ascii="Sakkal Majalla" w:hAnsi="Sakkal Majalla"/>
          <w:b w:val="0"/>
          <w:sz w:val="26"/>
          <w:rtl/>
          <w:cs/>
          <w:rFonts w:cs="Sakkal Majalla"/>
          <w:szCs w:val="26"/>
        </w:rPr>
        <w:t>- تصوراتهم حول مخاطر استغلال البيانات الشخصية.</w:t>
      </w:r>
    </w:p>
    <w:p>
      <w:pPr>
        <w:spacing w:before="40" w:after="80" w:line="440" w:lineRule="exact"/>
        <w:jc w:val="right"/>
        <w:bidi w:val="1"/>
      </w:pPr>
      <w:r>
        <w:rPr>
          <w:rFonts w:ascii="Sakkal Majalla" w:hAnsi="Sakkal Majalla"/>
          <w:b w:val="0"/>
          <w:sz w:val="26"/>
          <w:rtl/>
          <w:cs/>
          <w:rFonts w:cs="Sakkal Majalla"/>
          <w:szCs w:val="26"/>
        </w:rPr>
        <w:t>- مدى رضاهم عن مستوى الشفافية التي توفرها الشركات والمؤسسات.</w:t>
      </w:r>
    </w:p>
    <w:p>
      <w:pPr>
        <w:spacing w:before="40" w:after="80" w:line="440" w:lineRule="exact"/>
        <w:jc w:val="right"/>
        <w:bidi w:val="1"/>
      </w:pPr>
      <w:r>
        <w:rPr>
          <w:rFonts w:ascii="Sakkal Majalla" w:hAnsi="Sakkal Majalla"/>
          <w:b w:val="0"/>
          <w:sz w:val="26"/>
          <w:rtl/>
          <w:cs/>
          <w:rFonts w:cs="Sakkal Majalla"/>
          <w:szCs w:val="26"/>
        </w:rPr>
        <w:t>- تقييمهم لممارسات حماية البيانات في الأنظمة الذكية.</w:t>
      </w:r>
    </w:p>
    <w:p>
      <w:pPr>
        <w:spacing w:before="40" w:after="80" w:line="440" w:lineRule="exact"/>
        <w:ind w:firstLine="567"/>
        <w:jc w:val="right"/>
        <w:bidi w:val="1"/>
      </w:pPr>
      <w:r>
        <w:rPr>
          <w:rFonts w:ascii="Sakkal Majalla" w:hAnsi="Sakkal Majalla"/>
          <w:b w:val="0"/>
          <w:sz w:val="28"/>
          <w:rtl/>
          <w:cs/>
          <w:rFonts w:cs="Sakkal Majalla"/>
          <w:szCs w:val="28"/>
        </w:rPr>
        <w:t>يُعدّ هذا المنهج الأنسب لاختبار الفرضيات الكمية (H1–H10) والإجابة عن أسئلة الدراسة المتعلقة بالشفافية والعدالة (السؤال الرابع) والوعي المجتمعي (السؤال الخامس)، كونه يوفر بيانات رقمية قابلة للتحليل الإحصائي والتعميم.</w:t>
      </w:r>
    </w:p>
    <w:p>
      <w:pPr>
        <w:spacing w:before="200" w:after="120" w:line="440" w:lineRule="exact"/>
        <w:jc w:val="right"/>
        <w:bidi w:val="1"/>
      </w:pPr>
      <w:r>
        <w:rPr>
          <w:rFonts w:ascii="Sakkal Majalla" w:hAnsi="Sakkal Majalla"/>
          <w:b/>
          <w:color w:val="004682"/>
          <w:sz w:val="30"/>
          <w:rtl/>
          <w:cs/>
          <w:rFonts w:cs="Sakkal Majalla"/>
          <w:szCs w:val="30"/>
        </w:rPr>
        <w:t>3. المنهج التطبيقي عبر نموذج محاكاة تقني (Simulation/Prototype Method)</w:t>
      </w:r>
    </w:p>
    <w:p>
      <w:pPr>
        <w:spacing w:before="40" w:after="80" w:line="440" w:lineRule="exact"/>
        <w:ind w:firstLine="567"/>
        <w:jc w:val="right"/>
        <w:bidi w:val="1"/>
      </w:pPr>
      <w:r>
        <w:rPr>
          <w:rFonts w:ascii="Sakkal Majalla" w:hAnsi="Sakkal Majalla"/>
          <w:b w:val="0"/>
          <w:sz w:val="28"/>
          <w:rtl/>
          <w:cs/>
          <w:rFonts w:cs="Sakkal Majalla"/>
          <w:szCs w:val="28"/>
        </w:rPr>
        <w:t>يُعدّ هذا المنهج الجانب الأكثر ابتكاراً في الدراسة، إذ يسدّ فجوة بحثية حدّدتها الدراسات السابقة تتمثل في غياب نموذج تطبيقي لقياس الامتثال الأخلاقي. وقد تم تصميم نموذج تقني (Prototype) يهدف إلى محاكاة كيفية تعامل الأنظمة الذكية مع البيانات الشخصية، ويقوم بـ:</w:t>
      </w:r>
    </w:p>
    <w:p>
      <w:pPr>
        <w:spacing w:before="40" w:after="80" w:line="440" w:lineRule="exact"/>
        <w:jc w:val="right"/>
        <w:bidi w:val="1"/>
      </w:pPr>
      <w:r>
        <w:rPr>
          <w:rFonts w:ascii="Sakkal Majalla" w:hAnsi="Sakkal Majalla"/>
          <w:b w:val="0"/>
          <w:sz w:val="26"/>
          <w:rtl/>
          <w:cs/>
          <w:rFonts w:cs="Sakkal Majalla"/>
          <w:szCs w:val="26"/>
        </w:rPr>
        <w:t>- تحليل نقاط جمع البيانات وتتبع مراحل معالجتها.</w:t>
      </w:r>
    </w:p>
    <w:p>
      <w:pPr>
        <w:spacing w:before="40" w:after="80" w:line="440" w:lineRule="exact"/>
        <w:jc w:val="right"/>
        <w:bidi w:val="1"/>
      </w:pPr>
      <w:r>
        <w:rPr>
          <w:rFonts w:ascii="Sakkal Majalla" w:hAnsi="Sakkal Majalla"/>
          <w:b w:val="0"/>
          <w:sz w:val="26"/>
          <w:rtl/>
          <w:cs/>
          <w:rFonts w:cs="Sakkal Majalla"/>
          <w:szCs w:val="26"/>
        </w:rPr>
        <w:t>- اكتشاف حالات التحيّز الخوارزمي المحتملة.</w:t>
      </w:r>
    </w:p>
    <w:p>
      <w:pPr>
        <w:spacing w:before="40" w:after="80" w:line="440" w:lineRule="exact"/>
        <w:jc w:val="right"/>
        <w:bidi w:val="1"/>
      </w:pPr>
      <w:r>
        <w:rPr>
          <w:rFonts w:ascii="Sakkal Majalla" w:hAnsi="Sakkal Majalla"/>
          <w:b w:val="0"/>
          <w:sz w:val="26"/>
          <w:rtl/>
          <w:cs/>
          <w:rFonts w:cs="Sakkal Majalla"/>
          <w:szCs w:val="26"/>
        </w:rPr>
        <w:t>- قياس درجة الشفافية في النظام.</w:t>
      </w:r>
    </w:p>
    <w:p>
      <w:pPr>
        <w:spacing w:before="40" w:after="80" w:line="440" w:lineRule="exact"/>
        <w:jc w:val="right"/>
        <w:bidi w:val="1"/>
      </w:pPr>
      <w:r>
        <w:rPr>
          <w:rFonts w:ascii="Sakkal Majalla" w:hAnsi="Sakkal Majalla"/>
          <w:b w:val="0"/>
          <w:sz w:val="26"/>
          <w:rtl/>
          <w:cs/>
          <w:rFonts w:cs="Sakkal Majalla"/>
          <w:szCs w:val="26"/>
        </w:rPr>
        <w:t>- تقييم الامتثال الأخلاقي عبر معيار مؤشر الامتثال الأخلاقي (Ethical Compliance Index).</w:t>
      </w:r>
    </w:p>
    <w:p>
      <w:pPr>
        <w:spacing w:before="40" w:after="80" w:line="440" w:lineRule="exact"/>
        <w:jc w:val="right"/>
        <w:bidi w:val="1"/>
      </w:pPr>
      <w:r>
        <w:rPr>
          <w:rFonts w:ascii="Sakkal Majalla" w:hAnsi="Sakkal Majalla"/>
          <w:b w:val="0"/>
          <w:sz w:val="26"/>
          <w:rtl/>
          <w:cs/>
          <w:rFonts w:cs="Sakkal Majalla"/>
          <w:szCs w:val="26"/>
        </w:rPr>
        <w:t>- اختبار سيناريوهات مختلفة في قطاعات حكومية وتجارية.</w:t>
      </w:r>
    </w:p>
    <w:p>
      <w:pPr>
        <w:spacing w:before="40" w:after="80" w:line="440" w:lineRule="exact"/>
        <w:ind w:firstLine="567"/>
        <w:jc w:val="right"/>
        <w:bidi w:val="1"/>
      </w:pPr>
      <w:r>
        <w:rPr>
          <w:rFonts w:ascii="Sakkal Majalla" w:hAnsi="Sakkal Majalla"/>
          <w:b w:val="0"/>
          <w:sz w:val="28"/>
          <w:rtl/>
          <w:cs/>
          <w:rFonts w:cs="Sakkal Majalla"/>
          <w:szCs w:val="28"/>
        </w:rPr>
        <w:t>وقد تم تنفيذ النموذج التقني باستخدام لغة Python ومكتبات تحليل البيانات مثل Pandas وScikit-learn، بهدف تحليل البيانات وتقييم مؤشرات الامتثال الأخلاقي. ويعتمد النموذج على مؤشر الامتثال الأخلاقي (Ethical Compliance Index) الذي يُحسب من خلال مجموعة من المؤشرات الفرعية، مثل: الشفافية الخوارزمية، واحتمالية التحيّز، ومستوى مخاطر الخصوصية، ودرجة الامتثال للتشريعات المعمول بها.</w:t>
      </w:r>
    </w:p>
    <w:p>
      <w:pPr>
        <w:spacing w:before="40" w:after="80" w:line="440" w:lineRule="exact"/>
        <w:ind w:firstLine="567"/>
        <w:jc w:val="right"/>
        <w:bidi w:val="1"/>
      </w:pPr>
      <w:r>
        <w:rPr>
          <w:rFonts w:ascii="Sakkal Majalla" w:hAnsi="Sakkal Majalla"/>
          <w:b w:val="0"/>
          <w:sz w:val="28"/>
          <w:rtl/>
          <w:cs/>
          <w:rFonts w:cs="Sakkal Majalla"/>
          <w:szCs w:val="28"/>
        </w:rPr>
        <w:t>يُعدّ هذا المنهج الأنسب لأنه يمكّن من الربط بين النظرية والتطبيق، ويخدم مباشرةً الإجابة عن السؤال السادس المتعلق بالإجراءات والتوصيات العملية، كما يعزز قدرة الدراسة على تقديم حلول تقنية قابلة للتطبيق بدلاً من الاكتفاء بالمبادئ النظرية (Mittelstadt, 2019).</w:t>
      </w:r>
    </w:p>
    <w:p>
      <w:pPr>
        <w:spacing w:before="40" w:after="80" w:line="440" w:lineRule="exact"/>
        <w:ind w:firstLine="567"/>
        <w:jc w:val="right"/>
        <w:bidi w:val="1"/>
      </w:pPr>
      <w:r>
        <w:rPr>
          <w:rFonts w:ascii="Sakkal Majalla" w:hAnsi="Sakkal Majalla"/>
          <w:b w:val="0"/>
          <w:sz w:val="28"/>
          <w:rtl/>
          <w:cs/>
          <w:rFonts w:cs="Sakkal Majalla"/>
          <w:szCs w:val="28"/>
        </w:rPr>
        <w:t>إن الجمع بين هذه المناهج الثلاثة يحقق التكامل المنهجي المطلوب: فالمنهج الوصفي التحليلي يبني القاعدة المفاهيمية، والمنهج المسحي يوفر البيانات الكمية، والنموذج التطبيقي يقدم التحقق العملي، مما يضمن شمولية النتائج ومصداقيتها.</w:t>
      </w:r>
    </w:p>
    <w:p>
      <w:pPr>
        <w:spacing w:before="320" w:after="160" w:line="440" w:lineRule="exact"/>
        <w:jc w:val="right"/>
        <w:bidi w:val="1"/>
      </w:pPr>
      <w:r>
        <w:rPr>
          <w:rFonts w:ascii="Sakkal Majalla" w:hAnsi="Sakkal Majalla"/>
          <w:b/>
          <w:color w:val="003366"/>
          <w:sz w:val="36"/>
          <w:rtl/>
          <w:cs/>
          <w:rFonts w:cs="Sakkal Majalla"/>
          <w:szCs w:val="36"/>
        </w:rPr>
        <w:t>ثالثاً/ مجتمع البحث</w:t>
      </w:r>
    </w:p>
    <w:p>
      <w:pPr>
        <w:spacing w:before="40" w:after="80" w:line="440" w:lineRule="exact"/>
        <w:ind w:firstLine="567"/>
        <w:jc w:val="right"/>
        <w:bidi w:val="1"/>
      </w:pPr>
      <w:r>
        <w:rPr>
          <w:rFonts w:ascii="Sakkal Majalla" w:hAnsi="Sakkal Majalla"/>
          <w:b w:val="0"/>
          <w:sz w:val="28"/>
          <w:rtl/>
          <w:cs/>
          <w:rFonts w:cs="Sakkal Majalla"/>
          <w:szCs w:val="28"/>
        </w:rPr>
        <w:t>يُقصد بمجتمع الدراسة جميع الأفراد أو العناصر الذين تنطبق عليهم خصائص الدراسة والذين يمكن تعميم النتائج عليهم. وبناءً على طبيعة هذه الدراسة التي تبحث في أخلاقيات الذكاء الاصطناعي في معالجة البيانات الشخصية، يتكون مجتمع الدراسة من جميع الأفراد والجهات ذات العلاقة بمعالجة البيانات الشخصية باستخدام الذكاء الاصطناعي في المملكة العربية السعودية، ويشمل أربع فئات رئيسية تمثل الأطراف الأكثر تأثراً أو مشاركةً في هذه العملية، وهي:</w:t>
      </w:r>
    </w:p>
    <w:p>
      <w:pPr>
        <w:spacing w:before="200" w:after="120" w:line="440" w:lineRule="exact"/>
        <w:jc w:val="right"/>
        <w:bidi w:val="1"/>
      </w:pPr>
      <w:r>
        <w:rPr>
          <w:rFonts w:ascii="Sakkal Majalla" w:hAnsi="Sakkal Majalla"/>
          <w:b/>
          <w:color w:val="004682"/>
          <w:sz w:val="30"/>
          <w:rtl/>
          <w:cs/>
          <w:rFonts w:cs="Sakkal Majalla"/>
          <w:szCs w:val="30"/>
        </w:rPr>
        <w:t>1. المستخدمون الأفراد:</w:t>
      </w:r>
    </w:p>
    <w:p>
      <w:pPr>
        <w:spacing w:before="40" w:after="80" w:line="440" w:lineRule="exact"/>
        <w:jc w:val="right"/>
        <w:bidi w:val="1"/>
      </w:pPr>
      <w:r>
        <w:rPr>
          <w:rFonts w:ascii="Sakkal Majalla" w:hAnsi="Sakkal Majalla"/>
          <w:b w:val="0"/>
          <w:sz w:val="28"/>
          <w:rtl/>
          <w:cs/>
          <w:rFonts w:cs="Sakkal Majalla"/>
          <w:szCs w:val="28"/>
        </w:rPr>
        <w:t>وهم الأشخاص في المملكة العربية السعودية الذين يستخدمون تطبيقات الذكاء الاصطناعي في حياتهم اليومية، مثل محركات البحث، ووسائل التواصل الاجتماعي، والتطبيقات الصحية والتجارية. ويمثلون الطرف الأكثر تضرراً من سوء استخدام البيانات، ويتم التركيز على مدى وعيهم بحقوق الخصوصية ومدى إدراكهم لكيفية استغلال بياناتهم الشخصية.</w:t>
      </w:r>
    </w:p>
    <w:p>
      <w:pPr>
        <w:spacing w:before="200" w:after="120" w:line="440" w:lineRule="exact"/>
        <w:jc w:val="right"/>
        <w:bidi w:val="1"/>
      </w:pPr>
      <w:r>
        <w:rPr>
          <w:rFonts w:ascii="Sakkal Majalla" w:hAnsi="Sakkal Majalla"/>
          <w:b/>
          <w:color w:val="004682"/>
          <w:sz w:val="30"/>
          <w:rtl/>
          <w:cs/>
          <w:rFonts w:cs="Sakkal Majalla"/>
          <w:szCs w:val="30"/>
        </w:rPr>
        <w:t>2. الشركات والمؤسسات التكنولوجية:</w:t>
      </w:r>
    </w:p>
    <w:p>
      <w:pPr>
        <w:spacing w:before="40" w:after="80" w:line="440" w:lineRule="exact"/>
        <w:jc w:val="right"/>
        <w:bidi w:val="1"/>
      </w:pPr>
      <w:r>
        <w:rPr>
          <w:rFonts w:ascii="Sakkal Majalla" w:hAnsi="Sakkal Majalla"/>
          <w:b w:val="0"/>
          <w:sz w:val="28"/>
          <w:rtl/>
          <w:cs/>
          <w:rFonts w:cs="Sakkal Majalla"/>
          <w:szCs w:val="28"/>
        </w:rPr>
        <w:t>وتشمل الشركات العاملة في المملكة العربية السعودية التي تعتمد على الذكاء الاصطناعي في تحليل البيانات، سواء في التسويق، أو الأمن السيبراني، أو الخدمات الذكية. ويركز البحث على كيفية تعامل هذه الشركات مع البيانات الشخصية وفقاً للمعايير الأخلاقية.</w:t>
      </w:r>
    </w:p>
    <w:p>
      <w:pPr>
        <w:spacing w:before="200" w:after="120" w:line="440" w:lineRule="exact"/>
        <w:jc w:val="right"/>
        <w:bidi w:val="1"/>
      </w:pPr>
      <w:r>
        <w:rPr>
          <w:rFonts w:ascii="Sakkal Majalla" w:hAnsi="Sakkal Majalla"/>
          <w:b/>
          <w:color w:val="004682"/>
          <w:sz w:val="30"/>
          <w:rtl/>
          <w:cs/>
          <w:rFonts w:cs="Sakkal Majalla"/>
          <w:szCs w:val="30"/>
        </w:rPr>
        <w:t>3. الجهات الحكومية والتنظيمية:</w:t>
      </w:r>
    </w:p>
    <w:p>
      <w:pPr>
        <w:spacing w:before="40" w:after="80" w:line="440" w:lineRule="exact"/>
        <w:jc w:val="right"/>
        <w:bidi w:val="1"/>
      </w:pPr>
      <w:r>
        <w:rPr>
          <w:rFonts w:ascii="Sakkal Majalla" w:hAnsi="Sakkal Majalla"/>
          <w:b w:val="0"/>
          <w:sz w:val="28"/>
          <w:rtl/>
          <w:cs/>
          <w:rFonts w:cs="Sakkal Majalla"/>
          <w:szCs w:val="28"/>
        </w:rPr>
        <w:t>وتشمل الهيئات الحكومية واللجان التشريعية في المملكة العربية السعودية المسؤولة عن سنّ القوانين ووضع السياسات المتعلقة بأخلاقيات الذكاء الاصطناعي وحماية الخصوصية، مثل الهيئة السعودية للبيانات والذكاء الاصطناعي (سدايا). ويتم التركيز على فعالية هذه التشريعات ومدى تطبيقها على أرض الواقع.</w:t>
      </w:r>
    </w:p>
    <w:p>
      <w:pPr>
        <w:spacing w:before="200" w:after="120" w:line="440" w:lineRule="exact"/>
        <w:jc w:val="right"/>
        <w:bidi w:val="1"/>
      </w:pPr>
      <w:r>
        <w:rPr>
          <w:rFonts w:ascii="Sakkal Majalla" w:hAnsi="Sakkal Majalla"/>
          <w:b/>
          <w:color w:val="004682"/>
          <w:sz w:val="30"/>
          <w:rtl/>
          <w:cs/>
          <w:rFonts w:cs="Sakkal Majalla"/>
          <w:szCs w:val="30"/>
        </w:rPr>
        <w:t>4. الأكاديميون والخبراء:</w:t>
      </w:r>
    </w:p>
    <w:p>
      <w:pPr>
        <w:spacing w:before="40" w:after="80" w:line="440" w:lineRule="exact"/>
        <w:jc w:val="right"/>
        <w:bidi w:val="1"/>
      </w:pPr>
      <w:r>
        <w:rPr>
          <w:rFonts w:ascii="Sakkal Majalla" w:hAnsi="Sakkal Majalla"/>
          <w:b w:val="0"/>
          <w:sz w:val="28"/>
          <w:rtl/>
          <w:cs/>
          <w:rFonts w:cs="Sakkal Majalla"/>
          <w:szCs w:val="28"/>
        </w:rPr>
        <w:t>وهم الباحثون والمتخصصون في المملكة العربية السعودية والمنطقة العربية في مجالات أخلاقيات الذكاء الاصطناعي، والقانون الرقمي، وأمن المعلومات، وعلوم البيانات، وحوكمة البيانات. ويتم الاعتماد عليهم كمصادر رئيسية في تحليل البيانات والمقابلات البحثية لتقديم رؤى تحليلية عميقة.</w:t>
      </w:r>
    </w:p>
    <w:p>
      <w:pPr>
        <w:spacing w:before="40" w:after="80" w:line="440" w:lineRule="exact"/>
        <w:ind w:firstLine="567"/>
        <w:jc w:val="right"/>
        <w:bidi w:val="1"/>
      </w:pPr>
      <w:r>
        <w:rPr>
          <w:rFonts w:ascii="Sakkal Majalla" w:hAnsi="Sakkal Majalla"/>
          <w:b w:val="0"/>
          <w:sz w:val="28"/>
          <w:rtl/>
          <w:cs/>
          <w:rFonts w:cs="Sakkal Majalla"/>
          <w:szCs w:val="28"/>
        </w:rPr>
        <w:t>إن هذا التنوع في مجتمع الدراسة يمنح البحث شمولية تساعد في تفسير النتائج من زوايا مختلفة، ويعكس الطبيعة متعددة الأبعاد لقضية معالجة البيانات الشخصية التي تتقاطع فيها الجوانب التقنية والقانونية والاجتماعية.</w:t>
      </w:r>
    </w:p>
    <w:p>
      <w:pPr>
        <w:spacing w:before="320" w:after="160" w:line="440" w:lineRule="exact"/>
        <w:jc w:val="right"/>
        <w:bidi w:val="1"/>
      </w:pPr>
      <w:r>
        <w:rPr>
          <w:rFonts w:ascii="Sakkal Majalla" w:hAnsi="Sakkal Majalla"/>
          <w:b/>
          <w:color w:val="003366"/>
          <w:sz w:val="36"/>
          <w:rtl/>
          <w:cs/>
          <w:rFonts w:cs="Sakkal Majalla"/>
          <w:szCs w:val="36"/>
        </w:rPr>
        <w:t>رابعاً/ عينة البحث</w:t>
      </w:r>
    </w:p>
    <w:p>
      <w:pPr>
        <w:spacing w:before="40" w:after="80" w:line="440" w:lineRule="exact"/>
        <w:ind w:firstLine="567"/>
        <w:jc w:val="right"/>
        <w:bidi w:val="1"/>
      </w:pPr>
      <w:r>
        <w:rPr>
          <w:rFonts w:ascii="Sakkal Majalla" w:hAnsi="Sakkal Majalla"/>
          <w:b w:val="0"/>
          <w:sz w:val="28"/>
          <w:rtl/>
          <w:cs/>
          <w:rFonts w:cs="Sakkal Majalla"/>
          <w:szCs w:val="28"/>
        </w:rPr>
        <w:t>اعتمدت الدراسة على أسلوب العينة الطبقية العشوائية (Stratified Random Sampling)، وذلك نظراً لتنوع مجتمع الدراسة وتعدد فئاته، حيث يُعدّ هذا الأسلوب الأنسب لضمان تمثيل كل فئة من فئات المجتمع بشكل متناسب. وقد بلغ إجمالي حجم العينة (150) مشاركاً، تم توزيعهم على النحو التالي:</w:t>
      </w:r>
    </w:p>
    <w:p>
      <w:pPr>
        <w:spacing w:before="160" w:after="80" w:line="440" w:lineRule="exact"/>
        <w:jc w:val="center"/>
        <w:bidi w:val="1"/>
      </w:pPr>
      <w:r>
        <w:rPr>
          <w:rFonts w:ascii="Sakkal Majalla" w:hAnsi="Sakkal Majalla"/>
          <w:b/>
          <w:sz w:val="26"/>
          <w:rtl/>
          <w:cs/>
          <w:rFonts w:cs="Sakkal Majalla"/>
          <w:szCs w:val="26"/>
        </w:rPr>
        <w:t>جدول (3.1): توزيع أفراد عينة الدراسة</w:t>
      </w:r>
    </w:p>
    <w:tbl>
      <w:tblPr>
        <w:tblStyle w:val="TableGrid"/>
        <w:tblW w:type="auto" w:w="0"/>
        <w:jc w:val="center"/>
        <w:tblLook w:firstColumn="1" w:firstRow="1" w:lastColumn="0" w:lastRow="0" w:noHBand="0" w:noVBand="1" w:val="04A0"/>
        <w:bidiVisual/>
      </w:tblPr>
      <w:tblGrid>
        <w:gridCol w:w="2160"/>
        <w:gridCol w:w="2160"/>
        <w:gridCol w:w="2160"/>
        <w:gridCol w:w="2160"/>
      </w:tblGrid>
      <w:tr>
        <w:tc>
          <w:tcPr>
            <w:tcW w:type="dxa" w:w="2160"/>
            <w:shd w:fill="003366" w:val="clear"/>
          </w:tcPr>
          <w:p>
            <w:pPr>
              <w:jc w:val="center"/>
              <w:bidi w:val="1"/>
            </w:pPr>
            <w:r/>
            <w:r>
              <w:rPr>
                <w:rFonts w:ascii="Sakkal Majalla" w:hAnsi="Sakkal Majalla"/>
                <w:b/>
                <w:color w:val="FFFFFF"/>
                <w:sz w:val="24"/>
                <w:rtl/>
                <w:cs/>
                <w:rFonts w:cs="Sakkal Majalla"/>
              </w:rPr>
              <w:t>طريقة الاختيار</w:t>
            </w:r>
          </w:p>
        </w:tc>
        <w:tc>
          <w:tcPr>
            <w:tcW w:type="dxa" w:w="2160"/>
            <w:shd w:fill="003366" w:val="clear"/>
          </w:tcPr>
          <w:p>
            <w:pPr>
              <w:jc w:val="center"/>
              <w:bidi w:val="1"/>
            </w:pPr>
            <w:r/>
            <w:r>
              <w:rPr>
                <w:rFonts w:ascii="Sakkal Majalla" w:hAnsi="Sakkal Majalla"/>
                <w:b/>
                <w:color w:val="FFFFFF"/>
                <w:sz w:val="24"/>
                <w:rtl/>
                <w:cs/>
                <w:rFonts w:cs="Sakkal Majalla"/>
              </w:rPr>
              <w:t>النسبة من العينة</w:t>
            </w:r>
          </w:p>
        </w:tc>
        <w:tc>
          <w:tcPr>
            <w:tcW w:type="dxa" w:w="2160"/>
            <w:shd w:fill="003366" w:val="clear"/>
          </w:tcPr>
          <w:p>
            <w:pPr>
              <w:jc w:val="center"/>
              <w:bidi w:val="1"/>
            </w:pPr>
            <w:r/>
            <w:r>
              <w:rPr>
                <w:rFonts w:ascii="Sakkal Majalla" w:hAnsi="Sakkal Majalla"/>
                <w:b/>
                <w:color w:val="FFFFFF"/>
                <w:sz w:val="24"/>
                <w:rtl/>
                <w:cs/>
                <w:rFonts w:cs="Sakkal Majalla"/>
              </w:rPr>
              <w:t>الحجم</w:t>
            </w:r>
          </w:p>
        </w:tc>
        <w:tc>
          <w:tcPr>
            <w:tcW w:type="dxa" w:w="2160"/>
            <w:shd w:fill="003366" w:val="clear"/>
          </w:tcPr>
          <w:p>
            <w:pPr>
              <w:jc w:val="center"/>
              <w:bidi w:val="1"/>
            </w:pPr>
            <w:r/>
            <w:r>
              <w:rPr>
                <w:rFonts w:ascii="Sakkal Majalla" w:hAnsi="Sakkal Majalla"/>
                <w:b/>
                <w:color w:val="FFFFFF"/>
                <w:sz w:val="24"/>
                <w:rtl/>
                <w:cs/>
                <w:rFonts w:cs="Sakkal Majalla"/>
              </w:rPr>
              <w:t>الفئة</w:t>
            </w:r>
          </w:p>
        </w:tc>
      </w:tr>
      <w:tr>
        <w:tc>
          <w:tcPr>
            <w:tcW w:type="dxa" w:w="2160"/>
          </w:tcPr>
          <w:p>
            <w:pPr>
              <w:jc w:val="center"/>
              <w:bidi w:val="1"/>
            </w:pPr>
            <w:r/>
            <w:r>
              <w:rPr>
                <w:rFonts w:ascii="Sakkal Majalla" w:hAnsi="Sakkal Majalla"/>
                <w:sz w:val="24"/>
                <w:rtl/>
                <w:cs/>
                <w:rFonts w:cs="Sakkal Majalla"/>
              </w:rPr>
              <w:t>عشوائية بسيطة</w:t>
            </w:r>
          </w:p>
        </w:tc>
        <w:tc>
          <w:tcPr>
            <w:tcW w:type="dxa" w:w="2160"/>
          </w:tcPr>
          <w:p>
            <w:pPr>
              <w:jc w:val="center"/>
              <w:bidi w:val="1"/>
            </w:pPr>
            <w:r/>
            <w:r>
              <w:rPr>
                <w:rFonts w:ascii="Sakkal Majalla" w:hAnsi="Sakkal Majalla"/>
                <w:sz w:val="24"/>
                <w:rtl/>
                <w:cs/>
                <w:rFonts w:cs="Sakkal Majalla"/>
              </w:rPr>
              <w:t>%66.7</w:t>
            </w:r>
          </w:p>
        </w:tc>
        <w:tc>
          <w:tcPr>
            <w:tcW w:type="dxa" w:w="2160"/>
          </w:tcPr>
          <w:p>
            <w:pPr>
              <w:jc w:val="center"/>
              <w:bidi w:val="1"/>
            </w:pPr>
            <w:r/>
            <w:r>
              <w:rPr>
                <w:rFonts w:ascii="Sakkal Majalla" w:hAnsi="Sakkal Majalla"/>
                <w:sz w:val="24"/>
                <w:rtl/>
                <w:cs/>
                <w:rFonts w:cs="Sakkal Majalla"/>
              </w:rPr>
              <w:t>100 فرد</w:t>
            </w:r>
          </w:p>
        </w:tc>
        <w:tc>
          <w:tcPr>
            <w:tcW w:type="dxa" w:w="2160"/>
          </w:tcPr>
          <w:p>
            <w:pPr>
              <w:jc w:val="center"/>
              <w:bidi w:val="1"/>
            </w:pPr>
            <w:r/>
            <w:r>
              <w:rPr>
                <w:rFonts w:ascii="Sakkal Majalla" w:hAnsi="Sakkal Majalla"/>
                <w:sz w:val="24"/>
                <w:rtl/>
                <w:cs/>
                <w:rFonts w:cs="Sakkal Majalla"/>
              </w:rPr>
              <w:t>المستخدمون الأفراد للتطبيقات الذكية</w:t>
            </w:r>
          </w:p>
        </w:tc>
      </w:tr>
      <w:tr>
        <w:tc>
          <w:tcPr>
            <w:tcW w:type="dxa" w:w="2160"/>
          </w:tcPr>
          <w:p>
            <w:pPr>
              <w:jc w:val="center"/>
              <w:bidi w:val="1"/>
            </w:pPr>
            <w:r/>
            <w:r>
              <w:rPr>
                <w:rFonts w:ascii="Sakkal Majalla" w:hAnsi="Sakkal Majalla"/>
                <w:sz w:val="24"/>
                <w:rtl/>
                <w:cs/>
                <w:rFonts w:cs="Sakkal Majalla"/>
              </w:rPr>
              <w:t>عشوائية طبقية</w:t>
            </w:r>
          </w:p>
        </w:tc>
        <w:tc>
          <w:tcPr>
            <w:tcW w:type="dxa" w:w="2160"/>
          </w:tcPr>
          <w:p>
            <w:pPr>
              <w:jc w:val="center"/>
              <w:bidi w:val="1"/>
            </w:pPr>
            <w:r/>
            <w:r>
              <w:rPr>
                <w:rFonts w:ascii="Sakkal Majalla" w:hAnsi="Sakkal Majalla"/>
                <w:sz w:val="24"/>
                <w:rtl/>
                <w:cs/>
                <w:rFonts w:cs="Sakkal Majalla"/>
              </w:rPr>
              <w:t>%20.0</w:t>
            </w:r>
          </w:p>
        </w:tc>
        <w:tc>
          <w:tcPr>
            <w:tcW w:type="dxa" w:w="2160"/>
          </w:tcPr>
          <w:p>
            <w:pPr>
              <w:jc w:val="center"/>
              <w:bidi w:val="1"/>
            </w:pPr>
            <w:r/>
            <w:r>
              <w:rPr>
                <w:rFonts w:ascii="Sakkal Majalla" w:hAnsi="Sakkal Majalla"/>
                <w:sz w:val="24"/>
                <w:rtl/>
                <w:cs/>
                <w:rFonts w:cs="Sakkal Majalla"/>
              </w:rPr>
              <w:t>30 موظفاً</w:t>
            </w:r>
          </w:p>
        </w:tc>
        <w:tc>
          <w:tcPr>
            <w:tcW w:type="dxa" w:w="2160"/>
          </w:tcPr>
          <w:p>
            <w:pPr>
              <w:jc w:val="center"/>
              <w:bidi w:val="1"/>
            </w:pPr>
            <w:r/>
            <w:r>
              <w:rPr>
                <w:rFonts w:ascii="Sakkal Majalla" w:hAnsi="Sakkal Majalla"/>
                <w:sz w:val="24"/>
                <w:rtl/>
                <w:cs/>
                <w:rFonts w:cs="Sakkal Majalla"/>
              </w:rPr>
              <w:t>الموظفون في شركات التكنولوجيا</w:t>
            </w:r>
          </w:p>
        </w:tc>
      </w:tr>
      <w:tr>
        <w:tc>
          <w:tcPr>
            <w:tcW w:type="dxa" w:w="2160"/>
          </w:tcPr>
          <w:p>
            <w:pPr>
              <w:jc w:val="center"/>
              <w:bidi w:val="1"/>
            </w:pPr>
            <w:r/>
            <w:r>
              <w:rPr>
                <w:rFonts w:ascii="Sakkal Majalla" w:hAnsi="Sakkal Majalla"/>
                <w:sz w:val="24"/>
                <w:rtl/>
                <w:cs/>
                <w:rFonts w:cs="Sakkal Majalla"/>
              </w:rPr>
              <w:t>قصدية</w:t>
            </w:r>
          </w:p>
        </w:tc>
        <w:tc>
          <w:tcPr>
            <w:tcW w:type="dxa" w:w="2160"/>
          </w:tcPr>
          <w:p>
            <w:pPr>
              <w:jc w:val="center"/>
              <w:bidi w:val="1"/>
            </w:pPr>
            <w:r/>
            <w:r>
              <w:rPr>
                <w:rFonts w:ascii="Sakkal Majalla" w:hAnsi="Sakkal Majalla"/>
                <w:sz w:val="24"/>
                <w:rtl/>
                <w:cs/>
                <w:rFonts w:cs="Sakkal Majalla"/>
              </w:rPr>
              <w:t>%6.7</w:t>
            </w:r>
          </w:p>
        </w:tc>
        <w:tc>
          <w:tcPr>
            <w:tcW w:type="dxa" w:w="2160"/>
          </w:tcPr>
          <w:p>
            <w:pPr>
              <w:jc w:val="center"/>
              <w:bidi w:val="1"/>
            </w:pPr>
            <w:r/>
            <w:r>
              <w:rPr>
                <w:rFonts w:ascii="Sakkal Majalla" w:hAnsi="Sakkal Majalla"/>
                <w:sz w:val="24"/>
                <w:rtl/>
                <w:cs/>
                <w:rFonts w:cs="Sakkal Majalla"/>
              </w:rPr>
              <w:t>10 مسؤولين</w:t>
            </w:r>
          </w:p>
        </w:tc>
        <w:tc>
          <w:tcPr>
            <w:tcW w:type="dxa" w:w="2160"/>
          </w:tcPr>
          <w:p>
            <w:pPr>
              <w:jc w:val="center"/>
              <w:bidi w:val="1"/>
            </w:pPr>
            <w:r/>
            <w:r>
              <w:rPr>
                <w:rFonts w:ascii="Sakkal Majalla" w:hAnsi="Sakkal Majalla"/>
                <w:sz w:val="24"/>
                <w:rtl/>
                <w:cs/>
                <w:rFonts w:cs="Sakkal Majalla"/>
              </w:rPr>
              <w:t>المسؤولون في الجهات الحكومية والتنظيمية</w:t>
            </w:r>
          </w:p>
        </w:tc>
      </w:tr>
      <w:tr>
        <w:tc>
          <w:tcPr>
            <w:tcW w:type="dxa" w:w="2160"/>
          </w:tcPr>
          <w:p>
            <w:pPr>
              <w:jc w:val="center"/>
              <w:bidi w:val="1"/>
            </w:pPr>
            <w:r/>
            <w:r>
              <w:rPr>
                <w:rFonts w:ascii="Sakkal Majalla" w:hAnsi="Sakkal Majalla"/>
                <w:sz w:val="24"/>
                <w:rtl/>
                <w:cs/>
                <w:rFonts w:cs="Sakkal Majalla"/>
              </w:rPr>
              <w:t>قصدية</w:t>
            </w:r>
          </w:p>
        </w:tc>
        <w:tc>
          <w:tcPr>
            <w:tcW w:type="dxa" w:w="2160"/>
          </w:tcPr>
          <w:p>
            <w:pPr>
              <w:jc w:val="center"/>
              <w:bidi w:val="1"/>
            </w:pPr>
            <w:r/>
            <w:r>
              <w:rPr>
                <w:rFonts w:ascii="Sakkal Majalla" w:hAnsi="Sakkal Majalla"/>
                <w:sz w:val="24"/>
                <w:rtl/>
                <w:cs/>
                <w:rFonts w:cs="Sakkal Majalla"/>
              </w:rPr>
              <w:t>%6.7</w:t>
            </w:r>
          </w:p>
        </w:tc>
        <w:tc>
          <w:tcPr>
            <w:tcW w:type="dxa" w:w="2160"/>
          </w:tcPr>
          <w:p>
            <w:pPr>
              <w:jc w:val="center"/>
              <w:bidi w:val="1"/>
            </w:pPr>
            <w:r/>
            <w:r>
              <w:rPr>
                <w:rFonts w:ascii="Sakkal Majalla" w:hAnsi="Sakkal Majalla"/>
                <w:sz w:val="24"/>
                <w:rtl/>
                <w:cs/>
                <w:rFonts w:cs="Sakkal Majalla"/>
              </w:rPr>
              <w:t>10 خبراء</w:t>
            </w:r>
          </w:p>
        </w:tc>
        <w:tc>
          <w:tcPr>
            <w:tcW w:type="dxa" w:w="2160"/>
          </w:tcPr>
          <w:p>
            <w:pPr>
              <w:jc w:val="center"/>
              <w:bidi w:val="1"/>
            </w:pPr>
            <w:r/>
            <w:r>
              <w:rPr>
                <w:rFonts w:ascii="Sakkal Majalla" w:hAnsi="Sakkal Majalla"/>
                <w:sz w:val="24"/>
                <w:rtl/>
                <w:cs/>
                <w:rFonts w:cs="Sakkal Majalla"/>
              </w:rPr>
              <w:t>الخبراء والأكاديميون المتخصصون</w:t>
            </w:r>
          </w:p>
        </w:tc>
      </w:tr>
      <w:tr>
        <w:tc>
          <w:tcPr>
            <w:tcW w:type="dxa" w:w="2160"/>
          </w:tcPr>
          <w:p>
            <w:pPr>
              <w:jc w:val="center"/>
              <w:bidi w:val="1"/>
            </w:pPr>
            <w:r/>
            <w:r>
              <w:rPr>
                <w:rFonts w:ascii="Sakkal Majalla" w:hAnsi="Sakkal Majalla"/>
                <w:sz w:val="24"/>
                <w:rtl/>
                <w:cs/>
                <w:rFonts w:cs="Sakkal Majalla"/>
              </w:rPr>
            </w:r>
          </w:p>
        </w:tc>
        <w:tc>
          <w:tcPr>
            <w:tcW w:type="dxa" w:w="2160"/>
          </w:tcPr>
          <w:p>
            <w:pPr>
              <w:jc w:val="center"/>
              <w:bidi w:val="1"/>
            </w:pPr>
            <w:r/>
            <w:r>
              <w:rPr>
                <w:rFonts w:ascii="Sakkal Majalla" w:hAnsi="Sakkal Majalla"/>
                <w:sz w:val="24"/>
                <w:rtl/>
                <w:cs/>
                <w:rFonts w:cs="Sakkal Majalla"/>
              </w:rPr>
              <w:t>%100</w:t>
            </w:r>
          </w:p>
        </w:tc>
        <w:tc>
          <w:tcPr>
            <w:tcW w:type="dxa" w:w="2160"/>
          </w:tcPr>
          <w:p>
            <w:pPr>
              <w:jc w:val="center"/>
              <w:bidi w:val="1"/>
            </w:pPr>
            <w:r/>
            <w:r>
              <w:rPr>
                <w:rFonts w:ascii="Sakkal Majalla" w:hAnsi="Sakkal Majalla"/>
                <w:sz w:val="24"/>
                <w:rtl/>
                <w:cs/>
                <w:rFonts w:cs="Sakkal Majalla"/>
              </w:rPr>
              <w:t>150 مشاركاً</w:t>
            </w:r>
          </w:p>
        </w:tc>
        <w:tc>
          <w:tcPr>
            <w:tcW w:type="dxa" w:w="2160"/>
          </w:tcPr>
          <w:p>
            <w:pPr>
              <w:jc w:val="center"/>
              <w:bidi w:val="1"/>
            </w:pPr>
            <w:r/>
            <w:r>
              <w:rPr>
                <w:rFonts w:ascii="Sakkal Majalla" w:hAnsi="Sakkal Majalla"/>
                <w:sz w:val="24"/>
                <w:rtl/>
                <w:cs/>
                <w:rFonts w:cs="Sakkal Majalla"/>
              </w:rPr>
              <w:t>الإجمالي</w:t>
            </w:r>
          </w:p>
        </w:tc>
      </w:tr>
    </w:tbl>
    <w:p/>
    <w:p>
      <w:pPr>
        <w:spacing w:before="40" w:after="80" w:line="440" w:lineRule="exact"/>
        <w:ind w:firstLine="567"/>
        <w:jc w:val="right"/>
        <w:bidi w:val="1"/>
      </w:pPr>
      <w:r>
        <w:rPr>
          <w:rFonts w:ascii="Sakkal Majalla" w:hAnsi="Sakkal Majalla"/>
          <w:b w:val="0"/>
          <w:sz w:val="28"/>
          <w:rtl/>
          <w:cs/>
          <w:rFonts w:cs="Sakkal Majalla"/>
          <w:szCs w:val="28"/>
        </w:rPr>
        <w:t>وقد روعي في اختيار العينة أن تكون الفئة الأولى (المستخدمون الأفراد) هي الأكبر حجماً لكونها تمثل الطرف الأكثر تأثراً بممارسات معالجة البيانات الشخصية، بينما تم اختيار فئتي المسؤولين الحكوميين والخبراء بالأسلوب القصدي نظراً لمحدودية أعدادهم وتخصصية أدوارهم. ونظراً لصعوبة تحديد الحجم الكلي لمجتمع الدراسة بشكل دقيق – كونه يشمل فئات متنوعة وغير محصورة في جهة واحدة – فقد تم الاعتماد على عينة تمثيلية كافية لأغراض التحليل الإحصائي وتعميم النتائج، وفقاً لما أوصت به الأدبيات المنهجية في مثل هذا النوع من الدراسات (Sekaran &amp; Bougie, 2016).</w:t>
      </w:r>
    </w:p>
    <w:p>
      <w:pPr>
        <w:spacing w:before="40" w:after="80" w:line="440" w:lineRule="exact"/>
        <w:ind w:firstLine="567"/>
        <w:jc w:val="right"/>
        <w:bidi w:val="1"/>
      </w:pPr>
      <w:r>
        <w:rPr>
          <w:rFonts w:ascii="Sakkal Majalla" w:hAnsi="Sakkal Majalla"/>
          <w:b w:val="0"/>
          <w:sz w:val="28"/>
          <w:rtl/>
          <w:cs/>
          <w:rFonts w:cs="Sakkal Majalla"/>
          <w:szCs w:val="28"/>
        </w:rPr>
        <w:t>كما تجدر الإشارة إلى أن فئة الخبراء والأكاديميين (10 خبراء) تمثل عينة المقابلات شبه المهيكلة، وتشمل متخصصين في خمسة مجالات: الذكاء الاصطناعي، وعلوم البيانات، وأمن المعلومات، والقانون الرقمي، وحوكمة البيانات.</w:t>
      </w:r>
    </w:p>
    <w:p>
      <w:pPr>
        <w:spacing w:before="320" w:after="160" w:line="440" w:lineRule="exact"/>
        <w:jc w:val="right"/>
        <w:bidi w:val="1"/>
      </w:pPr>
      <w:r>
        <w:rPr>
          <w:rFonts w:ascii="Sakkal Majalla" w:hAnsi="Sakkal Majalla"/>
          <w:b/>
          <w:color w:val="003366"/>
          <w:sz w:val="36"/>
          <w:rtl/>
          <w:cs/>
          <w:rFonts w:cs="Sakkal Majalla"/>
          <w:szCs w:val="36"/>
        </w:rPr>
        <w:t>خامساً/ تحديد أداة البحث وخطوات بنائها</w:t>
      </w:r>
    </w:p>
    <w:p>
      <w:pPr>
        <w:spacing w:before="40" w:after="80" w:line="440" w:lineRule="exact"/>
        <w:ind w:firstLine="567"/>
        <w:jc w:val="right"/>
        <w:bidi w:val="1"/>
      </w:pPr>
      <w:r>
        <w:rPr>
          <w:rFonts w:ascii="Sakkal Majalla" w:hAnsi="Sakkal Majalla"/>
          <w:b w:val="0"/>
          <w:sz w:val="28"/>
          <w:rtl/>
          <w:cs/>
          <w:rFonts w:cs="Sakkal Majalla"/>
          <w:szCs w:val="28"/>
        </w:rPr>
        <w:t>اعتمدت الدراسة على ثلاث أدوات رئيسية لجمع البيانات، بالإضافة إلى نموذج تقني تطبيقي، وذلك لضمان التكامل بين البيانات الكمية والنوعية والتطبيقية. وفيما يلي عرض تفصيلي لخطوات بناء كل أداة:</w:t>
      </w:r>
    </w:p>
    <w:p>
      <w:pPr>
        <w:spacing w:before="200" w:after="120" w:line="440" w:lineRule="exact"/>
        <w:jc w:val="right"/>
        <w:bidi w:val="1"/>
      </w:pPr>
      <w:r>
        <w:rPr>
          <w:rFonts w:ascii="Sakkal Majalla" w:hAnsi="Sakkal Majalla"/>
          <w:b/>
          <w:color w:val="004682"/>
          <w:sz w:val="30"/>
          <w:rtl/>
          <w:cs/>
          <w:rFonts w:cs="Sakkal Majalla"/>
          <w:szCs w:val="30"/>
        </w:rPr>
        <w:t>الأداة الأولى: تحليل الوثائق والتشريعات (Document Analysis)</w:t>
      </w:r>
    </w:p>
    <w:p>
      <w:pPr>
        <w:spacing w:before="40" w:after="80" w:line="440" w:lineRule="exact"/>
        <w:jc w:val="right"/>
        <w:bidi w:val="1"/>
      </w:pPr>
      <w:r>
        <w:rPr>
          <w:rFonts w:ascii="Sakkal Majalla" w:hAnsi="Sakkal Majalla"/>
          <w:b w:val="0"/>
          <w:sz w:val="28"/>
          <w:rtl/>
          <w:cs/>
          <w:rFonts w:cs="Sakkal Majalla"/>
          <w:szCs w:val="28"/>
        </w:rPr>
        <w:t>تم جمع البيانات الثانوية من خلال مراجعة وتحليل الوثائق القانونية والسياسات التنظيمية المتعلقة بأخلاقيات الذكاء الاصطناعي ومعالجة البيانات الشخصية، وشملت:</w:t>
      </w:r>
    </w:p>
    <w:p>
      <w:pPr>
        <w:spacing w:before="40" w:after="80" w:line="440" w:lineRule="exact"/>
        <w:jc w:val="right"/>
        <w:bidi w:val="1"/>
      </w:pPr>
      <w:r>
        <w:rPr>
          <w:rFonts w:ascii="Sakkal Majalla" w:hAnsi="Sakkal Majalla"/>
          <w:b w:val="0"/>
          <w:sz w:val="26"/>
          <w:rtl/>
          <w:cs/>
          <w:rFonts w:cs="Sakkal Majalla"/>
          <w:szCs w:val="26"/>
        </w:rPr>
        <w:t>- اللائحة العامة لحماية البيانات (GDPR) – الاتحاد الأوروبي.</w:t>
      </w:r>
    </w:p>
    <w:p>
      <w:pPr>
        <w:spacing w:before="40" w:after="80" w:line="440" w:lineRule="exact"/>
        <w:jc w:val="right"/>
        <w:bidi w:val="1"/>
      </w:pPr>
      <w:r>
        <w:rPr>
          <w:rFonts w:ascii="Sakkal Majalla" w:hAnsi="Sakkal Majalla"/>
          <w:b w:val="0"/>
          <w:sz w:val="26"/>
          <w:rtl/>
          <w:cs/>
          <w:rFonts w:cs="Sakkal Majalla"/>
          <w:szCs w:val="26"/>
        </w:rPr>
        <w:t>- قانون حماية خصوصية المستهلك في كاليفورنيا (CCPA) – الولايات المتحدة.</w:t>
      </w:r>
    </w:p>
    <w:p>
      <w:pPr>
        <w:spacing w:before="40" w:after="80" w:line="440" w:lineRule="exact"/>
        <w:jc w:val="right"/>
        <w:bidi w:val="1"/>
      </w:pPr>
      <w:r>
        <w:rPr>
          <w:rFonts w:ascii="Sakkal Majalla" w:hAnsi="Sakkal Majalla"/>
          <w:b w:val="0"/>
          <w:sz w:val="26"/>
          <w:rtl/>
          <w:cs/>
          <w:rFonts w:cs="Sakkal Majalla"/>
          <w:szCs w:val="26"/>
        </w:rPr>
        <w:t>- نظام حماية البيانات الشخصية في المملكة العربية السعودية.</w:t>
      </w:r>
    </w:p>
    <w:p>
      <w:pPr>
        <w:spacing w:before="40" w:after="80" w:line="440" w:lineRule="exact"/>
        <w:jc w:val="right"/>
        <w:bidi w:val="1"/>
      </w:pPr>
      <w:r>
        <w:rPr>
          <w:rFonts w:ascii="Sakkal Majalla" w:hAnsi="Sakkal Majalla"/>
          <w:b w:val="0"/>
          <w:sz w:val="26"/>
          <w:rtl/>
          <w:cs/>
          <w:rFonts w:cs="Sakkal Majalla"/>
          <w:szCs w:val="26"/>
        </w:rPr>
        <w:t>- مبادئ سدايا لأخلاقيات الذكاء الاصطناعي (2023).</w:t>
      </w:r>
    </w:p>
    <w:p>
      <w:pPr>
        <w:spacing w:before="40" w:after="80" w:line="440" w:lineRule="exact"/>
        <w:jc w:val="right"/>
        <w:bidi w:val="1"/>
      </w:pPr>
      <w:r>
        <w:rPr>
          <w:rFonts w:ascii="Sakkal Majalla" w:hAnsi="Sakkal Majalla"/>
          <w:b w:val="0"/>
          <w:sz w:val="26"/>
          <w:rtl/>
          <w:cs/>
          <w:rFonts w:cs="Sakkal Majalla"/>
          <w:szCs w:val="26"/>
        </w:rPr>
        <w:t>- سياسات الخصوصية لدى كبرى الشركات التقنية مثل (Google، Facebook، Amazon، Microsoft، Apple).</w:t>
      </w:r>
    </w:p>
    <w:p>
      <w:pPr>
        <w:spacing w:before="200" w:after="120" w:line="440" w:lineRule="exact"/>
        <w:jc w:val="right"/>
        <w:bidi w:val="1"/>
      </w:pPr>
      <w:r>
        <w:rPr>
          <w:rFonts w:ascii="Sakkal Majalla" w:hAnsi="Sakkal Majalla"/>
          <w:b/>
          <w:color w:val="004682"/>
          <w:sz w:val="30"/>
          <w:rtl/>
          <w:cs/>
          <w:rFonts w:cs="Sakkal Majalla"/>
          <w:szCs w:val="30"/>
        </w:rPr>
        <w:t>الأداة الثانية: الاستبانة (Survey/Questionnaire)</w:t>
      </w:r>
    </w:p>
    <w:p>
      <w:pPr>
        <w:spacing w:before="40" w:after="80" w:line="440" w:lineRule="exact"/>
        <w:jc w:val="right"/>
        <w:bidi w:val="1"/>
      </w:pPr>
      <w:r>
        <w:rPr>
          <w:rFonts w:ascii="Sakkal Majalla" w:hAnsi="Sakkal Majalla"/>
          <w:b w:val="0"/>
          <w:sz w:val="28"/>
          <w:rtl/>
          <w:cs/>
          <w:rFonts w:cs="Sakkal Majalla"/>
          <w:szCs w:val="28"/>
        </w:rPr>
        <w:t>مرّ بناء الاستبانة بالخطوات المنهجية التالية:</w:t>
      </w:r>
    </w:p>
    <w:p>
      <w:pPr>
        <w:spacing w:before="40" w:after="80" w:line="440" w:lineRule="exact"/>
        <w:jc w:val="right"/>
        <w:bidi w:val="1"/>
      </w:pPr>
      <w:r>
        <w:rPr>
          <w:rFonts w:ascii="Sakkal Majalla" w:hAnsi="Sakkal Majalla"/>
          <w:b w:val="0"/>
          <w:sz w:val="26"/>
          <w:rtl/>
          <w:cs/>
          <w:rFonts w:cs="Sakkal Majalla"/>
          <w:szCs w:val="26"/>
        </w:rPr>
        <w:t xml:space="preserve"> 1. مراجعة الأدبيات والدراسات السابقة: تمت مراجعة شاملة للدراسات العربية والأجنبية ذات الصلة، مثل دراسة الهيئة السعودية للبيانات والذكاء الاصطناعي (سدايا، 2023)، ودراسة جامعة سوهاج (2024)، ودراسة Floridi &amp; Cowls (2019)، ودراسة Binns (2020)، وذلك لاستخلاص الأبعاد والمحاور الأساسية التي ينبغي أن تتضمنها الاستبانة.</w:t>
      </w:r>
    </w:p>
    <w:p>
      <w:pPr>
        <w:spacing w:before="40" w:after="80" w:line="440" w:lineRule="exact"/>
        <w:jc w:val="right"/>
        <w:bidi w:val="1"/>
      </w:pPr>
      <w:r>
        <w:rPr>
          <w:rFonts w:ascii="Sakkal Majalla" w:hAnsi="Sakkal Majalla"/>
          <w:b w:val="0"/>
          <w:sz w:val="26"/>
          <w:rtl/>
          <w:cs/>
          <w:rFonts w:cs="Sakkal Majalla"/>
          <w:szCs w:val="26"/>
        </w:rPr>
        <w:t xml:space="preserve"> 2. تحديد المحاور والأبعاد: في ضوء نموذج الدراسة ومتغيراتها، تم تحديد أربعة محاور أساسية تغطي المتغيرات المستقلة والتابعة والوسيطة.</w:t>
      </w:r>
    </w:p>
    <w:p>
      <w:pPr>
        <w:spacing w:before="40" w:after="80" w:line="440" w:lineRule="exact"/>
        <w:jc w:val="right"/>
        <w:bidi w:val="1"/>
      </w:pPr>
      <w:r>
        <w:rPr>
          <w:rFonts w:ascii="Sakkal Majalla" w:hAnsi="Sakkal Majalla"/>
          <w:b w:val="0"/>
          <w:sz w:val="26"/>
          <w:rtl/>
          <w:cs/>
          <w:rFonts w:cs="Sakkal Majalla"/>
          <w:szCs w:val="26"/>
        </w:rPr>
        <w:t xml:space="preserve"> 3. صياغة الفقرات الأولية: تمت صياغة مجموعة من الفقرات لكل محور بما يتوافق مع فرضيات الدراسة (H1–H10) وأسئلتها الستة، مع مراعاة الوضوح والدقة في الصياغة وتجنب الازدواجية والغموض.</w:t>
      </w:r>
    </w:p>
    <w:p>
      <w:pPr>
        <w:spacing w:before="40" w:after="80" w:line="440" w:lineRule="exact"/>
        <w:jc w:val="right"/>
        <w:bidi w:val="1"/>
      </w:pPr>
      <w:r>
        <w:rPr>
          <w:rFonts w:ascii="Sakkal Majalla" w:hAnsi="Sakkal Majalla"/>
          <w:b w:val="0"/>
          <w:sz w:val="26"/>
          <w:rtl/>
          <w:cs/>
          <w:rFonts w:cs="Sakkal Majalla"/>
          <w:szCs w:val="26"/>
        </w:rPr>
        <w:t xml:space="preserve"> 4. العرض على المشرف: عُرضت النسخة الأولية من الاستبانة على المشرف الأكاديمي للمراجعة وإبداء الملاحظات، وتم إجراء التعديلات اللازمة في ضوء توجيهاته.</w:t>
      </w:r>
    </w:p>
    <w:p>
      <w:pPr>
        <w:spacing w:before="40" w:after="80" w:line="440" w:lineRule="exact"/>
        <w:jc w:val="right"/>
        <w:bidi w:val="1"/>
      </w:pPr>
      <w:r>
        <w:rPr>
          <w:rFonts w:ascii="Sakkal Majalla" w:hAnsi="Sakkal Majalla"/>
          <w:b w:val="0"/>
          <w:sz w:val="26"/>
          <w:rtl/>
          <w:cs/>
          <w:rFonts w:cs="Sakkal Majalla"/>
          <w:szCs w:val="26"/>
        </w:rPr>
        <w:t xml:space="preserve"> 5. التحكيم: عُرضت الاستبانة في صورتها الأولية على لجنة مكونة من ثلاثة محكّمين متخصصين في مجالات الذكاء الاصطناعي، والقانون الرقمي، والمناهج البحثية، للتأكد من صدق المحتوى وملاءمة الفقرات لقياس ما وُضعت لقياسه.</w:t>
      </w:r>
    </w:p>
    <w:p>
      <w:pPr>
        <w:spacing w:before="40" w:after="80" w:line="440" w:lineRule="exact"/>
        <w:jc w:val="right"/>
        <w:bidi w:val="1"/>
      </w:pPr>
      <w:r>
        <w:rPr>
          <w:rFonts w:ascii="Sakkal Majalla" w:hAnsi="Sakkal Majalla"/>
          <w:b w:val="0"/>
          <w:sz w:val="26"/>
          <w:rtl/>
          <w:cs/>
          <w:rFonts w:cs="Sakkal Majalla"/>
          <w:szCs w:val="26"/>
        </w:rPr>
        <w:t xml:space="preserve"> 6. التعديل والصياغة النهائية: في ضوء ملاحظات المحكّمين، تم تعديل بعض الفقرات من حيث الصياغة والوضوح والدقة، ليتم الوصول إلى الصورة النهائية للاستبانة.</w:t>
      </w:r>
    </w:p>
    <w:p>
      <w:pPr>
        <w:spacing w:before="200" w:after="120" w:line="440" w:lineRule="exact"/>
        <w:jc w:val="right"/>
        <w:bidi w:val="1"/>
      </w:pPr>
      <w:r>
        <w:rPr>
          <w:rFonts w:ascii="Sakkal Majalla" w:hAnsi="Sakkal Majalla"/>
          <w:b/>
          <w:color w:val="004682"/>
          <w:sz w:val="30"/>
          <w:rtl/>
          <w:cs/>
          <w:rFonts w:cs="Sakkal Majalla"/>
          <w:szCs w:val="30"/>
        </w:rPr>
        <w:t>الأداة الثالثة: المقابلات شبه المهيكلة (Semi-Structured Interviews)</w:t>
      </w:r>
    </w:p>
    <w:p>
      <w:pPr>
        <w:spacing w:before="40" w:after="80" w:line="440" w:lineRule="exact"/>
        <w:ind w:firstLine="567"/>
        <w:jc w:val="right"/>
        <w:bidi w:val="1"/>
      </w:pPr>
      <w:r>
        <w:rPr>
          <w:rFonts w:ascii="Sakkal Majalla" w:hAnsi="Sakkal Majalla"/>
          <w:b w:val="0"/>
          <w:sz w:val="28"/>
          <w:rtl/>
          <w:cs/>
          <w:rFonts w:cs="Sakkal Majalla"/>
          <w:szCs w:val="28"/>
        </w:rPr>
        <w:t>أُجريت مقابلات شبه مهيكلة مع (10) خبراء متخصصين في خمسة مجالات (الذكاء الاصطناعي، وعلوم البيانات، وأمن المعلومات، والقانون الرقمي، وحوكمة البيانات)، وذلك للحصول على رؤى معمقة ونوعية حول القضايا الأخلاقية والقانونية المرتبطة بمعالجة البيانات الشخصية. وقد تم تصميم دليل المقابلة في ضوء أسئلة البحث وتحليل مضامين الإجابات وفقاً لها.</w:t>
      </w:r>
    </w:p>
    <w:p>
      <w:pPr>
        <w:spacing w:before="200" w:after="120" w:line="440" w:lineRule="exact"/>
        <w:jc w:val="right"/>
        <w:bidi w:val="1"/>
      </w:pPr>
      <w:r>
        <w:rPr>
          <w:rFonts w:ascii="Sakkal Majalla" w:hAnsi="Sakkal Majalla"/>
          <w:b/>
          <w:color w:val="004682"/>
          <w:sz w:val="30"/>
          <w:rtl/>
          <w:cs/>
          <w:rFonts w:cs="Sakkal Majalla"/>
          <w:szCs w:val="30"/>
        </w:rPr>
        <w:t>الأداة الرابعة: النموذج التقني (Prototype)</w:t>
      </w:r>
    </w:p>
    <w:p>
      <w:pPr>
        <w:spacing w:before="40" w:after="80" w:line="440" w:lineRule="exact"/>
        <w:ind w:firstLine="567"/>
        <w:jc w:val="right"/>
        <w:bidi w:val="1"/>
      </w:pPr>
      <w:r>
        <w:rPr>
          <w:rFonts w:ascii="Sakkal Majalla" w:hAnsi="Sakkal Majalla"/>
          <w:b w:val="0"/>
          <w:sz w:val="28"/>
          <w:rtl/>
          <w:cs/>
          <w:rFonts w:cs="Sakkal Majalla"/>
          <w:szCs w:val="28"/>
        </w:rPr>
        <w:t>تم تصميم نموذج محاكاة تقني كأداة تطبيقية تقيس: الامتثال الأخلاقي، ومستوى الشفافية، واحتمالية التحيّز، ودرجة المخاطر على الخصوصية، ونقاط الضعف في دورة حياة البيانات.</w:t>
      </w:r>
    </w:p>
    <w:p>
      <w:pPr>
        <w:spacing w:before="320" w:after="160" w:line="440" w:lineRule="exact"/>
        <w:jc w:val="right"/>
        <w:bidi w:val="1"/>
      </w:pPr>
      <w:r>
        <w:rPr>
          <w:rFonts w:ascii="Sakkal Majalla" w:hAnsi="Sakkal Majalla"/>
          <w:b/>
          <w:color w:val="003366"/>
          <w:sz w:val="36"/>
          <w:rtl/>
          <w:cs/>
          <w:rFonts w:cs="Sakkal Majalla"/>
          <w:szCs w:val="36"/>
        </w:rPr>
        <w:t>سادساً/ مكونات أداة البحث (الاستبانة)</w:t>
      </w:r>
    </w:p>
    <w:p>
      <w:pPr>
        <w:spacing w:before="40" w:after="80" w:line="440" w:lineRule="exact"/>
        <w:ind w:firstLine="567"/>
        <w:jc w:val="right"/>
        <w:bidi w:val="1"/>
      </w:pPr>
      <w:r>
        <w:rPr>
          <w:rFonts w:ascii="Sakkal Majalla" w:hAnsi="Sakkal Majalla"/>
          <w:b w:val="0"/>
          <w:sz w:val="28"/>
          <w:rtl/>
          <w:cs/>
          <w:rFonts w:cs="Sakkal Majalla"/>
          <w:szCs w:val="28"/>
        </w:rPr>
        <w:t>تتكون الاستبانة في صورتها النهائية من قسمين رئيسيين:</w:t>
      </w:r>
    </w:p>
    <w:p>
      <w:pPr>
        <w:spacing w:before="200" w:after="120" w:line="440" w:lineRule="exact"/>
        <w:jc w:val="right"/>
        <w:bidi w:val="1"/>
      </w:pPr>
      <w:r>
        <w:rPr>
          <w:rFonts w:ascii="Sakkal Majalla" w:hAnsi="Sakkal Majalla"/>
          <w:b/>
          <w:color w:val="004682"/>
          <w:sz w:val="30"/>
          <w:rtl/>
          <w:cs/>
          <w:rFonts w:cs="Sakkal Majalla"/>
          <w:szCs w:val="30"/>
        </w:rPr>
        <w:t>القسم الأول: البيانات الشخصية (الأولية)</w:t>
      </w:r>
    </w:p>
    <w:p>
      <w:pPr>
        <w:spacing w:before="40" w:after="80" w:line="440" w:lineRule="exact"/>
        <w:jc w:val="right"/>
        <w:bidi w:val="1"/>
      </w:pPr>
      <w:r>
        <w:rPr>
          <w:rFonts w:ascii="Sakkal Majalla" w:hAnsi="Sakkal Majalla"/>
          <w:b w:val="0"/>
          <w:sz w:val="28"/>
          <w:rtl/>
          <w:cs/>
          <w:rFonts w:cs="Sakkal Majalla"/>
          <w:szCs w:val="28"/>
        </w:rPr>
        <w:t>يتضمن هذا القسم المعلومات الديموغرافية للمستجيبين، وتشمل:</w:t>
      </w:r>
    </w:p>
    <w:p>
      <w:pPr>
        <w:spacing w:before="40" w:after="80" w:line="440" w:lineRule="exact"/>
        <w:jc w:val="right"/>
        <w:bidi w:val="1"/>
      </w:pPr>
      <w:r>
        <w:rPr>
          <w:rFonts w:ascii="Sakkal Majalla" w:hAnsi="Sakkal Majalla"/>
          <w:b w:val="0"/>
          <w:sz w:val="26"/>
          <w:rtl/>
          <w:cs/>
          <w:rFonts w:cs="Sakkal Majalla"/>
          <w:szCs w:val="26"/>
        </w:rPr>
        <w:t>- الجنس (ذكر / أنثى).</w:t>
      </w:r>
    </w:p>
    <w:p>
      <w:pPr>
        <w:spacing w:before="40" w:after="80" w:line="440" w:lineRule="exact"/>
        <w:jc w:val="right"/>
        <w:bidi w:val="1"/>
      </w:pPr>
      <w:r>
        <w:rPr>
          <w:rFonts w:ascii="Sakkal Majalla" w:hAnsi="Sakkal Majalla"/>
          <w:b w:val="0"/>
          <w:sz w:val="26"/>
          <w:rtl/>
          <w:cs/>
          <w:rFonts w:cs="Sakkal Majalla"/>
          <w:szCs w:val="26"/>
        </w:rPr>
        <w:t>- الفئة العمرية.</w:t>
      </w:r>
    </w:p>
    <w:p>
      <w:pPr>
        <w:spacing w:before="40" w:after="80" w:line="440" w:lineRule="exact"/>
        <w:jc w:val="right"/>
        <w:bidi w:val="1"/>
      </w:pPr>
      <w:r>
        <w:rPr>
          <w:rFonts w:ascii="Sakkal Majalla" w:hAnsi="Sakkal Majalla"/>
          <w:b w:val="0"/>
          <w:sz w:val="26"/>
          <w:rtl/>
          <w:cs/>
          <w:rFonts w:cs="Sakkal Majalla"/>
          <w:szCs w:val="26"/>
        </w:rPr>
        <w:t>- المؤهل العلمي.</w:t>
      </w:r>
    </w:p>
    <w:p>
      <w:pPr>
        <w:spacing w:before="40" w:after="80" w:line="440" w:lineRule="exact"/>
        <w:jc w:val="right"/>
        <w:bidi w:val="1"/>
      </w:pPr>
      <w:r>
        <w:rPr>
          <w:rFonts w:ascii="Sakkal Majalla" w:hAnsi="Sakkal Majalla"/>
          <w:b w:val="0"/>
          <w:sz w:val="26"/>
          <w:rtl/>
          <w:cs/>
          <w:rFonts w:cs="Sakkal Majalla"/>
          <w:szCs w:val="26"/>
        </w:rPr>
        <w:t>- المسمى الوظيفي / طبيعة العمل.</w:t>
      </w:r>
    </w:p>
    <w:p>
      <w:pPr>
        <w:spacing w:before="40" w:after="80" w:line="440" w:lineRule="exact"/>
        <w:jc w:val="right"/>
        <w:bidi w:val="1"/>
      </w:pPr>
      <w:r>
        <w:rPr>
          <w:rFonts w:ascii="Sakkal Majalla" w:hAnsi="Sakkal Majalla"/>
          <w:b w:val="0"/>
          <w:sz w:val="26"/>
          <w:rtl/>
          <w:cs/>
          <w:rFonts w:cs="Sakkal Majalla"/>
          <w:szCs w:val="26"/>
        </w:rPr>
        <w:t>- سنوات الخبرة في المجال التقني أو ذي الصلة.</w:t>
      </w:r>
    </w:p>
    <w:p>
      <w:pPr>
        <w:spacing w:before="40" w:after="80" w:line="440" w:lineRule="exact"/>
        <w:jc w:val="right"/>
        <w:bidi w:val="1"/>
      </w:pPr>
      <w:r>
        <w:rPr>
          <w:rFonts w:ascii="Sakkal Majalla" w:hAnsi="Sakkal Majalla"/>
          <w:b w:val="0"/>
          <w:sz w:val="26"/>
          <w:rtl/>
          <w:cs/>
          <w:rFonts w:cs="Sakkal Majalla"/>
          <w:szCs w:val="26"/>
        </w:rPr>
        <w:t>- الفئة المستهدفة (مستخدم فرد / موظف شركة تقنية / مسؤول حكومي / خبير أكاديمي).</w:t>
      </w:r>
    </w:p>
    <w:p>
      <w:pPr>
        <w:spacing w:before="200" w:after="120" w:line="440" w:lineRule="exact"/>
        <w:jc w:val="right"/>
        <w:bidi w:val="1"/>
      </w:pPr>
      <w:r>
        <w:rPr>
          <w:rFonts w:ascii="Sakkal Majalla" w:hAnsi="Sakkal Majalla"/>
          <w:b/>
          <w:color w:val="004682"/>
          <w:sz w:val="30"/>
          <w:rtl/>
          <w:cs/>
          <w:rFonts w:cs="Sakkal Majalla"/>
          <w:szCs w:val="30"/>
        </w:rPr>
        <w:t>القسم الثاني: المحاور الأساسية</w:t>
      </w:r>
    </w:p>
    <w:p>
      <w:pPr>
        <w:spacing w:before="40" w:after="80" w:line="440" w:lineRule="exact"/>
        <w:jc w:val="right"/>
        <w:bidi w:val="1"/>
      </w:pPr>
      <w:r>
        <w:rPr>
          <w:rFonts w:ascii="Sakkal Majalla" w:hAnsi="Sakkal Majalla"/>
          <w:b w:val="0"/>
          <w:sz w:val="28"/>
          <w:rtl/>
          <w:cs/>
          <w:rFonts w:cs="Sakkal Majalla"/>
          <w:szCs w:val="28"/>
        </w:rPr>
        <w:t>يتضمن هذا القسم أربعة محاور مرتبطة بمتغيرات الدراسة (المستقل، والتابع، والوسيط)، وذلك على النحو التالي:</w:t>
      </w:r>
    </w:p>
    <w:p>
      <w:pPr>
        <w:spacing w:before="160" w:after="80" w:line="440" w:lineRule="exact"/>
        <w:jc w:val="center"/>
        <w:bidi w:val="1"/>
      </w:pPr>
      <w:r>
        <w:rPr>
          <w:rFonts w:ascii="Sakkal Majalla" w:hAnsi="Sakkal Majalla"/>
          <w:b/>
          <w:sz w:val="26"/>
          <w:rtl/>
          <w:cs/>
          <w:rFonts w:cs="Sakkal Majalla"/>
          <w:szCs w:val="26"/>
        </w:rPr>
        <w:t>جدول (3.2): محاور الاستبانة وعدد فقراتها والمتغيرات والفرضيات المرتبطة بها</w:t>
      </w:r>
    </w:p>
    <w:tbl>
      <w:tblPr>
        <w:tblStyle w:val="TableGrid"/>
        <w:tblW w:type="auto" w:w="0"/>
        <w:jc w:val="center"/>
        <w:tblLook w:firstColumn="1" w:firstRow="1" w:lastColumn="0" w:lastRow="0" w:noHBand="0" w:noVBand="1" w:val="04A0"/>
        <w:bidiVisual/>
      </w:tblPr>
      <w:tblGrid>
        <w:gridCol w:w="1728"/>
        <w:gridCol w:w="1728"/>
        <w:gridCol w:w="1728"/>
        <w:gridCol w:w="1728"/>
        <w:gridCol w:w="1728"/>
      </w:tblGrid>
      <w:tr>
        <w:tc>
          <w:tcPr>
            <w:tcW w:type="dxa" w:w="1728"/>
            <w:shd w:fill="003366" w:val="clear"/>
          </w:tcPr>
          <w:p>
            <w:pPr>
              <w:jc w:val="center"/>
              <w:bidi w:val="1"/>
            </w:pPr>
            <w:r/>
            <w:r>
              <w:rPr>
                <w:rFonts w:ascii="Sakkal Majalla" w:hAnsi="Sakkal Majalla"/>
                <w:b/>
                <w:color w:val="FFFFFF"/>
                <w:sz w:val="24"/>
                <w:rtl/>
                <w:cs/>
                <w:rFonts w:cs="Sakkal Majalla"/>
              </w:rPr>
              <w:t>الفرضيات المخدومة</w:t>
            </w:r>
          </w:p>
        </w:tc>
        <w:tc>
          <w:tcPr>
            <w:tcW w:type="dxa" w:w="1728"/>
            <w:shd w:fill="003366" w:val="clear"/>
          </w:tcPr>
          <w:p>
            <w:pPr>
              <w:jc w:val="center"/>
              <w:bidi w:val="1"/>
            </w:pPr>
            <w:r/>
            <w:r>
              <w:rPr>
                <w:rFonts w:ascii="Sakkal Majalla" w:hAnsi="Sakkal Majalla"/>
                <w:b/>
                <w:color w:val="FFFFFF"/>
                <w:sz w:val="24"/>
                <w:rtl/>
                <w:cs/>
                <w:rFonts w:cs="Sakkal Majalla"/>
              </w:rPr>
              <w:t>عدد الفقرات</w:t>
            </w:r>
          </w:p>
        </w:tc>
        <w:tc>
          <w:tcPr>
            <w:tcW w:type="dxa" w:w="1728"/>
            <w:shd w:fill="003366" w:val="clear"/>
          </w:tcPr>
          <w:p>
            <w:pPr>
              <w:jc w:val="center"/>
              <w:bidi w:val="1"/>
            </w:pPr>
            <w:r/>
            <w:r>
              <w:rPr>
                <w:rFonts w:ascii="Sakkal Majalla" w:hAnsi="Sakkal Majalla"/>
                <w:b/>
                <w:color w:val="FFFFFF"/>
                <w:sz w:val="24"/>
                <w:rtl/>
                <w:cs/>
                <w:rFonts w:cs="Sakkal Majalla"/>
              </w:rPr>
              <w:t>المتغير المرتبط</w:t>
            </w:r>
          </w:p>
        </w:tc>
        <w:tc>
          <w:tcPr>
            <w:tcW w:type="dxa" w:w="1728"/>
            <w:shd w:fill="003366" w:val="clear"/>
          </w:tcPr>
          <w:p>
            <w:pPr>
              <w:jc w:val="center"/>
              <w:bidi w:val="1"/>
            </w:pPr>
            <w:r/>
            <w:r>
              <w:rPr>
                <w:rFonts w:ascii="Sakkal Majalla" w:hAnsi="Sakkal Majalla"/>
                <w:b/>
                <w:color w:val="FFFFFF"/>
                <w:sz w:val="24"/>
                <w:rtl/>
                <w:cs/>
                <w:rFonts w:cs="Sakkal Majalla"/>
              </w:rPr>
              <w:t>المضمون</w:t>
            </w:r>
          </w:p>
        </w:tc>
        <w:tc>
          <w:tcPr>
            <w:tcW w:type="dxa" w:w="1728"/>
            <w:shd w:fill="003366" w:val="clear"/>
          </w:tcPr>
          <w:p>
            <w:pPr>
              <w:jc w:val="center"/>
              <w:bidi w:val="1"/>
            </w:pPr>
            <w:r/>
            <w:r>
              <w:rPr>
                <w:rFonts w:ascii="Sakkal Majalla" w:hAnsi="Sakkal Majalla"/>
                <w:b/>
                <w:color w:val="FFFFFF"/>
                <w:sz w:val="24"/>
                <w:rtl/>
                <w:cs/>
                <w:rFonts w:cs="Sakkal Majalla"/>
              </w:rPr>
              <w:t>المحور</w:t>
            </w:r>
          </w:p>
        </w:tc>
      </w:tr>
      <w:tr>
        <w:tc>
          <w:tcPr>
            <w:tcW w:type="dxa" w:w="1728"/>
          </w:tcPr>
          <w:p>
            <w:pPr>
              <w:jc w:val="center"/>
              <w:bidi w:val="1"/>
            </w:pPr>
            <w:r/>
            <w:r>
              <w:rPr>
                <w:rFonts w:ascii="Sakkal Majalla" w:hAnsi="Sakkal Majalla"/>
                <w:sz w:val="24"/>
                <w:rtl/>
                <w:cs/>
                <w:rFonts w:cs="Sakkal Majalla"/>
              </w:rPr>
              <w:t>H7, H8</w:t>
            </w:r>
          </w:p>
        </w:tc>
        <w:tc>
          <w:tcPr>
            <w:tcW w:type="dxa" w:w="1728"/>
          </w:tcPr>
          <w:p>
            <w:pPr>
              <w:jc w:val="center"/>
              <w:bidi w:val="1"/>
            </w:pPr>
            <w:r/>
            <w:r>
              <w:rPr>
                <w:rFonts w:ascii="Sakkal Majalla" w:hAnsi="Sakkal Majalla"/>
                <w:sz w:val="24"/>
                <w:rtl/>
                <w:cs/>
                <w:rFonts w:cs="Sakkal Majalla"/>
              </w:rPr>
              <w:t>8</w:t>
            </w:r>
          </w:p>
        </w:tc>
        <w:tc>
          <w:tcPr>
            <w:tcW w:type="dxa" w:w="1728"/>
          </w:tcPr>
          <w:p>
            <w:pPr>
              <w:jc w:val="center"/>
              <w:bidi w:val="1"/>
            </w:pPr>
            <w:r/>
            <w:r>
              <w:rPr>
                <w:rFonts w:ascii="Sakkal Majalla" w:hAnsi="Sakkal Majalla"/>
                <w:sz w:val="24"/>
                <w:rtl/>
                <w:cs/>
                <w:rFonts w:cs="Sakkal Majalla"/>
              </w:rPr>
              <w:t>الوسيط (الوعي المجتمعي)</w:t>
            </w:r>
          </w:p>
        </w:tc>
        <w:tc>
          <w:tcPr>
            <w:tcW w:type="dxa" w:w="1728"/>
          </w:tcPr>
          <w:p>
            <w:pPr>
              <w:jc w:val="center"/>
              <w:bidi w:val="1"/>
            </w:pPr>
            <w:r/>
            <w:r>
              <w:rPr>
                <w:rFonts w:ascii="Sakkal Majalla" w:hAnsi="Sakkal Majalla"/>
                <w:sz w:val="24"/>
                <w:rtl/>
                <w:cs/>
                <w:rFonts w:cs="Sakkal Majalla"/>
              </w:rPr>
              <w:t>قياس مدى إدراك الأفراد لحقوقهم المتعلقة بالخصوصية</w:t>
            </w:r>
          </w:p>
        </w:tc>
        <w:tc>
          <w:tcPr>
            <w:tcW w:type="dxa" w:w="1728"/>
          </w:tcPr>
          <w:p>
            <w:pPr>
              <w:jc w:val="center"/>
              <w:bidi w:val="1"/>
            </w:pPr>
            <w:r/>
            <w:r>
              <w:rPr>
                <w:rFonts w:ascii="Sakkal Majalla" w:hAnsi="Sakkal Majalla"/>
                <w:sz w:val="24"/>
                <w:rtl/>
                <w:cs/>
                <w:rFonts w:cs="Sakkal Majalla"/>
              </w:rPr>
              <w:t>الأول: وعي المستخدم بالخصوصية الرقمية</w:t>
            </w:r>
          </w:p>
        </w:tc>
      </w:tr>
      <w:tr>
        <w:tc>
          <w:tcPr>
            <w:tcW w:type="dxa" w:w="1728"/>
          </w:tcPr>
          <w:p>
            <w:pPr>
              <w:jc w:val="center"/>
              <w:bidi w:val="1"/>
            </w:pPr>
            <w:r/>
            <w:r>
              <w:rPr>
                <w:rFonts w:ascii="Sakkal Majalla" w:hAnsi="Sakkal Majalla"/>
                <w:sz w:val="24"/>
                <w:rtl/>
                <w:cs/>
                <w:rFonts w:cs="Sakkal Majalla"/>
              </w:rPr>
              <w:t>H1, H2</w:t>
            </w:r>
          </w:p>
        </w:tc>
        <w:tc>
          <w:tcPr>
            <w:tcW w:type="dxa" w:w="1728"/>
          </w:tcPr>
          <w:p>
            <w:pPr>
              <w:jc w:val="center"/>
              <w:bidi w:val="1"/>
            </w:pPr>
            <w:r/>
            <w:r>
              <w:rPr>
                <w:rFonts w:ascii="Sakkal Majalla" w:hAnsi="Sakkal Majalla"/>
                <w:sz w:val="24"/>
                <w:rtl/>
                <w:cs/>
                <w:rFonts w:cs="Sakkal Majalla"/>
              </w:rPr>
              <w:t>7</w:t>
            </w:r>
          </w:p>
        </w:tc>
        <w:tc>
          <w:tcPr>
            <w:tcW w:type="dxa" w:w="1728"/>
          </w:tcPr>
          <w:p>
            <w:pPr>
              <w:jc w:val="center"/>
              <w:bidi w:val="1"/>
            </w:pPr>
            <w:r/>
            <w:r>
              <w:rPr>
                <w:rFonts w:ascii="Sakkal Majalla" w:hAnsi="Sakkal Majalla"/>
                <w:sz w:val="24"/>
                <w:rtl/>
                <w:cs/>
                <w:rFonts w:cs="Sakkal Majalla"/>
              </w:rPr>
              <w:t>المستقل (استخدام AI)</w:t>
            </w:r>
          </w:p>
        </w:tc>
        <w:tc>
          <w:tcPr>
            <w:tcW w:type="dxa" w:w="1728"/>
          </w:tcPr>
          <w:p>
            <w:pPr>
              <w:jc w:val="center"/>
              <w:bidi w:val="1"/>
            </w:pPr>
            <w:r/>
            <w:r>
              <w:rPr>
                <w:rFonts w:ascii="Sakkal Majalla" w:hAnsi="Sakkal Majalla"/>
                <w:sz w:val="24"/>
                <w:rtl/>
                <w:cs/>
                <w:rFonts w:cs="Sakkal Majalla"/>
              </w:rPr>
              <w:t>قياس درجة ثقة المستجيبين في الأنظمة الذكية</w:t>
            </w:r>
          </w:p>
        </w:tc>
        <w:tc>
          <w:tcPr>
            <w:tcW w:type="dxa" w:w="1728"/>
          </w:tcPr>
          <w:p>
            <w:pPr>
              <w:jc w:val="center"/>
              <w:bidi w:val="1"/>
            </w:pPr>
            <w:r/>
            <w:r>
              <w:rPr>
                <w:rFonts w:ascii="Sakkal Majalla" w:hAnsi="Sakkal Majalla"/>
                <w:sz w:val="24"/>
                <w:rtl/>
                <w:cs/>
                <w:rFonts w:cs="Sakkal Majalla"/>
              </w:rPr>
              <w:t>الثاني: الثقة في أنظمة الذكاء الاصطناعي</w:t>
            </w:r>
          </w:p>
        </w:tc>
      </w:tr>
      <w:tr>
        <w:tc>
          <w:tcPr>
            <w:tcW w:type="dxa" w:w="1728"/>
          </w:tcPr>
          <w:p>
            <w:pPr>
              <w:jc w:val="center"/>
              <w:bidi w:val="1"/>
            </w:pPr>
            <w:r/>
            <w:r>
              <w:rPr>
                <w:rFonts w:ascii="Sakkal Majalla" w:hAnsi="Sakkal Majalla"/>
                <w:sz w:val="24"/>
                <w:rtl/>
                <w:cs/>
                <w:rFonts w:cs="Sakkal Majalla"/>
              </w:rPr>
              <w:t>H3, H4, H5, H9</w:t>
            </w:r>
          </w:p>
        </w:tc>
        <w:tc>
          <w:tcPr>
            <w:tcW w:type="dxa" w:w="1728"/>
          </w:tcPr>
          <w:p>
            <w:pPr>
              <w:jc w:val="center"/>
              <w:bidi w:val="1"/>
            </w:pPr>
            <w:r/>
            <w:r>
              <w:rPr>
                <w:rFonts w:ascii="Sakkal Majalla" w:hAnsi="Sakkal Majalla"/>
                <w:sz w:val="24"/>
                <w:rtl/>
                <w:cs/>
                <w:rFonts w:cs="Sakkal Majalla"/>
              </w:rPr>
              <w:t>9</w:t>
            </w:r>
          </w:p>
        </w:tc>
        <w:tc>
          <w:tcPr>
            <w:tcW w:type="dxa" w:w="1728"/>
          </w:tcPr>
          <w:p>
            <w:pPr>
              <w:jc w:val="center"/>
              <w:bidi w:val="1"/>
            </w:pPr>
            <w:r/>
            <w:r>
              <w:rPr>
                <w:rFonts w:ascii="Sakkal Majalla" w:hAnsi="Sakkal Majalla"/>
                <w:sz w:val="24"/>
                <w:rtl/>
                <w:cs/>
                <w:rFonts w:cs="Sakkal Majalla"/>
              </w:rPr>
              <w:t>الوسيط (التشريعات، الشفافية)</w:t>
            </w:r>
          </w:p>
        </w:tc>
        <w:tc>
          <w:tcPr>
            <w:tcW w:type="dxa" w:w="1728"/>
          </w:tcPr>
          <w:p>
            <w:pPr>
              <w:jc w:val="center"/>
              <w:bidi w:val="1"/>
            </w:pPr>
            <w:r/>
            <w:r>
              <w:rPr>
                <w:rFonts w:ascii="Sakkal Majalla" w:hAnsi="Sakkal Majalla"/>
                <w:sz w:val="24"/>
                <w:rtl/>
                <w:cs/>
                <w:rFonts w:cs="Sakkal Majalla"/>
              </w:rPr>
              <w:t>تقييم مستوى الشفافية والالتزام الأخلاقي للشركات</w:t>
            </w:r>
          </w:p>
        </w:tc>
        <w:tc>
          <w:tcPr>
            <w:tcW w:type="dxa" w:w="1728"/>
          </w:tcPr>
          <w:p>
            <w:pPr>
              <w:jc w:val="center"/>
              <w:bidi w:val="1"/>
            </w:pPr>
            <w:r/>
            <w:r>
              <w:rPr>
                <w:rFonts w:ascii="Sakkal Majalla" w:hAnsi="Sakkal Majalla"/>
                <w:sz w:val="24"/>
                <w:rtl/>
                <w:cs/>
                <w:rFonts w:cs="Sakkal Majalla"/>
              </w:rPr>
              <w:t>الثالث: تقييم ممارسات الشركات والمؤسسات</w:t>
            </w:r>
          </w:p>
        </w:tc>
      </w:tr>
      <w:tr>
        <w:tc>
          <w:tcPr>
            <w:tcW w:type="dxa" w:w="1728"/>
          </w:tcPr>
          <w:p>
            <w:pPr>
              <w:jc w:val="center"/>
              <w:bidi w:val="1"/>
            </w:pPr>
            <w:r/>
            <w:r>
              <w:rPr>
                <w:rFonts w:ascii="Sakkal Majalla" w:hAnsi="Sakkal Majalla"/>
                <w:sz w:val="24"/>
                <w:rtl/>
                <w:cs/>
                <w:rFonts w:cs="Sakkal Majalla"/>
              </w:rPr>
              <w:t>H6, H10</w:t>
            </w:r>
          </w:p>
        </w:tc>
        <w:tc>
          <w:tcPr>
            <w:tcW w:type="dxa" w:w="1728"/>
          </w:tcPr>
          <w:p>
            <w:pPr>
              <w:jc w:val="center"/>
              <w:bidi w:val="1"/>
            </w:pPr>
            <w:r/>
            <w:r>
              <w:rPr>
                <w:rFonts w:ascii="Sakkal Majalla" w:hAnsi="Sakkal Majalla"/>
                <w:sz w:val="24"/>
                <w:rtl/>
                <w:cs/>
                <w:rFonts w:cs="Sakkal Majalla"/>
              </w:rPr>
              <w:t>8</w:t>
            </w:r>
          </w:p>
        </w:tc>
        <w:tc>
          <w:tcPr>
            <w:tcW w:type="dxa" w:w="1728"/>
          </w:tcPr>
          <w:p>
            <w:pPr>
              <w:jc w:val="center"/>
              <w:bidi w:val="1"/>
            </w:pPr>
            <w:r/>
            <w:r>
              <w:rPr>
                <w:rFonts w:ascii="Sakkal Majalla" w:hAnsi="Sakkal Majalla"/>
                <w:sz w:val="24"/>
                <w:rtl/>
                <w:cs/>
                <w:rFonts w:cs="Sakkal Majalla"/>
              </w:rPr>
              <w:t>التابع (الخصوصية مقابل الاستغلال)</w:t>
            </w:r>
          </w:p>
        </w:tc>
        <w:tc>
          <w:tcPr>
            <w:tcW w:type="dxa" w:w="1728"/>
          </w:tcPr>
          <w:p>
            <w:pPr>
              <w:jc w:val="center"/>
              <w:bidi w:val="1"/>
            </w:pPr>
            <w:r/>
            <w:r>
              <w:rPr>
                <w:rFonts w:ascii="Sakkal Majalla" w:hAnsi="Sakkal Majalla"/>
                <w:sz w:val="24"/>
                <w:rtl/>
                <w:cs/>
                <w:rFonts w:cs="Sakkal Majalla"/>
              </w:rPr>
              <w:t>قياس تصورات المستجيبين حول مخاطر الاستغلال والتحيز</w:t>
            </w:r>
          </w:p>
        </w:tc>
        <w:tc>
          <w:tcPr>
            <w:tcW w:type="dxa" w:w="1728"/>
          </w:tcPr>
          <w:p>
            <w:pPr>
              <w:jc w:val="center"/>
              <w:bidi w:val="1"/>
            </w:pPr>
            <w:r/>
            <w:r>
              <w:rPr>
                <w:rFonts w:ascii="Sakkal Majalla" w:hAnsi="Sakkal Majalla"/>
                <w:sz w:val="24"/>
                <w:rtl/>
                <w:cs/>
                <w:rFonts w:cs="Sakkal Majalla"/>
              </w:rPr>
              <w:t>الرابع: استغلال البيانات والتحيّز الخوارزمي</w:t>
            </w:r>
          </w:p>
        </w:tc>
      </w:tr>
      <w:tr>
        <w:tc>
          <w:tcPr>
            <w:tcW w:type="dxa" w:w="1728"/>
          </w:tcPr>
          <w:p>
            <w:pPr>
              <w:jc w:val="center"/>
              <w:bidi w:val="1"/>
            </w:pPr>
            <w:r/>
            <w:r>
              <w:rPr>
                <w:rFonts w:ascii="Sakkal Majalla" w:hAnsi="Sakkal Majalla"/>
                <w:sz w:val="24"/>
                <w:rtl/>
                <w:cs/>
                <w:rFonts w:cs="Sakkal Majalla"/>
              </w:rPr>
            </w:r>
          </w:p>
        </w:tc>
        <w:tc>
          <w:tcPr>
            <w:tcW w:type="dxa" w:w="1728"/>
          </w:tcPr>
          <w:p>
            <w:pPr>
              <w:jc w:val="center"/>
              <w:bidi w:val="1"/>
            </w:pPr>
            <w:r/>
            <w:r>
              <w:rPr>
                <w:rFonts w:ascii="Sakkal Majalla" w:hAnsi="Sakkal Majalla"/>
                <w:sz w:val="24"/>
                <w:rtl/>
                <w:cs/>
                <w:rFonts w:cs="Sakkal Majalla"/>
              </w:rPr>
              <w:t>32</w:t>
            </w:r>
          </w:p>
        </w:tc>
        <w:tc>
          <w:tcPr>
            <w:tcW w:type="dxa" w:w="1728"/>
          </w:tcPr>
          <w:p>
            <w:pPr>
              <w:jc w:val="center"/>
              <w:bidi w:val="1"/>
            </w:pPr>
            <w:r/>
            <w:r>
              <w:rPr>
                <w:rFonts w:ascii="Sakkal Majalla" w:hAnsi="Sakkal Majalla"/>
                <w:sz w:val="24"/>
                <w:rtl/>
                <w:cs/>
                <w:rFonts w:cs="Sakkal Majalla"/>
              </w:rPr>
            </w:r>
          </w:p>
        </w:tc>
        <w:tc>
          <w:tcPr>
            <w:tcW w:type="dxa" w:w="1728"/>
          </w:tcPr>
          <w:p>
            <w:pPr>
              <w:jc w:val="center"/>
              <w:bidi w:val="1"/>
            </w:pPr>
            <w:r/>
            <w:r>
              <w:rPr>
                <w:rFonts w:ascii="Sakkal Majalla" w:hAnsi="Sakkal Majalla"/>
                <w:sz w:val="24"/>
                <w:rtl/>
                <w:cs/>
                <w:rFonts w:cs="Sakkal Majalla"/>
              </w:rPr>
            </w:r>
          </w:p>
        </w:tc>
        <w:tc>
          <w:tcPr>
            <w:tcW w:type="dxa" w:w="1728"/>
          </w:tcPr>
          <w:p>
            <w:pPr>
              <w:jc w:val="center"/>
              <w:bidi w:val="1"/>
            </w:pPr>
            <w:r/>
            <w:r>
              <w:rPr>
                <w:rFonts w:ascii="Sakkal Majalla" w:hAnsi="Sakkal Majalla"/>
                <w:sz w:val="24"/>
                <w:rtl/>
                <w:cs/>
                <w:rFonts w:cs="Sakkal Majalla"/>
              </w:rPr>
              <w:t>الإجمالي</w:t>
            </w:r>
          </w:p>
        </w:tc>
      </w:tr>
    </w:tbl>
    <w:p/>
    <w:p>
      <w:pPr>
        <w:spacing w:before="40" w:after="80" w:line="440" w:lineRule="exact"/>
        <w:ind w:firstLine="567"/>
        <w:jc w:val="right"/>
        <w:bidi w:val="1"/>
      </w:pPr>
      <w:r>
        <w:rPr>
          <w:rFonts w:ascii="Sakkal Majalla" w:hAnsi="Sakkal Majalla"/>
          <w:b w:val="0"/>
          <w:sz w:val="28"/>
          <w:rtl/>
          <w:cs/>
          <w:rFonts w:cs="Sakkal Majalla"/>
          <w:szCs w:val="28"/>
        </w:rPr>
        <w:t>وبذلك يبلغ إجمالي فقرات الاستبانة (32) فقرة موزعة على المحاور الأربعة، وقد روعي أن تكون فقرات كل محور شاملة لأبعاد المتغير المرتبط به، وأن تغطي مجتمعةً جميع فرضيات الدراسة العشر وأسئلتها الستة.</w:t>
      </w:r>
    </w:p>
    <w:p>
      <w:pPr>
        <w:spacing w:before="320" w:after="160" w:line="440" w:lineRule="exact"/>
        <w:jc w:val="right"/>
        <w:bidi w:val="1"/>
      </w:pPr>
      <w:r>
        <w:rPr>
          <w:rFonts w:ascii="Sakkal Majalla" w:hAnsi="Sakkal Majalla"/>
          <w:b/>
          <w:color w:val="003366"/>
          <w:sz w:val="36"/>
          <w:rtl/>
          <w:cs/>
          <w:rFonts w:cs="Sakkal Majalla"/>
          <w:szCs w:val="36"/>
        </w:rPr>
        <w:t>سابعاً/ تصحيح أداة البحث (الاستبانة)</w:t>
      </w:r>
    </w:p>
    <w:p>
      <w:pPr>
        <w:spacing w:before="40" w:after="80" w:line="440" w:lineRule="exact"/>
        <w:ind w:firstLine="567"/>
        <w:jc w:val="right"/>
        <w:bidi w:val="1"/>
      </w:pPr>
      <w:r>
        <w:rPr>
          <w:rFonts w:ascii="Sakkal Majalla" w:hAnsi="Sakkal Majalla"/>
          <w:b w:val="0"/>
          <w:sz w:val="28"/>
          <w:rtl/>
          <w:cs/>
          <w:rFonts w:cs="Sakkal Majalla"/>
          <w:szCs w:val="28"/>
        </w:rPr>
        <w:t>اعتمد الباحث مقياس ليكرت الخماسي (Five-Point Likert Scale) لتصحيح جميع محاور الاستبانة، وذلك لأنه يحقق توازناً ممتازاً بين سهولة الفهم للمستجيبين ودقة البيانات المُحصّلة للباحث، كما أنه يوفر خياراً وسطاً (محايد) لمن ليس لديهم رأي قاطع، وهو المقياس المُفضّل في أطروحات الدكتوراه.</w:t>
      </w:r>
    </w:p>
    <w:p>
      <w:pPr>
        <w:spacing w:before="200" w:after="120" w:line="440" w:lineRule="exact"/>
        <w:jc w:val="right"/>
        <w:bidi w:val="1"/>
      </w:pPr>
      <w:r>
        <w:rPr>
          <w:rFonts w:ascii="Sakkal Majalla" w:hAnsi="Sakkal Majalla"/>
          <w:b/>
          <w:color w:val="004682"/>
          <w:sz w:val="30"/>
          <w:rtl/>
          <w:cs/>
          <w:rFonts w:cs="Sakkal Majalla"/>
          <w:szCs w:val="30"/>
        </w:rPr>
        <w:t>في حالة العبارات الإيجابية:</w:t>
      </w:r>
    </w:p>
    <w:p>
      <w:pPr>
        <w:spacing w:before="160" w:after="80" w:line="440" w:lineRule="exact"/>
        <w:jc w:val="center"/>
        <w:bidi w:val="1"/>
      </w:pPr>
      <w:r>
        <w:rPr>
          <w:rFonts w:ascii="Sakkal Majalla" w:hAnsi="Sakkal Majalla"/>
          <w:b/>
          <w:sz w:val="26"/>
          <w:rtl/>
          <w:cs/>
          <w:rFonts w:cs="Sakkal Majalla"/>
          <w:szCs w:val="26"/>
        </w:rPr>
        <w:t>جدول (3.3): أوزان مقياس ليكرت الخماسي للعبارات الإيجابية</w:t>
      </w:r>
    </w:p>
    <w:tbl>
      <w:tblPr>
        <w:tblStyle w:val="TableGrid"/>
        <w:tblW w:type="auto" w:w="0"/>
        <w:jc w:val="center"/>
        <w:tblLook w:firstColumn="1" w:firstRow="1" w:lastColumn="0" w:lastRow="0" w:noHBand="0" w:noVBand="1" w:val="04A0"/>
        <w:bidiVisual/>
      </w:tblPr>
      <w:tblGrid>
        <w:gridCol w:w="1440"/>
        <w:gridCol w:w="1440"/>
        <w:gridCol w:w="1440"/>
        <w:gridCol w:w="1440"/>
        <w:gridCol w:w="1440"/>
        <w:gridCol w:w="1440"/>
      </w:tblGrid>
      <w:tr>
        <w:tc>
          <w:tcPr>
            <w:tcW w:type="dxa" w:w="1440"/>
            <w:shd w:fill="003366" w:val="clear"/>
          </w:tcPr>
          <w:p>
            <w:pPr>
              <w:jc w:val="center"/>
              <w:bidi w:val="1"/>
            </w:pPr>
            <w:r/>
            <w:r>
              <w:rPr>
                <w:rFonts w:ascii="Sakkal Majalla" w:hAnsi="Sakkal Majalla"/>
                <w:b/>
                <w:color w:val="FFFFFF"/>
                <w:sz w:val="24"/>
                <w:rtl/>
                <w:cs/>
                <w:rFonts w:cs="Sakkal Majalla"/>
              </w:rPr>
              <w:t>معارض بشدة</w:t>
            </w:r>
          </w:p>
        </w:tc>
        <w:tc>
          <w:tcPr>
            <w:tcW w:type="dxa" w:w="1440"/>
            <w:shd w:fill="003366" w:val="clear"/>
          </w:tcPr>
          <w:p>
            <w:pPr>
              <w:jc w:val="center"/>
              <w:bidi w:val="1"/>
            </w:pPr>
            <w:r/>
            <w:r>
              <w:rPr>
                <w:rFonts w:ascii="Sakkal Majalla" w:hAnsi="Sakkal Majalla"/>
                <w:b/>
                <w:color w:val="FFFFFF"/>
                <w:sz w:val="24"/>
                <w:rtl/>
                <w:cs/>
                <w:rFonts w:cs="Sakkal Majalla"/>
              </w:rPr>
              <w:t>معارض</w:t>
            </w:r>
          </w:p>
        </w:tc>
        <w:tc>
          <w:tcPr>
            <w:tcW w:type="dxa" w:w="1440"/>
            <w:shd w:fill="003366" w:val="clear"/>
          </w:tcPr>
          <w:p>
            <w:pPr>
              <w:jc w:val="center"/>
              <w:bidi w:val="1"/>
            </w:pPr>
            <w:r/>
            <w:r>
              <w:rPr>
                <w:rFonts w:ascii="Sakkal Majalla" w:hAnsi="Sakkal Majalla"/>
                <w:b/>
                <w:color w:val="FFFFFF"/>
                <w:sz w:val="24"/>
                <w:rtl/>
                <w:cs/>
                <w:rFonts w:cs="Sakkal Majalla"/>
              </w:rPr>
              <w:t>محايد</w:t>
            </w:r>
          </w:p>
        </w:tc>
        <w:tc>
          <w:tcPr>
            <w:tcW w:type="dxa" w:w="1440"/>
            <w:shd w:fill="003366" w:val="clear"/>
          </w:tcPr>
          <w:p>
            <w:pPr>
              <w:jc w:val="center"/>
              <w:bidi w:val="1"/>
            </w:pPr>
            <w:r/>
            <w:r>
              <w:rPr>
                <w:rFonts w:ascii="Sakkal Majalla" w:hAnsi="Sakkal Majalla"/>
                <w:b/>
                <w:color w:val="FFFFFF"/>
                <w:sz w:val="24"/>
                <w:rtl/>
                <w:cs/>
                <w:rFonts w:cs="Sakkal Majalla"/>
              </w:rPr>
              <w:t>موافق</w:t>
            </w:r>
          </w:p>
        </w:tc>
        <w:tc>
          <w:tcPr>
            <w:tcW w:type="dxa" w:w="1440"/>
            <w:shd w:fill="003366" w:val="clear"/>
          </w:tcPr>
          <w:p>
            <w:pPr>
              <w:jc w:val="center"/>
              <w:bidi w:val="1"/>
            </w:pPr>
            <w:r/>
            <w:r>
              <w:rPr>
                <w:rFonts w:ascii="Sakkal Majalla" w:hAnsi="Sakkal Majalla"/>
                <w:b/>
                <w:color w:val="FFFFFF"/>
                <w:sz w:val="24"/>
                <w:rtl/>
                <w:cs/>
                <w:rFonts w:cs="Sakkal Majalla"/>
              </w:rPr>
              <w:t>موافق بشدة</w:t>
            </w:r>
          </w:p>
        </w:tc>
        <w:tc>
          <w:tcPr>
            <w:tcW w:type="dxa" w:w="1440"/>
            <w:shd w:fill="003366" w:val="clear"/>
          </w:tcPr>
          <w:p>
            <w:pPr>
              <w:jc w:val="center"/>
              <w:bidi w:val="1"/>
            </w:pPr>
            <w:r/>
            <w:r>
              <w:rPr>
                <w:rFonts w:ascii="Sakkal Majalla" w:hAnsi="Sakkal Majalla"/>
                <w:b/>
                <w:color w:val="FFFFFF"/>
                <w:sz w:val="24"/>
                <w:rtl/>
                <w:cs/>
                <w:rFonts w:cs="Sakkal Majalla"/>
              </w:rPr>
              <w:t>الاستجابة</w:t>
            </w:r>
          </w:p>
        </w:tc>
      </w:tr>
      <w:tr>
        <w:tc>
          <w:tcPr>
            <w:tcW w:type="dxa" w:w="1440"/>
          </w:tcPr>
          <w:p>
            <w:pPr>
              <w:jc w:val="center"/>
              <w:bidi w:val="1"/>
            </w:pPr>
            <w:r/>
            <w:r>
              <w:rPr>
                <w:rFonts w:ascii="Sakkal Majalla" w:hAnsi="Sakkal Majalla"/>
                <w:sz w:val="24"/>
                <w:rtl/>
                <w:cs/>
                <w:rFonts w:cs="Sakkal Majalla"/>
              </w:rPr>
              <w:t>1</w:t>
            </w:r>
          </w:p>
        </w:tc>
        <w:tc>
          <w:tcPr>
            <w:tcW w:type="dxa" w:w="1440"/>
          </w:tcPr>
          <w:p>
            <w:pPr>
              <w:jc w:val="center"/>
              <w:bidi w:val="1"/>
            </w:pPr>
            <w:r/>
            <w:r>
              <w:rPr>
                <w:rFonts w:ascii="Sakkal Majalla" w:hAnsi="Sakkal Majalla"/>
                <w:sz w:val="24"/>
                <w:rtl/>
                <w:cs/>
                <w:rFonts w:cs="Sakkal Majalla"/>
              </w:rPr>
              <w:t>2</w:t>
            </w:r>
          </w:p>
        </w:tc>
        <w:tc>
          <w:tcPr>
            <w:tcW w:type="dxa" w:w="1440"/>
          </w:tcPr>
          <w:p>
            <w:pPr>
              <w:jc w:val="center"/>
              <w:bidi w:val="1"/>
            </w:pPr>
            <w:r/>
            <w:r>
              <w:rPr>
                <w:rFonts w:ascii="Sakkal Majalla" w:hAnsi="Sakkal Majalla"/>
                <w:sz w:val="24"/>
                <w:rtl/>
                <w:cs/>
                <w:rFonts w:cs="Sakkal Majalla"/>
              </w:rPr>
              <w:t>3</w:t>
            </w:r>
          </w:p>
        </w:tc>
        <w:tc>
          <w:tcPr>
            <w:tcW w:type="dxa" w:w="1440"/>
          </w:tcPr>
          <w:p>
            <w:pPr>
              <w:jc w:val="center"/>
              <w:bidi w:val="1"/>
            </w:pPr>
            <w:r/>
            <w:r>
              <w:rPr>
                <w:rFonts w:ascii="Sakkal Majalla" w:hAnsi="Sakkal Majalla"/>
                <w:sz w:val="24"/>
                <w:rtl/>
                <w:cs/>
                <w:rFonts w:cs="Sakkal Majalla"/>
              </w:rPr>
              <w:t>4</w:t>
            </w:r>
          </w:p>
        </w:tc>
        <w:tc>
          <w:tcPr>
            <w:tcW w:type="dxa" w:w="1440"/>
          </w:tcPr>
          <w:p>
            <w:pPr>
              <w:jc w:val="center"/>
              <w:bidi w:val="1"/>
            </w:pPr>
            <w:r/>
            <w:r>
              <w:rPr>
                <w:rFonts w:ascii="Sakkal Majalla" w:hAnsi="Sakkal Majalla"/>
                <w:sz w:val="24"/>
                <w:rtl/>
                <w:cs/>
                <w:rFonts w:cs="Sakkal Majalla"/>
              </w:rPr>
              <w:t>5</w:t>
            </w:r>
          </w:p>
        </w:tc>
        <w:tc>
          <w:tcPr>
            <w:tcW w:type="dxa" w:w="1440"/>
          </w:tcPr>
          <w:p>
            <w:pPr>
              <w:jc w:val="center"/>
              <w:bidi w:val="1"/>
            </w:pPr>
            <w:r/>
            <w:r>
              <w:rPr>
                <w:rFonts w:ascii="Sakkal Majalla" w:hAnsi="Sakkal Majalla"/>
                <w:sz w:val="24"/>
                <w:rtl/>
                <w:cs/>
                <w:rFonts w:cs="Sakkal Majalla"/>
              </w:rPr>
              <w:t>الوزن</w:t>
            </w:r>
          </w:p>
        </w:tc>
      </w:tr>
    </w:tbl>
    <w:p/>
    <w:p>
      <w:pPr>
        <w:spacing w:before="200" w:after="120" w:line="440" w:lineRule="exact"/>
        <w:jc w:val="right"/>
        <w:bidi w:val="1"/>
      </w:pPr>
      <w:r>
        <w:rPr>
          <w:rFonts w:ascii="Sakkal Majalla" w:hAnsi="Sakkal Majalla"/>
          <w:b/>
          <w:color w:val="004682"/>
          <w:sz w:val="30"/>
          <w:rtl/>
          <w:cs/>
          <w:rFonts w:cs="Sakkal Majalla"/>
          <w:szCs w:val="30"/>
        </w:rPr>
        <w:t>في حالة العبارات السلبية (المعكوسة):</w:t>
      </w:r>
    </w:p>
    <w:p>
      <w:pPr>
        <w:spacing w:before="160" w:after="80" w:line="440" w:lineRule="exact"/>
        <w:jc w:val="center"/>
        <w:bidi w:val="1"/>
      </w:pPr>
      <w:r>
        <w:rPr>
          <w:rFonts w:ascii="Sakkal Majalla" w:hAnsi="Sakkal Majalla"/>
          <w:b/>
          <w:sz w:val="26"/>
          <w:rtl/>
          <w:cs/>
          <w:rFonts w:cs="Sakkal Majalla"/>
          <w:szCs w:val="26"/>
        </w:rPr>
        <w:t>جدول (3.4): أوزان مقياس ليكرت الخماسي للعبارات السلبية</w:t>
      </w:r>
    </w:p>
    <w:tbl>
      <w:tblPr>
        <w:tblStyle w:val="TableGrid"/>
        <w:tblW w:type="auto" w:w="0"/>
        <w:jc w:val="center"/>
        <w:tblLook w:firstColumn="1" w:firstRow="1" w:lastColumn="0" w:lastRow="0" w:noHBand="0" w:noVBand="1" w:val="04A0"/>
        <w:bidiVisual/>
      </w:tblPr>
      <w:tblGrid>
        <w:gridCol w:w="1440"/>
        <w:gridCol w:w="1440"/>
        <w:gridCol w:w="1440"/>
        <w:gridCol w:w="1440"/>
        <w:gridCol w:w="1440"/>
        <w:gridCol w:w="1440"/>
      </w:tblGrid>
      <w:tr>
        <w:tc>
          <w:tcPr>
            <w:tcW w:type="dxa" w:w="1440"/>
            <w:shd w:fill="003366" w:val="clear"/>
          </w:tcPr>
          <w:p>
            <w:pPr>
              <w:jc w:val="center"/>
              <w:bidi w:val="1"/>
            </w:pPr>
            <w:r/>
            <w:r>
              <w:rPr>
                <w:rFonts w:ascii="Sakkal Majalla" w:hAnsi="Sakkal Majalla"/>
                <w:b/>
                <w:color w:val="FFFFFF"/>
                <w:sz w:val="24"/>
                <w:rtl/>
                <w:cs/>
                <w:rFonts w:cs="Sakkal Majalla"/>
              </w:rPr>
              <w:t>معارض بشدة</w:t>
            </w:r>
          </w:p>
        </w:tc>
        <w:tc>
          <w:tcPr>
            <w:tcW w:type="dxa" w:w="1440"/>
            <w:shd w:fill="003366" w:val="clear"/>
          </w:tcPr>
          <w:p>
            <w:pPr>
              <w:jc w:val="center"/>
              <w:bidi w:val="1"/>
            </w:pPr>
            <w:r/>
            <w:r>
              <w:rPr>
                <w:rFonts w:ascii="Sakkal Majalla" w:hAnsi="Sakkal Majalla"/>
                <w:b/>
                <w:color w:val="FFFFFF"/>
                <w:sz w:val="24"/>
                <w:rtl/>
                <w:cs/>
                <w:rFonts w:cs="Sakkal Majalla"/>
              </w:rPr>
              <w:t>معارض</w:t>
            </w:r>
          </w:p>
        </w:tc>
        <w:tc>
          <w:tcPr>
            <w:tcW w:type="dxa" w:w="1440"/>
            <w:shd w:fill="003366" w:val="clear"/>
          </w:tcPr>
          <w:p>
            <w:pPr>
              <w:jc w:val="center"/>
              <w:bidi w:val="1"/>
            </w:pPr>
            <w:r/>
            <w:r>
              <w:rPr>
                <w:rFonts w:ascii="Sakkal Majalla" w:hAnsi="Sakkal Majalla"/>
                <w:b/>
                <w:color w:val="FFFFFF"/>
                <w:sz w:val="24"/>
                <w:rtl/>
                <w:cs/>
                <w:rFonts w:cs="Sakkal Majalla"/>
              </w:rPr>
              <w:t>محايد</w:t>
            </w:r>
          </w:p>
        </w:tc>
        <w:tc>
          <w:tcPr>
            <w:tcW w:type="dxa" w:w="1440"/>
            <w:shd w:fill="003366" w:val="clear"/>
          </w:tcPr>
          <w:p>
            <w:pPr>
              <w:jc w:val="center"/>
              <w:bidi w:val="1"/>
            </w:pPr>
            <w:r/>
            <w:r>
              <w:rPr>
                <w:rFonts w:ascii="Sakkal Majalla" w:hAnsi="Sakkal Majalla"/>
                <w:b/>
                <w:color w:val="FFFFFF"/>
                <w:sz w:val="24"/>
                <w:rtl/>
                <w:cs/>
                <w:rFonts w:cs="Sakkal Majalla"/>
              </w:rPr>
              <w:t>موافق</w:t>
            </w:r>
          </w:p>
        </w:tc>
        <w:tc>
          <w:tcPr>
            <w:tcW w:type="dxa" w:w="1440"/>
            <w:shd w:fill="003366" w:val="clear"/>
          </w:tcPr>
          <w:p>
            <w:pPr>
              <w:jc w:val="center"/>
              <w:bidi w:val="1"/>
            </w:pPr>
            <w:r/>
            <w:r>
              <w:rPr>
                <w:rFonts w:ascii="Sakkal Majalla" w:hAnsi="Sakkal Majalla"/>
                <w:b/>
                <w:color w:val="FFFFFF"/>
                <w:sz w:val="24"/>
                <w:rtl/>
                <w:cs/>
                <w:rFonts w:cs="Sakkal Majalla"/>
              </w:rPr>
              <w:t>موافق بشدة</w:t>
            </w:r>
          </w:p>
        </w:tc>
        <w:tc>
          <w:tcPr>
            <w:tcW w:type="dxa" w:w="1440"/>
            <w:shd w:fill="003366" w:val="clear"/>
          </w:tcPr>
          <w:p>
            <w:pPr>
              <w:jc w:val="center"/>
              <w:bidi w:val="1"/>
            </w:pPr>
            <w:r/>
            <w:r>
              <w:rPr>
                <w:rFonts w:ascii="Sakkal Majalla" w:hAnsi="Sakkal Majalla"/>
                <w:b/>
                <w:color w:val="FFFFFF"/>
                <w:sz w:val="24"/>
                <w:rtl/>
                <w:cs/>
                <w:rFonts w:cs="Sakkal Majalla"/>
              </w:rPr>
              <w:t>الاستجابة</w:t>
            </w:r>
          </w:p>
        </w:tc>
      </w:tr>
      <w:tr>
        <w:tc>
          <w:tcPr>
            <w:tcW w:type="dxa" w:w="1440"/>
          </w:tcPr>
          <w:p>
            <w:pPr>
              <w:jc w:val="center"/>
              <w:bidi w:val="1"/>
            </w:pPr>
            <w:r/>
            <w:r>
              <w:rPr>
                <w:rFonts w:ascii="Sakkal Majalla" w:hAnsi="Sakkal Majalla"/>
                <w:sz w:val="24"/>
                <w:rtl/>
                <w:cs/>
                <w:rFonts w:cs="Sakkal Majalla"/>
              </w:rPr>
              <w:t>5</w:t>
            </w:r>
          </w:p>
        </w:tc>
        <w:tc>
          <w:tcPr>
            <w:tcW w:type="dxa" w:w="1440"/>
          </w:tcPr>
          <w:p>
            <w:pPr>
              <w:jc w:val="center"/>
              <w:bidi w:val="1"/>
            </w:pPr>
            <w:r/>
            <w:r>
              <w:rPr>
                <w:rFonts w:ascii="Sakkal Majalla" w:hAnsi="Sakkal Majalla"/>
                <w:sz w:val="24"/>
                <w:rtl/>
                <w:cs/>
                <w:rFonts w:cs="Sakkal Majalla"/>
              </w:rPr>
              <w:t>4</w:t>
            </w:r>
          </w:p>
        </w:tc>
        <w:tc>
          <w:tcPr>
            <w:tcW w:type="dxa" w:w="1440"/>
          </w:tcPr>
          <w:p>
            <w:pPr>
              <w:jc w:val="center"/>
              <w:bidi w:val="1"/>
            </w:pPr>
            <w:r/>
            <w:r>
              <w:rPr>
                <w:rFonts w:ascii="Sakkal Majalla" w:hAnsi="Sakkal Majalla"/>
                <w:sz w:val="24"/>
                <w:rtl/>
                <w:cs/>
                <w:rFonts w:cs="Sakkal Majalla"/>
              </w:rPr>
              <w:t>3</w:t>
            </w:r>
          </w:p>
        </w:tc>
        <w:tc>
          <w:tcPr>
            <w:tcW w:type="dxa" w:w="1440"/>
          </w:tcPr>
          <w:p>
            <w:pPr>
              <w:jc w:val="center"/>
              <w:bidi w:val="1"/>
            </w:pPr>
            <w:r/>
            <w:r>
              <w:rPr>
                <w:rFonts w:ascii="Sakkal Majalla" w:hAnsi="Sakkal Majalla"/>
                <w:sz w:val="24"/>
                <w:rtl/>
                <w:cs/>
                <w:rFonts w:cs="Sakkal Majalla"/>
              </w:rPr>
              <w:t>2</w:t>
            </w:r>
          </w:p>
        </w:tc>
        <w:tc>
          <w:tcPr>
            <w:tcW w:type="dxa" w:w="1440"/>
          </w:tcPr>
          <w:p>
            <w:pPr>
              <w:jc w:val="center"/>
              <w:bidi w:val="1"/>
            </w:pPr>
            <w:r/>
            <w:r>
              <w:rPr>
                <w:rFonts w:ascii="Sakkal Majalla" w:hAnsi="Sakkal Majalla"/>
                <w:sz w:val="24"/>
                <w:rtl/>
                <w:cs/>
                <w:rFonts w:cs="Sakkal Majalla"/>
              </w:rPr>
              <w:t>1</w:t>
            </w:r>
          </w:p>
        </w:tc>
        <w:tc>
          <w:tcPr>
            <w:tcW w:type="dxa" w:w="1440"/>
          </w:tcPr>
          <w:p>
            <w:pPr>
              <w:jc w:val="center"/>
              <w:bidi w:val="1"/>
            </w:pPr>
            <w:r/>
            <w:r>
              <w:rPr>
                <w:rFonts w:ascii="Sakkal Majalla" w:hAnsi="Sakkal Majalla"/>
                <w:sz w:val="24"/>
                <w:rtl/>
                <w:cs/>
                <w:rFonts w:cs="Sakkal Majalla"/>
              </w:rPr>
              <w:t>الوزن</w:t>
            </w:r>
          </w:p>
        </w:tc>
      </w:tr>
    </w:tbl>
    <w:p/>
    <w:p>
      <w:pPr>
        <w:spacing w:before="40" w:after="80" w:line="440" w:lineRule="exact"/>
        <w:ind w:firstLine="567"/>
        <w:jc w:val="right"/>
        <w:bidi w:val="1"/>
      </w:pPr>
      <w:r>
        <w:rPr>
          <w:rFonts w:ascii="Sakkal Majalla" w:hAnsi="Sakkal Majalla"/>
          <w:b w:val="0"/>
          <w:sz w:val="28"/>
          <w:rtl/>
          <w:cs/>
          <w:rFonts w:cs="Sakkal Majalla"/>
          <w:szCs w:val="28"/>
        </w:rPr>
        <w:t>وتُعكس الأوزان في العبارات السلبية لضمان اتساق اتجاه القياس عبر جميع فقرات الاستبانة، بحيث تعكس الدرجة الأعلى دائماً الاتجاه الإيجابي نحو المتغير المُقاس.</w:t>
      </w:r>
    </w:p>
    <w:p>
      <w:pPr>
        <w:spacing w:before="200" w:after="120" w:line="440" w:lineRule="exact"/>
        <w:jc w:val="right"/>
        <w:bidi w:val="1"/>
      </w:pPr>
      <w:r>
        <w:rPr>
          <w:rFonts w:ascii="Sakkal Majalla" w:hAnsi="Sakkal Majalla"/>
          <w:b/>
          <w:color w:val="004682"/>
          <w:sz w:val="30"/>
          <w:rtl/>
          <w:cs/>
          <w:rFonts w:cs="Sakkal Majalla"/>
          <w:szCs w:val="30"/>
        </w:rPr>
        <w:t>معيار تفسير المتوسطات الحسابية:</w:t>
      </w:r>
    </w:p>
    <w:p>
      <w:pPr>
        <w:spacing w:before="160" w:after="80" w:line="440" w:lineRule="exact"/>
        <w:jc w:val="center"/>
        <w:bidi w:val="1"/>
      </w:pPr>
      <w:r>
        <w:rPr>
          <w:rFonts w:ascii="Sakkal Majalla" w:hAnsi="Sakkal Majalla"/>
          <w:b/>
          <w:sz w:val="26"/>
          <w:rtl/>
          <w:cs/>
          <w:rFonts w:cs="Sakkal Majalla"/>
          <w:szCs w:val="26"/>
        </w:rPr>
        <w:t>جدول (3.5): معيار تفسير المتوسطات الحسابية وفق مقياس ليكرت الخماسي</w:t>
      </w:r>
    </w:p>
    <w:tbl>
      <w:tblPr>
        <w:tblStyle w:val="TableGrid"/>
        <w:tblW w:type="auto" w:w="0"/>
        <w:jc w:val="center"/>
        <w:tblLook w:firstColumn="1" w:firstRow="1" w:lastColumn="0" w:lastRow="0" w:noHBand="0" w:noVBand="1" w:val="04A0"/>
        <w:bidiVisual/>
      </w:tblPr>
      <w:tblGrid>
        <w:gridCol w:w="4320"/>
        <w:gridCol w:w="4320"/>
      </w:tblGrid>
      <w:tr>
        <w:tc>
          <w:tcPr>
            <w:tcW w:type="dxa" w:w="4320"/>
            <w:shd w:fill="003366" w:val="clear"/>
          </w:tcPr>
          <w:p>
            <w:pPr>
              <w:jc w:val="center"/>
              <w:bidi w:val="1"/>
            </w:pPr>
            <w:r/>
            <w:r>
              <w:rPr>
                <w:rFonts w:ascii="Sakkal Majalla" w:hAnsi="Sakkal Majalla"/>
                <w:b/>
                <w:color w:val="FFFFFF"/>
                <w:sz w:val="24"/>
                <w:rtl/>
                <w:cs/>
                <w:rFonts w:cs="Sakkal Majalla"/>
              </w:rPr>
              <w:t>الدرجة</w:t>
            </w:r>
          </w:p>
        </w:tc>
        <w:tc>
          <w:tcPr>
            <w:tcW w:type="dxa" w:w="4320"/>
            <w:shd w:fill="003366" w:val="clear"/>
          </w:tcPr>
          <w:p>
            <w:pPr>
              <w:jc w:val="center"/>
              <w:bidi w:val="1"/>
            </w:pPr>
            <w:r/>
            <w:r>
              <w:rPr>
                <w:rFonts w:ascii="Sakkal Majalla" w:hAnsi="Sakkal Majalla"/>
                <w:b/>
                <w:color w:val="FFFFFF"/>
                <w:sz w:val="24"/>
                <w:rtl/>
                <w:cs/>
                <w:rFonts w:cs="Sakkal Majalla"/>
              </w:rPr>
              <w:t>المدى</w:t>
            </w:r>
          </w:p>
        </w:tc>
      </w:tr>
      <w:tr>
        <w:tc>
          <w:tcPr>
            <w:tcW w:type="dxa" w:w="4320"/>
          </w:tcPr>
          <w:p>
            <w:pPr>
              <w:jc w:val="center"/>
              <w:bidi w:val="1"/>
            </w:pPr>
            <w:r/>
            <w:r>
              <w:rPr>
                <w:rFonts w:ascii="Sakkal Majalla" w:hAnsi="Sakkal Majalla"/>
                <w:sz w:val="24"/>
                <w:rtl/>
                <w:cs/>
                <w:rFonts w:cs="Sakkal Majalla"/>
              </w:rPr>
              <w:t>منخفضة جداً</w:t>
            </w:r>
          </w:p>
        </w:tc>
        <w:tc>
          <w:tcPr>
            <w:tcW w:type="dxa" w:w="4320"/>
          </w:tcPr>
          <w:p>
            <w:pPr>
              <w:jc w:val="center"/>
              <w:bidi w:val="1"/>
            </w:pPr>
            <w:r/>
            <w:r>
              <w:rPr>
                <w:rFonts w:ascii="Sakkal Majalla" w:hAnsi="Sakkal Majalla"/>
                <w:sz w:val="24"/>
                <w:rtl/>
                <w:cs/>
                <w:rFonts w:cs="Sakkal Majalla"/>
              </w:rPr>
              <w:t>من 1.00 إلى 1.80</w:t>
            </w:r>
          </w:p>
        </w:tc>
      </w:tr>
      <w:tr>
        <w:tc>
          <w:tcPr>
            <w:tcW w:type="dxa" w:w="4320"/>
          </w:tcPr>
          <w:p>
            <w:pPr>
              <w:jc w:val="center"/>
              <w:bidi w:val="1"/>
            </w:pPr>
            <w:r/>
            <w:r>
              <w:rPr>
                <w:rFonts w:ascii="Sakkal Majalla" w:hAnsi="Sakkal Majalla"/>
                <w:sz w:val="24"/>
                <w:rtl/>
                <w:cs/>
                <w:rFonts w:cs="Sakkal Majalla"/>
              </w:rPr>
              <w:t>منخفضة</w:t>
            </w:r>
          </w:p>
        </w:tc>
        <w:tc>
          <w:tcPr>
            <w:tcW w:type="dxa" w:w="4320"/>
          </w:tcPr>
          <w:p>
            <w:pPr>
              <w:jc w:val="center"/>
              <w:bidi w:val="1"/>
            </w:pPr>
            <w:r/>
            <w:r>
              <w:rPr>
                <w:rFonts w:ascii="Sakkal Majalla" w:hAnsi="Sakkal Majalla"/>
                <w:sz w:val="24"/>
                <w:rtl/>
                <w:cs/>
                <w:rFonts w:cs="Sakkal Majalla"/>
              </w:rPr>
              <w:t>من 1.81 إلى 2.60</w:t>
            </w:r>
          </w:p>
        </w:tc>
      </w:tr>
      <w:tr>
        <w:tc>
          <w:tcPr>
            <w:tcW w:type="dxa" w:w="4320"/>
          </w:tcPr>
          <w:p>
            <w:pPr>
              <w:jc w:val="center"/>
              <w:bidi w:val="1"/>
            </w:pPr>
            <w:r/>
            <w:r>
              <w:rPr>
                <w:rFonts w:ascii="Sakkal Majalla" w:hAnsi="Sakkal Majalla"/>
                <w:sz w:val="24"/>
                <w:rtl/>
                <w:cs/>
                <w:rFonts w:cs="Sakkal Majalla"/>
              </w:rPr>
              <w:t>متوسطة</w:t>
            </w:r>
          </w:p>
        </w:tc>
        <w:tc>
          <w:tcPr>
            <w:tcW w:type="dxa" w:w="4320"/>
          </w:tcPr>
          <w:p>
            <w:pPr>
              <w:jc w:val="center"/>
              <w:bidi w:val="1"/>
            </w:pPr>
            <w:r/>
            <w:r>
              <w:rPr>
                <w:rFonts w:ascii="Sakkal Majalla" w:hAnsi="Sakkal Majalla"/>
                <w:sz w:val="24"/>
                <w:rtl/>
                <w:cs/>
                <w:rFonts w:cs="Sakkal Majalla"/>
              </w:rPr>
              <w:t>من 2.61 إلى 3.40</w:t>
            </w:r>
          </w:p>
        </w:tc>
      </w:tr>
      <w:tr>
        <w:tc>
          <w:tcPr>
            <w:tcW w:type="dxa" w:w="4320"/>
          </w:tcPr>
          <w:p>
            <w:pPr>
              <w:jc w:val="center"/>
              <w:bidi w:val="1"/>
            </w:pPr>
            <w:r/>
            <w:r>
              <w:rPr>
                <w:rFonts w:ascii="Sakkal Majalla" w:hAnsi="Sakkal Majalla"/>
                <w:sz w:val="24"/>
                <w:rtl/>
                <w:cs/>
                <w:rFonts w:cs="Sakkal Majalla"/>
              </w:rPr>
              <w:t>مرتفعة</w:t>
            </w:r>
          </w:p>
        </w:tc>
        <w:tc>
          <w:tcPr>
            <w:tcW w:type="dxa" w:w="4320"/>
          </w:tcPr>
          <w:p>
            <w:pPr>
              <w:jc w:val="center"/>
              <w:bidi w:val="1"/>
            </w:pPr>
            <w:r/>
            <w:r>
              <w:rPr>
                <w:rFonts w:ascii="Sakkal Majalla" w:hAnsi="Sakkal Majalla"/>
                <w:sz w:val="24"/>
                <w:rtl/>
                <w:cs/>
                <w:rFonts w:cs="Sakkal Majalla"/>
              </w:rPr>
              <w:t>من 3.41 إلى 4.20</w:t>
            </w:r>
          </w:p>
        </w:tc>
      </w:tr>
      <w:tr>
        <w:tc>
          <w:tcPr>
            <w:tcW w:type="dxa" w:w="4320"/>
          </w:tcPr>
          <w:p>
            <w:pPr>
              <w:jc w:val="center"/>
              <w:bidi w:val="1"/>
            </w:pPr>
            <w:r/>
            <w:r>
              <w:rPr>
                <w:rFonts w:ascii="Sakkal Majalla" w:hAnsi="Sakkal Majalla"/>
                <w:sz w:val="24"/>
                <w:rtl/>
                <w:cs/>
                <w:rFonts w:cs="Sakkal Majalla"/>
              </w:rPr>
              <w:t>مرتفعة جداً</w:t>
            </w:r>
          </w:p>
        </w:tc>
        <w:tc>
          <w:tcPr>
            <w:tcW w:type="dxa" w:w="4320"/>
          </w:tcPr>
          <w:p>
            <w:pPr>
              <w:jc w:val="center"/>
              <w:bidi w:val="1"/>
            </w:pPr>
            <w:r/>
            <w:r>
              <w:rPr>
                <w:rFonts w:ascii="Sakkal Majalla" w:hAnsi="Sakkal Majalla"/>
                <w:sz w:val="24"/>
                <w:rtl/>
                <w:cs/>
                <w:rFonts w:cs="Sakkal Majalla"/>
              </w:rPr>
              <w:t>من 4.21 إلى 5.00</w:t>
            </w:r>
          </w:p>
        </w:tc>
      </w:tr>
    </w:tbl>
    <w:p/>
    <w:p>
      <w:pPr>
        <w:spacing w:before="40" w:after="80" w:line="440" w:lineRule="exact"/>
        <w:ind w:firstLine="567"/>
        <w:jc w:val="right"/>
        <w:bidi w:val="1"/>
      </w:pPr>
      <w:r>
        <w:rPr>
          <w:rFonts w:ascii="Sakkal Majalla" w:hAnsi="Sakkal Majalla"/>
          <w:b w:val="0"/>
          <w:sz w:val="28"/>
          <w:rtl/>
          <w:cs/>
          <w:rFonts w:cs="Sakkal Majalla"/>
          <w:szCs w:val="28"/>
        </w:rPr>
        <w:t>ملاحظة: تم استخدام مقياس ليكرت الخماسي ذاته لجميع محاور الاستبانة الأربعة لضمان دقة المعالجة الإحصائية واتساق المقارنات بين المحاور.</w:t>
      </w:r>
    </w:p>
    <w:p>
      <w:pPr>
        <w:spacing w:before="320" w:after="160" w:line="440" w:lineRule="exact"/>
        <w:jc w:val="right"/>
        <w:bidi w:val="1"/>
      </w:pPr>
      <w:r>
        <w:rPr>
          <w:rFonts w:ascii="Sakkal Majalla" w:hAnsi="Sakkal Majalla"/>
          <w:b/>
          <w:color w:val="003366"/>
          <w:sz w:val="36"/>
          <w:rtl/>
          <w:cs/>
          <w:rFonts w:cs="Sakkal Majalla"/>
          <w:szCs w:val="36"/>
        </w:rPr>
        <w:t>ثامناً/ صدق وثبات أداة البحث (الاستبانة)</w:t>
      </w:r>
    </w:p>
    <w:p>
      <w:pPr>
        <w:spacing w:before="40" w:after="80" w:line="440" w:lineRule="exact"/>
        <w:ind w:firstLine="567"/>
        <w:jc w:val="right"/>
        <w:bidi w:val="1"/>
      </w:pPr>
      <w:r>
        <w:rPr>
          <w:rFonts w:ascii="Sakkal Majalla" w:hAnsi="Sakkal Majalla"/>
          <w:b w:val="0"/>
          <w:sz w:val="28"/>
          <w:rtl/>
          <w:cs/>
          <w:rFonts w:cs="Sakkal Majalla"/>
          <w:szCs w:val="28"/>
        </w:rPr>
        <w:t>يُعدّ التحقق من صدق أداة البحث وثباتها شرطاً أساسياً لضمان جودة البيانات المُحصّلة ومصداقية النتائج. وقد تم اعتماد الإجراءات التالية:</w:t>
      </w:r>
    </w:p>
    <w:p>
      <w:pPr>
        <w:spacing w:before="200" w:after="120" w:line="440" w:lineRule="exact"/>
        <w:jc w:val="right"/>
        <w:bidi w:val="1"/>
      </w:pPr>
      <w:r>
        <w:rPr>
          <w:rFonts w:ascii="Sakkal Majalla" w:hAnsi="Sakkal Majalla"/>
          <w:b/>
          <w:color w:val="004682"/>
          <w:sz w:val="30"/>
          <w:rtl/>
          <w:cs/>
          <w:rFonts w:cs="Sakkal Majalla"/>
          <w:szCs w:val="30"/>
        </w:rPr>
        <w:t>أ. الصدق (Validity)</w:t>
      </w:r>
    </w:p>
    <w:p>
      <w:pPr>
        <w:spacing w:before="200" w:after="120" w:line="440" w:lineRule="exact"/>
        <w:jc w:val="right"/>
        <w:bidi w:val="1"/>
      </w:pPr>
      <w:r>
        <w:rPr>
          <w:rFonts w:ascii="Sakkal Majalla" w:hAnsi="Sakkal Majalla"/>
          <w:b/>
          <w:color w:val="004682"/>
          <w:sz w:val="30"/>
          <w:rtl/>
          <w:cs/>
          <w:rFonts w:cs="Sakkal Majalla"/>
          <w:szCs w:val="30"/>
        </w:rPr>
        <w:t>1. صدق المحكّمين (Content Validity / Face Validity):</w:t>
      </w:r>
    </w:p>
    <w:p>
      <w:pPr>
        <w:spacing w:before="40" w:after="80" w:line="440" w:lineRule="exact"/>
        <w:jc w:val="right"/>
        <w:bidi w:val="1"/>
      </w:pPr>
      <w:r>
        <w:rPr>
          <w:rFonts w:ascii="Sakkal Majalla" w:hAnsi="Sakkal Majalla"/>
          <w:b w:val="0"/>
          <w:sz w:val="28"/>
          <w:rtl/>
          <w:cs/>
          <w:rFonts w:cs="Sakkal Majalla"/>
          <w:szCs w:val="28"/>
        </w:rPr>
        <w:t>عُرضت الاستبانة في صورتها الأولية على لجنة مكوّنة من ثلاثة محكّمين متخصصين في مجالات الذكاء الاصطناعي، والقانون الرقمي، والمناهج البحثية. وقد طُلب منهم تقييم مدى:</w:t>
      </w:r>
    </w:p>
    <w:p>
      <w:pPr>
        <w:spacing w:before="40" w:after="80" w:line="440" w:lineRule="exact"/>
        <w:jc w:val="right"/>
        <w:bidi w:val="1"/>
      </w:pPr>
      <w:r>
        <w:rPr>
          <w:rFonts w:ascii="Sakkal Majalla" w:hAnsi="Sakkal Majalla"/>
          <w:b w:val="0"/>
          <w:sz w:val="26"/>
          <w:rtl/>
          <w:cs/>
          <w:rFonts w:cs="Sakkal Majalla"/>
          <w:szCs w:val="26"/>
        </w:rPr>
        <w:t>- وضوح صياغة كل فقرة ودقتها اللغوية.</w:t>
      </w:r>
    </w:p>
    <w:p>
      <w:pPr>
        <w:spacing w:before="40" w:after="80" w:line="440" w:lineRule="exact"/>
        <w:jc w:val="right"/>
        <w:bidi w:val="1"/>
      </w:pPr>
      <w:r>
        <w:rPr>
          <w:rFonts w:ascii="Sakkal Majalla" w:hAnsi="Sakkal Majalla"/>
          <w:b w:val="0"/>
          <w:sz w:val="26"/>
          <w:rtl/>
          <w:cs/>
          <w:rFonts w:cs="Sakkal Majalla"/>
          <w:szCs w:val="26"/>
        </w:rPr>
        <w:t>- انتماء كل فقرة للمحور الذي تنتمي إليه.</w:t>
      </w:r>
    </w:p>
    <w:p>
      <w:pPr>
        <w:spacing w:before="40" w:after="80" w:line="440" w:lineRule="exact"/>
        <w:jc w:val="right"/>
        <w:bidi w:val="1"/>
      </w:pPr>
      <w:r>
        <w:rPr>
          <w:rFonts w:ascii="Sakkal Majalla" w:hAnsi="Sakkal Majalla"/>
          <w:b w:val="0"/>
          <w:sz w:val="26"/>
          <w:rtl/>
          <w:cs/>
          <w:rFonts w:cs="Sakkal Majalla"/>
          <w:szCs w:val="26"/>
        </w:rPr>
        <w:t>- ملاءمة الفقرات لقياس المتغيرات المستهدفة.</w:t>
      </w:r>
    </w:p>
    <w:p>
      <w:pPr>
        <w:spacing w:before="40" w:after="80" w:line="440" w:lineRule="exact"/>
        <w:jc w:val="right"/>
        <w:bidi w:val="1"/>
      </w:pPr>
      <w:r>
        <w:rPr>
          <w:rFonts w:ascii="Sakkal Majalla" w:hAnsi="Sakkal Majalla"/>
          <w:b w:val="0"/>
          <w:sz w:val="26"/>
          <w:rtl/>
          <w:cs/>
          <w:rFonts w:cs="Sakkal Majalla"/>
          <w:szCs w:val="26"/>
        </w:rPr>
        <w:t>- شمولية المحاور لأبعاد الدراسة.</w:t>
      </w:r>
    </w:p>
    <w:p>
      <w:pPr>
        <w:spacing w:before="40" w:after="80" w:line="440" w:lineRule="exact"/>
        <w:ind w:firstLine="567"/>
        <w:jc w:val="right"/>
        <w:bidi w:val="1"/>
      </w:pPr>
      <w:r>
        <w:rPr>
          <w:rFonts w:ascii="Sakkal Majalla" w:hAnsi="Sakkal Majalla"/>
          <w:b w:val="0"/>
          <w:sz w:val="28"/>
          <w:rtl/>
          <w:cs/>
          <w:rFonts w:cs="Sakkal Majalla"/>
          <w:szCs w:val="28"/>
        </w:rPr>
        <w:t>وقد قدّم المحكّمون عدداً من الملاحظات المتعلقة بإعادة صياغة بعض البنود وتحسين وضوحها، وتم إدخال جميع التعديلات المقترحة قبل اعتماد الصورة النهائية للاستبانة.</w:t>
      </w:r>
    </w:p>
    <w:p>
      <w:pPr>
        <w:spacing w:before="200" w:after="120" w:line="440" w:lineRule="exact"/>
        <w:jc w:val="right"/>
        <w:bidi w:val="1"/>
      </w:pPr>
      <w:r>
        <w:rPr>
          <w:rFonts w:ascii="Sakkal Majalla" w:hAnsi="Sakkal Majalla"/>
          <w:b/>
          <w:color w:val="004682"/>
          <w:sz w:val="30"/>
          <w:rtl/>
          <w:cs/>
          <w:rFonts w:cs="Sakkal Majalla"/>
          <w:szCs w:val="30"/>
        </w:rPr>
        <w:t>2. صدق الاتساق الداخلي (Internal Consistency Validity):</w:t>
      </w:r>
    </w:p>
    <w:p>
      <w:pPr>
        <w:spacing w:before="40" w:after="80" w:line="440" w:lineRule="exact"/>
        <w:ind w:firstLine="567"/>
        <w:jc w:val="right"/>
        <w:bidi w:val="1"/>
      </w:pPr>
      <w:r>
        <w:rPr>
          <w:rFonts w:ascii="Sakkal Majalla" w:hAnsi="Sakkal Majalla"/>
          <w:b w:val="0"/>
          <w:sz w:val="28"/>
          <w:rtl/>
          <w:cs/>
          <w:rFonts w:cs="Sakkal Majalla"/>
          <w:szCs w:val="28"/>
        </w:rPr>
        <w:t>سيتم حساب معاملات الارتباط بين درجة كل فقرة والدرجة الكلية للمحور الذي تنتمي إليه، وبين درجة كل محور والدرجة الكلية للاستبانة، وذلك باستخدام معامل ارتباط بيرسون (Pearson Correlation Coefficient)، بعد تطبيق الاستبانة على العينة الاستطلاعية. وسيتم عرض النتائج تفصيلياً في الفصل الرابع.</w:t>
      </w:r>
    </w:p>
    <w:p>
      <w:pPr>
        <w:spacing w:before="200" w:after="120" w:line="440" w:lineRule="exact"/>
        <w:jc w:val="right"/>
        <w:bidi w:val="1"/>
      </w:pPr>
      <w:r>
        <w:rPr>
          <w:rFonts w:ascii="Sakkal Majalla" w:hAnsi="Sakkal Majalla"/>
          <w:b/>
          <w:color w:val="004682"/>
          <w:sz w:val="30"/>
          <w:rtl/>
          <w:cs/>
          <w:rFonts w:cs="Sakkal Majalla"/>
          <w:szCs w:val="30"/>
        </w:rPr>
        <w:t>ب. الثبات (Reliability)</w:t>
      </w:r>
    </w:p>
    <w:p>
      <w:pPr>
        <w:spacing w:before="40" w:after="80" w:line="440" w:lineRule="exact"/>
        <w:ind w:firstLine="567"/>
        <w:jc w:val="right"/>
        <w:bidi w:val="1"/>
      </w:pPr>
      <w:r>
        <w:rPr>
          <w:rFonts w:ascii="Sakkal Majalla" w:hAnsi="Sakkal Majalla"/>
          <w:b w:val="0"/>
          <w:sz w:val="28"/>
          <w:rtl/>
          <w:cs/>
          <w:rFonts w:cs="Sakkal Majalla"/>
          <w:szCs w:val="28"/>
        </w:rPr>
        <w:t>سيتم التحقق من ثبات أداة الدراسة باستخدام معامل ألفا كرونباخ (Cronbach Alpha)، وذلك بعد جمع البيانات الفعلية من العينة الاستطلاعية. ويُعدّ هذا المعامل من أكثر مقاييس الثبات شيوعاً واستخداماً في البحوث الاجتماعية والتقنية، حيث يقيس مدى الاتساق الداخلي لفقرات الأداة واستقرار النتائج عند إعادة التطبيق.</w:t>
      </w:r>
    </w:p>
    <w:p>
      <w:pPr>
        <w:spacing w:before="40" w:after="80" w:line="440" w:lineRule="exact"/>
        <w:ind w:firstLine="567"/>
        <w:jc w:val="right"/>
        <w:bidi w:val="1"/>
      </w:pPr>
      <w:r>
        <w:rPr>
          <w:rFonts w:ascii="Sakkal Majalla" w:hAnsi="Sakkal Majalla"/>
          <w:b w:val="0"/>
          <w:sz w:val="28"/>
          <w:rtl/>
          <w:cs/>
          <w:rFonts w:cs="Sakkal Majalla"/>
          <w:szCs w:val="28"/>
        </w:rPr>
        <w:t>وبشكل عام، تُعدّ قيمة معامل ألفا كرونباخ مقبولة إذا تجاوزت (0.70)، وجيدة إذا تجاوزت (0.80). وسيتم احتساب المعامل لكل محور على حدة وللاستبانة ككل، وعرض النتائج في الفصل الرابع.</w:t>
      </w:r>
    </w:p>
    <w:p>
      <w:pPr>
        <w:spacing w:before="320" w:after="160" w:line="440" w:lineRule="exact"/>
        <w:jc w:val="right"/>
        <w:bidi w:val="1"/>
      </w:pPr>
      <w:r>
        <w:rPr>
          <w:rFonts w:ascii="Sakkal Majalla" w:hAnsi="Sakkal Majalla"/>
          <w:b/>
          <w:color w:val="003366"/>
          <w:sz w:val="36"/>
          <w:rtl/>
          <w:cs/>
          <w:rFonts w:cs="Sakkal Majalla"/>
          <w:szCs w:val="36"/>
        </w:rPr>
        <w:t>تاسعاً/ التوزيع الطبيعي لمتغيرات البحث</w:t>
      </w:r>
    </w:p>
    <w:p>
      <w:pPr>
        <w:spacing w:before="40" w:after="80" w:line="440" w:lineRule="exact"/>
        <w:ind w:firstLine="567"/>
        <w:jc w:val="right"/>
        <w:bidi w:val="1"/>
      </w:pPr>
      <w:r>
        <w:rPr>
          <w:rFonts w:ascii="Sakkal Majalla" w:hAnsi="Sakkal Majalla"/>
          <w:b w:val="0"/>
          <w:sz w:val="28"/>
          <w:rtl/>
          <w:cs/>
          <w:rFonts w:cs="Sakkal Majalla"/>
          <w:szCs w:val="28"/>
        </w:rPr>
        <w:t>يُعدّ اختبار التوزيع الطبيعي خطوة إجرائية جوهرية تسبق التحليل الإحصائي، وتكمن أهميتها في تحديد نوع الاختبارات الإحصائية المناسبة للبيانات. وسيقوم الباحث بالإجراءات التالية:</w:t>
      </w:r>
    </w:p>
    <w:p>
      <w:pPr>
        <w:spacing w:before="200" w:after="120" w:line="440" w:lineRule="exact"/>
        <w:jc w:val="right"/>
        <w:bidi w:val="1"/>
      </w:pPr>
      <w:r>
        <w:rPr>
          <w:rFonts w:ascii="Sakkal Majalla" w:hAnsi="Sakkal Majalla"/>
          <w:b/>
          <w:color w:val="004682"/>
          <w:sz w:val="30"/>
          <w:rtl/>
          <w:cs/>
          <w:rFonts w:cs="Sakkal Majalla"/>
          <w:szCs w:val="30"/>
        </w:rPr>
        <w:t>1. الاختبار:</w:t>
      </w:r>
    </w:p>
    <w:p>
      <w:pPr>
        <w:spacing w:before="40" w:after="80" w:line="440" w:lineRule="exact"/>
        <w:jc w:val="right"/>
        <w:bidi w:val="1"/>
      </w:pPr>
      <w:r>
        <w:rPr>
          <w:rFonts w:ascii="Sakkal Majalla" w:hAnsi="Sakkal Majalla"/>
          <w:b w:val="0"/>
          <w:sz w:val="28"/>
          <w:rtl/>
          <w:cs/>
          <w:rFonts w:cs="Sakkal Majalla"/>
          <w:szCs w:val="28"/>
        </w:rPr>
        <w:t>سيتم إجراء اختبار كولمجروف-سميرنوف (Kolmogorov-Smirnov Test) للتأكد من مدى اقتراب توزيع بيانات الدراسة من المنحنى الاعتدالي (Normal Distribution). ونظراً لأن حجم العينة الكلي (150) مشاركاً، وهو يتجاوز (50)، فإن اختبار كولمجروف-سميرنوف يُعدّ الأنسب مقارنةً باختبار شابيرو-ويلك (Shapiro-Wilk) الذي يُفضّل للعينات الصغيرة.</w:t>
      </w:r>
    </w:p>
    <w:p>
      <w:pPr>
        <w:spacing w:before="200" w:after="120" w:line="440" w:lineRule="exact"/>
        <w:jc w:val="right"/>
        <w:bidi w:val="1"/>
      </w:pPr>
      <w:r>
        <w:rPr>
          <w:rFonts w:ascii="Sakkal Majalla" w:hAnsi="Sakkal Majalla"/>
          <w:b/>
          <w:color w:val="004682"/>
          <w:sz w:val="30"/>
          <w:rtl/>
          <w:cs/>
          <w:rFonts w:cs="Sakkal Majalla"/>
          <w:szCs w:val="30"/>
        </w:rPr>
        <w:t>2. تحديد المسار الإحصائي:</w:t>
      </w:r>
    </w:p>
    <w:p>
      <w:pPr>
        <w:spacing w:before="40" w:after="80" w:line="440" w:lineRule="exact"/>
        <w:jc w:val="right"/>
        <w:bidi w:val="1"/>
      </w:pPr>
      <w:r>
        <w:rPr>
          <w:rFonts w:ascii="Sakkal Majalla" w:hAnsi="Sakkal Majalla"/>
          <w:b w:val="0"/>
          <w:sz w:val="26"/>
          <w:rtl/>
          <w:cs/>
          <w:rFonts w:cs="Sakkal Majalla"/>
          <w:szCs w:val="26"/>
        </w:rPr>
        <w:t>- إذا كانت البيانات تتبع التوزيع الطبيعي (قيمة الدلالة Sig. &gt; 0.05): يستخدم الباحث الاختبارات البارامترية (Parametric Tests)، مثل اختبار (T-Test)، وتحليل التباين الأحادي (One-way ANOVA)، ومعامل ارتباط بيرسون، وتحليل الانحدار.</w:t>
      </w:r>
    </w:p>
    <w:p>
      <w:pPr>
        <w:spacing w:before="40" w:after="80" w:line="440" w:lineRule="exact"/>
        <w:jc w:val="right"/>
        <w:bidi w:val="1"/>
      </w:pPr>
      <w:r>
        <w:rPr>
          <w:rFonts w:ascii="Sakkal Majalla" w:hAnsi="Sakkal Majalla"/>
          <w:b w:val="0"/>
          <w:sz w:val="26"/>
          <w:rtl/>
          <w:cs/>
          <w:rFonts w:cs="Sakkal Majalla"/>
          <w:szCs w:val="26"/>
        </w:rPr>
        <w:t>- إذا لم تتبع البيانات التوزيع الطبيعي (قيمة الدلالة Sig. &lt; 0.05): يلجأ الباحث إلى الاختبارات غير البارامترية (Non-Parametric Tests)، مثل اختبار مان-ويتني (Mann-Whitney)، واختبار كروسكال-واليس (Kruskal-Wallis)، ومعامل ارتباط سبيرمان.</w:t>
      </w:r>
    </w:p>
    <w:p>
      <w:pPr>
        <w:spacing w:before="200" w:after="120" w:line="440" w:lineRule="exact"/>
        <w:jc w:val="right"/>
        <w:bidi w:val="1"/>
      </w:pPr>
      <w:r>
        <w:rPr>
          <w:rFonts w:ascii="Sakkal Majalla" w:hAnsi="Sakkal Majalla"/>
          <w:b/>
          <w:color w:val="004682"/>
          <w:sz w:val="30"/>
          <w:rtl/>
          <w:cs/>
          <w:rFonts w:cs="Sakkal Majalla"/>
          <w:szCs w:val="30"/>
        </w:rPr>
        <w:t>3. التأكد من دقة النتائج:</w:t>
      </w:r>
    </w:p>
    <w:p>
      <w:pPr>
        <w:spacing w:before="40" w:after="80" w:line="440" w:lineRule="exact"/>
        <w:jc w:val="right"/>
        <w:bidi w:val="1"/>
      </w:pPr>
      <w:r>
        <w:rPr>
          <w:rFonts w:ascii="Sakkal Majalla" w:hAnsi="Sakkal Majalla"/>
          <w:b w:val="0"/>
          <w:sz w:val="28"/>
          <w:rtl/>
          <w:cs/>
          <w:rFonts w:cs="Sakkal Majalla"/>
          <w:szCs w:val="28"/>
        </w:rPr>
        <w:t>يهدف الباحث من هذا الاختبار إلى ضمان سلامة البناء الإحصائي للدراسة، مما يعزز من صدق النتائج وقابلية تعميمها على مجتمع الدراسة. وسيتم عرض نتائج اختبار التوزيع الطبيعي تفصيلياً في الفصل الرابع.</w:t>
      </w:r>
    </w:p>
    <w:p>
      <w:pPr>
        <w:spacing w:before="320" w:after="160" w:line="440" w:lineRule="exact"/>
        <w:jc w:val="right"/>
        <w:bidi w:val="1"/>
      </w:pPr>
      <w:r>
        <w:rPr>
          <w:rFonts w:ascii="Sakkal Majalla" w:hAnsi="Sakkal Majalla"/>
          <w:b/>
          <w:color w:val="003366"/>
          <w:sz w:val="36"/>
          <w:rtl/>
          <w:cs/>
          <w:rFonts w:cs="Sakkal Majalla"/>
          <w:szCs w:val="36"/>
        </w:rPr>
        <w:t>عاشراً/ الأساليب الإحصائية المستخدمة في البحث</w:t>
      </w:r>
    </w:p>
    <w:p>
      <w:pPr>
        <w:spacing w:before="40" w:after="80" w:line="440" w:lineRule="exact"/>
        <w:ind w:firstLine="567"/>
        <w:jc w:val="right"/>
        <w:bidi w:val="1"/>
      </w:pPr>
      <w:r>
        <w:rPr>
          <w:rFonts w:ascii="Sakkal Majalla" w:hAnsi="Sakkal Majalla"/>
          <w:b w:val="0"/>
          <w:sz w:val="28"/>
          <w:rtl/>
          <w:cs/>
          <w:rFonts w:cs="Sakkal Majalla"/>
          <w:szCs w:val="28"/>
        </w:rPr>
        <w:t>لتحقيق أهداف الدراسة واختبار فرضياتها، سيتم تحليل البيانات باستخدام برنامج التحليل الإحصائي للعلوم الاجتماعية (SPSS)، وذلك من خلال مجموعتين من الأساليب الإحصائية:</w:t>
      </w:r>
    </w:p>
    <w:p>
      <w:pPr>
        <w:spacing w:before="200" w:after="120" w:line="440" w:lineRule="exact"/>
        <w:jc w:val="right"/>
        <w:bidi w:val="1"/>
      </w:pPr>
      <w:r>
        <w:rPr>
          <w:rFonts w:ascii="Sakkal Majalla" w:hAnsi="Sakkal Majalla"/>
          <w:b/>
          <w:color w:val="004682"/>
          <w:sz w:val="30"/>
          <w:rtl/>
          <w:cs/>
          <w:rFonts w:cs="Sakkal Majalla"/>
          <w:szCs w:val="30"/>
        </w:rPr>
        <w:t>أ. الإحصاءات الوصفية (Descriptive Statistics):</w:t>
      </w:r>
    </w:p>
    <w:p>
      <w:pPr>
        <w:spacing w:before="160" w:after="80" w:line="440" w:lineRule="exact"/>
        <w:jc w:val="center"/>
        <w:bidi w:val="1"/>
      </w:pPr>
      <w:r>
        <w:rPr>
          <w:rFonts w:ascii="Sakkal Majalla" w:hAnsi="Sakkal Majalla"/>
          <w:b/>
          <w:sz w:val="26"/>
          <w:rtl/>
          <w:cs/>
          <w:rFonts w:cs="Sakkal Majalla"/>
          <w:szCs w:val="26"/>
        </w:rPr>
        <w:t>جدول (3.6): الأساليب الإحصائية الوصفية المستخدمة في الدراسة</w:t>
      </w:r>
    </w:p>
    <w:tbl>
      <w:tblPr>
        <w:tblStyle w:val="TableGrid"/>
        <w:tblW w:type="auto" w:w="0"/>
        <w:jc w:val="center"/>
        <w:tblLook w:firstColumn="1" w:firstRow="1" w:lastColumn="0" w:lastRow="0" w:noHBand="0" w:noVBand="1" w:val="04A0"/>
        <w:bidiVisual/>
      </w:tblPr>
      <w:tblGrid>
        <w:gridCol w:w="4320"/>
        <w:gridCol w:w="4320"/>
      </w:tblGrid>
      <w:tr>
        <w:tc>
          <w:tcPr>
            <w:tcW w:type="dxa" w:w="4320"/>
            <w:shd w:fill="003366" w:val="clear"/>
          </w:tcPr>
          <w:p>
            <w:pPr>
              <w:jc w:val="center"/>
              <w:bidi w:val="1"/>
            </w:pPr>
            <w:r/>
            <w:r>
              <w:rPr>
                <w:rFonts w:ascii="Sakkal Majalla" w:hAnsi="Sakkal Majalla"/>
                <w:b/>
                <w:color w:val="FFFFFF"/>
                <w:sz w:val="24"/>
                <w:rtl/>
                <w:cs/>
                <w:rFonts w:cs="Sakkal Majalla"/>
              </w:rPr>
              <w:t>الغرض من الاستخدام</w:t>
            </w:r>
          </w:p>
        </w:tc>
        <w:tc>
          <w:tcPr>
            <w:tcW w:type="dxa" w:w="4320"/>
            <w:shd w:fill="003366" w:val="clear"/>
          </w:tcPr>
          <w:p>
            <w:pPr>
              <w:jc w:val="center"/>
              <w:bidi w:val="1"/>
            </w:pPr>
            <w:r/>
            <w:r>
              <w:rPr>
                <w:rFonts w:ascii="Sakkal Majalla" w:hAnsi="Sakkal Majalla"/>
                <w:b/>
                <w:color w:val="FFFFFF"/>
                <w:sz w:val="24"/>
                <w:rtl/>
                <w:cs/>
                <w:rFonts w:cs="Sakkal Majalla"/>
              </w:rPr>
              <w:t>الأسلوب</w:t>
            </w:r>
          </w:p>
        </w:tc>
      </w:tr>
      <w:tr>
        <w:tc>
          <w:tcPr>
            <w:tcW w:type="dxa" w:w="4320"/>
          </w:tcPr>
          <w:p>
            <w:pPr>
              <w:jc w:val="center"/>
              <w:bidi w:val="1"/>
            </w:pPr>
            <w:r/>
            <w:r>
              <w:rPr>
                <w:rFonts w:ascii="Sakkal Majalla" w:hAnsi="Sakkal Majalla"/>
                <w:sz w:val="24"/>
                <w:rtl/>
                <w:cs/>
                <w:rFonts w:cs="Sakkal Majalla"/>
              </w:rPr>
              <w:t>وصف خصائص عينة الدراسة الديموغرافية (الجنس، العمر، المؤهل، الخبرة، الفئة)</w:t>
            </w:r>
          </w:p>
        </w:tc>
        <w:tc>
          <w:tcPr>
            <w:tcW w:type="dxa" w:w="4320"/>
          </w:tcPr>
          <w:p>
            <w:pPr>
              <w:jc w:val="center"/>
              <w:bidi w:val="1"/>
            </w:pPr>
            <w:r/>
            <w:r>
              <w:rPr>
                <w:rFonts w:ascii="Sakkal Majalla" w:hAnsi="Sakkal Majalla"/>
                <w:sz w:val="24"/>
                <w:rtl/>
                <w:cs/>
                <w:rFonts w:cs="Sakkal Majalla"/>
              </w:rPr>
              <w:t>التكرارات والنسب المئوية</w:t>
            </w:r>
          </w:p>
        </w:tc>
      </w:tr>
      <w:tr>
        <w:tc>
          <w:tcPr>
            <w:tcW w:type="dxa" w:w="4320"/>
          </w:tcPr>
          <w:p>
            <w:pPr>
              <w:jc w:val="center"/>
              <w:bidi w:val="1"/>
            </w:pPr>
            <w:r/>
            <w:r>
              <w:rPr>
                <w:rFonts w:ascii="Sakkal Majalla" w:hAnsi="Sakkal Majalla"/>
                <w:sz w:val="24"/>
                <w:rtl/>
                <w:cs/>
                <w:rFonts w:cs="Sakkal Majalla"/>
              </w:rPr>
              <w:t>تحديد مستوى استجابات أفراد العينة على كل فقرة ومحور وتحديد درجة الموافقة</w:t>
            </w:r>
          </w:p>
        </w:tc>
        <w:tc>
          <w:tcPr>
            <w:tcW w:type="dxa" w:w="4320"/>
          </w:tcPr>
          <w:p>
            <w:pPr>
              <w:jc w:val="center"/>
              <w:bidi w:val="1"/>
            </w:pPr>
            <w:r/>
            <w:r>
              <w:rPr>
                <w:rFonts w:ascii="Sakkal Majalla" w:hAnsi="Sakkal Majalla"/>
                <w:sz w:val="24"/>
                <w:rtl/>
                <w:cs/>
                <w:rFonts w:cs="Sakkal Majalla"/>
              </w:rPr>
              <w:t>المتوسطات الحسابية (Mean)</w:t>
            </w:r>
          </w:p>
        </w:tc>
      </w:tr>
      <w:tr>
        <w:tc>
          <w:tcPr>
            <w:tcW w:type="dxa" w:w="4320"/>
          </w:tcPr>
          <w:p>
            <w:pPr>
              <w:jc w:val="center"/>
              <w:bidi w:val="1"/>
            </w:pPr>
            <w:r/>
            <w:r>
              <w:rPr>
                <w:rFonts w:ascii="Sakkal Majalla" w:hAnsi="Sakkal Majalla"/>
                <w:sz w:val="24"/>
                <w:rtl/>
                <w:cs/>
                <w:rFonts w:cs="Sakkal Majalla"/>
              </w:rPr>
              <w:t>قياس مدى تشتت الاستجابات حول المتوسط الحسابي ودرجة تجانس آراء المستجيبين</w:t>
            </w:r>
          </w:p>
        </w:tc>
        <w:tc>
          <w:tcPr>
            <w:tcW w:type="dxa" w:w="4320"/>
          </w:tcPr>
          <w:p>
            <w:pPr>
              <w:jc w:val="center"/>
              <w:bidi w:val="1"/>
            </w:pPr>
            <w:r/>
            <w:r>
              <w:rPr>
                <w:rFonts w:ascii="Sakkal Majalla" w:hAnsi="Sakkal Majalla"/>
                <w:sz w:val="24"/>
                <w:rtl/>
                <w:cs/>
                <w:rFonts w:cs="Sakkal Majalla"/>
              </w:rPr>
              <w:t>الانحرافات المعيارية (SD)</w:t>
            </w:r>
          </w:p>
        </w:tc>
      </w:tr>
    </w:tbl>
    <w:p/>
    <w:p>
      <w:pPr>
        <w:spacing w:before="200" w:after="120" w:line="440" w:lineRule="exact"/>
        <w:jc w:val="right"/>
        <w:bidi w:val="1"/>
      </w:pPr>
      <w:r>
        <w:rPr>
          <w:rFonts w:ascii="Sakkal Majalla" w:hAnsi="Sakkal Majalla"/>
          <w:b/>
          <w:color w:val="004682"/>
          <w:sz w:val="30"/>
          <w:rtl/>
          <w:cs/>
          <w:rFonts w:cs="Sakkal Majalla"/>
          <w:szCs w:val="30"/>
        </w:rPr>
        <w:t>ب. الإحصاءات الاستدلالية (Inferential Statistics):</w:t>
      </w:r>
    </w:p>
    <w:p>
      <w:pPr>
        <w:spacing w:before="160" w:after="80" w:line="440" w:lineRule="exact"/>
        <w:jc w:val="center"/>
        <w:bidi w:val="1"/>
      </w:pPr>
      <w:r>
        <w:rPr>
          <w:rFonts w:ascii="Sakkal Majalla" w:hAnsi="Sakkal Majalla"/>
          <w:b/>
          <w:sz w:val="26"/>
          <w:rtl/>
          <w:cs/>
          <w:rFonts w:cs="Sakkal Majalla"/>
          <w:szCs w:val="26"/>
        </w:rPr>
        <w:t>جدول (3.7): الأساليب الإحصائية الاستدلالية المستخدمة في الدراسة</w:t>
      </w:r>
    </w:p>
    <w:tbl>
      <w:tblPr>
        <w:tblStyle w:val="TableGrid"/>
        <w:tblW w:type="auto" w:w="0"/>
        <w:jc w:val="center"/>
        <w:tblLook w:firstColumn="1" w:firstRow="1" w:lastColumn="0" w:lastRow="0" w:noHBand="0" w:noVBand="1" w:val="04A0"/>
        <w:bidiVisual/>
      </w:tblPr>
      <w:tblGrid>
        <w:gridCol w:w="2880"/>
        <w:gridCol w:w="2880"/>
        <w:gridCol w:w="2880"/>
      </w:tblGrid>
      <w:tr>
        <w:tc>
          <w:tcPr>
            <w:tcW w:type="dxa" w:w="2880"/>
            <w:shd w:fill="003366" w:val="clear"/>
          </w:tcPr>
          <w:p>
            <w:pPr>
              <w:jc w:val="center"/>
              <w:bidi w:val="1"/>
            </w:pPr>
            <w:r/>
            <w:r>
              <w:rPr>
                <w:rFonts w:ascii="Sakkal Majalla" w:hAnsi="Sakkal Majalla"/>
                <w:b/>
                <w:color w:val="FFFFFF"/>
                <w:sz w:val="24"/>
                <w:rtl/>
                <w:cs/>
                <w:rFonts w:cs="Sakkal Majalla"/>
              </w:rPr>
              <w:t>الفرضيات المخدومة</w:t>
            </w:r>
          </w:p>
        </w:tc>
        <w:tc>
          <w:tcPr>
            <w:tcW w:type="dxa" w:w="2880"/>
            <w:shd w:fill="003366" w:val="clear"/>
          </w:tcPr>
          <w:p>
            <w:pPr>
              <w:jc w:val="center"/>
              <w:bidi w:val="1"/>
            </w:pPr>
            <w:r/>
            <w:r>
              <w:rPr>
                <w:rFonts w:ascii="Sakkal Majalla" w:hAnsi="Sakkal Majalla"/>
                <w:b/>
                <w:color w:val="FFFFFF"/>
                <w:sz w:val="24"/>
                <w:rtl/>
                <w:cs/>
                <w:rFonts w:cs="Sakkal Majalla"/>
              </w:rPr>
              <w:t>الغرض من الاستخدام</w:t>
            </w:r>
          </w:p>
        </w:tc>
        <w:tc>
          <w:tcPr>
            <w:tcW w:type="dxa" w:w="2880"/>
            <w:shd w:fill="003366" w:val="clear"/>
          </w:tcPr>
          <w:p>
            <w:pPr>
              <w:jc w:val="center"/>
              <w:bidi w:val="1"/>
            </w:pPr>
            <w:r/>
            <w:r>
              <w:rPr>
                <w:rFonts w:ascii="Sakkal Majalla" w:hAnsi="Sakkal Majalla"/>
                <w:b/>
                <w:color w:val="FFFFFF"/>
                <w:sz w:val="24"/>
                <w:rtl/>
                <w:cs/>
                <w:rFonts w:cs="Sakkal Majalla"/>
              </w:rPr>
              <w:t>الأسلوب</w:t>
            </w:r>
          </w:p>
        </w:tc>
      </w:tr>
      <w:tr>
        <w:tc>
          <w:tcPr>
            <w:tcW w:type="dxa" w:w="2880"/>
          </w:tcPr>
          <w:p>
            <w:pPr>
              <w:jc w:val="center"/>
              <w:bidi w:val="1"/>
            </w:pPr>
            <w:r/>
            <w:r>
              <w:rPr>
                <w:rFonts w:ascii="Sakkal Majalla" w:hAnsi="Sakkal Majalla"/>
                <w:sz w:val="24"/>
                <w:rtl/>
                <w:cs/>
                <w:rFonts w:cs="Sakkal Majalla"/>
              </w:rPr>
              <w:t>H1, H2, H7</w:t>
            </w:r>
          </w:p>
        </w:tc>
        <w:tc>
          <w:tcPr>
            <w:tcW w:type="dxa" w:w="2880"/>
          </w:tcPr>
          <w:p>
            <w:pPr>
              <w:jc w:val="center"/>
              <w:bidi w:val="1"/>
            </w:pPr>
            <w:r/>
            <w:r>
              <w:rPr>
                <w:rFonts w:ascii="Sakkal Majalla" w:hAnsi="Sakkal Majalla"/>
                <w:sz w:val="24"/>
                <w:rtl/>
                <w:cs/>
                <w:rFonts w:cs="Sakkal Majalla"/>
              </w:rPr>
              <w:t>قياس العلاقة بين المتغيرات</w:t>
            </w:r>
          </w:p>
        </w:tc>
        <w:tc>
          <w:tcPr>
            <w:tcW w:type="dxa" w:w="2880"/>
          </w:tcPr>
          <w:p>
            <w:pPr>
              <w:jc w:val="center"/>
              <w:bidi w:val="1"/>
            </w:pPr>
            <w:r/>
            <w:r>
              <w:rPr>
                <w:rFonts w:ascii="Sakkal Majalla" w:hAnsi="Sakkal Majalla"/>
                <w:sz w:val="24"/>
                <w:rtl/>
                <w:cs/>
                <w:rFonts w:cs="Sakkal Majalla"/>
              </w:rPr>
              <w:t>معامل ارتباط بيرسون (Pearson)</w:t>
            </w:r>
          </w:p>
        </w:tc>
      </w:tr>
      <w:tr>
        <w:tc>
          <w:tcPr>
            <w:tcW w:type="dxa" w:w="2880"/>
          </w:tcPr>
          <w:p>
            <w:pPr>
              <w:jc w:val="center"/>
              <w:bidi w:val="1"/>
            </w:pPr>
            <w:r/>
            <w:r>
              <w:rPr>
                <w:rFonts w:ascii="Sakkal Majalla" w:hAnsi="Sakkal Majalla"/>
                <w:sz w:val="24"/>
                <w:rtl/>
                <w:cs/>
                <w:rFonts w:cs="Sakkal Majalla"/>
              </w:rPr>
              <w:t>H2, H4, H8, H9, H10</w:t>
            </w:r>
          </w:p>
        </w:tc>
        <w:tc>
          <w:tcPr>
            <w:tcW w:type="dxa" w:w="2880"/>
          </w:tcPr>
          <w:p>
            <w:pPr>
              <w:jc w:val="center"/>
              <w:bidi w:val="1"/>
            </w:pPr>
            <w:r/>
            <w:r>
              <w:rPr>
                <w:rFonts w:ascii="Sakkal Majalla" w:hAnsi="Sakkal Majalla"/>
                <w:sz w:val="24"/>
                <w:rtl/>
                <w:cs/>
                <w:rFonts w:cs="Sakkal Majalla"/>
              </w:rPr>
              <w:t>قياس أثر المتغيرات المستقلة والوسيطة على التابع</w:t>
            </w:r>
          </w:p>
        </w:tc>
        <w:tc>
          <w:tcPr>
            <w:tcW w:type="dxa" w:w="2880"/>
          </w:tcPr>
          <w:p>
            <w:pPr>
              <w:jc w:val="center"/>
              <w:bidi w:val="1"/>
            </w:pPr>
            <w:r/>
            <w:r>
              <w:rPr>
                <w:rFonts w:ascii="Sakkal Majalla" w:hAnsi="Sakkal Majalla"/>
                <w:sz w:val="24"/>
                <w:rtl/>
                <w:cs/>
                <w:rFonts w:cs="Sakkal Majalla"/>
              </w:rPr>
              <w:t>تحليل الانحدار البسيط والمتعدد</w:t>
            </w:r>
          </w:p>
        </w:tc>
      </w:tr>
      <w:tr>
        <w:tc>
          <w:tcPr>
            <w:tcW w:type="dxa" w:w="2880"/>
          </w:tcPr>
          <w:p>
            <w:pPr>
              <w:jc w:val="center"/>
              <w:bidi w:val="1"/>
            </w:pPr>
            <w:r/>
            <w:r>
              <w:rPr>
                <w:rFonts w:ascii="Sakkal Majalla" w:hAnsi="Sakkal Majalla"/>
                <w:sz w:val="24"/>
                <w:rtl/>
                <w:cs/>
                <w:rFonts w:cs="Sakkal Majalla"/>
              </w:rPr>
              <w:t>المتغيرات الديموغرافية</w:t>
            </w:r>
          </w:p>
        </w:tc>
        <w:tc>
          <w:tcPr>
            <w:tcW w:type="dxa" w:w="2880"/>
          </w:tcPr>
          <w:p>
            <w:pPr>
              <w:jc w:val="center"/>
              <w:bidi w:val="1"/>
            </w:pPr>
            <w:r/>
            <w:r>
              <w:rPr>
                <w:rFonts w:ascii="Sakkal Majalla" w:hAnsi="Sakkal Majalla"/>
                <w:sz w:val="24"/>
                <w:rtl/>
                <w:cs/>
                <w:rFonts w:cs="Sakkal Majalla"/>
              </w:rPr>
              <w:t>مقارنة الفروق بين مجموعتين مستقلتين</w:t>
            </w:r>
          </w:p>
        </w:tc>
        <w:tc>
          <w:tcPr>
            <w:tcW w:type="dxa" w:w="2880"/>
          </w:tcPr>
          <w:p>
            <w:pPr>
              <w:jc w:val="center"/>
              <w:bidi w:val="1"/>
            </w:pPr>
            <w:r/>
            <w:r>
              <w:rPr>
                <w:rFonts w:ascii="Sakkal Majalla" w:hAnsi="Sakkal Majalla"/>
                <w:sz w:val="24"/>
                <w:rtl/>
                <w:cs/>
                <w:rFonts w:cs="Sakkal Majalla"/>
              </w:rPr>
              <w:t>اختبار (T-Test)</w:t>
            </w:r>
          </w:p>
        </w:tc>
      </w:tr>
      <w:tr>
        <w:tc>
          <w:tcPr>
            <w:tcW w:type="dxa" w:w="2880"/>
          </w:tcPr>
          <w:p>
            <w:pPr>
              <w:jc w:val="center"/>
              <w:bidi w:val="1"/>
            </w:pPr>
            <w:r/>
            <w:r>
              <w:rPr>
                <w:rFonts w:ascii="Sakkal Majalla" w:hAnsi="Sakkal Majalla"/>
                <w:sz w:val="24"/>
                <w:rtl/>
                <w:cs/>
                <w:rFonts w:cs="Sakkal Majalla"/>
              </w:rPr>
              <w:t>المتغيرات الديموغرافية</w:t>
            </w:r>
          </w:p>
        </w:tc>
        <w:tc>
          <w:tcPr>
            <w:tcW w:type="dxa" w:w="2880"/>
          </w:tcPr>
          <w:p>
            <w:pPr>
              <w:jc w:val="center"/>
              <w:bidi w:val="1"/>
            </w:pPr>
            <w:r/>
            <w:r>
              <w:rPr>
                <w:rFonts w:ascii="Sakkal Majalla" w:hAnsi="Sakkal Majalla"/>
                <w:sz w:val="24"/>
                <w:rtl/>
                <w:cs/>
                <w:rFonts w:cs="Sakkal Majalla"/>
              </w:rPr>
              <w:t>مقارنة الفروق بين ثلاث مجموعات فأكثر</w:t>
            </w:r>
          </w:p>
        </w:tc>
        <w:tc>
          <w:tcPr>
            <w:tcW w:type="dxa" w:w="2880"/>
          </w:tcPr>
          <w:p>
            <w:pPr>
              <w:jc w:val="center"/>
              <w:bidi w:val="1"/>
            </w:pPr>
            <w:r/>
            <w:r>
              <w:rPr>
                <w:rFonts w:ascii="Sakkal Majalla" w:hAnsi="Sakkal Majalla"/>
                <w:sz w:val="24"/>
                <w:rtl/>
                <w:cs/>
                <w:rFonts w:cs="Sakkal Majalla"/>
              </w:rPr>
              <w:t>تحليل التباين الأحادي (ANOVA)</w:t>
            </w:r>
          </w:p>
        </w:tc>
      </w:tr>
      <w:tr>
        <w:tc>
          <w:tcPr>
            <w:tcW w:type="dxa" w:w="2880"/>
          </w:tcPr>
          <w:p>
            <w:pPr>
              <w:jc w:val="center"/>
              <w:bidi w:val="1"/>
            </w:pPr>
            <w:r/>
            <w:r>
              <w:rPr>
                <w:rFonts w:ascii="Sakkal Majalla" w:hAnsi="Sakkal Majalla"/>
                <w:sz w:val="24"/>
                <w:rtl/>
                <w:cs/>
                <w:rFonts w:cs="Sakkal Majalla"/>
              </w:rPr>
              <w:t>H3, H5, H6</w:t>
            </w:r>
          </w:p>
        </w:tc>
        <w:tc>
          <w:tcPr>
            <w:tcW w:type="dxa" w:w="2880"/>
          </w:tcPr>
          <w:p>
            <w:pPr>
              <w:jc w:val="center"/>
              <w:bidi w:val="1"/>
            </w:pPr>
            <w:r/>
            <w:r>
              <w:rPr>
                <w:rFonts w:ascii="Sakkal Majalla" w:hAnsi="Sakkal Majalla"/>
                <w:sz w:val="24"/>
                <w:rtl/>
                <w:cs/>
                <w:rFonts w:cs="Sakkal Majalla"/>
              </w:rPr>
              <w:t>اختبار العلاقة بين المتغيرات الاسمية</w:t>
            </w:r>
          </w:p>
        </w:tc>
        <w:tc>
          <w:tcPr>
            <w:tcW w:type="dxa" w:w="2880"/>
          </w:tcPr>
          <w:p>
            <w:pPr>
              <w:jc w:val="center"/>
              <w:bidi w:val="1"/>
            </w:pPr>
            <w:r/>
            <w:r>
              <w:rPr>
                <w:rFonts w:ascii="Sakkal Majalla" w:hAnsi="Sakkal Majalla"/>
                <w:sz w:val="24"/>
                <w:rtl/>
                <w:cs/>
                <w:rFonts w:cs="Sakkal Majalla"/>
              </w:rPr>
              <w:t>اختبار مربع كاي (Chi-Square)</w:t>
            </w:r>
          </w:p>
        </w:tc>
      </w:tr>
      <w:tr>
        <w:tc>
          <w:tcPr>
            <w:tcW w:type="dxa" w:w="2880"/>
          </w:tcPr>
          <w:p>
            <w:pPr>
              <w:jc w:val="center"/>
              <w:bidi w:val="1"/>
            </w:pPr>
            <w:r/>
            <w:r>
              <w:rPr>
                <w:rFonts w:ascii="Sakkal Majalla" w:hAnsi="Sakkal Majalla"/>
                <w:sz w:val="24"/>
                <w:rtl/>
                <w:cs/>
                <w:rFonts w:cs="Sakkal Majalla"/>
              </w:rPr>
              <w:t>جميع المحاور</w:t>
            </w:r>
          </w:p>
        </w:tc>
        <w:tc>
          <w:tcPr>
            <w:tcW w:type="dxa" w:w="2880"/>
          </w:tcPr>
          <w:p>
            <w:pPr>
              <w:jc w:val="center"/>
              <w:bidi w:val="1"/>
            </w:pPr>
            <w:r/>
            <w:r>
              <w:rPr>
                <w:rFonts w:ascii="Sakkal Majalla" w:hAnsi="Sakkal Majalla"/>
                <w:sz w:val="24"/>
                <w:rtl/>
                <w:cs/>
                <w:rFonts w:cs="Sakkal Majalla"/>
              </w:rPr>
              <w:t>قياس ثبات أداة الدراسة</w:t>
            </w:r>
          </w:p>
        </w:tc>
        <w:tc>
          <w:tcPr>
            <w:tcW w:type="dxa" w:w="2880"/>
          </w:tcPr>
          <w:p>
            <w:pPr>
              <w:jc w:val="center"/>
              <w:bidi w:val="1"/>
            </w:pPr>
            <w:r/>
            <w:r>
              <w:rPr>
                <w:rFonts w:ascii="Sakkal Majalla" w:hAnsi="Sakkal Majalla"/>
                <w:sz w:val="24"/>
                <w:rtl/>
                <w:cs/>
                <w:rFonts w:cs="Sakkal Majalla"/>
              </w:rPr>
              <w:t>معامل ألفا كرونباخ</w:t>
            </w:r>
          </w:p>
        </w:tc>
      </w:tr>
    </w:tbl>
    <w:p/>
    <w:p>
      <w:pPr>
        <w:spacing w:before="40" w:after="80" w:line="440" w:lineRule="exact"/>
        <w:ind w:firstLine="567"/>
        <w:jc w:val="right"/>
        <w:bidi w:val="1"/>
      </w:pPr>
      <w:r>
        <w:rPr>
          <w:rFonts w:ascii="Sakkal Majalla" w:hAnsi="Sakkal Majalla"/>
          <w:b w:val="0"/>
          <w:sz w:val="28"/>
          <w:rtl/>
          <w:cs/>
          <w:rFonts w:cs="Sakkal Majalla"/>
          <w:szCs w:val="28"/>
        </w:rPr>
        <w:t>وسيتم اعتماد مستوى الدلالة الإحصائية (0.05 &gt;= α) كمعيار للحكم على الدلالة الإحصائية للنتائج في جميع الاختبارات، وسيُعرض التطبيق العملي لهذه الأساليب ونتائجها تفصيلياً في الفصل الرابع.</w:t>
      </w:r>
    </w:p>
    <w:p>
      <w:pPr>
        <w:spacing w:before="320" w:after="160" w:line="440" w:lineRule="exact"/>
        <w:jc w:val="right"/>
        <w:bidi w:val="1"/>
      </w:pPr>
      <w:r>
        <w:rPr>
          <w:rFonts w:ascii="Sakkal Majalla" w:hAnsi="Sakkal Majalla"/>
          <w:b/>
          <w:color w:val="003366"/>
          <w:sz w:val="36"/>
          <w:rtl/>
          <w:cs/>
          <w:rFonts w:cs="Sakkal Majalla"/>
          <w:szCs w:val="36"/>
        </w:rPr>
        <w:t>حادي عشر/ الصعوبات التي واجهت الباحث</w:t>
      </w:r>
    </w:p>
    <w:p>
      <w:pPr>
        <w:spacing w:before="120" w:after="80" w:line="440" w:lineRule="exact"/>
        <w:jc w:val="right"/>
        <w:bidi w:val="1"/>
      </w:pPr>
      <w:r>
        <w:rPr>
          <w:rFonts w:ascii="Sakkal Majalla" w:hAnsi="Sakkal Majalla"/>
          <w:b/>
          <w:sz w:val="28"/>
          <w:rtl/>
          <w:cs/>
          <w:rFonts w:cs="Sakkal Majalla"/>
        </w:rPr>
        <w:t xml:space="preserve">1. حساسية موضوع البيانات الشخصية: </w:t>
      </w:r>
      <w:r>
        <w:rPr>
          <w:rFonts w:ascii="Sakkal Majalla" w:hAnsi="Sakkal Majalla"/>
          <w:sz w:val="28"/>
          <w:rtl/>
          <w:cs/>
          <w:rFonts w:cs="Sakkal Majalla"/>
        </w:rPr>
        <w:t>نظراً لأن موضوع الدراسة يتعلق مباشرة بالخصوصية والبيانات الشخصية، فإن جمع بيانات حقيقية من الأفراد والمؤسسات يُثير تحفظات أخلاقية وقانونية. وقد تم التغلب على ذلك بالاعتماد على بيانات محاكاة (Simulated Data) في جانب النموذج التقني، مع الالتزام التام بالضوابط الأخلاقية في الاستبانات والمقابلات.</w:t>
      </w:r>
    </w:p>
    <w:p>
      <w:pPr>
        <w:spacing w:before="120" w:after="80" w:line="440" w:lineRule="exact"/>
        <w:jc w:val="right"/>
        <w:bidi w:val="1"/>
      </w:pPr>
      <w:r>
        <w:rPr>
          <w:rFonts w:ascii="Sakkal Majalla" w:hAnsi="Sakkal Majalla"/>
          <w:b/>
          <w:sz w:val="28"/>
          <w:rtl/>
          <w:cs/>
          <w:rFonts w:cs="Sakkal Majalla"/>
        </w:rPr>
        <w:t xml:space="preserve">2. صعوبة الوصول إلى المسؤولين الحكوميين والخبراء: </w:t>
      </w:r>
      <w:r>
        <w:rPr>
          <w:rFonts w:ascii="Sakkal Majalla" w:hAnsi="Sakkal Majalla"/>
          <w:sz w:val="28"/>
          <w:rtl/>
          <w:cs/>
          <w:rFonts w:cs="Sakkal Majalla"/>
        </w:rPr>
        <w:t>بسبب انشغالاتهم ومحدودية أعدادهم، واجه الباحث صعوبة في تحديد مواعيد المقابلات مع المسؤولين في الجهات التنظيمية والخبراء الأكاديميين. وقد تم التغلب على ذلك من خلال التواصل المبكر وتقديم مرونة في الجدولة واستخدام وسائل الاتصال عن بُعد.</w:t>
      </w:r>
    </w:p>
    <w:p>
      <w:pPr>
        <w:spacing w:before="120" w:after="80" w:line="440" w:lineRule="exact"/>
        <w:jc w:val="right"/>
        <w:bidi w:val="1"/>
      </w:pPr>
      <w:r>
        <w:rPr>
          <w:rFonts w:ascii="Sakkal Majalla" w:hAnsi="Sakkal Majalla"/>
          <w:b/>
          <w:sz w:val="28"/>
          <w:rtl/>
          <w:cs/>
          <w:rFonts w:cs="Sakkal Majalla"/>
        </w:rPr>
        <w:t xml:space="preserve">3. تعدد وتنوع التشريعات القانونية: </w:t>
      </w:r>
      <w:r>
        <w:rPr>
          <w:rFonts w:ascii="Sakkal Majalla" w:hAnsi="Sakkal Majalla"/>
          <w:sz w:val="28"/>
          <w:rtl/>
          <w:cs/>
          <w:rFonts w:cs="Sakkal Majalla"/>
        </w:rPr>
        <w:t>تتباين التشريعات المنظمة لحماية البيانات الشخصية بين الدول والمناطق الجغرافية (GDPR، CCPA، نظام حماية البيانات السعودي)، مما استلزم جهداً بحثياً مكثفاً لتحليلها ومقارنتها. وقد تم التعامل مع هذا التحدي بالاعتماد على المصادر الرسمية الأصلية لكل تشريع واستشارة المتخصصين في القانون الرقمي.</w:t>
      </w:r>
    </w:p>
    <w:p>
      <w:pPr>
        <w:spacing w:before="120" w:after="80" w:line="440" w:lineRule="exact"/>
        <w:jc w:val="right"/>
        <w:bidi w:val="1"/>
      </w:pPr>
      <w:r>
        <w:rPr>
          <w:rFonts w:ascii="Sakkal Majalla" w:hAnsi="Sakkal Majalla"/>
          <w:b/>
          <w:sz w:val="28"/>
          <w:rtl/>
          <w:cs/>
          <w:rFonts w:cs="Sakkal Majalla"/>
        </w:rPr>
        <w:t xml:space="preserve">4. حداثة الموضوع ومحدودية الدراسات العربية: </w:t>
      </w:r>
      <w:r>
        <w:rPr>
          <w:rFonts w:ascii="Sakkal Majalla" w:hAnsi="Sakkal Majalla"/>
          <w:sz w:val="28"/>
          <w:rtl/>
          <w:cs/>
          <w:rFonts w:cs="Sakkal Majalla"/>
        </w:rPr>
        <w:t>يُعدّ موضوع أخلاقيات الذكاء الاصطناعي في معالجة البيانات الشخصية من الموضوعات المستحدثة، وتتركز معظم الأدبيات المتاحة باللغة الإنجليزية، مما شكّل تحدياً في إيجاد دراسات عربية كافية للمقارنة. وقد تم التغلب على ذلك بتوسيع نطاق المراجعة ليشمل الأدبيات الأجنبية الحديثة مع ربطها بالسياق المحلي.</w:t>
      </w:r>
    </w:p>
    <w:p>
      <w:pPr>
        <w:spacing w:before="120" w:after="80" w:line="440" w:lineRule="exact"/>
        <w:jc w:val="right"/>
        <w:bidi w:val="1"/>
      </w:pPr>
      <w:r>
        <w:rPr>
          <w:rFonts w:ascii="Sakkal Majalla" w:hAnsi="Sakkal Majalla"/>
          <w:b/>
          <w:sz w:val="28"/>
          <w:rtl/>
          <w:cs/>
          <w:rFonts w:cs="Sakkal Majalla"/>
        </w:rPr>
        <w:t xml:space="preserve">5. تصميم النموذج التقني (Prototype): </w:t>
      </w:r>
      <w:r>
        <w:rPr>
          <w:rFonts w:ascii="Sakkal Majalla" w:hAnsi="Sakkal Majalla"/>
          <w:sz w:val="28"/>
          <w:rtl/>
          <w:cs/>
          <w:rFonts w:cs="Sakkal Majalla"/>
        </w:rPr>
        <w:t>واجه الباحث تحديات تقنية في بناء نموذج محاكاة قادر على قياس الامتثال الأخلاقي بمعايير كمية دقيقة. وقد تم التغلب على ذلك بالاطلاع على النماذج التقنية المماثلة في الأدبيات وتطوير مؤشر الامتثال الأخلاقي (Ethical Compliance Index) بشكل تدريجي.</w:t>
      </w:r>
    </w:p>
    <w:p>
      <w:pPr>
        <w:spacing w:before="120" w:after="80" w:line="440" w:lineRule="exact"/>
        <w:jc w:val="right"/>
        <w:bidi w:val="1"/>
      </w:pPr>
      <w:r>
        <w:rPr>
          <w:rFonts w:ascii="Sakkal Majalla" w:hAnsi="Sakkal Majalla"/>
          <w:b/>
          <w:sz w:val="28"/>
          <w:rtl/>
          <w:cs/>
          <w:rFonts w:cs="Sakkal Majalla"/>
        </w:rPr>
        <w:t xml:space="preserve">6. ضيق الوقت: </w:t>
      </w:r>
      <w:r>
        <w:rPr>
          <w:rFonts w:ascii="Sakkal Majalla" w:hAnsi="Sakkal Majalla"/>
          <w:sz w:val="28"/>
          <w:rtl/>
          <w:cs/>
          <w:rFonts w:cs="Sakkal Majalla"/>
        </w:rPr>
        <w:t>فرضت المتطلبات الأكاديمية والجداول الزمنية قيوداً على مدة جمع البيانات وتحليلها. وقد تم التغلب على ذلك بوضع خطة زمنية محكمة والالتزام بها مع إعطاء الأولوية للمهام الأكثر أهمية.</w:t>
      </w:r>
    </w:p>
    <w:p>
      <w:pPr>
        <w:spacing w:before="40" w:after="80" w:line="440" w:lineRule="exact"/>
        <w:ind w:firstLine="567"/>
        <w:jc w:val="right"/>
        <w:bidi w:val="1"/>
      </w:pPr>
      <w:r>
        <w:rPr>
          <w:rFonts w:ascii="Sakkal Majalla" w:hAnsi="Sakkal Majalla"/>
          <w:b w:val="0"/>
          <w:sz w:val="28"/>
          <w:rtl/>
          <w:cs/>
          <w:rFonts w:cs="Sakkal Majalla"/>
          <w:szCs w:val="28"/>
        </w:rPr>
        <w:t>إن توضيح هذه الصعوبات وكيفية التغلب عليها يُبرز الأمانة العلمية للباحث، ويؤكد أن النتائج التي سيتم عرضها في الفصل الرابع قد تم التوصل إليها وفق إجراءات منهجية سليمة رغم التحديات.</w:t>
      </w:r>
    </w:p>
    <w:p>
      <w:pPr>
        <w:spacing w:before="320" w:after="160" w:line="440" w:lineRule="exact"/>
        <w:jc w:val="right"/>
        <w:bidi w:val="1"/>
      </w:pPr>
      <w:r>
        <w:rPr>
          <w:rFonts w:ascii="Sakkal Majalla" w:hAnsi="Sakkal Majalla"/>
          <w:b/>
          <w:color w:val="003366"/>
          <w:sz w:val="36"/>
          <w:rtl/>
          <w:cs/>
          <w:rFonts w:cs="Sakkal Majalla"/>
          <w:szCs w:val="36"/>
        </w:rPr>
        <w:t>ملخص الفصل</w:t>
      </w:r>
    </w:p>
    <w:p>
      <w:pPr>
        <w:spacing w:before="40" w:after="80" w:line="440" w:lineRule="exact"/>
        <w:ind w:firstLine="567"/>
        <w:jc w:val="right"/>
        <w:bidi w:val="1"/>
      </w:pPr>
      <w:r>
        <w:rPr>
          <w:rFonts w:ascii="Sakkal Majalla" w:hAnsi="Sakkal Majalla"/>
          <w:b w:val="0"/>
          <w:sz w:val="28"/>
          <w:rtl/>
          <w:cs/>
          <w:rFonts w:cs="Sakkal Majalla"/>
          <w:szCs w:val="28"/>
        </w:rPr>
        <w:t>عرض هذا الفصل الإجراءات المنهجية التي اعتمدها الباحث لتنفيذ الدراسة الميدانية، حيث تم تبنّي منهجية متعددة الأساليب تجمع بين المنهج الوصفي التحليلي والمنهج المسحي والمنهج التطبيقي عبر نموذج محاكاة تقني. كما تم تحديد مجتمع الدراسة المكون من أربع فئات، واختيار عينة طبقية عشوائية بإجمالي (150) مشاركاً. وقد تم بناء أدوات جمع البيانات (تحليل الوثائق، والاستبانة، والمقابلات شبه المهيكلة، والنموذج التقني) وفق خطوات منهجية محكمة، والتحقق من صدقها عبر التحكيم. كما تم تحديد أسلوب تصحيح الاستبانة باستخدام مقياس ليكرت الخماسي، وتوضيح إجراءات اختبار التوزيع الطبيعي والأساليب الإحصائية المعتمدة. وسيتم استكمال تطبيق هذه الإجراءات وعرض نتائجها تفصيلياً في الفصل الرابع.</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Sakkal Majalla" w:hAnsi="Sakkal Majalla"/>
      <w:sz w:val="28"/>
      <w:rFonts w:cs="Sakkal Majalla"/>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