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13F96" w14:textId="77777777" w:rsidR="008E7AE0" w:rsidRPr="008E7AE0" w:rsidRDefault="008E7AE0" w:rsidP="008E7AE0">
      <w:pPr>
        <w:spacing w:after="0" w:line="240" w:lineRule="auto"/>
        <w:ind w:firstLine="567"/>
        <w:jc w:val="both"/>
        <w:rPr>
          <w:rFonts w:ascii="Simplified Arabic" w:eastAsia="Calibri" w:hAnsi="Simplified Arabic" w:cs="Simplified Arabic"/>
          <w:b/>
          <w:bCs/>
          <w:noProof/>
          <w:sz w:val="32"/>
          <w:szCs w:val="32"/>
          <w:rtl/>
          <w:lang w:bidi="ar-SY"/>
        </w:rPr>
      </w:pPr>
      <w:r w:rsidRPr="008E7AE0">
        <w:rPr>
          <w:rFonts w:ascii="Simplified Arabic" w:eastAsia="Calibri" w:hAnsi="Simplified Arabic" w:cs="Simplified Arabic"/>
          <w:b/>
          <w:bCs/>
          <w:noProof/>
          <w:color w:val="8496B0"/>
          <w:sz w:val="32"/>
          <w:szCs w:val="32"/>
          <w:rtl/>
        </w:rPr>
        <w:drawing>
          <wp:anchor distT="0" distB="0" distL="114300" distR="114300" simplePos="0" relativeHeight="251682304" behindDoc="1" locked="0" layoutInCell="1" allowOverlap="1" wp14:anchorId="6DFCC6E8" wp14:editId="15679244">
            <wp:simplePos x="0" y="0"/>
            <wp:positionH relativeFrom="column">
              <wp:posOffset>172720</wp:posOffset>
            </wp:positionH>
            <wp:positionV relativeFrom="paragraph">
              <wp:posOffset>0</wp:posOffset>
            </wp:positionV>
            <wp:extent cx="1725295" cy="961390"/>
            <wp:effectExtent l="0" t="0" r="8255" b="0"/>
            <wp:wrapTight wrapText="bothSides">
              <wp:wrapPolygon edited="0">
                <wp:start x="0" y="0"/>
                <wp:lineTo x="0" y="20972"/>
                <wp:lineTo x="21465" y="20972"/>
                <wp:lineTo x="21465" y="0"/>
                <wp:lineTo x="0" y="0"/>
              </wp:wrapPolygon>
            </wp:wrapTight>
            <wp:docPr id="413983434"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25295" cy="961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7AE0">
        <w:rPr>
          <w:rFonts w:ascii="Simplified Arabic" w:eastAsia="Calibri" w:hAnsi="Simplified Arabic" w:cs="Simplified Arabic"/>
          <w:b/>
          <w:bCs/>
          <w:noProof/>
          <w:sz w:val="32"/>
          <w:szCs w:val="32"/>
          <w:rtl/>
          <w:lang w:bidi="ar-SY"/>
        </w:rPr>
        <w:t xml:space="preserve">   جامعة ميدأوشن                                 </w:t>
      </w:r>
    </w:p>
    <w:p w14:paraId="7A014112" w14:textId="77777777" w:rsidR="008E7AE0" w:rsidRPr="008E7AE0" w:rsidRDefault="008E7AE0" w:rsidP="008E7AE0">
      <w:pPr>
        <w:spacing w:after="0" w:line="240" w:lineRule="auto"/>
        <w:ind w:firstLine="567"/>
        <w:jc w:val="both"/>
        <w:rPr>
          <w:rFonts w:ascii="Simplified Arabic" w:eastAsia="Calibri" w:hAnsi="Simplified Arabic" w:cs="Simplified Arabic"/>
          <w:b/>
          <w:bCs/>
          <w:noProof/>
          <w:sz w:val="32"/>
          <w:szCs w:val="32"/>
          <w:rtl/>
          <w:lang w:bidi="ar-SY"/>
        </w:rPr>
      </w:pPr>
      <w:r w:rsidRPr="008E7AE0">
        <w:rPr>
          <w:rFonts w:ascii="Simplified Arabic" w:eastAsia="Calibri" w:hAnsi="Simplified Arabic" w:cs="Simplified Arabic"/>
          <w:b/>
          <w:bCs/>
          <w:color w:val="000000"/>
          <w:sz w:val="32"/>
          <w:szCs w:val="32"/>
          <w:rtl/>
        </w:rPr>
        <w:t xml:space="preserve">     كلية</w:t>
      </w:r>
      <w:r w:rsidRPr="008E7AE0">
        <w:rPr>
          <w:rFonts w:ascii="Simplified Arabic" w:eastAsia="Calibri" w:hAnsi="Simplified Arabic" w:cs="Simplified Arabic"/>
          <w:b/>
          <w:bCs/>
          <w:noProof/>
          <w:sz w:val="32"/>
          <w:szCs w:val="32"/>
          <w:rtl/>
          <w:lang w:bidi="ar-SY"/>
        </w:rPr>
        <w:t xml:space="preserve"> الإدارة</w:t>
      </w:r>
    </w:p>
    <w:p w14:paraId="1D2A38BE" w14:textId="77777777" w:rsidR="008E7AE0" w:rsidRPr="008E7AE0" w:rsidRDefault="008E7AE0" w:rsidP="008E7AE0">
      <w:pPr>
        <w:spacing w:after="0" w:line="240" w:lineRule="auto"/>
        <w:ind w:firstLine="567"/>
        <w:jc w:val="both"/>
        <w:rPr>
          <w:rFonts w:ascii="Simplified Arabic" w:eastAsia="Calibri" w:hAnsi="Simplified Arabic" w:cs="Simplified Arabic"/>
          <w:b/>
          <w:bCs/>
          <w:noProof/>
          <w:sz w:val="32"/>
          <w:szCs w:val="32"/>
          <w:rtl/>
        </w:rPr>
      </w:pPr>
      <w:r w:rsidRPr="008E7AE0">
        <w:rPr>
          <w:rFonts w:ascii="Simplified Arabic" w:eastAsia="Calibri" w:hAnsi="Simplified Arabic" w:cs="Simplified Arabic"/>
          <w:b/>
          <w:bCs/>
          <w:noProof/>
          <w:sz w:val="32"/>
          <w:szCs w:val="32"/>
          <w:rtl/>
          <w:lang w:bidi="ar-SY"/>
        </w:rPr>
        <w:t>ماجستير تخصص إدارة المشاريع</w:t>
      </w:r>
    </w:p>
    <w:p w14:paraId="77CF8565" w14:textId="77777777" w:rsidR="008E7AE0" w:rsidRPr="008E7AE0" w:rsidRDefault="008E7AE0" w:rsidP="008E7AE0">
      <w:pPr>
        <w:spacing w:after="360" w:line="240" w:lineRule="auto"/>
        <w:ind w:firstLine="567"/>
        <w:jc w:val="both"/>
        <w:rPr>
          <w:rFonts w:ascii="Simplified Arabic" w:eastAsia="Calibri" w:hAnsi="Simplified Arabic" w:cs="Simplified Arabic"/>
          <w:b/>
          <w:bCs/>
          <w:noProof/>
          <w:sz w:val="32"/>
          <w:szCs w:val="32"/>
          <w:rtl/>
          <w:lang w:bidi="ar-SY"/>
        </w:rPr>
      </w:pPr>
    </w:p>
    <w:p w14:paraId="6F3D729E" w14:textId="77777777" w:rsidR="008E7AE0" w:rsidRPr="008E7AE0" w:rsidRDefault="008E7AE0" w:rsidP="008E7AE0">
      <w:pPr>
        <w:spacing w:after="360" w:line="240" w:lineRule="auto"/>
        <w:ind w:firstLine="567"/>
        <w:jc w:val="both"/>
        <w:rPr>
          <w:rFonts w:ascii="Simplified Arabic" w:eastAsia="Calibri" w:hAnsi="Simplified Arabic" w:cs="Simplified Arabic"/>
          <w:b/>
          <w:bCs/>
          <w:noProof/>
          <w:sz w:val="46"/>
          <w:szCs w:val="46"/>
          <w:rtl/>
          <w:lang w:bidi="ar-SY"/>
        </w:rPr>
      </w:pPr>
    </w:p>
    <w:p w14:paraId="23630C37" w14:textId="77777777" w:rsidR="008E7AE0" w:rsidRPr="008E7AE0" w:rsidRDefault="008E7AE0" w:rsidP="008E7AE0">
      <w:pPr>
        <w:spacing w:after="360" w:line="240" w:lineRule="auto"/>
        <w:jc w:val="center"/>
        <w:rPr>
          <w:rFonts w:ascii="Simplified Arabic" w:eastAsia="Calibri" w:hAnsi="Simplified Arabic" w:cs="PT Bold Heading"/>
          <w:sz w:val="40"/>
          <w:szCs w:val="40"/>
          <w:rtl/>
        </w:rPr>
      </w:pPr>
      <w:r w:rsidRPr="008E7AE0">
        <w:rPr>
          <w:rFonts w:ascii="Simplified Arabic" w:eastAsia="Calibri" w:hAnsi="Simplified Arabic" w:cs="PT Bold Heading"/>
          <w:sz w:val="40"/>
          <w:szCs w:val="40"/>
          <w:rtl/>
        </w:rPr>
        <w:t>أثر الحوكمة الإدارية على تحسين كفاءة أداء المشاريع دعماً لمستهدفات رؤية السعودية 2030‏: دراسة ميدانية على المؤسسات الحكومية بالمملكة العربية السعودية</w:t>
      </w:r>
      <w:r w:rsidRPr="008E7AE0">
        <w:rPr>
          <w:rFonts w:ascii="Times New Roman" w:eastAsia="Calibri" w:hAnsi="Times New Roman" w:cs="Simplified Arabic"/>
          <w:b/>
          <w:bCs/>
          <w:sz w:val="44"/>
          <w:szCs w:val="48"/>
          <w:rtl/>
        </w:rPr>
        <w:t>‏</w:t>
      </w:r>
    </w:p>
    <w:p w14:paraId="29D8545A" w14:textId="77777777" w:rsidR="008E7AE0" w:rsidRPr="008E7AE0" w:rsidRDefault="008E7AE0" w:rsidP="008E7AE0">
      <w:pPr>
        <w:spacing w:after="360" w:line="240" w:lineRule="auto"/>
        <w:ind w:firstLine="567"/>
        <w:jc w:val="center"/>
        <w:rPr>
          <w:rFonts w:ascii="Simplified Arabic" w:eastAsia="Calibri" w:hAnsi="Simplified Arabic" w:cs="Simplified Arabic"/>
          <w:b/>
          <w:bCs/>
          <w:sz w:val="16"/>
          <w:szCs w:val="16"/>
          <w:rtl/>
        </w:rPr>
      </w:pPr>
    </w:p>
    <w:p w14:paraId="6B28C747"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SY"/>
        </w:rPr>
      </w:pPr>
      <w:r w:rsidRPr="008E7AE0">
        <w:rPr>
          <w:rFonts w:ascii="Simplified Arabic" w:eastAsia="Calibri" w:hAnsi="Simplified Arabic" w:cs="Simplified Arabic"/>
          <w:b/>
          <w:bCs/>
          <w:sz w:val="36"/>
          <w:szCs w:val="36"/>
          <w:rtl/>
          <w:lang w:bidi="ar-SY"/>
        </w:rPr>
        <w:t>إعداد:</w:t>
      </w:r>
    </w:p>
    <w:p w14:paraId="1671CCAE"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EG"/>
        </w:rPr>
      </w:pPr>
      <w:r w:rsidRPr="008E7AE0">
        <w:rPr>
          <w:rFonts w:ascii="Simplified Arabic" w:eastAsia="Calibri" w:hAnsi="Simplified Arabic" w:cs="Simplified Arabic"/>
          <w:b/>
          <w:bCs/>
          <w:sz w:val="36"/>
          <w:szCs w:val="36"/>
          <w:rtl/>
          <w:lang w:bidi="ar-EG"/>
        </w:rPr>
        <w:t>محمد محمود محمد عسيري</w:t>
      </w:r>
    </w:p>
    <w:p w14:paraId="26C5F99E" w14:textId="77777777" w:rsidR="008E7AE0" w:rsidRPr="008E7AE0" w:rsidRDefault="008E7AE0" w:rsidP="008E7AE0">
      <w:pPr>
        <w:spacing w:after="360" w:line="240" w:lineRule="auto"/>
        <w:jc w:val="center"/>
        <w:rPr>
          <w:rFonts w:ascii="Simplified Arabic" w:eastAsia="Calibri" w:hAnsi="Simplified Arabic" w:cs="Simplified Arabic"/>
          <w:b/>
          <w:bCs/>
          <w:sz w:val="30"/>
          <w:szCs w:val="30"/>
          <w:rtl/>
          <w:lang w:bidi="ar-EG"/>
        </w:rPr>
      </w:pPr>
      <w:r w:rsidRPr="008E7AE0">
        <w:rPr>
          <w:rFonts w:ascii="Simplified Arabic" w:eastAsia="Calibri" w:hAnsi="Simplified Arabic" w:cs="Simplified Arabic"/>
          <w:b/>
          <w:bCs/>
          <w:sz w:val="36"/>
          <w:szCs w:val="36"/>
          <w:rtl/>
          <w:lang w:bidi="ar-EG"/>
        </w:rPr>
        <w:t>الرقم الجامعي 253002456‏</w:t>
      </w:r>
    </w:p>
    <w:p w14:paraId="1405E40A" w14:textId="77777777" w:rsidR="008E7AE0" w:rsidRPr="008E7AE0" w:rsidRDefault="008E7AE0" w:rsidP="008E7AE0">
      <w:pPr>
        <w:spacing w:after="360" w:line="240" w:lineRule="auto"/>
        <w:jc w:val="center"/>
        <w:rPr>
          <w:rFonts w:ascii="Simplified Arabic" w:eastAsia="Calibri" w:hAnsi="Simplified Arabic" w:cs="Simplified Arabic"/>
          <w:b/>
          <w:bCs/>
          <w:sz w:val="30"/>
          <w:szCs w:val="30"/>
          <w:rtl/>
          <w:lang w:bidi="ar-EG"/>
        </w:rPr>
      </w:pPr>
    </w:p>
    <w:p w14:paraId="410A0B9B"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SY"/>
        </w:rPr>
      </w:pPr>
      <w:r w:rsidRPr="008E7AE0">
        <w:rPr>
          <w:rFonts w:ascii="Simplified Arabic" w:eastAsia="Calibri" w:hAnsi="Simplified Arabic" w:cs="Simplified Arabic"/>
          <w:b/>
          <w:bCs/>
          <w:sz w:val="36"/>
          <w:szCs w:val="36"/>
          <w:rtl/>
          <w:lang w:bidi="ar-SY"/>
        </w:rPr>
        <w:t xml:space="preserve">الإشراف/ </w:t>
      </w:r>
    </w:p>
    <w:p w14:paraId="396C0716"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EG"/>
        </w:rPr>
      </w:pPr>
      <w:r w:rsidRPr="008E7AE0">
        <w:rPr>
          <w:rFonts w:ascii="Simplified Arabic" w:eastAsia="Calibri" w:hAnsi="Simplified Arabic" w:cs="Simplified Arabic"/>
          <w:b/>
          <w:bCs/>
          <w:sz w:val="36"/>
          <w:szCs w:val="36"/>
          <w:rtl/>
          <w:lang w:bidi="ar-EG"/>
        </w:rPr>
        <w:t xml:space="preserve">أ.د. الفيصل </w:t>
      </w:r>
      <w:proofErr w:type="gramStart"/>
      <w:r w:rsidRPr="008E7AE0">
        <w:rPr>
          <w:rFonts w:ascii="Simplified Arabic" w:eastAsia="Calibri" w:hAnsi="Simplified Arabic" w:cs="Simplified Arabic"/>
          <w:b/>
          <w:bCs/>
          <w:sz w:val="36"/>
          <w:szCs w:val="36"/>
          <w:rtl/>
          <w:lang w:bidi="ar-EG"/>
        </w:rPr>
        <w:t>عبدالحميد</w:t>
      </w:r>
      <w:proofErr w:type="gramEnd"/>
    </w:p>
    <w:p w14:paraId="00589F4D"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EG"/>
        </w:rPr>
      </w:pPr>
      <w:r w:rsidRPr="008E7AE0">
        <w:rPr>
          <w:rFonts w:ascii="Simplified Arabic" w:eastAsia="Calibri" w:hAnsi="Simplified Arabic" w:cs="Simplified Arabic"/>
          <w:b/>
          <w:bCs/>
          <w:sz w:val="36"/>
          <w:szCs w:val="36"/>
          <w:rtl/>
          <w:lang w:bidi="ar-EG"/>
        </w:rPr>
        <w:t xml:space="preserve">أ.د. </w:t>
      </w:r>
      <w:r w:rsidRPr="008E7AE0">
        <w:rPr>
          <w:rFonts w:ascii="Simplified Arabic" w:eastAsia="Calibri" w:hAnsi="Simplified Arabic" w:cs="Simplified Arabic"/>
          <w:b/>
          <w:bCs/>
          <w:sz w:val="36"/>
          <w:szCs w:val="36"/>
          <w:rtl/>
        </w:rPr>
        <w:t>فايز علي جراد</w:t>
      </w:r>
    </w:p>
    <w:p w14:paraId="62E40B50" w14:textId="77777777" w:rsidR="008E7AE0" w:rsidRPr="008E7AE0" w:rsidRDefault="008E7AE0" w:rsidP="008E7AE0">
      <w:pPr>
        <w:spacing w:after="360" w:line="240" w:lineRule="auto"/>
        <w:jc w:val="center"/>
        <w:rPr>
          <w:rFonts w:ascii="Simplified Arabic" w:eastAsia="Calibri" w:hAnsi="Simplified Arabic" w:cs="Simplified Arabic"/>
          <w:sz w:val="28"/>
          <w:szCs w:val="28"/>
          <w:rtl/>
          <w:lang w:bidi="ar-SY"/>
        </w:rPr>
      </w:pPr>
    </w:p>
    <w:p w14:paraId="6192DAB2" w14:textId="77777777" w:rsidR="008E7AE0" w:rsidRPr="008E7AE0" w:rsidRDefault="008E7AE0" w:rsidP="008E7AE0">
      <w:pPr>
        <w:spacing w:after="0" w:line="240" w:lineRule="auto"/>
        <w:jc w:val="center"/>
        <w:rPr>
          <w:rFonts w:ascii="Simplified Arabic" w:eastAsia="Calibri" w:hAnsi="Simplified Arabic" w:cs="Simplified Arabic"/>
          <w:b/>
          <w:bCs/>
          <w:sz w:val="36"/>
          <w:szCs w:val="36"/>
          <w:rtl/>
          <w:lang w:bidi="ar-SY"/>
        </w:rPr>
      </w:pPr>
      <w:r w:rsidRPr="008E7AE0">
        <w:rPr>
          <w:rFonts w:ascii="Simplified Arabic" w:eastAsia="Calibri" w:hAnsi="Simplified Arabic" w:cs="Simplified Arabic"/>
          <w:b/>
          <w:bCs/>
          <w:sz w:val="36"/>
          <w:szCs w:val="36"/>
          <w:rtl/>
          <w:lang w:bidi="ar-SY"/>
        </w:rPr>
        <w:t>العام الجامعي</w:t>
      </w:r>
    </w:p>
    <w:p w14:paraId="59DCD6B3" w14:textId="77777777" w:rsidR="008E7AE0" w:rsidRPr="008E7AE0" w:rsidRDefault="008E7AE0" w:rsidP="008E7AE0">
      <w:pPr>
        <w:spacing w:after="0" w:line="240" w:lineRule="auto"/>
        <w:jc w:val="center"/>
        <w:rPr>
          <w:rFonts w:ascii="Simplified Arabic" w:eastAsia="Calibri" w:hAnsi="Simplified Arabic" w:cs="Simplified Arabic"/>
          <w:b/>
          <w:bCs/>
          <w:sz w:val="32"/>
          <w:szCs w:val="32"/>
          <w:rtl/>
          <w:lang w:bidi="ar-SY"/>
        </w:rPr>
      </w:pPr>
      <w:r w:rsidRPr="008E7AE0">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83328" behindDoc="0" locked="0" layoutInCell="1" allowOverlap="1" wp14:anchorId="41630867" wp14:editId="0F463F1F">
                <wp:simplePos x="0" y="0"/>
                <wp:positionH relativeFrom="column">
                  <wp:posOffset>3082925</wp:posOffset>
                </wp:positionH>
                <wp:positionV relativeFrom="paragraph">
                  <wp:posOffset>286385</wp:posOffset>
                </wp:positionV>
                <wp:extent cx="438150" cy="314325"/>
                <wp:effectExtent l="0" t="0" r="0" b="9525"/>
                <wp:wrapNone/>
                <wp:docPr id="1881661618" name="مستطيل 1"/>
                <wp:cNvGraphicFramePr/>
                <a:graphic xmlns:a="http://schemas.openxmlformats.org/drawingml/2006/main">
                  <a:graphicData uri="http://schemas.microsoft.com/office/word/2010/wordprocessingShape">
                    <wps:wsp>
                      <wps:cNvSpPr/>
                      <wps:spPr>
                        <a:xfrm>
                          <a:off x="0" y="0"/>
                          <a:ext cx="438150" cy="31432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99740" id="مستطيل 1" o:spid="_x0000_s1026" style="position:absolute;left:0;text-align:left;margin-left:242.75pt;margin-top:22.55pt;width:34.5pt;height:24.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" fillcolor="window" stroked="f" strokeweight="2pt"/>
            </w:pict>
          </mc:Fallback>
        </mc:AlternateContent>
      </w:r>
      <w:proofErr w:type="spellStart"/>
      <w:r w:rsidRPr="008E7AE0">
        <w:rPr>
          <w:rFonts w:ascii="Simplified Arabic" w:eastAsia="Calibri" w:hAnsi="Simplified Arabic" w:cs="Simplified Arabic"/>
          <w:b/>
          <w:bCs/>
          <w:sz w:val="32"/>
          <w:szCs w:val="32"/>
          <w:rtl/>
          <w:lang w:bidi="ar-SY"/>
        </w:rPr>
        <w:t>2026م</w:t>
      </w:r>
      <w:proofErr w:type="spellEnd"/>
    </w:p>
    <w:p w14:paraId="08256A6C" w14:textId="77777777" w:rsidR="008E7AE0" w:rsidRPr="008E7AE0" w:rsidRDefault="008E7AE0" w:rsidP="008E7AE0">
      <w:pPr>
        <w:spacing w:after="360" w:line="240" w:lineRule="auto"/>
        <w:ind w:firstLine="567"/>
        <w:jc w:val="both"/>
        <w:rPr>
          <w:rFonts w:ascii="Simplified Arabic" w:eastAsia="Calibri" w:hAnsi="Simplified Arabic" w:cs="Simplified Arabic"/>
          <w:sz w:val="28"/>
          <w:szCs w:val="28"/>
          <w:rtl/>
        </w:rPr>
        <w:sectPr w:rsidR="008E7AE0" w:rsidRPr="008E7AE0" w:rsidSect="008E7AE0">
          <w:headerReference w:type="even" r:id="rId9"/>
          <w:headerReference w:type="default" r:id="rId10"/>
          <w:footerReference w:type="even" r:id="rId11"/>
          <w:footerReference w:type="default" r:id="rId12"/>
          <w:headerReference w:type="first" r:id="rId13"/>
          <w:footerReference w:type="first" r:id="rId14"/>
          <w:pgSz w:w="11906" w:h="16838"/>
          <w:pgMar w:top="1168" w:right="1729" w:bottom="1412" w:left="1729" w:header="709" w:footer="709" w:gutter="0"/>
          <w:pgNumType w:start="1"/>
          <w:cols w:space="708"/>
          <w:titlePg/>
          <w:bidi/>
          <w:rtlGutter/>
          <w:docGrid w:linePitch="360"/>
        </w:sectPr>
      </w:pPr>
    </w:p>
    <w:p w14:paraId="1E705919" w14:textId="77777777" w:rsidR="008E7AE0" w:rsidRPr="008E7AE0" w:rsidRDefault="008E7AE0" w:rsidP="008E7AE0">
      <w:pPr>
        <w:spacing w:after="360" w:line="240" w:lineRule="auto"/>
        <w:ind w:firstLine="567"/>
        <w:jc w:val="both"/>
        <w:rPr>
          <w:rFonts w:ascii="Simplified Arabic" w:eastAsia="Calibri" w:hAnsi="Simplified Arabic" w:cs="Simplified Arabic"/>
          <w:sz w:val="28"/>
          <w:szCs w:val="28"/>
        </w:rPr>
      </w:pPr>
      <w:r w:rsidRPr="008E7AE0">
        <w:rPr>
          <w:rFonts w:ascii="Times New Roman" w:eastAsia="Calibri" w:hAnsi="Times New Roman" w:cs="Simplified Arabic"/>
          <w:b/>
          <w:bCs/>
          <w:noProof/>
          <w:sz w:val="24"/>
          <w:szCs w:val="28"/>
          <w:rtl/>
          <w:lang w:val="ar-SA"/>
        </w:rPr>
        <w:lastRenderedPageBreak/>
        <mc:AlternateContent>
          <mc:Choice Requires="wps">
            <w:drawing>
              <wp:anchor distT="0" distB="0" distL="114300" distR="114300" simplePos="0" relativeHeight="251684352" behindDoc="0" locked="0" layoutInCell="1" allowOverlap="1" wp14:anchorId="14F04ABA" wp14:editId="616F7977">
                <wp:simplePos x="0" y="0"/>
                <wp:positionH relativeFrom="column">
                  <wp:posOffset>3028315</wp:posOffset>
                </wp:positionH>
                <wp:positionV relativeFrom="paragraph">
                  <wp:posOffset>86360</wp:posOffset>
                </wp:positionV>
                <wp:extent cx="492370" cy="400929"/>
                <wp:effectExtent l="0" t="0" r="3175" b="0"/>
                <wp:wrapNone/>
                <wp:docPr id="1107349897" name="مستطيل 3"/>
                <wp:cNvGraphicFramePr/>
                <a:graphic xmlns:a="http://schemas.openxmlformats.org/drawingml/2006/main">
                  <a:graphicData uri="http://schemas.microsoft.com/office/word/2010/wordprocessingShape">
                    <wps:wsp>
                      <wps:cNvSpPr/>
                      <wps:spPr>
                        <a:xfrm>
                          <a:off x="0" y="0"/>
                          <a:ext cx="492370" cy="400929"/>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BC16B69" id="مستطيل 3" o:spid="_x0000_s1026" style="position:absolute;left:0;text-align:left;margin-left:238.45pt;margin-top:6.8pt;width:38.75pt;height:31.5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" fillcolor="window" stroked="f" strokeweight="2pt"/>
            </w:pict>
          </mc:Fallback>
        </mc:AlternateContent>
      </w:r>
    </w:p>
    <w:p w14:paraId="5716DFD5" w14:textId="77777777" w:rsidR="008E7AE0" w:rsidRPr="008E7AE0" w:rsidRDefault="008E7AE0" w:rsidP="008E7AE0">
      <w:pPr>
        <w:spacing w:after="360" w:line="240" w:lineRule="auto"/>
        <w:ind w:firstLine="567"/>
        <w:jc w:val="center"/>
        <w:rPr>
          <w:rFonts w:ascii="Simplified Arabic" w:eastAsia="Calibri" w:hAnsi="Simplified Arabic" w:cs="PT Bold Heading"/>
          <w:sz w:val="32"/>
          <w:szCs w:val="32"/>
          <w:u w:val="single"/>
          <w:rtl/>
        </w:rPr>
      </w:pPr>
    </w:p>
    <w:p w14:paraId="2395E0B9" w14:textId="77777777" w:rsidR="008E7AE0" w:rsidRPr="008E7AE0" w:rsidRDefault="008E7AE0" w:rsidP="008E7AE0">
      <w:pPr>
        <w:spacing w:after="360" w:line="240" w:lineRule="auto"/>
        <w:jc w:val="center"/>
        <w:rPr>
          <w:rFonts w:ascii="Simplified Arabic" w:eastAsia="Calibri" w:hAnsi="Simplified Arabic" w:cs="PT Bold Heading"/>
          <w:sz w:val="32"/>
          <w:szCs w:val="32"/>
          <w:u w:val="single"/>
          <w:rtl/>
        </w:rPr>
      </w:pPr>
      <w:r w:rsidRPr="008E7AE0">
        <w:rPr>
          <w:rFonts w:ascii="Simplified Arabic" w:eastAsia="Calibri" w:hAnsi="Simplified Arabic" w:cs="PT Bold Heading"/>
          <w:sz w:val="32"/>
          <w:szCs w:val="32"/>
          <w:u w:val="single"/>
          <w:rtl/>
        </w:rPr>
        <w:t>الشكر والتقدير</w:t>
      </w:r>
    </w:p>
    <w:p w14:paraId="47DAD3BA" w14:textId="77777777" w:rsidR="008E7AE0" w:rsidRPr="008E7AE0" w:rsidRDefault="008E7AE0" w:rsidP="008E7AE0">
      <w:pPr>
        <w:spacing w:after="360" w:line="240" w:lineRule="auto"/>
        <w:ind w:firstLine="567"/>
        <w:jc w:val="center"/>
        <w:rPr>
          <w:rFonts w:ascii="Simplified Arabic" w:eastAsia="Calibri" w:hAnsi="Simplified Arabic" w:cs="PT Bold Heading"/>
          <w:sz w:val="12"/>
          <w:szCs w:val="12"/>
          <w:u w:val="single"/>
          <w:rtl/>
        </w:rPr>
      </w:pPr>
    </w:p>
    <w:p w14:paraId="30F95B17" w14:textId="77777777" w:rsidR="008E7AE0" w:rsidRPr="008E7AE0" w:rsidRDefault="008E7AE0" w:rsidP="008E7AE0">
      <w:pPr>
        <w:spacing w:after="360" w:line="240" w:lineRule="auto"/>
        <w:ind w:firstLine="567"/>
        <w:jc w:val="both"/>
        <w:rPr>
          <w:rFonts w:ascii="Simplified Arabic" w:eastAsia="Calibri" w:hAnsi="Simplified Arabic" w:cs="PT Bold Heading"/>
          <w:sz w:val="29"/>
          <w:szCs w:val="29"/>
          <w:u w:val="single"/>
          <w:rtl/>
        </w:rPr>
      </w:pPr>
      <w:r w:rsidRPr="008E7AE0">
        <w:rPr>
          <w:rFonts w:ascii="Simplified Arabic" w:eastAsia="Calibri" w:hAnsi="Simplified Arabic" w:cs="Simplified Arabic"/>
          <w:sz w:val="29"/>
          <w:szCs w:val="29"/>
          <w:rtl/>
        </w:rPr>
        <w:t xml:space="preserve">الحمد لله رب العالمين الذي وفقني لإتمام هذه الرسالة العلمية، والصلاة والسلام على نبينا محمد وعلى </w:t>
      </w:r>
      <w:proofErr w:type="spellStart"/>
      <w:r w:rsidRPr="008E7AE0">
        <w:rPr>
          <w:rFonts w:ascii="Simplified Arabic" w:eastAsia="Calibri" w:hAnsi="Simplified Arabic" w:cs="Simplified Arabic"/>
          <w:sz w:val="29"/>
          <w:szCs w:val="29"/>
          <w:rtl/>
        </w:rPr>
        <w:t>آله</w:t>
      </w:r>
      <w:proofErr w:type="spellEnd"/>
      <w:r w:rsidRPr="008E7AE0">
        <w:rPr>
          <w:rFonts w:ascii="Simplified Arabic" w:eastAsia="Calibri" w:hAnsi="Simplified Arabic" w:cs="Simplified Arabic"/>
          <w:sz w:val="29"/>
          <w:szCs w:val="29"/>
          <w:rtl/>
        </w:rPr>
        <w:t xml:space="preserve"> الغر الميامين القائل: (من لا يشكر الناس لا يشكر الله).</w:t>
      </w:r>
    </w:p>
    <w:p w14:paraId="692856FF" w14:textId="77777777" w:rsidR="008E7AE0" w:rsidRPr="008E7AE0" w:rsidRDefault="008E7AE0" w:rsidP="008E7AE0">
      <w:pPr>
        <w:spacing w:after="360" w:line="240" w:lineRule="auto"/>
        <w:ind w:firstLine="567"/>
        <w:jc w:val="both"/>
        <w:rPr>
          <w:rFonts w:ascii="Simplified Arabic" w:eastAsia="Calibri" w:hAnsi="Simplified Arabic" w:cs="Simplified Arabic"/>
          <w:sz w:val="29"/>
          <w:szCs w:val="29"/>
          <w:rtl/>
        </w:rPr>
      </w:pPr>
      <w:r w:rsidRPr="008E7AE0">
        <w:rPr>
          <w:rFonts w:ascii="Simplified Arabic" w:eastAsia="Calibri" w:hAnsi="Simplified Arabic" w:cs="Simplified Arabic"/>
          <w:sz w:val="29"/>
          <w:szCs w:val="29"/>
          <w:rtl/>
        </w:rPr>
        <w:t xml:space="preserve">مع انتهائي من هذه الرسالة لا يسعني إلاّ أن أعترف لكل ذي فضل عليَّ بفضله، فهم أهلٌ للشكر والثناء، ولذا </w:t>
      </w:r>
      <w:proofErr w:type="spellStart"/>
      <w:r w:rsidRPr="008E7AE0">
        <w:rPr>
          <w:rFonts w:ascii="Simplified Arabic" w:eastAsia="Calibri" w:hAnsi="Simplified Arabic" w:cs="Simplified Arabic"/>
          <w:sz w:val="29"/>
          <w:szCs w:val="29"/>
          <w:rtl/>
        </w:rPr>
        <w:t>اتقدم</w:t>
      </w:r>
      <w:proofErr w:type="spellEnd"/>
      <w:r w:rsidRPr="008E7AE0">
        <w:rPr>
          <w:rFonts w:ascii="Simplified Arabic" w:eastAsia="Calibri" w:hAnsi="Simplified Arabic" w:cs="Simplified Arabic"/>
          <w:sz w:val="29"/>
          <w:szCs w:val="29"/>
          <w:rtl/>
        </w:rPr>
        <w:t xml:space="preserve"> بالشكر الجزيل وبخالص المودة والتقدير للمشرفين على هذه الرسالة، الأستاذ الدكتور/ الفيصل </w:t>
      </w:r>
      <w:proofErr w:type="gramStart"/>
      <w:r w:rsidRPr="008E7AE0">
        <w:rPr>
          <w:rFonts w:ascii="Simplified Arabic" w:eastAsia="Calibri" w:hAnsi="Simplified Arabic" w:cs="Simplified Arabic"/>
          <w:sz w:val="29"/>
          <w:szCs w:val="29"/>
          <w:rtl/>
        </w:rPr>
        <w:t>عبدالحميد</w:t>
      </w:r>
      <w:proofErr w:type="gramEnd"/>
      <w:r w:rsidRPr="008E7AE0">
        <w:rPr>
          <w:rFonts w:ascii="Simplified Arabic" w:eastAsia="Calibri" w:hAnsi="Simplified Arabic" w:cs="Simplified Arabic"/>
          <w:sz w:val="29"/>
          <w:szCs w:val="29"/>
          <w:rtl/>
        </w:rPr>
        <w:t>، والأستاذ الدكتور/ فايز علي جراد لما قدماه لي من إرشادات وتوجيهات علمية ومنهجية قيمة وسديدة، وعلى سعة صدرهما في الأخذ والعطاء طوال فترة الدراسة.</w:t>
      </w:r>
    </w:p>
    <w:p w14:paraId="4B9E6614" w14:textId="77777777" w:rsidR="008E7AE0" w:rsidRPr="008E7AE0" w:rsidRDefault="008E7AE0" w:rsidP="008E7AE0">
      <w:pPr>
        <w:spacing w:after="360" w:line="240" w:lineRule="auto"/>
        <w:ind w:firstLine="567"/>
        <w:jc w:val="both"/>
        <w:rPr>
          <w:rFonts w:ascii="Times New Roman" w:eastAsia="Times New Roman" w:hAnsi="Times New Roman" w:cs="Simplified Arabic"/>
          <w:sz w:val="27"/>
          <w:szCs w:val="27"/>
          <w:rtl/>
        </w:rPr>
      </w:pPr>
      <w:r w:rsidRPr="008E7AE0">
        <w:rPr>
          <w:rFonts w:ascii="Times New Roman" w:eastAsia="Times New Roman" w:hAnsi="Times New Roman" w:cs="Simplified Arabic"/>
          <w:sz w:val="27"/>
          <w:szCs w:val="27"/>
          <w:rtl/>
        </w:rPr>
        <w:t>كما أتوجه بالشكر إلى القائمين على المؤسسات الحكومية، الذين قدموا لي الدعم والمؤازرة فيما يتعلق بالحصول على المعلومات، والاستجابة على تساؤلات وفقرات أداة الدراسة.</w:t>
      </w:r>
    </w:p>
    <w:p w14:paraId="16BEE742" w14:textId="77777777" w:rsidR="008E7AE0" w:rsidRPr="008E7AE0" w:rsidRDefault="008E7AE0" w:rsidP="008E7AE0">
      <w:pPr>
        <w:spacing w:after="360" w:line="240" w:lineRule="auto"/>
        <w:ind w:firstLine="567"/>
        <w:jc w:val="both"/>
        <w:rPr>
          <w:rFonts w:ascii="Simplified Arabic" w:eastAsia="Calibri" w:hAnsi="Simplified Arabic" w:cs="Simplified Arabic"/>
          <w:sz w:val="29"/>
          <w:szCs w:val="29"/>
          <w:rtl/>
        </w:rPr>
      </w:pPr>
      <w:r w:rsidRPr="008E7AE0">
        <w:rPr>
          <w:rFonts w:ascii="Simplified Arabic" w:eastAsia="Calibri" w:hAnsi="Simplified Arabic" w:cs="Simplified Arabic"/>
          <w:sz w:val="29"/>
          <w:szCs w:val="29"/>
          <w:rtl/>
        </w:rPr>
        <w:t>كما أشكر كل من انتفعت بعلمه، وكل من ساعدني على إخراج هذه الدراسة إلى النور، فما وفقت فيه فمن الله، وما قصرت فمني ومن الشيطان، والله الهادي إلى سواء السبيل.</w:t>
      </w:r>
    </w:p>
    <w:p w14:paraId="34BA8839" w14:textId="77777777" w:rsidR="008E7AE0" w:rsidRPr="008E7AE0" w:rsidRDefault="008E7AE0" w:rsidP="008E7AE0">
      <w:pPr>
        <w:spacing w:after="360" w:line="240" w:lineRule="auto"/>
        <w:ind w:firstLine="567"/>
        <w:jc w:val="right"/>
        <w:rPr>
          <w:rFonts w:ascii="Simplified Arabic" w:eastAsia="Calibri" w:hAnsi="Simplified Arabic" w:cs="PT Bold Heading"/>
          <w:sz w:val="28"/>
          <w:szCs w:val="28"/>
          <w:u w:val="single"/>
          <w:rtl/>
        </w:rPr>
      </w:pPr>
      <w:r w:rsidRPr="008E7AE0">
        <w:rPr>
          <w:rFonts w:ascii="Simplified Arabic" w:eastAsia="Calibri" w:hAnsi="Simplified Arabic" w:cs="PT Bold Heading"/>
          <w:sz w:val="28"/>
          <w:szCs w:val="28"/>
          <w:u w:val="single"/>
          <w:rtl/>
        </w:rPr>
        <w:t>الباحث</w:t>
      </w:r>
    </w:p>
    <w:p w14:paraId="7308C3DA" w14:textId="77777777" w:rsidR="008E7AE0" w:rsidRPr="008E7AE0" w:rsidRDefault="008E7AE0" w:rsidP="008E7AE0">
      <w:pPr>
        <w:spacing w:after="360" w:line="240" w:lineRule="auto"/>
        <w:ind w:firstLine="567"/>
        <w:jc w:val="both"/>
        <w:rPr>
          <w:rFonts w:ascii="Simplified Arabic" w:eastAsia="Calibri" w:hAnsi="Simplified Arabic" w:cs="PT Bold Heading"/>
          <w:sz w:val="30"/>
          <w:szCs w:val="30"/>
          <w:u w:val="single"/>
          <w:rtl/>
        </w:rPr>
      </w:pPr>
      <w:r w:rsidRPr="008E7AE0">
        <w:rPr>
          <w:rFonts w:ascii="Simplified Arabic" w:eastAsia="Calibri" w:hAnsi="Simplified Arabic" w:cs="PT Bold Heading"/>
          <w:sz w:val="30"/>
          <w:szCs w:val="30"/>
          <w:u w:val="single"/>
          <w:rtl/>
        </w:rPr>
        <w:br w:type="page"/>
      </w:r>
    </w:p>
    <w:p w14:paraId="324E7789" w14:textId="77777777" w:rsidR="008E7AE0" w:rsidRPr="008E7AE0" w:rsidRDefault="008E7AE0" w:rsidP="008E7AE0">
      <w:pPr>
        <w:spacing w:after="360" w:line="240" w:lineRule="auto"/>
        <w:jc w:val="center"/>
        <w:rPr>
          <w:rFonts w:ascii="Simplified Arabic" w:eastAsia="Calibri" w:hAnsi="Simplified Arabic" w:cs="PT Bold Heading"/>
          <w:sz w:val="32"/>
          <w:szCs w:val="32"/>
          <w:u w:val="single"/>
          <w:rtl/>
        </w:rPr>
      </w:pPr>
      <w:r w:rsidRPr="008E7AE0">
        <w:rPr>
          <w:rFonts w:ascii="Simplified Arabic" w:eastAsia="Calibri" w:hAnsi="Simplified Arabic" w:cs="PT Bold Heading"/>
          <w:sz w:val="32"/>
          <w:szCs w:val="32"/>
          <w:u w:val="single"/>
          <w:rtl/>
        </w:rPr>
        <w:lastRenderedPageBreak/>
        <w:t>ملخص الدراسة</w:t>
      </w:r>
    </w:p>
    <w:p w14:paraId="074C87A2" w14:textId="77777777" w:rsidR="008E7AE0" w:rsidRPr="008E7AE0" w:rsidRDefault="008E7AE0" w:rsidP="008E7AE0">
      <w:pPr>
        <w:spacing w:after="360" w:line="240" w:lineRule="auto"/>
        <w:jc w:val="center"/>
        <w:rPr>
          <w:rFonts w:ascii="Simplified Arabic" w:eastAsia="Calibri" w:hAnsi="Simplified Arabic" w:cs="Simplified Arabic"/>
          <w:b/>
          <w:bCs/>
          <w:sz w:val="28"/>
          <w:szCs w:val="28"/>
          <w:rtl/>
        </w:rPr>
      </w:pPr>
      <w:r w:rsidRPr="008E7AE0">
        <w:rPr>
          <w:rFonts w:ascii="Simplified Arabic" w:eastAsia="Calibri" w:hAnsi="Simplified Arabic" w:cs="Simplified Arabic"/>
          <w:b/>
          <w:bCs/>
          <w:sz w:val="30"/>
          <w:szCs w:val="30"/>
          <w:rtl/>
        </w:rPr>
        <w:t xml:space="preserve">أثر الحوكمة الإدارية على تحسين كفاءة أداء المشاريع دعماً ‏لمستهدفات رؤية السعودية 2030‏: دراسة ميدانية على ‏المؤسسات الحكومية بالمملكة العربية السعودية </w:t>
      </w:r>
      <w:r w:rsidRPr="008E7AE0">
        <w:rPr>
          <w:rFonts w:ascii="Simplified Arabic" w:eastAsia="Calibri" w:hAnsi="Simplified Arabic" w:cs="Simplified Arabic"/>
          <w:b/>
          <w:bCs/>
          <w:sz w:val="32"/>
          <w:szCs w:val="32"/>
          <w:rtl/>
        </w:rPr>
        <w:t>‏</w:t>
      </w:r>
    </w:p>
    <w:p w14:paraId="1DFC028F" w14:textId="77777777" w:rsidR="008E7AE0" w:rsidRPr="008E7AE0" w:rsidRDefault="008E7AE0" w:rsidP="008E7AE0">
      <w:pPr>
        <w:spacing w:after="360" w:line="240" w:lineRule="auto"/>
        <w:ind w:firstLine="567"/>
        <w:jc w:val="both"/>
        <w:rPr>
          <w:rFonts w:ascii="Simplified Arabic" w:eastAsia="Calibri" w:hAnsi="Simplified Arabic" w:cs="Simplified Arabic"/>
          <w:b/>
          <w:bCs/>
          <w:sz w:val="28"/>
          <w:szCs w:val="28"/>
          <w:rtl/>
        </w:rPr>
      </w:pPr>
      <w:r w:rsidRPr="008E7AE0">
        <w:rPr>
          <w:rFonts w:ascii="Simplified Arabic" w:eastAsia="Calibri" w:hAnsi="Simplified Arabic" w:cs="Simplified Arabic"/>
          <w:b/>
          <w:bCs/>
          <w:sz w:val="28"/>
          <w:szCs w:val="28"/>
          <w:rtl/>
        </w:rPr>
        <w:t>المستخلص</w:t>
      </w:r>
    </w:p>
    <w:p w14:paraId="67FADDF8" w14:textId="77777777" w:rsidR="008E7AE0" w:rsidRPr="008E7AE0" w:rsidRDefault="008E7AE0" w:rsidP="008E7AE0">
      <w:pPr>
        <w:spacing w:after="240" w:line="276" w:lineRule="auto"/>
        <w:ind w:firstLine="567"/>
        <w:jc w:val="both"/>
        <w:rPr>
          <w:rFonts w:ascii="Times New Roman" w:eastAsia="Calibri" w:hAnsi="Times New Roman" w:cs="Simplified Arabic"/>
          <w:sz w:val="24"/>
          <w:szCs w:val="28"/>
        </w:rPr>
      </w:pPr>
      <w:r w:rsidRPr="008E7AE0">
        <w:rPr>
          <w:rFonts w:ascii="Times New Roman" w:eastAsia="Calibri" w:hAnsi="Times New Roman" w:cs="Simplified Arabic"/>
          <w:sz w:val="24"/>
          <w:szCs w:val="28"/>
          <w:rtl/>
        </w:rPr>
        <w:t>هدفت هذه الدراسة إلى تحديد أثر الحوكمة الإدارية في تحسين كفاءة أداء المشاريع الحكومية في المملكة العربية السعودية، ودورها في دعم مستهدفات رؤية 2030. اعتمدت الدراسة على المنهج الوصفي التحليلي (المسحي)، واستخدمت أداة الاستبيان لجمع البيانات الأولية. تم توزيع (384) استبانة على عينة طبقية عشوائية من المديرين التنفيذيين، ومديري المشاريع، ورؤساء الأقسام، ومسؤولي التخطيط والمتابعة في المؤسسات الحكومية السعودية، وتم استرداد (346) استبانة صالحة للتحليل، بنسبة استرداد بلغت (90.1%). تم تحليل البيانات باستخدام برنامج (</w:t>
      </w:r>
      <w:r w:rsidRPr="008E7AE0">
        <w:rPr>
          <w:rFonts w:ascii="Times New Roman" w:eastAsia="Calibri" w:hAnsi="Times New Roman" w:cs="Simplified Arabic"/>
          <w:sz w:val="24"/>
          <w:szCs w:val="28"/>
        </w:rPr>
        <w:t xml:space="preserve">SPSS </w:t>
      </w:r>
      <w:proofErr w:type="spellStart"/>
      <w:r w:rsidRPr="008E7AE0">
        <w:rPr>
          <w:rFonts w:ascii="Times New Roman" w:eastAsia="Calibri" w:hAnsi="Times New Roman" w:cs="Simplified Arabic"/>
          <w:sz w:val="24"/>
          <w:szCs w:val="28"/>
        </w:rPr>
        <w:t>v.28</w:t>
      </w:r>
      <w:proofErr w:type="spellEnd"/>
      <w:r w:rsidRPr="008E7AE0">
        <w:rPr>
          <w:rFonts w:ascii="Times New Roman" w:eastAsia="Calibri" w:hAnsi="Times New Roman" w:cs="Simplified Arabic"/>
          <w:sz w:val="24"/>
          <w:szCs w:val="28"/>
          <w:rtl/>
        </w:rPr>
        <w:t xml:space="preserve">)، وتضمنت الأساليب الإحصائية: المتوسطات الحسابية، الانحرافات المعيارية، معامل ارتباط بيرسون، وتحليل الانحدار الخطي المتعدد، بُعد التحقق من صدق وثبات الأداة (بلغ معامل ألفا </w:t>
      </w:r>
      <w:proofErr w:type="spellStart"/>
      <w:r w:rsidRPr="008E7AE0">
        <w:rPr>
          <w:rFonts w:ascii="Times New Roman" w:eastAsia="Calibri" w:hAnsi="Times New Roman" w:cs="Simplified Arabic"/>
          <w:sz w:val="24"/>
          <w:szCs w:val="28"/>
          <w:rtl/>
        </w:rPr>
        <w:t>كرونباخ</w:t>
      </w:r>
      <w:proofErr w:type="spellEnd"/>
      <w:r w:rsidRPr="008E7AE0">
        <w:rPr>
          <w:rFonts w:ascii="Times New Roman" w:eastAsia="Calibri" w:hAnsi="Times New Roman" w:cs="Simplified Arabic"/>
          <w:sz w:val="24"/>
          <w:szCs w:val="28"/>
          <w:rtl/>
        </w:rPr>
        <w:t xml:space="preserve"> للاستبيان ككل 0.946).</w:t>
      </w:r>
    </w:p>
    <w:p w14:paraId="1E2271E0" w14:textId="77777777" w:rsidR="008E7AE0" w:rsidRPr="008E7AE0" w:rsidRDefault="008E7AE0" w:rsidP="008E7AE0">
      <w:pPr>
        <w:spacing w:after="240" w:line="276" w:lineRule="auto"/>
        <w:ind w:firstLine="567"/>
        <w:jc w:val="both"/>
        <w:rPr>
          <w:rFonts w:ascii="Times New Roman" w:eastAsia="Calibri" w:hAnsi="Times New Roman" w:cs="Simplified Arabic"/>
          <w:sz w:val="24"/>
          <w:szCs w:val="28"/>
        </w:rPr>
      </w:pPr>
      <w:r w:rsidRPr="008E7AE0">
        <w:rPr>
          <w:rFonts w:ascii="Times New Roman" w:eastAsia="Calibri" w:hAnsi="Times New Roman" w:cs="Simplified Arabic"/>
          <w:sz w:val="24"/>
          <w:szCs w:val="28"/>
          <w:rtl/>
        </w:rPr>
        <w:t>أظهرت النتائج أن المستوى الكلي لتطبيق الحوكمة الإدارية جاء متوسطاً (3.32 من 5)، حيث كان بُعد الشفافية مرتفعاً (3.52)، بينما جاءت أبعاد المساءلة (3.38)، والتنسيق (3.25)، والمشاركة (3.12) بمستوى متوسط. كما جاء المستوى الكلي لكفاءة أداء المشاريع الحكومية متوسطاً (3.32 من 5)، حيث كان بُعد الالتزام بالجداول الزمنية مرتفعاً (3.48)، يليه جودة المخرجات (3.35)، وكفاءة استخدام الموارد (3.28)، ورضا أصحاب المصلحة (3.18) بمستوى متوسط. وتبين وجود علاقة ارتباطية موجبة وقوية بين المتغيرين (0.687 عند مستوى 0.01). وأظهر تحليل الانحدار أن أبعاد الحوكمة الإدارية الأربعة تفسر (53.8%) من التغير في كفاءة أداء المشاريع الحكومية، وكان ترتيب تأثيرها: التنسيق (0.312)، المساءلة (0.265)، الشفافية (0.218)، المشاركة (0.175)، وجميعها دالة إحصائياً.</w:t>
      </w:r>
    </w:p>
    <w:p w14:paraId="2A775EBD" w14:textId="77777777" w:rsidR="008E7AE0" w:rsidRPr="008E7AE0" w:rsidRDefault="008E7AE0" w:rsidP="008E7AE0">
      <w:pPr>
        <w:spacing w:after="240" w:line="276" w:lineRule="auto"/>
        <w:ind w:firstLine="567"/>
        <w:jc w:val="both"/>
        <w:rPr>
          <w:rFonts w:ascii="Times New Roman" w:eastAsia="Calibri" w:hAnsi="Times New Roman" w:cs="Simplified Arabic"/>
          <w:sz w:val="24"/>
          <w:szCs w:val="28"/>
        </w:rPr>
      </w:pPr>
      <w:r w:rsidRPr="008E7AE0">
        <w:rPr>
          <w:rFonts w:ascii="Times New Roman" w:eastAsia="Calibri" w:hAnsi="Times New Roman" w:cs="Simplified Arabic"/>
          <w:sz w:val="24"/>
          <w:szCs w:val="28"/>
          <w:rtl/>
        </w:rPr>
        <w:t xml:space="preserve">أوصت الدراسة بثماني توصيات عملية، أبرزها: تعزيز آليات التنسيق بين الجهات الحكومية، وتطوير آليات المساءلة والرقابة، وتحسين الشفافية في جميع مراحل المشاريع، وتعزيز المشاركة </w:t>
      </w:r>
      <w:r w:rsidRPr="008E7AE0">
        <w:rPr>
          <w:rFonts w:ascii="Times New Roman" w:eastAsia="Calibri" w:hAnsi="Times New Roman" w:cs="Simplified Arabic"/>
          <w:sz w:val="24"/>
          <w:szCs w:val="28"/>
          <w:rtl/>
        </w:rPr>
        <w:lastRenderedPageBreak/>
        <w:t>الفاعلة لأصحاب المصلحة، وتحسين رضا أصحاب المصلحة، وتعزيز كفاءة استخدام الموارد، وبناء ثقافة تنظيمية داعمة للحوكمة، وتطوير إطار وطني لقياس أثر الحوكمة على كفاءة المشاريع الحكومية.</w:t>
      </w:r>
    </w:p>
    <w:p w14:paraId="72E1027B" w14:textId="6C417AF4" w:rsidR="00BC07E1" w:rsidRPr="00835043" w:rsidRDefault="008E7AE0" w:rsidP="00835043">
      <w:pPr>
        <w:spacing w:after="240" w:line="276" w:lineRule="auto"/>
        <w:ind w:firstLine="567"/>
        <w:jc w:val="both"/>
        <w:rPr>
          <w:rFonts w:ascii="Times New Roman" w:eastAsia="Calibri" w:hAnsi="Times New Roman" w:cs="Simplified Arabic"/>
          <w:sz w:val="24"/>
          <w:szCs w:val="28"/>
          <w:rtl/>
        </w:rPr>
      </w:pPr>
      <w:r w:rsidRPr="008E7AE0">
        <w:rPr>
          <w:rFonts w:ascii="Times New Roman" w:eastAsia="Calibri" w:hAnsi="Times New Roman" w:cs="Simplified Arabic"/>
          <w:b/>
          <w:bCs/>
          <w:sz w:val="24"/>
          <w:szCs w:val="28"/>
          <w:rtl/>
        </w:rPr>
        <w:t xml:space="preserve">الكلمات المفتاحية: </w:t>
      </w:r>
      <w:r w:rsidRPr="008E7AE0">
        <w:rPr>
          <w:rFonts w:ascii="Times New Roman" w:eastAsia="Calibri" w:hAnsi="Times New Roman" w:cs="Simplified Arabic"/>
          <w:sz w:val="24"/>
          <w:szCs w:val="28"/>
          <w:rtl/>
        </w:rPr>
        <w:t>الحوكمة الإدارية، كفاءة أداء المشاريع الحكومية، الشفافية، المساءلة، رؤية 2030، القطاع الحكومي السعودي.</w:t>
      </w:r>
    </w:p>
    <w:p w14:paraId="4273B025" w14:textId="3647930C" w:rsidR="002C4468" w:rsidRPr="002C4468" w:rsidRDefault="00BC07E1" w:rsidP="002C4468">
      <w:pPr>
        <w:spacing w:after="0" w:line="240" w:lineRule="auto"/>
        <w:rPr>
          <w:rFonts w:ascii="Simplified Arabic" w:eastAsia="Calibri" w:hAnsi="Simplified Arabic" w:cs="Simplified Arabic"/>
          <w:sz w:val="26"/>
          <w:szCs w:val="26"/>
          <w:rtl/>
        </w:rPr>
      </w:pPr>
      <w:r>
        <w:rPr>
          <w:rFonts w:ascii="Simplified Arabic" w:eastAsia="Calibri" w:hAnsi="Simplified Arabic" w:cs="Simplified Arabic" w:hint="cs"/>
          <w:sz w:val="26"/>
          <w:szCs w:val="26"/>
          <w:rtl/>
        </w:rPr>
        <w:t>.</w:t>
      </w:r>
    </w:p>
    <w:p w14:paraId="30FEEE16" w14:textId="7B7B337F" w:rsidR="002C4468" w:rsidRPr="002C4468" w:rsidRDefault="002C4468" w:rsidP="002C4468">
      <w:pPr>
        <w:spacing w:after="0" w:line="240" w:lineRule="auto"/>
        <w:rPr>
          <w:rFonts w:ascii="Simplified Arabic" w:eastAsia="Calibri" w:hAnsi="Simplified Arabic" w:cs="Simplified Arabic" w:hint="cs"/>
          <w:sz w:val="26"/>
          <w:szCs w:val="26"/>
        </w:rPr>
        <w:sectPr w:rsidR="002C4468" w:rsidRPr="002C4468" w:rsidSect="005A3E74">
          <w:footerReference w:type="default" r:id="rId15"/>
          <w:footerReference w:type="first" r:id="rId16"/>
          <w:pgSz w:w="11906" w:h="16838"/>
          <w:pgMar w:top="1168" w:right="1729" w:bottom="1412" w:left="1729" w:header="709" w:footer="709" w:gutter="0"/>
          <w:pgNumType w:fmt="arabicAbjad"/>
          <w:cols w:space="708"/>
          <w:bidi/>
          <w:rtlGutter/>
          <w:docGrid w:linePitch="360"/>
        </w:sectPr>
      </w:pPr>
    </w:p>
    <w:p w14:paraId="6C8386FF" w14:textId="77777777" w:rsidR="00586478" w:rsidRPr="00586478" w:rsidRDefault="00586478" w:rsidP="00B03B33">
      <w:pPr>
        <w:spacing w:after="0" w:line="360" w:lineRule="auto"/>
        <w:jc w:val="center"/>
        <w:rPr>
          <w:rFonts w:ascii="Simplified Arabic" w:hAnsi="Simplified Arabic" w:cs="PT Bold Heading"/>
          <w:rtl/>
        </w:rPr>
      </w:pPr>
    </w:p>
    <w:p w14:paraId="36FDC546" w14:textId="77777777" w:rsidR="005D60FD" w:rsidRPr="005D60FD" w:rsidRDefault="005D60FD" w:rsidP="005D60FD">
      <w:pPr>
        <w:spacing w:after="360" w:line="240" w:lineRule="auto"/>
        <w:ind w:firstLine="567"/>
        <w:jc w:val="both"/>
        <w:rPr>
          <w:rFonts w:ascii="Simplified Arabic" w:hAnsi="Simplified Arabic" w:cs="Simplified Arabic"/>
          <w:sz w:val="28"/>
          <w:szCs w:val="28"/>
          <w:rtl/>
        </w:rPr>
      </w:pPr>
    </w:p>
    <w:p w14:paraId="4085D3F7" w14:textId="77777777" w:rsidR="005D60FD" w:rsidRPr="005D60FD" w:rsidRDefault="005D60FD" w:rsidP="005D60FD">
      <w:pPr>
        <w:spacing w:after="360" w:line="240" w:lineRule="auto"/>
        <w:ind w:firstLine="567"/>
      </w:pPr>
    </w:p>
    <w:p w14:paraId="692173C9" w14:textId="37712C09" w:rsidR="005D60FD" w:rsidRPr="005D60FD" w:rsidRDefault="005D60FD" w:rsidP="005D60FD">
      <w:pPr>
        <w:spacing w:after="0" w:line="276" w:lineRule="auto"/>
        <w:ind w:firstLine="567"/>
        <w:jc w:val="center"/>
        <w:rPr>
          <w:rFonts w:ascii="Simplified Arabic" w:eastAsia="Calibri" w:hAnsi="Simplified Arabic" w:cs="PT Bold Heading"/>
          <w:sz w:val="48"/>
          <w:szCs w:val="48"/>
          <w:rtl/>
        </w:rPr>
      </w:pPr>
      <w:r w:rsidRPr="005D60FD">
        <w:rPr>
          <w:rFonts w:ascii="Simplified Arabic" w:eastAsia="Calibri" w:hAnsi="Simplified Arabic" w:cs="PT Bold Heading"/>
          <w:sz w:val="48"/>
          <w:szCs w:val="48"/>
          <w:rtl/>
        </w:rPr>
        <w:t>الفصل الأول</w:t>
      </w:r>
    </w:p>
    <w:p w14:paraId="4363C3AE" w14:textId="77777777" w:rsidR="005D60FD" w:rsidRPr="005D60FD" w:rsidRDefault="005D60FD" w:rsidP="005D60FD">
      <w:pPr>
        <w:spacing w:after="0" w:line="276" w:lineRule="auto"/>
        <w:ind w:firstLine="567"/>
        <w:jc w:val="center"/>
        <w:rPr>
          <w:rFonts w:ascii="Simplified Arabic" w:eastAsia="Calibri" w:hAnsi="Simplified Arabic" w:cs="PT Bold Heading"/>
          <w:sz w:val="48"/>
          <w:szCs w:val="48"/>
          <w:rtl/>
        </w:rPr>
      </w:pPr>
      <w:r w:rsidRPr="005D60FD">
        <w:rPr>
          <w:rFonts w:ascii="Simplified Arabic" w:eastAsia="Calibri" w:hAnsi="Simplified Arabic" w:cs="PT Bold Heading"/>
          <w:sz w:val="48"/>
          <w:szCs w:val="48"/>
          <w:rtl/>
        </w:rPr>
        <w:t>الإطار العام للدراسة</w:t>
      </w:r>
    </w:p>
    <w:p w14:paraId="6556C5FF" w14:textId="77777777" w:rsidR="005D60FD" w:rsidRPr="005D60FD" w:rsidRDefault="005D60FD" w:rsidP="005D60FD">
      <w:pPr>
        <w:spacing w:after="0" w:line="276" w:lineRule="auto"/>
        <w:ind w:left="720" w:firstLine="567"/>
        <w:contextualSpacing/>
        <w:jc w:val="both"/>
        <w:rPr>
          <w:rFonts w:ascii="Simplified Arabic" w:eastAsia="Calibri" w:hAnsi="Simplified Arabic" w:cs="Simplified Arabic"/>
          <w:b/>
          <w:bCs/>
          <w:sz w:val="24"/>
          <w:szCs w:val="24"/>
          <w:rtl/>
        </w:rPr>
      </w:pPr>
    </w:p>
    <w:p w14:paraId="4CF6B508"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تمهيد.</w:t>
      </w:r>
    </w:p>
    <w:p w14:paraId="2F8BD53D"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tl/>
        </w:rPr>
      </w:pPr>
      <w:r w:rsidRPr="005D60FD">
        <w:rPr>
          <w:rFonts w:ascii="Simplified Arabic" w:eastAsia="Calibri" w:hAnsi="Simplified Arabic" w:cs="PT Bold Heading"/>
          <w:sz w:val="36"/>
          <w:szCs w:val="36"/>
          <w:rtl/>
        </w:rPr>
        <w:t>المقدمة.</w:t>
      </w:r>
    </w:p>
    <w:p w14:paraId="22805D21"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مشكلة الدراسة.</w:t>
      </w:r>
    </w:p>
    <w:p w14:paraId="318177E8"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أهمية الدراسة.</w:t>
      </w:r>
    </w:p>
    <w:p w14:paraId="4EE1CC9B"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تساؤلات الدراسة.</w:t>
      </w:r>
    </w:p>
    <w:p w14:paraId="47734188"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أهداف الدراسة.</w:t>
      </w:r>
    </w:p>
    <w:p w14:paraId="2BA5D579"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متغيرات الدراسة وأبعادها.</w:t>
      </w:r>
    </w:p>
    <w:p w14:paraId="13FB5F59"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فرضيات الدراسة.</w:t>
      </w:r>
    </w:p>
    <w:p w14:paraId="2D858B63"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حدود الدراسة.</w:t>
      </w:r>
    </w:p>
    <w:p w14:paraId="77411553" w14:textId="77777777" w:rsidR="005D60FD" w:rsidRPr="005D60FD" w:rsidRDefault="005D60FD" w:rsidP="00F7353C">
      <w:pPr>
        <w:numPr>
          <w:ilvl w:val="0"/>
          <w:numId w:val="2"/>
        </w:numPr>
        <w:spacing w:after="0" w:line="276" w:lineRule="auto"/>
        <w:ind w:left="1281" w:hanging="357"/>
        <w:rPr>
          <w:rFonts w:ascii="Simplified Arabic" w:eastAsia="Calibri" w:hAnsi="Simplified Arabic" w:cs="PT Bold Heading"/>
          <w:sz w:val="36"/>
          <w:szCs w:val="36"/>
        </w:rPr>
      </w:pPr>
      <w:r w:rsidRPr="005D60FD">
        <w:rPr>
          <w:rFonts w:ascii="Simplified Arabic" w:eastAsia="Calibri" w:hAnsi="Simplified Arabic" w:cs="PT Bold Heading"/>
          <w:sz w:val="36"/>
          <w:szCs w:val="36"/>
          <w:rtl/>
        </w:rPr>
        <w:t>المفاهيم الاصطلاحية والإجرائية.</w:t>
      </w:r>
    </w:p>
    <w:p w14:paraId="16DC127B" w14:textId="77777777" w:rsidR="005D60FD" w:rsidRPr="005D60FD" w:rsidRDefault="005D60FD" w:rsidP="005D60FD">
      <w:pPr>
        <w:spacing w:after="360" w:line="240" w:lineRule="auto"/>
        <w:ind w:firstLine="567"/>
        <w:jc w:val="both"/>
        <w:rPr>
          <w:rFonts w:ascii="Times New Roman" w:eastAsia="Calibri" w:hAnsi="Times New Roman" w:cs="Simplified Arabic"/>
          <w:b/>
          <w:bCs/>
          <w:sz w:val="24"/>
          <w:szCs w:val="28"/>
          <w:rtl/>
        </w:rPr>
      </w:pPr>
      <w:r w:rsidRPr="005D60FD">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88448" behindDoc="0" locked="0" layoutInCell="1" allowOverlap="1" wp14:anchorId="6B4B487B" wp14:editId="0BBEC7E4">
                <wp:simplePos x="0" y="0"/>
                <wp:positionH relativeFrom="column">
                  <wp:posOffset>2548890</wp:posOffset>
                </wp:positionH>
                <wp:positionV relativeFrom="paragraph">
                  <wp:posOffset>1613535</wp:posOffset>
                </wp:positionV>
                <wp:extent cx="300941" cy="318304"/>
                <wp:effectExtent l="0" t="0" r="4445" b="5715"/>
                <wp:wrapNone/>
                <wp:docPr id="279596461" name="مستطيل 3"/>
                <wp:cNvGraphicFramePr/>
                <a:graphic xmlns:a="http://schemas.openxmlformats.org/drawingml/2006/main">
                  <a:graphicData uri="http://schemas.microsoft.com/office/word/2010/wordprocessingShape">
                    <wps:wsp>
                      <wps:cNvSpPr/>
                      <wps:spPr>
                        <a:xfrm>
                          <a:off x="0" y="0"/>
                          <a:ext cx="300941" cy="318304"/>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25998" id="مستطيل 3" o:spid="_x0000_s1026" style="position:absolute;left:0;text-align:left;margin-left:200.7pt;margin-top:127.05pt;width:23.7pt;height:25.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" fillcolor="window" stroked="f" strokeweight="2pt"/>
            </w:pict>
          </mc:Fallback>
        </mc:AlternateContent>
      </w:r>
      <w:r w:rsidRPr="005D60FD">
        <w:rPr>
          <w:rFonts w:ascii="Times New Roman" w:eastAsia="Calibri" w:hAnsi="Times New Roman" w:cs="Simplified Arabic"/>
          <w:b/>
          <w:bCs/>
          <w:sz w:val="24"/>
          <w:szCs w:val="28"/>
          <w:rtl/>
        </w:rPr>
        <w:br w:type="page"/>
      </w:r>
    </w:p>
    <w:p w14:paraId="13BDBFF2" w14:textId="77777777" w:rsidR="005D60FD" w:rsidRPr="005D60FD" w:rsidRDefault="005D60FD" w:rsidP="005D60FD">
      <w:pPr>
        <w:spacing w:after="360" w:line="240" w:lineRule="auto"/>
        <w:ind w:firstLine="567"/>
        <w:jc w:val="center"/>
        <w:rPr>
          <w:rFonts w:ascii="Simplified Arabic" w:eastAsia="Calibri" w:hAnsi="Simplified Arabic" w:cs="PT Bold Heading"/>
          <w:sz w:val="32"/>
          <w:szCs w:val="32"/>
          <w:rtl/>
        </w:rPr>
      </w:pPr>
      <w:r w:rsidRPr="005D60FD">
        <w:rPr>
          <w:rFonts w:ascii="Simplified Arabic" w:eastAsia="Calibri" w:hAnsi="Simplified Arabic" w:cs="PT Bold Heading"/>
          <w:sz w:val="32"/>
          <w:szCs w:val="32"/>
          <w:rtl/>
        </w:rPr>
        <w:lastRenderedPageBreak/>
        <w:t>الفصل الأول</w:t>
      </w:r>
    </w:p>
    <w:p w14:paraId="7179506C" w14:textId="77777777" w:rsidR="005D60FD" w:rsidRPr="005D60FD" w:rsidRDefault="005D60FD" w:rsidP="005D60FD">
      <w:pPr>
        <w:spacing w:after="360" w:line="240" w:lineRule="auto"/>
        <w:ind w:firstLine="567"/>
        <w:jc w:val="center"/>
        <w:rPr>
          <w:rFonts w:ascii="Simplified Arabic" w:eastAsia="Calibri" w:hAnsi="Simplified Arabic" w:cs="PT Bold Heading"/>
          <w:sz w:val="32"/>
          <w:szCs w:val="32"/>
          <w:rtl/>
        </w:rPr>
      </w:pPr>
      <w:r w:rsidRPr="005D60FD">
        <w:rPr>
          <w:rFonts w:ascii="Simplified Arabic" w:eastAsia="Calibri" w:hAnsi="Simplified Arabic" w:cs="PT Bold Heading"/>
          <w:sz w:val="32"/>
          <w:szCs w:val="32"/>
          <w:rtl/>
        </w:rPr>
        <w:t>الإطار العام للدراسة</w:t>
      </w:r>
    </w:p>
    <w:p w14:paraId="560F3133" w14:textId="77777777" w:rsidR="005D60FD" w:rsidRPr="005D60FD" w:rsidRDefault="005D60FD" w:rsidP="005D60FD">
      <w:pPr>
        <w:spacing w:after="360" w:line="240" w:lineRule="auto"/>
        <w:ind w:firstLine="567"/>
        <w:jc w:val="both"/>
        <w:rPr>
          <w:rFonts w:ascii="Times New Roman" w:eastAsia="Calibri" w:hAnsi="Times New Roman" w:cs="Simplified Arabic"/>
          <w:b/>
          <w:bCs/>
          <w:sz w:val="2"/>
          <w:szCs w:val="6"/>
          <w:rtl/>
        </w:rPr>
      </w:pPr>
    </w:p>
    <w:p w14:paraId="1FDF5602" w14:textId="77777777" w:rsidR="005D60FD" w:rsidRPr="005D60FD" w:rsidRDefault="005D60FD" w:rsidP="005D60FD">
      <w:pPr>
        <w:spacing w:after="360" w:line="240" w:lineRule="auto"/>
        <w:ind w:firstLine="567"/>
        <w:jc w:val="both"/>
        <w:rPr>
          <w:rFonts w:ascii="Times New Roman" w:eastAsia="Calibri" w:hAnsi="Times New Roman" w:cs="Simplified Arabic"/>
          <w:b/>
          <w:bCs/>
          <w:sz w:val="24"/>
          <w:szCs w:val="28"/>
          <w:rtl/>
        </w:rPr>
      </w:pPr>
      <w:r w:rsidRPr="005D60FD">
        <w:rPr>
          <w:rFonts w:ascii="Times New Roman" w:eastAsia="Calibri" w:hAnsi="Times New Roman" w:cs="Simplified Arabic"/>
          <w:b/>
          <w:bCs/>
          <w:sz w:val="24"/>
          <w:szCs w:val="28"/>
          <w:rtl/>
        </w:rPr>
        <w:t>تمهيد</w:t>
      </w:r>
    </w:p>
    <w:p w14:paraId="55F35474"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يتناول هذا الفصل الإطار العام للدراسة، متضمناً المقدمة، مشكلة الدراسة، تساؤلاتها، أهميتها، أهدافها، متغيراتها، فروضها، حدودها، ومفاهيمها الاصطلاحية والإجرائية.</w:t>
      </w:r>
    </w:p>
    <w:p w14:paraId="72FBDC26"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1</w:t>
      </w:r>
      <w:r w:rsidRPr="005D60FD">
        <w:rPr>
          <w:rFonts w:ascii="Times New Roman" w:eastAsia="Calibri" w:hAnsi="Times New Roman" w:cs="Simplified Arabic"/>
          <w:b/>
          <w:bCs/>
          <w:sz w:val="24"/>
          <w:szCs w:val="28"/>
          <w:rtl/>
        </w:rPr>
        <w:t>. المقدمة</w:t>
      </w:r>
    </w:p>
    <w:p w14:paraId="4339A13B"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تُعد الحوكمة الإدارية بمثابة الركيزة البنيوية والعمود الفقري الذي تستند إليه المؤسسات الحديثة لضمان استدامتها وتجويد مخرجاتها. فهي ليست مجرد ترف إداري، بل ضرورة حتمية لتعزيز كفاءة الأداء المؤسسي في القطاع العام، وتوجيهه بشكل دقيق نحو تحقيق غايات التنمية المستدامة. وفي ظل الحراك التطويري الشامل والتحولات الهيكلية الكبرى التي تشهدها المملكة العربية السعودية، تبرز الحوكمة كأداة استراتيجية لا غنى عنها لتحويل الرؤى الطموحة إلى واقع ملموس، إذ تعمل على صياغة إطار عمل مؤسسي يرتكز على قيم الشفافية والمساءلة وتوسيع نطاق المشاركة المجتمعية في دوائر صنع القرار، مما يخلق بيئة عمل محفزة للإبداع ومحصنة ضد القصور الإداري.</w:t>
      </w:r>
    </w:p>
    <w:p w14:paraId="14EB1EFD"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تمثل كفاءة أداء المشاريع الحكومية المؤشر الأكثر شمولاً لنجاح المؤسسات العامة واستدامتها في ظل المتغيرات المتسارعة، فهي تعكس قدرة الجهات الحكومية على إنجاز مشاريعها ضمن الجداول الزمنية والميزانيات المحددة، وعلى تحقيق الأهداف المرجوة منها بأعلى مستويات الجودة. وتعرّف (</w:t>
      </w:r>
      <w:r w:rsidRPr="005D60FD">
        <w:rPr>
          <w:rFonts w:ascii="Times New Roman" w:eastAsia="Calibri" w:hAnsi="Times New Roman" w:cs="Simplified Arabic"/>
          <w:sz w:val="24"/>
          <w:szCs w:val="28"/>
        </w:rPr>
        <w:t>Project Management Institute [PMI], 2021, p. 45</w:t>
      </w:r>
      <w:r w:rsidRPr="005D60FD">
        <w:rPr>
          <w:rFonts w:ascii="Times New Roman" w:eastAsia="Calibri" w:hAnsi="Times New Roman" w:cs="Simplified Arabic"/>
          <w:sz w:val="24"/>
          <w:szCs w:val="28"/>
          <w:rtl/>
        </w:rPr>
        <w:t xml:space="preserve">) كفاءة أداء المشاريع بأنها مدى تحقيق المشروع لأهدافه ضمن قيود الوقت والتكلفة والجودة، مع الاستخدام الأمثل للموارد المتاحة. وتتعدد أبعاد هذه الكفاءة لتشمل الالتزام بالجداول الزمنية، وكفاءة استخدام الموارد المالية والبشرية، وجودة المخرجات، ورضا أصحاب المصلحة. وقد أظهرت دراسة (القرشي، 2020) أن الالتزام الصارم بمبادئ الحوكمة يقلص فرص الهدر المالي، ويحد من مظاهر الفساد، ويضمن الاستغلال الأمثل للموارد المتاحة، مما ينعكس إيجاباً على فاعلية المشاريع التنموية. كما أشارت دراسة (العتيبي، </w:t>
      </w:r>
      <w:r w:rsidRPr="005D60FD">
        <w:rPr>
          <w:rFonts w:ascii="Times New Roman" w:eastAsia="Calibri" w:hAnsi="Times New Roman" w:cs="Simplified Arabic"/>
          <w:sz w:val="24"/>
          <w:szCs w:val="28"/>
          <w:rtl/>
        </w:rPr>
        <w:lastRenderedPageBreak/>
        <w:t>2023) إلى أن تبني ممارسات الحوكمة الفعالة يُعد الضمانة الأساسية لتحقيق الشفافية في تنفيذ المبادرات الوطنية، مما يسهم في تسريع اتخاذ القرارات الرشيدة وتقليل الفجوة بين التخطيط الاستراتيجي والتنفيذ الميداني.</w:t>
      </w:r>
    </w:p>
    <w:p w14:paraId="1B109F7D"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وفي المقابل، تُعد الحوكمة الإدارية الإطار المنظم الذي يوجه المؤسسات نحو تحقيق أهدافها بكفاءة وفعالية، من خلال وضع قواعد واضحة للشفافية والمساءلة والمشاركة والتنسيق. وتعرف (عطا، 2018، ص 1820) الحوكمة الإدارية بأنها مجموعة المبادئ والآليات التي تنظم العلاقات بين الأطراف المعنية بالمؤسسة، وتحدد مسؤولياتها وصلاحياتها، وتضمن سير العمل وفق معايير النزاهة والشفافية والعدالة. كما تُعرّفها منظمة التعاون الاقتصادي والتنمية (</w:t>
      </w:r>
      <w:r w:rsidRPr="005D60FD">
        <w:rPr>
          <w:rFonts w:ascii="Times New Roman" w:eastAsia="Calibri" w:hAnsi="Times New Roman" w:cs="Simplified Arabic"/>
          <w:sz w:val="24"/>
          <w:szCs w:val="28"/>
        </w:rPr>
        <w:t>OECD, 2024, p. 12</w:t>
      </w:r>
      <w:r w:rsidRPr="005D60FD">
        <w:rPr>
          <w:rFonts w:ascii="Times New Roman" w:eastAsia="Calibri" w:hAnsi="Times New Roman" w:cs="Simplified Arabic"/>
          <w:sz w:val="24"/>
          <w:szCs w:val="28"/>
          <w:rtl/>
        </w:rPr>
        <w:t>) بأنها الإطار المؤسسي الذي يضمن توزيع الصلاحيات والمسؤوليات بشكل واضح، مع تفعيل آليات الرقابة والمحاسبة لضمان تحقيق الأهداف العامة بكفاءة. وقد أكدت دراسة (</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أن الحوكمة ليست مجرد امتثال (</w:t>
      </w:r>
      <w:r w:rsidRPr="005D60FD">
        <w:rPr>
          <w:rFonts w:ascii="Times New Roman" w:eastAsia="Calibri" w:hAnsi="Times New Roman" w:cs="Simplified Arabic"/>
          <w:sz w:val="24"/>
          <w:szCs w:val="28"/>
        </w:rPr>
        <w:t>Compliance</w:t>
      </w:r>
      <w:r w:rsidRPr="005D60FD">
        <w:rPr>
          <w:rFonts w:ascii="Times New Roman" w:eastAsia="Calibri" w:hAnsi="Times New Roman" w:cs="Simplified Arabic"/>
          <w:sz w:val="24"/>
          <w:szCs w:val="28"/>
          <w:rtl/>
        </w:rPr>
        <w:t>)، بل هي أداة استباقية لإدارة المخاطر تضمن استدامة المنظومات التشغيلية وتحقيق أهداف رؤية 2030. وتشمل أبعاد الحوكمة الإدارية الرئيسة: الشفافية في الإفصاح عن المعلومات وقرارات المشاريع، والمساءلة من خلال آليات رقابية واضحة ومحاسبة المقصرين، والمشاركة الفاعلة لأصحاب المصلحة في صنع القرار، والتنسيق الفعال بين الجهات الحكومية المختلفة لمنع تداخل الاختصاصات وضمان تكامل الجهود.</w:t>
      </w:r>
    </w:p>
    <w:p w14:paraId="67C32E23"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وتتسق العلاقة بين الحوكمة الإدارية وكفاءة أداء المشاريع الحكومية مع منطق نظري متين؛ فالمؤسسات التي تتبنى ممارسات حوكمة رشيدة تكون أكثر قدرة على توقع المخاطر والإبلاغ عنها، والاستجابة للتحديات بسرعة، وتعديل مسار مشاريعها دون خسائر فادحة. وقد أظهرت دراسة (</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أن حوكمة شركات القطاع الحكومي تسهم في تقليل المخاطر وتعظيم الفرص، مما ينعكس إيجاباً على استدامة المشاريع وكفاءة أدائها. كما أكدت دراسة (</w:t>
      </w:r>
      <w:proofErr w:type="spellStart"/>
      <w:r w:rsidRPr="005D60FD">
        <w:rPr>
          <w:rFonts w:ascii="Times New Roman" w:eastAsia="Calibri" w:hAnsi="Times New Roman" w:cs="Simplified Arabic"/>
          <w:sz w:val="24"/>
          <w:szCs w:val="28"/>
        </w:rPr>
        <w:t>Alkhoraif</w:t>
      </w:r>
      <w:proofErr w:type="spellEnd"/>
      <w:r w:rsidRPr="005D60FD">
        <w:rPr>
          <w:rFonts w:ascii="Times New Roman" w:eastAsia="Calibri" w:hAnsi="Times New Roman" w:cs="Simplified Arabic"/>
          <w:sz w:val="24"/>
          <w:szCs w:val="28"/>
        </w:rPr>
        <w:t>, 2024</w:t>
      </w:r>
      <w:r w:rsidRPr="005D60FD">
        <w:rPr>
          <w:rFonts w:ascii="Times New Roman" w:eastAsia="Calibri" w:hAnsi="Times New Roman" w:cs="Simplified Arabic"/>
          <w:sz w:val="24"/>
          <w:szCs w:val="28"/>
          <w:rtl/>
        </w:rPr>
        <w:t>) أن سياسات الحوكمة المؤثرة تسهم في تحسين تمويل قطاعات العلوم والتكنولوجيا، رغم تحديات البيروقراطية وثقافة الخوف من المخاطرة (</w:t>
      </w:r>
      <w:r w:rsidRPr="005D60FD">
        <w:rPr>
          <w:rFonts w:ascii="Times New Roman" w:eastAsia="Calibri" w:hAnsi="Times New Roman" w:cs="Simplified Arabic"/>
          <w:sz w:val="24"/>
          <w:szCs w:val="28"/>
        </w:rPr>
        <w:t>Risk-averse mindset</w:t>
      </w:r>
      <w:r w:rsidRPr="005D60FD">
        <w:rPr>
          <w:rFonts w:ascii="Times New Roman" w:eastAsia="Calibri" w:hAnsi="Times New Roman" w:cs="Simplified Arabic"/>
          <w:sz w:val="24"/>
          <w:szCs w:val="28"/>
          <w:rtl/>
        </w:rPr>
        <w:t>) التي لا تزال تعيق الابتكار في بعض الجهات.</w:t>
      </w:r>
    </w:p>
    <w:p w14:paraId="45CDE99A"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 xml:space="preserve">وتتميز بيئة المؤسسات الحكومية في المملكة العربية السعودية بخصائص فريدة تجعل دراسة هذه العلاقة بالغة الأهمية. فمع إطلاق رؤية 2030، تم إطلاق العديد من البرامج الطموحة لتطوير </w:t>
      </w:r>
      <w:r w:rsidRPr="005D60FD">
        <w:rPr>
          <w:rFonts w:ascii="Times New Roman" w:eastAsia="Calibri" w:hAnsi="Times New Roman" w:cs="Simplified Arabic"/>
          <w:sz w:val="24"/>
          <w:szCs w:val="28"/>
          <w:rtl/>
        </w:rPr>
        <w:lastRenderedPageBreak/>
        <w:t>القطاع الحكومي، مثل برنامج التحول الوطني، وبرنامج تطوير القطاع المالي، وبرنامج تعزيز التنافسية. وقد شهدت المملكة تحولاً هيكلياً واسعاً في إدارة المشاريع الحكومية، مع إنشاء مراكز متخصصة لقياس الأداء وضمان الجودة، وتطوير منصات رقمية لتعزيز الشفافية والمشاركة. وقد أعلن برنامج التحول الوطني في تقريره لعام 2025 عن تحقيق إنجازات متقدمة في تطوير الخدمات الحكومية ورفع كفاءة الإنفاق، مع استمرار العمل على تعزيز مبادئ الحوكمة في جميع الجهات الحكومية. كما أشار تقرير الأداء الحكومي لعام 2025 إلى أن (78%) من الجهات الحكومية طبقت أنظمة حوكمة إلكترونية متكاملة، مما ساهم في رفع مستوى الشفافية والمساءلة. ومع ذلك، تشير تقارير هيئة الرقابة ومكافحة الفساد (نزاهة) إلى وجود تحديات مستمرة تتعلق بضبابية الإجراءات وضعف التنسيق بين الجهات، مما يؤكد الحاجة الملحة لتعزيز ممارسات الحوكمة الإدارية. وعليه، تأتي هذه الدراسة لتقدم إطاراً تحليلياً يوضح أثر الحوكمة الإدارية في تحسين كفاءة أداء المشاريع الحكومية، مقدمة بذلك إضافة نظرية وتطبيقية تسهم في دعم هذا القطاع الحيوي وتعظيم أثره التنموي وفق مستهدفات رؤية المملكة 2030.</w:t>
      </w:r>
    </w:p>
    <w:p w14:paraId="0787A093"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2</w:t>
      </w:r>
      <w:r w:rsidRPr="005D60FD">
        <w:rPr>
          <w:rFonts w:ascii="Times New Roman" w:eastAsia="Calibri" w:hAnsi="Times New Roman" w:cs="Simplified Arabic"/>
          <w:b/>
          <w:bCs/>
          <w:sz w:val="24"/>
          <w:szCs w:val="28"/>
          <w:rtl/>
        </w:rPr>
        <w:t>. مشكلة الدراسة</w:t>
      </w:r>
    </w:p>
    <w:p w14:paraId="7927E2E4"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تنبثق مشكلة الدراسة من وجود فجوة حقيقية بين التوجهات الاستراتيجية الطموحة للمملكة العربية السعودية وبين الممارسات التطبيقية الفعلية للحوكمة في بعض مفاصل القطاع الحكومي. فعلى الرغم من الحراك الإصلاحي الشامل والجهود الحثيثة التي تبذلها الدولة لتجذير مفاهيم الحوكمة الإدارية كركيزة أساسية للتحول الوطني، إلاّ أن الواقع الميداني يشير إلى استمرار وجود عقبات بنيوية وإجرائية تحول دون قطف الثمار الكاملة لهذه المبادئ.</w:t>
      </w:r>
    </w:p>
    <w:p w14:paraId="0A384D93"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وتتمثل أبرز ملامح المشكلة في حالة الجزر المنعزلة أو ضعف التنسيق البيني بين الجهات الحكومية المختلفة، مما يؤدي إلى تداخل الاختصاصات أو ضياع المسؤوليات، وهو ما ينعكس سلباً على سلاسة تنفيذ المشاريع الكبرى. يضاف إلى ذلك، تعاني بعض المؤسسات من هشاشة في آليات الرقابة والمساءلة، حيث تظل بعض الأدوات الرقابية تقليدية ولا تتماشى مع سرعة وتيرة المشاريع التي تفرضها رؤية 2030. كما يبرز تحدي ضبابية الإجراءات أو نقص الشفافية في بعض مراحل دورة حياة المشروع، مما يفتح ثغرات قد تؤدي إلى الهدر المالي أو الزمني.</w:t>
      </w:r>
    </w:p>
    <w:p w14:paraId="2D04C6E9"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lastRenderedPageBreak/>
        <w:t>وتدعم الدراسات السابقة هذه الإشكالية وتبرز أبعادها. فقد أظهرت دراسة (القرشي، 2020) في قطاع التعليم العام أن تطبيق الحوكمة جاء بمستوى متوسط (3.35 من 5)، حيث ظل بُعد المشاركة في المرتبة الأخيرة بتقدير متوسط، مما يشير إلى وجود فجوة في إشراك أصحاب المصلحة في صنع القرار. كما أشارت دراسة (العتيبي، 2023) إلى أن الحوكمة ليست مجرد لوائح، بل هي سلوك وظيفي يحتاج إلى ثقافة تنظيمية داعمة، وأن غياب هذه الثقافة يُعد تحدياً رئيسياً في بعض المؤسسات الحكومية. وعلى المستوى الدولي، أكد تقرير منظمة التعاون الاقتصادي والتنمية (</w:t>
      </w:r>
      <w:r w:rsidRPr="005D60FD">
        <w:rPr>
          <w:rFonts w:ascii="Times New Roman" w:eastAsia="Calibri" w:hAnsi="Times New Roman" w:cs="Simplified Arabic"/>
          <w:sz w:val="24"/>
          <w:szCs w:val="28"/>
        </w:rPr>
        <w:t>OECD, 2024</w:t>
      </w:r>
      <w:r w:rsidRPr="005D60FD">
        <w:rPr>
          <w:rFonts w:ascii="Times New Roman" w:eastAsia="Calibri" w:hAnsi="Times New Roman" w:cs="Simplified Arabic"/>
          <w:sz w:val="24"/>
          <w:szCs w:val="28"/>
          <w:rtl/>
        </w:rPr>
        <w:t>) أن (63%) من الدول الأعضاء تواجه تحديات في تطبيق الحوكمة بسبب ضعف التنسيق بين الجهات وغياب آليات المساءلة الفعالة. كما أشار تقرير البنك الدولي (</w:t>
      </w:r>
      <w:r w:rsidRPr="005D60FD">
        <w:rPr>
          <w:rFonts w:ascii="Times New Roman" w:eastAsia="Calibri" w:hAnsi="Times New Roman" w:cs="Simplified Arabic"/>
          <w:sz w:val="24"/>
          <w:szCs w:val="28"/>
        </w:rPr>
        <w:t>World Bank, 2025</w:t>
      </w:r>
      <w:r w:rsidRPr="005D60FD">
        <w:rPr>
          <w:rFonts w:ascii="Times New Roman" w:eastAsia="Calibri" w:hAnsi="Times New Roman" w:cs="Simplified Arabic"/>
          <w:sz w:val="24"/>
          <w:szCs w:val="28"/>
          <w:rtl/>
        </w:rPr>
        <w:t>) إلى أن تحسين الحوكمة في القطاع العام يمكن أن يرفع كفاءة الإنفاق الاستثماري بنسبة تصل إلى (25%)، مما يؤكد أهمية معالجة هذه التحديات.</w:t>
      </w:r>
    </w:p>
    <w:p w14:paraId="2B4FAF90"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كما تدعم نتائج مؤتمر الحوكمة والشفافية في القطاع العام (2025)، ومؤتمر إدارة المشاريع الحكومية (2026) هذه المشكلة، حيث أقر المشاركون بأن غياب التكامل بين مبادئ الحوكمة وممارسات إدارة المشاريع يُعد الفجوة الأكبر في أداء الجهات الحكومية السعودية. وقد كشفت دراسة (</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في المملكة، ودراسة (</w:t>
      </w:r>
      <w:proofErr w:type="spellStart"/>
      <w:r w:rsidRPr="005D60FD">
        <w:rPr>
          <w:rFonts w:ascii="Times New Roman" w:eastAsia="Calibri" w:hAnsi="Times New Roman" w:cs="Simplified Arabic"/>
          <w:sz w:val="24"/>
          <w:szCs w:val="28"/>
        </w:rPr>
        <w:t>Alkorbi</w:t>
      </w:r>
      <w:proofErr w:type="spellEnd"/>
      <w:r w:rsidRPr="005D60FD">
        <w:rPr>
          <w:rFonts w:ascii="Times New Roman" w:eastAsia="Calibri" w:hAnsi="Times New Roman" w:cs="Simplified Arabic"/>
          <w:sz w:val="24"/>
          <w:szCs w:val="28"/>
        </w:rPr>
        <w:t xml:space="preserve"> &amp; </w:t>
      </w:r>
      <w:proofErr w:type="spellStart"/>
      <w:r w:rsidRPr="005D60FD">
        <w:rPr>
          <w:rFonts w:ascii="Times New Roman" w:eastAsia="Calibri" w:hAnsi="Times New Roman" w:cs="Simplified Arabic"/>
          <w:sz w:val="24"/>
          <w:szCs w:val="28"/>
        </w:rPr>
        <w:t>Alrwais</w:t>
      </w:r>
      <w:proofErr w:type="spellEnd"/>
      <w:r w:rsidRPr="005D60FD">
        <w:rPr>
          <w:rFonts w:ascii="Times New Roman" w:eastAsia="Calibri" w:hAnsi="Times New Roman" w:cs="Simplified Arabic"/>
          <w:sz w:val="24"/>
          <w:szCs w:val="28"/>
        </w:rPr>
        <w:t>, 2025</w:t>
      </w:r>
      <w:r w:rsidRPr="005D60FD">
        <w:rPr>
          <w:rFonts w:ascii="Times New Roman" w:eastAsia="Calibri" w:hAnsi="Times New Roman" w:cs="Simplified Arabic"/>
          <w:sz w:val="24"/>
          <w:szCs w:val="28"/>
          <w:rtl/>
        </w:rPr>
        <w:t>) في سياق التحول الرقمي الحكومي، عن نتائج متقاربة تؤكد أن العلاقة بين الحوكمة وكفاءة المشاريع قوية وجوهرية، ولكنها غير مستغلة بشكل كافٍ في المؤسسات الحكومية السعودية. وعليه، تبرز مشكلة الدراسة في التساؤل الرئيس الآتي.</w:t>
      </w:r>
    </w:p>
    <w:p w14:paraId="2B0EF5C4"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3</w:t>
      </w:r>
      <w:r w:rsidRPr="005D60FD">
        <w:rPr>
          <w:rFonts w:ascii="Times New Roman" w:eastAsia="Calibri" w:hAnsi="Times New Roman" w:cs="Simplified Arabic"/>
          <w:b/>
          <w:bCs/>
          <w:sz w:val="24"/>
          <w:szCs w:val="28"/>
          <w:rtl/>
        </w:rPr>
        <w:t>. تساؤلات الدراسة</w:t>
      </w:r>
    </w:p>
    <w:p w14:paraId="77F71A7F"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tl/>
        </w:rPr>
      </w:pPr>
      <w:r w:rsidRPr="005D60FD">
        <w:rPr>
          <w:rFonts w:ascii="Times New Roman" w:eastAsia="Calibri" w:hAnsi="Times New Roman" w:cs="Simplified Arabic"/>
          <w:b/>
          <w:bCs/>
          <w:sz w:val="24"/>
          <w:szCs w:val="28"/>
          <w:rtl/>
        </w:rPr>
        <w:t>التساؤل الرئيس:</w:t>
      </w:r>
    </w:p>
    <w:p w14:paraId="5DC0601D"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كيف يؤثر تطبيق الحوكمة الإدارية على كفاءة أداء المشاريع الحكومية في المملكة العربية السعودية؟</w:t>
      </w:r>
    </w:p>
    <w:p w14:paraId="38341A9E"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التساؤلات الفرعية:</w:t>
      </w:r>
    </w:p>
    <w:p w14:paraId="41EDF052" w14:textId="77777777" w:rsidR="005D60FD" w:rsidRPr="005D60FD" w:rsidRDefault="005D60FD" w:rsidP="00F7353C">
      <w:pPr>
        <w:numPr>
          <w:ilvl w:val="0"/>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ما مستوى تطبيق مبادئ الحوكمة الإدارية (الشفافية، المساءلة، المشاركة، التنسيق) في المؤسسات الحكومية السعودية؟</w:t>
      </w:r>
    </w:p>
    <w:p w14:paraId="60295A38" w14:textId="77777777" w:rsidR="005D60FD" w:rsidRPr="005D60FD" w:rsidRDefault="005D60FD" w:rsidP="00F7353C">
      <w:pPr>
        <w:numPr>
          <w:ilvl w:val="0"/>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lastRenderedPageBreak/>
        <w:t>ما مستوى كفاءة أداء المشاريع الحكومية (الالتزام بالجداول الزمنية، كفاءة استخدام الموارد، جودة المخرجات، رضا أصحاب المصلحة) في هذه المؤسسات؟</w:t>
      </w:r>
    </w:p>
    <w:p w14:paraId="2D770DC8" w14:textId="77777777" w:rsidR="005D60FD" w:rsidRPr="005D60FD" w:rsidRDefault="005D60FD" w:rsidP="00F7353C">
      <w:pPr>
        <w:numPr>
          <w:ilvl w:val="0"/>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هل توجد علاقة ذات دلالة إحصائية بين تطبيق الحوكمة الإدارية وكفاءة أداء المشاريع الحكومية في المملكة العربية السعودية؟</w:t>
      </w:r>
    </w:p>
    <w:p w14:paraId="4B5879A9" w14:textId="77777777" w:rsidR="005D60FD" w:rsidRPr="005D60FD" w:rsidRDefault="005D60FD" w:rsidP="00F7353C">
      <w:pPr>
        <w:numPr>
          <w:ilvl w:val="0"/>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ما أثر الحوكمة الإدارية (بأبعادها الأربعة) في تحسين كفاءة أداء المشاريع الحكومية في المملكة العربية السعودية؟ وينبثق من هذا التساؤل الأسئلة الفرعية الآتية:</w:t>
      </w:r>
    </w:p>
    <w:p w14:paraId="1C403797" w14:textId="77777777" w:rsidR="005D60FD" w:rsidRPr="005D60FD" w:rsidRDefault="005D60FD" w:rsidP="00F7353C">
      <w:pPr>
        <w:numPr>
          <w:ilvl w:val="1"/>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ما أثر الشفافية في تحسين كفاءة أداء المشاريع الحكومية؟</w:t>
      </w:r>
    </w:p>
    <w:p w14:paraId="66A1649C" w14:textId="77777777" w:rsidR="005D60FD" w:rsidRPr="005D60FD" w:rsidRDefault="005D60FD" w:rsidP="00F7353C">
      <w:pPr>
        <w:numPr>
          <w:ilvl w:val="1"/>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ما أثر المساءلة في تحسين كفاءة أداء المشاريع الحكومية؟</w:t>
      </w:r>
    </w:p>
    <w:p w14:paraId="589D9CD2" w14:textId="77777777" w:rsidR="005D60FD" w:rsidRPr="005D60FD" w:rsidRDefault="005D60FD" w:rsidP="00F7353C">
      <w:pPr>
        <w:numPr>
          <w:ilvl w:val="1"/>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ما أثر المشاركة في تحسين كفاءة أداء المشاريع الحكومية؟</w:t>
      </w:r>
    </w:p>
    <w:p w14:paraId="31961090" w14:textId="77777777" w:rsidR="005D60FD" w:rsidRPr="005D60FD" w:rsidRDefault="005D60FD" w:rsidP="00F7353C">
      <w:pPr>
        <w:numPr>
          <w:ilvl w:val="1"/>
          <w:numId w:val="6"/>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ما أثر التنسيق بين الجهات الحكومية في تحسين كفاءة أداء المشاريع الحكومية؟</w:t>
      </w:r>
    </w:p>
    <w:p w14:paraId="650629D8"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4</w:t>
      </w:r>
      <w:r w:rsidRPr="005D60FD">
        <w:rPr>
          <w:rFonts w:ascii="Times New Roman" w:eastAsia="Calibri" w:hAnsi="Times New Roman" w:cs="Simplified Arabic"/>
          <w:b/>
          <w:bCs/>
          <w:sz w:val="24"/>
          <w:szCs w:val="28"/>
          <w:rtl/>
        </w:rPr>
        <w:t>. أهمية الدراسة</w:t>
      </w:r>
    </w:p>
    <w:p w14:paraId="388032E3"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أولاً: الأهمية العلمية</w:t>
      </w:r>
    </w:p>
    <w:p w14:paraId="292D0C20" w14:textId="77777777" w:rsidR="005D60FD" w:rsidRPr="005D60FD" w:rsidRDefault="005D60FD" w:rsidP="00F7353C">
      <w:pPr>
        <w:numPr>
          <w:ilvl w:val="0"/>
          <w:numId w:val="7"/>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تسهم هذه الدراسة في سد الفجوة البحثية المتمثلة في ندرة الدراسات الميدانية التي تناولت العلاقة بين الحوكمة الإدارية (بأبعادها الأربعة: الشفافية، المساءلة، المشاركة، التنسيق)، وكفاءة أداء المشاريع الحكومية (بأبعادها المتعددة) في سياق المؤسسات الحكومية السعودية، خاصة في ظل التحولات المتسارعة لرؤية 2030.</w:t>
      </w:r>
    </w:p>
    <w:p w14:paraId="4037036A" w14:textId="77777777" w:rsidR="005D60FD" w:rsidRPr="005D60FD" w:rsidRDefault="005D60FD" w:rsidP="00F7353C">
      <w:pPr>
        <w:numPr>
          <w:ilvl w:val="0"/>
          <w:numId w:val="7"/>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تقدّم الدراسة نموذجاً تحليلياً (</w:t>
      </w:r>
      <w:proofErr w:type="spellStart"/>
      <w:r w:rsidRPr="005D60FD">
        <w:rPr>
          <w:rFonts w:ascii="Times New Roman" w:eastAsia="Calibri" w:hAnsi="Times New Roman" w:cs="Simplified Arabic"/>
          <w:sz w:val="24"/>
          <w:szCs w:val="28"/>
          <w:rtl/>
        </w:rPr>
        <w:t>مفهومياً</w:t>
      </w:r>
      <w:proofErr w:type="spellEnd"/>
      <w:r w:rsidRPr="005D60FD">
        <w:rPr>
          <w:rFonts w:ascii="Times New Roman" w:eastAsia="Calibri" w:hAnsi="Times New Roman" w:cs="Simplified Arabic"/>
          <w:sz w:val="24"/>
          <w:szCs w:val="28"/>
          <w:rtl/>
        </w:rPr>
        <w:t xml:space="preserve"> وإحصائياً) يربط بين ممارسات الحوكمة الإدارية وكفاءة أداء المشاريع الحكومية، مما يثري الأدبيات العربية في مجال الإدارة العامة والحوكمة وإدارة المشاريع.</w:t>
      </w:r>
    </w:p>
    <w:p w14:paraId="198AC08B" w14:textId="77777777" w:rsidR="005D60FD" w:rsidRPr="005D60FD" w:rsidRDefault="005D60FD" w:rsidP="00F7353C">
      <w:pPr>
        <w:numPr>
          <w:ilvl w:val="0"/>
          <w:numId w:val="7"/>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تختبر الدراسة صحة افتراضيات نظريات الحوكمة المؤسسية والمساءلة المؤسسية والإدارة الاستراتيجية في سياق القطاع الحكومي السعودي، وهو ما يتيح فرصة للمقارنة بين نتائج هذا القطاع ونتائج القطاعات الأخرى.</w:t>
      </w:r>
    </w:p>
    <w:p w14:paraId="7B094F76"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ثانياً: الأهمية العملية</w:t>
      </w:r>
    </w:p>
    <w:p w14:paraId="2F3A6033" w14:textId="77777777" w:rsidR="005D60FD" w:rsidRPr="005D60FD" w:rsidRDefault="005D60FD" w:rsidP="00F7353C">
      <w:pPr>
        <w:numPr>
          <w:ilvl w:val="0"/>
          <w:numId w:val="8"/>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تقدّم الدراسة توصيات عملية لصناع القرار والقيادات في المؤسسات الحكومية حول كيفية تحويل مبادئ الحوكمة من نصوص نظرية إلى ممارسات مهنية يومية، تعزز كفاءة أداء المشاريع وتحقق مستهدفات رؤية 2030.</w:t>
      </w:r>
    </w:p>
    <w:p w14:paraId="6D894197" w14:textId="77777777" w:rsidR="005D60FD" w:rsidRPr="005D60FD" w:rsidRDefault="005D60FD" w:rsidP="00F7353C">
      <w:pPr>
        <w:numPr>
          <w:ilvl w:val="0"/>
          <w:numId w:val="8"/>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تزوّد الدراسة الجهات المعنية (كوزارة المالية، هيئة الرقابة ومكافحة الفساد، برنامج التحول الوطني) بمؤشرات قابلة للقياس يمكن الاعتماد عليها في تصميم معايير تقييم أداء المشاريع الحكومية، وفي تطوير سياسات تحفيزية للجهات التي تتبنى ممارسات حوكمة رشيدة.</w:t>
      </w:r>
    </w:p>
    <w:p w14:paraId="45A63F7B" w14:textId="77777777" w:rsidR="005D60FD" w:rsidRPr="005D60FD" w:rsidRDefault="005D60FD" w:rsidP="00F7353C">
      <w:pPr>
        <w:numPr>
          <w:ilvl w:val="0"/>
          <w:numId w:val="8"/>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تساعد الدراسة المؤسسات الحكومية على تحديد أولويات تخصيص الموارد المتاحة (التدريب، الأنظمة الرقابية، آليات التنسيق) لتحسين كفاءة مشاريعها، وذلك من خلال الكشف عن أبعاد الحوكمة الأكثر تأثيراً على أداء المشاريع.</w:t>
      </w:r>
    </w:p>
    <w:p w14:paraId="15DE34D1"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ثالثاً: القيمة المضافة</w:t>
      </w:r>
    </w:p>
    <w:p w14:paraId="089CF552" w14:textId="77777777" w:rsidR="005D60FD" w:rsidRPr="005D60FD" w:rsidRDefault="005D60FD" w:rsidP="00F7353C">
      <w:pPr>
        <w:numPr>
          <w:ilvl w:val="0"/>
          <w:numId w:val="9"/>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تقدم الدراسة أول نموذج ميداني شامل في المملكة العربية السعودية يربط بين أبعاد الحوكمة الإدارية الأربعة وأبعاد كفاءة أداء المشاريع الحكومية الأربعة في القطاع الحكومي، مع الاستفادة من الخصوصية الديناميكية للبيئة السعودية في عصر التحول الوطني.</w:t>
      </w:r>
    </w:p>
    <w:p w14:paraId="087BF188" w14:textId="77777777" w:rsidR="005D60FD" w:rsidRPr="005D60FD" w:rsidRDefault="005D60FD" w:rsidP="00F7353C">
      <w:pPr>
        <w:numPr>
          <w:ilvl w:val="0"/>
          <w:numId w:val="9"/>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تضع الدراسة إطاراً يمكن للمشرفين والمحكمين الأكاديميين الاعتماد عليه في تقييم واقع تطبيق الحوكمة في المؤسسات الحكومية السعودية، وفي قياس أثرها على أداء المشاريع.</w:t>
      </w:r>
    </w:p>
    <w:p w14:paraId="15ED9E5D" w14:textId="77777777" w:rsidR="005D60FD" w:rsidRPr="005D60FD" w:rsidRDefault="005D60FD" w:rsidP="00F7353C">
      <w:pPr>
        <w:numPr>
          <w:ilvl w:val="0"/>
          <w:numId w:val="9"/>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تتيح نتائج الدراسة إمكانية تعميمها على قطاعات حكومية أخرى في دول الخليج العربي التي تمر بمراحل تحول إداري مماثلة، مما يخلق قيمة معرفية ممتدة إقليمياً.</w:t>
      </w:r>
    </w:p>
    <w:p w14:paraId="57E112DA"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5</w:t>
      </w:r>
      <w:r w:rsidRPr="005D60FD">
        <w:rPr>
          <w:rFonts w:ascii="Times New Roman" w:eastAsia="Calibri" w:hAnsi="Times New Roman" w:cs="Simplified Arabic"/>
          <w:b/>
          <w:bCs/>
          <w:sz w:val="24"/>
          <w:szCs w:val="28"/>
          <w:rtl/>
        </w:rPr>
        <w:t>. أهداف الدراسة</w:t>
      </w:r>
    </w:p>
    <w:p w14:paraId="709D1075"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tl/>
        </w:rPr>
      </w:pPr>
      <w:r w:rsidRPr="005D60FD">
        <w:rPr>
          <w:rFonts w:ascii="Times New Roman" w:eastAsia="Calibri" w:hAnsi="Times New Roman" w:cs="Simplified Arabic"/>
          <w:b/>
          <w:bCs/>
          <w:sz w:val="24"/>
          <w:szCs w:val="28"/>
          <w:rtl/>
        </w:rPr>
        <w:t>الهدف العام للدراسة:</w:t>
      </w:r>
    </w:p>
    <w:p w14:paraId="548D3B7C"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تحديد أثر تطبيق الحوكمة الإدارية في تحسين كفاءة أداء المشاريع الحكومية في المملكة العربية السعودية، ودورها في دعم مستهدفات رؤية 2030.</w:t>
      </w:r>
    </w:p>
    <w:p w14:paraId="492FDBF0"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الأهداف الفرعية:</w:t>
      </w:r>
    </w:p>
    <w:p w14:paraId="4C156280" w14:textId="77777777" w:rsidR="005D60FD" w:rsidRPr="005D60FD" w:rsidRDefault="005D60FD" w:rsidP="00F7353C">
      <w:pPr>
        <w:numPr>
          <w:ilvl w:val="0"/>
          <w:numId w:val="10"/>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تحليل مستوى تطبيق مبادئ الحوكمة الإدارية (الشفافية، المساءلة، المشاركة، التنسيق) في المؤسسات الحكومية السعودية.</w:t>
      </w:r>
    </w:p>
    <w:p w14:paraId="6B7099F2" w14:textId="77777777" w:rsidR="005D60FD" w:rsidRPr="005D60FD" w:rsidRDefault="005D60FD" w:rsidP="00F7353C">
      <w:pPr>
        <w:numPr>
          <w:ilvl w:val="0"/>
          <w:numId w:val="10"/>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قياس مستوى كفاءة أداء المشاريع الحكومية (الالتزام بالجداول الزمنية، كفاءة استخدام الموارد، جودة المخرجات، رضا أصحاب المصلحة) في هذه المؤسسات.</w:t>
      </w:r>
    </w:p>
    <w:p w14:paraId="59CEC3C3" w14:textId="77777777" w:rsidR="005D60FD" w:rsidRPr="005D60FD" w:rsidRDefault="005D60FD" w:rsidP="00F7353C">
      <w:pPr>
        <w:numPr>
          <w:ilvl w:val="0"/>
          <w:numId w:val="10"/>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تحديد طبيعة العلاقة الإحصائية بين تطبيق الحوكمة الإدارية وكفاءة أداء المشاريع الحكومية.</w:t>
      </w:r>
    </w:p>
    <w:p w14:paraId="6C38EA93" w14:textId="77777777" w:rsidR="005D60FD" w:rsidRPr="005D60FD" w:rsidRDefault="005D60FD" w:rsidP="00F7353C">
      <w:pPr>
        <w:numPr>
          <w:ilvl w:val="0"/>
          <w:numId w:val="10"/>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اختبار أثر كل بُعد من أبعاد الحوكمة الإدارية (الشفافية، المساءلة، المشاركة، التنسيق) في تحسين كفاءة أداء المشاريع الحكومية.</w:t>
      </w:r>
    </w:p>
    <w:p w14:paraId="5E8C0854" w14:textId="77777777" w:rsidR="005D60FD" w:rsidRPr="005D60FD" w:rsidRDefault="005D60FD" w:rsidP="00F7353C">
      <w:pPr>
        <w:numPr>
          <w:ilvl w:val="0"/>
          <w:numId w:val="10"/>
        </w:numPr>
        <w:spacing w:after="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تقديم توصيات عملية لتعزيز تطبيق الحوكمة الإدارية في المؤسسات الحكومية بما يدعم تحقيق مستهدفات رؤية 2030.</w:t>
      </w:r>
    </w:p>
    <w:p w14:paraId="3D287354"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6</w:t>
      </w:r>
      <w:r w:rsidRPr="005D60FD">
        <w:rPr>
          <w:rFonts w:ascii="Times New Roman" w:eastAsia="Calibri" w:hAnsi="Times New Roman" w:cs="Simplified Arabic"/>
          <w:b/>
          <w:bCs/>
          <w:sz w:val="24"/>
          <w:szCs w:val="28"/>
          <w:rtl/>
        </w:rPr>
        <w:t>. متغيرات الدراسة وأبعادها</w:t>
      </w:r>
    </w:p>
    <w:p w14:paraId="53DD3E2C"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أولاً: المتغير المستقل: الحوكمة الإدارية (</w:t>
      </w:r>
      <w:r w:rsidRPr="005D60FD">
        <w:rPr>
          <w:rFonts w:ascii="Times New Roman" w:eastAsia="Calibri" w:hAnsi="Times New Roman" w:cs="Simplified Arabic"/>
          <w:b/>
          <w:bCs/>
          <w:sz w:val="24"/>
          <w:szCs w:val="28"/>
        </w:rPr>
        <w:t>Administrative Governance</w:t>
      </w:r>
      <w:r w:rsidRPr="005D60FD">
        <w:rPr>
          <w:rFonts w:ascii="Times New Roman" w:eastAsia="Calibri" w:hAnsi="Times New Roman" w:cs="Simplified Arabic"/>
          <w:b/>
          <w:bCs/>
          <w:sz w:val="24"/>
          <w:szCs w:val="28"/>
          <w:rtl/>
        </w:rPr>
        <w:t>)</w:t>
      </w:r>
    </w:p>
    <w:p w14:paraId="69A703F6"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ويتضمن الأبعاد الآتية:</w:t>
      </w:r>
    </w:p>
    <w:tbl>
      <w:tblPr>
        <w:tblStyle w:val="4-4"/>
        <w:bidiVisual/>
        <w:tblW w:w="7935" w:type="dxa"/>
        <w:jc w:val="center"/>
        <w:tblLook w:val="04A0" w:firstRow="1" w:lastRow="0" w:firstColumn="1" w:lastColumn="0" w:noHBand="0" w:noVBand="1"/>
      </w:tblPr>
      <w:tblGrid>
        <w:gridCol w:w="632"/>
        <w:gridCol w:w="1540"/>
        <w:gridCol w:w="5763"/>
      </w:tblGrid>
      <w:tr w:rsidR="005D60FD" w:rsidRPr="00E8374E" w14:paraId="6D02D0BC" w14:textId="77777777" w:rsidTr="00E8374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8" w:type="dxa"/>
            <w:vAlign w:val="center"/>
            <w:hideMark/>
          </w:tcPr>
          <w:p w14:paraId="474FD660" w14:textId="77777777" w:rsidR="005D60FD" w:rsidRPr="00E8374E" w:rsidRDefault="005D60FD" w:rsidP="005D60FD">
            <w:pPr>
              <w:spacing w:after="0" w:line="276" w:lineRule="auto"/>
              <w:jc w:val="center"/>
              <w:rPr>
                <w:rFonts w:eastAsia="Calibri"/>
                <w:sz w:val="20"/>
                <w:szCs w:val="24"/>
              </w:rPr>
            </w:pPr>
            <w:r w:rsidRPr="00E8374E">
              <w:rPr>
                <w:rFonts w:eastAsia="Calibri"/>
                <w:sz w:val="20"/>
                <w:szCs w:val="24"/>
                <w:rtl/>
              </w:rPr>
              <w:t>الرمز</w:t>
            </w:r>
          </w:p>
        </w:tc>
        <w:tc>
          <w:tcPr>
            <w:tcW w:w="1540" w:type="dxa"/>
            <w:vAlign w:val="center"/>
            <w:hideMark/>
          </w:tcPr>
          <w:p w14:paraId="5CDFEAD4" w14:textId="77777777" w:rsidR="005D60FD" w:rsidRPr="00E8374E"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E8374E">
              <w:rPr>
                <w:rFonts w:eastAsia="Calibri"/>
                <w:sz w:val="20"/>
                <w:szCs w:val="24"/>
                <w:rtl/>
              </w:rPr>
              <w:t>البعد</w:t>
            </w:r>
          </w:p>
        </w:tc>
        <w:tc>
          <w:tcPr>
            <w:tcW w:w="5837" w:type="dxa"/>
            <w:vAlign w:val="center"/>
            <w:hideMark/>
          </w:tcPr>
          <w:p w14:paraId="1540AB93" w14:textId="77777777" w:rsidR="005D60FD" w:rsidRPr="00E8374E"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E8374E">
              <w:rPr>
                <w:rFonts w:eastAsia="Calibri"/>
                <w:sz w:val="20"/>
                <w:szCs w:val="24"/>
                <w:rtl/>
              </w:rPr>
              <w:t>شرح موجز</w:t>
            </w:r>
          </w:p>
        </w:tc>
      </w:tr>
      <w:tr w:rsidR="005D60FD" w:rsidRPr="00E8374E" w14:paraId="614B1385" w14:textId="77777777" w:rsidTr="00E837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8" w:type="dxa"/>
            <w:vAlign w:val="center"/>
            <w:hideMark/>
          </w:tcPr>
          <w:p w14:paraId="200EAE31" w14:textId="77777777" w:rsidR="005D60FD" w:rsidRPr="00E8374E" w:rsidRDefault="005D60FD" w:rsidP="005D60FD">
            <w:pPr>
              <w:spacing w:after="0" w:line="276" w:lineRule="auto"/>
              <w:jc w:val="center"/>
              <w:rPr>
                <w:rFonts w:eastAsia="Calibri"/>
                <w:sz w:val="20"/>
                <w:szCs w:val="24"/>
              </w:rPr>
            </w:pPr>
            <w:proofErr w:type="spellStart"/>
            <w:r w:rsidRPr="00E8374E">
              <w:rPr>
                <w:rFonts w:eastAsia="Calibri"/>
                <w:sz w:val="20"/>
                <w:szCs w:val="24"/>
              </w:rPr>
              <w:t>AG1</w:t>
            </w:r>
            <w:proofErr w:type="spellEnd"/>
          </w:p>
        </w:tc>
        <w:tc>
          <w:tcPr>
            <w:tcW w:w="1540" w:type="dxa"/>
            <w:vAlign w:val="center"/>
            <w:hideMark/>
          </w:tcPr>
          <w:p w14:paraId="6E3D44DF" w14:textId="77777777" w:rsidR="005D60FD" w:rsidRPr="00B53F89"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B53F89">
              <w:rPr>
                <w:rFonts w:eastAsia="Calibri"/>
                <w:sz w:val="20"/>
                <w:szCs w:val="24"/>
                <w:rtl/>
              </w:rPr>
              <w:t>الشفافية (</w:t>
            </w:r>
            <w:r w:rsidRPr="00B53F89">
              <w:rPr>
                <w:rFonts w:eastAsia="Calibri"/>
                <w:sz w:val="20"/>
                <w:szCs w:val="24"/>
              </w:rPr>
              <w:t>Transparency</w:t>
            </w:r>
            <w:r w:rsidRPr="00B53F89">
              <w:rPr>
                <w:rFonts w:eastAsia="Calibri"/>
                <w:sz w:val="20"/>
                <w:szCs w:val="24"/>
                <w:rtl/>
              </w:rPr>
              <w:t>)</w:t>
            </w:r>
          </w:p>
        </w:tc>
        <w:tc>
          <w:tcPr>
            <w:tcW w:w="5837" w:type="dxa"/>
            <w:vAlign w:val="center"/>
            <w:hideMark/>
          </w:tcPr>
          <w:p w14:paraId="3F880C42" w14:textId="77777777" w:rsidR="005D60FD" w:rsidRPr="00B53F89"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B53F89">
              <w:rPr>
                <w:rFonts w:eastAsia="Calibri"/>
                <w:sz w:val="20"/>
                <w:szCs w:val="24"/>
                <w:rtl/>
              </w:rPr>
              <w:t>الإفصاح عن المعلومات المتعلقة بقرارات وإجراءات المشاريع، وتوفير قنوات واضحة للاطلاع على سير العمل، بما يضمن وضوح الرؤية لجميع الأطراف المعنية.</w:t>
            </w:r>
          </w:p>
        </w:tc>
      </w:tr>
      <w:tr w:rsidR="005D60FD" w:rsidRPr="00E8374E" w14:paraId="53E0CE55" w14:textId="77777777" w:rsidTr="00E8374E">
        <w:trPr>
          <w:jc w:val="center"/>
        </w:trPr>
        <w:tc>
          <w:tcPr>
            <w:cnfStyle w:val="001000000000" w:firstRow="0" w:lastRow="0" w:firstColumn="1" w:lastColumn="0" w:oddVBand="0" w:evenVBand="0" w:oddHBand="0" w:evenHBand="0" w:firstRowFirstColumn="0" w:firstRowLastColumn="0" w:lastRowFirstColumn="0" w:lastRowLastColumn="0"/>
            <w:tcW w:w="558" w:type="dxa"/>
            <w:vAlign w:val="center"/>
            <w:hideMark/>
          </w:tcPr>
          <w:p w14:paraId="1838C377" w14:textId="77777777" w:rsidR="005D60FD" w:rsidRPr="00E8374E" w:rsidRDefault="005D60FD" w:rsidP="005D60FD">
            <w:pPr>
              <w:spacing w:after="0" w:line="276" w:lineRule="auto"/>
              <w:jc w:val="center"/>
              <w:rPr>
                <w:rFonts w:eastAsia="Calibri"/>
                <w:sz w:val="20"/>
                <w:szCs w:val="24"/>
              </w:rPr>
            </w:pPr>
            <w:proofErr w:type="spellStart"/>
            <w:r w:rsidRPr="00E8374E">
              <w:rPr>
                <w:rFonts w:eastAsia="Calibri"/>
                <w:sz w:val="20"/>
                <w:szCs w:val="24"/>
              </w:rPr>
              <w:t>AG2</w:t>
            </w:r>
            <w:proofErr w:type="spellEnd"/>
          </w:p>
        </w:tc>
        <w:tc>
          <w:tcPr>
            <w:tcW w:w="1540" w:type="dxa"/>
            <w:vAlign w:val="center"/>
            <w:hideMark/>
          </w:tcPr>
          <w:p w14:paraId="54AF6028" w14:textId="77777777" w:rsidR="005D60FD" w:rsidRPr="00B53F89"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B53F89">
              <w:rPr>
                <w:rFonts w:eastAsia="Calibri"/>
                <w:sz w:val="20"/>
                <w:szCs w:val="24"/>
                <w:rtl/>
              </w:rPr>
              <w:t>المساءلة (</w:t>
            </w:r>
            <w:r w:rsidRPr="00B53F89">
              <w:rPr>
                <w:rFonts w:eastAsia="Calibri"/>
                <w:sz w:val="20"/>
                <w:szCs w:val="24"/>
              </w:rPr>
              <w:t>Accountability</w:t>
            </w:r>
            <w:r w:rsidRPr="00B53F89">
              <w:rPr>
                <w:rFonts w:eastAsia="Calibri"/>
                <w:sz w:val="20"/>
                <w:szCs w:val="24"/>
                <w:rtl/>
              </w:rPr>
              <w:t>)</w:t>
            </w:r>
          </w:p>
        </w:tc>
        <w:tc>
          <w:tcPr>
            <w:tcW w:w="5837" w:type="dxa"/>
            <w:vAlign w:val="center"/>
            <w:hideMark/>
          </w:tcPr>
          <w:p w14:paraId="6708B3A6" w14:textId="77777777" w:rsidR="005D60FD" w:rsidRPr="00B53F89"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B53F89">
              <w:rPr>
                <w:rFonts w:eastAsia="Calibri"/>
                <w:sz w:val="20"/>
                <w:szCs w:val="24"/>
                <w:rtl/>
              </w:rPr>
              <w:t>وجود آليات رقابية واضحة لمحاسبة المسؤولين عن القصور أو الإخفاق في تنفيذ المشاريع، وتحديد المسؤوليات بدقة، وضمان تطبيق الجزاءات عند الاقتضاء.</w:t>
            </w:r>
          </w:p>
        </w:tc>
      </w:tr>
      <w:tr w:rsidR="005D60FD" w:rsidRPr="00E8374E" w14:paraId="463ED1B8" w14:textId="77777777" w:rsidTr="00E837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8" w:type="dxa"/>
            <w:vAlign w:val="center"/>
            <w:hideMark/>
          </w:tcPr>
          <w:p w14:paraId="72586359" w14:textId="77777777" w:rsidR="005D60FD" w:rsidRPr="00E8374E" w:rsidRDefault="005D60FD" w:rsidP="005D60FD">
            <w:pPr>
              <w:spacing w:after="0" w:line="276" w:lineRule="auto"/>
              <w:jc w:val="center"/>
              <w:rPr>
                <w:rFonts w:eastAsia="Calibri"/>
                <w:sz w:val="20"/>
                <w:szCs w:val="24"/>
              </w:rPr>
            </w:pPr>
            <w:proofErr w:type="spellStart"/>
            <w:r w:rsidRPr="00E8374E">
              <w:rPr>
                <w:rFonts w:eastAsia="Calibri"/>
                <w:sz w:val="20"/>
                <w:szCs w:val="24"/>
              </w:rPr>
              <w:t>AG3</w:t>
            </w:r>
            <w:proofErr w:type="spellEnd"/>
          </w:p>
        </w:tc>
        <w:tc>
          <w:tcPr>
            <w:tcW w:w="1540" w:type="dxa"/>
            <w:vAlign w:val="center"/>
            <w:hideMark/>
          </w:tcPr>
          <w:p w14:paraId="43E850AE" w14:textId="77777777" w:rsidR="005D60FD" w:rsidRPr="00B53F89"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B53F89">
              <w:rPr>
                <w:rFonts w:eastAsia="Calibri"/>
                <w:sz w:val="20"/>
                <w:szCs w:val="24"/>
                <w:rtl/>
              </w:rPr>
              <w:t>المشاركة (</w:t>
            </w:r>
            <w:r w:rsidRPr="00B53F89">
              <w:rPr>
                <w:rFonts w:eastAsia="Calibri"/>
                <w:sz w:val="20"/>
                <w:szCs w:val="24"/>
              </w:rPr>
              <w:t>Participation</w:t>
            </w:r>
            <w:r w:rsidRPr="00B53F89">
              <w:rPr>
                <w:rFonts w:eastAsia="Calibri"/>
                <w:sz w:val="20"/>
                <w:szCs w:val="24"/>
                <w:rtl/>
              </w:rPr>
              <w:t>)</w:t>
            </w:r>
          </w:p>
        </w:tc>
        <w:tc>
          <w:tcPr>
            <w:tcW w:w="5837" w:type="dxa"/>
            <w:vAlign w:val="center"/>
            <w:hideMark/>
          </w:tcPr>
          <w:p w14:paraId="426C0D16" w14:textId="77777777" w:rsidR="005D60FD" w:rsidRPr="00B53F89"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B53F89">
              <w:rPr>
                <w:rFonts w:eastAsia="Calibri"/>
                <w:sz w:val="20"/>
                <w:szCs w:val="24"/>
                <w:rtl/>
              </w:rPr>
              <w:t>إشراك أصحاب المصلحة (الموظفين، المستفيدين، المجتمع) في عمليات صنع القرار المتعلقة بالمشاريع، والاستماع لآرائهم وتغذيتهم الراجعة.</w:t>
            </w:r>
          </w:p>
        </w:tc>
      </w:tr>
      <w:tr w:rsidR="005D60FD" w:rsidRPr="00E8374E" w14:paraId="7A8273D5" w14:textId="77777777" w:rsidTr="00E8374E">
        <w:trPr>
          <w:jc w:val="center"/>
        </w:trPr>
        <w:tc>
          <w:tcPr>
            <w:cnfStyle w:val="001000000000" w:firstRow="0" w:lastRow="0" w:firstColumn="1" w:lastColumn="0" w:oddVBand="0" w:evenVBand="0" w:oddHBand="0" w:evenHBand="0" w:firstRowFirstColumn="0" w:firstRowLastColumn="0" w:lastRowFirstColumn="0" w:lastRowLastColumn="0"/>
            <w:tcW w:w="558" w:type="dxa"/>
            <w:vAlign w:val="center"/>
            <w:hideMark/>
          </w:tcPr>
          <w:p w14:paraId="730059AE" w14:textId="77777777" w:rsidR="005D60FD" w:rsidRPr="00E8374E" w:rsidRDefault="005D60FD" w:rsidP="005D60FD">
            <w:pPr>
              <w:spacing w:after="0" w:line="276" w:lineRule="auto"/>
              <w:jc w:val="center"/>
              <w:rPr>
                <w:rFonts w:eastAsia="Calibri"/>
                <w:sz w:val="20"/>
                <w:szCs w:val="24"/>
              </w:rPr>
            </w:pPr>
            <w:proofErr w:type="spellStart"/>
            <w:r w:rsidRPr="00E8374E">
              <w:rPr>
                <w:rFonts w:eastAsia="Calibri"/>
                <w:sz w:val="20"/>
                <w:szCs w:val="24"/>
              </w:rPr>
              <w:t>AG4</w:t>
            </w:r>
            <w:proofErr w:type="spellEnd"/>
          </w:p>
        </w:tc>
        <w:tc>
          <w:tcPr>
            <w:tcW w:w="1540" w:type="dxa"/>
            <w:vAlign w:val="center"/>
            <w:hideMark/>
          </w:tcPr>
          <w:p w14:paraId="6F7D603E" w14:textId="77777777" w:rsidR="005D60FD" w:rsidRPr="00B53F89"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B53F89">
              <w:rPr>
                <w:rFonts w:eastAsia="Calibri"/>
                <w:sz w:val="20"/>
                <w:szCs w:val="24"/>
                <w:rtl/>
              </w:rPr>
              <w:t>التنسيق (</w:t>
            </w:r>
            <w:r w:rsidRPr="00B53F89">
              <w:rPr>
                <w:rFonts w:eastAsia="Calibri"/>
                <w:sz w:val="20"/>
                <w:szCs w:val="24"/>
              </w:rPr>
              <w:t>Coordination</w:t>
            </w:r>
            <w:r w:rsidRPr="00B53F89">
              <w:rPr>
                <w:rFonts w:eastAsia="Calibri"/>
                <w:sz w:val="20"/>
                <w:szCs w:val="24"/>
                <w:rtl/>
              </w:rPr>
              <w:t>)</w:t>
            </w:r>
          </w:p>
        </w:tc>
        <w:tc>
          <w:tcPr>
            <w:tcW w:w="5837" w:type="dxa"/>
            <w:vAlign w:val="center"/>
            <w:hideMark/>
          </w:tcPr>
          <w:p w14:paraId="37E22A6D" w14:textId="77777777" w:rsidR="005D60FD" w:rsidRPr="00B53F89"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B53F89">
              <w:rPr>
                <w:rFonts w:eastAsia="Calibri"/>
                <w:sz w:val="20"/>
                <w:szCs w:val="24"/>
                <w:rtl/>
              </w:rPr>
              <w:t>تعزيز التكامل والتعاون بين الجهات الحكومية المختلفة، وتوحيد الجهود، ومنع تداخل الاختصاصات أو تضارب المصالح، لضمان سلاسة تنفيذ المشاريع.</w:t>
            </w:r>
          </w:p>
        </w:tc>
      </w:tr>
    </w:tbl>
    <w:p w14:paraId="79A2A338"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tl/>
        </w:rPr>
      </w:pPr>
    </w:p>
    <w:p w14:paraId="1D3C9115" w14:textId="77777777" w:rsidR="00E8374E" w:rsidRDefault="00E8374E" w:rsidP="005D60FD">
      <w:pPr>
        <w:spacing w:after="240" w:line="276" w:lineRule="auto"/>
        <w:ind w:firstLine="567"/>
        <w:jc w:val="both"/>
        <w:rPr>
          <w:rFonts w:ascii="Times New Roman" w:eastAsia="Calibri" w:hAnsi="Times New Roman" w:cs="Simplified Arabic"/>
          <w:b/>
          <w:bCs/>
          <w:sz w:val="24"/>
          <w:szCs w:val="28"/>
          <w:rtl/>
        </w:rPr>
      </w:pPr>
    </w:p>
    <w:p w14:paraId="6F5C8A76" w14:textId="6AD58AD9"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ثانياً: المتغير التابع: كفاءة أداء المشاريع الحكومية (</w:t>
      </w:r>
      <w:r w:rsidRPr="005D60FD">
        <w:rPr>
          <w:rFonts w:ascii="Times New Roman" w:eastAsia="Calibri" w:hAnsi="Times New Roman" w:cs="Simplified Arabic"/>
          <w:b/>
          <w:bCs/>
          <w:sz w:val="24"/>
          <w:szCs w:val="28"/>
        </w:rPr>
        <w:t>Project Performance Efficiency</w:t>
      </w:r>
      <w:r w:rsidRPr="005D60FD">
        <w:rPr>
          <w:rFonts w:ascii="Times New Roman" w:eastAsia="Calibri" w:hAnsi="Times New Roman" w:cs="Simplified Arabic"/>
          <w:b/>
          <w:bCs/>
          <w:sz w:val="24"/>
          <w:szCs w:val="28"/>
          <w:rtl/>
        </w:rPr>
        <w:t>)</w:t>
      </w:r>
    </w:p>
    <w:p w14:paraId="4C38B918"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ويتضمن الأبعاد الآتية:</w:t>
      </w:r>
    </w:p>
    <w:tbl>
      <w:tblPr>
        <w:tblStyle w:val="4-4"/>
        <w:bidiVisual/>
        <w:tblW w:w="8231" w:type="dxa"/>
        <w:jc w:val="center"/>
        <w:tblLook w:val="04A0" w:firstRow="1" w:lastRow="0" w:firstColumn="1" w:lastColumn="0" w:noHBand="0" w:noVBand="1"/>
      </w:tblPr>
      <w:tblGrid>
        <w:gridCol w:w="632"/>
        <w:gridCol w:w="2999"/>
        <w:gridCol w:w="4600"/>
      </w:tblGrid>
      <w:tr w:rsidR="005D60FD" w:rsidRPr="005D60FD" w14:paraId="4C545684" w14:textId="77777777" w:rsidTr="00F270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219AAC"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الرمز</w:t>
            </w:r>
          </w:p>
        </w:tc>
        <w:tc>
          <w:tcPr>
            <w:tcW w:w="0" w:type="auto"/>
            <w:vAlign w:val="center"/>
            <w:hideMark/>
          </w:tcPr>
          <w:p w14:paraId="1F3780DE"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البعد</w:t>
            </w:r>
          </w:p>
        </w:tc>
        <w:tc>
          <w:tcPr>
            <w:tcW w:w="4600" w:type="dxa"/>
            <w:vAlign w:val="center"/>
            <w:hideMark/>
          </w:tcPr>
          <w:p w14:paraId="2F5789F5"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شرح موجز</w:t>
            </w:r>
          </w:p>
        </w:tc>
      </w:tr>
      <w:tr w:rsidR="005D60FD" w:rsidRPr="005D60FD" w14:paraId="025FDE5E"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87EFFA" w14:textId="77777777" w:rsidR="005D60FD" w:rsidRPr="005D60FD" w:rsidRDefault="005D60FD" w:rsidP="005D60FD">
            <w:pPr>
              <w:spacing w:after="0" w:line="276" w:lineRule="auto"/>
              <w:jc w:val="center"/>
              <w:rPr>
                <w:rFonts w:eastAsia="Calibri"/>
                <w:sz w:val="20"/>
                <w:szCs w:val="24"/>
              </w:rPr>
            </w:pPr>
            <w:proofErr w:type="spellStart"/>
            <w:r w:rsidRPr="005D60FD">
              <w:rPr>
                <w:rFonts w:eastAsia="Calibri"/>
                <w:sz w:val="20"/>
                <w:szCs w:val="24"/>
              </w:rPr>
              <w:t>PE1</w:t>
            </w:r>
            <w:proofErr w:type="spellEnd"/>
          </w:p>
        </w:tc>
        <w:tc>
          <w:tcPr>
            <w:tcW w:w="0" w:type="auto"/>
            <w:vAlign w:val="center"/>
            <w:hideMark/>
          </w:tcPr>
          <w:p w14:paraId="2C0E247C"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الالتزام بالجداول الزمنية (</w:t>
            </w:r>
            <w:r w:rsidRPr="005D60FD">
              <w:rPr>
                <w:rFonts w:eastAsia="Calibri"/>
                <w:sz w:val="20"/>
                <w:szCs w:val="24"/>
              </w:rPr>
              <w:t>Schedule Adherence</w:t>
            </w:r>
            <w:r w:rsidRPr="005D60FD">
              <w:rPr>
                <w:rFonts w:eastAsia="Calibri"/>
                <w:sz w:val="20"/>
                <w:szCs w:val="24"/>
                <w:rtl/>
              </w:rPr>
              <w:t>)</w:t>
            </w:r>
          </w:p>
        </w:tc>
        <w:tc>
          <w:tcPr>
            <w:tcW w:w="4600" w:type="dxa"/>
            <w:vAlign w:val="center"/>
            <w:hideMark/>
          </w:tcPr>
          <w:p w14:paraId="359A7AA5"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قدرة المشروع على إنجاز مخرجاته ضمن الفترات الزمنية المحددة في الخطة، وتقليل التأخيرات غير المبررة.</w:t>
            </w:r>
          </w:p>
        </w:tc>
      </w:tr>
      <w:tr w:rsidR="005D60FD" w:rsidRPr="005D60FD" w14:paraId="76518DBE"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E26822" w14:textId="77777777" w:rsidR="005D60FD" w:rsidRPr="005D60FD" w:rsidRDefault="005D60FD" w:rsidP="005D60FD">
            <w:pPr>
              <w:spacing w:after="0" w:line="276" w:lineRule="auto"/>
              <w:jc w:val="center"/>
              <w:rPr>
                <w:rFonts w:eastAsia="Calibri"/>
                <w:sz w:val="20"/>
                <w:szCs w:val="24"/>
              </w:rPr>
            </w:pPr>
            <w:proofErr w:type="spellStart"/>
            <w:r w:rsidRPr="005D60FD">
              <w:rPr>
                <w:rFonts w:eastAsia="Calibri"/>
                <w:sz w:val="20"/>
                <w:szCs w:val="24"/>
              </w:rPr>
              <w:t>PE2</w:t>
            </w:r>
            <w:proofErr w:type="spellEnd"/>
          </w:p>
        </w:tc>
        <w:tc>
          <w:tcPr>
            <w:tcW w:w="0" w:type="auto"/>
            <w:vAlign w:val="center"/>
            <w:hideMark/>
          </w:tcPr>
          <w:p w14:paraId="32C1ABBC"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كفاءة استخدام الموارد (</w:t>
            </w:r>
            <w:r w:rsidRPr="005D60FD">
              <w:rPr>
                <w:rFonts w:eastAsia="Calibri"/>
                <w:sz w:val="20"/>
                <w:szCs w:val="24"/>
              </w:rPr>
              <w:t>Resource Efficiency</w:t>
            </w:r>
            <w:r w:rsidRPr="005D60FD">
              <w:rPr>
                <w:rFonts w:eastAsia="Calibri"/>
                <w:sz w:val="20"/>
                <w:szCs w:val="24"/>
                <w:rtl/>
              </w:rPr>
              <w:t>)</w:t>
            </w:r>
          </w:p>
        </w:tc>
        <w:tc>
          <w:tcPr>
            <w:tcW w:w="4600" w:type="dxa"/>
            <w:vAlign w:val="center"/>
            <w:hideMark/>
          </w:tcPr>
          <w:p w14:paraId="4AE60B6F"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الاستخدام الأمثل للموارد المالية والبشرية والمادية المتاحة، وتقليل الهدر وضمان تحقيق أقصى عائد من الاستثمار.</w:t>
            </w:r>
          </w:p>
        </w:tc>
      </w:tr>
      <w:tr w:rsidR="005D60FD" w:rsidRPr="005D60FD" w14:paraId="3405396E"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B7ABDC" w14:textId="77777777" w:rsidR="005D60FD" w:rsidRPr="005D60FD" w:rsidRDefault="005D60FD" w:rsidP="005D60FD">
            <w:pPr>
              <w:spacing w:after="0" w:line="276" w:lineRule="auto"/>
              <w:jc w:val="center"/>
              <w:rPr>
                <w:rFonts w:eastAsia="Calibri"/>
                <w:sz w:val="20"/>
                <w:szCs w:val="24"/>
              </w:rPr>
            </w:pPr>
            <w:proofErr w:type="spellStart"/>
            <w:r w:rsidRPr="005D60FD">
              <w:rPr>
                <w:rFonts w:eastAsia="Calibri"/>
                <w:sz w:val="20"/>
                <w:szCs w:val="24"/>
              </w:rPr>
              <w:t>PE3</w:t>
            </w:r>
            <w:proofErr w:type="spellEnd"/>
          </w:p>
        </w:tc>
        <w:tc>
          <w:tcPr>
            <w:tcW w:w="0" w:type="auto"/>
            <w:vAlign w:val="center"/>
            <w:hideMark/>
          </w:tcPr>
          <w:p w14:paraId="6E48D7E2"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جودة المخرجات (</w:t>
            </w:r>
            <w:r w:rsidRPr="005D60FD">
              <w:rPr>
                <w:rFonts w:eastAsia="Calibri"/>
                <w:sz w:val="20"/>
                <w:szCs w:val="24"/>
              </w:rPr>
              <w:t>Output Quality</w:t>
            </w:r>
            <w:r w:rsidRPr="005D60FD">
              <w:rPr>
                <w:rFonts w:eastAsia="Calibri"/>
                <w:sz w:val="20"/>
                <w:szCs w:val="24"/>
                <w:rtl/>
              </w:rPr>
              <w:t>)</w:t>
            </w:r>
          </w:p>
        </w:tc>
        <w:tc>
          <w:tcPr>
            <w:tcW w:w="4600" w:type="dxa"/>
            <w:vAlign w:val="center"/>
            <w:hideMark/>
          </w:tcPr>
          <w:p w14:paraId="7B8EE572"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تحقيق مخرجات المشروع للمواصفات والمعايير المطلوبة، وخلوها من العيوب، وملاءمتها لاحتياجات المستفيدين.</w:t>
            </w:r>
          </w:p>
        </w:tc>
      </w:tr>
      <w:tr w:rsidR="005D60FD" w:rsidRPr="005D60FD" w14:paraId="1F84C6F4"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7903E8" w14:textId="77777777" w:rsidR="005D60FD" w:rsidRPr="005D60FD" w:rsidRDefault="005D60FD" w:rsidP="005D60FD">
            <w:pPr>
              <w:spacing w:after="0" w:line="276" w:lineRule="auto"/>
              <w:jc w:val="center"/>
              <w:rPr>
                <w:rFonts w:eastAsia="Calibri"/>
                <w:sz w:val="20"/>
                <w:szCs w:val="24"/>
              </w:rPr>
            </w:pPr>
            <w:proofErr w:type="spellStart"/>
            <w:r w:rsidRPr="005D60FD">
              <w:rPr>
                <w:rFonts w:eastAsia="Calibri"/>
                <w:sz w:val="20"/>
                <w:szCs w:val="24"/>
              </w:rPr>
              <w:t>PE4</w:t>
            </w:r>
            <w:proofErr w:type="spellEnd"/>
          </w:p>
        </w:tc>
        <w:tc>
          <w:tcPr>
            <w:tcW w:w="0" w:type="auto"/>
            <w:vAlign w:val="center"/>
            <w:hideMark/>
          </w:tcPr>
          <w:p w14:paraId="0897B80C"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رضا أصحاب المصلحة (</w:t>
            </w:r>
            <w:r w:rsidRPr="005D60FD">
              <w:rPr>
                <w:rFonts w:eastAsia="Calibri"/>
                <w:sz w:val="20"/>
                <w:szCs w:val="24"/>
              </w:rPr>
              <w:t>Stakeholder Satisfaction</w:t>
            </w:r>
            <w:r w:rsidRPr="005D60FD">
              <w:rPr>
                <w:rFonts w:eastAsia="Calibri"/>
                <w:sz w:val="20"/>
                <w:szCs w:val="24"/>
                <w:rtl/>
              </w:rPr>
              <w:t>)</w:t>
            </w:r>
          </w:p>
        </w:tc>
        <w:tc>
          <w:tcPr>
            <w:tcW w:w="4600" w:type="dxa"/>
            <w:vAlign w:val="center"/>
            <w:hideMark/>
          </w:tcPr>
          <w:p w14:paraId="3F7C52E4"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مستوى رضا الأطراف المعنية (المستفيدين، الموظفين، الجهات الرقابية، المجتمع) عن أداء المشروع ومخرجاته.</w:t>
            </w:r>
          </w:p>
        </w:tc>
      </w:tr>
    </w:tbl>
    <w:p w14:paraId="43D1351D"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ثالثاً: بيئة الدراسة</w:t>
      </w:r>
    </w:p>
    <w:p w14:paraId="4BEF7566"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تتمثل في المؤسسات الحكومية في المملكة العربية السعودية (بما يشمل الوزارات، والهيئات الحكومية، والمؤسسات العامة، والأمانات والبلديات)، العاملة في مختلف القطاعات الخدمية والتنموية، بغض النظر عن حجمها، شريطة أن يكون لديها هيكل إداري يتضمن آليات لإدارة المشاريع وتطبيق الحوكمة.</w:t>
      </w:r>
    </w:p>
    <w:p w14:paraId="3C77980E"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7</w:t>
      </w:r>
      <w:r w:rsidRPr="005D60FD">
        <w:rPr>
          <w:rFonts w:ascii="Times New Roman" w:eastAsia="Calibri" w:hAnsi="Times New Roman" w:cs="Simplified Arabic"/>
          <w:b/>
          <w:bCs/>
          <w:sz w:val="24"/>
          <w:szCs w:val="28"/>
          <w:rtl/>
        </w:rPr>
        <w:t>. فرضيات الدراسة</w:t>
      </w:r>
    </w:p>
    <w:p w14:paraId="53112E4C"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tl/>
        </w:rPr>
      </w:pPr>
      <w:r w:rsidRPr="005D60FD">
        <w:rPr>
          <w:rFonts w:ascii="Times New Roman" w:eastAsia="Calibri" w:hAnsi="Times New Roman" w:cs="Simplified Arabic"/>
          <w:b/>
          <w:bCs/>
          <w:sz w:val="24"/>
          <w:szCs w:val="28"/>
          <w:rtl/>
        </w:rPr>
        <w:t>الفرضية الرئيسية:</w:t>
      </w:r>
    </w:p>
    <w:p w14:paraId="5529F1F3"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يُوجد أثر ذو دلالة إحصائية لتطبيق الحوكمة الإدارية (بأبعادها الأربعة مجتمعة) في تحسين كفاءة أداء المشاريع الحكومية في المملكة العربية السعودية.</w:t>
      </w:r>
    </w:p>
    <w:p w14:paraId="4533D709"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الفروض الفرعية:</w:t>
      </w:r>
    </w:p>
    <w:p w14:paraId="70CD535A" w14:textId="77777777" w:rsidR="005D60FD" w:rsidRPr="005D60FD" w:rsidRDefault="005D60FD" w:rsidP="00F7353C">
      <w:pPr>
        <w:numPr>
          <w:ilvl w:val="0"/>
          <w:numId w:val="11"/>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الفرضية الفرعية الأولى: </w:t>
      </w:r>
      <w:r w:rsidRPr="005D60FD">
        <w:rPr>
          <w:rFonts w:ascii="Times New Roman" w:eastAsia="Calibri" w:hAnsi="Times New Roman" w:cs="Simplified Arabic"/>
          <w:sz w:val="24"/>
          <w:szCs w:val="28"/>
          <w:rtl/>
        </w:rPr>
        <w:t>يُوجد أثر ذو دلالة إحصائية لتطبيق مبدأ الشفافية في تحسين كفاءة أداء المشاريع الحكومية في المملكة العربية السعودية.</w:t>
      </w:r>
    </w:p>
    <w:p w14:paraId="100390CB" w14:textId="77777777" w:rsidR="005D60FD" w:rsidRPr="005D60FD" w:rsidRDefault="005D60FD" w:rsidP="00F7353C">
      <w:pPr>
        <w:numPr>
          <w:ilvl w:val="0"/>
          <w:numId w:val="11"/>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الفرضية الفرعية الثانية: </w:t>
      </w:r>
      <w:r w:rsidRPr="005D60FD">
        <w:rPr>
          <w:rFonts w:ascii="Times New Roman" w:eastAsia="Calibri" w:hAnsi="Times New Roman" w:cs="Simplified Arabic"/>
          <w:sz w:val="24"/>
          <w:szCs w:val="28"/>
          <w:rtl/>
        </w:rPr>
        <w:t>يُوجد أثر ذو دلالة إحصائية لتطبيق مبدأ المساءلة في تحسين كفاءة أداء المشاريع الحكومية في المملكة العربية السعودية.</w:t>
      </w:r>
    </w:p>
    <w:p w14:paraId="73D68134" w14:textId="77777777" w:rsidR="005D60FD" w:rsidRPr="005D60FD" w:rsidRDefault="005D60FD" w:rsidP="00F7353C">
      <w:pPr>
        <w:numPr>
          <w:ilvl w:val="0"/>
          <w:numId w:val="11"/>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 xml:space="preserve">الفرضية الفرعية الثالثة: </w:t>
      </w:r>
      <w:r w:rsidRPr="005D60FD">
        <w:rPr>
          <w:rFonts w:ascii="Times New Roman" w:eastAsia="Calibri" w:hAnsi="Times New Roman" w:cs="Simplified Arabic"/>
          <w:sz w:val="24"/>
          <w:szCs w:val="28"/>
          <w:rtl/>
        </w:rPr>
        <w:t>يُوجد أثر ذو دلالة إحصائية لتطبيق مبدأ المشاركة في تحسين كفاءة أداء المشاريع الحكومية في المملكة العربية السعودية.</w:t>
      </w:r>
    </w:p>
    <w:p w14:paraId="07279058" w14:textId="77777777" w:rsidR="005D60FD" w:rsidRPr="005D60FD" w:rsidRDefault="005D60FD" w:rsidP="00F7353C">
      <w:pPr>
        <w:numPr>
          <w:ilvl w:val="0"/>
          <w:numId w:val="11"/>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الفرضية الفرعية الرابعة: </w:t>
      </w:r>
      <w:r w:rsidRPr="005D60FD">
        <w:rPr>
          <w:rFonts w:ascii="Times New Roman" w:eastAsia="Calibri" w:hAnsi="Times New Roman" w:cs="Simplified Arabic"/>
          <w:sz w:val="24"/>
          <w:szCs w:val="28"/>
          <w:rtl/>
        </w:rPr>
        <w:t>يُوجد أثر ذو دلالة إحصائية لتطبيق مبدأ التنسيق بين الجهات الحكومية في تحسين كفاءة أداء المشاريع الحكومية في المملكة العربية السعودية.</w:t>
      </w:r>
    </w:p>
    <w:p w14:paraId="13D93B8A"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8</w:t>
      </w:r>
      <w:r w:rsidRPr="005D60FD">
        <w:rPr>
          <w:rFonts w:ascii="Times New Roman" w:eastAsia="Calibri" w:hAnsi="Times New Roman" w:cs="Simplified Arabic"/>
          <w:b/>
          <w:bCs/>
          <w:sz w:val="24"/>
          <w:szCs w:val="28"/>
          <w:rtl/>
        </w:rPr>
        <w:t>. حدود الدراسة</w:t>
      </w:r>
    </w:p>
    <w:p w14:paraId="0FCDE01F" w14:textId="77777777" w:rsidR="005D60FD" w:rsidRPr="005D60FD" w:rsidRDefault="005D60FD" w:rsidP="00F7353C">
      <w:pPr>
        <w:numPr>
          <w:ilvl w:val="0"/>
          <w:numId w:val="12"/>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الحدود العلمية (الموضوعية): </w:t>
      </w:r>
      <w:r w:rsidRPr="005D60FD">
        <w:rPr>
          <w:rFonts w:ascii="Times New Roman" w:eastAsia="Calibri" w:hAnsi="Times New Roman" w:cs="Simplified Arabic"/>
          <w:sz w:val="24"/>
          <w:szCs w:val="28"/>
          <w:rtl/>
        </w:rPr>
        <w:t>اقتصرت الدراسة الحالية على متغيرين رئيسين هما: الحوكمة الإدارية (بأبعادها الأربعة: الشفافية، المساءلة، المشاركة، التنسيق)، وكفاءة أداء المشاريع الحكومية (بأبعادها الأربعة: الالتزام بالجداول الزمنية، كفاءة استخدام الموارد، جودة المخرجات، رضا أصحاب المصلحة).</w:t>
      </w:r>
    </w:p>
    <w:p w14:paraId="681BC792" w14:textId="77777777" w:rsidR="005D60FD" w:rsidRPr="005D60FD" w:rsidRDefault="005D60FD" w:rsidP="00F7353C">
      <w:pPr>
        <w:numPr>
          <w:ilvl w:val="0"/>
          <w:numId w:val="12"/>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الحدود المكانية: </w:t>
      </w:r>
      <w:r w:rsidRPr="005D60FD">
        <w:rPr>
          <w:rFonts w:ascii="Times New Roman" w:eastAsia="Calibri" w:hAnsi="Times New Roman" w:cs="Simplified Arabic"/>
          <w:sz w:val="24"/>
          <w:szCs w:val="28"/>
          <w:rtl/>
        </w:rPr>
        <w:t>اقتصرت الدراسة على المؤسسات الحكومية في المملكة العربية السعودية.</w:t>
      </w:r>
    </w:p>
    <w:p w14:paraId="0CC422BB" w14:textId="77777777" w:rsidR="005D60FD" w:rsidRPr="005D60FD" w:rsidRDefault="005D60FD" w:rsidP="00F7353C">
      <w:pPr>
        <w:numPr>
          <w:ilvl w:val="0"/>
          <w:numId w:val="12"/>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الحدود البشرية: </w:t>
      </w:r>
      <w:r w:rsidRPr="005D60FD">
        <w:rPr>
          <w:rFonts w:ascii="Times New Roman" w:eastAsia="Calibri" w:hAnsi="Times New Roman" w:cs="Simplified Arabic"/>
          <w:sz w:val="24"/>
          <w:szCs w:val="28"/>
          <w:rtl/>
        </w:rPr>
        <w:t>اقتصر مجتمع الدراسة وعينتها على المديرين التنفيذيين، ومديري المشاريع، ورؤساء الأقسام، ومسؤولي التخطيط والمتابعة في المؤسسات الحكومية السعودية.</w:t>
      </w:r>
    </w:p>
    <w:p w14:paraId="5B75089E" w14:textId="77777777" w:rsidR="005D60FD" w:rsidRPr="005D60FD" w:rsidRDefault="005D60FD" w:rsidP="00F7353C">
      <w:pPr>
        <w:numPr>
          <w:ilvl w:val="0"/>
          <w:numId w:val="12"/>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الحدود الزمنية: </w:t>
      </w:r>
      <w:r w:rsidRPr="005D60FD">
        <w:rPr>
          <w:rFonts w:ascii="Times New Roman" w:eastAsia="Calibri" w:hAnsi="Times New Roman" w:cs="Simplified Arabic"/>
          <w:sz w:val="24"/>
          <w:szCs w:val="28"/>
          <w:rtl/>
        </w:rPr>
        <w:t>طُبقت الدراسة ميدانياً خلال شهر يونيو من عام (</w:t>
      </w:r>
      <w:proofErr w:type="spellStart"/>
      <w:r w:rsidRPr="005D60FD">
        <w:rPr>
          <w:rFonts w:ascii="Times New Roman" w:eastAsia="Calibri" w:hAnsi="Times New Roman" w:cs="Simplified Arabic"/>
          <w:sz w:val="24"/>
          <w:szCs w:val="28"/>
          <w:rtl/>
        </w:rPr>
        <w:t>2026م</w:t>
      </w:r>
      <w:proofErr w:type="spellEnd"/>
      <w:r w:rsidRPr="005D60FD">
        <w:rPr>
          <w:rFonts w:ascii="Times New Roman" w:eastAsia="Calibri" w:hAnsi="Times New Roman" w:cs="Simplified Arabic"/>
          <w:sz w:val="24"/>
          <w:szCs w:val="28"/>
          <w:rtl/>
        </w:rPr>
        <w:t>)، وجمعت البيانات في فترة زمنية محددة استمرت أربعة أسابيع.</w:t>
      </w:r>
    </w:p>
    <w:p w14:paraId="33D88771"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Pr>
        <w:t>9</w:t>
      </w:r>
      <w:r w:rsidRPr="005D60FD">
        <w:rPr>
          <w:rFonts w:ascii="Times New Roman" w:eastAsia="Calibri" w:hAnsi="Times New Roman" w:cs="Simplified Arabic"/>
          <w:b/>
          <w:bCs/>
          <w:sz w:val="24"/>
          <w:szCs w:val="28"/>
          <w:rtl/>
        </w:rPr>
        <w:t>. المفاهيم الاصطلاحية والإجرائية</w:t>
      </w:r>
    </w:p>
    <w:p w14:paraId="14D0BF10"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أولاً: المتغير المستقل: الحوكمة الإدارية</w:t>
      </w:r>
    </w:p>
    <w:p w14:paraId="273E8774"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يُعرِّف (عطا، 2018، ص 1820) الحوكمة الإدارية بأنها مجموعة المبادئ والآليات التي تنظم العلاقات بين الأطراف المعنية بالمؤسسة، وتحدد مسؤولياتها وصلاحياتها، وتضمن سير العمل وفق معايير النزاهة والشفافية والعدالة. كما تُعرّفها منظمة التعاون الاقتصادي والتنمية (</w:t>
      </w:r>
      <w:r w:rsidRPr="005D60FD">
        <w:rPr>
          <w:rFonts w:ascii="Times New Roman" w:eastAsia="Calibri" w:hAnsi="Times New Roman" w:cs="Simplified Arabic"/>
          <w:sz w:val="24"/>
          <w:szCs w:val="28"/>
        </w:rPr>
        <w:t>OECD, 2024, p. 12</w:t>
      </w:r>
      <w:r w:rsidRPr="005D60FD">
        <w:rPr>
          <w:rFonts w:ascii="Times New Roman" w:eastAsia="Calibri" w:hAnsi="Times New Roman" w:cs="Simplified Arabic"/>
          <w:sz w:val="24"/>
          <w:szCs w:val="28"/>
          <w:rtl/>
        </w:rPr>
        <w:t xml:space="preserve">) بأنها الإطار المؤسسي الذي يضمن توزيع الصلاحيات والمسؤوليات بشكل واضح، مع تفعيل آليات الرقابة والمحاسبة لضمان تحقيق الأهداف العامة بكفاءة. ويُعرِّف (القرشي، 2020، ص 235) الحوكمة في السياق الحكومي السعودي بأنها النظام المؤسسي الذي يضمن ممارسة </w:t>
      </w:r>
      <w:r w:rsidRPr="005D60FD">
        <w:rPr>
          <w:rFonts w:ascii="Times New Roman" w:eastAsia="Calibri" w:hAnsi="Times New Roman" w:cs="Simplified Arabic"/>
          <w:sz w:val="24"/>
          <w:szCs w:val="28"/>
          <w:rtl/>
        </w:rPr>
        <w:lastRenderedPageBreak/>
        <w:t>السلطة وفق مبادئ الشفافية والمساءلة والمشاركة، بما يحقق الاستغلال الأمثل للموارد ويعزز ثقة المواطنين في الأداء الحكومي.</w:t>
      </w:r>
    </w:p>
    <w:p w14:paraId="24DF4149"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وفي سياق هذه الدراسة، يُعرف مصطلح الحوكمة الإدارية إجرائياً، بأنه: </w:t>
      </w:r>
      <w:r w:rsidRPr="005D60FD">
        <w:rPr>
          <w:rFonts w:ascii="Times New Roman" w:eastAsia="Calibri" w:hAnsi="Times New Roman" w:cs="Simplified Arabic"/>
          <w:sz w:val="24"/>
          <w:szCs w:val="28"/>
          <w:rtl/>
        </w:rPr>
        <w:t>درجة تطبيق المؤسسات الحكومية السعودية لأربع ممارسات رئيسة، وهي: الشفافية في الإفصاح عن المعلومات المتعلقة بالمشاريع، والمساءلة من خلال آليات رقابية واضحة ومحاسبة المقصرين، والمشاركة الفاعلة لأصحاب المصلحة في صنع القرار، والتنسيق الفعال بين الجهات الحكومية المختلفة، وذلك وفقاً لما يدركه المسؤولون عن إدارة المشاريع والتخطيط في تلك المؤسسات.</w:t>
      </w:r>
    </w:p>
    <w:p w14:paraId="23D866B0"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تعريفات أبعاد المتغير المستقل (الحوكمة الإدارية)</w:t>
      </w:r>
    </w:p>
    <w:p w14:paraId="3FE82742" w14:textId="77777777" w:rsidR="005D60FD" w:rsidRPr="005D60FD" w:rsidRDefault="005D60FD" w:rsidP="00F7353C">
      <w:pPr>
        <w:numPr>
          <w:ilvl w:val="0"/>
          <w:numId w:val="13"/>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الشفافية (</w:t>
      </w:r>
      <w:r w:rsidRPr="005D60FD">
        <w:rPr>
          <w:rFonts w:ascii="Times New Roman" w:eastAsia="Calibri" w:hAnsi="Times New Roman" w:cs="Simplified Arabic"/>
          <w:b/>
          <w:bCs/>
          <w:sz w:val="24"/>
          <w:szCs w:val="28"/>
        </w:rPr>
        <w:t>Transparency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يُعرِّف (عطا، 2018، ص 1825) الشفافية بأنها مدى وضوح وعلانية المعلومات والإجراءات والقرارات، وإتاحتها لجميع الأطراف المعنية بطريقة مفهومة وفي الوقت المناسب. وفي هذه الدراسة، يُعرف الشفافية إجرائياً، بأنه: المدى الذي تقوم فيه المؤسسات الحكومية بالإفصاح عن المعلومات المتعلقة بمشاريعها (الميزانيات، الجداول الزمنية، مراحل التنفيذ، التقارير) لجميع أصحاب المصلحة، وتوفير قنوات واضحة للاطلاع على سير العمل.</w:t>
      </w:r>
    </w:p>
    <w:p w14:paraId="4836E718" w14:textId="77777777" w:rsidR="005D60FD" w:rsidRPr="005D60FD" w:rsidRDefault="005D60FD" w:rsidP="00F7353C">
      <w:pPr>
        <w:numPr>
          <w:ilvl w:val="0"/>
          <w:numId w:val="13"/>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المساءلة (</w:t>
      </w:r>
      <w:r w:rsidRPr="005D60FD">
        <w:rPr>
          <w:rFonts w:ascii="Times New Roman" w:eastAsia="Calibri" w:hAnsi="Times New Roman" w:cs="Simplified Arabic"/>
          <w:b/>
          <w:bCs/>
          <w:sz w:val="24"/>
          <w:szCs w:val="28"/>
        </w:rPr>
        <w:t>Accountability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يُعرِّف (</w:t>
      </w:r>
      <w:r w:rsidRPr="005D60FD">
        <w:rPr>
          <w:rFonts w:ascii="Times New Roman" w:eastAsia="Calibri" w:hAnsi="Times New Roman" w:cs="Simplified Arabic"/>
          <w:sz w:val="24"/>
          <w:szCs w:val="28"/>
        </w:rPr>
        <w:t>Bovens, 2007, p. 450</w:t>
      </w:r>
      <w:r w:rsidRPr="005D60FD">
        <w:rPr>
          <w:rFonts w:ascii="Times New Roman" w:eastAsia="Calibri" w:hAnsi="Times New Roman" w:cs="Simplified Arabic"/>
          <w:sz w:val="24"/>
          <w:szCs w:val="28"/>
          <w:rtl/>
        </w:rPr>
        <w:t>) المساءلة بأنها العلاقة الاجتماعية التي بموجبها يلتزم الفرد أو المؤسسة بتقديم شرح وتبرير لأفعاله وقراراته لجهة رقابية، ويتحمل العواقب المترتبة عليها. وفي هذه الدراسة، يُعرف المساءلة إجرائياً، بأنه: المدى الذي تتبنى فيه المؤسسات الحكومية آليات رقابية واضحة لمحاسبة المسؤولين عن القصور أو الإخفاق في تنفيذ المشاريع، وتحديد المسؤوليات بدقة، وضمان تطبيق الجزاءات عند الاقتضاء.</w:t>
      </w:r>
    </w:p>
    <w:p w14:paraId="7D4C4E92" w14:textId="77777777" w:rsidR="005D60FD" w:rsidRPr="005D60FD" w:rsidRDefault="005D60FD" w:rsidP="00F7353C">
      <w:pPr>
        <w:numPr>
          <w:ilvl w:val="0"/>
          <w:numId w:val="13"/>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المشاركة (</w:t>
      </w:r>
      <w:r w:rsidRPr="005D60FD">
        <w:rPr>
          <w:rFonts w:ascii="Times New Roman" w:eastAsia="Calibri" w:hAnsi="Times New Roman" w:cs="Simplified Arabic"/>
          <w:b/>
          <w:bCs/>
          <w:sz w:val="24"/>
          <w:szCs w:val="28"/>
        </w:rPr>
        <w:t>Participation</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 xml:space="preserve">يُعرِّف (القرشي، 2020، ص 238) المشاركة بأنها إشراك الأطراف المعنية في عمليات صنع القرار، والاستماع لآرائهم وتغذيتهم الراجعة، وتعزيز الشعور بالملكية والمسؤولية المشتركة. وفي هذه الدراسة، يُعرف المشاركة إجرائياً، بأنه: المدى الذي تُشرك فيه المؤسسات الحكومية أصحاب المصلحة (الموظفين، المستفيدين، </w:t>
      </w:r>
      <w:r w:rsidRPr="005D60FD">
        <w:rPr>
          <w:rFonts w:ascii="Times New Roman" w:eastAsia="Calibri" w:hAnsi="Times New Roman" w:cs="Simplified Arabic"/>
          <w:sz w:val="24"/>
          <w:szCs w:val="28"/>
          <w:rtl/>
        </w:rPr>
        <w:lastRenderedPageBreak/>
        <w:t>المجتمع، القطاع الخاص) في عمليات صنع القرار المتعلقة بالمشاريع، والاستماع لآرائهم وتغذيتهم الراجعة.</w:t>
      </w:r>
    </w:p>
    <w:p w14:paraId="736F227C" w14:textId="77777777" w:rsidR="005D60FD" w:rsidRPr="005D60FD" w:rsidRDefault="005D60FD" w:rsidP="00F7353C">
      <w:pPr>
        <w:numPr>
          <w:ilvl w:val="0"/>
          <w:numId w:val="13"/>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التنسيق (</w:t>
      </w:r>
      <w:r w:rsidRPr="005D60FD">
        <w:rPr>
          <w:rFonts w:ascii="Times New Roman" w:eastAsia="Calibri" w:hAnsi="Times New Roman" w:cs="Simplified Arabic"/>
          <w:b/>
          <w:bCs/>
          <w:sz w:val="24"/>
          <w:szCs w:val="28"/>
        </w:rPr>
        <w:t>Coordination</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يُعرِّف (</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ص 15) التنسيق في السياق الحكومي بأنه تكامل الجهود بين الجهات الحكومية المختلفة، وتوحيد الرؤى والخطط، ومنع تداخل الاختصاصات أو تضارب المصالح، بما يضمن سلاسة تنفيذ المشاريع. وفي هذه الدراسة، يُعرف التنسيق إجرائياً، بأنه: المدى الذي تعزز فيه المؤسسات الحكومية التعاون والتكامل مع الجهات الأخرى، وتوحيد الجهود، وتجنب ازدواجية العمل أو تضارب المصالح، لضمان سلاسة تنفيذ المشاريع وتحقيق الأهداف المشتركة.</w:t>
      </w:r>
    </w:p>
    <w:p w14:paraId="098ADB2C"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ثانياً: المتغير التابع: كفاءة أداء المشاريع الحكومية</w:t>
      </w:r>
    </w:p>
    <w:p w14:paraId="2F06DEA8"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يُعرِّف (</w:t>
      </w:r>
      <w:r w:rsidRPr="005D60FD">
        <w:rPr>
          <w:rFonts w:ascii="Times New Roman" w:eastAsia="Calibri" w:hAnsi="Times New Roman" w:cs="Simplified Arabic"/>
          <w:sz w:val="24"/>
          <w:szCs w:val="28"/>
        </w:rPr>
        <w:t>Project Management Institute [PMI], 2021, p. 45</w:t>
      </w:r>
      <w:r w:rsidRPr="005D60FD">
        <w:rPr>
          <w:rFonts w:ascii="Times New Roman" w:eastAsia="Calibri" w:hAnsi="Times New Roman" w:cs="Simplified Arabic"/>
          <w:sz w:val="24"/>
          <w:szCs w:val="28"/>
          <w:rtl/>
        </w:rPr>
        <w:t>) كفاءة أداء المشاريع بأنها مدى تحقيق المشروع لأهدافه ضمن قيود الوقت والتكلفة والجودة، مع الاستخدام الأمثل للموارد المتاحة. كما يُعرِّف (</w:t>
      </w:r>
      <w:r w:rsidRPr="005D60FD">
        <w:rPr>
          <w:rFonts w:ascii="Times New Roman" w:eastAsia="Calibri" w:hAnsi="Times New Roman" w:cs="Simplified Arabic"/>
          <w:sz w:val="24"/>
          <w:szCs w:val="28"/>
        </w:rPr>
        <w:t>Kerzner &amp; Kerzner, 2022, p. 78</w:t>
      </w:r>
      <w:r w:rsidRPr="005D60FD">
        <w:rPr>
          <w:rFonts w:ascii="Times New Roman" w:eastAsia="Calibri" w:hAnsi="Times New Roman" w:cs="Simplified Arabic"/>
          <w:sz w:val="24"/>
          <w:szCs w:val="28"/>
          <w:rtl/>
        </w:rPr>
        <w:t>) كفاءة المشروع بأنها نسبة المخرجات المحققة إلى المدخلات المستخدمة، مع الأخذ في الاعتبار الالتزام بالجدول الزمني والميزانية وجودة التسليم. وتُعرِّف دراسة (العتيبي، 2023، ص 112) كفاءة أداء المشاريع الحكومية في السياق السعودي بأنها قدرة الجهة الحكومية على إنجاز مشاريعها ضمن الفترات الزمنية المحددة، وبالميزانيات المعتمدة، وبالجودة المطلوبة، مع تحقيق رضا المستفيدين.</w:t>
      </w:r>
    </w:p>
    <w:p w14:paraId="3598AB4C"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وفي سياق هذه الدراسة، يُعرف مصطلح كفاءة أداء المشاريع الحكومية إجرائياً، بأنه: </w:t>
      </w:r>
      <w:r w:rsidRPr="005D60FD">
        <w:rPr>
          <w:rFonts w:ascii="Times New Roman" w:eastAsia="Calibri" w:hAnsi="Times New Roman" w:cs="Simplified Arabic"/>
          <w:sz w:val="24"/>
          <w:szCs w:val="28"/>
          <w:rtl/>
        </w:rPr>
        <w:t>المستوى الذي ترى فيه المؤسسات الحكومية السعودية قدرتها على تحقيق أربعة مجالات رئيسة، وهي: الالتزام بالجداول الزمنية (إنجاز المخرجات ضمن الفترات المحددة)، وكفاءة استخدام الموارد (الاستخدام الأمثل للموارد المالية والبشرية والمادية)، وجودة المخرجات (تحقيق المخرجات للمواصفات والمعايير المطلوبة)، ورضا أصحاب المصلحة (رضا الأطراف المعنية عن أداء المشروع ومخرجاته)، وذلك وفقاً لتقديرات المسؤولين عن إدارة المشاريع والتخطيط في تلك المؤسسات.</w:t>
      </w:r>
    </w:p>
    <w:p w14:paraId="43072AC2" w14:textId="77777777" w:rsidR="00B53F89" w:rsidRDefault="00B53F89" w:rsidP="005D60FD">
      <w:pPr>
        <w:spacing w:after="240" w:line="276" w:lineRule="auto"/>
        <w:ind w:firstLine="567"/>
        <w:jc w:val="both"/>
        <w:rPr>
          <w:rFonts w:ascii="Times New Roman" w:eastAsia="Calibri" w:hAnsi="Times New Roman" w:cs="Simplified Arabic"/>
          <w:b/>
          <w:bCs/>
          <w:sz w:val="24"/>
          <w:szCs w:val="28"/>
          <w:rtl/>
        </w:rPr>
      </w:pPr>
    </w:p>
    <w:p w14:paraId="6FECEE67" w14:textId="77777777" w:rsidR="00B53F89" w:rsidRDefault="00B53F89" w:rsidP="005D60FD">
      <w:pPr>
        <w:spacing w:after="240" w:line="276" w:lineRule="auto"/>
        <w:ind w:firstLine="567"/>
        <w:jc w:val="both"/>
        <w:rPr>
          <w:rFonts w:ascii="Times New Roman" w:eastAsia="Calibri" w:hAnsi="Times New Roman" w:cs="Simplified Arabic"/>
          <w:b/>
          <w:bCs/>
          <w:sz w:val="24"/>
          <w:szCs w:val="28"/>
          <w:rtl/>
        </w:rPr>
      </w:pPr>
    </w:p>
    <w:p w14:paraId="3CF05B66" w14:textId="050019DD"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lastRenderedPageBreak/>
        <w:t>تعريفات أبعاد المتغير التابع (كفاءة أداء المشاريع الحكومية)</w:t>
      </w:r>
    </w:p>
    <w:p w14:paraId="6BEF3B42" w14:textId="77777777" w:rsidR="005D60FD" w:rsidRPr="005D60FD" w:rsidRDefault="005D60FD" w:rsidP="00F7353C">
      <w:pPr>
        <w:numPr>
          <w:ilvl w:val="0"/>
          <w:numId w:val="14"/>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الالتزام بالجداول الزمنية (</w:t>
      </w:r>
      <w:r w:rsidRPr="005D60FD">
        <w:rPr>
          <w:rFonts w:ascii="Times New Roman" w:eastAsia="Calibri" w:hAnsi="Times New Roman" w:cs="Simplified Arabic"/>
          <w:b/>
          <w:bCs/>
          <w:sz w:val="24"/>
          <w:szCs w:val="28"/>
        </w:rPr>
        <w:t>Schedule Adherence</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يُعرِّف (</w:t>
      </w:r>
      <w:r w:rsidRPr="005D60FD">
        <w:rPr>
          <w:rFonts w:ascii="Times New Roman" w:eastAsia="Calibri" w:hAnsi="Times New Roman" w:cs="Simplified Arabic"/>
          <w:sz w:val="24"/>
          <w:szCs w:val="28"/>
        </w:rPr>
        <w:t>PMI, 2021, p. 215</w:t>
      </w:r>
      <w:r w:rsidRPr="005D60FD">
        <w:rPr>
          <w:rFonts w:ascii="Times New Roman" w:eastAsia="Calibri" w:hAnsi="Times New Roman" w:cs="Simplified Arabic"/>
          <w:sz w:val="24"/>
          <w:szCs w:val="28"/>
          <w:rtl/>
        </w:rPr>
        <w:t>) الالتزام بالجدول الزمني بأنه درجة مطابقة التقدم الفعلي للمشروع مع الجدول الزمني المخطط له، مع قياس الانحرافات واتخاذ الإجراءات التصحيحية. وفي هذه الدراسة، يُعرف الالتزام بالجداول الزمنية إجرائياً، بأنه: المدى الذي تلتزم فيه المؤسسات الحكومية بالجداول الزمنية المحددة للمشاريع، وتُنجز مخرجاتها ضمن الفترات المخطط لها، وتُقلل من التأخيرات غير المبررة.</w:t>
      </w:r>
    </w:p>
    <w:p w14:paraId="53C13FB2" w14:textId="77777777" w:rsidR="005D60FD" w:rsidRPr="005D60FD" w:rsidRDefault="005D60FD" w:rsidP="00F7353C">
      <w:pPr>
        <w:numPr>
          <w:ilvl w:val="0"/>
          <w:numId w:val="14"/>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كفاءة استخدام الموارد (</w:t>
      </w:r>
      <w:r w:rsidRPr="005D60FD">
        <w:rPr>
          <w:rFonts w:ascii="Times New Roman" w:eastAsia="Calibri" w:hAnsi="Times New Roman" w:cs="Simplified Arabic"/>
          <w:b/>
          <w:bCs/>
          <w:sz w:val="24"/>
          <w:szCs w:val="28"/>
        </w:rPr>
        <w:t>Resource Efficiency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يُعرِّف (</w:t>
      </w:r>
      <w:r w:rsidRPr="005D60FD">
        <w:rPr>
          <w:rFonts w:ascii="Times New Roman" w:eastAsia="Calibri" w:hAnsi="Times New Roman" w:cs="Simplified Arabic"/>
          <w:sz w:val="24"/>
          <w:szCs w:val="28"/>
        </w:rPr>
        <w:t>Kerzner &amp; Kerzner, 2022, p. 312</w:t>
      </w:r>
      <w:r w:rsidRPr="005D60FD">
        <w:rPr>
          <w:rFonts w:ascii="Times New Roman" w:eastAsia="Calibri" w:hAnsi="Times New Roman" w:cs="Simplified Arabic"/>
          <w:sz w:val="24"/>
          <w:szCs w:val="28"/>
          <w:rtl/>
        </w:rPr>
        <w:t>) كفاءة الموارد بأنها نسبة المخرجات المحققة إلى المدخلات المستخدمة من موارد (مالية، بشرية، مادية، تقنية)، مع تقليل الهدر وزيادة الإنتاجية. وفي هذه الدراسة، يُعرف كفاءة استخدام الموارد إجرائياً، بأنه: المدى الذي تستخدم فيه المؤسسات الحكومية مواردها (المالية، البشرية، المادية) بشكل أمثل، وتُقلل من الهدر، وتضمن تحقيق أقصى عائد من الاستثمار في المشاريع.</w:t>
      </w:r>
    </w:p>
    <w:p w14:paraId="37B57F15" w14:textId="77777777" w:rsidR="005D60FD" w:rsidRPr="005D60FD" w:rsidRDefault="005D60FD" w:rsidP="00F7353C">
      <w:pPr>
        <w:numPr>
          <w:ilvl w:val="0"/>
          <w:numId w:val="14"/>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جودة المخرجات (</w:t>
      </w:r>
      <w:r w:rsidRPr="005D60FD">
        <w:rPr>
          <w:rFonts w:ascii="Times New Roman" w:eastAsia="Calibri" w:hAnsi="Times New Roman" w:cs="Simplified Arabic"/>
          <w:b/>
          <w:bCs/>
          <w:sz w:val="24"/>
          <w:szCs w:val="28"/>
        </w:rPr>
        <w:t>Output Quality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يُعرِّف (</w:t>
      </w:r>
      <w:r w:rsidRPr="005D60FD">
        <w:rPr>
          <w:rFonts w:ascii="Times New Roman" w:eastAsia="Calibri" w:hAnsi="Times New Roman" w:cs="Simplified Arabic"/>
          <w:sz w:val="24"/>
          <w:szCs w:val="28"/>
        </w:rPr>
        <w:t>PMI, 2021, p. 274</w:t>
      </w:r>
      <w:r w:rsidRPr="005D60FD">
        <w:rPr>
          <w:rFonts w:ascii="Times New Roman" w:eastAsia="Calibri" w:hAnsi="Times New Roman" w:cs="Simplified Arabic"/>
          <w:sz w:val="24"/>
          <w:szCs w:val="28"/>
          <w:rtl/>
        </w:rPr>
        <w:t>) جودة المشروع بأنها مدى مطابقة مخرجات المشروع للمواصفات والمعايير المطلوبة، وخلوها من العيوب، وملاءمتها لاحتياجات المستفيدين. وفي هذه الدراسة، يُعرف جودة المخرجات إجرائياً، بأنه: المدى الذي تحقق فيه مخرجات المشاريع الحكومية المواصفات والمعايير المطلوبة، وتكون خالية من العيوب، وتُلبي احتياجات المستفيدين بشكل مرضٍ.</w:t>
      </w:r>
    </w:p>
    <w:p w14:paraId="48D9264A" w14:textId="77777777" w:rsidR="005D60FD" w:rsidRPr="005D60FD" w:rsidRDefault="005D60FD" w:rsidP="00F7353C">
      <w:pPr>
        <w:numPr>
          <w:ilvl w:val="0"/>
          <w:numId w:val="14"/>
        </w:numPr>
        <w:spacing w:after="24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بُعد رضا أصحاب المصلحة (</w:t>
      </w:r>
      <w:r w:rsidRPr="005D60FD">
        <w:rPr>
          <w:rFonts w:ascii="Times New Roman" w:eastAsia="Calibri" w:hAnsi="Times New Roman" w:cs="Simplified Arabic"/>
          <w:b/>
          <w:bCs/>
          <w:sz w:val="24"/>
          <w:szCs w:val="28"/>
        </w:rPr>
        <w:t>Stakeholder Satisfaction</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يُعرِّف (</w:t>
      </w:r>
      <w:r w:rsidRPr="005D60FD">
        <w:rPr>
          <w:rFonts w:ascii="Times New Roman" w:eastAsia="Calibri" w:hAnsi="Times New Roman" w:cs="Simplified Arabic"/>
          <w:sz w:val="24"/>
          <w:szCs w:val="28"/>
        </w:rPr>
        <w:t>PMI, 2021, p. 134</w:t>
      </w:r>
      <w:r w:rsidRPr="005D60FD">
        <w:rPr>
          <w:rFonts w:ascii="Times New Roman" w:eastAsia="Calibri" w:hAnsi="Times New Roman" w:cs="Simplified Arabic"/>
          <w:sz w:val="24"/>
          <w:szCs w:val="28"/>
          <w:rtl/>
        </w:rPr>
        <w:t>) رضا أصحاب المصلحة بأنه مستوى إدراك وتقييم أصحاب المصلحة بأن توقعاتهم واحتياجاتهم قد تم تلبيتها أو تجاوزها من خلال عمليات ومخرجات المشروع. وفي هذه الدراسة، يُعرف رضا أصحاب المصلحة إجرائياً، بأنه: المدى الذي يعبر فيه أصحاب المصلحة (المستفيدين، الموظفين، الجهات الرقابية، المجتمع) عن رضاهم عن أداء المشروع ومخرجاته، وجودة الخدمات المقدمة، ومدى تلبيتها لتوقعاتهم واحتياجاتهم.</w:t>
      </w:r>
    </w:p>
    <w:p w14:paraId="4D9EC0AB" w14:textId="77777777" w:rsidR="005D60FD" w:rsidRPr="005D60FD" w:rsidRDefault="005D60FD" w:rsidP="005D60FD">
      <w:pPr>
        <w:spacing w:after="24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lastRenderedPageBreak/>
        <w:t>ثالثاً: بيئة الدراسة: المؤسسات الحكومية في المملكة العربية السعودية</w:t>
      </w:r>
    </w:p>
    <w:p w14:paraId="5E524D84"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يُعرِّف (برنامج التحول الوطني، 2025، ص 8) المؤسسات الحكومية في المملكة بأنها جميع الجهات والهيئات والوزارات والمؤسسات العامة والأمانات والبلديات التي تمثل أجهزة الدولة وتؤدي وظائفها في إطار النظام العام، وتخضع لرقابة الجهات العليا، وتُموَّل من الميزانية العامة للدولة.</w:t>
      </w:r>
    </w:p>
    <w:p w14:paraId="1674A24A"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وفي سياق هذه الدراسة، تُعرف بيئة الدراسة إجرائياً، بأنها: </w:t>
      </w:r>
      <w:r w:rsidRPr="005D60FD">
        <w:rPr>
          <w:rFonts w:ascii="Times New Roman" w:eastAsia="Calibri" w:hAnsi="Times New Roman" w:cs="Simplified Arabic"/>
          <w:sz w:val="24"/>
          <w:szCs w:val="28"/>
          <w:rtl/>
        </w:rPr>
        <w:t>جميع المؤسسات الحكومية (الوزارات، الهيئات الحكومية، المؤسسات العامة، الأمانات والبلديات) العاملة في المملكة العربية السعودية، والتي لديها هيكل إداري يتضمن آليات لإدارة المشاريع وتطبيق الحوكمة، وذلك خلال الفترة الزمنية الممتدة من إبريل إلى يونيو (</w:t>
      </w:r>
      <w:proofErr w:type="spellStart"/>
      <w:r w:rsidRPr="005D60FD">
        <w:rPr>
          <w:rFonts w:ascii="Times New Roman" w:eastAsia="Calibri" w:hAnsi="Times New Roman" w:cs="Simplified Arabic"/>
          <w:sz w:val="24"/>
          <w:szCs w:val="28"/>
          <w:rtl/>
        </w:rPr>
        <w:t>2026م</w:t>
      </w:r>
      <w:proofErr w:type="spellEnd"/>
      <w:r w:rsidRPr="005D60FD">
        <w:rPr>
          <w:rFonts w:ascii="Times New Roman" w:eastAsia="Calibri" w:hAnsi="Times New Roman" w:cs="Simplified Arabic"/>
          <w:sz w:val="24"/>
          <w:szCs w:val="28"/>
          <w:rtl/>
        </w:rPr>
        <w:t>).</w:t>
      </w:r>
    </w:p>
    <w:p w14:paraId="1382A27D" w14:textId="77777777" w:rsidR="005D60FD" w:rsidRPr="005D60FD" w:rsidRDefault="005D60FD" w:rsidP="005D60FD">
      <w:pPr>
        <w:spacing w:after="240" w:line="276" w:lineRule="auto"/>
        <w:ind w:firstLine="567"/>
        <w:jc w:val="both"/>
        <w:rPr>
          <w:rFonts w:ascii="Times New Roman" w:eastAsia="Calibri" w:hAnsi="Times New Roman" w:cs="Simplified Arabic"/>
          <w:sz w:val="24"/>
          <w:szCs w:val="28"/>
        </w:rPr>
      </w:pPr>
    </w:p>
    <w:p w14:paraId="15A05254" w14:textId="77777777" w:rsidR="005D60FD" w:rsidRPr="005D60FD" w:rsidRDefault="005D60FD" w:rsidP="005D60FD">
      <w:pPr>
        <w:spacing w:after="360" w:line="240" w:lineRule="auto"/>
        <w:ind w:firstLine="567"/>
        <w:jc w:val="both"/>
        <w:rPr>
          <w:rFonts w:ascii="Times New Roman" w:eastAsia="Calibri" w:hAnsi="Times New Roman" w:cs="Simplified Arabic"/>
          <w:sz w:val="24"/>
          <w:szCs w:val="28"/>
        </w:rPr>
      </w:pPr>
    </w:p>
    <w:p w14:paraId="42832DD7" w14:textId="77777777" w:rsidR="005D60FD" w:rsidRPr="005D60FD" w:rsidRDefault="005D60FD" w:rsidP="005D60FD">
      <w:pPr>
        <w:spacing w:after="360" w:line="240" w:lineRule="auto"/>
        <w:ind w:firstLine="567"/>
        <w:jc w:val="both"/>
        <w:rPr>
          <w:rFonts w:ascii="Times New Roman" w:eastAsia="Calibri" w:hAnsi="Times New Roman" w:cs="Simplified Arabic"/>
          <w:sz w:val="24"/>
          <w:szCs w:val="28"/>
          <w:rtl/>
        </w:rPr>
      </w:pPr>
      <w:r w:rsidRPr="005D60FD">
        <w:rPr>
          <w:rFonts w:ascii="Times New Roman" w:eastAsia="Calibri" w:hAnsi="Times New Roman" w:cs="Simplified Arabic"/>
          <w:sz w:val="24"/>
          <w:szCs w:val="28"/>
          <w:rtl/>
        </w:rPr>
        <w:br w:type="page"/>
      </w:r>
    </w:p>
    <w:p w14:paraId="3D827C54" w14:textId="77777777" w:rsidR="005D60FD" w:rsidRPr="005D60FD" w:rsidRDefault="005D60FD" w:rsidP="005D60FD">
      <w:pPr>
        <w:spacing w:after="360" w:line="240" w:lineRule="auto"/>
        <w:ind w:firstLine="567"/>
        <w:jc w:val="both"/>
        <w:rPr>
          <w:rFonts w:ascii="Times New Roman" w:eastAsia="Calibri" w:hAnsi="Times New Roman" w:cs="Simplified Arabic"/>
          <w:sz w:val="24"/>
          <w:szCs w:val="28"/>
          <w:rtl/>
        </w:rPr>
      </w:pPr>
    </w:p>
    <w:p w14:paraId="51E87995" w14:textId="77777777" w:rsidR="005D60FD" w:rsidRPr="005D60FD" w:rsidRDefault="005D60FD" w:rsidP="005D60FD">
      <w:pPr>
        <w:spacing w:after="360" w:line="240" w:lineRule="auto"/>
        <w:ind w:firstLine="567"/>
        <w:jc w:val="both"/>
        <w:rPr>
          <w:rFonts w:ascii="Times New Roman" w:eastAsia="Calibri" w:hAnsi="Times New Roman" w:cs="Simplified Arabic"/>
          <w:sz w:val="24"/>
          <w:szCs w:val="28"/>
          <w:rtl/>
        </w:rPr>
      </w:pPr>
    </w:p>
    <w:p w14:paraId="5E8D2584" w14:textId="77777777" w:rsidR="005D60FD" w:rsidRPr="005D60FD" w:rsidRDefault="005D60FD" w:rsidP="005D60FD">
      <w:pPr>
        <w:spacing w:after="360" w:line="240" w:lineRule="auto"/>
        <w:ind w:firstLine="567"/>
        <w:rPr>
          <w:rFonts w:ascii="Simplified Arabic" w:eastAsia="Calibri" w:hAnsi="Simplified Arabic" w:cs="PT Bold Heading"/>
          <w:sz w:val="48"/>
          <w:szCs w:val="48"/>
          <w:rtl/>
        </w:rPr>
      </w:pPr>
      <w:bookmarkStart w:id="0" w:name="_Hlk200813560"/>
    </w:p>
    <w:p w14:paraId="67E5115E" w14:textId="77777777" w:rsidR="005D60FD" w:rsidRPr="005D60FD" w:rsidRDefault="005D60FD" w:rsidP="005D60FD">
      <w:pPr>
        <w:spacing w:after="360" w:line="240" w:lineRule="auto"/>
        <w:ind w:firstLine="567"/>
        <w:jc w:val="center"/>
        <w:rPr>
          <w:rFonts w:ascii="Simplified Arabic" w:eastAsia="Calibri" w:hAnsi="Simplified Arabic" w:cs="PT Bold Heading"/>
          <w:sz w:val="48"/>
          <w:szCs w:val="48"/>
          <w:rtl/>
        </w:rPr>
      </w:pPr>
      <w:r w:rsidRPr="005D60FD">
        <w:rPr>
          <w:rFonts w:ascii="Simplified Arabic" w:eastAsia="Calibri" w:hAnsi="Simplified Arabic" w:cs="PT Bold Heading"/>
          <w:sz w:val="48"/>
          <w:szCs w:val="48"/>
          <w:rtl/>
        </w:rPr>
        <w:t>الفصل الثاني</w:t>
      </w:r>
    </w:p>
    <w:p w14:paraId="59D829E0" w14:textId="77777777" w:rsidR="005D60FD" w:rsidRPr="005D60FD" w:rsidRDefault="005D60FD" w:rsidP="005D60FD">
      <w:pPr>
        <w:spacing w:after="360" w:line="240" w:lineRule="auto"/>
        <w:ind w:firstLine="567"/>
        <w:jc w:val="center"/>
        <w:rPr>
          <w:rFonts w:ascii="Simplified Arabic" w:eastAsia="Calibri" w:hAnsi="Simplified Arabic" w:cs="PT Bold Heading"/>
          <w:sz w:val="48"/>
          <w:szCs w:val="48"/>
          <w:rtl/>
        </w:rPr>
      </w:pPr>
      <w:r w:rsidRPr="005D60FD">
        <w:rPr>
          <w:rFonts w:ascii="Simplified Arabic" w:eastAsia="Calibri" w:hAnsi="Simplified Arabic" w:cs="PT Bold Heading"/>
          <w:sz w:val="48"/>
          <w:szCs w:val="48"/>
          <w:rtl/>
        </w:rPr>
        <w:t>الإطار النظري والدراسات السابقة</w:t>
      </w:r>
    </w:p>
    <w:p w14:paraId="54CB5156" w14:textId="77777777" w:rsidR="005D60FD" w:rsidRPr="005D60FD" w:rsidRDefault="005D60FD" w:rsidP="005D60FD">
      <w:pPr>
        <w:spacing w:after="360" w:line="240" w:lineRule="auto"/>
        <w:ind w:firstLine="567"/>
        <w:jc w:val="center"/>
        <w:rPr>
          <w:rFonts w:ascii="Simplified Arabic" w:eastAsia="Calibri" w:hAnsi="Simplified Arabic" w:cs="PT Bold Heading"/>
          <w:sz w:val="48"/>
          <w:szCs w:val="48"/>
          <w:rtl/>
        </w:rPr>
      </w:pPr>
    </w:p>
    <w:p w14:paraId="16FC3DB7" w14:textId="77777777" w:rsidR="005D60FD" w:rsidRPr="005D60FD" w:rsidRDefault="005D60FD" w:rsidP="005D60FD">
      <w:pPr>
        <w:numPr>
          <w:ilvl w:val="0"/>
          <w:numId w:val="1"/>
        </w:numPr>
        <w:spacing w:after="360" w:line="240" w:lineRule="auto"/>
        <w:ind w:hanging="437"/>
        <w:contextualSpacing/>
        <w:rPr>
          <w:rFonts w:ascii="Simplified Arabic" w:eastAsia="Calibri" w:hAnsi="Simplified Arabic" w:cs="PT Bold Heading"/>
          <w:sz w:val="36"/>
          <w:szCs w:val="36"/>
          <w:rtl/>
        </w:rPr>
      </w:pPr>
      <w:r w:rsidRPr="005D60FD">
        <w:rPr>
          <w:rFonts w:ascii="Simplified Arabic" w:eastAsia="Calibri" w:hAnsi="Simplified Arabic" w:cs="PT Bold Heading"/>
          <w:sz w:val="36"/>
          <w:szCs w:val="36"/>
          <w:rtl/>
        </w:rPr>
        <w:t>مقدمة</w:t>
      </w:r>
    </w:p>
    <w:p w14:paraId="65D8576A" w14:textId="77777777" w:rsidR="005D60FD" w:rsidRPr="005D60FD" w:rsidRDefault="005D60FD" w:rsidP="005D60FD">
      <w:pPr>
        <w:spacing w:after="360" w:line="240" w:lineRule="auto"/>
        <w:ind w:left="1077" w:hanging="437"/>
        <w:rPr>
          <w:rFonts w:ascii="Simplified Arabic" w:eastAsia="Calibri" w:hAnsi="Simplified Arabic" w:cs="PT Bold Heading"/>
          <w:sz w:val="2"/>
          <w:szCs w:val="2"/>
          <w:rtl/>
        </w:rPr>
      </w:pPr>
    </w:p>
    <w:p w14:paraId="379E77B7" w14:textId="77777777" w:rsidR="005D60FD" w:rsidRPr="005D60FD" w:rsidRDefault="005D60FD" w:rsidP="005D60FD">
      <w:pPr>
        <w:numPr>
          <w:ilvl w:val="0"/>
          <w:numId w:val="1"/>
        </w:numPr>
        <w:spacing w:after="360" w:line="240" w:lineRule="auto"/>
        <w:ind w:hanging="437"/>
        <w:contextualSpacing/>
        <w:rPr>
          <w:rFonts w:ascii="Simplified Arabic" w:eastAsia="Calibri" w:hAnsi="Simplified Arabic" w:cs="PT Bold Heading"/>
          <w:sz w:val="36"/>
          <w:szCs w:val="36"/>
          <w:rtl/>
        </w:rPr>
      </w:pPr>
      <w:r w:rsidRPr="005D60FD">
        <w:rPr>
          <w:rFonts w:ascii="Simplified Arabic" w:eastAsia="Calibri" w:hAnsi="Simplified Arabic" w:cs="PT Bold Heading"/>
          <w:sz w:val="36"/>
          <w:szCs w:val="36"/>
          <w:rtl/>
        </w:rPr>
        <w:t xml:space="preserve">المحور الأول: الدراسات السابقة </w:t>
      </w:r>
    </w:p>
    <w:p w14:paraId="55638B22" w14:textId="77777777" w:rsidR="005D60FD" w:rsidRPr="005D60FD" w:rsidRDefault="005D60FD" w:rsidP="005D60FD">
      <w:pPr>
        <w:spacing w:after="360" w:line="240" w:lineRule="auto"/>
        <w:ind w:left="1077" w:hanging="437"/>
        <w:rPr>
          <w:rFonts w:ascii="Simplified Arabic" w:eastAsia="Calibri" w:hAnsi="Simplified Arabic" w:cs="PT Bold Heading"/>
          <w:sz w:val="2"/>
          <w:szCs w:val="2"/>
          <w:rtl/>
        </w:rPr>
      </w:pPr>
    </w:p>
    <w:p w14:paraId="66DD8784" w14:textId="77777777" w:rsidR="005D60FD" w:rsidRPr="005D60FD" w:rsidRDefault="005D60FD" w:rsidP="005D60FD">
      <w:pPr>
        <w:numPr>
          <w:ilvl w:val="0"/>
          <w:numId w:val="1"/>
        </w:numPr>
        <w:spacing w:after="360" w:line="240" w:lineRule="auto"/>
        <w:ind w:hanging="437"/>
        <w:contextualSpacing/>
        <w:rPr>
          <w:rFonts w:ascii="Simplified Arabic" w:eastAsia="Calibri" w:hAnsi="Simplified Arabic" w:cs="PT Bold Heading"/>
          <w:sz w:val="36"/>
          <w:szCs w:val="36"/>
          <w:rtl/>
        </w:rPr>
      </w:pPr>
      <w:r w:rsidRPr="005D60FD">
        <w:rPr>
          <w:rFonts w:ascii="Simplified Arabic" w:eastAsia="Calibri" w:hAnsi="Simplified Arabic" w:cs="PT Bold Heading"/>
          <w:sz w:val="36"/>
          <w:szCs w:val="36"/>
          <w:rtl/>
        </w:rPr>
        <w:t>المحور الثاني: الإطار النظري للدراسة</w:t>
      </w:r>
    </w:p>
    <w:bookmarkEnd w:id="0"/>
    <w:p w14:paraId="5BA4CFEF" w14:textId="77777777" w:rsidR="005D60FD" w:rsidRPr="005D60FD" w:rsidRDefault="005D60FD" w:rsidP="005D60FD">
      <w:pPr>
        <w:spacing w:after="360" w:line="240" w:lineRule="auto"/>
        <w:ind w:firstLine="567"/>
        <w:jc w:val="center"/>
        <w:rPr>
          <w:rFonts w:ascii="Simplified Arabic" w:eastAsia="Calibri" w:hAnsi="Simplified Arabic" w:cs="PT Bold Heading"/>
          <w:sz w:val="42"/>
          <w:szCs w:val="42"/>
          <w:rtl/>
        </w:rPr>
      </w:pPr>
    </w:p>
    <w:p w14:paraId="5CC9DCC3" w14:textId="77777777" w:rsidR="005D60FD" w:rsidRPr="005D60FD" w:rsidRDefault="005D60FD" w:rsidP="005D60FD">
      <w:pPr>
        <w:spacing w:after="360" w:line="240" w:lineRule="auto"/>
        <w:ind w:firstLine="567"/>
        <w:jc w:val="center"/>
        <w:rPr>
          <w:rFonts w:ascii="Simplified Arabic" w:eastAsia="Calibri" w:hAnsi="Simplified Arabic" w:cs="Simplified Arabic"/>
          <w:sz w:val="28"/>
          <w:szCs w:val="28"/>
          <w:lang w:bidi="ar-EG"/>
        </w:rPr>
      </w:pPr>
      <w:r w:rsidRPr="005D60FD">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89472" behindDoc="0" locked="0" layoutInCell="1" allowOverlap="1" wp14:anchorId="25858A03" wp14:editId="0F0C6976">
                <wp:simplePos x="0" y="0"/>
                <wp:positionH relativeFrom="column">
                  <wp:posOffset>2424576</wp:posOffset>
                </wp:positionH>
                <wp:positionV relativeFrom="paragraph">
                  <wp:posOffset>2496136</wp:posOffset>
                </wp:positionV>
                <wp:extent cx="492370" cy="400929"/>
                <wp:effectExtent l="0" t="0" r="3175" b="0"/>
                <wp:wrapNone/>
                <wp:docPr id="1742939042" name="مستطيل 3"/>
                <wp:cNvGraphicFramePr/>
                <a:graphic xmlns:a="http://schemas.openxmlformats.org/drawingml/2006/main">
                  <a:graphicData uri="http://schemas.microsoft.com/office/word/2010/wordprocessingShape">
                    <wps:wsp>
                      <wps:cNvSpPr/>
                      <wps:spPr>
                        <a:xfrm>
                          <a:off x="0" y="0"/>
                          <a:ext cx="492370" cy="400929"/>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F3BAE54" id="مستطيل 3" o:spid="_x0000_s1026" style="position:absolute;left:0;text-align:left;margin-left:190.9pt;margin-top:196.55pt;width:38.75pt;height:31.55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" fillcolor="window" stroked="f" strokeweight="2pt"/>
            </w:pict>
          </mc:Fallback>
        </mc:AlternateContent>
      </w:r>
      <w:r w:rsidRPr="005D60FD">
        <w:rPr>
          <w:rFonts w:ascii="Simplified Arabic" w:eastAsia="Calibri" w:hAnsi="Simplified Arabic" w:cs="PT Bold Heading"/>
          <w:sz w:val="48"/>
          <w:szCs w:val="48"/>
          <w:rtl/>
        </w:rPr>
        <w:br w:type="page"/>
      </w:r>
    </w:p>
    <w:p w14:paraId="472715FB" w14:textId="77777777" w:rsidR="005D60FD" w:rsidRPr="005D60FD" w:rsidRDefault="005D60FD" w:rsidP="005D60FD">
      <w:pPr>
        <w:spacing w:after="360" w:line="240" w:lineRule="auto"/>
        <w:ind w:firstLine="567"/>
        <w:jc w:val="center"/>
        <w:rPr>
          <w:rFonts w:ascii="Simplified Arabic" w:eastAsia="Calibri" w:hAnsi="Simplified Arabic" w:cs="PT Bold Heading"/>
          <w:sz w:val="32"/>
          <w:szCs w:val="32"/>
          <w:rtl/>
        </w:rPr>
      </w:pPr>
      <w:r w:rsidRPr="005D60FD">
        <w:rPr>
          <w:rFonts w:ascii="Simplified Arabic" w:eastAsia="Calibri" w:hAnsi="Simplified Arabic" w:cs="PT Bold Heading"/>
          <w:sz w:val="32"/>
          <w:szCs w:val="32"/>
          <w:rtl/>
        </w:rPr>
        <w:lastRenderedPageBreak/>
        <w:t>الفصل الثاني</w:t>
      </w:r>
    </w:p>
    <w:p w14:paraId="418322AA" w14:textId="77777777" w:rsidR="005D60FD" w:rsidRPr="005D60FD" w:rsidRDefault="005D60FD" w:rsidP="005D60FD">
      <w:pPr>
        <w:spacing w:after="360" w:line="240" w:lineRule="auto"/>
        <w:ind w:firstLine="567"/>
        <w:jc w:val="center"/>
        <w:rPr>
          <w:rFonts w:ascii="Simplified Arabic" w:eastAsia="Calibri" w:hAnsi="Simplified Arabic" w:cs="PT Bold Heading"/>
          <w:sz w:val="32"/>
          <w:szCs w:val="32"/>
          <w:rtl/>
        </w:rPr>
      </w:pPr>
      <w:r w:rsidRPr="005D60FD">
        <w:rPr>
          <w:rFonts w:ascii="Simplified Arabic" w:eastAsia="Calibri" w:hAnsi="Simplified Arabic" w:cs="PT Bold Heading"/>
          <w:sz w:val="32"/>
          <w:szCs w:val="32"/>
          <w:rtl/>
        </w:rPr>
        <w:t>الإطار النظري والدراسات السابقة</w:t>
      </w:r>
    </w:p>
    <w:p w14:paraId="5ED59D7C" w14:textId="77777777" w:rsidR="005D60FD" w:rsidRPr="005D60FD" w:rsidRDefault="005D60FD" w:rsidP="005D60FD">
      <w:pPr>
        <w:spacing w:after="360" w:line="240" w:lineRule="auto"/>
        <w:ind w:firstLine="567"/>
        <w:jc w:val="both"/>
        <w:rPr>
          <w:rFonts w:ascii="Times New Roman" w:eastAsia="Calibri" w:hAnsi="Times New Roman" w:cs="Simplified Arabic"/>
          <w:b/>
          <w:bCs/>
          <w:sz w:val="4"/>
          <w:szCs w:val="6"/>
          <w:rtl/>
        </w:rPr>
      </w:pPr>
    </w:p>
    <w:p w14:paraId="4407940F" w14:textId="77777777" w:rsidR="005D60FD" w:rsidRPr="005D60FD" w:rsidRDefault="005D60FD" w:rsidP="005D60FD">
      <w:pPr>
        <w:spacing w:after="360" w:line="240" w:lineRule="auto"/>
        <w:ind w:firstLine="567"/>
        <w:jc w:val="both"/>
        <w:rPr>
          <w:rFonts w:ascii="Times New Roman" w:eastAsia="Calibri" w:hAnsi="Times New Roman" w:cs="Simplified Arabic"/>
          <w:b/>
          <w:bCs/>
          <w:sz w:val="24"/>
          <w:szCs w:val="28"/>
          <w:rtl/>
        </w:rPr>
      </w:pPr>
      <w:r w:rsidRPr="005D60FD">
        <w:rPr>
          <w:rFonts w:ascii="Times New Roman" w:eastAsia="Calibri" w:hAnsi="Times New Roman" w:cs="Simplified Arabic"/>
          <w:b/>
          <w:bCs/>
          <w:sz w:val="24"/>
          <w:szCs w:val="28"/>
          <w:rtl/>
        </w:rPr>
        <w:t>مقدمة</w:t>
      </w:r>
    </w:p>
    <w:p w14:paraId="71C7E082"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bookmarkStart w:id="1" w:name="_Hlk213788421"/>
      <w:r w:rsidRPr="005D60FD">
        <w:rPr>
          <w:rFonts w:ascii="Times New Roman" w:eastAsia="Calibri" w:hAnsi="Times New Roman" w:cs="Simplified Arabic"/>
          <w:sz w:val="24"/>
          <w:szCs w:val="28"/>
          <w:rtl/>
        </w:rPr>
        <w:t>ي</w:t>
      </w:r>
      <w:bookmarkEnd w:id="1"/>
      <w:r w:rsidRPr="005D60FD">
        <w:rPr>
          <w:rFonts w:ascii="Times New Roman" w:eastAsia="Calibri" w:hAnsi="Times New Roman" w:cs="Simplified Arabic"/>
          <w:sz w:val="24"/>
          <w:szCs w:val="28"/>
          <w:rtl/>
        </w:rPr>
        <w:t>تناول هذا الفصل محورين رئيسيين؛ يستعرض الأول منهما الدراسات السابقة المحلية والعربية والأجنبية المرتبطة بمتغيرات الدراسة، فيما يخصص الثاني للإطار النظري الذي يبني الأسس المعرفية للحوكمة الإدارية وكفاءة أداء المشاريع الحكومية.</w:t>
      </w:r>
    </w:p>
    <w:p w14:paraId="1BFCCBFF"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المحور الأول: الدراسات السابقة</w:t>
      </w:r>
    </w:p>
    <w:p w14:paraId="4C2AB759"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تمهيد:</w:t>
      </w:r>
      <w:r w:rsidRPr="005D60FD">
        <w:rPr>
          <w:rFonts w:ascii="Times New Roman" w:eastAsia="Calibri" w:hAnsi="Times New Roman" w:cs="Simplified Arabic"/>
          <w:sz w:val="24"/>
          <w:szCs w:val="28"/>
        </w:rPr>
        <w:br/>
      </w:r>
      <w:r w:rsidRPr="005D60FD">
        <w:rPr>
          <w:rFonts w:ascii="Times New Roman" w:eastAsia="Calibri" w:hAnsi="Times New Roman" w:cs="Simplified Arabic"/>
          <w:sz w:val="24"/>
          <w:szCs w:val="28"/>
          <w:rtl/>
        </w:rPr>
        <w:t>تتنوع الدراسات السابقة التي تناولت العلاقة بين الحوكمة الإدارية وكفاءة أداء المشاريع الحكومية، حيث تفاوتت في منهجياتها وبيئاتها ونتائجها، الأمر الذي يُثري فهم الإشكالية البحثية ويُبرز الفجوات التي تسعى الدراسة الحالية إلى معالجتها.</w:t>
      </w:r>
    </w:p>
    <w:p w14:paraId="1DC8B6A3"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أولاً: الدراسات المحلية</w:t>
      </w:r>
    </w:p>
    <w:p w14:paraId="381354DF" w14:textId="77777777" w:rsidR="005D60FD" w:rsidRPr="005D60FD" w:rsidRDefault="005D60FD" w:rsidP="00F7353C">
      <w:pPr>
        <w:numPr>
          <w:ilvl w:val="0"/>
          <w:numId w:val="15"/>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(القرشي، 2020) التي أجريت في المملكة العربية السعودية، بعنوان: حوكمة الإدارة التعليمية من وجهة نظر قادة المدارس في ضوء رؤية المملكة العربية السعودية 2030،</w:t>
      </w:r>
      <w:r w:rsidRPr="005D60FD">
        <w:rPr>
          <w:rFonts w:ascii="Times New Roman" w:eastAsia="Calibri" w:hAnsi="Times New Roman" w:cs="Simplified Arabic"/>
          <w:sz w:val="24"/>
          <w:szCs w:val="28"/>
          <w:rtl/>
        </w:rPr>
        <w:t xml:space="preserve"> والتي هدفت إلى التعرف على واقع تطبيق الحوكمة في الإدارة التعليمية بمحافظة ينبع من خلال ثلاثة أبعاد رئيسية هي الشفافية والمساءلة والمشاركة. اعتمدت الدراسة على المنهج الوصفي المسحي، مستخدمة الاستبانة كأداة لجمع البيانات من مجتمع دراسة شمل (176) قائداً تربوياً. كشفت النتائج أن المتوسط الحسابي العام لتطبيق الحوكمة بلغ (3.35 من 5)، وهي درجة متوسطة، حيث حصلت الشفافية والمساءلة على تقدير مرتفع، بينما ظل بُعد المشاركة في المرتبة الأخيرة بتقدير متوسط. أوصت الدراسة بضرورة تعزيز المشاركة في صنع القرار وبناء ثقافة الحوكمة في المؤسسات التعليمية.</w:t>
      </w:r>
    </w:p>
    <w:p w14:paraId="58ABB7B1" w14:textId="77777777" w:rsidR="005D60FD" w:rsidRPr="005D60FD" w:rsidRDefault="005D60FD" w:rsidP="00F7353C">
      <w:pPr>
        <w:numPr>
          <w:ilvl w:val="0"/>
          <w:numId w:val="15"/>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دراسة (العتيبي، 2023) التي أجريت في المملكة العربية السعودية، بعنوان: الحوكمة كمدخل لتعزيز فاعلية أداء رؤساء الأقسام في كليات التربية بالجامعات السعودية في ضوء رؤية المملكة 2030،</w:t>
      </w:r>
      <w:r w:rsidRPr="005D60FD">
        <w:rPr>
          <w:rFonts w:ascii="Times New Roman" w:eastAsia="Calibri" w:hAnsi="Times New Roman" w:cs="Simplified Arabic"/>
          <w:sz w:val="24"/>
          <w:szCs w:val="28"/>
          <w:rtl/>
        </w:rPr>
        <w:t xml:space="preserve"> والتي هدفت إلى وضع تصور مقترح لتطبيق الحوكمة لتعزيز أداء القيادات الأكاديمية في كليات التربية بالجامعات السعودية. اعتمدت الدراسة على المنهج الوصفي التحليلي، وطبقت استبانة على عينة من القيادات الأكاديمية. أظهرت النتائج مستوى تطبيق مرتفعاً للحوكمة بمتوسط (3.81)، وأكدت الدراسة أن الحوكمة ليست مجرد لوائح، بل هي سلوك وظيفي يحتاج إلى ثقافة تنظيمية داعمة. أوصت الدراسة ببناء قواعد بيانات متكاملة واختيار القيادات بناءً على معايير الكفاءة الدولية.</w:t>
      </w:r>
    </w:p>
    <w:p w14:paraId="4EB2E27B" w14:textId="77777777" w:rsidR="005D60FD" w:rsidRPr="005D60FD" w:rsidRDefault="005D60FD" w:rsidP="00F7353C">
      <w:pPr>
        <w:numPr>
          <w:ilvl w:val="0"/>
          <w:numId w:val="15"/>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(العريفي وآخرون، 2022) التي أجريت في المملكة العربية السعودية، بعنوان: دور الحوكمة في تحسين كفاءة الإنفاق بالجامعات الحكومية السعودية،</w:t>
      </w:r>
      <w:r w:rsidRPr="005D60FD">
        <w:rPr>
          <w:rFonts w:ascii="Times New Roman" w:eastAsia="Calibri" w:hAnsi="Times New Roman" w:cs="Simplified Arabic"/>
          <w:sz w:val="24"/>
          <w:szCs w:val="28"/>
          <w:rtl/>
        </w:rPr>
        <w:t xml:space="preserve"> والتي هدفت إلى التعرف على الأطر المفاهيمية للحوكمة في الجامعات الحكومية السعودية، ومناقشة المفاهيم الرئيسية لكفاءة الإنفاق، والكشف عن دور الحوكمة في تحسين كفاءة الإنفاق. اعتمدت الدراسة على المنهج الوصفي التحليلي للأدبيات والدراسات السابقة. توصلت إلى أن للحوكمة دوراً فاعلاً في تحسين كفاءة الأداء بشكل عام، ولها تأثير كبير في تحقيق كفاءة الإنفاق بالجامعات السعودية، وأن تطبيق الحوكمة يسهم إيجاباً في تحديد السلطات والمسؤوليات بوضوح وشفافية، ويعمل على تحقيق العدالة من خلال ما تقدمه مبادئ الحوكمة من فرص للتواصل والمشاركة في اتخاذ القرارات.</w:t>
      </w:r>
    </w:p>
    <w:p w14:paraId="3FA77914" w14:textId="77777777" w:rsidR="005D60FD" w:rsidRPr="005D60FD" w:rsidRDefault="005D60FD" w:rsidP="00F7353C">
      <w:pPr>
        <w:numPr>
          <w:ilvl w:val="0"/>
          <w:numId w:val="15"/>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(محضر، 2024) التي أجريت في المملكة العربية السعودية، بعنوان: أثر تطبيق الحوكمة على كفاءة الأداء المؤسسي في مستشفيات القطاع الحكومي بمكة المكرمة،</w:t>
      </w:r>
      <w:r w:rsidRPr="005D60FD">
        <w:rPr>
          <w:rFonts w:ascii="Times New Roman" w:eastAsia="Calibri" w:hAnsi="Times New Roman" w:cs="Simplified Arabic"/>
          <w:sz w:val="24"/>
          <w:szCs w:val="28"/>
          <w:rtl/>
        </w:rPr>
        <w:t xml:space="preserve"> والتي هدفت إلى دراسة وتحليل دور تطبيق الحوكمة وأثرها على كفاءة الأداء المؤسسي. اعتمدت الدراسة على المنهج الوصفي التحليلي باستخدام الاستبانة كأداة لجمع البيانات من عينة من العاملين في مستشفيات القطاع الحكومي بمكة المكرمة. توصلت الدراسة إلى وجود تأثير ذي دلالة معنوية لتطبيق الحوكمة في تحسين كفاءة الأداء المؤسسي.</w:t>
      </w:r>
    </w:p>
    <w:p w14:paraId="16DCB96D" w14:textId="77777777" w:rsidR="005D60FD" w:rsidRPr="005D60FD" w:rsidRDefault="005D60FD" w:rsidP="00F7353C">
      <w:pPr>
        <w:numPr>
          <w:ilvl w:val="0"/>
          <w:numId w:val="15"/>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دراسة (الهويدي، 2026) التي أجريت في المملكة العربية السعودية، بعنوان: مدى تفعيل الحوكمة في القطاع الحكومي السعودي تحقيقاً لأهداف رؤية 2030،</w:t>
      </w:r>
      <w:r w:rsidRPr="005D60FD">
        <w:rPr>
          <w:rFonts w:ascii="Times New Roman" w:eastAsia="Calibri" w:hAnsi="Times New Roman" w:cs="Simplified Arabic"/>
          <w:sz w:val="24"/>
          <w:szCs w:val="28"/>
          <w:rtl/>
        </w:rPr>
        <w:t xml:space="preserve"> والتي هدفت إلى استكشاف مدى تفعيل مبادئ الحوكمة في القطاع الحكومي السعودي ودورها في تحقيق مستهدفات رؤية المملكة 2030. اعتمدت الدراسة على المنهج الوصفي التحليلي من خلال مراجعة الأدبيات والوثائق الرسمية، بالإضافة إلى دراسة ميدانية باستخدام الاستبيان والمقابلات المقننة لجمع البيانات من موظفي القطاعات الحكومية. توصلت الدراسة إلى أن تفعيل الحوكمة ساهم بشكل ملموس في تعزيز الشفافية المؤسسية، ورفع كفاءة الإنفاق، وتطوير آليات المساءلة والرقابة الوقائية، رغم وجود بعض التحديات الهيكلية المتمثلة في البيروقراطية التقليدية ومقاومة التغيير. أوصت الدراسة بضرورة مأسسة الحوكمة عبر إنشاء وحدات إدارية مستقلة، وتوسيع نطاق الحوكمة الرقمية.</w:t>
      </w:r>
    </w:p>
    <w:p w14:paraId="2CC2572D"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ثانياً: الدراسات العربية</w:t>
      </w:r>
    </w:p>
    <w:p w14:paraId="36972540" w14:textId="77777777" w:rsidR="005D60FD" w:rsidRPr="005D60FD" w:rsidRDefault="005D60FD" w:rsidP="00F7353C">
      <w:pPr>
        <w:numPr>
          <w:ilvl w:val="0"/>
          <w:numId w:val="1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(عطا، 2018) التي أجريت في جمهورية مصر العربية، بعنوان: دور الحوكمة في استدامة الشركات وتحقيق رؤية المملكة 2030: دراسة مقارنة بين نظام الشركات السعودي الجديد والشريعة الإسلامية،</w:t>
      </w:r>
      <w:r w:rsidRPr="005D60FD">
        <w:rPr>
          <w:rFonts w:ascii="Times New Roman" w:eastAsia="Calibri" w:hAnsi="Times New Roman" w:cs="Simplified Arabic"/>
          <w:sz w:val="24"/>
          <w:szCs w:val="28"/>
          <w:rtl/>
        </w:rPr>
        <w:t xml:space="preserve"> والتي هدفت إلى تقديم تأصيل نظري وقانوني وشرعي لمفهوم الحوكمة في البيئة السعودية، مع التركيز على دور الحوكمة في استدامة الشركات. اعتمدت الدراسة على المنهج المقارن والتحليلي. أثبتت الدراسة أن الحوكمة تتفق مع مقاصد الشريعة الإسلامية في منع الإفساد وحماية الأموال، واعتبرت الحوكمة صمام الأمان الذي يقي الشركات من الفشل المالي. كما حللت كيف ساهم نظام الشركات السعودي الجديد في تعزيز الشفافية من مرحلة التأسيس وحتى التصفية، وأوضحت أن الحوكمة تجذب الاستثمار الأجنبي وتخلق بيئة استثمارية مسؤولة.</w:t>
      </w:r>
    </w:p>
    <w:p w14:paraId="5F7CE22A" w14:textId="77777777" w:rsidR="005D60FD" w:rsidRPr="005D60FD" w:rsidRDefault="005D60FD" w:rsidP="00F7353C">
      <w:pPr>
        <w:numPr>
          <w:ilvl w:val="0"/>
          <w:numId w:val="1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w:t>
      </w:r>
      <w:proofErr w:type="spellStart"/>
      <w:r w:rsidRPr="005D60FD">
        <w:rPr>
          <w:rFonts w:ascii="Times New Roman" w:eastAsia="Calibri" w:hAnsi="Times New Roman" w:cs="Simplified Arabic"/>
          <w:b/>
          <w:bCs/>
          <w:sz w:val="24"/>
          <w:szCs w:val="28"/>
          <w:rtl/>
        </w:rPr>
        <w:t>الصرايره</w:t>
      </w:r>
      <w:proofErr w:type="spellEnd"/>
      <w:r w:rsidRPr="005D60FD">
        <w:rPr>
          <w:rFonts w:ascii="Times New Roman" w:eastAsia="Calibri" w:hAnsi="Times New Roman" w:cs="Simplified Arabic"/>
          <w:b/>
          <w:bCs/>
          <w:sz w:val="24"/>
          <w:szCs w:val="28"/>
          <w:rtl/>
        </w:rPr>
        <w:t>، 2023) التي أجريت في المملكة الأردنية الهاشمية، بعنوان: الحوكمة الإدارية وأثرها في تحسين أداء العاملين في مجالس الخدمات المشتركة في المملكة الأردنية الهاشمية،</w:t>
      </w:r>
      <w:r w:rsidRPr="005D60FD">
        <w:rPr>
          <w:rFonts w:ascii="Times New Roman" w:eastAsia="Calibri" w:hAnsi="Times New Roman" w:cs="Simplified Arabic"/>
          <w:sz w:val="24"/>
          <w:szCs w:val="28"/>
          <w:rtl/>
        </w:rPr>
        <w:t xml:space="preserve"> والتي هدفت إلى التعرف على تأثير الحوكمة الإدارية على أداء العاملين. اعتمدت الدراسة على المنهج الوصفي التحليلي باستخدام الاستبانة كأداة لجمع البيانات من </w:t>
      </w:r>
      <w:r w:rsidRPr="005D60FD">
        <w:rPr>
          <w:rFonts w:ascii="Times New Roman" w:eastAsia="Calibri" w:hAnsi="Times New Roman" w:cs="Simplified Arabic"/>
          <w:sz w:val="24"/>
          <w:szCs w:val="28"/>
          <w:rtl/>
        </w:rPr>
        <w:lastRenderedPageBreak/>
        <w:t>عينة من العاملين في مجالس الخدمات المشتركة. أظهرت النتائج وجود تأثير إيجابي للحوكمة الإدارية على أداء العاملين، وأوصت بتعزيز ممارسات الحوكمة في المؤسسات الخدمية.</w:t>
      </w:r>
    </w:p>
    <w:p w14:paraId="54FD3DE6" w14:textId="77777777" w:rsidR="005D60FD" w:rsidRPr="005D60FD" w:rsidRDefault="005D60FD" w:rsidP="00F7353C">
      <w:pPr>
        <w:numPr>
          <w:ilvl w:val="0"/>
          <w:numId w:val="1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(حمد، 2022) التي أجريت في جمهورية السودان، بعنوان: الحوكمة في القطاع العام وأثرها في جودة الأداء المالي،</w:t>
      </w:r>
      <w:r w:rsidRPr="005D60FD">
        <w:rPr>
          <w:rFonts w:ascii="Times New Roman" w:eastAsia="Calibri" w:hAnsi="Times New Roman" w:cs="Simplified Arabic"/>
          <w:sz w:val="24"/>
          <w:szCs w:val="28"/>
          <w:rtl/>
        </w:rPr>
        <w:t xml:space="preserve"> والتي هدفت إلى دراسة حوكمة القطاع العام وأثرها في جودة الأداء المالي. اعتمدت الدراسة على المنهج الوصفي التحليلي. تناولت الدراسة مشكلة تطبيق الحوكمة في الدوائر الحكومية من حيث البنية الإدارية والمالية، وأوصت بضرورة تعزيز آليات الحوكمة المالية لتحسين جودة الأداء.</w:t>
      </w:r>
    </w:p>
    <w:p w14:paraId="123C75D4" w14:textId="77777777" w:rsidR="005D60FD" w:rsidRPr="005D60FD" w:rsidRDefault="005D60FD" w:rsidP="00F7353C">
      <w:pPr>
        <w:numPr>
          <w:ilvl w:val="0"/>
          <w:numId w:val="1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(سرب، 2025) التي أجريت في ليبيا، بعنوان: أثر الحوكمة الإلكترونية على أداء العاملين في المؤسسات الحكومية،</w:t>
      </w:r>
      <w:r w:rsidRPr="005D60FD">
        <w:rPr>
          <w:rFonts w:ascii="Times New Roman" w:eastAsia="Calibri" w:hAnsi="Times New Roman" w:cs="Simplified Arabic"/>
          <w:sz w:val="24"/>
          <w:szCs w:val="28"/>
          <w:rtl/>
        </w:rPr>
        <w:t xml:space="preserve"> والتي هدفت إلى التعرف على أثر الحوكمة الإلكترونية بأبعادها (الإدارة الإلكترونية، الشفافية الإلكترونية، المشاركة الإلكترونية، المساءلة الإلكترونية، التدقيق الإلكتروني) على أداء العاملين في المؤسسات الحكومية. اعتمدت الدراسة على المنهج الوصفي التحليلي باستخدام الاستبانة كأداة لجمع البيانات. أظهرت النتائج وجود تأثير إيجابي للحوكمة الإلكترونية على أداء العاملين، وأوصت بتعزيز البنية التحتية الرقمية وتطوير آليات الحوكمة الإلكترونية.</w:t>
      </w:r>
    </w:p>
    <w:p w14:paraId="3480EE41" w14:textId="77777777" w:rsidR="005D60FD" w:rsidRPr="005D60FD" w:rsidRDefault="005D60FD" w:rsidP="00F7353C">
      <w:pPr>
        <w:numPr>
          <w:ilvl w:val="0"/>
          <w:numId w:val="1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(الحصري، 2024) التي أجريت في جمهورية مصر العربية، بعنوان: الحوكمة في القطاع الحكومي،</w:t>
      </w:r>
      <w:r w:rsidRPr="005D60FD">
        <w:rPr>
          <w:rFonts w:ascii="Times New Roman" w:eastAsia="Calibri" w:hAnsi="Times New Roman" w:cs="Simplified Arabic"/>
          <w:sz w:val="24"/>
          <w:szCs w:val="28"/>
          <w:rtl/>
        </w:rPr>
        <w:t xml:space="preserve"> والتي هدفت إلى دراسة تطبيق مبادئ الحوكمة في القطاع الحكومي، وتشمل الشفافية، والمشاركة، والمساءلة، وسيادة القانون، ومكافحة الفساد، والاستجابة، والعدالة، والكفاءة والفاعلية. اعتمدت الدراسة على المنهج الوصفي التحليلي. أوصت الدراسة بتعزيز تطبيق مبادئ الحوكمة في القطاع الحكومي لتحسين الأداء المؤسسي.</w:t>
      </w:r>
    </w:p>
    <w:p w14:paraId="5140FBD8" w14:textId="77777777" w:rsidR="005D60FD" w:rsidRPr="005D60FD" w:rsidRDefault="005D60FD" w:rsidP="00F7353C">
      <w:pPr>
        <w:numPr>
          <w:ilvl w:val="0"/>
          <w:numId w:val="1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(الخالدي، 2022) التي أجريت في دولة الكويت، بعنوان: أثر تطبيق الحوكمة على كفاءة الأداء في المؤسسات الحكومية،</w:t>
      </w:r>
      <w:r w:rsidRPr="005D60FD">
        <w:rPr>
          <w:rFonts w:ascii="Times New Roman" w:eastAsia="Calibri" w:hAnsi="Times New Roman" w:cs="Simplified Arabic"/>
          <w:sz w:val="24"/>
          <w:szCs w:val="28"/>
          <w:rtl/>
        </w:rPr>
        <w:t xml:space="preserve"> والتي هدفت إلى التعرف على أهمية الحوكمة المؤسسية ودورها في تحسين أداء العمل وضمان نزاهة الإدارة. اعتمدت الدراسة على المنهج </w:t>
      </w:r>
      <w:r w:rsidRPr="005D60FD">
        <w:rPr>
          <w:rFonts w:ascii="Times New Roman" w:eastAsia="Calibri" w:hAnsi="Times New Roman" w:cs="Simplified Arabic"/>
          <w:sz w:val="24"/>
          <w:szCs w:val="28"/>
          <w:rtl/>
        </w:rPr>
        <w:lastRenderedPageBreak/>
        <w:t>الوصفي التحليلي. أظهرت النتائج أن تطبيق مبادئ الحوكمة يساعد على تحسين الأداء، وأن تطبيق مبدأ المساءلة يسهم بشكل كبير في تحسين الأداء في القطاع الحكومي.</w:t>
      </w:r>
    </w:p>
    <w:p w14:paraId="450A6B34"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ثالثاً: الدراسات الأجنبية</w:t>
      </w:r>
    </w:p>
    <w:p w14:paraId="3BBF8CA6"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w:t>
      </w:r>
      <w:proofErr w:type="gramStart"/>
      <w:r w:rsidRPr="005D60FD">
        <w:rPr>
          <w:rFonts w:ascii="Times New Roman" w:eastAsia="Calibri" w:hAnsi="Times New Roman" w:cs="Simplified Arabic"/>
          <w:b/>
          <w:bCs/>
          <w:sz w:val="24"/>
          <w:szCs w:val="28"/>
          <w:rtl/>
        </w:rPr>
        <w:t>علي</w:t>
      </w:r>
      <w:proofErr w:type="gramEnd"/>
      <w:r w:rsidRPr="005D60FD">
        <w:rPr>
          <w:rFonts w:ascii="Times New Roman" w:eastAsia="Calibri" w:hAnsi="Times New Roman" w:cs="Simplified Arabic"/>
          <w:b/>
          <w:bCs/>
          <w:sz w:val="24"/>
          <w:szCs w:val="28"/>
          <w:rtl/>
        </w:rPr>
        <w:t xml:space="preserve"> وآخرون، 2026) (</w:t>
      </w:r>
      <w:r w:rsidRPr="005D60FD">
        <w:rPr>
          <w:rFonts w:ascii="Times New Roman" w:eastAsia="Calibri" w:hAnsi="Times New Roman" w:cs="Simplified Arabic"/>
          <w:b/>
          <w:bCs/>
          <w:sz w:val="24"/>
          <w:szCs w:val="28"/>
        </w:rPr>
        <w:t>Ali et al., 2026</w:t>
      </w:r>
      <w:r w:rsidRPr="005D60FD">
        <w:rPr>
          <w:rFonts w:ascii="Times New Roman" w:eastAsia="Calibri" w:hAnsi="Times New Roman" w:cs="Simplified Arabic"/>
          <w:b/>
          <w:bCs/>
          <w:sz w:val="24"/>
          <w:szCs w:val="28"/>
          <w:rtl/>
        </w:rPr>
        <w:t xml:space="preserve">) التي أجريت في الولايات المتحدة الأمريكية (دراسة نظرية دولية)، بعنوان: </w:t>
      </w:r>
      <w:r w:rsidRPr="005D60FD">
        <w:rPr>
          <w:rFonts w:ascii="Times New Roman" w:eastAsia="Calibri" w:hAnsi="Times New Roman" w:cs="Simplified Arabic"/>
          <w:b/>
          <w:bCs/>
          <w:sz w:val="24"/>
          <w:szCs w:val="28"/>
        </w:rPr>
        <w:t xml:space="preserve">The impact of governance of government sector companies on effective risk management in light of Saudi Vision 2030 </w:t>
      </w:r>
      <w:r w:rsidRPr="005D60FD">
        <w:rPr>
          <w:rFonts w:ascii="Times New Roman" w:eastAsia="Calibri" w:hAnsi="Times New Roman" w:cs="Simplified Arabic"/>
          <w:b/>
          <w:bCs/>
          <w:sz w:val="24"/>
          <w:szCs w:val="28"/>
          <w:rtl/>
        </w:rPr>
        <w:t>(أثر حوكمة شركات القطاع الحكومي على الإدارة الفعالة للمخاطر في ضوء رؤية المملكة 2030)،</w:t>
      </w:r>
      <w:r w:rsidRPr="005D60FD">
        <w:rPr>
          <w:rFonts w:ascii="Times New Roman" w:eastAsia="Calibri" w:hAnsi="Times New Roman" w:cs="Simplified Arabic"/>
          <w:sz w:val="24"/>
          <w:szCs w:val="28"/>
          <w:rtl/>
        </w:rPr>
        <w:t xml:space="preserve"> والتي هدفت إلى فهم أثر حوكمة شركات القطاع الحكومي على الإدارة الفعالة للمخاطر. اعتمدت الدراسة على تحليل عدد من الدراسات والتقارير المعتمدة، بما في ذلك تقارير منظمة التعاون الاقتصادي والتنمية (</w:t>
      </w:r>
      <w:r w:rsidRPr="005D60FD">
        <w:rPr>
          <w:rFonts w:ascii="Times New Roman" w:eastAsia="Calibri" w:hAnsi="Times New Roman" w:cs="Simplified Arabic"/>
          <w:sz w:val="24"/>
          <w:szCs w:val="28"/>
        </w:rPr>
        <w:t>OECD</w:t>
      </w:r>
      <w:r w:rsidRPr="005D60FD">
        <w:rPr>
          <w:rFonts w:ascii="Times New Roman" w:eastAsia="Calibri" w:hAnsi="Times New Roman" w:cs="Simplified Arabic"/>
          <w:sz w:val="24"/>
          <w:szCs w:val="28"/>
          <w:rtl/>
        </w:rPr>
        <w:t>)، وأبحاث جامعة هارفارد. خلصت الدراسة إلى أن الحوكمة ليست مجرد امتثال (</w:t>
      </w:r>
      <w:r w:rsidRPr="005D60FD">
        <w:rPr>
          <w:rFonts w:ascii="Times New Roman" w:eastAsia="Calibri" w:hAnsi="Times New Roman" w:cs="Simplified Arabic"/>
          <w:sz w:val="24"/>
          <w:szCs w:val="28"/>
        </w:rPr>
        <w:t>Compliance</w:t>
      </w:r>
      <w:r w:rsidRPr="005D60FD">
        <w:rPr>
          <w:rFonts w:ascii="Times New Roman" w:eastAsia="Calibri" w:hAnsi="Times New Roman" w:cs="Simplified Arabic"/>
          <w:sz w:val="24"/>
          <w:szCs w:val="28"/>
          <w:rtl/>
        </w:rPr>
        <w:t>)، بل هي أداة استباقية لإدارة المخاطر تضمن استدامة المنظومات التشغيلية وتحقيق أهداف رؤية 2030، وأكدت على دور هيئات الرقابة والتدقيق الداخلي في تعزيز الحوكمة.</w:t>
      </w:r>
    </w:p>
    <w:p w14:paraId="3E837F37"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w:t>
      </w:r>
      <w:proofErr w:type="spellStart"/>
      <w:r w:rsidRPr="005D60FD">
        <w:rPr>
          <w:rFonts w:ascii="Times New Roman" w:eastAsia="Calibri" w:hAnsi="Times New Roman" w:cs="Simplified Arabic"/>
          <w:b/>
          <w:bCs/>
          <w:sz w:val="24"/>
          <w:szCs w:val="28"/>
          <w:rtl/>
        </w:rPr>
        <w:t>الخوريف</w:t>
      </w:r>
      <w:proofErr w:type="spellEnd"/>
      <w:r w:rsidRPr="005D60FD">
        <w:rPr>
          <w:rFonts w:ascii="Times New Roman" w:eastAsia="Calibri" w:hAnsi="Times New Roman" w:cs="Simplified Arabic"/>
          <w:b/>
          <w:bCs/>
          <w:sz w:val="24"/>
          <w:szCs w:val="28"/>
          <w:rtl/>
        </w:rPr>
        <w:t>، 2024) (</w:t>
      </w:r>
      <w:proofErr w:type="spellStart"/>
      <w:r w:rsidRPr="005D60FD">
        <w:rPr>
          <w:rFonts w:ascii="Times New Roman" w:eastAsia="Calibri" w:hAnsi="Times New Roman" w:cs="Simplified Arabic"/>
          <w:b/>
          <w:bCs/>
          <w:sz w:val="24"/>
          <w:szCs w:val="28"/>
        </w:rPr>
        <w:t>Alkhoraif</w:t>
      </w:r>
      <w:proofErr w:type="spellEnd"/>
      <w:r w:rsidRPr="005D60FD">
        <w:rPr>
          <w:rFonts w:ascii="Times New Roman" w:eastAsia="Calibri" w:hAnsi="Times New Roman" w:cs="Simplified Arabic"/>
          <w:b/>
          <w:bCs/>
          <w:sz w:val="24"/>
          <w:szCs w:val="28"/>
        </w:rPr>
        <w:t>, 2024</w:t>
      </w:r>
      <w:r w:rsidRPr="005D60FD">
        <w:rPr>
          <w:rFonts w:ascii="Times New Roman" w:eastAsia="Calibri" w:hAnsi="Times New Roman" w:cs="Simplified Arabic"/>
          <w:b/>
          <w:bCs/>
          <w:sz w:val="24"/>
          <w:szCs w:val="28"/>
          <w:rtl/>
        </w:rPr>
        <w:t xml:space="preserve">) التي أجريت في المملكة المتحدة (دراسة نظرية دولية)، بعنوان: </w:t>
      </w:r>
      <w:r w:rsidRPr="005D60FD">
        <w:rPr>
          <w:rFonts w:ascii="Times New Roman" w:eastAsia="Calibri" w:hAnsi="Times New Roman" w:cs="Simplified Arabic"/>
          <w:b/>
          <w:bCs/>
          <w:sz w:val="24"/>
          <w:szCs w:val="28"/>
        </w:rPr>
        <w:t xml:space="preserve">The impact of innovation governance and policies on government funding for emerging science and technology sectors in Saudi Arabia </w:t>
      </w:r>
      <w:r w:rsidRPr="005D60FD">
        <w:rPr>
          <w:rFonts w:ascii="Times New Roman" w:eastAsia="Calibri" w:hAnsi="Times New Roman" w:cs="Simplified Arabic"/>
          <w:b/>
          <w:bCs/>
          <w:sz w:val="24"/>
          <w:szCs w:val="28"/>
          <w:rtl/>
        </w:rPr>
        <w:t>(أثر حوكمة الابتكار والسياسات على التمويل الحكومي لقطاعات العلوم والتكنولوجيا الناشئة في السعودية)،</w:t>
      </w:r>
      <w:r w:rsidRPr="005D60FD">
        <w:rPr>
          <w:rFonts w:ascii="Times New Roman" w:eastAsia="Calibri" w:hAnsi="Times New Roman" w:cs="Simplified Arabic"/>
          <w:sz w:val="24"/>
          <w:szCs w:val="28"/>
          <w:rtl/>
        </w:rPr>
        <w:t xml:space="preserve"> والتي هدفت إلى بحث كيفية تأثير سياسات الحوكمة على تمويل قطاعات العلوم والتكنولوجيا. أظهرت النتائج وجود وعي كبير بالسياسات، ولكن البيروقراطية وثقافة الخوف من المخاطرة (</w:t>
      </w:r>
      <w:r w:rsidRPr="005D60FD">
        <w:rPr>
          <w:rFonts w:ascii="Times New Roman" w:eastAsia="Calibri" w:hAnsi="Times New Roman" w:cs="Simplified Arabic"/>
          <w:sz w:val="24"/>
          <w:szCs w:val="28"/>
        </w:rPr>
        <w:t>Risk-averse mindset</w:t>
      </w:r>
      <w:r w:rsidRPr="005D60FD">
        <w:rPr>
          <w:rFonts w:ascii="Times New Roman" w:eastAsia="Calibri" w:hAnsi="Times New Roman" w:cs="Simplified Arabic"/>
          <w:sz w:val="24"/>
          <w:szCs w:val="28"/>
          <w:rtl/>
        </w:rPr>
        <w:t>) لا تزال تعيق الابتكار. أوصت الدراسة بالتحول الثقافي نحو ريادة الأعمال وتقليل التعقيدات الإجرائية.</w:t>
      </w:r>
    </w:p>
    <w:p w14:paraId="55B442B0"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(الهاشم، 2024) (</w:t>
      </w:r>
      <w:r w:rsidRPr="005D60FD">
        <w:rPr>
          <w:rFonts w:ascii="Times New Roman" w:eastAsia="Calibri" w:hAnsi="Times New Roman" w:cs="Simplified Arabic"/>
          <w:b/>
          <w:bCs/>
          <w:sz w:val="24"/>
          <w:szCs w:val="28"/>
        </w:rPr>
        <w:t>Hashim, 2024</w:t>
      </w:r>
      <w:r w:rsidRPr="005D60FD">
        <w:rPr>
          <w:rFonts w:ascii="Times New Roman" w:eastAsia="Calibri" w:hAnsi="Times New Roman" w:cs="Simplified Arabic"/>
          <w:b/>
          <w:bCs/>
          <w:sz w:val="24"/>
          <w:szCs w:val="28"/>
          <w:rtl/>
        </w:rPr>
        <w:t xml:space="preserve">) التي أجريت في الولايات المتحدة الأمريكية (دراسة نظرية دولية)، بعنوان: </w:t>
      </w:r>
      <w:r w:rsidRPr="005D60FD">
        <w:rPr>
          <w:rFonts w:ascii="Times New Roman" w:eastAsia="Calibri" w:hAnsi="Times New Roman" w:cs="Simplified Arabic"/>
          <w:b/>
          <w:bCs/>
          <w:sz w:val="24"/>
          <w:szCs w:val="28"/>
        </w:rPr>
        <w:t xml:space="preserve">E-government impact on developing smart cities initiative in Saudi Arabia: Opportunities &amp; challenges </w:t>
      </w:r>
      <w:r w:rsidRPr="005D60FD">
        <w:rPr>
          <w:rFonts w:ascii="Times New Roman" w:eastAsia="Calibri" w:hAnsi="Times New Roman" w:cs="Simplified Arabic"/>
          <w:b/>
          <w:bCs/>
          <w:sz w:val="24"/>
          <w:szCs w:val="28"/>
          <w:rtl/>
        </w:rPr>
        <w:t xml:space="preserve">(تأثير الحكومة </w:t>
      </w:r>
      <w:r w:rsidRPr="005D60FD">
        <w:rPr>
          <w:rFonts w:ascii="Times New Roman" w:eastAsia="Calibri" w:hAnsi="Times New Roman" w:cs="Simplified Arabic"/>
          <w:b/>
          <w:bCs/>
          <w:sz w:val="24"/>
          <w:szCs w:val="28"/>
          <w:rtl/>
        </w:rPr>
        <w:lastRenderedPageBreak/>
        <w:t>الإلكترونية على تطوير مبادرة المدن الذكية في السعودية: الفرص والتحديات)،</w:t>
      </w:r>
      <w:r w:rsidRPr="005D60FD">
        <w:rPr>
          <w:rFonts w:ascii="Times New Roman" w:eastAsia="Calibri" w:hAnsi="Times New Roman" w:cs="Simplified Arabic"/>
          <w:sz w:val="24"/>
          <w:szCs w:val="28"/>
          <w:rtl/>
        </w:rPr>
        <w:t xml:space="preserve"> والتي هدفت إلى مناقشة كيف تعزز الحكومة الإلكترونية من الشفافية وإشراك المواطنين في صنع القرار، مع التركيز على التقنيات الناشئة مثل إنترنت الأشياء والبيانات الضخمة. حذرت الدراسة بشكل صريح من المخاطر الأمنية المرتبطة بإنترنت الأشياء، وأكدت أن الحوكمة التقنية هي جزء لا يتجزأ من إدارة المخاطر في العصر الحديث، حيث أن الفشل في حماية البيانات قد يؤدي إلى انهيار منظومات كاملة.</w:t>
      </w:r>
    </w:p>
    <w:p w14:paraId="7F6F2E61"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w:t>
      </w:r>
      <w:proofErr w:type="spellStart"/>
      <w:r w:rsidRPr="005D60FD">
        <w:rPr>
          <w:rFonts w:ascii="Times New Roman" w:eastAsia="Calibri" w:hAnsi="Times New Roman" w:cs="Simplified Arabic"/>
          <w:b/>
          <w:bCs/>
          <w:sz w:val="24"/>
          <w:szCs w:val="28"/>
          <w:rtl/>
        </w:rPr>
        <w:t>الكوربي</w:t>
      </w:r>
      <w:proofErr w:type="spellEnd"/>
      <w:r w:rsidRPr="005D60FD">
        <w:rPr>
          <w:rFonts w:ascii="Times New Roman" w:eastAsia="Calibri" w:hAnsi="Times New Roman" w:cs="Simplified Arabic"/>
          <w:b/>
          <w:bCs/>
          <w:sz w:val="24"/>
          <w:szCs w:val="28"/>
          <w:rtl/>
        </w:rPr>
        <w:t xml:space="preserve"> </w:t>
      </w:r>
      <w:proofErr w:type="spellStart"/>
      <w:r w:rsidRPr="005D60FD">
        <w:rPr>
          <w:rFonts w:ascii="Times New Roman" w:eastAsia="Calibri" w:hAnsi="Times New Roman" w:cs="Simplified Arabic"/>
          <w:b/>
          <w:bCs/>
          <w:sz w:val="24"/>
          <w:szCs w:val="28"/>
          <w:rtl/>
        </w:rPr>
        <w:t>والرويش</w:t>
      </w:r>
      <w:proofErr w:type="spellEnd"/>
      <w:r w:rsidRPr="005D60FD">
        <w:rPr>
          <w:rFonts w:ascii="Times New Roman" w:eastAsia="Calibri" w:hAnsi="Times New Roman" w:cs="Simplified Arabic"/>
          <w:b/>
          <w:bCs/>
          <w:sz w:val="24"/>
          <w:szCs w:val="28"/>
          <w:rtl/>
        </w:rPr>
        <w:t>، 2025) (</w:t>
      </w:r>
      <w:proofErr w:type="spellStart"/>
      <w:r w:rsidRPr="005D60FD">
        <w:rPr>
          <w:rFonts w:ascii="Times New Roman" w:eastAsia="Calibri" w:hAnsi="Times New Roman" w:cs="Simplified Arabic"/>
          <w:b/>
          <w:bCs/>
          <w:sz w:val="24"/>
          <w:szCs w:val="28"/>
        </w:rPr>
        <w:t>Alkorbi</w:t>
      </w:r>
      <w:proofErr w:type="spellEnd"/>
      <w:r w:rsidRPr="005D60FD">
        <w:rPr>
          <w:rFonts w:ascii="Times New Roman" w:eastAsia="Calibri" w:hAnsi="Times New Roman" w:cs="Simplified Arabic"/>
          <w:b/>
          <w:bCs/>
          <w:sz w:val="24"/>
          <w:szCs w:val="28"/>
        </w:rPr>
        <w:t xml:space="preserve"> &amp; </w:t>
      </w:r>
      <w:proofErr w:type="spellStart"/>
      <w:r w:rsidRPr="005D60FD">
        <w:rPr>
          <w:rFonts w:ascii="Times New Roman" w:eastAsia="Calibri" w:hAnsi="Times New Roman" w:cs="Simplified Arabic"/>
          <w:b/>
          <w:bCs/>
          <w:sz w:val="24"/>
          <w:szCs w:val="28"/>
        </w:rPr>
        <w:t>Alrwais</w:t>
      </w:r>
      <w:proofErr w:type="spellEnd"/>
      <w:r w:rsidRPr="005D60FD">
        <w:rPr>
          <w:rFonts w:ascii="Times New Roman" w:eastAsia="Calibri" w:hAnsi="Times New Roman" w:cs="Simplified Arabic"/>
          <w:b/>
          <w:bCs/>
          <w:sz w:val="24"/>
          <w:szCs w:val="28"/>
        </w:rPr>
        <w:t>, 2025</w:t>
      </w:r>
      <w:r w:rsidRPr="005D60FD">
        <w:rPr>
          <w:rFonts w:ascii="Times New Roman" w:eastAsia="Calibri" w:hAnsi="Times New Roman" w:cs="Simplified Arabic"/>
          <w:b/>
          <w:bCs/>
          <w:sz w:val="24"/>
          <w:szCs w:val="28"/>
          <w:rtl/>
        </w:rPr>
        <w:t xml:space="preserve">) التي أجريت في المملكة المتحدة (دراسة نظرية دولية)، بعنوان: </w:t>
      </w:r>
      <w:r w:rsidRPr="005D60FD">
        <w:rPr>
          <w:rFonts w:ascii="Times New Roman" w:eastAsia="Calibri" w:hAnsi="Times New Roman" w:cs="Simplified Arabic"/>
          <w:b/>
          <w:bCs/>
          <w:sz w:val="24"/>
          <w:szCs w:val="28"/>
        </w:rPr>
        <w:t xml:space="preserve">An Empirical Case Study of Digital Government Transformation in Saudi Arabia </w:t>
      </w:r>
      <w:r w:rsidRPr="005D60FD">
        <w:rPr>
          <w:rFonts w:ascii="Times New Roman" w:eastAsia="Calibri" w:hAnsi="Times New Roman" w:cs="Simplified Arabic"/>
          <w:b/>
          <w:bCs/>
          <w:sz w:val="24"/>
          <w:szCs w:val="28"/>
          <w:rtl/>
        </w:rPr>
        <w:t>(دراسة حالة تجريبية للتحول الحكومي الرقمي في السعودية)،</w:t>
      </w:r>
      <w:r w:rsidRPr="005D60FD">
        <w:rPr>
          <w:rFonts w:ascii="Times New Roman" w:eastAsia="Calibri" w:hAnsi="Times New Roman" w:cs="Simplified Arabic"/>
          <w:sz w:val="24"/>
          <w:szCs w:val="28"/>
          <w:rtl/>
        </w:rPr>
        <w:t xml:space="preserve"> والتي هدفت إلى دراسة التحول الرقمي الحكومي في المملكة خلال الفترة من 2017 إلى 2020. اعتمدت الدراسة على منهج دراسة الحالة النوعية. أظهرت النتائج أن المملكة حققت تقدماً هائلاً في </w:t>
      </w:r>
      <w:proofErr w:type="spellStart"/>
      <w:r w:rsidRPr="005D60FD">
        <w:rPr>
          <w:rFonts w:ascii="Times New Roman" w:eastAsia="Calibri" w:hAnsi="Times New Roman" w:cs="Simplified Arabic"/>
          <w:sz w:val="24"/>
          <w:szCs w:val="28"/>
          <w:rtl/>
        </w:rPr>
        <w:t>رقمنة</w:t>
      </w:r>
      <w:proofErr w:type="spellEnd"/>
      <w:r w:rsidRPr="005D60FD">
        <w:rPr>
          <w:rFonts w:ascii="Times New Roman" w:eastAsia="Calibri" w:hAnsi="Times New Roman" w:cs="Simplified Arabic"/>
          <w:sz w:val="24"/>
          <w:szCs w:val="28"/>
          <w:rtl/>
        </w:rPr>
        <w:t xml:space="preserve"> الخدمات، لكن الدراسة رصدت فجوة في تكامل البيانات بين الجهات الحكومية المختلفة، مع تحديات تتعلق بالبيروقراطية الرقمية والحاجة إلى مواءمة السياسات بين الوكالات.</w:t>
      </w:r>
    </w:p>
    <w:p w14:paraId="67533446"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(الأمير، 2025) (</w:t>
      </w:r>
      <w:r w:rsidRPr="005D60FD">
        <w:rPr>
          <w:rFonts w:ascii="Times New Roman" w:eastAsia="Calibri" w:hAnsi="Times New Roman" w:cs="Simplified Arabic"/>
          <w:b/>
          <w:bCs/>
          <w:sz w:val="24"/>
          <w:szCs w:val="28"/>
        </w:rPr>
        <w:t>Al-Ameer, 2025</w:t>
      </w:r>
      <w:r w:rsidRPr="005D60FD">
        <w:rPr>
          <w:rFonts w:ascii="Times New Roman" w:eastAsia="Calibri" w:hAnsi="Times New Roman" w:cs="Simplified Arabic"/>
          <w:b/>
          <w:bCs/>
          <w:sz w:val="24"/>
          <w:szCs w:val="28"/>
          <w:rtl/>
        </w:rPr>
        <w:t xml:space="preserve">) التي أجريت في دولة الإمارات العربية المتحدة (دراسة حالة إقليمية)، بعنوان: </w:t>
      </w:r>
      <w:r w:rsidRPr="005D60FD">
        <w:rPr>
          <w:rFonts w:ascii="Times New Roman" w:eastAsia="Calibri" w:hAnsi="Times New Roman" w:cs="Simplified Arabic"/>
          <w:b/>
          <w:bCs/>
          <w:sz w:val="24"/>
          <w:szCs w:val="28"/>
        </w:rPr>
        <w:t xml:space="preserve">Transition to Stewardship: What Saudi Arabia’s Consulting Reset Means for Giga-Program Delivery </w:t>
      </w:r>
      <w:r w:rsidRPr="005D60FD">
        <w:rPr>
          <w:rFonts w:ascii="Times New Roman" w:eastAsia="Calibri" w:hAnsi="Times New Roman" w:cs="Simplified Arabic"/>
          <w:b/>
          <w:bCs/>
          <w:sz w:val="24"/>
          <w:szCs w:val="28"/>
          <w:rtl/>
        </w:rPr>
        <w:t>(الانتقال إلى الإشراف: ما يعنيه إعادة ضبط الاستشارات في المملكة العربية السعودية لتسليم البرامج العملاقة)،</w:t>
      </w:r>
      <w:r w:rsidRPr="005D60FD">
        <w:rPr>
          <w:rFonts w:ascii="Times New Roman" w:eastAsia="Calibri" w:hAnsi="Times New Roman" w:cs="Simplified Arabic"/>
          <w:sz w:val="24"/>
          <w:szCs w:val="28"/>
          <w:rtl/>
        </w:rPr>
        <w:t xml:space="preserve"> والتي هدفت إلى تحليل كيفية تأثير القرارات المتخذة خلال مرحلة التخطيط على تنفيذ البرامج العملاقة في السعودية، ودور تكامل دورة حياة المشروع في تحسين الاستمرارية. اعتمدت الدراسة على منهج دراسة حالة وتحليل بيانات من (8) برامج عملاقة. أظهرت النتائج أن دمج دورة حياة البرنامج بالكامل يسمح بإدارة البرامج كأنظمة متكاملة، مما يقلل من التعرض للاضطرابات ويُحسّن الاستمرارية. أوصت الدراسة باعتماد نهج متكامل يشمل جميع مراحل المشروع، وإنشاء حلقات تغذية راجعة مستمرة بين مراحل المشروع المختلفة.</w:t>
      </w:r>
    </w:p>
    <w:p w14:paraId="7E095723"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دراسة (</w:t>
      </w:r>
      <w:proofErr w:type="spellStart"/>
      <w:r w:rsidRPr="005D60FD">
        <w:rPr>
          <w:rFonts w:ascii="Times New Roman" w:eastAsia="Calibri" w:hAnsi="Times New Roman" w:cs="Simplified Arabic"/>
          <w:b/>
          <w:bCs/>
          <w:sz w:val="24"/>
          <w:szCs w:val="28"/>
          <w:rtl/>
        </w:rPr>
        <w:t>بوفينز</w:t>
      </w:r>
      <w:proofErr w:type="spellEnd"/>
      <w:r w:rsidRPr="005D60FD">
        <w:rPr>
          <w:rFonts w:ascii="Times New Roman" w:eastAsia="Calibri" w:hAnsi="Times New Roman" w:cs="Simplified Arabic"/>
          <w:b/>
          <w:bCs/>
          <w:sz w:val="24"/>
          <w:szCs w:val="28"/>
          <w:rtl/>
        </w:rPr>
        <w:t>، 2007) (</w:t>
      </w:r>
      <w:r w:rsidRPr="005D60FD">
        <w:rPr>
          <w:rFonts w:ascii="Times New Roman" w:eastAsia="Calibri" w:hAnsi="Times New Roman" w:cs="Simplified Arabic"/>
          <w:b/>
          <w:bCs/>
          <w:sz w:val="24"/>
          <w:szCs w:val="28"/>
        </w:rPr>
        <w:t>Bovens, 2007</w:t>
      </w:r>
      <w:r w:rsidRPr="005D60FD">
        <w:rPr>
          <w:rFonts w:ascii="Times New Roman" w:eastAsia="Calibri" w:hAnsi="Times New Roman" w:cs="Simplified Arabic"/>
          <w:b/>
          <w:bCs/>
          <w:sz w:val="24"/>
          <w:szCs w:val="28"/>
          <w:rtl/>
        </w:rPr>
        <w:t xml:space="preserve">) التي أجريت في هولندا (دراسة تأسيسية دولية)، بعنوان: </w:t>
      </w:r>
      <w:r w:rsidRPr="005D60FD">
        <w:rPr>
          <w:rFonts w:ascii="Times New Roman" w:eastAsia="Calibri" w:hAnsi="Times New Roman" w:cs="Simplified Arabic"/>
          <w:b/>
          <w:bCs/>
          <w:sz w:val="24"/>
          <w:szCs w:val="28"/>
        </w:rPr>
        <w:t xml:space="preserve">Analyzing and Assessing Accountability: A Conceptual Framework </w:t>
      </w:r>
      <w:r w:rsidRPr="005D60FD">
        <w:rPr>
          <w:rFonts w:ascii="Times New Roman" w:eastAsia="Calibri" w:hAnsi="Times New Roman" w:cs="Simplified Arabic"/>
          <w:b/>
          <w:bCs/>
          <w:sz w:val="24"/>
          <w:szCs w:val="28"/>
          <w:rtl/>
        </w:rPr>
        <w:t>(تحليل وتقييم المساءلة: إطار مفاهيمي)،</w:t>
      </w:r>
      <w:r w:rsidRPr="005D60FD">
        <w:rPr>
          <w:rFonts w:ascii="Times New Roman" w:eastAsia="Calibri" w:hAnsi="Times New Roman" w:cs="Simplified Arabic"/>
          <w:sz w:val="24"/>
          <w:szCs w:val="28"/>
          <w:rtl/>
        </w:rPr>
        <w:t xml:space="preserve"> والتي تُعد دراسة تأسيسية في مفهوم المساءلة المؤسسية. هدفت الدراسة إلى تقديم إطار تحليلي لفهم وتقييم المساءلة في المؤسسات العامة. اعتمدت الدراسة على المنهج التحليلي النظري. أوضحت النتائج أن المساءلة هي العلاقة الاجتماعية التي بموجبها يلتزم الفرد أو المؤسسة بتقديم شرح وتبرير لأفعاله وقراراته لجهة رقابية، ويتحمل العواقب المترتبة عليها. وتُعد هذه الدراسة مرجعاً أساسياً لفهم بُعد المساءلة كأحد أبعاد الحوكمة الإدارية.</w:t>
      </w:r>
    </w:p>
    <w:p w14:paraId="4760E7A1"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w:t>
      </w:r>
      <w:proofErr w:type="spellStart"/>
      <w:r w:rsidRPr="005D60FD">
        <w:rPr>
          <w:rFonts w:ascii="Times New Roman" w:eastAsia="Calibri" w:hAnsi="Times New Roman" w:cs="Simplified Arabic"/>
          <w:b/>
          <w:bCs/>
          <w:sz w:val="24"/>
          <w:szCs w:val="28"/>
          <w:rtl/>
        </w:rPr>
        <w:t>أوستروفسكي</w:t>
      </w:r>
      <w:proofErr w:type="spellEnd"/>
      <w:r w:rsidRPr="005D60FD">
        <w:rPr>
          <w:rFonts w:ascii="Times New Roman" w:eastAsia="Calibri" w:hAnsi="Times New Roman" w:cs="Simplified Arabic"/>
          <w:b/>
          <w:bCs/>
          <w:sz w:val="24"/>
          <w:szCs w:val="28"/>
          <w:rtl/>
        </w:rPr>
        <w:t>، 2025) (</w:t>
      </w:r>
      <w:r w:rsidRPr="005D60FD">
        <w:rPr>
          <w:rFonts w:ascii="Times New Roman" w:eastAsia="Calibri" w:hAnsi="Times New Roman" w:cs="Simplified Arabic"/>
          <w:b/>
          <w:bCs/>
          <w:sz w:val="24"/>
          <w:szCs w:val="28"/>
        </w:rPr>
        <w:t>Ostrovsky, 2025</w:t>
      </w:r>
      <w:r w:rsidRPr="005D60FD">
        <w:rPr>
          <w:rFonts w:ascii="Times New Roman" w:eastAsia="Calibri" w:hAnsi="Times New Roman" w:cs="Simplified Arabic"/>
          <w:b/>
          <w:bCs/>
          <w:sz w:val="24"/>
          <w:szCs w:val="28"/>
          <w:rtl/>
        </w:rPr>
        <w:t xml:space="preserve">) التي أجريت في الولايات المتحدة الأمريكية (دراسة نظرية دولية)، بعنوان: </w:t>
      </w:r>
      <w:r w:rsidRPr="005D60FD">
        <w:rPr>
          <w:rFonts w:ascii="Times New Roman" w:eastAsia="Calibri" w:hAnsi="Times New Roman" w:cs="Simplified Arabic"/>
          <w:b/>
          <w:bCs/>
          <w:sz w:val="24"/>
          <w:szCs w:val="28"/>
        </w:rPr>
        <w:t xml:space="preserve">Digital Governance and Public Trust: A Framework for Evaluating E-Government Performance </w:t>
      </w:r>
      <w:r w:rsidRPr="005D60FD">
        <w:rPr>
          <w:rFonts w:ascii="Times New Roman" w:eastAsia="Calibri" w:hAnsi="Times New Roman" w:cs="Simplified Arabic"/>
          <w:b/>
          <w:bCs/>
          <w:sz w:val="24"/>
          <w:szCs w:val="28"/>
          <w:rtl/>
        </w:rPr>
        <w:t>(الحوكمة الرقمية والثقة العامة: إطار لتقييم أداء الحكومة الإلكترونية)،</w:t>
      </w:r>
      <w:r w:rsidRPr="005D60FD">
        <w:rPr>
          <w:rFonts w:ascii="Times New Roman" w:eastAsia="Calibri" w:hAnsi="Times New Roman" w:cs="Simplified Arabic"/>
          <w:sz w:val="24"/>
          <w:szCs w:val="28"/>
          <w:rtl/>
        </w:rPr>
        <w:t xml:space="preserve"> والتي هدفت إلى تقديم إطار متكامل لتقييم أداء الحكومة الإلكترونية في بناء الثقة العامة. أوضحت الدراسة أن الحوكمة الرقمية تُعزز الشفافية والمشاركة، ولكنها تتطلب استثمارات مستمرة في البنية التحتية وحماية البيانات. أوصت الدراسة بضرورة تطوير مؤشرات أداء نوعية لقياس أثر الحوكمة الرقمية على ثقة المواطنين.</w:t>
      </w:r>
    </w:p>
    <w:p w14:paraId="6BA2E686" w14:textId="77777777" w:rsidR="005D60FD" w:rsidRPr="005D60FD" w:rsidRDefault="005D60FD" w:rsidP="00F7353C">
      <w:pPr>
        <w:numPr>
          <w:ilvl w:val="0"/>
          <w:numId w:val="1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دراسة (سبنسر وويب، 2024) (</w:t>
      </w:r>
      <w:r w:rsidRPr="005D60FD">
        <w:rPr>
          <w:rFonts w:ascii="Times New Roman" w:eastAsia="Calibri" w:hAnsi="Times New Roman" w:cs="Simplified Arabic"/>
          <w:b/>
          <w:bCs/>
          <w:sz w:val="24"/>
          <w:szCs w:val="28"/>
        </w:rPr>
        <w:t>Spencer &amp; Webb, 2024</w:t>
      </w:r>
      <w:r w:rsidRPr="005D60FD">
        <w:rPr>
          <w:rFonts w:ascii="Times New Roman" w:eastAsia="Calibri" w:hAnsi="Times New Roman" w:cs="Simplified Arabic"/>
          <w:b/>
          <w:bCs/>
          <w:sz w:val="24"/>
          <w:szCs w:val="28"/>
          <w:rtl/>
        </w:rPr>
        <w:t xml:space="preserve">) التي أجريت في أستراليا (دراسة نظرية دولية)، بعنوان: </w:t>
      </w:r>
      <w:r w:rsidRPr="005D60FD">
        <w:rPr>
          <w:rFonts w:ascii="Times New Roman" w:eastAsia="Calibri" w:hAnsi="Times New Roman" w:cs="Simplified Arabic"/>
          <w:b/>
          <w:bCs/>
          <w:sz w:val="24"/>
          <w:szCs w:val="28"/>
        </w:rPr>
        <w:t xml:space="preserve">Public Sector Governance and Project Performance: A Longitudinal Analysis </w:t>
      </w:r>
      <w:r w:rsidRPr="005D60FD">
        <w:rPr>
          <w:rFonts w:ascii="Times New Roman" w:eastAsia="Calibri" w:hAnsi="Times New Roman" w:cs="Simplified Arabic"/>
          <w:b/>
          <w:bCs/>
          <w:sz w:val="24"/>
          <w:szCs w:val="28"/>
          <w:rtl/>
        </w:rPr>
        <w:t>(الحوكمة في القطاع العام وأداء المشاريع: تحليل طولي)،</w:t>
      </w:r>
      <w:r w:rsidRPr="005D60FD">
        <w:rPr>
          <w:rFonts w:ascii="Times New Roman" w:eastAsia="Calibri" w:hAnsi="Times New Roman" w:cs="Simplified Arabic"/>
          <w:sz w:val="24"/>
          <w:szCs w:val="28"/>
          <w:rtl/>
        </w:rPr>
        <w:t xml:space="preserve"> والتي هدفت إلى دراسة العلاقة بين ممارسات الحوكمة في القطاع العام وأداء المشاريع على مدى فترة زمنية طويلة (10 سنوات). اعتمدت الدراسة على التحليل الطولي للبيانات من (150) مشروعاً حكومياً. أظهرت النتائج أن المؤسسات التي طبقت ممارسات حوكمة متكاملة (الشفافية، المساءلة، المشاركة) حققت تحسناً في أداء مشاريعها بنسبة (34%) مقارنة بتلك التي لم تطبقها. أوصت الدراسة باعتماد الحوكمة كأداة استراتيجية لتحسين أداء المشاريع الحكومية.</w:t>
      </w:r>
    </w:p>
    <w:p w14:paraId="6372971E"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lastRenderedPageBreak/>
        <w:t>رابعاً: تعقيب تحليلي عام على الدراسات السابقة</w:t>
      </w:r>
    </w:p>
    <w:p w14:paraId="3E1C3E3A"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Pr>
        <w:t>1</w:t>
      </w:r>
      <w:r w:rsidRPr="005D60FD">
        <w:rPr>
          <w:rFonts w:ascii="Times New Roman" w:eastAsia="Calibri" w:hAnsi="Times New Roman" w:cs="Simplified Arabic"/>
          <w:b/>
          <w:bCs/>
          <w:sz w:val="24"/>
          <w:szCs w:val="28"/>
          <w:rtl/>
        </w:rPr>
        <w:t>. اتساق الدراسة الحالية مع الدراسات السابقة</w:t>
      </w:r>
    </w:p>
    <w:p w14:paraId="5C8C193A"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تتسق الدراسة الحالية بشكل كبير مع الاتجاه العام للأدبيات السابقة التي تؤكد وجود علاقة إيجابية بين تطبيق مبادئ الحوكمة الإدارية وكفاءة أداء المشاريع والمؤسسات في القطاع الحكومي. فهذه الدراسة تتبنى الفرضية الأساسية ذاتها التي أكدتها الدراسات مثل: (القرشي، 2020)، و(العتيبي، 2023)، و(العريفي وآخرون، 2022)، و(محضر، 2024)، و(الهويدي، 2026)، و(</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و(الحصري، 2024)، و(سبنسر وويب، 2024). كما تتسق مع الدراسات العربية التي أكدت على أهمية الحوكمة في تحسين الأداء المؤسسي وتعزيز الشفافية والمساءلة.</w:t>
      </w:r>
    </w:p>
    <w:p w14:paraId="05B09DF7"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Pr>
        <w:t>2</w:t>
      </w:r>
      <w:r w:rsidRPr="005D60FD">
        <w:rPr>
          <w:rFonts w:ascii="Times New Roman" w:eastAsia="Calibri" w:hAnsi="Times New Roman" w:cs="Simplified Arabic"/>
          <w:b/>
          <w:bCs/>
          <w:sz w:val="24"/>
          <w:szCs w:val="28"/>
          <w:rtl/>
        </w:rPr>
        <w:t>. جوانب اتفاق الدراسة الحالية مع الدراسات السابقة</w:t>
      </w:r>
    </w:p>
    <w:p w14:paraId="63A8C2AD" w14:textId="77777777" w:rsidR="005D60FD" w:rsidRPr="005D60FD" w:rsidRDefault="005D60FD" w:rsidP="00F7353C">
      <w:pPr>
        <w:numPr>
          <w:ilvl w:val="0"/>
          <w:numId w:val="18"/>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الاتفاق على أن الحوكمة الإدارية تسهم في تحسين كفاءة الأداء المؤسسي</w:t>
      </w:r>
      <w:r w:rsidRPr="005D60FD">
        <w:rPr>
          <w:rFonts w:ascii="Times New Roman" w:eastAsia="Calibri" w:hAnsi="Times New Roman" w:cs="Simplified Arabic"/>
          <w:sz w:val="24"/>
          <w:szCs w:val="28"/>
          <w:rtl/>
        </w:rPr>
        <w:t>، كما أظهرت ذلك دراسة (العريفي وآخرون، 2022) التي أكدت أن للحوكمة دوراً فاعلاً في تحسين كفاءة الأداء بشكل عام. ودراسة (محضر، 2024) التي توصلت إلى وجود تأثير ذي دلالة معنوية لتطبيق الحوكمة في تحسين كفاءة الأداء المؤسسي، ودراسة (سبنسر وويب، 2024) التي أظهرت تحسناً في أداء المشاريع بنسبة (34%) في المؤسسات المطبقة للحوكمة المتكاملة.</w:t>
      </w:r>
    </w:p>
    <w:p w14:paraId="5C415EA8" w14:textId="77777777" w:rsidR="005D60FD" w:rsidRPr="005D60FD" w:rsidRDefault="005D60FD" w:rsidP="00F7353C">
      <w:pPr>
        <w:numPr>
          <w:ilvl w:val="0"/>
          <w:numId w:val="18"/>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الاتفاق على أن الشفافية والمساءلة هما الركيزتان الأكثر تأثيراً في تطبيق الحوكمة</w:t>
      </w:r>
      <w:r w:rsidRPr="005D60FD">
        <w:rPr>
          <w:rFonts w:ascii="Times New Roman" w:eastAsia="Calibri" w:hAnsi="Times New Roman" w:cs="Simplified Arabic"/>
          <w:sz w:val="24"/>
          <w:szCs w:val="28"/>
          <w:rtl/>
        </w:rPr>
        <w:t>، كما أظهرت ذلك دراسة (القرشي، 2020) التي حصلت فيها الشفافية والمساءلة على تقدير مرتفع، بينما ظل بُعد المشاركة في المرتبة الأخيرة. كما أكدت دراسة (الهويدي، 2026) أن تفعيل الحوكمة ساهم بشكل ملموس في تعزيز الشفافية المؤسسية ورفع كفاءة الإنفاق.</w:t>
      </w:r>
    </w:p>
    <w:p w14:paraId="52D93DE1" w14:textId="77777777" w:rsidR="005D60FD" w:rsidRPr="005D60FD" w:rsidRDefault="005D60FD" w:rsidP="00F7353C">
      <w:pPr>
        <w:numPr>
          <w:ilvl w:val="0"/>
          <w:numId w:val="18"/>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الاتفاق على أن الحوكمة ليست مجرد لوائح، بل هي سلوك وظيفي وثقافة تنظيمية</w:t>
      </w:r>
      <w:r w:rsidRPr="005D60FD">
        <w:rPr>
          <w:rFonts w:ascii="Times New Roman" w:eastAsia="Calibri" w:hAnsi="Times New Roman" w:cs="Simplified Arabic"/>
          <w:sz w:val="24"/>
          <w:szCs w:val="28"/>
          <w:rtl/>
        </w:rPr>
        <w:t>، كما أكدت ذلك دراسة (العتيبي، 2023) التي أظهرت أن الحوكمة تحتاج إلى ثقافة تنظيمية داعمة، ودراسة (</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التي أكدت أن الحوكمة ليست مجرد امتثال بل أداة استباقية لإدارة المخاطر.</w:t>
      </w:r>
    </w:p>
    <w:p w14:paraId="7327BB53" w14:textId="77777777" w:rsidR="005D60FD" w:rsidRPr="005D60FD" w:rsidRDefault="005D60FD" w:rsidP="00F7353C">
      <w:pPr>
        <w:numPr>
          <w:ilvl w:val="0"/>
          <w:numId w:val="18"/>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الاتفاق على وجود تحديات تواجه تطبيق الحوكمة</w:t>
      </w:r>
      <w:r w:rsidRPr="005D60FD">
        <w:rPr>
          <w:rFonts w:ascii="Times New Roman" w:eastAsia="Calibri" w:hAnsi="Times New Roman" w:cs="Simplified Arabic"/>
          <w:sz w:val="24"/>
          <w:szCs w:val="28"/>
          <w:rtl/>
        </w:rPr>
        <w:t>، مثل البيروقراطية التقليدية ومقاومة التغيير، كما أشارت إلى ذلك دراسة (الهويدي، 2026)، ودراسة (</w:t>
      </w:r>
      <w:proofErr w:type="spellStart"/>
      <w:r w:rsidRPr="005D60FD">
        <w:rPr>
          <w:rFonts w:ascii="Times New Roman" w:eastAsia="Calibri" w:hAnsi="Times New Roman" w:cs="Simplified Arabic"/>
          <w:sz w:val="24"/>
          <w:szCs w:val="28"/>
          <w:rtl/>
        </w:rPr>
        <w:t>الخوريف</w:t>
      </w:r>
      <w:proofErr w:type="spellEnd"/>
      <w:r w:rsidRPr="005D60FD">
        <w:rPr>
          <w:rFonts w:ascii="Times New Roman" w:eastAsia="Calibri" w:hAnsi="Times New Roman" w:cs="Simplified Arabic"/>
          <w:sz w:val="24"/>
          <w:szCs w:val="28"/>
          <w:rtl/>
        </w:rPr>
        <w:t>، 2024) التي تحدثت عن ثقافة الخوف من المخاطرة.</w:t>
      </w:r>
    </w:p>
    <w:p w14:paraId="564A5025"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Pr>
        <w:t>3</w:t>
      </w:r>
      <w:r w:rsidRPr="005D60FD">
        <w:rPr>
          <w:rFonts w:ascii="Times New Roman" w:eastAsia="Calibri" w:hAnsi="Times New Roman" w:cs="Simplified Arabic"/>
          <w:b/>
          <w:bCs/>
          <w:sz w:val="24"/>
          <w:szCs w:val="28"/>
          <w:rtl/>
        </w:rPr>
        <w:t>. جوانب اختلاف الدراسة الحالية مع الدراسات السابقة</w:t>
      </w:r>
    </w:p>
    <w:p w14:paraId="7BF171FB" w14:textId="77777777" w:rsidR="005D60FD" w:rsidRPr="005D60FD" w:rsidRDefault="005D60FD" w:rsidP="00F7353C">
      <w:pPr>
        <w:numPr>
          <w:ilvl w:val="0"/>
          <w:numId w:val="19"/>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اختلاف البيئة التطبيقية: </w:t>
      </w:r>
      <w:r w:rsidRPr="005D60FD">
        <w:rPr>
          <w:rFonts w:ascii="Times New Roman" w:eastAsia="Calibri" w:hAnsi="Times New Roman" w:cs="Simplified Arabic"/>
          <w:sz w:val="24"/>
          <w:szCs w:val="28"/>
          <w:rtl/>
        </w:rPr>
        <w:t>ركزت العديد من الدراسات السابقة على قطاعات محددة (التعليم، الجامعات، المستشفيات)، بينما تتجه هذه الدراسة إلى المؤسسات الحكومية في المملكة العربية السعودية بشكل شامل، مما يجعلها أكثر اتساعاً في التغطية.</w:t>
      </w:r>
    </w:p>
    <w:p w14:paraId="78AEA284" w14:textId="77777777" w:rsidR="005D60FD" w:rsidRPr="005D60FD" w:rsidRDefault="005D60FD" w:rsidP="00F7353C">
      <w:pPr>
        <w:numPr>
          <w:ilvl w:val="0"/>
          <w:numId w:val="19"/>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اختلاف الأبعاد المعتمدة: </w:t>
      </w:r>
      <w:r w:rsidRPr="005D60FD">
        <w:rPr>
          <w:rFonts w:ascii="Times New Roman" w:eastAsia="Calibri" w:hAnsi="Times New Roman" w:cs="Simplified Arabic"/>
          <w:sz w:val="24"/>
          <w:szCs w:val="28"/>
          <w:rtl/>
        </w:rPr>
        <w:t>تعتمد الدراسة الحالية أربعة أبعاد متكاملة للحوكمة الإدارية (الشفافية، المساءلة، المشاركة، التنسيق)، وأربعة أبعاد لكفاءة أداء المشاريع الحكومية (الالتزام بالجداول الزمنية، كفاءة استخدام الموارد، جودة المخرجات، رضا أصحاب المصلحة). بينما ركزت دراسات سابقة على أبعاد أقل (كالشفافية والمساءلة فقط) أو على متغيرات مختلفة (كالحوكمة الرقمية أو حوكمة الابتكار).</w:t>
      </w:r>
    </w:p>
    <w:p w14:paraId="5E9D975D" w14:textId="77777777" w:rsidR="005D60FD" w:rsidRPr="005D60FD" w:rsidRDefault="005D60FD" w:rsidP="00F7353C">
      <w:pPr>
        <w:numPr>
          <w:ilvl w:val="0"/>
          <w:numId w:val="19"/>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اختلاف المنهجية المتكاملة: </w:t>
      </w:r>
      <w:r w:rsidRPr="005D60FD">
        <w:rPr>
          <w:rFonts w:ascii="Times New Roman" w:eastAsia="Calibri" w:hAnsi="Times New Roman" w:cs="Simplified Arabic"/>
          <w:sz w:val="24"/>
          <w:szCs w:val="28"/>
          <w:rtl/>
        </w:rPr>
        <w:t>تعتمد الدراسة الحالية على منهج كمي يجمع بين قياس مستوى تطبيق ممارسات الحوكمة الإدارية (أربعة أبعاد)، وقياس مستوى كفاءة أداء المشاريع الحكومية (أربعة أبعاد) في نموذج واحد، ثم اختبار العلاقة بينهما باستخدام تحليل الانحدار المتعدد لتحديد الأبعاد الأكثر تأثيراً. هذا المستوى من التكامل والشمولية لم تشهده معظم الدراسات السابقة التي غالباً ما اكتفت باختبار علاقات ثنائية محدودة أو بتحليل وصفي بسيط.</w:t>
      </w:r>
    </w:p>
    <w:p w14:paraId="5EC4BCE6"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Pr>
        <w:t>4</w:t>
      </w:r>
      <w:r w:rsidRPr="005D60FD">
        <w:rPr>
          <w:rFonts w:ascii="Times New Roman" w:eastAsia="Calibri" w:hAnsi="Times New Roman" w:cs="Simplified Arabic"/>
          <w:b/>
          <w:bCs/>
          <w:sz w:val="24"/>
          <w:szCs w:val="28"/>
          <w:rtl/>
        </w:rPr>
        <w:t>. الفجوة البحثية</w:t>
      </w:r>
    </w:p>
    <w:p w14:paraId="3C8FB5E5" w14:textId="77777777" w:rsidR="005D60FD" w:rsidRPr="005D60FD" w:rsidRDefault="005D60FD" w:rsidP="00F7353C">
      <w:pPr>
        <w:numPr>
          <w:ilvl w:val="0"/>
          <w:numId w:val="20"/>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النُدرة الشديدة في الدراسات الميدانية التي تناولت العلاقة بين الحوكمة الإدارية (بأبعادها المتكاملة: الشفافية، المساءلة، المشاركة، التنسيق)، وكفاءة أداء المشاريع الحكومية (بأبعادها المتعددة: الالتزام بالجداول الزمنية، كفاءة استخدام الموارد، جودة المخرجات، </w:t>
      </w:r>
      <w:r w:rsidRPr="005D60FD">
        <w:rPr>
          <w:rFonts w:ascii="Times New Roman" w:eastAsia="Calibri" w:hAnsi="Times New Roman" w:cs="Simplified Arabic"/>
          <w:b/>
          <w:bCs/>
          <w:sz w:val="24"/>
          <w:szCs w:val="28"/>
          <w:rtl/>
        </w:rPr>
        <w:lastRenderedPageBreak/>
        <w:t>رضا أصحاب المصلحة) في سياق المؤسسات الحكومية السعودية</w:t>
      </w:r>
      <w:r w:rsidRPr="005D60FD">
        <w:rPr>
          <w:rFonts w:ascii="Times New Roman" w:eastAsia="Calibri" w:hAnsi="Times New Roman" w:cs="Simplified Arabic"/>
          <w:sz w:val="24"/>
          <w:szCs w:val="28"/>
          <w:rtl/>
        </w:rPr>
        <w:t>، خاصة في ظل التحولات الإدارية المتسارعة المرتبطة برؤية 2030.</w:t>
      </w:r>
    </w:p>
    <w:p w14:paraId="7041F312" w14:textId="77777777" w:rsidR="005D60FD" w:rsidRPr="005D60FD" w:rsidRDefault="005D60FD" w:rsidP="00F7353C">
      <w:pPr>
        <w:numPr>
          <w:ilvl w:val="0"/>
          <w:numId w:val="20"/>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غياب الدراسات الميدانية التي جمعت بين قياس مستوى تطبيق ممارسات الحوكمة الإدارية ومستوى كفاءة أداء المشاريع الحكومية في آن واحد، ثم اختبرت العلاقة بينهما في نموذج واحد</w:t>
      </w:r>
      <w:r w:rsidRPr="005D60FD">
        <w:rPr>
          <w:rFonts w:ascii="Times New Roman" w:eastAsia="Calibri" w:hAnsi="Times New Roman" w:cs="Simplified Arabic"/>
          <w:sz w:val="24"/>
          <w:szCs w:val="28"/>
          <w:rtl/>
        </w:rPr>
        <w:t>، لتحديد أي من الأبعاد (الشفافية، المساءلة، المشاركة، التنسيق) يحقق أعلى أثر على أي من أبعاد كفاءة أداء المشاريع.</w:t>
      </w:r>
    </w:p>
    <w:p w14:paraId="2D16F46C" w14:textId="77777777" w:rsidR="005D60FD" w:rsidRPr="005D60FD" w:rsidRDefault="005D60FD" w:rsidP="00F7353C">
      <w:pPr>
        <w:numPr>
          <w:ilvl w:val="0"/>
          <w:numId w:val="20"/>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ندرة الدراسات التي غطت جميع المؤسسات الحكومية في المملكة العربية السعودية بمختلف قطاعاتها</w:t>
      </w:r>
      <w:r w:rsidRPr="005D60FD">
        <w:rPr>
          <w:rFonts w:ascii="Times New Roman" w:eastAsia="Calibri" w:hAnsi="Times New Roman" w:cs="Simplified Arabic"/>
          <w:sz w:val="24"/>
          <w:szCs w:val="28"/>
          <w:rtl/>
        </w:rPr>
        <w:t>، مما يحد من تعميم نتائج الدراسات السابقة التي ركزت على قطاع واحد أو اثنين فقط.</w:t>
      </w:r>
    </w:p>
    <w:p w14:paraId="64ABA8E0" w14:textId="77777777" w:rsidR="005D60FD" w:rsidRPr="005D60FD" w:rsidRDefault="005D60FD" w:rsidP="00F7353C">
      <w:pPr>
        <w:numPr>
          <w:ilvl w:val="0"/>
          <w:numId w:val="20"/>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قلة الدراسات التي اعتمدت على إدراك المديرين التنفيذيين ومديري المشاريع ورؤساء الأقسام ومسؤولي التخطيط والمتابعة (أي الممارسين أنفسهم) بشكل شامل</w:t>
      </w:r>
      <w:r w:rsidRPr="005D60FD">
        <w:rPr>
          <w:rFonts w:ascii="Times New Roman" w:eastAsia="Calibri" w:hAnsi="Times New Roman" w:cs="Simplified Arabic"/>
          <w:sz w:val="24"/>
          <w:szCs w:val="28"/>
          <w:rtl/>
        </w:rPr>
        <w:t>، بدلاً من الاعتماد فقط على وجهة نظر فئة واحدة من الموظفين أو على البيانات الثانوية.</w:t>
      </w:r>
    </w:p>
    <w:p w14:paraId="287A8AD1"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Pr>
        <w:t>5</w:t>
      </w:r>
      <w:r w:rsidRPr="005D60FD">
        <w:rPr>
          <w:rFonts w:ascii="Times New Roman" w:eastAsia="Calibri" w:hAnsi="Times New Roman" w:cs="Simplified Arabic"/>
          <w:b/>
          <w:bCs/>
          <w:sz w:val="24"/>
          <w:szCs w:val="28"/>
          <w:rtl/>
        </w:rPr>
        <w:t>. جوانب استفادة الدراسة الحالية من الدراسات السابقة</w:t>
      </w:r>
    </w:p>
    <w:p w14:paraId="002C4DEB" w14:textId="77777777" w:rsidR="005D60FD" w:rsidRPr="005D60FD" w:rsidRDefault="005D60FD" w:rsidP="00F7353C">
      <w:pPr>
        <w:numPr>
          <w:ilvl w:val="0"/>
          <w:numId w:val="21"/>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في بناء الإطار النظري والمفاهيمي: </w:t>
      </w:r>
      <w:r w:rsidRPr="005D60FD">
        <w:rPr>
          <w:rFonts w:ascii="Times New Roman" w:eastAsia="Calibri" w:hAnsi="Times New Roman" w:cs="Simplified Arabic"/>
          <w:sz w:val="24"/>
          <w:szCs w:val="28"/>
          <w:rtl/>
        </w:rPr>
        <w:t>من خلال الاعتماد على التعريفات والنماذج التي طورتها الدراسات التأسيسية، مثل: (</w:t>
      </w:r>
      <w:r w:rsidRPr="005D60FD">
        <w:rPr>
          <w:rFonts w:ascii="Times New Roman" w:eastAsia="Calibri" w:hAnsi="Times New Roman" w:cs="Simplified Arabic"/>
          <w:sz w:val="24"/>
          <w:szCs w:val="28"/>
        </w:rPr>
        <w:t>PMI, 2021</w:t>
      </w:r>
      <w:r w:rsidRPr="005D60FD">
        <w:rPr>
          <w:rFonts w:ascii="Times New Roman" w:eastAsia="Calibri" w:hAnsi="Times New Roman" w:cs="Simplified Arabic"/>
          <w:sz w:val="24"/>
          <w:szCs w:val="28"/>
          <w:rtl/>
        </w:rPr>
        <w:t>)، و(</w:t>
      </w:r>
      <w:r w:rsidRPr="005D60FD">
        <w:rPr>
          <w:rFonts w:ascii="Times New Roman" w:eastAsia="Calibri" w:hAnsi="Times New Roman" w:cs="Simplified Arabic"/>
          <w:sz w:val="24"/>
          <w:szCs w:val="28"/>
        </w:rPr>
        <w:t>Kerzner &amp; Kerzner, 2022</w:t>
      </w:r>
      <w:r w:rsidRPr="005D60FD">
        <w:rPr>
          <w:rFonts w:ascii="Times New Roman" w:eastAsia="Calibri" w:hAnsi="Times New Roman" w:cs="Simplified Arabic"/>
          <w:sz w:val="24"/>
          <w:szCs w:val="28"/>
          <w:rtl/>
        </w:rPr>
        <w:t>)، و(</w:t>
      </w:r>
      <w:r w:rsidRPr="005D60FD">
        <w:rPr>
          <w:rFonts w:ascii="Times New Roman" w:eastAsia="Calibri" w:hAnsi="Times New Roman" w:cs="Simplified Arabic"/>
          <w:sz w:val="24"/>
          <w:szCs w:val="28"/>
        </w:rPr>
        <w:t>OECD, 2024</w:t>
      </w:r>
      <w:r w:rsidRPr="005D60FD">
        <w:rPr>
          <w:rFonts w:ascii="Times New Roman" w:eastAsia="Calibri" w:hAnsi="Times New Roman" w:cs="Simplified Arabic"/>
          <w:sz w:val="24"/>
          <w:szCs w:val="28"/>
          <w:rtl/>
        </w:rPr>
        <w:t>)، و(</w:t>
      </w:r>
      <w:r w:rsidRPr="005D60FD">
        <w:rPr>
          <w:rFonts w:ascii="Times New Roman" w:eastAsia="Calibri" w:hAnsi="Times New Roman" w:cs="Simplified Arabic"/>
          <w:sz w:val="24"/>
          <w:szCs w:val="28"/>
        </w:rPr>
        <w:t>Bovens, 2007</w:t>
      </w:r>
      <w:r w:rsidRPr="005D60FD">
        <w:rPr>
          <w:rFonts w:ascii="Times New Roman" w:eastAsia="Calibri" w:hAnsi="Times New Roman" w:cs="Simplified Arabic"/>
          <w:sz w:val="24"/>
          <w:szCs w:val="28"/>
          <w:rtl/>
        </w:rPr>
        <w:t>)، وعطا (2018)، والقرشي (2020).</w:t>
      </w:r>
    </w:p>
    <w:p w14:paraId="3EB5E99E" w14:textId="77777777" w:rsidR="005D60FD" w:rsidRPr="005D60FD" w:rsidRDefault="005D60FD" w:rsidP="00F7353C">
      <w:pPr>
        <w:numPr>
          <w:ilvl w:val="0"/>
          <w:numId w:val="21"/>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في تحديد أبعاد المتغيرات الرئيسة: </w:t>
      </w:r>
      <w:r w:rsidRPr="005D60FD">
        <w:rPr>
          <w:rFonts w:ascii="Times New Roman" w:eastAsia="Calibri" w:hAnsi="Times New Roman" w:cs="Simplified Arabic"/>
          <w:sz w:val="24"/>
          <w:szCs w:val="28"/>
          <w:rtl/>
        </w:rPr>
        <w:t>حيث استُمدت أبعاد الحوكمة الإدارية الأربعة والأبعاد الأربعة لكفاءة أداء المشاريع الحكومية من الأدبيات التي أسست لهذه التصنيفات، وكذلك من دراسات عربية سابقة تناولت جوانب منها.</w:t>
      </w:r>
    </w:p>
    <w:p w14:paraId="63D0238C" w14:textId="77777777" w:rsidR="005D60FD" w:rsidRPr="005D60FD" w:rsidRDefault="005D60FD" w:rsidP="00F7353C">
      <w:pPr>
        <w:numPr>
          <w:ilvl w:val="0"/>
          <w:numId w:val="21"/>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في تصميم الأداة (الاستبانة): </w:t>
      </w:r>
      <w:r w:rsidRPr="005D60FD">
        <w:rPr>
          <w:rFonts w:ascii="Times New Roman" w:eastAsia="Calibri" w:hAnsi="Times New Roman" w:cs="Simplified Arabic"/>
          <w:sz w:val="24"/>
          <w:szCs w:val="28"/>
          <w:rtl/>
        </w:rPr>
        <w:t>حيث تم الاسترشاد بدراسات سابقة مثل: دراسة (القرشي، 2020)، ودراسة (العتيبي، 2023)، ودراسة (</w:t>
      </w:r>
      <w:proofErr w:type="spellStart"/>
      <w:r w:rsidRPr="005D60FD">
        <w:rPr>
          <w:rFonts w:ascii="Times New Roman" w:eastAsia="Calibri" w:hAnsi="Times New Roman" w:cs="Simplified Arabic"/>
          <w:sz w:val="24"/>
          <w:szCs w:val="28"/>
          <w:rtl/>
        </w:rPr>
        <w:t>أوستروفسكي</w:t>
      </w:r>
      <w:proofErr w:type="spellEnd"/>
      <w:r w:rsidRPr="005D60FD">
        <w:rPr>
          <w:rFonts w:ascii="Times New Roman" w:eastAsia="Calibri" w:hAnsi="Times New Roman" w:cs="Simplified Arabic"/>
          <w:sz w:val="24"/>
          <w:szCs w:val="28"/>
          <w:rtl/>
        </w:rPr>
        <w:t>، 2025) في صياغة العبارات السلوكية القابلة للقياس.</w:t>
      </w:r>
    </w:p>
    <w:p w14:paraId="42F08F38" w14:textId="77777777" w:rsidR="005D60FD" w:rsidRPr="005D60FD" w:rsidRDefault="005D60FD" w:rsidP="00F7353C">
      <w:pPr>
        <w:numPr>
          <w:ilvl w:val="0"/>
          <w:numId w:val="21"/>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 xml:space="preserve">في بناء منهجية التحليل الإحصائي: </w:t>
      </w:r>
      <w:r w:rsidRPr="005D60FD">
        <w:rPr>
          <w:rFonts w:ascii="Times New Roman" w:eastAsia="Calibri" w:hAnsi="Times New Roman" w:cs="Simplified Arabic"/>
          <w:sz w:val="24"/>
          <w:szCs w:val="28"/>
          <w:rtl/>
        </w:rPr>
        <w:t>حيث استُهم من الدراسات السابقة في اختيار أساليب تحليل الانحدار المتعدد (</w:t>
      </w:r>
      <w:r w:rsidRPr="005D60FD">
        <w:rPr>
          <w:rFonts w:ascii="Times New Roman" w:eastAsia="Calibri" w:hAnsi="Times New Roman" w:cs="Simplified Arabic"/>
          <w:sz w:val="24"/>
          <w:szCs w:val="28"/>
        </w:rPr>
        <w:t>Multiple Regression</w:t>
      </w:r>
      <w:r w:rsidRPr="005D60FD">
        <w:rPr>
          <w:rFonts w:ascii="Times New Roman" w:eastAsia="Calibri" w:hAnsi="Times New Roman" w:cs="Simplified Arabic"/>
          <w:sz w:val="24"/>
          <w:szCs w:val="28"/>
          <w:rtl/>
        </w:rPr>
        <w:t>)، ومعاملات الارتباط (</w:t>
      </w:r>
      <w:r w:rsidRPr="005D60FD">
        <w:rPr>
          <w:rFonts w:ascii="Times New Roman" w:eastAsia="Calibri" w:hAnsi="Times New Roman" w:cs="Simplified Arabic"/>
          <w:sz w:val="24"/>
          <w:szCs w:val="28"/>
        </w:rPr>
        <w:t>Correlation</w:t>
      </w:r>
      <w:r w:rsidRPr="005D60FD">
        <w:rPr>
          <w:rFonts w:ascii="Times New Roman" w:eastAsia="Calibri" w:hAnsi="Times New Roman" w:cs="Simplified Arabic"/>
          <w:sz w:val="24"/>
          <w:szCs w:val="28"/>
          <w:rtl/>
        </w:rPr>
        <w:t xml:space="preserve">) المناسبة، وفي تحديد معاملات الصدق والثبات المناسبة (معامل ألفا </w:t>
      </w:r>
      <w:proofErr w:type="spellStart"/>
      <w:r w:rsidRPr="005D60FD">
        <w:rPr>
          <w:rFonts w:ascii="Times New Roman" w:eastAsia="Calibri" w:hAnsi="Times New Roman" w:cs="Simplified Arabic"/>
          <w:sz w:val="24"/>
          <w:szCs w:val="28"/>
          <w:rtl/>
        </w:rPr>
        <w:t>كرونباخ</w:t>
      </w:r>
      <w:proofErr w:type="spellEnd"/>
      <w:r w:rsidRPr="005D60FD">
        <w:rPr>
          <w:rFonts w:ascii="Times New Roman" w:eastAsia="Calibri" w:hAnsi="Times New Roman" w:cs="Simplified Arabic"/>
          <w:sz w:val="24"/>
          <w:szCs w:val="28"/>
          <w:rtl/>
        </w:rPr>
        <w:t>).</w:t>
      </w:r>
    </w:p>
    <w:p w14:paraId="21B33D9F" w14:textId="77777777" w:rsidR="005D60FD" w:rsidRPr="005D60FD" w:rsidRDefault="005D60FD" w:rsidP="00F7353C">
      <w:pPr>
        <w:numPr>
          <w:ilvl w:val="0"/>
          <w:numId w:val="21"/>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في تحديد الفجوة البحثية: </w:t>
      </w:r>
      <w:r w:rsidRPr="005D60FD">
        <w:rPr>
          <w:rFonts w:ascii="Times New Roman" w:eastAsia="Calibri" w:hAnsi="Times New Roman" w:cs="Simplified Arabic"/>
          <w:sz w:val="24"/>
          <w:szCs w:val="28"/>
          <w:rtl/>
        </w:rPr>
        <w:t>حيث أظهرت المراجعة أن المؤسسات الحكومية السعودية لم تحظَ باهتمام كافٍ في مجال دراسة دور الحوكمة الإدارية في تحسين كفاءة أداء المشاريع بأبعادها المختلفة، مما عزز مبرر إجراء هذه الدراسة وأهميتها.</w:t>
      </w:r>
    </w:p>
    <w:p w14:paraId="744FD446"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Pr>
        <w:t>6</w:t>
      </w:r>
      <w:r w:rsidRPr="005D60FD">
        <w:rPr>
          <w:rFonts w:ascii="Times New Roman" w:eastAsia="Calibri" w:hAnsi="Times New Roman" w:cs="Simplified Arabic"/>
          <w:b/>
          <w:bCs/>
          <w:sz w:val="24"/>
          <w:szCs w:val="28"/>
          <w:rtl/>
        </w:rPr>
        <w:t>. الجوانب المميزة للدراسة الحالية عن الدراسات السابقة</w:t>
      </w:r>
    </w:p>
    <w:p w14:paraId="358F87A1" w14:textId="77777777" w:rsidR="005D60FD" w:rsidRPr="005D60FD" w:rsidRDefault="005D60FD" w:rsidP="00F7353C">
      <w:pPr>
        <w:numPr>
          <w:ilvl w:val="0"/>
          <w:numId w:val="22"/>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الأصالة من حيث الموضوع والشمولية: </w:t>
      </w:r>
      <w:r w:rsidRPr="005D60FD">
        <w:rPr>
          <w:rFonts w:ascii="Times New Roman" w:eastAsia="Calibri" w:hAnsi="Times New Roman" w:cs="Simplified Arabic"/>
          <w:sz w:val="24"/>
          <w:szCs w:val="28"/>
          <w:rtl/>
        </w:rPr>
        <w:t>تُعد هذه الدراسة من أوائل الدراسات الميدانية (وربما الأولى) في المملكة العربية السعودية التي تتبنى نهجاً شمولياً يربط بين ممارسات الحوكمة الإدارية (الشفافية، المساءلة، المشاركة، التنسيق)، وكفاءة أداء المشاريع الحكومية (الالتزام بالجداول الزمنية، كفاءة استخدام الموارد، جودة المخرجات، رضا أصحاب المصلحة) في جميع المؤسسات الحكومية السعودية.</w:t>
      </w:r>
    </w:p>
    <w:p w14:paraId="5E52EB40" w14:textId="77777777" w:rsidR="005D60FD" w:rsidRPr="005D60FD" w:rsidRDefault="005D60FD" w:rsidP="00F7353C">
      <w:pPr>
        <w:numPr>
          <w:ilvl w:val="0"/>
          <w:numId w:val="22"/>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التكامل في أبعاد المتغيرات: </w:t>
      </w:r>
      <w:r w:rsidRPr="005D60FD">
        <w:rPr>
          <w:rFonts w:ascii="Times New Roman" w:eastAsia="Calibri" w:hAnsi="Times New Roman" w:cs="Simplified Arabic"/>
          <w:sz w:val="24"/>
          <w:szCs w:val="28"/>
          <w:rtl/>
        </w:rPr>
        <w:t>فبدلاً من التركيز على بُعد واحد أو بعدين من أبعاد الحوكمة الإدارية (كالشفافية فقط، أو المساءلة فقط)، تتبنى الدراسة أربعة أبعاد متكاملة تغطي المبادئ الأساسية للحوكمة، وأربعة أبعاد لكفاءة أداء المشاريع تغطي جميع الجوانب الأساسية لتقييم أداء المشاريع.</w:t>
      </w:r>
    </w:p>
    <w:p w14:paraId="2E17E632" w14:textId="77777777" w:rsidR="005D60FD" w:rsidRPr="005D60FD" w:rsidRDefault="005D60FD" w:rsidP="00F7353C">
      <w:pPr>
        <w:numPr>
          <w:ilvl w:val="0"/>
          <w:numId w:val="22"/>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المنهجية المتقدمة والشاملة: </w:t>
      </w:r>
      <w:r w:rsidRPr="005D60FD">
        <w:rPr>
          <w:rFonts w:ascii="Times New Roman" w:eastAsia="Calibri" w:hAnsi="Times New Roman" w:cs="Simplified Arabic"/>
          <w:sz w:val="24"/>
          <w:szCs w:val="28"/>
          <w:rtl/>
        </w:rPr>
        <w:t>تجمع الدراسة بين قياس مستوى تطبيق ممارسات الحوكمة الإدارية (أربعة أبعاد)، ومستوى كفاءة أداء المشاريع الحكومية (أربعة أبعاد) في نموذج واحد، ثم تختبر العلاقة بينهما باستخدام تحليل الانحدار المتعدد لتحديد الأبعاد الأكثر تأثيراً وترتيبها حسب قوة تأثيرها.</w:t>
      </w:r>
    </w:p>
    <w:p w14:paraId="65E6CDE0" w14:textId="77777777" w:rsidR="005D60FD" w:rsidRPr="005D60FD" w:rsidRDefault="005D60FD" w:rsidP="00F7353C">
      <w:pPr>
        <w:numPr>
          <w:ilvl w:val="0"/>
          <w:numId w:val="22"/>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الجمع بين إدراك الممارسين وتحليل القطاعات المتعددة: </w:t>
      </w:r>
      <w:r w:rsidRPr="005D60FD">
        <w:rPr>
          <w:rFonts w:ascii="Times New Roman" w:eastAsia="Calibri" w:hAnsi="Times New Roman" w:cs="Simplified Arabic"/>
          <w:sz w:val="24"/>
          <w:szCs w:val="28"/>
          <w:rtl/>
        </w:rPr>
        <w:t xml:space="preserve">تعتمد الدراسة على استبانة تلتقط آراء المديرين التنفيذيين، ومديري المشاريع، ورؤساء الأقسام، ومسؤولي التخطيط والمتابعة </w:t>
      </w:r>
      <w:r w:rsidRPr="005D60FD">
        <w:rPr>
          <w:rFonts w:ascii="Times New Roman" w:eastAsia="Calibri" w:hAnsi="Times New Roman" w:cs="Simplified Arabic"/>
          <w:sz w:val="24"/>
          <w:szCs w:val="28"/>
          <w:rtl/>
        </w:rPr>
        <w:lastRenderedPageBreak/>
        <w:t>(أي الممارسين أنفسهم) بشكل شامل، مما يعطي صورة أكثر واقعية وتكاملية عن الممارسات الفعلية والتحديات الحقيقية.</w:t>
      </w:r>
    </w:p>
    <w:p w14:paraId="6274EFAD" w14:textId="77777777" w:rsidR="005D60FD" w:rsidRPr="005D60FD" w:rsidRDefault="005D60FD" w:rsidP="00F7353C">
      <w:pPr>
        <w:numPr>
          <w:ilvl w:val="0"/>
          <w:numId w:val="22"/>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التطبيق في بيئة ذات خصائص فريدة وتطور متسارع: </w:t>
      </w:r>
      <w:r w:rsidRPr="005D60FD">
        <w:rPr>
          <w:rFonts w:ascii="Times New Roman" w:eastAsia="Calibri" w:hAnsi="Times New Roman" w:cs="Simplified Arabic"/>
          <w:sz w:val="24"/>
          <w:szCs w:val="28"/>
          <w:rtl/>
        </w:rPr>
        <w:t>تتميز المملكة العربية السعودية برؤية 2030 الطموحة التي تضع تحسين الأداء الحكومي ورفع كفاءة المشاريع في صميم أولوياتها، مع استثمارات ضخمة وإصلاحات إدارية متسارعة، مما يجعل نتائج هذه الدراسة ذات قيمة تطبيقية عالية وقابلة للتعميم على دول الخليج ذات الظروف المشابهة.</w:t>
      </w:r>
    </w:p>
    <w:p w14:paraId="3B1BAFDE" w14:textId="77777777" w:rsidR="005D60FD" w:rsidRPr="005D60FD" w:rsidRDefault="005D60FD" w:rsidP="005D60FD">
      <w:pPr>
        <w:bidi w:val="0"/>
        <w:spacing w:after="200" w:line="276" w:lineRule="auto"/>
        <w:rPr>
          <w:rFonts w:ascii="Times New Roman" w:eastAsia="Calibri" w:hAnsi="Times New Roman" w:cs="Simplified Arabic"/>
          <w:sz w:val="24"/>
          <w:szCs w:val="28"/>
          <w:rtl/>
        </w:rPr>
      </w:pPr>
      <w:r w:rsidRPr="005D60FD">
        <w:rPr>
          <w:rFonts w:ascii="Times New Roman" w:eastAsia="Calibri" w:hAnsi="Times New Roman" w:cs="Simplified Arabic"/>
          <w:sz w:val="24"/>
          <w:szCs w:val="28"/>
          <w:rtl/>
        </w:rPr>
        <w:br w:type="page"/>
      </w:r>
    </w:p>
    <w:p w14:paraId="3036A055" w14:textId="77777777" w:rsidR="005D60FD" w:rsidRPr="005D60FD" w:rsidRDefault="005D60FD" w:rsidP="005D60FD">
      <w:pPr>
        <w:spacing w:after="360" w:line="276" w:lineRule="auto"/>
        <w:ind w:firstLine="567"/>
        <w:jc w:val="center"/>
        <w:rPr>
          <w:rFonts w:ascii="Times New Roman" w:eastAsia="Calibri" w:hAnsi="Times New Roman" w:cs="Simplified Arabic"/>
          <w:b/>
          <w:bCs/>
          <w:sz w:val="28"/>
          <w:szCs w:val="32"/>
        </w:rPr>
      </w:pPr>
      <w:r w:rsidRPr="005D60FD">
        <w:rPr>
          <w:rFonts w:ascii="Times New Roman" w:eastAsia="Calibri" w:hAnsi="Times New Roman" w:cs="Simplified Arabic"/>
          <w:b/>
          <w:bCs/>
          <w:sz w:val="28"/>
          <w:szCs w:val="32"/>
          <w:rtl/>
        </w:rPr>
        <w:lastRenderedPageBreak/>
        <w:t>المحور الثاني: الإطار النظري للدراسة</w:t>
      </w:r>
    </w:p>
    <w:p w14:paraId="3AB197B3"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tl/>
        </w:rPr>
      </w:pPr>
      <w:r w:rsidRPr="005D60FD">
        <w:rPr>
          <w:rFonts w:ascii="Times New Roman" w:eastAsia="Calibri" w:hAnsi="Times New Roman" w:cs="Simplified Arabic"/>
          <w:b/>
          <w:bCs/>
          <w:sz w:val="24"/>
          <w:szCs w:val="28"/>
          <w:rtl/>
        </w:rPr>
        <w:t>تمهيد:</w:t>
      </w:r>
    </w:p>
    <w:p w14:paraId="4A15780E"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يتناول هذا المحور الإطار النظري للدراسة، الذي يشكل الأساس المعرفي الذي تستند إليه الدراسة الحالية في فهم وتحليل متغيراتها الرئيسة. تم توزيع هذا الإطار على ثلاثة مباحث؛ يختص المبحث الأول بالمتغير المستقل (الحوكمة الإدارية)، ويتناول المبحث الثاني المتغير التابع (كفاءة أداء المشاريع الحكومية)، فيما يخصص المبحث الثالث للعلاقة التكاملية بين المتغيرين، متضمناً المنطلقات النظرية المفسرة لها.</w:t>
      </w:r>
    </w:p>
    <w:p w14:paraId="34AB9C9C" w14:textId="77777777" w:rsidR="005D60FD" w:rsidRPr="005D60FD" w:rsidRDefault="005D60FD" w:rsidP="005D60FD">
      <w:pPr>
        <w:spacing w:after="360" w:line="276" w:lineRule="auto"/>
        <w:ind w:firstLine="567"/>
        <w:jc w:val="center"/>
        <w:rPr>
          <w:rFonts w:ascii="Times New Roman" w:eastAsia="Calibri" w:hAnsi="Times New Roman" w:cs="Simplified Arabic"/>
          <w:b/>
          <w:bCs/>
          <w:sz w:val="26"/>
          <w:szCs w:val="30"/>
        </w:rPr>
      </w:pPr>
      <w:r w:rsidRPr="005D60FD">
        <w:rPr>
          <w:rFonts w:ascii="Times New Roman" w:eastAsia="Calibri" w:hAnsi="Times New Roman" w:cs="Simplified Arabic"/>
          <w:b/>
          <w:bCs/>
          <w:sz w:val="26"/>
          <w:szCs w:val="30"/>
          <w:rtl/>
        </w:rPr>
        <w:t>المبحث الأول: الحوكمة الإدارية</w:t>
      </w:r>
    </w:p>
    <w:p w14:paraId="36A3D940"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يشكل هذا المبحث الإطار النظري للمتغير المستقل في الدراسة الحالية، حيث يُعنى بتقديم تحليل متعمق لمفهوم الحوكمة الإدارية، وتطورها، وأبعادها الرئيسة الأربعة، والنظريات المفسرة لها، وأهميتها في القطاع الحكومي، والتحديات التي تواجه تطبيقها، ومؤشرات قياسها، وذلك تمهيداً لاختبار أثرها في كفاءة أداء المشاريع الحكومية في المملكة العربية السعودية.</w:t>
      </w:r>
    </w:p>
    <w:p w14:paraId="46D23827"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أولاً: مفهوم الحوكمة الإدارية وتطورها</w:t>
      </w:r>
    </w:p>
    <w:p w14:paraId="09C10A16"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تُعد الحوكمة الإدارية مفهوماً متطوراً في أدبيات الإدارة العامة، إذ لم تظهر كممارسة منظمة إلاّ مع تزايد تعقيد المؤسسات العامة والحاجة إلى آليات رقابية تضمن النزاهة والكفاءة. ويعرف (عطا، 2018، ص 1820) الحوكمة الإدارية بأنها مجموعة المبادئ والآليات التي تنظم العلاقات بين الأطراف المعنية بالمؤسسة، وتحدد مسؤولياتها وصلاحياتها، وتضمن سير العمل وفق معايير النزاهة والشفافية والعدالة. وقد تطور هذا المفهوم من التركيز على الجوانب المالية والرقابية إلى منظور أوسع يشمل الشفافية والمساءلة والمشاركة والتنسيق، ليعكس التحول من الإدارة التقليدية إلى الحوكمة الرشيدة (</w:t>
      </w:r>
      <w:r w:rsidRPr="005D60FD">
        <w:rPr>
          <w:rFonts w:ascii="Times New Roman" w:eastAsia="Calibri" w:hAnsi="Times New Roman" w:cs="Simplified Arabic"/>
          <w:sz w:val="24"/>
          <w:szCs w:val="28"/>
        </w:rPr>
        <w:t>Good Governance</w:t>
      </w:r>
      <w:r w:rsidRPr="005D60FD">
        <w:rPr>
          <w:rFonts w:ascii="Times New Roman" w:eastAsia="Calibri" w:hAnsi="Times New Roman" w:cs="Simplified Arabic"/>
          <w:sz w:val="24"/>
          <w:szCs w:val="28"/>
          <w:rtl/>
        </w:rPr>
        <w:t>) التي تركز على تحقيق التوازن بين أهداف المؤسسة واحتياجات أصحاب المصلحة.</w:t>
      </w:r>
    </w:p>
    <w:p w14:paraId="4DACA045"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lastRenderedPageBreak/>
        <w:t>وتُعرِّف منظمة التعاون الاقتصادي والتنمية (</w:t>
      </w:r>
      <w:r w:rsidRPr="005D60FD">
        <w:rPr>
          <w:rFonts w:ascii="Times New Roman" w:eastAsia="Calibri" w:hAnsi="Times New Roman" w:cs="Simplified Arabic"/>
          <w:sz w:val="24"/>
          <w:szCs w:val="28"/>
        </w:rPr>
        <w:t>OECD, 2024, p. 12</w:t>
      </w:r>
      <w:r w:rsidRPr="005D60FD">
        <w:rPr>
          <w:rFonts w:ascii="Times New Roman" w:eastAsia="Calibri" w:hAnsi="Times New Roman" w:cs="Simplified Arabic"/>
          <w:sz w:val="24"/>
          <w:szCs w:val="28"/>
          <w:rtl/>
        </w:rPr>
        <w:t>) الحوكمة في القطاع العام بأنها الإطار المؤسسي الذي يضمن توزيع الصلاحيات والمسؤوليات بشكل واضح، مع تفعيل آليات الرقابة والمحاسبة لضمان تحقيق الأهداف العامة بكفاءة. وفي السياق السعودي، يُعرِّف (القرشي، 2020، ص 235) الحوكمة بأنها النظام المؤسسي الذي يضمن ممارسة السلطة وفق مبادئ الشفافية والمساءلة والمشاركة، بما يحقق الاستغلال الأمثل للموارد ويعزز ثقة المواطنين في الأداء الحكومي. وتجدر الإشارة إلى أن مفهوم الحوكمة الإدارية في القطاع الحكومي يختلف عن نظيره في القطاع الخاص من حيث النطاق والأهداف وطرق المساءلة، حيث ترتبط الحوكمة العامة بشكل وثيق بتحقيق أهداف التنمية الوطنية ورفاهية المجتمع، وليس فقط تعظيم الربح للمساهمين.</w:t>
      </w:r>
    </w:p>
    <w:p w14:paraId="728D4C55"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ثانياً: أبعاد الحوكمة الإدارية</w:t>
      </w:r>
    </w:p>
    <w:p w14:paraId="31B64DD8"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تتكون الممارسة المتكاملة للحوكمة الإدارية من أربعة أبعاد رئيسة تتفاعل وتتكامل لضمان فعالية الأداء المؤسسي، ولا يمكن إغفال أي منها دون الإخلال بفعالية نظام الحوكمة بأكمله.</w:t>
      </w:r>
    </w:p>
    <w:p w14:paraId="39D51FC6"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أ- الشفافية (</w:t>
      </w:r>
      <w:r w:rsidRPr="005D60FD">
        <w:rPr>
          <w:rFonts w:ascii="Times New Roman" w:eastAsia="Calibri" w:hAnsi="Times New Roman" w:cs="Simplified Arabic"/>
          <w:b/>
          <w:bCs/>
          <w:sz w:val="24"/>
          <w:szCs w:val="28"/>
        </w:rPr>
        <w:t>Transparency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يُقصد بها الإفصاح عن المعلومات المتعلقة بقرارات وإجراءات المشاريع، وتوفير قنوات واضحة للاطلاع على سير العمل، بما يضمن وضوح الرؤية لجميع الأطراف المعنية. وقد أظهرت دراسة (العريفي وآخرون، 2022) أن تطبيق مبدأ الشفافية يسهم في تحسين كفاءة الإنفاق وتحديد السلطات والمسؤوليات بوضوح، ويعمل على تحقيق العدالة من خلال ما تقدمه مبادئ الحوكمة من فرص للتواصل والمشاركة في اتخاذ القرارات. كما أكدت دراسة (الهويدي، 2026) أن تفعيل الحوكمة ساهم بشكل ملموس في تعزيز الشفافية المؤسسية ورفع كفاءة الإنفاق.</w:t>
      </w:r>
    </w:p>
    <w:p w14:paraId="4030D3A2"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 المساءلة (</w:t>
      </w:r>
      <w:r w:rsidRPr="005D60FD">
        <w:rPr>
          <w:rFonts w:ascii="Times New Roman" w:eastAsia="Calibri" w:hAnsi="Times New Roman" w:cs="Simplified Arabic"/>
          <w:b/>
          <w:bCs/>
          <w:sz w:val="24"/>
          <w:szCs w:val="28"/>
        </w:rPr>
        <w:t>Accountability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يُقصد بها وجود آليات رقابية واضحة لمحاسبة المسؤولين عن القصور أو الإخفاق في تنفيذ المشاريع، وتحديد المسؤوليات بدقة، وضمان تطبيق الجزاءات عند الاقتضاء. وتُعد المساءلة العلاقة الاجتماعية التي بموجبها يلتزم الفرد أو المؤسسة بتقديم شرح وتبرير لأفعاله وقراراته لجهة رقابية، ويتحمل العواقب المترتبة عليها (</w:t>
      </w:r>
      <w:r w:rsidRPr="005D60FD">
        <w:rPr>
          <w:rFonts w:ascii="Times New Roman" w:eastAsia="Calibri" w:hAnsi="Times New Roman" w:cs="Simplified Arabic"/>
          <w:sz w:val="24"/>
          <w:szCs w:val="28"/>
        </w:rPr>
        <w:t>Bovens, 2007, p. 450</w:t>
      </w:r>
      <w:r w:rsidRPr="005D60FD">
        <w:rPr>
          <w:rFonts w:ascii="Times New Roman" w:eastAsia="Calibri" w:hAnsi="Times New Roman" w:cs="Simplified Arabic"/>
          <w:sz w:val="24"/>
          <w:szCs w:val="28"/>
          <w:rtl/>
        </w:rPr>
        <w:t>). وقد أظهرت دراسة (الخالدي، 2022) أن تطبيق مبدأ المساءلة يسهم بشكل كبير في تحسين الأداء في القطاع الحكومي، ويعزز الانضباط الإداري.</w:t>
      </w:r>
    </w:p>
    <w:p w14:paraId="2C33CC7D"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ج- المشاركة (</w:t>
      </w:r>
      <w:r w:rsidRPr="005D60FD">
        <w:rPr>
          <w:rFonts w:ascii="Times New Roman" w:eastAsia="Calibri" w:hAnsi="Times New Roman" w:cs="Simplified Arabic"/>
          <w:b/>
          <w:bCs/>
          <w:sz w:val="24"/>
          <w:szCs w:val="28"/>
        </w:rPr>
        <w:t>Participation</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يُقصد بها إشراك أصحاب المصلحة (الموظفين، المستفيدين، المجتمع، القطاع الخاص) في عمليات صنع القرار المتعلقة بالمشاريع، والاستماع لآرائهم وتغذيتهم الراجعة. وقد أظهرت دراسة (القرشي، 2020) أن بُعد المشاركة كان الأقل تطبيقاً مقارنة بالشفافية والمساءلة، مما يشير إلى وجود فجوة في إشراك أصحاب المصلحة في صنع القرار في المؤسسات الحكومية السعودية. وقد أكدت دراسة (الحصري، 2024) أن المشاركة تُعد أحد المبادئ الأساسية للحوكمة في القطاع الحكومي، إلى جانب الشفافية والمساءلة وسيادة القانون.</w:t>
      </w:r>
    </w:p>
    <w:p w14:paraId="5A389AB2"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د- التنسيق (</w:t>
      </w:r>
      <w:r w:rsidRPr="005D60FD">
        <w:rPr>
          <w:rFonts w:ascii="Times New Roman" w:eastAsia="Calibri" w:hAnsi="Times New Roman" w:cs="Simplified Arabic"/>
          <w:b/>
          <w:bCs/>
          <w:sz w:val="24"/>
          <w:szCs w:val="28"/>
        </w:rPr>
        <w:t>Coordination</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يُقصد به تعزيز التكامل والتعاون بين الجهات الحكومية المختلفة، وتوحيد الجهود، ومنع تداخل الاختصاصات أو تضارب المصالح، لضمان سلاسة تنفيذ المشاريع. وقد أشارت دراسة (</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إلى أن ضعف التنسيق بين الجهات الحكومية يُعد من أبرز التحديات التي تواجه تطبيق الحوكمة في القطاع الحكومي السعودي، حيث يؤدي إلى تداخل الاختصاصات أو ضياع المسؤوليات، وهو ما ينعكس سلباً على سلاسة تنفيذ المشاريع الكبرى. كما رصدت دراسة (</w:t>
      </w:r>
      <w:proofErr w:type="spellStart"/>
      <w:r w:rsidRPr="005D60FD">
        <w:rPr>
          <w:rFonts w:ascii="Times New Roman" w:eastAsia="Calibri" w:hAnsi="Times New Roman" w:cs="Simplified Arabic"/>
          <w:sz w:val="24"/>
          <w:szCs w:val="28"/>
        </w:rPr>
        <w:t>Alkorbi</w:t>
      </w:r>
      <w:proofErr w:type="spellEnd"/>
      <w:r w:rsidRPr="005D60FD">
        <w:rPr>
          <w:rFonts w:ascii="Times New Roman" w:eastAsia="Calibri" w:hAnsi="Times New Roman" w:cs="Simplified Arabic"/>
          <w:sz w:val="24"/>
          <w:szCs w:val="28"/>
        </w:rPr>
        <w:t xml:space="preserve"> &amp; </w:t>
      </w:r>
      <w:proofErr w:type="spellStart"/>
      <w:r w:rsidRPr="005D60FD">
        <w:rPr>
          <w:rFonts w:ascii="Times New Roman" w:eastAsia="Calibri" w:hAnsi="Times New Roman" w:cs="Simplified Arabic"/>
          <w:sz w:val="24"/>
          <w:szCs w:val="28"/>
        </w:rPr>
        <w:t>Alrwais</w:t>
      </w:r>
      <w:proofErr w:type="spellEnd"/>
      <w:r w:rsidRPr="005D60FD">
        <w:rPr>
          <w:rFonts w:ascii="Times New Roman" w:eastAsia="Calibri" w:hAnsi="Times New Roman" w:cs="Simplified Arabic"/>
          <w:sz w:val="24"/>
          <w:szCs w:val="28"/>
        </w:rPr>
        <w:t>, 2025</w:t>
      </w:r>
      <w:r w:rsidRPr="005D60FD">
        <w:rPr>
          <w:rFonts w:ascii="Times New Roman" w:eastAsia="Calibri" w:hAnsi="Times New Roman" w:cs="Simplified Arabic"/>
          <w:sz w:val="24"/>
          <w:szCs w:val="28"/>
          <w:rtl/>
        </w:rPr>
        <w:t>) فجوة في تكامل البيانات بين الجهات الحكومية المختلفة، مما يؤكد أهمية التنسيق كبُعد أساسي للحوكمة.</w:t>
      </w:r>
    </w:p>
    <w:p w14:paraId="48937CD9" w14:textId="77777777" w:rsidR="005D60FD" w:rsidRPr="005D60FD" w:rsidRDefault="005D60FD" w:rsidP="005D60FD">
      <w:pPr>
        <w:spacing w:after="0" w:line="276" w:lineRule="auto"/>
        <w:jc w:val="center"/>
        <w:rPr>
          <w:rFonts w:ascii="Times New Roman" w:eastAsia="Calibri" w:hAnsi="Times New Roman" w:cs="Simplified Arabic"/>
          <w:sz w:val="20"/>
          <w:szCs w:val="24"/>
        </w:rPr>
      </w:pPr>
      <w:r w:rsidRPr="005D60FD">
        <w:rPr>
          <w:rFonts w:ascii="Times New Roman" w:eastAsia="Calibri" w:hAnsi="Times New Roman" w:cs="Simplified Arabic"/>
          <w:b/>
          <w:bCs/>
          <w:sz w:val="20"/>
          <w:szCs w:val="24"/>
          <w:rtl/>
        </w:rPr>
        <w:t>جدول رقم (2.1): أبعاد الحوكمة الإدارية ومكوناتها</w:t>
      </w:r>
    </w:p>
    <w:tbl>
      <w:tblPr>
        <w:tblStyle w:val="4-4"/>
        <w:bidiVisual/>
        <w:tblW w:w="8359" w:type="dxa"/>
        <w:jc w:val="center"/>
        <w:tblLook w:val="04A0" w:firstRow="1" w:lastRow="0" w:firstColumn="1" w:lastColumn="0" w:noHBand="0" w:noVBand="1"/>
      </w:tblPr>
      <w:tblGrid>
        <w:gridCol w:w="993"/>
        <w:gridCol w:w="3543"/>
        <w:gridCol w:w="3823"/>
      </w:tblGrid>
      <w:tr w:rsidR="005D60FD" w:rsidRPr="005D60FD" w14:paraId="1F46626B" w14:textId="77777777" w:rsidTr="00F270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5D297708"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البعد</w:t>
            </w:r>
          </w:p>
        </w:tc>
        <w:tc>
          <w:tcPr>
            <w:tcW w:w="3543" w:type="dxa"/>
            <w:vAlign w:val="center"/>
            <w:hideMark/>
          </w:tcPr>
          <w:p w14:paraId="1AC864D2"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المكونات الرئيسة</w:t>
            </w:r>
          </w:p>
        </w:tc>
        <w:tc>
          <w:tcPr>
            <w:tcW w:w="3823" w:type="dxa"/>
            <w:vAlign w:val="center"/>
            <w:hideMark/>
          </w:tcPr>
          <w:p w14:paraId="14D089E2"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الأمثلة التطبيقية في القطاع الحكومي</w:t>
            </w:r>
          </w:p>
        </w:tc>
      </w:tr>
      <w:tr w:rsidR="005D60FD" w:rsidRPr="005D60FD" w14:paraId="095B75D5"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6A3A6900"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الشفافية</w:t>
            </w:r>
          </w:p>
        </w:tc>
        <w:tc>
          <w:tcPr>
            <w:tcW w:w="3543" w:type="dxa"/>
            <w:vAlign w:val="center"/>
            <w:hideMark/>
          </w:tcPr>
          <w:p w14:paraId="5DDB25CD"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الإفصاح عن المعلومات، وضوح الإجراءات، إتاحة البيانات</w:t>
            </w:r>
          </w:p>
        </w:tc>
        <w:tc>
          <w:tcPr>
            <w:tcW w:w="3823" w:type="dxa"/>
            <w:vAlign w:val="center"/>
            <w:hideMark/>
          </w:tcPr>
          <w:p w14:paraId="3B460C87"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نشر ميزانيات المشاريع، تقارير الأداء الدورية، منصات الشفافية الرقمية</w:t>
            </w:r>
          </w:p>
        </w:tc>
      </w:tr>
      <w:tr w:rsidR="005D60FD" w:rsidRPr="005D60FD" w14:paraId="011DEB90"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14C4173E"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المساءلة</w:t>
            </w:r>
          </w:p>
        </w:tc>
        <w:tc>
          <w:tcPr>
            <w:tcW w:w="3543" w:type="dxa"/>
            <w:vAlign w:val="center"/>
            <w:hideMark/>
          </w:tcPr>
          <w:p w14:paraId="41BC551A"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آليات رقابية، تحديد المسؤوليات، محاسبة المقصرين</w:t>
            </w:r>
          </w:p>
        </w:tc>
        <w:tc>
          <w:tcPr>
            <w:tcW w:w="3823" w:type="dxa"/>
            <w:vAlign w:val="center"/>
            <w:hideMark/>
          </w:tcPr>
          <w:p w14:paraId="7119AD65"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تقارير التدقيق الداخلي، لجان التحقيق، أنظمة الجزاءات</w:t>
            </w:r>
          </w:p>
        </w:tc>
      </w:tr>
      <w:tr w:rsidR="005D60FD" w:rsidRPr="005D60FD" w14:paraId="6157AD80"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73E2AE21"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المشاركة</w:t>
            </w:r>
          </w:p>
        </w:tc>
        <w:tc>
          <w:tcPr>
            <w:tcW w:w="3543" w:type="dxa"/>
            <w:vAlign w:val="center"/>
            <w:hideMark/>
          </w:tcPr>
          <w:p w14:paraId="5A3F1861"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إشراك أصحاب المصلحة، الاستماع للآراء، التشاور</w:t>
            </w:r>
          </w:p>
        </w:tc>
        <w:tc>
          <w:tcPr>
            <w:tcW w:w="3823" w:type="dxa"/>
            <w:vAlign w:val="center"/>
            <w:hideMark/>
          </w:tcPr>
          <w:p w14:paraId="4197384D"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sz w:val="20"/>
                <w:szCs w:val="24"/>
              </w:rPr>
            </w:pPr>
            <w:r w:rsidRPr="005D60FD">
              <w:rPr>
                <w:rFonts w:eastAsia="Calibri"/>
                <w:sz w:val="20"/>
                <w:szCs w:val="24"/>
                <w:rtl/>
              </w:rPr>
              <w:t>استبيانات رضا المستفيدين، ورش عمل تشاركية، مجالس استشارية</w:t>
            </w:r>
          </w:p>
        </w:tc>
      </w:tr>
      <w:tr w:rsidR="005D60FD" w:rsidRPr="005D60FD" w14:paraId="558A63D9"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14:paraId="7BA7E4EF"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التنسيق</w:t>
            </w:r>
          </w:p>
        </w:tc>
        <w:tc>
          <w:tcPr>
            <w:tcW w:w="3543" w:type="dxa"/>
            <w:vAlign w:val="center"/>
            <w:hideMark/>
          </w:tcPr>
          <w:p w14:paraId="73069211"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تكامل الجهود، توحيد الرؤى، منع تداخل الاختصاصات</w:t>
            </w:r>
          </w:p>
        </w:tc>
        <w:tc>
          <w:tcPr>
            <w:tcW w:w="3823" w:type="dxa"/>
            <w:vAlign w:val="center"/>
            <w:hideMark/>
          </w:tcPr>
          <w:p w14:paraId="5E1E9015"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منصات التنسيق بين الجهات، فرق عمل مشتركة، اتفاقيات تعاون</w:t>
            </w:r>
          </w:p>
        </w:tc>
      </w:tr>
    </w:tbl>
    <w:p w14:paraId="69710C5A" w14:textId="6F82CB51" w:rsidR="005D60FD" w:rsidRPr="00B53F89" w:rsidRDefault="005D60FD" w:rsidP="00B53F89">
      <w:pPr>
        <w:spacing w:after="0" w:line="276" w:lineRule="auto"/>
        <w:jc w:val="center"/>
        <w:rPr>
          <w:rFonts w:ascii="Times New Roman" w:eastAsia="Calibri" w:hAnsi="Times New Roman" w:cs="Simplified Arabic"/>
          <w:sz w:val="20"/>
          <w:szCs w:val="24"/>
          <w:rtl/>
        </w:rPr>
      </w:pPr>
      <w:r w:rsidRPr="005D60FD">
        <w:rPr>
          <w:rFonts w:ascii="Times New Roman" w:eastAsia="Calibri" w:hAnsi="Times New Roman" w:cs="Simplified Arabic"/>
          <w:i/>
          <w:iCs/>
          <w:sz w:val="20"/>
          <w:szCs w:val="24"/>
          <w:rtl/>
        </w:rPr>
        <w:t>(المصدر: من إعداد الباحث)</w:t>
      </w:r>
    </w:p>
    <w:p w14:paraId="30F3C019" w14:textId="77777777" w:rsidR="005D60FD" w:rsidRPr="005D60FD" w:rsidRDefault="005D60FD" w:rsidP="005D60FD">
      <w:pPr>
        <w:spacing w:before="240"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ثالثاً: النظريات المفسرة للحوكمة الإدارية</w:t>
      </w:r>
    </w:p>
    <w:p w14:paraId="121D4C09"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تتعدد النظريات التي تُفسر الحوكمة الإدارية وتُوجه تطبيقها في المؤسسات الحكومية، ويمكن إجمال أبرزها في ثلاث نظريات رئيسة:</w:t>
      </w:r>
    </w:p>
    <w:p w14:paraId="08FABDA7"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أ- نظرية الوكالة (</w:t>
      </w:r>
      <w:r w:rsidRPr="005D60FD">
        <w:rPr>
          <w:rFonts w:ascii="Times New Roman" w:eastAsia="Calibri" w:hAnsi="Times New Roman" w:cs="Simplified Arabic"/>
          <w:b/>
          <w:bCs/>
          <w:sz w:val="24"/>
          <w:szCs w:val="28"/>
        </w:rPr>
        <w:t>Agency Theory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تفترض هذه النظرية وجود علاقة وكالة بين المالك (الأصيل)، والمدير (الوكيل)، حيث قد يسعى الوكيل لتحقيق مصالحه الشخصية على حساب مصالح الأصيل بسبب عدم تماثل المعلومات. وتُعد الحوكمة آلية للحد من هذه المشكلة من خلال آليات الرقابة والمساءلة والشفافية. وقد طُبقت هذه النظرية بشكل واسع في حوكمة القطاع العام، حيث تُعتبر الحكومة أصيلاً يمثل المواطنين، والإدارة الحكومية وكيلاً ملزماً بتنفيذ السياسات بكفاءة ونزاهة. وتشير النظرية إلى أن تعزيز الشفافية والمساءلة يُقلل من فرص السلوك الانتهازي للإدارة، ويُحسّن أداء المشاريع الحكومية.</w:t>
      </w:r>
    </w:p>
    <w:p w14:paraId="164A74FB"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 نظرية أصحاب المصلحة (</w:t>
      </w:r>
      <w:r w:rsidRPr="005D60FD">
        <w:rPr>
          <w:rFonts w:ascii="Times New Roman" w:eastAsia="Calibri" w:hAnsi="Times New Roman" w:cs="Simplified Arabic"/>
          <w:b/>
          <w:bCs/>
          <w:sz w:val="24"/>
          <w:szCs w:val="28"/>
        </w:rPr>
        <w:t>Stakeholder Theory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تفترض هذه النظرية أن المؤسسات ليست مسؤولة فقط تجاه المساهمين، بل تجاه جميع الأطراف ذات العلاقة (أصحاب المصلحة) كالموظفين، والمستفيدين، والمجتمع، والجهات التنظيمية. وتُعد الحوكمة الإطار الذي يضمن تحقيق التوازن بين مصالح هذه الأطراف المختلفة. وفي القطاع الحكومي، يتسع نطاق أصحاب المصلحة ليشمل المواطنين والمقيمين والقطاع الخاص والجهات الرقابية، مما يجعل المشاركة والتنسيق من المبادئ الأساسية للحوكمة. وقد أظهرت دراسة (</w:t>
      </w:r>
      <w:proofErr w:type="spellStart"/>
      <w:r w:rsidRPr="005D60FD">
        <w:rPr>
          <w:rFonts w:ascii="Times New Roman" w:eastAsia="Calibri" w:hAnsi="Times New Roman" w:cs="Simplified Arabic"/>
          <w:sz w:val="24"/>
          <w:szCs w:val="28"/>
          <w:rtl/>
        </w:rPr>
        <w:t>الصرايره</w:t>
      </w:r>
      <w:proofErr w:type="spellEnd"/>
      <w:r w:rsidRPr="005D60FD">
        <w:rPr>
          <w:rFonts w:ascii="Times New Roman" w:eastAsia="Calibri" w:hAnsi="Times New Roman" w:cs="Simplified Arabic"/>
          <w:sz w:val="24"/>
          <w:szCs w:val="28"/>
          <w:rtl/>
        </w:rPr>
        <w:t>، 2023) أن إشراك أصحاب المصلحة في عمليات صنع القرار يُعزز أداء العاملين ويُحسّن جودة الخدمات.</w:t>
      </w:r>
    </w:p>
    <w:p w14:paraId="41767555"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ج- نظرية المساءلة المؤسسية (</w:t>
      </w:r>
      <w:r w:rsidRPr="005D60FD">
        <w:rPr>
          <w:rFonts w:ascii="Times New Roman" w:eastAsia="Calibri" w:hAnsi="Times New Roman" w:cs="Simplified Arabic"/>
          <w:b/>
          <w:bCs/>
          <w:sz w:val="24"/>
          <w:szCs w:val="28"/>
        </w:rPr>
        <w:t>Institutional Accountability Theory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تركز هذه النظرية على دور المساءلة في تحسين أداء المؤسسات العامة، وتُشير إلى أن المؤسسات التي تطبق آليات مساءلة فعالة تكون أكثر قدرة على تحقيق الشفافية والكفاءة في استخدام الموارد. وقد أظهرت دراسة (محضر، 2024)، وجود تأثير ذي دلالة معنوية لتطبيق الحوكمة (وبخاصة المساءلة) في تحسين كفاءة الأداء المؤسسي في مستشفيات القطاع الحكومي. وتؤكد النظرية أن المساءلة ليست مجرد أداة رقابية، بل هي أيضاً وسيلة لتعزيز الثقة بين المواطنين والمؤسسات الحكومية.</w:t>
      </w:r>
    </w:p>
    <w:p w14:paraId="788027E6"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رابعاً: أهمية الحوكمة الإدارية في القطاع الحكومي</w:t>
      </w:r>
    </w:p>
    <w:p w14:paraId="6787A394"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تتعدد الأسباب التي تجعل تطبيق الحوكمة الإدارية أمراً بالغ الحيوية للمؤسسات الحكومية، ويمكن إجمالها في أربعة دوافع رئيسة:</w:t>
      </w:r>
    </w:p>
    <w:p w14:paraId="599B5CE0" w14:textId="77777777" w:rsidR="005D60FD" w:rsidRPr="005D60FD" w:rsidRDefault="005D60FD" w:rsidP="00F7353C">
      <w:pPr>
        <w:numPr>
          <w:ilvl w:val="0"/>
          <w:numId w:val="23"/>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 xml:space="preserve">تحسين كفاءة الأداء المؤسسي: </w:t>
      </w:r>
      <w:r w:rsidRPr="005D60FD">
        <w:rPr>
          <w:rFonts w:ascii="Times New Roman" w:eastAsia="Calibri" w:hAnsi="Times New Roman" w:cs="Simplified Arabic"/>
          <w:sz w:val="24"/>
          <w:szCs w:val="28"/>
          <w:rtl/>
        </w:rPr>
        <w:t>تسهم الحوكمة في تحسين كفاءة الأداء من خلال تحديد السلطات والمسؤوليات بوضوح، وترشيد استخدام الموارد، وتقليل الهدر المالي. وقد أظهرت دراسة (العريفي وآخرون، 2022) أن للحوكمة دوراً فاعلاً في تحسين كفاءة الأداء بشكل عام، ولها تأثير كبير في تحقيق كفاءة الإنفاق.</w:t>
      </w:r>
    </w:p>
    <w:p w14:paraId="3846DDBC" w14:textId="77777777" w:rsidR="005D60FD" w:rsidRPr="005D60FD" w:rsidRDefault="005D60FD" w:rsidP="00F7353C">
      <w:pPr>
        <w:numPr>
          <w:ilvl w:val="0"/>
          <w:numId w:val="23"/>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تعزيز الشفافية والثقة: </w:t>
      </w:r>
      <w:r w:rsidRPr="005D60FD">
        <w:rPr>
          <w:rFonts w:ascii="Times New Roman" w:eastAsia="Calibri" w:hAnsi="Times New Roman" w:cs="Simplified Arabic"/>
          <w:sz w:val="24"/>
          <w:szCs w:val="28"/>
          <w:rtl/>
        </w:rPr>
        <w:t>تُسهم الحوكمة في بناء ثقة المواطنين والمستثمرين من خلال الإفصاح عن المعلومات وضمان الشفافية في اتخاذ القرارات. وقد أكدت دراسة (الهويدي، 2026) أن تفعيل الحوكمة ساهم بشكل ملموس في تعزيز الشفافية المؤسسية ورفع كفاءة الإنفاق.</w:t>
      </w:r>
    </w:p>
    <w:p w14:paraId="11B53F67" w14:textId="77777777" w:rsidR="005D60FD" w:rsidRPr="005D60FD" w:rsidRDefault="005D60FD" w:rsidP="00F7353C">
      <w:pPr>
        <w:numPr>
          <w:ilvl w:val="0"/>
          <w:numId w:val="23"/>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تقليل الفساد والهدر: </w:t>
      </w:r>
      <w:r w:rsidRPr="005D60FD">
        <w:rPr>
          <w:rFonts w:ascii="Times New Roman" w:eastAsia="Calibri" w:hAnsi="Times New Roman" w:cs="Simplified Arabic"/>
          <w:sz w:val="24"/>
          <w:szCs w:val="28"/>
          <w:rtl/>
        </w:rPr>
        <w:t>تعمل الحوكمة على الحد من مظاهر الفساد من خلال آليات الرقابة والمحاسبة، وضمان الاستغلال الأمثل للموارد المتاحة. وقد أشارت دراسة (عطا، 2018) إلى أن الحوكمة تتوافق مع مقاصد الشريعة الإسلامية في منع الإفساد وحماية الأموال، وتُعد صمام الأمان الذي يقي المؤسسات من الفشل المالي.</w:t>
      </w:r>
    </w:p>
    <w:p w14:paraId="714E1E8B" w14:textId="77777777" w:rsidR="005D60FD" w:rsidRPr="005D60FD" w:rsidRDefault="005D60FD" w:rsidP="00F7353C">
      <w:pPr>
        <w:numPr>
          <w:ilvl w:val="0"/>
          <w:numId w:val="23"/>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دعم تحقيق الأهداف الاستراتيجية: </w:t>
      </w:r>
      <w:r w:rsidRPr="005D60FD">
        <w:rPr>
          <w:rFonts w:ascii="Times New Roman" w:eastAsia="Calibri" w:hAnsi="Times New Roman" w:cs="Simplified Arabic"/>
          <w:sz w:val="24"/>
          <w:szCs w:val="28"/>
          <w:rtl/>
        </w:rPr>
        <w:t>تُسهم الحوكمة في تحقيق الأهداف الاستراتيجية للمؤسسات الحكومية من خلال توجيه الجهود نحو الأولويات الوطنية، وضمان التنسيق بين الجهات المختلفة.</w:t>
      </w:r>
    </w:p>
    <w:p w14:paraId="5CF6A950"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خامساً: تحديات تطبيق الحوكمة الإدارية في القطاع الحكومي</w:t>
      </w:r>
    </w:p>
    <w:p w14:paraId="7DCA54C6"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رغم الفوائد الجمة، تواجه المؤسسات الحكومية تحديات كبيرة في تطبيق الحوكمة الإدارية، ويمكن إجمالها في خمسة محاور رئيسة:</w:t>
      </w:r>
    </w:p>
    <w:p w14:paraId="562333A7" w14:textId="77777777" w:rsidR="005D60FD" w:rsidRPr="005D60FD" w:rsidRDefault="005D60FD" w:rsidP="00F7353C">
      <w:pPr>
        <w:numPr>
          <w:ilvl w:val="0"/>
          <w:numId w:val="24"/>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البيروقراطية التقليدية: </w:t>
      </w:r>
      <w:r w:rsidRPr="005D60FD">
        <w:rPr>
          <w:rFonts w:ascii="Times New Roman" w:eastAsia="Calibri" w:hAnsi="Times New Roman" w:cs="Simplified Arabic"/>
          <w:sz w:val="24"/>
          <w:szCs w:val="28"/>
          <w:rtl/>
        </w:rPr>
        <w:t>تُعد البيروقراطية الإدارية من أكبر التحديات التي تواجه تطبيق الحوكمة في القطاع الحكومي، حيث تؤدي إلى إبطاء عمليات صنع القرار وإعاقة المرونة التنظيمية. وقد أشارت دراسة (الهويدي، 2026) إلى وجود تحديات هيكلية متمثلة في البيروقراطية التقليدية ومقاومة التغيير.</w:t>
      </w:r>
    </w:p>
    <w:p w14:paraId="1F817419" w14:textId="77777777" w:rsidR="005D60FD" w:rsidRPr="005D60FD" w:rsidRDefault="005D60FD" w:rsidP="00F7353C">
      <w:pPr>
        <w:numPr>
          <w:ilvl w:val="0"/>
          <w:numId w:val="24"/>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 xml:space="preserve">مقاومة التغيير الثقافي: </w:t>
      </w:r>
      <w:r w:rsidRPr="005D60FD">
        <w:rPr>
          <w:rFonts w:ascii="Times New Roman" w:eastAsia="Calibri" w:hAnsi="Times New Roman" w:cs="Simplified Arabic"/>
          <w:sz w:val="24"/>
          <w:szCs w:val="28"/>
          <w:rtl/>
        </w:rPr>
        <w:t>التحول من ثقافة إدارية تقليدية إلى ثقافة الحوكمة يتطلب تغييراً في السلوكيات والمفاهيم، وقد يقاوم الأفراد أو الإدارات هذا التغيير بسبب العادات الراسخة أو الخوف من فقدان السيطرة. وقد أشارت دراسة (</w:t>
      </w:r>
      <w:proofErr w:type="spellStart"/>
      <w:r w:rsidRPr="005D60FD">
        <w:rPr>
          <w:rFonts w:ascii="Times New Roman" w:eastAsia="Calibri" w:hAnsi="Times New Roman" w:cs="Simplified Arabic"/>
          <w:sz w:val="24"/>
          <w:szCs w:val="28"/>
          <w:rtl/>
        </w:rPr>
        <w:t>الخوريف</w:t>
      </w:r>
      <w:proofErr w:type="spellEnd"/>
      <w:r w:rsidRPr="005D60FD">
        <w:rPr>
          <w:rFonts w:ascii="Times New Roman" w:eastAsia="Calibri" w:hAnsi="Times New Roman" w:cs="Simplified Arabic"/>
          <w:sz w:val="24"/>
          <w:szCs w:val="28"/>
          <w:rtl/>
        </w:rPr>
        <w:t>، 2024) إلى أن ثقافة الخوف من المخاطرة (</w:t>
      </w:r>
      <w:r w:rsidRPr="005D60FD">
        <w:rPr>
          <w:rFonts w:ascii="Times New Roman" w:eastAsia="Calibri" w:hAnsi="Times New Roman" w:cs="Simplified Arabic"/>
          <w:sz w:val="24"/>
          <w:szCs w:val="28"/>
        </w:rPr>
        <w:t>Risk-averse mindset</w:t>
      </w:r>
      <w:r w:rsidRPr="005D60FD">
        <w:rPr>
          <w:rFonts w:ascii="Times New Roman" w:eastAsia="Calibri" w:hAnsi="Times New Roman" w:cs="Simplified Arabic"/>
          <w:sz w:val="24"/>
          <w:szCs w:val="28"/>
          <w:rtl/>
        </w:rPr>
        <w:t>) لا تزال تعيق الابتكار وتطبيق ممارسات الحوكمة الحديثة.</w:t>
      </w:r>
    </w:p>
    <w:p w14:paraId="444FA22C" w14:textId="77777777" w:rsidR="005D60FD" w:rsidRPr="005D60FD" w:rsidRDefault="005D60FD" w:rsidP="00F7353C">
      <w:pPr>
        <w:numPr>
          <w:ilvl w:val="0"/>
          <w:numId w:val="24"/>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ضعف التنسيق بين الجهات: </w:t>
      </w:r>
      <w:r w:rsidRPr="005D60FD">
        <w:rPr>
          <w:rFonts w:ascii="Times New Roman" w:eastAsia="Calibri" w:hAnsi="Times New Roman" w:cs="Simplified Arabic"/>
          <w:sz w:val="24"/>
          <w:szCs w:val="28"/>
          <w:rtl/>
        </w:rPr>
        <w:t>يُعد ضعف التنسيق بين الجهات الحكومية المختلفة من أبرز التحديات التي تواجه تطبيق الحوكمة، حيث يؤدي إلى تداخل الاختصاصات أو ضياع المسؤوليات. وقد رصدت دراسة (</w:t>
      </w:r>
      <w:proofErr w:type="spellStart"/>
      <w:r w:rsidRPr="005D60FD">
        <w:rPr>
          <w:rFonts w:ascii="Times New Roman" w:eastAsia="Calibri" w:hAnsi="Times New Roman" w:cs="Simplified Arabic"/>
          <w:sz w:val="24"/>
          <w:szCs w:val="28"/>
        </w:rPr>
        <w:t>Alkorbi</w:t>
      </w:r>
      <w:proofErr w:type="spellEnd"/>
      <w:r w:rsidRPr="005D60FD">
        <w:rPr>
          <w:rFonts w:ascii="Times New Roman" w:eastAsia="Calibri" w:hAnsi="Times New Roman" w:cs="Simplified Arabic"/>
          <w:sz w:val="24"/>
          <w:szCs w:val="28"/>
        </w:rPr>
        <w:t xml:space="preserve"> &amp; </w:t>
      </w:r>
      <w:proofErr w:type="spellStart"/>
      <w:r w:rsidRPr="005D60FD">
        <w:rPr>
          <w:rFonts w:ascii="Times New Roman" w:eastAsia="Calibri" w:hAnsi="Times New Roman" w:cs="Simplified Arabic"/>
          <w:sz w:val="24"/>
          <w:szCs w:val="28"/>
        </w:rPr>
        <w:t>Alrwais</w:t>
      </w:r>
      <w:proofErr w:type="spellEnd"/>
      <w:r w:rsidRPr="005D60FD">
        <w:rPr>
          <w:rFonts w:ascii="Times New Roman" w:eastAsia="Calibri" w:hAnsi="Times New Roman" w:cs="Simplified Arabic"/>
          <w:sz w:val="24"/>
          <w:szCs w:val="28"/>
        </w:rPr>
        <w:t>, 2025</w:t>
      </w:r>
      <w:r w:rsidRPr="005D60FD">
        <w:rPr>
          <w:rFonts w:ascii="Times New Roman" w:eastAsia="Calibri" w:hAnsi="Times New Roman" w:cs="Simplified Arabic"/>
          <w:sz w:val="24"/>
          <w:szCs w:val="28"/>
          <w:rtl/>
        </w:rPr>
        <w:t>) فجوة في تكامل البيانات بين الجهات الحكومية المختلفة.</w:t>
      </w:r>
    </w:p>
    <w:p w14:paraId="3E0D4993" w14:textId="77777777" w:rsidR="005D60FD" w:rsidRPr="005D60FD" w:rsidRDefault="005D60FD" w:rsidP="00F7353C">
      <w:pPr>
        <w:numPr>
          <w:ilvl w:val="0"/>
          <w:numId w:val="24"/>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نقص الكفاءات والمهارات: </w:t>
      </w:r>
      <w:r w:rsidRPr="005D60FD">
        <w:rPr>
          <w:rFonts w:ascii="Times New Roman" w:eastAsia="Calibri" w:hAnsi="Times New Roman" w:cs="Simplified Arabic"/>
          <w:sz w:val="24"/>
          <w:szCs w:val="28"/>
          <w:rtl/>
        </w:rPr>
        <w:t>يتطلب تطبيق الحوكمة كوادر بشرية مؤهلة ومدربة على مبادئ الحوكمة وأدواتها، وهو ما قد لا يكون متوفراً في جميع المؤسسات الحكومية.</w:t>
      </w:r>
    </w:p>
    <w:p w14:paraId="1ECC7335" w14:textId="77777777" w:rsidR="005D60FD" w:rsidRPr="005D60FD" w:rsidRDefault="005D60FD" w:rsidP="00F7353C">
      <w:pPr>
        <w:numPr>
          <w:ilvl w:val="0"/>
          <w:numId w:val="24"/>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ضعف البنية التحتية الرقمية: </w:t>
      </w:r>
      <w:r w:rsidRPr="005D60FD">
        <w:rPr>
          <w:rFonts w:ascii="Times New Roman" w:eastAsia="Calibri" w:hAnsi="Times New Roman" w:cs="Simplified Arabic"/>
          <w:sz w:val="24"/>
          <w:szCs w:val="28"/>
          <w:rtl/>
        </w:rPr>
        <w:t>تعتمد الحوكمة الحديثة بشكل متزايد على الأنظمة الرقمية لتعزيز الشفافية والمساءلة والمشاركة، وقد يعيق ضعف البنية التحتية الرقمية تطبيق هذه الممارسات.</w:t>
      </w:r>
    </w:p>
    <w:p w14:paraId="246C73D3"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سادساً: مؤشرات قياس الحوكمة الإدارية</w:t>
      </w:r>
    </w:p>
    <w:p w14:paraId="6FA428A3"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لا يمكن تحسين ممارسات الحوكمة دون قياسها بشكل منهجي. واستناداً إلى الأبعاد الأربعة المحددة سابقاً (الشفافية، المساءلة، المشاركة، التنسيق)، يمكن اقتراح مجموعة من المؤشرات القابلة للقياس الكمي والنوعي.</w:t>
      </w:r>
    </w:p>
    <w:p w14:paraId="07B7DDE5"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t>جدول رقم (2.2): مؤشرات قياس الحوكمة الإدارية في القطاع الحكومي</w:t>
      </w:r>
    </w:p>
    <w:tbl>
      <w:tblPr>
        <w:tblStyle w:val="4-4"/>
        <w:bidiVisual/>
        <w:tblW w:w="7930" w:type="dxa"/>
        <w:jc w:val="center"/>
        <w:tblLook w:val="04A0" w:firstRow="1" w:lastRow="0" w:firstColumn="1" w:lastColumn="0" w:noHBand="0" w:noVBand="1"/>
      </w:tblPr>
      <w:tblGrid>
        <w:gridCol w:w="1131"/>
        <w:gridCol w:w="3685"/>
        <w:gridCol w:w="3114"/>
      </w:tblGrid>
      <w:tr w:rsidR="005D60FD" w:rsidRPr="005D60FD" w14:paraId="3E25DE64" w14:textId="77777777" w:rsidTr="005A1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1" w:type="dxa"/>
            <w:vAlign w:val="center"/>
            <w:hideMark/>
          </w:tcPr>
          <w:p w14:paraId="33C8443A"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البعد</w:t>
            </w:r>
          </w:p>
        </w:tc>
        <w:tc>
          <w:tcPr>
            <w:tcW w:w="3685" w:type="dxa"/>
            <w:vAlign w:val="center"/>
            <w:hideMark/>
          </w:tcPr>
          <w:p w14:paraId="24EE3B17"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مؤشرات القياس المقترحة</w:t>
            </w:r>
          </w:p>
        </w:tc>
        <w:tc>
          <w:tcPr>
            <w:tcW w:w="3114" w:type="dxa"/>
            <w:vAlign w:val="center"/>
            <w:hideMark/>
          </w:tcPr>
          <w:p w14:paraId="625DA8E9"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طريقة القياس</w:t>
            </w:r>
          </w:p>
        </w:tc>
      </w:tr>
      <w:tr w:rsidR="005D60FD" w:rsidRPr="005D60FD" w14:paraId="301F3533" w14:textId="77777777" w:rsidTr="005A16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1" w:type="dxa"/>
            <w:vAlign w:val="center"/>
            <w:hideMark/>
          </w:tcPr>
          <w:p w14:paraId="4DD183CF"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الشفافية</w:t>
            </w:r>
          </w:p>
        </w:tc>
        <w:tc>
          <w:tcPr>
            <w:tcW w:w="3685" w:type="dxa"/>
            <w:vAlign w:val="center"/>
            <w:hideMark/>
          </w:tcPr>
          <w:p w14:paraId="79BA8219"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مستوى الإفصاح عن معلومات المشاريع، توفر تقارير الأداء الدورية، عدد المنصات الرقمية المفتوحة</w:t>
            </w:r>
          </w:p>
        </w:tc>
        <w:tc>
          <w:tcPr>
            <w:tcW w:w="3114" w:type="dxa"/>
            <w:vAlign w:val="center"/>
            <w:hideMark/>
          </w:tcPr>
          <w:p w14:paraId="031DFA7D"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تحليل محتوى التقارير، استبيانات الشفافية، مراجعة المنصات الرقمية</w:t>
            </w:r>
          </w:p>
        </w:tc>
      </w:tr>
      <w:tr w:rsidR="005D60FD" w:rsidRPr="005D60FD" w14:paraId="07415BE5" w14:textId="77777777" w:rsidTr="005A16BB">
        <w:trPr>
          <w:jc w:val="center"/>
        </w:trPr>
        <w:tc>
          <w:tcPr>
            <w:cnfStyle w:val="001000000000" w:firstRow="0" w:lastRow="0" w:firstColumn="1" w:lastColumn="0" w:oddVBand="0" w:evenVBand="0" w:oddHBand="0" w:evenHBand="0" w:firstRowFirstColumn="0" w:firstRowLastColumn="0" w:lastRowFirstColumn="0" w:lastRowLastColumn="0"/>
            <w:tcW w:w="1131" w:type="dxa"/>
            <w:vAlign w:val="center"/>
            <w:hideMark/>
          </w:tcPr>
          <w:p w14:paraId="3848AA51"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المساءلة</w:t>
            </w:r>
          </w:p>
        </w:tc>
        <w:tc>
          <w:tcPr>
            <w:tcW w:w="3685" w:type="dxa"/>
            <w:vAlign w:val="center"/>
            <w:hideMark/>
          </w:tcPr>
          <w:p w14:paraId="56BAA62A"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عدد آليات الرقابة الداخلية، معدل تنفيذ توصيات التدقيق، عدد حالات المحاسبة</w:t>
            </w:r>
          </w:p>
        </w:tc>
        <w:tc>
          <w:tcPr>
            <w:tcW w:w="3114" w:type="dxa"/>
            <w:vAlign w:val="center"/>
            <w:hideMark/>
          </w:tcPr>
          <w:p w14:paraId="518570B3"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تحليل تقارير التدقيق، مراجعة أنظمة الرقابة، استبيانات المساءلة</w:t>
            </w:r>
          </w:p>
        </w:tc>
      </w:tr>
      <w:tr w:rsidR="005D60FD" w:rsidRPr="005D60FD" w14:paraId="5DA38224" w14:textId="77777777" w:rsidTr="005A16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1" w:type="dxa"/>
            <w:vAlign w:val="center"/>
            <w:hideMark/>
          </w:tcPr>
          <w:p w14:paraId="716F2400"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lastRenderedPageBreak/>
              <w:t>المشاركة</w:t>
            </w:r>
          </w:p>
        </w:tc>
        <w:tc>
          <w:tcPr>
            <w:tcW w:w="3685" w:type="dxa"/>
            <w:vAlign w:val="center"/>
            <w:hideMark/>
          </w:tcPr>
          <w:p w14:paraId="4FC4FC99"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عدد جلسات التشاور، نسبة إشراك أصحاب المصلحة، مستوى رضا المستفيدين</w:t>
            </w:r>
          </w:p>
        </w:tc>
        <w:tc>
          <w:tcPr>
            <w:tcW w:w="3114" w:type="dxa"/>
            <w:vAlign w:val="center"/>
            <w:hideMark/>
          </w:tcPr>
          <w:p w14:paraId="531B694D"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استبيانات المشاركة، تحليل سجلات الاجتماعات، قياس رضا المستفيدين</w:t>
            </w:r>
          </w:p>
        </w:tc>
      </w:tr>
      <w:tr w:rsidR="005D60FD" w:rsidRPr="005D60FD" w14:paraId="12F7D0AC" w14:textId="77777777" w:rsidTr="005A16BB">
        <w:trPr>
          <w:jc w:val="center"/>
        </w:trPr>
        <w:tc>
          <w:tcPr>
            <w:cnfStyle w:val="001000000000" w:firstRow="0" w:lastRow="0" w:firstColumn="1" w:lastColumn="0" w:oddVBand="0" w:evenVBand="0" w:oddHBand="0" w:evenHBand="0" w:firstRowFirstColumn="0" w:firstRowLastColumn="0" w:lastRowFirstColumn="0" w:lastRowLastColumn="0"/>
            <w:tcW w:w="1131" w:type="dxa"/>
            <w:vAlign w:val="center"/>
            <w:hideMark/>
          </w:tcPr>
          <w:p w14:paraId="64C490BE"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التنسيق</w:t>
            </w:r>
          </w:p>
        </w:tc>
        <w:tc>
          <w:tcPr>
            <w:tcW w:w="3685" w:type="dxa"/>
            <w:vAlign w:val="center"/>
            <w:hideMark/>
          </w:tcPr>
          <w:p w14:paraId="63F1B7EA"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عدد آليات التنسيق بين الجهات، مستوى تكامل البيانات، عدد فرق العمل المشتركة</w:t>
            </w:r>
          </w:p>
        </w:tc>
        <w:tc>
          <w:tcPr>
            <w:tcW w:w="3114" w:type="dxa"/>
            <w:vAlign w:val="center"/>
            <w:hideMark/>
          </w:tcPr>
          <w:p w14:paraId="4B29859E"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تحليل هياكل التنسيق، مراجعة منصات التكامل، استبيانات التنسيق</w:t>
            </w:r>
          </w:p>
        </w:tc>
      </w:tr>
    </w:tbl>
    <w:p w14:paraId="480D1AE5"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t>(المصدر: من إعداد الباحث)</w:t>
      </w:r>
    </w:p>
    <w:p w14:paraId="39CD96D0" w14:textId="77777777" w:rsidR="005D60FD" w:rsidRPr="005D60FD" w:rsidRDefault="005D60FD" w:rsidP="005D60FD">
      <w:pPr>
        <w:spacing w:before="240"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التحليل والتعقيب على المبحث الأول:</w:t>
      </w:r>
    </w:p>
    <w:p w14:paraId="1F1F7851"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من خلال العرض السابق يتبين أن الحوكمة الإدارية ليست مجرد إطار تنظيمي، بل هي منظومة متكاملة الأبعاد (شفافية، مساءلة، مشاركة، تنسيق)، وأن فعالية تطبيقها في القطاع الحكومي تتوقف على التكامل بين هذه الأبعاد، وليس على وجود بعضها دون البعض. كما يتبين أن المؤسسات الحكومية تواجه تحديات حقيقية في تطبيق الحوكمة، ليس فقط لضعف البنى التنظيمية، بل أيضاً للثقافة البيروقراطية ومقاومة التغيير. ومع ذلك، فإن دوافع التطبيق (تحسين الكفاءة، تعزيز الشفافية، تقليل الفساد، دعم الأهداف الاستراتيجية) تظل قوية بما يكفي لتبرير الاستثمار في هذا المجال. وتأسيساً على ذلك، يؤكد الباحث أن قياس مستوى تطبيق الحوكمة الإدارية في المؤسسات الحكومية السعودية يتطلب النظر إلى جميع الأبعاد الأربعة معاً، وليس الاكتفاء ببُعد أو بعدين (كالشفافية فقط أو المساءلة فقط). كما أن النجاح في تحقيق الحوكمة لا يُقاس بعدد السياسات الموضوعة، بل بقدرتها على تحسين كفاءة أداء المشاريع الحكومية، وهو ما سيتم اختباره في الجزء الميداني من هذه الدراسة.</w:t>
      </w:r>
    </w:p>
    <w:p w14:paraId="15576B3C"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tl/>
        </w:rPr>
      </w:pPr>
    </w:p>
    <w:p w14:paraId="55B98BED" w14:textId="77777777" w:rsidR="005D60FD" w:rsidRPr="005D60FD" w:rsidRDefault="005D60FD" w:rsidP="005D60FD">
      <w:pPr>
        <w:spacing w:after="200" w:line="276" w:lineRule="auto"/>
        <w:jc w:val="center"/>
        <w:rPr>
          <w:rFonts w:ascii="Times New Roman" w:eastAsia="Calibri" w:hAnsi="Times New Roman" w:cs="Simplified Arabic"/>
          <w:b/>
          <w:bCs/>
          <w:sz w:val="26"/>
          <w:szCs w:val="30"/>
        </w:rPr>
      </w:pPr>
      <w:r w:rsidRPr="005D60FD">
        <w:rPr>
          <w:rFonts w:ascii="Times New Roman" w:eastAsia="Calibri" w:hAnsi="Times New Roman" w:cs="Simplified Arabic"/>
          <w:b/>
          <w:bCs/>
          <w:sz w:val="26"/>
          <w:szCs w:val="30"/>
          <w:rtl/>
        </w:rPr>
        <w:br w:type="page"/>
      </w:r>
      <w:r w:rsidRPr="005D60FD">
        <w:rPr>
          <w:rFonts w:ascii="Times New Roman" w:eastAsia="Calibri" w:hAnsi="Times New Roman" w:cs="Simplified Arabic"/>
          <w:b/>
          <w:bCs/>
          <w:sz w:val="26"/>
          <w:szCs w:val="30"/>
          <w:rtl/>
        </w:rPr>
        <w:lastRenderedPageBreak/>
        <w:t>المبحث الثاني: كفاءة أداء المشاريع الحكومية</w:t>
      </w:r>
    </w:p>
    <w:p w14:paraId="4A39E69A"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يشكل هذا المبحث الإطار النظري للمتغير التابع في الدراسة الحالية، حيث يُعنى بتقديم تحليل متعمق لمفهوم كفاءة أداء المشاريع الحكومية، وأهميتها، وأبعادها الرئيسة الأربعة، والنماذج النظرية المفسرة لها، ومؤشرات قياسها، والعوامل المؤثرة فيها، وذلك تمهيداً لاختبار دور الحوكمة الإدارية في تحسين هذه الكفاءة في المؤسسات الحكومية السعودية.</w:t>
      </w:r>
    </w:p>
    <w:p w14:paraId="2A50842E"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أولاً: مفهوم كفاءة أداء المشاريع الحكومية وتطورها</w:t>
      </w:r>
    </w:p>
    <w:p w14:paraId="6DEB9134"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لم يُعد مفهوم نجاح المشروع يُقاس بالمقاييس التقليدية فقط (الالتزام بالوقت، والتكلفة، والمواصفات)، بل أصبح يُنظر إليه بشكل متزايد من منظور الكفاءة الشاملة التي تشمل الاستخدام الأمثل للموارد وتحقيق رضا أصحاب المصلحة. وتُعرِّف (</w:t>
      </w:r>
      <w:r w:rsidRPr="005D60FD">
        <w:rPr>
          <w:rFonts w:ascii="Times New Roman" w:eastAsia="Calibri" w:hAnsi="Times New Roman" w:cs="Simplified Arabic"/>
          <w:sz w:val="24"/>
          <w:szCs w:val="28"/>
        </w:rPr>
        <w:t>PMI, 2021, p. 45</w:t>
      </w:r>
      <w:r w:rsidRPr="005D60FD">
        <w:rPr>
          <w:rFonts w:ascii="Times New Roman" w:eastAsia="Calibri" w:hAnsi="Times New Roman" w:cs="Simplified Arabic"/>
          <w:sz w:val="24"/>
          <w:szCs w:val="28"/>
          <w:rtl/>
        </w:rPr>
        <w:t>) كفاءة أداء المشاريع بأنها مدى تحقيق المشروع لأهدافه ضمن قيود الوقت والتكلفة والجودة، مع الاستخدام الأمثل للموارد المتاحة. وتتطور الأدبيات الحديثة لتربط بين الكفاءة التشغيلية والاستدامة المؤسسية، حيث يُنظر إلى كفاءة المشروع كعنصر أساسي في تحقيق الأهداف الاستراتيجية للمؤسسة.</w:t>
      </w:r>
    </w:p>
    <w:p w14:paraId="012E7673"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وفي سياق المشاريع الحكومية، يُعرِّف (</w:t>
      </w:r>
      <w:r w:rsidRPr="005D60FD">
        <w:rPr>
          <w:rFonts w:ascii="Times New Roman" w:eastAsia="Calibri" w:hAnsi="Times New Roman" w:cs="Simplified Arabic"/>
          <w:sz w:val="24"/>
          <w:szCs w:val="28"/>
        </w:rPr>
        <w:t>Kerzner &amp; Kerzner, 2022, p. 78</w:t>
      </w:r>
      <w:r w:rsidRPr="005D60FD">
        <w:rPr>
          <w:rFonts w:ascii="Times New Roman" w:eastAsia="Calibri" w:hAnsi="Times New Roman" w:cs="Simplified Arabic"/>
          <w:sz w:val="24"/>
          <w:szCs w:val="28"/>
          <w:rtl/>
        </w:rPr>
        <w:t>) كفاءة المشروع بأنها نسبة المخرجات المحققة إلى المدخلات المستخدمة، مع الأخذ في الاعتبار الالتزام بالجدول الزمني والميزانية وجودة التسليم. كما تُعرِّف دراسة (العتيبي، 2023، ص 112) كفاءة أداء المشاريع الحكومية في السياق السعودي بأنها قدرة الجهة الحكومية على إنجاز مشاريعها ضمن الفترات الزمنية المحددة، وبالميزانيات المعتمدة، وبالجودة المطلوبة، مع تحقيق رضا المستفيدين. وتجدر الإشارة إلى أن قياس كفاءة المشاريع الحكومية يتطلب مؤشرات أداء رئيسية (</w:t>
      </w:r>
      <w:proofErr w:type="spellStart"/>
      <w:r w:rsidRPr="005D60FD">
        <w:rPr>
          <w:rFonts w:ascii="Times New Roman" w:eastAsia="Calibri" w:hAnsi="Times New Roman" w:cs="Simplified Arabic"/>
          <w:sz w:val="24"/>
          <w:szCs w:val="28"/>
        </w:rPr>
        <w:t>KPIs</w:t>
      </w:r>
      <w:proofErr w:type="spellEnd"/>
      <w:r w:rsidRPr="005D60FD">
        <w:rPr>
          <w:rFonts w:ascii="Times New Roman" w:eastAsia="Calibri" w:hAnsi="Times New Roman" w:cs="Simplified Arabic"/>
          <w:sz w:val="24"/>
          <w:szCs w:val="28"/>
          <w:rtl/>
        </w:rPr>
        <w:t>) محددة تتناسب مع طبيعة كل مشروع وقطاع.</w:t>
      </w:r>
    </w:p>
    <w:p w14:paraId="6E82C54F"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ثانياً: أبعاد كفاءة أداء المشاريع الحكومية</w:t>
      </w:r>
    </w:p>
    <w:p w14:paraId="29D855FF"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تتكون كفاءة أداء المشاريع الحكومية من أربعة أبعاد رئيسة تعكس الجوانب المختلفة التي تحتاج المؤسسة إلى تحقيقها لضمان نجاح مشاريعها، ويمكن تصنيفها كما في الجدول (</w:t>
      </w:r>
      <w:r w:rsidRPr="005D60FD">
        <w:rPr>
          <w:rFonts w:ascii="Times New Roman" w:eastAsia="Calibri" w:hAnsi="Times New Roman" w:cs="Simplified Arabic"/>
          <w:sz w:val="24"/>
          <w:szCs w:val="28"/>
        </w:rPr>
        <w:t>2.3</w:t>
      </w:r>
      <w:r w:rsidRPr="005D60FD">
        <w:rPr>
          <w:rFonts w:ascii="Times New Roman" w:eastAsia="Calibri" w:hAnsi="Times New Roman" w:cs="Simplified Arabic"/>
          <w:sz w:val="24"/>
          <w:szCs w:val="28"/>
          <w:rtl/>
        </w:rPr>
        <w:t>).</w:t>
      </w:r>
    </w:p>
    <w:p w14:paraId="6B67E509"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lastRenderedPageBreak/>
        <w:t>جدول رقم (2.3): أبعاد كفاءة أداء المشاريع الحكومية</w:t>
      </w:r>
    </w:p>
    <w:tbl>
      <w:tblPr>
        <w:tblStyle w:val="4-4"/>
        <w:bidiVisual/>
        <w:tblW w:w="8359" w:type="dxa"/>
        <w:jc w:val="center"/>
        <w:tblLook w:val="04A0" w:firstRow="1" w:lastRow="0" w:firstColumn="1" w:lastColumn="0" w:noHBand="0" w:noVBand="1"/>
      </w:tblPr>
      <w:tblGrid>
        <w:gridCol w:w="1276"/>
        <w:gridCol w:w="3260"/>
        <w:gridCol w:w="3823"/>
      </w:tblGrid>
      <w:tr w:rsidR="005D60FD" w:rsidRPr="005D60FD" w14:paraId="324CE232" w14:textId="77777777" w:rsidTr="00F270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0BCA7C77"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البعد</w:t>
            </w:r>
          </w:p>
        </w:tc>
        <w:tc>
          <w:tcPr>
            <w:tcW w:w="3260" w:type="dxa"/>
            <w:vAlign w:val="center"/>
            <w:hideMark/>
          </w:tcPr>
          <w:p w14:paraId="72158DCF"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المكونات الرئيسة</w:t>
            </w:r>
          </w:p>
        </w:tc>
        <w:tc>
          <w:tcPr>
            <w:tcW w:w="3823" w:type="dxa"/>
            <w:vAlign w:val="center"/>
            <w:hideMark/>
          </w:tcPr>
          <w:p w14:paraId="3FEE4153"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الأمثلة التطبيقية في المشاريع الحكومية</w:t>
            </w:r>
          </w:p>
        </w:tc>
      </w:tr>
      <w:tr w:rsidR="005D60FD" w:rsidRPr="005D60FD" w14:paraId="28973E73"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4A8E7839"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الالتزام بالجداول الزمنية</w:t>
            </w:r>
          </w:p>
        </w:tc>
        <w:tc>
          <w:tcPr>
            <w:tcW w:w="3260" w:type="dxa"/>
            <w:vAlign w:val="center"/>
            <w:hideMark/>
          </w:tcPr>
          <w:p w14:paraId="56A6F74D"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الالتزام بالجداول المخططة، تقليل التأخيرات، إنجاز المعالم الرئيسة في وقتها</w:t>
            </w:r>
          </w:p>
        </w:tc>
        <w:tc>
          <w:tcPr>
            <w:tcW w:w="3823" w:type="dxa"/>
            <w:vAlign w:val="center"/>
            <w:hideMark/>
          </w:tcPr>
          <w:p w14:paraId="5E6A2195"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تسليم المشاريع في المواعيد المحددة، تقليل زمن تنفيذ المشاريع، تحقيق المعالم الرئيسة</w:t>
            </w:r>
          </w:p>
        </w:tc>
      </w:tr>
      <w:tr w:rsidR="005D60FD" w:rsidRPr="005D60FD" w14:paraId="6C62E71A"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4D439C24"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كفاءة استخدام الموارد</w:t>
            </w:r>
          </w:p>
        </w:tc>
        <w:tc>
          <w:tcPr>
            <w:tcW w:w="3260" w:type="dxa"/>
            <w:vAlign w:val="center"/>
            <w:hideMark/>
          </w:tcPr>
          <w:p w14:paraId="35C9ED2A"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الاستخدام الأمثل للموارد، تقليل الهدر، زيادة الإنتاجية</w:t>
            </w:r>
          </w:p>
        </w:tc>
        <w:tc>
          <w:tcPr>
            <w:tcW w:w="3823" w:type="dxa"/>
            <w:vAlign w:val="center"/>
            <w:hideMark/>
          </w:tcPr>
          <w:p w14:paraId="1E9C472A"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الالتزام بالميزانيات، ترشيد الإنفاق، الاستفادة القصوى من الموارد البشرية والمادية</w:t>
            </w:r>
          </w:p>
        </w:tc>
      </w:tr>
      <w:tr w:rsidR="005D60FD" w:rsidRPr="005D60FD" w14:paraId="147C419D"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2948D046"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جودة المخرجات</w:t>
            </w:r>
          </w:p>
        </w:tc>
        <w:tc>
          <w:tcPr>
            <w:tcW w:w="3260" w:type="dxa"/>
            <w:vAlign w:val="center"/>
            <w:hideMark/>
          </w:tcPr>
          <w:p w14:paraId="696AE2C5"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تحقيق المواصفات، خلو المخرجات من العيوب، ملاءمة احتياجات المستفيدين</w:t>
            </w:r>
          </w:p>
        </w:tc>
        <w:tc>
          <w:tcPr>
            <w:tcW w:w="3823" w:type="dxa"/>
            <w:vAlign w:val="center"/>
            <w:hideMark/>
          </w:tcPr>
          <w:p w14:paraId="448A9B7F"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تحقيق معايير الجودة، تقليل إعادة العمل، رضا المستفيدين عن المخرجات</w:t>
            </w:r>
          </w:p>
        </w:tc>
      </w:tr>
      <w:tr w:rsidR="005D60FD" w:rsidRPr="005D60FD" w14:paraId="1D2A8497"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1276" w:type="dxa"/>
            <w:vAlign w:val="center"/>
            <w:hideMark/>
          </w:tcPr>
          <w:p w14:paraId="7DEDDBC7"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رضا أصحاب المصلحة</w:t>
            </w:r>
          </w:p>
        </w:tc>
        <w:tc>
          <w:tcPr>
            <w:tcW w:w="3260" w:type="dxa"/>
            <w:vAlign w:val="center"/>
            <w:hideMark/>
          </w:tcPr>
          <w:p w14:paraId="291566E4"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تلبية توقعات المستفيدين والجهات المعنية، تحقيق الثقة والشفافية</w:t>
            </w:r>
          </w:p>
        </w:tc>
        <w:tc>
          <w:tcPr>
            <w:tcW w:w="3823" w:type="dxa"/>
            <w:vAlign w:val="center"/>
            <w:hideMark/>
          </w:tcPr>
          <w:p w14:paraId="35190D93"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تقييمات إيجابية من المستفيدين، ثقة الجهات الرقابية، سمعة إيجابية للمؤسسة</w:t>
            </w:r>
          </w:p>
        </w:tc>
      </w:tr>
    </w:tbl>
    <w:p w14:paraId="032D5393"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t xml:space="preserve">(المصدر: من إعداد الباحث بالاعتماد على </w:t>
      </w:r>
      <w:r w:rsidRPr="005D60FD">
        <w:rPr>
          <w:rFonts w:ascii="Times New Roman" w:eastAsia="Calibri" w:hAnsi="Times New Roman" w:cs="Simplified Arabic"/>
          <w:b/>
          <w:bCs/>
          <w:sz w:val="20"/>
          <w:szCs w:val="24"/>
        </w:rPr>
        <w:t>PMI, 2021; Kerzner &amp; Kerzner, 2022</w:t>
      </w:r>
      <w:r w:rsidRPr="005D60FD">
        <w:rPr>
          <w:rFonts w:ascii="Times New Roman" w:eastAsia="Calibri" w:hAnsi="Times New Roman" w:cs="Simplified Arabic"/>
          <w:b/>
          <w:bCs/>
          <w:sz w:val="20"/>
          <w:szCs w:val="24"/>
          <w:rtl/>
        </w:rPr>
        <w:t>)</w:t>
      </w:r>
    </w:p>
    <w:p w14:paraId="7CEBE326" w14:textId="77777777" w:rsidR="005D60FD" w:rsidRPr="005D60FD" w:rsidRDefault="005D60FD" w:rsidP="005A16BB">
      <w:pPr>
        <w:spacing w:before="240"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ثالثاً: النماذج النظرية المفسرة لكفاءة أداء المشاريع</w:t>
      </w:r>
    </w:p>
    <w:p w14:paraId="00762438"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تتعدد النظريات والنماذج التي تُفسر كفاءة أداء المشاريع، ويمكن إجمال أبرزها في ثلاثة نماذج رئيسة:</w:t>
      </w:r>
    </w:p>
    <w:p w14:paraId="4F5822AD"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أ- نموذج المثلث الحديدي (</w:t>
      </w:r>
      <w:r w:rsidRPr="005D60FD">
        <w:rPr>
          <w:rFonts w:ascii="Times New Roman" w:eastAsia="Calibri" w:hAnsi="Times New Roman" w:cs="Simplified Arabic"/>
          <w:b/>
          <w:bCs/>
          <w:sz w:val="24"/>
          <w:szCs w:val="28"/>
        </w:rPr>
        <w:t>Iron Triangle Model</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يُعد هذا النموذج من النماذج الكلاسيكية في إدارة المشاريع، حيث يركز على ثلاثة أبعاد رئيسة هي الوقت، والتكلفة، والنطاق/الجودة، ويعتبر أن نجاح المشروع يتحقق عندما يتم الالتزام بهذه القيود الثلاثة. وقد تطور هذا النموذج ليشمل أبعاداً إضافية مثل رضا أصحاب المصلحة والقيمة المضافة. وفي سياق المشاريع الحكومية، يُعد الالتزام بالجدول الزمني والميزانية من أهم مؤشرات الكفاءة، حيث أن تجاوز الوقت أو التكلفة يؤدي إلى هدر الموارد العامة.</w:t>
      </w:r>
    </w:p>
    <w:p w14:paraId="033738BE"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 نموذج الأداء المتوازن (</w:t>
      </w:r>
      <w:r w:rsidRPr="005D60FD">
        <w:rPr>
          <w:rFonts w:ascii="Times New Roman" w:eastAsia="Calibri" w:hAnsi="Times New Roman" w:cs="Simplified Arabic"/>
          <w:b/>
          <w:bCs/>
          <w:sz w:val="24"/>
          <w:szCs w:val="28"/>
        </w:rPr>
        <w:t>Balanced Performance Model</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يفترض هذا النموذج أن كفاءة المشروع لا تعتمد على بُعد واحد، بل على حزمة متوازنة من المؤشرات تشمل الوقت، والتكلفة، والجودة، ورضا أصحاب المصلحة. وقد أظهرت دراسة (سبنسر وويب، 2024) أن المؤسسات التي طبقت ممارسات حوكمة متكاملة حققت تحسناً في أداء مشاريعها بنسبة (34%) مقارنة بتلك التي لم تطبقها، مما يؤكد أهمية النهج المتوازن في قياس الكفاءة.</w:t>
      </w:r>
    </w:p>
    <w:p w14:paraId="7888938E"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ج- نموذج القيمة المضافة (</w:t>
      </w:r>
      <w:r w:rsidRPr="005D60FD">
        <w:rPr>
          <w:rFonts w:ascii="Times New Roman" w:eastAsia="Calibri" w:hAnsi="Times New Roman" w:cs="Simplified Arabic"/>
          <w:b/>
          <w:bCs/>
          <w:sz w:val="24"/>
          <w:szCs w:val="28"/>
        </w:rPr>
        <w:t>Value Added Model</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يركز هذا النموذج على القيمة التي يضيفها المشروع للمؤسسة والمجتمع، وليس فقط على الالتزام بالقيود التقليدية. وفي المشاريع الحكومية، تُقاس القيمة المضافة بمدى تحقيق المشروع لأهداف التنمية الوطنية ورفاهية المواطنين، وليس فقط بإنجازه ضمن الميزانية والوقت المحددين.</w:t>
      </w:r>
    </w:p>
    <w:p w14:paraId="2A91BA2E"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رابعاً: مؤشرات قياس كفاءة أداء المشاريع الحكومية</w:t>
      </w:r>
    </w:p>
    <w:p w14:paraId="33A05067"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لا يمكن تحسين كفاءة المشاريع دون قياسها بشكل منهجي. واستناداً إلى الأبعاد الأربعة المحددة سابقاً، يمكن اقتراح مجموعة من المؤشرات القابلة للقياس الكمي والنوعي.</w:t>
      </w:r>
    </w:p>
    <w:p w14:paraId="28394328"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t>جدول رقم (2.4): مؤشرات قياس كفاءة أداء المشاريع الحكومية</w:t>
      </w:r>
    </w:p>
    <w:tbl>
      <w:tblPr>
        <w:tblStyle w:val="4-4"/>
        <w:bidiVisual/>
        <w:tblW w:w="8500" w:type="dxa"/>
        <w:jc w:val="center"/>
        <w:tblLook w:val="04A0" w:firstRow="1" w:lastRow="0" w:firstColumn="1" w:lastColumn="0" w:noHBand="0" w:noVBand="1"/>
      </w:tblPr>
      <w:tblGrid>
        <w:gridCol w:w="1701"/>
        <w:gridCol w:w="3588"/>
        <w:gridCol w:w="3211"/>
      </w:tblGrid>
      <w:tr w:rsidR="005D60FD" w:rsidRPr="005D60FD" w14:paraId="5FF78DBA" w14:textId="77777777" w:rsidTr="00F270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37D210CD"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البعد</w:t>
            </w:r>
          </w:p>
        </w:tc>
        <w:tc>
          <w:tcPr>
            <w:tcW w:w="3588" w:type="dxa"/>
            <w:vAlign w:val="center"/>
            <w:hideMark/>
          </w:tcPr>
          <w:p w14:paraId="10DB55F4"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مؤشرات القياس المقترحة</w:t>
            </w:r>
          </w:p>
        </w:tc>
        <w:tc>
          <w:tcPr>
            <w:tcW w:w="0" w:type="auto"/>
            <w:vAlign w:val="center"/>
            <w:hideMark/>
          </w:tcPr>
          <w:p w14:paraId="497D1E13"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طريقة القياس</w:t>
            </w:r>
          </w:p>
        </w:tc>
      </w:tr>
      <w:tr w:rsidR="005D60FD" w:rsidRPr="005D60FD" w14:paraId="1050C893"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3704F5B5"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الالتزام بالجداول الزمنية</w:t>
            </w:r>
          </w:p>
        </w:tc>
        <w:tc>
          <w:tcPr>
            <w:tcW w:w="3588" w:type="dxa"/>
            <w:vAlign w:val="center"/>
            <w:hideMark/>
          </w:tcPr>
          <w:p w14:paraId="5452F220"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نسبة إنجاز المعالم في الوقت المحدد، متوسط التأخير، عدد المشاريع المنتهية في الوقت المحدد</w:t>
            </w:r>
          </w:p>
        </w:tc>
        <w:tc>
          <w:tcPr>
            <w:tcW w:w="0" w:type="auto"/>
            <w:vAlign w:val="center"/>
            <w:hideMark/>
          </w:tcPr>
          <w:p w14:paraId="0D1F9982"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تحليل جداول المشاريع، تقارير المتابعة، مراجعة الأداء</w:t>
            </w:r>
          </w:p>
        </w:tc>
      </w:tr>
      <w:tr w:rsidR="005D60FD" w:rsidRPr="005D60FD" w14:paraId="50582FA3"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062B79A9"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كفاءة استخدام الموارد</w:t>
            </w:r>
          </w:p>
        </w:tc>
        <w:tc>
          <w:tcPr>
            <w:tcW w:w="3588" w:type="dxa"/>
            <w:vAlign w:val="center"/>
            <w:hideMark/>
          </w:tcPr>
          <w:p w14:paraId="4CE6FC18"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نسبة الالتزام بالميزانية، نسبة الهدر، كفاءة استخدام الموارد البشرية</w:t>
            </w:r>
          </w:p>
        </w:tc>
        <w:tc>
          <w:tcPr>
            <w:tcW w:w="0" w:type="auto"/>
            <w:vAlign w:val="center"/>
            <w:hideMark/>
          </w:tcPr>
          <w:p w14:paraId="54620B4B"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التحليل المالي، تقارير الإنفاق، تقييم الإنتاجية</w:t>
            </w:r>
          </w:p>
        </w:tc>
      </w:tr>
      <w:tr w:rsidR="005D60FD" w:rsidRPr="005D60FD" w14:paraId="5B20117C" w14:textId="77777777" w:rsidTr="00F270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62284F90"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جودة المخرجات</w:t>
            </w:r>
          </w:p>
        </w:tc>
        <w:tc>
          <w:tcPr>
            <w:tcW w:w="3588" w:type="dxa"/>
            <w:vAlign w:val="center"/>
            <w:hideMark/>
          </w:tcPr>
          <w:p w14:paraId="3F812EDD"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معدل العيوب، نسبة إعادة العمل، درجة رضا المستفيدين عن الجودة</w:t>
            </w:r>
          </w:p>
        </w:tc>
        <w:tc>
          <w:tcPr>
            <w:tcW w:w="0" w:type="auto"/>
            <w:vAlign w:val="center"/>
            <w:hideMark/>
          </w:tcPr>
          <w:p w14:paraId="59EFAF2C"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اختبارات الجودة، استبيانات رضا المستفيدين، مراجعات الجودة</w:t>
            </w:r>
          </w:p>
        </w:tc>
      </w:tr>
      <w:tr w:rsidR="005D60FD" w:rsidRPr="005D60FD" w14:paraId="137D1110" w14:textId="77777777" w:rsidTr="00F27071">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784BAE77"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رضا أصحاب المصلحة</w:t>
            </w:r>
          </w:p>
        </w:tc>
        <w:tc>
          <w:tcPr>
            <w:tcW w:w="3588" w:type="dxa"/>
            <w:vAlign w:val="center"/>
            <w:hideMark/>
          </w:tcPr>
          <w:p w14:paraId="0A710511"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نسبة رضا المستفيدين، عدد الشكاوى، مستوى الثقة في المؤسسة</w:t>
            </w:r>
          </w:p>
        </w:tc>
        <w:tc>
          <w:tcPr>
            <w:tcW w:w="0" w:type="auto"/>
            <w:vAlign w:val="center"/>
            <w:hideMark/>
          </w:tcPr>
          <w:p w14:paraId="2CDC1E24"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استبيانات الرضا، تحليل الشكاوى، تقييمات الثقة</w:t>
            </w:r>
          </w:p>
        </w:tc>
      </w:tr>
    </w:tbl>
    <w:p w14:paraId="40045F51"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t>(المصدر: من إعداد الباحث)</w:t>
      </w:r>
    </w:p>
    <w:p w14:paraId="02C96B5D" w14:textId="77777777" w:rsidR="005D60FD" w:rsidRPr="005D60FD" w:rsidRDefault="005D60FD" w:rsidP="005D60FD">
      <w:pPr>
        <w:spacing w:before="240" w:after="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خامساً: العوامل المؤثرة في كفاءة أداء المشاريع الحكومية</w:t>
      </w:r>
    </w:p>
    <w:p w14:paraId="04288676"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يمكن تصنيف العوامل المؤثرة في كفاءة أداء المشاريع الحكومية إلى عوامل داخلية (مرتبطة بالمشروع وإدارته)، وعوامل خارجية (مرتبطة بالبيئة المحيطة):</w:t>
      </w:r>
    </w:p>
    <w:p w14:paraId="21BB0EC6" w14:textId="77777777" w:rsidR="005D60FD" w:rsidRPr="005D60FD" w:rsidRDefault="005D60FD" w:rsidP="00F7353C">
      <w:pPr>
        <w:numPr>
          <w:ilvl w:val="0"/>
          <w:numId w:val="25"/>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عوامل داخلية: </w:t>
      </w:r>
      <w:r w:rsidRPr="005D60FD">
        <w:rPr>
          <w:rFonts w:ascii="Times New Roman" w:eastAsia="Calibri" w:hAnsi="Times New Roman" w:cs="Simplified Arabic"/>
          <w:sz w:val="24"/>
          <w:szCs w:val="28"/>
          <w:rtl/>
        </w:rPr>
        <w:t>(</w:t>
      </w:r>
      <w:r w:rsidRPr="005D60FD">
        <w:rPr>
          <w:rFonts w:ascii="Times New Roman" w:eastAsia="Calibri" w:hAnsi="Times New Roman" w:cs="Simplified Arabic"/>
          <w:sz w:val="24"/>
          <w:szCs w:val="28"/>
        </w:rPr>
        <w:t>1</w:t>
      </w:r>
      <w:r w:rsidRPr="005D60FD">
        <w:rPr>
          <w:rFonts w:ascii="Times New Roman" w:eastAsia="Calibri" w:hAnsi="Times New Roman" w:cs="Simplified Arabic"/>
          <w:sz w:val="24"/>
          <w:szCs w:val="28"/>
          <w:rtl/>
        </w:rPr>
        <w:t>) جودة التخطيط والتحكم، (2) كفاءة فرق العمل وتدريبها، (3) مرونة الإجراءات الإدارية، (4) توفر الموارد المالية والتقنية، (5) تطبيق ممارسات الحوكمة (محور هذه الدراسة)، (6) نضج عمليات إدارة المشاريع.</w:t>
      </w:r>
    </w:p>
    <w:p w14:paraId="20328B5A" w14:textId="77777777" w:rsidR="005D60FD" w:rsidRPr="005D60FD" w:rsidRDefault="005D60FD" w:rsidP="00F7353C">
      <w:pPr>
        <w:numPr>
          <w:ilvl w:val="0"/>
          <w:numId w:val="25"/>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 xml:space="preserve">عوامل خارجية: </w:t>
      </w:r>
      <w:r w:rsidRPr="005D60FD">
        <w:rPr>
          <w:rFonts w:ascii="Times New Roman" w:eastAsia="Calibri" w:hAnsi="Times New Roman" w:cs="Simplified Arabic"/>
          <w:sz w:val="24"/>
          <w:szCs w:val="28"/>
          <w:rtl/>
        </w:rPr>
        <w:t>(</w:t>
      </w:r>
      <w:r w:rsidRPr="005D60FD">
        <w:rPr>
          <w:rFonts w:ascii="Times New Roman" w:eastAsia="Calibri" w:hAnsi="Times New Roman" w:cs="Simplified Arabic"/>
          <w:sz w:val="24"/>
          <w:szCs w:val="28"/>
        </w:rPr>
        <w:t>1</w:t>
      </w:r>
      <w:r w:rsidRPr="005D60FD">
        <w:rPr>
          <w:rFonts w:ascii="Times New Roman" w:eastAsia="Calibri" w:hAnsi="Times New Roman" w:cs="Simplified Arabic"/>
          <w:sz w:val="24"/>
          <w:szCs w:val="28"/>
          <w:rtl/>
        </w:rPr>
        <w:t>) الاستقرار الاقتصادي والسياسي، (2) التغيرات التنظيمية والقانونية، (3) تقلبات السوق والمنافسة، (4) التطورات التكنولوجية، (5) توقعات أصحاب المصلحة ومتطلباتهم.</w:t>
      </w:r>
    </w:p>
    <w:p w14:paraId="4E18C696"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التحليل والتعقيب على المبحث الثاني:</w:t>
      </w:r>
    </w:p>
    <w:p w14:paraId="2787443E"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من خلال العرض السابق يتبين أن كفاءة أداء المشاريع الحكومية مفهوم متعدد الأبعاد، لا يقتصر على الجانب الزمني أو المالي فقط، بل يشمل جودة المخرجات ورضا أصحاب المصلحة أيضاً. وهذا يعني أن كفاءة المشروع لا تُقاس فقط بقدرته على الالتزام بالجداول والميزانيات، بل بقدرته على تحقيق قيمة مضافة للمجتمع وتحقيق أهداف التنمية الوطنية. كما يتبين أن النماذج النظرية المفسرة للكفاءة (كالمثلث الحديدي والأداء المتوازن) تتفق على أن الكفاءة ليست نتيجة نهائية، بل هي عملية ديناميكية تتطلب إدارة متكاملة للموارد والعمليات وأصحاب المصلحة. وتأسيساً على ذلك، يؤكد الباحث أن قياس مستوى كفاءة أداء المشاريع الحكومية في المملكة العربية السعودية يتطلب أدوات وآليات متعددة (تحليل مالي، تقارير تشغيلية، استبيانات رضا) تأخذ في الاعتبار الأبعاد الأربعة، وتُطبق بشكل منهجي ومستمر. وسيتم ربط هذه الأبعاد بأبعاد الحوكمة الإدارية الأربعة في المبحث الثالث لاختبار الفرضيات المختلفة حول دور الحوكمة في تحسين كل بُعد من أبعاد الكفاءة.</w:t>
      </w:r>
    </w:p>
    <w:p w14:paraId="0B51D54B" w14:textId="77777777" w:rsidR="005D60FD" w:rsidRPr="005D60FD" w:rsidRDefault="005D60FD" w:rsidP="005D60FD">
      <w:pPr>
        <w:bidi w:val="0"/>
        <w:spacing w:after="200" w:line="276" w:lineRule="auto"/>
        <w:rPr>
          <w:rFonts w:ascii="Times New Roman" w:eastAsia="Calibri" w:hAnsi="Times New Roman" w:cs="Simplified Arabic"/>
          <w:b/>
          <w:bCs/>
          <w:sz w:val="26"/>
          <w:szCs w:val="30"/>
          <w:rtl/>
        </w:rPr>
      </w:pPr>
      <w:r w:rsidRPr="005D60FD">
        <w:rPr>
          <w:rFonts w:ascii="Times New Roman" w:eastAsia="Calibri" w:hAnsi="Times New Roman" w:cs="Simplified Arabic"/>
          <w:b/>
          <w:bCs/>
          <w:sz w:val="26"/>
          <w:szCs w:val="30"/>
          <w:rtl/>
        </w:rPr>
        <w:br w:type="page"/>
      </w:r>
    </w:p>
    <w:p w14:paraId="5D705EC2" w14:textId="77777777" w:rsidR="005D60FD" w:rsidRPr="005D60FD" w:rsidRDefault="005D60FD" w:rsidP="005D60FD">
      <w:pPr>
        <w:spacing w:after="360" w:line="276" w:lineRule="auto"/>
        <w:ind w:firstLine="567"/>
        <w:jc w:val="both"/>
        <w:rPr>
          <w:rFonts w:ascii="Times New Roman" w:eastAsia="Calibri" w:hAnsi="Times New Roman" w:cs="Simplified Arabic"/>
          <w:b/>
          <w:bCs/>
          <w:sz w:val="26"/>
          <w:szCs w:val="30"/>
        </w:rPr>
      </w:pPr>
      <w:r w:rsidRPr="005D60FD">
        <w:rPr>
          <w:rFonts w:ascii="Times New Roman" w:eastAsia="Calibri" w:hAnsi="Times New Roman" w:cs="Simplified Arabic"/>
          <w:b/>
          <w:bCs/>
          <w:sz w:val="26"/>
          <w:szCs w:val="30"/>
          <w:rtl/>
        </w:rPr>
        <w:lastRenderedPageBreak/>
        <w:t>المبحث الثالث: العلاقة بين الحوكمة الإدارية وكفاءة أداء المشاريع الحكومية</w:t>
      </w:r>
    </w:p>
    <w:p w14:paraId="3AF02160"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يُمثل هذا المبحث الإطار النظري التكاملي الذي يجمع بين متغيري الدراسة الرئيسين. فبُعد أن تم في المبحثين السابقين تفصيل الإطار النظري لكل من الحوكمة الإدارية (المتغير المستقل)، وكفاءة أداء المشاريع الحكومية (المتغير التابع) بشكل منفصل، يُعنى هذا المبحث بتحليل طبيعة العلاقة بينهما، واستعراض المنطلقات النظرية التي تفسر هذه العلاقة، وآليات تأثير الحوكمة في أبعاد الكفاءة الأربعة، والأدلة التجريبية الداعمة لهذه العلاقة.</w:t>
      </w:r>
    </w:p>
    <w:p w14:paraId="293D451B"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أولاً: المنطلقات النظرية للعلاقة بين الحوكمة الإدارية وكفاءة أداء المشاريع الحكومية</w:t>
      </w:r>
    </w:p>
    <w:p w14:paraId="2E90DF7F"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تستند العلاقة بين الحوكمة الإدارية وكفاءة أداء المشاريع الحكومية إلى عدة منطلقات نظرية راسخة في أدبيات الإدارة العامة وإدارة المشاريع، ويمكن إجمال أبرزها في ثلاث نظريات رئيسة:</w:t>
      </w:r>
    </w:p>
    <w:p w14:paraId="06DAD7F1"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أ- نظرية الحوكمة المؤسسية (</w:t>
      </w:r>
      <w:r w:rsidRPr="005D60FD">
        <w:rPr>
          <w:rFonts w:ascii="Times New Roman" w:eastAsia="Calibri" w:hAnsi="Times New Roman" w:cs="Simplified Arabic"/>
          <w:b/>
          <w:bCs/>
          <w:sz w:val="24"/>
          <w:szCs w:val="28"/>
        </w:rPr>
        <w:t>Institutional Governance Theory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تفترض هذه النظرية أن الأداء المؤسسي يتحسن عندما تتبنى المؤسسات أنظمة حوكمة قوية تهدف إلى تحسين اتخاذ القرارات وتقليل الفساد وتعزيز الاستدامة. وتُعد الحوكمة الإطار الذي ينظم العلاقات بين الأطراف المعنية ويحدد مسؤولياتها، مما يُسهم في تحسين كفاءة الأداء. وقد أظهرت دراسة (العريفي وآخرون، 2022) أن للحوكمة دوراً فاعلاً في تحسين كفاءة الأداء بشكل عام، ولها تأثير كبير في تحقيق كفاءة الإنفاق.</w:t>
      </w:r>
    </w:p>
    <w:p w14:paraId="149AF2FF"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ب- نظرية الإدارة الاستراتيجية (</w:t>
      </w:r>
      <w:r w:rsidRPr="005D60FD">
        <w:rPr>
          <w:rFonts w:ascii="Times New Roman" w:eastAsia="Calibri" w:hAnsi="Times New Roman" w:cs="Simplified Arabic"/>
          <w:b/>
          <w:bCs/>
          <w:sz w:val="24"/>
          <w:szCs w:val="28"/>
        </w:rPr>
        <w:t>Strategic Management Theory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تقوم هذه النظرية على فرضية أن المؤسسات التي تتبنى استراتيجيات واضحة ومنظمة تتمكن من تحقيق أهدافها بكفاءة أكبر. وتدعم هذه النظرية فكرة أن تطبيق الحوكمة في المؤسسات الحكومية يعزز من استراتيجياتها ويساعد في تحديد الأولويات وتنظيم الموارد لتحقيق الأهداف طويلة المدى. وقد أشارت دراسة (الحصري، 2024) إلى أن الحوكمة في القطاع الحكومي تسهم في تحقيق الكفاءة والفاعلية من خلال تعزيز الشفافية والمساءلة والمشاركة.</w:t>
      </w:r>
    </w:p>
    <w:p w14:paraId="1768EE31"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ج- نظرية حوكمة المشاريع (</w:t>
      </w:r>
      <w:r w:rsidRPr="005D60FD">
        <w:rPr>
          <w:rFonts w:ascii="Times New Roman" w:eastAsia="Calibri" w:hAnsi="Times New Roman" w:cs="Simplified Arabic"/>
          <w:b/>
          <w:bCs/>
          <w:sz w:val="24"/>
          <w:szCs w:val="28"/>
        </w:rPr>
        <w:t>Project Governance Theory</w:t>
      </w:r>
      <w:r w:rsidRPr="005D60FD">
        <w:rPr>
          <w:rFonts w:ascii="Times New Roman" w:eastAsia="Calibri" w:hAnsi="Times New Roman" w:cs="Simplified Arabic"/>
          <w:b/>
          <w:bCs/>
          <w:sz w:val="24"/>
          <w:szCs w:val="28"/>
          <w:rtl/>
        </w:rPr>
        <w:t xml:space="preserve">): </w:t>
      </w:r>
      <w:r w:rsidRPr="005D60FD">
        <w:rPr>
          <w:rFonts w:ascii="Times New Roman" w:eastAsia="Calibri" w:hAnsi="Times New Roman" w:cs="Simplified Arabic"/>
          <w:sz w:val="24"/>
          <w:szCs w:val="28"/>
          <w:rtl/>
        </w:rPr>
        <w:t>تُعرَّف حوكمة المشاريع بأنها مواءمة أهداف المشروع مع استراتيجية المنظمة الراعية من خلال عمليات صنع قرار سليمة بشأن التفويض والإشراف وتخصيص الموارد وإدارة التغيير. وقد أظهرت الدراسات أن الحوكمة الجيدة للمشاريع ترتبط بتحسين أداء المشاريع، حيث أن الحوكمة الفعالة تُسهل اتخاذ القرارات الجيدة، والتي بدورها تُحسّن أداء المشروع. وقد طورت الأبحاث الحديثة نماذج لشرح العلاقة بين نضج الحوكمة الحكومية وأداء المشاريع.</w:t>
      </w:r>
    </w:p>
    <w:p w14:paraId="2F868134"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ثانياً: آليات تأثير الحوكمة الإدارية في كفاءة أداء المشاريع الحكومية</w:t>
      </w:r>
    </w:p>
    <w:p w14:paraId="56177298"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يتعدد مسارات وآليات تأثير الحوكمة الإدارية في الأبعاد المختلفة لكفاءة أداء المشاريع الحكومية، ويمكن إجمالها في أربع آليات رئيسة مترابطة:</w:t>
      </w:r>
    </w:p>
    <w:p w14:paraId="5C940EBA" w14:textId="77777777" w:rsidR="005D60FD" w:rsidRPr="005D60FD" w:rsidRDefault="005D60FD" w:rsidP="00F7353C">
      <w:pPr>
        <w:numPr>
          <w:ilvl w:val="0"/>
          <w:numId w:val="2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تعزيز الشفافية وتحسين الرقابة (يؤثر في الالتزام بالجداول الزمنية وجودة المخرجات): </w:t>
      </w:r>
      <w:r w:rsidRPr="005D60FD">
        <w:rPr>
          <w:rFonts w:ascii="Times New Roman" w:eastAsia="Calibri" w:hAnsi="Times New Roman" w:cs="Simplified Arabic"/>
          <w:sz w:val="24"/>
          <w:szCs w:val="28"/>
          <w:rtl/>
        </w:rPr>
        <w:t>عندما تكون معلومات المشاريع متاحة وواضحة، يصبح من الأسهل رصد الانحرافات واتخاذ إجراءات تصحيحية سريعة، مما يُحسّن الالتزام بالجداول الزمنية وجودة المخرجات. وقد أظهرت دراسة (العتيبي، 2023) أن تبني ممارسات الحوكمة الفعالة يُعد الضمانة الأساسية لتحقيق الشفافية في تنفيذ المبادرات الوطنية.</w:t>
      </w:r>
    </w:p>
    <w:p w14:paraId="3705E9C9" w14:textId="77777777" w:rsidR="005D60FD" w:rsidRPr="005D60FD" w:rsidRDefault="005D60FD" w:rsidP="00F7353C">
      <w:pPr>
        <w:numPr>
          <w:ilvl w:val="0"/>
          <w:numId w:val="2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تفعيل المساءلة وتحديد المسؤوليات (يؤثر في كفاءة استخدام الموارد): </w:t>
      </w:r>
      <w:r w:rsidRPr="005D60FD">
        <w:rPr>
          <w:rFonts w:ascii="Times New Roman" w:eastAsia="Calibri" w:hAnsi="Times New Roman" w:cs="Simplified Arabic"/>
          <w:sz w:val="24"/>
          <w:szCs w:val="28"/>
          <w:rtl/>
        </w:rPr>
        <w:t>وجود آليات مساءلة واضحة يُقلل من الهدر المالي والإداري، ويضمن الاستخدام الأمثل للموارد المتاحة. وقد أظهرت دراسة (القرشي، 2020) أن الالتزام الصارم بمبادئ الحوكمة يقلص فرص الهدر المالي، ويحد من مظاهر الفساد.</w:t>
      </w:r>
    </w:p>
    <w:p w14:paraId="78E6934A" w14:textId="77777777" w:rsidR="005D60FD" w:rsidRPr="005D60FD" w:rsidRDefault="005D60FD" w:rsidP="00F7353C">
      <w:pPr>
        <w:numPr>
          <w:ilvl w:val="0"/>
          <w:numId w:val="2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إشراك أصحاب المصلحة (يؤثر في رضا أصحاب المصلحة وجودة المخرجات): </w:t>
      </w:r>
      <w:r w:rsidRPr="005D60FD">
        <w:rPr>
          <w:rFonts w:ascii="Times New Roman" w:eastAsia="Calibri" w:hAnsi="Times New Roman" w:cs="Simplified Arabic"/>
          <w:sz w:val="24"/>
          <w:szCs w:val="28"/>
          <w:rtl/>
        </w:rPr>
        <w:t>المشاركة الفاعلة لأصحاب المصلحة في عملية صنع القرار تضمن أن تكون مخرجات المشروع متوافقة مع احتياجاتهم وتوقعاتهم، مما يُعزز رضاهم وجودة المخرجات. وقد أكدت دراسة (الحصري، 2024) أن المشاركة تُعد أحد المبادئ الأساسية للحوكمة في القطاع الحكومي.</w:t>
      </w:r>
    </w:p>
    <w:p w14:paraId="40AD84D4" w14:textId="77777777" w:rsidR="005D60FD" w:rsidRPr="005D60FD" w:rsidRDefault="005D60FD" w:rsidP="00F7353C">
      <w:pPr>
        <w:numPr>
          <w:ilvl w:val="0"/>
          <w:numId w:val="26"/>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 xml:space="preserve">تعزيز التنسيق بين الجهات (يؤثر في جميع أبعاد الكفاءة): </w:t>
      </w:r>
      <w:r w:rsidRPr="005D60FD">
        <w:rPr>
          <w:rFonts w:ascii="Times New Roman" w:eastAsia="Calibri" w:hAnsi="Times New Roman" w:cs="Simplified Arabic"/>
          <w:sz w:val="24"/>
          <w:szCs w:val="28"/>
          <w:rtl/>
        </w:rPr>
        <w:t>التنسيق الفعال بين الجهات الحكومية يمنع تداخل الاختصاصات، ويُسرع إنجاز المشاريع، ويُقلل من الهدر والتأخير. وقد أشارت دراسة (</w:t>
      </w:r>
      <w:proofErr w:type="gramStart"/>
      <w:r w:rsidRPr="005D60FD">
        <w:rPr>
          <w:rFonts w:ascii="Times New Roman" w:eastAsia="Calibri" w:hAnsi="Times New Roman" w:cs="Simplified Arabic"/>
          <w:sz w:val="24"/>
          <w:szCs w:val="28"/>
          <w:rtl/>
        </w:rPr>
        <w:t>علي</w:t>
      </w:r>
      <w:proofErr w:type="gramEnd"/>
      <w:r w:rsidRPr="005D60FD">
        <w:rPr>
          <w:rFonts w:ascii="Times New Roman" w:eastAsia="Calibri" w:hAnsi="Times New Roman" w:cs="Simplified Arabic"/>
          <w:sz w:val="24"/>
          <w:szCs w:val="28"/>
          <w:rtl/>
        </w:rPr>
        <w:t xml:space="preserve"> وآخرون، 2026) إلى أن ضعف التنسيق بين الجهات الحكومية يُعد من أبرز التحديات التي تواجه تطبيق الحوكمة، وينعكس سلباً على سلاسة تنفيذ المشاريع الكبرى.</w:t>
      </w:r>
    </w:p>
    <w:p w14:paraId="5BCD9819"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t>جدول رقم (3.1): آليات تأثير أبعاد الحوكمة الإدارية في أبعاد كفاءة أداء المشاريع الحكومية</w:t>
      </w:r>
    </w:p>
    <w:tbl>
      <w:tblPr>
        <w:tblStyle w:val="4-4"/>
        <w:bidiVisual/>
        <w:tblW w:w="7930" w:type="dxa"/>
        <w:jc w:val="center"/>
        <w:tblLook w:val="04A0" w:firstRow="1" w:lastRow="0" w:firstColumn="1" w:lastColumn="0" w:noHBand="0" w:noVBand="1"/>
      </w:tblPr>
      <w:tblGrid>
        <w:gridCol w:w="1417"/>
        <w:gridCol w:w="3260"/>
        <w:gridCol w:w="3253"/>
      </w:tblGrid>
      <w:tr w:rsidR="005D60FD" w:rsidRPr="005D60FD" w14:paraId="6A1D1430" w14:textId="77777777" w:rsidTr="005A16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7950E42D"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أبعاد الحوكمة الإدارية</w:t>
            </w:r>
          </w:p>
        </w:tc>
        <w:tc>
          <w:tcPr>
            <w:tcW w:w="3260" w:type="dxa"/>
            <w:vAlign w:val="center"/>
            <w:hideMark/>
          </w:tcPr>
          <w:p w14:paraId="2F4E7E2C"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أبعاد كفاءة أداء المشاريع المتأثرة</w:t>
            </w:r>
          </w:p>
        </w:tc>
        <w:tc>
          <w:tcPr>
            <w:tcW w:w="3253" w:type="dxa"/>
            <w:vAlign w:val="center"/>
            <w:hideMark/>
          </w:tcPr>
          <w:p w14:paraId="714B2025" w14:textId="77777777" w:rsidR="005D60FD" w:rsidRPr="005D60FD" w:rsidRDefault="005D60FD" w:rsidP="005D60FD">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eastAsia="Calibri"/>
                <w:sz w:val="20"/>
                <w:szCs w:val="24"/>
              </w:rPr>
            </w:pPr>
            <w:r w:rsidRPr="005D60FD">
              <w:rPr>
                <w:rFonts w:eastAsia="Calibri"/>
                <w:sz w:val="20"/>
                <w:szCs w:val="24"/>
                <w:rtl/>
              </w:rPr>
              <w:t>الآلية الرئيسة</w:t>
            </w:r>
          </w:p>
        </w:tc>
      </w:tr>
      <w:tr w:rsidR="005D60FD" w:rsidRPr="005D60FD" w14:paraId="29CB610F" w14:textId="77777777" w:rsidTr="005A16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789C733D"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الشفافية</w:t>
            </w:r>
          </w:p>
        </w:tc>
        <w:tc>
          <w:tcPr>
            <w:tcW w:w="3260" w:type="dxa"/>
            <w:vAlign w:val="center"/>
            <w:hideMark/>
          </w:tcPr>
          <w:p w14:paraId="24FDEA64"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الالتزام بالجداول الزمنية، جودة المخرجات</w:t>
            </w:r>
          </w:p>
        </w:tc>
        <w:tc>
          <w:tcPr>
            <w:tcW w:w="3253" w:type="dxa"/>
            <w:vAlign w:val="center"/>
            <w:hideMark/>
          </w:tcPr>
          <w:p w14:paraId="3C15C24A"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رصد الانحرافات، تحسين الرقابة، اتخاذ قرارات تصحيحية سريعة</w:t>
            </w:r>
          </w:p>
        </w:tc>
      </w:tr>
      <w:tr w:rsidR="005D60FD" w:rsidRPr="005D60FD" w14:paraId="4BEA5835" w14:textId="77777777" w:rsidTr="005A16BB">
        <w:trPr>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7A573D8F"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المساءلة</w:t>
            </w:r>
          </w:p>
        </w:tc>
        <w:tc>
          <w:tcPr>
            <w:tcW w:w="3260" w:type="dxa"/>
            <w:vAlign w:val="center"/>
            <w:hideMark/>
          </w:tcPr>
          <w:p w14:paraId="7FE1913B"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كفاءة استخدام الموارد</w:t>
            </w:r>
          </w:p>
        </w:tc>
        <w:tc>
          <w:tcPr>
            <w:tcW w:w="3253" w:type="dxa"/>
            <w:vAlign w:val="center"/>
            <w:hideMark/>
          </w:tcPr>
          <w:p w14:paraId="0B8D6F0F"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تقليل الهدر، تحديد المسؤوليات، ضمان الاستخدام الأمثل للموارد</w:t>
            </w:r>
          </w:p>
        </w:tc>
      </w:tr>
      <w:tr w:rsidR="005D60FD" w:rsidRPr="005D60FD" w14:paraId="1A29E618" w14:textId="77777777" w:rsidTr="005A16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7846C736"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المشاركة</w:t>
            </w:r>
          </w:p>
        </w:tc>
        <w:tc>
          <w:tcPr>
            <w:tcW w:w="3260" w:type="dxa"/>
            <w:vAlign w:val="center"/>
            <w:hideMark/>
          </w:tcPr>
          <w:p w14:paraId="4E555A47"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رضا أصحاب المصلحة، جودة المخرجات</w:t>
            </w:r>
          </w:p>
        </w:tc>
        <w:tc>
          <w:tcPr>
            <w:tcW w:w="3253" w:type="dxa"/>
            <w:vAlign w:val="center"/>
            <w:hideMark/>
          </w:tcPr>
          <w:p w14:paraId="3B7532C8" w14:textId="77777777" w:rsidR="005D60FD" w:rsidRPr="005D60FD" w:rsidRDefault="005D60FD" w:rsidP="005D60FD">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Pr>
            </w:pPr>
            <w:r w:rsidRPr="005D60FD">
              <w:rPr>
                <w:rFonts w:eastAsia="Calibri"/>
                <w:b/>
                <w:bCs/>
                <w:sz w:val="20"/>
                <w:szCs w:val="24"/>
                <w:rtl/>
              </w:rPr>
              <w:t>تلبية احتياجات المستفيدين، تحسين جودة القرارات، تعزيز الثقة</w:t>
            </w:r>
          </w:p>
        </w:tc>
      </w:tr>
      <w:tr w:rsidR="005D60FD" w:rsidRPr="005D60FD" w14:paraId="5AB70020" w14:textId="77777777" w:rsidTr="005A16BB">
        <w:trPr>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546CEC7A" w14:textId="77777777" w:rsidR="005D60FD" w:rsidRPr="005D60FD" w:rsidRDefault="005D60FD" w:rsidP="005D60FD">
            <w:pPr>
              <w:spacing w:after="0" w:line="276" w:lineRule="auto"/>
              <w:jc w:val="center"/>
              <w:rPr>
                <w:rFonts w:eastAsia="Calibri"/>
                <w:sz w:val="20"/>
                <w:szCs w:val="24"/>
              </w:rPr>
            </w:pPr>
            <w:r w:rsidRPr="005D60FD">
              <w:rPr>
                <w:rFonts w:eastAsia="Calibri"/>
                <w:sz w:val="20"/>
                <w:szCs w:val="24"/>
                <w:rtl/>
              </w:rPr>
              <w:t>التنسيق</w:t>
            </w:r>
          </w:p>
        </w:tc>
        <w:tc>
          <w:tcPr>
            <w:tcW w:w="3260" w:type="dxa"/>
            <w:vAlign w:val="center"/>
            <w:hideMark/>
          </w:tcPr>
          <w:p w14:paraId="71B8E247"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جميع الأبعاد</w:t>
            </w:r>
          </w:p>
        </w:tc>
        <w:tc>
          <w:tcPr>
            <w:tcW w:w="3253" w:type="dxa"/>
            <w:vAlign w:val="center"/>
            <w:hideMark/>
          </w:tcPr>
          <w:p w14:paraId="5CCDB574" w14:textId="77777777" w:rsidR="005D60FD" w:rsidRPr="005D60FD" w:rsidRDefault="005D60FD" w:rsidP="005D60FD">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Pr>
            </w:pPr>
            <w:r w:rsidRPr="005D60FD">
              <w:rPr>
                <w:rFonts w:eastAsia="Calibri"/>
                <w:b/>
                <w:bCs/>
                <w:sz w:val="20"/>
                <w:szCs w:val="24"/>
                <w:rtl/>
              </w:rPr>
              <w:t>منع تداخل الاختصاصات، تسريع التنفيذ، تقليل الهدر والتأخير</w:t>
            </w:r>
          </w:p>
        </w:tc>
      </w:tr>
    </w:tbl>
    <w:p w14:paraId="398CB56D" w14:textId="77777777" w:rsidR="005D60FD" w:rsidRPr="005D60FD" w:rsidRDefault="005D60FD" w:rsidP="005D60FD">
      <w:pPr>
        <w:spacing w:after="0" w:line="276" w:lineRule="auto"/>
        <w:jc w:val="center"/>
        <w:rPr>
          <w:rFonts w:ascii="Times New Roman" w:eastAsia="Calibri" w:hAnsi="Times New Roman" w:cs="Simplified Arabic"/>
          <w:b/>
          <w:bCs/>
          <w:sz w:val="20"/>
          <w:szCs w:val="24"/>
        </w:rPr>
      </w:pPr>
      <w:r w:rsidRPr="005D60FD">
        <w:rPr>
          <w:rFonts w:ascii="Times New Roman" w:eastAsia="Calibri" w:hAnsi="Times New Roman" w:cs="Simplified Arabic"/>
          <w:b/>
          <w:bCs/>
          <w:sz w:val="20"/>
          <w:szCs w:val="24"/>
          <w:rtl/>
        </w:rPr>
        <w:t>(المصدر: من إعداد الباحث)</w:t>
      </w:r>
    </w:p>
    <w:p w14:paraId="6618DC5B" w14:textId="77777777" w:rsidR="005D60FD" w:rsidRPr="005D60FD" w:rsidRDefault="005D60FD" w:rsidP="005D60FD">
      <w:pPr>
        <w:spacing w:before="240"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t>ثالثاً: الأدلة التجريبية على العلاقة بين الحوكمة الإدارية وكفاءة أداء المشاريع</w:t>
      </w:r>
    </w:p>
    <w:p w14:paraId="62CA6D04"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تدعم العديد من الدراسات التجريبية العلاقة الإيجابية بين الحوكمة الإدارية وكفاءة أداء المشاريع الحكومية:</w:t>
      </w:r>
    </w:p>
    <w:p w14:paraId="0AC52A1E" w14:textId="77777777" w:rsidR="005D60FD" w:rsidRPr="005D60FD" w:rsidRDefault="005D60FD" w:rsidP="00F7353C">
      <w:pPr>
        <w:numPr>
          <w:ilvl w:val="0"/>
          <w:numId w:val="2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دراسة (سبنسر وويب، 2024): </w:t>
      </w:r>
      <w:r w:rsidRPr="005D60FD">
        <w:rPr>
          <w:rFonts w:ascii="Times New Roman" w:eastAsia="Calibri" w:hAnsi="Times New Roman" w:cs="Simplified Arabic"/>
          <w:sz w:val="24"/>
          <w:szCs w:val="28"/>
          <w:rtl/>
        </w:rPr>
        <w:t>أظهرت أن المؤسسات التي طبقت ممارسات حوكمة متكاملة (الشفافية، المساءلة، المشاركة) حققت تحسناً في أداء مشاريعها بنسبة (34%) مقارنة بتلك التي لم تطبقها.</w:t>
      </w:r>
    </w:p>
    <w:p w14:paraId="48ED7772" w14:textId="77777777" w:rsidR="005D60FD" w:rsidRPr="005D60FD" w:rsidRDefault="005D60FD" w:rsidP="00F7353C">
      <w:pPr>
        <w:numPr>
          <w:ilvl w:val="0"/>
          <w:numId w:val="2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دراسة (محضر، 2024): </w:t>
      </w:r>
      <w:r w:rsidRPr="005D60FD">
        <w:rPr>
          <w:rFonts w:ascii="Times New Roman" w:eastAsia="Calibri" w:hAnsi="Times New Roman" w:cs="Simplified Arabic"/>
          <w:sz w:val="24"/>
          <w:szCs w:val="28"/>
          <w:rtl/>
        </w:rPr>
        <w:t>توصلت إلى وجود تأثير ذي دلالة معنوية لتطبيق الحوكمة في تحسين كفاءة الأداء المؤسسي في مستشفيات القطاع الحكومي بمكة المكرمة.</w:t>
      </w:r>
    </w:p>
    <w:p w14:paraId="590C333E" w14:textId="77777777" w:rsidR="005D60FD" w:rsidRPr="005D60FD" w:rsidRDefault="005D60FD" w:rsidP="00F7353C">
      <w:pPr>
        <w:numPr>
          <w:ilvl w:val="0"/>
          <w:numId w:val="2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دراسة (الهويدي، 2026): </w:t>
      </w:r>
      <w:r w:rsidRPr="005D60FD">
        <w:rPr>
          <w:rFonts w:ascii="Times New Roman" w:eastAsia="Calibri" w:hAnsi="Times New Roman" w:cs="Simplified Arabic"/>
          <w:sz w:val="24"/>
          <w:szCs w:val="28"/>
          <w:rtl/>
        </w:rPr>
        <w:t>أكدت أن تفعيل الحوكمة ساهم بشكل ملموس في تعزيز الشفافية المؤسسية، ورفع كفاءة الإنفاق، وتطوير آليات المساءلة والرقابة الوقائية.</w:t>
      </w:r>
    </w:p>
    <w:p w14:paraId="4416C1C4" w14:textId="77777777" w:rsidR="005D60FD" w:rsidRPr="005D60FD" w:rsidRDefault="005D60FD" w:rsidP="00F7353C">
      <w:pPr>
        <w:numPr>
          <w:ilvl w:val="0"/>
          <w:numId w:val="2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lastRenderedPageBreak/>
        <w:t xml:space="preserve">دراسة (الخالدي، 2022): </w:t>
      </w:r>
      <w:r w:rsidRPr="005D60FD">
        <w:rPr>
          <w:rFonts w:ascii="Times New Roman" w:eastAsia="Calibri" w:hAnsi="Times New Roman" w:cs="Simplified Arabic"/>
          <w:sz w:val="24"/>
          <w:szCs w:val="28"/>
          <w:rtl/>
        </w:rPr>
        <w:t>أظهرت أن تطبيق مبادئ الحوكمة يساعد على تحسين الأداء، وأن تطبيق مبدأ المساءلة يسهم بشكل كبير في تحسين الأداء في القطاع الحكومي.</w:t>
      </w:r>
    </w:p>
    <w:p w14:paraId="381459CA" w14:textId="77777777" w:rsidR="005D60FD" w:rsidRPr="005D60FD" w:rsidRDefault="005D60FD" w:rsidP="00F7353C">
      <w:pPr>
        <w:numPr>
          <w:ilvl w:val="0"/>
          <w:numId w:val="27"/>
        </w:numPr>
        <w:spacing w:after="360" w:line="276" w:lineRule="auto"/>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دراسات دولية: </w:t>
      </w:r>
      <w:r w:rsidRPr="005D60FD">
        <w:rPr>
          <w:rFonts w:ascii="Times New Roman" w:eastAsia="Calibri" w:hAnsi="Times New Roman" w:cs="Simplified Arabic"/>
          <w:sz w:val="24"/>
          <w:szCs w:val="28"/>
          <w:rtl/>
        </w:rPr>
        <w:t>أظهرت الأبحاث أن الحوكمة الجيدة للمشاريع ترتبط بتحسين أداء المشاريع، وأن الحوكمة الفعالة تُسهل اتخاذ القرارات الجيدة، والتي بدورها تُحسّن أداء المشروع. كما أظهرت دراسة (</w:t>
      </w:r>
      <w:r w:rsidRPr="005D60FD">
        <w:rPr>
          <w:rFonts w:ascii="Times New Roman" w:eastAsia="Calibri" w:hAnsi="Times New Roman" w:cs="Simplified Arabic"/>
          <w:sz w:val="24"/>
          <w:szCs w:val="28"/>
        </w:rPr>
        <w:t>Müller, 2020</w:t>
      </w:r>
      <w:r w:rsidRPr="005D60FD">
        <w:rPr>
          <w:rFonts w:ascii="Times New Roman" w:eastAsia="Calibri" w:hAnsi="Times New Roman" w:cs="Simplified Arabic"/>
          <w:sz w:val="24"/>
          <w:szCs w:val="28"/>
          <w:rtl/>
        </w:rPr>
        <w:t>) أن المستويات الأعلى من حوكمة المشاريع ترتبط بمستويات أعلى من أداء المشروع.</w:t>
      </w:r>
    </w:p>
    <w:p w14:paraId="7FC56F33"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التحليل والتعقيب على المبحث الثالث:</w:t>
      </w:r>
    </w:p>
    <w:p w14:paraId="5447E90B"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من خلال هذا المبحث، تتضح الطبيعة التكاملية للعلاقة بين الحوكمة الإدارية وكفاءة أداء المشاريع الحكومية. فالحوكمة ليست مجرد إجراءات رقابية، بل هي منظومة متكاملة (شفافية، مساءلة، مشاركة، تنسيق) تؤثر بشكل مباشر وغير مباشر في جميع أبعاد كفاءة المشاريع (الالتزام بالجداول، كفاءة الموارد، جودة المخرجات، رضا أصحاب المصلحة). وقد أظهرت الدراسات التجريبية أن هذه التأثيرات ليست فقط موجودة، بل إنها قوية وجوهرية. وتأسيساً على ذلك، يؤكد الباحث أن تحسين كفاءة أداء المشاريع الحكومية في المملكة العربية السعودية يتطلب تبني رؤية شاملة للحوكمة الإدارية، تتجاوز مجرد إصدار السياسات إلى بناء قدرات تنظيمية متكاملة تشمل الشفافية، والمساءلة، والمشاركة، والتنسيق. وسيتم اختبار هذه الفرضيات كمياً في الأجزاء الميدانية من الدراسة باستخدام تحليل الانحدار المتعدد لتحديد أي من أبعاد الحوكمة الأربعة يحقق أعلى أثر على كل بُعد من أبعاد كفاءة أداء المشاريع.</w:t>
      </w:r>
    </w:p>
    <w:p w14:paraId="65C42C07" w14:textId="77777777" w:rsidR="005D60FD" w:rsidRPr="005D60FD" w:rsidRDefault="005D60FD" w:rsidP="005D60FD">
      <w:pPr>
        <w:bidi w:val="0"/>
        <w:spacing w:after="200" w:line="276" w:lineRule="auto"/>
        <w:rPr>
          <w:rFonts w:ascii="Times New Roman" w:eastAsia="Calibri" w:hAnsi="Times New Roman" w:cs="Simplified Arabic"/>
          <w:b/>
          <w:bCs/>
          <w:sz w:val="24"/>
          <w:szCs w:val="28"/>
          <w:rtl/>
        </w:rPr>
      </w:pPr>
      <w:r w:rsidRPr="005D60FD">
        <w:rPr>
          <w:rFonts w:ascii="Times New Roman" w:eastAsia="Calibri" w:hAnsi="Times New Roman" w:cs="Simplified Arabic"/>
          <w:b/>
          <w:bCs/>
          <w:sz w:val="24"/>
          <w:szCs w:val="28"/>
          <w:rtl/>
        </w:rPr>
        <w:br w:type="page"/>
      </w:r>
    </w:p>
    <w:p w14:paraId="31D9EB00" w14:textId="77777777" w:rsidR="005D60FD" w:rsidRPr="005D60FD" w:rsidRDefault="005D60FD" w:rsidP="005D60FD">
      <w:pPr>
        <w:spacing w:after="360" w:line="276" w:lineRule="auto"/>
        <w:ind w:firstLine="567"/>
        <w:jc w:val="both"/>
        <w:rPr>
          <w:rFonts w:ascii="Times New Roman" w:eastAsia="Calibri" w:hAnsi="Times New Roman" w:cs="Simplified Arabic"/>
          <w:b/>
          <w:bCs/>
          <w:sz w:val="24"/>
          <w:szCs w:val="28"/>
        </w:rPr>
      </w:pPr>
      <w:r w:rsidRPr="005D60FD">
        <w:rPr>
          <w:rFonts w:ascii="Times New Roman" w:eastAsia="Calibri" w:hAnsi="Times New Roman" w:cs="Simplified Arabic"/>
          <w:b/>
          <w:bCs/>
          <w:sz w:val="24"/>
          <w:szCs w:val="28"/>
          <w:rtl/>
        </w:rPr>
        <w:lastRenderedPageBreak/>
        <w:t>خاتمة الإطار النظري</w:t>
      </w:r>
    </w:p>
    <w:p w14:paraId="10192C67"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sz w:val="24"/>
          <w:szCs w:val="28"/>
          <w:rtl/>
        </w:rPr>
        <w:t>خلصت المباحث الثلاثة للإطار النظري إلى مجموعة من النتائج الرئيسة التي تشكل القاعدة المعرفية للدراسة الحالية:</w:t>
      </w:r>
    </w:p>
    <w:p w14:paraId="30C9373F"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أولاً، فيما يتعلق بالحوكمة الإدارية (المتغير المستقل): </w:t>
      </w:r>
      <w:r w:rsidRPr="005D60FD">
        <w:rPr>
          <w:rFonts w:ascii="Times New Roman" w:eastAsia="Calibri" w:hAnsi="Times New Roman" w:cs="Simplified Arabic"/>
          <w:sz w:val="24"/>
          <w:szCs w:val="28"/>
          <w:rtl/>
        </w:rPr>
        <w:t>تبين أنها ليست مجرد إطار تنظيمي، بل منظومة متكاملة تتكون من أربعة أبعاد رئيسة مترابطة: الشفافية (الإفصاح عن المعلومات ووضوح الإجراءات)، والمساءلة (آليات الرقابة والمحاسبة)، والمشاركة (إشراك أصحاب المصلحة في صنع القرار)، والتنسيق (تكامل الجهود بين الجهات الحكومية). وقد أظهرت الأدبيات أن فعالية تطبيق الحوكمة في القطاع الحكومي تتوقف على التكامل بين هذه الأبعاد، وليس على وجود بعضها دون البعض. كما أظهرت النظريات المفسرة (كالوكالة، وأصحاب المصلحة، والمساءلة المؤسسية) أن الحوكمة تُعد آلية لتحقيق التوازن بين مصالح الأطراف المختلفة، والحد من السلوك الانتهازي، وتعزيز الشفافية والثقة.</w:t>
      </w:r>
    </w:p>
    <w:p w14:paraId="32593ED5"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ثانياً، فيما يتعلق بكفاءة أداء المشاريع الحكومية (المتغير التابع): </w:t>
      </w:r>
      <w:r w:rsidRPr="005D60FD">
        <w:rPr>
          <w:rFonts w:ascii="Times New Roman" w:eastAsia="Calibri" w:hAnsi="Times New Roman" w:cs="Simplified Arabic"/>
          <w:sz w:val="24"/>
          <w:szCs w:val="28"/>
          <w:rtl/>
        </w:rPr>
        <w:t>تبين أن هذا المفهوم متعدد الأبعاد، ولا يقتصر على الجوانب الزمنية أو المالية فقط، بل يشمل أربعة أبعاد رئيسة هي: الالتزام بالجداول الزمنية (إنجاز المخرجات ضمن الفترات المحددة)، وكفاءة استخدام الموارد (الاستخدام الأمثل للموارد المالية والبشرية والمادية)، وجودة المخرجات (تحقيق المخرجات للمواصفات والمعايير المطلوبة)، ورضا أصحاب المصلحة (رضا الأطراف المعنية عن أداء المشروع ومخرجاته). كما تبين أن النماذج النظرية المفسرة للكفاءة (كالمثلث الحديدي، والأداء المتوازن، والقيمة المضافة) تتفق على أن الكفاءة ليست نتيجة نهائية، بل هي عملية ديناميكية تتطلب إدارة متكاملة للموارد والعمليات وأصحاب المصلحة.</w:t>
      </w:r>
    </w:p>
    <w:p w14:paraId="24CC4E24"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ثالثاً، فيما يتعلق بالعلاقة بين المتغيرين: </w:t>
      </w:r>
      <w:r w:rsidRPr="005D60FD">
        <w:rPr>
          <w:rFonts w:ascii="Times New Roman" w:eastAsia="Calibri" w:hAnsi="Times New Roman" w:cs="Simplified Arabic"/>
          <w:sz w:val="24"/>
          <w:szCs w:val="28"/>
          <w:rtl/>
        </w:rPr>
        <w:t xml:space="preserve">تُفسر العلاقة بين الحوكمة الإدارية وكفاءة أداء المشاريع الحكومية من خلال عدة منطلقات نظرية متكاملة، أهمها: نظرية الحوكمة المؤسسية (التي ترى أن الحوكمة تحسن الأداء من خلال تنظيم العلاقات وتحديد المسؤوليات)، ونظرية الإدارة الاستراتيجية (التي ترى أن الحوكمة تعزز الاستراتيجيات وتنظم الموارد لتحقيق الأهداف)، ونظرية حوكمة المشاريع (التي ترى أن الحوكمة الجيدة تُسهل اتخاذ القرارات الجيدة، والتي بدورها تُحسّن </w:t>
      </w:r>
      <w:r w:rsidRPr="005D60FD">
        <w:rPr>
          <w:rFonts w:ascii="Times New Roman" w:eastAsia="Calibri" w:hAnsi="Times New Roman" w:cs="Simplified Arabic"/>
          <w:sz w:val="24"/>
          <w:szCs w:val="28"/>
          <w:rtl/>
        </w:rPr>
        <w:lastRenderedPageBreak/>
        <w:t>أداء المشروع). وتتعدد آليات تأثير الحوكمة، وتشمل: تعزيز الشفافية وتحسين الرقابة (يؤثر في الالتزام بالجداول الزمنية وجودة المخرجات)، وتفعيل المساءلة وتحديد المسؤوليات (يؤثر في كفاءة استخدام الموارد)، وإشراك أصحاب المصلحة (يؤثر في رضا أصحاب المصلحة وجودة المخرجات)، وتعزيز التنسيق بين الجهات (يؤثر في جميع أبعاد الكفاءة). وقد أظهرت الأدلة التجريبية أن العلاقة بين الحوكمة وكفاءة المشاريع قوية وجوهرية، وأن تطبيق ممارسات الحوكمة المتكاملة يمكن أن يُحسّن أداء المشاريع بنسب تتراوح بين (</w:t>
      </w:r>
      <w:r w:rsidRPr="005D60FD">
        <w:rPr>
          <w:rFonts w:ascii="Times New Roman" w:eastAsia="Calibri" w:hAnsi="Times New Roman" w:cs="Simplified Arabic"/>
          <w:sz w:val="24"/>
          <w:szCs w:val="28"/>
        </w:rPr>
        <w:t>30-40%</w:t>
      </w:r>
      <w:r w:rsidRPr="005D60FD">
        <w:rPr>
          <w:rFonts w:ascii="Times New Roman" w:eastAsia="Calibri" w:hAnsi="Times New Roman" w:cs="Simplified Arabic"/>
          <w:sz w:val="24"/>
          <w:szCs w:val="28"/>
          <w:rtl/>
        </w:rPr>
        <w:t>).</w:t>
      </w:r>
    </w:p>
    <w:p w14:paraId="4CDE8FF9"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Pr>
      </w:pPr>
      <w:r w:rsidRPr="005D60FD">
        <w:rPr>
          <w:rFonts w:ascii="Times New Roman" w:eastAsia="Calibri" w:hAnsi="Times New Roman" w:cs="Simplified Arabic"/>
          <w:b/>
          <w:bCs/>
          <w:sz w:val="24"/>
          <w:szCs w:val="28"/>
          <w:rtl/>
        </w:rPr>
        <w:t xml:space="preserve">رابعاً، فيما يتعلق ببيئة المؤسسات الحكومية السعودية: </w:t>
      </w:r>
      <w:r w:rsidRPr="005D60FD">
        <w:rPr>
          <w:rFonts w:ascii="Times New Roman" w:eastAsia="Calibri" w:hAnsi="Times New Roman" w:cs="Simplified Arabic"/>
          <w:sz w:val="24"/>
          <w:szCs w:val="28"/>
          <w:rtl/>
        </w:rPr>
        <w:t>تتميز هذه البيئة بخصائص فريدة تجعل دراسة هذه العلاقة بالغة الأهمية، أبرزها: الاستثمارات الضخمة في المشاريع الحكومية ضمن رؤية 2030، والتحولات الإدارية المتسارعة، وتعدد الجهات الحكومية وتنوع قطاعاتها، ووجود مؤسسات رقابية (كهيئة الرقابة ومكافحة الفساد) تعمل على تعزيز الحوكمة. وتؤكد هذه الخصائص أن الفجوة البحثية التي تستهدفها هذه الدراسة (حول أثر الحوكمة الإدارية في تحسين كفاءة أداء المشاريع الحكومية) هي فجوة حقيقية ومُلحة، وأن نتائج الدراسة ستكون ذات قيمة أكاديمية وتطبيقية عالية.</w:t>
      </w:r>
    </w:p>
    <w:p w14:paraId="11461595" w14:textId="77777777" w:rsidR="005D60FD" w:rsidRPr="005D60FD" w:rsidRDefault="005D60FD" w:rsidP="005D60FD">
      <w:pPr>
        <w:spacing w:after="360" w:line="276" w:lineRule="auto"/>
        <w:ind w:firstLine="567"/>
        <w:jc w:val="both"/>
        <w:rPr>
          <w:rFonts w:ascii="Times New Roman" w:eastAsia="Calibri" w:hAnsi="Times New Roman" w:cs="Simplified Arabic"/>
          <w:sz w:val="24"/>
          <w:szCs w:val="28"/>
          <w:rtl/>
        </w:rPr>
      </w:pPr>
      <w:r w:rsidRPr="005D60FD">
        <w:rPr>
          <w:rFonts w:ascii="Times New Roman" w:eastAsia="Calibri" w:hAnsi="Times New Roman" w:cs="Simplified Arabic"/>
          <w:b/>
          <w:bCs/>
          <w:sz w:val="24"/>
          <w:szCs w:val="28"/>
          <w:rtl/>
        </w:rPr>
        <w:t xml:space="preserve">خامساً، الإطار التكاملي: </w:t>
      </w:r>
      <w:r w:rsidRPr="005D60FD">
        <w:rPr>
          <w:rFonts w:ascii="Times New Roman" w:eastAsia="Calibri" w:hAnsi="Times New Roman" w:cs="Simplified Arabic"/>
          <w:sz w:val="24"/>
          <w:szCs w:val="28"/>
          <w:rtl/>
        </w:rPr>
        <w:t>يربط الإطار النظري المتكامل بين أربعة أبعاد للمتغير المستقل (الشفافية، المساءلة، المشاركة، التنسيق)، وأربعة أبعاد للمتغير التابع (الالتزام بالجداول الزمنية، كفاءة استخدام الموارد، جودة المخرجات، رضا أصحاب المصلحة)، مفترضاً وجود علاقة تأثير طردية ذات دلالة إحصائية بين الحوكمة الإدارية (كبناء كلي)، وكفاءة أداء المشاريع الحكومية (كبناء كلي) في المؤسسات الحكومية السعودية. كما يفترض أن لكل بُعد من أبعاد الحوكمة تأثيراً إيجابياً متفاوتاً في تحسين كفاءة أداء المشاريع، وأن هذه التأثيرات تختلف في قوتها باختلاف أبعاد الكفاءة. وسيتم اختبار هذه الفرضيات كمياً في الأجزاء الميدانية من الدراسة باستخدام تحليل الانحدار المتعدد.</w:t>
      </w:r>
      <w:r w:rsidRPr="005D60FD">
        <w:rPr>
          <w:rFonts w:ascii="Times New Roman" w:eastAsia="Calibri" w:hAnsi="Times New Roman" w:cs="Simplified Arabic"/>
          <w:sz w:val="24"/>
          <w:szCs w:val="28"/>
          <w:rtl/>
        </w:rPr>
        <w:br w:type="page"/>
      </w:r>
    </w:p>
    <w:sectPr w:rsidR="005D60FD" w:rsidRPr="005D60FD" w:rsidSect="0070468E">
      <w:footerReference w:type="default" r:id="rId17"/>
      <w:footerReference w:type="first" r:id="rId18"/>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0C56D" w14:textId="77777777" w:rsidR="009F3E78" w:rsidRDefault="009F3E78">
      <w:pPr>
        <w:spacing w:after="0" w:line="240" w:lineRule="auto"/>
      </w:pPr>
      <w:r>
        <w:separator/>
      </w:r>
    </w:p>
  </w:endnote>
  <w:endnote w:type="continuationSeparator" w:id="0">
    <w:p w14:paraId="7792511A" w14:textId="77777777" w:rsidR="009F3E78" w:rsidRDefault="009F3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8C98" w14:textId="77777777" w:rsidR="008E7AE0" w:rsidRDefault="008E7AE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573452"/>
      <w:docPartObj>
        <w:docPartGallery w:val="Page Numbers (Bottom of Page)"/>
        <w:docPartUnique/>
      </w:docPartObj>
    </w:sdtPr>
    <w:sdtEndPr/>
    <w:sdtContent>
      <w:p w14:paraId="2F389B88" w14:textId="77777777" w:rsidR="008E7AE0" w:rsidRDefault="008E7AE0">
        <w:pPr>
          <w:pStyle w:val="a3"/>
          <w:jc w:val="center"/>
        </w:pPr>
        <w:r>
          <w:fldChar w:fldCharType="begin"/>
        </w:r>
        <w:r>
          <w:instrText>PAGE   \* MERGEFORMAT</w:instrText>
        </w:r>
        <w:r>
          <w:fldChar w:fldCharType="separate"/>
        </w:r>
        <w:r>
          <w:rPr>
            <w:rtl/>
            <w:lang w:val="ar-SA"/>
          </w:rPr>
          <w:t>2</w:t>
        </w:r>
        <w:r>
          <w:fldChar w:fldCharType="end"/>
        </w:r>
      </w:p>
    </w:sdtContent>
  </w:sdt>
  <w:p w14:paraId="29B37DE3" w14:textId="77777777" w:rsidR="008E7AE0" w:rsidRPr="00B540F1" w:rsidRDefault="008E7AE0" w:rsidP="00B540F1">
    <w:pPr>
      <w:pStyle w:val="a3"/>
      <w:jc w:val="center"/>
      <w:rPr>
        <w:rFonts w:cs="Simplified Arabic"/>
        <w:b/>
        <w:bCs/>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847240748"/>
      <w:docPartObj>
        <w:docPartGallery w:val="Page Numbers (Bottom of Page)"/>
        <w:docPartUnique/>
      </w:docPartObj>
    </w:sdtPr>
    <w:sdtEndPr/>
    <w:sdtContent>
      <w:p w14:paraId="003BCED9" w14:textId="77777777" w:rsidR="008E7AE0" w:rsidRPr="003220EB" w:rsidRDefault="008E7AE0">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17AFAFB" w14:textId="77777777" w:rsidR="008E7AE0" w:rsidRDefault="008E7AE0" w:rsidP="00B540F1">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1676817"/>
      <w:docPartObj>
        <w:docPartGallery w:val="Page Numbers (Bottom of Page)"/>
        <w:docPartUnique/>
      </w:docPartObj>
    </w:sdtPr>
    <w:sdtEndPr/>
    <w:sdtContent>
      <w:p w14:paraId="5CC09008" w14:textId="77777777" w:rsidR="005A3E74" w:rsidRDefault="005A3E74">
        <w:pPr>
          <w:pStyle w:val="a3"/>
          <w:jc w:val="center"/>
        </w:pPr>
        <w:r>
          <w:fldChar w:fldCharType="begin"/>
        </w:r>
        <w:r>
          <w:instrText>PAGE   \* MERGEFORMAT</w:instrText>
        </w:r>
        <w:r>
          <w:fldChar w:fldCharType="separate"/>
        </w:r>
        <w:r>
          <w:rPr>
            <w:rtl/>
            <w:lang w:val="ar-SA"/>
          </w:rPr>
          <w:t>2</w:t>
        </w:r>
        <w:r>
          <w:fldChar w:fldCharType="end"/>
        </w:r>
      </w:p>
    </w:sdtContent>
  </w:sdt>
  <w:p w14:paraId="626268CF" w14:textId="77777777" w:rsidR="005A3E74" w:rsidRPr="00B540F1" w:rsidRDefault="005A3E74" w:rsidP="00B540F1">
    <w:pPr>
      <w:pStyle w:val="a3"/>
      <w:jc w:val="center"/>
      <w:rPr>
        <w:rFonts w:cs="Simplified Arabic"/>
        <w:b/>
        <w:bCs/>
        <w:sz w:val="28"/>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275720299"/>
      <w:docPartObj>
        <w:docPartGallery w:val="Page Numbers (Bottom of Page)"/>
        <w:docPartUnique/>
      </w:docPartObj>
    </w:sdtPr>
    <w:sdtEndPr/>
    <w:sdtContent>
      <w:p w14:paraId="7B51FA3B" w14:textId="77777777" w:rsidR="005A3E74" w:rsidRPr="003220EB" w:rsidRDefault="005A3E74">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2F9B421" w14:textId="77777777" w:rsidR="005A3E74" w:rsidRDefault="005A3E74" w:rsidP="00B540F1">
    <w:pPr>
      <w:pStyle w:val="a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EndPr/>
    <w:sdtContent>
      <w:p w14:paraId="1C39DD6C" w14:textId="77777777"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72F02A0F" w14:textId="77777777" w:rsidR="0012436D" w:rsidRPr="00B540F1" w:rsidRDefault="0012436D" w:rsidP="00B540F1">
    <w:pPr>
      <w:pStyle w:val="a3"/>
      <w:jc w:val="center"/>
      <w:rPr>
        <w:rFonts w:cs="Simplified Arabic"/>
        <w:b/>
        <w:bCs/>
        <w:sz w:val="28"/>
        <w:szCs w:val="2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EndPr/>
    <w:sdtContent>
      <w:p w14:paraId="1569232E"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7D7761B1"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2B6A3" w14:textId="77777777" w:rsidR="009F3E78" w:rsidRDefault="009F3E78">
      <w:pPr>
        <w:spacing w:after="0" w:line="240" w:lineRule="auto"/>
      </w:pPr>
      <w:r>
        <w:separator/>
      </w:r>
    </w:p>
  </w:footnote>
  <w:footnote w:type="continuationSeparator" w:id="0">
    <w:p w14:paraId="6AC4B2A1" w14:textId="77777777" w:rsidR="009F3E78" w:rsidRDefault="009F3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B768" w14:textId="77777777" w:rsidR="008E7AE0" w:rsidRDefault="008E7AE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660CD" w14:textId="77777777" w:rsidR="008E7AE0" w:rsidRDefault="008E7AE0">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DD3AC" w14:textId="77777777" w:rsidR="008E7AE0" w:rsidRDefault="008E7AE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0642"/>
    <w:multiLevelType w:val="multilevel"/>
    <w:tmpl w:val="6268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D24DE"/>
    <w:multiLevelType w:val="hybridMultilevel"/>
    <w:tmpl w:val="257A2E8C"/>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98E43EA"/>
    <w:multiLevelType w:val="multilevel"/>
    <w:tmpl w:val="541E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F3BF4"/>
    <w:multiLevelType w:val="multilevel"/>
    <w:tmpl w:val="71EC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731E8"/>
    <w:multiLevelType w:val="multilevel"/>
    <w:tmpl w:val="82AC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8453B6"/>
    <w:multiLevelType w:val="multilevel"/>
    <w:tmpl w:val="46D4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73EC8"/>
    <w:multiLevelType w:val="multilevel"/>
    <w:tmpl w:val="5CA4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E740D"/>
    <w:multiLevelType w:val="multilevel"/>
    <w:tmpl w:val="E3AA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00556"/>
    <w:multiLevelType w:val="multilevel"/>
    <w:tmpl w:val="A910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343724"/>
    <w:multiLevelType w:val="multilevel"/>
    <w:tmpl w:val="3816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9A766A"/>
    <w:multiLevelType w:val="multilevel"/>
    <w:tmpl w:val="5F7459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3E6EE1"/>
    <w:multiLevelType w:val="multilevel"/>
    <w:tmpl w:val="DB7E1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B9357F"/>
    <w:multiLevelType w:val="multilevel"/>
    <w:tmpl w:val="FF1A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4F5D14"/>
    <w:multiLevelType w:val="multilevel"/>
    <w:tmpl w:val="2C2A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980964"/>
    <w:multiLevelType w:val="multilevel"/>
    <w:tmpl w:val="C1928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3D5B04"/>
    <w:multiLevelType w:val="multilevel"/>
    <w:tmpl w:val="FED2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4D3EB8"/>
    <w:multiLevelType w:val="multilevel"/>
    <w:tmpl w:val="CF3C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A07B38"/>
    <w:multiLevelType w:val="multilevel"/>
    <w:tmpl w:val="D87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51D2D"/>
    <w:multiLevelType w:val="multilevel"/>
    <w:tmpl w:val="FCFE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EE55AD"/>
    <w:multiLevelType w:val="multilevel"/>
    <w:tmpl w:val="14F8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17517D"/>
    <w:multiLevelType w:val="multilevel"/>
    <w:tmpl w:val="C4CE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22" w15:restartNumberingAfterBreak="0">
    <w:nsid w:val="49381B89"/>
    <w:multiLevelType w:val="multilevel"/>
    <w:tmpl w:val="30AA7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D54B07"/>
    <w:multiLevelType w:val="multilevel"/>
    <w:tmpl w:val="1762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520AA0"/>
    <w:multiLevelType w:val="multilevel"/>
    <w:tmpl w:val="B96C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51257F"/>
    <w:multiLevelType w:val="multilevel"/>
    <w:tmpl w:val="5F7459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92621F"/>
    <w:multiLevelType w:val="hybridMultilevel"/>
    <w:tmpl w:val="2E085FEE"/>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55BF44F0"/>
    <w:multiLevelType w:val="multilevel"/>
    <w:tmpl w:val="E69E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FF164C"/>
    <w:multiLevelType w:val="multilevel"/>
    <w:tmpl w:val="0A944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4F2996"/>
    <w:multiLevelType w:val="multilevel"/>
    <w:tmpl w:val="2612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1F6C76"/>
    <w:multiLevelType w:val="hybridMultilevel"/>
    <w:tmpl w:val="8988BE5C"/>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65867FCE"/>
    <w:multiLevelType w:val="multilevel"/>
    <w:tmpl w:val="BA04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3D31FC"/>
    <w:multiLevelType w:val="multilevel"/>
    <w:tmpl w:val="BC6CE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C06174"/>
    <w:multiLevelType w:val="multilevel"/>
    <w:tmpl w:val="E6F2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DF123E"/>
    <w:multiLevelType w:val="multilevel"/>
    <w:tmpl w:val="00FE69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5D5D0E"/>
    <w:multiLevelType w:val="multilevel"/>
    <w:tmpl w:val="364A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7F5AE1"/>
    <w:multiLevelType w:val="multilevel"/>
    <w:tmpl w:val="587AB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8C327F"/>
    <w:multiLevelType w:val="hybridMultilevel"/>
    <w:tmpl w:val="F1E4736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B316B14"/>
    <w:multiLevelType w:val="multilevel"/>
    <w:tmpl w:val="7836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8293">
    <w:abstractNumId w:val="21"/>
  </w:num>
  <w:num w:numId="2" w16cid:durableId="301083176">
    <w:abstractNumId w:val="1"/>
  </w:num>
  <w:num w:numId="3" w16cid:durableId="1849827278">
    <w:abstractNumId w:val="30"/>
  </w:num>
  <w:num w:numId="4" w16cid:durableId="1776443396">
    <w:abstractNumId w:val="26"/>
  </w:num>
  <w:num w:numId="5" w16cid:durableId="189806374">
    <w:abstractNumId w:val="37"/>
  </w:num>
  <w:num w:numId="6" w16cid:durableId="145322383">
    <w:abstractNumId w:val="34"/>
  </w:num>
  <w:num w:numId="7" w16cid:durableId="136340485">
    <w:abstractNumId w:val="17"/>
  </w:num>
  <w:num w:numId="8" w16cid:durableId="1101102457">
    <w:abstractNumId w:val="23"/>
  </w:num>
  <w:num w:numId="9" w16cid:durableId="1591816078">
    <w:abstractNumId w:val="35"/>
  </w:num>
  <w:num w:numId="10" w16cid:durableId="1031958225">
    <w:abstractNumId w:val="4"/>
  </w:num>
  <w:num w:numId="11" w16cid:durableId="207257528">
    <w:abstractNumId w:val="36"/>
  </w:num>
  <w:num w:numId="12" w16cid:durableId="1120149677">
    <w:abstractNumId w:val="38"/>
  </w:num>
  <w:num w:numId="13" w16cid:durableId="1724137083">
    <w:abstractNumId w:val="24"/>
  </w:num>
  <w:num w:numId="14" w16cid:durableId="569731988">
    <w:abstractNumId w:val="19"/>
  </w:num>
  <w:num w:numId="15" w16cid:durableId="854226128">
    <w:abstractNumId w:val="3"/>
  </w:num>
  <w:num w:numId="16" w16cid:durableId="1588729373">
    <w:abstractNumId w:val="12"/>
  </w:num>
  <w:num w:numId="17" w16cid:durableId="506991753">
    <w:abstractNumId w:val="5"/>
  </w:num>
  <w:num w:numId="18" w16cid:durableId="29693894">
    <w:abstractNumId w:val="0"/>
  </w:num>
  <w:num w:numId="19" w16cid:durableId="192689593">
    <w:abstractNumId w:val="13"/>
  </w:num>
  <w:num w:numId="20" w16cid:durableId="1323657298">
    <w:abstractNumId w:val="16"/>
  </w:num>
  <w:num w:numId="21" w16cid:durableId="575676698">
    <w:abstractNumId w:val="31"/>
  </w:num>
  <w:num w:numId="22" w16cid:durableId="783959338">
    <w:abstractNumId w:val="9"/>
  </w:num>
  <w:num w:numId="23" w16cid:durableId="1068650260">
    <w:abstractNumId w:val="15"/>
  </w:num>
  <w:num w:numId="24" w16cid:durableId="1980725395">
    <w:abstractNumId w:val="2"/>
  </w:num>
  <w:num w:numId="25" w16cid:durableId="568266650">
    <w:abstractNumId w:val="8"/>
  </w:num>
  <w:num w:numId="26" w16cid:durableId="2063668664">
    <w:abstractNumId w:val="20"/>
  </w:num>
  <w:num w:numId="27" w16cid:durableId="53050162">
    <w:abstractNumId w:val="27"/>
  </w:num>
  <w:num w:numId="28" w16cid:durableId="86732472">
    <w:abstractNumId w:val="14"/>
  </w:num>
  <w:num w:numId="29" w16cid:durableId="1653362552">
    <w:abstractNumId w:val="6"/>
  </w:num>
  <w:num w:numId="30" w16cid:durableId="503475806">
    <w:abstractNumId w:val="32"/>
  </w:num>
  <w:num w:numId="31" w16cid:durableId="1120956554">
    <w:abstractNumId w:val="22"/>
  </w:num>
  <w:num w:numId="32" w16cid:durableId="1598557084">
    <w:abstractNumId w:val="33"/>
  </w:num>
  <w:num w:numId="33" w16cid:durableId="880433816">
    <w:abstractNumId w:val="7"/>
  </w:num>
  <w:num w:numId="34" w16cid:durableId="133721436">
    <w:abstractNumId w:val="29"/>
  </w:num>
  <w:num w:numId="35" w16cid:durableId="547910529">
    <w:abstractNumId w:val="18"/>
  </w:num>
  <w:num w:numId="36" w16cid:durableId="362825631">
    <w:abstractNumId w:val="11"/>
  </w:num>
  <w:num w:numId="37" w16cid:durableId="1080521734">
    <w:abstractNumId w:val="28"/>
  </w:num>
  <w:num w:numId="38" w16cid:durableId="256061907">
    <w:abstractNumId w:val="10"/>
  </w:num>
  <w:num w:numId="39" w16cid:durableId="866018895">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D8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577E"/>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C6F78"/>
    <w:rsid w:val="000D014F"/>
    <w:rsid w:val="000D0D22"/>
    <w:rsid w:val="000D1419"/>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28FF"/>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6E87"/>
    <w:rsid w:val="0014721E"/>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B621C"/>
    <w:rsid w:val="001B78BE"/>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D735A"/>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2932"/>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5DA3"/>
    <w:rsid w:val="0025667E"/>
    <w:rsid w:val="00256EBB"/>
    <w:rsid w:val="00256F77"/>
    <w:rsid w:val="00260682"/>
    <w:rsid w:val="00261D90"/>
    <w:rsid w:val="002623D4"/>
    <w:rsid w:val="00262AAF"/>
    <w:rsid w:val="0026305E"/>
    <w:rsid w:val="0026390F"/>
    <w:rsid w:val="0026451D"/>
    <w:rsid w:val="00264823"/>
    <w:rsid w:val="00265866"/>
    <w:rsid w:val="00266060"/>
    <w:rsid w:val="002669FA"/>
    <w:rsid w:val="00266D2D"/>
    <w:rsid w:val="002670E6"/>
    <w:rsid w:val="002703D7"/>
    <w:rsid w:val="002704B3"/>
    <w:rsid w:val="00270950"/>
    <w:rsid w:val="00273E08"/>
    <w:rsid w:val="002746D9"/>
    <w:rsid w:val="00275773"/>
    <w:rsid w:val="0027786C"/>
    <w:rsid w:val="002817E1"/>
    <w:rsid w:val="00281F89"/>
    <w:rsid w:val="002827E9"/>
    <w:rsid w:val="00282C19"/>
    <w:rsid w:val="0028432B"/>
    <w:rsid w:val="002903CD"/>
    <w:rsid w:val="00292D1A"/>
    <w:rsid w:val="00294BF9"/>
    <w:rsid w:val="00296A44"/>
    <w:rsid w:val="00296AB4"/>
    <w:rsid w:val="002A2507"/>
    <w:rsid w:val="002A2842"/>
    <w:rsid w:val="002A46BB"/>
    <w:rsid w:val="002A5439"/>
    <w:rsid w:val="002A659A"/>
    <w:rsid w:val="002A79E1"/>
    <w:rsid w:val="002A7B95"/>
    <w:rsid w:val="002B0FE8"/>
    <w:rsid w:val="002B1017"/>
    <w:rsid w:val="002B3323"/>
    <w:rsid w:val="002B382F"/>
    <w:rsid w:val="002B6D3E"/>
    <w:rsid w:val="002B6EA3"/>
    <w:rsid w:val="002B72E7"/>
    <w:rsid w:val="002C06BC"/>
    <w:rsid w:val="002C070C"/>
    <w:rsid w:val="002C10D9"/>
    <w:rsid w:val="002C2414"/>
    <w:rsid w:val="002C26AD"/>
    <w:rsid w:val="002C4468"/>
    <w:rsid w:val="002C4D35"/>
    <w:rsid w:val="002C53EB"/>
    <w:rsid w:val="002C5EC9"/>
    <w:rsid w:val="002D3369"/>
    <w:rsid w:val="002D37BA"/>
    <w:rsid w:val="002D46AC"/>
    <w:rsid w:val="002D6106"/>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40A"/>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5"/>
    <w:rsid w:val="00370DC7"/>
    <w:rsid w:val="00371B9A"/>
    <w:rsid w:val="00373A6F"/>
    <w:rsid w:val="003743A7"/>
    <w:rsid w:val="003747FA"/>
    <w:rsid w:val="00374E1D"/>
    <w:rsid w:val="003756BF"/>
    <w:rsid w:val="003768F8"/>
    <w:rsid w:val="00376DB0"/>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9762B"/>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6FB0"/>
    <w:rsid w:val="003E7229"/>
    <w:rsid w:val="003E749D"/>
    <w:rsid w:val="003E7DFC"/>
    <w:rsid w:val="003F01EA"/>
    <w:rsid w:val="003F07DE"/>
    <w:rsid w:val="003F09CC"/>
    <w:rsid w:val="003F11E5"/>
    <w:rsid w:val="003F2D47"/>
    <w:rsid w:val="003F32B9"/>
    <w:rsid w:val="003F36D2"/>
    <w:rsid w:val="003F38C1"/>
    <w:rsid w:val="003F41A4"/>
    <w:rsid w:val="003F51CC"/>
    <w:rsid w:val="003F5286"/>
    <w:rsid w:val="003F6F63"/>
    <w:rsid w:val="003F6FED"/>
    <w:rsid w:val="0040332C"/>
    <w:rsid w:val="00404805"/>
    <w:rsid w:val="00405795"/>
    <w:rsid w:val="0040687F"/>
    <w:rsid w:val="00406E1A"/>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227"/>
    <w:rsid w:val="00475C71"/>
    <w:rsid w:val="00475E80"/>
    <w:rsid w:val="004770F8"/>
    <w:rsid w:val="004772CE"/>
    <w:rsid w:val="004772DF"/>
    <w:rsid w:val="00480F5F"/>
    <w:rsid w:val="00482252"/>
    <w:rsid w:val="00482443"/>
    <w:rsid w:val="00483018"/>
    <w:rsid w:val="00483131"/>
    <w:rsid w:val="00483B4A"/>
    <w:rsid w:val="00484912"/>
    <w:rsid w:val="00484EB8"/>
    <w:rsid w:val="00486C37"/>
    <w:rsid w:val="004904C5"/>
    <w:rsid w:val="004905EB"/>
    <w:rsid w:val="00491F08"/>
    <w:rsid w:val="004929CA"/>
    <w:rsid w:val="0049465E"/>
    <w:rsid w:val="00496422"/>
    <w:rsid w:val="00497220"/>
    <w:rsid w:val="004A03F8"/>
    <w:rsid w:val="004A0923"/>
    <w:rsid w:val="004A0E11"/>
    <w:rsid w:val="004A2084"/>
    <w:rsid w:val="004A2C59"/>
    <w:rsid w:val="004A44AE"/>
    <w:rsid w:val="004A4C02"/>
    <w:rsid w:val="004A4D82"/>
    <w:rsid w:val="004A52D4"/>
    <w:rsid w:val="004A562B"/>
    <w:rsid w:val="004A5FEA"/>
    <w:rsid w:val="004A63F5"/>
    <w:rsid w:val="004A77D6"/>
    <w:rsid w:val="004B1C99"/>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0E7"/>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63"/>
    <w:rsid w:val="005160F8"/>
    <w:rsid w:val="005214A9"/>
    <w:rsid w:val="00521F54"/>
    <w:rsid w:val="00522AEF"/>
    <w:rsid w:val="005247AE"/>
    <w:rsid w:val="00524E28"/>
    <w:rsid w:val="005252F9"/>
    <w:rsid w:val="00525E0E"/>
    <w:rsid w:val="00526FBB"/>
    <w:rsid w:val="005272EC"/>
    <w:rsid w:val="005302FF"/>
    <w:rsid w:val="005303A7"/>
    <w:rsid w:val="0053201D"/>
    <w:rsid w:val="00533B7A"/>
    <w:rsid w:val="00534C06"/>
    <w:rsid w:val="00535141"/>
    <w:rsid w:val="00535364"/>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479D3"/>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52C"/>
    <w:rsid w:val="00574861"/>
    <w:rsid w:val="00575A25"/>
    <w:rsid w:val="00576378"/>
    <w:rsid w:val="0057680B"/>
    <w:rsid w:val="005822BE"/>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6BB"/>
    <w:rsid w:val="005A1969"/>
    <w:rsid w:val="005A373C"/>
    <w:rsid w:val="005A3E74"/>
    <w:rsid w:val="005A4F9A"/>
    <w:rsid w:val="005A6900"/>
    <w:rsid w:val="005A7A25"/>
    <w:rsid w:val="005B08D0"/>
    <w:rsid w:val="005B3264"/>
    <w:rsid w:val="005B40C0"/>
    <w:rsid w:val="005B4A7D"/>
    <w:rsid w:val="005B5E96"/>
    <w:rsid w:val="005B63D0"/>
    <w:rsid w:val="005B712D"/>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0FD"/>
    <w:rsid w:val="005D6BEA"/>
    <w:rsid w:val="005D7AF0"/>
    <w:rsid w:val="005E0722"/>
    <w:rsid w:val="005E144A"/>
    <w:rsid w:val="005E16EF"/>
    <w:rsid w:val="005E19D0"/>
    <w:rsid w:val="005E250A"/>
    <w:rsid w:val="005E2ECB"/>
    <w:rsid w:val="005E399A"/>
    <w:rsid w:val="005E3EC5"/>
    <w:rsid w:val="005E5D84"/>
    <w:rsid w:val="005E6A5D"/>
    <w:rsid w:val="005E6AC9"/>
    <w:rsid w:val="005E7C66"/>
    <w:rsid w:val="005F0041"/>
    <w:rsid w:val="005F00AF"/>
    <w:rsid w:val="005F2A2E"/>
    <w:rsid w:val="005F4DA8"/>
    <w:rsid w:val="00600363"/>
    <w:rsid w:val="006016B0"/>
    <w:rsid w:val="006016B8"/>
    <w:rsid w:val="006016C0"/>
    <w:rsid w:val="00601E7A"/>
    <w:rsid w:val="00602DC3"/>
    <w:rsid w:val="00603A73"/>
    <w:rsid w:val="00604D75"/>
    <w:rsid w:val="00605EDD"/>
    <w:rsid w:val="00607C3F"/>
    <w:rsid w:val="00614BFB"/>
    <w:rsid w:val="00617DE6"/>
    <w:rsid w:val="006205BC"/>
    <w:rsid w:val="006214ED"/>
    <w:rsid w:val="00622DB5"/>
    <w:rsid w:val="006300CC"/>
    <w:rsid w:val="006309D3"/>
    <w:rsid w:val="00633E04"/>
    <w:rsid w:val="0063402F"/>
    <w:rsid w:val="006360AB"/>
    <w:rsid w:val="00637AE8"/>
    <w:rsid w:val="0064184A"/>
    <w:rsid w:val="00641B03"/>
    <w:rsid w:val="0064217F"/>
    <w:rsid w:val="00644BDF"/>
    <w:rsid w:val="00645988"/>
    <w:rsid w:val="00646B84"/>
    <w:rsid w:val="006470F6"/>
    <w:rsid w:val="006504FF"/>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6CAD"/>
    <w:rsid w:val="006976D7"/>
    <w:rsid w:val="006A10D3"/>
    <w:rsid w:val="006A2D69"/>
    <w:rsid w:val="006A2F76"/>
    <w:rsid w:val="006A3286"/>
    <w:rsid w:val="006A3621"/>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61A2"/>
    <w:rsid w:val="00707236"/>
    <w:rsid w:val="007101E6"/>
    <w:rsid w:val="00711EE7"/>
    <w:rsid w:val="00712C03"/>
    <w:rsid w:val="00716C09"/>
    <w:rsid w:val="0071714A"/>
    <w:rsid w:val="007171B1"/>
    <w:rsid w:val="0071771F"/>
    <w:rsid w:val="00720B9E"/>
    <w:rsid w:val="007229C2"/>
    <w:rsid w:val="00724907"/>
    <w:rsid w:val="00730DB6"/>
    <w:rsid w:val="007319AE"/>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316C"/>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0F4A"/>
    <w:rsid w:val="00815899"/>
    <w:rsid w:val="00815AD6"/>
    <w:rsid w:val="00820731"/>
    <w:rsid w:val="0082095C"/>
    <w:rsid w:val="00820A2B"/>
    <w:rsid w:val="0082209E"/>
    <w:rsid w:val="0082243C"/>
    <w:rsid w:val="00825888"/>
    <w:rsid w:val="00826D1A"/>
    <w:rsid w:val="00827B63"/>
    <w:rsid w:val="00830E88"/>
    <w:rsid w:val="00834AB8"/>
    <w:rsid w:val="00834EAB"/>
    <w:rsid w:val="00835043"/>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C7399"/>
    <w:rsid w:val="008D0737"/>
    <w:rsid w:val="008D0920"/>
    <w:rsid w:val="008D0E1B"/>
    <w:rsid w:val="008D1C04"/>
    <w:rsid w:val="008D34AE"/>
    <w:rsid w:val="008D3C9C"/>
    <w:rsid w:val="008D46B6"/>
    <w:rsid w:val="008D5D1E"/>
    <w:rsid w:val="008D691B"/>
    <w:rsid w:val="008D7B8D"/>
    <w:rsid w:val="008D7BFD"/>
    <w:rsid w:val="008D7DB8"/>
    <w:rsid w:val="008E0C6C"/>
    <w:rsid w:val="008E24CC"/>
    <w:rsid w:val="008E325E"/>
    <w:rsid w:val="008E4DCD"/>
    <w:rsid w:val="008E4E12"/>
    <w:rsid w:val="008E5EEB"/>
    <w:rsid w:val="008E68DF"/>
    <w:rsid w:val="008E6DB6"/>
    <w:rsid w:val="008E727C"/>
    <w:rsid w:val="008E7574"/>
    <w:rsid w:val="008E7AE0"/>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00F"/>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1B3"/>
    <w:rsid w:val="00962B3F"/>
    <w:rsid w:val="0096525B"/>
    <w:rsid w:val="00965995"/>
    <w:rsid w:val="00965D90"/>
    <w:rsid w:val="00972154"/>
    <w:rsid w:val="00972E2B"/>
    <w:rsid w:val="0097325D"/>
    <w:rsid w:val="009736DA"/>
    <w:rsid w:val="00973A49"/>
    <w:rsid w:val="00977124"/>
    <w:rsid w:val="0098003E"/>
    <w:rsid w:val="00981648"/>
    <w:rsid w:val="009829AB"/>
    <w:rsid w:val="00982F89"/>
    <w:rsid w:val="00983425"/>
    <w:rsid w:val="00987600"/>
    <w:rsid w:val="0099068C"/>
    <w:rsid w:val="0099140C"/>
    <w:rsid w:val="009952D2"/>
    <w:rsid w:val="009953F1"/>
    <w:rsid w:val="00997E7E"/>
    <w:rsid w:val="009A10B6"/>
    <w:rsid w:val="009A1E73"/>
    <w:rsid w:val="009A2A97"/>
    <w:rsid w:val="009A3BA4"/>
    <w:rsid w:val="009B04C0"/>
    <w:rsid w:val="009B1448"/>
    <w:rsid w:val="009B1A29"/>
    <w:rsid w:val="009B3C18"/>
    <w:rsid w:val="009B4B26"/>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3E78"/>
    <w:rsid w:val="009F402D"/>
    <w:rsid w:val="009F69F2"/>
    <w:rsid w:val="00A03BD4"/>
    <w:rsid w:val="00A05139"/>
    <w:rsid w:val="00A057F4"/>
    <w:rsid w:val="00A06BCD"/>
    <w:rsid w:val="00A10CC1"/>
    <w:rsid w:val="00A143DB"/>
    <w:rsid w:val="00A16290"/>
    <w:rsid w:val="00A176CB"/>
    <w:rsid w:val="00A23298"/>
    <w:rsid w:val="00A23936"/>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015"/>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ABC"/>
    <w:rsid w:val="00AC7BC1"/>
    <w:rsid w:val="00AD27E1"/>
    <w:rsid w:val="00AD566D"/>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3FD4"/>
    <w:rsid w:val="00AF68B8"/>
    <w:rsid w:val="00AF71D4"/>
    <w:rsid w:val="00AF7362"/>
    <w:rsid w:val="00AF7CFE"/>
    <w:rsid w:val="00AF7FFC"/>
    <w:rsid w:val="00B00320"/>
    <w:rsid w:val="00B01720"/>
    <w:rsid w:val="00B036EB"/>
    <w:rsid w:val="00B03B33"/>
    <w:rsid w:val="00B04F33"/>
    <w:rsid w:val="00B05B37"/>
    <w:rsid w:val="00B05D7C"/>
    <w:rsid w:val="00B060A4"/>
    <w:rsid w:val="00B063A1"/>
    <w:rsid w:val="00B067D9"/>
    <w:rsid w:val="00B073AD"/>
    <w:rsid w:val="00B07625"/>
    <w:rsid w:val="00B07B22"/>
    <w:rsid w:val="00B07DBC"/>
    <w:rsid w:val="00B11124"/>
    <w:rsid w:val="00B11712"/>
    <w:rsid w:val="00B13396"/>
    <w:rsid w:val="00B13676"/>
    <w:rsid w:val="00B14C30"/>
    <w:rsid w:val="00B16D8B"/>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3F89"/>
    <w:rsid w:val="00B540F1"/>
    <w:rsid w:val="00B54BA7"/>
    <w:rsid w:val="00B56210"/>
    <w:rsid w:val="00B6181B"/>
    <w:rsid w:val="00B61C39"/>
    <w:rsid w:val="00B62C3C"/>
    <w:rsid w:val="00B6313F"/>
    <w:rsid w:val="00B634D3"/>
    <w:rsid w:val="00B6486B"/>
    <w:rsid w:val="00B64E3E"/>
    <w:rsid w:val="00B65644"/>
    <w:rsid w:val="00B667E3"/>
    <w:rsid w:val="00B72F3A"/>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2499"/>
    <w:rsid w:val="00BB3A1B"/>
    <w:rsid w:val="00BB4F91"/>
    <w:rsid w:val="00BB6FE5"/>
    <w:rsid w:val="00BB74CD"/>
    <w:rsid w:val="00BB7E31"/>
    <w:rsid w:val="00BB7F89"/>
    <w:rsid w:val="00BC07E1"/>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7F7"/>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071"/>
    <w:rsid w:val="00C62860"/>
    <w:rsid w:val="00C62E41"/>
    <w:rsid w:val="00C65C9A"/>
    <w:rsid w:val="00C6620E"/>
    <w:rsid w:val="00C66C62"/>
    <w:rsid w:val="00C70515"/>
    <w:rsid w:val="00C72BA7"/>
    <w:rsid w:val="00C73292"/>
    <w:rsid w:val="00C75B7B"/>
    <w:rsid w:val="00C77470"/>
    <w:rsid w:val="00C8148C"/>
    <w:rsid w:val="00C81F9E"/>
    <w:rsid w:val="00C827E3"/>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829"/>
    <w:rsid w:val="00CA5875"/>
    <w:rsid w:val="00CA5C67"/>
    <w:rsid w:val="00CA68E9"/>
    <w:rsid w:val="00CA697A"/>
    <w:rsid w:val="00CA69DB"/>
    <w:rsid w:val="00CB44ED"/>
    <w:rsid w:val="00CB4F64"/>
    <w:rsid w:val="00CB72D1"/>
    <w:rsid w:val="00CC0BB7"/>
    <w:rsid w:val="00CC14A8"/>
    <w:rsid w:val="00CC2468"/>
    <w:rsid w:val="00CC24A6"/>
    <w:rsid w:val="00CC33B6"/>
    <w:rsid w:val="00CC390B"/>
    <w:rsid w:val="00CC3C4B"/>
    <w:rsid w:val="00CC41A4"/>
    <w:rsid w:val="00CC4C02"/>
    <w:rsid w:val="00CC6A35"/>
    <w:rsid w:val="00CD0748"/>
    <w:rsid w:val="00CD09C4"/>
    <w:rsid w:val="00CD09D6"/>
    <w:rsid w:val="00CD5D74"/>
    <w:rsid w:val="00CD5FAD"/>
    <w:rsid w:val="00CD6321"/>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6F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47C1"/>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53D"/>
    <w:rsid w:val="00DF0C70"/>
    <w:rsid w:val="00DF357C"/>
    <w:rsid w:val="00DF47FC"/>
    <w:rsid w:val="00E0008F"/>
    <w:rsid w:val="00E003FE"/>
    <w:rsid w:val="00E01C75"/>
    <w:rsid w:val="00E025B2"/>
    <w:rsid w:val="00E025DD"/>
    <w:rsid w:val="00E03314"/>
    <w:rsid w:val="00E0434F"/>
    <w:rsid w:val="00E050DA"/>
    <w:rsid w:val="00E06563"/>
    <w:rsid w:val="00E07C4D"/>
    <w:rsid w:val="00E1000E"/>
    <w:rsid w:val="00E10EC3"/>
    <w:rsid w:val="00E110FF"/>
    <w:rsid w:val="00E12364"/>
    <w:rsid w:val="00E13C70"/>
    <w:rsid w:val="00E14CEA"/>
    <w:rsid w:val="00E16C53"/>
    <w:rsid w:val="00E1725D"/>
    <w:rsid w:val="00E20B87"/>
    <w:rsid w:val="00E23EEA"/>
    <w:rsid w:val="00E255E5"/>
    <w:rsid w:val="00E27A4A"/>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476D"/>
    <w:rsid w:val="00E549DC"/>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374E"/>
    <w:rsid w:val="00E86498"/>
    <w:rsid w:val="00E90D2C"/>
    <w:rsid w:val="00E9115F"/>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C43"/>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6F69"/>
    <w:rsid w:val="00ED73A8"/>
    <w:rsid w:val="00ED7E77"/>
    <w:rsid w:val="00EE0CB0"/>
    <w:rsid w:val="00EE1728"/>
    <w:rsid w:val="00EE1CCA"/>
    <w:rsid w:val="00EE2E91"/>
    <w:rsid w:val="00EF018C"/>
    <w:rsid w:val="00EF0689"/>
    <w:rsid w:val="00EF2481"/>
    <w:rsid w:val="00EF2F92"/>
    <w:rsid w:val="00EF38CB"/>
    <w:rsid w:val="00EF4259"/>
    <w:rsid w:val="00EF6899"/>
    <w:rsid w:val="00EF7C48"/>
    <w:rsid w:val="00F01D23"/>
    <w:rsid w:val="00F02A38"/>
    <w:rsid w:val="00F04AEB"/>
    <w:rsid w:val="00F06286"/>
    <w:rsid w:val="00F0668E"/>
    <w:rsid w:val="00F0796A"/>
    <w:rsid w:val="00F1083A"/>
    <w:rsid w:val="00F10B05"/>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67BD"/>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53C"/>
    <w:rsid w:val="00F73750"/>
    <w:rsid w:val="00F73999"/>
    <w:rsid w:val="00F74351"/>
    <w:rsid w:val="00F74FA7"/>
    <w:rsid w:val="00F76B59"/>
    <w:rsid w:val="00F80669"/>
    <w:rsid w:val="00F8074A"/>
    <w:rsid w:val="00F821B0"/>
    <w:rsid w:val="00F826B4"/>
    <w:rsid w:val="00F84863"/>
    <w:rsid w:val="00F8513E"/>
    <w:rsid w:val="00F855F3"/>
    <w:rsid w:val="00F85C07"/>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05D"/>
    <w:rsid w:val="00FC3B0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E6FF3"/>
    <w:rsid w:val="00FF2536"/>
    <w:rsid w:val="00FF2FFC"/>
    <w:rsid w:val="00FF48C3"/>
    <w:rsid w:val="00FF5058"/>
    <w:rsid w:val="00FF61B3"/>
    <w:rsid w:val="00FF78A8"/>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C3F46"/>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1">
    <w:name w:val="بلا قائمة4"/>
    <w:next w:val="a2"/>
    <w:uiPriority w:val="99"/>
    <w:semiHidden/>
    <w:unhideWhenUsed/>
    <w:rsid w:val="0039762B"/>
  </w:style>
  <w:style w:type="table" w:customStyle="1" w:styleId="4-63">
    <w:name w:val="جدول شبكة 4 - تمييز 63"/>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52">
    <w:name w:val="بلا قائمة5"/>
    <w:next w:val="a2"/>
    <w:uiPriority w:val="99"/>
    <w:semiHidden/>
    <w:unhideWhenUsed/>
    <w:rsid w:val="0039762B"/>
  </w:style>
  <w:style w:type="table" w:customStyle="1" w:styleId="4-64">
    <w:name w:val="جدول شبكة 4 - تمييز 64"/>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60">
    <w:name w:val="بلا قائمة6"/>
    <w:next w:val="a2"/>
    <w:uiPriority w:val="99"/>
    <w:semiHidden/>
    <w:unhideWhenUsed/>
    <w:rsid w:val="0039762B"/>
  </w:style>
  <w:style w:type="table" w:customStyle="1" w:styleId="4-65">
    <w:name w:val="جدول شبكة 4 - تمييز 65"/>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70">
    <w:name w:val="بلا قائمة7"/>
    <w:next w:val="a2"/>
    <w:uiPriority w:val="99"/>
    <w:semiHidden/>
    <w:unhideWhenUsed/>
    <w:rsid w:val="005303A7"/>
  </w:style>
  <w:style w:type="table" w:customStyle="1" w:styleId="4-66">
    <w:name w:val="جدول شبكة 4 - تمييز 66"/>
    <w:basedOn w:val="a1"/>
    <w:next w:val="4-6"/>
    <w:uiPriority w:val="49"/>
    <w:rsid w:val="005303A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3">
    <w:name w:val="Grid Table 4 Accent 3"/>
    <w:basedOn w:val="a1"/>
    <w:uiPriority w:val="49"/>
    <w:rsid w:val="00370DC5"/>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80">
    <w:name w:val="بلا قائمة8"/>
    <w:next w:val="a2"/>
    <w:uiPriority w:val="99"/>
    <w:semiHidden/>
    <w:unhideWhenUsed/>
    <w:rsid w:val="00FE6FF3"/>
  </w:style>
  <w:style w:type="numbering" w:customStyle="1" w:styleId="90">
    <w:name w:val="بلا قائمة9"/>
    <w:next w:val="a2"/>
    <w:uiPriority w:val="99"/>
    <w:semiHidden/>
    <w:unhideWhenUsed/>
    <w:rsid w:val="003E6FB0"/>
  </w:style>
  <w:style w:type="numbering" w:customStyle="1" w:styleId="100">
    <w:name w:val="بلا قائمة10"/>
    <w:next w:val="a2"/>
    <w:uiPriority w:val="99"/>
    <w:semiHidden/>
    <w:unhideWhenUsed/>
    <w:rsid w:val="002903CD"/>
  </w:style>
  <w:style w:type="numbering" w:customStyle="1" w:styleId="120">
    <w:name w:val="بلا قائمة12"/>
    <w:next w:val="a2"/>
    <w:uiPriority w:val="99"/>
    <w:semiHidden/>
    <w:unhideWhenUsed/>
    <w:rsid w:val="002903CD"/>
  </w:style>
  <w:style w:type="numbering" w:customStyle="1" w:styleId="130">
    <w:name w:val="بلا قائمة13"/>
    <w:next w:val="a2"/>
    <w:uiPriority w:val="99"/>
    <w:semiHidden/>
    <w:unhideWhenUsed/>
    <w:rsid w:val="0040687F"/>
  </w:style>
  <w:style w:type="numbering" w:customStyle="1" w:styleId="140">
    <w:name w:val="بلا قائمة14"/>
    <w:next w:val="a2"/>
    <w:uiPriority w:val="99"/>
    <w:semiHidden/>
    <w:unhideWhenUsed/>
    <w:rsid w:val="0040687F"/>
  </w:style>
  <w:style w:type="table" w:styleId="4-5">
    <w:name w:val="Grid Table 4 Accent 5"/>
    <w:basedOn w:val="a1"/>
    <w:uiPriority w:val="49"/>
    <w:rsid w:val="002D610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150">
    <w:name w:val="بلا قائمة15"/>
    <w:next w:val="a2"/>
    <w:uiPriority w:val="99"/>
    <w:semiHidden/>
    <w:unhideWhenUsed/>
    <w:rsid w:val="00BB2499"/>
  </w:style>
  <w:style w:type="table" w:styleId="4-4">
    <w:name w:val="Grid Table 4 Accent 4"/>
    <w:basedOn w:val="a1"/>
    <w:uiPriority w:val="49"/>
    <w:rsid w:val="008E7AE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5">
    <w:name w:val="Body Text"/>
    <w:basedOn w:val="a"/>
    <w:link w:val="Char9"/>
    <w:uiPriority w:val="99"/>
    <w:unhideWhenUsed/>
    <w:rsid w:val="005D60FD"/>
    <w:pPr>
      <w:bidi w:val="0"/>
      <w:spacing w:after="360" w:line="240" w:lineRule="auto"/>
      <w:jc w:val="center"/>
    </w:pPr>
    <w:rPr>
      <w:rFonts w:ascii="Times New Roman" w:eastAsia="Calibri" w:hAnsi="Times New Roman" w:cs="Simplified Arabic"/>
      <w:b/>
      <w:bCs/>
      <w:sz w:val="28"/>
      <w:szCs w:val="32"/>
    </w:rPr>
  </w:style>
  <w:style w:type="character" w:customStyle="1" w:styleId="Char9">
    <w:name w:val="نص أساسي Char"/>
    <w:basedOn w:val="a0"/>
    <w:link w:val="af5"/>
    <w:uiPriority w:val="99"/>
    <w:rsid w:val="005D60FD"/>
    <w:rPr>
      <w:rFonts w:ascii="Times New Roman" w:eastAsia="Calibri" w:hAnsi="Times New Roman" w:cs="Simplified Arabic"/>
      <w:b/>
      <w:bCs/>
      <w:sz w:val="28"/>
      <w:szCs w:val="32"/>
    </w:rPr>
  </w:style>
  <w:style w:type="paragraph" w:styleId="af6">
    <w:name w:val="Body Text Indent"/>
    <w:basedOn w:val="a"/>
    <w:link w:val="Chara"/>
    <w:uiPriority w:val="99"/>
    <w:unhideWhenUsed/>
    <w:rsid w:val="005D60FD"/>
    <w:pPr>
      <w:spacing w:line="240" w:lineRule="auto"/>
      <w:ind w:firstLine="567"/>
      <w:jc w:val="center"/>
    </w:pPr>
    <w:rPr>
      <w:rFonts w:ascii="Times New Roman" w:eastAsia="Calibri" w:hAnsi="Times New Roman" w:cs="Simplified Arabic"/>
      <w:b/>
      <w:bCs/>
      <w:sz w:val="34"/>
      <w:szCs w:val="38"/>
    </w:rPr>
  </w:style>
  <w:style w:type="character" w:customStyle="1" w:styleId="Chara">
    <w:name w:val="نص أساسي بمسافة بادئة Char"/>
    <w:basedOn w:val="a0"/>
    <w:link w:val="af6"/>
    <w:uiPriority w:val="99"/>
    <w:rsid w:val="005D60FD"/>
    <w:rPr>
      <w:rFonts w:ascii="Times New Roman" w:eastAsia="Calibri" w:hAnsi="Times New Roman" w:cs="Simplified Arabic"/>
      <w:b/>
      <w:bCs/>
      <w:sz w:val="34"/>
      <w:szCs w:val="38"/>
    </w:rPr>
  </w:style>
  <w:style w:type="table" w:customStyle="1" w:styleId="4-52">
    <w:name w:val="جدول شبكة 4 - تمييز 52"/>
    <w:basedOn w:val="a1"/>
    <w:next w:val="4-5"/>
    <w:uiPriority w:val="49"/>
    <w:rsid w:val="005D60FD"/>
    <w:pPr>
      <w:spacing w:after="0" w:line="240" w:lineRule="auto"/>
    </w:pPr>
    <w:rPr>
      <w:rFonts w:ascii="Times New Roman" w:hAnsi="Times New Roman" w:cs="Simplified Arabic"/>
      <w:sz w:val="24"/>
      <w:szCs w:val="28"/>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23">
    <w:name w:val="Body Text 2"/>
    <w:basedOn w:val="a"/>
    <w:link w:val="2Char0"/>
    <w:uiPriority w:val="99"/>
    <w:unhideWhenUsed/>
    <w:rsid w:val="005D60FD"/>
    <w:pPr>
      <w:spacing w:after="360" w:line="240" w:lineRule="auto"/>
      <w:jc w:val="center"/>
    </w:pPr>
    <w:rPr>
      <w:rFonts w:ascii="Times New Roman" w:eastAsia="Calibri" w:hAnsi="Times New Roman" w:cs="Simplified Arabic"/>
      <w:b/>
      <w:bCs/>
      <w:sz w:val="44"/>
      <w:szCs w:val="48"/>
    </w:rPr>
  </w:style>
  <w:style w:type="character" w:customStyle="1" w:styleId="2Char0">
    <w:name w:val="نص أساسي 2 Char"/>
    <w:basedOn w:val="a0"/>
    <w:link w:val="23"/>
    <w:uiPriority w:val="99"/>
    <w:rsid w:val="005D60FD"/>
    <w:rPr>
      <w:rFonts w:ascii="Times New Roman" w:eastAsia="Calibri" w:hAnsi="Times New Roman" w:cs="Simplified Arabic"/>
      <w:b/>
      <w:bCs/>
      <w:sz w:val="44"/>
      <w:szCs w:val="48"/>
    </w:rPr>
  </w:style>
  <w:style w:type="paragraph" w:styleId="af7">
    <w:name w:val="caption"/>
    <w:basedOn w:val="a"/>
    <w:next w:val="a"/>
    <w:uiPriority w:val="35"/>
    <w:unhideWhenUsed/>
    <w:qFormat/>
    <w:rsid w:val="005D60FD"/>
    <w:pPr>
      <w:spacing w:before="240" w:after="0" w:line="276" w:lineRule="auto"/>
      <w:jc w:val="center"/>
    </w:pPr>
    <w:rPr>
      <w:rFonts w:ascii="Times New Roman" w:hAnsi="Times New Roman" w:cs="PT Bold Heading"/>
      <w:sz w:val="24"/>
      <w:szCs w:val="28"/>
      <w:u w:val="single"/>
    </w:rPr>
  </w:style>
  <w:style w:type="paragraph" w:customStyle="1" w:styleId="msonormal0">
    <w:name w:val="msonormal"/>
    <w:basedOn w:val="a"/>
    <w:rsid w:val="005D60F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5D60F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display">
    <w:name w:val="katex-display"/>
    <w:basedOn w:val="a0"/>
    <w:rsid w:val="005D60FD"/>
  </w:style>
  <w:style w:type="character" w:customStyle="1" w:styleId="katex">
    <w:name w:val="katex"/>
    <w:basedOn w:val="a0"/>
    <w:rsid w:val="005D60FD"/>
  </w:style>
  <w:style w:type="character" w:customStyle="1" w:styleId="katex-mathml">
    <w:name w:val="katex-mathml"/>
    <w:basedOn w:val="a0"/>
    <w:rsid w:val="005D60FD"/>
  </w:style>
  <w:style w:type="character" w:customStyle="1" w:styleId="katex-html">
    <w:name w:val="katex-html"/>
    <w:basedOn w:val="a0"/>
    <w:rsid w:val="005D60FD"/>
  </w:style>
  <w:style w:type="character" w:customStyle="1" w:styleId="base">
    <w:name w:val="base"/>
    <w:basedOn w:val="a0"/>
    <w:rsid w:val="005D60FD"/>
  </w:style>
  <w:style w:type="character" w:customStyle="1" w:styleId="strut">
    <w:name w:val="strut"/>
    <w:basedOn w:val="a0"/>
    <w:rsid w:val="005D60FD"/>
  </w:style>
  <w:style w:type="character" w:customStyle="1" w:styleId="mord">
    <w:name w:val="mord"/>
    <w:basedOn w:val="a0"/>
    <w:rsid w:val="005D60FD"/>
  </w:style>
  <w:style w:type="character" w:customStyle="1" w:styleId="mspace">
    <w:name w:val="mspace"/>
    <w:basedOn w:val="a0"/>
    <w:rsid w:val="005D60FD"/>
  </w:style>
  <w:style w:type="character" w:customStyle="1" w:styleId="mrel">
    <w:name w:val="mrel"/>
    <w:basedOn w:val="a0"/>
    <w:rsid w:val="005D60FD"/>
  </w:style>
  <w:style w:type="character" w:customStyle="1" w:styleId="mopen">
    <w:name w:val="mopen"/>
    <w:basedOn w:val="a0"/>
    <w:rsid w:val="005D60FD"/>
  </w:style>
  <w:style w:type="character" w:customStyle="1" w:styleId="mfrac">
    <w:name w:val="mfrac"/>
    <w:basedOn w:val="a0"/>
    <w:rsid w:val="005D60FD"/>
  </w:style>
  <w:style w:type="character" w:customStyle="1" w:styleId="vlist-t">
    <w:name w:val="vlist-t"/>
    <w:basedOn w:val="a0"/>
    <w:rsid w:val="005D60FD"/>
  </w:style>
  <w:style w:type="character" w:customStyle="1" w:styleId="vlist-r">
    <w:name w:val="vlist-r"/>
    <w:basedOn w:val="a0"/>
    <w:rsid w:val="005D60FD"/>
  </w:style>
  <w:style w:type="character" w:customStyle="1" w:styleId="vlist">
    <w:name w:val="vlist"/>
    <w:basedOn w:val="a0"/>
    <w:rsid w:val="005D60FD"/>
  </w:style>
  <w:style w:type="character" w:customStyle="1" w:styleId="pstrut">
    <w:name w:val="pstrut"/>
    <w:basedOn w:val="a0"/>
    <w:rsid w:val="005D60FD"/>
  </w:style>
  <w:style w:type="character" w:customStyle="1" w:styleId="msupsub">
    <w:name w:val="msupsub"/>
    <w:basedOn w:val="a0"/>
    <w:rsid w:val="005D60FD"/>
  </w:style>
  <w:style w:type="character" w:customStyle="1" w:styleId="sizing">
    <w:name w:val="sizing"/>
    <w:basedOn w:val="a0"/>
    <w:rsid w:val="005D60FD"/>
  </w:style>
  <w:style w:type="character" w:customStyle="1" w:styleId="frac-line">
    <w:name w:val="frac-line"/>
    <w:basedOn w:val="a0"/>
    <w:rsid w:val="005D60FD"/>
  </w:style>
  <w:style w:type="character" w:customStyle="1" w:styleId="mbin">
    <w:name w:val="mbin"/>
    <w:basedOn w:val="a0"/>
    <w:rsid w:val="005D60FD"/>
  </w:style>
  <w:style w:type="character" w:customStyle="1" w:styleId="mclose">
    <w:name w:val="mclose"/>
    <w:basedOn w:val="a0"/>
    <w:rsid w:val="005D60FD"/>
  </w:style>
  <w:style w:type="character" w:customStyle="1" w:styleId="vlist-s">
    <w:name w:val="vlist-s"/>
    <w:basedOn w:val="a0"/>
    <w:rsid w:val="005D60FD"/>
  </w:style>
  <w:style w:type="character" w:styleId="af8">
    <w:name w:val="FollowedHyperlink"/>
    <w:basedOn w:val="a0"/>
    <w:uiPriority w:val="99"/>
    <w:semiHidden/>
    <w:unhideWhenUsed/>
    <w:rsid w:val="005D60FD"/>
    <w:rPr>
      <w:color w:val="800080"/>
      <w:u w:val="single"/>
    </w:rPr>
  </w:style>
  <w:style w:type="paragraph" w:styleId="24">
    <w:name w:val="Body Text Indent 2"/>
    <w:basedOn w:val="a"/>
    <w:link w:val="2Char1"/>
    <w:uiPriority w:val="99"/>
    <w:unhideWhenUsed/>
    <w:rsid w:val="005D60FD"/>
    <w:pPr>
      <w:bidi w:val="0"/>
      <w:spacing w:after="240" w:line="276" w:lineRule="auto"/>
      <w:ind w:firstLine="567"/>
      <w:jc w:val="center"/>
    </w:pPr>
    <w:rPr>
      <w:rFonts w:ascii="Times New Roman" w:eastAsia="Calibri" w:hAnsi="Times New Roman" w:cs="Simplified Arabic"/>
      <w:b/>
      <w:bCs/>
      <w:sz w:val="28"/>
      <w:szCs w:val="32"/>
    </w:rPr>
  </w:style>
  <w:style w:type="character" w:customStyle="1" w:styleId="2Char1">
    <w:name w:val="نص أساسي بمسافة بادئة 2 Char"/>
    <w:basedOn w:val="a0"/>
    <w:link w:val="24"/>
    <w:uiPriority w:val="99"/>
    <w:rsid w:val="005D60FD"/>
    <w:rPr>
      <w:rFonts w:ascii="Times New Roman" w:eastAsia="Calibri" w:hAnsi="Times New Roman" w:cs="Simplified Arabic"/>
      <w:b/>
      <w:bCs/>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48</Pages>
  <Words>10418</Words>
  <Characters>59385</Characters>
  <Application>Microsoft Office Word</Application>
  <DocSecurity>0</DocSecurity>
  <Lines>494</Lines>
  <Paragraphs>139</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69664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7</cp:revision>
  <cp:lastPrinted>2026-06-24T13:13:00Z</cp:lastPrinted>
  <dcterms:created xsi:type="dcterms:W3CDTF">2026-06-24T12:45:00Z</dcterms:created>
  <dcterms:modified xsi:type="dcterms:W3CDTF">2026-06-24T13:23:00Z</dcterms:modified>
</cp:coreProperties>
</file>