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64666E" w14:textId="05E49A98" w:rsidR="001F4211" w:rsidRPr="001F4211" w:rsidRDefault="001F4211" w:rsidP="001F4211">
      <w:pPr>
        <w:rPr>
          <w:rFonts w:ascii="Sakkal Majalla" w:hAnsi="Sakkal Majalla" w:cs="Sakkal Majalla"/>
          <w:sz w:val="28"/>
          <w:szCs w:val="28"/>
          <w:rtl/>
          <w:lang w:bidi="ar-EG"/>
        </w:rPr>
      </w:pPr>
      <w:r w:rsidRPr="00822632">
        <w:rPr>
          <w:rFonts w:ascii="Times New Roman" w:eastAsia="Times New Roman" w:hAnsi="Times New Roman" w:cs="Times New Roman"/>
          <w:noProof/>
          <w:color w:val="1C1C1C"/>
          <w:sz w:val="24"/>
          <w:szCs w:val="24"/>
        </w:rPr>
        <w:drawing>
          <wp:anchor distT="0" distB="0" distL="114300" distR="114300" simplePos="0" relativeHeight="251682816" behindDoc="0" locked="0" layoutInCell="1" allowOverlap="1" wp14:anchorId="02E30B81" wp14:editId="5B3D125A">
            <wp:simplePos x="0" y="0"/>
            <wp:positionH relativeFrom="column">
              <wp:posOffset>-396240</wp:posOffset>
            </wp:positionH>
            <wp:positionV relativeFrom="paragraph">
              <wp:posOffset>271780</wp:posOffset>
            </wp:positionV>
            <wp:extent cx="2346248" cy="1108953"/>
            <wp:effectExtent l="0" t="0" r="0" b="0"/>
            <wp:wrapSquare wrapText="bothSides"/>
            <wp:docPr id="352056115"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83840" behindDoc="0" locked="0" layoutInCell="1" allowOverlap="1" wp14:anchorId="50F5F345" wp14:editId="0682701E">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660541B" w14:textId="77777777" w:rsidR="001F4211" w:rsidRPr="0039166C" w:rsidRDefault="001F4211" w:rsidP="001F4211">
                            <w:pPr>
                              <w:jc w:val="center"/>
                              <w:rPr>
                                <w:b/>
                                <w:bCs/>
                                <w:sz w:val="28"/>
                                <w:szCs w:val="28"/>
                                <w:rtl/>
                                <w:lang w:bidi="ar-EG"/>
                              </w:rPr>
                            </w:pPr>
                            <w:r w:rsidRPr="0039166C">
                              <w:rPr>
                                <w:rFonts w:hint="cs"/>
                                <w:b/>
                                <w:bCs/>
                                <w:sz w:val="28"/>
                                <w:szCs w:val="28"/>
                                <w:rtl/>
                                <w:lang w:bidi="ar-EG"/>
                              </w:rPr>
                              <w:t xml:space="preserve">جامعة ميد اوشن </w:t>
                            </w:r>
                          </w:p>
                          <w:p w14:paraId="588750EC" w14:textId="77777777" w:rsidR="001F4211" w:rsidRPr="0039166C" w:rsidRDefault="001F4211" w:rsidP="001F421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F5F345" id="Rectangle 53" o:spid="_x0000_s1026" style="position:absolute;left:0;text-align:left;margin-left:332.3pt;margin-top:12.05pt;width:114.8pt;height:1in;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" fillcolor="window" strokecolor="window" strokeweight="1pt">
                <v:textbox>
                  <w:txbxContent>
                    <w:p w14:paraId="2660541B" w14:textId="77777777" w:rsidR="001F4211" w:rsidRPr="0039166C" w:rsidRDefault="001F4211" w:rsidP="001F4211">
                      <w:pPr>
                        <w:jc w:val="center"/>
                        <w:rPr>
                          <w:b/>
                          <w:bCs/>
                          <w:sz w:val="28"/>
                          <w:szCs w:val="28"/>
                          <w:rtl/>
                          <w:lang w:bidi="ar-EG"/>
                        </w:rPr>
                      </w:pPr>
                      <w:r w:rsidRPr="0039166C">
                        <w:rPr>
                          <w:rFonts w:hint="cs"/>
                          <w:b/>
                          <w:bCs/>
                          <w:sz w:val="28"/>
                          <w:szCs w:val="28"/>
                          <w:rtl/>
                          <w:lang w:bidi="ar-EG"/>
                        </w:rPr>
                        <w:t xml:space="preserve">جامعة ميد اوشن </w:t>
                      </w:r>
                    </w:p>
                    <w:p w14:paraId="588750EC" w14:textId="77777777" w:rsidR="001F4211" w:rsidRPr="0039166C" w:rsidRDefault="001F4211" w:rsidP="001F421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7BBA7328" w14:textId="77777777" w:rsidR="001F4211" w:rsidRPr="00822632" w:rsidRDefault="001F4211" w:rsidP="001F4211">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F4211" w:rsidRPr="00822632" w14:paraId="29BAC9D1" w14:textId="77777777" w:rsidTr="00A171A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AE0C6A2" w14:textId="77777777" w:rsidR="001F4211" w:rsidRDefault="001F4211" w:rsidP="00A171A0">
            <w:pPr>
              <w:spacing w:after="0" w:line="240" w:lineRule="auto"/>
              <w:jc w:val="center"/>
              <w:rPr>
                <w:rFonts w:ascii="Times New Roman" w:eastAsia="Times New Roman" w:hAnsi="Times New Roman" w:cs="Times New Roman" w:hint="cs"/>
                <w:color w:val="1C1C1C"/>
                <w:sz w:val="24"/>
                <w:szCs w:val="24"/>
                <w:rtl/>
              </w:rPr>
            </w:pPr>
          </w:p>
          <w:p w14:paraId="5C310D7E" w14:textId="77777777" w:rsidR="001F4211" w:rsidRPr="00822632" w:rsidRDefault="001F4211" w:rsidP="00A171A0">
            <w:pPr>
              <w:spacing w:after="0" w:line="240" w:lineRule="auto"/>
              <w:jc w:val="center"/>
              <w:rPr>
                <w:rFonts w:ascii="Times New Roman" w:eastAsia="Times New Roman" w:hAnsi="Times New Roman" w:cs="Times New Roman"/>
                <w:color w:val="1C1C1C"/>
                <w:sz w:val="24"/>
                <w:szCs w:val="24"/>
              </w:rPr>
            </w:pPr>
          </w:p>
          <w:p w14:paraId="60DF700A" w14:textId="77777777" w:rsidR="001F4211" w:rsidRPr="00822632" w:rsidRDefault="001F4211" w:rsidP="00A171A0">
            <w:pPr>
              <w:spacing w:after="0" w:line="240" w:lineRule="auto"/>
              <w:jc w:val="right"/>
              <w:rPr>
                <w:rFonts w:ascii="Times New Roman" w:eastAsia="Times New Roman" w:hAnsi="Times New Roman" w:cs="Times New Roman"/>
                <w:color w:val="1C1C1C"/>
                <w:sz w:val="24"/>
                <w:szCs w:val="24"/>
              </w:rPr>
            </w:pPr>
          </w:p>
          <w:p w14:paraId="76DA2498" w14:textId="77777777" w:rsidR="001F4211" w:rsidRPr="00822632" w:rsidRDefault="001F4211" w:rsidP="00A171A0">
            <w:pPr>
              <w:spacing w:before="60" w:after="0" w:line="240" w:lineRule="auto"/>
              <w:jc w:val="right"/>
              <w:rPr>
                <w:rFonts w:ascii="Times New Roman" w:eastAsia="Times New Roman" w:hAnsi="Times New Roman" w:cs="Times New Roman"/>
                <w:color w:val="1C1C1C"/>
                <w:sz w:val="24"/>
                <w:szCs w:val="24"/>
              </w:rPr>
            </w:pPr>
          </w:p>
        </w:tc>
      </w:tr>
    </w:tbl>
    <w:p w14:paraId="61A1BDCE" w14:textId="77777777" w:rsidR="001F4211" w:rsidRDefault="001F4211" w:rsidP="001F4211">
      <w:pPr>
        <w:keepNext/>
        <w:pBdr>
          <w:top w:val="nil"/>
          <w:left w:val="nil"/>
          <w:bottom w:val="nil"/>
          <w:right w:val="nil"/>
          <w:between w:val="nil"/>
          <w:bar w:val="nil"/>
        </w:pBdr>
        <w:spacing w:before="50" w:after="50" w:line="240" w:lineRule="auto"/>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p>
    <w:p w14:paraId="07DDAFBA" w14:textId="77777777" w:rsidR="001F4211" w:rsidRPr="001F4211" w:rsidRDefault="001F4211" w:rsidP="001F4211">
      <w:pPr>
        <w:keepNext/>
        <w:pBdr>
          <w:top w:val="nil"/>
          <w:left w:val="nil"/>
          <w:bottom w:val="nil"/>
          <w:right w:val="nil"/>
          <w:between w:val="nil"/>
          <w:bar w:val="nil"/>
        </w:pBdr>
        <w:spacing w:before="50" w:after="50" w:line="240" w:lineRule="auto"/>
        <w:ind w:left="432" w:right="432"/>
        <w:jc w:val="center"/>
        <w:rPr>
          <w:rFonts w:ascii="Times New Roman" w:eastAsia="Arial Unicode MS" w:hAnsi="Times New Roman" w:cs="Times New Roman"/>
          <w:b/>
          <w:bCs/>
          <w:color w:val="000000"/>
          <w:sz w:val="32"/>
          <w:szCs w:val="32"/>
          <w:bdr w:val="nil"/>
          <w:rtl/>
          <w:lang w:val="ar-SA"/>
          <w14:textOutline w14:w="0" w14:cap="flat" w14:cmpd="sng" w14:algn="ctr">
            <w14:noFill/>
            <w14:prstDash w14:val="solid"/>
            <w14:bevel/>
          </w14:textOutline>
        </w:rPr>
      </w:pPr>
      <w:r w:rsidRPr="001F4211">
        <w:rPr>
          <w:rFonts w:ascii="Times New Roman" w:eastAsia="Arial Unicode MS" w:hAnsi="Times New Roman" w:cs="Times New Roman"/>
          <w:b/>
          <w:bCs/>
          <w:color w:val="000000"/>
          <w:sz w:val="32"/>
          <w:szCs w:val="32"/>
          <w:bdr w:val="nil"/>
          <w:rtl/>
          <w:lang w:val="ar-SA"/>
          <w14:textOutline w14:w="0" w14:cap="flat" w14:cmpd="sng" w14:algn="ctr">
            <w14:noFill/>
            <w14:prstDash w14:val="solid"/>
            <w14:bevel/>
          </w14:textOutline>
        </w:rPr>
        <w:t>دور الإعلام الرقمي في التوعیة بالأمراض</w:t>
      </w:r>
      <w:r w:rsidRPr="001F4211">
        <w:rPr>
          <w:rFonts w:ascii="Times New Roman" w:eastAsia="Arial Unicode MS" w:hAnsi="Times New Roman" w:cs="Times New Roman" w:hint="cs"/>
          <w:b/>
          <w:bCs/>
          <w:color w:val="000000"/>
          <w:sz w:val="32"/>
          <w:szCs w:val="32"/>
          <w:bdr w:val="nil"/>
          <w:rtl/>
          <w:lang w:val="ar-SA"/>
          <w14:textOutline w14:w="0" w14:cap="flat" w14:cmpd="sng" w14:algn="ctr">
            <w14:noFill/>
            <w14:prstDash w14:val="solid"/>
            <w14:bevel/>
          </w14:textOutline>
        </w:rPr>
        <w:t xml:space="preserve"> العصبية</w:t>
      </w:r>
      <w:r w:rsidRPr="001F4211">
        <w:rPr>
          <w:rFonts w:ascii="Times New Roman" w:eastAsia="Arial Unicode MS" w:hAnsi="Times New Roman" w:cs="Times New Roman"/>
          <w:b/>
          <w:bCs/>
          <w:color w:val="000000"/>
          <w:sz w:val="32"/>
          <w:szCs w:val="32"/>
          <w:bdr w:val="nil"/>
          <w:rtl/>
          <w:lang w:val="ar-SA"/>
          <w14:textOutline w14:w="0" w14:cap="flat" w14:cmpd="sng" w14:algn="ctr">
            <w14:noFill/>
            <w14:prstDash w14:val="solid"/>
            <w14:bevel/>
          </w14:textOutline>
        </w:rPr>
        <w:t xml:space="preserve"> المزمنة في المجتمع السعودي</w:t>
      </w:r>
    </w:p>
    <w:p w14:paraId="5EAB1DCD" w14:textId="77777777" w:rsidR="001F4211" w:rsidRPr="00A35DFA" w:rsidRDefault="001F4211" w:rsidP="001F4211">
      <w:pPr>
        <w:spacing w:line="360" w:lineRule="auto"/>
        <w:jc w:val="center"/>
        <w:rPr>
          <w:rFonts w:ascii="Sakkal Majalla" w:hAnsi="Sakkal Majalla" w:cs="Sakkal Majalla"/>
          <w:sz w:val="28"/>
          <w:szCs w:val="28"/>
          <w:rtl/>
          <w:lang w:bidi="ar-EG"/>
        </w:rPr>
      </w:pPr>
      <w:r w:rsidRPr="00A35DFA">
        <w:rPr>
          <w:rFonts w:ascii="Sakkal Majalla" w:hAnsi="Sakkal Majalla" w:cs="Sakkal Majalla"/>
          <w:sz w:val="28"/>
          <w:szCs w:val="28"/>
          <w:rtl/>
          <w:lang w:bidi="ar-EG"/>
        </w:rPr>
        <w:t>( دراسة ميدانية )</w:t>
      </w:r>
    </w:p>
    <w:p w14:paraId="0E043229" w14:textId="77777777" w:rsidR="001F4211" w:rsidRPr="00822632" w:rsidRDefault="001F4211" w:rsidP="001F4211">
      <w:pPr>
        <w:spacing w:after="80" w:line="240" w:lineRule="auto"/>
        <w:rPr>
          <w:rFonts w:ascii="Times New Roman" w:eastAsia="Times New Roman" w:hAnsi="Times New Roman" w:cs="Times New Roman"/>
          <w:color w:val="1C1C1C"/>
          <w:sz w:val="28"/>
          <w:szCs w:val="28"/>
        </w:rPr>
      </w:pPr>
    </w:p>
    <w:p w14:paraId="5204FCFA" w14:textId="77777777" w:rsidR="001F4211" w:rsidRPr="00822632" w:rsidRDefault="001F4211" w:rsidP="001F4211">
      <w:pPr>
        <w:spacing w:after="80" w:line="240" w:lineRule="auto"/>
        <w:jc w:val="center"/>
        <w:rPr>
          <w:rFonts w:ascii="Times New Roman" w:eastAsia="Times New Roman" w:hAnsi="Times New Roman" w:cs="Times New Roman"/>
          <w:color w:val="1C1C1C"/>
          <w:sz w:val="32"/>
          <w:szCs w:val="32"/>
        </w:rPr>
      </w:pPr>
    </w:p>
    <w:p w14:paraId="2469D17F" w14:textId="77777777" w:rsidR="001F4211" w:rsidRPr="00822632" w:rsidRDefault="001F4211" w:rsidP="001F4211">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0A96C457" w14:textId="77777777" w:rsidR="001F4211" w:rsidRPr="00822632" w:rsidRDefault="001F4211" w:rsidP="001F4211">
      <w:pPr>
        <w:pBdr>
          <w:top w:val="nil"/>
          <w:left w:val="nil"/>
          <w:bottom w:val="nil"/>
          <w:right w:val="nil"/>
          <w:between w:val="nil"/>
          <w:bar w:val="nil"/>
        </w:pBdr>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دعاء حسن طويرقي</w:t>
      </w:r>
    </w:p>
    <w:p w14:paraId="54F6F0DB" w14:textId="77777777" w:rsidR="001F4211" w:rsidRPr="00822632" w:rsidRDefault="001F4211" w:rsidP="001F4211">
      <w:pPr>
        <w:spacing w:after="60" w:line="240" w:lineRule="auto"/>
        <w:rPr>
          <w:rFonts w:ascii="Times New Roman" w:eastAsia="Times New Roman" w:hAnsi="Times New Roman" w:cs="Times New Roman"/>
          <w:color w:val="1C1C1C"/>
          <w:sz w:val="28"/>
          <w:szCs w:val="28"/>
        </w:rPr>
      </w:pPr>
    </w:p>
    <w:p w14:paraId="2082E4B1" w14:textId="77777777" w:rsidR="001F4211" w:rsidRPr="00822632" w:rsidRDefault="001F4211" w:rsidP="001F4211">
      <w:pPr>
        <w:spacing w:after="60" w:line="240" w:lineRule="auto"/>
        <w:rPr>
          <w:rFonts w:ascii="Times New Roman" w:eastAsia="Times New Roman" w:hAnsi="Times New Roman" w:cs="Times New Roman"/>
          <w:color w:val="1C1C1C"/>
          <w:sz w:val="28"/>
          <w:szCs w:val="28"/>
          <w:rtl/>
        </w:rPr>
      </w:pPr>
    </w:p>
    <w:p w14:paraId="588C19B0" w14:textId="77777777" w:rsidR="001F4211" w:rsidRPr="00822632" w:rsidRDefault="001F4211" w:rsidP="001F4211">
      <w:pPr>
        <w:spacing w:after="60" w:line="276" w:lineRule="auto"/>
        <w:rPr>
          <w:rFonts w:ascii="Times New Roman" w:eastAsia="Times New Roman" w:hAnsi="Times New Roman" w:cs="Times New Roman"/>
          <w:color w:val="1C1C1C"/>
          <w:sz w:val="28"/>
          <w:szCs w:val="28"/>
        </w:rPr>
      </w:pPr>
      <w:bookmarkStart w:id="0" w:name="OLE_LINK2"/>
    </w:p>
    <w:p w14:paraId="11C26868" w14:textId="77777777" w:rsidR="001F4211" w:rsidRPr="00822632" w:rsidRDefault="001F4211" w:rsidP="001F4211">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6A2C0DBC" w14:textId="77777777" w:rsidR="001F4211" w:rsidRPr="00822632" w:rsidRDefault="001F4211" w:rsidP="001F4211">
      <w:pPr>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 xml:space="preserve">الاعلام </w:t>
      </w:r>
    </w:p>
    <w:bookmarkEnd w:id="0"/>
    <w:p w14:paraId="3717C8BA" w14:textId="77777777" w:rsidR="001F4211" w:rsidRPr="00822632" w:rsidRDefault="001F4211" w:rsidP="001F4211">
      <w:pPr>
        <w:spacing w:after="0" w:line="276" w:lineRule="auto"/>
        <w:jc w:val="center"/>
        <w:rPr>
          <w:rFonts w:ascii="Times New Roman" w:eastAsia="Times New Roman" w:hAnsi="Times New Roman" w:cs="Times New Roman"/>
          <w:color w:val="1C1C1C"/>
          <w:sz w:val="28"/>
          <w:szCs w:val="28"/>
          <w:rtl/>
        </w:rPr>
      </w:pPr>
    </w:p>
    <w:p w14:paraId="267C62D6" w14:textId="77777777" w:rsidR="001F4211" w:rsidRPr="00822632" w:rsidRDefault="001F4211" w:rsidP="001F4211">
      <w:pPr>
        <w:spacing w:after="0" w:line="276" w:lineRule="auto"/>
        <w:jc w:val="center"/>
        <w:rPr>
          <w:rFonts w:ascii="Times New Roman" w:eastAsia="Times New Roman" w:hAnsi="Times New Roman" w:cs="Times New Roman"/>
          <w:color w:val="1C1C1C"/>
          <w:sz w:val="28"/>
          <w:szCs w:val="28"/>
          <w:rtl/>
        </w:rPr>
      </w:pPr>
    </w:p>
    <w:p w14:paraId="0CE8685D" w14:textId="77777777" w:rsidR="001F4211" w:rsidRPr="00822632" w:rsidRDefault="001F4211" w:rsidP="001F4211">
      <w:pPr>
        <w:spacing w:after="0" w:line="276" w:lineRule="auto"/>
        <w:jc w:val="center"/>
        <w:rPr>
          <w:rFonts w:ascii="Times New Roman" w:eastAsia="Times New Roman" w:hAnsi="Times New Roman" w:cs="Times New Roman"/>
          <w:color w:val="1C1C1C"/>
          <w:sz w:val="28"/>
          <w:szCs w:val="28"/>
          <w:rtl/>
        </w:rPr>
      </w:pPr>
    </w:p>
    <w:p w14:paraId="4AF8693D" w14:textId="77777777" w:rsidR="001F4211" w:rsidRDefault="001F4211" w:rsidP="001F4211">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36EA1E81" w14:textId="77777777" w:rsidR="001F4211" w:rsidRDefault="001F4211" w:rsidP="001F4211">
      <w:pPr>
        <w:tabs>
          <w:tab w:val="left" w:pos="3666"/>
        </w:tabs>
        <w:spacing w:after="0" w:line="360" w:lineRule="auto"/>
        <w:jc w:val="center"/>
        <w:rPr>
          <w:rFonts w:ascii="Traditional Arabic" w:eastAsia="Calibri" w:hAnsi="Traditional Arabic" w:cs="Traditional Arabic"/>
          <w:b/>
          <w:bCs/>
          <w:sz w:val="28"/>
          <w:szCs w:val="28"/>
          <w:rtl/>
          <w:lang w:bidi="ar-EG"/>
        </w:rPr>
      </w:pPr>
    </w:p>
    <w:p w14:paraId="4EA1106E" w14:textId="77777777" w:rsidR="001F4211" w:rsidRDefault="001F4211" w:rsidP="001F4211">
      <w:pPr>
        <w:tabs>
          <w:tab w:val="left" w:pos="3666"/>
        </w:tabs>
        <w:spacing w:after="0" w:line="360" w:lineRule="auto"/>
        <w:jc w:val="center"/>
        <w:rPr>
          <w:rFonts w:ascii="Traditional Arabic" w:eastAsia="Calibri" w:hAnsi="Traditional Arabic" w:cs="Traditional Arabic"/>
          <w:b/>
          <w:bCs/>
          <w:sz w:val="28"/>
          <w:szCs w:val="28"/>
          <w:rtl/>
          <w:lang w:bidi="ar-EG"/>
        </w:rPr>
      </w:pPr>
    </w:p>
    <w:p w14:paraId="14003670" w14:textId="77777777" w:rsidR="001F4211" w:rsidRDefault="001F4211" w:rsidP="001F4211">
      <w:pPr>
        <w:tabs>
          <w:tab w:val="left" w:pos="3666"/>
        </w:tabs>
        <w:spacing w:after="0" w:line="360" w:lineRule="auto"/>
        <w:jc w:val="center"/>
        <w:rPr>
          <w:rFonts w:ascii="Traditional Arabic" w:eastAsia="Calibri" w:hAnsi="Traditional Arabic" w:cs="Traditional Arabic"/>
          <w:b/>
          <w:bCs/>
          <w:sz w:val="28"/>
          <w:szCs w:val="28"/>
          <w:rtl/>
          <w:lang w:bidi="ar-EG"/>
        </w:rPr>
      </w:pPr>
    </w:p>
    <w:p w14:paraId="67351E6F" w14:textId="77777777" w:rsidR="001F4211" w:rsidRPr="00822632" w:rsidRDefault="001F4211" w:rsidP="001F4211">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85888" behindDoc="0" locked="0" layoutInCell="1" allowOverlap="1" wp14:anchorId="5513DE67" wp14:editId="7647F566">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84864" behindDoc="0" locked="0" layoutInCell="1" allowOverlap="1" wp14:anchorId="419E3E0B" wp14:editId="6EBF0CBA">
                <wp:simplePos x="0" y="0"/>
                <wp:positionH relativeFrom="column">
                  <wp:posOffset>4434840</wp:posOffset>
                </wp:positionH>
                <wp:positionV relativeFrom="paragraph">
                  <wp:posOffset>213360</wp:posOffset>
                </wp:positionV>
                <wp:extent cx="1882140" cy="929640"/>
                <wp:effectExtent l="0" t="0" r="22860" b="22860"/>
                <wp:wrapSquare wrapText="bothSides"/>
                <wp:docPr id="1895690790"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B3B8E4B" w14:textId="77777777" w:rsidR="001F4211" w:rsidRPr="0039166C" w:rsidRDefault="001F4211" w:rsidP="001F4211">
                            <w:pPr>
                              <w:rPr>
                                <w:b/>
                                <w:bCs/>
                                <w:sz w:val="28"/>
                                <w:szCs w:val="28"/>
                                <w:rtl/>
                                <w:lang w:bidi="ar-EG"/>
                              </w:rPr>
                            </w:pPr>
                            <w:r w:rsidRPr="0039166C">
                              <w:rPr>
                                <w:b/>
                                <w:bCs/>
                                <w:sz w:val="28"/>
                                <w:szCs w:val="28"/>
                                <w:lang w:bidi="ar-EG"/>
                              </w:rPr>
                              <w:t>Midocean University</w:t>
                            </w:r>
                          </w:p>
                          <w:p w14:paraId="76CE98ED" w14:textId="77777777" w:rsidR="001F4211" w:rsidRPr="0039166C" w:rsidRDefault="001F4211" w:rsidP="001F421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9E3E0B" id="Rectangle 9" o:spid="_x0000_s1027" style="position:absolute;left:0;text-align:left;margin-left:349.2pt;margin-top:16.8pt;width:148.2pt;height:73.2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" fillcolor="window" strokecolor="window" strokeweight="1pt">
                <v:textbox>
                  <w:txbxContent>
                    <w:p w14:paraId="3B3B8E4B" w14:textId="77777777" w:rsidR="001F4211" w:rsidRPr="0039166C" w:rsidRDefault="001F4211" w:rsidP="001F4211">
                      <w:pPr>
                        <w:rPr>
                          <w:b/>
                          <w:bCs/>
                          <w:sz w:val="28"/>
                          <w:szCs w:val="28"/>
                          <w:rtl/>
                          <w:lang w:bidi="ar-EG"/>
                        </w:rPr>
                      </w:pPr>
                      <w:r w:rsidRPr="0039166C">
                        <w:rPr>
                          <w:b/>
                          <w:bCs/>
                          <w:sz w:val="28"/>
                          <w:szCs w:val="28"/>
                          <w:lang w:bidi="ar-EG"/>
                        </w:rPr>
                        <w:t>Midocean University</w:t>
                      </w:r>
                    </w:p>
                    <w:p w14:paraId="76CE98ED" w14:textId="77777777" w:rsidR="001F4211" w:rsidRPr="0039166C" w:rsidRDefault="001F4211" w:rsidP="001F421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F4211" w:rsidRPr="00822632" w14:paraId="04458519" w14:textId="77777777" w:rsidTr="00A171A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BDD678E" w14:textId="77777777" w:rsidR="001F4211" w:rsidRPr="00822632" w:rsidRDefault="001F4211" w:rsidP="00A171A0">
            <w:pPr>
              <w:spacing w:after="0" w:line="240" w:lineRule="auto"/>
              <w:jc w:val="center"/>
              <w:rPr>
                <w:rFonts w:ascii="Times New Roman" w:eastAsia="Times New Roman" w:hAnsi="Times New Roman" w:cs="Times New Roman"/>
                <w:color w:val="1C1C1C"/>
                <w:sz w:val="24"/>
                <w:szCs w:val="24"/>
              </w:rPr>
            </w:pPr>
          </w:p>
          <w:p w14:paraId="77DAAD9D" w14:textId="77777777" w:rsidR="001F4211" w:rsidRPr="00822632" w:rsidRDefault="001F4211" w:rsidP="00A171A0">
            <w:pPr>
              <w:spacing w:after="0" w:line="240" w:lineRule="auto"/>
              <w:jc w:val="center"/>
              <w:rPr>
                <w:rFonts w:ascii="Times New Roman" w:eastAsia="Times New Roman" w:hAnsi="Times New Roman" w:cs="Times New Roman"/>
                <w:color w:val="1C1C1C"/>
                <w:sz w:val="24"/>
                <w:szCs w:val="24"/>
              </w:rPr>
            </w:pPr>
          </w:p>
          <w:p w14:paraId="1B4369FB" w14:textId="77777777" w:rsidR="001F4211" w:rsidRPr="00822632" w:rsidRDefault="001F4211" w:rsidP="00A171A0">
            <w:pPr>
              <w:spacing w:before="60" w:after="0" w:line="240" w:lineRule="auto"/>
              <w:jc w:val="right"/>
              <w:rPr>
                <w:rFonts w:ascii="Times New Roman" w:eastAsia="Times New Roman" w:hAnsi="Times New Roman" w:cs="Times New Roman"/>
                <w:color w:val="1C1C1C"/>
                <w:sz w:val="24"/>
                <w:szCs w:val="24"/>
              </w:rPr>
            </w:pPr>
          </w:p>
        </w:tc>
      </w:tr>
    </w:tbl>
    <w:p w14:paraId="1C533196" w14:textId="77777777" w:rsidR="001F4211" w:rsidRPr="001F4211" w:rsidRDefault="001F4211" w:rsidP="001F4211">
      <w:pPr>
        <w:spacing w:after="80" w:line="240" w:lineRule="auto"/>
        <w:jc w:val="center"/>
        <w:rPr>
          <w:rFonts w:ascii="Times New Roman" w:eastAsia="Times New Roman" w:hAnsi="Times New Roman" w:cs="Times New Roman"/>
          <w:b/>
          <w:bCs/>
          <w:color w:val="1C1C1C"/>
          <w:sz w:val="32"/>
          <w:szCs w:val="32"/>
        </w:rPr>
      </w:pPr>
      <w:r w:rsidRPr="001F4211">
        <w:rPr>
          <w:rFonts w:ascii="Times New Roman" w:eastAsia="Times New Roman" w:hAnsi="Times New Roman" w:cs="Times New Roman"/>
          <w:b/>
          <w:bCs/>
          <w:color w:val="1C1C1C"/>
          <w:sz w:val="32"/>
          <w:szCs w:val="32"/>
        </w:rPr>
        <w:t>The role of digital media in raising awareness of chronic neurological diseases in Saudi society</w:t>
      </w:r>
    </w:p>
    <w:p w14:paraId="25A0452C" w14:textId="77777777" w:rsidR="001F4211" w:rsidRDefault="001F4211" w:rsidP="001F4211">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Pr="00A35DFA">
        <w:rPr>
          <w:rFonts w:ascii="Sakkal Majalla" w:hAnsi="Sakkal Majalla" w:cs="Sakkal Majalla"/>
          <w:sz w:val="28"/>
          <w:szCs w:val="28"/>
          <w:rtl/>
          <w:lang w:bidi="ar-EG"/>
        </w:rPr>
        <w:t xml:space="preserve"> </w:t>
      </w:r>
      <w:r w:rsidRPr="00A35DFA">
        <w:rPr>
          <w:rFonts w:ascii="Sakkal Majalla" w:hAnsi="Sakkal Majalla" w:cs="Sakkal Majalla"/>
          <w:sz w:val="28"/>
          <w:szCs w:val="28"/>
          <w:lang w:bidi="ar-EG"/>
        </w:rPr>
        <w:t>Field study</w:t>
      </w:r>
      <w:r w:rsidRPr="00A35DF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p>
    <w:p w14:paraId="3D2819BF" w14:textId="77777777" w:rsidR="001F4211" w:rsidRPr="00822632" w:rsidRDefault="001F4211" w:rsidP="001F4211">
      <w:pPr>
        <w:spacing w:after="80" w:line="240" w:lineRule="auto"/>
        <w:jc w:val="center"/>
        <w:rPr>
          <w:rFonts w:ascii="Times New Roman" w:eastAsia="Times New Roman" w:hAnsi="Times New Roman" w:cs="Times New Roman"/>
          <w:color w:val="1C1C1C"/>
          <w:sz w:val="28"/>
          <w:szCs w:val="28"/>
        </w:rPr>
      </w:pPr>
    </w:p>
    <w:p w14:paraId="46708A8E" w14:textId="77777777" w:rsidR="001F4211" w:rsidRPr="00822632" w:rsidRDefault="001F4211" w:rsidP="001F4211">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66803F14" w14:textId="201E7B8C" w:rsidR="001F4211" w:rsidRPr="00822632" w:rsidRDefault="001F4211" w:rsidP="001F4211">
      <w:pPr>
        <w:spacing w:after="0" w:line="240" w:lineRule="auto"/>
        <w:jc w:val="center"/>
        <w:rPr>
          <w:rFonts w:ascii="Times New Roman" w:eastAsia="Times New Roman" w:hAnsi="Times New Roman" w:cs="Times New Roman"/>
          <w:b/>
          <w:bCs/>
          <w:color w:val="1C1C1C"/>
          <w:sz w:val="28"/>
          <w:szCs w:val="28"/>
          <w:rtl/>
        </w:rPr>
      </w:pPr>
      <w:r>
        <w:rPr>
          <w:rFonts w:ascii="Times New Roman" w:eastAsia="Times New Roman" w:hAnsi="Times New Roman" w:cs="Times New Roman"/>
          <w:b/>
          <w:bCs/>
          <w:color w:val="1C1C1C"/>
          <w:sz w:val="28"/>
          <w:szCs w:val="28"/>
        </w:rPr>
        <w:t>Doaa Hassan Toweirqie</w:t>
      </w:r>
    </w:p>
    <w:p w14:paraId="6100C5C5" w14:textId="77777777" w:rsidR="001F4211" w:rsidRPr="00822632" w:rsidRDefault="001F4211" w:rsidP="001F4211">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75AFF8CB" w14:textId="77777777" w:rsidR="001F4211" w:rsidRPr="00822632" w:rsidRDefault="001F4211" w:rsidP="001F4211">
      <w:pPr>
        <w:spacing w:after="60" w:line="240" w:lineRule="auto"/>
        <w:rPr>
          <w:rFonts w:ascii="Times New Roman" w:eastAsia="Times New Roman" w:hAnsi="Times New Roman" w:cs="Times New Roman"/>
          <w:color w:val="1C1C1C"/>
          <w:sz w:val="24"/>
          <w:szCs w:val="24"/>
        </w:rPr>
      </w:pPr>
    </w:p>
    <w:p w14:paraId="7AE888F7" w14:textId="77777777" w:rsidR="001F4211" w:rsidRPr="00822632" w:rsidRDefault="001F4211" w:rsidP="001F4211">
      <w:pPr>
        <w:spacing w:after="60" w:line="240" w:lineRule="auto"/>
        <w:rPr>
          <w:rFonts w:ascii="Times New Roman" w:eastAsia="Times New Roman" w:hAnsi="Times New Roman" w:cs="Times New Roman"/>
          <w:color w:val="1C1C1C"/>
          <w:sz w:val="24"/>
          <w:szCs w:val="24"/>
        </w:rPr>
      </w:pPr>
    </w:p>
    <w:p w14:paraId="45DB6A49" w14:textId="77777777" w:rsidR="001F4211" w:rsidRPr="00822632" w:rsidRDefault="001F4211" w:rsidP="001F4211">
      <w:pPr>
        <w:spacing w:after="60" w:line="276" w:lineRule="auto"/>
        <w:jc w:val="center"/>
        <w:rPr>
          <w:rFonts w:ascii="Times New Roman" w:eastAsia="Times New Roman" w:hAnsi="Times New Roman" w:cs="Times New Roman"/>
          <w:color w:val="1C1C1C"/>
          <w:sz w:val="24"/>
          <w:szCs w:val="24"/>
        </w:rPr>
      </w:pPr>
    </w:p>
    <w:p w14:paraId="0D89446B" w14:textId="77777777" w:rsidR="001F4211" w:rsidRPr="00822632" w:rsidRDefault="001F4211" w:rsidP="001F421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661284CD" w14:textId="77777777" w:rsidR="001F4211" w:rsidRPr="00822632" w:rsidRDefault="001F4211" w:rsidP="001F421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F7D94B2" w14:textId="77777777" w:rsidR="001F4211" w:rsidRPr="002D494F" w:rsidRDefault="001F4211" w:rsidP="001F4211">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Doctor of Philosophy (PhD) In</w:t>
      </w:r>
      <w:r>
        <w:rPr>
          <w:rFonts w:ascii="Times New Roman" w:eastAsia="Times New Roman" w:hAnsi="Times New Roman" w:cs="Times New Roman" w:hint="cs"/>
          <w:b/>
          <w:bCs/>
          <w:color w:val="1C1C1C"/>
          <w:sz w:val="24"/>
          <w:szCs w:val="24"/>
          <w:rtl/>
        </w:rPr>
        <w:t xml:space="preserve"> </w:t>
      </w:r>
      <w:r w:rsidRPr="007804F9">
        <w:rPr>
          <w:rFonts w:ascii="Times New Roman" w:eastAsia="Times New Roman" w:hAnsi="Times New Roman" w:cs="Times New Roman"/>
          <w:b/>
          <w:bCs/>
          <w:color w:val="1C1C1C"/>
          <w:sz w:val="24"/>
          <w:szCs w:val="24"/>
          <w:lang w:val="en"/>
        </w:rPr>
        <w:t xml:space="preserve">​Media </w:t>
      </w:r>
    </w:p>
    <w:p w14:paraId="3FBE63E7" w14:textId="77777777" w:rsidR="001F4211" w:rsidRPr="002D494F" w:rsidRDefault="001F4211" w:rsidP="001F4211">
      <w:pPr>
        <w:spacing w:after="0" w:line="276" w:lineRule="auto"/>
        <w:jc w:val="center"/>
        <w:rPr>
          <w:rFonts w:ascii="Times New Roman" w:eastAsia="Times New Roman" w:hAnsi="Times New Roman" w:cs="Times New Roman"/>
          <w:b/>
          <w:bCs/>
          <w:color w:val="1C1C1C"/>
          <w:sz w:val="24"/>
          <w:szCs w:val="24"/>
          <w:lang w:val="en"/>
        </w:rPr>
      </w:pPr>
    </w:p>
    <w:p w14:paraId="060B7CB3" w14:textId="77777777" w:rsidR="001F4211" w:rsidRPr="00822632" w:rsidRDefault="001F4211" w:rsidP="001F4211">
      <w:pPr>
        <w:spacing w:after="0" w:line="276" w:lineRule="auto"/>
        <w:jc w:val="center"/>
        <w:rPr>
          <w:rFonts w:ascii="Times New Roman" w:eastAsia="Times New Roman" w:hAnsi="Times New Roman" w:cs="Times New Roman"/>
          <w:color w:val="1C1C1C"/>
          <w:sz w:val="24"/>
          <w:szCs w:val="24"/>
          <w:rtl/>
        </w:rPr>
      </w:pPr>
    </w:p>
    <w:p w14:paraId="01BB8219" w14:textId="77777777" w:rsidR="001F4211" w:rsidRPr="00822632" w:rsidRDefault="001F4211" w:rsidP="001F4211">
      <w:pPr>
        <w:spacing w:after="0" w:line="276" w:lineRule="auto"/>
        <w:jc w:val="center"/>
        <w:rPr>
          <w:rFonts w:ascii="Times New Roman" w:eastAsia="Times New Roman" w:hAnsi="Times New Roman" w:cs="Times New Roman"/>
          <w:color w:val="1C1C1C"/>
          <w:sz w:val="24"/>
          <w:szCs w:val="24"/>
          <w:rtl/>
        </w:rPr>
      </w:pPr>
    </w:p>
    <w:p w14:paraId="117AACDC" w14:textId="77777777" w:rsidR="001F4211" w:rsidRPr="00822632" w:rsidRDefault="001F4211" w:rsidP="001F4211">
      <w:pPr>
        <w:spacing w:after="0" w:line="276" w:lineRule="auto"/>
        <w:jc w:val="center"/>
        <w:rPr>
          <w:rFonts w:ascii="Times New Roman" w:eastAsia="Times New Roman" w:hAnsi="Times New Roman" w:cs="Times New Roman"/>
          <w:color w:val="1C1C1C"/>
          <w:sz w:val="24"/>
          <w:szCs w:val="24"/>
          <w:rtl/>
        </w:rPr>
      </w:pPr>
    </w:p>
    <w:p w14:paraId="2A463B1C" w14:textId="77777777" w:rsidR="001F4211" w:rsidRPr="00822632" w:rsidRDefault="001F4211" w:rsidP="001F4211">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63565AB7" w14:textId="77777777" w:rsidR="001F4211" w:rsidRDefault="001F4211" w:rsidP="001F4211">
      <w:pPr>
        <w:tabs>
          <w:tab w:val="left" w:pos="3666"/>
        </w:tabs>
        <w:spacing w:after="0" w:line="360" w:lineRule="auto"/>
        <w:jc w:val="center"/>
        <w:rPr>
          <w:rFonts w:ascii="Traditional Arabic" w:eastAsia="Calibri" w:hAnsi="Traditional Arabic" w:cs="Traditional Arabic"/>
          <w:b/>
          <w:bCs/>
          <w:sz w:val="28"/>
          <w:szCs w:val="28"/>
          <w:rtl/>
          <w:lang w:bidi="ar-EG"/>
        </w:rPr>
      </w:pPr>
    </w:p>
    <w:p w14:paraId="1AF88C4A" w14:textId="11905727" w:rsidR="00FE5319" w:rsidRDefault="00FE5319" w:rsidP="00FE5319">
      <w:pPr>
        <w:spacing w:line="360" w:lineRule="auto"/>
        <w:rPr>
          <w:rFonts w:ascii="Sakkal Majalla" w:hAnsi="Sakkal Majalla" w:cs="Sakkal Majalla"/>
          <w:sz w:val="28"/>
          <w:szCs w:val="28"/>
          <w:lang w:bidi="ar-EG"/>
        </w:rPr>
      </w:pPr>
    </w:p>
    <w:p w14:paraId="209DBAEC" w14:textId="77777777" w:rsidR="00CB79A7" w:rsidRDefault="00CB79A7" w:rsidP="00FE5319">
      <w:pPr>
        <w:spacing w:line="360" w:lineRule="auto"/>
        <w:rPr>
          <w:rFonts w:ascii="Sakkal Majalla" w:hAnsi="Sakkal Majalla" w:cs="Sakkal Majalla"/>
          <w:sz w:val="28"/>
          <w:szCs w:val="28"/>
          <w:rtl/>
          <w:lang w:bidi="ar-EG"/>
        </w:rPr>
      </w:pPr>
    </w:p>
    <w:p w14:paraId="4B282675" w14:textId="77777777" w:rsidR="00D708CB" w:rsidRDefault="00D708CB" w:rsidP="00FE5319">
      <w:pPr>
        <w:spacing w:line="360" w:lineRule="auto"/>
        <w:rPr>
          <w:rFonts w:ascii="Sakkal Majalla" w:hAnsi="Sakkal Majalla" w:cs="Sakkal Majalla"/>
          <w:sz w:val="28"/>
          <w:szCs w:val="28"/>
          <w:rtl/>
          <w:lang w:bidi="ar-EG"/>
        </w:rPr>
      </w:pPr>
    </w:p>
    <w:p w14:paraId="47022831" w14:textId="50CA2BC6" w:rsidR="00D708CB" w:rsidRDefault="003935BE" w:rsidP="00FE5319">
      <w:pPr>
        <w:spacing w:line="360" w:lineRule="auto"/>
        <w:rPr>
          <w:rFonts w:ascii="Sakkal Majalla" w:hAnsi="Sakkal Majalla" w:cs="Sakkal Majalla"/>
          <w:sz w:val="28"/>
          <w:szCs w:val="28"/>
          <w:rtl/>
          <w:lang w:bidi="ar-EG"/>
        </w:rPr>
      </w:pPr>
      <w:r>
        <w:rPr>
          <w:rFonts w:ascii="Sakkal Majalla" w:hAnsi="Sakkal Majalla" w:cs="Sakkal Majalla"/>
          <w:noProof/>
          <w:sz w:val="28"/>
          <w:szCs w:val="28"/>
          <w:rtl/>
          <w:lang w:val="ar-EG" w:bidi="ar-EG"/>
        </w:rPr>
        <w:lastRenderedPageBreak/>
        <w:drawing>
          <wp:anchor distT="0" distB="0" distL="114300" distR="114300" simplePos="0" relativeHeight="251661312" behindDoc="0" locked="0" layoutInCell="1" allowOverlap="1" wp14:anchorId="71A5420E" wp14:editId="302C5907">
            <wp:simplePos x="0" y="0"/>
            <wp:positionH relativeFrom="column">
              <wp:posOffset>-2540</wp:posOffset>
            </wp:positionH>
            <wp:positionV relativeFrom="paragraph">
              <wp:posOffset>51163</wp:posOffset>
            </wp:positionV>
            <wp:extent cx="5943600" cy="4587875"/>
            <wp:effectExtent l="0" t="0" r="0" b="0"/>
            <wp:wrapNone/>
            <wp:docPr id="468348710"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348710" name="صورة 468348710"/>
                    <pic:cNvPicPr/>
                  </pic:nvPicPr>
                  <pic:blipFill>
                    <a:blip r:embed="rId8">
                      <a:extLst>
                        <a:ext uri="{28A0092B-C50C-407E-A947-70E740481C1C}">
                          <a14:useLocalDpi xmlns:a14="http://schemas.microsoft.com/office/drawing/2010/main"/>
                        </a:ext>
                      </a:extLst>
                    </a:blip>
                    <a:stretch>
                      <a:fillRect/>
                    </a:stretch>
                  </pic:blipFill>
                  <pic:spPr>
                    <a:xfrm>
                      <a:off x="0" y="0"/>
                      <a:ext cx="5943600" cy="4587875"/>
                    </a:xfrm>
                    <a:prstGeom prst="rect">
                      <a:avLst/>
                    </a:prstGeom>
                  </pic:spPr>
                </pic:pic>
              </a:graphicData>
            </a:graphic>
            <wp14:sizeRelH relativeFrom="page">
              <wp14:pctWidth>0</wp14:pctWidth>
            </wp14:sizeRelH>
            <wp14:sizeRelV relativeFrom="page">
              <wp14:pctHeight>0</wp14:pctHeight>
            </wp14:sizeRelV>
          </wp:anchor>
        </w:drawing>
      </w:r>
    </w:p>
    <w:p w14:paraId="227EA8CB" w14:textId="0A7CC471" w:rsidR="00D708CB" w:rsidRDefault="00D708CB" w:rsidP="00FE5319">
      <w:pPr>
        <w:spacing w:line="360" w:lineRule="auto"/>
        <w:rPr>
          <w:rFonts w:ascii="Sakkal Majalla" w:hAnsi="Sakkal Majalla" w:cs="Sakkal Majalla"/>
          <w:sz w:val="28"/>
          <w:szCs w:val="28"/>
          <w:rtl/>
          <w:lang w:bidi="ar-EG"/>
        </w:rPr>
      </w:pPr>
    </w:p>
    <w:p w14:paraId="529F472D" w14:textId="647D1EE7" w:rsidR="00D708CB" w:rsidRDefault="00D708CB" w:rsidP="00FE5319">
      <w:pPr>
        <w:spacing w:line="360" w:lineRule="auto"/>
        <w:rPr>
          <w:rFonts w:ascii="Sakkal Majalla" w:hAnsi="Sakkal Majalla" w:cs="Sakkal Majalla"/>
          <w:sz w:val="28"/>
          <w:szCs w:val="28"/>
          <w:rtl/>
          <w:lang w:bidi="ar-EG"/>
        </w:rPr>
      </w:pPr>
    </w:p>
    <w:p w14:paraId="4AA06A13" w14:textId="77777777" w:rsidR="00D708CB" w:rsidRDefault="00D708CB" w:rsidP="00FE5319">
      <w:pPr>
        <w:spacing w:line="360" w:lineRule="auto"/>
        <w:rPr>
          <w:rFonts w:ascii="Sakkal Majalla" w:hAnsi="Sakkal Majalla" w:cs="Sakkal Majalla"/>
          <w:sz w:val="28"/>
          <w:szCs w:val="28"/>
          <w:rtl/>
          <w:lang w:bidi="ar-EG"/>
        </w:rPr>
      </w:pPr>
    </w:p>
    <w:p w14:paraId="5E9584AE" w14:textId="77777777" w:rsidR="00D708CB" w:rsidRDefault="00D708CB" w:rsidP="00FE5319">
      <w:pPr>
        <w:spacing w:line="360" w:lineRule="auto"/>
        <w:rPr>
          <w:rFonts w:ascii="Sakkal Majalla" w:hAnsi="Sakkal Majalla" w:cs="Sakkal Majalla"/>
          <w:sz w:val="28"/>
          <w:szCs w:val="28"/>
          <w:rtl/>
          <w:lang w:bidi="ar-EG"/>
        </w:rPr>
      </w:pPr>
    </w:p>
    <w:p w14:paraId="62A970D7" w14:textId="77777777" w:rsidR="00D708CB" w:rsidRDefault="00D708CB" w:rsidP="00FE5319">
      <w:pPr>
        <w:spacing w:line="360" w:lineRule="auto"/>
        <w:rPr>
          <w:rFonts w:ascii="Sakkal Majalla" w:hAnsi="Sakkal Majalla" w:cs="Sakkal Majalla"/>
          <w:sz w:val="28"/>
          <w:szCs w:val="28"/>
          <w:rtl/>
          <w:lang w:bidi="ar-EG"/>
        </w:rPr>
      </w:pPr>
    </w:p>
    <w:p w14:paraId="4B2DE2CF" w14:textId="77777777" w:rsidR="00D708CB" w:rsidRDefault="00D708CB" w:rsidP="00FE5319">
      <w:pPr>
        <w:spacing w:line="360" w:lineRule="auto"/>
        <w:rPr>
          <w:rFonts w:ascii="Sakkal Majalla" w:hAnsi="Sakkal Majalla" w:cs="Sakkal Majalla"/>
          <w:sz w:val="28"/>
          <w:szCs w:val="28"/>
          <w:rtl/>
          <w:lang w:bidi="ar-EG"/>
        </w:rPr>
      </w:pPr>
    </w:p>
    <w:p w14:paraId="014C4E11" w14:textId="2B2037EA" w:rsidR="00D708CB" w:rsidRDefault="001F4211" w:rsidP="00FE5319">
      <w:pPr>
        <w:spacing w:line="360" w:lineRule="auto"/>
        <w:rPr>
          <w:rFonts w:ascii="Sakkal Majalla" w:hAnsi="Sakkal Majalla" w:cs="Sakkal Majalla"/>
          <w:sz w:val="28"/>
          <w:szCs w:val="28"/>
          <w:rtl/>
          <w:lang w:bidi="ar-EG"/>
        </w:rPr>
      </w:pPr>
      <w:r>
        <w:rPr>
          <w:noProof/>
        </w:rPr>
        <mc:AlternateContent>
          <mc:Choice Requires="wps">
            <w:drawing>
              <wp:anchor distT="0" distB="0" distL="114300" distR="114300" simplePos="0" relativeHeight="251663360" behindDoc="0" locked="0" layoutInCell="1" allowOverlap="1" wp14:anchorId="3B335C56" wp14:editId="40F3A38C">
                <wp:simplePos x="0" y="0"/>
                <wp:positionH relativeFrom="column">
                  <wp:posOffset>2078</wp:posOffset>
                </wp:positionH>
                <wp:positionV relativeFrom="paragraph">
                  <wp:posOffset>695325</wp:posOffset>
                </wp:positionV>
                <wp:extent cx="5943600" cy="1828800"/>
                <wp:effectExtent l="0" t="0" r="0" b="0"/>
                <wp:wrapSquare wrapText="bothSides"/>
                <wp:docPr id="1898795180" name="مربع نص 1"/>
                <wp:cNvGraphicFramePr/>
                <a:graphic xmlns:a="http://schemas.openxmlformats.org/drawingml/2006/main">
                  <a:graphicData uri="http://schemas.microsoft.com/office/word/2010/wordprocessingShape">
                    <wps:wsp>
                      <wps:cNvSpPr txBox="1"/>
                      <wps:spPr>
                        <a:xfrm>
                          <a:off x="0" y="0"/>
                          <a:ext cx="5943600" cy="1828800"/>
                        </a:xfrm>
                        <a:prstGeom prst="rect">
                          <a:avLst/>
                        </a:prstGeom>
                        <a:solidFill>
                          <a:schemeClr val="bg1"/>
                        </a:solidFill>
                        <a:ln w="6350">
                          <a:noFill/>
                        </a:ln>
                      </wps:spPr>
                      <wps:txbx>
                        <w:txbxContent>
                          <w:p w14:paraId="2544EE8E" w14:textId="77777777" w:rsidR="00D56F05" w:rsidRPr="00D56F05" w:rsidRDefault="00D56F05" w:rsidP="00241491">
                            <w:pPr>
                              <w:spacing w:line="360" w:lineRule="auto"/>
                              <w:jc w:val="center"/>
                              <w:rPr>
                                <w:rFonts w:ascii="Beirut" w:hAnsi="Beirut" w:cs="Beirut"/>
                                <w:sz w:val="52"/>
                                <w:szCs w:val="52"/>
                                <w:lang w:bidi="ar-EG"/>
                              </w:rPr>
                            </w:pPr>
                            <w:r w:rsidRPr="00D56F05">
                              <w:rPr>
                                <w:rFonts w:ascii="Beirut" w:hAnsi="Beirut" w:cs="Beirut" w:hint="cs"/>
                                <w:sz w:val="52"/>
                                <w:szCs w:val="52"/>
                                <w:rtl/>
                                <w:lang w:bidi="ar-EG"/>
                              </w:rPr>
                              <w:t>قال تعالى {يرفع الله اللذين آمنو ا منكم واللذين أوتوا العلم درجات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B335C56" id="_x0000_t202" coordsize="21600,21600" o:spt="202" path="m,l,21600r21600,l21600,xe">
                <v:stroke joinstyle="miter"/>
                <v:path gradientshapeok="t" o:connecttype="rect"/>
              </v:shapetype>
              <v:shape id="مربع نص 1" o:spid="_x0000_s1028" type="#_x0000_t202" style="position:absolute;left:0;text-align:left;margin-left:.15pt;margin-top:54.75pt;width:468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" fillcolor="white [3212]" stroked="f" strokeweight=".5pt">
                <v:textbox>
                  <w:txbxContent>
                    <w:p w14:paraId="2544EE8E" w14:textId="77777777" w:rsidR="00D56F05" w:rsidRPr="00D56F05" w:rsidRDefault="00D56F05" w:rsidP="00241491">
                      <w:pPr>
                        <w:spacing w:line="360" w:lineRule="auto"/>
                        <w:jc w:val="center"/>
                        <w:rPr>
                          <w:rFonts w:ascii="Beirut" w:hAnsi="Beirut" w:cs="Beirut"/>
                          <w:sz w:val="52"/>
                          <w:szCs w:val="52"/>
                          <w:lang w:bidi="ar-EG"/>
                        </w:rPr>
                      </w:pPr>
                      <w:r w:rsidRPr="00D56F05">
                        <w:rPr>
                          <w:rFonts w:ascii="Beirut" w:hAnsi="Beirut" w:cs="Beirut" w:hint="cs"/>
                          <w:sz w:val="52"/>
                          <w:szCs w:val="52"/>
                          <w:rtl/>
                          <w:lang w:bidi="ar-EG"/>
                        </w:rPr>
                        <w:t>قال تعالى {يرفع الله اللذين آمنو ا منكم واللذين أوتوا العلم درجات }</w:t>
                      </w:r>
                    </w:p>
                  </w:txbxContent>
                </v:textbox>
                <w10:wrap type="square"/>
              </v:shape>
            </w:pict>
          </mc:Fallback>
        </mc:AlternateContent>
      </w:r>
      <w:r w:rsidR="00D56F05">
        <w:rPr>
          <w:rFonts w:ascii="Sakkal Majalla" w:hAnsi="Sakkal Majalla" w:cs="Sakkal Majalla" w:hint="cs"/>
          <w:sz w:val="28"/>
          <w:szCs w:val="28"/>
          <w:rtl/>
          <w:lang w:bidi="ar-EG"/>
        </w:rPr>
        <w:t>٠٠</w:t>
      </w:r>
    </w:p>
    <w:p w14:paraId="42071CA1" w14:textId="1CD8256B" w:rsidR="00D708CB" w:rsidRDefault="00D708CB" w:rsidP="00FE5319">
      <w:pPr>
        <w:spacing w:line="360" w:lineRule="auto"/>
        <w:rPr>
          <w:rFonts w:ascii="Sakkal Majalla" w:hAnsi="Sakkal Majalla" w:cs="Sakkal Majalla"/>
          <w:sz w:val="28"/>
          <w:szCs w:val="28"/>
          <w:rtl/>
          <w:lang w:bidi="ar-EG"/>
        </w:rPr>
      </w:pPr>
    </w:p>
    <w:p w14:paraId="726BF916" w14:textId="791FA7EF" w:rsidR="00D708CB" w:rsidRDefault="00D708CB" w:rsidP="00FE5319">
      <w:pPr>
        <w:spacing w:line="360" w:lineRule="auto"/>
        <w:rPr>
          <w:rFonts w:ascii="Sakkal Majalla" w:hAnsi="Sakkal Majalla" w:cs="Sakkal Majalla"/>
          <w:sz w:val="28"/>
          <w:szCs w:val="28"/>
          <w:rtl/>
          <w:lang w:bidi="ar-EG"/>
        </w:rPr>
      </w:pPr>
    </w:p>
    <w:p w14:paraId="4E2A5229" w14:textId="614BD97E" w:rsidR="00D56F05" w:rsidRDefault="00D56F05" w:rsidP="00D56F05">
      <w:pPr>
        <w:spacing w:line="360" w:lineRule="auto"/>
        <w:jc w:val="center"/>
        <w:rPr>
          <w:rFonts w:ascii="Beirut" w:hAnsi="Beirut" w:cs="Beirut"/>
          <w:sz w:val="40"/>
          <w:szCs w:val="40"/>
          <w:rtl/>
          <w:lang w:bidi="ar-EG"/>
        </w:rPr>
      </w:pPr>
    </w:p>
    <w:p w14:paraId="06D7EEB9" w14:textId="77777777" w:rsidR="00D708CB" w:rsidRDefault="00D708CB" w:rsidP="00FE5319">
      <w:pPr>
        <w:spacing w:line="360" w:lineRule="auto"/>
        <w:rPr>
          <w:rFonts w:ascii="Sakkal Majalla" w:hAnsi="Sakkal Majalla" w:cs="Sakkal Majalla"/>
          <w:sz w:val="28"/>
          <w:szCs w:val="28"/>
          <w:rtl/>
          <w:lang w:bidi="ar-EG"/>
        </w:rPr>
      </w:pPr>
    </w:p>
    <w:p w14:paraId="2B5B6821" w14:textId="509F6F38" w:rsidR="002C2CEB" w:rsidRDefault="002C2CEB" w:rsidP="00FE5319">
      <w:pPr>
        <w:spacing w:line="360" w:lineRule="auto"/>
        <w:rPr>
          <w:rFonts w:ascii="Sakkal Majalla" w:hAnsi="Sakkal Majalla" w:cs="Sakkal Majalla"/>
          <w:sz w:val="28"/>
          <w:szCs w:val="28"/>
          <w:rtl/>
          <w:lang w:bidi="ar-EG"/>
        </w:rPr>
      </w:pPr>
    </w:p>
    <w:p w14:paraId="0F7A92E9" w14:textId="3559D1E1" w:rsidR="002C2CEB" w:rsidRDefault="00894C14">
      <w:pPr>
        <w:rPr>
          <w:rFonts w:ascii="Sakkal Majalla" w:hAnsi="Sakkal Majalla" w:cs="Sakkal Majalla"/>
          <w:sz w:val="28"/>
          <w:szCs w:val="28"/>
          <w:rtl/>
          <w:lang w:bidi="ar-EG"/>
        </w:rPr>
      </w:pPr>
      <w:r>
        <w:rPr>
          <w:rFonts w:ascii="Sakkal Majalla" w:hAnsi="Sakkal Majalla" w:cs="Sakkal Majalla"/>
          <w:noProof/>
          <w:sz w:val="28"/>
          <w:szCs w:val="28"/>
          <w:rtl/>
          <w:lang w:val="ar-EG" w:bidi="ar-EG"/>
        </w:rPr>
        <w:lastRenderedPageBreak/>
        <mc:AlternateContent>
          <mc:Choice Requires="wps">
            <w:drawing>
              <wp:anchor distT="0" distB="0" distL="114300" distR="114300" simplePos="0" relativeHeight="251674624" behindDoc="0" locked="0" layoutInCell="1" allowOverlap="1" wp14:anchorId="3731D313" wp14:editId="7766FAC0">
                <wp:simplePos x="0" y="0"/>
                <wp:positionH relativeFrom="column">
                  <wp:posOffset>-63500</wp:posOffset>
                </wp:positionH>
                <wp:positionV relativeFrom="paragraph">
                  <wp:posOffset>127000</wp:posOffset>
                </wp:positionV>
                <wp:extent cx="5469890" cy="824230"/>
                <wp:effectExtent l="0" t="0" r="0" b="0"/>
                <wp:wrapNone/>
                <wp:docPr id="1485732654" name="مربع نص 8"/>
                <wp:cNvGraphicFramePr/>
                <a:graphic xmlns:a="http://schemas.openxmlformats.org/drawingml/2006/main">
                  <a:graphicData uri="http://schemas.microsoft.com/office/word/2010/wordprocessingShape">
                    <wps:wsp>
                      <wps:cNvSpPr txBox="1"/>
                      <wps:spPr>
                        <a:xfrm>
                          <a:off x="0" y="0"/>
                          <a:ext cx="5469890" cy="824230"/>
                        </a:xfrm>
                        <a:prstGeom prst="rect">
                          <a:avLst/>
                        </a:prstGeom>
                        <a:noFill/>
                        <a:ln w="6350">
                          <a:noFill/>
                        </a:ln>
                      </wps:spPr>
                      <wps:txbx>
                        <w:txbxContent>
                          <w:p w14:paraId="2B7F112F" w14:textId="4788BE85" w:rsidR="002C2CEB" w:rsidRPr="00894C14" w:rsidRDefault="002C2CEB" w:rsidP="00894C14">
                            <w:pPr>
                              <w:jc w:val="center"/>
                              <w:rPr>
                                <w:rFonts w:ascii="Sana" w:hAnsi="Sana" w:cs="Sana"/>
                              </w:rPr>
                            </w:pPr>
                            <w:r w:rsidRPr="00894C14">
                              <w:rPr>
                                <w:rFonts w:ascii="Sana" w:hAnsi="Sana" w:cs="Sana" w:hint="cs"/>
                                <w:sz w:val="52"/>
                                <w:szCs w:val="52"/>
                                <w:rtl/>
                              </w:rPr>
                              <w:t>إهداء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 w14:anchorId="3731D313" id="مربع نص 8" o:spid="_x0000_s1028" type="#_x0000_t202" style="position:absolute;left:0;text-align:left;margin-left:-5pt;margin-top:10pt;width:430.7pt;height:64.9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" filled="f" stroked="f" strokeweight=".5pt">
                <v:textbox>
                  <w:txbxContent>
                    <w:p w14:paraId="2B7F112F" w14:textId="4788BE85" w:rsidR="002C2CEB" w:rsidRPr="00894C14" w:rsidRDefault="002C2CEB" w:rsidP="00894C14">
                      <w:pPr>
                        <w:jc w:val="center"/>
                        <w:rPr>
                          <w:rFonts w:ascii="Sana" w:hAnsi="Sana" w:cs="Sana"/>
                        </w:rPr>
                      </w:pPr>
                      <w:r w:rsidRPr="00894C14">
                        <w:rPr>
                          <w:rFonts w:ascii="Sana" w:hAnsi="Sana" w:cs="Sana" w:hint="cs"/>
                          <w:sz w:val="52"/>
                          <w:szCs w:val="52"/>
                          <w:rtl/>
                        </w:rPr>
                        <w:t>إهداء</w:t>
                      </w:r>
                    </w:p>
                  </w:txbxContent>
                </v:textbox>
              </v:shape>
            </w:pict>
          </mc:Fallback>
        </mc:AlternateContent>
      </w:r>
      <w:r w:rsidR="00280AE4">
        <w:rPr>
          <w:rFonts w:ascii="Sakkal Majalla" w:hAnsi="Sakkal Majalla" w:cs="Sakkal Majalla"/>
          <w:noProof/>
          <w:sz w:val="28"/>
          <w:szCs w:val="28"/>
          <w:rtl/>
          <w:lang w:val="ar-EG" w:bidi="ar-EG"/>
        </w:rPr>
        <mc:AlternateContent>
          <mc:Choice Requires="wps">
            <w:drawing>
              <wp:anchor distT="0" distB="0" distL="114300" distR="114300" simplePos="0" relativeHeight="251676672" behindDoc="0" locked="0" layoutInCell="1" allowOverlap="1" wp14:anchorId="77AEE1E9" wp14:editId="7DF4800D">
                <wp:simplePos x="0" y="0"/>
                <wp:positionH relativeFrom="column">
                  <wp:posOffset>-304800</wp:posOffset>
                </wp:positionH>
                <wp:positionV relativeFrom="paragraph">
                  <wp:posOffset>1205865</wp:posOffset>
                </wp:positionV>
                <wp:extent cx="6083972" cy="7100047"/>
                <wp:effectExtent l="0" t="0" r="0" b="0"/>
                <wp:wrapNone/>
                <wp:docPr id="275025353" name="مربع نص 8"/>
                <wp:cNvGraphicFramePr/>
                <a:graphic xmlns:a="http://schemas.openxmlformats.org/drawingml/2006/main">
                  <a:graphicData uri="http://schemas.microsoft.com/office/word/2010/wordprocessingShape">
                    <wps:wsp>
                      <wps:cNvSpPr txBox="1"/>
                      <wps:spPr>
                        <a:xfrm>
                          <a:off x="0" y="0"/>
                          <a:ext cx="6083972" cy="7100047"/>
                        </a:xfrm>
                        <a:prstGeom prst="rect">
                          <a:avLst/>
                        </a:prstGeom>
                        <a:noFill/>
                        <a:ln w="6350">
                          <a:noFill/>
                        </a:ln>
                      </wps:spPr>
                      <wps:txbx>
                        <w:txbxContent>
                          <w:p w14:paraId="7EC3A2D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آمن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بأن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التوعية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الرقمية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ليست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رفاهية،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حقّ</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إنسانيّ،</w:t>
                            </w:r>
                          </w:p>
                          <w:p w14:paraId="5C8CAFF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مريض</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مزمن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جعل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شاشة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هاتفه</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نافذة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العالم،</w:t>
                            </w:r>
                          </w:p>
                          <w:p w14:paraId="4FAA8E1E" w14:textId="656725CF" w:rsidR="00894C14" w:rsidRDefault="00894C14" w:rsidP="00894C14">
                            <w:pPr>
                              <w:rPr>
                                <w:rFonts w:asciiTheme="majorBidi" w:hAnsiTheme="majorBidi" w:cs="Times New Roman"/>
                                <w:sz w:val="32"/>
                                <w:szCs w:val="32"/>
                                <w:rtl/>
                              </w:rPr>
                            </w:pPr>
                            <w:r w:rsidRPr="00894C14">
                              <w:rPr>
                                <w:rFonts w:asciiTheme="majorBidi" w:hAnsiTheme="majorBidi" w:cs="Times New Roman" w:hint="cs"/>
                                <w:sz w:val="32"/>
                                <w:szCs w:val="32"/>
                                <w:rtl/>
                              </w:rPr>
                              <w:t>ومن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منصات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التواصل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منبراً</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للوعي</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والتثقيف</w:t>
                            </w:r>
                          </w:p>
                          <w:p w14:paraId="5D6AF589" w14:textId="77777777" w:rsidR="00894C14" w:rsidRDefault="00894C14" w:rsidP="00894C14">
                            <w:pPr>
                              <w:rPr>
                                <w:rFonts w:asciiTheme="majorBidi" w:hAnsiTheme="majorBidi" w:cs="Times New Roman"/>
                                <w:sz w:val="32"/>
                                <w:szCs w:val="32"/>
                                <w:rtl/>
                              </w:rPr>
                            </w:pPr>
                          </w:p>
                          <w:p w14:paraId="06BF1E40" w14:textId="77777777" w:rsidR="00894C14" w:rsidRDefault="00894C14" w:rsidP="00894C14">
                            <w:pPr>
                              <w:bidi w:val="0"/>
                              <w:rPr>
                                <w:rFonts w:asciiTheme="majorBidi" w:hAnsiTheme="majorBidi" w:cstheme="majorBidi"/>
                                <w:sz w:val="32"/>
                                <w:szCs w:val="32"/>
                              </w:rPr>
                            </w:pPr>
                          </w:p>
                          <w:p w14:paraId="16811A2B" w14:textId="39246143" w:rsidR="00894C14" w:rsidRDefault="00894C14" w:rsidP="00894C14">
                            <w:pPr>
                              <w:rPr>
                                <w:rFonts w:asciiTheme="majorBidi" w:hAnsiTheme="majorBidi" w:cstheme="majorBidi"/>
                                <w:sz w:val="32"/>
                                <w:szCs w:val="32"/>
                                <w:rtl/>
                              </w:rPr>
                            </w:pPr>
                            <w:r w:rsidRPr="00894C14">
                              <w:rPr>
                                <w:rFonts w:asciiTheme="majorBidi" w:hAnsiTheme="majorBidi" w:cs="Times New Roman"/>
                                <w:sz w:val="32"/>
                                <w:szCs w:val="32"/>
                                <w:rtl/>
                              </w:rPr>
                              <w:t>إليكم جميعاً... أهدي ثمرة جهدي، ودعوات قلبي، وتواضع بحثي.</w:t>
                            </w:r>
                          </w:p>
                          <w:p w14:paraId="1708DD91" w14:textId="43B409F4" w:rsidR="00280AE4" w:rsidRPr="00280AE4" w:rsidRDefault="00280AE4" w:rsidP="00280AE4">
                            <w:pPr>
                              <w:rPr>
                                <w:rFonts w:asciiTheme="majorBidi" w:hAnsiTheme="majorBidi" w:cstheme="majorBidi"/>
                                <w:sz w:val="32"/>
                                <w:szCs w:val="32"/>
                              </w:rPr>
                            </w:pPr>
                            <w:r w:rsidRPr="00280AE4">
                              <w:rPr>
                                <w:rFonts w:asciiTheme="majorBidi" w:hAnsiTheme="majorBidi" w:cstheme="majorBidi"/>
                                <w:sz w:val="32"/>
                                <w:szCs w:val="32"/>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7AEE1E9" id="_x0000_s1029" type="#_x0000_t202" style="position:absolute;left:0;text-align:left;margin-left:-24pt;margin-top:94.95pt;width:479.05pt;height:559.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" filled="f" stroked="f" strokeweight=".5pt">
                <v:textbox>
                  <w:txbxContent>
                    <w:p w14:paraId="7EC3A2D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آمن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بأن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التوعية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الرقمية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ليست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رفاهية،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حقّ</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إنسانيّ،</w:t>
                      </w:r>
                    </w:p>
                    <w:p w14:paraId="5C8CAFF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مريض</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مزمن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جعل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شاشة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هاتفه</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نافذة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العالم،</w:t>
                      </w:r>
                    </w:p>
                    <w:p w14:paraId="4FAA8E1E" w14:textId="656725CF" w:rsidR="00894C14" w:rsidRDefault="00894C14" w:rsidP="00894C14">
                      <w:pPr>
                        <w:rPr>
                          <w:rFonts w:asciiTheme="majorBidi" w:hAnsiTheme="majorBidi" w:cs="Times New Roman"/>
                          <w:sz w:val="32"/>
                          <w:szCs w:val="32"/>
                          <w:rtl/>
                        </w:rPr>
                      </w:pPr>
                      <w:r w:rsidRPr="00894C14">
                        <w:rPr>
                          <w:rFonts w:asciiTheme="majorBidi" w:hAnsiTheme="majorBidi" w:cs="Times New Roman" w:hint="cs"/>
                          <w:sz w:val="32"/>
                          <w:szCs w:val="32"/>
                          <w:rtl/>
                        </w:rPr>
                        <w:t>ومن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منصات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التواصل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منبراً</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للوعي</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والتثقيف</w:t>
                      </w:r>
                    </w:p>
                    <w:p w14:paraId="5D6AF589" w14:textId="77777777" w:rsidR="00894C14" w:rsidRDefault="00894C14" w:rsidP="00894C14">
                      <w:pPr>
                        <w:rPr>
                          <w:rFonts w:asciiTheme="majorBidi" w:hAnsiTheme="majorBidi" w:cs="Times New Roman"/>
                          <w:sz w:val="32"/>
                          <w:szCs w:val="32"/>
                          <w:rtl/>
                        </w:rPr>
                      </w:pPr>
                    </w:p>
                    <w:p w14:paraId="06BF1E40" w14:textId="77777777" w:rsidR="00894C14" w:rsidRDefault="00894C14" w:rsidP="00894C14">
                      <w:pPr>
                        <w:bidi w:val="0"/>
                        <w:rPr>
                          <w:rFonts w:asciiTheme="majorBidi" w:hAnsiTheme="majorBidi" w:cstheme="majorBidi"/>
                          <w:sz w:val="32"/>
                          <w:szCs w:val="32"/>
                        </w:rPr>
                      </w:pPr>
                    </w:p>
                    <w:p w14:paraId="16811A2B" w14:textId="39246143" w:rsidR="00894C14" w:rsidRDefault="00894C14" w:rsidP="00894C14">
                      <w:pPr>
                        <w:rPr>
                          <w:rFonts w:asciiTheme="majorBidi" w:hAnsiTheme="majorBidi" w:cstheme="majorBidi"/>
                          <w:sz w:val="32"/>
                          <w:szCs w:val="32"/>
                          <w:rtl/>
                        </w:rPr>
                      </w:pPr>
                      <w:r w:rsidRPr="00894C14">
                        <w:rPr>
                          <w:rFonts w:asciiTheme="majorBidi" w:hAnsiTheme="majorBidi" w:cs="Times New Roman"/>
                          <w:sz w:val="32"/>
                          <w:szCs w:val="32"/>
                          <w:rtl/>
                        </w:rPr>
                        <w:t>إليكم جميعاً... أهدي ثمرة جهدي، ودعوات قلبي، وتواضع بحثي.</w:t>
                      </w:r>
                    </w:p>
                    <w:p w14:paraId="1708DD91" w14:textId="43B409F4" w:rsidR="00280AE4" w:rsidRPr="00280AE4" w:rsidRDefault="00280AE4" w:rsidP="00280AE4">
                      <w:pPr>
                        <w:rPr>
                          <w:rFonts w:asciiTheme="majorBidi" w:hAnsiTheme="majorBidi" w:cstheme="majorBidi"/>
                          <w:sz w:val="32"/>
                          <w:szCs w:val="32"/>
                        </w:rPr>
                      </w:pPr>
                      <w:r w:rsidRPr="00280AE4">
                        <w:rPr>
                          <w:rFonts w:asciiTheme="majorBidi" w:hAnsiTheme="majorBidi" w:cstheme="majorBidi"/>
                          <w:sz w:val="32"/>
                          <w:szCs w:val="32"/>
                          <w:rtl/>
                        </w:rPr>
                        <w:t>.</w:t>
                      </w:r>
                    </w:p>
                  </w:txbxContent>
                </v:textbox>
              </v:shape>
            </w:pict>
          </mc:Fallback>
        </mc:AlternateContent>
      </w:r>
      <w:r w:rsidR="002C2CEB">
        <w:rPr>
          <w:rFonts w:ascii="Sakkal Majalla" w:hAnsi="Sakkal Majalla" w:cs="Sakkal Majalla"/>
          <w:sz w:val="28"/>
          <w:szCs w:val="28"/>
          <w:rtl/>
          <w:lang w:bidi="ar-EG"/>
        </w:rPr>
        <w:br w:type="page"/>
      </w:r>
    </w:p>
    <w:p w14:paraId="104DF8D6" w14:textId="01331713" w:rsidR="000913DC" w:rsidRPr="001F4211" w:rsidRDefault="001F4211" w:rsidP="001F4211">
      <w:pPr>
        <w:bidi w:val="0"/>
        <w:jc w:val="right"/>
        <w:rPr>
          <w:rtl/>
        </w:rPr>
      </w:pPr>
      <w:r>
        <w:rPr>
          <w:rFonts w:ascii="Sakkal Majalla" w:hAnsi="Sakkal Majalla" w:cs="Sakkal Majalla"/>
          <w:noProof/>
          <w:sz w:val="28"/>
          <w:szCs w:val="28"/>
          <w:rtl/>
          <w:lang w:val="ar-EG" w:bidi="ar-EG"/>
        </w:rPr>
        <w:lastRenderedPageBreak/>
        <mc:AlternateContent>
          <mc:Choice Requires="wps">
            <w:drawing>
              <wp:anchor distT="0" distB="0" distL="114300" distR="114300" simplePos="0" relativeHeight="251686912" behindDoc="0" locked="0" layoutInCell="1" allowOverlap="1" wp14:anchorId="0D7CA8AE" wp14:editId="48AC7C5C">
                <wp:simplePos x="0" y="0"/>
                <wp:positionH relativeFrom="column">
                  <wp:posOffset>0</wp:posOffset>
                </wp:positionH>
                <wp:positionV relativeFrom="paragraph">
                  <wp:posOffset>1385455</wp:posOffset>
                </wp:positionV>
                <wp:extent cx="5744441" cy="1671781"/>
                <wp:effectExtent l="0" t="0" r="0" b="0"/>
                <wp:wrapNone/>
                <wp:docPr id="1769188055" name="مربع نص 7"/>
                <wp:cNvGraphicFramePr/>
                <a:graphic xmlns:a="http://schemas.openxmlformats.org/drawingml/2006/main">
                  <a:graphicData uri="http://schemas.microsoft.com/office/word/2010/wordprocessingShape">
                    <wps:wsp>
                      <wps:cNvSpPr txBox="1"/>
                      <wps:spPr>
                        <a:xfrm>
                          <a:off x="0" y="0"/>
                          <a:ext cx="5744441" cy="1671781"/>
                        </a:xfrm>
                        <a:prstGeom prst="rect">
                          <a:avLst/>
                        </a:prstGeom>
                        <a:noFill/>
                        <a:ln w="6350">
                          <a:noFill/>
                        </a:ln>
                      </wps:spPr>
                      <wps:txbx>
                        <w:txbxContent>
                          <w:p w14:paraId="33F0006D" w14:textId="4B10F721" w:rsidR="001F4211" w:rsidRPr="001F4211" w:rsidRDefault="001F4211">
                            <w:pPr>
                              <w:rPr>
                                <w:rFonts w:asciiTheme="majorBidi" w:hAnsiTheme="majorBidi" w:cstheme="majorBidi"/>
                                <w:b/>
                                <w:bCs/>
                                <w:sz w:val="24"/>
                                <w:szCs w:val="24"/>
                                <w:rtl/>
                              </w:rPr>
                            </w:pPr>
                            <w:r w:rsidRPr="001F4211">
                              <w:rPr>
                                <w:rFonts w:asciiTheme="majorBidi" w:hAnsiTheme="majorBidi" w:cstheme="majorBidi"/>
                                <w:b/>
                                <w:bCs/>
                                <w:sz w:val="24"/>
                                <w:szCs w:val="24"/>
                                <w:rtl/>
                              </w:rPr>
                              <w:t xml:space="preserve">الحمد لله الذي هدانا لهذا وماكنا لنتهدي لولا ان هدانا الله ، وتمت هذه الرسالة بعونه وتوفيقه، فله الحمد أولا وأخيرا </w:t>
                            </w:r>
                          </w:p>
                          <w:p w14:paraId="56273107" w14:textId="77777777" w:rsidR="001F4211" w:rsidRPr="001F4211" w:rsidRDefault="001F4211">
                            <w:pPr>
                              <w:rPr>
                                <w:rFonts w:asciiTheme="majorBidi" w:hAnsiTheme="majorBidi" w:cstheme="majorBidi"/>
                                <w:b/>
                                <w:bCs/>
                                <w:sz w:val="24"/>
                                <w:szCs w:val="24"/>
                                <w:rtl/>
                              </w:rPr>
                            </w:pPr>
                          </w:p>
                          <w:p w14:paraId="260A1C90" w14:textId="1C2BC2BF" w:rsidR="001F4211" w:rsidRPr="001F4211" w:rsidRDefault="001F4211">
                            <w:pPr>
                              <w:rPr>
                                <w:rFonts w:asciiTheme="majorBidi" w:hAnsiTheme="majorBidi" w:cstheme="majorBidi"/>
                                <w:b/>
                                <w:bCs/>
                                <w:sz w:val="24"/>
                                <w:szCs w:val="24"/>
                                <w:rtl/>
                              </w:rPr>
                            </w:pPr>
                            <w:r w:rsidRPr="001F4211">
                              <w:rPr>
                                <w:rFonts w:asciiTheme="majorBidi" w:hAnsiTheme="majorBidi" w:cstheme="majorBidi"/>
                                <w:b/>
                                <w:bCs/>
                                <w:sz w:val="24"/>
                                <w:szCs w:val="24"/>
                                <w:rtl/>
                              </w:rPr>
                              <w:t xml:space="preserve">الى مشرفي الأعزاء، اشكرهم على موافقتهم الكريمة بتسهيل مهمتي وتعاونهم، بتجاوز كافة الصعوبات التي. واجهتني وكان لهم دور في ابراز هذه العمل </w:t>
                            </w:r>
                          </w:p>
                          <w:p w14:paraId="307443A4" w14:textId="35245F3B" w:rsidR="001F4211" w:rsidRPr="001F4211" w:rsidRDefault="001F4211">
                            <w:pPr>
                              <w:rPr>
                                <w:rFonts w:asciiTheme="majorBidi" w:hAnsiTheme="majorBidi" w:cstheme="majorBidi"/>
                                <w:b/>
                                <w:bCs/>
                                <w:sz w:val="24"/>
                                <w:szCs w:val="24"/>
                                <w:rtl/>
                              </w:rPr>
                            </w:pPr>
                            <w:r w:rsidRPr="001F4211">
                              <w:rPr>
                                <w:rFonts w:asciiTheme="majorBidi" w:hAnsiTheme="majorBidi" w:cstheme="majorBidi"/>
                                <w:b/>
                                <w:bCs/>
                                <w:sz w:val="24"/>
                                <w:szCs w:val="24"/>
                                <w:rtl/>
                              </w:rPr>
                              <w:t xml:space="preserve">كما أتقدم بشكر لكل من شارك في هذه الرسالة من مرضى وافراد اسرهم، اللذين تطوعوا بوقتهم ومعلوماتهم </w:t>
                            </w:r>
                          </w:p>
                          <w:p w14:paraId="41A2B648" w14:textId="77777777" w:rsidR="001F4211" w:rsidRPr="001F4211" w:rsidRDefault="001F4211">
                            <w:pPr>
                              <w:rPr>
                                <w:rFonts w:asciiTheme="majorBidi" w:hAnsiTheme="majorBidi" w:cstheme="majorBidi"/>
                                <w:b/>
                                <w:bCs/>
                                <w:sz w:val="24"/>
                                <w:szCs w:val="24"/>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7CA8AE" id="مربع نص 7" o:spid="_x0000_s1031" type="#_x0000_t202" style="position:absolute;left:0;text-align:left;margin-left:0;margin-top:109.1pt;width:452.3pt;height:131.6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" filled="f" stroked="f" strokeweight=".5pt">
                <v:textbox>
                  <w:txbxContent>
                    <w:p w14:paraId="33F0006D" w14:textId="4B10F721" w:rsidR="001F4211" w:rsidRPr="001F4211" w:rsidRDefault="001F4211">
                      <w:pPr>
                        <w:rPr>
                          <w:rFonts w:asciiTheme="majorBidi" w:hAnsiTheme="majorBidi" w:cstheme="majorBidi"/>
                          <w:b/>
                          <w:bCs/>
                          <w:sz w:val="24"/>
                          <w:szCs w:val="24"/>
                          <w:rtl/>
                        </w:rPr>
                      </w:pPr>
                      <w:r w:rsidRPr="001F4211">
                        <w:rPr>
                          <w:rFonts w:asciiTheme="majorBidi" w:hAnsiTheme="majorBidi" w:cstheme="majorBidi"/>
                          <w:b/>
                          <w:bCs/>
                          <w:sz w:val="24"/>
                          <w:szCs w:val="24"/>
                          <w:rtl/>
                        </w:rPr>
                        <w:t xml:space="preserve">الحمد لله الذي هدانا لهذا وماكنا لنتهدي لولا ان هدانا الله ، وتمت هذه الرسالة بعونه وتوفيقه، فله الحمد أولا وأخيرا </w:t>
                      </w:r>
                    </w:p>
                    <w:p w14:paraId="56273107" w14:textId="77777777" w:rsidR="001F4211" w:rsidRPr="001F4211" w:rsidRDefault="001F4211">
                      <w:pPr>
                        <w:rPr>
                          <w:rFonts w:asciiTheme="majorBidi" w:hAnsiTheme="majorBidi" w:cstheme="majorBidi"/>
                          <w:b/>
                          <w:bCs/>
                          <w:sz w:val="24"/>
                          <w:szCs w:val="24"/>
                          <w:rtl/>
                        </w:rPr>
                      </w:pPr>
                    </w:p>
                    <w:p w14:paraId="260A1C90" w14:textId="1C2BC2BF" w:rsidR="001F4211" w:rsidRPr="001F4211" w:rsidRDefault="001F4211">
                      <w:pPr>
                        <w:rPr>
                          <w:rFonts w:asciiTheme="majorBidi" w:hAnsiTheme="majorBidi" w:cstheme="majorBidi"/>
                          <w:b/>
                          <w:bCs/>
                          <w:sz w:val="24"/>
                          <w:szCs w:val="24"/>
                          <w:rtl/>
                        </w:rPr>
                      </w:pPr>
                      <w:r w:rsidRPr="001F4211">
                        <w:rPr>
                          <w:rFonts w:asciiTheme="majorBidi" w:hAnsiTheme="majorBidi" w:cstheme="majorBidi"/>
                          <w:b/>
                          <w:bCs/>
                          <w:sz w:val="24"/>
                          <w:szCs w:val="24"/>
                          <w:rtl/>
                        </w:rPr>
                        <w:t xml:space="preserve">الى مشرفي الأعزاء، اشكرهم على موافقتهم الكريمة بتسهيل مهمتي وتعاونهم، بتجاوز كافة الصعوبات التي. واجهتني وكان لهم دور في ابراز هذه العمل </w:t>
                      </w:r>
                    </w:p>
                    <w:p w14:paraId="307443A4" w14:textId="35245F3B" w:rsidR="001F4211" w:rsidRPr="001F4211" w:rsidRDefault="001F4211">
                      <w:pPr>
                        <w:rPr>
                          <w:rFonts w:asciiTheme="majorBidi" w:hAnsiTheme="majorBidi" w:cstheme="majorBidi"/>
                          <w:b/>
                          <w:bCs/>
                          <w:sz w:val="24"/>
                          <w:szCs w:val="24"/>
                          <w:rtl/>
                        </w:rPr>
                      </w:pPr>
                      <w:r w:rsidRPr="001F4211">
                        <w:rPr>
                          <w:rFonts w:asciiTheme="majorBidi" w:hAnsiTheme="majorBidi" w:cstheme="majorBidi"/>
                          <w:b/>
                          <w:bCs/>
                          <w:sz w:val="24"/>
                          <w:szCs w:val="24"/>
                          <w:rtl/>
                        </w:rPr>
                        <w:t xml:space="preserve">كما أتقدم بشكر لكل من شارك في هذه الرسالة من مرضى وافراد اسرهم، اللذين تطوعوا بوقتهم ومعلوماتهم </w:t>
                      </w:r>
                    </w:p>
                    <w:p w14:paraId="41A2B648" w14:textId="77777777" w:rsidR="001F4211" w:rsidRPr="001F4211" w:rsidRDefault="001F4211">
                      <w:pPr>
                        <w:rPr>
                          <w:rFonts w:asciiTheme="majorBidi" w:hAnsiTheme="majorBidi" w:cstheme="majorBidi"/>
                          <w:b/>
                          <w:bCs/>
                          <w:sz w:val="24"/>
                          <w:szCs w:val="24"/>
                          <w:rtl/>
                        </w:rPr>
                      </w:pPr>
                    </w:p>
                  </w:txbxContent>
                </v:textbox>
              </v:shape>
            </w:pict>
          </mc:Fallback>
        </mc:AlternateContent>
      </w:r>
      <w:r w:rsidR="005F0DCE">
        <w:rPr>
          <w:rFonts w:ascii="Sakkal Majalla" w:hAnsi="Sakkal Majalla" w:cs="Sakkal Majalla"/>
          <w:noProof/>
          <w:sz w:val="28"/>
          <w:szCs w:val="28"/>
          <w:rtl/>
          <w:lang w:val="ar-EG" w:bidi="ar-EG"/>
        </w:rPr>
        <mc:AlternateContent>
          <mc:Choice Requires="wps">
            <w:drawing>
              <wp:anchor distT="0" distB="0" distL="114300" distR="114300" simplePos="0" relativeHeight="251678720" behindDoc="0" locked="0" layoutInCell="1" allowOverlap="1" wp14:anchorId="1B11AD75" wp14:editId="6FBEA8B6">
                <wp:simplePos x="0" y="0"/>
                <wp:positionH relativeFrom="column">
                  <wp:posOffset>0</wp:posOffset>
                </wp:positionH>
                <wp:positionV relativeFrom="paragraph">
                  <wp:posOffset>0</wp:posOffset>
                </wp:positionV>
                <wp:extent cx="5469890" cy="824230"/>
                <wp:effectExtent l="0" t="0" r="0" b="0"/>
                <wp:wrapNone/>
                <wp:docPr id="1473080954" name="مربع نص 8"/>
                <wp:cNvGraphicFramePr/>
                <a:graphic xmlns:a="http://schemas.openxmlformats.org/drawingml/2006/main">
                  <a:graphicData uri="http://schemas.microsoft.com/office/word/2010/wordprocessingShape">
                    <wps:wsp>
                      <wps:cNvSpPr txBox="1"/>
                      <wps:spPr>
                        <a:xfrm>
                          <a:off x="0" y="0"/>
                          <a:ext cx="5469890" cy="824230"/>
                        </a:xfrm>
                        <a:prstGeom prst="rect">
                          <a:avLst/>
                        </a:prstGeom>
                        <a:noFill/>
                        <a:ln w="6350">
                          <a:noFill/>
                        </a:ln>
                      </wps:spPr>
                      <wps:txbx>
                        <w:txbxContent>
                          <w:p w14:paraId="6D76102D" w14:textId="21EB1D07" w:rsidR="005F0DCE" w:rsidRPr="00894C14" w:rsidRDefault="005F0DCE" w:rsidP="005F0DCE">
                            <w:pPr>
                              <w:jc w:val="center"/>
                              <w:rPr>
                                <w:rFonts w:ascii="Sana" w:hAnsi="Sana" w:cs="Sana"/>
                              </w:rPr>
                            </w:pPr>
                            <w:r>
                              <w:rPr>
                                <w:rFonts w:ascii="Sana" w:hAnsi="Sana" w:cs="Sana" w:hint="cs"/>
                                <w:sz w:val="52"/>
                                <w:szCs w:val="52"/>
                                <w:rtl/>
                              </w:rPr>
                              <w:t>الشكر والتقدير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11AD75" id="_x0000_s1032" type="#_x0000_t202" style="position:absolute;left:0;text-align:left;margin-left:0;margin-top:0;width:430.7pt;height:64.9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" filled="f" stroked="f" strokeweight=".5pt">
                <v:textbox>
                  <w:txbxContent>
                    <w:p w14:paraId="6D76102D" w14:textId="21EB1D07" w:rsidR="005F0DCE" w:rsidRPr="00894C14" w:rsidRDefault="005F0DCE" w:rsidP="005F0DCE">
                      <w:pPr>
                        <w:jc w:val="center"/>
                        <w:rPr>
                          <w:rFonts w:ascii="Sana" w:hAnsi="Sana" w:cs="Sana"/>
                        </w:rPr>
                      </w:pPr>
                      <w:r>
                        <w:rPr>
                          <w:rFonts w:ascii="Sana" w:hAnsi="Sana" w:cs="Sana" w:hint="cs"/>
                          <w:sz w:val="52"/>
                          <w:szCs w:val="52"/>
                          <w:rtl/>
                        </w:rPr>
                        <w:t>الشكر والتقدير</w:t>
                      </w:r>
                    </w:p>
                  </w:txbxContent>
                </v:textbox>
              </v:shape>
            </w:pict>
          </mc:Fallback>
        </mc:AlternateContent>
      </w:r>
      <w:r w:rsidR="000913DC">
        <w:br w:type="page"/>
      </w:r>
      <w:r w:rsidR="000913DC">
        <w:rPr>
          <w:rFonts w:ascii="Simplified Arabic" w:hAnsi="Simplified Arabic" w:cs="Simplified Arabic" w:hint="cs"/>
          <w:b/>
          <w:bCs/>
          <w:sz w:val="36"/>
          <w:szCs w:val="36"/>
          <w:rtl/>
          <w:lang w:bidi="ar-EG"/>
        </w:rPr>
        <w:lastRenderedPageBreak/>
        <w:t>الملخص:</w:t>
      </w:r>
    </w:p>
    <w:p w14:paraId="1A4FEDC8" w14:textId="77777777" w:rsidR="000913DC" w:rsidRDefault="000913DC" w:rsidP="000913DC">
      <w:pPr>
        <w:spacing w:line="276" w:lineRule="auto"/>
        <w:rPr>
          <w:rFonts w:ascii="Simplified Arabic" w:hAnsi="Simplified Arabic" w:cs="Simplified Arabic"/>
          <w:sz w:val="28"/>
          <w:szCs w:val="28"/>
          <w:rtl/>
          <w:lang w:bidi="ar-EG"/>
        </w:rPr>
      </w:pPr>
      <w:r w:rsidRPr="001E7784">
        <w:rPr>
          <w:rFonts w:ascii="Simplified Arabic" w:hAnsi="Simplified Arabic" w:cs="Simplified Arabic"/>
          <w:sz w:val="28"/>
          <w:szCs w:val="28"/>
          <w:rtl/>
        </w:rPr>
        <w:t xml:space="preserve">هدفت الدراسة إلى التعرف على دور الإعلام الرقمي في تعزيز الوعي الصحي بالأمراض العصبية المزمنة داخل المجتمع السعودي، وقياس مدى إسهامه في نشر المعلومات الصحية الموثوقة، ورفع مستوى المعرفة الصحية لدى المرضى وأسرهم، مع تحديد أبرز التحديات التي تواجه الاستفادة من المحتوى الصحي الرقمي، واقتراح سبل تطويره. اعتمدت الدراسة على المنهج الوصفي التحليلي، واستخدمت أداتين لجمع البيانات؛ الأولى استبانة طُبقت على عينة قوامها (400) مفردة من أفراد المجتمع، والثانية مقابلات شبه مقننة مع </w:t>
      </w:r>
      <w:r w:rsidRPr="001E7784">
        <w:rPr>
          <w:rFonts w:ascii="Simplified Arabic" w:hAnsi="Simplified Arabic" w:cs="Simplified Arabic"/>
          <w:sz w:val="28"/>
          <w:szCs w:val="28"/>
          <w:lang w:bidi="ar-EG"/>
        </w:rPr>
        <w:t xml:space="preserve">50 </w:t>
      </w:r>
      <w:r w:rsidRPr="001E7784">
        <w:rPr>
          <w:rFonts w:ascii="Simplified Arabic" w:hAnsi="Simplified Arabic" w:cs="Simplified Arabic"/>
          <w:sz w:val="28"/>
          <w:szCs w:val="28"/>
          <w:rtl/>
        </w:rPr>
        <w:t>مشاركًا بواقع (25) طبيبًا و(25) مريضًا، بهدف الحصول على رؤية شاملة حول واقع الإعلام الرقمي في التوعية الصحية. وتنبع أهمية الدراسة من أهمية الإعلام الرقمي باعتباره وسيلة رئيسية لنشر الثقافة الصحية، ودوره في دعم جهود الوقاية، وتحسين جودة الحياة، ومواجهة المعلومات الصحية المضللة، خاصة لدى مرضى الأمراض العصبية المزمنة. وأظهرت النتائج أن الإعلام الرقمي يمثل مصدرًا رئيسيًا للمعلومات الصحية، ويسهم بدرجة كبيرة في رفع الوعي الصحي، وتعزيز فهم المرض، وتشجيع الالتزام بالعلاج، مع تفضيل المرضى للمحتوى المرئي مثل الفيديوهات والإنفوجرافيك. كما بينت النتائج أن الثقة بالمحتوى ترتبط بصدوره عن جهات صحية رسمية أو مختصين، في حين تشكل المعلومات غير الموثوقة والتجارب الشخصية غير العلمية أبرز التحديات. وأوصت الدراسة بتعزيز حضور المؤسسات الصحية والأطباء على المنصات الرقمية، وإنتاج محتوى صحي مبسط وموثوق، وتكثيف الحملات التوعوية المستمرة، وتوظيف التقنيات الحديثة والذكاء الاصطناعي في نشر التوعية الصحية، مع تطوير آليات لرصد المعلومات المضللة وتعزيز الثقافة الصحية الرقمية لدى أفراد المجتمع</w:t>
      </w:r>
      <w:r w:rsidRPr="001E7784">
        <w:rPr>
          <w:rFonts w:ascii="Simplified Arabic" w:hAnsi="Simplified Arabic" w:cs="Simplified Arabic"/>
          <w:sz w:val="28"/>
          <w:szCs w:val="28"/>
          <w:lang w:bidi="ar-EG"/>
        </w:rPr>
        <w:t xml:space="preserve">. </w:t>
      </w:r>
    </w:p>
    <w:p w14:paraId="0613CC00" w14:textId="1BDEC6E0" w:rsidR="00FF214E" w:rsidRPr="00FF214E" w:rsidRDefault="00FF214E" w:rsidP="00FF214E">
      <w:pPr>
        <w:spacing w:line="276" w:lineRule="auto"/>
        <w:rPr>
          <w:rFonts w:ascii="Simplified Arabic" w:hAnsi="Simplified Arabic" w:cs="Simplified Arabic"/>
          <w:sz w:val="28"/>
          <w:szCs w:val="28"/>
          <w:rtl/>
          <w:lang w:bidi="ar-EG"/>
        </w:rPr>
      </w:pPr>
      <w:r w:rsidRPr="00FF214E">
        <w:rPr>
          <w:rFonts w:ascii="Simplified Arabic" w:hAnsi="Simplified Arabic" w:cs="Simplified Arabic" w:hint="cs"/>
          <w:sz w:val="28"/>
          <w:szCs w:val="28"/>
          <w:rtl/>
          <w:lang w:bidi="ar-EG"/>
        </w:rPr>
        <w:t xml:space="preserve">الكلمات المفتاحية: </w:t>
      </w:r>
      <w:r w:rsidRPr="00FF214E">
        <w:rPr>
          <w:rFonts w:ascii="Simplified Arabic" w:hAnsi="Simplified Arabic" w:cs="Simplified Arabic"/>
          <w:sz w:val="28"/>
          <w:szCs w:val="28"/>
          <w:rtl/>
          <w:lang w:bidi="ar-EG"/>
        </w:rPr>
        <w:t>الإعلام الرقمي</w:t>
      </w:r>
      <w:r>
        <w:rPr>
          <w:rFonts w:ascii="Simplified Arabic" w:hAnsi="Simplified Arabic" w:cs="Simplified Arabic" w:hint="cs"/>
          <w:sz w:val="28"/>
          <w:szCs w:val="28"/>
          <w:rtl/>
          <w:lang w:bidi="ar-EG"/>
        </w:rPr>
        <w:t>,</w:t>
      </w:r>
      <w:r w:rsidRPr="00FF214E">
        <w:rPr>
          <w:rFonts w:ascii="Simplified Arabic" w:hAnsi="Simplified Arabic" w:cs="Simplified Arabic"/>
          <w:sz w:val="28"/>
          <w:szCs w:val="28"/>
          <w:rtl/>
          <w:lang w:bidi="ar-EG"/>
        </w:rPr>
        <w:t xml:space="preserve"> التوعیة</w:t>
      </w:r>
      <w:r>
        <w:rPr>
          <w:rFonts w:ascii="Simplified Arabic" w:hAnsi="Simplified Arabic" w:cs="Simplified Arabic" w:hint="cs"/>
          <w:sz w:val="28"/>
          <w:szCs w:val="28"/>
          <w:rtl/>
          <w:lang w:bidi="ar-EG"/>
        </w:rPr>
        <w:t xml:space="preserve">, </w:t>
      </w:r>
      <w:r w:rsidRPr="00FF214E">
        <w:rPr>
          <w:rFonts w:ascii="Simplified Arabic" w:hAnsi="Simplified Arabic" w:cs="Simplified Arabic"/>
          <w:sz w:val="28"/>
          <w:szCs w:val="28"/>
          <w:rtl/>
          <w:lang w:bidi="ar-EG"/>
        </w:rPr>
        <w:t>الأمراض العصبية المزمنة</w:t>
      </w:r>
      <w:r>
        <w:rPr>
          <w:rFonts w:ascii="Simplified Arabic" w:hAnsi="Simplified Arabic" w:cs="Simplified Arabic" w:hint="cs"/>
          <w:sz w:val="28"/>
          <w:szCs w:val="28"/>
          <w:rtl/>
          <w:lang w:bidi="ar-EG"/>
        </w:rPr>
        <w:t>,</w:t>
      </w:r>
      <w:r w:rsidRPr="00FF214E">
        <w:rPr>
          <w:rFonts w:ascii="Simplified Arabic" w:hAnsi="Simplified Arabic" w:cs="Simplified Arabic"/>
          <w:sz w:val="28"/>
          <w:szCs w:val="28"/>
          <w:rtl/>
          <w:lang w:bidi="ar-EG"/>
        </w:rPr>
        <w:t xml:space="preserve"> المجتمع السعودي</w:t>
      </w:r>
      <w:r>
        <w:rPr>
          <w:rFonts w:ascii="Simplified Arabic" w:hAnsi="Simplified Arabic" w:cs="Simplified Arabic" w:hint="cs"/>
          <w:sz w:val="28"/>
          <w:szCs w:val="28"/>
          <w:rtl/>
          <w:lang w:bidi="ar-EG"/>
        </w:rPr>
        <w:t>.</w:t>
      </w:r>
    </w:p>
    <w:p w14:paraId="0C998A82" w14:textId="77777777" w:rsidR="000913DC" w:rsidRDefault="000913DC" w:rsidP="000913DC">
      <w:pPr>
        <w:spacing w:line="276" w:lineRule="auto"/>
        <w:rPr>
          <w:rFonts w:ascii="Simplified Arabic" w:hAnsi="Simplified Arabic" w:cs="Simplified Arabic"/>
          <w:sz w:val="28"/>
          <w:szCs w:val="28"/>
          <w:rtl/>
          <w:lang w:bidi="ar-EG"/>
        </w:rPr>
      </w:pPr>
    </w:p>
    <w:p w14:paraId="19D39080" w14:textId="77777777" w:rsidR="00FF214E" w:rsidRDefault="00FF214E" w:rsidP="000913DC">
      <w:pPr>
        <w:spacing w:line="276" w:lineRule="auto"/>
        <w:rPr>
          <w:rFonts w:ascii="Simplified Arabic" w:hAnsi="Simplified Arabic" w:cs="Simplified Arabic"/>
          <w:sz w:val="32"/>
          <w:szCs w:val="32"/>
          <w:rtl/>
          <w:lang w:bidi="ar-EG"/>
        </w:rPr>
      </w:pPr>
    </w:p>
    <w:p w14:paraId="0034A35B" w14:textId="77777777" w:rsidR="001F4211" w:rsidRDefault="001F4211" w:rsidP="000913DC">
      <w:pPr>
        <w:spacing w:line="276" w:lineRule="auto"/>
        <w:rPr>
          <w:rFonts w:ascii="Simplified Arabic" w:hAnsi="Simplified Arabic" w:cs="Simplified Arabic"/>
          <w:sz w:val="32"/>
          <w:szCs w:val="32"/>
          <w:rtl/>
          <w:lang w:bidi="ar-EG"/>
        </w:rPr>
      </w:pPr>
    </w:p>
    <w:p w14:paraId="7E61121A" w14:textId="77777777" w:rsidR="001F4211" w:rsidRDefault="001F4211" w:rsidP="000913DC">
      <w:pPr>
        <w:spacing w:line="276" w:lineRule="auto"/>
        <w:jc w:val="right"/>
        <w:rPr>
          <w:rFonts w:ascii="Simplified Arabic" w:hAnsi="Simplified Arabic" w:cs="Simplified Arabic"/>
          <w:sz w:val="32"/>
          <w:szCs w:val="32"/>
          <w:rtl/>
          <w:lang w:bidi="ar-EG"/>
        </w:rPr>
      </w:pPr>
    </w:p>
    <w:p w14:paraId="7418A42B" w14:textId="7E6B8883" w:rsidR="000913DC" w:rsidRPr="001E7784" w:rsidRDefault="000913DC" w:rsidP="000913DC">
      <w:pPr>
        <w:spacing w:line="276" w:lineRule="auto"/>
        <w:jc w:val="right"/>
        <w:rPr>
          <w:rFonts w:ascii="Simplified Arabic" w:hAnsi="Simplified Arabic" w:cs="Simplified Arabic"/>
          <w:sz w:val="28"/>
          <w:szCs w:val="28"/>
          <w:lang w:bidi="ar-EG"/>
        </w:rPr>
      </w:pPr>
      <w:r w:rsidRPr="001E7784">
        <w:rPr>
          <w:rFonts w:ascii="Simplified Arabic" w:hAnsi="Simplified Arabic" w:cs="Simplified Arabic"/>
          <w:b/>
          <w:bCs/>
          <w:sz w:val="28"/>
          <w:szCs w:val="28"/>
          <w:lang w:bidi="ar-EG"/>
        </w:rPr>
        <w:t>Abstract</w:t>
      </w:r>
    </w:p>
    <w:p w14:paraId="705F04EC" w14:textId="77777777" w:rsidR="000913DC" w:rsidRPr="001F4211" w:rsidRDefault="000913DC" w:rsidP="000913DC">
      <w:pPr>
        <w:spacing w:line="276" w:lineRule="auto"/>
        <w:jc w:val="right"/>
        <w:rPr>
          <w:rFonts w:asciiTheme="majorBidi" w:hAnsiTheme="majorBidi" w:cstheme="majorBidi"/>
          <w:sz w:val="24"/>
          <w:szCs w:val="24"/>
          <w:lang w:bidi="ar-EG"/>
        </w:rPr>
      </w:pPr>
      <w:r w:rsidRPr="001F4211">
        <w:rPr>
          <w:rFonts w:asciiTheme="majorBidi" w:hAnsiTheme="majorBidi" w:cstheme="majorBidi"/>
          <w:sz w:val="24"/>
          <w:szCs w:val="24"/>
          <w:lang w:bidi="ar-EG"/>
        </w:rPr>
        <w:t>This study aimed to examine the role of digital media in promoting health awareness of chronic neurological diseases in Saudi society by assessing its contribution to disseminating reliable health information, enhancing health literacy among patients and their families, identifying the major challenges associated with digital health content, and proposing strategies for its improvement. The study adopted a descriptive-analytical approach and employed two data collection instruments. The first was a questionnaire administered to a sample of 400 participants, while the second consisted of semi-structured interviews conducted with 50 participants, including 25 physicians and 25 patients, to obtain comprehensive insights into the current role of digital media in health education.</w:t>
      </w:r>
    </w:p>
    <w:p w14:paraId="084CC2F4" w14:textId="77777777" w:rsidR="000913DC" w:rsidRPr="001F4211" w:rsidRDefault="000913DC" w:rsidP="000913DC">
      <w:pPr>
        <w:spacing w:line="276" w:lineRule="auto"/>
        <w:jc w:val="right"/>
        <w:rPr>
          <w:rFonts w:asciiTheme="majorBidi" w:hAnsiTheme="majorBidi" w:cstheme="majorBidi"/>
          <w:sz w:val="24"/>
          <w:szCs w:val="24"/>
          <w:lang w:bidi="ar-EG"/>
        </w:rPr>
      </w:pPr>
      <w:r w:rsidRPr="001F4211">
        <w:rPr>
          <w:rFonts w:asciiTheme="majorBidi" w:hAnsiTheme="majorBidi" w:cstheme="majorBidi"/>
          <w:sz w:val="24"/>
          <w:szCs w:val="24"/>
          <w:lang w:bidi="ar-EG"/>
        </w:rPr>
        <w:t>The significance of the study lies in highlighting digital media as a key platform for promoting health literacy, supporting disease prevention efforts, improving patients’ quality of life, and combating health misinformation, particularly in relation to chronic neurological diseases. The findings revealed that digital media has become a primary source of health information and plays a significant role in increasing health awareness, improving patients’ understanding of their conditions, and encouraging adherence to treatment plans. The results also indicated that patients show a clear preference for visual content, particularly educational videos and infographics. Furthermore, trust in digital health information was found to depend largely on its publication by official health authorities or qualified healthcare professionals, whereas unreliable information and unverified personal experiences were identified as the main challenges.</w:t>
      </w:r>
    </w:p>
    <w:p w14:paraId="03DFCFCE" w14:textId="77777777" w:rsidR="000913DC" w:rsidRPr="001F4211" w:rsidRDefault="000913DC" w:rsidP="000913DC">
      <w:pPr>
        <w:spacing w:line="276" w:lineRule="auto"/>
        <w:jc w:val="right"/>
        <w:rPr>
          <w:rFonts w:asciiTheme="majorBidi" w:hAnsiTheme="majorBidi" w:cstheme="majorBidi"/>
          <w:sz w:val="24"/>
          <w:szCs w:val="24"/>
          <w:rtl/>
          <w:lang w:bidi="ar-EG"/>
        </w:rPr>
      </w:pPr>
      <w:r w:rsidRPr="001F4211">
        <w:rPr>
          <w:rFonts w:asciiTheme="majorBidi" w:hAnsiTheme="majorBidi" w:cstheme="majorBidi"/>
          <w:sz w:val="24"/>
          <w:szCs w:val="24"/>
          <w:lang w:bidi="ar-EG"/>
        </w:rPr>
        <w:t>The study recommends strengthening the digital presence of healthcare institutions and medical professionals, producing simplified and evidence-based health content, implementing continuous digital awareness campaigns, utilizing emerging technologies and artificial intelligence in health education, developing effective mechanisms to monitor and counter health misinformation, and enhancing digital health literacy across the community.</w:t>
      </w:r>
    </w:p>
    <w:p w14:paraId="171587E7" w14:textId="0B46FA5D" w:rsidR="00FF214E" w:rsidRDefault="00FF214E" w:rsidP="000913DC">
      <w:pPr>
        <w:spacing w:line="276" w:lineRule="auto"/>
        <w:jc w:val="right"/>
        <w:rPr>
          <w:rFonts w:asciiTheme="majorBidi" w:hAnsiTheme="majorBidi" w:cstheme="majorBidi"/>
          <w:sz w:val="24"/>
          <w:szCs w:val="24"/>
          <w:rtl/>
          <w:lang w:bidi="ar-EG"/>
        </w:rPr>
      </w:pPr>
      <w:r w:rsidRPr="001F4211">
        <w:rPr>
          <w:rFonts w:asciiTheme="majorBidi" w:hAnsiTheme="majorBidi" w:cstheme="majorBidi"/>
          <w:sz w:val="24"/>
          <w:szCs w:val="24"/>
          <w:lang w:bidi="ar-EG"/>
        </w:rPr>
        <w:t>Keywords: digital media, awareness, chronic neurological diseases, Saudi society</w:t>
      </w:r>
    </w:p>
    <w:p w14:paraId="6C77C985" w14:textId="77777777" w:rsidR="001F4211" w:rsidRDefault="001F4211" w:rsidP="000913DC">
      <w:pPr>
        <w:spacing w:line="276" w:lineRule="auto"/>
        <w:jc w:val="right"/>
        <w:rPr>
          <w:rFonts w:asciiTheme="majorBidi" w:hAnsiTheme="majorBidi" w:cstheme="majorBidi"/>
          <w:sz w:val="24"/>
          <w:szCs w:val="24"/>
          <w:rtl/>
          <w:lang w:bidi="ar-EG"/>
        </w:rPr>
      </w:pPr>
    </w:p>
    <w:p w14:paraId="6844D96D" w14:textId="77777777" w:rsidR="001F4211" w:rsidRDefault="001F4211" w:rsidP="000913DC">
      <w:pPr>
        <w:spacing w:line="276" w:lineRule="auto"/>
        <w:jc w:val="right"/>
        <w:rPr>
          <w:rFonts w:asciiTheme="majorBidi" w:hAnsiTheme="majorBidi" w:cstheme="majorBidi"/>
          <w:sz w:val="24"/>
          <w:szCs w:val="24"/>
          <w:rtl/>
          <w:lang w:bidi="ar-EG"/>
        </w:rPr>
      </w:pPr>
    </w:p>
    <w:p w14:paraId="6564D24B" w14:textId="77777777" w:rsidR="001F4211" w:rsidRDefault="001F4211" w:rsidP="000913DC">
      <w:pPr>
        <w:spacing w:line="276" w:lineRule="auto"/>
        <w:jc w:val="right"/>
        <w:rPr>
          <w:rFonts w:asciiTheme="majorBidi" w:hAnsiTheme="majorBidi" w:cstheme="majorBidi"/>
          <w:sz w:val="24"/>
          <w:szCs w:val="24"/>
          <w:rtl/>
          <w:lang w:bidi="ar-EG"/>
        </w:rPr>
      </w:pPr>
    </w:p>
    <w:p w14:paraId="71A95D6C" w14:textId="77777777" w:rsidR="001F4211" w:rsidRDefault="001F4211" w:rsidP="000913DC">
      <w:pPr>
        <w:spacing w:line="276" w:lineRule="auto"/>
        <w:jc w:val="right"/>
        <w:rPr>
          <w:rFonts w:asciiTheme="majorBidi" w:hAnsiTheme="majorBidi" w:cstheme="majorBidi"/>
          <w:sz w:val="24"/>
          <w:szCs w:val="24"/>
          <w:rtl/>
          <w:lang w:bidi="ar-EG"/>
        </w:rPr>
      </w:pPr>
    </w:p>
    <w:p w14:paraId="2F00F2B4" w14:textId="77777777" w:rsidR="001F4211" w:rsidRDefault="001F4211" w:rsidP="000913DC">
      <w:pPr>
        <w:spacing w:line="276" w:lineRule="auto"/>
        <w:jc w:val="right"/>
        <w:rPr>
          <w:rFonts w:ascii="Simplified Arabic" w:hAnsi="Simplified Arabic" w:cs="Simplified Arabic"/>
          <w:sz w:val="24"/>
          <w:szCs w:val="24"/>
          <w:rtl/>
          <w:lang w:bidi="ar-EG"/>
        </w:rPr>
      </w:pPr>
    </w:p>
    <w:p w14:paraId="6CB123B5" w14:textId="2E8B9DEA" w:rsidR="00916091" w:rsidRPr="000913DC" w:rsidRDefault="00916091" w:rsidP="000913DC">
      <w:pPr>
        <w:rPr>
          <w:rtl/>
        </w:rPr>
      </w:pPr>
    </w:p>
    <w:p w14:paraId="62B3C7E5" w14:textId="77777777" w:rsidR="00916091" w:rsidRPr="00916091" w:rsidRDefault="00916091" w:rsidP="00916091">
      <w:pPr>
        <w:spacing w:line="360" w:lineRule="auto"/>
        <w:jc w:val="center"/>
        <w:rPr>
          <w:rFonts w:asciiTheme="majorBidi" w:hAnsiTheme="majorBidi" w:cstheme="majorBidi"/>
          <w:b/>
          <w:bCs/>
          <w:sz w:val="36"/>
          <w:szCs w:val="36"/>
          <w:rtl/>
          <w:lang w:bidi="ar-EG"/>
        </w:rPr>
      </w:pPr>
      <w:r w:rsidRPr="00916091">
        <w:rPr>
          <w:rFonts w:asciiTheme="majorBidi" w:hAnsiTheme="majorBidi" w:cstheme="majorBidi"/>
          <w:b/>
          <w:bCs/>
          <w:sz w:val="36"/>
          <w:szCs w:val="36"/>
          <w:rtl/>
          <w:lang w:bidi="ar-EG"/>
        </w:rPr>
        <w:lastRenderedPageBreak/>
        <w:t>الفصل الأول: الاطار المنهجي للدراسة</w:t>
      </w:r>
    </w:p>
    <w:p w14:paraId="260880AC"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أولا: مقدمة الدراسة</w:t>
      </w:r>
    </w:p>
    <w:p w14:paraId="2F3D1037"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في ظل التحول الرقمي المتسارع الذي تشهده المملكة العربية السعودية ، وتبنيها لرؤية 2030 الطموحة ، أصبح الوعي الرقمي ضرورة ملحة لكل فرد في المجتمع وذلك نقلاً عن وكالة الأنباء السعودية (واس) في  بنوفمبر 2022م  بالدور الذي يقوم به الإعلام السعودي في نقل الحقائق بالصورة الواقعية الموضوعية والدفاع عن الوطن ومقدراته (البطريق,2020)</w:t>
      </w:r>
    </w:p>
    <w:p w14:paraId="54A3DDA1"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كما ان الاعلام يلعب دورا هاما  في نشر الوعي الرقمي بين افراد المجتمع بالمملكة العربية السعودية على صعيد الجوانب الحياتية على التكنولوجية الرقمية ويساهم في توعية الجمهور حول مخاطر الاستخدام وتعزيز السلوك الايجابي في البيئة الرقمية ونشر ‏المعرفة حول فوائد الوسائل الرقمية وكيفية الاستفادة الأمثل منها(الأمين,2020)</w:t>
      </w:r>
    </w:p>
    <w:p w14:paraId="2D7A468D"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ومن أهم هذه المجالات التي يمكن للإعلام الرقمي أن يساهم فيها بشكل إيجابي مجال  التوعية الصحية للأمراض المزمنة التي تصيب العديد من أفراد المجتمع ،أﮐدت دراﺳﺔ (ﺑﺷﯾر ﻣﺻطﻔﺎوي، 2016 ) ﻋﻟﯽ أن وﺳﺎﺋل اﻹﻋﻼم الحديثة ﺗﻌد اﻟﻣﺻدر اﻟرﺋﯾﺳﻲ ﻟﻟﻣﻌﻟوﻣﺎت اﻟﺻﺣﯾﺔ، وﺗؤدي دورًا ﮐﺑﯾرًا وﻣ هﻣًﺎ ﻓﻲ ﺑﻧﺎء اﻟﻔرد وﺗﮐوﯾﻧﮫ اﻟﻣﻌرﻓﻲ واﻟوﺟداﻧﻲ(عثمان,2019)</w:t>
      </w:r>
    </w:p>
    <w:p w14:paraId="46F159A0"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الأمراض العصبية هي مجموعة من الاضطرابات التي تصيب الجهاز العصبي، سواء المركزي الذي يشمل الدماغ والحبل الشوكي، أو المحيطي الذي يشمل الأعصاب المنتشرة في الجسم. تلعب هذه الأمراض دورًا كبيرًا في التأثير على حياة الأفراد، حيث يمكن أن تؤدي إلى فقدان الوظائف الحركية أو الإدراكية، مما يؤثر على قدرة الشخص على أداء مهامه اليومية</w:t>
      </w:r>
      <w:r w:rsidRPr="00916091">
        <w:rPr>
          <w:rFonts w:asciiTheme="majorBidi" w:hAnsiTheme="majorBidi" w:cstheme="majorBidi"/>
          <w:sz w:val="28"/>
          <w:szCs w:val="28"/>
          <w:rtl/>
          <w:lang w:bidi="ar-EG"/>
        </w:rPr>
        <w:t>(</w:t>
      </w:r>
      <w:r w:rsidRPr="00916091">
        <w:rPr>
          <w:rFonts w:asciiTheme="majorBidi" w:hAnsiTheme="majorBidi" w:cstheme="majorBidi"/>
          <w:sz w:val="28"/>
          <w:szCs w:val="28"/>
          <w:lang w:bidi="ar-EG"/>
        </w:rPr>
        <w:t>Fundoiano,2021</w:t>
      </w:r>
      <w:r w:rsidRPr="00916091">
        <w:rPr>
          <w:rFonts w:asciiTheme="majorBidi" w:hAnsiTheme="majorBidi" w:cstheme="majorBidi"/>
          <w:sz w:val="28"/>
          <w:szCs w:val="28"/>
          <w:rtl/>
          <w:lang w:bidi="ar-EG"/>
        </w:rPr>
        <w:t>)</w:t>
      </w:r>
    </w:p>
    <w:p w14:paraId="34083720"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rPr>
        <w:t>تنشأ الأمراض العصبية لأسباب متعددة، فقد تكون وراثية، أو نتيجة التهابات، أو إصابات مباشرة في الدماغ أو النخاع الشوكي. كما يمكن أن تنتج عن أمراض مناعية تهاجم الجهاز العصبي، أو اضطرابات في الأوعية الدموية التي تغذي الدماغ، مثل السكتة الدماغية. في بعض الحالات، قد يكون السبب غير معروف، مما يزيد من تحديات التشخيص والعلاج</w:t>
      </w:r>
      <w:r w:rsidRPr="00916091">
        <w:rPr>
          <w:rFonts w:asciiTheme="majorBidi" w:hAnsiTheme="majorBidi" w:cstheme="majorBidi"/>
          <w:sz w:val="28"/>
          <w:szCs w:val="28"/>
          <w:rtl/>
          <w:lang w:bidi="ar-EG"/>
        </w:rPr>
        <w:t>(عويدات,2020)</w:t>
      </w:r>
    </w:p>
    <w:p w14:paraId="3A37A4F6"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 xml:space="preserve">تختلف طرق علاج الأمراض العصبية وفقًا لنوع المرض وشدته. في بعض الحالات، يتم استخدام الأدوية للحد من الأعراض أو إبطاء تقدم المرض، كما هو الحال في مرض باركنسون والزهايمر. بينما تتطلب </w:t>
      </w:r>
      <w:r w:rsidRPr="00916091">
        <w:rPr>
          <w:rFonts w:asciiTheme="majorBidi" w:hAnsiTheme="majorBidi" w:cstheme="majorBidi"/>
          <w:sz w:val="28"/>
          <w:szCs w:val="28"/>
          <w:rtl/>
        </w:rPr>
        <w:lastRenderedPageBreak/>
        <w:t>بعض الحالات الأخرى علاجات جراحية، مثل استئصال الأورام الدماغية أو تركيب أجهزة تحفيز عصبي لعلاج اضطرابات الحركة</w:t>
      </w:r>
      <w:r w:rsidRPr="00916091">
        <w:rPr>
          <w:rFonts w:asciiTheme="majorBidi" w:hAnsiTheme="majorBidi" w:cstheme="majorBidi"/>
          <w:sz w:val="28"/>
          <w:szCs w:val="28"/>
          <w:rtl/>
          <w:lang w:bidi="ar-EG"/>
        </w:rPr>
        <w:t>(عبد المقصود,2020)</w:t>
      </w:r>
    </w:p>
    <w:p w14:paraId="03C03F26"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تلعب جلسات العلاج الطبيعي والتأهيل دورًا مهمًا في تحسين جودة حياة المرضى الذين يعانون من أمراض عصبية تؤثر على الحركة. كما أن العلاج النفسي والدعم الاجتماعي يساعدان المرضى على التكيف مع تأثيرات المرض، خاصة في الحالات التي تؤثر على الذاكرة أو الوظائف الإدراكية</w:t>
      </w:r>
      <w:r w:rsidRPr="00916091">
        <w:rPr>
          <w:rFonts w:asciiTheme="majorBidi" w:hAnsiTheme="majorBidi" w:cstheme="majorBidi"/>
          <w:sz w:val="28"/>
          <w:szCs w:val="28"/>
          <w:rtl/>
          <w:lang w:bidi="ar-EG"/>
        </w:rPr>
        <w:t>(البشير,2020)</w:t>
      </w:r>
    </w:p>
    <w:p w14:paraId="014336C0"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مع التقدم الطبي، تتجه الأبحاث إلى تطوير علاجات جديدة، بما في ذلك العلاجات الجينية، والخلايا الجذعية، والأدوية التي تستهدف مسارات عصبية محددة. هناك أيضًا تقدم في استخدام الذكاء الاصطناعي في تشخيص الأمراض العصبية والتنبؤ بمسارها، مما قد يساعد في تحسين خطط العلاج المستقبلية</w:t>
      </w:r>
      <w:r w:rsidRPr="00916091">
        <w:rPr>
          <w:rFonts w:asciiTheme="majorBidi" w:hAnsiTheme="majorBidi" w:cstheme="majorBidi"/>
          <w:sz w:val="28"/>
          <w:szCs w:val="28"/>
          <w:rtl/>
          <w:lang w:bidi="ar-EG"/>
        </w:rPr>
        <w:t>(الأمين,2020)</w:t>
      </w:r>
    </w:p>
    <w:p w14:paraId="0A982218"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يعد التوعية والوقاية من العوامل التي تزيد من خطر الإصابة بالأمراض العصبية أمرًا مهمًا، خاصة فيما يتعلق بالحفاظ على نمط حياة صحي. يشمل ذلك ممارسة التمارين الرياضية بانتظام، وتناول غذاء متوازن، والحد من التوتر، وتجنب التدخين والكحول، بالإضافة إلى السيطرة على الأمراض المزمنة مثل السكري وارتفاع ضغط الدم، التي قد تزيد من احتمالية الإصابة بالسكتة الدماغية أو تلف الأعصاب</w:t>
      </w:r>
      <w:r w:rsidRPr="00916091">
        <w:rPr>
          <w:rFonts w:asciiTheme="majorBidi" w:hAnsiTheme="majorBidi" w:cstheme="majorBidi"/>
          <w:sz w:val="28"/>
          <w:szCs w:val="28"/>
          <w:rtl/>
          <w:lang w:bidi="ar-EG"/>
        </w:rPr>
        <w:t>(</w:t>
      </w:r>
      <w:r w:rsidRPr="00916091">
        <w:rPr>
          <w:rFonts w:asciiTheme="majorBidi" w:hAnsiTheme="majorBidi" w:cstheme="majorBidi"/>
          <w:sz w:val="28"/>
          <w:szCs w:val="28"/>
          <w:lang w:bidi="ar-EG"/>
        </w:rPr>
        <w:t>Devi,2020</w:t>
      </w:r>
      <w:r w:rsidRPr="00916091">
        <w:rPr>
          <w:rFonts w:asciiTheme="majorBidi" w:hAnsiTheme="majorBidi" w:cstheme="majorBidi"/>
          <w:sz w:val="28"/>
          <w:szCs w:val="28"/>
          <w:rtl/>
          <w:lang w:bidi="ar-EG"/>
        </w:rPr>
        <w:t>)</w:t>
      </w:r>
    </w:p>
    <w:p w14:paraId="0960AAFF"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rPr>
        <w:t>في النهاية، تظل الأمراض العصبية تحديًا طبيًا معقدًا، لكن بفضل التقدم في البحث العلمي، تزداد فرص الكشف المبكر والعلاج الفعّال. من المهم دعم المرضى وأسرهم نفسيًا واجتماعيًا، نظرًا لأن بعض هذه الأمراض قد تكون طويلة الأمد وتتطلب تكيفًا مستمرًا مع نمط حياة جديد</w:t>
      </w:r>
      <w:r w:rsidRPr="00916091">
        <w:rPr>
          <w:rFonts w:asciiTheme="majorBidi" w:hAnsiTheme="majorBidi" w:cstheme="majorBidi"/>
          <w:sz w:val="28"/>
          <w:szCs w:val="28"/>
          <w:rtl/>
          <w:lang w:bidi="ar-EG"/>
        </w:rPr>
        <w:t>(عثمان,2019)</w:t>
      </w:r>
    </w:p>
    <w:p w14:paraId="1A0BA949" w14:textId="42677724"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فلذلك تسعى الدراسة إلى رصد تأثیر الإعلام الرقمي في تعزيز و نشر الثقافة  التوعویة الصحیة بالأمراض العصبیة المزمنة في المجتمع السعودي  والنتائج المتوقعة من البحث الحالي هو التعرف على الدور الإيجابي والفعال الذي يقوم به الاعلام الرقمي في التوعية بالامراض العصبية المزمنة وامكانية الوقايه منها والتعامل معها.</w:t>
      </w:r>
    </w:p>
    <w:p w14:paraId="4C6A15CF"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ثانيا: مشكلة الدراسة وتساؤلاتها</w:t>
      </w:r>
    </w:p>
    <w:p w14:paraId="1CD37A32"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وفقا لما تشير الية نتائج بعض الدراسات فان الاعلام الرقمي يواجه تحديات متعددة فيما يتعلق بدوره في التوعية بالامراض المزمنة مثل دقة المعلومات المنشورة وتاثير الشائعات والمعلومات المضللة ومدى تفاعل الجمهور مع المحتوي الصحي المقدم. إضافة الي ذلك تختلف درجة تاثير الاعلام الرقمي بناء علي مستوي الثقافه </w:t>
      </w:r>
      <w:r w:rsidRPr="00916091">
        <w:rPr>
          <w:rFonts w:asciiTheme="majorBidi" w:hAnsiTheme="majorBidi" w:cstheme="majorBidi"/>
          <w:sz w:val="28"/>
          <w:szCs w:val="28"/>
          <w:rtl/>
          <w:lang w:bidi="ar-EG"/>
        </w:rPr>
        <w:lastRenderedPageBreak/>
        <w:t>الصحية لدى الافراد ومدي اعتمادهم على المصادر الرقمية في الحصول على المعلومات الصحية, مقارنة بالمصادر التقليدية(</w:t>
      </w:r>
      <w:r w:rsidRPr="00916091">
        <w:rPr>
          <w:rFonts w:asciiTheme="majorBidi" w:hAnsiTheme="majorBidi" w:cstheme="majorBidi"/>
          <w:sz w:val="28"/>
          <w:szCs w:val="28"/>
          <w:lang w:bidi="ar-EG"/>
        </w:rPr>
        <w:t>Fundoiano,2021</w:t>
      </w:r>
      <w:r w:rsidRPr="00916091">
        <w:rPr>
          <w:rFonts w:asciiTheme="majorBidi" w:hAnsiTheme="majorBidi" w:cstheme="majorBidi"/>
          <w:sz w:val="28"/>
          <w:szCs w:val="28"/>
          <w:rtl/>
          <w:lang w:bidi="ar-EG"/>
        </w:rPr>
        <w:t>)</w:t>
      </w:r>
    </w:p>
    <w:p w14:paraId="78039B6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بناء على ما سبق وفى  ظل تزايد الاعتماد على الاعلام الرقمي كمصدر رئيسي للمعلومات الصحية, تتزايد الحاجة الي دراسة موثوقيتة وفاعليتة في تعزيز الوعي الصحي والتاثير على السلوكيات الصحية للافراد, خاصة في مجتمع يعاني من انتشار بعض الامراض المزمنة مثل السكري وارتفاع ضغط الدم. من هنا يسعي البحث الي تقييم الدور الفعلي الذي يلعبه الاعلام الرقمي والتحديات التي تواجهه والسبل المقترحة لتعزيز مصداقيتة وفعاليتة في هذا المجال.</w:t>
      </w:r>
    </w:p>
    <w:p w14:paraId="3D6D334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ويتمثل التساؤل الأساسي في:</w:t>
      </w:r>
    </w:p>
    <w:p w14:paraId="21541C0F"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الي أي مدي يساهم الاعلام الرقمي في التوعية بالامراض المزمنة في المجتمع السعودي وما مدى تاثيره في تغيير سلوكيات الافراد الصحية؟</w:t>
      </w:r>
    </w:p>
    <w:p w14:paraId="32C51DF4"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 xml:space="preserve"> التساؤلات الفرعية:</w:t>
      </w:r>
    </w:p>
    <w:p w14:paraId="4F1ADD7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1- ما درجة اعتماد الجمهور السعودي على الاعلام الرقمي كمصدر رئيسي للمعلومات الصحية المتعلقة بالامراض المزمنة؟</w:t>
      </w:r>
    </w:p>
    <w:p w14:paraId="54AE6D6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2- ما هي اكثر المنصات الرقمية التي يعتمد عليها الافراد للحصول على المعلومات الصحية, وما مدى موثوقيتها؟</w:t>
      </w:r>
    </w:p>
    <w:p w14:paraId="42A6EB98"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3- كيف يؤثر الاعلام الرقمي في تشكيل الوعي الصحي لدى الافراد المصابين بامراض مزمنة؟</w:t>
      </w:r>
    </w:p>
    <w:p w14:paraId="18A8F96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4- ما التحديات التي تواجه الاعلام الرقمي في نشر المعلومات الصحية الموثوقة حول الامراض المزمنة؟</w:t>
      </w:r>
    </w:p>
    <w:p w14:paraId="25743CA2"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5- ما مدى تاثير المعلومات المتداولة عبر الاعلام الرقمي على سلوكيات الافراد الصحية وقرارتهم العلاجية؟</w:t>
      </w:r>
    </w:p>
    <w:p w14:paraId="7746DB6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6- كيف يمكن تعزيز دور الاعلام الرقمي في نشر الوعي الصحي وتقليل انتشار المعلومات المضللة عن الامراض المزمنة؟</w:t>
      </w:r>
    </w:p>
    <w:p w14:paraId="031FE6D4" w14:textId="77777777" w:rsidR="00916091" w:rsidRDefault="00916091" w:rsidP="00916091">
      <w:pPr>
        <w:spacing w:line="360" w:lineRule="auto"/>
        <w:jc w:val="both"/>
        <w:rPr>
          <w:rFonts w:asciiTheme="majorBidi" w:hAnsiTheme="majorBidi" w:cstheme="majorBidi"/>
          <w:b/>
          <w:bCs/>
          <w:sz w:val="28"/>
          <w:szCs w:val="28"/>
          <w:rtl/>
          <w:lang w:bidi="ar-EG"/>
        </w:rPr>
      </w:pPr>
    </w:p>
    <w:p w14:paraId="30583148" w14:textId="77777777" w:rsidR="00916091" w:rsidRDefault="00916091" w:rsidP="00916091">
      <w:pPr>
        <w:spacing w:line="360" w:lineRule="auto"/>
        <w:jc w:val="both"/>
        <w:rPr>
          <w:rFonts w:asciiTheme="majorBidi" w:hAnsiTheme="majorBidi" w:cstheme="majorBidi"/>
          <w:b/>
          <w:bCs/>
          <w:sz w:val="28"/>
          <w:szCs w:val="28"/>
          <w:rtl/>
          <w:lang w:bidi="ar-EG"/>
        </w:rPr>
      </w:pPr>
    </w:p>
    <w:p w14:paraId="745B11D8" w14:textId="79E70FDB"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lastRenderedPageBreak/>
        <w:t>ثالثا: اهمية الدراسة:</w:t>
      </w:r>
    </w:p>
    <w:p w14:paraId="64C8842D"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أولا: الأهمية النظرية</w:t>
      </w:r>
    </w:p>
    <w:p w14:paraId="7B83A42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تساهم الدراسة في سد الفجوة المعرفية حول دور الاعلام الرقمي في التوعية الصحية, خاصة فيما يتعلق بالامراض المزمنة.</w:t>
      </w:r>
    </w:p>
    <w:p w14:paraId="043DB5B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تقدم اطارا علميا يساعد الباحثين على فهم العوامل المؤثرة في فاعلية الاعلام الرقمي في المجال الصحي.</w:t>
      </w:r>
    </w:p>
    <w:p w14:paraId="4E716B9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تدعم الادبيات العلمية حول تاثير الاعلام الرقمي على سلوكيات الافراد الصحية من خلال تحليل العلاقة بين الوعي الصحي والاستخدام الرقمي.</w:t>
      </w:r>
    </w:p>
    <w:p w14:paraId="7038B96C"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ثانيا: الأهمية التطبيقية</w:t>
      </w:r>
    </w:p>
    <w:p w14:paraId="4B2E47F7"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تسعد الجهات الصحية والإعلامية في تطوير استراتيجيات اكثر فاعلية للتوعية بالامراض المزمنة عبر المنصات الرقمية.</w:t>
      </w:r>
    </w:p>
    <w:p w14:paraId="498B9F9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توفر توصيات لصناع القرار في مجال الصحة والاعلام حول كيفية تحسين المحتوي الرقمي لمكافحة الشائعات والمعلومات المضللة</w:t>
      </w:r>
    </w:p>
    <w:p w14:paraId="0C75CA3C"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تسهم في توجيه حملات التوعية الرقمية بما يتناسب مع احتياجات الجمهور, مما يعزز التاثير الإيجابي للاعلام الرقمي على الصحة العامة.</w:t>
      </w:r>
    </w:p>
    <w:p w14:paraId="1DDC0EA1"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 xml:space="preserve">رابعا: اهداف الدراسة </w:t>
      </w:r>
    </w:p>
    <w:p w14:paraId="1E29FE1F"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الهدف الرئيسي:</w:t>
      </w:r>
    </w:p>
    <w:p w14:paraId="4C06B79D" w14:textId="726A9968"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 دراسة </w:t>
      </w:r>
      <w:r w:rsidR="00700332">
        <w:rPr>
          <w:rFonts w:asciiTheme="majorBidi" w:hAnsiTheme="majorBidi" w:cstheme="majorBidi" w:hint="cs"/>
          <w:sz w:val="28"/>
          <w:szCs w:val="28"/>
          <w:rtl/>
          <w:lang w:bidi="ar-EG"/>
        </w:rPr>
        <w:t>معدل</w:t>
      </w:r>
      <w:r w:rsidRPr="00916091">
        <w:rPr>
          <w:rFonts w:asciiTheme="majorBidi" w:hAnsiTheme="majorBidi" w:cstheme="majorBidi"/>
          <w:sz w:val="28"/>
          <w:szCs w:val="28"/>
          <w:rtl/>
          <w:lang w:bidi="ar-EG"/>
        </w:rPr>
        <w:t xml:space="preserve"> فاعلية الاعلام الرقمي في التوعية بالامراض المزمنة في المجتمع السعودي, وتاثيره  على سلوكيات الافراد الصحية.</w:t>
      </w:r>
    </w:p>
    <w:p w14:paraId="38BEDF66"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الأهداف الفرعية:</w:t>
      </w:r>
    </w:p>
    <w:p w14:paraId="0D8D0BF9" w14:textId="0FAF179B"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 تحليل </w:t>
      </w:r>
      <w:r w:rsidR="00700332">
        <w:rPr>
          <w:rFonts w:asciiTheme="majorBidi" w:hAnsiTheme="majorBidi" w:cstheme="majorBidi" w:hint="cs"/>
          <w:sz w:val="28"/>
          <w:szCs w:val="28"/>
          <w:rtl/>
          <w:lang w:bidi="ar-EG"/>
        </w:rPr>
        <w:t>معدل</w:t>
      </w:r>
      <w:r w:rsidRPr="00916091">
        <w:rPr>
          <w:rFonts w:asciiTheme="majorBidi" w:hAnsiTheme="majorBidi" w:cstheme="majorBidi"/>
          <w:sz w:val="28"/>
          <w:szCs w:val="28"/>
          <w:rtl/>
          <w:lang w:bidi="ar-EG"/>
        </w:rPr>
        <w:t xml:space="preserve"> اعتماد الجمهور السعودي على الاعلام الرقمي كمصدر رئيسي للمعلومات الصحية المتعلقة بالامراض المزمنة.</w:t>
      </w:r>
    </w:p>
    <w:p w14:paraId="7711009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دراسة دور الاعلام الرقمي في تشكيل الوعي الصحي لدي المصابين بالامراض المزمنة.</w:t>
      </w:r>
    </w:p>
    <w:p w14:paraId="6251408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lastRenderedPageBreak/>
        <w:t>- استكشاف التحديات التي تواجه الاعلام الرقمي في نشر المعلومات الصحية الموثوقه,</w:t>
      </w:r>
    </w:p>
    <w:p w14:paraId="62247AF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قياس تاثير المعلومات الصحية الرقمية على سلوكيات الافراد وقراراتهم العلاجية.</w:t>
      </w:r>
    </w:p>
    <w:p w14:paraId="2C8F2BD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اقتراح استراتيجيات لتحسين دور الاعلام الرقمي في التوعية بالامراض المزمنة وضمان موثوقيه المعلومات.</w:t>
      </w:r>
    </w:p>
    <w:p w14:paraId="0B923246"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خامسا: فرضيات الدراسة:</w:t>
      </w:r>
    </w:p>
    <w:p w14:paraId="029F666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توجد علاقة ذات دلالة إحصائية بين اعتماد الافراد على الاعلام الرقمي ومستوي وعيهم بالامراض المزمنة.</w:t>
      </w:r>
    </w:p>
    <w:p w14:paraId="3827142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توجد فروق ذات دلالة إحصائية بين الفئات العمرية المختلفة في مدى الثقه بالمعلومات الصحية المتداولة عبر الاعلام الرقمي</w:t>
      </w:r>
    </w:p>
    <w:p w14:paraId="4E3D7E4E"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يؤثر الاعلام الرقمي بشكل إيجابي على تغيير السلوكيات الصحية لدى الافراد المصابين بالامراض المزمنة.</w:t>
      </w:r>
    </w:p>
    <w:p w14:paraId="2823482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تؤدي المعلومات المضللة عبر الاعلام الرقمي الي تبني ممارسات صحية خاطئة لدى بعض الافراد</w:t>
      </w:r>
    </w:p>
    <w:p w14:paraId="6C940DD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تختلف درجة تاثير الاعلام الرقمي في التوعية الصحية باختلاف نوع المنصة المستخدمة (مواقع التواصل الاجتماعي – المواقع الإخبارية – التطبيقات الصحية)</w:t>
      </w:r>
    </w:p>
    <w:p w14:paraId="76865D52" w14:textId="4B2949E8" w:rsidR="00916091" w:rsidRPr="00700332" w:rsidRDefault="00916091" w:rsidP="00700332">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يساهم تحسين استراتيجيات الاعلام الرقمي في زيادة وعى الافراد وتقليل انتشار المعلومات غير الدقيقة عن الامراض المزمنة</w:t>
      </w:r>
    </w:p>
    <w:p w14:paraId="1BB71C5C" w14:textId="535948EC" w:rsidR="00916091" w:rsidRPr="00916091" w:rsidRDefault="00700332" w:rsidP="00916091">
      <w:pPr>
        <w:spacing w:line="360" w:lineRule="auto"/>
        <w:jc w:val="both"/>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الاطار النظري </w:t>
      </w:r>
    </w:p>
    <w:p w14:paraId="5AC7BBC7"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تعتمد الدراسة الحالية على نظريات الاتصال والاعلام مثل (نطرية  الثراء الإعلامي)  و(نظرية الاستخدامات والاشباعات )</w:t>
      </w:r>
    </w:p>
    <w:p w14:paraId="3B7BB0A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أولا نظرية الاستخدامات والاشباعات</w:t>
      </w:r>
    </w:p>
    <w:p w14:paraId="133433E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قام الباحث كاتز وآخرون بتطوير  النظرية في عام ١٩٧٤م حيث تم تحديد عدة خطوات لتحقيق الاشباعات ، تظهر  من استخدام وسائل الاعلام  وقد احدث هذا المدخل تحول مهما  في مجال الدراسات الإعلامية</w:t>
      </w:r>
    </w:p>
    <w:p w14:paraId="54B82B3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تعتبر نظرية الاستخدامات والاشباعات ذات أهمية كبيرة لفهم سلوك الجمهور تجاه وسائل الإعلام، تم تطوير هذه النظرية في الستينيات من قبل مجموعة من علماء الاجتماع والإعلام مثل إليهو كاتز وروبرت بيل وجورج </w:t>
      </w:r>
      <w:r w:rsidRPr="00916091">
        <w:rPr>
          <w:rFonts w:asciiTheme="majorBidi" w:hAnsiTheme="majorBidi" w:cstheme="majorBidi"/>
          <w:sz w:val="28"/>
          <w:szCs w:val="28"/>
          <w:rtl/>
          <w:lang w:bidi="ar-EG"/>
        </w:rPr>
        <w:lastRenderedPageBreak/>
        <w:t>ليفين، الذين أكدوا أن الأفراد يختارون بعناية وسائل الإعلام التي توفر لهم الإشباع لاحتياجاتهم النفسية والاجتماعية.</w:t>
      </w:r>
    </w:p>
    <w:p w14:paraId="385DBD75" w14:textId="77777777" w:rsidR="00916091" w:rsidRPr="00916091" w:rsidRDefault="00916091" w:rsidP="00916091">
      <w:pPr>
        <w:numPr>
          <w:ilvl w:val="0"/>
          <w:numId w:val="9"/>
        </w:numPr>
        <w:spacing w:line="360" w:lineRule="auto"/>
        <w:jc w:val="both"/>
        <w:rPr>
          <w:rFonts w:asciiTheme="majorBidi" w:hAnsiTheme="majorBidi" w:cstheme="majorBidi"/>
          <w:b/>
          <w:bCs/>
          <w:sz w:val="32"/>
          <w:szCs w:val="32"/>
          <w:lang w:bidi="ar-EG"/>
        </w:rPr>
      </w:pPr>
      <w:r w:rsidRPr="00916091">
        <w:rPr>
          <w:rFonts w:asciiTheme="majorBidi" w:hAnsiTheme="majorBidi" w:cstheme="majorBidi"/>
          <w:b/>
          <w:bCs/>
          <w:sz w:val="32"/>
          <w:szCs w:val="32"/>
          <w:rtl/>
          <w:lang w:bidi="ar-EG"/>
        </w:rPr>
        <w:t>فروض النظرية:</w:t>
      </w:r>
      <w:r w:rsidRPr="00916091">
        <w:rPr>
          <w:rFonts w:asciiTheme="majorBidi" w:eastAsia="Times New Roman" w:hAnsiTheme="majorBidi" w:cstheme="majorBidi"/>
          <w:b/>
          <w:bCs/>
          <w:color w:val="F8FAFF"/>
          <w:kern w:val="0"/>
          <w:sz w:val="24"/>
          <w:szCs w:val="24"/>
          <w:rtl/>
          <w14:ligatures w14:val="none"/>
        </w:rPr>
        <w:t xml:space="preserve"> </w:t>
      </w:r>
      <w:r w:rsidRPr="00916091">
        <w:rPr>
          <w:rFonts w:asciiTheme="majorBidi" w:hAnsiTheme="majorBidi" w:cstheme="majorBidi"/>
          <w:b/>
          <w:bCs/>
          <w:sz w:val="32"/>
          <w:szCs w:val="32"/>
          <w:rtl/>
        </w:rPr>
        <w:t>الجمهور نشط </w:t>
      </w:r>
      <w:r w:rsidRPr="00916091">
        <w:rPr>
          <w:rFonts w:asciiTheme="majorBidi" w:hAnsiTheme="majorBidi" w:cstheme="majorBidi"/>
          <w:b/>
          <w:bCs/>
          <w:sz w:val="32"/>
          <w:szCs w:val="32"/>
          <w:lang w:bidi="ar-EG"/>
        </w:rPr>
        <w:t>(Active Audience):</w:t>
      </w:r>
    </w:p>
    <w:p w14:paraId="7F3A165B"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الأفراد يبحثون بفاعلية عن وسائل الإعلام أو المحتوى الذي يُشبع حاجاتهم، بناءً على دوافعهم وأهدافهم الشخصية</w:t>
      </w:r>
      <w:r w:rsidRPr="00916091">
        <w:rPr>
          <w:rFonts w:asciiTheme="majorBidi" w:hAnsiTheme="majorBidi" w:cstheme="majorBidi"/>
          <w:sz w:val="28"/>
          <w:szCs w:val="28"/>
          <w:lang w:bidi="ar-EG"/>
        </w:rPr>
        <w:t>.</w:t>
      </w:r>
    </w:p>
    <w:p w14:paraId="72788DA0"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الدافع يقع في قلب عملية الاستهلاك الإعلامي</w:t>
      </w:r>
      <w:r w:rsidRPr="00916091">
        <w:rPr>
          <w:rFonts w:asciiTheme="majorBidi" w:hAnsiTheme="majorBidi" w:cstheme="majorBidi"/>
          <w:sz w:val="28"/>
          <w:szCs w:val="28"/>
          <w:lang w:bidi="ar-EG"/>
        </w:rPr>
        <w:t>:</w:t>
      </w:r>
    </w:p>
    <w:p w14:paraId="15DE3AF9"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يُشارك الأفراد في وسائل الإعلام لتحقيق إشباعات معينة (مثل الترفيه، المعرفة، الهروب من الواقع، التفاعل الاجتماعي، إلخ)</w:t>
      </w:r>
      <w:r w:rsidRPr="00916091">
        <w:rPr>
          <w:rFonts w:asciiTheme="majorBidi" w:hAnsiTheme="majorBidi" w:cstheme="majorBidi"/>
          <w:sz w:val="28"/>
          <w:szCs w:val="28"/>
          <w:lang w:bidi="ar-EG"/>
        </w:rPr>
        <w:t>.</w:t>
      </w:r>
    </w:p>
    <w:p w14:paraId="09892213"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المنافسة بين الوسائل الإعلامية والمصادر الأخرى للإشباع</w:t>
      </w:r>
      <w:r w:rsidRPr="00916091">
        <w:rPr>
          <w:rFonts w:asciiTheme="majorBidi" w:hAnsiTheme="majorBidi" w:cstheme="majorBidi"/>
          <w:sz w:val="28"/>
          <w:szCs w:val="28"/>
          <w:lang w:bidi="ar-EG"/>
        </w:rPr>
        <w:t>:</w:t>
      </w:r>
    </w:p>
    <w:p w14:paraId="6CECEE8B"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وسائل الإعلام تتنافس مع مصادر غير إعلامية (مثل الأحاديث المباشرة، القراءة، الأنشطة الاجتماعية) في تلبية احتياجات الأفراد</w:t>
      </w:r>
      <w:r w:rsidRPr="00916091">
        <w:rPr>
          <w:rFonts w:asciiTheme="majorBidi" w:hAnsiTheme="majorBidi" w:cstheme="majorBidi"/>
          <w:sz w:val="28"/>
          <w:szCs w:val="28"/>
          <w:lang w:bidi="ar-EG"/>
        </w:rPr>
        <w:t>.</w:t>
      </w:r>
    </w:p>
    <w:p w14:paraId="58883AD0"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إدراك الأفراد لاحتياجاتهم وقدرتهم على التعبير عنها</w:t>
      </w:r>
      <w:r w:rsidRPr="00916091">
        <w:rPr>
          <w:rFonts w:asciiTheme="majorBidi" w:hAnsiTheme="majorBidi" w:cstheme="majorBidi"/>
          <w:sz w:val="28"/>
          <w:szCs w:val="28"/>
          <w:lang w:bidi="ar-EG"/>
        </w:rPr>
        <w:t>:</w:t>
      </w:r>
    </w:p>
    <w:p w14:paraId="7D452230"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يُمكن للأفراد تحديد أسباب استخدامهم لوسائل الإعلام، ويمكن قياس هذه الدوافع عبر البحث العلمي (مثل الاستبيانات والمقابلات)</w:t>
      </w:r>
      <w:r w:rsidRPr="00916091">
        <w:rPr>
          <w:rFonts w:asciiTheme="majorBidi" w:hAnsiTheme="majorBidi" w:cstheme="majorBidi"/>
          <w:sz w:val="28"/>
          <w:szCs w:val="28"/>
          <w:lang w:bidi="ar-EG"/>
        </w:rPr>
        <w:t>.</w:t>
      </w:r>
    </w:p>
    <w:p w14:paraId="603D8977"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تأثير الثقافة والبيئة الاجتماعية على الدوافع</w:t>
      </w:r>
      <w:r w:rsidRPr="00916091">
        <w:rPr>
          <w:rFonts w:asciiTheme="majorBidi" w:hAnsiTheme="majorBidi" w:cstheme="majorBidi"/>
          <w:sz w:val="28"/>
          <w:szCs w:val="28"/>
          <w:lang w:bidi="ar-EG"/>
        </w:rPr>
        <w:t>:</w:t>
      </w:r>
    </w:p>
    <w:p w14:paraId="33CF8800"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تختلف استخدامات الوسائل الإعلامية باختلاف العمر، الجنس، الثقافة، والمستوى الاجتماعي والاقتصادي</w:t>
      </w:r>
      <w:r w:rsidRPr="00916091">
        <w:rPr>
          <w:rFonts w:asciiTheme="majorBidi" w:hAnsiTheme="majorBidi" w:cstheme="majorBidi"/>
          <w:sz w:val="28"/>
          <w:szCs w:val="28"/>
          <w:lang w:bidi="ar-EG"/>
        </w:rPr>
        <w:t>.</w:t>
      </w:r>
    </w:p>
    <w:p w14:paraId="3BA145D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أهداف النظرية:</w:t>
      </w:r>
    </w:p>
    <w:p w14:paraId="34FFFFE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تتحدد الأهداف في ثلاث نقاط أساسية هي:</w:t>
      </w:r>
    </w:p>
    <w:p w14:paraId="5C09E5E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1-</w:t>
      </w:r>
      <w:r w:rsidRPr="00916091">
        <w:rPr>
          <w:rFonts w:asciiTheme="majorBidi" w:hAnsiTheme="majorBidi" w:cstheme="majorBidi"/>
          <w:sz w:val="28"/>
          <w:szCs w:val="28"/>
          <w:rtl/>
          <w:lang w:bidi="ar-EG"/>
        </w:rPr>
        <w:tab/>
        <w:t>التعرف إلى كيفية استخدام الجمهور لوسائل الإعلام.</w:t>
      </w:r>
    </w:p>
    <w:p w14:paraId="02C5178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2-</w:t>
      </w:r>
      <w:r w:rsidRPr="00916091">
        <w:rPr>
          <w:rFonts w:asciiTheme="majorBidi" w:hAnsiTheme="majorBidi" w:cstheme="majorBidi"/>
          <w:sz w:val="28"/>
          <w:szCs w:val="28"/>
          <w:rtl/>
          <w:lang w:bidi="ar-EG"/>
        </w:rPr>
        <w:tab/>
        <w:t>التعرف إلى دوافع استخدام الفرد لوسيلة إعلامية محددة دون غيرها.</w:t>
      </w:r>
    </w:p>
    <w:p w14:paraId="5E2526C8"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3-</w:t>
      </w:r>
      <w:r w:rsidRPr="00916091">
        <w:rPr>
          <w:rFonts w:asciiTheme="majorBidi" w:hAnsiTheme="majorBidi" w:cstheme="majorBidi"/>
          <w:sz w:val="28"/>
          <w:szCs w:val="28"/>
          <w:rtl/>
          <w:lang w:bidi="ar-EG"/>
        </w:rPr>
        <w:tab/>
        <w:t>فهم عملية الاتصال الجماهيري من خلال التعرف إلى نتائج استخدام الفرد لوسائل الإعلام.</w:t>
      </w:r>
    </w:p>
    <w:p w14:paraId="524DA717"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lastRenderedPageBreak/>
        <w:t>ثانيا : نظرية الثراء الإعلامي</w:t>
      </w:r>
    </w:p>
    <w:p w14:paraId="0810056F"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الثراء الإعلامي يتجسد في القدرة على تقديم محتوى متنوع وغني يجذب مختلف فئات الجمهور ويعزز تفاعلهم مع وسائل الإعلام.</w:t>
      </w:r>
    </w:p>
    <w:p w14:paraId="69AD324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على الرغم من أن إليهو كاتز هو أحد رواد نظرية الاستخدامات والإشباعات، فقد أشار أيضًا إلى فكرة "الثراء الإعلامي" في سياق تفاعل الجمهور مع وسائل الإعلام. كاتز يرى أن وسائل الإعلام الحديثة، خاصة الرقمية، تتيح للمتلقي خيارات واسعة ومتنوعة، مما يعزز قدرته على اختيار المحتوى الذي يناسب احتياجاته بشكل أكثر دقة.</w:t>
      </w:r>
    </w:p>
    <w:p w14:paraId="346E245C"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وتفترض هذه النظرية فرضين اساسين هما:</w:t>
      </w:r>
    </w:p>
    <w:p w14:paraId="0075A61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الفرض الاول:</w:t>
      </w:r>
    </w:p>
    <w:p w14:paraId="3C7214A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ان الوسائل الاعلامية والتكنولوجية تمتلك قدرا كبيرا من البيانات والمعلومات بالاضافة الى تنوع المضمون المقدم من خلالها وبالتالي تستطيع هذه الوسائل التغلب على الغموض والشك الذي ينتاب الكثير من الافراد عند التعرض لها.</w:t>
      </w:r>
    </w:p>
    <w:p w14:paraId="7F8E2E8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الفرض الثاني:</w:t>
      </w:r>
    </w:p>
    <w:p w14:paraId="0C9B74F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هناك اربعة معايير اساسية لترتيب ثراء الوسيلة الاعلامية مرتبة من الاعلى الى الاقل من حيث درجة الثراء الاعلامي وهي:</w:t>
      </w:r>
    </w:p>
    <w:p w14:paraId="42E2061C"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1. سرعة رد الفعل.</w:t>
      </w:r>
    </w:p>
    <w:p w14:paraId="741141BA"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2. قدرتها على نقل الاشارات المختلفة باستخدام تقنيات تكنولوجية حديثة مثل:</w:t>
      </w:r>
    </w:p>
    <w:p w14:paraId="5513697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الوسائط المتعددة.</w:t>
      </w:r>
    </w:p>
    <w:p w14:paraId="64C0EB0A"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3. التركيز الشخصي على الوسيلة.</w:t>
      </w:r>
    </w:p>
    <w:p w14:paraId="5805DA6A"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4. واستخدام اللغة الطبيعية.</w:t>
      </w:r>
    </w:p>
    <w:p w14:paraId="7398F10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الدراسات المرجعية:</w:t>
      </w:r>
    </w:p>
    <w:p w14:paraId="4D64195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تقسم الدراسات السابقة للبحث إلى محورين:</w:t>
      </w:r>
    </w:p>
    <w:p w14:paraId="142D49D2"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lastRenderedPageBreak/>
        <w:t>‏المحور الأول : دراسات تناولت دور الاعلام الرقمي في التوعية الصحية</w:t>
      </w:r>
    </w:p>
    <w:tbl>
      <w:tblPr>
        <w:tblW w:w="4900" w:type="pct"/>
        <w:shd w:val="clear" w:color="auto" w:fill="FFFFFF"/>
        <w:tblCellMar>
          <w:left w:w="0" w:type="dxa"/>
          <w:right w:w="0" w:type="dxa"/>
        </w:tblCellMar>
        <w:tblLook w:val="04A0" w:firstRow="1" w:lastRow="0" w:firstColumn="1" w:lastColumn="0" w:noHBand="0" w:noVBand="1"/>
      </w:tblPr>
      <w:tblGrid>
        <w:gridCol w:w="9173"/>
      </w:tblGrid>
      <w:tr w:rsidR="00916091" w:rsidRPr="00916091" w14:paraId="4692A47F" w14:textId="77777777" w:rsidTr="00A171A0">
        <w:tc>
          <w:tcPr>
            <w:tcW w:w="0" w:type="auto"/>
            <w:shd w:val="clear" w:color="auto" w:fill="FFFFFF"/>
            <w:tcMar>
              <w:top w:w="30" w:type="dxa"/>
              <w:left w:w="30" w:type="dxa"/>
              <w:bottom w:w="30" w:type="dxa"/>
              <w:right w:w="30" w:type="dxa"/>
            </w:tcMar>
            <w:vAlign w:val="center"/>
            <w:hideMark/>
          </w:tcPr>
          <w:p w14:paraId="2875B2A4" w14:textId="77777777" w:rsidR="00916091" w:rsidRPr="00916091" w:rsidRDefault="00916091" w:rsidP="00A171A0">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دراسة صبرة, &amp; واضحة أنور أحمد. (2024). </w:t>
            </w:r>
            <w:r w:rsidRPr="00916091">
              <w:rPr>
                <w:rFonts w:asciiTheme="majorBidi" w:hAnsiTheme="majorBidi" w:cstheme="majorBidi"/>
                <w:sz w:val="28"/>
                <w:szCs w:val="28"/>
                <w:rtl/>
              </w:rPr>
              <w:t xml:space="preserve">تحليل بنية السرد وانعكاسه على القضايا الصحية في المواقع الإلكترونية التفاعلية (موقع انكفاضة أنموذجًا). </w:t>
            </w:r>
            <w:r w:rsidRPr="00916091">
              <w:rPr>
                <w:rFonts w:asciiTheme="majorBidi" w:hAnsiTheme="majorBidi" w:cstheme="majorBidi"/>
                <w:sz w:val="28"/>
                <w:szCs w:val="28"/>
                <w:rtl/>
                <w:lang w:bidi="ar-EG"/>
              </w:rPr>
              <w:t>هدفت الدراسة الي تحليل بنية السرد وانعكاسه على القضايا الصحية في المواقع الإلكترونية التفاعلية (موقع انكفاضة أنموذجًا).  حيث يحظى السرد القصصي في مجال الإعلام الرقمي باهتمام واسع الانتشار، ينعكس في عدد متزايد من غرف الأخبار التي تتبنى أشكال السرد لتقديم محتواها الإخباري، الذي في النهاية يعد طريقة لجذب المستخدم بل والإبقاء عليه للمتابعة والتعمق في المحتوى الاتصالي، من خلال الأساليب الأدبية التي وظفها الصحفيون وكذا الاستفادة من الخصائص التكنولوجية للوسيلة كالتفاعلية ودمجها بالسرد؛ فكان لها تأثيرها ليس على متابعة ومدة بقاء المتفاعل فقط وإنما أيضًا تأثيرها في عملية تكوين وتشكيل المعنى وإيصاله إلى المتفاعلين. وعليه، تبلورت مشكلة الدراسة في تحليل بنية السرد التفاعلي النصية والشكلية والبصرية، التي من شأنها أن تسهم في تكوين المعنى وتشكيله؛ جاءت أهدافها من هذا الاتجاه فتمثلت أهداف الدراسة في تحليل بنية وهيكل السرد التفاعلي، وآليات بناء المعنى وفقًا للبنية والعلاقات القائمة بينها والشكل بالتطبيق على موقع انكفاضة كعينة عمدية، باستخدام أداة تحليل المضمون لعينة الأخبار المنشورة على الموقع في الفترة من مارس 2020حتى يونيو 2022  والمنهج المسحي للدراسة التحليلية في إطار نظرية الأفضية الذهنية.</w:t>
            </w:r>
          </w:p>
          <w:p w14:paraId="4652FDA4" w14:textId="77777777" w:rsidR="00916091" w:rsidRPr="00916091" w:rsidRDefault="00916091" w:rsidP="00A171A0">
            <w:p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خيرت حمزة, ب. (2023). الاتصال الرقمي كآلية لتشكيل الرأي العام تجاه القضايا الصحية.هدفت الدراسة الي قياس الاتصال الرقمي كآلية لتشكيل الرأي العام تجاه القضايا الصحية</w:t>
            </w:r>
            <w:r w:rsidRPr="00916091">
              <w:rPr>
                <w:rFonts w:asciiTheme="majorBidi" w:hAnsiTheme="majorBidi" w:cstheme="majorBidi"/>
                <w:sz w:val="28"/>
                <w:szCs w:val="28"/>
                <w:lang w:bidi="ar-EG"/>
              </w:rPr>
              <w:t>.</w:t>
            </w:r>
            <w:r w:rsidRPr="00916091">
              <w:rPr>
                <w:rFonts w:asciiTheme="majorBidi" w:hAnsiTheme="majorBidi" w:cstheme="majorBidi"/>
                <w:sz w:val="28"/>
                <w:szCs w:val="28"/>
                <w:rtl/>
                <w:lang w:bidi="ar-EG"/>
              </w:rPr>
              <w:t xml:space="preserve"> فلقد اعتمدت الدراسة على منهج تحليل المضمون الكيفي من خلال تحليل كيفي لصفحة طبية وهي فيزيتا لرصد المحتوى الرقمي وتحليله. كما اعتمدت الدراسة على مقابلات مع الجمهور المستخدم للمنصات والتطبيقات الرقمي لقد اختلفت آراء الأفراد حول مدي فاعلية الصفحات الرقمية في التعرف على القضايا الصحية ف استخدام الإعلام الرقمي أو الصفحات الرقمية فعالة, وكانت أسباب فاعلية استخدامها سرعة وصول وسهولة الاستخدام وتقديم المعلومات. فقد جاءت نتائج الدراسة التحليلية لتوضح ان شكل المنشور بالنسبة لمنصة فيزيتا خلال الفترة موضوع دراسة كان عبارة عن منشورات عن " مستقبل الرعاية الصحية, منشورات توعوية لمجموعة من الامرا ض مثل "انيميا نقص الحديد, سرطان الثدي, فيرس كورونا, وايضا فيديوهات خاصة بأمراض معينة, هذا بالإضافة لمنشور اسال طبيبك من خلال الرد على اجابات - وقد توافقت نتائج الدراسة الراهنة مع بعض نتائج الدراسات السابقة حول شبكات التواصل الاجتماعي ودورها في تشكيل اتجاهات الرأي العام خاصة الدراسات التي ركزت على دور شبكات التواصل الاجتماعي وكذلك الدراسات التي اهتمت بطرق تشكيل </w:t>
            </w:r>
            <w:r w:rsidRPr="00916091">
              <w:rPr>
                <w:rFonts w:asciiTheme="majorBidi" w:hAnsiTheme="majorBidi" w:cstheme="majorBidi"/>
                <w:sz w:val="28"/>
                <w:szCs w:val="28"/>
                <w:rtl/>
                <w:lang w:bidi="ar-EG"/>
              </w:rPr>
              <w:lastRenderedPageBreak/>
              <w:t>الرأي العام عبر الإعلام الجديد. وتوصلت الدراسة إلى ان هناك فروق جوهرية بين النوع فيما يتعلق بسبب الثقة في المحتوى الخاص بالمعلومات الصحية عن أزمة كورونا المنتشرة على مواقع التواصل الاجتماعي.</w:t>
            </w:r>
          </w:p>
          <w:p w14:paraId="78D96207" w14:textId="77777777" w:rsidR="00916091" w:rsidRPr="00916091" w:rsidRDefault="00916091" w:rsidP="00A171A0">
            <w:p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lang w:bidi="ar-EG"/>
              </w:rPr>
              <w:t xml:space="preserve">دراسة محمد, أحمد إبراهيم, غريب, &amp; هدير يحيي. (2023). </w:t>
            </w:r>
            <w:r w:rsidRPr="00916091">
              <w:rPr>
                <w:rFonts w:asciiTheme="majorBidi" w:hAnsiTheme="majorBidi" w:cstheme="majorBidi"/>
                <w:sz w:val="28"/>
                <w:szCs w:val="28"/>
                <w:rtl/>
              </w:rPr>
              <w:t>اتجاهات الجمهور المصري لدور الحسابات الصحية الرسمية على شبكات التواصل الاجتماعي في التوعية بالقضايا الصحية وأساليب الوقاية من الامراض السائدة. المجلة المصرية لبحوث الرأى العام</w:t>
            </w:r>
            <w:r w:rsidRPr="00916091">
              <w:rPr>
                <w:rFonts w:asciiTheme="majorBidi" w:hAnsiTheme="majorBidi" w:cstheme="majorBidi"/>
                <w:sz w:val="28"/>
                <w:szCs w:val="28"/>
                <w:rtl/>
                <w:lang w:bidi="ar-EG"/>
              </w:rPr>
              <w:t xml:space="preserve"> هدفت الدراسة الي قياس اتجاهات الجمهور المصري لدور الحسابات الصحية الرسمية على شبكات التواصل الاجتماعي في التوعية بالقضايا الصحية وأساليب الوقاية من الامراض السائدة.  شكلت مواقع التواصل الاجتماعي حركة ديناميكية جديدة في ظل التقنية الجديدة التى يشهدها العالم، فمن خلالها يمكن التفاعل مع الجمهور وأبداء الآراء والتعرف على وجهات النظر المختلفة، وقد سعى البحث الحالي إلى التعرف على اتجاهات الجمهور المصري للحسابات الصحية الرسمية على مواقع التواصل الاجتماعي في التوعية بقضايا الصحة وأساليب الوقاية من الامراض السائدة ، والتي بلغ قوامها (400) مفردة، وتمثلت مشكلة البحث الحالي في معرفة مدى اعتماد الجمهور المصري على الحسابات الصحية الرسمية على وسائل التواصل الاجتماعي واستخدامها إعلامياً في نشر ودعم الوعى الصحى، وقد اسُتخدم المنهج الوصفي الميداني من خلال تجميع البيانات والمعلومات من الأدبيات والدراسات السابقة، بالإضافة الى تحليل آراء المبحوثين من الجمهور المصري (عينة البحث)؛ من خلال أداة البحث الاستبيان، والذي تضمن أربعة محاور حول وسائل التواصل الاجتماعي، والإعلام الرقمي، والواقع الصحي، وتطلعات مستقبلية لاستخدامات أفضل لاستخدام مواقع التواصل الاجتماعي إعلامياً، وكانت من أهم نتائج البحث جاءت في المرتبة الأولى أن الحسابات الصحية الرسمية على وسائل التواصل الاجتماعي هي الأداة الأكثر فاعلية فى التعرف على اهم القضايا الصحية وأساليب الوقاية من الامراض السائدة حالياً نظراً لسهولة استخدامها وإنتشارها ، والإعلام يطور من ذاته باستخدام القوالب التكنولوجية التي تحقق له إنتشار أكبر ، كما أن هناك دور للإعلام الرقمي في نشر المعلومات الصحية اللازمة والتى تهدف لحماية صحة الإنسان ، واختتم البحث بمجموعة من التوصيات أهمها حتمية وجود صفحات صحية رسمية بشكل أكبر على مواقع التواصل الاجتماعي ، وأن يكون المحتوى هادف ويحقق ثراء معرفي للجمهور المصري</w:t>
            </w:r>
          </w:p>
        </w:tc>
      </w:tr>
      <w:tr w:rsidR="00916091" w:rsidRPr="00916091" w14:paraId="3B57F2FD" w14:textId="77777777" w:rsidTr="00A171A0">
        <w:tc>
          <w:tcPr>
            <w:tcW w:w="0" w:type="auto"/>
            <w:shd w:val="clear" w:color="auto" w:fill="FFFFFF"/>
            <w:tcMar>
              <w:top w:w="30" w:type="dxa"/>
              <w:left w:w="30" w:type="dxa"/>
              <w:bottom w:w="30" w:type="dxa"/>
              <w:right w:w="30" w:type="dxa"/>
            </w:tcMar>
            <w:vAlign w:val="center"/>
            <w:hideMark/>
          </w:tcPr>
          <w:p w14:paraId="02BD8304" w14:textId="77777777" w:rsidR="00916091" w:rsidRPr="00916091" w:rsidRDefault="00916091" w:rsidP="00A171A0">
            <w:pPr>
              <w:spacing w:line="360" w:lineRule="auto"/>
              <w:jc w:val="both"/>
              <w:rPr>
                <w:rFonts w:asciiTheme="majorBidi" w:hAnsiTheme="majorBidi" w:cstheme="majorBidi"/>
                <w:sz w:val="28"/>
                <w:szCs w:val="28"/>
                <w:lang w:bidi="ar-EG"/>
              </w:rPr>
            </w:pPr>
          </w:p>
        </w:tc>
      </w:tr>
    </w:tbl>
    <w:p w14:paraId="3811B92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المحور الثاني : دراسات تناول تاثير الاعلام الرقمي على سلوكيات الافراد الصحية</w:t>
      </w:r>
    </w:p>
    <w:p w14:paraId="1AF873C5"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t>دراسة قلاده</w:t>
      </w:r>
      <w:r w:rsidRPr="00916091">
        <w:rPr>
          <w:rFonts w:asciiTheme="majorBidi" w:hAnsiTheme="majorBidi" w:cstheme="majorBidi"/>
          <w:sz w:val="28"/>
          <w:szCs w:val="28"/>
        </w:rPr>
        <w:t xml:space="preserve">, &amp; </w:t>
      </w:r>
      <w:r w:rsidRPr="00916091">
        <w:rPr>
          <w:rFonts w:asciiTheme="majorBidi" w:hAnsiTheme="majorBidi" w:cstheme="majorBidi"/>
          <w:sz w:val="28"/>
          <w:szCs w:val="28"/>
          <w:rtl/>
        </w:rPr>
        <w:t xml:space="preserve">نرمين ملاك يونان. (2025). فاعلية برنامج تثقيف غذائي للوقاية من الأمراض المزمنة على السلوكيات الغذائية لطلاب الجامعة.  هدفت الدراسة الي قياس فاعلية برنامج تثقيف غذائي للوقاية من الأمراض </w:t>
      </w:r>
      <w:r w:rsidRPr="00916091">
        <w:rPr>
          <w:rFonts w:asciiTheme="majorBidi" w:hAnsiTheme="majorBidi" w:cstheme="majorBidi"/>
          <w:sz w:val="28"/>
          <w:szCs w:val="28"/>
          <w:rtl/>
        </w:rPr>
        <w:lastRenderedPageBreak/>
        <w:t>المزمنة على السلوكيات الغذائية لطلاب الجامعة</w:t>
      </w:r>
      <w:r w:rsidRPr="00916091">
        <w:rPr>
          <w:rFonts w:asciiTheme="majorBidi" w:hAnsiTheme="majorBidi" w:cstheme="majorBidi"/>
          <w:sz w:val="28"/>
          <w:szCs w:val="28"/>
        </w:rPr>
        <w:t>.</w:t>
      </w:r>
      <w:r w:rsidRPr="00916091">
        <w:rPr>
          <w:rFonts w:asciiTheme="majorBidi" w:hAnsiTheme="majorBidi" w:cstheme="majorBidi"/>
          <w:sz w:val="28"/>
          <w:szCs w:val="28"/>
          <w:rtl/>
          <w:lang w:bidi="ar-EG"/>
        </w:rPr>
        <w:t xml:space="preserve"> ولقد اعتمدت الدراسة على المنهج شبة التجريبي وذلك من خلال </w:t>
      </w:r>
      <w:r w:rsidRPr="00916091">
        <w:rPr>
          <w:rFonts w:asciiTheme="majorBidi" w:hAnsiTheme="majorBidi" w:cstheme="majorBidi"/>
          <w:sz w:val="28"/>
          <w:szCs w:val="28"/>
          <w:rtl/>
        </w:rPr>
        <w:t>قيام الباحثة قامت الباحثة بإعداد البرنامج ، يهدف الي زيادة  الو عي الغذائي ومقياس السلوكيات الغذائية). وأتبعت الباحثة منيجيف ىما المنيج الوصفى التحميمى والمنيج الشبو تجريبى وبلغ عدد العينة ) 120( طالب مف المرحمة الجامعية وتـ اختيارىـ 30 طالب ولقد توصلت الدراسة الي مجموعة من النتائج يعد أهمها وابرزها هو ان البرنامج ذو فاعلية في زيادة وعي الطلاب بأهمية الرعاية الصحية وبخطورة الإصابة بالامراض المزمنة وقدمت الدراسة مجموعة من التوصيات المتعلقة بضرورة العمل على نطاق واسع وعريض لتعميم نتائج البرنامج على نطاق اكبر.</w:t>
      </w:r>
    </w:p>
    <w:p w14:paraId="487E104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t>دراسة علواني, عومار, عرعار</w:t>
      </w:r>
      <w:r w:rsidRPr="00916091">
        <w:rPr>
          <w:rFonts w:asciiTheme="majorBidi" w:hAnsiTheme="majorBidi" w:cstheme="majorBidi"/>
          <w:sz w:val="28"/>
          <w:szCs w:val="28"/>
          <w:lang w:bidi="ar-EG"/>
        </w:rPr>
        <w:t xml:space="preserve">, &amp; </w:t>
      </w:r>
      <w:r w:rsidRPr="00916091">
        <w:rPr>
          <w:rFonts w:asciiTheme="majorBidi" w:hAnsiTheme="majorBidi" w:cstheme="majorBidi"/>
          <w:sz w:val="28"/>
          <w:szCs w:val="28"/>
          <w:rtl/>
        </w:rPr>
        <w:t>أنس. (2024). هدفت الدراسة الي قياس اثر لثقافة الصحية ودورها في الحد من تفشي الأمراض المزمنة وسبل الوقاية منها وذلك من خلال تحليل الموضوع والوقوف على أهم العوامل التي تساعد على تكوين قاعدة معرفية صحية سليمة عند هذه الفئة الاجتماعية ، لرفع مستوى وعيهم الصحي من خلال مجموعة من الآليات و الممارسات الميدانية لمختلف الفاعلين الناشطين في القطاع الصحي ، سواءا كانوا أفراد ، أو منظمات و مؤسسات حكومية ، بغية توسيع مجال التثقيف الصحي ونشر و عرض الرسائل الصحية على أوسع نطاق ممكن ، لتنمية الثقافة الصحية للأفراد ، وتحسيسهم بخطر الأمراض المزمنة ،وعلاقتها بالسلوكيات و العادات ومختلف المظاهر الحياتية الخاطئة وغير الصحية ،والعمل أيضا على توعية المرضى المصابين بالأمراض المزمنة بكيفيات التعامل معها ، و طرق علاجها ، و أنجع السبل لتفادي تفاقمها حفاظا على صحتهم للنجاة من مضاعفاتها السلبية التي قد تؤدي بحياتهم </w:t>
      </w:r>
    </w:p>
    <w:p w14:paraId="27443B9B" w14:textId="0852178A"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t>دراسة السلمي, ع. ب. ر</w:t>
      </w:r>
      <w:r w:rsidRPr="00916091">
        <w:rPr>
          <w:rFonts w:asciiTheme="majorBidi" w:hAnsiTheme="majorBidi" w:cstheme="majorBidi"/>
          <w:sz w:val="28"/>
          <w:szCs w:val="28"/>
          <w:lang w:bidi="ar-EG"/>
        </w:rPr>
        <w:t xml:space="preserve">., &amp; </w:t>
      </w:r>
      <w:r w:rsidRPr="00916091">
        <w:rPr>
          <w:rFonts w:asciiTheme="majorBidi" w:hAnsiTheme="majorBidi" w:cstheme="majorBidi"/>
          <w:sz w:val="28"/>
          <w:szCs w:val="28"/>
          <w:rtl/>
        </w:rPr>
        <w:t>عطيه بن رويبح. (2022).  هدفت الدراسة الي قياس الوعي الاجتماعي ودوره في مواجهة بعض الامراض المزمنة  حيث اعتمدت الدراسة عل منهج المسح ال</w:t>
      </w:r>
      <w:r>
        <w:rPr>
          <w:rFonts w:asciiTheme="majorBidi" w:hAnsiTheme="majorBidi" w:cstheme="majorBidi" w:hint="cs"/>
          <w:sz w:val="28"/>
          <w:szCs w:val="28"/>
          <w:rtl/>
        </w:rPr>
        <w:t>ا</w:t>
      </w:r>
      <w:r w:rsidRPr="00916091">
        <w:rPr>
          <w:rFonts w:asciiTheme="majorBidi" w:hAnsiTheme="majorBidi" w:cstheme="majorBidi"/>
          <w:sz w:val="28"/>
          <w:szCs w:val="28"/>
          <w:rtl/>
        </w:rPr>
        <w:t>جتماعي بالعينة مجتمع البحث له</w:t>
      </w:r>
      <w:r>
        <w:rPr>
          <w:rFonts w:asciiTheme="majorBidi" w:hAnsiTheme="majorBidi" w:cstheme="majorBidi" w:hint="cs"/>
          <w:sz w:val="28"/>
          <w:szCs w:val="28"/>
          <w:rtl/>
        </w:rPr>
        <w:t>ذه</w:t>
      </w:r>
      <w:r w:rsidRPr="00916091">
        <w:rPr>
          <w:rFonts w:asciiTheme="majorBidi" w:hAnsiTheme="majorBidi" w:cstheme="majorBidi"/>
          <w:sz w:val="28"/>
          <w:szCs w:val="28"/>
          <w:rtl/>
        </w:rPr>
        <w:t xml:space="preserve"> الدراسة هدم المرضي المصابين بال</w:t>
      </w:r>
      <w:r>
        <w:rPr>
          <w:rFonts w:asciiTheme="majorBidi" w:hAnsiTheme="majorBidi" w:cstheme="majorBidi" w:hint="cs"/>
          <w:sz w:val="28"/>
          <w:szCs w:val="28"/>
          <w:rtl/>
        </w:rPr>
        <w:t>أ</w:t>
      </w:r>
      <w:r w:rsidRPr="00916091">
        <w:rPr>
          <w:rFonts w:asciiTheme="majorBidi" w:hAnsiTheme="majorBidi" w:cstheme="majorBidi"/>
          <w:sz w:val="28"/>
          <w:szCs w:val="28"/>
          <w:rtl/>
        </w:rPr>
        <w:t>مراض المزمنة والمراجعين لمستشف</w:t>
      </w:r>
      <w:r>
        <w:rPr>
          <w:rFonts w:asciiTheme="majorBidi" w:hAnsiTheme="majorBidi" w:cstheme="majorBidi" w:hint="cs"/>
          <w:sz w:val="28"/>
          <w:szCs w:val="28"/>
          <w:rtl/>
        </w:rPr>
        <w:t xml:space="preserve">ى </w:t>
      </w:r>
      <w:r w:rsidRPr="00916091">
        <w:rPr>
          <w:rFonts w:asciiTheme="majorBidi" w:hAnsiTheme="majorBidi" w:cstheme="majorBidi"/>
          <w:sz w:val="28"/>
          <w:szCs w:val="28"/>
          <w:rtl/>
        </w:rPr>
        <w:t xml:space="preserve"> جامعة الملك عبدالعزيز بمدينة جددة تكونت عينة الدراسة من 525 مريض واستخدم الدراسة أداة الاستبيان لجمع الاستجابات ولقد توصلت الي مجموعة من النتائج يعد أهمها وابرزها هو  ان المرضي ذو المستوي الاقتصادي المنخفض لديهم ضعف في الوعي بخطورة الامراض المزمنة  كما أوضحت النتائج أيضا الي ان الأشخاص ذو الوعي العالي هم من فئة المستوي الاجتماعي الاعلي وقدمت الدراسة مجموعة من التوصيات يعد أهمها وابرزها هو ضرورة العمل على زيادة الوعي بالامراض المزمنة على نطاق واسع وعريض ليشمل كل الفئات.</w:t>
      </w:r>
    </w:p>
    <w:p w14:paraId="3935E608" w14:textId="77777777" w:rsidR="00916091" w:rsidRDefault="00916091" w:rsidP="00916091">
      <w:pPr>
        <w:spacing w:line="360" w:lineRule="auto"/>
        <w:jc w:val="both"/>
        <w:rPr>
          <w:rFonts w:asciiTheme="majorBidi" w:hAnsiTheme="majorBidi" w:cstheme="majorBidi"/>
          <w:b/>
          <w:bCs/>
          <w:sz w:val="28"/>
          <w:szCs w:val="28"/>
          <w:rtl/>
          <w:lang w:bidi="ar-EG"/>
        </w:rPr>
      </w:pPr>
    </w:p>
    <w:p w14:paraId="7FAF76C8" w14:textId="505DCAB2"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lastRenderedPageBreak/>
        <w:t>المحور الثالث: التحديات التي تواجه الاعلام الرقمي في المجال الصحي</w:t>
      </w:r>
    </w:p>
    <w:p w14:paraId="096CCFD2"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rPr>
        <w:t>المنسى, سمر توكل عرفه معوض, اسماعيل, محمودحسن, صقر, غادة موسى إبراهيم</w:t>
      </w:r>
      <w:r w:rsidRPr="00916091">
        <w:rPr>
          <w:rFonts w:asciiTheme="majorBidi" w:hAnsiTheme="majorBidi" w:cstheme="majorBidi"/>
          <w:b/>
          <w:bCs/>
          <w:sz w:val="28"/>
          <w:szCs w:val="28"/>
          <w:lang w:bidi="ar-EG"/>
        </w:rPr>
        <w:t xml:space="preserve">, ... &amp; </w:t>
      </w:r>
      <w:r w:rsidRPr="00916091">
        <w:rPr>
          <w:rFonts w:asciiTheme="majorBidi" w:hAnsiTheme="majorBidi" w:cstheme="majorBidi"/>
          <w:b/>
          <w:bCs/>
          <w:sz w:val="28"/>
          <w:szCs w:val="28"/>
          <w:rtl/>
        </w:rPr>
        <w:t>ماجدة أبوالفتوح محمد. (2025). الحملات الصحية الرئاسية بوسائل الإعلام الجديد ومعالجتها إعلامياً</w:t>
      </w:r>
      <w:r w:rsidRPr="00916091">
        <w:rPr>
          <w:rFonts w:asciiTheme="majorBidi" w:hAnsiTheme="majorBidi" w:cstheme="majorBidi"/>
          <w:b/>
          <w:bCs/>
          <w:sz w:val="28"/>
          <w:szCs w:val="28"/>
          <w:lang w:bidi="ar-EG"/>
        </w:rPr>
        <w:t>. </w:t>
      </w:r>
    </w:p>
    <w:p w14:paraId="2E6D53D4" w14:textId="77777777" w:rsidR="00916091" w:rsidRPr="00916091" w:rsidRDefault="00916091" w:rsidP="00916091">
      <w:pPr>
        <w:spacing w:line="360" w:lineRule="auto"/>
        <w:rPr>
          <w:rFonts w:asciiTheme="majorBidi" w:hAnsiTheme="majorBidi" w:cstheme="majorBidi"/>
          <w:sz w:val="28"/>
          <w:szCs w:val="28"/>
          <w:rtl/>
          <w:lang w:bidi="ar-EG"/>
        </w:rPr>
      </w:pPr>
      <w:r w:rsidRPr="00916091">
        <w:rPr>
          <w:rFonts w:asciiTheme="majorBidi" w:hAnsiTheme="majorBidi" w:cstheme="majorBidi"/>
          <w:sz w:val="28"/>
          <w:szCs w:val="28"/>
          <w:rtl/>
          <w:lang w:bidi="ar-EG"/>
        </w:rPr>
        <w:t>تهدف هذه الدراسة إلى تحقيق هدف عام يتمثل فى " رصد وتحليل وتفسير اتجاهات النخبة المصرية نحو تقييم دور الصحافة الإلكترونية في مواجهة الشائعات الاقتصادية، وانعكاساتها  على رؤية مصر 2030، والمتغيرات ذات الصلة التى تؤثر على هذه الاتجاهات، والوقوف على الرؤية المستقبلية للدور الذي ينبغي أن تقوم به الصحافة الإلكترونية في مواجهة الشائعات الاقتصادية. وتندرج هذه الدراسة ضمن نوعية البحوث الوصفية. وقد اعتمدت الدراسة على منهج المسح الإعلامي بشقيه (الوصفي والتحليلي). وقد تم استخدام أداتي:(صحيفة الإستبيان- صحيفة تحليل المضمون ).</w:t>
      </w:r>
    </w:p>
    <w:p w14:paraId="3335A9C2" w14:textId="77777777" w:rsidR="00916091" w:rsidRPr="00916091" w:rsidRDefault="00916091" w:rsidP="00916091">
      <w:pPr>
        <w:spacing w:line="360" w:lineRule="auto"/>
        <w:rPr>
          <w:rFonts w:asciiTheme="majorBidi" w:hAnsiTheme="majorBidi" w:cstheme="majorBidi"/>
          <w:sz w:val="28"/>
          <w:szCs w:val="28"/>
          <w:rtl/>
          <w:lang w:bidi="ar-EG"/>
        </w:rPr>
      </w:pPr>
      <w:r w:rsidRPr="00916091">
        <w:rPr>
          <w:rFonts w:asciiTheme="majorBidi" w:hAnsiTheme="majorBidi" w:cstheme="majorBidi"/>
          <w:sz w:val="28"/>
          <w:szCs w:val="28"/>
          <w:rtl/>
          <w:lang w:bidi="ar-EG"/>
        </w:rPr>
        <w:t>وقد اقتصرت هذه الدراسة على عينة قوامها (150) مفردة من النخبة المصرية عينة الدراسة، تشمل العينة (الخبراء الاقتصاديون- أساتذة الجامعات المصرية – الإعلاميون) . وذلك خلال الفترة الزمنية من 1يناير 2020 إلى 31 ديسمبر 2022. وقد أجريت هذه الدراسة على عينة من الصحف الإلكترونية المصرية (صحيفة اليوم السابع – صحيفة المصرى اليوم – صحيفة البوابة نيوز ). وكان من أهم نتائج الدراسة:- كشفت نتائج الدراسة التحليلية: أن الشائعات الإقتصادية جاءت فى الترتيب الأول بعدد (816) شائعة بنسبة  24,7% يليها فى الترتيب الثانى الشائعات الأمنية بعدد(  612) شائعة بنسبة بلغت  18,6% بيما جاء ت الشائعات الصحية فى الترتيب الثالث بعدد (594) شائعة بنسبة  .,18%  بينما جاء ت الشائعات التعليمية فى الترتيب الرابع بعدد (512) شائعة بنسبة بلغت  15,5%  وتباينت بقية الشائعات فى الترتيب والنسب المئوية .</w:t>
      </w:r>
    </w:p>
    <w:p w14:paraId="2CBE44B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كشفت نتائج الدراسة الميدانية: عن مدى الاهتمام الكبير من قبل النخبة بمتابعة الموضوعات والقضايا الاقتصادية في وسائل الإعلام، خاصة وسائل الإعلام الجديد المتمثل في: (الصحف الإلكترونية – التطبيقات الإخبارية المجمعة – وسائل التواصل الاجتماعى).</w:t>
      </w:r>
    </w:p>
    <w:p w14:paraId="1A5F77D4"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lang w:bidi="ar-EG"/>
        </w:rPr>
        <w:t xml:space="preserve"> (Education, P., &amp; Education, S. " </w:t>
      </w:r>
      <w:r w:rsidRPr="00916091">
        <w:rPr>
          <w:rFonts w:asciiTheme="majorBidi" w:hAnsiTheme="majorBidi" w:cstheme="majorBidi"/>
          <w:b/>
          <w:bCs/>
          <w:sz w:val="28"/>
          <w:szCs w:val="28"/>
          <w:rtl/>
        </w:rPr>
        <w:t xml:space="preserve"> (2023) تقديم المعلومات الصحية حل جائحة کورونا عبر وسائل التواصل الاجتماعى وتأثيراتها الاجتماعية</w:t>
      </w:r>
      <w:r w:rsidRPr="00916091">
        <w:rPr>
          <w:rFonts w:asciiTheme="majorBidi" w:hAnsiTheme="majorBidi" w:cstheme="majorBidi"/>
          <w:b/>
          <w:bCs/>
          <w:sz w:val="28"/>
          <w:szCs w:val="28"/>
          <w:lang w:bidi="ar-EG"/>
        </w:rPr>
        <w:t>.</w:t>
      </w:r>
    </w:p>
    <w:tbl>
      <w:tblPr>
        <w:tblW w:w="5000" w:type="pct"/>
        <w:shd w:val="clear" w:color="auto" w:fill="FFFFFF"/>
        <w:tblCellMar>
          <w:left w:w="0" w:type="dxa"/>
          <w:right w:w="0" w:type="dxa"/>
        </w:tblCellMar>
        <w:tblLook w:val="04A0" w:firstRow="1" w:lastRow="0" w:firstColumn="1" w:lastColumn="0" w:noHBand="0" w:noVBand="1"/>
      </w:tblPr>
      <w:tblGrid>
        <w:gridCol w:w="9360"/>
      </w:tblGrid>
      <w:tr w:rsidR="00916091" w:rsidRPr="00916091" w14:paraId="31F1AF35" w14:textId="77777777" w:rsidTr="00A171A0">
        <w:tc>
          <w:tcPr>
            <w:tcW w:w="5000" w:type="pct"/>
            <w:shd w:val="clear" w:color="auto" w:fill="FFFFFF"/>
            <w:tcMar>
              <w:top w:w="15" w:type="dxa"/>
              <w:left w:w="75" w:type="dxa"/>
              <w:bottom w:w="15" w:type="dxa"/>
              <w:right w:w="75" w:type="dxa"/>
            </w:tcMar>
            <w:vAlign w:val="center"/>
            <w:hideMark/>
          </w:tcPr>
          <w:p w14:paraId="5B84B4D7" w14:textId="77777777" w:rsidR="00916091" w:rsidRPr="00916091" w:rsidRDefault="00916091" w:rsidP="00A171A0">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lastRenderedPageBreak/>
              <w:t>هدفت الدراسة تقديم المعلومات الصحية ذات الصلة بفيروس</w:t>
            </w:r>
            <w:r w:rsidRPr="00916091">
              <w:rPr>
                <w:rFonts w:asciiTheme="majorBidi" w:hAnsiTheme="majorBidi" w:cstheme="majorBidi"/>
                <w:sz w:val="28"/>
                <w:szCs w:val="28"/>
                <w:lang w:bidi="ar-EG"/>
              </w:rPr>
              <w:t xml:space="preserve"> Covid-19 </w:t>
            </w:r>
            <w:r w:rsidRPr="00916091">
              <w:rPr>
                <w:rFonts w:asciiTheme="majorBidi" w:hAnsiTheme="majorBidi" w:cstheme="majorBidi"/>
                <w:sz w:val="28"/>
                <w:szCs w:val="28"/>
                <w:rtl/>
              </w:rPr>
              <w:t>عبر مواقع التواصل الاجتماعى، وعرضت إيجابيات وسلبيات إنتشار المعلومات الصحية الصحيحة والکاذبة بالموجات المتعاقبة للفيروس. أُستخدمت استمارة الکترونية لجمع البيانات، شملت العينة عدد 39 ذکور و76إناث .تم وصف الخصائص الديموجرافية واجراء اختبار</w:t>
            </w:r>
            <w:r w:rsidRPr="00916091">
              <w:rPr>
                <w:rFonts w:asciiTheme="majorBidi" w:hAnsiTheme="majorBidi" w:cstheme="majorBidi"/>
                <w:sz w:val="28"/>
                <w:szCs w:val="28"/>
                <w:lang w:bidi="ar-EG"/>
              </w:rPr>
              <w:t xml:space="preserve"> Chi2 </w:t>
            </w:r>
            <w:r w:rsidRPr="00916091">
              <w:rPr>
                <w:rFonts w:asciiTheme="majorBidi" w:hAnsiTheme="majorBidi" w:cstheme="majorBidi"/>
                <w:sz w:val="28"/>
                <w:szCs w:val="28"/>
                <w:rtl/>
              </w:rPr>
              <w:t>لاختبار الفروق الاحصائية بين مجموعة الذکور ومجموعة الإناث. اتضح عدم وجود فروق بين المجموعتين فى مدى الاستفادة من وسائل التواصل الاجتماعى فى معرفة طرق الوقاية عبرها بقيمة دلالة تبلغ 0.373کما أن النوع الاجتماعى لا يتاثر بما يُنشر على وسائل التواصل الاجتماعى حول الفيروس بقيمة</w:t>
            </w:r>
            <w:r w:rsidRPr="00916091">
              <w:rPr>
                <w:rFonts w:asciiTheme="majorBidi" w:hAnsiTheme="majorBidi" w:cstheme="majorBidi"/>
                <w:sz w:val="28"/>
                <w:szCs w:val="28"/>
                <w:lang w:bidi="ar-EG"/>
              </w:rPr>
              <w:t xml:space="preserve"> Pvalue=0.474 </w:t>
            </w:r>
            <w:r w:rsidRPr="00916091">
              <w:rPr>
                <w:rFonts w:asciiTheme="majorBidi" w:hAnsiTheme="majorBidi" w:cstheme="majorBidi"/>
                <w:sz w:val="28"/>
                <w:szCs w:val="28"/>
                <w:rtl/>
              </w:rPr>
              <w:t>أکبر من 0.05 غير جوهرية عند مستوى أقل من 0.05. بينما يؤثر العمر والمستوى التعليمى في نوع المعلومة الصحية التى شارکها المبحوث مع الآخرين عبر الوسائل، تلک المعلومات هى طرق التغذية السليمة أثناء الجائحة، وعناوين مستشفيات، العزل وغسيل الأيدى بطريقة سليمة، واستخدام الکحول، وتوافر علاج وأماکن أنابيب الأکسجين بأسعار رمزية، وأسماء وعناوين الأطباء المتطوعين مجانا. اقترحت الدراسة ضرورة مواجهة انتشاء ظاهرة</w:t>
            </w:r>
            <w:r w:rsidRPr="00916091">
              <w:rPr>
                <w:rFonts w:asciiTheme="majorBidi" w:hAnsiTheme="majorBidi" w:cstheme="majorBidi"/>
                <w:sz w:val="28"/>
                <w:szCs w:val="28"/>
                <w:lang w:bidi="ar-EG"/>
              </w:rPr>
              <w:t xml:space="preserve"> "Infodemic" </w:t>
            </w:r>
            <w:r w:rsidRPr="00916091">
              <w:rPr>
                <w:rFonts w:asciiTheme="majorBidi" w:hAnsiTheme="majorBidi" w:cstheme="majorBidi"/>
                <w:sz w:val="28"/>
                <w:szCs w:val="28"/>
                <w:rtl/>
              </w:rPr>
              <w:t>أو "الداء المعلوماتى</w:t>
            </w:r>
            <w:r w:rsidRPr="00916091">
              <w:rPr>
                <w:rFonts w:asciiTheme="majorBidi" w:hAnsiTheme="majorBidi" w:cstheme="majorBidi"/>
                <w:sz w:val="28"/>
                <w:szCs w:val="28"/>
                <w:lang w:bidi="ar-EG"/>
              </w:rPr>
              <w:t xml:space="preserve">"(Cinelli et al., 2020) </w:t>
            </w:r>
            <w:r w:rsidRPr="00916091">
              <w:rPr>
                <w:rFonts w:asciiTheme="majorBidi" w:hAnsiTheme="majorBidi" w:cstheme="majorBidi"/>
                <w:sz w:val="28"/>
                <w:szCs w:val="28"/>
                <w:rtl/>
              </w:rPr>
              <w:t>بتوضيح مخاطر ظاهرة المعلومات المضللة أثناء تفشى الأوبئة.ونشر وتعزيز التثقيف الرقمى للحماية من نقل المعلومات فى عضر يتم فيه تداول الأکاذيب والشائعات بطريقة عشوائية دون ضوابط أو رقابة. وضرورة وضع آليات رقابية رادعة لمروجى الشائعات ذات الصلة بالصحة العامة والوقاية من الفيروسات والأمراض ، لرفع الوعى الصحى السليم والسلوک الإيجابى ورفع مستوى الثقة بين مرتادى وسائل التواصل الاجتماعى</w:t>
            </w:r>
            <w:r w:rsidRPr="00916091">
              <w:rPr>
                <w:rFonts w:asciiTheme="majorBidi" w:hAnsiTheme="majorBidi" w:cstheme="majorBidi"/>
                <w:sz w:val="28"/>
                <w:szCs w:val="28"/>
                <w:lang w:bidi="ar-EG"/>
              </w:rPr>
              <w:t>.</w:t>
            </w:r>
          </w:p>
          <w:p w14:paraId="0D1A781F" w14:textId="77777777" w:rsidR="00916091" w:rsidRPr="00916091" w:rsidRDefault="00916091" w:rsidP="00A171A0">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rPr>
              <w:t>أبو زيد, معزة آدم أحمد, عبد الله</w:t>
            </w:r>
            <w:r w:rsidRPr="00916091">
              <w:rPr>
                <w:rFonts w:asciiTheme="majorBidi" w:hAnsiTheme="majorBidi" w:cstheme="majorBidi"/>
                <w:b/>
                <w:bCs/>
                <w:sz w:val="28"/>
                <w:szCs w:val="28"/>
                <w:lang w:bidi="ar-EG"/>
              </w:rPr>
              <w:t xml:space="preserve">, &amp; </w:t>
            </w:r>
            <w:r w:rsidRPr="00916091">
              <w:rPr>
                <w:rFonts w:asciiTheme="majorBidi" w:hAnsiTheme="majorBidi" w:cstheme="majorBidi"/>
                <w:b/>
                <w:bCs/>
                <w:sz w:val="28"/>
                <w:szCs w:val="28"/>
                <w:rtl/>
              </w:rPr>
              <w:t>هبه محمد إسماعيل. (2022). الشائعات الالکترونية وتأثيرها على الوضع الصحي في السودان فيروس کورونا المعدي (کوفيد 19) أنموذجاً (دراسة على مستخدمي شبکات التواصل الاجتماعي)</w:t>
            </w:r>
            <w:r w:rsidRPr="00916091">
              <w:rPr>
                <w:rFonts w:asciiTheme="majorBidi" w:hAnsiTheme="majorBidi" w:cstheme="majorBidi"/>
                <w:b/>
                <w:bCs/>
                <w:sz w:val="28"/>
                <w:szCs w:val="28"/>
                <w:lang w:bidi="ar-EG"/>
              </w:rPr>
              <w:t>.</w:t>
            </w:r>
          </w:p>
          <w:p w14:paraId="4B7EF2D6" w14:textId="77777777" w:rsidR="00916091" w:rsidRPr="00916091" w:rsidRDefault="00916091" w:rsidP="00A171A0">
            <w:p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هدفت الدراسة إلى تحليل دور مواقع التواصل الاجتماعي في نشر المعلومات الصحية عن كوفيد-19، حيث استخدمت استبانة إلكترونية لجمع بيانات من 115 مشاركًا (39 ذكرًا و76 أنثى)، وكشفت النتائج عن عدم وجود فروق ذات دلالة إحصائية بين الجنسين في الاعتماد على هذه المنصات للحصول على معلومات الوقاية</w:t>
            </w:r>
            <w:r w:rsidRPr="00916091">
              <w:rPr>
                <w:rFonts w:asciiTheme="majorBidi" w:hAnsiTheme="majorBidi" w:cstheme="majorBidi"/>
                <w:sz w:val="28"/>
                <w:szCs w:val="28"/>
                <w:lang w:bidi="ar-EG"/>
              </w:rPr>
              <w:t xml:space="preserve"> (p=0.373) </w:t>
            </w:r>
            <w:r w:rsidRPr="00916091">
              <w:rPr>
                <w:rFonts w:asciiTheme="majorBidi" w:hAnsiTheme="majorBidi" w:cstheme="majorBidi"/>
                <w:sz w:val="28"/>
                <w:szCs w:val="28"/>
                <w:rtl/>
              </w:rPr>
              <w:t>أو في التأثر بالمحتوى المنشور</w:t>
            </w:r>
            <w:r w:rsidRPr="00916091">
              <w:rPr>
                <w:rFonts w:asciiTheme="majorBidi" w:hAnsiTheme="majorBidi" w:cstheme="majorBidi"/>
                <w:sz w:val="28"/>
                <w:szCs w:val="28"/>
                <w:lang w:bidi="ar-EG"/>
              </w:rPr>
              <w:t xml:space="preserve"> (p=0.474)</w:t>
            </w:r>
            <w:r w:rsidRPr="00916091">
              <w:rPr>
                <w:rFonts w:asciiTheme="majorBidi" w:hAnsiTheme="majorBidi" w:cstheme="majorBidi"/>
                <w:sz w:val="28"/>
                <w:szCs w:val="28"/>
                <w:rtl/>
              </w:rPr>
              <w:t>، بينما أظهرت أن العمر والمستوى التعليمي يؤثران بشكل كبير في نوعية المعلومات المتبادلة، والتي شملت طرق التغذية السليمة، عناوين المستشفيات، إجراءات التعقيم، وتوفر العلاجات، كما حذرت الدراسة من مخاطر "الجائحة المعلوماتية</w:t>
            </w:r>
            <w:r w:rsidRPr="00916091">
              <w:rPr>
                <w:rFonts w:asciiTheme="majorBidi" w:hAnsiTheme="majorBidi" w:cstheme="majorBidi"/>
                <w:sz w:val="28"/>
                <w:szCs w:val="28"/>
                <w:lang w:bidi="ar-EG"/>
              </w:rPr>
              <w:t xml:space="preserve">" (Infodemic) </w:t>
            </w:r>
            <w:r w:rsidRPr="00916091">
              <w:rPr>
                <w:rFonts w:asciiTheme="majorBidi" w:hAnsiTheme="majorBidi" w:cstheme="majorBidi"/>
                <w:sz w:val="28"/>
                <w:szCs w:val="28"/>
                <w:rtl/>
              </w:rPr>
              <w:t xml:space="preserve">ودعت إلى تعزيز التثقيف الرقمي ووضع آليات رقابية صارمة للحد من انتشار الشائعات الصحية، خاصةً </w:t>
            </w:r>
            <w:r w:rsidRPr="00916091">
              <w:rPr>
                <w:rFonts w:asciiTheme="majorBidi" w:hAnsiTheme="majorBidi" w:cstheme="majorBidi"/>
                <w:sz w:val="28"/>
                <w:szCs w:val="28"/>
                <w:rtl/>
              </w:rPr>
              <w:lastRenderedPageBreak/>
              <w:t>بعد ما أثبتته من تأثير خطير للإشاعات على تدهور الخدمات الطبية وزيادة انتشار الفيروس، وخلصت إلى ضرورة إنشاء مراكز متخصصة لرصد الشائعات وتطبيق عقوبات على مروجيها لضمان تداول معلومات موثوقة خلال الأزمات الصحية</w:t>
            </w:r>
            <w:r w:rsidRPr="00916091">
              <w:rPr>
                <w:rFonts w:asciiTheme="majorBidi" w:hAnsiTheme="majorBidi" w:cstheme="majorBidi"/>
                <w:sz w:val="28"/>
                <w:szCs w:val="28"/>
                <w:lang w:bidi="ar-EG"/>
              </w:rPr>
              <w:t>.</w:t>
            </w:r>
          </w:p>
          <w:p w14:paraId="6036D0B6" w14:textId="77777777" w:rsidR="00916091" w:rsidRPr="00916091" w:rsidRDefault="00916091" w:rsidP="00A171A0">
            <w:pPr>
              <w:spacing w:line="360" w:lineRule="auto"/>
              <w:jc w:val="both"/>
              <w:rPr>
                <w:rFonts w:asciiTheme="majorBidi" w:hAnsiTheme="majorBidi" w:cstheme="majorBidi"/>
                <w:b/>
                <w:bCs/>
                <w:sz w:val="28"/>
                <w:szCs w:val="28"/>
                <w:lang w:bidi="ar-EG"/>
              </w:rPr>
            </w:pPr>
          </w:p>
        </w:tc>
      </w:tr>
      <w:tr w:rsidR="00916091" w:rsidRPr="00FF1F12" w14:paraId="3D8A7255" w14:textId="77777777" w:rsidTr="00A171A0">
        <w:tc>
          <w:tcPr>
            <w:tcW w:w="5000" w:type="pct"/>
            <w:shd w:val="clear" w:color="auto" w:fill="FFFFFF"/>
            <w:tcMar>
              <w:top w:w="225" w:type="dxa"/>
              <w:left w:w="75" w:type="dxa"/>
              <w:bottom w:w="0" w:type="dxa"/>
              <w:right w:w="75" w:type="dxa"/>
            </w:tcMar>
            <w:vAlign w:val="center"/>
            <w:hideMark/>
          </w:tcPr>
          <w:p w14:paraId="1FDB5CF9" w14:textId="77777777" w:rsidR="00916091" w:rsidRPr="00FF1F12" w:rsidRDefault="00916091" w:rsidP="00A171A0">
            <w:pPr>
              <w:spacing w:line="360" w:lineRule="auto"/>
              <w:jc w:val="both"/>
              <w:rPr>
                <w:rFonts w:ascii="Simplified Arabic" w:hAnsi="Simplified Arabic" w:cs="Simplified Arabic"/>
                <w:b/>
                <w:bCs/>
                <w:sz w:val="28"/>
                <w:szCs w:val="28"/>
                <w:lang w:bidi="ar-EG"/>
              </w:rPr>
            </w:pPr>
          </w:p>
        </w:tc>
      </w:tr>
    </w:tbl>
    <w:p w14:paraId="53481F07"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الاستفادة من الدراسات السابقة :</w:t>
      </w:r>
    </w:p>
    <w:p w14:paraId="10DB29C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من خلال أبرز الدراسات السابقة المرتبطة بمجال الدراسة الحالية نجد أن الدراسات استهدفت الوعي الصحي ،من خلال الاعلام الرقمي والتكنولوجيا ، على الرغم من وجود الوصم خلال الفئات العمرية.</w:t>
      </w:r>
    </w:p>
    <w:p w14:paraId="42DDDCA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حيث ساعدت الدراسات السابقة على الإلمام بشكل أكبر بموضوع التوعية بالامراض المزمنة المزمنه، وساعد في فهم الأساليب المستخدمة  وتحليل النتائج التي توصلت اليها ومنها تسهل لي كباحثه توضيح نتائج الدراسة الحالية  ،واعتمدت من خلالها  على عدم التكرار بالرغم من ان  البحث واهدافة لم يتناقش في بحوث عربية ، والاطلاع على الاطار النظري والتعرف على المفاهيم والفجوة البحثية . ويمكننا الإشارة الي أوجه التشابة والاختلاف والاستفادة فيما يلي:</w:t>
      </w:r>
    </w:p>
    <w:p w14:paraId="5465EE92"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تشابه الموضوعات</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تتناول جميع الدراسات قضايا صحية من زوايا مختلفة، مثل الثقافة الصحية، التوعية عبر الوسائل الرقمية، وتأثير الإعلام في تشكيل الرأي العام حول الأمراض. هذا يدل على الأهمية المتزايدة لمجال الصحة العامة في الأبحاث الحديثة</w:t>
      </w:r>
      <w:r w:rsidRPr="00916091">
        <w:rPr>
          <w:rFonts w:asciiTheme="majorBidi" w:hAnsiTheme="majorBidi" w:cstheme="majorBidi"/>
          <w:sz w:val="28"/>
          <w:szCs w:val="28"/>
          <w:lang w:bidi="ar-EG"/>
        </w:rPr>
        <w:t>.</w:t>
      </w:r>
    </w:p>
    <w:p w14:paraId="657E27F6"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التقنيات والأساليب المستخدمة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تعتمد بعض الدراسات على التحليل الأنثروبولوجي (علواني وآخرون، 2024) بينما تستخدم أخرى تحليل السرد (صبرة، 2024) أو الدراسات الوصفية (السلمي وعطية، 2022). هذا التنوع في المنهجيات يمنح نظرة شاملة حول الموضوع</w:t>
      </w:r>
      <w:r w:rsidRPr="00916091">
        <w:rPr>
          <w:rFonts w:asciiTheme="majorBidi" w:hAnsiTheme="majorBidi" w:cstheme="majorBidi"/>
          <w:sz w:val="28"/>
          <w:szCs w:val="28"/>
          <w:lang w:bidi="ar-EG"/>
        </w:rPr>
        <w:t>.</w:t>
      </w:r>
    </w:p>
    <w:p w14:paraId="33CFE8CD"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دور الإعلام الرقمي</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ركزت بعض الأبحاث على الاتصال الرقمي وأثره في تشكيل الرأي العام تجاه القضايا الصحية (خيرت، 2023) أو تحليل المحتوى الصحي في المنصات التفاعلية (صبرة، 2024)، مما يعكس اهتمامًا متزايدًا بتأثير وسائل الإعلام الحديثة</w:t>
      </w:r>
      <w:r w:rsidRPr="00916091">
        <w:rPr>
          <w:rFonts w:asciiTheme="majorBidi" w:hAnsiTheme="majorBidi" w:cstheme="majorBidi"/>
          <w:sz w:val="28"/>
          <w:szCs w:val="28"/>
          <w:lang w:bidi="ar-EG"/>
        </w:rPr>
        <w:t>.</w:t>
      </w:r>
    </w:p>
    <w:p w14:paraId="4A22D18B"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الصحة الوقائية مقابل العلاجية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بعض الدراسات ركزت على الوقاية والتثقيف الصحي (قلاده، 2025)، بينما تناولت أخرى التعامل مع الأمراض المزمنة بعد الإصابة بها (السلمي وعطية، 2022). هذه المقاربة المتوازنة توفر رؤى حول أهمية التثقيف الصحي في تقليل الأمراض بدلًا من مجرد علاجها</w:t>
      </w:r>
      <w:r w:rsidRPr="00916091">
        <w:rPr>
          <w:rFonts w:asciiTheme="majorBidi" w:hAnsiTheme="majorBidi" w:cstheme="majorBidi"/>
          <w:sz w:val="28"/>
          <w:szCs w:val="28"/>
          <w:lang w:bidi="ar-EG"/>
        </w:rPr>
        <w:t>.</w:t>
      </w:r>
    </w:p>
    <w:p w14:paraId="34CDAFDE"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lastRenderedPageBreak/>
        <w:t>الفئات المستهدفة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تتناول بعض الدراسات الجمهور العام (محمد وآخرون، 2023)، بينما تركز أخرى على مجموعات محددة مثل المرضى المزمنين (السلمي وعطية، 2022) أو طلاب الجامعة (قلاده، 2025)، مما يعكس تنوع الاهتمام البحثي</w:t>
      </w:r>
      <w:r w:rsidRPr="00916091">
        <w:rPr>
          <w:rFonts w:asciiTheme="majorBidi" w:hAnsiTheme="majorBidi" w:cstheme="majorBidi"/>
          <w:sz w:val="28"/>
          <w:szCs w:val="28"/>
          <w:lang w:bidi="ar-EG"/>
        </w:rPr>
        <w:t>.</w:t>
      </w:r>
    </w:p>
    <w:p w14:paraId="51E0A07A"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تأثير الثقافة الصحية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ركزت دراسة علواني وآخرون (2024) على الثقافة الصحية كعامل أساسي في الوقاية من الأمراض، وهي نقطة تتقاطع مع دراسة قلاده (2025) التي ركزت على التثقيف الغذائي وتأثيره على السلوكيات الصحية</w:t>
      </w:r>
      <w:r w:rsidRPr="00916091">
        <w:rPr>
          <w:rFonts w:asciiTheme="majorBidi" w:hAnsiTheme="majorBidi" w:cstheme="majorBidi"/>
          <w:sz w:val="28"/>
          <w:szCs w:val="28"/>
          <w:lang w:bidi="ar-EG"/>
        </w:rPr>
        <w:t>.</w:t>
      </w:r>
    </w:p>
    <w:p w14:paraId="31795771"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المناهج الكمية والنوعية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تستخدم بعض الأبحاث مناهج تحليلية كمية مثل الاستبانات لقياس اتجاهات الجمهور (محمد وآخرون، 2023)، بينما تعتمد أخرى على مناهج نوعية مثل تحليل السرد أو الدراسات الأنثروبولوجية، مما يظهر التكامل بين أساليب البحث المختلفة</w:t>
      </w:r>
      <w:r w:rsidRPr="00916091">
        <w:rPr>
          <w:rFonts w:asciiTheme="majorBidi" w:hAnsiTheme="majorBidi" w:cstheme="majorBidi"/>
          <w:sz w:val="28"/>
          <w:szCs w:val="28"/>
          <w:lang w:bidi="ar-EG"/>
        </w:rPr>
        <w:t>.</w:t>
      </w:r>
    </w:p>
    <w:p w14:paraId="171C4BD7"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ارتباط الدراسات بالسياقات المحلية والدولية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بعض الدراسات تركز على مجتمعات معينة مثل مصر (محمد وآخرون، 2023) أو السعودية (السلمي وعطية، 2022)، مما يوضح التفاوت في القضايا الصحية بين البلدان وأهمية دراسة هذه الفروق</w:t>
      </w:r>
      <w:r w:rsidRPr="00916091">
        <w:rPr>
          <w:rFonts w:asciiTheme="majorBidi" w:hAnsiTheme="majorBidi" w:cstheme="majorBidi"/>
          <w:sz w:val="28"/>
          <w:szCs w:val="28"/>
          <w:lang w:bidi="ar-EG"/>
        </w:rPr>
        <w:t>.</w:t>
      </w:r>
    </w:p>
    <w:p w14:paraId="33963D04"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انعكاسات عملية وتوصيات</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تقدم بعض الأبحاث توصيات مباشرة مثل تعزيز دور الحسابات الصحية على وسائل التواصل الاجتماعي (محمد وآخرون، 2023) أو تطوير برامج تثقيفية (قلاده، 2025)، مما يعزز الفائدة التطبيقية لهذه الدراسات</w:t>
      </w:r>
      <w:r w:rsidRPr="00916091">
        <w:rPr>
          <w:rFonts w:asciiTheme="majorBidi" w:hAnsiTheme="majorBidi" w:cstheme="majorBidi"/>
          <w:sz w:val="28"/>
          <w:szCs w:val="28"/>
          <w:lang w:bidi="ar-EG"/>
        </w:rPr>
        <w:t>.</w:t>
      </w:r>
    </w:p>
    <w:p w14:paraId="29B66588"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28"/>
          <w:szCs w:val="28"/>
          <w:rtl/>
        </w:rPr>
        <w:t>أهمية هذه الدراسات للمجتمع</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تسلط هذه الأبحاث الضوء على ضرورة تعزيز الوعي الصحي، ودور الإعلام والتكنولوجيا في نشر المعلومات الصحية، مما يساعد في الحد من الأمراض المزمنة وتحسين جودة الحياة للأفراد</w:t>
      </w:r>
      <w:r w:rsidRPr="00916091">
        <w:rPr>
          <w:rFonts w:asciiTheme="majorBidi" w:hAnsiTheme="majorBidi" w:cstheme="majorBidi"/>
          <w:b/>
          <w:bCs/>
          <w:sz w:val="32"/>
          <w:szCs w:val="32"/>
          <w:rtl/>
          <w:lang w:bidi="ar-EG"/>
        </w:rPr>
        <w:t xml:space="preserve"> </w:t>
      </w:r>
    </w:p>
    <w:p w14:paraId="1D178FA6" w14:textId="77777777" w:rsidR="006256DE" w:rsidRPr="00916091" w:rsidRDefault="006256DE" w:rsidP="006256DE">
      <w:pPr>
        <w:spacing w:line="360" w:lineRule="auto"/>
        <w:jc w:val="both"/>
        <w:rPr>
          <w:rFonts w:asciiTheme="majorBidi" w:hAnsiTheme="majorBidi" w:cstheme="majorBidi"/>
          <w:sz w:val="28"/>
          <w:szCs w:val="28"/>
          <w:rtl/>
          <w:lang w:bidi="ar-EG"/>
        </w:rPr>
      </w:pPr>
    </w:p>
    <w:p w14:paraId="046BC48E" w14:textId="77777777" w:rsidR="00916091" w:rsidRPr="00916091" w:rsidRDefault="00916091" w:rsidP="006256DE">
      <w:pPr>
        <w:spacing w:line="360" w:lineRule="auto"/>
        <w:jc w:val="both"/>
        <w:rPr>
          <w:rFonts w:asciiTheme="majorBidi" w:hAnsiTheme="majorBidi" w:cstheme="majorBidi"/>
          <w:sz w:val="28"/>
          <w:szCs w:val="28"/>
          <w:rtl/>
          <w:lang w:bidi="ar-EG"/>
        </w:rPr>
      </w:pPr>
    </w:p>
    <w:p w14:paraId="794E1DF0" w14:textId="77777777" w:rsidR="00916091" w:rsidRDefault="00916091" w:rsidP="006256DE">
      <w:pPr>
        <w:spacing w:line="360" w:lineRule="auto"/>
        <w:jc w:val="both"/>
        <w:rPr>
          <w:rFonts w:asciiTheme="majorBidi" w:hAnsiTheme="majorBidi" w:cstheme="majorBidi"/>
          <w:sz w:val="28"/>
          <w:szCs w:val="28"/>
          <w:rtl/>
          <w:lang w:bidi="ar-EG"/>
        </w:rPr>
      </w:pPr>
    </w:p>
    <w:p w14:paraId="766B95DC" w14:textId="77777777" w:rsidR="00916091" w:rsidRDefault="00916091" w:rsidP="006256DE">
      <w:pPr>
        <w:spacing w:line="360" w:lineRule="auto"/>
        <w:jc w:val="both"/>
        <w:rPr>
          <w:rFonts w:asciiTheme="majorBidi" w:hAnsiTheme="majorBidi" w:cstheme="majorBidi"/>
          <w:sz w:val="28"/>
          <w:szCs w:val="28"/>
          <w:rtl/>
          <w:lang w:bidi="ar-EG"/>
        </w:rPr>
      </w:pPr>
    </w:p>
    <w:p w14:paraId="78849A86" w14:textId="77777777" w:rsidR="006256DE" w:rsidRDefault="006256DE" w:rsidP="006256DE">
      <w:pPr>
        <w:spacing w:line="360" w:lineRule="auto"/>
        <w:jc w:val="both"/>
        <w:rPr>
          <w:rFonts w:asciiTheme="majorBidi" w:hAnsiTheme="majorBidi" w:cstheme="majorBidi"/>
          <w:sz w:val="28"/>
          <w:szCs w:val="28"/>
          <w:rtl/>
          <w:lang w:bidi="ar-EG"/>
        </w:rPr>
      </w:pPr>
    </w:p>
    <w:p w14:paraId="49E8CA0F" w14:textId="77777777" w:rsidR="006256DE" w:rsidRDefault="006256DE" w:rsidP="006256DE">
      <w:pPr>
        <w:spacing w:line="360" w:lineRule="auto"/>
        <w:jc w:val="both"/>
        <w:rPr>
          <w:rFonts w:asciiTheme="majorBidi" w:hAnsiTheme="majorBidi" w:cstheme="majorBidi"/>
          <w:sz w:val="28"/>
          <w:szCs w:val="28"/>
          <w:rtl/>
          <w:lang w:bidi="ar-EG"/>
        </w:rPr>
      </w:pPr>
    </w:p>
    <w:p w14:paraId="2A0F6A45" w14:textId="77777777" w:rsidR="002F27E9" w:rsidRPr="005D2EB9" w:rsidRDefault="002F27E9" w:rsidP="002F27E9">
      <w:pPr>
        <w:spacing w:line="360" w:lineRule="auto"/>
        <w:rPr>
          <w:rFonts w:asciiTheme="majorBidi" w:hAnsiTheme="majorBidi" w:cstheme="majorBidi"/>
          <w:b/>
          <w:bCs/>
          <w:sz w:val="32"/>
          <w:szCs w:val="32"/>
          <w:rtl/>
        </w:rPr>
      </w:pPr>
      <w:r w:rsidRPr="005D2EB9">
        <w:rPr>
          <w:rFonts w:asciiTheme="majorBidi" w:hAnsiTheme="majorBidi" w:cstheme="majorBidi"/>
          <w:b/>
          <w:bCs/>
          <w:sz w:val="32"/>
          <w:szCs w:val="32"/>
          <w:rtl/>
        </w:rPr>
        <w:t>المبحث الأول: الإعلام الرقمي ومفاهيمه</w:t>
      </w:r>
    </w:p>
    <w:p w14:paraId="2C6CA246" w14:textId="77777777" w:rsidR="002F27E9" w:rsidRPr="005D2EB9" w:rsidRDefault="002F27E9" w:rsidP="002F27E9">
      <w:pPr>
        <w:spacing w:line="360" w:lineRule="auto"/>
        <w:rPr>
          <w:rFonts w:asciiTheme="majorBidi" w:hAnsiTheme="majorBidi" w:cstheme="majorBidi"/>
          <w:b/>
          <w:bCs/>
          <w:sz w:val="28"/>
          <w:szCs w:val="28"/>
          <w:rtl/>
        </w:rPr>
      </w:pPr>
      <w:r w:rsidRPr="005D2EB9">
        <w:rPr>
          <w:rFonts w:asciiTheme="majorBidi" w:hAnsiTheme="majorBidi" w:cstheme="majorBidi"/>
          <w:b/>
          <w:bCs/>
          <w:sz w:val="28"/>
          <w:szCs w:val="28"/>
          <w:rtl/>
        </w:rPr>
        <w:t>تمهيد:</w:t>
      </w:r>
    </w:p>
    <w:p w14:paraId="5E9A1CA9" w14:textId="77777777" w:rsidR="002F27E9" w:rsidRPr="005D2EB9" w:rsidRDefault="002F27E9" w:rsidP="002F27E9">
      <w:pPr>
        <w:spacing w:line="360" w:lineRule="auto"/>
        <w:rPr>
          <w:rFonts w:asciiTheme="majorBidi" w:hAnsiTheme="majorBidi" w:cstheme="majorBidi"/>
          <w:sz w:val="28"/>
          <w:szCs w:val="28"/>
          <w:rtl/>
        </w:rPr>
      </w:pPr>
      <w:r w:rsidRPr="005D2EB9">
        <w:rPr>
          <w:rFonts w:asciiTheme="majorBidi" w:hAnsiTheme="majorBidi" w:cstheme="majorBidi"/>
          <w:sz w:val="28"/>
          <w:szCs w:val="28"/>
          <w:rtl/>
        </w:rPr>
        <w:t xml:space="preserve">شهد العالم في العقود الأخيرة ثورة تكنولوجية غير مسبوقة، انعكست بشكل مباشر على طبيعة وسائل الإعلام وتواصل الإنسان مع محيطه الاجتماعي والثقافي. ومن بين أبرز هذه التطورات، الإعلام الرقمي الذي تحول إلى ظاهرة مؤثرة وعميقة في بنية المجتمعات الحديثة، وأعاد تشكيل مفهوم الإعلام التقليدي من حيث الشكل والمضمون والوسائط المستخدمة. والإعلام الرقمي، الذي يقوم على استخدام التكنولوجيا الرقمية في إنتاج المحتوى الإعلامي، وتوزيعه، وتلقيه، لم يعد مجرد قناة لنقل الأخبار أو الترفيه، بل أصبح أداة فاعلة في بناء الوعي، وتشكيل الرأي العام، وتحفيز التغيير الاجتماعي والثقافي. </w:t>
      </w:r>
    </w:p>
    <w:p w14:paraId="594A794D"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وفي هذا التمهيد سنقوم بتناول مفهوم الإعلام الرقمي، وتطوره، وأهميته في العصر الحديث، مع إبراز مميزاته التي تميزه عن الإعلام التقليدي؛ مما يمهد الطريق لفهم دوره في مجالات عدة، خاصة في التوعية الصحية</w:t>
      </w:r>
      <w:r w:rsidRPr="005D2EB9">
        <w:rPr>
          <w:rFonts w:asciiTheme="majorBidi" w:hAnsiTheme="majorBidi" w:cstheme="majorBidi"/>
          <w:sz w:val="28"/>
          <w:szCs w:val="28"/>
        </w:rPr>
        <w:t>.</w:t>
      </w:r>
    </w:p>
    <w:p w14:paraId="191C6D1F"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يمكن تعريف الإعلام الرقمي بأنه كل ما يتعلق باستخدام الوسائل الرقمية الإلكترونية لنقل المحتوى الإعلامي، سواء كان ذلك عبر الإنترنت، أو عبر الهواتف الذكية، أو عبر التطبيقات الرقمية المختلفة، وهو يشمل المنصات الاجتماعية، المواقع الإخبارية الرقمية، البودكاست، الفيديوهات التفاعلية، وغيرها من الأشكال التي تعتمد على التكنولوجيا الرقمية. ويأتي هذا الإعلام كنتيجة طبيعية لتطور الشبكات الرقمية العالمية التي تربط بين الناس، مما جعل الوصول إلى المعلومات سهلاً وسريعاً، وأتاح للجمهور المشاركة في صناعة المحتوى، والتفاعل معه بشكل مباشر، بخلاف الإعلام التقليدي الذي كان يعتمد على قنوات بث أحادية الاتجاه. (شلابي وآخرون، 2021)</w:t>
      </w:r>
    </w:p>
    <w:p w14:paraId="7292F22F"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 xml:space="preserve">تنبع أهمية الإعلام الرقمي من قدرته على تجاوز الحواجز الجغرافية والزمنية، ما يجعل الرسائل الإعلامية تصل إلى جمهور واسع ومتنوع في آن واحد. فبفضل التكنولوجيا الرقمية، صار بالإمكان نشر المحتوى على نطاق عالمي في لحظات معدودة، مع إمكانية التفاعل الفوري عبر التعليقات والمشاركات، وهو ما أعطى للإعلام الرقمي بعداً اجتماعياً جديداً يعزز من الحوار والمشاركة المجتمعية. كما أن الإعلام الرقمي يتميز بتكلفته المنخفضة نسبياً مقارنة بالإعلام التقليدي، مما فتح المجال أمام مزيد من الأفراد والمؤسسات الصغيرة </w:t>
      </w:r>
      <w:r w:rsidRPr="005D2EB9">
        <w:rPr>
          <w:rFonts w:asciiTheme="majorBidi" w:hAnsiTheme="majorBidi" w:cstheme="majorBidi"/>
          <w:sz w:val="28"/>
          <w:szCs w:val="28"/>
          <w:rtl/>
        </w:rPr>
        <w:lastRenderedPageBreak/>
        <w:t>لإنتاج المحتوى الإعلامي، وتوصيل رسائلهم إلى جمهور محدد بدقة عبر أدوات الاستهداف المتقدمة (حسانين وآخرون، 2021)</w:t>
      </w:r>
      <w:r w:rsidRPr="005D2EB9">
        <w:rPr>
          <w:rFonts w:asciiTheme="majorBidi" w:hAnsiTheme="majorBidi" w:cstheme="majorBidi"/>
          <w:sz w:val="28"/>
          <w:szCs w:val="28"/>
        </w:rPr>
        <w:t>.</w:t>
      </w:r>
    </w:p>
    <w:p w14:paraId="0A61F08F"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بالإضافة إلى ذلك، يقدم الإعلام الرقمي مجموعة من الخصائص التقنية التي تعزز من كفاءته الإعلامية، مثل التفاعلية، حيث يمكن للمستخدم أن يشارك في صناعة المحتوى، أو التعبير عن رأيه، أو طلب المزيد من المعلومات، وهو ما يخلق علاقة ديناميكية بين المرسل والمتلقي. كما أن الإعلام الرقمي يمتاز بالمرونة في التحديث والتعديل، حيث يمكن تعديل المحتوى بشكل سريع وفق الحاجة أو تطور الأحداث، مما يجعله أكثر قدرة على التكيف مع متغيرات الواقع مقارنة بالإعلام التقليدي. هذه الخصائص جعلت الإعلام الرقمي أداة لا غنى عنها في مجالات عديدة، خاصة في التوعية الصحية، التي تتطلب سرعة انتشار المعلومات، ومواءمة الرسائل لاحتياجات الجمهور المتغيرة</w:t>
      </w:r>
      <w:r w:rsidRPr="005D2EB9">
        <w:rPr>
          <w:rFonts w:asciiTheme="majorBidi" w:hAnsiTheme="majorBidi" w:cstheme="majorBidi"/>
          <w:sz w:val="28"/>
          <w:szCs w:val="28"/>
        </w:rPr>
        <w:t>.</w:t>
      </w:r>
    </w:p>
    <w:p w14:paraId="6A565E9C"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تجدر الإشارة إلى أن الإعلام الرقمي لم يقتصر على نقل الأخبار والمعلومات فحسب، بل تحول إلى منصة متكاملة تجمع بين الترفيه والتعليم والتثقيف، ما يعزز من فاعليته في التأثير على الجمهور. فقد أصبحت منصات مثل يوتيوب، وإنستغرام، وتويتر، وفيسبوك، جزءًا لا يتجزأ من الحياة اليومية للكثيرين، حيث يتلقون المعلومات، ويتفاعلون مع المحتوى، ويتبادلون الأفكار والآراء. وفي المجال الصحي، يمكن استثمار هذه المنصات لنشر التوعية حول الأمراض، وتحفيز السلوكيات الصحية الإيجابية، وتعزيز الدعم النفسي والاجتماعي للمرضى، وهو ما يؤكده عدد من الدراسات التي تربط بين فعالية الإعلام الرقمي وانتشاره الواسع وبين نجاح حملات التوعية (شلابي وآخرون، 2021)</w:t>
      </w:r>
      <w:r w:rsidRPr="005D2EB9">
        <w:rPr>
          <w:rFonts w:asciiTheme="majorBidi" w:hAnsiTheme="majorBidi" w:cstheme="majorBidi"/>
          <w:sz w:val="28"/>
          <w:szCs w:val="28"/>
        </w:rPr>
        <w:t>.</w:t>
      </w:r>
    </w:p>
    <w:p w14:paraId="0E787D83"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مع ذلك، لا يخلو الإعلام الرقمي من تحديات، منها ما يتعلق بمصداقية المعلومات، وانتشار الأخبار الكاذبة أو المضللة، التي قد تؤدي إلى نتائج صحية سلبية، خاصة في مجالات مثل التوعية الصحية التي تعتمد على دقة المعلومات وموثوقيتها. ولذلك، فإن تطوير الإعلام الرقمي يتطلب بناءَ نظام رقابي فعال، وتعزيز ثقافة التحقق من المعلومات لدى المستخدمين، بالإضافة إلى تشجيع المحتوى الرقمي الصحي الجيد من خلال دعم المؤسسات والكوادر المتخصصة. وهذه التحديات تؤكد على ضرورة تبني استراتيجية متكاملة تشمل التعليم، والقوانين، والتكنولوجيا لضمان استخدام الإعلام الرقمي كأداة إيجابية للتغيير</w:t>
      </w:r>
      <w:r w:rsidRPr="005D2EB9">
        <w:rPr>
          <w:rFonts w:asciiTheme="majorBidi" w:hAnsiTheme="majorBidi" w:cstheme="majorBidi"/>
          <w:sz w:val="28"/>
          <w:szCs w:val="28"/>
        </w:rPr>
        <w:t>.</w:t>
      </w:r>
    </w:p>
    <w:p w14:paraId="3F73C137"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 xml:space="preserve">وفي سياق الإعلام الرقمي، تظهر أهمية مفهوم الإعلام التفاعلي، حيث لم يعد الجمهور متلقياً سلبياً، بل أصبح مشاركاً فاعلاً في صناعة المحتوى الإعلامي، ومن ثم في تشكيل الرأي العام. هذه المشاركة تدعم مفهوم الإعلام المجتمعي، الذي يشجع على التعبير الحر عن الآراء، ويخلق شبكات اجتماعية افتراضية تجمع بين </w:t>
      </w:r>
      <w:r w:rsidRPr="005D2EB9">
        <w:rPr>
          <w:rFonts w:asciiTheme="majorBidi" w:hAnsiTheme="majorBidi" w:cstheme="majorBidi"/>
          <w:sz w:val="28"/>
          <w:szCs w:val="28"/>
          <w:rtl/>
        </w:rPr>
        <w:lastRenderedPageBreak/>
        <w:t>الأفراد على أسس من الاهتمام المشترك، مثل التوعية الصحية. كما أن الإعلام الرقمي يتيح التخصيص، حيث يمكن توجيه الرسائل وفقاً للخصائص الديموغرافية والنفسية للمستهدفين، مما يزيد من احتمالية تأثير الرسالة وتحقيق الهدف المرجو منها</w:t>
      </w:r>
      <w:r w:rsidRPr="005D2EB9">
        <w:rPr>
          <w:rFonts w:asciiTheme="majorBidi" w:hAnsiTheme="majorBidi" w:cstheme="majorBidi"/>
          <w:sz w:val="28"/>
          <w:szCs w:val="28"/>
        </w:rPr>
        <w:t>.</w:t>
      </w:r>
    </w:p>
    <w:p w14:paraId="56C81E6A"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ولذلك، فإن دراسة الإعلام الرقمي ومفاهيمه تعد خطوة أساسية لفهم كيف يمكن استخدام هذه الوسائل في مجالات محددة، ومنها مجال التوعية الصحية بالأمراض العصبية المزمنة. فهذه الأمراض التي تتسم بالتعقيد والحساسية تتطلب أدوات إعلامية متطورة، قادرة على الوصول إلى مختلف فئات المجتمع، وتبسيط المعلومات العلمية، وكسر الحواجز الاجتماعية والثقافية التي تحول دون التفاعل الإيجابي معها. ومن هنا، يأتي دور الإعلام الرقمي ليس فقط كمزود للمعلومات، بل كمنصة تربوية وتوعوية ديناميكية، تساعد في بناء مجتمع صحي واعٍ، قادر على مواجهة التحديات الصحية المعاصرة</w:t>
      </w:r>
      <w:r w:rsidRPr="005D2EB9">
        <w:rPr>
          <w:rFonts w:asciiTheme="majorBidi" w:hAnsiTheme="majorBidi" w:cstheme="majorBidi"/>
          <w:sz w:val="28"/>
          <w:szCs w:val="28"/>
        </w:rPr>
        <w:t>.</w:t>
      </w:r>
    </w:p>
    <w:p w14:paraId="5643B4A1" w14:textId="77777777" w:rsidR="002F27E9" w:rsidRPr="005D2EB9" w:rsidRDefault="002F27E9" w:rsidP="002F27E9">
      <w:pPr>
        <w:spacing w:line="360" w:lineRule="auto"/>
        <w:rPr>
          <w:rFonts w:asciiTheme="majorBidi" w:hAnsiTheme="majorBidi" w:cstheme="majorBidi"/>
          <w:sz w:val="28"/>
          <w:szCs w:val="28"/>
          <w:rtl/>
        </w:rPr>
      </w:pPr>
      <w:r w:rsidRPr="005D2EB9">
        <w:rPr>
          <w:rFonts w:asciiTheme="majorBidi" w:hAnsiTheme="majorBidi" w:cstheme="majorBidi"/>
          <w:sz w:val="28"/>
          <w:szCs w:val="28"/>
          <w:shd w:val="clear" w:color="auto" w:fill="F2CEED" w:themeFill="accent5" w:themeFillTint="33"/>
          <w:rtl/>
        </w:rPr>
        <w:t>رؤية الباحثة:</w:t>
      </w:r>
      <w:r w:rsidRPr="005D2EB9">
        <w:rPr>
          <w:rFonts w:asciiTheme="majorBidi" w:hAnsiTheme="majorBidi" w:cstheme="majorBidi"/>
          <w:sz w:val="28"/>
          <w:szCs w:val="28"/>
          <w:rtl/>
        </w:rPr>
        <w:t xml:space="preserve"> حيث يمثل الإعلام الرقمي ظاهرة متجددة تؤثر في كل مناحي الحياة، ومع استمرار تطوره التقني والاجتماعي، فإنه سيظل أداة محورية في نقل المعرفة، وتشكيل السلوكيات، وبناء الوعي المجتمعي، وهو ما يتطلب منا دراسته وفهمه بعمق، لتوظيفه بشكل فعال في خدمة الأهداف الصحية، والإنسانية، والاجتماعية. وبذلك فإن المبحث الأول من هذا البحث يسلط الضوء على مفاهيم الإعلام الرقمي، وأدواره المتعددة، التي تُشكّل الأساس لبقية المباحث التي تتناول الإعلام الرقمي ودوره في التوعية الصحية بالأمراض العصبية في السعودية</w:t>
      </w:r>
      <w:r w:rsidRPr="005D2EB9">
        <w:rPr>
          <w:rFonts w:asciiTheme="majorBidi" w:hAnsiTheme="majorBidi" w:cstheme="majorBidi"/>
          <w:sz w:val="28"/>
          <w:szCs w:val="28"/>
        </w:rPr>
        <w:t>.</w:t>
      </w:r>
    </w:p>
    <w:p w14:paraId="44607DD6" w14:textId="77777777" w:rsidR="005D2EB9" w:rsidRPr="00E154C9" w:rsidRDefault="005D2EB9" w:rsidP="005D2EB9">
      <w:pPr>
        <w:spacing w:line="360" w:lineRule="auto"/>
        <w:rPr>
          <w:rFonts w:asciiTheme="majorBidi" w:hAnsiTheme="majorBidi" w:cstheme="majorBidi"/>
          <w:sz w:val="28"/>
          <w:szCs w:val="28"/>
        </w:rPr>
      </w:pPr>
      <w:r w:rsidRPr="005D2EB9">
        <w:rPr>
          <w:rFonts w:asciiTheme="majorBidi" w:hAnsiTheme="majorBidi" w:cstheme="majorBidi"/>
          <w:b/>
          <w:bCs/>
          <w:sz w:val="28"/>
          <w:szCs w:val="28"/>
          <w:rtl/>
        </w:rPr>
        <w:t>المطلب الاول: تعريف الإعلام الرقمي وتطوره</w:t>
      </w:r>
      <w:r w:rsidRPr="005D2EB9">
        <w:rPr>
          <w:rFonts w:asciiTheme="majorBidi" w:hAnsiTheme="majorBidi" w:cstheme="majorBidi"/>
          <w:sz w:val="28"/>
          <w:szCs w:val="28"/>
          <w:rtl/>
        </w:rPr>
        <w:br/>
        <w:t>يُعد الإعلام الرقمي أحد أبرز التحولات التي شهدها العصر الحديث في مجال الاتصال ونقل المعلومات، فقد نقل الإعلام من نمط تقليدي يعتمد على البث أحادي الاتجاه إلى بيئة تفاعلية مفتوحة تسمح بتبادل المعلومات والتأثير المتبادل بين المرسل والمستقبل. ويمكن تعريف الإعلام الرقمي بأنه “نمط من أنماط الاتصال يتم عبر الوسائط الإلكترونية المعتمدة على تقنيات الإنترنت، حيث تُمكّن المستخدمين من إنتاج المحتوى ونشره والتفاعل معه بصورة فورية” (عبدالحي، 2020)</w:t>
      </w:r>
      <w:r w:rsidRPr="005D2EB9">
        <w:rPr>
          <w:rFonts w:asciiTheme="majorBidi" w:hAnsiTheme="majorBidi" w:cstheme="majorBidi"/>
          <w:sz w:val="28"/>
          <w:szCs w:val="28"/>
        </w:rPr>
        <w:t>.</w:t>
      </w:r>
    </w:p>
    <w:p w14:paraId="44C84718"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ظهر الإعلام الرقمي نتيجة تفاعل مجموعة من العوامل التقنية والاقتصادية والاجتماعية، ولعل من أبرز هذه العوامل انتشار الإنترنت وتطور أجهزة الحاسوب والهواتف الذكية، إلى جانب ازدياد الطلب على المعلومات الفورية والحديثة. وتشير الدراسات الحديثة إلى أن هذا التطور لم يُحدث نقلة تقنية فقط، بل غيّر من بنية الخطاب الإعلامي ونمط التفاعل بين المستخدمين</w:t>
      </w:r>
      <w:r w:rsidRPr="00E154C9">
        <w:rPr>
          <w:rFonts w:asciiTheme="majorBidi" w:hAnsiTheme="majorBidi" w:cstheme="majorBidi"/>
          <w:sz w:val="28"/>
          <w:szCs w:val="28"/>
        </w:rPr>
        <w:t xml:space="preserve"> (Wang &amp; Liao, 2024).</w:t>
      </w:r>
    </w:p>
    <w:p w14:paraId="525C411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تطور الإعلام الرقمي عبر مراحل متعاقبة بدأت بظهور الصحافة الإلكترونية، ثم انتشرت المدونات والمواقع الشخصية، ثم جاءت شبكات التواصل الاجتماعي والتطبيقات التفاعلية لتُحدث ثورة في أساليب نقل المعرفة وتداولها. وقد أشار عبدالحي (2020) إلى أن المنصات الرقمية أصبحت خلال أزمة كورونا المصدر الأول للمعلومات الصحية، وخصوصًا بين فئة الشباب</w:t>
      </w:r>
      <w:r w:rsidRPr="00E154C9">
        <w:rPr>
          <w:rFonts w:asciiTheme="majorBidi" w:hAnsiTheme="majorBidi" w:cstheme="majorBidi"/>
          <w:sz w:val="28"/>
          <w:szCs w:val="28"/>
        </w:rPr>
        <w:t>.</w:t>
      </w:r>
    </w:p>
    <w:p w14:paraId="3839828B"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فإن الإعلام الرقمي لم يقتصر على النصوص المكتوبة، بل شمل أشكالًا متعددة من الوسائط مثل الصوت والفيديو والتصاميم التفاعلية، مما زاد من قدرته على جذب الجمهور ونقل الرسائل بفعالية. وتؤكد دراسة</w:t>
      </w:r>
      <w:r w:rsidRPr="00E154C9">
        <w:rPr>
          <w:rFonts w:asciiTheme="majorBidi" w:hAnsiTheme="majorBidi" w:cstheme="majorBidi"/>
          <w:sz w:val="28"/>
          <w:szCs w:val="28"/>
        </w:rPr>
        <w:t xml:space="preserve"> Fundoiano-Hershcovitz </w:t>
      </w:r>
      <w:r w:rsidRPr="00E154C9">
        <w:rPr>
          <w:rFonts w:asciiTheme="majorBidi" w:hAnsiTheme="majorBidi" w:cstheme="majorBidi"/>
          <w:sz w:val="28"/>
          <w:szCs w:val="28"/>
          <w:rtl/>
        </w:rPr>
        <w:t>وآخرون (2021) أن تعدد وسائط الإعلام الرقمي يُعزّز من فعالية الرسائل الصحية، خاصة عند استخدامه ضمن بيئة تفاعلية مدروسة</w:t>
      </w:r>
      <w:r w:rsidRPr="00E154C9">
        <w:rPr>
          <w:rFonts w:asciiTheme="majorBidi" w:hAnsiTheme="majorBidi" w:cstheme="majorBidi"/>
          <w:sz w:val="28"/>
          <w:szCs w:val="28"/>
        </w:rPr>
        <w:t>.</w:t>
      </w:r>
    </w:p>
    <w:p w14:paraId="1151E60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السياق الصحي تحديدًا، لعب الإعلام الرقمي دورًا حيويًا في توصيل المعلومات ومواجهة الأزمات الصحية، مثل جائحة كوفيد-19، إذ تحولت وسائل التواصل الاجتماعي إلى قنوات رئيسية لنشر التوجيهات الصحية الفورية والتوعية المجتمعية. وقد أظهرت دراسة الصعيدي (2020) أن الاعتماد على صحافة الموبايل في التوعية بكورونا مثّل توجهًا واضحًا لدى فئة الشباب في مصر</w:t>
      </w:r>
      <w:r w:rsidRPr="00E154C9">
        <w:rPr>
          <w:rFonts w:asciiTheme="majorBidi" w:hAnsiTheme="majorBidi" w:cstheme="majorBidi"/>
          <w:sz w:val="28"/>
          <w:szCs w:val="28"/>
        </w:rPr>
        <w:t>.</w:t>
      </w:r>
    </w:p>
    <w:p w14:paraId="0DF1E0E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ومن الجدير بالذكر أن الإعلام الرقمي لم يتطور فقط من حيث الأدوات والمنصات، بل أيضًا من حيث الفلسفة الاتصالية، إذ انتقل من نموذج أحادي</w:t>
      </w:r>
      <w:r>
        <w:rPr>
          <w:rFonts w:asciiTheme="majorBidi" w:hAnsiTheme="majorBidi" w:cstheme="majorBidi"/>
          <w:sz w:val="28"/>
          <w:szCs w:val="28"/>
          <w:rtl/>
        </w:rPr>
        <w:t xml:space="preserve"> الاتجاه إلى نموذج تشاركي جماهي</w:t>
      </w:r>
      <w:r>
        <w:rPr>
          <w:rFonts w:asciiTheme="majorBidi" w:hAnsiTheme="majorBidi" w:cstheme="majorBidi" w:hint="cs"/>
          <w:sz w:val="28"/>
          <w:szCs w:val="28"/>
          <w:rtl/>
        </w:rPr>
        <w:t>ر</w:t>
      </w:r>
      <w:r w:rsidRPr="00E154C9">
        <w:rPr>
          <w:rFonts w:asciiTheme="majorBidi" w:hAnsiTheme="majorBidi" w:cstheme="majorBidi"/>
          <w:sz w:val="28"/>
          <w:szCs w:val="28"/>
          <w:rtl/>
        </w:rPr>
        <w:t>ي، يسمح بوجود مجتمعات افتراضية تتشارك الاهتمامات وتنتج محتوىً متخصصًا، بما في ذلك المحتوى الصحي المتعلق بالأمراض المزمنة والعصبية</w:t>
      </w:r>
      <w:r w:rsidRPr="00E154C9">
        <w:rPr>
          <w:rFonts w:asciiTheme="majorBidi" w:hAnsiTheme="majorBidi" w:cstheme="majorBidi"/>
          <w:sz w:val="28"/>
          <w:szCs w:val="28"/>
        </w:rPr>
        <w:t xml:space="preserve"> (Wang &amp; Liao, 2024).</w:t>
      </w:r>
    </w:p>
    <w:p w14:paraId="134EA3CA"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وتشير بعض الدراسات إلى أن الإعلام الرقمي ساهم في تقليص الفجوة المعرفية بين فئات المجتمع المختلفة، بفضل سهولة الوصول إلى المعلومات وسرعة التحديث (خيرت حمزة، 2023). كما لعب دورًا بارزًا في تعزيز الثقافة الصحية عبر برامج التثقيف، والتطبيقات الطبية، والصفحات الرسمية للمؤسسات الصحية</w:t>
      </w:r>
      <w:r w:rsidRPr="00E154C9">
        <w:rPr>
          <w:rFonts w:asciiTheme="majorBidi" w:hAnsiTheme="majorBidi" w:cstheme="majorBidi"/>
          <w:sz w:val="28"/>
          <w:szCs w:val="28"/>
        </w:rPr>
        <w:t>.</w:t>
      </w:r>
    </w:p>
    <w:p w14:paraId="4AEE3EFE"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ذات السياق، يؤكد</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أن التعليم الصحي عبر الوسائط الرقمية كان له تأثير واضح على تحسين مواقف وسلوكيات المرضى، خاصة في ما يتعلق بالأمراض المزمنة مثل السكري. وهو ما يفتح المجال أمام الإعلام الرقمي ليلعب أدوارًا أكثر عمقًا تتجاوز النشر إلى التثقيف والتأثير السلوكي</w:t>
      </w:r>
      <w:r w:rsidRPr="00E154C9">
        <w:rPr>
          <w:rFonts w:asciiTheme="majorBidi" w:hAnsiTheme="majorBidi" w:cstheme="majorBidi"/>
          <w:sz w:val="28"/>
          <w:szCs w:val="28"/>
        </w:rPr>
        <w:t>.</w:t>
      </w:r>
    </w:p>
    <w:p w14:paraId="30F38279"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تزايد الاعتماد على الذكاء الاصطناعي في تصميم المحتوى وتخصيصه بحسب خصائص الجمهور، فإن الإعلام الرقمي يتجه إلى مرحلة جديدة من التفاعلية، حيث لا يكون المحتوى موحدًا للجميع، بل موجهًا وفق تحليلات دقيقة، ما يزيد من احتمالية التأثير والفعالية</w:t>
      </w:r>
      <w:r w:rsidRPr="00E154C9">
        <w:rPr>
          <w:rFonts w:asciiTheme="majorBidi" w:hAnsiTheme="majorBidi" w:cstheme="majorBidi"/>
          <w:sz w:val="28"/>
          <w:szCs w:val="28"/>
        </w:rPr>
        <w:t xml:space="preserve"> (Fundoiano-Hershcovitz et al., 2021).</w:t>
      </w:r>
    </w:p>
    <w:p w14:paraId="08E11A87" w14:textId="77777777" w:rsidR="005D2EB9" w:rsidRPr="00E154C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lastRenderedPageBreak/>
        <w:t>إن تتبّع هذا التطور التاريخي والتقني والفلسفي للإعلام الرقمي يُبرز كيف أصبح هذا النوع من الإعلام أحد الركائز الأساسية في منظومات التثقيف والتوعية الصحية، لا سيما في المجالات التي تتطلب تواصلًا مستمرًا ودقيقًا مع الجمهور، كالتوعية بالأمراض العصبية المزمنة في المجتمع السعودي</w:t>
      </w:r>
      <w:r w:rsidRPr="00E154C9">
        <w:rPr>
          <w:rFonts w:asciiTheme="majorBidi" w:hAnsiTheme="majorBidi" w:cstheme="majorBidi"/>
          <w:sz w:val="28"/>
          <w:szCs w:val="28"/>
        </w:rPr>
        <w:t>.</w:t>
      </w:r>
    </w:p>
    <w:p w14:paraId="6979116A" w14:textId="77777777" w:rsidR="005D2EB9" w:rsidRPr="005D2EB9" w:rsidRDefault="005D2EB9" w:rsidP="005D2EB9">
      <w:pPr>
        <w:spacing w:line="360" w:lineRule="auto"/>
        <w:rPr>
          <w:rFonts w:asciiTheme="majorBidi" w:hAnsiTheme="majorBidi" w:cstheme="majorBidi"/>
          <w:b/>
          <w:bCs/>
          <w:sz w:val="28"/>
          <w:szCs w:val="28"/>
          <w:rtl/>
        </w:rPr>
      </w:pPr>
      <w:r w:rsidRPr="005D2EB9">
        <w:rPr>
          <w:rFonts w:asciiTheme="majorBidi" w:hAnsiTheme="majorBidi" w:cstheme="majorBidi"/>
          <w:b/>
          <w:bCs/>
          <w:sz w:val="28"/>
          <w:szCs w:val="28"/>
          <w:rtl/>
        </w:rPr>
        <w:t>المطلب الثاني: خصائص الإعلام الرقمي ومميزاته</w:t>
      </w:r>
    </w:p>
    <w:p w14:paraId="649E0751" w14:textId="77777777" w:rsidR="005D2EB9" w:rsidRPr="005D2EB9" w:rsidRDefault="005D2EB9" w:rsidP="005D2EB9">
      <w:pPr>
        <w:spacing w:line="360" w:lineRule="auto"/>
        <w:rPr>
          <w:rFonts w:asciiTheme="majorBidi" w:hAnsiTheme="majorBidi" w:cstheme="majorBidi"/>
          <w:sz w:val="28"/>
          <w:szCs w:val="28"/>
          <w:rtl/>
          <w:lang w:bidi="ar-EG"/>
        </w:rPr>
      </w:pPr>
      <w:r w:rsidRPr="005D2EB9">
        <w:rPr>
          <w:rFonts w:asciiTheme="majorBidi" w:hAnsiTheme="majorBidi" w:cstheme="majorBidi" w:hint="cs"/>
          <w:sz w:val="28"/>
          <w:szCs w:val="28"/>
          <w:rtl/>
          <w:lang w:bidi="ar-EG"/>
        </w:rPr>
        <w:t>تمهيد:</w:t>
      </w:r>
    </w:p>
    <w:p w14:paraId="1D8B9947" w14:textId="77777777" w:rsidR="005D2EB9" w:rsidRPr="00E154C9" w:rsidRDefault="005D2EB9" w:rsidP="005D2EB9">
      <w:pPr>
        <w:spacing w:line="360" w:lineRule="auto"/>
        <w:rPr>
          <w:rFonts w:asciiTheme="majorBidi" w:hAnsiTheme="majorBidi" w:cstheme="majorBidi"/>
          <w:sz w:val="28"/>
          <w:szCs w:val="28"/>
        </w:rPr>
      </w:pPr>
      <w:r w:rsidRPr="005D2EB9">
        <w:rPr>
          <w:rFonts w:asciiTheme="majorBidi" w:hAnsiTheme="majorBidi" w:cstheme="majorBidi"/>
          <w:sz w:val="28"/>
          <w:szCs w:val="28"/>
          <w:rtl/>
        </w:rPr>
        <w:t>يمتاز الإعلام الرقمي بعدة خصائص نوعية جعلته يتفوق على وسائل الإعلام التقليدية في سرعة الانتشار، وعمق التأثير، وإمكانية التفاعل المباشر مع الجمهور، مما أتاح له فرصًا واسعة في مجالات متعددة، أبرزها المجال الصحي والتوعوي. وقد أسهم التطور التكنولوجي المتسارع في تعزيز هذه الخصائص، وتحويل الإعلام الرقمي إلى نظام تواصلي متعدد الوظائف والتأثيرات</w:t>
      </w:r>
      <w:r w:rsidRPr="005D2EB9">
        <w:rPr>
          <w:rFonts w:asciiTheme="majorBidi" w:hAnsiTheme="majorBidi" w:cstheme="majorBidi"/>
          <w:sz w:val="28"/>
          <w:szCs w:val="28"/>
        </w:rPr>
        <w:t>.</w:t>
      </w:r>
    </w:p>
    <w:p w14:paraId="0F83ED05"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أولًا: التفاعلية</w:t>
      </w:r>
      <w:r w:rsidRPr="00E154C9">
        <w:rPr>
          <w:rFonts w:asciiTheme="majorBidi" w:hAnsiTheme="majorBidi" w:cstheme="majorBidi"/>
          <w:b/>
          <w:bCs/>
          <w:sz w:val="28"/>
          <w:szCs w:val="28"/>
        </w:rPr>
        <w:t xml:space="preserve"> (Interactivity)</w:t>
      </w:r>
    </w:p>
    <w:p w14:paraId="5328A372"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التفاعلية من أبرز الخصائص التي تميّز الإعلام الرقمي عن نظيره التقليدي. إذ أصبح الجمهور لا يتلقى الرسائل فقط، بل يشارك في صياغتها وتعديلها والرد عليها. وقد أوضحت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أن التفاعلية تُمكّن الأفراد من طرح الأسئلة وتبادل الخبرات، ما يعزز من فهمهم للمعلومات الصحية، ويجعلهم أكثر استعدادًا لتبني السلوكيات الوقائية</w:t>
      </w:r>
      <w:r w:rsidRPr="00E154C9">
        <w:rPr>
          <w:rFonts w:asciiTheme="majorBidi" w:hAnsiTheme="majorBidi" w:cstheme="majorBidi"/>
          <w:sz w:val="28"/>
          <w:szCs w:val="28"/>
        </w:rPr>
        <w:t>.</w:t>
      </w:r>
    </w:p>
    <w:p w14:paraId="591322F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تسمح خاصية التفاعل في الإعلام الرقمي بإقامة حوار مباشر بين الجهات الصحية والجمهور، مما يخلق علاقة ثقة واحترام متبادل. ويمكن ملاحظة ذلك بوضوح في الحملات الصحية التي أطلقتها المؤسسات الرسمية خلال أزمة كورونا، حيث لجأت إلى وسائل التواصل الاجتماعي للإجابة الفورية عن استفسارات المواطنين، وتصحيح المعلومات المغلوطة</w:t>
      </w:r>
      <w:r w:rsidRPr="00E154C9">
        <w:rPr>
          <w:rFonts w:asciiTheme="majorBidi" w:hAnsiTheme="majorBidi" w:cstheme="majorBidi"/>
          <w:sz w:val="28"/>
          <w:szCs w:val="28"/>
        </w:rPr>
        <w:t xml:space="preserve"> (Fundoiano-Hershcovitz et al., 2021).</w:t>
      </w:r>
    </w:p>
    <w:p w14:paraId="4E30E2FA"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ثانيًا: السرعة والآنية</w:t>
      </w:r>
      <w:r w:rsidRPr="00E154C9">
        <w:rPr>
          <w:rFonts w:asciiTheme="majorBidi" w:hAnsiTheme="majorBidi" w:cstheme="majorBidi"/>
          <w:b/>
          <w:bCs/>
          <w:sz w:val="28"/>
          <w:szCs w:val="28"/>
        </w:rPr>
        <w:t xml:space="preserve"> (Immediacy)</w:t>
      </w:r>
    </w:p>
    <w:p w14:paraId="44805FB8"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يتميز الإعلام الرقمي بسرعة نقل المعلومة وتحديثها، وهو ما جعله مصدرًا أساسيًا في حالات الطوارئ والأزمات. فالمعلومة يمكن بثها في اللحظة نفسها التي تُنتج فيها، وتصل إلى مئات الآلاف من الأفراد في ثوانٍ معدودة. وقد أبرزت دراسة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فعالية هذه الخاصية في إيصال الرسائل الوقائية الفورية إلى مرضى السكري، مما ساعد في تقليل المخاطر الصحية المرتبطة بعدم المعرفة</w:t>
      </w:r>
      <w:r w:rsidRPr="00E154C9">
        <w:rPr>
          <w:rFonts w:asciiTheme="majorBidi" w:hAnsiTheme="majorBidi" w:cstheme="majorBidi"/>
          <w:sz w:val="28"/>
          <w:szCs w:val="28"/>
        </w:rPr>
        <w:t>.</w:t>
      </w:r>
    </w:p>
    <w:p w14:paraId="0BE4F9F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السرعة في الإعلام الرقمي لا تقتصر على النشر، بل تشمل التفاعل مع الأحداث الجارية، ما يجعل الإعلام الرقمي أداة حيوية لمواكبة المستجدات الصحية اليومية، خصوصًا في مجتمع يتسم بتسارع الإيقاع اليومي وتنوع مصادر المعرفة</w:t>
      </w:r>
      <w:r w:rsidRPr="00E154C9">
        <w:rPr>
          <w:rFonts w:asciiTheme="majorBidi" w:hAnsiTheme="majorBidi" w:cstheme="majorBidi"/>
          <w:sz w:val="28"/>
          <w:szCs w:val="28"/>
        </w:rPr>
        <w:t>.</w:t>
      </w:r>
    </w:p>
    <w:p w14:paraId="6A55AC87"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ثالثًا: التخصيص</w:t>
      </w:r>
      <w:r w:rsidRPr="00E154C9">
        <w:rPr>
          <w:rFonts w:asciiTheme="majorBidi" w:hAnsiTheme="majorBidi" w:cstheme="majorBidi"/>
          <w:b/>
          <w:bCs/>
          <w:sz w:val="28"/>
          <w:szCs w:val="28"/>
        </w:rPr>
        <w:t xml:space="preserve"> (Customization)</w:t>
      </w:r>
    </w:p>
    <w:p w14:paraId="73C89B4B"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يوفر الإعلام الرقمي إمكانية تخصيص المحتوى حسب اهتمامات واحتياجات المتلقي، بفضل استخدام خوارزميات الذكاء الاصطناعي وتحليلات البيانات. وهذا يتيح للمؤسسات الصحية تصميم محتوى دقيق يستهدف فئات محددة من الجمهور، مما يعزز من فرص التأثير. وتشير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إلى أن تخصيص الرسائل الصحية الرقمية يُعد من أكثر العوامل المؤثرة في تحسين المعرفة الصحية وتغيير السلوكيات</w:t>
      </w:r>
      <w:r w:rsidRPr="00E154C9">
        <w:rPr>
          <w:rFonts w:asciiTheme="majorBidi" w:hAnsiTheme="majorBidi" w:cstheme="majorBidi"/>
          <w:sz w:val="28"/>
          <w:szCs w:val="28"/>
        </w:rPr>
        <w:t>.</w:t>
      </w:r>
    </w:p>
    <w:p w14:paraId="71FA8DCB"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فعلى سبيل المثال، يمكن لمنصة رقمية أن تُرسل رسائل توعية لمرضى الصرع أو التصلب اللويحي بحسب فئتهم العمرية أو موقعهم الجغرافي، مما يجعل الرسالة أكثر صلة وفاعلية</w:t>
      </w:r>
      <w:r w:rsidRPr="00E154C9">
        <w:rPr>
          <w:rFonts w:asciiTheme="majorBidi" w:hAnsiTheme="majorBidi" w:cstheme="majorBidi"/>
          <w:sz w:val="28"/>
          <w:szCs w:val="28"/>
        </w:rPr>
        <w:t>.</w:t>
      </w:r>
    </w:p>
    <w:p w14:paraId="341EA733"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رابعًا: التعددية الوسائطية</w:t>
      </w:r>
      <w:r w:rsidRPr="00E154C9">
        <w:rPr>
          <w:rFonts w:asciiTheme="majorBidi" w:hAnsiTheme="majorBidi" w:cstheme="majorBidi"/>
          <w:b/>
          <w:bCs/>
          <w:sz w:val="28"/>
          <w:szCs w:val="28"/>
        </w:rPr>
        <w:t xml:space="preserve"> (Multimedia Integration)</w:t>
      </w:r>
    </w:p>
    <w:p w14:paraId="17010C26"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يمتاز الإعلام الرقمي بقدرته على دمج النصوص، والصور، والفيديو، والرسوم البيانية، والصوت، في رسالة واحدة. هذا التداخل الوسائطي يُساهم في رفع كفاءة الرسائل الصحية، وزيادة قدرة الأفراد على الفهم والاستيعاب. وقد أظهرت دراسة خيرت حمزة (2023) أن دمج الوسائط المتعددة في الرسائل التوعوية الصحية يؤدي إلى تعزيز استدعاء المعلومات وزيادة التأثير السلوكي لدى المتلقي</w:t>
      </w:r>
      <w:r w:rsidRPr="00E154C9">
        <w:rPr>
          <w:rFonts w:asciiTheme="majorBidi" w:hAnsiTheme="majorBidi" w:cstheme="majorBidi"/>
          <w:sz w:val="28"/>
          <w:szCs w:val="28"/>
        </w:rPr>
        <w:t>.</w:t>
      </w:r>
    </w:p>
    <w:p w14:paraId="1E3BBF42"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استخدام الفيديوهات التوضيحية والرسوم المتحركة في التوعية بالأمراض العصبية يسهّل فهم المفاهيم الطبية المعقدة، ويساعد على تبسيط المعرفة لدى الجمهور غير المتخصص</w:t>
      </w:r>
      <w:r w:rsidRPr="00E154C9">
        <w:rPr>
          <w:rFonts w:asciiTheme="majorBidi" w:hAnsiTheme="majorBidi" w:cstheme="majorBidi"/>
          <w:sz w:val="28"/>
          <w:szCs w:val="28"/>
        </w:rPr>
        <w:t>.</w:t>
      </w:r>
    </w:p>
    <w:p w14:paraId="75251C51"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خامسًا: الوصول الواسع والشامل</w:t>
      </w:r>
      <w:r w:rsidRPr="00E154C9">
        <w:rPr>
          <w:rFonts w:asciiTheme="majorBidi" w:hAnsiTheme="majorBidi" w:cstheme="majorBidi"/>
          <w:b/>
          <w:bCs/>
          <w:sz w:val="28"/>
          <w:szCs w:val="28"/>
        </w:rPr>
        <w:t xml:space="preserve"> (Accessibility)</w:t>
      </w:r>
    </w:p>
    <w:p w14:paraId="2BBC4B5C"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بفضل تغلغل الإنترنت وانتشار الهواتف الذكية، أصبح الإعلام الرقمي يصل إلى شرائح واسعة من السكان، بما في ذلك الفئات التي كانت تعاني من ضعف الوصول إلى الإعلام التقليدي. وقد أشارت دراسة علواني وعرعار (2024) إلى أن التوعية بالأمراض المزمنة عبر الإنترنت في المجتمعات العربية تجاوزت حواجز الجغرافيا، واللغة، والطبقة الاجتماعية</w:t>
      </w:r>
      <w:r w:rsidRPr="00E154C9">
        <w:rPr>
          <w:rFonts w:asciiTheme="majorBidi" w:hAnsiTheme="majorBidi" w:cstheme="majorBidi"/>
          <w:sz w:val="28"/>
          <w:szCs w:val="28"/>
        </w:rPr>
        <w:t>.</w:t>
      </w:r>
    </w:p>
    <w:p w14:paraId="71A3CC8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هذا الوصول الواسع يسمح بتنفيذ حملات صحية وطنية شاملة، تستهدف سكان المدن والقرى على حد سواء، بل ويمكن أن تتجاوز الحدود لتصل إلى الجاليات العربية في الخارج</w:t>
      </w:r>
      <w:r w:rsidRPr="00E154C9">
        <w:rPr>
          <w:rFonts w:asciiTheme="majorBidi" w:hAnsiTheme="majorBidi" w:cstheme="majorBidi"/>
          <w:sz w:val="28"/>
          <w:szCs w:val="28"/>
        </w:rPr>
        <w:t>.</w:t>
      </w:r>
    </w:p>
    <w:p w14:paraId="33EA5B84"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سادسًا: الاقتصاد في التكاليف</w:t>
      </w:r>
    </w:p>
    <w:p w14:paraId="40C5B63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بين مميزات الإعلام الرقمي أيضًا أنه أقل تكلفة مقارنة بالإعلام التقليدي من حيث الإنتاج والتوزيع. يمكن إطلاق حملة رقمية شاملة باستخدام موارد بسيطة نسبيًا، دون الحاجة إلى طباعة أو توزيع ميداني. هذا يجعل الإعلام الرقمي خيارًا استراتيجيًا للمؤسسات ذات الميزانيات المحدودة، مثل الجمعيات الصحية الأهلية أو المبادرات الشبابية</w:t>
      </w:r>
      <w:r w:rsidRPr="00E154C9">
        <w:rPr>
          <w:rFonts w:asciiTheme="majorBidi" w:hAnsiTheme="majorBidi" w:cstheme="majorBidi"/>
          <w:sz w:val="28"/>
          <w:szCs w:val="28"/>
        </w:rPr>
        <w:t>.</w:t>
      </w:r>
    </w:p>
    <w:p w14:paraId="7BEB241A"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أكدت دراسة (المنسي وآخرون، 2025) أن الحملات الصحية الرقمية كانت أكثر توفيرًا وأكثر قدرة على الانتشار من الحملات الورقية أو التلفزيونية، خاصة خلال أزمة كورونا، حيث فرض التباعد الاجتماعي الحاجة إلى بدائل رقمية فعالة</w:t>
      </w:r>
      <w:r w:rsidRPr="00E154C9">
        <w:rPr>
          <w:rFonts w:asciiTheme="majorBidi" w:hAnsiTheme="majorBidi" w:cstheme="majorBidi"/>
          <w:sz w:val="28"/>
          <w:szCs w:val="28"/>
        </w:rPr>
        <w:t>.</w:t>
      </w:r>
    </w:p>
    <w:p w14:paraId="06D50364"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سابعًا: المرونة والتجديد المستمر</w:t>
      </w:r>
    </w:p>
    <w:p w14:paraId="34EFD63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يمتلك الإعلام الرقمي القدرة على التحديث والتجديد بشكل مستمر، إذ يمكن تعديل الرسائل، وإعادة صياغتها، وتحسينها بناءً على التغذية الراجعة من الجمهور. وقد لوحظ هذا في الحملات الصحية التي استخدمت تحليلات التفاعل لتقييم فاعلية الرسائل وتعديلها وفقًا لنتائج الجمهور (صبرة </w:t>
      </w:r>
      <w:r w:rsidRPr="00E154C9">
        <w:rPr>
          <w:rFonts w:asciiTheme="majorBidi" w:hAnsiTheme="majorBidi" w:cstheme="majorBidi"/>
          <w:sz w:val="28"/>
          <w:szCs w:val="28"/>
        </w:rPr>
        <w:t xml:space="preserve">&amp; </w:t>
      </w:r>
      <w:r w:rsidRPr="00E154C9">
        <w:rPr>
          <w:rFonts w:asciiTheme="majorBidi" w:hAnsiTheme="majorBidi" w:cstheme="majorBidi"/>
          <w:sz w:val="28"/>
          <w:szCs w:val="28"/>
          <w:rtl/>
        </w:rPr>
        <w:t>واضحة، 2024</w:t>
      </w:r>
      <w:r w:rsidRPr="00E154C9">
        <w:rPr>
          <w:rFonts w:asciiTheme="majorBidi" w:hAnsiTheme="majorBidi" w:cstheme="majorBidi"/>
          <w:sz w:val="28"/>
          <w:szCs w:val="28"/>
        </w:rPr>
        <w:t>(</w:t>
      </w:r>
    </w:p>
    <w:p w14:paraId="3EC353DB" w14:textId="63C692CD" w:rsidR="005D2EB9" w:rsidRPr="00916091" w:rsidRDefault="005D2EB9" w:rsidP="0091609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المرونة هذه تُعد عاملاً حاسمًا في مجال التوعية الصحية، خصوصًا أن المفاهيم الصحية والوقائية قد تتغير بسرعة نتيجة ظهور مستجدات علمية أو تحولات وبائية</w:t>
      </w:r>
      <w:r w:rsidRPr="00E154C9">
        <w:rPr>
          <w:rFonts w:asciiTheme="majorBidi" w:hAnsiTheme="majorBidi" w:cstheme="majorBidi"/>
          <w:sz w:val="28"/>
          <w:szCs w:val="28"/>
        </w:rPr>
        <w:t>.</w:t>
      </w:r>
    </w:p>
    <w:p w14:paraId="6674D5D8" w14:textId="77777777" w:rsidR="005D2EB9" w:rsidRDefault="005D2EB9" w:rsidP="005D2EB9">
      <w:pPr>
        <w:spacing w:line="360" w:lineRule="auto"/>
        <w:rPr>
          <w:rFonts w:asciiTheme="majorBidi" w:hAnsiTheme="majorBidi" w:cstheme="majorBidi"/>
          <w:b/>
          <w:bCs/>
          <w:sz w:val="28"/>
          <w:szCs w:val="28"/>
          <w:highlight w:val="yellow"/>
          <w:rtl/>
        </w:rPr>
      </w:pPr>
    </w:p>
    <w:p w14:paraId="63A990CB" w14:textId="77777777" w:rsidR="005D2EB9" w:rsidRPr="005D2EB9" w:rsidRDefault="005D2EB9" w:rsidP="005D2EB9">
      <w:pPr>
        <w:spacing w:line="360" w:lineRule="auto"/>
        <w:rPr>
          <w:rFonts w:asciiTheme="majorBidi" w:hAnsiTheme="majorBidi" w:cstheme="majorBidi"/>
          <w:b/>
          <w:bCs/>
          <w:sz w:val="28"/>
          <w:szCs w:val="28"/>
          <w:rtl/>
        </w:rPr>
      </w:pPr>
      <w:r w:rsidRPr="005D2EB9">
        <w:rPr>
          <w:rFonts w:asciiTheme="majorBidi" w:hAnsiTheme="majorBidi" w:cstheme="majorBidi"/>
          <w:b/>
          <w:bCs/>
          <w:sz w:val="28"/>
          <w:szCs w:val="28"/>
          <w:rtl/>
        </w:rPr>
        <w:t>المطلب الثالث: أنواع وسائل الإعلام الرقمي (منصات التواصل، المواقع الطبية، التطبيقات)</w:t>
      </w:r>
    </w:p>
    <w:p w14:paraId="7B24A970" w14:textId="77777777" w:rsidR="005D2EB9" w:rsidRPr="00987739" w:rsidRDefault="005D2EB9" w:rsidP="005D2EB9">
      <w:pPr>
        <w:spacing w:line="360" w:lineRule="auto"/>
        <w:rPr>
          <w:rFonts w:asciiTheme="majorBidi" w:hAnsiTheme="majorBidi" w:cstheme="majorBidi"/>
          <w:sz w:val="28"/>
          <w:szCs w:val="28"/>
          <w:rtl/>
        </w:rPr>
      </w:pPr>
      <w:r w:rsidRPr="005D2EB9">
        <w:rPr>
          <w:rFonts w:asciiTheme="majorBidi" w:hAnsiTheme="majorBidi" w:cstheme="majorBidi" w:hint="cs"/>
          <w:sz w:val="28"/>
          <w:szCs w:val="28"/>
          <w:rtl/>
        </w:rPr>
        <w:t xml:space="preserve">تمهيد: </w:t>
      </w:r>
      <w:r w:rsidRPr="005D2EB9">
        <w:rPr>
          <w:rFonts w:asciiTheme="majorBidi" w:hAnsiTheme="majorBidi" w:cstheme="majorBidi"/>
          <w:sz w:val="28"/>
          <w:szCs w:val="28"/>
          <w:rtl/>
        </w:rPr>
        <w:t>تتعدد أنواع وسائل الإعلام الرقمي التي تُستخدم في نقل المعرفة والمعلومات الصحية، وتُوظف في حملات التوعية بالأمراض، لا سيما المزمنة منها. ومع تزايد الاعتماد على التكنولوجيا في الحياة اليومية، أصبحت هذه الوسائل تُشكّل بنية متكاملة من القنوات والمنصات التي تؤثر في إدراك الأفراد وسلوكهم الصحي، سواء بشكل مباشر أو غير مباشر. ويمكن تصنيف وسائل الإعلام الرقمي الصحية إلى ثلاث فئات رئيسية، هي: منصات التواصل الاجتماعي، والمواقع الطبية المتخصصة، والتطبيقات الصحية الذكية</w:t>
      </w:r>
      <w:r w:rsidRPr="005D2EB9">
        <w:rPr>
          <w:rFonts w:asciiTheme="majorBidi" w:hAnsiTheme="majorBidi" w:cstheme="majorBidi"/>
          <w:sz w:val="28"/>
          <w:szCs w:val="28"/>
        </w:rPr>
        <w:t>.</w:t>
      </w:r>
    </w:p>
    <w:p w14:paraId="48852AE4"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lastRenderedPageBreak/>
        <w:t>أولًا: منصات التواصل الاجتماعي</w:t>
      </w:r>
    </w:p>
    <w:p w14:paraId="37CB5AC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تمثل منصات التواصل الاجتماعي أبرز صور الإعلام الرقمي وأكثرها استخدامًا وانتشارًا في العالم، وخاصة في الدول العربية. وتشمل هذه المنصات تطبيقات مثل فيسبوك، تويتر، إنستغرام، سناب شات، ويوتيوب، والتي تُستخدم على نطاق واسع في بث الرسائل الصحية، ومتابعة التفاعل مع الجمهور، ومشاركة الخبرات الشخصية المتعلقة بالصحة</w:t>
      </w:r>
      <w:r w:rsidRPr="00E154C9">
        <w:rPr>
          <w:rFonts w:asciiTheme="majorBidi" w:hAnsiTheme="majorBidi" w:cstheme="majorBidi"/>
          <w:sz w:val="28"/>
          <w:szCs w:val="28"/>
        </w:rPr>
        <w:t>.</w:t>
      </w:r>
    </w:p>
    <w:p w14:paraId="0F653D23"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أشارت دراسة علواني وعرعار (2024) إلى أن منصات التواصل الاجتماعي باتت تُستخدم كأدوات رئيسية لنشر الوعي حول الأمراض المزمنة، وخاصة بين الشباب، حيث تُمكّن من الوصول الفوري للمعلومة الصحية، وتفتح المجال للنقاش والتفاعل الجماهيري</w:t>
      </w:r>
      <w:r w:rsidRPr="00E154C9">
        <w:rPr>
          <w:rFonts w:asciiTheme="majorBidi" w:hAnsiTheme="majorBidi" w:cstheme="majorBidi"/>
          <w:sz w:val="28"/>
          <w:szCs w:val="28"/>
        </w:rPr>
        <w:t>.</w:t>
      </w:r>
    </w:p>
    <w:p w14:paraId="39E722D5"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أوضحت دراسة محمد إبراهيم وغريب (2023) أن الحسابات الصحية الرسمية في السعودية، مثل حساب وزارة الصحة، تعتمد بشكل كبير على تويتر في نشر التنبيهات الصحية، والمعلومات التوعوية، والتحديثات الوقائية، خاصة خلال الأزمات الصحية مثل جائحة كورونا، وقد حققت هذه الحسابات مستويات عالية من التفاعل والثقة بين الجمهور</w:t>
      </w:r>
      <w:r w:rsidRPr="00E154C9">
        <w:rPr>
          <w:rFonts w:asciiTheme="majorBidi" w:hAnsiTheme="majorBidi" w:cstheme="majorBidi"/>
          <w:sz w:val="28"/>
          <w:szCs w:val="28"/>
        </w:rPr>
        <w:t>.</w:t>
      </w:r>
    </w:p>
    <w:p w14:paraId="73302B4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وتتميز هذه المنصات بالقدرة على الوصول السريع، وإمكانية استهداف فئات معينة من الجمهور من خلال الإعلانات الممولة أو المحتوى الموجّه، مما يجعلها بيئة مثالية لتنفيذ حملات توعية صحية متخصصة، بما في ذلك الأمراض العصبية المزمنة مثل الزهايمر والصرع</w:t>
      </w:r>
      <w:r w:rsidRPr="00E154C9">
        <w:rPr>
          <w:rFonts w:asciiTheme="majorBidi" w:hAnsiTheme="majorBidi" w:cstheme="majorBidi"/>
          <w:sz w:val="28"/>
          <w:szCs w:val="28"/>
        </w:rPr>
        <w:t>.</w:t>
      </w:r>
    </w:p>
    <w:p w14:paraId="19F94432"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ثانيًا: المواقع الطبية المتخصصة</w:t>
      </w:r>
    </w:p>
    <w:p w14:paraId="0ABA0051"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المواقع الطبية الإلكترونية من الوسائل الموثوقة لنقل المعلومات الصحية، حيث تُدار غالبًا بواسطة جهات طبية رسمية أو أكاديمية أو منظمات صحية عالمية. وتُوفّر هذه المواقع محتوىً علميًا دقيقًا، غالبًا ما يكون خاضعًا للمراجعة من قبل مختصين في المجال الطبي، ما يجعلها مصدرًا مهمًا للباحثين والمهتمين بالصحة على حد سواء</w:t>
      </w:r>
      <w:r w:rsidRPr="00E154C9">
        <w:rPr>
          <w:rFonts w:asciiTheme="majorBidi" w:hAnsiTheme="majorBidi" w:cstheme="majorBidi"/>
          <w:sz w:val="28"/>
          <w:szCs w:val="28"/>
        </w:rPr>
        <w:t>.</w:t>
      </w:r>
    </w:p>
    <w:p w14:paraId="1CAAE836"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تشير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إلى أن المواقع الطبية الرقمية تُعد أدوات فاعلة لتعزيز الوعي الصحي، خاصة في ما يتعلق بالأمراض المزمنة التي تتطلب تثقيفًا متواصلًا، مثل التصلب اللويحي وباركنسون. كما توفّر هذه المواقع معلومات شاملة حول أعراض الأمراض، وأسبابها، وطرق تشخيصها وعلاجها، بالإضافة إلى النصائح اليومية للمرضى وذويهم</w:t>
      </w:r>
      <w:r w:rsidRPr="00E154C9">
        <w:rPr>
          <w:rFonts w:asciiTheme="majorBidi" w:hAnsiTheme="majorBidi" w:cstheme="majorBidi"/>
          <w:sz w:val="28"/>
          <w:szCs w:val="28"/>
        </w:rPr>
        <w:t>.</w:t>
      </w:r>
    </w:p>
    <w:p w14:paraId="639B2FB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أمثلة هذه المواقع: موقع منظمة الصحة العالمية</w:t>
      </w:r>
      <w:r w:rsidRPr="00E154C9">
        <w:rPr>
          <w:rFonts w:asciiTheme="majorBidi" w:hAnsiTheme="majorBidi" w:cstheme="majorBidi"/>
          <w:sz w:val="28"/>
          <w:szCs w:val="28"/>
        </w:rPr>
        <w:t xml:space="preserve"> WHO</w:t>
      </w:r>
      <w:r w:rsidRPr="00E154C9">
        <w:rPr>
          <w:rFonts w:asciiTheme="majorBidi" w:hAnsiTheme="majorBidi" w:cstheme="majorBidi"/>
          <w:sz w:val="28"/>
          <w:szCs w:val="28"/>
          <w:rtl/>
        </w:rPr>
        <w:t>، وموقع</w:t>
      </w:r>
      <w:r w:rsidRPr="00E154C9">
        <w:rPr>
          <w:rFonts w:asciiTheme="majorBidi" w:hAnsiTheme="majorBidi" w:cstheme="majorBidi"/>
          <w:sz w:val="28"/>
          <w:szCs w:val="28"/>
        </w:rPr>
        <w:t xml:space="preserve"> Mayo Clinic</w:t>
      </w:r>
      <w:r w:rsidRPr="00E154C9">
        <w:rPr>
          <w:rFonts w:asciiTheme="majorBidi" w:hAnsiTheme="majorBidi" w:cstheme="majorBidi"/>
          <w:sz w:val="28"/>
          <w:szCs w:val="28"/>
          <w:rtl/>
        </w:rPr>
        <w:t xml:space="preserve">، وكذلك النسخ الإلكترونية للمجلات الطبية مثل </w:t>
      </w:r>
      <w:r w:rsidRPr="00E154C9">
        <w:rPr>
          <w:rFonts w:asciiTheme="majorBidi" w:hAnsiTheme="majorBidi" w:cstheme="majorBidi"/>
          <w:i/>
          <w:iCs/>
          <w:sz w:val="28"/>
          <w:szCs w:val="28"/>
        </w:rPr>
        <w:t>Journal of Diabetes Science and Technology</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التي تطرح مستجدات العلاج الرقمي والمراقبة الذكية لمرضى السكري</w:t>
      </w:r>
      <w:r w:rsidRPr="00E154C9">
        <w:rPr>
          <w:rFonts w:asciiTheme="majorBidi" w:hAnsiTheme="majorBidi" w:cstheme="majorBidi"/>
          <w:sz w:val="28"/>
          <w:szCs w:val="28"/>
        </w:rPr>
        <w:t xml:space="preserve"> (Fundoiano-Hershcovitz et al., 2021).</w:t>
      </w:r>
    </w:p>
    <w:p w14:paraId="53825FF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العالم العربي، بدأت بعض المؤسسات الطبية الكبرى في إنشاء مواقع تفاعلية باللغة العربية تتضمن محتوى بصريًا ونصيًا موجهًا للمرضى، إضافة إلى خدمة الاستشارة الفورية عبر الإنترنت</w:t>
      </w:r>
      <w:r w:rsidRPr="00E154C9">
        <w:rPr>
          <w:rFonts w:asciiTheme="majorBidi" w:hAnsiTheme="majorBidi" w:cstheme="majorBidi"/>
          <w:sz w:val="28"/>
          <w:szCs w:val="28"/>
        </w:rPr>
        <w:t>.</w:t>
      </w:r>
    </w:p>
    <w:p w14:paraId="4BA944F3"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ثالثًا: التطبيقات الصحية الرقمية</w:t>
      </w:r>
      <w:r w:rsidRPr="00E154C9">
        <w:rPr>
          <w:rFonts w:asciiTheme="majorBidi" w:hAnsiTheme="majorBidi" w:cstheme="majorBidi"/>
          <w:b/>
          <w:bCs/>
          <w:sz w:val="28"/>
          <w:szCs w:val="28"/>
        </w:rPr>
        <w:t xml:space="preserve"> (Mobile Health Apps)</w:t>
      </w:r>
    </w:p>
    <w:p w14:paraId="37C7088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تشكل التطبيقات الصحية الرقمية أحد أهم أدوات التحول الرقمي في القطاع الصحي، حيث أصبحت تلعب دورًا محوريًا في تعزيز التوعية الصحية، وتسهيل الوصول إلى الخدمات الطبية، وتحسين جودة الرعاية الصحية المقدمة للأفراد. تعتمد هذه التطبيقات على التكنولوجيا الرقمية الحديثة، وتستفيد من القدرات الكبيرة للهواتف الذكية، والأجهزة اللوحية، والحواسيب، لتقديم خدمات متنوعة تشمل التثقيف الصحي، المتابعة الطبية عن بُعد، إدارة الحالات المرضية، والتواصل بين المريض ومقدمي الرعاية الصحية</w:t>
      </w:r>
      <w:r w:rsidRPr="00E154C9">
        <w:rPr>
          <w:rFonts w:asciiTheme="majorBidi" w:hAnsiTheme="majorBidi" w:cstheme="majorBidi"/>
          <w:sz w:val="28"/>
          <w:szCs w:val="28"/>
        </w:rPr>
        <w:t>.</w:t>
      </w:r>
    </w:p>
    <w:p w14:paraId="699EEC3F"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تتميز التطبيقات الصحية الرقمية بسهولة الوصول إليها واستخدامها، إذ يمكن للمستخدمين تحميلها على أجهزتهم المحمولة، والاستفادة من محتواها وخدماتها في أي وقت ومكان. وهذا ينعكس إيجابيًا على رفع مستوى الوعي الصحي لدى الأفراد، خصوصًا في المجالات التي تتطلب متابعة مستمرة مثل الأمراض المزمنة، ومن ضمنها الأمراض العصبية المزمنة مثل التصلب اللويحي والباركنسون والزهايمر. فمثلاً، تتيح بعض التطبيقات للمصابين بهذه الأمراض إمكانية تتبع الأعراض اليومية، وتسجيل التغيرات الصحية، والحصول على تذكيرات لتناول الأدوية، مما يعزز من التزامهم بالخطة العلاجية ويحسن من نتائجهم الصحية</w:t>
      </w:r>
      <w:r w:rsidRPr="00E154C9">
        <w:rPr>
          <w:rFonts w:asciiTheme="majorBidi" w:hAnsiTheme="majorBidi" w:cstheme="majorBidi"/>
          <w:sz w:val="28"/>
          <w:szCs w:val="28"/>
        </w:rPr>
        <w:t>.</w:t>
      </w:r>
    </w:p>
    <w:p w14:paraId="10DA187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تلعب هذه التطبيقات دورًا هامًا في تسهيل التواصل بين المرضى ومقدمي الرعاية الصحية، حيث توفر منصات آمنة لإرسال الرسائل، عقد الاستشارات الطبية عن بُعد، ومتابعة التطورات الصحية، مما يقلل من الحاجة للزيارات المباشرة إلى المراكز الصحية، ويخفف من العبء على النظام الصحي. وهذا الأمر ذو أهمية خاصة في المناطق النائية أو ذات الخدمات الصحية المحدودة، حيث يتيح الإعلام الرقمي والوصول إلى الإنترنت إمكانية تلقي الرعاية بشكل مستمر</w:t>
      </w:r>
      <w:r w:rsidRPr="00E154C9">
        <w:rPr>
          <w:rFonts w:asciiTheme="majorBidi" w:hAnsiTheme="majorBidi" w:cstheme="majorBidi"/>
          <w:sz w:val="28"/>
          <w:szCs w:val="28"/>
        </w:rPr>
        <w:t>.</w:t>
      </w:r>
    </w:p>
    <w:p w14:paraId="19EA2098"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في المملكة العربية السعودية، شهدت التطبيقات الصحية الرقمية تطورًا ملحوظًا، خاصة مع انطلاق رؤية 2030 التي تسعى إلى تحسين جودة الحياة، وتعزيز الصحة الرقمية. من أبرز هذه التطبيقات تطبيق "صحتي" الذي يتيح للمستخدمين حجز المواعيد، الاستفادة من خدمات التطعيم، متابعة نتائج الفحوصات، والحصول على نصائح صحية متنوعة. كما يوفر التطبيق معلومات موثوقة حول الأمراض وطرق الوقاية منها، مما يسهم في التوعية الصحية الرقمية للجمهور. كما أطلقت وزارة الصحة تطبيقات أخرى متخصصة في مجالات مثل التوعية بالسكري، والأمراض القلبية، وغيرها من الحالات المزمنة</w:t>
      </w:r>
      <w:r w:rsidRPr="00E154C9">
        <w:rPr>
          <w:rFonts w:asciiTheme="majorBidi" w:hAnsiTheme="majorBidi" w:cstheme="majorBidi"/>
          <w:sz w:val="28"/>
          <w:szCs w:val="28"/>
        </w:rPr>
        <w:t>.</w:t>
      </w:r>
    </w:p>
    <w:p w14:paraId="45F12F0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التطبيقات الحكومية، هناك العديد من المبادرات الخاصة التي تقدم تطبيقات صحية رقمية موجهة لشرائح محددة من المجتمع، مثل كبار السن أو مرضى الأمراض العصبية، حيث تحتوي هذه التطبيقات على محتوى توعوي مخصص، تمارين ذهنية، تعليمات للتعامل مع الأعراض، ودعم نفسي. وهذا التنوع في التطبيقات يعكس التوجه نحو تخصيص الرعاية الصحية الرقمية بما يتناسب مع احتياجات كل فرد</w:t>
      </w:r>
      <w:r w:rsidRPr="00E154C9">
        <w:rPr>
          <w:rFonts w:asciiTheme="majorBidi" w:hAnsiTheme="majorBidi" w:cstheme="majorBidi"/>
          <w:sz w:val="28"/>
          <w:szCs w:val="28"/>
        </w:rPr>
        <w:t>.</w:t>
      </w:r>
    </w:p>
    <w:p w14:paraId="50A4ED4A" w14:textId="77777777" w:rsidR="005D2EB9" w:rsidRPr="00E154C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المجمل، تمثل التطبيقات الصحية الرقمية أداة فعالة لتعزيز التوعية الصحية، ودعم المرضى في إدارة حالاتهم الصحية، وتسهيل التواصل مع النظام الصحي، وهي جزء أساسي من مستقبل الرعاية الصحية الذكية. ومع استمرار تطورها، ستصبح هذه التطبيقات أكثر تكاملًا وذكاءً، مع إمكانية استخدام تقنيات متقدمة مثل الذكاء الاصطناعي وتحليل البيانات الكبيرة لتقديم خدمات مخصصة وشاملة تساهم في تحسين النتائج الصحية على مستوى الأفراد والمجتمعات</w:t>
      </w:r>
      <w:r w:rsidRPr="00E154C9">
        <w:rPr>
          <w:rFonts w:asciiTheme="majorBidi" w:hAnsiTheme="majorBidi" w:cstheme="majorBidi"/>
          <w:sz w:val="28"/>
          <w:szCs w:val="28"/>
        </w:rPr>
        <w:t>.</w:t>
      </w:r>
    </w:p>
    <w:p w14:paraId="6230050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ولقد شهدت السنوات الأخيرة طفرة كبيرة في تطوير التطبيقات الصحية الرقمية، والتي تُعد من أكثر وسائل الإعلام الرقمي تخصصًا وفاعلية في التعامل مع الأمراض المزمنة، بما فيها الأمراض العصبية. تُستخدم هذه التطبيقات لمتابعة الحالات الصحية، وتذكير المرضى بمواعيد الأدوية، وتسجيل المؤشرات الحيوية، فضلًا عن تقديم محتوى تثقيفي موجه ومخصص لكل مستخدم حسب حالته</w:t>
      </w:r>
      <w:r w:rsidRPr="00E154C9">
        <w:rPr>
          <w:rFonts w:asciiTheme="majorBidi" w:hAnsiTheme="majorBidi" w:cstheme="majorBidi"/>
          <w:sz w:val="28"/>
          <w:szCs w:val="28"/>
        </w:rPr>
        <w:t>.</w:t>
      </w:r>
    </w:p>
    <w:p w14:paraId="673CB806"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دراسة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بينت أن التطبيقات الصحية لعبت دورًا مهمًا في تحسين الوعي والمواقف لدى مرضى السكري، من خلال الدمج بين المعلومة الطبية والدعم السلوكي والتقني. كما أوضحت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أن العديد من هذه التطبيقات تعتمد على الذكاء الاصطناعي وخوارزميات التحليل للتنبؤ بالمضاعفات أو تقديم النصائح الطبية المناسبة</w:t>
      </w:r>
      <w:r w:rsidRPr="00E154C9">
        <w:rPr>
          <w:rFonts w:asciiTheme="majorBidi" w:hAnsiTheme="majorBidi" w:cstheme="majorBidi"/>
          <w:sz w:val="28"/>
          <w:szCs w:val="28"/>
        </w:rPr>
        <w:t>.</w:t>
      </w:r>
    </w:p>
    <w:p w14:paraId="1F6CB505"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وتشمل بعض هذه التطبيقات العالمية</w:t>
      </w:r>
      <w:r w:rsidRPr="00E154C9">
        <w:rPr>
          <w:rFonts w:asciiTheme="majorBidi" w:hAnsiTheme="majorBidi" w:cstheme="majorBidi"/>
          <w:sz w:val="28"/>
          <w:szCs w:val="28"/>
        </w:rPr>
        <w:t>: MySugr</w:t>
      </w:r>
      <w:r w:rsidRPr="00E154C9">
        <w:rPr>
          <w:rFonts w:asciiTheme="majorBidi" w:hAnsiTheme="majorBidi" w:cstheme="majorBidi"/>
          <w:sz w:val="28"/>
          <w:szCs w:val="28"/>
          <w:rtl/>
        </w:rPr>
        <w:t>، و</w:t>
      </w:r>
      <w:r w:rsidRPr="00E154C9">
        <w:rPr>
          <w:rFonts w:asciiTheme="majorBidi" w:hAnsiTheme="majorBidi" w:cstheme="majorBidi"/>
          <w:sz w:val="28"/>
          <w:szCs w:val="28"/>
        </w:rPr>
        <w:t>Epilepsy Journal</w:t>
      </w:r>
      <w:r w:rsidRPr="00E154C9">
        <w:rPr>
          <w:rFonts w:asciiTheme="majorBidi" w:hAnsiTheme="majorBidi" w:cstheme="majorBidi"/>
          <w:sz w:val="28"/>
          <w:szCs w:val="28"/>
          <w:rtl/>
        </w:rPr>
        <w:t>، و</w:t>
      </w:r>
      <w:r w:rsidRPr="00E154C9">
        <w:rPr>
          <w:rFonts w:asciiTheme="majorBidi" w:hAnsiTheme="majorBidi" w:cstheme="majorBidi"/>
          <w:sz w:val="28"/>
          <w:szCs w:val="28"/>
        </w:rPr>
        <w:t>Alzheimer's Daily Companion</w:t>
      </w:r>
      <w:r w:rsidRPr="00E154C9">
        <w:rPr>
          <w:rFonts w:asciiTheme="majorBidi" w:hAnsiTheme="majorBidi" w:cstheme="majorBidi"/>
          <w:sz w:val="28"/>
          <w:szCs w:val="28"/>
          <w:rtl/>
        </w:rPr>
        <w:t xml:space="preserve">، والتي تُقدم محتوى يوميًّا خاصًا بالمصابين بالأمراض العصبية المزمنة. في المقابل، بدأت </w:t>
      </w:r>
      <w:r w:rsidRPr="00E154C9">
        <w:rPr>
          <w:rFonts w:asciiTheme="majorBidi" w:hAnsiTheme="majorBidi" w:cstheme="majorBidi"/>
          <w:sz w:val="28"/>
          <w:szCs w:val="28"/>
          <w:rtl/>
        </w:rPr>
        <w:lastRenderedPageBreak/>
        <w:t>بعض الجهات السعودية في تطوير تطبيقات محلية تهدف إلى تحسين إدارة الأمراض، والتواصل بين المرضى والأطباء</w:t>
      </w:r>
      <w:r w:rsidRPr="00E154C9">
        <w:rPr>
          <w:rFonts w:asciiTheme="majorBidi" w:hAnsiTheme="majorBidi" w:cstheme="majorBidi"/>
          <w:sz w:val="28"/>
          <w:szCs w:val="28"/>
        </w:rPr>
        <w:t>.</w:t>
      </w:r>
    </w:p>
    <w:p w14:paraId="28693771" w14:textId="77777777" w:rsidR="005D2EB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وقد أكد المنسي وآخرون (2025) على أهمية دمج هذه التطبيقات في الحملات الوطنية التوعوية، وتوفير التدريب للأفراد على استخدامها بالشكل الأمثل، خصوصًا مع انتشار الهواتف الذكية في كافة مناطق المملكة، مما يجعل هذه الوسائل في متناول الجميع</w:t>
      </w:r>
      <w:r w:rsidRPr="00E154C9">
        <w:rPr>
          <w:rFonts w:asciiTheme="majorBidi" w:hAnsiTheme="majorBidi" w:cstheme="majorBidi"/>
          <w:sz w:val="28"/>
          <w:szCs w:val="28"/>
        </w:rPr>
        <w:t>.</w:t>
      </w:r>
    </w:p>
    <w:p w14:paraId="1AD95278" w14:textId="534235BF" w:rsidR="001B2A6C" w:rsidRDefault="005D2EB9" w:rsidP="005D2EB9">
      <w:pPr>
        <w:spacing w:line="360" w:lineRule="auto"/>
        <w:rPr>
          <w:rFonts w:asciiTheme="majorBidi" w:hAnsiTheme="majorBidi" w:cstheme="majorBidi"/>
          <w:sz w:val="28"/>
          <w:szCs w:val="28"/>
          <w:rtl/>
        </w:rPr>
      </w:pPr>
      <w:r w:rsidRPr="005D2EB9">
        <w:rPr>
          <w:rFonts w:asciiTheme="majorBidi" w:hAnsiTheme="majorBidi" w:cstheme="majorBidi" w:hint="cs"/>
          <w:sz w:val="28"/>
          <w:szCs w:val="28"/>
          <w:shd w:val="clear" w:color="auto" w:fill="F2CEED" w:themeFill="accent5" w:themeFillTint="33"/>
          <w:rtl/>
        </w:rPr>
        <w:t>رؤية الباحث</w:t>
      </w:r>
      <w:r>
        <w:rPr>
          <w:rFonts w:asciiTheme="majorBidi" w:hAnsiTheme="majorBidi" w:cstheme="majorBidi" w:hint="cs"/>
          <w:sz w:val="28"/>
          <w:szCs w:val="28"/>
          <w:shd w:val="clear" w:color="auto" w:fill="F2CEED" w:themeFill="accent5" w:themeFillTint="33"/>
          <w:rtl/>
        </w:rPr>
        <w:t>ة:</w:t>
      </w:r>
      <w:r w:rsidRPr="005D2EB9">
        <w:rPr>
          <w:rFonts w:asciiTheme="majorBidi" w:hAnsiTheme="majorBidi" w:cstheme="majorBidi" w:hint="cs"/>
          <w:sz w:val="28"/>
          <w:szCs w:val="28"/>
          <w:rtl/>
        </w:rPr>
        <w:t xml:space="preserve"> </w:t>
      </w:r>
      <w:r w:rsidRPr="005D2EB9">
        <w:rPr>
          <w:rFonts w:asciiTheme="majorBidi" w:hAnsiTheme="majorBidi" w:cstheme="majorBidi"/>
          <w:sz w:val="28"/>
          <w:szCs w:val="28"/>
          <w:rtl/>
        </w:rPr>
        <w:t>على الرغم من المزايا العديدة للتطبيقات الصحية الرقمية، إلا أن هناك تحديات تواجه انتشارها واستخدامها الفعّال، من أبرزها مسألة الخصوصية والأمان المعلوماتي، حيث يحتاج المستخدمون إلى ضمان حماية بياناتهم الصحية من التسرب أو الاستخدام غير المصرح به. كما أن وجود فوارق في المهارات الرقمية بين فئات المجتمع يؤثر على إمكانية استخدام هذه التطبيقات، مما يستدعي توفير برامج تدريبية وتوعية رقمية موازية لزيادة الكفاءة الرقمية. بالإضافة إلى ذلك، يجب التأكد من موثوقية المعلومات المقدمة من خلال هذه التطبيقات، وتحديثها باستمرار لتكون متوافقة مع أحدث المعايير الطبية</w:t>
      </w:r>
      <w:r w:rsidRPr="005D2EB9">
        <w:rPr>
          <w:rFonts w:asciiTheme="majorBidi" w:hAnsiTheme="majorBidi" w:cstheme="majorBidi"/>
          <w:sz w:val="28"/>
          <w:szCs w:val="28"/>
        </w:rPr>
        <w:t>.</w:t>
      </w:r>
    </w:p>
    <w:p w14:paraId="1D0225B1"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التكامل بين الأنواع الثلاثة</w:t>
      </w:r>
    </w:p>
    <w:p w14:paraId="766CC7FF"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المهم الإشارة إلى أن هذه الأنواع الثلاثة لا تعمل بمعزل عن بعضها، بل تتكامل ضمن منظومة إعلام رقمي صحية متكاملة. فالحسابات الرسمية على منصات التواصل الاجتماعي تُحيل المستخدم إلى مواقع طبية متخصصة، وتوصي بتنزيل تطبيقات معينة، مما يُعزز من تجربة التوعية الشاملة</w:t>
      </w:r>
      <w:r w:rsidRPr="00E154C9">
        <w:rPr>
          <w:rFonts w:asciiTheme="majorBidi" w:hAnsiTheme="majorBidi" w:cstheme="majorBidi"/>
          <w:sz w:val="28"/>
          <w:szCs w:val="28"/>
        </w:rPr>
        <w:t>.</w:t>
      </w:r>
    </w:p>
    <w:p w14:paraId="46417387" w14:textId="77777777" w:rsidR="005D2EB9" w:rsidRPr="00E154C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وتشير صبرة وواضحة (2024) إلى أن تكامل الإعلام الرقمي بهذه الصورة يسمح بتقديم محتوى متدرج ومتنوع، يلبّي احتياجات الجمهور بحسب مستوى ثقافتهم، ودرجة وعيهم، ونمط تلقيهم للمعلومات الصحية</w:t>
      </w:r>
      <w:r w:rsidRPr="00E154C9">
        <w:rPr>
          <w:rFonts w:asciiTheme="majorBidi" w:hAnsiTheme="majorBidi" w:cstheme="majorBidi"/>
          <w:sz w:val="28"/>
          <w:szCs w:val="28"/>
        </w:rPr>
        <w:t>.</w:t>
      </w:r>
    </w:p>
    <w:p w14:paraId="7358FEB7" w14:textId="77777777" w:rsidR="005D2EB9" w:rsidRDefault="005D2EB9" w:rsidP="005D2EB9">
      <w:pPr>
        <w:spacing w:line="360" w:lineRule="auto"/>
        <w:rPr>
          <w:rFonts w:asciiTheme="majorBidi" w:hAnsiTheme="majorBidi" w:cstheme="majorBidi"/>
          <w:b/>
          <w:bCs/>
          <w:sz w:val="28"/>
          <w:szCs w:val="28"/>
          <w:rtl/>
        </w:rPr>
      </w:pPr>
    </w:p>
    <w:p w14:paraId="181A25B0" w14:textId="34386A76" w:rsidR="005D2EB9" w:rsidRPr="00E154C9" w:rsidRDefault="005D2EB9" w:rsidP="005D2EB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الرابع: الإعلام الرقمي في السياق السعودي</w:t>
      </w:r>
    </w:p>
    <w:p w14:paraId="3E249C51" w14:textId="77777777" w:rsidR="005D2EB9" w:rsidRPr="005D2EB9" w:rsidRDefault="005D2EB9" w:rsidP="005D2EB9">
      <w:pPr>
        <w:spacing w:line="360" w:lineRule="auto"/>
        <w:rPr>
          <w:rFonts w:asciiTheme="majorBidi" w:hAnsiTheme="majorBidi" w:cstheme="majorBidi"/>
          <w:sz w:val="28"/>
          <w:szCs w:val="28"/>
        </w:rPr>
      </w:pPr>
      <w:r w:rsidRPr="005D2EB9">
        <w:rPr>
          <w:rFonts w:asciiTheme="majorBidi" w:hAnsiTheme="majorBidi" w:cstheme="majorBidi" w:hint="cs"/>
          <w:sz w:val="28"/>
          <w:szCs w:val="28"/>
          <w:rtl/>
        </w:rPr>
        <w:t xml:space="preserve">تمهيد: </w:t>
      </w:r>
      <w:r w:rsidRPr="005D2EB9">
        <w:rPr>
          <w:rFonts w:asciiTheme="majorBidi" w:hAnsiTheme="majorBidi" w:cstheme="majorBidi"/>
          <w:sz w:val="28"/>
          <w:szCs w:val="28"/>
          <w:rtl/>
        </w:rPr>
        <w:t>شهد الإعلام الرقمي في المملكة العربية السعودية تطورًا ملحوظًا خلال العقد الأخير، تماشيًا مع التحولات الاجتماعية والاقتصادية التي تقودها رؤية المملكة 2030، والتي أولت اهتمامًا خاصًا بالتحول الرقمي في مختلف القطاعات، بما في ذلك القطاع الصحي. وقد أسهم هذا التوجه في تعزيز استخدام الإعلام الرقمي كأداة للتثقيف الصحي ونشر الوعي بالأمراض، لا سيما الأمراض المزمنة والعصبية</w:t>
      </w:r>
      <w:r w:rsidRPr="005D2EB9">
        <w:rPr>
          <w:rFonts w:asciiTheme="majorBidi" w:hAnsiTheme="majorBidi" w:cstheme="majorBidi"/>
          <w:sz w:val="28"/>
          <w:szCs w:val="28"/>
        </w:rPr>
        <w:t>.</w:t>
      </w:r>
    </w:p>
    <w:p w14:paraId="1D8D9EED" w14:textId="77777777" w:rsidR="005D2EB9" w:rsidRPr="005D2EB9" w:rsidRDefault="005D2EB9" w:rsidP="005D2EB9">
      <w:pPr>
        <w:spacing w:line="360" w:lineRule="auto"/>
        <w:rPr>
          <w:rFonts w:asciiTheme="majorBidi" w:hAnsiTheme="majorBidi" w:cstheme="majorBidi"/>
          <w:sz w:val="28"/>
          <w:szCs w:val="28"/>
        </w:rPr>
      </w:pPr>
      <w:r w:rsidRPr="005D2EB9">
        <w:rPr>
          <w:rFonts w:asciiTheme="majorBidi" w:hAnsiTheme="majorBidi" w:cstheme="majorBidi"/>
          <w:sz w:val="28"/>
          <w:szCs w:val="28"/>
          <w:rtl/>
        </w:rPr>
        <w:lastRenderedPageBreak/>
        <w:t>وفقًا لتقرير هيئة الاتصالات والفضاء والتقنية السعودية لعام 2023، تجاوزت نسبة انتشار الإنترنت في المملكة 98%، فيما بلغ عدد مستخدمي منصات التواصل الاجتماعي أكثر من 29 مليون مستخدم، ما يشير إلى وجود بيئة رقمية خصبة يُمكن توظيفها في تعزيز الصحة العامة وتوجيه الرسائل التوعوية</w:t>
      </w:r>
      <w:r w:rsidRPr="005D2EB9">
        <w:rPr>
          <w:rFonts w:asciiTheme="majorBidi" w:hAnsiTheme="majorBidi" w:cstheme="majorBidi"/>
          <w:sz w:val="28"/>
          <w:szCs w:val="28"/>
        </w:rPr>
        <w:t xml:space="preserve"> (Wang &amp; Liao, 2024).</w:t>
      </w:r>
    </w:p>
    <w:p w14:paraId="5D16B938" w14:textId="77777777" w:rsidR="005D2EB9" w:rsidRPr="005D2EB9" w:rsidRDefault="005D2EB9" w:rsidP="005D2EB9">
      <w:pPr>
        <w:spacing w:line="360" w:lineRule="auto"/>
        <w:rPr>
          <w:rFonts w:asciiTheme="majorBidi" w:hAnsiTheme="majorBidi" w:cstheme="majorBidi"/>
          <w:b/>
          <w:bCs/>
          <w:sz w:val="28"/>
          <w:szCs w:val="28"/>
        </w:rPr>
      </w:pPr>
      <w:r w:rsidRPr="005D2EB9">
        <w:rPr>
          <w:rFonts w:asciiTheme="majorBidi" w:hAnsiTheme="majorBidi" w:cstheme="majorBidi"/>
          <w:b/>
          <w:bCs/>
          <w:sz w:val="28"/>
          <w:szCs w:val="28"/>
          <w:rtl/>
        </w:rPr>
        <w:t>التحول الرقمي في الصحة والإعلام</w:t>
      </w:r>
    </w:p>
    <w:p w14:paraId="66C4B8B1" w14:textId="77777777" w:rsidR="005D2EB9" w:rsidRPr="00E154C9" w:rsidRDefault="005D2EB9" w:rsidP="005D2EB9">
      <w:pPr>
        <w:spacing w:line="360" w:lineRule="auto"/>
        <w:rPr>
          <w:rFonts w:asciiTheme="majorBidi" w:hAnsiTheme="majorBidi" w:cstheme="majorBidi"/>
          <w:sz w:val="28"/>
          <w:szCs w:val="28"/>
        </w:rPr>
      </w:pPr>
      <w:r w:rsidRPr="005D2EB9">
        <w:rPr>
          <w:rFonts w:asciiTheme="majorBidi" w:hAnsiTheme="majorBidi" w:cstheme="majorBidi" w:hint="cs"/>
          <w:sz w:val="28"/>
          <w:szCs w:val="28"/>
          <w:rtl/>
        </w:rPr>
        <w:t xml:space="preserve">تمهيد: </w:t>
      </w:r>
      <w:r w:rsidRPr="005D2EB9">
        <w:rPr>
          <w:rFonts w:asciiTheme="majorBidi" w:hAnsiTheme="majorBidi" w:cstheme="majorBidi"/>
          <w:sz w:val="28"/>
          <w:szCs w:val="28"/>
          <w:rtl/>
        </w:rPr>
        <w:t>شهدت السنوات الأخيرة تحولات جذرية في قطاع الصحة والإعلام بفضل التطور المتسارع في التكنولوجيا الرقمية، حيث أصبح التحول الرقمي حجر الزاوية في تطوير الخدمات الصحية وتوصيل المعلومات الإعلامية بفاعلية عالية. يُقصد بالتحول الرقمي في الصحة استخدام التقنيات الرقمية مثل الإنترنت، الأجهزة الذكية، الذكاء الاصطناعي، البيانات الكبيرة، والتطبيقات الإلكترونية لتحسين جودة الرعاية الصحية، وزيادة كفاءتها، وتوسيع نطاق الوصول إلى الخدمات الطبية. أما في مجال الإعلام، فيُشير التحول الرقمي إلى تحول أساليب نشر الأخبار والمعلومات من الوسائط التقليدية إلى منصات رقمية تفاعلية، مما أتاح انتشارًا أسرع وتفاعلاً أعمق مع الجمهور</w:t>
      </w:r>
      <w:r w:rsidRPr="005D2EB9">
        <w:rPr>
          <w:rFonts w:asciiTheme="majorBidi" w:hAnsiTheme="majorBidi" w:cstheme="majorBidi"/>
          <w:sz w:val="28"/>
          <w:szCs w:val="28"/>
        </w:rPr>
        <w:t>.</w:t>
      </w:r>
    </w:p>
    <w:p w14:paraId="23EE446E" w14:textId="77777777" w:rsidR="005D2EB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مجال الصحة، أسهم التحول الرقمي في إحداث نقلة نوعية من نظام الرعاية الصحية التقليدي المعتمد على الحضور المادي والتشخيص الظاهري، إلى نظام رقمي متكامل يتيح تقديم خدمات صحية عن بُعد، مراقبة الحالات المرضية إلكترونيًا، وتسهيل التواصل بين المرضى ومقدمي الرعاية الصحية. فمثلاً، يُمكن للمرضى اليوم استخدام تطبيقات الهاتف المحمول لمتابعة حالتهم الصحية، حجز المواعيد، استشارة الأطباء عبر الفيديو، وتلقي الإشعارات الطبية بشكل مستمر. وتدعم هذه التقنيات القدرة على جمع وتحليل بيانات صحية ضخمة تساعد في تحسين الخطط العلاجية واتخاذ القرارات الطبية المبنية على الأدلة العلمية</w:t>
      </w:r>
      <w:r w:rsidRPr="00E154C9">
        <w:rPr>
          <w:rFonts w:asciiTheme="majorBidi" w:hAnsiTheme="majorBidi" w:cstheme="majorBidi"/>
          <w:sz w:val="28"/>
          <w:szCs w:val="28"/>
        </w:rPr>
        <w:t>.</w:t>
      </w:r>
    </w:p>
    <w:p w14:paraId="523BA227"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t>أما في الإعلام، فقد أدى التحول الرقمي إلى ظهور منصات إعلامية رقمية متنوعة مثل المواقع الإلكترونية، وسائل التواصل الاجتماعي، البودكاست، والفيديوهات الرقمية، التي أصبحت الوسيلة الأساسية لتلقي الأخبار والمعلومات. تتميز هذه الوسائط الرقمية بقدرتها على الوصول إلى جمهور واسع، وتوفير محتوى متنوع ومتخصص، مع إتاحة إمكانية التفاعل والمشاركة، وهو ما يخلق بيئة إعلامية حيوية تتيح للجمهور التعبير عن آرائه وتبادل الخبرات. هذا التحول سمح أيضًا بإنتاج محتوى إعلامي موجه وشخصي، يُلبي احتياجات محددة لفئات مختلفة من الجمهور</w:t>
      </w:r>
      <w:r w:rsidRPr="00E154C9">
        <w:rPr>
          <w:rFonts w:asciiTheme="majorBidi" w:hAnsiTheme="majorBidi" w:cstheme="majorBidi"/>
          <w:sz w:val="28"/>
          <w:szCs w:val="28"/>
        </w:rPr>
        <w:t>.</w:t>
      </w:r>
    </w:p>
    <w:p w14:paraId="34F10523"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يجتمع التحول الرقمي في الصحة والإعلام عند نقطة التوعية الصحية الرقمية، حيث أصبح الإعلام الرقمي هو القناة المثلى لنشر المعلومات الصحية وتثقيف الجمهور حول الأمراض والوقاية والعلاج. وقد أثبتت الحملات الرقمية فعاليتها في الوصول إلى شرائح واسعة من المجتمع بسرعة وبتكلفة منخفضة، مع إمكانية التقييم الفوري لمدى تأثير الرسائل الصحية. كما يتيح الإعلام الصحي الرقمي استخدام وسائل متعددة مثل الفيديوهات التفاعلية، الرسوم المتحركة، والبث المباشر لجعل المعلومات الطبية أكثر وضوحًا وجاذبية</w:t>
      </w:r>
      <w:r w:rsidRPr="00E154C9">
        <w:rPr>
          <w:rFonts w:asciiTheme="majorBidi" w:hAnsiTheme="majorBidi" w:cstheme="majorBidi"/>
          <w:sz w:val="28"/>
          <w:szCs w:val="28"/>
        </w:rPr>
        <w:t>.</w:t>
      </w:r>
    </w:p>
    <w:p w14:paraId="1D5EE210"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المملكة العربية السعودية، تسارعت وتيرة التحول الرقمي في الصحة والإعلام تماشيًا مع رؤية 2030 التي تعطي الأولوية للابتكار والتكنولوجيا لتحسين جودة الحياة. فقد طورت وزارة الصحة عددًا من المبادرات الرقمية مثل تطبيق "صحتي"، والمنصات التوعوية التي تستخدم الإعلام الرقمي لتثقيف المجتمع حول الأمراض المزمنة والصحة النفسية والأمراض العصبية. كما استثمرت الجهات الإعلامية السعودية في تبني المنصات الرقمية لإيصال الرسائل الصحية بطرق مبتكرة ومتنوعة، مستفيدة من الانتشار الواسع للإنترنت والهواتف الذكية بين السكان</w:t>
      </w:r>
      <w:r w:rsidRPr="00E154C9">
        <w:rPr>
          <w:rFonts w:asciiTheme="majorBidi" w:hAnsiTheme="majorBidi" w:cstheme="majorBidi"/>
          <w:sz w:val="28"/>
          <w:szCs w:val="28"/>
        </w:rPr>
        <w:t>.</w:t>
      </w:r>
    </w:p>
    <w:p w14:paraId="5C134B30"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الفوائد العديدة، يواجه التحول الرقمي في الصحة والإعلام تحديات مثل الحاجة إلى ضمان حماية البيانات الشخصية والصحية، ومكافحة المعلومات المغلوطة أو التضليلية، بالإضافة إلى اختلاف مستويات الثقافة الرقمية بين أفراد المجتمع. لذا فإن نجاح هذا التحول يعتمد على تطوير الأطر القانونية والتنظيمية، وتعزيز القدرات الرقمية للمستخدمين، ورفع جودة المحتوى الصحي الرقمي</w:t>
      </w:r>
      <w:r w:rsidRPr="00E154C9">
        <w:rPr>
          <w:rFonts w:asciiTheme="majorBidi" w:hAnsiTheme="majorBidi" w:cstheme="majorBidi"/>
          <w:sz w:val="28"/>
          <w:szCs w:val="28"/>
        </w:rPr>
        <w:t>.</w:t>
      </w:r>
    </w:p>
    <w:p w14:paraId="6B38664C" w14:textId="77777777" w:rsidR="00F16976" w:rsidRDefault="00F16976" w:rsidP="00F16976">
      <w:pPr>
        <w:spacing w:line="360" w:lineRule="auto"/>
        <w:rPr>
          <w:rFonts w:asciiTheme="majorBidi" w:hAnsiTheme="majorBidi" w:cstheme="majorBidi"/>
          <w:sz w:val="28"/>
          <w:szCs w:val="28"/>
          <w:rtl/>
        </w:rPr>
      </w:pPr>
      <w:r w:rsidRPr="00F16976">
        <w:rPr>
          <w:rFonts w:asciiTheme="majorBidi" w:hAnsiTheme="majorBidi" w:cstheme="majorBidi" w:hint="cs"/>
          <w:sz w:val="28"/>
          <w:szCs w:val="28"/>
          <w:shd w:val="clear" w:color="auto" w:fill="F2CEED" w:themeFill="accent5" w:themeFillTint="33"/>
          <w:rtl/>
        </w:rPr>
        <w:t>رؤية الباحثة:</w:t>
      </w:r>
      <w:r w:rsidRPr="00F16976">
        <w:rPr>
          <w:rFonts w:asciiTheme="majorBidi" w:hAnsiTheme="majorBidi" w:cstheme="majorBidi"/>
          <w:sz w:val="28"/>
          <w:szCs w:val="28"/>
          <w:rtl/>
        </w:rPr>
        <w:t xml:space="preserve"> يُمثل التحول الرقمي في الصحة والإعلام فرصة تاريخية لإعادة تشكيل العلاقة بين المجتمع والرعاية الصحية، وبين الجمهور والمعلومات الإعلامية. إنه يسهم في جعل الخدمات الصحية أكثر قربًا وسهولة، ويُعزز من انتشار التوعية الصحية، مما يدعم بناء مجتمع صحي واعٍ قادر على مواجهة التحديات الصحية المعاصرة بكفاءة وفاعلية</w:t>
      </w:r>
      <w:r w:rsidRPr="00F16976">
        <w:rPr>
          <w:rFonts w:asciiTheme="majorBidi" w:hAnsiTheme="majorBidi" w:cstheme="majorBidi"/>
          <w:sz w:val="28"/>
          <w:szCs w:val="28"/>
        </w:rPr>
        <w:t>.</w:t>
      </w:r>
    </w:p>
    <w:p w14:paraId="37AF75D6" w14:textId="77777777" w:rsidR="00F16976" w:rsidRDefault="00F16976" w:rsidP="00F16976">
      <w:pPr>
        <w:spacing w:line="360" w:lineRule="auto"/>
        <w:rPr>
          <w:rFonts w:asciiTheme="majorBidi" w:hAnsiTheme="majorBidi" w:cstheme="majorBidi"/>
          <w:sz w:val="28"/>
          <w:szCs w:val="28"/>
          <w:rtl/>
        </w:rPr>
      </w:pPr>
    </w:p>
    <w:p w14:paraId="3DFADEDF" w14:textId="77777777" w:rsidR="00F16976" w:rsidRDefault="00F16976" w:rsidP="00F16976">
      <w:pPr>
        <w:spacing w:line="360" w:lineRule="auto"/>
        <w:rPr>
          <w:rFonts w:asciiTheme="majorBidi" w:hAnsiTheme="majorBidi" w:cstheme="majorBidi"/>
          <w:sz w:val="28"/>
          <w:szCs w:val="28"/>
          <w:rtl/>
        </w:rPr>
      </w:pPr>
    </w:p>
    <w:p w14:paraId="087F9F66" w14:textId="77777777" w:rsidR="00F16976" w:rsidRPr="00903949" w:rsidRDefault="00F16976" w:rsidP="00F16976">
      <w:pPr>
        <w:spacing w:line="360" w:lineRule="auto"/>
        <w:rPr>
          <w:rFonts w:asciiTheme="majorBidi" w:hAnsiTheme="majorBidi" w:cstheme="majorBidi"/>
          <w:b/>
          <w:bCs/>
          <w:sz w:val="28"/>
          <w:szCs w:val="28"/>
        </w:rPr>
      </w:pPr>
      <w:r w:rsidRPr="00903949">
        <w:rPr>
          <w:rFonts w:asciiTheme="majorBidi" w:hAnsiTheme="majorBidi" w:cstheme="majorBidi"/>
          <w:b/>
          <w:bCs/>
          <w:sz w:val="28"/>
          <w:szCs w:val="28"/>
          <w:rtl/>
        </w:rPr>
        <w:t>الإعلام الرقمي والوعي الصحي المجتمعي</w:t>
      </w:r>
    </w:p>
    <w:p w14:paraId="2312C7ED" w14:textId="77777777" w:rsidR="00F16976" w:rsidRPr="00E154C9" w:rsidRDefault="00F16976" w:rsidP="00F16976">
      <w:pPr>
        <w:spacing w:line="360" w:lineRule="auto"/>
        <w:rPr>
          <w:rFonts w:asciiTheme="majorBidi" w:hAnsiTheme="majorBidi" w:cstheme="majorBidi"/>
          <w:sz w:val="28"/>
          <w:szCs w:val="28"/>
        </w:rPr>
      </w:pPr>
      <w:r w:rsidRPr="00903949">
        <w:rPr>
          <w:rFonts w:asciiTheme="majorBidi" w:hAnsiTheme="majorBidi" w:cstheme="majorBidi"/>
          <w:sz w:val="28"/>
          <w:szCs w:val="28"/>
          <w:rtl/>
        </w:rPr>
        <w:t xml:space="preserve">أظهرت الدراسات أن المواطنين السعوديين أصبحوا أكثر انخراطًا في استخدام الإعلام الرقمي لتلقّي المعلومات الصحية، خصوصًا في ما يتعلق بالأمراض المزمنة والنفسية والعصبية، والتي تتطلب متابعة </w:t>
      </w:r>
      <w:r w:rsidRPr="00903949">
        <w:rPr>
          <w:rFonts w:asciiTheme="majorBidi" w:hAnsiTheme="majorBidi" w:cstheme="majorBidi"/>
          <w:sz w:val="28"/>
          <w:szCs w:val="28"/>
          <w:rtl/>
        </w:rPr>
        <w:lastRenderedPageBreak/>
        <w:t>طويلة الأمد. وقد بيّنت دراسة علواني وعرعار (2024) أن الثقافة الصحية الرقمية في المجتمع السعودي بدأت تشهد نموًا واضحًا، مدعومة بتوجّه شبابي نحو البحث عن المعلومة الطبية عبر الإنترنت بدلاً من الاعتماد الحصري على القنوات التقليدية</w:t>
      </w:r>
      <w:r w:rsidRPr="00903949">
        <w:rPr>
          <w:rFonts w:asciiTheme="majorBidi" w:hAnsiTheme="majorBidi" w:cstheme="majorBidi"/>
          <w:sz w:val="28"/>
          <w:szCs w:val="28"/>
        </w:rPr>
        <w:t>.</w:t>
      </w:r>
    </w:p>
    <w:p w14:paraId="228C8799" w14:textId="77777777" w:rsidR="00F16976" w:rsidRDefault="00F16976" w:rsidP="00F16976">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وفي السياق ذاته، أوضحت دراسة السلمي وعطيه (2022) أن الإعلام الرقمي لعب دورًا كبيرًا في رفع مستوى الوعي ببعض الأمراض المزمنة داخل المجتمع السعودي، خاصة مع تزايد الحملات التوعوية التي تستهدف الأفراد من مختلف الفئات العمرية، وبالأخص فئة الشباب التي تُعد الأكثر استخدامًا للتقنية</w:t>
      </w:r>
      <w:r w:rsidRPr="00E154C9">
        <w:rPr>
          <w:rFonts w:asciiTheme="majorBidi" w:hAnsiTheme="majorBidi" w:cstheme="majorBidi"/>
          <w:sz w:val="28"/>
          <w:szCs w:val="28"/>
        </w:rPr>
        <w:t>.</w:t>
      </w:r>
    </w:p>
    <w:p w14:paraId="7E2ACBF4" w14:textId="77777777" w:rsidR="00903949" w:rsidRPr="00E154C9" w:rsidRDefault="00903949" w:rsidP="0090394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الإعلام الرقمي والتعامل مع الأمراض العصبية</w:t>
      </w:r>
    </w:p>
    <w:p w14:paraId="4ADF5E3B"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بالرغم من أن الإعلام الصحي الرقمي في السعودية ركّز في سنواته الأولى على الأمراض المنتشرة مثل السكري وأمراض القلب، إلا أن السنوات الأخيرة شهدت اتساعًا في التغطية الإعلامية الرقمية للأمراض العصبية المزمنة، مثل التصلب اللويحي والزهايمر والصرع. وقد ساهمت المبادرات الرقمية للمراكز الطبية والمستشفيات الكبرى في تسليط الضوء على هذه الفئة من الأمراض، عبر محتوى مرئي وتفاعلي يستهدف توعية المرضى وأسرهم ومقدمي الرعاية</w:t>
      </w:r>
      <w:r w:rsidRPr="00E154C9">
        <w:rPr>
          <w:rFonts w:asciiTheme="majorBidi" w:hAnsiTheme="majorBidi" w:cstheme="majorBidi"/>
          <w:sz w:val="28"/>
          <w:szCs w:val="28"/>
        </w:rPr>
        <w:t>.</w:t>
      </w:r>
    </w:p>
    <w:p w14:paraId="762ECA62"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وتشير دراسة المنسي وآخرون (2025) إلى أن الحملات الصحية الرقمية في السعودية بدأت تتجه نحو التخصص، من خلال توجيه الرسائل حسب نوع المرض، ونوع الجمهور المستهدف، مما عزّز من مستوى الاستجابة والفهم لدى المتابعين</w:t>
      </w:r>
      <w:r w:rsidRPr="00E154C9">
        <w:rPr>
          <w:rFonts w:asciiTheme="majorBidi" w:hAnsiTheme="majorBidi" w:cstheme="majorBidi"/>
          <w:sz w:val="28"/>
          <w:szCs w:val="28"/>
        </w:rPr>
        <w:t>.</w:t>
      </w:r>
    </w:p>
    <w:p w14:paraId="7C170058" w14:textId="77777777" w:rsidR="00903949" w:rsidRPr="00E154C9" w:rsidRDefault="00903949" w:rsidP="0090394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الإعلام الرقمي كرافد لرؤية 2030</w:t>
      </w:r>
    </w:p>
    <w:p w14:paraId="19751BA5"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ضمن مبادرات التحول الوطني المنبثقة عن رؤية السعودية 2030، يأتي تطوير الإعلام الصحي الرقمي كأحد الأهداف الاستراتيجية المرتبطة بجودة الحياة. وتسعى الجهات الرسمية إلى تعزيز المحتوى الصحي الرقمي المحلي، وتدريب الكوادر الإعلامية والطبية على استخدام الوسائل الحديثة لإنتاج محتوى توعوي فعال ومؤثر</w:t>
      </w:r>
      <w:r w:rsidRPr="00E154C9">
        <w:rPr>
          <w:rFonts w:asciiTheme="majorBidi" w:hAnsiTheme="majorBidi" w:cstheme="majorBidi"/>
          <w:sz w:val="28"/>
          <w:szCs w:val="28"/>
        </w:rPr>
        <w:t>.</w:t>
      </w:r>
    </w:p>
    <w:p w14:paraId="196E0626" w14:textId="77777777" w:rsidR="00903949" w:rsidRDefault="00903949" w:rsidP="00F16976">
      <w:pPr>
        <w:spacing w:line="360" w:lineRule="auto"/>
        <w:rPr>
          <w:rFonts w:asciiTheme="majorBidi" w:hAnsiTheme="majorBidi" w:cstheme="majorBidi"/>
          <w:sz w:val="28"/>
          <w:szCs w:val="28"/>
          <w:rtl/>
        </w:rPr>
      </w:pPr>
    </w:p>
    <w:p w14:paraId="0660A6CD"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ويُعد التعاون بين الجهات الصحية والإعلامية، سواء عبر الوزارات أو عبر الشراكات مع القطاع الخاص، من أبرز عوامل نجاح التجربة السعودية في هذا المجال. فوفقًا لدراسة خيرت حمزة (2023)، فإن التكامل </w:t>
      </w:r>
      <w:r w:rsidRPr="00E154C9">
        <w:rPr>
          <w:rFonts w:asciiTheme="majorBidi" w:hAnsiTheme="majorBidi" w:cstheme="majorBidi"/>
          <w:sz w:val="28"/>
          <w:szCs w:val="28"/>
          <w:rtl/>
        </w:rPr>
        <w:lastRenderedPageBreak/>
        <w:t>بين الإعلام الرقمي والمؤسسات الصحية أسهم في إنشاء بيئة معرفية تفاعلية تمكّن الأفراد من اتخاذ قرارات صحية مستنيرة</w:t>
      </w:r>
      <w:r w:rsidRPr="00E154C9">
        <w:rPr>
          <w:rFonts w:asciiTheme="majorBidi" w:hAnsiTheme="majorBidi" w:cstheme="majorBidi"/>
          <w:sz w:val="28"/>
          <w:szCs w:val="28"/>
        </w:rPr>
        <w:t>.</w:t>
      </w:r>
    </w:p>
    <w:p w14:paraId="44EBB71A" w14:textId="77777777" w:rsidR="00903949" w:rsidRPr="00E154C9" w:rsidRDefault="00903949" w:rsidP="0090394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تحديات وتطلعات</w:t>
      </w:r>
    </w:p>
    <w:p w14:paraId="21DC35DE"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هذا التقدم، لا تزال هناك تحديات تواجه الإعلام الرقمي الصحي في المملكة، أبرزها</w:t>
      </w:r>
      <w:r w:rsidRPr="00E154C9">
        <w:rPr>
          <w:rFonts w:asciiTheme="majorBidi" w:hAnsiTheme="majorBidi" w:cstheme="majorBidi"/>
          <w:sz w:val="28"/>
          <w:szCs w:val="28"/>
        </w:rPr>
        <w:t>:</w:t>
      </w:r>
    </w:p>
    <w:p w14:paraId="180B3BD3" w14:textId="77777777" w:rsidR="00903949" w:rsidRPr="00E154C9" w:rsidRDefault="00903949" w:rsidP="00903949">
      <w:pPr>
        <w:numPr>
          <w:ilvl w:val="0"/>
          <w:numId w:val="2"/>
        </w:numPr>
        <w:spacing w:line="360" w:lineRule="auto"/>
        <w:rPr>
          <w:rFonts w:asciiTheme="majorBidi" w:hAnsiTheme="majorBidi" w:cstheme="majorBidi"/>
          <w:sz w:val="28"/>
          <w:szCs w:val="28"/>
        </w:rPr>
      </w:pPr>
      <w:r w:rsidRPr="00E154C9">
        <w:rPr>
          <w:rFonts w:asciiTheme="majorBidi" w:hAnsiTheme="majorBidi" w:cstheme="majorBidi"/>
          <w:sz w:val="28"/>
          <w:szCs w:val="28"/>
          <w:rtl/>
        </w:rPr>
        <w:t>نقص المحتوى المتخصص باللغة العربية في بعض المجالات الدقيقة مثل الأمراض العصبية،</w:t>
      </w:r>
    </w:p>
    <w:p w14:paraId="0202CDA5" w14:textId="77777777" w:rsidR="00903949" w:rsidRPr="00E154C9" w:rsidRDefault="00903949" w:rsidP="00903949">
      <w:pPr>
        <w:numPr>
          <w:ilvl w:val="0"/>
          <w:numId w:val="2"/>
        </w:numPr>
        <w:spacing w:line="360" w:lineRule="auto"/>
        <w:rPr>
          <w:rFonts w:asciiTheme="majorBidi" w:hAnsiTheme="majorBidi" w:cstheme="majorBidi"/>
          <w:sz w:val="28"/>
          <w:szCs w:val="28"/>
        </w:rPr>
      </w:pPr>
      <w:r w:rsidRPr="00E154C9">
        <w:rPr>
          <w:rFonts w:asciiTheme="majorBidi" w:hAnsiTheme="majorBidi" w:cstheme="majorBidi"/>
          <w:sz w:val="28"/>
          <w:szCs w:val="28"/>
          <w:rtl/>
        </w:rPr>
        <w:t>تفاوت مستويات الثقافة الصحية الرقمية بين الفئات،</w:t>
      </w:r>
    </w:p>
    <w:p w14:paraId="4097EB10" w14:textId="77777777" w:rsidR="00903949" w:rsidRPr="00E154C9" w:rsidRDefault="00903949" w:rsidP="00903949">
      <w:pPr>
        <w:numPr>
          <w:ilvl w:val="0"/>
          <w:numId w:val="2"/>
        </w:numPr>
        <w:spacing w:line="360" w:lineRule="auto"/>
        <w:rPr>
          <w:rFonts w:asciiTheme="majorBidi" w:hAnsiTheme="majorBidi" w:cstheme="majorBidi"/>
          <w:sz w:val="28"/>
          <w:szCs w:val="28"/>
        </w:rPr>
      </w:pPr>
      <w:r w:rsidRPr="00E154C9">
        <w:rPr>
          <w:rFonts w:asciiTheme="majorBidi" w:hAnsiTheme="majorBidi" w:cstheme="majorBidi"/>
          <w:sz w:val="28"/>
          <w:szCs w:val="28"/>
          <w:rtl/>
        </w:rPr>
        <w:t>الحاجة إلى تقييم فعّال لمدى تأثير الحملات الرقمية على تغيير السلوك</w:t>
      </w:r>
      <w:r w:rsidRPr="00E154C9">
        <w:rPr>
          <w:rFonts w:asciiTheme="majorBidi" w:hAnsiTheme="majorBidi" w:cstheme="majorBidi"/>
          <w:sz w:val="28"/>
          <w:szCs w:val="28"/>
        </w:rPr>
        <w:t>.</w:t>
      </w:r>
    </w:p>
    <w:p w14:paraId="621979C0" w14:textId="1F21A088" w:rsidR="00903949" w:rsidRPr="0090394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ولمعالجة هذه التحديات، أوصت العديد من الدراسات مثل دراسة صبرة وواضحة (2024) بضرورة تصميم حملات رقمية تستند إلى تحليل البيانات، وتُراعي الخصوصية الثقافية والاجتماعية للمجتمع السعودي، وتعتمد على الشراكة بين المؤثرين الرقميين والمختصين الطبيين لرفع مصداقية الرسائل التوعوية</w:t>
      </w:r>
    </w:p>
    <w:p w14:paraId="1CE9380B" w14:textId="60B1C63A" w:rsidR="00903949" w:rsidRPr="00E154C9" w:rsidRDefault="00903949" w:rsidP="00903949">
      <w:pPr>
        <w:spacing w:line="360" w:lineRule="auto"/>
        <w:rPr>
          <w:rFonts w:asciiTheme="majorBidi" w:hAnsiTheme="majorBidi" w:cstheme="majorBidi"/>
          <w:sz w:val="28"/>
          <w:szCs w:val="28"/>
          <w:rtl/>
        </w:rPr>
      </w:pPr>
      <w:r w:rsidRPr="00903949">
        <w:rPr>
          <w:rFonts w:asciiTheme="majorBidi" w:hAnsiTheme="majorBidi" w:cstheme="majorBidi" w:hint="cs"/>
          <w:sz w:val="28"/>
          <w:szCs w:val="28"/>
          <w:shd w:val="clear" w:color="auto" w:fill="F2CEED" w:themeFill="accent5" w:themeFillTint="33"/>
          <w:rtl/>
        </w:rPr>
        <w:t>رؤية الباحثة:</w:t>
      </w:r>
      <w:r w:rsidRPr="00903949">
        <w:rPr>
          <w:rFonts w:asciiTheme="majorBidi" w:hAnsiTheme="majorBidi" w:cstheme="majorBidi" w:hint="cs"/>
          <w:b/>
          <w:bCs/>
          <w:sz w:val="28"/>
          <w:szCs w:val="28"/>
          <w:rtl/>
        </w:rPr>
        <w:t xml:space="preserve"> </w:t>
      </w:r>
      <w:r w:rsidRPr="00903949">
        <w:rPr>
          <w:rFonts w:asciiTheme="majorBidi" w:hAnsiTheme="majorBidi" w:cstheme="majorBidi"/>
          <w:sz w:val="28"/>
          <w:szCs w:val="28"/>
          <w:rtl/>
        </w:rPr>
        <w:t>يتضح مما سبق أن الإعلام الرقمي في السعودية يُمثّل أداة استراتيجية في تعزيز الوعي الصحي، خاصة في ظل الانتشار الواسع للإنترنت، ودعم الدولة للتقنية الرقمية، واهتمام المجتمع بالمحتوى التفاعلي. وقد أصبح هذا الإعلام عنصرًا مهمًا في منظومة التثقيف الصحي الوطني، لا سيما فيما يتعلق بالأمراض المزمنة والعصبية، التي تتطلب تواصلاً دائمًا، ومعلومات دقيقة، ومصادر موثوقة. ومن المتوقع أن يستمر الإعلام الرقمي في لعب أدوار محورية في هذا المجال، مع ضرورة تطوير المحتوى المحلي، وبناء الثقة بين المؤسسات والجمهور، وتعزيز الثقافة الرقمية الصحية</w:t>
      </w:r>
      <w:r w:rsidRPr="00903949">
        <w:rPr>
          <w:rFonts w:asciiTheme="majorBidi" w:hAnsiTheme="majorBidi" w:cstheme="majorBidi"/>
          <w:sz w:val="28"/>
          <w:szCs w:val="28"/>
        </w:rPr>
        <w:t>.</w:t>
      </w:r>
    </w:p>
    <w:p w14:paraId="525FBF02" w14:textId="77777777" w:rsidR="00903949" w:rsidRPr="00E154C9" w:rsidRDefault="00903949" w:rsidP="0090394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المبحث الثاني: التوعية الصحية في الإعلام</w:t>
      </w:r>
    </w:p>
    <w:p w14:paraId="3E2F904F" w14:textId="29766028" w:rsidR="00903949" w:rsidRPr="00E154C9" w:rsidRDefault="00903949" w:rsidP="00903949">
      <w:pPr>
        <w:spacing w:line="360" w:lineRule="auto"/>
        <w:rPr>
          <w:rFonts w:asciiTheme="majorBidi" w:hAnsiTheme="majorBidi" w:cstheme="majorBidi"/>
          <w:sz w:val="28"/>
          <w:szCs w:val="28"/>
        </w:rPr>
      </w:pPr>
      <w:r w:rsidRPr="00903949">
        <w:rPr>
          <w:rFonts w:asciiTheme="majorBidi" w:hAnsiTheme="majorBidi" w:cstheme="majorBidi" w:hint="cs"/>
          <w:sz w:val="28"/>
          <w:szCs w:val="28"/>
          <w:rtl/>
        </w:rPr>
        <w:t xml:space="preserve">تمهيد: </w:t>
      </w:r>
      <w:r w:rsidRPr="00903949">
        <w:rPr>
          <w:rFonts w:asciiTheme="majorBidi" w:hAnsiTheme="majorBidi" w:cstheme="majorBidi"/>
          <w:sz w:val="28"/>
          <w:szCs w:val="28"/>
          <w:rtl/>
        </w:rPr>
        <w:t>تُعد التوعية الصحية من العناصر الأساسية التي تسهم في تعزيز صحة الأفراد والمجتمعات، حيث تهدف إلى زيادة المعرفة وتغيير السلوكيات والحد من انتشار الأمراض. تعتمد التوعية الصحية على تقديم معلومات دقيقة ومبسطة مناسبة للجمهور لتسهيل اتخاذ القرارات الصحية الصائبة (عبد</w:t>
      </w:r>
      <w:r>
        <w:rPr>
          <w:rFonts w:asciiTheme="majorBidi" w:hAnsiTheme="majorBidi" w:cstheme="majorBidi" w:hint="cs"/>
          <w:sz w:val="28"/>
          <w:szCs w:val="28"/>
          <w:rtl/>
        </w:rPr>
        <w:t xml:space="preserve"> </w:t>
      </w:r>
      <w:r w:rsidRPr="00903949">
        <w:rPr>
          <w:rFonts w:asciiTheme="majorBidi" w:hAnsiTheme="majorBidi" w:cstheme="majorBidi"/>
          <w:sz w:val="28"/>
          <w:szCs w:val="28"/>
          <w:rtl/>
        </w:rPr>
        <w:t>المقصود، 2020). في ظل التطور التكنولوجي، أصبح الإعلام الرقمي من أهم الوسائل التي تُستخدم لنشر هذه الرسائل الصحية بفعالية واسعة</w:t>
      </w:r>
      <w:r w:rsidRPr="00903949">
        <w:rPr>
          <w:rFonts w:asciiTheme="majorBidi" w:hAnsiTheme="majorBidi" w:cstheme="majorBidi"/>
          <w:sz w:val="28"/>
          <w:szCs w:val="28"/>
        </w:rPr>
        <w:t xml:space="preserve"> (Wang &amp; Liao, 2024).</w:t>
      </w:r>
    </w:p>
    <w:p w14:paraId="41C005B5"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تهدف التوعية الصحية إلى زيادة المعرفة الصحية لدى الجمهور من خلال تزويدهم بمعلومات موثوقة عن الأمراض وطرق الوقاية والعلاج، مما يساهم في تقليل الجهل وتعزيز الفهم العلمي (علواني وعرعار، 2024). كما تسعى إلى تغيير السلوك الصحي للأفراد عبر تحفيزهم على تبني عادات صحية سليمة مثل ممارسة الرياضة والالتزام بالعلاج</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بالإضافة إلى ذلك، تحفز التوعية الصحية المشاركة المجتمعية في المبادرات الصحية وحملات الكشف المبكر (دربال، 2018). كما تساهم في مكافحة انتشار المعلومات المغلوطة وتصحيحها (أبو زيد وآخرون، 2022)</w:t>
      </w:r>
      <w:r w:rsidRPr="00E154C9">
        <w:rPr>
          <w:rFonts w:asciiTheme="majorBidi" w:hAnsiTheme="majorBidi" w:cstheme="majorBidi"/>
          <w:sz w:val="28"/>
          <w:szCs w:val="28"/>
        </w:rPr>
        <w:t>.</w:t>
      </w:r>
    </w:p>
    <w:p w14:paraId="74410A08"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تتعدد أساليب التوعية الصحية في الإعلام بين التقليدية والحديثة، حيث يعتمد المحتوى المكتوب مثل المقالات والمدونات على تقديم معلومات موثقة وسهلة التوزيع، مع دعمها بالوسائط البصرية كالإنفوجرافيك والفيديوهات التعليمية (خيرت حمزة، 2023). كما أصبحت حملات التواصل الاجتماعي أداة رئيسية، إذ تتميز بسرعة الانتشار وإمكانية استهداف فئات معينة عبر فيسبوك وتويتر وإنستغرام (محمد إبراهيم وغريب، 2023). وتستخدم الندوات الإلكترونية والبث المباشر لتعزيز التفاعل المباشر مع الجمهور وزيادة مصداقية الرسائل</w:t>
      </w:r>
      <w:r w:rsidRPr="00E154C9">
        <w:rPr>
          <w:rFonts w:asciiTheme="majorBidi" w:hAnsiTheme="majorBidi" w:cstheme="majorBidi"/>
          <w:sz w:val="28"/>
          <w:szCs w:val="28"/>
        </w:rPr>
        <w:t xml:space="preserve"> (Wang &amp; Liao, 2024).</w:t>
      </w:r>
    </w:p>
    <w:p w14:paraId="7E2ABABB"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أصبحت الألعاب والتطبيقات التفاعلية أدوات مبتكرة لجذب الشباب والأطفال، حيث تقدم الرسائل الصحية بأسلوب ممتع وتفاعلي يساعد على التعلّم وتحفيز السلوك الصحي</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كما يلعب التعاون مع المؤثرين الرقميين دورًا مهمًا في نجاح الحملات التوعوية، فهم يستطيعون بناء علاقة ثقة مع المتابعين مما يجعل الرسائل أكثر تأثيرًا (صبرة وواضحة، 2024). هذا التنوع في الأساليب يعزز قدرة الإعلام الرقمي على الوصول إلى جمهور واسع ومتنوع</w:t>
      </w:r>
      <w:r w:rsidRPr="00E154C9">
        <w:rPr>
          <w:rFonts w:asciiTheme="majorBidi" w:hAnsiTheme="majorBidi" w:cstheme="majorBidi"/>
          <w:sz w:val="28"/>
          <w:szCs w:val="28"/>
        </w:rPr>
        <w:t>.</w:t>
      </w:r>
    </w:p>
    <w:p w14:paraId="484A9271"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مع ذلك، تواجه التوعية الصحية في الإعلام الرقمي تحديات عدة مثل انتشار المعلومات المضللة التي تنتشر بسرعة على منصات التواصل الاجتماعي مما يتطلب جهودًا لتصحيحها (أبو زيد وآخرون، 2022). كما أن التفاوت في الثقافة الرقمية بين الفئات السكانية يؤدي إلى صعوبة وصول الرسائل بفعالية إلى الجميع (السلمي وعطيه، 2022). إضافة إلى ذلك، هناك نقص في المحتوى الموجه الذي يراعي الفروق الثقافية والاجتماعية، مما يحد من استجابة بعض الفئات (علواني وعرعار، 2024). كما يعاني القطاع من ضعف في آليات تقييم تأثير الحملات مما يصعب تطويرها وتحسينها (صبرة وواضحة، 2024)</w:t>
      </w:r>
      <w:r w:rsidRPr="00E154C9">
        <w:rPr>
          <w:rFonts w:asciiTheme="majorBidi" w:hAnsiTheme="majorBidi" w:cstheme="majorBidi"/>
          <w:sz w:val="28"/>
          <w:szCs w:val="28"/>
        </w:rPr>
        <w:t>.</w:t>
      </w:r>
    </w:p>
    <w:p w14:paraId="6FE0D24A"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لضمان فاعلية التوعية الصحية يجب أن تكون الرسائل دقيقة وموثوقة، مستندة إلى مصادر علمية معروفة، وواضحة بعيدًا عن الغموض</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 xml:space="preserve">كما ينبغي أن تراعي الملائمة الثقافية والاجتماعية </w:t>
      </w:r>
      <w:r w:rsidRPr="00E154C9">
        <w:rPr>
          <w:rFonts w:asciiTheme="majorBidi" w:hAnsiTheme="majorBidi" w:cstheme="majorBidi"/>
          <w:sz w:val="28"/>
          <w:szCs w:val="28"/>
          <w:rtl/>
        </w:rPr>
        <w:lastRenderedPageBreak/>
        <w:t>للجمهور المستهدف لضمان قبولها (علواني وعرعار، 2024). يجب استخدام لغة بسيطة وواضحة تناسب مختلف المستويات التعليمية مع تجنب المصطلحات المعقدة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ويُفضل تكرار الرسائل عبر وسائل وأساليب متنوعة لتعزيز تثبيت المعلومات (محمد إبراهيم وغريب، 2023). بالإضافة إلى ذلك، فإن إتاحة التفاعل مع الجمهور وتحفيزه على المشاركة يعزز من تأثير الرسالة ويحفز التغيير السلوكي</w:t>
      </w:r>
      <w:r w:rsidRPr="00E154C9">
        <w:rPr>
          <w:rFonts w:asciiTheme="majorBidi" w:hAnsiTheme="majorBidi" w:cstheme="majorBidi"/>
          <w:sz w:val="28"/>
          <w:szCs w:val="28"/>
        </w:rPr>
        <w:t xml:space="preserve"> (Fundoiano-Hershcovitz et al., 2021).</w:t>
      </w:r>
    </w:p>
    <w:p w14:paraId="1EF04789" w14:textId="77777777" w:rsidR="00903949" w:rsidRPr="00E154C9" w:rsidRDefault="00903949" w:rsidP="0090394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يتضح مما سبق أن التوعية الصحية عبر الإعلام الرقمي عملية معقدة تتطلب تكامل المعرفة العلمية والتقنيات الحديثة وأساليب الاتصال المتنوعة. كما تواجه تحديات متعددة تتطلب حلولًا مبتكرة تراعي الخصوصيات الثقافية والاجتماعية للمجتمع. ومن هنا يظهر الدور الحيوي للإعلام الرقمي في تمكين المجتمعات من مواجهة الأمراض المزمنة والعصبية عبر توفير المعلومات الصحيحة وتحفيز السلوكيات الصحية وتعزيز المشاركة المجتمعية</w:t>
      </w:r>
      <w:r w:rsidRPr="00E154C9">
        <w:rPr>
          <w:rFonts w:asciiTheme="majorBidi" w:hAnsiTheme="majorBidi" w:cstheme="majorBidi"/>
          <w:sz w:val="28"/>
          <w:szCs w:val="28"/>
        </w:rPr>
        <w:t xml:space="preserve"> (Wang &amp; Liao, 2024</w:t>
      </w:r>
      <w:r w:rsidRPr="00E154C9">
        <w:rPr>
          <w:rFonts w:asciiTheme="majorBidi" w:hAnsiTheme="majorBidi" w:cstheme="majorBidi"/>
          <w:sz w:val="28"/>
          <w:szCs w:val="28"/>
          <w:rtl/>
        </w:rPr>
        <w:t>؛ علواني وعرعار، 2024</w:t>
      </w:r>
      <w:r w:rsidRPr="00E154C9">
        <w:rPr>
          <w:rFonts w:asciiTheme="majorBidi" w:hAnsiTheme="majorBidi" w:cstheme="majorBidi"/>
          <w:sz w:val="28"/>
          <w:szCs w:val="28"/>
        </w:rPr>
        <w:t>(</w:t>
      </w:r>
    </w:p>
    <w:p w14:paraId="395FD90E" w14:textId="77777777" w:rsidR="00903949" w:rsidRPr="00E154C9" w:rsidRDefault="00903949" w:rsidP="0090394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 xml:space="preserve">المطلب </w:t>
      </w:r>
      <w:r>
        <w:rPr>
          <w:rFonts w:asciiTheme="majorBidi" w:hAnsiTheme="majorBidi" w:cstheme="majorBidi"/>
          <w:b/>
          <w:bCs/>
          <w:sz w:val="28"/>
          <w:szCs w:val="28"/>
          <w:rtl/>
        </w:rPr>
        <w:t>ال</w:t>
      </w:r>
      <w:r>
        <w:rPr>
          <w:rFonts w:asciiTheme="majorBidi" w:hAnsiTheme="majorBidi" w:cstheme="majorBidi" w:hint="cs"/>
          <w:b/>
          <w:bCs/>
          <w:sz w:val="28"/>
          <w:szCs w:val="28"/>
          <w:rtl/>
        </w:rPr>
        <w:t>أ</w:t>
      </w:r>
      <w:r w:rsidRPr="00E154C9">
        <w:rPr>
          <w:rFonts w:asciiTheme="majorBidi" w:hAnsiTheme="majorBidi" w:cstheme="majorBidi"/>
          <w:b/>
          <w:bCs/>
          <w:sz w:val="28"/>
          <w:szCs w:val="28"/>
          <w:rtl/>
        </w:rPr>
        <w:t>ول: مفهوم التوعية الصحية وأهدافها</w:t>
      </w:r>
    </w:p>
    <w:p w14:paraId="2D16CDD9"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تُعتبر التوعية الصحية أحد أهم الأدوات التي تساهم في تحسين صحة الأفراد والمجتمعات، حيث تسعى إلى تعزيز المعرفة الصحية وتعديل السلوكيات بما يحد من انتشار الأمراض ويُعزز جودة الحياة. فهي عملية تعليمية مستمرة تهدف إلى إيصال المعلومات الصحية بطريقة مبسطة وواضحة تسهل على الجمهور فهمها وتطبيقها (عبدالمقصود، 2020). في ظل التطورات المتسارعة في مجال الإعلام الرقمي، أصبحت التوعية الصحية تستفيد من تقنيات حديثة تتيح توصيل الرسائل بطرق مبتكرة وجاذبة</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ومن خلال هذه العملية، يكتسب الفرد مهارات التعامل مع قضاياه الصحية بنفسه، مما يعزز دوره في المحافظة على صحته</w:t>
      </w:r>
      <w:r w:rsidRPr="00E154C9">
        <w:rPr>
          <w:rFonts w:asciiTheme="majorBidi" w:hAnsiTheme="majorBidi" w:cstheme="majorBidi"/>
          <w:sz w:val="28"/>
          <w:szCs w:val="28"/>
          <w:lang w:bidi="ar-EG"/>
        </w:rPr>
        <w:t>.</w:t>
      </w:r>
    </w:p>
    <w:p w14:paraId="5EE3B68D"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تعرف التوعية الصحية أيضًا بأنها استراتيجية منظمة تهدف إلى رفع مستوى الوعي والاهتمام بالصحة العامة من خلال نشر المعرفة والمعلومات التي تمكن الأفراد من الوقاية والعلاج ومتابعة حالتهم الصحية (علواني وعرعار، 2024). وتتضمن هذه الاستراتيجية التثقيف الصحي الذي يركز على تقديم الحقائق العلمية والنصائح السليمة بأسلوب يراعي الخصوصيات الثقافية والاجتماعية. ويشير</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إلى أن التوعية الصحية ليست فقط توصيل معلومات، بل هي عملية تغيير سلوكي تسعى لجعل الأفراد يتبنون ممارسات صحية مستدامة. لهذا السبب، فهي تعد ركيزة أساسية في الوقاية من الأمراض المزمنة التي تشكل عبئًا صحيًا واقتصاديًا كبيرًا</w:t>
      </w:r>
      <w:r w:rsidRPr="00E154C9">
        <w:rPr>
          <w:rFonts w:asciiTheme="majorBidi" w:hAnsiTheme="majorBidi" w:cstheme="majorBidi"/>
          <w:sz w:val="28"/>
          <w:szCs w:val="28"/>
          <w:lang w:bidi="ar-EG"/>
        </w:rPr>
        <w:t>.</w:t>
      </w:r>
    </w:p>
    <w:p w14:paraId="60DF2C51"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تتمثل أهداف التوعية الصحية في عدة محاور رئيسية أولها زيادة المعرفة الصحية لدى الجمهور، وذلك من خلال تقديم معلومات دقيقة وموثوقة حول الأمراض وأسبابها وطرق الوقاية منها، ما يقلل من الخوف والجهل ويزيد من فهم الجمهور لمخاطر الإصابة (علواني وعرعار، 2024). ثانيًا، تسعى التوعية إلى تغيير السلوك الصحي للأفراد عبر تحفيزهم على تبني ممارسات صحية مثل اتباع نظام غذائي متوازن، ممارسة النشاط البدني، والامتناع عن العادات الضارة كالتدخين</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ثالثًا، تعزيز المشاركة المجتمعية في الأنشطة الصحية مثل حملات الكشف المبكر والتطعيمات، إذ يعتبر إشراك المجتمع عاملًا فعالًا في تحسين النتائج الصحية (دربال، 2018). وأخيرًا، تمثل مكافحة المعلومات المغلوطة أحد الأهداف المهمة، حيث تسعى التوعية إلى تصحيح الشائعات والأخطاء التي قد تنتشر بسهولة خاصة على منصات التواصل الاجتماعي (أبو زيد وآخرون، 2022)</w:t>
      </w:r>
      <w:r w:rsidRPr="00E154C9">
        <w:rPr>
          <w:rFonts w:asciiTheme="majorBidi" w:hAnsiTheme="majorBidi" w:cstheme="majorBidi"/>
          <w:sz w:val="28"/>
          <w:szCs w:val="28"/>
          <w:lang w:bidi="ar-EG"/>
        </w:rPr>
        <w:t>.</w:t>
      </w:r>
    </w:p>
    <w:p w14:paraId="6CB40B3F"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تعتمد التوعية الصحية على مبادئ علمية وأسس تربوية تهدف إلى إحداث تغيير إيجابي في سلوك الفرد والمجتمع من خلال رفع الوعي وبناء مهارات صحية. تؤكد منظمة الصحة العالمية أن التوعية الصحية تشمل كافة الأنشطة التي تمكّن الأفراد من اتخاذ قرارات صحية مستنيرة والعيش بحياة صحية</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وتعد العملية التعليمية الصحية متعددة الأبعاد، تشمل المعرفة والمهارات والمواقف، وهي تختلف عن مجرد التثقيف الطبي الذي يقتصر على المعلومات الطبية فقط (علواني وعرعار، 2024). وعليه، فإن تصميم برامج التوعية يتطلب فهمًا دقيقًا لاحتياجات المجتمع ومراعاة الفوارق الثقافية والاجتماعية</w:t>
      </w:r>
      <w:r w:rsidRPr="00E154C9">
        <w:rPr>
          <w:rFonts w:asciiTheme="majorBidi" w:hAnsiTheme="majorBidi" w:cstheme="majorBidi"/>
          <w:sz w:val="28"/>
          <w:szCs w:val="28"/>
          <w:lang w:bidi="ar-EG"/>
        </w:rPr>
        <w:t>.</w:t>
      </w:r>
    </w:p>
    <w:p w14:paraId="52205856"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تاريخيًا، كانت التوعية الصحية تعتمد على الوسائل التقليدية مثل المحاضرات، والملصقات، والإذاعة، لكنها مع دخول الإعلام الرقمي شهدت تحولًا كبيرًا، حيث أصبح بالإمكان الوصول إلى جمهور أوسع بشكل أسرع وأكثر دقة. ويبرز هذا التوجه في استخدام المنصات الرقمية والتواصل الاجتماعي لتوجيه الرسائل الصحية بطرق مبتكرة تناسب مختلف الفئات العمرية والاجتماعية (محمد إبراهيم وغريب، 2023). كما أن الإعلام الرقمي يتيح تكرار الرسائل والتفاعل معها، مما يزيد من فرص فهمها وتأثيرها على السلوك</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ويشدد خيرت حمزة (2023) على أن الإعلام الرقمي يمثل آلية فعالة لتشكيل الرأي العام الصحي وتوجيهه نحو ممارسات صحية إيجابية</w:t>
      </w:r>
      <w:r w:rsidRPr="00E154C9">
        <w:rPr>
          <w:rFonts w:asciiTheme="majorBidi" w:hAnsiTheme="majorBidi" w:cstheme="majorBidi"/>
          <w:sz w:val="28"/>
          <w:szCs w:val="28"/>
          <w:lang w:bidi="ar-EG"/>
        </w:rPr>
        <w:t>.</w:t>
      </w:r>
    </w:p>
    <w:p w14:paraId="3DE9BD06"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تُعتبر استراتيجيات التوعية الصحية متعددة ومتنوعة، منها تقديم المحتوى الإعلامي العلمي، وتنظيم الحملات الصحية الرقمية، والتعاون مع مؤثرين في المجال الصحي، واستخدام الألعاب والتطبيقات التفاعلية. فالتوعية الفعالة هي التي تأخذ بعين الاعتبار كيفية إيصال الرسائل بطريقة تناسب احتياجات الجمهور وتوقعاته، مع </w:t>
      </w:r>
      <w:r w:rsidRPr="00E154C9">
        <w:rPr>
          <w:rFonts w:asciiTheme="majorBidi" w:hAnsiTheme="majorBidi" w:cstheme="majorBidi"/>
          <w:sz w:val="28"/>
          <w:szCs w:val="28"/>
          <w:rtl/>
        </w:rPr>
        <w:lastRenderedPageBreak/>
        <w:t>مراعاة مستوى ثقافته الصحية وقدرته على استيعاب المعلومات</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وهذا يتطلب التخطيط والتنفيذ المتقنين للحملات الإعلامية بحيث تحقق أهدافها بشكل مستدام</w:t>
      </w:r>
      <w:r w:rsidRPr="00E154C9">
        <w:rPr>
          <w:rFonts w:asciiTheme="majorBidi" w:hAnsiTheme="majorBidi" w:cstheme="majorBidi"/>
          <w:sz w:val="28"/>
          <w:szCs w:val="28"/>
          <w:lang w:bidi="ar-EG"/>
        </w:rPr>
        <w:t>.</w:t>
      </w:r>
    </w:p>
    <w:p w14:paraId="4B056A98"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كما أن أهداف التوعية الصحية تشمل أيضًا الحد من الفجوات الصحية بين الفئات المختلفة، إذ تساعد هذه البرامج على تحسين وصول المعلومات إلى الفئات الأكثر عرضة للأمراض أو التي تعاني من نقص في المعرفة الصحية (السلمي وعطيه، 2022). إضافة إلى ذلك، تركز التوعية على تعزيز مفهوم الصحة النفسية والاجتماعية، الذي أصبح جزءًا لا يتجزأ من الصحة العامة، مما يدفع المجتمعات إلى التعامل بوعي أكبر مع الأمراض المزمنة والعصبية (علواني وعرعار، 2024). وهذا يشير إلى أهمية اعتماد منظور شامل للتوعية يأخذ بالاعتبار جميع أبعاد الصحة</w:t>
      </w:r>
      <w:r w:rsidRPr="00E154C9">
        <w:rPr>
          <w:rFonts w:asciiTheme="majorBidi" w:hAnsiTheme="majorBidi" w:cstheme="majorBidi"/>
          <w:sz w:val="28"/>
          <w:szCs w:val="28"/>
          <w:lang w:bidi="ar-EG"/>
        </w:rPr>
        <w:t>.</w:t>
      </w:r>
    </w:p>
    <w:p w14:paraId="7BA3DF45"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تؤكد الدراسات الحديثة أن نجاح التوعية الصحية يعتمد على فهم العوامل النفسية والاجتماعية التي تؤثر في سلوك الفرد، فالرسائل التي تأخذ بعين الاعتبار دوافع الجمهور، ومخاوفه، ومصادر معلوماته، تكون أكثر قدرة على تحقيق التغيير المطلوب</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وعليه، فإن تصميم برامج التوعية يجب أن يتضمن بحثًا ميدانيًا لتحديد احتياجات الفئات المستهدفة والتحديات التي تواجهها. كذلك، يشير محمد إبراهيم وغريب (2023) إلى أن استخدام التحليل البياني لتتبع تفاعل الجمهور مع الرسائل يعزز من فعالية الحملات ويُساعد في تعديلها بما يتناسب مع النتائج</w:t>
      </w:r>
      <w:r w:rsidRPr="00E154C9">
        <w:rPr>
          <w:rFonts w:asciiTheme="majorBidi" w:hAnsiTheme="majorBidi" w:cstheme="majorBidi"/>
          <w:sz w:val="28"/>
          <w:szCs w:val="28"/>
          <w:lang w:bidi="ar-EG"/>
        </w:rPr>
        <w:t>.</w:t>
      </w:r>
    </w:p>
    <w:p w14:paraId="58B95A31"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تتجلى أهمية التوعية الصحية أيضًا في الأزمات الصحية مثل جائحة كورونا، حيث لعبت دورًا محوريًا في نشر المعلومات الصحيحة حول الفيروس وطرق الوقاية منه، مما ساعد في تقليل العدوى وتحسين استجابة المجتمع (أبو زيد وآخرون، 2022). وقد أكدت الدراسات أن الحملات الرقمية والتوعية عبر وسائل التواصل الاجتماعي كانت من أهم العوامل التي ساهمت في رفع وعي المجتمع السعودي خلال الجائحة (محمد إبراهيم وغريب، 2023). ويُظهر ذلك قدرة التوعية الصحية على التأقلم مع الظروف الطارئة وتلبية الاحتياجات المتجددة للمجتمع</w:t>
      </w:r>
      <w:r w:rsidRPr="00E154C9">
        <w:rPr>
          <w:rFonts w:asciiTheme="majorBidi" w:hAnsiTheme="majorBidi" w:cstheme="majorBidi"/>
          <w:sz w:val="28"/>
          <w:szCs w:val="28"/>
          <w:lang w:bidi="ar-EG"/>
        </w:rPr>
        <w:t>.</w:t>
      </w:r>
    </w:p>
    <w:p w14:paraId="59C5FADE"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تلعب التوعية الصحية دورًا بارزًا في تعزيز مفهوم المسؤولية الفردية تجاه الصحة، حيث تساهم في بناء وعي شخصي وجماعي يحد من السلوكيات الضارة ويشجع على اتباع إرشادات الصحة العامة</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ويؤكد علواني وعرعار (2024) أن التوعية الناجحة تُحوّل المعرفة إلى ممارسات فعلية من خلال تحفيز الدوافع الذاتية وتوفير الدعم الاجتماعي والبيئي المناسب. ومن هنا يظهر أن التوعية ليست فقط نقلًا للمعلومات بل هي عملية تغيير متكاملة تتطلب التعاون بين الأفراد والمؤسسات</w:t>
      </w:r>
      <w:r w:rsidRPr="00E154C9">
        <w:rPr>
          <w:rFonts w:asciiTheme="majorBidi" w:hAnsiTheme="majorBidi" w:cstheme="majorBidi"/>
          <w:sz w:val="28"/>
          <w:szCs w:val="28"/>
          <w:lang w:bidi="ar-EG"/>
        </w:rPr>
        <w:t>.</w:t>
      </w:r>
    </w:p>
    <w:p w14:paraId="393C6697"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بالإضافة إلى ذلك، تُعد التوعية الصحية أداة مهمة لتعزيز العدالة الصحية وتقليل الفوارق في الصحة بين مختلف الفئات الاجتماعية والاقتصادية. فبتوفير المعلومات والمهارات اللازمة للجميع، يمكن تمكين الفئات المهمشة من الوصول إلى الخدمات الصحية والوقاية من الأمراض بشكل أفضل (السلمي وعطيه، 2022). ومن هذا المنطلق، يتم توجيه الجهود لتطوير برامج توعية شاملة تراعي هذه الفوارق وتُصمم رسائل تناسب احتياجات الفئات المختلفة</w:t>
      </w:r>
      <w:r w:rsidRPr="00E154C9">
        <w:rPr>
          <w:rFonts w:asciiTheme="majorBidi" w:hAnsiTheme="majorBidi" w:cstheme="majorBidi"/>
          <w:sz w:val="28"/>
          <w:szCs w:val="28"/>
          <w:lang w:bidi="ar-EG"/>
        </w:rPr>
        <w:t>.</w:t>
      </w:r>
    </w:p>
    <w:p w14:paraId="5D3871FD" w14:textId="77777777" w:rsidR="00903949" w:rsidRPr="00E154C9" w:rsidRDefault="00903949" w:rsidP="00903949">
      <w:pPr>
        <w:spacing w:line="360" w:lineRule="auto"/>
        <w:rPr>
          <w:rFonts w:asciiTheme="majorBidi" w:hAnsiTheme="majorBidi" w:cstheme="majorBidi"/>
          <w:sz w:val="28"/>
          <w:szCs w:val="28"/>
          <w:rtl/>
          <w:lang w:bidi="ar-EG"/>
        </w:rPr>
      </w:pPr>
      <w:r w:rsidRPr="00E154C9">
        <w:rPr>
          <w:rFonts w:asciiTheme="majorBidi" w:hAnsiTheme="majorBidi" w:cstheme="majorBidi"/>
          <w:sz w:val="28"/>
          <w:szCs w:val="28"/>
          <w:rtl/>
        </w:rPr>
        <w:t>حيث إن مفهوم التوعية الصحية يتجاوز مجرد تقديم المعلومات إلى عملية تربوية وتثقيفية تهدف إلى إحداث تغيير مستدام في السلوك الصحي للأفراد والمجتمعات. كما أن أهدافها تتنوع بين زيادة المعرفة، تغيير السلوك، تعزيز المشاركة المجتمعية، ومكافحة المعلومات المغلوطة، مع ضرورة التكيّف مع متطلبات العصر الرقمي واستخدام الأدوات الحديثة لتحقيق أفضل النتائج</w:t>
      </w:r>
      <w:r w:rsidRPr="00E154C9">
        <w:rPr>
          <w:rFonts w:asciiTheme="majorBidi" w:hAnsiTheme="majorBidi" w:cstheme="majorBidi"/>
          <w:sz w:val="28"/>
          <w:szCs w:val="28"/>
          <w:lang w:bidi="ar-EG"/>
        </w:rPr>
        <w:t xml:space="preserve"> (Wang &amp; Liao, 2024</w:t>
      </w:r>
      <w:r w:rsidRPr="00E154C9">
        <w:rPr>
          <w:rFonts w:asciiTheme="majorBidi" w:hAnsiTheme="majorBidi" w:cstheme="majorBidi"/>
          <w:sz w:val="28"/>
          <w:szCs w:val="28"/>
          <w:rtl/>
        </w:rPr>
        <w:t>؛ علواني وعرعار، 2024). وهذا يتطلب استراتيجيات دقيقة ومتكاملة تعتمد على البحث العلمي والتقنيات الحديثة لتلبية الاحتياجات الصحية المتجددة</w:t>
      </w:r>
      <w:r w:rsidRPr="00E154C9">
        <w:rPr>
          <w:rFonts w:asciiTheme="majorBidi" w:hAnsiTheme="majorBidi" w:cstheme="majorBidi"/>
          <w:sz w:val="28"/>
          <w:szCs w:val="28"/>
          <w:lang w:bidi="ar-EG"/>
        </w:rPr>
        <w:t>.</w:t>
      </w:r>
    </w:p>
    <w:p w14:paraId="09645D9E" w14:textId="77777777" w:rsidR="00903949" w:rsidRPr="00E154C9" w:rsidRDefault="00903949" w:rsidP="0090394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الثاني: أساليب التوعية الصحية عبر الإعلام</w:t>
      </w:r>
    </w:p>
    <w:p w14:paraId="6A681C16" w14:textId="77777777" w:rsidR="00903949" w:rsidRPr="00E154C9" w:rsidRDefault="00903949" w:rsidP="00903949">
      <w:pPr>
        <w:spacing w:line="360" w:lineRule="auto"/>
        <w:rPr>
          <w:rFonts w:asciiTheme="majorBidi" w:hAnsiTheme="majorBidi" w:cstheme="majorBidi"/>
          <w:sz w:val="28"/>
          <w:szCs w:val="28"/>
          <w:rtl/>
          <w:lang w:bidi="ar-EG"/>
        </w:rPr>
      </w:pPr>
      <w:r w:rsidRPr="00903949">
        <w:rPr>
          <w:rFonts w:asciiTheme="majorBidi" w:hAnsiTheme="majorBidi" w:cstheme="majorBidi" w:hint="cs"/>
          <w:sz w:val="28"/>
          <w:szCs w:val="28"/>
          <w:rtl/>
        </w:rPr>
        <w:t xml:space="preserve">تمهيد: </w:t>
      </w:r>
      <w:r w:rsidRPr="00903949">
        <w:rPr>
          <w:rFonts w:asciiTheme="majorBidi" w:hAnsiTheme="majorBidi" w:cstheme="majorBidi"/>
          <w:sz w:val="28"/>
          <w:szCs w:val="28"/>
          <w:rtl/>
        </w:rPr>
        <w:t>تتعدد أساليب التوعية الصحية عبر الإعلام بشكل كبير</w:t>
      </w:r>
      <w:r w:rsidRPr="00903949">
        <w:rPr>
          <w:rFonts w:asciiTheme="majorBidi" w:hAnsiTheme="majorBidi" w:cstheme="majorBidi" w:hint="cs"/>
          <w:sz w:val="28"/>
          <w:szCs w:val="28"/>
          <w:rtl/>
        </w:rPr>
        <w:t>؛</w:t>
      </w:r>
      <w:r w:rsidRPr="00903949">
        <w:rPr>
          <w:rFonts w:asciiTheme="majorBidi" w:hAnsiTheme="majorBidi" w:cstheme="majorBidi"/>
          <w:sz w:val="28"/>
          <w:szCs w:val="28"/>
          <w:rtl/>
        </w:rPr>
        <w:t xml:space="preserve"> لتتناسب مع اختلاف فئات الجمهور وتنوع القنوات الإعلامية، وتُعد الوسائل الرقمية الحديثة من أبرز هذه الأساليب نظرًا لقدرتها على الوصول السريع والواسع إلى المستهدفين</w:t>
      </w:r>
      <w:r w:rsidRPr="00903949">
        <w:rPr>
          <w:rFonts w:asciiTheme="majorBidi" w:hAnsiTheme="majorBidi" w:cstheme="majorBidi"/>
          <w:sz w:val="28"/>
          <w:szCs w:val="28"/>
        </w:rPr>
        <w:t xml:space="preserve"> (Wang &amp; Liao, 2024). </w:t>
      </w:r>
      <w:r w:rsidRPr="00903949">
        <w:rPr>
          <w:rFonts w:asciiTheme="majorBidi" w:hAnsiTheme="majorBidi" w:cstheme="majorBidi"/>
          <w:sz w:val="28"/>
          <w:szCs w:val="28"/>
          <w:rtl/>
        </w:rPr>
        <w:t>من بين هذه الأساليب، تعتمد الحملات الإعلامية على إنتاج محتوى متنوع يشمل مقالات، فيديوهات، وإنفوجرافيك يقدم معلومات مبسطة ودقيقة تساعد في رفع مستوى الوعي الصحي. كما تستخدم المنصات الرقمية التفاعلية التي تسمح للجمهور بالتفاعل وطرح الأسئلة مما يعزز فهم الرسائل الصحية (محمد إبراهيم وغريب، 2</w:t>
      </w:r>
      <w:r w:rsidRPr="00903949">
        <w:rPr>
          <w:rFonts w:asciiTheme="majorBidi" w:hAnsiTheme="majorBidi" w:cstheme="majorBidi" w:hint="cs"/>
          <w:sz w:val="28"/>
          <w:szCs w:val="28"/>
          <w:rtl/>
        </w:rPr>
        <w:t>0</w:t>
      </w:r>
      <w:r w:rsidRPr="00903949">
        <w:rPr>
          <w:rFonts w:asciiTheme="majorBidi" w:hAnsiTheme="majorBidi" w:cstheme="majorBidi"/>
          <w:sz w:val="28"/>
          <w:szCs w:val="28"/>
          <w:rtl/>
        </w:rPr>
        <w:t>02</w:t>
      </w:r>
      <w:r w:rsidRPr="00903949">
        <w:rPr>
          <w:rFonts w:asciiTheme="majorBidi" w:hAnsiTheme="majorBidi" w:cstheme="majorBidi" w:hint="cs"/>
          <w:sz w:val="28"/>
          <w:szCs w:val="28"/>
          <w:rtl/>
        </w:rPr>
        <w:t>)</w:t>
      </w:r>
      <w:r w:rsidRPr="00903949">
        <w:rPr>
          <w:rFonts w:asciiTheme="majorBidi" w:hAnsiTheme="majorBidi" w:cstheme="majorBidi"/>
          <w:sz w:val="28"/>
          <w:szCs w:val="28"/>
        </w:rPr>
        <w:t>.</w:t>
      </w:r>
    </w:p>
    <w:p w14:paraId="370A5FD8"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تُعتبر منصات التواصل الاجتماعي من أبرز الأساليب المستخدمة في التوعية الصحية حيث توفر بيئة تفاعلية تسمح بنشر الرسائل بشكل سريع وبتكلفة منخفضة مقارنة بالوسائل التقليدية (خيرت حمزة، 2023). تستخدم هذه المنصات محتوى متنوعًا كالمنشورات النصية، الصور، الفيديوهات القصيرة والبث المباشر، وتستهدف فئات عمرية مختلفة، خاصة الشباب. وتبرز أهمية التعاون مع المؤثرين الرقميين الذين يمتلكون قاعدة جماهيرية واسعة، إذ يستطيعون إيصال الرسائل بأسلوب شخصي وجذاب مما يزيد من تأثيرها (صبرة وواضحة، 2024)</w:t>
      </w:r>
      <w:r w:rsidRPr="00E154C9">
        <w:rPr>
          <w:rFonts w:asciiTheme="majorBidi" w:hAnsiTheme="majorBidi" w:cstheme="majorBidi"/>
          <w:sz w:val="28"/>
          <w:szCs w:val="28"/>
        </w:rPr>
        <w:t>.</w:t>
      </w:r>
    </w:p>
    <w:p w14:paraId="240BB1DE"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تلعب الندوات والمحاضرات الإلكترونية دورًا بارزًا في التوعية الصحية خاصة في ظل جائحة كورونا، حيث تمكنت من توفير منصة آمنة للتواصل المباشر مع الخبراء وتقديم المعلومات الصحيحة للجمهور</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وتتميز هذه الفعالية بقدرتها على الإجابة عن تساؤلات الجمهور بشكل فوري، مما يعزز مصداقية الرسالة ويزيد من تقبل الجمهور لها. كما يستخدم الإعلام الرقمي الألعاب التفاعلية والتطبيقات التعليمية كوسائل مبتكرة لجذب الفئات العمرية الصغيرة وتحفيزها على تعلم السلوكيات الصحية</w:t>
      </w:r>
      <w:r w:rsidRPr="00E154C9">
        <w:rPr>
          <w:rFonts w:asciiTheme="majorBidi" w:hAnsiTheme="majorBidi" w:cstheme="majorBidi"/>
          <w:sz w:val="28"/>
          <w:szCs w:val="28"/>
        </w:rPr>
        <w:t xml:space="preserve"> (Devi, 2020).</w:t>
      </w:r>
    </w:p>
    <w:p w14:paraId="6FB367AA"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تستخدم حملات التوعية الصحية عبر الإعلام أساليب سرد القصص أو "السرد القصصي" لإيصال الرسائل بطريقة إنسانية تؤثر في مشاعر الجمهور وتخلق ارتباطًا شخصيًا مع الموضوع، مما يزيد من احتمال تغير السلوك (صبرة وواضحة، 2024). ويُعد السرد وسيلة فعالة لجذب الانتباه وجعل المعلومات الصحية أكثر قربًا وواقعية، وخاصة عند تناول الأمراض المزمنة أو الحالات الصحية المعقدة. كما يُستخدم التكرار والتنوع في عرض الرسائل عبر وسائل متعددة لتعزيز تثبيت المعلومة وزيادة تأثيرها على المتلقي (محمد إبراهيم وغريب، 2023)</w:t>
      </w:r>
      <w:r w:rsidRPr="00E154C9">
        <w:rPr>
          <w:rFonts w:asciiTheme="majorBidi" w:hAnsiTheme="majorBidi" w:cstheme="majorBidi"/>
          <w:sz w:val="28"/>
          <w:szCs w:val="28"/>
        </w:rPr>
        <w:t>.</w:t>
      </w:r>
    </w:p>
    <w:p w14:paraId="509CD2AD"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تشكل التعاونات بين المؤسسات الصحية ووسائل الإعلام إحدى الاستراتيجيات الفعالة في التوعية الصحية، حيث تتيح نشر محتوى موثوق ومحدث بشكل مستمر (أبو زيد وآخرون، 2022). كما يتم تنظيم حملات إعلامية موسعة تتزامن مع أيام صحية عالمية ومحلية تستهدف توعية الجمهور بقضايا محددة. ويعتمد الإعلام الرقمي أيضًا على تحليل بيانات الجمهور لضبط الرسائل بما يتناسب مع الاهتمامات والمشكلات الصحية الأكثر انتشارًا في المجتمع، مما يزيد من دقة وفعالية التوعية</w:t>
      </w:r>
      <w:r w:rsidRPr="00E154C9">
        <w:rPr>
          <w:rFonts w:asciiTheme="majorBidi" w:hAnsiTheme="majorBidi" w:cstheme="majorBidi"/>
          <w:sz w:val="28"/>
          <w:szCs w:val="28"/>
        </w:rPr>
        <w:t xml:space="preserve"> (Fundoiano-Hershcovitz et al., 2021).</w:t>
      </w:r>
    </w:p>
    <w:p w14:paraId="2B4B22AC"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الأساليب المهمة كذلك الاعتماد على الوسائط المتعددة التي تدمج النصوص، الصور، الفيديو، والرسومات المتحركة لتقديم محتوى صحي جاذب وسهل الفهم (خيرت حمزة، 2023). هذا التنوع في العرض يسهم في جذب شرائح مختلفة من الجمهور خصوصًا من لديهم مستويات تعليمية متباينة أو الذين يعانون من ضعف التركيز. كما يُسهم المحتوى المرئي والمسموع في تسهيل عملية التعلّم والاحتفاظ بالمعلومات مقارنة بالأساليب التقليدية التي تعتمد فقط على النصوص</w:t>
      </w:r>
      <w:r w:rsidRPr="00E154C9">
        <w:rPr>
          <w:rFonts w:asciiTheme="majorBidi" w:hAnsiTheme="majorBidi" w:cstheme="majorBidi"/>
          <w:sz w:val="28"/>
          <w:szCs w:val="28"/>
        </w:rPr>
        <w:t>.</w:t>
      </w:r>
    </w:p>
    <w:p w14:paraId="3A17B645" w14:textId="77777777" w:rsidR="00903949" w:rsidRPr="00903949" w:rsidRDefault="00903949" w:rsidP="00903949">
      <w:pPr>
        <w:spacing w:line="360" w:lineRule="auto"/>
        <w:rPr>
          <w:rFonts w:asciiTheme="majorBidi" w:hAnsiTheme="majorBidi" w:cstheme="majorBidi"/>
          <w:b/>
          <w:bCs/>
          <w:sz w:val="28"/>
          <w:szCs w:val="28"/>
          <w:rtl/>
          <w:lang w:bidi="ar-EG"/>
        </w:rPr>
      </w:pPr>
    </w:p>
    <w:p w14:paraId="5A65A534" w14:textId="77777777" w:rsidR="00F16976" w:rsidRPr="00F16976" w:rsidRDefault="00F16976" w:rsidP="00F16976">
      <w:pPr>
        <w:spacing w:line="360" w:lineRule="auto"/>
        <w:rPr>
          <w:rFonts w:asciiTheme="majorBidi" w:hAnsiTheme="majorBidi" w:cstheme="majorBidi"/>
          <w:sz w:val="28"/>
          <w:szCs w:val="28"/>
          <w:rtl/>
        </w:rPr>
      </w:pPr>
    </w:p>
    <w:p w14:paraId="3957C934"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تستخدم بعض الحملات التوعوية استراتيجيات اللعب والتحفيز، حيث تقدم الجوائز أو الشهادات للمشاركين في البرامج التفاعلية، مما يشجع على المشاركة والالتزام بالرسائل الصحية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كما أن الوسائل التفاعلية تتيح تتبع تقدم المتلقين وإعطائهم ملاحظات فورية، مما يساهم في تعديل سلوكهم الصحي تدريجيًا. ويشير الدراسات إلى أن التفاعل والمشاركة يعززان الشعور بالمسؤولية تجاه الصحة ويزيدان من فعالية البرامج التوعوية</w:t>
      </w:r>
      <w:r w:rsidRPr="00E154C9">
        <w:rPr>
          <w:rFonts w:asciiTheme="majorBidi" w:hAnsiTheme="majorBidi" w:cstheme="majorBidi"/>
          <w:sz w:val="28"/>
          <w:szCs w:val="28"/>
        </w:rPr>
        <w:t>.</w:t>
      </w:r>
    </w:p>
    <w:p w14:paraId="77CEABAD" w14:textId="593E16BE" w:rsidR="00903949" w:rsidRPr="005C5866" w:rsidRDefault="00903949" w:rsidP="00903949">
      <w:pPr>
        <w:spacing w:line="360" w:lineRule="auto"/>
        <w:rPr>
          <w:rFonts w:asciiTheme="majorBidi" w:hAnsiTheme="majorBidi" w:cstheme="majorBidi"/>
          <w:sz w:val="28"/>
          <w:szCs w:val="28"/>
          <w:shd w:val="clear" w:color="auto" w:fill="F2CEED" w:themeFill="accent5" w:themeFillTint="33"/>
        </w:rPr>
      </w:pPr>
      <w:r w:rsidRPr="00E154C9">
        <w:rPr>
          <w:rFonts w:asciiTheme="majorBidi" w:hAnsiTheme="majorBidi" w:cstheme="majorBidi"/>
          <w:sz w:val="28"/>
          <w:szCs w:val="28"/>
          <w:rtl/>
        </w:rPr>
        <w:t>تواجه أساليب التوعية الصحية تحديات تتمثل في مقاومة التغيير لدى بعض الأفراد بسبب العادات والتقاليد أو بسبب عدم الثقة في المصادر الرقمية (أبو زيد وآخرون، 2022). لذلك، من الضروري تصميم البرامج التوعوية بأساليب تراعي الخصوصيات الثقافية وتوفر محتوى يثير اهتمام الجمهور ويلبي حاجاته. ويُعد التقييم المستمر لمدى وصول وتأثير الرسائل من العوامل الحاسمة في تحسين الأساليب المستخدمة وتطويرها (</w:t>
      </w:r>
      <w:r w:rsidRPr="005C5866">
        <w:rPr>
          <w:rFonts w:asciiTheme="majorBidi" w:hAnsiTheme="majorBidi" w:cstheme="majorBidi"/>
          <w:sz w:val="28"/>
          <w:szCs w:val="28"/>
          <w:rtl/>
        </w:rPr>
        <w:t xml:space="preserve">صبرة </w:t>
      </w:r>
      <w:r w:rsidR="005C5866">
        <w:rPr>
          <w:rFonts w:asciiTheme="majorBidi" w:hAnsiTheme="majorBidi" w:cstheme="majorBidi" w:hint="cs"/>
          <w:sz w:val="28"/>
          <w:szCs w:val="28"/>
          <w:rtl/>
        </w:rPr>
        <w:t>وواضحة ، ٢٠٢٤) .</w:t>
      </w:r>
    </w:p>
    <w:p w14:paraId="4E9CF93E" w14:textId="576CC688" w:rsidR="00903949" w:rsidRPr="00E154C9" w:rsidRDefault="00903949" w:rsidP="00903949">
      <w:pPr>
        <w:spacing w:line="360" w:lineRule="auto"/>
        <w:rPr>
          <w:rFonts w:asciiTheme="majorBidi" w:hAnsiTheme="majorBidi" w:cstheme="majorBidi"/>
          <w:sz w:val="28"/>
          <w:szCs w:val="28"/>
          <w:rtl/>
        </w:rPr>
      </w:pPr>
      <w:r w:rsidRPr="005C5866">
        <w:rPr>
          <w:rFonts w:asciiTheme="majorBidi" w:hAnsiTheme="majorBidi" w:cstheme="majorBidi" w:hint="cs"/>
          <w:sz w:val="28"/>
          <w:szCs w:val="28"/>
          <w:u w:val="single"/>
          <w:shd w:val="clear" w:color="auto" w:fill="F2CEED" w:themeFill="accent5" w:themeFillTint="33"/>
          <w:rtl/>
        </w:rPr>
        <w:t>رؤية الباحثة:</w:t>
      </w:r>
      <w:r w:rsidRPr="005C5866">
        <w:rPr>
          <w:rFonts w:asciiTheme="majorBidi" w:hAnsiTheme="majorBidi" w:cstheme="majorBidi" w:hint="cs"/>
          <w:sz w:val="28"/>
          <w:szCs w:val="28"/>
          <w:u w:val="single"/>
          <w:rtl/>
        </w:rPr>
        <w:t xml:space="preserve"> </w:t>
      </w:r>
      <w:r w:rsidR="005C5866">
        <w:rPr>
          <w:rFonts w:asciiTheme="majorBidi" w:hAnsiTheme="majorBidi" w:cstheme="majorBidi" w:hint="cs"/>
          <w:sz w:val="28"/>
          <w:szCs w:val="28"/>
          <w:rtl/>
        </w:rPr>
        <w:t xml:space="preserve"> </w:t>
      </w:r>
      <w:r w:rsidRPr="00903949">
        <w:rPr>
          <w:rFonts w:asciiTheme="majorBidi" w:hAnsiTheme="majorBidi" w:cstheme="majorBidi"/>
          <w:sz w:val="28"/>
          <w:szCs w:val="28"/>
          <w:rtl/>
        </w:rPr>
        <w:t xml:space="preserve"> تتنوع أساليب التوعية الصحية في الإعلام بين استخدام منصات التواصل الاجتماعي، المحتوى التفاعلي، الحملات الموسمية، الوسائط المتعددة، والتعاون مع مؤثرين صحيين، مع التركيز على التفاعل والتخصيص لتحقيق أعلى أثرهذا التنوع يسمح بمواكبة التطورات التكنولوجية ويوفر فرصًا جديدة لتوصيل الرسائل الصحية بطرق مبتكرة وفعالة تناسب المتغيرات المجتمعية والثقافية. وبذلك يشكل الإعلام الرقمي أداة حيوية في بناء مجتمع واعٍ صحياً قادر على مواجهة الأمراض المزمنة والعصبية بفعالية</w:t>
      </w:r>
      <w:r w:rsidRPr="00903949">
        <w:rPr>
          <w:rFonts w:asciiTheme="majorBidi" w:hAnsiTheme="majorBidi" w:cstheme="majorBidi"/>
          <w:sz w:val="28"/>
          <w:szCs w:val="28"/>
        </w:rPr>
        <w:t>.</w:t>
      </w:r>
    </w:p>
    <w:p w14:paraId="3B80BB09" w14:textId="77777777" w:rsidR="005D2EB9" w:rsidRDefault="005D2EB9" w:rsidP="00F16976">
      <w:pPr>
        <w:spacing w:line="360" w:lineRule="auto"/>
        <w:rPr>
          <w:rFonts w:asciiTheme="majorBidi" w:hAnsiTheme="majorBidi" w:cstheme="majorBidi"/>
          <w:b/>
          <w:bCs/>
          <w:sz w:val="28"/>
          <w:szCs w:val="28"/>
          <w:rtl/>
        </w:rPr>
      </w:pPr>
    </w:p>
    <w:p w14:paraId="53FAB77F"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الثالث: التحديات التي تواجه التوعية الصحية</w:t>
      </w:r>
    </w:p>
    <w:p w14:paraId="545E52B6" w14:textId="77777777" w:rsidR="005C5866" w:rsidRPr="00E154C9" w:rsidRDefault="005C5866" w:rsidP="005C5866">
      <w:pPr>
        <w:spacing w:line="360" w:lineRule="auto"/>
        <w:rPr>
          <w:rFonts w:asciiTheme="majorBidi" w:hAnsiTheme="majorBidi" w:cstheme="majorBidi"/>
          <w:sz w:val="28"/>
          <w:szCs w:val="28"/>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تواجه التوعية الصحية في العصر الرقمي العديد من التحديات التي تؤثر على فعاليتها وقدرتها على الوصول إلى الجمهور المستهدف بشكل فعال. من أبرز هذه التحديات انتشار المعلومات المضللة والشائعات الصحية التي تنتشر بسرعة كبيرة عبر منصات التواصل الاجتماعي، مما يخلق حالة من الارتباك والشك لدى الجمهور ويعيق تلقي الرسائل الصحية الصحيحة (أبو زيد وآخرون، 2022). ويُعتبر التصدي لهذه الظاهرة مهمة معقدة تتطلب جهودًا متكاملة من المؤسسات الصحية والإعلامية لتقديم معلومات موثوقة وتصحيح المفاهيم المغلوطة</w:t>
      </w:r>
      <w:r w:rsidRPr="005C5866">
        <w:rPr>
          <w:rFonts w:asciiTheme="majorBidi" w:hAnsiTheme="majorBidi" w:cstheme="majorBidi"/>
          <w:sz w:val="28"/>
          <w:szCs w:val="28"/>
        </w:rPr>
        <w:t>.</w:t>
      </w:r>
    </w:p>
    <w:p w14:paraId="4197E636"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إضافة إلى ذلك، يواجه الإعلام الصحي تحديات تتعلق بالتفاوت في الثقافة الرقمية بين فئات المجتمع المختلفة، حيث لا يمتلك جميع الأفراد نفس القدرات والمهارات في استخدام التكنولوجيا الرقمية مما يحد من </w:t>
      </w:r>
      <w:r w:rsidRPr="00E154C9">
        <w:rPr>
          <w:rFonts w:asciiTheme="majorBidi" w:hAnsiTheme="majorBidi" w:cstheme="majorBidi"/>
          <w:sz w:val="28"/>
          <w:szCs w:val="28"/>
          <w:rtl/>
        </w:rPr>
        <w:lastRenderedPageBreak/>
        <w:t>استفادتهم من الحملات التوعوية الإلكترونية (السلمي وعطيه، 2022). هذا التفاوت يعكس فروقات في العمر، المستوى التعليمي، والموقع الجغرافي، ما يتطلب تصميم رسائل صحية تراعي هذه الفروق لتصل بفاعلية إلى كل الفئات. كما أن قلة المحتوى الموجه بشكل دقيق لمختلف الشرائح الاجتماعية تؤدي إلى تقليل تأثير التوعية</w:t>
      </w:r>
      <w:r w:rsidRPr="00E154C9">
        <w:rPr>
          <w:rFonts w:asciiTheme="majorBidi" w:hAnsiTheme="majorBidi" w:cstheme="majorBidi"/>
          <w:sz w:val="28"/>
          <w:szCs w:val="28"/>
        </w:rPr>
        <w:t>.</w:t>
      </w:r>
    </w:p>
    <w:p w14:paraId="7B67742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تعتبر مقاومة التغيير أحد التحديات النفسية والاجتماعية التي تواجه التوعية الصحية، حيث يميل بعض الأفراد إلى الالتزام بالعادات والتقاليد التي قد تكون مضرة بالصحة، بالإضافة إلى عدم الثقة في المعلومات الجديدة أو المصادر الرقمية (أبو زيد وآخرون، 2022). وقد تؤدي هذه المقاومة إلى رفض الرسائل الصحية وعدم تطبيقها، مما يضعف من فاعلية الحملات التوعوية. ولهذا فإن نجاح التوعية يتطلب بناء علاقة ثقة مع الجمهور واستخدام استراتيجيات تحفيزية تناسب السياق الثقافي</w:t>
      </w:r>
      <w:r w:rsidRPr="00E154C9">
        <w:rPr>
          <w:rFonts w:asciiTheme="majorBidi" w:hAnsiTheme="majorBidi" w:cstheme="majorBidi"/>
          <w:sz w:val="28"/>
          <w:szCs w:val="28"/>
        </w:rPr>
        <w:t>.</w:t>
      </w:r>
    </w:p>
    <w:p w14:paraId="4ADF70B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ناحية أخرى، هناك تحديات مرتبطة بمحدودية الموارد المالية والبشرية المخصصة لبرامج التوعية الصحية، إذ تحتاج الحملات الرقمية إلى استثمارات في تطوير المحتوى، تدريب الكوادر، واستخدام تقنيات متطورة (خيرت حمزة، 2023). وقد تؤثر هذه المحدودية على جودة الرسائل وصعوبة الحفاظ على استمرارية الحملات مما يقلل من تأثيرها على المدى الطويل. كذلك فإن ضعف التنسيق بين الجهات المعنية قد يؤدي إلى تكرار الجهود أو تضارب الرسائل الموجهة للجمهور</w:t>
      </w:r>
      <w:r w:rsidRPr="00E154C9">
        <w:rPr>
          <w:rFonts w:asciiTheme="majorBidi" w:hAnsiTheme="majorBidi" w:cstheme="majorBidi"/>
          <w:sz w:val="28"/>
          <w:szCs w:val="28"/>
        </w:rPr>
        <w:t>.</w:t>
      </w:r>
    </w:p>
    <w:p w14:paraId="78F38B52"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ما سبق، تبرز مشكلة ضعف آليات التقييم والمتابعة كعائق أمام تطوير وتحسين التوعية الصحية، حيث تفتقر العديد من البرامج إلى مؤشرات دقيقة لقياس مدى وصول وتأثير الرسائل على سلوك الجمهور (صبرة وواضحة، 2024). وهذا يجعل من الصعب تعديل الاستراتيجيات بما يتناسب مع النتائج الفعلية أو التعامل مع العقبات الجديدة. وتؤكد الدراسات الحديثة على أهمية إدخال أدوات تحليل البيانات والذكاء الاصطناعي في متابعة الحملات الصحية الرقمية لتعزيز فاعليتها</w:t>
      </w:r>
      <w:r w:rsidRPr="00E154C9">
        <w:rPr>
          <w:rFonts w:asciiTheme="majorBidi" w:hAnsiTheme="majorBidi" w:cstheme="majorBidi"/>
          <w:sz w:val="28"/>
          <w:szCs w:val="28"/>
        </w:rPr>
        <w:t>.</w:t>
      </w:r>
    </w:p>
    <w:p w14:paraId="3234B22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ظل هذه التحديات، تبرز الحاجة إلى تبني استراتيجيات شاملة تدمج بين التثقيف، المشاركة المجتمعية، والتقنيات الرقمية الحديثة لتجاوز العقبات وتحقيق الأهداف المرجوة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كما يجب أن تركز هذه الاستراتيجيات على بناء القدرات الرقمية لدى الفئات المختلفة، تعزيز الثقة بالمصادر الصحية، وتوفير محتوى متنوع يلبي حاجات الجمهور المختلفة. ويُعتبر العمل التكاملي بين الجهات الصحية والإعلامية والمجتمعية أمرًا حيويًا لتجاوز هذه التحديات بنجاح</w:t>
      </w:r>
      <w:r w:rsidRPr="00E154C9">
        <w:rPr>
          <w:rFonts w:asciiTheme="majorBidi" w:hAnsiTheme="majorBidi" w:cstheme="majorBidi"/>
          <w:sz w:val="28"/>
          <w:szCs w:val="28"/>
        </w:rPr>
        <w:t>.</w:t>
      </w:r>
    </w:p>
    <w:p w14:paraId="2AA2D164" w14:textId="77777777" w:rsidR="005C5866" w:rsidRPr="005C5866" w:rsidRDefault="005C5866" w:rsidP="005C5866">
      <w:pPr>
        <w:spacing w:line="360" w:lineRule="auto"/>
        <w:rPr>
          <w:rFonts w:asciiTheme="majorBidi" w:hAnsiTheme="majorBidi" w:cstheme="majorBidi"/>
          <w:sz w:val="28"/>
          <w:szCs w:val="28"/>
          <w:rtl/>
        </w:rPr>
      </w:pPr>
      <w:r w:rsidRPr="00E154C9">
        <w:rPr>
          <w:rFonts w:asciiTheme="majorBidi" w:hAnsiTheme="majorBidi" w:cstheme="majorBidi"/>
          <w:sz w:val="28"/>
          <w:szCs w:val="28"/>
          <w:rtl/>
        </w:rPr>
        <w:lastRenderedPageBreak/>
        <w:t xml:space="preserve">خلاصة القول، التوعية الصحية الرقمية تواجه مجموعة معقدة من التحديات التقنية، الاجتماعية، والثقافية التي تتطلب استجابة متعددة الأبعاد ومستمرة لتطوير الأدوات والأساليب وضمان وصول الرسائل بفعالية لكل فئات المجتمع (أبو زيد وآخرون، 2022؛ السلمي وعطيه، 2022). وتجاوز هذه التحديات يمثل خطوة </w:t>
      </w:r>
      <w:r w:rsidRPr="005C5866">
        <w:rPr>
          <w:rFonts w:asciiTheme="majorBidi" w:hAnsiTheme="majorBidi" w:cstheme="majorBidi"/>
          <w:sz w:val="28"/>
          <w:szCs w:val="28"/>
          <w:rtl/>
        </w:rPr>
        <w:t>أساسية نحو بناء مجتمع صحي واعٍ قادر على مواجهة الأمراض المزمنة والعصبية بوعي ومعرفة دقيقة</w:t>
      </w:r>
      <w:r w:rsidRPr="005C5866">
        <w:rPr>
          <w:rFonts w:asciiTheme="majorBidi" w:hAnsiTheme="majorBidi" w:cstheme="majorBidi"/>
          <w:sz w:val="28"/>
          <w:szCs w:val="28"/>
        </w:rPr>
        <w:t>.</w:t>
      </w:r>
    </w:p>
    <w:p w14:paraId="35ACA7D3" w14:textId="77777777" w:rsidR="005C5866" w:rsidRPr="005C5866" w:rsidRDefault="005C5866" w:rsidP="005C5866">
      <w:pPr>
        <w:spacing w:line="360" w:lineRule="auto"/>
        <w:rPr>
          <w:rFonts w:asciiTheme="majorBidi" w:hAnsiTheme="majorBidi" w:cstheme="majorBidi"/>
          <w:b/>
          <w:bCs/>
          <w:sz w:val="28"/>
          <w:szCs w:val="28"/>
          <w:rtl/>
        </w:rPr>
      </w:pPr>
      <w:r w:rsidRPr="005C5866">
        <w:rPr>
          <w:rFonts w:asciiTheme="majorBidi" w:hAnsiTheme="majorBidi" w:cstheme="majorBidi"/>
          <w:b/>
          <w:bCs/>
          <w:sz w:val="28"/>
          <w:szCs w:val="28"/>
          <w:rtl/>
        </w:rPr>
        <w:t>المطلب الرابع: معايير فعالية الرسائل الصحية</w:t>
      </w:r>
    </w:p>
    <w:p w14:paraId="3BAF0778" w14:textId="77777777" w:rsidR="005C5866" w:rsidRPr="005C5866" w:rsidRDefault="005C5866" w:rsidP="005C5866">
      <w:pPr>
        <w:spacing w:line="360" w:lineRule="auto"/>
        <w:rPr>
          <w:rFonts w:asciiTheme="majorBidi" w:hAnsiTheme="majorBidi" w:cstheme="majorBidi"/>
          <w:sz w:val="28"/>
          <w:szCs w:val="28"/>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تُعد فعالية الرسائل الصحية من العوامل الحاسمة في نجاح برامج التوعية الصحية، إذ تعتمد على مجموعة من المعايير التي تضمن وصول المعلومة الصحيحة بطريقة تؤثر إيجابيًا على سلوك الجمهور</w:t>
      </w:r>
      <w:r w:rsidRPr="005C5866">
        <w:rPr>
          <w:rFonts w:asciiTheme="majorBidi" w:hAnsiTheme="majorBidi" w:cstheme="majorBidi"/>
          <w:sz w:val="28"/>
          <w:szCs w:val="28"/>
        </w:rPr>
        <w:t xml:space="preserve"> (Wang &amp; Liao, 2024). </w:t>
      </w:r>
      <w:r w:rsidRPr="005C5866">
        <w:rPr>
          <w:rFonts w:asciiTheme="majorBidi" w:hAnsiTheme="majorBidi" w:cstheme="majorBidi"/>
          <w:sz w:val="28"/>
          <w:szCs w:val="28"/>
          <w:rtl/>
        </w:rPr>
        <w:t>من أهم هذه المعايير الوضوح، حيث يجب أن تكون الرسالة سهلة الفهم، خالية من التعقيدات اللغوية والمصطلحات الطبية الصعبة التي قد تشكل حاجزًا أمام المتلقي</w:t>
      </w:r>
      <w:r w:rsidRPr="005C5866">
        <w:rPr>
          <w:rFonts w:asciiTheme="majorBidi" w:hAnsiTheme="majorBidi" w:cstheme="majorBidi"/>
          <w:sz w:val="28"/>
          <w:szCs w:val="28"/>
        </w:rPr>
        <w:t xml:space="preserve"> (Devi, 2020). </w:t>
      </w:r>
      <w:r w:rsidRPr="005C5866">
        <w:rPr>
          <w:rFonts w:asciiTheme="majorBidi" w:hAnsiTheme="majorBidi" w:cstheme="majorBidi"/>
          <w:sz w:val="28"/>
          <w:szCs w:val="28"/>
          <w:rtl/>
        </w:rPr>
        <w:t>الوضوح يسهم في تقليل الالتباس ويزيد من قدرة الجمهور على استيعاب المعلومات وتطبيقها في حياته اليومية</w:t>
      </w:r>
      <w:r w:rsidRPr="005C5866">
        <w:rPr>
          <w:rFonts w:asciiTheme="majorBidi" w:hAnsiTheme="majorBidi" w:cstheme="majorBidi"/>
          <w:sz w:val="28"/>
          <w:szCs w:val="28"/>
        </w:rPr>
        <w:t>.</w:t>
      </w:r>
    </w:p>
    <w:p w14:paraId="44BE5AD0" w14:textId="77777777" w:rsidR="005C5866" w:rsidRPr="00E154C9" w:rsidRDefault="005C5866" w:rsidP="005C5866">
      <w:pPr>
        <w:spacing w:line="360" w:lineRule="auto"/>
        <w:rPr>
          <w:rFonts w:asciiTheme="majorBidi" w:hAnsiTheme="majorBidi" w:cstheme="majorBidi"/>
          <w:sz w:val="28"/>
          <w:szCs w:val="28"/>
        </w:rPr>
      </w:pPr>
      <w:r w:rsidRPr="005C5866">
        <w:rPr>
          <w:rFonts w:asciiTheme="majorBidi" w:hAnsiTheme="majorBidi" w:cstheme="majorBidi"/>
          <w:sz w:val="28"/>
          <w:szCs w:val="28"/>
          <w:rtl/>
        </w:rPr>
        <w:t>تعتبر الدقة والموثوقية من المعايير الأساسية، فالرسائل الصحية يجب أن تستند إلى بيانات علمية محدثة</w:t>
      </w:r>
      <w:r w:rsidRPr="00E154C9">
        <w:rPr>
          <w:rFonts w:asciiTheme="majorBidi" w:hAnsiTheme="majorBidi" w:cstheme="majorBidi"/>
          <w:sz w:val="28"/>
          <w:szCs w:val="28"/>
          <w:rtl/>
        </w:rPr>
        <w:t xml:space="preserve"> ومراجعة من قبل خبراء في المجال الصحي لضمان صحتها ومنع انتشار المعلومات المغلوطة (أبو زيد وآخرون، 2022). هذه الموثوقية تعزز من ثقة الجمهور في المصدر وتجعل الرسالة أكثر تأثيرًا، خاصة في ظل انتشار الشائعات على وسائل التواصل الاجتماعي. ويؤكد علواني وعرعار (2024) أن توثيق المعلومات العلمية والشفافية في تقديمها تزيد من قبول الرسائل لدى المتلقين</w:t>
      </w:r>
      <w:r w:rsidRPr="00E154C9">
        <w:rPr>
          <w:rFonts w:asciiTheme="majorBidi" w:hAnsiTheme="majorBidi" w:cstheme="majorBidi"/>
          <w:sz w:val="28"/>
          <w:szCs w:val="28"/>
        </w:rPr>
        <w:t>.</w:t>
      </w:r>
    </w:p>
    <w:p w14:paraId="55AEBDB2"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تناسب الرسالة مع الفئة المستهدفة من المعايير المهمة التي تضمن فاعليتها، إذ يجب تصميم المحتوى بحيث يتوافق مع الخصائص الديموغرافية والثقافية والاجتماعية للجمهور (السلمي وعطيه، 2022). فالرسائل التي تراعي الفروق في العمر، المستوى التعليمي، الخلفية الثقافية، واللغة تكون أكثر قدرة على إثارة اهتمام الجمهور وتحفيزه على التغيير. ويشير محمد إبراهيم وغريب (2023) إلى أهمية استخدام لغة مبسطة ومحتوى يعكس حاجات الجمهور ليكون أكثر جذبًا وتفاعلًا</w:t>
      </w:r>
      <w:r w:rsidRPr="00E154C9">
        <w:rPr>
          <w:rFonts w:asciiTheme="majorBidi" w:hAnsiTheme="majorBidi" w:cstheme="majorBidi"/>
          <w:sz w:val="28"/>
          <w:szCs w:val="28"/>
        </w:rPr>
        <w:t>.</w:t>
      </w:r>
    </w:p>
    <w:p w14:paraId="2BB0313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الجانب التحفيزي في صياغة الرسالة يلعب دورًا جوهريًا في تحفيز السلوك الصحي، فليس كافيًا تقديم المعلومات فقط، بل يجب أن تحفز الرسالة المتلقي على اتخاذ إجراءات إيجابية مثل زيارة الطبيب أو تبني نمط حياة صحي</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 xml:space="preserve">ويُعتبر تضمين رسائل تشجيعية ومكافآت معنوية أو اجتماعية من </w:t>
      </w:r>
      <w:r w:rsidRPr="00E154C9">
        <w:rPr>
          <w:rFonts w:asciiTheme="majorBidi" w:hAnsiTheme="majorBidi" w:cstheme="majorBidi"/>
          <w:sz w:val="28"/>
          <w:szCs w:val="28"/>
          <w:rtl/>
        </w:rPr>
        <w:lastRenderedPageBreak/>
        <w:t>الأساليب التي تزيد من تأثير الرسائل الصحية. كما أن تضمين قصص نجاح وتجارب شخصية يضفي بعدًا إنسانيًا يزيد من قوة الرسالة وتأثيرها (صبرة وواضحة، 2024)</w:t>
      </w:r>
      <w:r w:rsidRPr="00E154C9">
        <w:rPr>
          <w:rFonts w:asciiTheme="majorBidi" w:hAnsiTheme="majorBidi" w:cstheme="majorBidi"/>
          <w:sz w:val="28"/>
          <w:szCs w:val="28"/>
        </w:rPr>
        <w:t>.</w:t>
      </w:r>
    </w:p>
    <w:p w14:paraId="215D5690"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التكرار والتنوع في عرض الرسائل من المعايير التي تعزز الفعالية، حيث يساعد التكرار على تثبيت المعلومات في الذاكرة ويزيد من احتمال التغيير السلوكي (محمد إبراهيم وغريب، 2023). أما التنوع في استخدام الوسائط المختلفة كالصور، الفيديو، النصوص، والرسومات فيضمن وصول الرسالة لأكبر عدد ممكن من الأشخاص بمختلف أساليب التعلم. وعليه، فإن الاستمرارية في نشر الرسائل ومتابعة تأثيرها يساهم في بناء وعي صحي مستدام</w:t>
      </w:r>
      <w:r w:rsidRPr="00E154C9">
        <w:rPr>
          <w:rFonts w:asciiTheme="majorBidi" w:hAnsiTheme="majorBidi" w:cstheme="majorBidi"/>
          <w:sz w:val="28"/>
          <w:szCs w:val="28"/>
        </w:rPr>
        <w:t>.</w:t>
      </w:r>
    </w:p>
    <w:p w14:paraId="14CE99A6" w14:textId="77777777" w:rsidR="005C5866" w:rsidRPr="00E154C9" w:rsidRDefault="005C5866" w:rsidP="005C5866">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حيث يعتبر التفاعل مع الجمهور من المعايير الحيوية لفعالية الرسائل الصحية، إذ أن إتاحة الفرصة للتعليقات، الأسئلة، والنقاشات تخلق بيئة تشاركية تزيد من ثقة المتلقين وتساعد في توضيح النقاط الغامضة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كذلك، يمكن للاستجابات السريعة من القائمين على الحملات أن تعزز العلاقة مع الجمهور وتزيد من الالتزام بالتوصيات الصحية. هذه العملية التفاعلية تجعل التوعية أكثر ديناميكية وفعالية في تحقيق الأهداف المرجوة</w:t>
      </w:r>
      <w:r w:rsidRPr="00E154C9">
        <w:rPr>
          <w:rFonts w:asciiTheme="majorBidi" w:hAnsiTheme="majorBidi" w:cstheme="majorBidi"/>
          <w:sz w:val="28"/>
          <w:szCs w:val="28"/>
        </w:rPr>
        <w:t>.</w:t>
      </w:r>
    </w:p>
    <w:p w14:paraId="68DFFC40" w14:textId="77777777" w:rsidR="005C5866" w:rsidRPr="00E154C9" w:rsidRDefault="005C5866" w:rsidP="005C5866">
      <w:pPr>
        <w:spacing w:line="360" w:lineRule="auto"/>
        <w:rPr>
          <w:rFonts w:asciiTheme="majorBidi" w:hAnsiTheme="majorBidi" w:cstheme="majorBidi"/>
          <w:sz w:val="28"/>
          <w:szCs w:val="28"/>
        </w:rPr>
      </w:pPr>
      <w:r w:rsidRPr="005C5866">
        <w:rPr>
          <w:rFonts w:asciiTheme="majorBidi" w:hAnsiTheme="majorBidi" w:cstheme="majorBidi"/>
          <w:b/>
          <w:bCs/>
          <w:sz w:val="28"/>
          <w:szCs w:val="28"/>
          <w:rtl/>
        </w:rPr>
        <w:t>المبحث الثالث: الأمراض العصبية المزمنة – المفهوم والأنواع</w:t>
      </w:r>
      <w:r w:rsidRPr="005C5866">
        <w:rPr>
          <w:rFonts w:asciiTheme="majorBidi" w:hAnsiTheme="majorBidi" w:cstheme="majorBidi"/>
          <w:b/>
          <w:bCs/>
          <w:sz w:val="28"/>
          <w:szCs w:val="28"/>
          <w:rtl/>
        </w:rPr>
        <w:br/>
      </w: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تُعد الأمراض العصبية المزمنة من أكثر المشكلات الصحية التي تؤثر على جودة الحياة وتفرض تحديات كبيرة على الأنظمة الصحية في العالم، فهي تشمل مجموعة من الاضطرابات التي تصيب الجهاز العصبي المركزي والمحيطي بشكل طويل الأمد وتؤدي إلى تدهور تدريجي في الوظائف الحركية والإدراكية (علواني وعرعار، 2024). وتختلف هذه الأمراض في أسبابها وأعراضها لكنها تتشارك في كونها تؤثر على الأداء اليومي للفرد وقدرته على الاعتماد على نفسه. ويؤكد</w:t>
      </w:r>
      <w:r w:rsidRPr="005C5866">
        <w:rPr>
          <w:rFonts w:asciiTheme="majorBidi" w:hAnsiTheme="majorBidi" w:cstheme="majorBidi"/>
          <w:sz w:val="28"/>
          <w:szCs w:val="28"/>
        </w:rPr>
        <w:t xml:space="preserve"> Wang &amp; Liao (2024) </w:t>
      </w:r>
      <w:r w:rsidRPr="005C5866">
        <w:rPr>
          <w:rFonts w:asciiTheme="majorBidi" w:hAnsiTheme="majorBidi" w:cstheme="majorBidi"/>
          <w:sz w:val="28"/>
          <w:szCs w:val="28"/>
          <w:rtl/>
        </w:rPr>
        <w:t>أن هذه الأمراض تتطلب اهتمامًا خاصًا من حيث الوقاية، التشخيص المبكر، وإدارة الحالة الصحية</w:t>
      </w:r>
      <w:r w:rsidRPr="005C5866">
        <w:rPr>
          <w:rFonts w:asciiTheme="majorBidi" w:hAnsiTheme="majorBidi" w:cstheme="majorBidi"/>
          <w:sz w:val="28"/>
          <w:szCs w:val="28"/>
        </w:rPr>
        <w:t>.</w:t>
      </w:r>
    </w:p>
    <w:p w14:paraId="73DD06D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تعريف الأمراض العصبية المزمنة يشير إلى الاضطرابات التي تصيب الأعصاب وتستمر لفترة طويلة تمتد لسنوات أو مدى الحياة، وتتميز بالتطور التدريجي للأعراض التي قد تشمل فقدان الحركة، الضعف العضلي، التشنجات، والاضطرابات العقلية مثل فقدان الذاكرة أو تغير السلوك</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كما يمكن أن تكون هذه الأمراض ناجمة عن أسباب وراثية، التهابات، أمراض مناعية، أو إصابات متكررة للجهاز العصبي. وبناءً على ذلك، فإن التشخيص الدقيق يتطلب فحوصات طبية معقدة وتقييمات متخصصة</w:t>
      </w:r>
      <w:r w:rsidRPr="00E154C9">
        <w:rPr>
          <w:rFonts w:asciiTheme="majorBidi" w:hAnsiTheme="majorBidi" w:cstheme="majorBidi"/>
          <w:sz w:val="28"/>
          <w:szCs w:val="28"/>
        </w:rPr>
        <w:t>.</w:t>
      </w:r>
    </w:p>
    <w:p w14:paraId="015BDC3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أبرز الأمراض العصبية المزمنة التي تمس المجتمعات الصحية مرض التصلب اللويحي المتعدد، وهو اضطراب مناعي يهاجم الغلاف الحامي للأعصاب مما يؤدي إلى ضعف في الوظائف العصبية (علواني وعرعار، 2024). أما الصرع فيُعرف بأنه اضطراب في النشاط الكهربائي للدماغ يسبب نوبات متكررة تؤثر على الوعي والحركة، وهو مرض مزمن يحتاج إلى متابعة مستمرة وعلاج منتظم</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كذلك، يُعتبر مرض الزهايمر من أكثر أنواع الخرف انتشارًا، حيث يسبب تدهورًا تدريجيًا في الذاكرة والقدرات الذهنية، ما يؤثر بشكل كبير على استقلالية المريض</w:t>
      </w:r>
      <w:r w:rsidRPr="00E154C9">
        <w:rPr>
          <w:rFonts w:asciiTheme="majorBidi" w:hAnsiTheme="majorBidi" w:cstheme="majorBidi"/>
          <w:sz w:val="28"/>
          <w:szCs w:val="28"/>
        </w:rPr>
        <w:t>.</w:t>
      </w:r>
    </w:p>
    <w:p w14:paraId="3C1C04B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ذلك، يُعد مرض باركنسون من الأمراض العصبية المزمنة التي تؤثر على الحركة نتيجة نقص مادة الدوبامين في الدماغ، ويتميز بأعراض مثل الرعاش والتصلب الحركي</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هذه الأمراض، رغم اختلافها، تتطلب علاجًا طويل الأمد وإدارة دقيقة للتخفيف من الأعراض وتحسين نوعية الحياة. وتشير الدراسات إلى أن زيادة الوعي المجتمعي حول هذه الأمراض تساعد في الكشف المبكر وتحسين فرص العلاج والدعم النفسي للمرضى وأسرهم (محمد إبراهيم وغريب، 2023</w:t>
      </w:r>
      <w:r w:rsidRPr="00E154C9">
        <w:rPr>
          <w:rFonts w:asciiTheme="majorBidi" w:hAnsiTheme="majorBidi" w:cstheme="majorBidi"/>
          <w:sz w:val="28"/>
          <w:szCs w:val="28"/>
        </w:rPr>
        <w:t>).</w:t>
      </w:r>
    </w:p>
    <w:p w14:paraId="19EDDF6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تؤثر الأمراض العصبية المزمنة بشكل مباشر على الفرد من حيث فقدان القدرة على أداء الأنشطة اليومية والاستقلالية، مما يزيد من الاعتماد على الآخرين ويؤثر على الصحة النفسية بسبب الشعور بالعجز والاكتئاب (علواني وعرعار، 2024). وعلى الصعيد المجتمعي، تشكل هذه الأمراض عبئًا اقتصاديًا كبيرًا بسبب الحاجة إلى رعاية طبية مستمرة وتكاليف علاج عالية، بالإضافة إلى التأثير على الإنتاجية وفرص العمل</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لذا فإن التوعية الصحية التي تركز على هذه الأمراض تكتسب أهمية بالغة في تقليل معدلات الإصابة والتخفيف من تبعاتها</w:t>
      </w:r>
      <w:r w:rsidRPr="00E154C9">
        <w:rPr>
          <w:rFonts w:asciiTheme="majorBidi" w:hAnsiTheme="majorBidi" w:cstheme="majorBidi"/>
          <w:sz w:val="28"/>
          <w:szCs w:val="28"/>
        </w:rPr>
        <w:t>.</w:t>
      </w:r>
    </w:p>
    <w:p w14:paraId="55A098E8" w14:textId="77777777" w:rsidR="005C5866" w:rsidRPr="00E154C9" w:rsidRDefault="005C5866" w:rsidP="005C5866">
      <w:pPr>
        <w:spacing w:line="360" w:lineRule="auto"/>
        <w:rPr>
          <w:rFonts w:asciiTheme="majorBidi" w:hAnsiTheme="majorBidi" w:cstheme="majorBidi"/>
          <w:sz w:val="28"/>
          <w:szCs w:val="28"/>
          <w:rtl/>
          <w:lang w:bidi="ar-EG"/>
        </w:rPr>
      </w:pPr>
      <w:r w:rsidRPr="005C5866">
        <w:rPr>
          <w:rFonts w:asciiTheme="majorBidi" w:hAnsiTheme="majorBidi" w:cstheme="majorBidi" w:hint="cs"/>
          <w:sz w:val="28"/>
          <w:szCs w:val="28"/>
          <w:u w:val="single"/>
          <w:shd w:val="clear" w:color="auto" w:fill="F2CEED" w:themeFill="accent5" w:themeFillTint="33"/>
          <w:rtl/>
        </w:rPr>
        <w:t>رؤية الباحثة:</w:t>
      </w:r>
      <w:r w:rsidRPr="005C5866">
        <w:rPr>
          <w:rFonts w:asciiTheme="majorBidi" w:hAnsiTheme="majorBidi" w:cstheme="majorBidi" w:hint="cs"/>
          <w:sz w:val="28"/>
          <w:szCs w:val="28"/>
          <w:rtl/>
        </w:rPr>
        <w:t xml:space="preserve"> </w:t>
      </w:r>
      <w:r w:rsidRPr="005C5866">
        <w:rPr>
          <w:rFonts w:asciiTheme="majorBidi" w:hAnsiTheme="majorBidi" w:cstheme="majorBidi"/>
          <w:sz w:val="28"/>
          <w:szCs w:val="28"/>
          <w:rtl/>
        </w:rPr>
        <w:t>تتطلب مواجهة الأمراض العصبية المزمنة تبني استراتيجيات شاملة تشمل الوقاية من العوامل المؤدية إليها مثل التدخين، سوء التغذية، وعدم ممارسة النشاط البدني، إلى جانب التوعية بأهمية الكشف المبكر والمتابعة الطبية المنتظمة</w:t>
      </w:r>
      <w:r w:rsidRPr="005C5866">
        <w:rPr>
          <w:rFonts w:asciiTheme="majorBidi" w:hAnsiTheme="majorBidi" w:cstheme="majorBidi"/>
          <w:sz w:val="28"/>
          <w:szCs w:val="28"/>
        </w:rPr>
        <w:t xml:space="preserve">  </w:t>
      </w:r>
      <w:r w:rsidRPr="005C5866">
        <w:rPr>
          <w:rFonts w:asciiTheme="majorBidi" w:hAnsiTheme="majorBidi" w:cstheme="majorBidi"/>
          <w:sz w:val="28"/>
          <w:szCs w:val="28"/>
          <w:rtl/>
        </w:rPr>
        <w:t>كما يلعب الإعلام الرقمي دورًا هامًا في نشر المعرفة حول هذه الأمراض وسبل التعامل معها، مما يعزز من قدرة المرضى وأسرهم على مواجهة التحديات الصحية والاجتماعية.</w:t>
      </w:r>
      <w:r w:rsidRPr="00E154C9">
        <w:rPr>
          <w:rFonts w:asciiTheme="majorBidi" w:hAnsiTheme="majorBidi" w:cstheme="majorBidi"/>
          <w:sz w:val="28"/>
          <w:szCs w:val="28"/>
          <w:rtl/>
        </w:rPr>
        <w:t xml:space="preserve"> </w:t>
      </w:r>
    </w:p>
    <w:p w14:paraId="0D16ED5A" w14:textId="77777777" w:rsidR="005C5866" w:rsidRDefault="005C5866" w:rsidP="005C5866">
      <w:pPr>
        <w:spacing w:line="360" w:lineRule="auto"/>
        <w:rPr>
          <w:rFonts w:asciiTheme="majorBidi" w:hAnsiTheme="majorBidi" w:cstheme="majorBidi"/>
          <w:b/>
          <w:bCs/>
          <w:sz w:val="28"/>
          <w:szCs w:val="28"/>
          <w:rtl/>
        </w:rPr>
      </w:pPr>
    </w:p>
    <w:p w14:paraId="54E925C8" w14:textId="77777777" w:rsidR="005C5866" w:rsidRDefault="005C5866" w:rsidP="005C5866">
      <w:pPr>
        <w:spacing w:line="360" w:lineRule="auto"/>
        <w:rPr>
          <w:rFonts w:asciiTheme="majorBidi" w:hAnsiTheme="majorBidi" w:cstheme="majorBidi"/>
          <w:b/>
          <w:bCs/>
          <w:sz w:val="28"/>
          <w:szCs w:val="28"/>
          <w:highlight w:val="yellow"/>
          <w:rtl/>
        </w:rPr>
      </w:pPr>
    </w:p>
    <w:p w14:paraId="0F5B5781" w14:textId="77777777" w:rsidR="005C5866" w:rsidRDefault="005C5866" w:rsidP="005C5866">
      <w:pPr>
        <w:spacing w:line="360" w:lineRule="auto"/>
        <w:rPr>
          <w:rFonts w:asciiTheme="majorBidi" w:hAnsiTheme="majorBidi" w:cstheme="majorBidi"/>
          <w:b/>
          <w:bCs/>
          <w:sz w:val="28"/>
          <w:szCs w:val="28"/>
          <w:highlight w:val="yellow"/>
          <w:rtl/>
        </w:rPr>
      </w:pPr>
    </w:p>
    <w:p w14:paraId="7BD37F71"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 xml:space="preserve">المطلب </w:t>
      </w:r>
      <w:r>
        <w:rPr>
          <w:rFonts w:asciiTheme="majorBidi" w:hAnsiTheme="majorBidi" w:cstheme="majorBidi"/>
          <w:b/>
          <w:bCs/>
          <w:sz w:val="28"/>
          <w:szCs w:val="28"/>
          <w:rtl/>
        </w:rPr>
        <w:t>ال</w:t>
      </w:r>
      <w:r>
        <w:rPr>
          <w:rFonts w:asciiTheme="majorBidi" w:hAnsiTheme="majorBidi" w:cstheme="majorBidi" w:hint="cs"/>
          <w:b/>
          <w:bCs/>
          <w:sz w:val="28"/>
          <w:szCs w:val="28"/>
          <w:rtl/>
        </w:rPr>
        <w:t>أ</w:t>
      </w:r>
      <w:r w:rsidRPr="00E154C9">
        <w:rPr>
          <w:rFonts w:asciiTheme="majorBidi" w:hAnsiTheme="majorBidi" w:cstheme="majorBidi"/>
          <w:b/>
          <w:bCs/>
          <w:sz w:val="28"/>
          <w:szCs w:val="28"/>
          <w:rtl/>
        </w:rPr>
        <w:t>ول: تعريف الأمراض العصبية المزمنة</w:t>
      </w:r>
    </w:p>
    <w:p w14:paraId="7BCD1339"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تُعتبر الأمراض العصبية المزمنة من أبرز التحديات الصحية التي تواجه المجتمعات الحديثة، لما لها من تأثيرات طويلة الأمد على جودة حياة الأفراد وارتفاع معدلات الإعاقة والوفاة. تعرف الأمراض العصبية المزمنة بأنها مجموعة من الاضطرابات التي تصيب الجهاز العصبي المركزي أو المحيطي، وتتميز بأنها مستمرة أو تتفاقم مع مرور الوقت، وتتطلب متابعة طبية طويلة الأمد (قلاده ونرمين، 2025). تشمل هذه الأمراض حالات متعددة مثل التصلب المتعدد، مرض باركنسون، الزهايمر، والشلل الدماغي، والتي تؤثر بشكل مباشر على القدرات الحركية، الحسية، والإدراكية للفرد (السلمي وعطيه، 2022)</w:t>
      </w:r>
      <w:r w:rsidRPr="00E154C9">
        <w:rPr>
          <w:rFonts w:asciiTheme="majorBidi" w:hAnsiTheme="majorBidi" w:cstheme="majorBidi"/>
          <w:sz w:val="28"/>
          <w:szCs w:val="28"/>
          <w:lang w:bidi="ar-EG"/>
        </w:rPr>
        <w:t>.</w:t>
      </w:r>
    </w:p>
    <w:p w14:paraId="0567779C"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وفقًا لمنظمة الصحة العالمية، تشير الأمراض العصبية المزمنة إلى الحالات التي تؤدي إلى ضعف تدريجي في الوظائف العصبية، مما يسبب تأثيرات سلبية على أداء الفرد في حياته اليومية، وقدرتها على الاعتماد على النفس</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وتُعد الأمراض العصبية المزمنة من الأسباب الرئيسية للإعاقة في العالم، حيث تشير الإحصائيات إلى أن ملايين الأشخاص يعانون من هذه الحالات في مختلف الدول، بما في ذلك السعودية التي تواجه تحديات متزايدة في هذا المجال بسبب التغيرات السكانية وزيادة العمر المتوقع (علواني وآخرون، 2024</w:t>
      </w:r>
      <w:r w:rsidRPr="00E154C9">
        <w:rPr>
          <w:rFonts w:asciiTheme="majorBidi" w:hAnsiTheme="majorBidi" w:cstheme="majorBidi"/>
          <w:sz w:val="28"/>
          <w:szCs w:val="28"/>
          <w:lang w:bidi="ar-EG"/>
        </w:rPr>
        <w:t>).</w:t>
      </w:r>
    </w:p>
    <w:p w14:paraId="6D643F8F"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تتسم هذه الأمراض بعدة خصائص تميزها عن الأمراض الحادة، أهمها: استمرار الأعراض لفترات طويلة، وتفاقمها بمرور الزمن، واحتياج المريض إلى دعم مستمر سواء من الناحية الطبية أو النفسية والاجتماعية</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كما أن هذه الأمراض غالبًا ما تتداخل مع حالات صحية أخرى مثل السكري وارتفاع ضغط الدم، مما يزيد من تعقيد علاجها وإدارتها</w:t>
      </w:r>
      <w:r w:rsidRPr="00E154C9">
        <w:rPr>
          <w:rFonts w:asciiTheme="majorBidi" w:hAnsiTheme="majorBidi" w:cstheme="majorBidi"/>
          <w:sz w:val="28"/>
          <w:szCs w:val="28"/>
          <w:lang w:bidi="ar-EG"/>
        </w:rPr>
        <w:t xml:space="preserve"> (Devi, 2020).</w:t>
      </w:r>
    </w:p>
    <w:p w14:paraId="39E75161"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من الناحية الاجتماعية والاقتصادية، تشكل الأمراض العصبية المزمنة عبئًا كبيرًا على الأنظمة الصحية بسبب الحاجة إلى رعاية طويلة الأمد، وتكاليف العلاج المستمرة، بالإضافة إلى تأثيرها على الإنتاجية والعمل (محمد وغريب، 2023). لذلك، يتطلب التعامل مع هذه الأمراض تبني استراتيجيات شاملة تشمل الوقاية، الكشف المبكر، والعلاج الفعال، إلى جانب التوعية المجتمعية والدعم النفسي للمرضى وعائلاتهم (قلا ده ونرمين، 2025)</w:t>
      </w:r>
      <w:r w:rsidRPr="00E154C9">
        <w:rPr>
          <w:rFonts w:asciiTheme="majorBidi" w:hAnsiTheme="majorBidi" w:cstheme="majorBidi"/>
          <w:sz w:val="28"/>
          <w:szCs w:val="28"/>
          <w:lang w:bidi="ar-EG"/>
        </w:rPr>
        <w:t>.</w:t>
      </w:r>
    </w:p>
    <w:p w14:paraId="7A29B673"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تلعب عوامل متعددة دورًا في ظهور وتفاقم الأمراض العصبية المزمنة، من بينها العوامل الوراثية، البيئة، نمط الحياة، والتعرض للإصابات أو الأمراض المعدية (السلمي وعطيه، 2022). لذلك، يصبح من الضروري اعتماد نماذج صحية متكاملة تجمع بين الرعاية الطبية التقليدية والاستخدام الفعال للتكنولوجيا </w:t>
      </w:r>
      <w:r w:rsidRPr="00E154C9">
        <w:rPr>
          <w:rFonts w:asciiTheme="majorBidi" w:hAnsiTheme="majorBidi" w:cstheme="majorBidi"/>
          <w:sz w:val="28"/>
          <w:szCs w:val="28"/>
          <w:rtl/>
        </w:rPr>
        <w:lastRenderedPageBreak/>
        <w:t>الحديثة والإعلام الرقمي في نشر الوعي وتوفير المعلومات الدقيقة حول هذه الأمراض</w:t>
      </w:r>
      <w:r w:rsidRPr="00E154C9">
        <w:rPr>
          <w:rFonts w:asciiTheme="majorBidi" w:hAnsiTheme="majorBidi" w:cstheme="majorBidi"/>
          <w:sz w:val="28"/>
          <w:szCs w:val="28"/>
          <w:lang w:bidi="ar-EG"/>
        </w:rPr>
        <w:t xml:space="preserve"> (Wang &amp; Liao, 2024).</w:t>
      </w:r>
    </w:p>
    <w:p w14:paraId="2D494D2B"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الأمراض العصبية المزمنة تُعد من التحديات الصحية الكبرى التي تواجه المجتمعات الحديثة لما لها من تأثير طويل الأمد على جودة حياة الأفراد وزيادة معدلات الإعاقة والوفاة. تُعرف هذه الأمراض بأنها اضطرابات تصيب الجهاز العصبي المركزي أو المحيطي، وتتميز بالاستمرار أو التفاقم مع مرور الوقت، مما يتطلب متابعة طبية مستمرة (قلاده ونرمين، 2025). تشمل هذه الأمراض التصلب المتعدد، مرض باركنسون، الزهايمر، والشلل الدماغي، التي تؤثر بشكل مباشر على القدرات الحركية، الحسية، والإدراكية للفرد (السلمي وعطيه، 2022)</w:t>
      </w:r>
      <w:r w:rsidRPr="00E154C9">
        <w:rPr>
          <w:rFonts w:asciiTheme="majorBidi" w:hAnsiTheme="majorBidi" w:cstheme="majorBidi"/>
          <w:sz w:val="28"/>
          <w:szCs w:val="28"/>
        </w:rPr>
        <w:t>.</w:t>
      </w:r>
    </w:p>
    <w:p w14:paraId="702239F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تتنوع الأمراض العصبية المزمنة باختلاف الأجهزة العصبية المتأثرة وطبيعة الأعراض المصاحبة لها. يعد التصلب المتعدد مرضًا مناعيًا ذاتيًا يصيب الجهاز العصبي المركزي ويتميز بتآكل غلاف الميلين المحيط بالألياف العصبية، مما يؤدي إلى اضطرابات حركية وحسية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بينما يُعتبر مرض باركنسون من الأمراض التنكسية التي تؤثر على الخلايا العصبية المنتجة للدوبامين في الدماغ، مع ظهور أعراض مثل الرعاش وبطء الحركة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أما الزهايمر فيتسبب في تدهور تدريجي في الوظائف الإدراكية كذاكرة التفكير والتعلم (علواني وآخرون، 2024</w:t>
      </w:r>
      <w:r w:rsidRPr="00E154C9">
        <w:rPr>
          <w:rFonts w:asciiTheme="majorBidi" w:hAnsiTheme="majorBidi" w:cstheme="majorBidi"/>
          <w:sz w:val="28"/>
          <w:szCs w:val="28"/>
        </w:rPr>
        <w:t>).</w:t>
      </w:r>
    </w:p>
    <w:p w14:paraId="6C16C6A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تتعدد أسباب الإصابة بالأمراض العصبية المزمنة بين عوامل وراثية وبيئية وسلوكية. تلعب الجينات دورًا مهمًا في بعض الأمراض مثل باركنسون والزهايمر، حيث تنتقل عبر الأجيال</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كما تسهم العوامل البيئية كالسموم والتلوث والإصابات الدماغية في زيادة خطر الإصابة (السلمي وعطيه، 2022). إضافة إلى ذلك، يعد النمط الحياتي غير الصحي من عوامل الخطورة، مثل قلة النشاط البدني والتغذية السيئة والتدخين، التي تؤدي إلى تفاقم الحالة الصحية (قلاده ونرمين، 2025)</w:t>
      </w:r>
      <w:r w:rsidRPr="00E154C9">
        <w:rPr>
          <w:rFonts w:asciiTheme="majorBidi" w:hAnsiTheme="majorBidi" w:cstheme="majorBidi"/>
          <w:sz w:val="28"/>
          <w:szCs w:val="28"/>
        </w:rPr>
        <w:t>.</w:t>
      </w:r>
    </w:p>
    <w:p w14:paraId="40CF82D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تمتاز الأمراض العصبية المزمنة بتأثيرات صحية ونفسية واجتماعية واقتصادية متعددة. صحيًا، تؤدي إلى ضعف القدرات الحركية والإدراكية وفقدان الاستقلالية، مما يزيد اعتماد المرضى على الآخرين (علواني وآخرون، 2024). نفسيًا، يعاني المصابون من اكتئاب وقلق بسبب التحديات المستمرة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اجتماعيًا، تسبب العزلة وتراجع المشاركة في الحياة الاجتماعية والعملية، كما تمثل عبئًا اقتصاديًا كبيرًا على الأسر والدول نتيجة تكاليف الرعاية الطويلة (محمد وغريب، 2023)</w:t>
      </w:r>
      <w:r w:rsidRPr="00E154C9">
        <w:rPr>
          <w:rFonts w:asciiTheme="majorBidi" w:hAnsiTheme="majorBidi" w:cstheme="majorBidi"/>
          <w:sz w:val="28"/>
          <w:szCs w:val="28"/>
        </w:rPr>
        <w:t>.</w:t>
      </w:r>
    </w:p>
    <w:p w14:paraId="73DAE597" w14:textId="77777777" w:rsidR="005C5866" w:rsidRPr="00E154C9" w:rsidRDefault="005C5866" w:rsidP="005C5866">
      <w:pPr>
        <w:spacing w:line="360" w:lineRule="auto"/>
        <w:rPr>
          <w:rFonts w:asciiTheme="majorBidi" w:hAnsiTheme="majorBidi" w:cstheme="majorBidi"/>
          <w:sz w:val="28"/>
          <w:szCs w:val="28"/>
          <w:rtl/>
        </w:rPr>
      </w:pPr>
      <w:r w:rsidRPr="00E154C9">
        <w:rPr>
          <w:rFonts w:asciiTheme="majorBidi" w:hAnsiTheme="majorBidi" w:cstheme="majorBidi"/>
          <w:sz w:val="28"/>
          <w:szCs w:val="28"/>
          <w:rtl/>
        </w:rPr>
        <w:lastRenderedPageBreak/>
        <w:t>تلعب التوعية الصحية عبر الإعلام الرقمي دورًا محوريًا في الحد من انتشار الأمراض العصبية المزمنة وتحسين حياة المرضى. تشير الدراسات إلى أن الإعلام الرقمي يعزز المعرفة الصحية ويسهل الوصول إلى المعلومات الدقيقة حول الوقاية والعلاج</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كما يساهم في دعم المرضى نفسيًا واجتماعيًا من خلال بناء مجتمعات افتراضية للدعم والتواصل (صبرة وواضحة، 2024). ويؤكد الباحثون على أن الكشف المبكر والتدخل السريع يحد من مضاعفات الأمراض ويزيد من فعالية العلاج، ما يعزز أهمية الإعلام الرقمي في تحفيز الفحوص الدورية واتباع أنماط حياة صحية (علواني وآخرون، 2024</w:t>
      </w:r>
      <w:r w:rsidRPr="00E154C9">
        <w:rPr>
          <w:rFonts w:asciiTheme="majorBidi" w:hAnsiTheme="majorBidi" w:cstheme="majorBidi"/>
          <w:sz w:val="28"/>
          <w:szCs w:val="28"/>
        </w:rPr>
        <w:t>).</w:t>
      </w:r>
    </w:p>
    <w:p w14:paraId="2FA6C53F" w14:textId="77777777" w:rsidR="005C5866" w:rsidRPr="00E154C9" w:rsidRDefault="005C5866" w:rsidP="005C5866">
      <w:pPr>
        <w:spacing w:line="360" w:lineRule="auto"/>
        <w:rPr>
          <w:rFonts w:asciiTheme="majorBidi" w:hAnsiTheme="majorBidi" w:cstheme="majorBidi"/>
          <w:sz w:val="28"/>
          <w:szCs w:val="28"/>
          <w:rtl/>
          <w:lang w:bidi="ar-EG"/>
        </w:rPr>
      </w:pPr>
      <w:r w:rsidRPr="00E154C9">
        <w:rPr>
          <w:rFonts w:asciiTheme="majorBidi" w:hAnsiTheme="majorBidi" w:cstheme="majorBidi"/>
          <w:sz w:val="28"/>
          <w:szCs w:val="28"/>
          <w:rtl/>
        </w:rPr>
        <w:t>بشكل عام، يمكن القول إن تعريف الأمراض العصبية المزمنة يشمل مجموعة معقدة من الاضطرابات التي تتطلب اهتمامًا خاصًا من قبل المجتمعات الصحية، حيث إن الفهم العميق لهذه الأمراض يساعد في وضع السياسات الصحية المناسبة وتحسين جودة حياة المرضى (علواني وآخرون، 2024)</w:t>
      </w:r>
      <w:r w:rsidRPr="00E154C9">
        <w:rPr>
          <w:rFonts w:asciiTheme="majorBidi" w:hAnsiTheme="majorBidi" w:cstheme="majorBidi"/>
          <w:sz w:val="28"/>
          <w:szCs w:val="28"/>
          <w:lang w:bidi="ar-EG"/>
        </w:rPr>
        <w:t>.</w:t>
      </w:r>
    </w:p>
    <w:p w14:paraId="2BE9D13D" w14:textId="77777777" w:rsidR="005C5866" w:rsidRDefault="005C5866" w:rsidP="005C5866">
      <w:pPr>
        <w:spacing w:line="360" w:lineRule="auto"/>
        <w:rPr>
          <w:rFonts w:asciiTheme="majorBidi" w:hAnsiTheme="majorBidi" w:cstheme="majorBidi"/>
          <w:b/>
          <w:bCs/>
          <w:sz w:val="28"/>
          <w:szCs w:val="28"/>
          <w:rtl/>
        </w:rPr>
      </w:pPr>
    </w:p>
    <w:p w14:paraId="0A117528"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الثاني: الأسباب والعوامل المرتبطة بهذه الأمراض</w:t>
      </w:r>
    </w:p>
    <w:p w14:paraId="5AC84284" w14:textId="77777777" w:rsidR="005C5866" w:rsidRPr="00E154C9" w:rsidRDefault="005C5866" w:rsidP="005C5866">
      <w:pPr>
        <w:spacing w:line="360" w:lineRule="auto"/>
        <w:rPr>
          <w:rFonts w:asciiTheme="majorBidi" w:hAnsiTheme="majorBidi" w:cstheme="majorBidi"/>
          <w:sz w:val="28"/>
          <w:szCs w:val="28"/>
          <w:lang w:bidi="ar-EG"/>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تعتبر الأمراض العصبية المزمنة من الحالات الصحية المعقدة التي تنجم عن تفاعل مجموعة من العوامل المتنوعة، والتي تشمل الجوانب الوراثية، البيئية، السلوكية، والبيولوجية. لفهم هذه الأسباب والعوامل بدقة، من الضروري استعراض الأدبيات الحديثة التي تناولت هذه الجوانب بشكل مفصل، مع التركيز على الدراسات التي تم نشرها في الفترة ما بعد عام 2020</w:t>
      </w:r>
      <w:r w:rsidRPr="005C5866">
        <w:rPr>
          <w:rFonts w:asciiTheme="majorBidi" w:hAnsiTheme="majorBidi" w:cstheme="majorBidi"/>
          <w:sz w:val="28"/>
          <w:szCs w:val="28"/>
          <w:lang w:bidi="ar-EG"/>
        </w:rPr>
        <w:t>.</w:t>
      </w:r>
    </w:p>
    <w:p w14:paraId="4FACAAA1"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أولاً، تلعب العوامل الوراثية دورًا محوريًا في الإصابة بالعديد من الأمراض العصبية المزمنة، حيث تشير الدراسات إلى أن وجود طفرات جينية معينة يزيد من احتمالية الإصابة بأمراض مثل مرض باركنسون والزهايمر</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فالجينات المرتبطة بتنظيم البروتينات العصبية وتكوين الخلايا العصبية تلعب دورًا في الحفاظ على صحة الجهاز العصبي، وعندما تحدث فيها طفرات أو خلل يؤدي ذلك إلى تدهور وظائف هذه الخلايا، مما ينعكس على أداء الجهاز العصبي. وقد أكدت دراسة لـ</w:t>
      </w:r>
      <w:r w:rsidRPr="00E154C9">
        <w:rPr>
          <w:rFonts w:asciiTheme="majorBidi" w:hAnsiTheme="majorBidi" w:cstheme="majorBidi"/>
          <w:sz w:val="28"/>
          <w:szCs w:val="28"/>
          <w:lang w:bidi="ar-EG"/>
        </w:rPr>
        <w:t xml:space="preserve">Wang &amp; Liao (2024) </w:t>
      </w:r>
      <w:r w:rsidRPr="00E154C9">
        <w:rPr>
          <w:rFonts w:asciiTheme="majorBidi" w:hAnsiTheme="majorBidi" w:cstheme="majorBidi"/>
          <w:sz w:val="28"/>
          <w:szCs w:val="28"/>
          <w:rtl/>
        </w:rPr>
        <w:t>أن التقدم في تقنيات الجينوم ساهم في التعرف على هذه الطفرات وكيفية تأثيرها على تطور الأمراض العصبية</w:t>
      </w:r>
      <w:r w:rsidRPr="00E154C9">
        <w:rPr>
          <w:rFonts w:asciiTheme="majorBidi" w:hAnsiTheme="majorBidi" w:cstheme="majorBidi"/>
          <w:sz w:val="28"/>
          <w:szCs w:val="28"/>
          <w:lang w:bidi="ar-EG"/>
        </w:rPr>
        <w:t>.</w:t>
      </w:r>
    </w:p>
    <w:p w14:paraId="2E1AB2D0"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ثانيًا، العوامل البيئية تُعد من الأسباب المهمة التي تؤثر بشكل كبير على صحة الجهاز العصبي، خاصة في ظل زيادة التلوث والتعرض للمواد السامة في البيئات الحضرية. أشارت دراسات متعددة إلى أن التعرض المستمر للمعادن الثقيلة مثل الرصاص والزئبق، وكذلك الملوثات الكيميائية الزراعية، يرفع من خطر </w:t>
      </w:r>
      <w:r w:rsidRPr="00E154C9">
        <w:rPr>
          <w:rFonts w:asciiTheme="majorBidi" w:hAnsiTheme="majorBidi" w:cstheme="majorBidi"/>
          <w:sz w:val="28"/>
          <w:szCs w:val="28"/>
          <w:rtl/>
        </w:rPr>
        <w:lastRenderedPageBreak/>
        <w:t>الإصابة بالأمراض العصبية المزمنة (السلمي وعطيه، 2022). كما أن التعرض للإشعاعات والأضرار الناتجة عن الإصابات الدماغية الحادة أو المتكررة يلعب دورًا هامًا في زيادة احتمالات الإصابة بهذه الأمراض (علواني وآخرون، 2024)</w:t>
      </w:r>
      <w:r w:rsidRPr="00E154C9">
        <w:rPr>
          <w:rFonts w:asciiTheme="majorBidi" w:hAnsiTheme="majorBidi" w:cstheme="majorBidi"/>
          <w:sz w:val="28"/>
          <w:szCs w:val="28"/>
          <w:lang w:bidi="ar-EG"/>
        </w:rPr>
        <w:t>.</w:t>
      </w:r>
    </w:p>
    <w:p w14:paraId="514AA49C"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ثالثًا، تلعب العوامل السلوكية وأسلوب الحياة دورًا كبيرًا في ظهور وتفاقم الأمراض العصبية المزمنة. فقلة النشاط البدني، والتدخين، وسوء التغذية، والإفراط في تناول الكحوليات تعتبر عوامل خطر معروفة تسهم في تلف الجهاز العصبي وزيادة فرصة الإصابة به. أكدت الأبحاث أن اتباع نمط حياة صحي يمكن أن يخفف من شدة الأعراض ويؤخر تقدم المرض (قلاده ونرمين، 2025). علاوة على ذلك، يؤثر التوتر النفسي المزمن على صحة الجهاز العصبي من خلال زيادة الالتهابات وتقليل قدرة الخلايا العصبية على التجدد</w:t>
      </w:r>
      <w:r w:rsidRPr="00E154C9">
        <w:rPr>
          <w:rFonts w:asciiTheme="majorBidi" w:hAnsiTheme="majorBidi" w:cstheme="majorBidi"/>
          <w:sz w:val="28"/>
          <w:szCs w:val="28"/>
          <w:lang w:bidi="ar-EG"/>
        </w:rPr>
        <w:t xml:space="preserve"> (Fundoiano-Hershcovitz et al., 2021).</w:t>
      </w:r>
    </w:p>
    <w:p w14:paraId="3799E6B7"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رابعًا، الأمراض المزمنة الأخرى مثل السكري وارتفاع ضغط الدم تؤثر بشكل غير مباشر على صحة الجهاز العصبي، حيث تؤدي إلى ضعف تدفق الدم إلى الدماغ وتلف الأعصاب، مما يزيد من خطر الإصابة بالأمراض العصبية المزمنة (محمد وغريب، 2023). كما أن هذه الحالات المرضية تزيد من التعقيدات العلاجية وتؤثر على فعالية الأدوية المستخدمة لعلاج الأمراض العصبية</w:t>
      </w:r>
      <w:r w:rsidRPr="00E154C9">
        <w:rPr>
          <w:rFonts w:asciiTheme="majorBidi" w:hAnsiTheme="majorBidi" w:cstheme="majorBidi"/>
          <w:sz w:val="28"/>
          <w:szCs w:val="28"/>
          <w:lang w:bidi="ar-EG"/>
        </w:rPr>
        <w:t>.</w:t>
      </w:r>
    </w:p>
    <w:p w14:paraId="2634BF7E"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خامسًا، هناك عوامل اجتماعية واقتصادية تلعب دورًا في التأثير على فرص الإصابة بالأمراض العصبية المزمنة ومدى تأثيرها على الأفراد، مثل مستوى التعليم، الوصول إلى الخدمات الصحية، والدعم الاجتماعي. أشارت الدراسات إلى أن الأفراد ذوي الدخل المنخفض والمستوى التعليمي المحدود يواجهون صعوبات أكبر في الحصول على العلاج المناسب والتوعية اللازمة، مما يؤدي إلى تفاقم الحالة الصحية (صبرة وواضحة، 2024)</w:t>
      </w:r>
      <w:r w:rsidRPr="00E154C9">
        <w:rPr>
          <w:rFonts w:asciiTheme="majorBidi" w:hAnsiTheme="majorBidi" w:cstheme="majorBidi"/>
          <w:sz w:val="28"/>
          <w:szCs w:val="28"/>
          <w:lang w:bidi="ar-EG"/>
        </w:rPr>
        <w:t>.</w:t>
      </w:r>
    </w:p>
    <w:p w14:paraId="50A3036A" w14:textId="77777777" w:rsidR="005C5866" w:rsidRPr="00E154C9" w:rsidRDefault="005C5866" w:rsidP="005C5866">
      <w:pPr>
        <w:spacing w:line="360" w:lineRule="auto"/>
        <w:rPr>
          <w:rFonts w:asciiTheme="majorBidi" w:hAnsiTheme="majorBidi" w:cstheme="majorBidi"/>
          <w:sz w:val="28"/>
          <w:szCs w:val="28"/>
          <w:lang w:bidi="ar-EG"/>
        </w:rPr>
      </w:pPr>
      <w:r w:rsidRPr="005C5866">
        <w:rPr>
          <w:rFonts w:asciiTheme="majorBidi" w:hAnsiTheme="majorBidi" w:cstheme="majorBidi" w:hint="cs"/>
          <w:sz w:val="28"/>
          <w:szCs w:val="28"/>
          <w:u w:val="single"/>
          <w:shd w:val="clear" w:color="auto" w:fill="F2CEED" w:themeFill="accent5" w:themeFillTint="33"/>
          <w:rtl/>
        </w:rPr>
        <w:t>رؤية الباحثة:</w:t>
      </w:r>
      <w:r w:rsidRPr="005C5866">
        <w:rPr>
          <w:rFonts w:asciiTheme="majorBidi" w:hAnsiTheme="majorBidi" w:cstheme="majorBidi"/>
          <w:sz w:val="28"/>
          <w:szCs w:val="28"/>
          <w:rtl/>
        </w:rPr>
        <w:t xml:space="preserve"> يبرز تأثير الإعلام الرقمي ووسائل التواصل الاجتماعي في التأثير على سلوكيات الأفراد تجاه الوقاية والعلاج، حيث تساعد هذه الوسائل في نشر المعلومات الصحية والتوعية حول عوامل الخطر، مما يسهم في الحد من انتشار الأمراض العصبية المزمنة إذا ما استُخدمت بشكل فعال</w:t>
      </w:r>
      <w:r w:rsidRPr="005C5866">
        <w:rPr>
          <w:rFonts w:asciiTheme="majorBidi" w:hAnsiTheme="majorBidi" w:cstheme="majorBidi"/>
          <w:sz w:val="28"/>
          <w:szCs w:val="28"/>
          <w:lang w:bidi="ar-EG"/>
        </w:rPr>
        <w:t xml:space="preserve"> (Wang &amp; Liao, 2024).</w:t>
      </w:r>
    </w:p>
    <w:p w14:paraId="18C6CDA8"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تُظهر هذه العوامل مجتمعة أن الأمراض العصبية المزمنة هي نتيجة لتفاعل معقد بين عوامل متعددة تتطلب مقاربة شاملة في الوقاية والعلاج، مع التركيز على تعديل العوامل السلوكية وتحسين الظروف البيئية والاجتماعية، إلى جانب التطورات الطبية والتكنولوجية الحديثة</w:t>
      </w:r>
      <w:r w:rsidRPr="00E154C9">
        <w:rPr>
          <w:rFonts w:asciiTheme="majorBidi" w:hAnsiTheme="majorBidi" w:cstheme="majorBidi"/>
          <w:sz w:val="28"/>
          <w:szCs w:val="28"/>
          <w:lang w:bidi="ar-EG"/>
        </w:rPr>
        <w:t>.</w:t>
      </w:r>
    </w:p>
    <w:p w14:paraId="1DCC58D6"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تُعتبر العوامل الوراثية أحد أهم الأسباب التي تؤثر في الإصابة بالأمراض العصبية المزمنة، إذ تشير الأبحاث الحديثة إلى وجود جينات معينة مرتبطة بزيادة خطر الإصابة بأمراض مثل مرض باركنسون والزهايمر</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وتُظهر الدراسات أن الطفرات الجينية قد تؤدي إلى خلل في تكوين البروتينات العصبية أو تأثير سلبي على الوظائف الخلوية في الجهاز العصبي، مما يُسهم في تدهور الخلايا العصبية وفقدان الاتصال بينها</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كما أن الفهم المتقدم للجينوم البشري ساعد في الكشف عن هذه الطفرات وتطوير استراتيجيات علاجية تستهدف الآليات الجينية للمرض (قلاده ونرمين، 2025). لذلك، يُعتبر التحليل الجيني والتشخيص المبكر من الأدوات المهمة في الكشف عن الأمراض العصبية المزمنة، مما يساعد في تخطيط العلاج المناسب والوقاية من تطور المرض</w:t>
      </w:r>
      <w:r w:rsidRPr="00E154C9">
        <w:rPr>
          <w:rFonts w:asciiTheme="majorBidi" w:hAnsiTheme="majorBidi" w:cstheme="majorBidi"/>
          <w:sz w:val="28"/>
          <w:szCs w:val="28"/>
          <w:lang w:bidi="ar-EG"/>
        </w:rPr>
        <w:t>.</w:t>
      </w:r>
    </w:p>
    <w:p w14:paraId="29C7BC44"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في الجانب البيئي، تؤثر الظروف المعيشية والتعرض للملوثات بشدة على صحة الجهاز العصبي، حيث تؤكد الدراسات الحديثة أن التعرض المستمر للمعادن الثقيلة مثل الرصاص والزئبق والمواد الكيميائية السامة يزيد من خطر الإصابة بأمراض عصبية مزمنة (السلمي وعطيه، 2022). بالإضافة إلى ذلك، فإن التعرض للإصابات الدماغية المتكررة أو الحادة، مثل تلك التي تحدث بسبب الحوادث أو الرياضات العنيفة، يُعد من العوامل التي تزيد من احتمالية الإصابة بأمراض عصبية مزمنة كالتصلب المتعدد أو تلف الأعصاب (علواني وآخرون، 2024). هذا بالإضافة إلى تأثير التلوث الهوائي، الذي يُعتبر من أبرز عوامل الخطر المؤثرة على صحة الدماغ والجهاز العصبي، حيث أظهرت الدراسات أن الجزيئات الدقيقة الناتجة عن التلوث تساهم في زيادة الالتهابات العصبية والتدهور الإدراكي</w:t>
      </w:r>
      <w:r w:rsidRPr="00E154C9">
        <w:rPr>
          <w:rFonts w:asciiTheme="majorBidi" w:hAnsiTheme="majorBidi" w:cstheme="majorBidi"/>
          <w:sz w:val="28"/>
          <w:szCs w:val="28"/>
          <w:lang w:bidi="ar-EG"/>
        </w:rPr>
        <w:t>.</w:t>
      </w:r>
    </w:p>
    <w:p w14:paraId="6E8E46BB"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أما فيما يتعلق بالعوامل السلوكية، فقد أظهرت الأبحاث أن نمط الحياة غير الصحي يلعب دورًا كبيرًا في زيادة احتمالية الإصابة بالأمراض العصبية المزمنة أو تفاقمها. فقلة ممارسة النشاط البدني المنتظم تسهم في ضعف الدورة الدموية وضعف دعم الخلايا العصبية، مما يؤدي إلى تدهور الوظائف العصبية (قلاده ونرمين، 2025). كما أن التدخين يُعتبر من أبرز عوامل الخطر، حيث يحتوي على مواد سامة تؤثر على الأوعية الدموية وتزيد من الالتهابات العصبية</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بالإضافة إلى ذلك، فإن سوء التغذية، خاصة نقص الفيتامينات والمعادن المهمة لصحة الدماغ مثل فيتامين د، فيتامين ب12، وأحماض أوميغا 3 الدهنية، يرتبط ارتباطًا وثيقًا بزيادة مخاطر الإصابة بهذه الأمراض (محمد وغريب، 2023). ويُضاف إلى ذلك تأثير الإجهاد النفسي المزمن، الذي يؤدي إلى تغييرات هرمونية وبيوكيميائية تؤثر على صحة الخلايا العصبية وتعزز من حدوث الالتهابات العصبية</w:t>
      </w:r>
      <w:r w:rsidRPr="00E154C9">
        <w:rPr>
          <w:rFonts w:asciiTheme="majorBidi" w:hAnsiTheme="majorBidi" w:cstheme="majorBidi"/>
          <w:sz w:val="28"/>
          <w:szCs w:val="28"/>
          <w:lang w:bidi="ar-EG"/>
        </w:rPr>
        <w:t>.</w:t>
      </w:r>
    </w:p>
    <w:p w14:paraId="7A66424F"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من ناحية أخرى، تلعب الأمراض المزمنة المصاحبة مثل السكري وارتفاع ضغط الدم دورًا هامًا في تفاقم الحالة الصحية للجهاز العصبي، حيث تؤثر هذه الأمراض على الأوعية الدموية وتؤدي إلى ضعف تدفق الدم إلى الدماغ والأعصاب الطرفية، مما يزيد من فرص الإصابة باعتلالات عصبية مزمنة (محمد وغريب، 2023). كما أن تعقيد الحالات الطبية المصاحبة يزيد من صعوبة إدارة المرض العصبي ويقلل من فعالية العلاج الدوائي، مما يستدعي اتباع نهج طبي متكامل يراعي التعامل مع الأمراض المتزامنة بفعالية</w:t>
      </w:r>
      <w:r w:rsidRPr="00E154C9">
        <w:rPr>
          <w:rFonts w:asciiTheme="majorBidi" w:hAnsiTheme="majorBidi" w:cstheme="majorBidi"/>
          <w:sz w:val="28"/>
          <w:szCs w:val="28"/>
          <w:lang w:bidi="ar-EG"/>
        </w:rPr>
        <w:t>.</w:t>
      </w:r>
    </w:p>
    <w:p w14:paraId="400ABA46"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العوامل الاجتماعية والاقتصادية تلعب دورًا لا يقل أهمية عن العوامل البيولوجية والسلوكية في تطور الأمراض العصبية المزمنة، حيث تؤثر مستويات التعليم والدخل والبيئة الاجتماعية في الوصول إلى الخدمات الصحية والرعاية اللازمة (صبرة وواضحة، 2024). تشير الدراسات إلى أن الفئات ذات الدخل المنخفض أو التعليم المحدود تعاني من ضعف التوعية الصحية، مما يؤدي إلى تأخر التشخيص وتدهور الحالة الصحية (علواني وآخرون، 2024). كما تؤثر العوامل الاجتماعية في القدرة على الالتزام بالعلاج والمتابعة الطبية، فضلاً عن الدعم النفسي والاجتماعي الذي يحتاجه المرضى لمواجهة تحديات المرض</w:t>
      </w:r>
      <w:r w:rsidRPr="00E154C9">
        <w:rPr>
          <w:rFonts w:asciiTheme="majorBidi" w:hAnsiTheme="majorBidi" w:cstheme="majorBidi"/>
          <w:sz w:val="28"/>
          <w:szCs w:val="28"/>
          <w:lang w:bidi="ar-EG"/>
        </w:rPr>
        <w:t>.</w:t>
      </w:r>
    </w:p>
    <w:p w14:paraId="7698E6B8"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في ظل التقدم التكنولوجي، أصبح الإعلام الرقمي ووسائل التواصل الاجتماعي أدوات فعالة في نشر الوعي الصحي وتعديل السلوكيات المرتبطة بالأمراض العصبية المزمنة. تظهر الدراسات الحديثة أن استخدام المنصات الرقمية يساهم في تحسين مستوى المعرفة لدى الجمهور، ويسهل الوصول إلى المعلومات الطبية الموثوقة، مما يعزز من قدرة الأفراد على اتخاذ قرارات صحية سليمة</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كما تتيح هذه الوسائل إنشاء مجتمعات دعم افتراضية تساعد المرضى وعائلاتهم على تبادل الخبرات وتقديم الدعم النفسي والاجتماعي، وهو ما يعد عاملًا مساعدًا في تحسين جودة الحياة وتقليل الشعور بالعزلة (صبرة وواضحة، 2024</w:t>
      </w:r>
      <w:r>
        <w:rPr>
          <w:rFonts w:asciiTheme="majorBidi" w:hAnsiTheme="majorBidi" w:cstheme="majorBidi" w:hint="cs"/>
          <w:sz w:val="28"/>
          <w:szCs w:val="28"/>
          <w:rtl/>
          <w:lang w:bidi="ar-EG"/>
        </w:rPr>
        <w:t>)</w:t>
      </w:r>
    </w:p>
    <w:p w14:paraId="62D81222"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بالإضافة إلى ذلك، تؤكد الأبحاث على أهمية الكشف المبكر والتدخل السريع للحد من مضاعفات الأمراض العصبية المزمنة، ويبرز الإعلام الرقمي كأداة رئيسية في تحفيز الأفراد على إجراء الفحوصات الدورية واتباع أنماط حياة صحية. كما يسهم الإعلام في تصحيح المعلومات المغلوطة التي قد تنتشر عبر الإنترنت، مما يساعد في تقليل الشائعات التي تؤثر سلبًا على صحة المرضى وفعالية العلاج (علواني وآخرون، 2024)</w:t>
      </w:r>
      <w:r w:rsidRPr="00E154C9">
        <w:rPr>
          <w:rFonts w:asciiTheme="majorBidi" w:hAnsiTheme="majorBidi" w:cstheme="majorBidi"/>
          <w:sz w:val="28"/>
          <w:szCs w:val="28"/>
          <w:lang w:bidi="ar-EG"/>
        </w:rPr>
        <w:t>.</w:t>
      </w:r>
    </w:p>
    <w:p w14:paraId="163C94C5" w14:textId="77777777" w:rsidR="005C5866" w:rsidRPr="00E154C9" w:rsidRDefault="005C5866" w:rsidP="005C5866">
      <w:pPr>
        <w:spacing w:line="360" w:lineRule="auto"/>
        <w:rPr>
          <w:rFonts w:asciiTheme="majorBidi" w:hAnsiTheme="majorBidi" w:cstheme="majorBidi"/>
          <w:sz w:val="28"/>
          <w:szCs w:val="28"/>
          <w:rtl/>
          <w:lang w:bidi="ar-EG"/>
        </w:rPr>
      </w:pPr>
      <w:r w:rsidRPr="00E154C9">
        <w:rPr>
          <w:rFonts w:asciiTheme="majorBidi" w:hAnsiTheme="majorBidi" w:cstheme="majorBidi"/>
          <w:sz w:val="28"/>
          <w:szCs w:val="28"/>
          <w:rtl/>
        </w:rPr>
        <w:t xml:space="preserve">و يتضح أن الأسباب والعوامل المرتبطة بالأمراض العصبية المزمنة متعددة ومترابطة، وتتطلب استراتيجيات متكاملة تشمل الجانب الطبي، البيئي، الاجتماعي، والتوعوي. وتستلزم مواجهة هذه التحديات </w:t>
      </w:r>
      <w:r w:rsidRPr="00E154C9">
        <w:rPr>
          <w:rFonts w:asciiTheme="majorBidi" w:hAnsiTheme="majorBidi" w:cstheme="majorBidi"/>
          <w:sz w:val="28"/>
          <w:szCs w:val="28"/>
          <w:rtl/>
        </w:rPr>
        <w:lastRenderedPageBreak/>
        <w:t>جهودًا مشتركة من الجهات الصحية، الإعلامية، والتعليمية لتطوير برامج وقائية وعلاجية شاملة تستهدف الحد من تأثير هذه الأمراض على الأفراد والمجتمعات</w:t>
      </w:r>
      <w:r w:rsidRPr="00E154C9">
        <w:rPr>
          <w:rFonts w:asciiTheme="majorBidi" w:hAnsiTheme="majorBidi" w:cstheme="majorBidi"/>
          <w:sz w:val="28"/>
          <w:szCs w:val="28"/>
          <w:lang w:bidi="ar-EG"/>
        </w:rPr>
        <w:t>.</w:t>
      </w:r>
    </w:p>
    <w:p w14:paraId="3642D64A"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 xml:space="preserve">المطلب الثالث: أبرز الأمراض العصبية المزمنة </w:t>
      </w:r>
    </w:p>
    <w:p w14:paraId="3D2393E6" w14:textId="77777777" w:rsidR="005C5866" w:rsidRPr="00E154C9" w:rsidRDefault="005C5866" w:rsidP="005C5866">
      <w:pPr>
        <w:spacing w:line="360" w:lineRule="auto"/>
        <w:rPr>
          <w:rFonts w:asciiTheme="majorBidi" w:hAnsiTheme="majorBidi" w:cstheme="majorBidi"/>
          <w:sz w:val="28"/>
          <w:szCs w:val="28"/>
        </w:rPr>
      </w:pPr>
      <w:r w:rsidRPr="00046EB2">
        <w:rPr>
          <w:rFonts w:asciiTheme="majorBidi" w:hAnsiTheme="majorBidi" w:cstheme="majorBidi" w:hint="cs"/>
          <w:sz w:val="28"/>
          <w:szCs w:val="28"/>
          <w:rtl/>
        </w:rPr>
        <w:t xml:space="preserve">تمهيد: </w:t>
      </w:r>
      <w:r w:rsidRPr="00046EB2">
        <w:rPr>
          <w:rFonts w:asciiTheme="majorBidi" w:hAnsiTheme="majorBidi" w:cstheme="majorBidi"/>
          <w:sz w:val="28"/>
          <w:szCs w:val="28"/>
          <w:rtl/>
        </w:rPr>
        <w:t>تُعد الأمراض العصبية المزمنة من أكثر الأمراض تعقيدًا وانتشارًا في العالم، لما لها من تأثير بالغ على صحة الأفراد وجودة حياتهم. من بين هذه الأمراض، يبرز التصلب اللويحي، الصرع، الزهايمر، ومرض باركنسون كأمثلة رئيسية تمثل تحديات كبيرة للقطاع الصحي والمجتمع بشكل عام (قلاده ونرمين، 2025)</w:t>
      </w:r>
      <w:r w:rsidRPr="00046EB2">
        <w:rPr>
          <w:rFonts w:asciiTheme="majorBidi" w:hAnsiTheme="majorBidi" w:cstheme="majorBidi"/>
          <w:sz w:val="28"/>
          <w:szCs w:val="28"/>
        </w:rPr>
        <w:t>.</w:t>
      </w:r>
    </w:p>
    <w:p w14:paraId="18EDAF2E"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التصلب اللويحي</w:t>
      </w:r>
      <w:r w:rsidRPr="00E154C9">
        <w:rPr>
          <w:rFonts w:asciiTheme="majorBidi" w:hAnsiTheme="majorBidi" w:cstheme="majorBidi"/>
          <w:b/>
          <w:bCs/>
          <w:sz w:val="28"/>
          <w:szCs w:val="28"/>
        </w:rPr>
        <w:t xml:space="preserve"> (Multiple Sclerosis)</w:t>
      </w:r>
    </w:p>
    <w:p w14:paraId="71663C45"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التصلب اللويحي هو مرض مناعي ذاتي مزمن يصيب الجهاز العصبي المركزي، حيث يهاجم الجهاز المناعي الغلاف الواقي للألياف العصبية المعروف بالميلين، مما يؤدي إلى تآكلها وتعطيل نقل الإشارات العصبية بين الدماغ والحبل الشوكي</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تتفاوت أعراض التصلب اللويحي بشكل كبير بين المرضى، وتشمل ضعف العضلات، مشاكل في التوازن والتنسيق الحركي، التعب المزمن، واضطرابات حسية مثل التنميل والخدر. كما قد يعاني المرضى من مشاكل في الرؤية والتفكير</w:t>
      </w:r>
      <w:r w:rsidRPr="00E154C9">
        <w:rPr>
          <w:rFonts w:asciiTheme="majorBidi" w:hAnsiTheme="majorBidi" w:cstheme="majorBidi"/>
          <w:sz w:val="28"/>
          <w:szCs w:val="28"/>
        </w:rPr>
        <w:t xml:space="preserve"> (Wang &amp; Liao, 2024).</w:t>
      </w:r>
    </w:p>
    <w:p w14:paraId="7A23049F"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يعد التصلب اللويحي من الأمراض المزمنة التي يمكن أن تتطور بشكل متقطع، حيث تظهر نوبات من الأعراض تتبعها فترات هدوء، وفي بعض الحالات يتطور المرض بشكل مستمر مع تفاقم الأعراض (علواني وآخرون، 2024). على الرغم من أن أسباب التصلب اللويحي غير معروفة بشكل كامل، تشير الدراسات إلى تداخل العوامل الوراثية والبيئية، مثل التعرض لبعض الفيروسات، في تحفيز حدوث المرض (قلاده ونرمين، 2025)</w:t>
      </w:r>
      <w:r w:rsidRPr="00E154C9">
        <w:rPr>
          <w:rFonts w:asciiTheme="majorBidi" w:hAnsiTheme="majorBidi" w:cstheme="majorBidi"/>
          <w:sz w:val="28"/>
          <w:szCs w:val="28"/>
        </w:rPr>
        <w:t>.</w:t>
      </w:r>
    </w:p>
    <w:p w14:paraId="2C7534A2"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الصرع</w:t>
      </w:r>
      <w:r w:rsidRPr="00E154C9">
        <w:rPr>
          <w:rFonts w:asciiTheme="majorBidi" w:hAnsiTheme="majorBidi" w:cstheme="majorBidi"/>
          <w:b/>
          <w:bCs/>
          <w:sz w:val="28"/>
          <w:szCs w:val="28"/>
        </w:rPr>
        <w:t xml:space="preserve"> (Epilepsy)</w:t>
      </w:r>
    </w:p>
    <w:p w14:paraId="277101D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الصرع هو اضطراب عصبي مزمن يتميز بحدوث نوبات متكررة من النشاط الكهربائي غير الطبيعي في الدماغ، مما يؤدي إلى تشنجات وانقطاعات مؤقتة في الوظائف العصبية (محمد وغريب، 2023). تختلف نوبات الصرع في شدتها وطبيعتها بين الأفراد، فقد تكون نوبات بسيطة مع فقدان وعي مؤقت، أو نوبات معقدة تشمل تشنجات قوية وفقدان السيطرة على الجسم</w:t>
      </w:r>
      <w:r w:rsidRPr="00E154C9">
        <w:rPr>
          <w:rFonts w:asciiTheme="majorBidi" w:hAnsiTheme="majorBidi" w:cstheme="majorBidi"/>
          <w:sz w:val="28"/>
          <w:szCs w:val="28"/>
        </w:rPr>
        <w:t>.</w:t>
      </w:r>
    </w:p>
    <w:p w14:paraId="356090E3"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يُصنف الصرع إلى عدة أنواع وفقًا لأصل النوبات والمناطق الدماغية المتأثرة، وتتراوح أسباب الصرع بين عوامل وراثية، إصابات دماغية، أمراض معدية، وأحيانًا تكون غير معروفة المصدر (السلمي وعطيه، 2022). يؤثر الصرع بشكل كبير على الحياة اليومية للمرضى، حيث يتطلب التحكم في النوبات من خلال العلاج الدوائي المستمر والمتابعة الطبية الدقيقة</w:t>
      </w:r>
      <w:r w:rsidRPr="00E154C9">
        <w:rPr>
          <w:rFonts w:asciiTheme="majorBidi" w:hAnsiTheme="majorBidi" w:cstheme="majorBidi"/>
          <w:sz w:val="28"/>
          <w:szCs w:val="28"/>
        </w:rPr>
        <w:t xml:space="preserve"> (Fundoiano-Hershcovitz et al., 2021).</w:t>
      </w:r>
    </w:p>
    <w:p w14:paraId="54A33100"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الزهايمر</w:t>
      </w:r>
      <w:r w:rsidRPr="00E154C9">
        <w:rPr>
          <w:rFonts w:asciiTheme="majorBidi" w:hAnsiTheme="majorBidi" w:cstheme="majorBidi"/>
          <w:b/>
          <w:bCs/>
          <w:sz w:val="28"/>
          <w:szCs w:val="28"/>
        </w:rPr>
        <w:t xml:space="preserve"> (Alzheimer’s Disease)</w:t>
      </w:r>
    </w:p>
    <w:p w14:paraId="139BB35B"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الزهايمر هو اضطراب عصبي تنكسي مزمن يؤدي إلى تدهور تدريجي في القدرات الإدراكية مثل الذاكرة والتفكير، ويُعتبر السبب الأكثر شيوعًا للخرف لدى كبار السن (علواني وآخرون، 2024). يتسبب هذا المرض في تراكم بروتينات غير طبيعية في الدماغ تؤدي إلى موت الخلايا العصبية وفقدان التواصل بينها</w:t>
      </w:r>
      <w:r w:rsidRPr="00E154C9">
        <w:rPr>
          <w:rFonts w:asciiTheme="majorBidi" w:hAnsiTheme="majorBidi" w:cstheme="majorBidi"/>
          <w:sz w:val="28"/>
          <w:szCs w:val="28"/>
        </w:rPr>
        <w:t>.</w:t>
      </w:r>
    </w:p>
    <w:p w14:paraId="573C622E"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تبدأ أعراض الزهايمر عادة بفقدان الذاكرة القصيرة المدى، ثم تتطور لتشمل صعوبات في اللغة، التفكير المنطقي، والتصرفات الاجتماعية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تؤثر هذه التغيرات بشكل كبير على استقلالية المرضى وقدرتهم على القيام بالأنشطة اليومية. لا يزال السبب الدقيق لمرض الزهايمر غير معروف بشكل كامل، لكن العوامل الوراثية والبيئية تلعب دورًا في تطوره (قلاده ونرمين، 2025</w:t>
      </w:r>
      <w:r w:rsidRPr="00E154C9">
        <w:rPr>
          <w:rFonts w:asciiTheme="majorBidi" w:hAnsiTheme="majorBidi" w:cstheme="majorBidi"/>
          <w:sz w:val="28"/>
          <w:szCs w:val="28"/>
        </w:rPr>
        <w:t>).</w:t>
      </w:r>
    </w:p>
    <w:p w14:paraId="428F5A6C"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باركنسون</w:t>
      </w:r>
      <w:r w:rsidRPr="00E154C9">
        <w:rPr>
          <w:rFonts w:asciiTheme="majorBidi" w:hAnsiTheme="majorBidi" w:cstheme="majorBidi"/>
          <w:b/>
          <w:bCs/>
          <w:sz w:val="28"/>
          <w:szCs w:val="28"/>
        </w:rPr>
        <w:t xml:space="preserve"> (Parkinson’s Disease)</w:t>
      </w:r>
    </w:p>
    <w:p w14:paraId="108CC7A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باركنسون هو اضطراب تنكسي يؤثر على الجهاز العصبي المركزي، ويتمثل في فقدان الخلايا العصبية المنتجة لمادة الدوبامين في منطقة معينة من الدماغ</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يؤدي ذلك إلى ظهور أعراض حركية مميزة مثل الرعاش، التيبس، بطء الحركة، وصعوبة في التوازن</w:t>
      </w:r>
      <w:r w:rsidRPr="00E154C9">
        <w:rPr>
          <w:rFonts w:asciiTheme="majorBidi" w:hAnsiTheme="majorBidi" w:cstheme="majorBidi"/>
          <w:sz w:val="28"/>
          <w:szCs w:val="28"/>
        </w:rPr>
        <w:t>.</w:t>
      </w:r>
    </w:p>
    <w:p w14:paraId="03D483D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يؤثر مرض باركنسون على جودة الحياة بشكل كبير، ويحتاج المرضى إلى علاج مستمر للتحكم في الأعراض وتحسين الأداء اليومي (محمد وغريب، 2023). تتركز أسباب المرض بين العوامل الوراثية والبيئية، بالإضافة إلى تأثير العوامل السلوكية ونمط الحياة، مما يجعل من الضروري اعتماد استراتيجيات متعددة للوقاية والعلاج (علواني وآخرون، 2024)</w:t>
      </w:r>
      <w:r w:rsidRPr="00E154C9">
        <w:rPr>
          <w:rFonts w:asciiTheme="majorBidi" w:hAnsiTheme="majorBidi" w:cstheme="majorBidi"/>
          <w:sz w:val="28"/>
          <w:szCs w:val="28"/>
        </w:rPr>
        <w:t>.</w:t>
      </w:r>
    </w:p>
    <w:p w14:paraId="0AD2F36D"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تُعدّ الأمراض العصبية المزمنة من الأسباب الرئيسية للإعاقة المزمنة في العالم، حيث تؤثر بشكل كبير على الجهاز العصبي وتغير من نمط حياة المرضى بصورة دائمة. من أبرز هذه الأمراض التصلب اللويحي، الذي </w:t>
      </w:r>
      <w:r w:rsidRPr="00E154C9">
        <w:rPr>
          <w:rFonts w:asciiTheme="majorBidi" w:hAnsiTheme="majorBidi" w:cstheme="majorBidi"/>
          <w:sz w:val="28"/>
          <w:szCs w:val="28"/>
          <w:rtl/>
        </w:rPr>
        <w:lastRenderedPageBreak/>
        <w:t>يُصنف كمرض مناعي ذاتي حيث يهاجم فيه الجهاز المناعي الخلايا العصبية السليمة، مسببًا فقدان الغلاف المياليني الذي يحمي الألياف العصبية، وهو ما يؤدي إلى اضطرابات في نقل الإشارات الكهربائية الضرورية لوظائف الجسم الحيوية. وتتراوح أعراض التصلب اللويحي بين التعب الشديد، فقدان الإحساس، اضطرابات بصرية، واضطرابات حركية تختلف شدتها تبعًا لتقدم المرض</w:t>
      </w:r>
      <w:r w:rsidRPr="00E154C9">
        <w:rPr>
          <w:rFonts w:asciiTheme="majorBidi" w:hAnsiTheme="majorBidi" w:cstheme="majorBidi"/>
          <w:sz w:val="28"/>
          <w:szCs w:val="28"/>
        </w:rPr>
        <w:t xml:space="preserve"> (Fundoiano-Hershcovitz et al., 2021).</w:t>
      </w:r>
    </w:p>
    <w:p w14:paraId="59D15D09"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الصرع، كأحد الأمراض العصبية المزمنة، يتميز بحدوث نوبات متكررة من النشاط الكهربائي غير الطبيعي في الدماغ، والتي قد تسبب تشنجات أو تغيرات مؤقتة في السلوك أو الوعي. يمكن أن يكون الصرع ناتجًا عن عدة عوامل مثل الإصابات الدماغية، العوامل الوراثية، أو الاضطرابات البيئية. وقد أظهرت الأبحاث أن تحكم المرض يتطلب استراتيجيات دوائية دقيقة، إلى جانب التعليم والتوعية المستمرة للمريض وعائلته لتقليل مخاطر النوبات والتعامل معها بشكل آمن (محمد وغريب، 2023)</w:t>
      </w:r>
      <w:r w:rsidRPr="00E154C9">
        <w:rPr>
          <w:rFonts w:asciiTheme="majorBidi" w:hAnsiTheme="majorBidi" w:cstheme="majorBidi"/>
          <w:sz w:val="28"/>
          <w:szCs w:val="28"/>
        </w:rPr>
        <w:t>.</w:t>
      </w:r>
    </w:p>
    <w:p w14:paraId="4FEB0433"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الزهايمر يمثل تحديًا طبيًا واجتماعيًا حقيقيًا بسبب طبيعته التنكسية التي تؤدي إلى فقدان تدريجي للذاكرة والقدرات الإدراكية، وهو أكثر أنواع الخرف انتشارًا بين كبار السن. يرتبط المرض بتراكم بروتينات الأميلويد والتاو في الدماغ، والتي تتسبب في موت الخلايا العصبية وانخفاض الكتلة الدماغية. لا يتوقف تأثير الزهايمر على الوظائف الإدراكية فقط، بل يمتد ليشمل التغيرات السلوكية والعاطفية التي تعوق حياة المرضى وأسرهم، مما يتطلب نهجًا متعدد التخصصات للعلاج والدعم (علواني وآخرون، 2024)</w:t>
      </w:r>
      <w:r w:rsidRPr="00E154C9">
        <w:rPr>
          <w:rFonts w:asciiTheme="majorBidi" w:hAnsiTheme="majorBidi" w:cstheme="majorBidi"/>
          <w:sz w:val="28"/>
          <w:szCs w:val="28"/>
        </w:rPr>
        <w:t>.</w:t>
      </w:r>
    </w:p>
    <w:p w14:paraId="060D01E1"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باركنسون يختلف عن باقي الأمراض العصبية المزمنة بتركيزه الأساسي على الأعراض الحركية الناتجة عن نقص الدوبامين في الدماغ، إلا أنه يشمل أيضًا أعراضًا غير حركية مثل اضطرابات النوم والاكتئاب. يعاني المرضى من الرعاش، التيبس العضلي، وصعوبة في الحركة والتوازن، مما يحد من استقلاليتهم وقدرتهم على أداء المهام اليومية. يشكل التداخل بين العوامل الوراثية والبيئية أهمية بالغة في فهم تطور المرض وتحديد الخيارات العلاجية المناسبة</w:t>
      </w:r>
      <w:r w:rsidRPr="00E154C9">
        <w:rPr>
          <w:rFonts w:asciiTheme="majorBidi" w:hAnsiTheme="majorBidi" w:cstheme="majorBidi"/>
          <w:sz w:val="28"/>
          <w:szCs w:val="28"/>
        </w:rPr>
        <w:t xml:space="preserve"> (Fundoiano-Hershcovitz et al., 2021).</w:t>
      </w:r>
    </w:p>
    <w:p w14:paraId="3C0DD70D" w14:textId="77777777" w:rsidR="005C5866"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تجدر الإشارة إلى أن جميع هذه الأمراض العصبية المزمنة تشترك في كونها تتطلب تدخلًا مبكرًا وتكامليًا يشمل العلاج الدوائي، التأهيل النفسي والاجتماعي، والتوعية المجتمعية عبر وسائل الإعلام الرقمي لضمان تحسين جودة الحياة للمصابين. كما تلعب التكنولوجيا الحديثة دورًا متزايدًا في تشخيص هذه الأمراض، مراقبة تقدمها، وتقديم الدعم النفسي للمرضى، مما يفتح آفاقًا جديدة لإدارة هذه الأمراض بشكل أكثر فعالية</w:t>
      </w:r>
      <w:r w:rsidRPr="00E154C9">
        <w:rPr>
          <w:rFonts w:asciiTheme="majorBidi" w:hAnsiTheme="majorBidi" w:cstheme="majorBidi"/>
          <w:sz w:val="28"/>
          <w:szCs w:val="28"/>
        </w:rPr>
        <w:t xml:space="preserve"> (Wang &amp; Liao, 2024).</w:t>
      </w:r>
    </w:p>
    <w:p w14:paraId="79FFDE0B" w14:textId="77777777" w:rsidR="005C5866" w:rsidRDefault="005C5866" w:rsidP="005C5866">
      <w:pPr>
        <w:spacing w:line="360" w:lineRule="auto"/>
        <w:rPr>
          <w:rFonts w:asciiTheme="majorBidi" w:hAnsiTheme="majorBidi" w:cstheme="majorBidi"/>
          <w:sz w:val="28"/>
          <w:szCs w:val="28"/>
        </w:rPr>
      </w:pPr>
    </w:p>
    <w:p w14:paraId="67F64168" w14:textId="77777777" w:rsidR="005C5866" w:rsidRPr="00E154C9" w:rsidRDefault="005C5866" w:rsidP="005C5866">
      <w:pPr>
        <w:spacing w:line="360" w:lineRule="auto"/>
        <w:rPr>
          <w:rFonts w:asciiTheme="majorBidi" w:hAnsiTheme="majorBidi" w:cstheme="majorBidi"/>
          <w:sz w:val="28"/>
          <w:szCs w:val="28"/>
        </w:rPr>
      </w:pPr>
    </w:p>
    <w:p w14:paraId="6D3824E5" w14:textId="77777777" w:rsidR="005C5866" w:rsidRPr="005C5866" w:rsidRDefault="005C5866" w:rsidP="005C5866">
      <w:pPr>
        <w:spacing w:line="360" w:lineRule="auto"/>
        <w:rPr>
          <w:rFonts w:asciiTheme="majorBidi" w:hAnsiTheme="majorBidi" w:cstheme="majorBidi"/>
          <w:b/>
          <w:bCs/>
          <w:sz w:val="28"/>
          <w:szCs w:val="28"/>
          <w:rtl/>
        </w:rPr>
      </w:pPr>
      <w:r w:rsidRPr="005C5866">
        <w:rPr>
          <w:rFonts w:asciiTheme="majorBidi" w:hAnsiTheme="majorBidi" w:cstheme="majorBidi"/>
          <w:b/>
          <w:bCs/>
          <w:sz w:val="28"/>
          <w:szCs w:val="28"/>
          <w:rtl/>
        </w:rPr>
        <w:t>المطلب الرابع: أثر هذه الأمراض على الفرد والمجتمع</w:t>
      </w:r>
    </w:p>
    <w:p w14:paraId="1DEC5789" w14:textId="77777777" w:rsidR="005C5866" w:rsidRPr="005C5866" w:rsidRDefault="005C5866" w:rsidP="005C5866">
      <w:pPr>
        <w:spacing w:line="360" w:lineRule="auto"/>
        <w:rPr>
          <w:rFonts w:asciiTheme="majorBidi" w:hAnsiTheme="majorBidi" w:cstheme="majorBidi"/>
          <w:sz w:val="28"/>
          <w:szCs w:val="28"/>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تُعد الأمراض العصبية المزمنة من أبرز التحديات الصحية التي تؤثر على الأفراد والمجتمعات بشكل واسع ومتنوع. تتجاوز آثار هذه الأمراض الجوانب الطبية لتشمل التأثيرات النفسية، الاجتماعية، الاقتصادية، والثقافية، مما يجعل فهمها وإدارتها أمرًا بالغ الأهمية للحد من تداعياتها السلبية على الفرد والمجتمع. في هذا المطلب، سيتم استعراض أثر الأمراض العصبية المزمنة على مختلف المستويات، مع التركيز على الجوانب الحياتية، الاقتصادية والاجتماعية، والتحديات التي تفرضها على نظم الرعاية الصحية</w:t>
      </w:r>
      <w:r w:rsidRPr="005C5866">
        <w:rPr>
          <w:rFonts w:asciiTheme="majorBidi" w:hAnsiTheme="majorBidi" w:cstheme="majorBidi"/>
          <w:sz w:val="28"/>
          <w:szCs w:val="28"/>
        </w:rPr>
        <w:t>.</w:t>
      </w:r>
    </w:p>
    <w:p w14:paraId="0EE6DD4B" w14:textId="77777777" w:rsidR="005C5866" w:rsidRDefault="005C5866" w:rsidP="005C5866">
      <w:pPr>
        <w:spacing w:line="360" w:lineRule="auto"/>
        <w:rPr>
          <w:rFonts w:asciiTheme="majorBidi" w:hAnsiTheme="majorBidi" w:cstheme="majorBidi"/>
          <w:sz w:val="28"/>
          <w:szCs w:val="28"/>
          <w:rtl/>
        </w:rPr>
      </w:pPr>
      <w:r w:rsidRPr="005C5866">
        <w:rPr>
          <w:rFonts w:asciiTheme="majorBidi" w:hAnsiTheme="majorBidi" w:cstheme="majorBidi"/>
          <w:sz w:val="28"/>
          <w:szCs w:val="28"/>
          <w:rtl/>
        </w:rPr>
        <w:t>أولاً، على المستوى الفردي، يعاني المرضى المصابون بالأمراض العصبية المزمنة من تأثيرات جسدية واضحة تشمل فقدان القدرات الحركية، ضعف التنسيق العضلي، واضطرابات في الوظائف الحسية، مما يؤثر على استقلاليتهم في أداء الأنشطة اليومية. على سبيل المثال، مرضى التصلب اللويحي والباركنسون يواجهون صعوبات في المشي والتوازن، ما يزيد من مخاطر السقوط والإصابات</w:t>
      </w:r>
      <w:r w:rsidRPr="005C5866">
        <w:rPr>
          <w:rFonts w:asciiTheme="majorBidi" w:hAnsiTheme="majorBidi" w:cstheme="majorBidi"/>
          <w:sz w:val="28"/>
          <w:szCs w:val="28"/>
        </w:rPr>
        <w:t xml:space="preserve"> (Fundoiano-Hershcovitz et al., 2021). </w:t>
      </w:r>
      <w:r w:rsidRPr="005C5866">
        <w:rPr>
          <w:rFonts w:asciiTheme="majorBidi" w:hAnsiTheme="majorBidi" w:cstheme="majorBidi"/>
          <w:sz w:val="28"/>
          <w:szCs w:val="28"/>
          <w:rtl/>
        </w:rPr>
        <w:t>هذه الإعاقات الجسدية تقود إلى اعتماد المرضى على الآخرين، مما قد يؤثر سلبًا على احترام الذات ويزيد من شعورهم بالضعف والعجز</w:t>
      </w:r>
      <w:r w:rsidRPr="005C5866">
        <w:rPr>
          <w:rFonts w:asciiTheme="majorBidi" w:hAnsiTheme="majorBidi" w:cstheme="majorBidi"/>
          <w:sz w:val="28"/>
          <w:szCs w:val="28"/>
        </w:rPr>
        <w:t>.</w:t>
      </w:r>
    </w:p>
    <w:p w14:paraId="169E3CAD"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ثانيًا، من الناحية النفسية، تتسبب الأمراض العصبية المزمنة في ظهور مشكلات صحية نفسية شائعة مثل الاكتئاب، القلق، واضطرابات النوم. حيث أن التغيرات في الدماغ التي تسببها هذه الأمراض تؤثر على الوظائف العصبية المسؤولة عن تنظيم المزاج والعواطف (محمد وغريب، 2023). بالإضافة إلى ذلك، فإن الإعاقة والتحديات اليومية التي يواجهها المرضى قد تؤدي إلى عزلة اجتماعية وشعور بالوحدة، مما يفاقم الأعراض النفسية ويؤثر على جودة الحياة</w:t>
      </w:r>
      <w:r w:rsidRPr="00E154C9">
        <w:rPr>
          <w:rFonts w:asciiTheme="majorBidi" w:hAnsiTheme="majorBidi" w:cstheme="majorBidi"/>
          <w:sz w:val="28"/>
          <w:szCs w:val="28"/>
        </w:rPr>
        <w:t>.</w:t>
      </w:r>
    </w:p>
    <w:p w14:paraId="4F8A68BA"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ثالثًا، على المستوى الاجتماعي، تؤثر الأمراض العصبية المزمنة على العلاقات الأسرية والمجتمعية، حيث يتحمل أفراد الأسرة دور الرعاية والدعم المستمر، مما قد يؤدي إلى إجهاد نفسي واجتماعي لهم (قلاده ونرمين، 2025). بالإضافة إلى ذلك، يواجه المرضى صعوبات في الاندماج في المجتمع والعمل، خاصة في بيئات العمل التي لا توفر التسهيلات اللازمة للأشخاص ذوي الإعاقات، مما يؤدي إلى انخفاض الإنتاجية وزيادة معدلات البطالة بين المصابين</w:t>
      </w:r>
      <w:r w:rsidRPr="00E154C9">
        <w:rPr>
          <w:rFonts w:asciiTheme="majorBidi" w:hAnsiTheme="majorBidi" w:cstheme="majorBidi"/>
          <w:sz w:val="28"/>
          <w:szCs w:val="28"/>
        </w:rPr>
        <w:t>.</w:t>
      </w:r>
    </w:p>
    <w:p w14:paraId="0BE08409"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رابعًا، من الجانب الاقتصادي، تفرض الأمراض العصبية المزمنة عبئًا ماليًا كبيرًا على الأفراد والمجتمعات. تشمل التكاليف المباشرة النفقات الطبية للعلاج والأدوية، بينما تشمل التكاليف غير المباشرة خسائر الإنتاجية بسبب العجز أو الغياب عن العمل</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كما أن تكاليف الرعاية طويلة الأمد والدعم الاجتماعي تشكل تحديًا اقتصاديًا للدول، خاصة في الدول ذات الموارد المحدودة، مما يتطلب وضع استراتيجيات فعالة لتوفير خدمات صحية مستدامة للمرضى</w:t>
      </w:r>
      <w:r w:rsidRPr="00E154C9">
        <w:rPr>
          <w:rFonts w:asciiTheme="majorBidi" w:hAnsiTheme="majorBidi" w:cstheme="majorBidi"/>
          <w:sz w:val="28"/>
          <w:szCs w:val="28"/>
        </w:rPr>
        <w:t>.</w:t>
      </w:r>
    </w:p>
    <w:p w14:paraId="3F36064A"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خامسًا، تواجه نظم الرعاية الصحية تحديات كبيرة في التعامل مع الأمراض العصبية المزمنة بسبب الحاجة إلى تقديم رعاية مستمرة ومتخصصة، بالإضافة إلى ضرورة التنسيق بين مختلف التخصصات الطبية والنفسية والاجتماعية (علواني وآخرون، 2024). كما أن قلة التوعية المجتمعية حول هذه الأمراض تؤدي إلى تأخر التشخيص والعلاج، مما يزيد من مضاعفات المرض ويضع ضغوطًا إضافية على النظام الصحي</w:t>
      </w:r>
      <w:r w:rsidRPr="00E154C9">
        <w:rPr>
          <w:rFonts w:asciiTheme="majorBidi" w:hAnsiTheme="majorBidi" w:cstheme="majorBidi"/>
          <w:sz w:val="28"/>
          <w:szCs w:val="28"/>
        </w:rPr>
        <w:t>.</w:t>
      </w:r>
    </w:p>
    <w:p w14:paraId="169C277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سادسًا، يلعب الإعلام الرقمي ووسائل التواصل الاجتماعي دورًا متزايد الأهمية في دعم المرضى وتوفير المعلومات الصحية، إذ تساعد هذه الوسائل في نشر الوعي، تقليل الوصمة الاجتماعية المرتبطة بالأمراض العصبية، وتحفيز المرضى على اتباع أنماط حياة صحية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كما تسهم المنصات الرقمية في توفير الدعم النفسي والاجتماعي عبر المجتمعات الافتراضية، مما يعزز من جودة الحياة ويخفف من شعور العزلة</w:t>
      </w:r>
      <w:r w:rsidRPr="00E154C9">
        <w:rPr>
          <w:rFonts w:asciiTheme="majorBidi" w:hAnsiTheme="majorBidi" w:cstheme="majorBidi"/>
          <w:sz w:val="28"/>
          <w:szCs w:val="28"/>
        </w:rPr>
        <w:t>.</w:t>
      </w:r>
    </w:p>
    <w:p w14:paraId="7FA3C1BF"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سابعًا، تستدعي آثار الأمراض العصبية المزمنة على المجتمع تطوير سياسات صحية شاملة تركز على الوقاية، الكشف المبكر، والعلاج المتكامل. ويتطلب ذلك الاستثمار في البحث العلمي لتحسين فهم هذه الأمراض وتطوير علاجات أكثر فعالية، بالإضافة إلى تحسين البنية التحتية الصحية وتوفير برامج دعم متخصصة للمرضى وأسرهم (محمد وغريب، 2023)</w:t>
      </w:r>
      <w:r w:rsidRPr="00E154C9">
        <w:rPr>
          <w:rFonts w:asciiTheme="majorBidi" w:hAnsiTheme="majorBidi" w:cstheme="majorBidi"/>
          <w:sz w:val="28"/>
          <w:szCs w:val="28"/>
        </w:rPr>
        <w:t>.</w:t>
      </w:r>
    </w:p>
    <w:p w14:paraId="484CA656" w14:textId="77777777" w:rsidR="00046EB2" w:rsidRPr="00E154C9" w:rsidRDefault="00046EB2" w:rsidP="00046EB2">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حيث إن الأمراض العصبية المزمنة تمثل تحديًا صحيًا واجتماعيًا واقتصاديًا معقدًا يتطلب تكاتف الجهود من مختلف القطاعات لتقديم الدعم اللازم للمرضى، تقليل الأعباء الاقتصادية، وتعزيز الوعي المجتمعي. إن التعامل الفعال مع هذه التحديات يساهم في تحسين جودة الحياة للأفراد والمجتمع ككل، ويعزز من استدامة نظم الرعاية الصحية</w:t>
      </w:r>
      <w:r w:rsidRPr="00E154C9">
        <w:rPr>
          <w:rFonts w:asciiTheme="majorBidi" w:hAnsiTheme="majorBidi" w:cstheme="majorBidi"/>
          <w:sz w:val="28"/>
          <w:szCs w:val="28"/>
        </w:rPr>
        <w:t>.</w:t>
      </w:r>
    </w:p>
    <w:p w14:paraId="3F9604F0" w14:textId="77777777" w:rsidR="00046EB2" w:rsidRDefault="00046EB2" w:rsidP="00046EB2">
      <w:pPr>
        <w:spacing w:line="360" w:lineRule="auto"/>
        <w:rPr>
          <w:rFonts w:asciiTheme="majorBidi" w:hAnsiTheme="majorBidi" w:cstheme="majorBidi"/>
          <w:b/>
          <w:bCs/>
          <w:sz w:val="28"/>
          <w:szCs w:val="28"/>
          <w:rtl/>
          <w:lang w:bidi="ar-EG"/>
        </w:rPr>
      </w:pPr>
    </w:p>
    <w:p w14:paraId="794840E7" w14:textId="77777777" w:rsidR="00046EB2" w:rsidRDefault="00046EB2" w:rsidP="00046EB2">
      <w:pPr>
        <w:spacing w:line="360" w:lineRule="auto"/>
        <w:rPr>
          <w:rFonts w:asciiTheme="majorBidi" w:hAnsiTheme="majorBidi" w:cstheme="majorBidi"/>
          <w:b/>
          <w:bCs/>
          <w:sz w:val="28"/>
          <w:szCs w:val="28"/>
          <w:rtl/>
          <w:lang w:bidi="ar-EG"/>
        </w:rPr>
      </w:pPr>
    </w:p>
    <w:p w14:paraId="63EED653" w14:textId="77777777" w:rsidR="00046EB2" w:rsidRDefault="00046EB2" w:rsidP="00046EB2">
      <w:pPr>
        <w:spacing w:line="360" w:lineRule="auto"/>
        <w:rPr>
          <w:rFonts w:asciiTheme="majorBidi" w:hAnsiTheme="majorBidi" w:cstheme="majorBidi"/>
          <w:b/>
          <w:bCs/>
          <w:sz w:val="28"/>
          <w:szCs w:val="28"/>
          <w:rtl/>
          <w:lang w:bidi="ar-EG"/>
        </w:rPr>
      </w:pPr>
    </w:p>
    <w:p w14:paraId="4F14050F"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المبحث الرابع: دور الإعلام الرقمي في التوعية بالأمراض العصبية</w:t>
      </w:r>
    </w:p>
    <w:p w14:paraId="4E12F873" w14:textId="77777777" w:rsidR="00046EB2" w:rsidRPr="00046EB2" w:rsidRDefault="00046EB2" w:rsidP="00046EB2">
      <w:pPr>
        <w:spacing w:line="360" w:lineRule="auto"/>
        <w:rPr>
          <w:rFonts w:asciiTheme="majorBidi" w:hAnsiTheme="majorBidi" w:cstheme="majorBidi"/>
          <w:sz w:val="28"/>
          <w:szCs w:val="28"/>
          <w:rtl/>
        </w:rPr>
      </w:pPr>
      <w:r w:rsidRPr="00046EB2">
        <w:rPr>
          <w:rFonts w:asciiTheme="majorBidi" w:hAnsiTheme="majorBidi" w:cstheme="majorBidi" w:hint="cs"/>
          <w:sz w:val="28"/>
          <w:szCs w:val="28"/>
          <w:rtl/>
        </w:rPr>
        <w:t xml:space="preserve">تمهيد: </w:t>
      </w:r>
    </w:p>
    <w:p w14:paraId="48D2321D" w14:textId="77777777" w:rsidR="00046EB2" w:rsidRPr="00046EB2" w:rsidRDefault="00046EB2" w:rsidP="00046EB2">
      <w:pPr>
        <w:spacing w:line="360" w:lineRule="auto"/>
        <w:rPr>
          <w:rFonts w:asciiTheme="majorBidi" w:hAnsiTheme="majorBidi" w:cstheme="majorBidi"/>
          <w:sz w:val="28"/>
          <w:szCs w:val="28"/>
          <w:lang w:bidi="ar-EG"/>
        </w:rPr>
      </w:pPr>
      <w:r w:rsidRPr="00046EB2">
        <w:rPr>
          <w:rFonts w:asciiTheme="majorBidi" w:hAnsiTheme="majorBidi" w:cstheme="majorBidi"/>
          <w:sz w:val="28"/>
          <w:szCs w:val="28"/>
          <w:rtl/>
        </w:rPr>
        <w:t>أصبح الإعلام الرقمي من أهم الوسائل الحديثة التي أحدثت تحولًا كبيرًا في مجال التوعية الصحية، خاصة في التوعية بالأمراض العصبية المزمنة مثل الزهايمر، والصرع، والتصلب اللويحي. فقد أتاحت المنصات الرقمية الحديثة وسائط متعددة تسمح بنقل المعلومات الطبية بدقة وسرعة، كما أسهمت في تعزيز الوعي الجماهيري بمختلف هذه الأمراض. يتميز الإعلام الرقمي بسهولة الوصول إليه في أي وقت ومن أي مكان، مما يمنحه قدرة أكبر على التأثير المباشر في إدراك الأفراد وسلوكهم الصحي. ومن خلال هذه المنصات، يستطيع الأطباء والمختصون نشر معلومات موثوقة ومحدثة باستمرار، مما يسهم في تحسين جودة الرعاية الصحية. وقد أكدت الدراسات أن الاعتماد على الإعلام الرقمي في نشر الوعي الصحي أصبح خيارًا استراتيجيًا لدى المؤسسات الصحية والبحثية (شلابي وآخرون، 2021)</w:t>
      </w:r>
      <w:r w:rsidRPr="00046EB2">
        <w:rPr>
          <w:rFonts w:asciiTheme="majorBidi" w:hAnsiTheme="majorBidi" w:cstheme="majorBidi"/>
          <w:sz w:val="28"/>
          <w:szCs w:val="28"/>
          <w:lang w:bidi="ar-EG"/>
        </w:rPr>
        <w:t>.</w:t>
      </w:r>
    </w:p>
    <w:p w14:paraId="42D95050" w14:textId="77777777" w:rsidR="00046EB2" w:rsidRPr="00E154C9" w:rsidRDefault="00046EB2" w:rsidP="00046EB2">
      <w:pPr>
        <w:spacing w:line="360" w:lineRule="auto"/>
        <w:rPr>
          <w:rFonts w:asciiTheme="majorBidi" w:hAnsiTheme="majorBidi" w:cstheme="majorBidi"/>
          <w:sz w:val="28"/>
          <w:szCs w:val="28"/>
          <w:lang w:bidi="ar-EG"/>
        </w:rPr>
      </w:pPr>
      <w:r w:rsidRPr="00046EB2">
        <w:rPr>
          <w:rFonts w:asciiTheme="majorBidi" w:hAnsiTheme="majorBidi" w:cstheme="majorBidi"/>
          <w:sz w:val="28"/>
          <w:szCs w:val="28"/>
          <w:rtl/>
        </w:rPr>
        <w:t>من أبرز خصائص الإعلام الرقمي في التوعية بالأمراض العصبية أنه يتيح التفاعل</w:t>
      </w:r>
      <w:r w:rsidRPr="00E154C9">
        <w:rPr>
          <w:rFonts w:asciiTheme="majorBidi" w:hAnsiTheme="majorBidi" w:cstheme="majorBidi"/>
          <w:sz w:val="28"/>
          <w:szCs w:val="28"/>
          <w:rtl/>
        </w:rPr>
        <w:t xml:space="preserve"> بين الأفراد والمحتوى، حيث يمكن للمستخدمين طرح الأسئلة والحصول على إجابات فورية من المختصين. كما أنه يسهم في كسر حاجز الصمت والخجل الذي يحيط ببعض هذه الأمراض مثل الصرع أو اضطرابات الذاكرة، إذ يجد الأفراد في الفضاء الرقمي فرصة للتعبير عن تجاربهم الشخصية وتبادل المعلومات والدعم. كذلك تساهم الحملات التوعوية الرقمية في تقليل الوصمة الاجتماعية المرتبطة بالمرض العقلي أو العصبي، حيث يظهر المرض على حقيقته كحالة طبية يمكن إدارتها. هذا ما يجعل الإعلام الرقمي أداة حيوية ليس فقط لنقل المعلومة بل أيضًا لتغيير الاتجاهات المجتمعية نحو المرضى. كما أظهرت تجارب واقعية نجاح حملات توعوية رقمية في رفع معدلات الكشف المبكر والتشخيص (حسانين وآخرون، 2021)</w:t>
      </w:r>
      <w:r w:rsidRPr="00E154C9">
        <w:rPr>
          <w:rFonts w:asciiTheme="majorBidi" w:hAnsiTheme="majorBidi" w:cstheme="majorBidi"/>
          <w:sz w:val="28"/>
          <w:szCs w:val="28"/>
          <w:lang w:bidi="ar-EG"/>
        </w:rPr>
        <w:t>.</w:t>
      </w:r>
    </w:p>
    <w:p w14:paraId="25EAD55F" w14:textId="77777777" w:rsidR="00046EB2" w:rsidRPr="00E154C9"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تلعب وسائل التواصل الاجتماعي مثل تويتر، وفيسبوك، وإنستغرام، ويوتيوب دورًا محوريًا في نشر رسائل التوعية الصحية حول الأمراض العصبية. حيث تستخدم الجهات الصحية هذه المنصات لتقديم محتوى مرئي ومكتوب يسهل فهمه من قِبل الجمهور غير المتخصص، مع التركيز على الجوانب الوقائية والتشخيص المبكر. فالفيديوهات القصيرة، والرسوم التوضيحية، والقصص الواقعية أصبحت أكثر تأثيرًا من المنشورات التقليدية أو المطويات الورقية. كما تستغل هذه المنصات خاصية النشر الفيروسي التي تُمكّن من إيصال </w:t>
      </w:r>
      <w:r w:rsidRPr="00E154C9">
        <w:rPr>
          <w:rFonts w:asciiTheme="majorBidi" w:hAnsiTheme="majorBidi" w:cstheme="majorBidi"/>
          <w:sz w:val="28"/>
          <w:szCs w:val="28"/>
          <w:rtl/>
        </w:rPr>
        <w:lastRenderedPageBreak/>
        <w:t>الرسائل إلى جمهور واسع في وقت قصير. وقد أوضحت دراسة (شلابي وآخرون، 2021) أن التفاعل الإيجابي مع محتوى التوعية الرقمية يرتبط بزيادة المعرفة الصحية لدى المستخدمين</w:t>
      </w:r>
      <w:r w:rsidRPr="00E154C9">
        <w:rPr>
          <w:rFonts w:asciiTheme="majorBidi" w:hAnsiTheme="majorBidi" w:cstheme="majorBidi"/>
          <w:sz w:val="28"/>
          <w:szCs w:val="28"/>
          <w:lang w:bidi="ar-EG"/>
        </w:rPr>
        <w:t>.</w:t>
      </w:r>
    </w:p>
    <w:p w14:paraId="3D085BDA" w14:textId="77777777" w:rsidR="00046EB2" w:rsidRPr="00046EB2"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إضافة إلى وسائل التواصل، تستخدم التطبيقات الصحية على الهواتف الذكية كأداة فعالة في تتبع الأعراض، وتذكير المرضى بمواعيد الدواء، وتقديم نصائح مخصصة بناءً على البيانات الصحية الشخصية. فمثل هذه التطبيقات تساعد المرضى على إدارة حالتهم الصحية اليومية بوعي واستقلالية، وهو أمر مهم جدًا في الحالات العصبية التي تتطلب مراقبة مستمرة. كما تتيح هذه التطبيقات إمكانية التواصل مع الأطباء أو مجموعات الدعم، مما يخفف من الشعور بالعزلة الذي يعاني منه بعض المرضى. وأكدت نتائج بحثية أن المستخدمين الذين يتابعون تطبيقات توعوية رقمية أكثر التزامًا بالعلاج وأقل عرضة للانتكاسات (حسانين وآخرون، 2021). هذا يعزز من الدور التكاملي الذي يلعبه الإعلام الرقمي إلى جانب الرعاية الطبية </w:t>
      </w:r>
      <w:r w:rsidRPr="00046EB2">
        <w:rPr>
          <w:rFonts w:asciiTheme="majorBidi" w:hAnsiTheme="majorBidi" w:cstheme="majorBidi"/>
          <w:sz w:val="28"/>
          <w:szCs w:val="28"/>
          <w:rtl/>
        </w:rPr>
        <w:t>التقليدية</w:t>
      </w:r>
      <w:r w:rsidRPr="00046EB2">
        <w:rPr>
          <w:rFonts w:asciiTheme="majorBidi" w:hAnsiTheme="majorBidi" w:cstheme="majorBidi"/>
          <w:sz w:val="28"/>
          <w:szCs w:val="28"/>
          <w:lang w:bidi="ar-EG"/>
        </w:rPr>
        <w:t>.</w:t>
      </w:r>
    </w:p>
    <w:p w14:paraId="04B898D5" w14:textId="77777777" w:rsidR="00046EB2" w:rsidRPr="00E154C9" w:rsidRDefault="00046EB2" w:rsidP="00046EB2">
      <w:pPr>
        <w:spacing w:line="360" w:lineRule="auto"/>
        <w:rPr>
          <w:rFonts w:asciiTheme="majorBidi" w:hAnsiTheme="majorBidi" w:cstheme="majorBidi"/>
          <w:sz w:val="28"/>
          <w:szCs w:val="28"/>
          <w:lang w:bidi="ar-EG"/>
        </w:rPr>
      </w:pPr>
      <w:r w:rsidRPr="00046EB2">
        <w:rPr>
          <w:rFonts w:asciiTheme="majorBidi" w:hAnsiTheme="majorBidi" w:cstheme="majorBidi" w:hint="cs"/>
          <w:sz w:val="28"/>
          <w:szCs w:val="28"/>
          <w:u w:val="single"/>
          <w:shd w:val="clear" w:color="auto" w:fill="F2CEED" w:themeFill="accent5" w:themeFillTint="33"/>
          <w:rtl/>
        </w:rPr>
        <w:t xml:space="preserve">رؤية الباحثة: </w:t>
      </w:r>
      <w:r w:rsidRPr="00046EB2">
        <w:rPr>
          <w:rFonts w:asciiTheme="majorBidi" w:hAnsiTheme="majorBidi" w:cstheme="majorBidi"/>
          <w:sz w:val="28"/>
          <w:szCs w:val="28"/>
          <w:rtl/>
        </w:rPr>
        <w:t>من جهة أخرى، لا يقتصر تأثير الإعلام الرقمي على المرضى فقط، بل يشمل أسرهم ومقدمي الرعاية، الذين يشكلون عنصرًا محوريًا في خطة العلاج والدعم النفسي. فالتثقيف المستمر لهؤلاء عبر وسائل الإعلام الرقمية يعزز قدرتهم على التعامل مع الحالات العصبية وفهم التغيرات النفسية والسلوكية المصاحبة للمرض. كما أن منصات الإنترنت توفّر محتوى تدريبيًا وإرشاديًا يساعدهم في تطوير مهارات الرعاية المنزلية بطريقة علمية. وتشير الأدبيات إلى أن التوعية الرقمية تساهم في تقليل معدلات الإرهاق النفسي والجسدي لدى مقدمي الرعاية، وتمنحهم إحساسًا بالمساندة والانتماء إلى مجتمع داعم. وهذا بدوره ينعكس بشكل إيجابي على جودة الحياة لدى المرضى وبيئتهم الاجتماعية</w:t>
      </w:r>
      <w:r w:rsidRPr="00046EB2">
        <w:rPr>
          <w:rFonts w:asciiTheme="majorBidi" w:hAnsiTheme="majorBidi" w:cstheme="majorBidi"/>
          <w:sz w:val="28"/>
          <w:szCs w:val="28"/>
          <w:lang w:bidi="ar-EG"/>
        </w:rPr>
        <w:t>.</w:t>
      </w:r>
    </w:p>
    <w:p w14:paraId="26A0E987" w14:textId="77777777" w:rsidR="00046EB2" w:rsidRPr="00E154C9"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مع تزايد الاعتماد على الإعلام الرقمي، برزت الحاجة إلى التحقق من مصداقية المعلومات المتداولة على هذه المنصات، خصوصًا أن الأمراض العصبية تتطلب تشخيصًا دقيقًا ومتابعة طبية متخصصة. ومن هنا، أصبحت المؤسسات الصحية الرسمية مطالبة بتطوير محتوى رقمي موثوق، والتعاون مع المؤثرين والمتخصصين الطبيين لتوجيه الرسائل بطريقة مبسطة وعلمية. كما أوصت الدراسات بضرورة تنظيم حملات توعوية وطنية رقمية تضمن وصول الرسائل إلى مختلف فئات المجتمع، مع مراعاة الفروق الثقافية والتعليمية. ولعل أحد التحديات الرئيسية يتمثل في الانتشار الواسع للمعلومات غير الدقيقة أو المضللة، والتي قد تؤثر سلبًا في سلوكيات الأفراد ومواقفهم تجاه العلاج (شلابي وآخرون، 2021). ولذلك فإن ضبط جودة المحتوى الصحي الرقمي أصبح من أولويات السياسات الصحية الحديثة</w:t>
      </w:r>
      <w:r w:rsidRPr="00E154C9">
        <w:rPr>
          <w:rFonts w:asciiTheme="majorBidi" w:hAnsiTheme="majorBidi" w:cstheme="majorBidi"/>
          <w:sz w:val="28"/>
          <w:szCs w:val="28"/>
          <w:lang w:bidi="ar-EG"/>
        </w:rPr>
        <w:t>.</w:t>
      </w:r>
    </w:p>
    <w:p w14:paraId="062BA37B" w14:textId="77777777" w:rsidR="00046EB2" w:rsidRPr="00E154C9"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لا يمكن الحديث عن الإعلام الرقمي دون التطرق إلى دور الذكاء الاصطناعي وتقنيات البيانات الضخمة في تعزيز التوعية الصحية. فهذه التقنيات باتت تُستخدم لتحليل سلوك المستخدمين وتخصيص المحتوى التوعوي بحسب اهتماماتهم الصحية وسجلاتهم المرضية. كما أن أدوات الترجمة الفورية والتفاعل الصوتي ساهمت في إيصال الرسائل التوعوية لشرائح أوسع من الجمهور، بمن فيهم كبار السن وذوو الاحتياجات الخاصة. وقد دعمت هذه التطورات إنشاء منصات توعية تفاعلية تحاكي الحالات المرضية وتقدم نصائح طبية آنية. كل ذلك يدل على أن الإعلام الرقمي أصبح أكثر من مجرد وسيلة للنشر، بل تحول إلى نظام ذكي ومتكامل لإدارة الوعي الصحي العام</w:t>
      </w:r>
      <w:r w:rsidRPr="00E154C9">
        <w:rPr>
          <w:rFonts w:asciiTheme="majorBidi" w:hAnsiTheme="majorBidi" w:cstheme="majorBidi"/>
          <w:sz w:val="28"/>
          <w:szCs w:val="28"/>
          <w:lang w:bidi="ar-EG"/>
        </w:rPr>
        <w:t>.</w:t>
      </w:r>
    </w:p>
    <w:p w14:paraId="532B6B71" w14:textId="77777777" w:rsidR="00046EB2" w:rsidRPr="00E154C9" w:rsidRDefault="00046EB2" w:rsidP="00046EB2">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ضوء ما سبق، يمكن القول إن الإعلام الرقمي يمثل ثورة حقيقية في مجال التثقيف الصحي، خاصة عندما يتعلق الأمر بالأمراض العصبية التي تحتاج إلى وعي مجتمعي مستمر ومعمق. ولتحقيق أقصى استفادة من هذه الوسائل، ينبغي توجيه الجهود نحو تنمية المحتوى العربي المتخصص، وتشجيع البحث العلمي في هذا المجال، وتدريب الكوادر الطبية على استخدام الإعلام الرقمي بكفاءة. كما يجب التعاون بين وزارات الصحة، والتعليم، والإعلام من أجل بناء استراتيجية وطنية للتوعية الرقمية تواكب تطورات العصر وتستجيب لحاجات المجتمع. ومن المؤكد أن المستقبل سيشهد توسعًا أكبر في استخدام الإعلام الرقمي لأغراض صحية، مما يتطلب استعدادًا مؤسسيًا ومجتمعيًا لتحقيق الاستدامة والفعالية في الجهود التوعوية</w:t>
      </w:r>
      <w:r w:rsidRPr="00E154C9">
        <w:rPr>
          <w:rFonts w:asciiTheme="majorBidi" w:hAnsiTheme="majorBidi" w:cstheme="majorBidi"/>
          <w:sz w:val="28"/>
          <w:szCs w:val="28"/>
          <w:lang w:bidi="ar-EG"/>
        </w:rPr>
        <w:t>.</w:t>
      </w:r>
    </w:p>
    <w:p w14:paraId="43C5AC03" w14:textId="77777777" w:rsidR="00046EB2" w:rsidRDefault="00046EB2" w:rsidP="00046EB2">
      <w:pPr>
        <w:spacing w:line="360" w:lineRule="auto"/>
        <w:rPr>
          <w:rFonts w:asciiTheme="majorBidi" w:hAnsiTheme="majorBidi" w:cstheme="majorBidi"/>
          <w:b/>
          <w:bCs/>
          <w:sz w:val="28"/>
          <w:szCs w:val="28"/>
          <w:rtl/>
        </w:rPr>
      </w:pPr>
    </w:p>
    <w:p w14:paraId="1164C064" w14:textId="77777777" w:rsidR="00046EB2" w:rsidRDefault="00046EB2" w:rsidP="00046EB2">
      <w:pPr>
        <w:spacing w:line="360" w:lineRule="auto"/>
        <w:rPr>
          <w:rFonts w:asciiTheme="majorBidi" w:hAnsiTheme="majorBidi" w:cstheme="majorBidi"/>
          <w:b/>
          <w:bCs/>
          <w:sz w:val="28"/>
          <w:szCs w:val="28"/>
          <w:rtl/>
        </w:rPr>
      </w:pPr>
    </w:p>
    <w:p w14:paraId="613572E0" w14:textId="77777777" w:rsidR="00046EB2" w:rsidRDefault="00046EB2" w:rsidP="00046EB2">
      <w:pPr>
        <w:spacing w:line="360" w:lineRule="auto"/>
        <w:rPr>
          <w:rFonts w:asciiTheme="majorBidi" w:hAnsiTheme="majorBidi" w:cstheme="majorBidi"/>
          <w:b/>
          <w:bCs/>
          <w:sz w:val="28"/>
          <w:szCs w:val="28"/>
          <w:rtl/>
        </w:rPr>
      </w:pPr>
    </w:p>
    <w:p w14:paraId="5A84DE34" w14:textId="77777777" w:rsidR="00046EB2" w:rsidRDefault="00046EB2" w:rsidP="00046EB2">
      <w:pPr>
        <w:spacing w:line="360" w:lineRule="auto"/>
        <w:rPr>
          <w:rFonts w:asciiTheme="majorBidi" w:hAnsiTheme="majorBidi" w:cstheme="majorBidi"/>
          <w:b/>
          <w:bCs/>
          <w:sz w:val="28"/>
          <w:szCs w:val="28"/>
          <w:rtl/>
        </w:rPr>
      </w:pPr>
    </w:p>
    <w:p w14:paraId="364D6122" w14:textId="77777777" w:rsidR="00046EB2" w:rsidRDefault="00046EB2" w:rsidP="00046EB2">
      <w:pPr>
        <w:spacing w:line="360" w:lineRule="auto"/>
        <w:rPr>
          <w:rFonts w:asciiTheme="majorBidi" w:hAnsiTheme="majorBidi" w:cstheme="majorBidi"/>
          <w:b/>
          <w:bCs/>
          <w:sz w:val="28"/>
          <w:szCs w:val="28"/>
          <w:rtl/>
        </w:rPr>
      </w:pPr>
    </w:p>
    <w:p w14:paraId="519432F0" w14:textId="77777777" w:rsidR="00046EB2" w:rsidRDefault="00046EB2" w:rsidP="00046EB2">
      <w:pPr>
        <w:spacing w:line="360" w:lineRule="auto"/>
        <w:rPr>
          <w:rFonts w:asciiTheme="majorBidi" w:hAnsiTheme="majorBidi" w:cstheme="majorBidi"/>
          <w:b/>
          <w:bCs/>
          <w:sz w:val="28"/>
          <w:szCs w:val="28"/>
          <w:rtl/>
        </w:rPr>
      </w:pPr>
    </w:p>
    <w:p w14:paraId="3D72F602" w14:textId="77777777" w:rsidR="00046EB2" w:rsidRDefault="00046EB2" w:rsidP="00046EB2">
      <w:pPr>
        <w:spacing w:line="360" w:lineRule="auto"/>
        <w:rPr>
          <w:rFonts w:asciiTheme="majorBidi" w:hAnsiTheme="majorBidi" w:cstheme="majorBidi"/>
          <w:b/>
          <w:bCs/>
          <w:sz w:val="28"/>
          <w:szCs w:val="28"/>
          <w:rtl/>
        </w:rPr>
      </w:pPr>
    </w:p>
    <w:p w14:paraId="7E5475E0" w14:textId="77777777" w:rsidR="00046EB2" w:rsidRDefault="00046EB2" w:rsidP="00046EB2">
      <w:pPr>
        <w:spacing w:line="360" w:lineRule="auto"/>
        <w:rPr>
          <w:rFonts w:asciiTheme="majorBidi" w:hAnsiTheme="majorBidi" w:cstheme="majorBidi"/>
          <w:b/>
          <w:bCs/>
          <w:sz w:val="28"/>
          <w:szCs w:val="28"/>
          <w:rtl/>
        </w:rPr>
      </w:pPr>
    </w:p>
    <w:p w14:paraId="093B19B3" w14:textId="77777777" w:rsidR="00046EB2" w:rsidRDefault="00046EB2" w:rsidP="00046EB2">
      <w:pPr>
        <w:spacing w:line="360" w:lineRule="auto"/>
        <w:rPr>
          <w:rFonts w:asciiTheme="majorBidi" w:hAnsiTheme="majorBidi" w:cstheme="majorBidi"/>
          <w:b/>
          <w:bCs/>
          <w:sz w:val="28"/>
          <w:szCs w:val="28"/>
          <w:rtl/>
        </w:rPr>
      </w:pPr>
    </w:p>
    <w:p w14:paraId="3B559D27" w14:textId="77777777" w:rsidR="00046EB2" w:rsidRDefault="00046EB2" w:rsidP="00046EB2">
      <w:pPr>
        <w:spacing w:line="360" w:lineRule="auto"/>
        <w:rPr>
          <w:rFonts w:asciiTheme="majorBidi" w:hAnsiTheme="majorBidi" w:cstheme="majorBidi"/>
          <w:b/>
          <w:bCs/>
          <w:sz w:val="28"/>
          <w:szCs w:val="28"/>
          <w:rtl/>
        </w:rPr>
      </w:pPr>
    </w:p>
    <w:p w14:paraId="5E7AB2B0" w14:textId="77777777" w:rsidR="00046EB2" w:rsidRDefault="00046EB2" w:rsidP="00046EB2">
      <w:pPr>
        <w:spacing w:line="360" w:lineRule="auto"/>
        <w:rPr>
          <w:rFonts w:asciiTheme="majorBidi" w:hAnsiTheme="majorBidi" w:cstheme="majorBidi"/>
          <w:b/>
          <w:bCs/>
          <w:sz w:val="28"/>
          <w:szCs w:val="28"/>
          <w:rtl/>
        </w:rPr>
      </w:pPr>
    </w:p>
    <w:p w14:paraId="2425FBC1"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 xml:space="preserve">المطلب </w:t>
      </w:r>
      <w:r>
        <w:rPr>
          <w:rFonts w:asciiTheme="majorBidi" w:hAnsiTheme="majorBidi" w:cstheme="majorBidi"/>
          <w:b/>
          <w:bCs/>
          <w:sz w:val="28"/>
          <w:szCs w:val="28"/>
          <w:rtl/>
        </w:rPr>
        <w:t>ال</w:t>
      </w:r>
      <w:r>
        <w:rPr>
          <w:rFonts w:asciiTheme="majorBidi" w:hAnsiTheme="majorBidi" w:cstheme="majorBidi" w:hint="cs"/>
          <w:b/>
          <w:bCs/>
          <w:sz w:val="28"/>
          <w:szCs w:val="28"/>
          <w:rtl/>
        </w:rPr>
        <w:t>أ</w:t>
      </w:r>
      <w:r w:rsidRPr="00E154C9">
        <w:rPr>
          <w:rFonts w:asciiTheme="majorBidi" w:hAnsiTheme="majorBidi" w:cstheme="majorBidi"/>
          <w:b/>
          <w:bCs/>
          <w:sz w:val="28"/>
          <w:szCs w:val="28"/>
          <w:rtl/>
        </w:rPr>
        <w:t>ول: كيفية استخدام الإعلام الرقمي لنشر المعلومات الصحية</w:t>
      </w:r>
    </w:p>
    <w:p w14:paraId="6037F194" w14:textId="77777777" w:rsidR="00046EB2" w:rsidRPr="00E154C9" w:rsidRDefault="00046EB2" w:rsidP="00046EB2">
      <w:pPr>
        <w:spacing w:line="360" w:lineRule="auto"/>
        <w:rPr>
          <w:rFonts w:asciiTheme="majorBidi" w:hAnsiTheme="majorBidi" w:cstheme="majorBidi"/>
          <w:sz w:val="28"/>
          <w:szCs w:val="28"/>
        </w:rPr>
      </w:pPr>
      <w:r w:rsidRPr="00046EB2">
        <w:rPr>
          <w:rFonts w:asciiTheme="majorBidi" w:hAnsiTheme="majorBidi" w:cstheme="majorBidi" w:hint="cs"/>
          <w:sz w:val="28"/>
          <w:szCs w:val="28"/>
          <w:rtl/>
        </w:rPr>
        <w:t xml:space="preserve">تمهيد: </w:t>
      </w:r>
      <w:r w:rsidRPr="00046EB2">
        <w:rPr>
          <w:rFonts w:asciiTheme="majorBidi" w:hAnsiTheme="majorBidi" w:cstheme="majorBidi"/>
          <w:sz w:val="28"/>
          <w:szCs w:val="28"/>
          <w:rtl/>
        </w:rPr>
        <w:t>يشكل الإعلام الرقمي أداة فعالة في نشر المعلومات الصحية في العصر الحديث، وذلك نظرًا لما يوفره من مزايا تتعلق بسرعة الانتشار، وسهولة الوصول، ومرونة التفاعل مع الجمهور. ويمكن القول إن استخدام الإعلام الرقمي لنقل المعرفة الصحية لم يعد خيارًا بل ضرورة، خاصة في ظل التحديات التي تواجه الأنظمة الصحية التقليدية من حيث القدرة على تغطية النطاق الجغرافي والسكاني الواسع. فمن خلال الوسائط الرقمية، أصبحت الجهات الصحية قادرة على إيصال الرسائل التوعوية في وقت قياسي، باستخدام أشكال متعددة من المحتوى كالنصوص، والفيديوهات، والإنفوجرافيك، مما يعزز من استيعاب الرسالة وفهمها من قبل المتلقي</w:t>
      </w:r>
      <w:r w:rsidRPr="00046EB2">
        <w:rPr>
          <w:rFonts w:asciiTheme="majorBidi" w:hAnsiTheme="majorBidi" w:cstheme="majorBidi"/>
          <w:sz w:val="28"/>
          <w:szCs w:val="28"/>
        </w:rPr>
        <w:t>.</w:t>
      </w:r>
    </w:p>
    <w:p w14:paraId="5D3BAC21"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يُستخدم الإعلام الرقمي في نشر المعلومات الصحية عبر مجموعة من القنوات والمنصات، أبرزها مواقع الإنترنت المتخصصة، وصفحات التواصل الاجتماعي، والتطبيقات الطبية، والمدونات، والبودكاست الصحي. وتقوم هذه الوسائط بتقديم معلومات دقيقة ومبسطة تتعلق بالأعراض، وطرق الوقاية، وأساليب التشخيص والعلاج، فضلاً عن النصائح الحياتية التي تحسن من جودة الحياة لدى المرضى. ويتيح هذا التنوع في الأدوات إمكانيات واسعة لتخصيص الرسائل بحسب الفئة المستهدفة، سواء كانوا مرضى، أو أطباء، أو طلاب، أو مقدمي رعاية. وقد أشار (شلابي وآخرون، 2021) إلى أن التنوع في الوسائل الرقمية يُعد أحد العوامل الرئيسة في فاعلية التوعية الصحية الرقمية</w:t>
      </w:r>
      <w:r w:rsidRPr="00E154C9">
        <w:rPr>
          <w:rFonts w:asciiTheme="majorBidi" w:hAnsiTheme="majorBidi" w:cstheme="majorBidi"/>
          <w:sz w:val="28"/>
          <w:szCs w:val="28"/>
        </w:rPr>
        <w:t>.</w:t>
      </w:r>
    </w:p>
    <w:p w14:paraId="5547675F"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أهم استراتيجيات استخدام الإعلام الرقمي في هذا السياق الاعتماد على التصميم البصري الجذاب للمحتوى، حيث تُظهر الدراسات أن الرسائل المصورة والمرئية تحظى بمعدلات مشاهدة وتفاعل أعلى من النصوص المطولة. ولهذا تلجأ العديد من الجهات الصحية إلى إنتاج مقاطع فيديو قصيرة تُسلّط الضوء على معلومات طبية مبسطة أو قصص واقعية لمرضى، وذلك بهدف تعزيز الأثر النفسي والمعرفي لدى الجمهور. كما يتم الاستعانة بالمؤثرين الرقميين المتخصصين في الصحة لنشر الرسائل التوعوية، نظرًا لما يتمتعون به من مصداقية ومتابعة واسعة، مما يزيد من فرص انتشار المعلومات الصحية بشكل غير مباشر بين فئات متنوعة من الجمهور (حسانين وآخرون، 2021)</w:t>
      </w:r>
      <w:r w:rsidRPr="00E154C9">
        <w:rPr>
          <w:rFonts w:asciiTheme="majorBidi" w:hAnsiTheme="majorBidi" w:cstheme="majorBidi"/>
          <w:sz w:val="28"/>
          <w:szCs w:val="28"/>
        </w:rPr>
        <w:t>.</w:t>
      </w:r>
    </w:p>
    <w:p w14:paraId="5971B45E" w14:textId="77777777" w:rsidR="00046EB2" w:rsidRPr="00046EB2" w:rsidRDefault="00046EB2" w:rsidP="005C5866">
      <w:pPr>
        <w:spacing w:line="360" w:lineRule="auto"/>
        <w:rPr>
          <w:rFonts w:asciiTheme="majorBidi" w:hAnsiTheme="majorBidi" w:cstheme="majorBidi"/>
          <w:sz w:val="28"/>
          <w:szCs w:val="28"/>
          <w:lang w:bidi="ar-EG"/>
        </w:rPr>
      </w:pPr>
    </w:p>
    <w:p w14:paraId="7E0481A7"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كذلك يُستخدم الإعلام الرقمي في تنظيم ندوات ومحاضرات تفاعلية عن بُعد، يتم خلالها استضافة أطباء وخبراء لشرح موضوعات طبية معينة والرد على استفسارات الجمهور. وتوفر هذه الجلسات بيئة تفاعلية تُشجّع الأفراد على طرح الأسئلة وفهم القضايا الصحية المعقدة بطريقة مبسطة. كما أن إمكانية تسجيل هذه اللقاءات ونشرها لاحقًا يعزز من إمكانية الاستفادة المستمرة منها. وتؤكد التجارب أن هذا النوع من الأنشطة الرقمية يساهم في بناء جسور الثقة بين المتخصصين والجمهور، ويعزز من الثقافة الصحية المجتمعية</w:t>
      </w:r>
      <w:r w:rsidRPr="00E154C9">
        <w:rPr>
          <w:rFonts w:asciiTheme="majorBidi" w:hAnsiTheme="majorBidi" w:cstheme="majorBidi"/>
          <w:sz w:val="28"/>
          <w:szCs w:val="28"/>
        </w:rPr>
        <w:t>.</w:t>
      </w:r>
    </w:p>
    <w:p w14:paraId="0DEEEEF7"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يتم استثمار الخوارزميات الذكية في المنصات الرقمية لتوجيه المحتوى الصحي المناسب للمستخدم بحسب اهتماماته وسلوكياته السابقة، ما يُعرف بالتخصيص الصحي الرقمي. وتُعد هذه التقنية ذات فاعلية كبيرة، لأنها تضمن وصول الرسائل لمن هم أكثر حاجة إليها، سواء كانوا من المصابين بأمراض معينة، أو من الفئات الأكثر عرضة للخطر. كما تلعب البيانات الضخمة دورًا في تحليل التفاعلات مع المحتوى الصحي وتحديد الاتجاهات والمجالات التي تحتاج إلى تدخل توعوي أكبر. وقد أظهرت نتائج الدراسات أن هذا الاستخدام الممنهج للإعلام الرقمي يُسهم في رفع معدلات المعرفة الصحية وتغيير السلوكيات الخاطئة المرتبطة بالصحة (شلابي وآخرون، 2021)</w:t>
      </w:r>
      <w:r w:rsidRPr="00E154C9">
        <w:rPr>
          <w:rFonts w:asciiTheme="majorBidi" w:hAnsiTheme="majorBidi" w:cstheme="majorBidi"/>
          <w:sz w:val="28"/>
          <w:szCs w:val="28"/>
        </w:rPr>
        <w:t>.</w:t>
      </w:r>
    </w:p>
    <w:p w14:paraId="2252209F" w14:textId="58764FB1" w:rsidR="00046EB2" w:rsidRPr="00E154C9" w:rsidRDefault="00046EB2" w:rsidP="00046EB2">
      <w:pPr>
        <w:spacing w:line="360" w:lineRule="auto"/>
        <w:rPr>
          <w:rFonts w:asciiTheme="majorBidi" w:hAnsiTheme="majorBidi" w:cstheme="majorBidi"/>
          <w:sz w:val="28"/>
          <w:szCs w:val="28"/>
          <w:rtl/>
        </w:rPr>
      </w:pPr>
      <w:r w:rsidRPr="00046EB2">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ة</w:t>
      </w:r>
      <w:r w:rsidRPr="00046EB2">
        <w:rPr>
          <w:rFonts w:asciiTheme="majorBidi" w:hAnsiTheme="majorBidi" w:cstheme="majorBidi" w:hint="cs"/>
          <w:sz w:val="28"/>
          <w:szCs w:val="28"/>
          <w:rtl/>
        </w:rPr>
        <w:t>:</w:t>
      </w:r>
      <w:r w:rsidRPr="00046EB2">
        <w:rPr>
          <w:rFonts w:asciiTheme="majorBidi" w:hAnsiTheme="majorBidi" w:cstheme="majorBidi"/>
          <w:sz w:val="28"/>
          <w:szCs w:val="28"/>
          <w:rtl/>
        </w:rPr>
        <w:t xml:space="preserve"> يتضح أن الإعلام الرقمي يوفر إطارًا شاملاً ومتنوعًا لنشر المعلومات الصحية بطريقة فعالة ومؤثرة، شريطة أن تُدار هذه الأدوات باحترافية، وأن يتم التحقق من مصداقية المحتوى المقدم للجمهور. ويُعد التعاون بين المؤسسات الصحية والتقنية والتربوية عنصرًا حاسمًا في ضمان استمرارية هذه الجهود وتحقيق أهدافها المرجوة في تحسين الصحة العامة</w:t>
      </w:r>
      <w:r w:rsidRPr="00046EB2">
        <w:rPr>
          <w:rFonts w:asciiTheme="majorBidi" w:hAnsiTheme="majorBidi" w:cstheme="majorBidi"/>
          <w:sz w:val="28"/>
          <w:szCs w:val="28"/>
        </w:rPr>
        <w:t>.</w:t>
      </w:r>
    </w:p>
    <w:p w14:paraId="6F1399C9"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الثاني: أمثلة على حملات توعية رقمية ناجحة</w:t>
      </w:r>
    </w:p>
    <w:p w14:paraId="5DFFB771" w14:textId="77777777" w:rsidR="00046EB2" w:rsidRPr="00046EB2" w:rsidRDefault="00046EB2" w:rsidP="00046EB2">
      <w:pPr>
        <w:spacing w:line="360" w:lineRule="auto"/>
        <w:rPr>
          <w:rFonts w:asciiTheme="majorBidi" w:hAnsiTheme="majorBidi" w:cstheme="majorBidi"/>
          <w:sz w:val="28"/>
          <w:szCs w:val="28"/>
        </w:rPr>
      </w:pPr>
      <w:r w:rsidRPr="00046EB2">
        <w:rPr>
          <w:rFonts w:asciiTheme="majorBidi" w:hAnsiTheme="majorBidi" w:cstheme="majorBidi" w:hint="cs"/>
          <w:sz w:val="28"/>
          <w:szCs w:val="28"/>
          <w:rtl/>
        </w:rPr>
        <w:t xml:space="preserve">تمهيد: </w:t>
      </w:r>
      <w:r w:rsidRPr="00046EB2">
        <w:rPr>
          <w:rFonts w:asciiTheme="majorBidi" w:hAnsiTheme="majorBidi" w:cstheme="majorBidi"/>
          <w:sz w:val="28"/>
          <w:szCs w:val="28"/>
          <w:rtl/>
        </w:rPr>
        <w:t>شهدت المملكة العربية السعودية تطورًا ملحوظًا في استخدام الإعلام الرقمي في حملات التوعية الصحية، وخاصة في مجال الأمراض المزمنة، ومنها الأمراض العصبية. وقد أطلقت الجهات الصحية السعودية، وعلى رأسها وزارة الصحة، العديد من الحملات الرقمية التي حققت نجاحًا ملموسًا على المستويين المحلي والإقليمي، مستفيدة من البنية التحتية الرقمية القوية وانتشار استخدام وسائل التواصل الاجتماعي بين مختلف شرائح المجتمع</w:t>
      </w:r>
      <w:r w:rsidRPr="00046EB2">
        <w:rPr>
          <w:rFonts w:asciiTheme="majorBidi" w:hAnsiTheme="majorBidi" w:cstheme="majorBidi"/>
          <w:sz w:val="28"/>
          <w:szCs w:val="28"/>
        </w:rPr>
        <w:t>.</w:t>
      </w:r>
    </w:p>
    <w:p w14:paraId="362D5AD2" w14:textId="77777777" w:rsidR="00046EB2" w:rsidRPr="00E154C9" w:rsidRDefault="00046EB2" w:rsidP="00046EB2">
      <w:pPr>
        <w:spacing w:line="360" w:lineRule="auto"/>
        <w:rPr>
          <w:rFonts w:asciiTheme="majorBidi" w:hAnsiTheme="majorBidi" w:cstheme="majorBidi"/>
          <w:sz w:val="28"/>
          <w:szCs w:val="28"/>
        </w:rPr>
      </w:pPr>
      <w:r w:rsidRPr="00046EB2">
        <w:rPr>
          <w:rFonts w:asciiTheme="majorBidi" w:hAnsiTheme="majorBidi" w:cstheme="majorBidi"/>
          <w:sz w:val="28"/>
          <w:szCs w:val="28"/>
          <w:rtl/>
        </w:rPr>
        <w:t>من أبرز الأمثلة على تلك الحملات</w:t>
      </w:r>
      <w:r w:rsidRPr="00E154C9">
        <w:rPr>
          <w:rFonts w:asciiTheme="majorBidi" w:hAnsiTheme="majorBidi" w:cstheme="majorBidi"/>
          <w:sz w:val="28"/>
          <w:szCs w:val="28"/>
          <w:rtl/>
        </w:rPr>
        <w:t xml:space="preserve">، حملة </w:t>
      </w:r>
      <w:r w:rsidRPr="00E154C9">
        <w:rPr>
          <w:rFonts w:asciiTheme="majorBidi" w:hAnsiTheme="majorBidi" w:cstheme="majorBidi"/>
          <w:b/>
          <w:bCs/>
          <w:sz w:val="28"/>
          <w:szCs w:val="28"/>
        </w:rPr>
        <w:t>"</w:t>
      </w:r>
      <w:r w:rsidRPr="00E154C9">
        <w:rPr>
          <w:rFonts w:asciiTheme="majorBidi" w:hAnsiTheme="majorBidi" w:cstheme="majorBidi"/>
          <w:b/>
          <w:bCs/>
          <w:sz w:val="28"/>
          <w:szCs w:val="28"/>
          <w:rtl/>
        </w:rPr>
        <w:t>عش بصحة</w:t>
      </w:r>
      <w:r w:rsidRPr="00E154C9">
        <w:rPr>
          <w:rFonts w:asciiTheme="majorBidi" w:hAnsiTheme="majorBidi" w:cstheme="majorBidi"/>
          <w:b/>
          <w:bCs/>
          <w:sz w:val="28"/>
          <w:szCs w:val="28"/>
        </w:rPr>
        <w:t>"</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 xml:space="preserve">التي أطلقتها وزارة الصحة السعودية كمبادرة وطنية تهدف إلى تعزيز أنماط الحياة الصحية ونشر التوعية بالأمراض المزمنة، بما في ذلك الأمراض العصبية مثل الزهايمر والصرع. ركزت الحملة على استخدام الوسائط الرقمية التفاعلية، مثل الفيديوهات </w:t>
      </w:r>
      <w:r w:rsidRPr="00E154C9">
        <w:rPr>
          <w:rFonts w:asciiTheme="majorBidi" w:hAnsiTheme="majorBidi" w:cstheme="majorBidi"/>
          <w:sz w:val="28"/>
          <w:szCs w:val="28"/>
          <w:rtl/>
        </w:rPr>
        <w:lastRenderedPageBreak/>
        <w:t>القصيرة، والرسوم التوضيحية، والمحتوى المنشور على تويتر وإنستغرام، حيث تم تصميم رسائل موجهة بلغة مبسطة وسهلة الاستيعاب، مع استخدام وسوم خاصة لتعزيز التفاعل والوصول الأوسع. وقد سجلت الحملة ملايين المشاهدات والتفاعلات، مما يدل على فعاليتها في رفع الوعي الصحي الرقمي (حسانين وآخرون، 2021)</w:t>
      </w:r>
      <w:r w:rsidRPr="00E154C9">
        <w:rPr>
          <w:rFonts w:asciiTheme="majorBidi" w:hAnsiTheme="majorBidi" w:cstheme="majorBidi"/>
          <w:sz w:val="28"/>
          <w:szCs w:val="28"/>
        </w:rPr>
        <w:t>.</w:t>
      </w:r>
    </w:p>
    <w:p w14:paraId="0501EBE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كذلك، أطلقت الجمعية السعودية للصرع عددًا من الحملات التوعوية الرقمية التي ركزت على تصحيح المفاهيم الخاطئة المرتبطة بهذا المرض، وتقديم معلومات علمية موثوقة حول أسبابه، وأنواعه، وطرق علاجه. واستخدمت الجمعية منصات مثل يوتيوب وتويتر لعرض قصص مرضى وتجارب واقعية، ما ساهم في تقليل الوصمة المجتمعية المرتبطة بالصرع، وتعزيز التعاطف مع المصابين به. وقد أبرزت نتائج هذه الحملات أثر الإعلام الرقمي في خلق بيئة داعمة ومتفهمة لحالات الصرع في المجتمع السعودي (شلابي وآخرون، 2021)</w:t>
      </w:r>
      <w:r w:rsidRPr="00E154C9">
        <w:rPr>
          <w:rFonts w:asciiTheme="majorBidi" w:hAnsiTheme="majorBidi" w:cstheme="majorBidi"/>
          <w:sz w:val="28"/>
          <w:szCs w:val="28"/>
        </w:rPr>
        <w:t>.</w:t>
      </w:r>
    </w:p>
    <w:p w14:paraId="35C4C16F"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ومن الأمثلة الأخرى، حملة </w:t>
      </w:r>
      <w:r w:rsidRPr="00E154C9">
        <w:rPr>
          <w:rFonts w:asciiTheme="majorBidi" w:hAnsiTheme="majorBidi" w:cstheme="majorBidi"/>
          <w:b/>
          <w:bCs/>
          <w:sz w:val="28"/>
          <w:szCs w:val="28"/>
        </w:rPr>
        <w:t>"</w:t>
      </w:r>
      <w:r w:rsidRPr="00E154C9">
        <w:rPr>
          <w:rFonts w:asciiTheme="majorBidi" w:hAnsiTheme="majorBidi" w:cstheme="majorBidi"/>
          <w:b/>
          <w:bCs/>
          <w:sz w:val="28"/>
          <w:szCs w:val="28"/>
          <w:rtl/>
        </w:rPr>
        <w:t>ذكّرهم</w:t>
      </w:r>
      <w:r w:rsidRPr="00E154C9">
        <w:rPr>
          <w:rFonts w:asciiTheme="majorBidi" w:hAnsiTheme="majorBidi" w:cstheme="majorBidi"/>
          <w:b/>
          <w:bCs/>
          <w:sz w:val="28"/>
          <w:szCs w:val="28"/>
        </w:rPr>
        <w:t>"</w:t>
      </w:r>
      <w:r w:rsidRPr="00E154C9">
        <w:rPr>
          <w:rFonts w:asciiTheme="majorBidi" w:hAnsiTheme="majorBidi" w:cstheme="majorBidi"/>
          <w:sz w:val="28"/>
          <w:szCs w:val="28"/>
          <w:rtl/>
        </w:rPr>
        <w:t>، التي نظمتها الجمعية السعودية للزهايمر بالتعاون مع جهات طبية وإعلامية، بهدف نشر الوعي بمرض الزهايمر بين أفراد المجتمع. استخدمت الحملة وسائل الإعلام الرقمية لإيصال رسائل توعوية حول أهمية التشخيص المبكر والرعاية النفسية والاجتماعية للمصابين. واشتملت الحملة على بث مباشر عبر المنصات الاجتماعية، إلى جانب مقاطع توعوية مؤثرة ومواد تثقيفية مرئية ومقروءة. كما ركزت الحملة على إشراك المشاهير والمؤثرين لنقل الرسائل الصحية، وهو ما أسهم في وصول المحتوى إلى شرائح أوسع من الجمهور</w:t>
      </w:r>
      <w:r w:rsidRPr="00E154C9">
        <w:rPr>
          <w:rFonts w:asciiTheme="majorBidi" w:hAnsiTheme="majorBidi" w:cstheme="majorBidi"/>
          <w:sz w:val="28"/>
          <w:szCs w:val="28"/>
        </w:rPr>
        <w:t>.</w:t>
      </w:r>
    </w:p>
    <w:p w14:paraId="583D8D19"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كذلك، نظّمت وزارة الصحة السعودية خلال جائحة كوفيد-19 حملات رقمية ذات صلة غير مباشرة بالأمراض العصبية، لكنها كانت ذات فاعلية واضحة في نشر الوعي الصحي عمومًا، ومنها حملة </w:t>
      </w:r>
      <w:r w:rsidRPr="00E154C9">
        <w:rPr>
          <w:rFonts w:asciiTheme="majorBidi" w:hAnsiTheme="majorBidi" w:cstheme="majorBidi"/>
          <w:b/>
          <w:bCs/>
          <w:sz w:val="28"/>
          <w:szCs w:val="28"/>
        </w:rPr>
        <w:t>"</w:t>
      </w:r>
      <w:r w:rsidRPr="00E154C9">
        <w:rPr>
          <w:rFonts w:asciiTheme="majorBidi" w:hAnsiTheme="majorBidi" w:cstheme="majorBidi"/>
          <w:b/>
          <w:bCs/>
          <w:sz w:val="28"/>
          <w:szCs w:val="28"/>
          <w:rtl/>
        </w:rPr>
        <w:t>نعود بحذر</w:t>
      </w:r>
      <w:r w:rsidRPr="00E154C9">
        <w:rPr>
          <w:rFonts w:asciiTheme="majorBidi" w:hAnsiTheme="majorBidi" w:cstheme="majorBidi"/>
          <w:b/>
          <w:bCs/>
          <w:sz w:val="28"/>
          <w:szCs w:val="28"/>
        </w:rPr>
        <w:t>"</w:t>
      </w:r>
      <w:r w:rsidRPr="00E154C9">
        <w:rPr>
          <w:rFonts w:asciiTheme="majorBidi" w:hAnsiTheme="majorBidi" w:cstheme="majorBidi"/>
          <w:sz w:val="28"/>
          <w:szCs w:val="28"/>
          <w:rtl/>
        </w:rPr>
        <w:t>، التي أسهمت في تعزيز مفاهيم الصحة النفسية المرتبطة بالعزل المنزلي واضطرابات القلق والتوتر. وقد استخدمت الوزارة أدوات رقمية متعددة مثل الرسائل النصية، والتطبيقات الذكية، والتصاميم البصرية، بما يدل على قدرة الإعلام الرقمي على التكيف مع مختلف التحديات الصحية</w:t>
      </w:r>
      <w:r w:rsidRPr="00E154C9">
        <w:rPr>
          <w:rFonts w:asciiTheme="majorBidi" w:hAnsiTheme="majorBidi" w:cstheme="majorBidi"/>
          <w:sz w:val="28"/>
          <w:szCs w:val="28"/>
        </w:rPr>
        <w:t>.</w:t>
      </w:r>
    </w:p>
    <w:p w14:paraId="4C5AE6C0"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إن هذه النماذج من الحملات الرقمية في المملكة العربية السعودية تؤكد أهمية التكامل بين المؤسسات الصحية والإعلامية في تخطيط وتنفيذ البرامج التوعوية، كما تعكس مدى وعي المجتمع السعودي بقيمة المعرفة الرقمية في تحسين جودة الحياة. وقد أظهرت الدراسات أن هذه الحملات الرقمية ساهمت بشكل مباشر في </w:t>
      </w:r>
      <w:r w:rsidRPr="00E154C9">
        <w:rPr>
          <w:rFonts w:asciiTheme="majorBidi" w:hAnsiTheme="majorBidi" w:cstheme="majorBidi"/>
          <w:sz w:val="28"/>
          <w:szCs w:val="28"/>
          <w:rtl/>
        </w:rPr>
        <w:lastRenderedPageBreak/>
        <w:t>زيادة إقبال الأفراد على الفحوصات الطبية، والالتزام بالأدوية، والانخراط في برامج الدعم النفسي والاجتماعي (شلابي وآخرون، 2021)</w:t>
      </w:r>
      <w:r w:rsidRPr="00E154C9">
        <w:rPr>
          <w:rFonts w:asciiTheme="majorBidi" w:hAnsiTheme="majorBidi" w:cstheme="majorBidi"/>
          <w:sz w:val="28"/>
          <w:szCs w:val="28"/>
        </w:rPr>
        <w:t>.</w:t>
      </w:r>
    </w:p>
    <w:p w14:paraId="5C8FD871" w14:textId="7A3AAB84" w:rsidR="00046EB2" w:rsidRPr="00046EB2" w:rsidRDefault="00046EB2" w:rsidP="00046EB2">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ضوء ما سبق، يمكن القول إن التجربة السعودية في استخدام الإعلام الرقمي للتوعية الصحية، وخاصة فيما يتعلق بالأمراض العصبية، تُعد نموذجًا يُحتذى به في العالم العربي. ويُعزى نجاح هذه الحملات إلى اعتمادها على أساليب اتصال تفاعلية، وتعاون مؤسسي، واهتمام بالجوانب النفسية والاجتماعية، مما يعزز من فاعلية الرسائل الصحية واستدامتها في الوعي المجتمعي</w:t>
      </w:r>
      <w:r w:rsidRPr="00E154C9">
        <w:rPr>
          <w:rFonts w:asciiTheme="majorBidi" w:hAnsiTheme="majorBidi" w:cstheme="majorBidi"/>
          <w:sz w:val="28"/>
          <w:szCs w:val="28"/>
        </w:rPr>
        <w:t>.</w:t>
      </w:r>
    </w:p>
    <w:p w14:paraId="156F5340" w14:textId="77777777" w:rsidR="00046EB2" w:rsidRDefault="00046EB2" w:rsidP="00046EB2">
      <w:pPr>
        <w:spacing w:line="360" w:lineRule="auto"/>
        <w:rPr>
          <w:rFonts w:asciiTheme="majorBidi" w:hAnsiTheme="majorBidi" w:cstheme="majorBidi"/>
          <w:b/>
          <w:bCs/>
          <w:sz w:val="28"/>
          <w:szCs w:val="28"/>
          <w:rtl/>
          <w:lang w:bidi="ar-EG"/>
        </w:rPr>
      </w:pPr>
    </w:p>
    <w:p w14:paraId="6AD97CD0"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الثالث: دور المؤثرين والمختصين في الإعلام الصحي</w:t>
      </w:r>
    </w:p>
    <w:p w14:paraId="34962B1A" w14:textId="77777777" w:rsidR="00046EB2" w:rsidRPr="00046EB2" w:rsidRDefault="00046EB2" w:rsidP="00046EB2">
      <w:pPr>
        <w:spacing w:line="360" w:lineRule="auto"/>
        <w:rPr>
          <w:rFonts w:asciiTheme="majorBidi" w:hAnsiTheme="majorBidi" w:cstheme="majorBidi"/>
          <w:sz w:val="28"/>
          <w:szCs w:val="28"/>
          <w:rtl/>
        </w:rPr>
      </w:pPr>
      <w:r w:rsidRPr="00046EB2">
        <w:rPr>
          <w:rFonts w:asciiTheme="majorBidi" w:hAnsiTheme="majorBidi" w:cstheme="majorBidi" w:hint="cs"/>
          <w:sz w:val="28"/>
          <w:szCs w:val="28"/>
          <w:rtl/>
        </w:rPr>
        <w:t xml:space="preserve">تمهيد: </w:t>
      </w:r>
    </w:p>
    <w:p w14:paraId="000061BC" w14:textId="77777777" w:rsidR="00046EB2" w:rsidRPr="00E154C9" w:rsidRDefault="00046EB2" w:rsidP="00046EB2">
      <w:pPr>
        <w:spacing w:line="360" w:lineRule="auto"/>
        <w:rPr>
          <w:rFonts w:asciiTheme="majorBidi" w:hAnsiTheme="majorBidi" w:cstheme="majorBidi"/>
          <w:sz w:val="28"/>
          <w:szCs w:val="28"/>
        </w:rPr>
      </w:pPr>
      <w:r w:rsidRPr="00046EB2">
        <w:rPr>
          <w:rFonts w:asciiTheme="majorBidi" w:hAnsiTheme="majorBidi" w:cstheme="majorBidi"/>
          <w:sz w:val="28"/>
          <w:szCs w:val="28"/>
          <w:rtl/>
        </w:rPr>
        <w:t>في ظل التحول الرقمي المتسارع، أصبح للإعلام الصحي الرقمي دور محوري في نشر المعلومات الصحية والتثقيف المجتمعي، خاصة مع اتساع رقعة استخدام الإنترنت ووسائل التواصل الاجتماعي. ولم يعد الإعلام الصحي مقتصرًا على المؤسسات الرسمية أو المنشورات الطبية، بل أصبح للمؤثرين والمختصين حضور فاعل ومؤثر في تشكيل الرأي العام الصحي ونشر الوعي حول مختلف القضايا الصحية، بما فيها الأمراض العصبية المزمنة مثل الزهايمر، التصلب اللويحي، الباركنسون، والصرع</w:t>
      </w:r>
      <w:r w:rsidRPr="00046EB2">
        <w:rPr>
          <w:rFonts w:asciiTheme="majorBidi" w:hAnsiTheme="majorBidi" w:cstheme="majorBidi"/>
          <w:sz w:val="28"/>
          <w:szCs w:val="28"/>
        </w:rPr>
        <w:t>.</w:t>
      </w:r>
    </w:p>
    <w:p w14:paraId="29B2223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يُقصد بالمؤثرين الصحيين أولئك الأفراد الذين يملكون جمهورًا واسعًا على المنصات الرقمية، ويستخدمون هذه المنصات لنشر محتوى صحي أو تثقيفي بشكل مباشر أو غير مباشر. وتتنوع فئات المؤثرين ما بين أطباء مختصين، وممرضين، ومقدمي رعاية صحية، وأشخاص عاديين يعرضون تجاربهم الشخصية مع المرض. وتكمن قوة هؤلاء المؤثرين في قدرتهم على التواصل الإنساني المباشر مع الجمهور بلغة بسيطة وقريبة، ما يخلق نوعًا من الثقة والمصداقية التي يصعب أحيانًا على الجهات الرسمية تحقيقها. وقد أشارت دراسة (حسانين وآخرون، 2021) إلى أن الجمهور يتفاعل بشكل أكبر مع المحتوى الصحي الصادر من شخصيات مألوفة وواقعية</w:t>
      </w:r>
      <w:r w:rsidRPr="00E154C9">
        <w:rPr>
          <w:rFonts w:asciiTheme="majorBidi" w:hAnsiTheme="majorBidi" w:cstheme="majorBidi"/>
          <w:sz w:val="28"/>
          <w:szCs w:val="28"/>
        </w:rPr>
        <w:t>.</w:t>
      </w:r>
    </w:p>
    <w:p w14:paraId="191CF05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يلعب الأطباء والمختصون دورًا مزدوجًا في الإعلام الرقمي الصحي، فهم من جهة ينقلون المعرفة العلمية الموثوقة، ومن جهة أخرى يقومون بدور تربوي في تصحيح المفاهيم الخاطئة المنتشرة بين الناس. فعندما يتحدث الطبيب بلغة مفهومة، ويشرح أعراض مرض عصبي معين، مثل التصلب اللويحي أو نوبات </w:t>
      </w:r>
      <w:r w:rsidRPr="00E154C9">
        <w:rPr>
          <w:rFonts w:asciiTheme="majorBidi" w:hAnsiTheme="majorBidi" w:cstheme="majorBidi"/>
          <w:sz w:val="28"/>
          <w:szCs w:val="28"/>
          <w:rtl/>
        </w:rPr>
        <w:lastRenderedPageBreak/>
        <w:t>الصرع، فإنه يُزيل الغموض والخوف المرتبط بهذه الأمراض، ويسهم في بناء وعي مجتمعي عقلاني ومستنير. كما أن مشاركة الأطباء في الحملات التوعوية الرقمية عبر منصات مثل تويتر أو يوتيوب أو الإنستغرام يضفي بعدًا علميًا على الرسالة الصحية، ويمنحها المصداقية والقبول، خاصة في ظل كثرة الشائعات والمعلومات غير الدقيقة المنتشرة على الشبكة</w:t>
      </w:r>
      <w:r w:rsidRPr="00E154C9">
        <w:rPr>
          <w:rFonts w:asciiTheme="majorBidi" w:hAnsiTheme="majorBidi" w:cstheme="majorBidi"/>
          <w:sz w:val="28"/>
          <w:szCs w:val="28"/>
        </w:rPr>
        <w:t>.</w:t>
      </w:r>
    </w:p>
    <w:p w14:paraId="063E071D"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المختصين، أصبح للمؤثرين من خارج الحقل الطبي دورًا ملموسًا في توصيل الرسائل الصحية بطرق إبداعية وجذابة. فالمؤثر الذي يتحدث عن تجربة قريبة له مع مريض بالزهايمر أو من خلال فيديو توعوي مؤثر حول أهمية الكشف المبكر، يستطيع تحفيز المتابعين على الاهتمام بأنفسهم أو بمن حولهم. وتكمن فاعلية هذا الدور في أن المؤثر يُخاطب الناس من داخل بيئتهم الثقافية والاجتماعية، ويستخدم لغتهم اليومية، مما يجعل الرسالة أقرب إلى وجدانهم. وقد أثبتت بعض الحملات الصحية في السعودية، مثل حملة "ذكّرهم" لمرضى الزهايمر، أن إشراك المؤثرين في صناعة المحتوى يضاعف من عدد المشاهدات ويزيد من نسب التفاعل والتشارك بين المتابعين (شلابي وآخرون، 2021)</w:t>
      </w:r>
      <w:r w:rsidRPr="00E154C9">
        <w:rPr>
          <w:rFonts w:asciiTheme="majorBidi" w:hAnsiTheme="majorBidi" w:cstheme="majorBidi"/>
          <w:sz w:val="28"/>
          <w:szCs w:val="28"/>
        </w:rPr>
        <w:t>.</w:t>
      </w:r>
    </w:p>
    <w:p w14:paraId="14A3A985"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هذا الدور الإيجابي، فإن إشراك المؤثرين في الإعلام الصحي يتطلب ضوابط مهنية وأخلاقية تضمن جودة المحتوى ومصداقيته. إذ لا يخلو المشهد الرقمي من مؤثرين غير مختصين ينشرون معلومات طبية دون أساس علمي، أو يسوقون منتجات علاجية مضللة قد تُلحق الضرر بالمتلقين. ومن هنا تنبع أهمية إشراف الجهات الصحية الرسمية، مثل وزارات الصحة أو الجمعيات العلمية، على الحملات الرقمية التي يشارك فيها المؤثرون، بحيث يُزودون بالمعلومة الدقيقة، ويُدربون على إيصالها بطريقة مناسبة. وقد دعت دراسات عديدة إلى سنّ تشريعات تضبط المحتوى الصحي الرقمي وتحاسب من يُسيء استخدامه، بما في ذلك المؤثرين الذين يروجون لعلاجات لا تستند إلى دليل علمي (حسانين وآخرون، 2021)</w:t>
      </w:r>
      <w:r w:rsidRPr="00E154C9">
        <w:rPr>
          <w:rFonts w:asciiTheme="majorBidi" w:hAnsiTheme="majorBidi" w:cstheme="majorBidi"/>
          <w:sz w:val="28"/>
          <w:szCs w:val="28"/>
        </w:rPr>
        <w:t>.</w:t>
      </w:r>
    </w:p>
    <w:p w14:paraId="65AB1FD1"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جانب</w:t>
      </w:r>
      <w:r>
        <w:rPr>
          <w:rFonts w:asciiTheme="majorBidi" w:hAnsiTheme="majorBidi" w:cstheme="majorBidi" w:hint="cs"/>
          <w:sz w:val="28"/>
          <w:szCs w:val="28"/>
          <w:rtl/>
        </w:rPr>
        <w:t>ٍ</w:t>
      </w:r>
      <w:r w:rsidRPr="00E154C9">
        <w:rPr>
          <w:rFonts w:asciiTheme="majorBidi" w:hAnsiTheme="majorBidi" w:cstheme="majorBidi"/>
          <w:sz w:val="28"/>
          <w:szCs w:val="28"/>
          <w:rtl/>
        </w:rPr>
        <w:t xml:space="preserve"> آخر، تزداد الحاجة إلى دعم الأطباء والمختصين صحيًا ونفسيًا للاستمرار في رسالتهم التوعوية عبر الإعلام الرقمي. فكثير من هؤلاء يعانون من ضغوط العمل، وضيق الوقت، وقلة الموارد، مما يجعل التفرغ لصناعة المحتوى الرقمي تحديًا إضافيًا. كما أن التعامل مع جمهور واسع ومتعدد الآراء قد يعرضهم لهجوم أو انتقادات غير مبررة. لذا، فإن توفير التدريب والدعم التقني للمختصين، وتقدير جهودهم إعلاميًا ومجتمعيًا، يُعد خطوة مهمة لتعزيز مشاركتهم المستدامة في الإعلام الصحي الرقمي. وقد أوضحت دراسات حديثة أن المختصين الذين يتلقون دعمًا مؤسسيًا يكونون أكثر قدرة على التأثير الرقمي الإيجابي (شلابي وآخرون، 2021)</w:t>
      </w:r>
      <w:r w:rsidRPr="00E154C9">
        <w:rPr>
          <w:rFonts w:asciiTheme="majorBidi" w:hAnsiTheme="majorBidi" w:cstheme="majorBidi"/>
          <w:sz w:val="28"/>
          <w:szCs w:val="28"/>
        </w:rPr>
        <w:t>.</w:t>
      </w:r>
    </w:p>
    <w:p w14:paraId="70F08038"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تجدر الإشارة إلى أن العلاقة بين المؤثرين والمختصين لا يجب أن تكون تنافسية، بل تكاملية، حيث يمكن توظيف تأثير المؤثر وعمق معرفة المختص في إنتاج محتوى صحي عالي الجودة والتأثير. فمثلاً، يمكن للطبيب أن يُعد المادة العلمية، بينما يقوم المؤثر بتقديمها بلغة سلسة وفيديو تفاعلي. وقد أثبت هذا النموذج فعاليته في العديد من الحملات السعودية والخليجية، حيث تم دمج حضور الأطباء والمتخصصين مع المؤثرين في مقاطع تعليمية ومقابلات مباشرة عبر الإنترنت، ما أدى إلى تعزيز ثقة المتابعين بالمحتوى وزيادة انتشاره</w:t>
      </w:r>
      <w:r w:rsidRPr="00E154C9">
        <w:rPr>
          <w:rFonts w:asciiTheme="majorBidi" w:hAnsiTheme="majorBidi" w:cstheme="majorBidi"/>
          <w:sz w:val="28"/>
          <w:szCs w:val="28"/>
        </w:rPr>
        <w:t>.</w:t>
      </w:r>
    </w:p>
    <w:p w14:paraId="5573E8BE" w14:textId="77777777" w:rsidR="00046EB2" w:rsidRPr="00E154C9" w:rsidRDefault="00046EB2" w:rsidP="00046EB2">
      <w:pPr>
        <w:spacing w:line="360" w:lineRule="auto"/>
        <w:rPr>
          <w:rFonts w:asciiTheme="majorBidi" w:hAnsiTheme="majorBidi" w:cstheme="majorBidi"/>
          <w:sz w:val="28"/>
          <w:szCs w:val="28"/>
        </w:rPr>
      </w:pPr>
      <w:r w:rsidRPr="006F53A1">
        <w:rPr>
          <w:rFonts w:asciiTheme="majorBidi" w:hAnsiTheme="majorBidi" w:cstheme="majorBidi" w:hint="cs"/>
          <w:sz w:val="28"/>
          <w:szCs w:val="28"/>
          <w:u w:val="single"/>
          <w:shd w:val="clear" w:color="auto" w:fill="F2CEED" w:themeFill="accent5" w:themeFillTint="33"/>
          <w:rtl/>
        </w:rPr>
        <w:t>رؤية الباحثة:</w:t>
      </w:r>
      <w:r w:rsidRPr="00046EB2">
        <w:rPr>
          <w:rFonts w:asciiTheme="majorBidi" w:hAnsiTheme="majorBidi" w:cstheme="majorBidi" w:hint="cs"/>
          <w:sz w:val="28"/>
          <w:szCs w:val="28"/>
          <w:rtl/>
        </w:rPr>
        <w:t xml:space="preserve"> </w:t>
      </w:r>
      <w:r w:rsidRPr="00046EB2">
        <w:rPr>
          <w:rFonts w:asciiTheme="majorBidi" w:hAnsiTheme="majorBidi" w:cstheme="majorBidi"/>
          <w:sz w:val="28"/>
          <w:szCs w:val="28"/>
          <w:rtl/>
        </w:rPr>
        <w:t>وتُبرز الأدبيات المتخصصة أهمية استثمار الإعلام الصحي الرقمي في القضايا الصحية التي تعاني من نقص الوعي، مثل بعض الأمراض العصبية النادرة أو تلك التي تُعد من المحرمات الاجتماعية. فعلى سبيل المثال، ساهمت مقاطع فيديو مؤثرة بثها مختصون ومؤثرون سعوديون حول مرض الباركنسون في إحداث نقلة نوعية في فهم الجمهور لهذا المرض، وتحفيزهم لدعم المصابين به ومساعدتهم في حياتهم اليومية. كما أثبتت دراسة (شلابي وآخرون، 2021) أن الجمع بين التجربة الإنسانية والشرح الطبي المتخصص هو أكثر النماذج إقناعًا في حملات التوعية الرقمية</w:t>
      </w:r>
      <w:r w:rsidRPr="00046EB2">
        <w:rPr>
          <w:rFonts w:asciiTheme="majorBidi" w:hAnsiTheme="majorBidi" w:cstheme="majorBidi"/>
          <w:sz w:val="28"/>
          <w:szCs w:val="28"/>
        </w:rPr>
        <w:t>.</w:t>
      </w:r>
    </w:p>
    <w:p w14:paraId="41972DE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ولا يمكن إغفال البعد الإنساني الذي يضيفه المؤثرون والمختصون على الرسالة الصحية، إذ أن مشاركتهم لتجاربهم الشخصية أو تفاعلهم المباشر مع تساؤلات الجمهور، يخلق نوعًا من التفاعل العاطفي والمعرفي في آنٍ واحد. هذا التفاعل يساعد في إزالة الحواجز النفسية التي تحول دون طلب العلاج أو قبول المرض. ومن هنا، فإن تدريب المؤثرين والمختصين على مهارات التواصل الرقمي، والتفاعل المهني مع الجمهور، يُعد استثمارًا طويل الأمد في رفع الوعي الصحي المجتمعي</w:t>
      </w:r>
      <w:r w:rsidRPr="00E154C9">
        <w:rPr>
          <w:rFonts w:asciiTheme="majorBidi" w:hAnsiTheme="majorBidi" w:cstheme="majorBidi"/>
          <w:sz w:val="28"/>
          <w:szCs w:val="28"/>
        </w:rPr>
        <w:t>.</w:t>
      </w:r>
    </w:p>
    <w:p w14:paraId="5FC7C543" w14:textId="77777777" w:rsidR="006F53A1" w:rsidRPr="00E154C9" w:rsidRDefault="006F53A1" w:rsidP="006F53A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أخيرًا، فإن دور المؤثرين والمختصين في الإعلام الصحي الرقمي لم يعد دورًا تكميليًا، بل أصبح جزءًا أصيلًا من منظومة الرعاية الصحية الحديثة. فبفضل قدرتهم على الوصول إلى فئات متنوعة من المجتمع، ونقل الرسائل الصحية بشكل مبسط وجذاب، فإنهم يسهمون في سد الفجوة بين المعرفة الطبية والمجتمع، ويعززون من قدرة الأفراد على اتخاذ قرارات صحية مستنيرة. ولتحقيق الاستفادة القصوى من هذا الدور، لا بد من تعزيز الشراكة بين القطاعات الصحية والإعلامية والتعليمية، والعمل على ترسيخ ثقافة المسؤولية المهنية في نشر المحتوى الصحي</w:t>
      </w:r>
      <w:r w:rsidRPr="00E154C9">
        <w:rPr>
          <w:rFonts w:asciiTheme="majorBidi" w:hAnsiTheme="majorBidi" w:cstheme="majorBidi"/>
          <w:sz w:val="28"/>
          <w:szCs w:val="28"/>
        </w:rPr>
        <w:t>.</w:t>
      </w:r>
    </w:p>
    <w:p w14:paraId="6D6F242E" w14:textId="77777777" w:rsidR="006F53A1" w:rsidRDefault="006F53A1" w:rsidP="006F53A1">
      <w:pPr>
        <w:spacing w:line="360" w:lineRule="auto"/>
        <w:rPr>
          <w:rFonts w:asciiTheme="majorBidi" w:hAnsiTheme="majorBidi" w:cstheme="majorBidi"/>
          <w:b/>
          <w:bCs/>
          <w:sz w:val="28"/>
          <w:szCs w:val="28"/>
          <w:rtl/>
        </w:rPr>
      </w:pPr>
    </w:p>
    <w:p w14:paraId="72CC410E" w14:textId="77777777" w:rsidR="006F53A1" w:rsidRDefault="006F53A1" w:rsidP="006F53A1">
      <w:pPr>
        <w:spacing w:line="360" w:lineRule="auto"/>
        <w:rPr>
          <w:rFonts w:asciiTheme="majorBidi" w:hAnsiTheme="majorBidi" w:cstheme="majorBidi"/>
          <w:b/>
          <w:bCs/>
          <w:sz w:val="28"/>
          <w:szCs w:val="28"/>
          <w:rtl/>
        </w:rPr>
      </w:pPr>
    </w:p>
    <w:p w14:paraId="5BCBFA30" w14:textId="77777777" w:rsidR="006F53A1" w:rsidRPr="00E154C9" w:rsidRDefault="006F53A1" w:rsidP="006F53A1">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المطلب الرابع: فاعلية الإعلام الرقمي في تغيير السلوك الصحي</w:t>
      </w:r>
    </w:p>
    <w:p w14:paraId="3B49D87B" w14:textId="77777777" w:rsidR="006F53A1" w:rsidRDefault="006F53A1" w:rsidP="006F53A1">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تمهيد: </w:t>
      </w:r>
    </w:p>
    <w:p w14:paraId="1B02C6BF" w14:textId="77777777" w:rsidR="006F53A1" w:rsidRPr="00E154C9"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أثبت الإعلام الرقمي في السنوات الأخيرة فعاليته كأداة استراتيجية في توجيه السلوك الصحي، وتعديل المفاهيم المغلوطة، والتأثير في قرارات الأفراد الصحية، وذلك بفضل قدرته على الجمع بين سرعة الانتشار، وسهولة الوصول، والتفاعل المباشر مع الجمهور. لم يعد دور الإعلام الرقمي مقتصرًا على تقديم المعلومات الصحية فحسب، بل تطور ليصبح وسيلة فاعلة في تحفيز الأفراد نحو تبني أنماط حياة صحية، وتغيير السلوكيات السلبية المرتبطة بالصحة، لا سيما في ما يتعلق بالأمراض العصبية المزمنة، التي تتطلب وعيًا مستمرًا والتزامًا طويل الأمد بأنماط علاجية وسلوكية معينة</w:t>
      </w:r>
      <w:r w:rsidRPr="006F53A1">
        <w:rPr>
          <w:rFonts w:asciiTheme="majorBidi" w:hAnsiTheme="majorBidi" w:cstheme="majorBidi"/>
          <w:sz w:val="28"/>
          <w:szCs w:val="28"/>
        </w:rPr>
        <w:t>.</w:t>
      </w:r>
    </w:p>
    <w:p w14:paraId="438E23F8"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تتمثل فاعلية الإعلام الرقمي في تأثيره السلوكي من خلال قدرته على إيصال الرسائل الصحية بطريقة تراكمية ومتكررة، مما يُعزز من احتمالية التذكر، ويحفز الفرد على التفكير في السلوكيات التي يمارسها. فعلى سبيل المثال، عند تعرض المستخدم لمحتوى رقمي يومي حول أهمية الالتزام بعلاج مرض مثل التصلب اللويحي، فإن ذلك يُعزز لديه إدراكًا تدريجيًا بأهمية المداومة على الأدوية، والمتابعة الدورية، مما ينعكس مباشرة على سلوكه الصحي. وقد أكدت دراسة (شلابي وآخرون، 2021) أن التكرار في الرسائل الرقمية يُعد من أقوى المؤثرات في تغيير القناعات وبناء سلوك صحي ثابت لدى المستخدمين</w:t>
      </w:r>
      <w:r w:rsidRPr="00E154C9">
        <w:rPr>
          <w:rFonts w:asciiTheme="majorBidi" w:hAnsiTheme="majorBidi" w:cstheme="majorBidi"/>
          <w:sz w:val="28"/>
          <w:szCs w:val="28"/>
        </w:rPr>
        <w:t>.</w:t>
      </w:r>
    </w:p>
    <w:p w14:paraId="3F06B77D"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يلعب الطابع التفاعلي للإعلام الرقمي دورًا أساسيًا في التأثير في السلوك الصحي. فعلى عكس الإعلام التقليدي الذي يمرر الرسائل في اتجاه واحد، يسمح الإعلام الرقمي بتفاعل المتلقي مع المحتوى من خلال الإعجاب، والمشاركة، والتعليق، وطرح الأسئلة، مما يُعزز من انخراطه النفسي والمعرفي في الرسالة. وقد أظهرت أبحاث حديثة أن هذا النوع من التفاعل يُفضي إلى تغييرات ملموسة في السلوك، مثل زيادة الإقبال على الفحوصات الطبية الوقائية، أو الالتزام بالحميات الغذائية، أو تقليل الاعتماد على الأدوية دون وصفة. ومن الأمثلة الدالة على ذلك، الحملات الرقمية التي أطلقتها وزارة الصحة السعودية لتشجيع مرضى الصرع على الإفصاح عن حالتهم، والتي ساهمت في تعزيز الثقة بالنفس وتغيير النظرة السلبية تجاه المرض</w:t>
      </w:r>
      <w:r w:rsidRPr="00E154C9">
        <w:rPr>
          <w:rFonts w:asciiTheme="majorBidi" w:hAnsiTheme="majorBidi" w:cstheme="majorBidi"/>
          <w:sz w:val="28"/>
          <w:szCs w:val="28"/>
        </w:rPr>
        <w:t>.</w:t>
      </w:r>
    </w:p>
    <w:p w14:paraId="7FB9FA71"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كذلك، ترتبط فاعلية الإعلام الرقمي في تغيير السلوك الصحي بقدرته على تقديم نماذج واقعية وتجارب إنسانية تلهم المتلقين، حيث تُعد "القصص الرقمية" من الأدوات القوية في التأثير النفسي والاجتماعي. فحين يشاهد الفرد مريضًا يروي قصته مع الزهايمر، أو يتحدث عن التحديات التي واجهها مع أعراض الباركنسون، فإنه يشعر بالتقارب الإنساني، ويتفاعل مع التجربة على مستوى وجداني، ما يدفعه لإعادة النظر </w:t>
      </w:r>
      <w:r w:rsidRPr="00E154C9">
        <w:rPr>
          <w:rFonts w:asciiTheme="majorBidi" w:hAnsiTheme="majorBidi" w:cstheme="majorBidi"/>
          <w:sz w:val="28"/>
          <w:szCs w:val="28"/>
          <w:rtl/>
        </w:rPr>
        <w:lastRenderedPageBreak/>
        <w:t>في سلوكياته الصحية أو تغيير نظرته تجاه المرض. هذا التأثير العاطفي يعزز ما يُعرف بالتغيير السلوكي القائم على التعاطف، وهو أحد أشكال التغيير المستدام الذي لا يتحقق بالمعلومة وحدها. وقد أشار (حسانين وآخرون، 2021) إلى أن السلوكيات الصحية المرتبطة بالمشاعر والانفعالات تكون أكثر استجابة للمحتوى الرقمي التفاعلي من الاستراتيجيات القائمة على الإرشاد المباشر فقط</w:t>
      </w:r>
      <w:r w:rsidRPr="00E154C9">
        <w:rPr>
          <w:rFonts w:asciiTheme="majorBidi" w:hAnsiTheme="majorBidi" w:cstheme="majorBidi"/>
          <w:sz w:val="28"/>
          <w:szCs w:val="28"/>
        </w:rPr>
        <w:t>.</w:t>
      </w:r>
    </w:p>
    <w:p w14:paraId="1CC9BE8F"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إلى جانب ذلك، فإن تنوع المنصات الرقمية يُتيح تقديم الرسائل الصحية بعدة أساليب تناسب مختلف أنماط المتلقين، مما يُضاعف من احتمالات التأثير. فبعض الأفراد يفضلون المحتوى المرئي كالفيديوهات القصيرة أو الرسوم المتحركة، بينما ينجذب آخرون للمقالات المبسطة أو البودكاست التوعوي. هذا التنوع يجعل الرسالة الصحية أكثر شمولًا، ويمنح الأفراد فرصة اختيار الوسيط الذي يناسب أسلوبهم التعليمي والمعرفي، وهو ما يُعزز من تقبلهم للمعلومة واستعدادهم لتطبيقها. وقد ثبت أن الدمج بين أكثر من وسيلة رقمية في حملة صحية واحدة يرفع من مستويات الاستجابة ويزيد من احتمالية الالتزام بالسلوك الصحي المستهدف (شلابي وآخرون، 2021)</w:t>
      </w:r>
      <w:r w:rsidRPr="00E154C9">
        <w:rPr>
          <w:rFonts w:asciiTheme="majorBidi" w:hAnsiTheme="majorBidi" w:cstheme="majorBidi"/>
          <w:sz w:val="28"/>
          <w:szCs w:val="28"/>
        </w:rPr>
        <w:t>.</w:t>
      </w:r>
    </w:p>
    <w:p w14:paraId="02A03105"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ومن أبرز عوامل فاعلية الإعلام الرقمي أيضًا أنه يتجاوز الحواجز الزمانية والمكانية، مما يسمح بالوصول إلى الفئات التي يصعب استهدافها بالطرق التقليدية، مثل كبار السن، أو سكان المناطق النائية، أو الأشخاص الذين يعانون من إعاقات حركية. فباستخدام تطبيقات الهاتف المحمول أو المنصات التفاعلية، يمكن إيصال المعلومة الصحية إلى أي فرد في أي وقت، مما يُسهم في تحقيق العدالة الصحية الرقمية، ويُعزز من السلوكيات الوقائية والعلاجية في الفئات المهمشة. ويُعد هذا من المكاسب الكبرى للإعلام الرقمي، خاصة في المجتمعات التي تعاني من نقص في الكوادر الصحية أو ضعف في البنية التحتية للمراكز الطبية</w:t>
      </w:r>
      <w:r w:rsidRPr="00E154C9">
        <w:rPr>
          <w:rFonts w:asciiTheme="majorBidi" w:hAnsiTheme="majorBidi" w:cstheme="majorBidi"/>
          <w:sz w:val="28"/>
          <w:szCs w:val="28"/>
        </w:rPr>
        <w:t>.</w:t>
      </w:r>
    </w:p>
    <w:p w14:paraId="568541B7"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وسائل الإعلام الرقمي تساعد في تعزيز ما يُعرف بالسلوك الصحي الجماعي، حيث يُحفز الفرد من خلال رؤية الآخرين يتفاعلون مع الرسالة نفسها أو يشاركون قصصهم وتجاربهم، مما يُولد نوعًا من الضغط الاجتماعي الإيجابي الذي يدفع إلى تبني السلوك الصحي السائد. فعندما يرى المستخدم أصدقاءه يشاركون منشورًا توعويًا عن أهمية الراحة النفسية لمرضى الأعصاب، أو يشاهد حملة على "تويتر" تتحدث عن الكشف المبكر عن الزهايمر، فإنه يشعر بوجود قضية مجتمعية عامة تستحق أن يكون جزءًا منها. وتؤكد الأدبيات أن هذا النوع من التفاعل الجماعي الرقمي يترك أثرًا طويل الأمد في عادات الأفراد وسلوكهم اليومي (حسانين وآخرون، 2021)</w:t>
      </w:r>
      <w:r w:rsidRPr="00E154C9">
        <w:rPr>
          <w:rFonts w:asciiTheme="majorBidi" w:hAnsiTheme="majorBidi" w:cstheme="majorBidi"/>
          <w:sz w:val="28"/>
          <w:szCs w:val="28"/>
        </w:rPr>
        <w:t>.</w:t>
      </w:r>
    </w:p>
    <w:p w14:paraId="5136EC76"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مع ذلك، فإن فعالية الإعلام الرقمي في تغيير السلوك الصحي تظل مشروطة بجودة المحتوى المقدم، ومدى دقته ومصداقيته. فالمحتوى المضلل أو غير المبني على أساس علمي قد يؤدي إلى نتائج عكسية، بل قد يُعرض الأفراد لمخاطر صحية خطيرة. ومن هنا تنبع ضرورة إشراف المؤسسات الصحية الرسمية على إنتاج المحتوى الصحي الرقمي، ومراقبة ما يُنشر على منصات التواصل، وتدريب المختصين والمؤثرين على أسس التواصل الصحي الرقمي السليم. كما يجب تعزيز التفكير النقدي لدى المستخدمين، وتمكينهم من التمييز بين المعلومات الصحيحة والمغلوطة، من خلال حملات توعوية تركز على كيفية التحقق من مصادر المعلومات الصحية</w:t>
      </w:r>
      <w:r w:rsidRPr="00E154C9">
        <w:rPr>
          <w:rFonts w:asciiTheme="majorBidi" w:hAnsiTheme="majorBidi" w:cstheme="majorBidi"/>
          <w:sz w:val="28"/>
          <w:szCs w:val="28"/>
        </w:rPr>
        <w:t>.</w:t>
      </w:r>
    </w:p>
    <w:p w14:paraId="431A59B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بدأت بعض الدول العربية، ومن ضمنها السعودية، في تنفيذ نماذج متقدمة من الإعلام الرقمي الصحي الذي يستند إلى الذكاء الاصطناعي، وتحليل البيانات، وتخصيص المحتوى بحسب سلوك المستخدم واحتياجاته الصحية. هذا التخصيص يُعد من أهم التطورات التي ستُعزز من فاعلية الإعلام الرقمي في التأثير في السلوك الصحي، لأنه يُخاطب المستخدم بشكل شخصي، ويقدم له رسائل توعوية موجهة بدقة، بما يتناسب مع حالته الصحية أو الفئة العمرية التي ينتمي إليها. ويُعد هذا النموذج أحد الاتجاهات الحديثة في التعليم الصحي الرقمي الذي يعتمد على البيانات والتكنولوجيا لتحسين النتائج الصحية الفردية والمجتمعية</w:t>
      </w:r>
      <w:r w:rsidRPr="00E154C9">
        <w:rPr>
          <w:rFonts w:asciiTheme="majorBidi" w:hAnsiTheme="majorBidi" w:cstheme="majorBidi"/>
          <w:sz w:val="28"/>
          <w:szCs w:val="28"/>
        </w:rPr>
        <w:t>.</w:t>
      </w:r>
    </w:p>
    <w:p w14:paraId="64EF8136"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المجمل، يتضح أن الإعلام الرقمي ليس فقط وسيلة لنشر الوعي، بل هو عامل أساسي في التأثير في أنماط التفكير والسلوك المرتبطة بالصحة. قدرته على التأثير تنبع من مزاياه التكنولوجية، وخصائصه النفسية، وفاعليته في التخصيص، وسهولة التفاعل معه. غير أن هذا التأثير لا يتحقق إلا من خلال تكامل الجهود بين الجهات الصحية، والخبراء الإعلاميين، وصناع السياسات، ومقدمي المحتوى. كما يجب إدماج الإعلام الصحي الرقمي في السياسات الوطنية للصحة العامة، باعتباره جزءًا من منظومة الوقاية والتدخل المبكر</w:t>
      </w:r>
      <w:r w:rsidRPr="00E154C9">
        <w:rPr>
          <w:rFonts w:asciiTheme="majorBidi" w:hAnsiTheme="majorBidi" w:cstheme="majorBidi"/>
          <w:sz w:val="28"/>
          <w:szCs w:val="28"/>
        </w:rPr>
        <w:t>.</w:t>
      </w:r>
    </w:p>
    <w:p w14:paraId="533CF15F" w14:textId="3FC9A8EA" w:rsidR="006F53A1" w:rsidRDefault="006F53A1" w:rsidP="006F53A1">
      <w:pPr>
        <w:spacing w:line="360" w:lineRule="auto"/>
        <w:rPr>
          <w:rFonts w:asciiTheme="majorBidi" w:hAnsiTheme="majorBidi" w:cstheme="majorBidi"/>
          <w:sz w:val="28"/>
          <w:szCs w:val="28"/>
          <w:rtl/>
        </w:rPr>
      </w:pPr>
      <w:r w:rsidRPr="006F53A1">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ة:</w:t>
      </w:r>
      <w:r>
        <w:rPr>
          <w:rFonts w:asciiTheme="majorBidi" w:hAnsiTheme="majorBidi" w:cstheme="majorBidi" w:hint="cs"/>
          <w:sz w:val="28"/>
          <w:szCs w:val="28"/>
          <w:rtl/>
        </w:rPr>
        <w:t xml:space="preserve"> </w:t>
      </w:r>
      <w:r w:rsidRPr="006F53A1">
        <w:rPr>
          <w:rFonts w:asciiTheme="majorBidi" w:hAnsiTheme="majorBidi" w:cstheme="majorBidi"/>
          <w:sz w:val="28"/>
          <w:szCs w:val="28"/>
          <w:rtl/>
        </w:rPr>
        <w:t>إن تعزيز فاعلية الإعلام الرقمي في تغيير السلوك الصحي يتطلب بيئة رقمية واعية، محتوى موثوقًا، تفاعلًا بشريًا حقيقيًا، ورؤية استراتيجية واضحة تضع المواطن في مركز العملية الصحية. وعندما تُحقق هذه الشروط، يصبح الإعلام الرقمي أداة تغيير حقيقية، قادرة على إحداث نقلة نوعية في وعي المجتمعات وسلوكها تجاه قضايا الصحة، وعلى رأسها الأمراض العصبية التي تحتاج إلى تثقيف دائم ودعم مستمر</w:t>
      </w:r>
      <w:r w:rsidRPr="006F53A1">
        <w:rPr>
          <w:rFonts w:asciiTheme="majorBidi" w:hAnsiTheme="majorBidi" w:cstheme="majorBidi"/>
          <w:sz w:val="28"/>
          <w:szCs w:val="28"/>
        </w:rPr>
        <w:t>.</w:t>
      </w:r>
    </w:p>
    <w:p w14:paraId="1ED93C2B" w14:textId="77777777" w:rsidR="006F53A1" w:rsidRDefault="006F53A1" w:rsidP="006F53A1">
      <w:pPr>
        <w:spacing w:line="360" w:lineRule="auto"/>
        <w:rPr>
          <w:rFonts w:asciiTheme="majorBidi" w:hAnsiTheme="majorBidi" w:cstheme="majorBidi"/>
          <w:sz w:val="28"/>
          <w:szCs w:val="28"/>
          <w:rtl/>
        </w:rPr>
      </w:pPr>
    </w:p>
    <w:p w14:paraId="2702F662" w14:textId="77777777" w:rsidR="006F53A1" w:rsidRPr="00E154C9" w:rsidRDefault="006F53A1" w:rsidP="006F53A1">
      <w:pPr>
        <w:spacing w:line="360" w:lineRule="auto"/>
        <w:rPr>
          <w:rFonts w:asciiTheme="majorBidi" w:hAnsiTheme="majorBidi" w:cstheme="majorBidi"/>
          <w:sz w:val="28"/>
          <w:szCs w:val="28"/>
          <w:rtl/>
        </w:rPr>
      </w:pPr>
    </w:p>
    <w:p w14:paraId="20524A96" w14:textId="77777777" w:rsidR="006F53A1" w:rsidRPr="00E154C9" w:rsidRDefault="006F53A1" w:rsidP="006F53A1">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المبحث الخامس: المجتمع السعودي والتفاعل مع الإعلام الصحي الرقمي</w:t>
      </w:r>
    </w:p>
    <w:p w14:paraId="100413DE" w14:textId="77777777" w:rsidR="006F53A1" w:rsidRPr="00C61F93" w:rsidRDefault="006F53A1" w:rsidP="006F53A1">
      <w:pPr>
        <w:spacing w:line="360" w:lineRule="auto"/>
        <w:rPr>
          <w:rFonts w:asciiTheme="majorBidi" w:hAnsiTheme="majorBidi" w:cstheme="majorBidi"/>
          <w:color w:val="000000" w:themeColor="text1"/>
          <w:sz w:val="28"/>
          <w:szCs w:val="28"/>
        </w:rPr>
      </w:pPr>
      <w:r w:rsidRPr="006F53A1">
        <w:rPr>
          <w:rFonts w:asciiTheme="majorBidi" w:hAnsiTheme="majorBidi" w:cstheme="majorBidi" w:hint="cs"/>
          <w:color w:val="000000" w:themeColor="text1"/>
          <w:sz w:val="28"/>
          <w:szCs w:val="28"/>
          <w:rtl/>
        </w:rPr>
        <w:t xml:space="preserve">تمهيد: </w:t>
      </w:r>
      <w:r w:rsidRPr="006F53A1">
        <w:rPr>
          <w:rFonts w:asciiTheme="majorBidi" w:hAnsiTheme="majorBidi" w:cstheme="majorBidi"/>
          <w:color w:val="000000" w:themeColor="text1"/>
          <w:sz w:val="28"/>
          <w:szCs w:val="28"/>
          <w:rtl/>
        </w:rPr>
        <w:t>شهد المجتمع السعودي خلال السنوات الأخيرة تحولًا رقميًا واسع النطاق، انعكس بشكل مباشر على سلوك الأفراد وطريقة تفاعلهم مع مختلف القضايا، بما في ذلك القضايا الصحية. ومع تنامي استخدام وسائل الإعلام الرقمي، أصبح التفاعل مع الإعلام الصحي الرقمي سمة بارزة في المشهد السعودي، مدفوعًا بانتشار الهواتف الذكية، وسهولة الوصول إلى الإنترنت، والانفتاح على المحتوى الصحي المتنوع الذي توفره المنصات الرقمية. وقد أدى هذا التغير إلى تعزيز الوعي الصحي لدى فئات كبيرة من المجتمع، خاصة فيما يتعلق بالأمراض المزمنة والمعقدة، وعلى رأسها الأمراض العصبية، مثل الزهايمر والصرع والتصلب اللويحي ومرض باركنسون</w:t>
      </w:r>
      <w:r w:rsidRPr="006F53A1">
        <w:rPr>
          <w:rFonts w:asciiTheme="majorBidi" w:hAnsiTheme="majorBidi" w:cstheme="majorBidi"/>
          <w:color w:val="000000" w:themeColor="text1"/>
          <w:sz w:val="28"/>
          <w:szCs w:val="28"/>
        </w:rPr>
        <w:t>.</w:t>
      </w:r>
    </w:p>
    <w:p w14:paraId="077AE80B"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تشير الإحصاءات الحديثة إلى أن نسبة كبيرة من السعوديين يعتمدون على وسائل التواصل الاجتماعي كمصدر رئيسي للمعلومات الصحية، إلى جانب المواقع الطبية الرسمية. وقد ساهم هذا الاعتماد في خلق بيئة إعلامية صحية رقمية نشطة، يشارك فيها المواطنون بفاعلية من خلال التفاعل مع المنشورات الصحية، ومشاركة المحتوى التوعوي، وطرح الاستفسارات، والتفاعل مع حملات التوعية الإلكترونية التي تطلقها الجهات الحكومية والخاصة. وقد أظهرت دراسة (شلابي وآخرون، 2021) أن المجتمع السعودي يتميز بمعدلات عالية من التفاعل مع الرسائل الصحية الرقمية، مقارنة ببعض المجتمعات الأخرى في المنطقة العربية</w:t>
      </w:r>
      <w:r w:rsidRPr="00E154C9">
        <w:rPr>
          <w:rFonts w:asciiTheme="majorBidi" w:hAnsiTheme="majorBidi" w:cstheme="majorBidi"/>
          <w:sz w:val="28"/>
          <w:szCs w:val="28"/>
        </w:rPr>
        <w:t>.</w:t>
      </w:r>
    </w:p>
    <w:p w14:paraId="1124B0E9"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يرتبط هذا التفاعل الرقمي الصحي في السعودية بعدة عوامل، أبرزها وعي الأفراد المتزايد بأهمية الوقاية، وسعيهم للحصول على المعلومات الطبية من مصادر موثوقة، إضافة إلى تطور المؤسسات الصحية في تقديم محتوى رقمي موجه للفئات المختلفة. فقد أطلقت وزارة الصحة السعودية عدة مبادرات صحية رقمية تعتمد على الإعلام التفاعلي، أبرزها مبادرة "عش بصحة" التي استخدمت أساليب متعددة في التواصل الرقمي لنشر الوعي بالأمراض المزمنة، بما فيها الأمراض العصبية. وشملت هذه المبادرة استخدام مقاطع الفيديو، والرسوم التوضيحية، والبث المباشر، والندوات الصحية التفاعلية عبر المنصات المختلفة، مما أتاح لأفراد المجتمع فرصًا مستمرة للتعلم والانخراط في المحتوى الصحي</w:t>
      </w:r>
      <w:r w:rsidRPr="00E154C9">
        <w:rPr>
          <w:rFonts w:asciiTheme="majorBidi" w:hAnsiTheme="majorBidi" w:cstheme="majorBidi"/>
          <w:sz w:val="28"/>
          <w:szCs w:val="28"/>
        </w:rPr>
        <w:t>.</w:t>
      </w:r>
    </w:p>
    <w:p w14:paraId="47A395FD"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ومن أبرز مظاهر تفاعل المجتمع السعودي مع الإعلام الصحي الرقمي، مشاركة الأفراد في الحملات التوعوية الوطنية، سواء من خلال إعادة نشر المحتوى، أو التفاعل معه عبر التعليقات والمناقشات، أو عبر التجاوب مع التحديات الصحية المطروحة رقميًا، مثل تحديات الإقلاع عن التدخين، أو التمارين اليومية، أو </w:t>
      </w:r>
      <w:r w:rsidRPr="00E154C9">
        <w:rPr>
          <w:rFonts w:asciiTheme="majorBidi" w:hAnsiTheme="majorBidi" w:cstheme="majorBidi"/>
          <w:sz w:val="28"/>
          <w:szCs w:val="28"/>
          <w:rtl/>
        </w:rPr>
        <w:lastRenderedPageBreak/>
        <w:t>تشجيع الكشف المبكر عن الأمراض. وقد ساهمت هذه المشاركة المجتمعية في تعزيز الشعور بالمسؤولية الجماعية تجاه القضايا الصحية، وجعل الإعلام الرقمي أداة حقيقية للتأثير في الرأي والسلوك العام تجاه الصحة</w:t>
      </w:r>
      <w:r w:rsidRPr="00E154C9">
        <w:rPr>
          <w:rFonts w:asciiTheme="majorBidi" w:hAnsiTheme="majorBidi" w:cstheme="majorBidi"/>
          <w:sz w:val="28"/>
          <w:szCs w:val="28"/>
        </w:rPr>
        <w:t>.</w:t>
      </w:r>
    </w:p>
    <w:p w14:paraId="69BDDF5A"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الدور الكبير الذي يلعبه المؤثرون السعوديون على وسائل التواصل الاجتماعي في دعم الرسائل الصحية عزز من هذا التفاعل. فقد تبنى العديد من المؤثرين السعوديين قضايا توعوية تتعلق بالأمراض العصبية، وشاركوا تجارب شخصية أو دعموا حملات التوعية التي أطلقتها جمعيات مثل الجمعية السعودية للصرع، والجمعية السعودية للزهايمر. ومن خلال الفيديوهات التوعوية، والقصص المصورة، والبث المباشر مع مختصين، استطاع هؤلاء المؤثرون تحفيز المتابعين على الفهم، والتعاطف، والتفاعل مع المرضى، بل وأحيانًا المبادرة بالمشاركة في الدعم المجتمعي أو الحملات التطوعية</w:t>
      </w:r>
      <w:r w:rsidRPr="00E154C9">
        <w:rPr>
          <w:rFonts w:asciiTheme="majorBidi" w:hAnsiTheme="majorBidi" w:cstheme="majorBidi"/>
          <w:sz w:val="28"/>
          <w:szCs w:val="28"/>
        </w:rPr>
        <w:t>.</w:t>
      </w:r>
    </w:p>
    <w:p w14:paraId="342E74BC"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عكست ه</w:t>
      </w:r>
      <w:r>
        <w:rPr>
          <w:rFonts w:asciiTheme="majorBidi" w:hAnsiTheme="majorBidi" w:cstheme="majorBidi"/>
          <w:sz w:val="28"/>
          <w:szCs w:val="28"/>
          <w:rtl/>
        </w:rPr>
        <w:t>ذه المشاركات وعيًا متقدمًا من ق</w:t>
      </w:r>
      <w:r>
        <w:rPr>
          <w:rFonts w:asciiTheme="majorBidi" w:hAnsiTheme="majorBidi" w:cstheme="majorBidi" w:hint="cs"/>
          <w:sz w:val="28"/>
          <w:szCs w:val="28"/>
          <w:rtl/>
        </w:rPr>
        <w:t>ِ</w:t>
      </w:r>
      <w:r w:rsidRPr="00E154C9">
        <w:rPr>
          <w:rFonts w:asciiTheme="majorBidi" w:hAnsiTheme="majorBidi" w:cstheme="majorBidi"/>
          <w:sz w:val="28"/>
          <w:szCs w:val="28"/>
          <w:rtl/>
        </w:rPr>
        <w:t>بل شرائح المجتمع المختلفة، لا سيما الشباب، الذين يشكلون النسبة الأكبر من مستخدمي الإنترنت في السعودية. فالشباب السعوديون لم يعودوا مستهلكين فقط للمحتوى الصحي الرقمي، بل أصبح بعضهم يساهم في إنتاجه، من خلال صفحات توعوية، أو تطبيقات صحية، أو حتى مبادرات طلابية توعوية تقودها جامعات ومؤسسات تعليمية. وهذا ما يؤكده (حسانين وآخرون، 2021)، حين أشار إلى أن المجتمعات التي تمتلك قاعدة شبابية واعية وقادرة على إنتاج المحتوى الرقمي الصحي تتمتع بفرص أعلى في تحسين المؤشرات الصحية العامة</w:t>
      </w:r>
      <w:r w:rsidRPr="00E154C9">
        <w:rPr>
          <w:rFonts w:asciiTheme="majorBidi" w:hAnsiTheme="majorBidi" w:cstheme="majorBidi"/>
          <w:sz w:val="28"/>
          <w:szCs w:val="28"/>
        </w:rPr>
        <w:t>.</w:t>
      </w:r>
    </w:p>
    <w:p w14:paraId="75411F7E"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المقابل، ورغم هذا التفاعل الإيجابي الواسع، لا تزال هناك بعض التحديات التي تواجه الإعلام الصحي الرقمي في المجتمع السعودي، أبرزها انتشار المعلومات الطبية المغلوطة أو غير الدقيقة عبر وسائل التواصل، خاصة عند تداولها من مصادر غير موثوقة. فبعض المستخدمين قد يتأثرون بمحتوى غير طبي ينشره أفراد غير متخصصين، وقد يؤدي ذلك إلى ممارسات صحية خاطئة أو تأخر في طلب المساعدة الطبية المناسبة. وهنا تبرز أهمية تعزيز ثقافة التحقق من المصادر، وتكثيف الجهود الرقابية والإعلامية لمواجهة التضليل الصحي الرقمي، وتوجيه الجمهور نحو المصادر الرسمية والمعتمدة</w:t>
      </w:r>
      <w:r w:rsidRPr="00E154C9">
        <w:rPr>
          <w:rFonts w:asciiTheme="majorBidi" w:hAnsiTheme="majorBidi" w:cstheme="majorBidi"/>
          <w:sz w:val="28"/>
          <w:szCs w:val="28"/>
        </w:rPr>
        <w:t>.</w:t>
      </w:r>
    </w:p>
    <w:p w14:paraId="5E6224C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كذلك، من التحديات الأخرى تفاوت استجابة الفئات المختلفة داخل المجتمع السعودي مع الإعلام الرقمي الصحي، فبينما نجد فئات شبابية متفاعلة وبشكل يومي، إلا أن كبار السن أو الفئات الأقل تعليمًا قد لا يتفاعلون بنفس المستوى، إما لضعف المهارات الرقمية، أو بسبب محدودية استخدامهم للمنصات الإلكترونية. ومن هنا تأتي أهمية اعتماد الإعلام الصحي الرقمي على أساليب مبسطة وسلسة في تقديم المعلومات، مع </w:t>
      </w:r>
      <w:r w:rsidRPr="00E154C9">
        <w:rPr>
          <w:rFonts w:asciiTheme="majorBidi" w:hAnsiTheme="majorBidi" w:cstheme="majorBidi"/>
          <w:sz w:val="28"/>
          <w:szCs w:val="28"/>
          <w:rtl/>
        </w:rPr>
        <w:lastRenderedPageBreak/>
        <w:t>تنويع الوسائل لتناسب جميع الفئات، بما في ذلك الصوتيات أو الرسائل المصورة والمترجمة للغات ولهجات محلية</w:t>
      </w:r>
      <w:r w:rsidRPr="00E154C9">
        <w:rPr>
          <w:rFonts w:asciiTheme="majorBidi" w:hAnsiTheme="majorBidi" w:cstheme="majorBidi"/>
          <w:sz w:val="28"/>
          <w:szCs w:val="28"/>
        </w:rPr>
        <w:t>.</w:t>
      </w:r>
    </w:p>
    <w:p w14:paraId="09C7AC7F"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هذه التحديات، فإن التوجه الرسمي في السعودية يدعم بشكل كبير تطوير الإعلام الصحي الرقمي وتعزيزه. فقد أطلقت المملكة، في إطار رؤية 2030، عددًا من المبادرات التي تهدف إلى التحول الرقمي في القطاع الصحي، ورفع الوعي الرقمي لدى المواطنين، وربط خدمات الرعاية الصحية بالمنصات الإلكترونية الذكية، مثل تطبيق "صحتي" و"توكلنا"، وهما نموذجان لإدماج الإعلام الصحي الرقمي في الحياة اليومية للمواطنين والمقيمين. وتقدم هذه المنصات معلومات صحية موثوقة، وتتيح للمستخدمين تتبع حالتهم الصحية، وتلقي التنبيهات الطبية، والتفاعل مع مقدمي الخدمات الصحية</w:t>
      </w:r>
      <w:r w:rsidRPr="00E154C9">
        <w:rPr>
          <w:rFonts w:asciiTheme="majorBidi" w:hAnsiTheme="majorBidi" w:cstheme="majorBidi"/>
          <w:sz w:val="28"/>
          <w:szCs w:val="28"/>
        </w:rPr>
        <w:t>.</w:t>
      </w:r>
    </w:p>
    <w:p w14:paraId="4C312C13"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ذلك، فإن التفاعل المجتمعي مع الإعلام الرقمي في السعودية يُظهر بوضوح وجود ثقة متزايدة في المحتوى الصحي الرقمي الذي تقدمه الجهات الرسمية والمهنية، وهو ما يُمثل نقطة قوة يمكن البناء عليها لتعزيز ثقافة الصحة العامة، خاصة في المجالات التي كانت في السابق تُعاني من نقص الوعي، مثل الصحة النفسية، وأمراض الدماغ والجهاز العصبي. وقد نجحت الحملات التوعوية المرتبطة بهذه المجالات في جذب اهتمام المجتمع، ودفعت البعض لمشاركة تجاربهم علنًا، مما ساعد في إزالة الوصمة المرتبطة بهذه الأمراض، وفتح باب النقاش العام حولها</w:t>
      </w:r>
      <w:r w:rsidRPr="00E154C9">
        <w:rPr>
          <w:rFonts w:asciiTheme="majorBidi" w:hAnsiTheme="majorBidi" w:cstheme="majorBidi"/>
          <w:sz w:val="28"/>
          <w:szCs w:val="28"/>
        </w:rPr>
        <w:t>.</w:t>
      </w:r>
    </w:p>
    <w:p w14:paraId="1574A7A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المهم الإشارة إلى أن التفاعل السعودي مع الإعلام الصحي الرقمي لم يكن حكرًا على الأفراد فقط، بل شمل أيضًا المؤسسات التعليمية، والمراكز الصحية، والمنظمات الخيرية، التي تبنت بدورها وسائل الإعلام الرقمي كوسيلة للتثقيف ونشر المعلومات الصحية بين طلابها ومنسوبيها وجمهورها. وتقوم بعض الجامعات السعودية، مثل جامعة الملك سعود وجامعة الإمام، بتنفيذ برامج توعوية طبية عبر الإنترنت، وإطلاق حملات صحية لطلبة الطب للمشاركة في إنتاج محتوى تثقيفي يخدم المجتمع</w:t>
      </w:r>
      <w:r w:rsidRPr="00E154C9">
        <w:rPr>
          <w:rFonts w:asciiTheme="majorBidi" w:hAnsiTheme="majorBidi" w:cstheme="majorBidi"/>
          <w:sz w:val="28"/>
          <w:szCs w:val="28"/>
        </w:rPr>
        <w:t>.</w:t>
      </w:r>
    </w:p>
    <w:p w14:paraId="374F6CFB" w14:textId="77777777" w:rsidR="006F53A1" w:rsidRPr="00E154C9" w:rsidRDefault="006F53A1" w:rsidP="006F53A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 يتبين من خلال هذا المبحث أن المجتمع السعودي أظهر استجابة مرنة وفعالة مع الإعلام الصحي الرقمي، مدعومًا بانتشار التكنولوجيا، وارتفاع الوعي، ودعم المؤسسات الرسمية، ومشاركة المؤثرين والمختصين في إنتاج المحتوى الصحي. ورغم وجود بعض التحديات المرتبطة بجودة المحتوى وتفاوت استجابة الفئات، إلا أن التجربة السعودية تُعد من التجارب الرائدة في العالم العربي في هذا المجال. ويُنتظر أن تشهد هذه التجربة مزيدًا من التطور في المستقبل، خاصة مع التوسع في استخدام الذكاء الاصطناعي، وتخصيص الرسائل الصحية، وبناء منصات وطنية موحدة تعزز من التفاعل المجتمعي وتدعم القرار الصحي الفردي والجماعي</w:t>
      </w:r>
      <w:r w:rsidRPr="00E154C9">
        <w:rPr>
          <w:rFonts w:asciiTheme="majorBidi" w:hAnsiTheme="majorBidi" w:cstheme="majorBidi"/>
          <w:sz w:val="28"/>
          <w:szCs w:val="28"/>
        </w:rPr>
        <w:t>.</w:t>
      </w:r>
    </w:p>
    <w:p w14:paraId="101C385B" w14:textId="77777777" w:rsidR="006F53A1" w:rsidRPr="006F53A1" w:rsidRDefault="006F53A1" w:rsidP="006F53A1">
      <w:pPr>
        <w:spacing w:line="360" w:lineRule="auto"/>
        <w:rPr>
          <w:rFonts w:asciiTheme="majorBidi" w:hAnsiTheme="majorBidi" w:cstheme="majorBidi"/>
          <w:b/>
          <w:bCs/>
          <w:sz w:val="28"/>
          <w:szCs w:val="28"/>
          <w:rtl/>
        </w:rPr>
      </w:pPr>
      <w:r w:rsidRPr="006F53A1">
        <w:rPr>
          <w:rFonts w:asciiTheme="majorBidi" w:hAnsiTheme="majorBidi" w:cstheme="majorBidi"/>
          <w:b/>
          <w:bCs/>
          <w:sz w:val="28"/>
          <w:szCs w:val="28"/>
          <w:rtl/>
        </w:rPr>
        <w:lastRenderedPageBreak/>
        <w:t>المطلب ال</w:t>
      </w:r>
      <w:r w:rsidRPr="006F53A1">
        <w:rPr>
          <w:rFonts w:asciiTheme="majorBidi" w:hAnsiTheme="majorBidi" w:cstheme="majorBidi" w:hint="cs"/>
          <w:b/>
          <w:bCs/>
          <w:sz w:val="28"/>
          <w:szCs w:val="28"/>
          <w:rtl/>
        </w:rPr>
        <w:t>أ</w:t>
      </w:r>
      <w:r w:rsidRPr="006F53A1">
        <w:rPr>
          <w:rFonts w:asciiTheme="majorBidi" w:hAnsiTheme="majorBidi" w:cstheme="majorBidi"/>
          <w:b/>
          <w:bCs/>
          <w:sz w:val="28"/>
          <w:szCs w:val="28"/>
          <w:rtl/>
        </w:rPr>
        <w:t>ول: استخدام السعوديين للإعلام الرقمي في المجال الصحي</w:t>
      </w:r>
    </w:p>
    <w:p w14:paraId="25AAB521" w14:textId="77777777" w:rsidR="006F53A1" w:rsidRPr="006F53A1"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أحدث الإعلام الرقمي تحولًا عميقًا في سلوك الأفراد تجاه الحصول على المعلومات الصحية، لا سيما في المجتمع السعودي الذي يشهد تطورًا كبيرًا في البنية التحتية الرقمية وزيادة ملحوظة في وعي الأفراد الصحي. فقد أصبح استخدام السعوديين لوسائل الإعلام الرقمي في المجال الصحي جزءًا لا يتجزأ من حياتهم اليومية، خصوصًا في ظل الانتشار الواسع للهواتف الذكية، والتفاعل الكبير مع منصات التواصل الاجتماعي، وتنامي الاهتمام بالصحة الفردية والوقاية، إلى جانب الدعم الحكومي الموجه نحو التحول الرقمي في القطاع الصحي</w:t>
      </w:r>
      <w:r w:rsidRPr="006F53A1">
        <w:rPr>
          <w:rFonts w:asciiTheme="majorBidi" w:hAnsiTheme="majorBidi" w:cstheme="majorBidi"/>
          <w:sz w:val="28"/>
          <w:szCs w:val="28"/>
        </w:rPr>
        <w:t>.</w:t>
      </w:r>
    </w:p>
    <w:p w14:paraId="20F38410" w14:textId="77777777" w:rsidR="006F53A1" w:rsidRPr="00E154C9"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تشير العديد من الدراسات إلى أن نسبة استخدام السعوديين للإنترنت لأغراض صحية في تزايد مستمر، حيث يُعد الإنترنت المصدر الأول للمعلومات الصحية لدى عدد كبير من المواطنين، خاصة فئة الشباب. وتُظهر البيانات الصادرة عن هيئة الإحصاء السعودية أن أكثر من 95% من السعوديين يستخدمون الإنترنت، وتُعد الصحة من بين أبرز المجالات التي يبحث فيها المستخدمون على الشبكة، سواء بغرض التثقيف أو المتابعة أو الاستشارة. هذا التوجه الرقمي نحو المجال الصحي يعكس وعيًا متناميًا بأهمية المعرفة الطبية، وسعيًا للاعتماد على الذات في فهم الأعراض وطرق الوقاية وأفضل سبل العلاج. وقد أشار (شلابي وآخرون، 2021) إلى أن تنامي الوصول إلى الإنترنت في المجتمعات العربية، ومنها السعودية، ساهم في توسيع قاعدة الباحثين عن المعرفة الصحية خارج الإطار التقليدي للمستشفيات والمراكز الطبية</w:t>
      </w:r>
      <w:r w:rsidRPr="006F53A1">
        <w:rPr>
          <w:rFonts w:asciiTheme="majorBidi" w:hAnsiTheme="majorBidi" w:cstheme="majorBidi"/>
          <w:sz w:val="28"/>
          <w:szCs w:val="28"/>
        </w:rPr>
        <w:t>.</w:t>
      </w:r>
    </w:p>
    <w:p w14:paraId="391E21D2"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يُعد الاستخدام الأكبر للإعلام الرقمي الصحي في السعودية متركزًا في منصات التواصل الاجتماعي، وعلى رأسها تويتر، الذي يُمثل منصة مفضلة للنقاشات الطبية السريعة ونشر المستجدات الصحية، إلى جانب إنستغرام ويوتيوب وسناب شات، التي توفر محتوى مرئيًا تفاعليًا حول موضوعات مثل نمط الحياة الصحي، والتغذية، والأمراض المزمنة، والوقاية النفسية. كما أن هذه المنصات تُستخدم بكثافة من قبل الجمعيات الصحية، والمراكز الطبية، والأطباء المختصين، الذين وجدوا في الإعلام الرقمي قناة فعالة للتواصل المباشر مع الجمهور، وتقديم محتوى طبي موثوق بلغة مبسطة وقريبة من المستخدمين</w:t>
      </w:r>
      <w:r w:rsidRPr="00E154C9">
        <w:rPr>
          <w:rFonts w:asciiTheme="majorBidi" w:hAnsiTheme="majorBidi" w:cstheme="majorBidi"/>
          <w:sz w:val="28"/>
          <w:szCs w:val="28"/>
        </w:rPr>
        <w:t>.</w:t>
      </w:r>
    </w:p>
    <w:p w14:paraId="54043E1E"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تُظهر تجربة السعوديين في استخدام الإعلام الرقمي الصحي تفاعلًا إيجابيًا واسع النطاق، يتمثل في إعادة نشر المعلومات، التعليق عليها، طرح الاستفسارات، بل وحتى نقل تجاربهم الخاصة مع الأمراض أو العلاج. هذا النوع من الاستخدام النشط يعكس تحوُّل المواطن من متلقٍ سلبي إلى مشارك في إنتاج ونقل المعرفة الصحية. وقد أظهرت حملات صحية مثل حملة "عش بصحة" التي أطلقتها وزارة الصحة السعودية أن </w:t>
      </w:r>
      <w:r w:rsidRPr="00E154C9">
        <w:rPr>
          <w:rFonts w:asciiTheme="majorBidi" w:hAnsiTheme="majorBidi" w:cstheme="majorBidi"/>
          <w:sz w:val="28"/>
          <w:szCs w:val="28"/>
          <w:rtl/>
        </w:rPr>
        <w:lastRenderedPageBreak/>
        <w:t>المحتوى الصحي الرقمي قادر على تحقيق ملايين المشاهدات في أيام قليلة، وأن السعوديين يتفاعلون بقوة مع الرسائل الصحية عندما تكون مصاغة بلغة مرنة، مدعومة بتصميم بصري جذاب، وتطرح معلومات دقيقة في قالب قصير وسهل الفهم</w:t>
      </w:r>
      <w:r w:rsidRPr="00E154C9">
        <w:rPr>
          <w:rFonts w:asciiTheme="majorBidi" w:hAnsiTheme="majorBidi" w:cstheme="majorBidi"/>
          <w:sz w:val="28"/>
          <w:szCs w:val="28"/>
        </w:rPr>
        <w:t>.</w:t>
      </w:r>
    </w:p>
    <w:p w14:paraId="41CFF40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يُقبل السعوديون بشكل متزايد على استخدام التطبيقات الصحية الرقمية التي تقدمها المؤسسات الرسمية، مثل تطبيق "صحتي"، الذي يوفر خدمات إلكترونية متعددة، منها حجز المواعيد، الاطلاع على نتائج التحاليل، الاستشارات الطبية، وتلقي التنبيهات الوقائية. ويُعتبر هذا التطبيق نموذجًا متقدمًا في توظيف الإعلام الرقمي لتسهيل الوصول إلى الخدمات الصحية، وتثقيف المستخدم في الوقت نفسه حول حالته الصحية، وحقوقه، والإجراءات المطلوبة منه. وقد أشار (حسانين وآخرون، 2021) إلى أهمية دمج التكنولوجيا في الممارسات الصحية اليومية، لما لذلك من أثر في تحسين جودة الرعاية الصحية وتعزيز الوعي المجتمعي</w:t>
      </w:r>
      <w:r w:rsidRPr="00E154C9">
        <w:rPr>
          <w:rFonts w:asciiTheme="majorBidi" w:hAnsiTheme="majorBidi" w:cstheme="majorBidi"/>
          <w:sz w:val="28"/>
          <w:szCs w:val="28"/>
        </w:rPr>
        <w:t>.</w:t>
      </w:r>
    </w:p>
    <w:p w14:paraId="01443CC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استخدام السعوديين للإعلام الرقمي الصحي لم يقتصر على المجال الشخصي فقط، بل امتد إلى المشاركة في الحملات المجتمعية الصحية عبر الإنترنت، مثل حملات دعم مرضى السرطان، أو التوعية بمرض الزهايمر، أو تحفيز التبرع بالأعضاء، حيث استخدم المواطنون المنصات الرقمية لنشر الوعي، ومشاركة القصص الشخصية، وتحفيز الآخرين على التفاعل. هذا السلوك الرقمي التشاركي يدل على وعي جمعي صحي متقدم، تسهم فيه ثقافة التطوع، والانتماء المجتمعي، والحضور القوي للمؤثرين في الفضاء الرقمي السعودي</w:t>
      </w:r>
      <w:r w:rsidRPr="00E154C9">
        <w:rPr>
          <w:rFonts w:asciiTheme="majorBidi" w:hAnsiTheme="majorBidi" w:cstheme="majorBidi"/>
          <w:sz w:val="28"/>
          <w:szCs w:val="28"/>
        </w:rPr>
        <w:t>.</w:t>
      </w:r>
    </w:p>
    <w:p w14:paraId="31DBEEF1"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تفشي جائحة كوفيد-19، شهد استخدام السعوديين للإعلام الرقمي الصحي قفزة نوعية، حيث ازداد الاعتماد على المنصات الرقمية للحصول على المعلومات حول الفيروس، وطرق الوقاية، والتحديثات الحكومية، والحملات التوعوية، مما رسخ الثقة في الإعلام الرقمي كمصدر رسمي وفعّال للمعلومة الصحية. وقد وفرت وزارة الصحة، وهيئة الصحة العامة "وقاية"، محتوى رقميًا مكثفًا بلغات متعددة، وتم توجيه المستخدمين نحو منصات موحدة للمعلومات الصحية، مما سهل عملية التثقيف الصحي الجماعي، ورفع من مستوى الالتزام المجتمعي بالإجراءات الوقائية. وتؤكد هذه التجربة أن السعوديين يمتلكون استعدادًا عاليًا للتفاعل مع الإعلام الصحي الرقمي متى توفرت الشفافية، والمصداقية، وسهولة الاستخدام</w:t>
      </w:r>
      <w:r w:rsidRPr="00E154C9">
        <w:rPr>
          <w:rFonts w:asciiTheme="majorBidi" w:hAnsiTheme="majorBidi" w:cstheme="majorBidi"/>
          <w:sz w:val="28"/>
          <w:szCs w:val="28"/>
        </w:rPr>
        <w:t>.</w:t>
      </w:r>
    </w:p>
    <w:p w14:paraId="5D6A4ED2"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ومع أن استخدام السعوديين للإعلام الرقمي الصحي يُعد إيجابيًا في مجمله، إلا أنه لا يخلو من التحديات، أبرزها تعرض بعض المستخدمين للمعلومات الصحية المغلوطة أو غير الدقيقة، التي قد يتم تداولها عبر </w:t>
      </w:r>
      <w:r w:rsidRPr="00E154C9">
        <w:rPr>
          <w:rFonts w:asciiTheme="majorBidi" w:hAnsiTheme="majorBidi" w:cstheme="majorBidi"/>
          <w:sz w:val="28"/>
          <w:szCs w:val="28"/>
          <w:rtl/>
        </w:rPr>
        <w:lastRenderedPageBreak/>
        <w:t>حسابات غير متخصصة أو جهات تجارية تسعى للترويج لمنتجات غير مرخصة. وقد بيّنت تقارير محلية أن بعض المستخدمين السعوديين وقعوا ضحية لمعلومات طبية غير صحيحة حول علاجات بديلة أو أعشاب تُروج على أنها "تشفي" أمراضًا مزمنة، مما يدعو إلى أهمية تعزيز الوعي النقدي لدى الجمهور، وتمكينه من التحقق من مصادر المعلومات، وتعزيز دور الجهات الرسمية في مكافحة الشائعات الطبية، عبر نشر محتوى تصحيحي دوري، وتفعيل آليات الإبلاغ الرقمي</w:t>
      </w:r>
      <w:r w:rsidRPr="00E154C9">
        <w:rPr>
          <w:rFonts w:asciiTheme="majorBidi" w:hAnsiTheme="majorBidi" w:cstheme="majorBidi"/>
          <w:sz w:val="28"/>
          <w:szCs w:val="28"/>
        </w:rPr>
        <w:t>.</w:t>
      </w:r>
    </w:p>
    <w:p w14:paraId="525EA74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التفاوت في مستوى الثقافة الرقمية والصحية بين فئات المجتمع السعودي يُشكل تحديًا إضافيًا، حيث لا يتمكن جميع المستخدمين من تفسير المحتوى الصحي بشكل دقيق، خاصة الفئات الأقل تعليمًا، أو كبار السن الذين قد يجدون صعوبة في التعامل مع التطبيقات الصحية أو تفسير الرموز الطبية المعقدة. وهذا يتطلب تبني استراتيجيات توصيل صحي رقمي تراعي اختلاف مستويات المعرفة والخبرة الرقمية، وتُوظف الوسائط المتعددة، واللغة البسيطة، والرسوم التوضيحية، لضمان وصول الرسالة الصحية إلى الجميع</w:t>
      </w:r>
      <w:r w:rsidRPr="00E154C9">
        <w:rPr>
          <w:rFonts w:asciiTheme="majorBidi" w:hAnsiTheme="majorBidi" w:cstheme="majorBidi"/>
          <w:sz w:val="28"/>
          <w:szCs w:val="28"/>
        </w:rPr>
        <w:t>.</w:t>
      </w:r>
    </w:p>
    <w:p w14:paraId="1443BD3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ورغم هذه التحديات، فإن المجتمع السعودي يُعد من أكثر المجتمعات العربية استعدادًا لاستخدام الإعلام الرقمي في المجال الصحي، بفضل تطور التعليم، وارتفاع نسبة استخدام التكنولوجيا، وانفتاح المواطن على المستجدات الصحية. كما أن انتشار ثقافة البحث عن المعلومة، والتفاعل مع المحتوى الصحي، يعزز من إمكانيات التغيير السلوكي الإيجابي المرتبط بالصحة. وقد أشار (شلابي وآخرون، 2021) إلى أن استخدام الإعلام الرقمي في المجتمعات ذات التركيبة الشبابية مثل السعودية يُسهم في تسريع نشر الوعي، ويُوفر بيئة خصبة لتبني مفاهيم الصحة الوقائية والعلاجية الحديثة</w:t>
      </w:r>
      <w:r w:rsidRPr="00E154C9">
        <w:rPr>
          <w:rFonts w:asciiTheme="majorBidi" w:hAnsiTheme="majorBidi" w:cstheme="majorBidi"/>
          <w:sz w:val="28"/>
          <w:szCs w:val="28"/>
        </w:rPr>
        <w:t>.</w:t>
      </w:r>
    </w:p>
    <w:p w14:paraId="05BD99FB" w14:textId="77777777" w:rsidR="006F53A1" w:rsidRDefault="006F53A1" w:rsidP="006F53A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أخيرًا، يُمكن القول إن استخدام السعوديين للإعلام الرقمي في المجال الصحي يُمثل نموذجًا متقدمًا في العالم العربي، يجمع بين الاهتمام الفردي بالصحة، والانفتاح على التكنولوجيا، والثقة المتزايدة في الجهات الرسمية، والمشاركة المجتمعية الواسعة. ولتعزيز هذا النموذج، ينبغي دعم الإنتاج المحلي للمحتوى الصحي الرقمي، وتدريب المختصين على التواصل الفعّال عبر المنصات الحديثة، ومراقبة جودة المعلومات المنتشرة، وتحفيز الشباب على المشاركة في الحملات التوعوية الرقمية، بما يُسهم في تعزيز الصحة العامة، وتطوير ثقافة رقمية صحية مستدامة</w:t>
      </w:r>
      <w:r w:rsidRPr="00E154C9">
        <w:rPr>
          <w:rFonts w:asciiTheme="majorBidi" w:hAnsiTheme="majorBidi" w:cstheme="majorBidi"/>
          <w:sz w:val="28"/>
          <w:szCs w:val="28"/>
        </w:rPr>
        <w:t>.</w:t>
      </w:r>
    </w:p>
    <w:p w14:paraId="16673465" w14:textId="77777777" w:rsidR="006F53A1" w:rsidRDefault="006F53A1" w:rsidP="006F53A1">
      <w:pPr>
        <w:spacing w:line="360" w:lineRule="auto"/>
        <w:rPr>
          <w:rFonts w:asciiTheme="majorBidi" w:hAnsiTheme="majorBidi" w:cstheme="majorBidi"/>
          <w:sz w:val="28"/>
          <w:szCs w:val="28"/>
          <w:rtl/>
        </w:rPr>
      </w:pPr>
    </w:p>
    <w:p w14:paraId="2BD8645A" w14:textId="77777777" w:rsidR="006F53A1" w:rsidRDefault="006F53A1" w:rsidP="006F53A1">
      <w:pPr>
        <w:spacing w:line="360" w:lineRule="auto"/>
        <w:rPr>
          <w:rFonts w:asciiTheme="majorBidi" w:hAnsiTheme="majorBidi" w:cstheme="majorBidi"/>
          <w:sz w:val="28"/>
          <w:szCs w:val="28"/>
          <w:rtl/>
        </w:rPr>
      </w:pPr>
    </w:p>
    <w:p w14:paraId="26B58101" w14:textId="77777777" w:rsidR="006F53A1" w:rsidRPr="00E154C9" w:rsidRDefault="006F53A1" w:rsidP="006F53A1">
      <w:pPr>
        <w:spacing w:line="360" w:lineRule="auto"/>
        <w:rPr>
          <w:rFonts w:asciiTheme="majorBidi" w:hAnsiTheme="majorBidi" w:cstheme="majorBidi"/>
          <w:sz w:val="28"/>
          <w:szCs w:val="28"/>
          <w:rtl/>
        </w:rPr>
      </w:pPr>
    </w:p>
    <w:p w14:paraId="297C0A54" w14:textId="77777777" w:rsidR="006F53A1" w:rsidRPr="00E154C9" w:rsidRDefault="006F53A1" w:rsidP="006F53A1">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المطلب الثاني: مستوى الوعي بالأمراض العصبية عبر الإعلام</w:t>
      </w:r>
    </w:p>
    <w:p w14:paraId="16A4EF24" w14:textId="77777777" w:rsidR="006F53A1" w:rsidRDefault="006F53A1" w:rsidP="006F53A1">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تمهيد: </w:t>
      </w:r>
    </w:p>
    <w:p w14:paraId="5076FB83" w14:textId="77777777" w:rsidR="006F53A1" w:rsidRPr="00E154C9"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يمثل الوعي المجتمعي بالأمراض العصبية المزمنة إحدى الركائز الأساسية للوقاية والتشخيص المبكر وتحسين جودة حياة المصابين، خصوصًا في ظل ما تتسم به هذه الأمراض من طبيعة معقدة ومزمنة تتطلب فهمًا دقيقًا ومتابعة مستمرة. ولأن الإعلام هو الواجهة الأوسع لتشكيل وعي الأفراد، فقد أصبح الإعلام الرقمي – بتطوره السريع – أداة فعالة في نشر المعرفة حول هذه الأمراض، وتحفيز الأفراد على التفاعل معها طبيًا وإنسانيًا، بما في ذلك في المملكة العربية السعودية، حيث أسهمت الحملات الرقمية والتثقيفية المتنوعة في تغيير الكثير من المفاهيم الخاطئة، ورفع مستوى الوعي المجتمعي</w:t>
      </w:r>
      <w:r w:rsidRPr="006F53A1">
        <w:rPr>
          <w:rFonts w:asciiTheme="majorBidi" w:hAnsiTheme="majorBidi" w:cstheme="majorBidi"/>
          <w:sz w:val="28"/>
          <w:szCs w:val="28"/>
        </w:rPr>
        <w:t>.</w:t>
      </w:r>
    </w:p>
    <w:p w14:paraId="7F9BBCB5"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الأمراض العصبية مثل الزهايمر، التصلب اللويحي، الباركنسون، والصرع من الحالات الصحية التي يُحيط بها الكثير من الغموض في أوساط الجمهور، خصوصًا في المجتمعات المحافظة أو تلك التي لم تتعامل مع هذه الأمراض بصورة مباشرة. وغالبًا ما ترتبط هذه الأمراض بتصورات مغلوطة مثل اعتبارها من علامات "الجنون" أو "الضعف العقلي" أو الخرافات الشعبية، مما يؤدي إلى عزوف بعض الأسر عن الإفصاح عن إصابة أحد أفرادها أو تأخير التشخيص. ومن هنا تأتي أهمية الإعلام في إعادة تشكيل الصورة الذهنية لهذه الأمراض لدى الجمهور، وتقديم معلومات دقيقة وعلمية مبسطة تفكك هذه التصورات، وتُعزز من التعاطف والفهم المجتمعي (شلابي وآخرون، 2021)</w:t>
      </w:r>
      <w:r w:rsidRPr="00E154C9">
        <w:rPr>
          <w:rFonts w:asciiTheme="majorBidi" w:hAnsiTheme="majorBidi" w:cstheme="majorBidi"/>
          <w:sz w:val="28"/>
          <w:szCs w:val="28"/>
        </w:rPr>
        <w:t>.</w:t>
      </w:r>
    </w:p>
    <w:p w14:paraId="14A37015"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لقد شهدت المملكة العربية السعودية تطورًا ملحوظًا في مستوى الوعي المجتمعي بالأمراض العصبية بفضل تنامي استخدام الإعلام الرقمي في تقديم محتوى صحي متخصص. وقد أطلقت العديد من الجهات الرسمية وغير الرسمية حملات رقمية للتعريف بالأمراض العصبية، تضمنت فيديوهات توعوية، مقابلات مع مختصين، قصص نجاح لمرضى، ومواد مصورة تشرح أعراض هذه الأمراض، وآليات الوقاية منها، وطرق التعايش معها. ومن أبرز هذه المبادرات حملة "ذكّرهم" التي نظمتها الجمعية السعودية لمرض الزهايمر، والتي ركزت على أهمية الكشف المبكر والدعم الأسري للمصابين، ونجحت الحملة في الوصول إلى فئات متعددة من المجتمع عبر منصات التواصل، مستفيدة من الدعم الإعلامي والشراكات المجتمعية</w:t>
      </w:r>
      <w:r w:rsidRPr="00E154C9">
        <w:rPr>
          <w:rFonts w:asciiTheme="majorBidi" w:hAnsiTheme="majorBidi" w:cstheme="majorBidi"/>
          <w:sz w:val="28"/>
          <w:szCs w:val="28"/>
        </w:rPr>
        <w:t>.</w:t>
      </w:r>
    </w:p>
    <w:p w14:paraId="5D0F809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إن مساهمة الإعلام في رفع مستوى الوعي بالأمراض العصبية في السعودية لم تقتصر على المؤسسات الرسمية فحسب، بل شملت أيضًا جهود المؤثرين الرقميين، والمتخصصين في المجال الطبي، الذين استخدموا حساباتهم الشخصية لنشر الوعي بين متابعيهم. وقد اتضح أن الجمهور يتفاعل بدرجة أكبر مع </w:t>
      </w:r>
      <w:r w:rsidRPr="00E154C9">
        <w:rPr>
          <w:rFonts w:asciiTheme="majorBidi" w:hAnsiTheme="majorBidi" w:cstheme="majorBidi"/>
          <w:sz w:val="28"/>
          <w:szCs w:val="28"/>
          <w:rtl/>
        </w:rPr>
        <w:lastRenderedPageBreak/>
        <w:t>الرسائل الصحية عندما تصدر من شخصيات مألوفة وذات مصداقية، لا سيما إذا كانت مدعومة بقصص حقيقية أو بلغة قريبة من المستخدم. وقد أكد (حسانين وآخرون، 2021) أن التأثير الإنساني المباشر للمحتوى الرقمي يُعد أحد أقوى العوامل في تحسين المعرفة الصحية، خصوصًا في المواضيع ذات الحساسية المجتمعية مثل الأمراض العصبية</w:t>
      </w:r>
      <w:r w:rsidRPr="00E154C9">
        <w:rPr>
          <w:rFonts w:asciiTheme="majorBidi" w:hAnsiTheme="majorBidi" w:cstheme="majorBidi"/>
          <w:sz w:val="28"/>
          <w:szCs w:val="28"/>
        </w:rPr>
        <w:t>.</w:t>
      </w:r>
    </w:p>
    <w:p w14:paraId="36C3F139"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تتميز الحملات الرقمية الناجحة بقدرتها على تقديم المحتوى العلمي بطريقة مرئية وجذابة تسهم في تثبيت المعلومة وتحفيز السلوك الواعي. فعلى سبيل المثال، تُعد مقاطع الفيديو التوعوية القصيرة التي تنتجها وزارة الصحة السعودية وسيلة فعالة لتثقيف مختلف فئات المجتمع، حيث تتناول مواضيع مثل التصلب اللويحي وأعراضه، وضرورة المراجعة الطبية في حال ظهور علامات التحذير. كما تُساهم هذه المواد في إزالة الوصمة المرتبطة ببعض الأمراض، مثل الصرع، الذي ظل لفترة طويلة محاطًا بكثير من الأفكار المغلوطة. ومن خلال تكرار الرسائل الصحية، وتنوع منصات العرض، أصبح الجمهور السعودي أكثر قدرة على التمييز بين الأساطير والحقائق العلمية المتعلقة بهذه الحالات</w:t>
      </w:r>
      <w:r w:rsidRPr="00E154C9">
        <w:rPr>
          <w:rFonts w:asciiTheme="majorBidi" w:hAnsiTheme="majorBidi" w:cstheme="majorBidi"/>
          <w:sz w:val="28"/>
          <w:szCs w:val="28"/>
        </w:rPr>
        <w:t>.</w:t>
      </w:r>
    </w:p>
    <w:p w14:paraId="1609FA8A"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هذا التقدم، إلا أن قياس مستوى الوعي الفعلي لدى السعوديين بالأمراض العصبية يُظهر تفاوتًا بين فئات المجتمع المختلفة. فبينما نجد أن فئة الشباب، والمتعلمين، وسكان المدن الكبرى يتمتعون بوعي أعلى نسبيًا، فإن بعض الفئات الأخرى، ككبار السن، أو من يسكنون في المناطق الطرفية أو الأقل نموًا، قد لا يمتلكون نفس القدر من المعرفة، إما بسبب ضعف الولوج إلى الوسائل الرقمية، أو بسبب محدودية التعرض لحملات التوعية. وتُظهر بعض الدراسات المحلية أن الفجوة في المعرفة لا تزال قائمة فيما يخص فهم طبيعة الأمراض العصبية، وطرق التعامل معها، مما يستدعي استراتيجيات إعلامية أكثر شمولًا وتخصصًا في مخاطبة هذه الفئات</w:t>
      </w:r>
      <w:r w:rsidRPr="00E154C9">
        <w:rPr>
          <w:rFonts w:asciiTheme="majorBidi" w:hAnsiTheme="majorBidi" w:cstheme="majorBidi"/>
          <w:sz w:val="28"/>
          <w:szCs w:val="28"/>
        </w:rPr>
        <w:t>.</w:t>
      </w:r>
    </w:p>
    <w:p w14:paraId="17DD4A0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ومن الجوانب الإيجابية في التجربة السعودية، أن الإعلام الصحي الرقمي لم يكتفِ بتقديم المعلومات العامة، بل بدأ بالتركيز على التخصص الدقيق، مثل التوعية بمرض التصلب المتعدد لدى الشباب، أو التركيز على أهمية الدعم النفسي لمقدمي الرعاية لمرضى الزهايمر. وقد ساعد هذا التوجه المتقدم على رفع مستوى الإدراك العميق بطبيعة المرض، وتوضيح الأبعاد الاجتماعية والنفسية المصاحبة له، ما يعني تجاوز مرحلة التثقيف الأساسي إلى بناء فهم شامل يُسهم في تقبل المرض والتعامل معه بشكل إنساني وطبي. وقد أظهرت الدراسات أن مثل هذا النوع من الإعلام يُنتج أثرًا طويل الأمد في تحسين جودة حياة المريض وأسرته (شلابي وآخرون، 2021)</w:t>
      </w:r>
      <w:r w:rsidRPr="00E154C9">
        <w:rPr>
          <w:rFonts w:asciiTheme="majorBidi" w:hAnsiTheme="majorBidi" w:cstheme="majorBidi"/>
          <w:sz w:val="28"/>
          <w:szCs w:val="28"/>
        </w:rPr>
        <w:t>.</w:t>
      </w:r>
    </w:p>
    <w:p w14:paraId="0C01B8FC"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جهة أخرى، لا تزال هناك حاجة لمزيد من التكامل بين الإعلام الرقمي والقطاع الصحي في تعزيز رسائل التوعية بالأمراض العصبية. فعلى الرغم من تعدد المبادرات، إلا أن غياب منصة وطنية موحدة لتجميع المحتوى الصحي المرتبط بهذه الأمراض يُعد تحديًا، خاصة بالنسبة للأشخاص الباحثين عن مصادر دقيقة وموثوقة. كما أن بعض الحملات تعاني من قصر المدة الزمنية، أو ضعف الاستمرارية، ما يُقلل من أثرها التراكمي في تشكيل الوعي المجتمعي. ولهذا، فإن إنشاء بنوك معلومات رقمية دائمة، ومواقع تفاعلية متخصصة، ومحتوى تعليمي متعدد اللغات واللهجات، يمكن أن يسد هذه الفجوة ويوفر مرجعية موثوقة للمرضى والأسر والمهتمين</w:t>
      </w:r>
      <w:r w:rsidRPr="00E154C9">
        <w:rPr>
          <w:rFonts w:asciiTheme="majorBidi" w:hAnsiTheme="majorBidi" w:cstheme="majorBidi"/>
          <w:sz w:val="28"/>
          <w:szCs w:val="28"/>
        </w:rPr>
        <w:t>.</w:t>
      </w:r>
    </w:p>
    <w:p w14:paraId="392265F4" w14:textId="77777777" w:rsidR="006F53A1" w:rsidRPr="006F53A1"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وبالإضافة إلى الإعلام الرقمي، يلعب الإعلام التقليدي، مثل التلفزيون والإذاعة، دورًا داعمًا ومكملًا في إيصال الرسائل الصحية المتعلقة بالأمراض العصبية، خصوصًا للفئات غير المتصلة رقميًا. وقد تعاونت بعض القنوات السعودية مع الجمعيات الطبية في بث برامج تثقيفية وحوارات مباشرة مع المختصين، مما ساهم في توسيع دائرة التأثير ونقل المعرفة من النطاق النخبوي إلى الشرائح الأوسع من المجتمع. هذا الدمج بين الإعلام الرقمي والتقليدي يُعد استراتيجية فعالة في ضمان شمولية الرسائل الصحية ووصولها إلى كل </w:t>
      </w:r>
      <w:r w:rsidRPr="006F53A1">
        <w:rPr>
          <w:rFonts w:asciiTheme="majorBidi" w:hAnsiTheme="majorBidi" w:cstheme="majorBidi"/>
          <w:sz w:val="28"/>
          <w:szCs w:val="28"/>
          <w:rtl/>
        </w:rPr>
        <w:t>شرائح المجتمع</w:t>
      </w:r>
      <w:r w:rsidRPr="006F53A1">
        <w:rPr>
          <w:rFonts w:asciiTheme="majorBidi" w:hAnsiTheme="majorBidi" w:cstheme="majorBidi"/>
          <w:sz w:val="28"/>
          <w:szCs w:val="28"/>
        </w:rPr>
        <w:t>.</w:t>
      </w:r>
    </w:p>
    <w:p w14:paraId="77AE0346" w14:textId="03B98E2C" w:rsidR="006F53A1" w:rsidRPr="00E154C9" w:rsidRDefault="006F53A1" w:rsidP="006F53A1">
      <w:pPr>
        <w:spacing w:line="360" w:lineRule="auto"/>
        <w:rPr>
          <w:rFonts w:asciiTheme="majorBidi" w:hAnsiTheme="majorBidi" w:cstheme="majorBidi"/>
          <w:sz w:val="28"/>
          <w:szCs w:val="28"/>
          <w:rtl/>
        </w:rPr>
      </w:pPr>
      <w:r w:rsidRPr="006F53A1">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ة:</w:t>
      </w:r>
      <w:r w:rsidRPr="006F53A1">
        <w:rPr>
          <w:rFonts w:asciiTheme="majorBidi" w:hAnsiTheme="majorBidi" w:cstheme="majorBidi"/>
          <w:sz w:val="28"/>
          <w:szCs w:val="28"/>
          <w:rtl/>
        </w:rPr>
        <w:t xml:space="preserve"> يتبين أن الإعلام، خاصة الرقمي منه، يُمثل أحد أهم الأدوات التي رفعت مستوى الوعي في السعودية حول الأمراض العصبية، وأسهمت في كسر حاجز الصمت المرتبط بهذه الحالات، وفتحت المجال للنقاش العام والتفاعل المجتمعي معها. وقد تحقق ذلك من خلال التفاعل اليومي مع محتوى طبي مدروس، ومبادرات مجتمعية إلكترونية، وتعاون مؤسسي بين وزارة الصحة والجمعيات التخصصية والمؤثرين. ومع ذلك، فإن تعزيز هذا الدور يقتضي بناء استراتيجية وطنية مستدامة في التوعية الصحية الرقمية، تكون فيها الأمراض العصبية أولوية، ويتم من خلالها تطوير محتوى شامل، تفاعلي، ومتنوع، يخاطب كل فئات المجتمع بلغة مفهومة وقنوات قريبة منهم</w:t>
      </w:r>
      <w:r w:rsidRPr="006F53A1">
        <w:rPr>
          <w:rFonts w:asciiTheme="majorBidi" w:hAnsiTheme="majorBidi" w:cstheme="majorBidi"/>
          <w:sz w:val="28"/>
          <w:szCs w:val="28"/>
        </w:rPr>
        <w:t>.</w:t>
      </w:r>
    </w:p>
    <w:p w14:paraId="7BEEE519" w14:textId="77777777" w:rsidR="00BE4D43" w:rsidRPr="00E154C9" w:rsidRDefault="00BE4D43" w:rsidP="00BE4D43">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الثالث: التحديات الثقافية والمجتمعية أمام التوعية</w:t>
      </w:r>
    </w:p>
    <w:p w14:paraId="16D7DDC8"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تمثل التوعية الصحية عبر الإعلام الرقمي ركيزة محورية في جهود تحسين الوعي المجتمعي، لا سيما في ما يتعلق بالأمراض العصبية التي تتطلب فهماً دقيقاً وتعاطفًا مجتمعيًا طويل الأمد. ومع ما تحقق من تقدم كبير في السعودية في مجالات التقنية الطبية والإعلام الرقمي الصحي، إلا أن هناك مجموعة من التحديات الثقافية والمجتمعية التي لا تزال تشكل عائقًا أمام وصول رسائل التوعية إلى جميع فئات المجتمع، أو أمام تقبل تلك </w:t>
      </w:r>
      <w:r w:rsidRPr="00E154C9">
        <w:rPr>
          <w:rFonts w:asciiTheme="majorBidi" w:hAnsiTheme="majorBidi" w:cstheme="majorBidi"/>
          <w:sz w:val="28"/>
          <w:szCs w:val="28"/>
          <w:rtl/>
        </w:rPr>
        <w:lastRenderedPageBreak/>
        <w:t>الرسائل وفهمها على النحو المطلوب. وتُعد معالجة هذه التحديات شرطًا أساسيًا لتحقيق فعالية الإعلام الصحي الرقمي واستدامته</w:t>
      </w:r>
      <w:r w:rsidRPr="00E154C9">
        <w:rPr>
          <w:rFonts w:asciiTheme="majorBidi" w:hAnsiTheme="majorBidi" w:cstheme="majorBidi"/>
          <w:sz w:val="28"/>
          <w:szCs w:val="28"/>
        </w:rPr>
        <w:t>.</w:t>
      </w:r>
    </w:p>
    <w:p w14:paraId="7263F222"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أبرز هذه التحديات استمرار بعض المعتقدات المجتمعية الخاطئة حول طبيعة الأمراض العصبية. ففي العديد من الأوساط، لا تزال هناك نظرة تقليدية تربط هذه الأمراض بمفاهيم سلبية، مثل الجنون أو "المسّ"، أو تعتبرها خرافة أو قدرًا لا يُمكن تغييره، مما يؤدي إلى تقليل أهمية التوعية أو حتى رفض الخضوع للعلاج أو التشخيص المبكر. وقد أشار (شلابي وآخرون، 2021) إلى أن الموروث الثقافي في بعض المجتمعات العربية يعيق إدراك الأفراد لطبيعة الأمراض العصبية بوصفها أمراضًا عضوية قابلة للمتابعة الطبية مثل غيرها من الحالات المزمنة، وهو ما يتطلب خطابًا توعويًا حساسًا ثقافيًا قادرًا على تفكيك هذه التصورات</w:t>
      </w:r>
      <w:r w:rsidRPr="00E154C9">
        <w:rPr>
          <w:rFonts w:asciiTheme="majorBidi" w:hAnsiTheme="majorBidi" w:cstheme="majorBidi"/>
          <w:sz w:val="28"/>
          <w:szCs w:val="28"/>
        </w:rPr>
        <w:t>.</w:t>
      </w:r>
    </w:p>
    <w:p w14:paraId="7F4CF031"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كذلك، يشكل الخجل المجتمعي والوصمة المرتبطة بالإصابة بالأمراض العصبية عائقًا جوهريًا أمام التصريح بالحالة أو السعي للمساعدة. كثير من الأسر تتردد في الإفصاح عن وجود مريض في العائلة يعاني من الزهايمر أو الصرع، خوفًا من نظرة المجتمع أو من التقليل من شأن الأسرة. هذا التردد يؤخر التفاعل مع المحتوى التوعوي أو المشاركة في الحملات الصحية، ويعزز العزلة المجتمعية للمرضى. ويُلاحظ أن هذه الظاهرة تتركز في البيئات التقليدية أو المحافظة، حيث لا تزال المفاهيم المتعلقة بالصحة النفسية والعصبية غير منفصلة بشكل واضح عن المفاهيم الأخلاقية أو الاجتماعية. وقد أكد (حسانين وآخرون، 2021) أن أحد أكبر التحديات أمام التثقيف الصحي هو كسر حاجز الصمت الاجتماعي، وتطبيع الحديث عن الأمراض العصبية في الأوساط العامة، وهو دور يجب أن يتصدى له الإعلام الصحي الرقمي بذكاء واستمرارية</w:t>
      </w:r>
      <w:r w:rsidRPr="00E154C9">
        <w:rPr>
          <w:rFonts w:asciiTheme="majorBidi" w:hAnsiTheme="majorBidi" w:cstheme="majorBidi"/>
          <w:sz w:val="28"/>
          <w:szCs w:val="28"/>
        </w:rPr>
        <w:t>.</w:t>
      </w:r>
    </w:p>
    <w:p w14:paraId="45A792F1"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التحديات أيضًا الفجوة المعرفية بين الأجيال في التعامل مع المعلومات الصحية الرقمية. فبينما تنجذب فئة الشباب بسهولة إلى الإعلام الصحي الرقمي، وتُظهر قدرة أكبر على التفاعل مع المحتوى الجديد، قد يُظهر كبار السن تحفظًا أو عزوفًا عن تلقي المعلومات الصحية من الإنترنت، بسبب ضعف المهارات الرقمية أو انعدام الثقة في المصادر غير التقليدية. هذا التفاوت يؤدي إلى محدودية تأثير حملات التوعية الصحية في الفئات العمرية المتقدمة، والتي غالبًا ما تكون أكثر عرضة للأمراض العصبية المزمنة. لذا فإن أحد التحديات الثقافية المهمة يتمثل في كيفية تكييف الرسائل الصحية لتكون ملائمة لمختلف المستويات التعليمية والثقافية والرقمية، مع ضمان وصولها بعدالة وفعالية</w:t>
      </w:r>
      <w:r w:rsidRPr="00E154C9">
        <w:rPr>
          <w:rFonts w:asciiTheme="majorBidi" w:hAnsiTheme="majorBidi" w:cstheme="majorBidi"/>
          <w:sz w:val="28"/>
          <w:szCs w:val="28"/>
        </w:rPr>
        <w:t>.</w:t>
      </w:r>
    </w:p>
    <w:p w14:paraId="48BD0D3A"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إضافة إلى ما سبق، هناك تحدٍّ متعلق باللغة ونمط الخطاب المستخدم في الحملات الرقمية. فالخطاب الطبي المتخصص قد يكون معقدًا أو غير مفهوم لفئات واسعة من الجمهور، خصوصًا إذا لم يُصغ بلغة مبسطة أو </w:t>
      </w:r>
      <w:r w:rsidRPr="00E154C9">
        <w:rPr>
          <w:rFonts w:asciiTheme="majorBidi" w:hAnsiTheme="majorBidi" w:cstheme="majorBidi"/>
          <w:sz w:val="28"/>
          <w:szCs w:val="28"/>
          <w:rtl/>
        </w:rPr>
        <w:lastRenderedPageBreak/>
        <w:t>إذا خلا من التمثيلات البصرية أو القصص الواقعية التي تقرّب المفاهيم. وقد يُعزز ذلك من التباعد بين المرسل والمتلقي، ويجعل الرسائل الصحية أقل تأثيرًا، خصوصًا حين تُبث في قوالب جامدة أو بتكرار دون تحديث. ويؤكد (شلابي وآخرون، 2021) أن فعالية الخطاب الصحي ترتبط ارتباطًا وثيقًا بمدى مواءمته للواقع الثقافي والاجتماعي للمتلقي، وإلا فإنه يتحول إلى خطاب نخبوي لا يلامس حياة الناس اليومية ولا يحفزهم على التغيير</w:t>
      </w:r>
      <w:r w:rsidRPr="00E154C9">
        <w:rPr>
          <w:rFonts w:asciiTheme="majorBidi" w:hAnsiTheme="majorBidi" w:cstheme="majorBidi"/>
          <w:sz w:val="28"/>
          <w:szCs w:val="28"/>
        </w:rPr>
        <w:t>.</w:t>
      </w:r>
    </w:p>
    <w:p w14:paraId="17B15692"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كذلك، يُعد ضعف التثقيف الصحي العام في المناهج التعليمية من العوامل الثقافية التي تعيق فاعلية الإعلام الرقمي في التوعية، حيث لم يتم دمج التربية الصحية والتفكير النقدي الطبي ضمن البرامج الدراسية الأساسية، ما يؤدي إلى نشوء أجيال لا تمتلك أدوات تحليل المعلومات الصحية أو التعامل مع المحتوى الرقمي المتخصص. وفي ظل هذا النقص، تصبح الرسائل الصحية الرقمية غير كافية لوحدها، وتُطالب بدور مضاعف لتعويض النقص المعرفي الأساسي في المجتمع. ولهذا، لا يمكن فصل التحديات الثقافية عن السياسات التعليمية بعيدة المدى، حيث ينبغي تنمية الوعي الصحي منذ المراحل المدرسية الأولى، ودمجه ضمن الثقافة العامة للمجتمع</w:t>
      </w:r>
      <w:r w:rsidRPr="00E154C9">
        <w:rPr>
          <w:rFonts w:asciiTheme="majorBidi" w:hAnsiTheme="majorBidi" w:cstheme="majorBidi"/>
          <w:sz w:val="28"/>
          <w:szCs w:val="28"/>
        </w:rPr>
        <w:t>.</w:t>
      </w:r>
    </w:p>
    <w:p w14:paraId="0952D31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زاوية أخرى، فإن الحواجز الجندرية تُعد من التحديات المجتمعية الملموسة، إذ قد تتردد بعض النساء في البحث عن معلومات طبية أو المشاركة في حملات توعية علنية، خاصة في مواضيع حساسة تتعلق بالدماغ أو الصحة النفسية، ما لم يكن هناك محتوى موجه خصوصًا للمرأة، ويأخذ في الاعتبار الخصوصية الثقافية والاجتماعية. ومع أن السعودية شهدت تحسنًا كبيرًا في انخراط المرأة في المجالات الصحية والإعلامية، إلا أن بعض الفئات النسائية لا تزال تعاني من نقص المعلومات الموجهة، أو من ضعف تمثيلها في المحتوى الصحي الرقمي، الأمر الذي يتطلب إدماج المنظور الجندري في التخطيط الإعلامي الصحي</w:t>
      </w:r>
      <w:r w:rsidRPr="00E154C9">
        <w:rPr>
          <w:rFonts w:asciiTheme="majorBidi" w:hAnsiTheme="majorBidi" w:cstheme="majorBidi"/>
          <w:sz w:val="28"/>
          <w:szCs w:val="28"/>
        </w:rPr>
        <w:t>.</w:t>
      </w:r>
    </w:p>
    <w:p w14:paraId="4979E297"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تجدر الإشارة أيضًا إلى أن بعض التحديات الثقافية تأتي من المفارقة بين المعلومات الطبية الحديثة وبين بعض الممارسات التقليدية أو الشعبية المنتشرة في المجتمع، مثل الاعتماد على الأعشاب أو الرقية بوصفها بدائل للعلاج الطبي. هذه المفاهيم، التي غالبًا ما يتم تداولها عبر القنوات الشعبية أو منصات غير رسمية، تخلق تضاربًا في الفهم لدى المواطن، وتُضعف من ثقته في الطب الحديث. ولهذا، فإن الإعلام الرقمي الصحي مطالب بتفنيد هذه الممارسات بلغة علمية غير تصادمية، تُحترم فيها ثقافة المتلقي، مع بيان الأضرار المحتملة والإرشاد إلى الحلول الطبية المثبتة</w:t>
      </w:r>
      <w:r w:rsidRPr="00E154C9">
        <w:rPr>
          <w:rFonts w:asciiTheme="majorBidi" w:hAnsiTheme="majorBidi" w:cstheme="majorBidi"/>
          <w:sz w:val="28"/>
          <w:szCs w:val="28"/>
        </w:rPr>
        <w:t>.</w:t>
      </w:r>
    </w:p>
    <w:p w14:paraId="63F699A3"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كذلك، هناك تحديات مجتمعية مرتبطة بضعف التشبيك بين الجهات المختلفة التي تقدم المحتوى الصحي الرقمي. ففي بعض الأحيان، تُطلق حملات توعية من جهات حكومية أو جمعيات خيرية أو مؤسسات إعلامية، لكن دون تنسيق موحد أو استراتيجية مشتركة، مما يؤدي إلى تكرار الرسائل أو تشتيت الجمهور بين مصادر مختلفة، وأحيانًا متضاربة. هذا التباين يُقلل من أثر الرسائل الصحية الرقمية، ويُضعف من الثقة فيها. لذا فإن أحد الحلول المقترحة لمواجهة هذا التحدي هو بناء شراكات إعلامية صحية موحدة، تُنتج محتوى متكاملًا، وتوزعه عبر قنوات متنوعة مع ضمان المصداقية والاتساق</w:t>
      </w:r>
      <w:r w:rsidRPr="00E154C9">
        <w:rPr>
          <w:rFonts w:asciiTheme="majorBidi" w:hAnsiTheme="majorBidi" w:cstheme="majorBidi"/>
          <w:sz w:val="28"/>
          <w:szCs w:val="28"/>
        </w:rPr>
        <w:t>.</w:t>
      </w:r>
    </w:p>
    <w:p w14:paraId="0670F9CE" w14:textId="27514C25" w:rsidR="00BE4D43" w:rsidRPr="00E154C9" w:rsidRDefault="00BE4D43" w:rsidP="00BE4D43">
      <w:pPr>
        <w:spacing w:line="360" w:lineRule="auto"/>
        <w:rPr>
          <w:rFonts w:asciiTheme="majorBidi" w:hAnsiTheme="majorBidi" w:cstheme="majorBidi"/>
          <w:sz w:val="28"/>
          <w:szCs w:val="28"/>
          <w:rtl/>
        </w:rPr>
      </w:pPr>
      <w:r w:rsidRPr="00BE4D43">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 xml:space="preserve">ة: </w:t>
      </w:r>
      <w:r w:rsidRPr="00BE4D43">
        <w:rPr>
          <w:rFonts w:asciiTheme="majorBidi" w:hAnsiTheme="majorBidi" w:cstheme="majorBidi"/>
          <w:sz w:val="28"/>
          <w:szCs w:val="28"/>
          <w:rtl/>
        </w:rPr>
        <w:t xml:space="preserve"> فإن استمرار هذه التحديات دون مواجهتها بوعي مؤسسي سيؤثر سلبًا على أي استراتيجية وطنية في مجال التوعية، خصوصًا فيما يتعلق بالأمراض المزمنة والعصبية. إن بناء بيئة إعلامية صحية رقمية ناجحة في المجتمع السعودي يتطلب فهمًا عميقًا للمحددات الثقافية والاجتماعية، وتكييف الرسائل بحسب السياق المحلي، واستثمار الثقة الاجتماعية في الرموز المؤثرة، وتعزيز الشراكة بين الدولة والمجتمع المدني والمؤسسات الدينية والتعليمية. فقط عندها يمكن القول إن الإعلام الصحي الرقمي استطاع أن يتجاوز التحديات، ويُحدث التأثير المطلوب في السلوك الصحي والمعرفي للفرد والمجتمع</w:t>
      </w:r>
      <w:r w:rsidRPr="00BE4D43">
        <w:rPr>
          <w:rFonts w:asciiTheme="majorBidi" w:hAnsiTheme="majorBidi" w:cstheme="majorBidi"/>
          <w:sz w:val="28"/>
          <w:szCs w:val="28"/>
        </w:rPr>
        <w:t>.</w:t>
      </w:r>
    </w:p>
    <w:p w14:paraId="1CE8CBDC" w14:textId="77777777" w:rsidR="00BE4D43" w:rsidRPr="00E154C9" w:rsidRDefault="00BE4D43" w:rsidP="00BE4D43">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الرابع: آفاق تطوير التوعية الصحية الرقمية في السعودية</w:t>
      </w:r>
    </w:p>
    <w:p w14:paraId="29E1678D"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تتمثل آفاق تطوير التوعية الصحية الرقمية في السعودية في فرص متعددة تستند إلى الإنجازات الكبيرة التي حققتها المملكة في مجال التحول الرقمي، إلى جانب الجهود المستمرة التي تبذلها الجهات الرسمية والأهلية لتعزيز الوعي الصحي بين أفراد المجتمع. فمع ازدياد الاعتماد على التكنولوجيا الرقمية في الحياة اليومية، وانفتاح الجمهور على منصات التواصل الاجتماعي، أصبح بإمكان التوعية الصحية الرقمية أن تلعب دورًا محوريًا في تعزيز الصحة العامة، والوقاية من الأمراض، وتحسين جودة الحياة. ولتحقيق هذه الآفاق الواعدة، يجب النظر إلى التطوير من منظورات متعددة تشمل البنية التحتية الرقمية، المحتوى الإعلامي، الشراكات المؤسسية، وتكامل الجهود المجتمعية</w:t>
      </w:r>
      <w:r w:rsidRPr="00E154C9">
        <w:rPr>
          <w:rFonts w:asciiTheme="majorBidi" w:hAnsiTheme="majorBidi" w:cstheme="majorBidi"/>
          <w:sz w:val="28"/>
          <w:szCs w:val="28"/>
        </w:rPr>
        <w:t>.</w:t>
      </w:r>
    </w:p>
    <w:p w14:paraId="474E61A4"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أولاً، تتيح البنية التحتية الرقمية المتقدمة التي تمتلكها السعودية، بفضل رؤية 2030، قاعدة صلبة لتطوير التوعية الصحية الرقمية. فقد عملت المملكة على تحديث شبكات الاتصالات، وتوسيع انتشار الإنترنت عالي السرعة، ودعم تطبيقات الهواتف الذكية الصحية، مثل تطبيق "صحتي" و"توكلنا"، مما يسهل الوصول إلى المعلومات الصحية في أي وقت ومكان. ومع تطوير هذه البنية، يمكن توسيع نطاق خدمات التوعية لتشمل </w:t>
      </w:r>
      <w:r w:rsidRPr="00E154C9">
        <w:rPr>
          <w:rFonts w:asciiTheme="majorBidi" w:hAnsiTheme="majorBidi" w:cstheme="majorBidi"/>
          <w:sz w:val="28"/>
          <w:szCs w:val="28"/>
          <w:rtl/>
        </w:rPr>
        <w:lastRenderedPageBreak/>
        <w:t>ميزات أكثر تفاعلية، مثل الواقع الافتراضي، والذكاء الاصطناعي، والمساعدات الصوتية، والتي تُعزز من تجربة المستخدم وتجعل التعلم الصحي أكثر جاذبية وفاعلية (شلابي وآخرون، 2021)</w:t>
      </w:r>
      <w:r w:rsidRPr="00E154C9">
        <w:rPr>
          <w:rFonts w:asciiTheme="majorBidi" w:hAnsiTheme="majorBidi" w:cstheme="majorBidi"/>
          <w:sz w:val="28"/>
          <w:szCs w:val="28"/>
        </w:rPr>
        <w:t>.</w:t>
      </w:r>
    </w:p>
    <w:p w14:paraId="29188A2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ثانيًا، يتطلب تطوير التوعية الصحية الرقمية التركيز على إنتاج محتوى إعلامي صحي عالي الجودة، متنوع، وملائم لمختلف الفئات العمرية والثقافية في السعودية. ويشمل ذلك تبني أساليب سرد قصصي تستخدم تجارب واقعية للمرضى وأسرهم، وتوظيف الرسوم التوضيحية والفيديوهات القصيرة، واستخدام اللغة العربية الفصحى إلى جانب اللهجات المحلية لضمان فهم أوسع. كما ينبغي أن يدمج المحتوى التثقيفي تكنولوجيا التخصيص، بحيث يتم توجيه الرسائل الصحية بحسب احتياجات كل فرد وحالته الصحية، مما يزيد من احتمالية استجابة المتلقي وتبني سلوكيات صحية إيجابية (حسانين وآخرون، 2021)</w:t>
      </w:r>
      <w:r w:rsidRPr="00E154C9">
        <w:rPr>
          <w:rFonts w:asciiTheme="majorBidi" w:hAnsiTheme="majorBidi" w:cstheme="majorBidi"/>
          <w:sz w:val="28"/>
          <w:szCs w:val="28"/>
        </w:rPr>
        <w:t>.</w:t>
      </w:r>
    </w:p>
    <w:p w14:paraId="2D79CE7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ثالثًا، تُعد الشراكات بين القطاع الحكومي، والمؤسسات الصحية، والجامعات، والقطاع الخاص، وأصحاب التأثير الرقمي من أهم المحاور لتطوير التوعية الصحية الرقمية. فالتنسيق بين هذه الجهات يتيح توحيد الرسائل، وتبادل الموارد والخبرات، وتوسيع نطاق الوصول، بالإضافة إلى خلق حملات صحية شاملة وفعالة. وتُظهر التجارب العالمية أن التعاون بين هذه القطاعات يحقق نتائج أفضل من الجهود المنفردة، ولهذا فإن تطوير منصات إلكترونية مشتركة تجمع المحتوى الصحي الرسمي مع المبادرات الأهلية يُعد من الخطوات الاستراتيجية التي يمكن اعتمادها لتعزيز التوعية (شلابي وآخرون، 2021)</w:t>
      </w:r>
      <w:r w:rsidRPr="00E154C9">
        <w:rPr>
          <w:rFonts w:asciiTheme="majorBidi" w:hAnsiTheme="majorBidi" w:cstheme="majorBidi"/>
          <w:sz w:val="28"/>
          <w:szCs w:val="28"/>
        </w:rPr>
        <w:t>.</w:t>
      </w:r>
    </w:p>
    <w:p w14:paraId="34F39210"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رابعًا، يعد الاستثمار في تدريب الكوادر المختصة في الإعلام الصحي الرقمي ضرورة حتمية. فالتطور التكنولوجي السريع يستدعي تمكين العاملين في القطاع الصحي من مهارات التواصل الرقمي، وإنتاج المحتوى، وإدارة الحملات الإلكترونية، وتحليل البيانات الرقمية لفهم سلوك الجمهور. كما يجب تشجيع الشباب السعودي على المشاركة في هذه المجالات، عبر برامج تعليمية متخصصة، ومسابقات تشجع الابتكار في مجال الإعلام الصحي، الأمر الذي يُسهم في خلق جيل جديد من المنتسبين للإعلام الصحي قادر على مواكبة التطورات الحديثة وتلبية احتياجات المجتمع المتغيرة (حسانين وآخرون، 2021)</w:t>
      </w:r>
      <w:r w:rsidRPr="00E154C9">
        <w:rPr>
          <w:rFonts w:asciiTheme="majorBidi" w:hAnsiTheme="majorBidi" w:cstheme="majorBidi"/>
          <w:sz w:val="28"/>
          <w:szCs w:val="28"/>
        </w:rPr>
        <w:t>.</w:t>
      </w:r>
    </w:p>
    <w:p w14:paraId="7F3744ED"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خامسًا، يشكل تعزيز الثقافة الصحية الرقمية لدى أفراد المجتمع هدفًا مركزيًا في آفاق التطوير. فبالإضافة إلى توفير المحتوى الرقمي، لا بد من تعزيز قدرة المستخدمين على التفاعل معه بشكل نقدي، وتمكينهم من التمييز بين المعلومات الصحية الدقيقة والمغلوطة، وهو ما يتطلب برامج تعليمية رقمية توعوية تدمج التفكير النقدي، ومعايير تقييم المصادر الصحية، واستخدام التكنولوجيا بشكل آمن ومسؤول. ويعزز ذلك من فعالية </w:t>
      </w:r>
      <w:r w:rsidRPr="00E154C9">
        <w:rPr>
          <w:rFonts w:asciiTheme="majorBidi" w:hAnsiTheme="majorBidi" w:cstheme="majorBidi"/>
          <w:sz w:val="28"/>
          <w:szCs w:val="28"/>
          <w:rtl/>
        </w:rPr>
        <w:lastRenderedPageBreak/>
        <w:t>التوعية، ويقلل من أثر التضليل والمعلومات المغلوطة التي قد تنتشر عبر وسائل التواصل الاجتماعي (شلابي وآخرون، 2021)</w:t>
      </w:r>
      <w:r w:rsidRPr="00E154C9">
        <w:rPr>
          <w:rFonts w:asciiTheme="majorBidi" w:hAnsiTheme="majorBidi" w:cstheme="majorBidi"/>
          <w:sz w:val="28"/>
          <w:szCs w:val="28"/>
        </w:rPr>
        <w:t>.</w:t>
      </w:r>
    </w:p>
    <w:p w14:paraId="065C457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سادسًا، يُمثل الدمج بين الإعلام الرقمي ووسائل الإعلام التقليدية آفاقًا جديدة لتطوير التوعية الصحية في السعودية. فبينما يتجه الكثير من الشباب إلى المنصات الرقمية، لا تزال قنوات التلفزيون والإذاعة تحظى بنسبة مشاهدة عالية بين الفئات العمرية الأكبر، والأقاليم التي قد تعاني من ضعف التغطية الرقمية. لذا فإن تبني استراتيجية إعلامية متكاملة، تجمع بين مختلف الوسائل، وتُكيّف الرسائل وفق طبيعة الجمهور، يضمن شمولية التوعية وانتشارها بشكل أوسع (حسانين وآخرون، 2021)</w:t>
      </w:r>
      <w:r w:rsidRPr="00E154C9">
        <w:rPr>
          <w:rFonts w:asciiTheme="majorBidi" w:hAnsiTheme="majorBidi" w:cstheme="majorBidi"/>
          <w:sz w:val="28"/>
          <w:szCs w:val="28"/>
        </w:rPr>
        <w:t>.</w:t>
      </w:r>
    </w:p>
    <w:p w14:paraId="1CE29CF6"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سابعًا، تبرز أهمية استخدام أدوات التحليل الرقمي والبيانات الكبيرة</w:t>
      </w:r>
      <w:r w:rsidRPr="00E154C9">
        <w:rPr>
          <w:rFonts w:asciiTheme="majorBidi" w:hAnsiTheme="majorBidi" w:cstheme="majorBidi"/>
          <w:sz w:val="28"/>
          <w:szCs w:val="28"/>
        </w:rPr>
        <w:t xml:space="preserve"> (Big Data) </w:t>
      </w:r>
      <w:r w:rsidRPr="00E154C9">
        <w:rPr>
          <w:rFonts w:asciiTheme="majorBidi" w:hAnsiTheme="majorBidi" w:cstheme="majorBidi"/>
          <w:sz w:val="28"/>
          <w:szCs w:val="28"/>
          <w:rtl/>
        </w:rPr>
        <w:t>في قياس فعالية حملات التوعية الصحية الرقمية، وفهم سلوك المستخدمين، وتوجيه الجهود بشكل أكثر دقة. فمع توفر تقنيات الذكاء الاصطناعي وتحليل البيانات، يمكن تحديد الفئات الأكثر حاجة للتوعية، تتبع أنماط التفاعل مع المحتوى، تقييم مدى تحقيق الأهداف الصحية، وتطوير رسائل تستجيب للتغيرات السلوكية والاجتماعية. ويتيح هذا النهج تحسين مستمر للحملات، مما يؤدي إلى زيادة تأثير التوعية وتقليل التكاليف (شلابي وآخرون، 2021)</w:t>
      </w:r>
      <w:r w:rsidRPr="00E154C9">
        <w:rPr>
          <w:rFonts w:asciiTheme="majorBidi" w:hAnsiTheme="majorBidi" w:cstheme="majorBidi"/>
          <w:sz w:val="28"/>
          <w:szCs w:val="28"/>
        </w:rPr>
        <w:t>.</w:t>
      </w:r>
    </w:p>
    <w:p w14:paraId="3CAC46F5"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ثامنًا، يمكن توسيع آفاق تطوير التوعية الصحية الرقمية عبر دعم البحث العلمي المحلي في مجال الإعلام الصحي الرقمي، ودراسة أثر الوسائط المختلفة على السلوك الصحي، وتطوير نماذج فعالة للتوعية. فالأبحاث الميدانية تساعد على فهم الخصوصيات الثقافية والاجتماعية للمجتمع السعودي، وبالتالي تصميم حملات تراعي هذه الخصوصيات، وتكون أكثر تأثيرًا واستدامة. ويمكن تعزيز هذا الجانب عبر شراكات بين الجامعات، والمراكز البحثية، ووزارة الصحة، ومؤسسات الإعلام الرقمي (حسانين وآخرون، 2021)</w:t>
      </w:r>
      <w:r w:rsidRPr="00E154C9">
        <w:rPr>
          <w:rFonts w:asciiTheme="majorBidi" w:hAnsiTheme="majorBidi" w:cstheme="majorBidi"/>
          <w:sz w:val="28"/>
          <w:szCs w:val="28"/>
        </w:rPr>
        <w:t>.</w:t>
      </w:r>
    </w:p>
    <w:p w14:paraId="382B0AAF"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تاسعًا، إن توسيع مشاركة المجتمع المدني، والجمعيات الصحية، والمبادرات التطوعية في مجال التوعية الصحية الرقمية يُعتبر من العوامل التي تفتح آفاقًا جديدة للتطوير. إذ تمثل هذه الجهات جسرًا بين المؤسسات الرسمية والجمهور، وهي قادرة على نقل الرسائل الصحية بأساليب مرنة وشخصية، تزيد من تقبل المجتمع لها. كما أن إشراك المرضى وأسرهم في إنتاج المحتوى الرقمي، من خلال سرد تجاربهم، أو المشاركة في الحملات التوعوية، يعزز من مصداقية الرسائل، ويحفز الآخرين على التفاعل والمشاركة (شلابي وآخرون، 2021)</w:t>
      </w:r>
      <w:r w:rsidRPr="00E154C9">
        <w:rPr>
          <w:rFonts w:asciiTheme="majorBidi" w:hAnsiTheme="majorBidi" w:cstheme="majorBidi"/>
          <w:sz w:val="28"/>
          <w:szCs w:val="28"/>
        </w:rPr>
        <w:t>.</w:t>
      </w:r>
    </w:p>
    <w:p w14:paraId="6645A1B5"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عاشرًا، لا يمكن إغفال الأبعاد الأخلاقية والقانونية في تطوير التوعية الصحية الرقمية. فمع ازدياد كمية المعلومات الصحية المتداولة إلكترونيًا، تبرز الحاجة إلى وضع ضوابط واضحة لحماية خصوصية المستخدمين، وضمان دقة المعلومات، ومنع الترويج غير القانوني للعلاجات أو المنتجات الطبية. ويجب أن تضمن الأطر القانونية والتنظيمية حماية المستخدم من الاستغلال، مع توفير بيئة صحية رقمية آمنة ومحترمة تضمن الحقوق وتدعم المسؤولية (حسانين وآخرون، 2021)</w:t>
      </w:r>
      <w:r w:rsidRPr="00E154C9">
        <w:rPr>
          <w:rFonts w:asciiTheme="majorBidi" w:hAnsiTheme="majorBidi" w:cstheme="majorBidi"/>
          <w:sz w:val="28"/>
          <w:szCs w:val="28"/>
        </w:rPr>
        <w:t>.</w:t>
      </w:r>
    </w:p>
    <w:p w14:paraId="18597732" w14:textId="77777777" w:rsidR="00BE4D43" w:rsidRDefault="00BE4D43" w:rsidP="00BE4D43">
      <w:pPr>
        <w:spacing w:line="360" w:lineRule="auto"/>
        <w:rPr>
          <w:rFonts w:asciiTheme="majorBidi" w:hAnsiTheme="majorBidi" w:cstheme="majorBidi"/>
          <w:sz w:val="28"/>
          <w:szCs w:val="28"/>
          <w:rtl/>
        </w:rPr>
      </w:pPr>
      <w:r w:rsidRPr="00BE4D43">
        <w:rPr>
          <w:rFonts w:asciiTheme="majorBidi" w:hAnsiTheme="majorBidi" w:cstheme="majorBidi" w:hint="cs"/>
          <w:sz w:val="28"/>
          <w:szCs w:val="28"/>
          <w:u w:val="single"/>
          <w:shd w:val="clear" w:color="auto" w:fill="F2CEED" w:themeFill="accent5" w:themeFillTint="33"/>
          <w:rtl/>
        </w:rPr>
        <w:t>رؤية الباحثة:</w:t>
      </w:r>
      <w:r w:rsidRPr="00BE4D43">
        <w:rPr>
          <w:rFonts w:asciiTheme="majorBidi" w:hAnsiTheme="majorBidi" w:cstheme="majorBidi"/>
          <w:sz w:val="28"/>
          <w:szCs w:val="28"/>
          <w:rtl/>
        </w:rPr>
        <w:t xml:space="preserve"> تفتح آفاق تطوير التوعية الصحية الرقمية في السعودية مجالًا واسعًا لتحقيق نقلة نوعية في الصحة العامة، من خلال الاستفادة من التقدم التقني، وتطوير المحتوى الإعلامي، وتعزيز الشراكات المؤسسية، وتمكين المجتمع، ودمج الأبحاث العلمية، وضمان الأمان القانوني والأخلاقي. ومع تنفيذ استراتيجية وطنية شاملة تراعي هذه الجوانب، يمكن أن تصبح السعودية نموذجًا رائدًا في العالم العربي والعالم في مجال الإعلام الصحي الرقمي، قادرًا على مواجهة تحديات الصحة المعاصرة، ورفع مستوى الوعي، وتحفيز السلوك الصحي الإيجابي بين جميع فئات المجتمع</w:t>
      </w:r>
      <w:r w:rsidRPr="00BE4D43">
        <w:rPr>
          <w:rFonts w:asciiTheme="majorBidi" w:hAnsiTheme="majorBidi" w:cstheme="majorBidi"/>
          <w:sz w:val="28"/>
          <w:szCs w:val="28"/>
        </w:rPr>
        <w:t>.</w:t>
      </w:r>
    </w:p>
    <w:p w14:paraId="5A449D6F" w14:textId="77777777" w:rsidR="0008625B" w:rsidRDefault="0008625B" w:rsidP="00BE4D43">
      <w:pPr>
        <w:spacing w:line="360" w:lineRule="auto"/>
        <w:rPr>
          <w:rFonts w:asciiTheme="majorBidi" w:hAnsiTheme="majorBidi" w:cstheme="majorBidi"/>
          <w:sz w:val="28"/>
          <w:szCs w:val="28"/>
          <w:rtl/>
        </w:rPr>
      </w:pPr>
    </w:p>
    <w:p w14:paraId="04157E9A" w14:textId="77777777" w:rsidR="0008625B" w:rsidRDefault="0008625B" w:rsidP="00BE4D43">
      <w:pPr>
        <w:spacing w:line="360" w:lineRule="auto"/>
        <w:rPr>
          <w:rFonts w:asciiTheme="majorBidi" w:hAnsiTheme="majorBidi" w:cstheme="majorBidi"/>
          <w:sz w:val="28"/>
          <w:szCs w:val="28"/>
          <w:rtl/>
        </w:rPr>
      </w:pPr>
    </w:p>
    <w:p w14:paraId="59A94FA2" w14:textId="77777777" w:rsidR="0008625B" w:rsidRDefault="0008625B" w:rsidP="00BE4D43">
      <w:pPr>
        <w:spacing w:line="360" w:lineRule="auto"/>
        <w:rPr>
          <w:rFonts w:asciiTheme="majorBidi" w:hAnsiTheme="majorBidi" w:cstheme="majorBidi"/>
          <w:sz w:val="28"/>
          <w:szCs w:val="28"/>
          <w:rtl/>
        </w:rPr>
      </w:pPr>
    </w:p>
    <w:p w14:paraId="50D9BCA5" w14:textId="77777777" w:rsidR="0008625B" w:rsidRDefault="0008625B" w:rsidP="00BE4D43">
      <w:pPr>
        <w:spacing w:line="360" w:lineRule="auto"/>
        <w:rPr>
          <w:rFonts w:asciiTheme="majorBidi" w:hAnsiTheme="majorBidi" w:cstheme="majorBidi"/>
          <w:sz w:val="28"/>
          <w:szCs w:val="28"/>
          <w:rtl/>
        </w:rPr>
      </w:pPr>
    </w:p>
    <w:p w14:paraId="0AB449B6" w14:textId="77777777" w:rsidR="0008625B" w:rsidRDefault="0008625B" w:rsidP="00BE4D43">
      <w:pPr>
        <w:spacing w:line="360" w:lineRule="auto"/>
        <w:rPr>
          <w:rFonts w:asciiTheme="majorBidi" w:hAnsiTheme="majorBidi" w:cstheme="majorBidi"/>
          <w:sz w:val="28"/>
          <w:szCs w:val="28"/>
          <w:rtl/>
        </w:rPr>
      </w:pPr>
    </w:p>
    <w:p w14:paraId="5FF4A02F" w14:textId="77777777" w:rsidR="0008625B" w:rsidRDefault="0008625B" w:rsidP="00BE4D43">
      <w:pPr>
        <w:spacing w:line="360" w:lineRule="auto"/>
        <w:rPr>
          <w:rFonts w:asciiTheme="majorBidi" w:hAnsiTheme="majorBidi" w:cstheme="majorBidi"/>
          <w:sz w:val="28"/>
          <w:szCs w:val="28"/>
          <w:rtl/>
        </w:rPr>
      </w:pPr>
    </w:p>
    <w:p w14:paraId="36CF528B" w14:textId="77777777" w:rsidR="0008625B" w:rsidRDefault="0008625B" w:rsidP="00BE4D43">
      <w:pPr>
        <w:spacing w:line="360" w:lineRule="auto"/>
        <w:rPr>
          <w:rFonts w:asciiTheme="majorBidi" w:hAnsiTheme="majorBidi" w:cstheme="majorBidi"/>
          <w:sz w:val="28"/>
          <w:szCs w:val="28"/>
          <w:rtl/>
        </w:rPr>
      </w:pPr>
    </w:p>
    <w:p w14:paraId="39E62AA9" w14:textId="77777777" w:rsidR="0008625B" w:rsidRDefault="0008625B" w:rsidP="00BE4D43">
      <w:pPr>
        <w:spacing w:line="360" w:lineRule="auto"/>
        <w:rPr>
          <w:rFonts w:asciiTheme="majorBidi" w:hAnsiTheme="majorBidi" w:cstheme="majorBidi"/>
          <w:sz w:val="28"/>
          <w:szCs w:val="28"/>
          <w:rtl/>
        </w:rPr>
      </w:pPr>
    </w:p>
    <w:p w14:paraId="599AB6A4" w14:textId="77777777" w:rsidR="0008625B" w:rsidRDefault="0008625B" w:rsidP="00BE4D43">
      <w:pPr>
        <w:spacing w:line="360" w:lineRule="auto"/>
        <w:rPr>
          <w:rFonts w:asciiTheme="majorBidi" w:hAnsiTheme="majorBidi" w:cstheme="majorBidi"/>
          <w:sz w:val="28"/>
          <w:szCs w:val="28"/>
          <w:rtl/>
        </w:rPr>
      </w:pPr>
    </w:p>
    <w:p w14:paraId="67046823" w14:textId="77777777" w:rsidR="0008625B" w:rsidRDefault="0008625B" w:rsidP="00BE4D43">
      <w:pPr>
        <w:spacing w:line="360" w:lineRule="auto"/>
        <w:rPr>
          <w:rFonts w:asciiTheme="majorBidi" w:hAnsiTheme="majorBidi" w:cstheme="majorBidi"/>
          <w:sz w:val="28"/>
          <w:szCs w:val="28"/>
          <w:rtl/>
        </w:rPr>
      </w:pPr>
    </w:p>
    <w:p w14:paraId="60FD3A25" w14:textId="77777777" w:rsidR="0008625B" w:rsidRPr="00E154C9" w:rsidRDefault="0008625B" w:rsidP="00BE4D43">
      <w:pPr>
        <w:spacing w:line="360" w:lineRule="auto"/>
        <w:rPr>
          <w:rFonts w:asciiTheme="majorBidi" w:hAnsiTheme="majorBidi" w:cstheme="majorBidi"/>
          <w:sz w:val="28"/>
          <w:szCs w:val="28"/>
          <w:rtl/>
        </w:rPr>
      </w:pPr>
    </w:p>
    <w:p w14:paraId="444769A8" w14:textId="77777777" w:rsidR="00BE4D43" w:rsidRPr="00E154C9" w:rsidRDefault="00BE4D43" w:rsidP="00BE4D43">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lang w:bidi="ar-EG"/>
        </w:rPr>
        <w:lastRenderedPageBreak/>
        <w:t>النظريات التي يعتمد عليها البحث</w:t>
      </w:r>
    </w:p>
    <w:p w14:paraId="02AD1E03" w14:textId="77777777" w:rsidR="00BE4D43" w:rsidRPr="00E154C9" w:rsidRDefault="00BE4D43" w:rsidP="00BE4D43">
      <w:pPr>
        <w:spacing w:line="360" w:lineRule="auto"/>
        <w:rPr>
          <w:rFonts w:asciiTheme="majorBidi" w:hAnsiTheme="majorBidi" w:cstheme="majorBidi"/>
          <w:b/>
          <w:bCs/>
          <w:sz w:val="28"/>
          <w:szCs w:val="28"/>
          <w:rtl/>
        </w:rPr>
      </w:pPr>
      <w:r>
        <w:rPr>
          <w:rFonts w:asciiTheme="majorBidi" w:hAnsiTheme="majorBidi" w:cstheme="majorBidi"/>
          <w:b/>
          <w:bCs/>
          <w:sz w:val="28"/>
          <w:szCs w:val="28"/>
          <w:rtl/>
        </w:rPr>
        <w:t>أولا: نظرية الاستخدامات وال</w:t>
      </w:r>
      <w:r>
        <w:rPr>
          <w:rFonts w:asciiTheme="majorBidi" w:hAnsiTheme="majorBidi" w:cstheme="majorBidi" w:hint="cs"/>
          <w:b/>
          <w:bCs/>
          <w:sz w:val="28"/>
          <w:szCs w:val="28"/>
          <w:rtl/>
        </w:rPr>
        <w:t>إ</w:t>
      </w:r>
      <w:r w:rsidRPr="00E154C9">
        <w:rPr>
          <w:rFonts w:asciiTheme="majorBidi" w:hAnsiTheme="majorBidi" w:cstheme="majorBidi"/>
          <w:b/>
          <w:bCs/>
          <w:sz w:val="28"/>
          <w:szCs w:val="28"/>
          <w:rtl/>
        </w:rPr>
        <w:t>شباعات</w:t>
      </w:r>
    </w:p>
    <w:p w14:paraId="4665139C" w14:textId="77777777" w:rsidR="00BE4D43" w:rsidRPr="00E154C9" w:rsidRDefault="00BE4D43" w:rsidP="00BE4D43">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مفهوم نظرية الاستخدامات والإشباعات</w:t>
      </w:r>
    </w:p>
    <w:p w14:paraId="2EAE1C32" w14:textId="77777777" w:rsidR="00BE4D43" w:rsidRPr="00E154C9" w:rsidRDefault="00BE4D43" w:rsidP="00BE4D43">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نظرية الاستخدامات والإشباعات</w:t>
      </w:r>
      <w:r w:rsidRPr="00E154C9">
        <w:rPr>
          <w:rFonts w:asciiTheme="majorBidi" w:hAnsiTheme="majorBidi" w:cstheme="majorBidi"/>
          <w:sz w:val="28"/>
          <w:szCs w:val="28"/>
        </w:rPr>
        <w:t xml:space="preserve"> (Uses and Gratifications Theory) </w:t>
      </w:r>
      <w:r w:rsidRPr="00E154C9">
        <w:rPr>
          <w:rFonts w:asciiTheme="majorBidi" w:hAnsiTheme="majorBidi" w:cstheme="majorBidi"/>
          <w:sz w:val="28"/>
          <w:szCs w:val="28"/>
          <w:rtl/>
        </w:rPr>
        <w:t>من أهم النظريات التي اهتمت بدراسة العلاقة بين الجمهور ووسائل الإعلام، حيث انتقلت الدراسة من التركيز على تأثير وسائل الإعلام بشكل مباشر على المتلقي إلى التركيز على دوافع الجمهور نفسه في استخدام تلك الوسائل. تنطلق النظرية من فرضية أن الجمهور ليس سلبيًا أو مجرد متلقٍ للمحتوى الإعلامي، بل هو فاعل ونشط في اختيار الوسائل التي تحقق له حاجاته المختلفة، سواء كانت معرفية أو اجتماعية أو ترفيهية أو عاطفية (طالة ولامية، 2022)</w:t>
      </w:r>
      <w:r w:rsidRPr="00E154C9">
        <w:rPr>
          <w:rFonts w:asciiTheme="majorBidi" w:hAnsiTheme="majorBidi" w:cstheme="majorBidi"/>
          <w:sz w:val="28"/>
          <w:szCs w:val="28"/>
        </w:rPr>
        <w:t>.</w:t>
      </w:r>
    </w:p>
    <w:p w14:paraId="687C7072"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تؤكد النظرية على أن الأفراد يسعون لاستخدام الوسائط الإعلامية بهدف تحقيق إشباعات محددة تلبي حاجاتهم المتنوعة. هذه الحاجات تتراوح بين الرغبة في الحصول على معلومات جديدة، التسلية، الهروب من الواقع، تعزيز العلاقات الاجتماعية، أو حتى البحث عن الهوية الذاتية. ولهذا، فإن استخدام الوسيلة الإعلامية يختلف باختلاف الأفراد وباختلاف السياق الاجتماعي والثقافي الذي يعيشون فيه (حفيظة البراشدية والظفري، 2020)</w:t>
      </w:r>
      <w:r w:rsidRPr="00E154C9">
        <w:rPr>
          <w:rFonts w:asciiTheme="majorBidi" w:hAnsiTheme="majorBidi" w:cstheme="majorBidi"/>
          <w:sz w:val="28"/>
          <w:szCs w:val="28"/>
        </w:rPr>
        <w:t>.</w:t>
      </w:r>
    </w:p>
    <w:p w14:paraId="5CF279D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واحدة من السمات الأساسية لهذه النظرية هي أنها تعطي الجمهور دورًا نشطًا في عملية الاتصال، حيث يختار الجمهور ما يناسبه من وسائل الإعلام ويرفض ما لا يناسبه، كما يمكنه التنقل بين وسائط متعددة لتحقيق إشباعات مختلفة. هذه النظرة تخالف النظريات التقليدية التي كانت تعتبر الجمهور مستهلكًا سلبيًا للرسائل الإعلامية دون قدرة على التأثير أو الاختيار (ليلى علي جمعه، 2021).</w:t>
      </w:r>
    </w:p>
    <w:p w14:paraId="5D3961A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تسلط النظرية الضوء على تعدد الأهداف التي يمكن أن يسعى الجمهور لتحقيقها من خلال استخدام وسائل الإعلام، فلا يقتصر الهدف على تلقي المعلومات فقط، بل يتعداه إلى المشاركة الاجتماعية والتفاعل مع المحتوى والتأثير في الرأي العام. ومن ثم، فإن الوسائط الإعلامية الحديثة، لا سيما الرقمية منها، تلعب دورًا كبيرًا في توفير فضاءات تتيح هذا التفاعل والتواصل (السعدي وجابر، 2024)</w:t>
      </w:r>
      <w:r w:rsidRPr="00E154C9">
        <w:rPr>
          <w:rFonts w:asciiTheme="majorBidi" w:hAnsiTheme="majorBidi" w:cstheme="majorBidi"/>
          <w:sz w:val="28"/>
          <w:szCs w:val="28"/>
        </w:rPr>
        <w:t>.</w:t>
      </w:r>
    </w:p>
    <w:p w14:paraId="7D6546F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وقد طبقت النظرية بشكل واسع في دراسات متعلقة باستخدام الشباب لوسائل التواصل الاجتماعي، حيث توضح أن المستخدمين يبحثون عن إشباعات معرفية مثل التعلم وزيادة المعرفة، وأيضًا إشباعات اجتماعية عبر التفاعل مع الآخرين، بالإضافة إلى إشباعات نفسية متعلقة بالترفيه والتسلية (طوالبه وأحمد، 2021)</w:t>
      </w:r>
      <w:r w:rsidRPr="00E154C9">
        <w:rPr>
          <w:rFonts w:asciiTheme="majorBidi" w:hAnsiTheme="majorBidi" w:cstheme="majorBidi"/>
          <w:sz w:val="28"/>
          <w:szCs w:val="28"/>
        </w:rPr>
        <w:t>.</w:t>
      </w:r>
    </w:p>
    <w:p w14:paraId="3160947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سياق الإعلام الرقمي والتوعية الصحية، تبرز أهمية هذه النظرية في تفسير كيف يمكن للأفراد في المجتمع السعودي أن يستخدموا المنصات الرقمية المختلفة للحصول على معلومات صحية، خاصة المتعلقة بالأمراض العصبية المزمنة. فالفرد هنا لا يتلقى المحتوى فقط، بل يختار ما يناسبه من محتوى، ويبحث عن إشباعات مثل التوعية، الدعم النفسي، أو حتى مشاركة تجاربه مع المرض (د. سعيد شاهين علاني وآخرون، 2024)</w:t>
      </w:r>
      <w:r w:rsidRPr="00E154C9">
        <w:rPr>
          <w:rFonts w:asciiTheme="majorBidi" w:hAnsiTheme="majorBidi" w:cstheme="majorBidi"/>
          <w:sz w:val="28"/>
          <w:szCs w:val="28"/>
        </w:rPr>
        <w:t>.</w:t>
      </w:r>
    </w:p>
    <w:p w14:paraId="612CD3E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هنا، تصبح نظرية الاستخدامات والإشباعات أداة قوية لتحليل وفهم السلوك الإعلامي للأفراد تجاه المحتوى الصحي الرقمي، لأنها تتيح رؤية أكثر شمولًا لدوافع الاستخدام وتأثيراتها، مع مراعاة الخصوصيات الثقافية والاجتماعية للمجتمع المعني (حفيظة البراشدية والظفري، 2020).</w:t>
      </w:r>
    </w:p>
    <w:p w14:paraId="0FC9242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الختام، تلعب هذه النظرية دورًا مهمًا في تصميم استراتيجيات إعلامية صحية رقمية فعالة، إذ تفترض أن نجاح هذه الاستراتيجيات يتوقف على قدرتها في تلبية حاجات الجمهور وإشباع رغباتهم المختلفة، مما يعزز من التفاعل ويزيد من فرص تحقيق التوعية المرجوة في مجال الأمراض العصبية المزمنة (ليلى علي جمعه، 2021)</w:t>
      </w:r>
      <w:r w:rsidRPr="00E154C9">
        <w:rPr>
          <w:rFonts w:asciiTheme="majorBidi" w:hAnsiTheme="majorBidi" w:cstheme="majorBidi"/>
          <w:sz w:val="28"/>
          <w:szCs w:val="28"/>
        </w:rPr>
        <w:t>.</w:t>
      </w:r>
    </w:p>
    <w:p w14:paraId="327B9AB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b/>
          <w:bCs/>
          <w:sz w:val="28"/>
          <w:szCs w:val="28"/>
          <w:rtl/>
        </w:rPr>
        <w:t>نشأة النظرية وأبرز روادها</w:t>
      </w:r>
    </w:p>
    <w:p w14:paraId="4AEC50ED"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تعود جذور نظرية الاستخدامات والإشباعات إلى منتصف القرن العشرين، حيث بدأت محاولات فهم سلوك الجمهور تجاه وسائل الإعلام بشكل أكثر تفاعلية ونشاطًا، بعيدًا عن النظريات التي كانت ترى الجمهور كمتلقي سلبي فقط. كانت رد الفعل على النظريات التقليدية، مثل نظرية "الرصاصة السحرية" أو التأثير المباشر، التي افترضت أن الإعلام يؤثر بشكل قوي وفوري على الجمهور دون أن يكون له دور في الاختيار أو الفلترة (طالة ولامية، 2022)</w:t>
      </w:r>
      <w:r w:rsidRPr="00E154C9">
        <w:rPr>
          <w:rFonts w:asciiTheme="majorBidi" w:hAnsiTheme="majorBidi" w:cstheme="majorBidi"/>
          <w:sz w:val="28"/>
          <w:szCs w:val="28"/>
        </w:rPr>
        <w:t>.</w:t>
      </w:r>
    </w:p>
    <w:p w14:paraId="66E96F2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بدأت النظرية تتبلور رسميًا في خمسينيات وستينيات القرن العشرين، مع دراسة الباحثين الذين أرسوا الأسس النظرية لفهم دوافع الجمهور في استخدام وسائل الإعلام. من أبرز هؤلاء الباحثين</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إليهو كاتز</w:t>
      </w:r>
      <w:r w:rsidRPr="00E154C9">
        <w:rPr>
          <w:rFonts w:asciiTheme="majorBidi" w:hAnsiTheme="majorBidi" w:cstheme="majorBidi"/>
          <w:sz w:val="28"/>
          <w:szCs w:val="28"/>
        </w:rPr>
        <w:t xml:space="preserve"> (Elihu Katz)</w:t>
      </w:r>
      <w:r w:rsidRPr="00E154C9">
        <w:rPr>
          <w:rFonts w:asciiTheme="majorBidi" w:hAnsiTheme="majorBidi" w:cstheme="majorBidi"/>
          <w:sz w:val="28"/>
          <w:szCs w:val="28"/>
          <w:rtl/>
        </w:rPr>
        <w:t>، وجاي بلوملر</w:t>
      </w:r>
      <w:r w:rsidRPr="00E154C9">
        <w:rPr>
          <w:rFonts w:asciiTheme="majorBidi" w:hAnsiTheme="majorBidi" w:cstheme="majorBidi"/>
          <w:sz w:val="28"/>
          <w:szCs w:val="28"/>
        </w:rPr>
        <w:t xml:space="preserve"> (Jay Blumler)</w:t>
      </w:r>
      <w:r w:rsidRPr="00E154C9">
        <w:rPr>
          <w:rFonts w:asciiTheme="majorBidi" w:hAnsiTheme="majorBidi" w:cstheme="majorBidi"/>
          <w:sz w:val="28"/>
          <w:szCs w:val="28"/>
          <w:rtl/>
        </w:rPr>
        <w:t>، ومايكل جورفيتش</w:t>
      </w:r>
      <w:r w:rsidRPr="00E154C9">
        <w:rPr>
          <w:rFonts w:asciiTheme="majorBidi" w:hAnsiTheme="majorBidi" w:cstheme="majorBidi"/>
          <w:sz w:val="28"/>
          <w:szCs w:val="28"/>
        </w:rPr>
        <w:t xml:space="preserve"> (Michael Gurevitch)</w:t>
      </w:r>
      <w:r w:rsidRPr="00E154C9">
        <w:rPr>
          <w:rFonts w:asciiTheme="majorBidi" w:hAnsiTheme="majorBidi" w:cstheme="majorBidi"/>
          <w:sz w:val="28"/>
          <w:szCs w:val="28"/>
          <w:rtl/>
        </w:rPr>
        <w:t xml:space="preserve">، الذين قدموا إسهامات أساسية في تطوير النظرية وتوضيح مفهوم الجمهور النشط. حيث ركزوا على كيفية استخدام </w:t>
      </w:r>
      <w:r w:rsidRPr="00E154C9">
        <w:rPr>
          <w:rFonts w:asciiTheme="majorBidi" w:hAnsiTheme="majorBidi" w:cstheme="majorBidi"/>
          <w:sz w:val="28"/>
          <w:szCs w:val="28"/>
          <w:rtl/>
        </w:rPr>
        <w:lastRenderedPageBreak/>
        <w:t>الجمهور للإعلام لإشباع حاجاتهم المختلفة، مثل التسلية، المعلومات، والتواصل الاجتماعي (حفيظة البراشدية والظفري، 2020)</w:t>
      </w:r>
      <w:r w:rsidRPr="00E154C9">
        <w:rPr>
          <w:rFonts w:asciiTheme="majorBidi" w:hAnsiTheme="majorBidi" w:cstheme="majorBidi"/>
          <w:sz w:val="28"/>
          <w:szCs w:val="28"/>
        </w:rPr>
        <w:t>.</w:t>
      </w:r>
    </w:p>
    <w:p w14:paraId="24595FC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كان عمل كاتز وزملاؤه في جامعة شيكاغو مركزياً في هذه المرحلة، إذ طوروا إطارًا نظريًا جديدًا ينظر إلى الإعلام كأداة تخدم أهدافًا متعددة للجمهور، ولا يُفرض عليهم بشكل سلبي. وقدمت هذه الدراسات أساسًا لفهم كيف يمكن أن تتنوع استخدامات الجمهور حسب الظروف الفردية والاجتماعية والثقافية، مع الإشارة إلى أن الإعلام الرقمي المعاصر يمثل امتدادًا طبيعيًا لهذه النظرية (ليلى علي جمعه، 2021).</w:t>
      </w:r>
    </w:p>
    <w:p w14:paraId="13BCAC9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ومن أهم مفاهيم النظرية في هذه المرحلة هو </w:t>
      </w:r>
      <w:r w:rsidRPr="00E154C9">
        <w:rPr>
          <w:rFonts w:asciiTheme="majorBidi" w:hAnsiTheme="majorBidi" w:cstheme="majorBidi"/>
          <w:sz w:val="28"/>
          <w:szCs w:val="28"/>
        </w:rPr>
        <w:t>"</w:t>
      </w:r>
      <w:r w:rsidRPr="00E154C9">
        <w:rPr>
          <w:rFonts w:asciiTheme="majorBidi" w:hAnsiTheme="majorBidi" w:cstheme="majorBidi"/>
          <w:sz w:val="28"/>
          <w:szCs w:val="28"/>
          <w:rtl/>
        </w:rPr>
        <w:t>الاحتياجات</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التي يسعى الجمهور إلى إشباعها من خلال الإعلام، والتي تصنف إلى حاجات معرفية (كالحصول على معلومات)، وحاجات نفسية (مثل الترفيه والهروب)، وحاجات اجتماعية (كالانتماء والمشاركة) (السعدي وجابر، 2024). وتبنى رواد النظرية على هذه التصنيفات لتفسير التنوع في استخدام الوسائط الإعلامية، مما ساهم في فتح المجال لدراسات تطبيقية لاحقة في مجالات متعددة</w:t>
      </w:r>
      <w:r w:rsidRPr="00E154C9">
        <w:rPr>
          <w:rFonts w:asciiTheme="majorBidi" w:hAnsiTheme="majorBidi" w:cstheme="majorBidi"/>
          <w:sz w:val="28"/>
          <w:szCs w:val="28"/>
        </w:rPr>
        <w:t>.</w:t>
      </w:r>
    </w:p>
    <w:p w14:paraId="4834E48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ساهمت النظرية في تحوّل كبير في بحوث الاتصال، حيث أصبحت الأسئلة الرئيسية تدور حول "لماذا يستخدم الجمهور وسائل الإعلام؟" بدلاً من "كيف يؤثر الإعلام على الجمهور؟"، مما أعطى دورًا أكثر فاعلية وتمكينًا للأفراد في السياق الإعلامي (طوالبه وأحمد، 2021)</w:t>
      </w:r>
      <w:r w:rsidRPr="00E154C9">
        <w:rPr>
          <w:rFonts w:asciiTheme="majorBidi" w:hAnsiTheme="majorBidi" w:cstheme="majorBidi"/>
          <w:sz w:val="28"/>
          <w:szCs w:val="28"/>
        </w:rPr>
        <w:t>.</w:t>
      </w:r>
    </w:p>
    <w:p w14:paraId="3030158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الفترات اللاحقة، تطورت النظرية لتواكب التغيرات التقنية والاجتماعية، خصوصًا مع ظهور الإنترنت ووسائل التواصل الاجتماعي، التي أضافت أبعادًا جديدة للتفاعل بين الجمهور والوسائط الإعلامية، وجعلت الجمهور أكثر قدرة على الانتقاء والتفاعل وتكوين المحتوى (د. سعيد شاهين علاني وآخرون، 2024)</w:t>
      </w:r>
      <w:r w:rsidRPr="00E154C9">
        <w:rPr>
          <w:rFonts w:asciiTheme="majorBidi" w:hAnsiTheme="majorBidi" w:cstheme="majorBidi"/>
          <w:sz w:val="28"/>
          <w:szCs w:val="28"/>
        </w:rPr>
        <w:t>.</w:t>
      </w:r>
    </w:p>
    <w:p w14:paraId="3FB72AB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بالتالي، يُنظر إلى كاتز، بلوملر، وجورفيتش كرواد النظرية الذين ساهموا في بناء الإطار النظري القوي الذي يستمر في تفسير سلوك الجمهور الإعلامي حتى اليوم، خصوصًا في ظل التحولات المتسارعة للإعلام الرقمي. وقد وضعت أبحاثهم الأساس لفهم كيفية استفادة المجتمعات، مثل المجتمع السعودي، من الإعلام الرقمي في مجالات مثل التوعية الصحية بالأمراض العصبية المزمنة (حفيظة البراشدية والظفري، 2020).</w:t>
      </w:r>
    </w:p>
    <w:p w14:paraId="70EDC72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حيث تُعتبر نظرية الاستخدامات والإشباعات نموذجًا متكاملاً يُمكّن الباحثين من دراسة التفاعل الإعلامي ضمن سياقات متعددة، معتمدةً على دور الجمهور النشط في تحقيق الإشباعات التي تلبي حاجاتهم المختلفة، وهو ما يمثل أساسًا هامًا لتحليل استراتيجيات الإعلام الرقمي الصحي في العصر الحديث (ليلى علي جمعه، 2021)</w:t>
      </w:r>
      <w:r w:rsidRPr="00E154C9">
        <w:rPr>
          <w:rFonts w:asciiTheme="majorBidi" w:hAnsiTheme="majorBidi" w:cstheme="majorBidi"/>
          <w:sz w:val="28"/>
          <w:szCs w:val="28"/>
        </w:rPr>
        <w:t>.</w:t>
      </w:r>
    </w:p>
    <w:p w14:paraId="6CFE10DC"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lastRenderedPageBreak/>
        <w:t>الافتراضات الأساسية لنظرية الاستخدامات والإشباعات</w:t>
      </w:r>
    </w:p>
    <w:p w14:paraId="69D9C520"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تستند نظرية الاستخدامات والإشباعات إلى مجموعة من الافتراضات التي تميزها عن النظريات التقليدية في مجال الاتصال، حيث تركز على الجمهور كفاعل نشط في عملية الاتصال وليس مجرد متلقي سلبي للرسائل الإعلامية. من أهم هذه الافتراضات أن الجمهور يملك القدرة على اختيار الوسائل الإعلامية التي تلبي حاجاته وأهدافه الشخصية والاجتماعية (طالة ولامية، 2022). وهذه الحاجات تتنوع بين معرفية، ترفيهية، اجتماعية، نفسية، وغيرها، مما يجعل استخدام الوسائل الإعلامية متغيرًا حسب طبيعة الأفراد والظروف المحيطة بهم (حفيظة البراشدية والظفري، 2020)</w:t>
      </w:r>
      <w:r w:rsidRPr="00E154C9">
        <w:rPr>
          <w:rFonts w:asciiTheme="majorBidi" w:hAnsiTheme="majorBidi" w:cstheme="majorBidi"/>
          <w:sz w:val="28"/>
          <w:szCs w:val="28"/>
        </w:rPr>
        <w:t>.</w:t>
      </w:r>
    </w:p>
    <w:p w14:paraId="626C4A8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تفرض النظرية أيضًا أن الجمهور يهدف من استخدام وسائل الإعلام إلى تحقيق إشباعات محددة، وهي حاجات يُدركها المستخدمون بشكل واعٍ، مثل الرغبة في الحصول على المعلومات، التسلية، التعرف على الآخرين، أو الهروب من ضغوط الحياة اليومية (ليلى علي جمعه، 2021). بالإضافة إلى ذلك، تفترض النظرية أن الجمهور قادر على التقييم المستمر لمدى تحقيق الوسيلة الإعلامية لهذه الإشباعات، وبالتالي يمكنه تغيير اختياراته أو استخدامه للوسائط الإعلامية بناءً على مدى إشباعها لحاجاته (السعدي وجابر، 2024)</w:t>
      </w:r>
      <w:r w:rsidRPr="00E154C9">
        <w:rPr>
          <w:rFonts w:asciiTheme="majorBidi" w:hAnsiTheme="majorBidi" w:cstheme="majorBidi"/>
          <w:sz w:val="28"/>
          <w:szCs w:val="28"/>
        </w:rPr>
        <w:t>.</w:t>
      </w:r>
    </w:p>
    <w:p w14:paraId="6F74A23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تؤكد النظرية كذلك على أن وسائل الإعلام ليست مؤثرة بشكل مباشر أو موحد على جميع أفراد الجمهور، بل تأثيرها يختلف بحسب دوافع كل فرد واحتياجاته الخاصة. وبذلك، فإن المتلقي له دور فعال في تفسير الرسائل الإعلامية وإعطائها معانٍ تتناسب مع ظروفه الفردية والاجتماعية (طوالبه وأحمد، 2021). هذه الفرضية تفتح الباب لفهم أعمق لكيفية استخدام الناس للوسائل الإعلامية الرقمية الحديثة، خصوصًا في سياق التوعية الصحية حيث يختار الجمهور المحتوى الذي يلبي حاجاتهم في مجال المعلومات والدعم النفسي (د. سعيد شاهين علاني وآخرون، 2024)</w:t>
      </w:r>
      <w:r w:rsidRPr="00E154C9">
        <w:rPr>
          <w:rFonts w:asciiTheme="majorBidi" w:hAnsiTheme="majorBidi" w:cstheme="majorBidi"/>
          <w:sz w:val="28"/>
          <w:szCs w:val="28"/>
        </w:rPr>
        <w:t>.</w:t>
      </w:r>
    </w:p>
    <w:p w14:paraId="164F612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تفترض النظرية أيضًا أن وسائل الإعلام المختلفة تختلف في قدرتها على إشباع الحاجات المتنوعة، حيث يميل الجمهور إلى اختيار الوسائط التي تناسب نوع الإشباع الذي يبحث عنه، فالمحتوى المرئي مثلاً قد يكون أكثر قدرة على توفير إشباعات ترفيهية واجتماعية، بينما المحتوى النصي قد يكون أكثر فعالية في تلبية الحاجات المعرفية (حفيظة البراشدية والظفري، 2020). وهذا يعزز أهمية اختيار الوسائل الإعلامية المناسبة حسب طبيعة الرسالة الصحية المراد إيصالها لجمهور معين، خاصة في مجتمع كالمجتمع السعودي الذي يختلف فيه تفضيل الوسائط باختلاف الأعمار والخلفيات الثقافية (ليلى علي جمعه، 2021)</w:t>
      </w:r>
      <w:r w:rsidRPr="00E154C9">
        <w:rPr>
          <w:rFonts w:asciiTheme="majorBidi" w:hAnsiTheme="majorBidi" w:cstheme="majorBidi"/>
          <w:sz w:val="28"/>
          <w:szCs w:val="28"/>
        </w:rPr>
        <w:t>.</w:t>
      </w:r>
    </w:p>
    <w:p w14:paraId="7E4F057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علاوة على ذلك، تؤكد النظرية على أن الجمهور يستخدم وسائل الإعلام بطرق متعددة ومختلفة في أوقات وظروف مختلفة، ولا يقتصر استخدام الوسيلة الإعلامية على غرض واحد فقط، بل قد يهدف إلى إشباع أكثر من حاجة في الوقت ذاته، مثل الترفيه والتعليم والتفاعل الاجتماعي (طالة ولامية، 2022). ومن هنا، يصبح فهم هذه الافتراضات ضروريًا لتصميم حملات إعلامية رقمية صحية فعالة تستجيب لتنوع حاجات المستخدمين وتجذب انتباههم بطريقة تحقق الأهداف التوعوية (حفيظة البراشدية والظفري، 2020)</w:t>
      </w:r>
      <w:r w:rsidRPr="00E154C9">
        <w:rPr>
          <w:rFonts w:asciiTheme="majorBidi" w:hAnsiTheme="majorBidi" w:cstheme="majorBidi"/>
          <w:sz w:val="28"/>
          <w:szCs w:val="28"/>
        </w:rPr>
        <w:t>.</w:t>
      </w:r>
    </w:p>
    <w:p w14:paraId="38924A9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حيث تؤكد النظرية أن الجمهور يملك وعيًا نقديًا يسمح له بالتمييز بين الوسائط والمحتوى، وبالتالي فهو يختار ما يناسبه ويتجنب ما لا يحقق له الإشباع المطلوب. وهذا الوعي يجعل عملية الاتصال أكثر تفاعلية وديناميكية، ويساعد على تطوير استراتيجيات إعلامية صحية تركز على المستخدم واحتياجاته (ليلى علي جمعه، 2021).</w:t>
      </w:r>
    </w:p>
    <w:p w14:paraId="5F44C6A4"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دوافع استخدام الجمهور لوسائل الإعلام الرقمية</w:t>
      </w:r>
    </w:p>
    <w:p w14:paraId="6C857377"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وسائل الإعلام الرقمية اليوم من أهم الوسائل التي يعتمد عليها الأفراد في الوصول إلى المعلومات والتواصل والترفيه، وتُفسَّر دوافع استخدام الجمهور لهذه الوسائل من خلال عدة عوامل نفسية واجتماعية ومعرفية. ويركز مفهوم الدوافع على الأسباب التي تجعل الأفراد يختارون ويستخدمون الوسائط الرقمية، والتي ترتبط بالحاجات التي يسعون إلى إشباعها (طالة ولامية، 2022)</w:t>
      </w:r>
      <w:r w:rsidRPr="00E154C9">
        <w:rPr>
          <w:rFonts w:asciiTheme="majorBidi" w:hAnsiTheme="majorBidi" w:cstheme="majorBidi"/>
          <w:sz w:val="28"/>
          <w:szCs w:val="28"/>
        </w:rPr>
        <w:t>.</w:t>
      </w:r>
    </w:p>
    <w:p w14:paraId="56ABA00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أحد أبرز الدوافع لاستخدام وسائل الإعلام الرقمية هو الرغبة في الحصول على المعلومات والمعرفة، حيث يُعتبر الإعلام الرقمي منصة غنية تتيح الوصول إلى كم هائل من المحتوى المتخصص في مجالات متنوعة مثل الصحة، التعليم، الأخبار، وغيرها. وفي سياق التوعية الصحية بالأمراض العصبية المزمنة، يبحث الجمهور عن معلومات دقيقة وموثوقة من خلال هذه الوسائل لتلبية حاجاتهم المعرفية (حفيظة البراشدية والظفري، 2020). كما تتيح الوسائط الرقمية إمكانيات التحديث المستمر للمعلومات، مما يجعلها خيارًا مفضلًا لدى الباحثين عن المعرفة المتجددة</w:t>
      </w:r>
      <w:r w:rsidRPr="00E154C9">
        <w:rPr>
          <w:rFonts w:asciiTheme="majorBidi" w:hAnsiTheme="majorBidi" w:cstheme="majorBidi"/>
          <w:sz w:val="28"/>
          <w:szCs w:val="28"/>
        </w:rPr>
        <w:t>.</w:t>
      </w:r>
    </w:p>
    <w:p w14:paraId="112719D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دافع آخر مهم هو التفاعل الاجتماعي، إذ تسمح منصات التواصل الاجتماعي الرقمية مثل فيسبوك وتويتر وإنستغرام بخلق مساحات تفاعلية يشارك فيها الأفراد تجاربهم وآرائهم، ويتواصلون مع الآخرين ذوي الاهتمامات المشتركة. هذه الخاصية تعزز الإشباعات الاجتماعية لدى المستخدمين، وتلبي حاجتهم إلى الانتماء والشعور بالمجتمع، وهو ما يُعتبر ذا أهمية خاصة في حالات الأمراض المزمنة التي تتطلب الدعم النفسي والاجتماعي (ليلى علي جمعه، 2021).</w:t>
      </w:r>
    </w:p>
    <w:p w14:paraId="3F06052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بالإضافة إلى ذلك، يلعب الترفيه دورًا رئيسيًا كدافع لاستخدام الوسائط الرقمية، حيث توفر هذه الوسائط محتوى متنوعًا من الفيديوهات، الألعاب، والموسيقى التي تساعد الأفراد على التخفيف من ضغوط الحياة اليومية والهروب من الواقع. هذا الدافع ضروري لفهم كيف يمكن للإعلام الرقمي أن يؤثر بشكل إيجابي في تحسين الحالة النفسية للمستخدمين، خاصة الذين يعانون من أمراض مزمنة (السعدي وجابر، 2024)</w:t>
      </w:r>
      <w:r w:rsidRPr="00E154C9">
        <w:rPr>
          <w:rFonts w:asciiTheme="majorBidi" w:hAnsiTheme="majorBidi" w:cstheme="majorBidi"/>
          <w:sz w:val="28"/>
          <w:szCs w:val="28"/>
        </w:rPr>
        <w:t>.</w:t>
      </w:r>
    </w:p>
    <w:p w14:paraId="6501B4C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يبحث المستخدمون عن الراحة والسهولة في الوصول إلى المحتوى، حيث تقدم الوسائط الرقمية إمكانية الوصول السريع والفوري إلى المحتوى عبر الهواتف الذكية والأجهزة اللوحية، مما يتيح لهم متابعة المعلومات والترفيه في أي وقت ومكان. هذه الميزة تزيد من اعتماد الجمهور على الإعلام الرقمي مقارنة بالوسائط التقليدية (طوالبه وأحمد، 2021)</w:t>
      </w:r>
      <w:r w:rsidRPr="00E154C9">
        <w:rPr>
          <w:rFonts w:asciiTheme="majorBidi" w:hAnsiTheme="majorBidi" w:cstheme="majorBidi"/>
          <w:sz w:val="28"/>
          <w:szCs w:val="28"/>
        </w:rPr>
        <w:t>.</w:t>
      </w:r>
    </w:p>
    <w:p w14:paraId="0D81859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دافع آخر لا يقل أهمية هو الحاجات الشخصية والنفسية مثل البحث عن الدعم النفسي والتشجيع، إذ يوفر الإعلام الرقمي منصات تتيح للمستخدمين التعبير عن مشاعرهم، والحصول على نصائح وتجارب من آخرين في حالات مشابهة، وهو أمر بالغ الأهمية في مجالات التوعية الصحية (د. سعيد شاهين علاني وآخرون، 2024)</w:t>
      </w:r>
      <w:r w:rsidRPr="00E154C9">
        <w:rPr>
          <w:rFonts w:asciiTheme="majorBidi" w:hAnsiTheme="majorBidi" w:cstheme="majorBidi"/>
          <w:sz w:val="28"/>
          <w:szCs w:val="28"/>
        </w:rPr>
        <w:t>.</w:t>
      </w:r>
    </w:p>
    <w:p w14:paraId="3CEFEF3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تعتبر الحرية في الاختيار والتخصيص من الدوافع الأساسية التي تجذب الجمهور لاستخدام وسائل الإعلام الرقمية، حيث يمكن للمستخدم تحديد المحتوى الذي يراه مناسبًا حسب اهتماماته وحاجاته، بعكس الوسائط التقليدية التي تفرض محتوى محددًا (حفيظة البراشدية والظفري، 2020). هذه القدرة على التخصيص تعزز من رضى المستخدم وتجعل تجربة استخدام الإعلام الرقمي أكثر فاعلية في تحقيق الأهداف التوعوية</w:t>
      </w:r>
      <w:r w:rsidRPr="00E154C9">
        <w:rPr>
          <w:rFonts w:asciiTheme="majorBidi" w:hAnsiTheme="majorBidi" w:cstheme="majorBidi"/>
          <w:sz w:val="28"/>
          <w:szCs w:val="28"/>
        </w:rPr>
        <w:t>.</w:t>
      </w:r>
    </w:p>
    <w:p w14:paraId="5BB9E62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هذه الدوافع مجتمعة أساسًا لفهم كيف يستخدم الجمهور الإعلام الرقمي، وكيف يمكن توظيف هذه الوسائل بشكل فعّال في التوعية بالأمراض العصبية المزمنة، من خلال تصميم محتوى يتناسب مع الحاجات والدوافع المتنوعة للمستخدمين في المجتمع السعودي (ليلى علي جمعه، 2021)</w:t>
      </w:r>
      <w:r w:rsidRPr="00E154C9">
        <w:rPr>
          <w:rFonts w:asciiTheme="majorBidi" w:hAnsiTheme="majorBidi" w:cstheme="majorBidi"/>
          <w:sz w:val="28"/>
          <w:szCs w:val="28"/>
        </w:rPr>
        <w:t>.</w:t>
      </w:r>
    </w:p>
    <w:p w14:paraId="05BE5A35"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أنواع الإشباعات (المعرفية، الترفيهية، الاجتماعية، الوقائية)</w:t>
      </w:r>
    </w:p>
    <w:p w14:paraId="72974B0A"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نظرية الاستخدامات والإشباعات إطارًا مهمًا لفهم الحاجات المتنوعة التي يسعى الجمهور إلى إشباعها من خلال وسائل الإعلام، ومن أبرز هذه الحاجات أو الإشباعات أربعة أنواع رئيسية هي: الإشباعات المعرفية، الترفيهية، الاجتماعية، والوقائية. تتفاوت هذه الإشباعات بحسب طبيعة الأفراد وظروفهم الاجتماعية والنفسية، ويستخدمها الجمهور لتحقيق أهداف مختلفة عبر الوسائط الإعلامية (طالة ولامية، 2022)</w:t>
      </w:r>
      <w:r w:rsidRPr="00E154C9">
        <w:rPr>
          <w:rFonts w:asciiTheme="majorBidi" w:hAnsiTheme="majorBidi" w:cstheme="majorBidi"/>
          <w:sz w:val="28"/>
          <w:szCs w:val="28"/>
        </w:rPr>
        <w:t>.</w:t>
      </w:r>
    </w:p>
    <w:p w14:paraId="3126A9C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الإشباع المعرفي يشير إلى رغبة الفرد في الحصول على المعلومات والمعرفة وتوسيع مداركه حول موضوع معين. يلجأ المستخدمون إلى وسائل الإعلام الرقمية بغرض التعرف على آخر المستجدات والأخبار، والحصول على تفسيرات وتحليلات عميقة تُمكّنهم من فهم العالم من حولهم بشكل أفضل. في مجال التوعية الصحية، يسعى الجمهور إلى إشباع هذا النوع من الحاجات من خلال البحث عن معلومات دقيقة عن الأمراض المزمنة، وأعراضها، وطرق الوقاية والعلاج (حفيظة البراشدية والظفري، 2020). تلعب المنصات الرقمية دورًا محوريًا في توفير مصادر متنوعة تلبّي هذه الحاجة المعرفية</w:t>
      </w:r>
      <w:r w:rsidRPr="00E154C9">
        <w:rPr>
          <w:rFonts w:asciiTheme="majorBidi" w:hAnsiTheme="majorBidi" w:cstheme="majorBidi"/>
          <w:sz w:val="28"/>
          <w:szCs w:val="28"/>
        </w:rPr>
        <w:t>.</w:t>
      </w:r>
    </w:p>
    <w:p w14:paraId="334C2DC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أما الإشباع الترفيهي فيتمثل في البحث عن المتعة، الهروب من ضغوط الحياة اليومية، والترويح عن النفس. يستخدم الأفراد الوسائط الإعلامية الرقمية مثل الفيديوهات والموسيقى والألعاب كوسائل ترفيهية تساعدهم على التخلص من التوتر والملل، وتوفر لهم فرصة للاسترخاء. هذه الإشباعات ضرورية لتحسين الحالة النفسية للمستخدمين، خاصة في المواقف التي تتطلب مواجهة تحديات صحية طويلة الأمد (ليلى علي جمعه، 2021).</w:t>
      </w:r>
    </w:p>
    <w:p w14:paraId="0C8425A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الإشباع الاجتماعي يرتبط بالحاجة إلى الانتماء والتواصل مع الآخرين، حيث توفر وسائل الإعلام الرقمية بيئات تفاعلية تسمح بالتواصل، تبادل الأفكار، وتكوين علاقات اجتماعية جديدة. تعد الشبكات الاجتماعية منصة مهمة لتحقيق هذه الإشباعات، إذ يشارك المستخدمون تجاربهم الصحية، يدعمون بعضهم البعض، ويبنون مجتمعات افتراضية تقدم الدعم النفسي والمعنوي، وهو أمر حيوي لمرضى الأمراض العصبية المزمنة (السعدي وجابر، 2024)</w:t>
      </w:r>
      <w:r w:rsidRPr="00E154C9">
        <w:rPr>
          <w:rFonts w:asciiTheme="majorBidi" w:hAnsiTheme="majorBidi" w:cstheme="majorBidi"/>
          <w:sz w:val="28"/>
          <w:szCs w:val="28"/>
        </w:rPr>
        <w:t>.</w:t>
      </w:r>
    </w:p>
    <w:p w14:paraId="44A41CC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الإشباع الوقائي يشير إلى سعي الفرد لاستخدام وسائل الإعلام كأداة للحماية الذاتية من المعلومات أو المواقف التي قد تسبب له توترًا أو ضغطًا نفسيًا. في هذا السياق، قد يختار المستخدمون تجنب بعض المحتويات أو التحكم في كمية ونوعية المعلومات التي يتعرضون لها، بهدف الحفاظ على صحتهم النفسية والعاطفية (طوالبه وأحمد، 2021). هذا النوع من الإشباع يعكس الوعي الكبير للجمهور بأهمية تنظيم استخدامه للإعلام، خصوصًا في بيئة رقمية مليئة بالمعلومات المتنوعة والمتضاربة</w:t>
      </w:r>
      <w:r w:rsidRPr="00E154C9">
        <w:rPr>
          <w:rFonts w:asciiTheme="majorBidi" w:hAnsiTheme="majorBidi" w:cstheme="majorBidi"/>
          <w:sz w:val="28"/>
          <w:szCs w:val="28"/>
        </w:rPr>
        <w:t>.</w:t>
      </w:r>
    </w:p>
    <w:p w14:paraId="66F1CEB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تُظهر الدراسات الحديثة أن هذه الإشباعات تتداخل وتتفاعل فيما بينها، ولا يقتصر استخدام الفرد لوسائل الإعلام على إشباع حاجة واحدة فقط، بل غالبًا ما يسعى إلى تحقيق عدة إشباعات في الوقت نفسه. هذا التنوع في الإشباعات يبرز أهمية تصميم المحتوى الإعلامي بطريقة تلبي هذه الحاجات المتعددة، مما يزيد من فاعلية التوعية ويعزز من قبول الرسائل الصحية في المجتمع (د. سعيد شاهين علاني وآخرون، 2024)</w:t>
      </w:r>
      <w:r w:rsidRPr="00E154C9">
        <w:rPr>
          <w:rFonts w:asciiTheme="majorBidi" w:hAnsiTheme="majorBidi" w:cstheme="majorBidi"/>
          <w:sz w:val="28"/>
          <w:szCs w:val="28"/>
        </w:rPr>
        <w:t>.</w:t>
      </w:r>
    </w:p>
    <w:p w14:paraId="6594586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بالتالي، فإن فهم أنواع الإشباعات التي يسعى الجمهور لتحقيقها عبر وسائل الإعلام الرقمية يعد أمرًا أساسيًا لتطوير استراتيجيات توعية صحية ناجحة، تركز على تلبية الحاجات المعرفية، الترفيهية، الاجتماعية، والوقائية للمستخدمين، وهو ما يعزز من التفاعل والمشاركة في المجتمع السعودي في موضوع الأمراض العصبية المزمنة (حفيظة البراشدية والظفري، 2020).</w:t>
      </w:r>
    </w:p>
    <w:p w14:paraId="07109FBF" w14:textId="77777777" w:rsidR="0008625B" w:rsidRPr="0008625B" w:rsidRDefault="0008625B" w:rsidP="0008625B">
      <w:pPr>
        <w:spacing w:line="360" w:lineRule="auto"/>
        <w:rPr>
          <w:rFonts w:asciiTheme="majorBidi" w:hAnsiTheme="majorBidi" w:cstheme="majorBidi"/>
          <w:b/>
          <w:bCs/>
          <w:sz w:val="28"/>
          <w:szCs w:val="28"/>
        </w:rPr>
      </w:pPr>
      <w:r w:rsidRPr="0008625B">
        <w:rPr>
          <w:rFonts w:asciiTheme="majorBidi" w:hAnsiTheme="majorBidi" w:cstheme="majorBidi"/>
          <w:b/>
          <w:bCs/>
          <w:sz w:val="28"/>
          <w:szCs w:val="28"/>
          <w:rtl/>
        </w:rPr>
        <w:t>استخدام الإعلام الرقمي في التوعية الصحية: منظور النظرية</w:t>
      </w:r>
    </w:p>
    <w:p w14:paraId="23CD0F92" w14:textId="77777777" w:rsidR="0008625B" w:rsidRPr="0008625B" w:rsidRDefault="0008625B" w:rsidP="0008625B">
      <w:pPr>
        <w:spacing w:line="360" w:lineRule="auto"/>
        <w:rPr>
          <w:rFonts w:asciiTheme="majorBidi" w:hAnsiTheme="majorBidi" w:cstheme="majorBidi"/>
          <w:sz w:val="28"/>
          <w:szCs w:val="28"/>
          <w:rtl/>
        </w:rPr>
      </w:pPr>
      <w:r w:rsidRPr="0008625B">
        <w:rPr>
          <w:rFonts w:asciiTheme="majorBidi" w:hAnsiTheme="majorBidi" w:cstheme="majorBidi"/>
          <w:sz w:val="28"/>
          <w:szCs w:val="28"/>
          <w:rtl/>
        </w:rPr>
        <w:t>يلعب الإعلام الرقمي دورًا متزايد الأهمية في توعية الجمهور بالقضايا الصحية، خاصة مع انتشار الإنترنت ووسائل التواصل الاجتماعي التي أصبحت منصات رئيسية لنشر المعلومات الصحية بشكل سريع وواسع. من منظور نظرية الاستخدامات والإشباعات، يُنظر إلى الجمهور على أنه فاعل نشط يبحث عن إشباع حاجاته المعرفية والاجتماعية والنفسية من خلال الإعلام الرقمي، مما يجعل هذه الوسائل أدوات فعالة لتحقيق التوعية الصحية (طالة ولامية، 2022)</w:t>
      </w:r>
      <w:r w:rsidRPr="0008625B">
        <w:rPr>
          <w:rFonts w:asciiTheme="majorBidi" w:hAnsiTheme="majorBidi" w:cstheme="majorBidi"/>
          <w:sz w:val="28"/>
          <w:szCs w:val="28"/>
        </w:rPr>
        <w:t>.</w:t>
      </w:r>
    </w:p>
    <w:p w14:paraId="0CDB1BD3" w14:textId="77777777" w:rsidR="0008625B" w:rsidRDefault="0008625B" w:rsidP="0008625B">
      <w:pPr>
        <w:spacing w:line="360" w:lineRule="auto"/>
        <w:rPr>
          <w:rFonts w:asciiTheme="majorBidi" w:hAnsiTheme="majorBidi" w:cstheme="majorBidi"/>
          <w:sz w:val="28"/>
          <w:szCs w:val="28"/>
          <w:rtl/>
        </w:rPr>
      </w:pPr>
      <w:r w:rsidRPr="0008625B">
        <w:rPr>
          <w:rFonts w:asciiTheme="majorBidi" w:hAnsiTheme="majorBidi" w:cstheme="majorBidi"/>
          <w:sz w:val="28"/>
          <w:szCs w:val="28"/>
          <w:rtl/>
        </w:rPr>
        <w:t>تُظهر النظرية أن المستخدمين لا يتلقون المعلومات الصحية بشكل سلبي، بل يبحثون عن محتوى يتناسب مع احتياجاتهم الشخصية، مثل المعلومات الدقيقة عن الأمراض، النصائح الوقائية، أو الدعم النفسي والمعنوي. لذلك، تعتمد فاعلية الإعلام الرقمي في التوعية الصحية على مدى قدرة المحتوى على تلبية هذه الإشباعات المتنوعة، مما يزيد من احتمال تأثيره على السلوك الصحي للمستخدمين (حفيظة البراشدية والظفري، 2020)</w:t>
      </w:r>
      <w:r w:rsidRPr="0008625B">
        <w:rPr>
          <w:rFonts w:asciiTheme="majorBidi" w:hAnsiTheme="majorBidi" w:cstheme="majorBidi"/>
          <w:sz w:val="28"/>
          <w:szCs w:val="28"/>
        </w:rPr>
        <w:t>.</w:t>
      </w:r>
    </w:p>
    <w:p w14:paraId="47E77B7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تقدم وسائل الإعلام الرقمية إمكانيات تفاعلية تجعل المستخدم جزءًا من عملية الاتصال، من خلال التعليق، المشاركة، والنقاش، مما يعزز من الشعور بالانتماء والدعم الاجتماعي. هذه التفاعلية تُعتبر من أهم مميزات الإعلام الرقمي التي تجعل التوعية الصحية أكثر شخصية وتأثيرًا، إذ يمكن للمستخدمين تبادل تجاربهم الصحية والدعم النفسي، وهو أمر حيوي للأشخاص المصابين بالأمراض العصبية المزمنة (ليلى علي جمعه، 2021).</w:t>
      </w:r>
    </w:p>
    <w:p w14:paraId="1678750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تتيح منصات الإعلام الرقمي تحديث المحتوى بشكل مستمر، مما يضمن وصول معلومات حديثة وموثوقة إلى الجمهور، ويساعد على بناء ثقة المستخدمين في المصادر الرقمية، وهو عامل مهم لنجاح حملات التوعية الصحية (السعدي وجابر، 2024). إضافة إلى ذلك، تسهل هذه الوسائل الوصول إلى شرائح واسعة ومتنوعة من المجتمع، بما في ذلك الفئات العمرية المختلفة والمناطق الجغرافية المتباينة، وهو ما يعزز من شمولية التوعية</w:t>
      </w:r>
      <w:r w:rsidRPr="00E154C9">
        <w:rPr>
          <w:rFonts w:asciiTheme="majorBidi" w:hAnsiTheme="majorBidi" w:cstheme="majorBidi"/>
          <w:sz w:val="28"/>
          <w:szCs w:val="28"/>
        </w:rPr>
        <w:t>.</w:t>
      </w:r>
    </w:p>
    <w:p w14:paraId="262D42A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منظور نظرية الاستخدامات والإشباعات، تلعب القدرة على تخصيص المحتوى الرقمي دورًا مهمًا في زيادة فاعلية التوعية الصحية، حيث يمكن للمستخدم اختيار المحتوى الذي يلبي احتياجاته الخاصة، سواء من حيث مستوى التعقيد أو الموضوع الصحي، مما يعزز من مستوى التفاعل والالتزام بالمعلومات الصحية (طوالبه وأحمد، 2021)</w:t>
      </w:r>
      <w:r w:rsidRPr="00E154C9">
        <w:rPr>
          <w:rFonts w:asciiTheme="majorBidi" w:hAnsiTheme="majorBidi" w:cstheme="majorBidi"/>
          <w:sz w:val="28"/>
          <w:szCs w:val="28"/>
        </w:rPr>
        <w:t>.</w:t>
      </w:r>
    </w:p>
    <w:p w14:paraId="3162458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تواجه التوعية الصحية عبر الإعلام الرقمي تحديات تتمثل في التحقق من صحة المعلومات وتجنب التضليل، إذ يحتاج المستخدمون إلى مهارات نقدية تمكنهم من تقييم جودة المحتوى، وهو ما يؤكد أهمية توفير مصادر موثوقة وتعزيز الثقافة الرقمية الصحية لدى الجمهور (د. سعيد شاهين علاني وآخرون، 2024)</w:t>
      </w:r>
      <w:r w:rsidRPr="00E154C9">
        <w:rPr>
          <w:rFonts w:asciiTheme="majorBidi" w:hAnsiTheme="majorBidi" w:cstheme="majorBidi"/>
          <w:sz w:val="28"/>
          <w:szCs w:val="28"/>
        </w:rPr>
        <w:t>.</w:t>
      </w:r>
    </w:p>
    <w:p w14:paraId="2213000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تؤكد النظرية أيضًا أن استخدام الإعلام الرقمي للتوعية الصحية يجب أن يراعي تنوع دوافع الجمهور واحتياجاته، بحيث يتم تصميم الرسائل الإعلامية بطريقة تلبي مختلف أنواع الإشباعات، من معرفية وترفيهية واجتماعية ووقائية، لتحقيق أكبر تأثير ممكن على السلوك الصحي (حفيظة البراشدية والظفري، 2020).</w:t>
      </w:r>
    </w:p>
    <w:p w14:paraId="4DF3C84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توضح هذه الرؤية أهمية دمج نظريات التواصل مع التكنولوجيا الرقمية في تطوير استراتيجيات إعلامية صحية متقدمة، تساهم في رفع الوعي حول الأمراض المزمنة، وتحفز على تبني سلوكيات صحية مستدامة في المجتمع السعودي (ليلى علي جمعه، 2021)</w:t>
      </w:r>
      <w:r w:rsidRPr="00E154C9">
        <w:rPr>
          <w:rFonts w:asciiTheme="majorBidi" w:hAnsiTheme="majorBidi" w:cstheme="majorBidi"/>
          <w:sz w:val="28"/>
          <w:szCs w:val="28"/>
        </w:rPr>
        <w:t>.</w:t>
      </w:r>
    </w:p>
    <w:p w14:paraId="1C583D0B"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التفاعل بين خصائص الإعلام الرقمي وإشباعات الجمهور</w:t>
      </w:r>
    </w:p>
    <w:p w14:paraId="002A8745"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يمتاز الإعلام الرقمي بخصائص مميزة تجعله مختلفًا عن الوسائط التقليدية، ويتجلى ذلك في التفاعل الحي بين هذه الخصائص وإشباعات الجمهور التي يسعى لتحقيقها من خلال استخدام هذه الوسائل. من منظور نظرية الاستخدامات والإشباعات، يُعتبر هذا التفاعل أساسًا لفهم كيف يستخدم الأفراد الإعلام الرقمي بطريقة تلبي احتياجاتهم المتنوعة وتحقق أهدافهم الشخصية والاجتماعية (طالة ولامية، 2022)</w:t>
      </w:r>
      <w:r w:rsidRPr="00E154C9">
        <w:rPr>
          <w:rFonts w:asciiTheme="majorBidi" w:hAnsiTheme="majorBidi" w:cstheme="majorBidi"/>
          <w:sz w:val="28"/>
          <w:szCs w:val="28"/>
        </w:rPr>
        <w:t>.</w:t>
      </w:r>
    </w:p>
    <w:p w14:paraId="7A94255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أحد أبرز خصائص الإعلام الرقمي هي التفاعلية، التي تسمح للمستخدمين بالمشاركة الفعالة في إنتاج المحتوى، والتعليق، والمشاركة في النقاشات. هذه الخاصية تلبي الإشباعات الاجتماعية، حيث ينسجم الأفراد مع مجتمعات افتراضية يشاركون فيها تجاربهم الصحية والشخصية، مما يعزز الشعور بالدعم والانتماء خاصة لمن يعانون من أمراض مزمنة (حفيظة البراشدية والظفري، 2020)</w:t>
      </w:r>
      <w:r w:rsidRPr="00E154C9">
        <w:rPr>
          <w:rFonts w:asciiTheme="majorBidi" w:hAnsiTheme="majorBidi" w:cstheme="majorBidi"/>
          <w:sz w:val="28"/>
          <w:szCs w:val="28"/>
        </w:rPr>
        <w:t>.</w:t>
      </w:r>
    </w:p>
    <w:p w14:paraId="2069CBE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تتميز الوسائط الرقمية كذلك بالسرعة واللحظية، حيث يمكن للمستخدمين الحصول على المعلومات بشكل فوري، وهو ما يُعزز الإشباعات المعرفية ويزيد من وعيهم الصحي. في مجال التوعية بالأمراض العصبية </w:t>
      </w:r>
      <w:r w:rsidRPr="00E154C9">
        <w:rPr>
          <w:rFonts w:asciiTheme="majorBidi" w:hAnsiTheme="majorBidi" w:cstheme="majorBidi"/>
          <w:sz w:val="28"/>
          <w:szCs w:val="28"/>
          <w:rtl/>
        </w:rPr>
        <w:lastRenderedPageBreak/>
        <w:t>المزمنة، تتيح هذه السرعة متابعة التطورات الطبية الحديثة، مما يدعم اتخاذ قرارات صحية مبنية على المعرفة (ليلى علي جمعه، 2021).</w:t>
      </w:r>
    </w:p>
    <w:p w14:paraId="15BF6B4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تسمح خاصية التخصيص والتنوع في المحتوى الرقمي للأفراد باختيار ما يتناسب مع اهتماماتهم ومستويات فهمهم المختلفة، مما يلبي إشباعات معرفية وترفيهية متنوعة. هذا التخصيص يزيد من رضا المستخدمين ويشجعهم على التفاعل المستمر مع المحتوى الصحي (السعدي وجابر، 2024)</w:t>
      </w:r>
      <w:r w:rsidRPr="00E154C9">
        <w:rPr>
          <w:rFonts w:asciiTheme="majorBidi" w:hAnsiTheme="majorBidi" w:cstheme="majorBidi"/>
          <w:sz w:val="28"/>
          <w:szCs w:val="28"/>
        </w:rPr>
        <w:t>.</w:t>
      </w:r>
    </w:p>
    <w:p w14:paraId="6B826165"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ذلك، توفر وسائل الإعلام الرقمية سهولة الوصول والاستخدام في أي وقت ومن أي مكان، مما يساهم في إشباع حاجات الوقاية، حيث يمكن للمستخدمين البحث عن المعلومات الصحية في الوقت والمكان المناسبين لهم، ما يعزز الالتزام بالسلوكيات الصحية الوقائية (طوالبه وأحمد، 2021)</w:t>
      </w:r>
      <w:r w:rsidRPr="00E154C9">
        <w:rPr>
          <w:rFonts w:asciiTheme="majorBidi" w:hAnsiTheme="majorBidi" w:cstheme="majorBidi"/>
          <w:sz w:val="28"/>
          <w:szCs w:val="28"/>
        </w:rPr>
        <w:t>.</w:t>
      </w:r>
    </w:p>
    <w:p w14:paraId="03DF562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مع ذلك، تترافق هذه الخصائص مع تحديات مثل غزارة المعلومات وصعوبة التمييز بين المحتوى الصحيح والمضلل، مما يتطلب من المستخدمين تطوير مهارات نقدية عالية وإشباعات وقائية لحماية أنفسهم من التأثيرات السلبية (د. سعيد شاهين علاني وآخرون، 2024)</w:t>
      </w:r>
      <w:r w:rsidRPr="00E154C9">
        <w:rPr>
          <w:rFonts w:asciiTheme="majorBidi" w:hAnsiTheme="majorBidi" w:cstheme="majorBidi"/>
          <w:sz w:val="28"/>
          <w:szCs w:val="28"/>
        </w:rPr>
        <w:t>.</w:t>
      </w:r>
    </w:p>
    <w:p w14:paraId="29F8F6C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بناءً على ذلك، يُعتبر التفاعل بين خصائص الإعلام الرقمي وإشباعات الجمهور محوريًا في تصميم استراتيجيات إعلامية ناجحة، خاصة في مجال التوعية الصحية، حيث يساعد فهم هذا التفاعل على تقديم محتوى يلبي دوافع واحتياجات المستخدمين، مما يزيد من فعالية التوعية ويعزز مشاركة الجمهور (حفيظة البراشدية والظفري، 2020).</w:t>
      </w:r>
    </w:p>
    <w:p w14:paraId="4F1F02C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يعكس هذا التفاعل الديناميكي قدرة الإعلام الرقمي على التكيف مع احتياجات الجمهور المختلفة، ودوره في دعم أهداف التوعية الصحية في المجتمعات المعاصرة، بما فيها المجتمع السعودي (ليلى علي جمعه، 2021)</w:t>
      </w:r>
      <w:r w:rsidRPr="00E154C9">
        <w:rPr>
          <w:rFonts w:asciiTheme="majorBidi" w:hAnsiTheme="majorBidi" w:cstheme="majorBidi"/>
          <w:sz w:val="28"/>
          <w:szCs w:val="28"/>
        </w:rPr>
        <w:t>.</w:t>
      </w:r>
    </w:p>
    <w:p w14:paraId="73B9B29A"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نقد وتحليل فاعلية النظرية في سياق التوعية بالأمراض العصبية</w:t>
      </w:r>
    </w:p>
    <w:p w14:paraId="3605ADE4"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نظرية الاستخدامات والإشباعات إطارًا مهمًا لفهم سلوك الجمهور تجاه وسائل الإعلام، لكن عند تطبيقها في سياق التوعية بالأمراض العصبية المزمنة تظهر عدة نقاط قوة وضعف تستدعي النقد والتحليل لتقييم مدى فاعليتها. من بين نقاط القوة، توفر النظرية منظورًا يركز على دور الجمهور كفاعل نشط يختار وسائل الإعلام التي تلبي حاجاته، مما يعزز تصميم حملات توعية صحية موجهة تلبي الاحتياجات المعرفية والاجتماعية والنفسية للمستخدمين (طالة ولامية، 2022)</w:t>
      </w:r>
      <w:r w:rsidRPr="00E154C9">
        <w:rPr>
          <w:rFonts w:asciiTheme="majorBidi" w:hAnsiTheme="majorBidi" w:cstheme="majorBidi"/>
          <w:sz w:val="28"/>
          <w:szCs w:val="28"/>
        </w:rPr>
        <w:t>.</w:t>
      </w:r>
    </w:p>
    <w:p w14:paraId="0922244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ومع ذلك، تواجه النظرية تحديات في تفسير مدى تأثير الإعلام الرقمي على التغيرات الفعلية في السلوك الصحي، إذ تركز بشكل أساسي على الدوافع والإشباعات دون معالجة شاملة للعوامل النفسية أو الاجتماعية الأخرى التي قد تعوق تبني السلوكيات الصحية (حفيظة البراشدية والظفري، 2020). بالإضافة إلى ذلك، قد تتجاهل النظرية الفروقات الثقافية والاجتماعية العميقة التي تؤثر في كيفية استقبال الرسائل الصحية، وهو أمر مهم جدًا في المجتمع السعودي ذي الخصائص الثقافية والاجتماعية الخاصة (ليلى علي جمعه، 2021).</w:t>
      </w:r>
    </w:p>
    <w:p w14:paraId="7DD6A39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افتراض نشاط الجمهور ووعيه الكامل باحتياجاته قد يكون مبسطًا، فبعض الفئات قد تستخدم وسائل الإعلام الرقمية بشكل عشوائي أو لأسباب غير واعية، مما يقلل من دقة التنبؤات التي تقدمها النظرية (السعدي وجابر، 2024). كذلك، يواجه الإعلام الرقمي تحديات في توفير محتوى صحي موثوق وسط الكم الهائل من المعلومات المتضاربة، مما قد يضعف من تأثير التوعية ويزيد من احتمال انتشار المعلومات المغلوطة (طوالبه وأحمد، 2021)</w:t>
      </w:r>
      <w:r w:rsidRPr="00E154C9">
        <w:rPr>
          <w:rFonts w:asciiTheme="majorBidi" w:hAnsiTheme="majorBidi" w:cstheme="majorBidi"/>
          <w:sz w:val="28"/>
          <w:szCs w:val="28"/>
        </w:rPr>
        <w:t>.</w:t>
      </w:r>
    </w:p>
    <w:p w14:paraId="2E4FA67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ناحية أخرى، توفر النظرية أدوات لفهم التنوع في دوافع الجمهور، مما يمكن القائمين على حملات التوعية من تخصيص الرسائل لتناسب شرائح مختلفة، مثل المرضى، أفراد العائلة، أو المهتمين بالصحة العامة. هذا التخصيص يعزز فاعلية الرسائل ويزيد من فرص التغيير السلوكي الإيجابي (د. سعيد شاهين علاني وآخرون، 2024)</w:t>
      </w:r>
      <w:r w:rsidRPr="00E154C9">
        <w:rPr>
          <w:rFonts w:asciiTheme="majorBidi" w:hAnsiTheme="majorBidi" w:cstheme="majorBidi"/>
          <w:sz w:val="28"/>
          <w:szCs w:val="28"/>
        </w:rPr>
        <w:t>.</w:t>
      </w:r>
    </w:p>
    <w:p w14:paraId="40B2C4D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تظل نظرية الاستخدامات والإشباعات ذات قيمة كبيرة في إطار تصميم الاستراتيجيات الإعلامية الصحية الرقمية، لكنها تحتاج إلى تكامل مع نظريات أخرى تعالج الجوانب النفسية والثقافية بشكل أعمق، لضمان تحقيق تأثير فعلي ومستدام في التوعية بالأمراض العصبية المزمنة (حفيظة البراشدية والظفري، 2020).</w:t>
      </w:r>
    </w:p>
    <w:p w14:paraId="2535D46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b/>
          <w:bCs/>
          <w:sz w:val="28"/>
          <w:szCs w:val="28"/>
          <w:rtl/>
        </w:rPr>
        <w:t xml:space="preserve">ثانيا: نظرية الثراء الإعلامي </w:t>
      </w:r>
    </w:p>
    <w:p w14:paraId="1D234A84" w14:textId="77777777" w:rsidR="0008625B" w:rsidRPr="00E154C9" w:rsidRDefault="0008625B" w:rsidP="0008625B">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مفهوم نظرية الثراء الإعلامي وأساسها النظري</w:t>
      </w:r>
    </w:p>
    <w:p w14:paraId="6DEE7986"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تُعتبر نظرية الثراء الإعلامي</w:t>
      </w:r>
      <w:r w:rsidRPr="00E154C9">
        <w:rPr>
          <w:rFonts w:asciiTheme="majorBidi" w:hAnsiTheme="majorBidi" w:cstheme="majorBidi"/>
          <w:sz w:val="28"/>
          <w:szCs w:val="28"/>
        </w:rPr>
        <w:t xml:space="preserve"> (Media Richness Theory) </w:t>
      </w:r>
      <w:r w:rsidRPr="00E154C9">
        <w:rPr>
          <w:rFonts w:asciiTheme="majorBidi" w:hAnsiTheme="majorBidi" w:cstheme="majorBidi"/>
          <w:sz w:val="28"/>
          <w:szCs w:val="28"/>
          <w:rtl/>
        </w:rPr>
        <w:t>من النظريات الأساسية في مجال الاتصال، حيث تهدف إلى تفسير كيفية اختيار الأفراد للوسائط الإعلامية المناسبة لنقل الرسائل بناءً على قدرة الوسيلة على نقل المعلومات بشكل فعال. نشأت هذه النظرية في ثمانينيات القرن العشرين، وكان أبرز من وضعها الباحثان ريتشارد دايفيس وريتشارد ليري في عام 1984، حيث اقترحا أن وسائل الاتصال تختلف في درجة "الثراء" التي تقدمها، والتي تعكس قدرتها على توصيل المعلومات وتفسيرها بفعالية (رضا عبد المقصود مصطفى وأماني، 2020)</w:t>
      </w:r>
      <w:r w:rsidRPr="00E154C9">
        <w:rPr>
          <w:rFonts w:asciiTheme="majorBidi" w:hAnsiTheme="majorBidi" w:cstheme="majorBidi"/>
          <w:sz w:val="28"/>
          <w:szCs w:val="28"/>
        </w:rPr>
        <w:t>.</w:t>
      </w:r>
    </w:p>
    <w:p w14:paraId="70B9062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يرتكز مفهوم الثراء الإعلامي على فكرة أن الوسائط الإعلامية تختلف في مدى قدرتها على توصيل المعلومات بوضوح وسرعة، وتوفير ردود فعل فورية، وإمكانية استخدام إشارات متعددة مثل اللغة، الصوت، الصور، والحركة. الوسائط التي تمتلك قدرة أكبر على هذه الجوانب تُعتبر أكثر "ثراءً"، مثل التواصل وجهًا لوجه أو المحادثات الهاتفية، بينما الوسائط الأقل ثراءً تشمل الرسائل النصية أو البريد الإلكتروني (رضا عبد المقصود مصطفى وأماني، 2020)</w:t>
      </w:r>
      <w:r w:rsidRPr="00E154C9">
        <w:rPr>
          <w:rFonts w:asciiTheme="majorBidi" w:hAnsiTheme="majorBidi" w:cstheme="majorBidi"/>
          <w:sz w:val="28"/>
          <w:szCs w:val="28"/>
        </w:rPr>
        <w:t>.</w:t>
      </w:r>
    </w:p>
    <w:p w14:paraId="052D3B5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تقوم النظرية على أساس أن الأفراد يميلون إلى اختيار الوسائط التي تتناسب مع طبيعة الرسالة وحاجتهم لنقل المعلومات بدقة، خاصة في الحالات التي تتطلب وضوحًا عالياً أو معالجة معلومات معقدة أو غامضة. فكلما كانت الرسالة معقدة أو تحتوي على محتوى حساس أو غير واضح، يلجأ الأفراد إلى وسائط أكثر ثراءً لتقليل سوء الفهم وزيادة الفعالية في التواصل (إبراهيم وليد العشرى والبندارى، 2022)</w:t>
      </w:r>
      <w:r w:rsidRPr="00E154C9">
        <w:rPr>
          <w:rFonts w:asciiTheme="majorBidi" w:hAnsiTheme="majorBidi" w:cstheme="majorBidi"/>
          <w:sz w:val="28"/>
          <w:szCs w:val="28"/>
        </w:rPr>
        <w:t>.</w:t>
      </w:r>
    </w:p>
    <w:p w14:paraId="33495ABC"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سياق الإعلام الرقمي والتوعية الصحية، تقدم نظرية الثراء الإعلامي إطارًا هامًا لفهم كيفية اختيار الوسائل الرقمية المناسبة لنقل رسائل التوعية حول الأمراض العصبية المزمنة. على سبيل المثال، قد تكون مقاطع الفيديو التوضيحية أو المحادثات الحية مع مختصين أكثر ثراءً من الرسائل النصية أو المنشورات التقليدية، لأنها توفر تواصلًا بصريًا وسمعيًا متزامنًا يُسهم في تعزيز فهم الرسالة (المنتصر ومنصور، 2021)</w:t>
      </w:r>
      <w:r w:rsidRPr="00E154C9">
        <w:rPr>
          <w:rFonts w:asciiTheme="majorBidi" w:hAnsiTheme="majorBidi" w:cstheme="majorBidi"/>
          <w:sz w:val="28"/>
          <w:szCs w:val="28"/>
        </w:rPr>
        <w:t>.</w:t>
      </w:r>
    </w:p>
    <w:p w14:paraId="202A9CA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تساهم النظرية في تصميم حملات إعلامية صحية توازن بين ثراء الوسائط وكلفة إنتاجها، مع مراعاة الفعالية في إيصال المعلومات وتحقيق التفاعل المطلوب من الجمهور. في السياق السعودي، حيث تتنوع الفئات المستهدفة من حيث العمر والثقافة ومستوى التعليم، يساعد تطبيق النظرية في اختيار الوسائل الإعلامية التي تتناسب مع خصائص الجمهور وتلبي احتياجاتهم بشكل أفضل (حسنين وإسراء عاطف وآخرون، 2024)</w:t>
      </w:r>
      <w:r w:rsidRPr="00E154C9">
        <w:rPr>
          <w:rFonts w:asciiTheme="majorBidi" w:hAnsiTheme="majorBidi" w:cstheme="majorBidi"/>
          <w:sz w:val="28"/>
          <w:szCs w:val="28"/>
        </w:rPr>
        <w:t>.</w:t>
      </w:r>
    </w:p>
    <w:p w14:paraId="1DC7F7D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يُلاحظ أيضًا أن تطور التكنولوجيا الرقمية قد أثر على مفهوم الثراء الإعلامي، إذ أضافت الوسائط الجديدة مثل الواقع الافتراضي والذكاء الاصطناعي أبعادًا جديدة تعزز من ثراء وسائل الاتصال، مما يفتح آفاقًا جديدة لتصميم محتوى توعوي صحي أكثر فاعلية (عبد الناصر، 2020)</w:t>
      </w:r>
      <w:r w:rsidRPr="00E154C9">
        <w:rPr>
          <w:rFonts w:asciiTheme="majorBidi" w:hAnsiTheme="majorBidi" w:cstheme="majorBidi"/>
          <w:sz w:val="28"/>
          <w:szCs w:val="28"/>
        </w:rPr>
        <w:t>.</w:t>
      </w:r>
    </w:p>
    <w:p w14:paraId="1B7C297C"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بالتالي، يُعد فهم مفهوم الثراء الإعلامي وأساسه النظري ضروريًا للباحثين والممارسين في مجال الإعلام الصحي، حيث يتيح لهم اختيار الوسائل الرقمية الملائمة التي تعزز من فاعلية التوعية وتضمن وصول الرسائل الصحية بشكل واضح ومؤثر إلى الجمهور المستهدف</w:t>
      </w:r>
      <w:r w:rsidRPr="00E154C9">
        <w:rPr>
          <w:rFonts w:asciiTheme="majorBidi" w:hAnsiTheme="majorBidi" w:cstheme="majorBidi"/>
          <w:sz w:val="28"/>
          <w:szCs w:val="28"/>
        </w:rPr>
        <w:t>.</w:t>
      </w:r>
    </w:p>
    <w:p w14:paraId="562EF9FE"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lastRenderedPageBreak/>
        <w:t>مؤشرات الثراء الإعلامي في الوسائط الرقمية</w:t>
      </w:r>
    </w:p>
    <w:p w14:paraId="633974D7"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تمثل مؤشرات الثراء الإعلامي المعايير التي تحدد مدى قدرة الوسائط الرقمية على نقل الرسائل بفعالية وكفاءة، وتعد هذه المؤشرات أساسية لفهم كيفية اختيار الوسائل الأنسب لتوصيل المحتوى، خاصة في مجالات حساسة مثل التوعية الصحية بالأمراض العصبية المزمنة. ترتبط هذه المؤشرات بخصائص الوسائط التي تعزز من قدرتها على تحقيق تواصل غني ومتعدد الأبعاد يلبي حاجات المستخدمين (رضا عبد المقصود مصطفى وأماني، 2020)</w:t>
      </w:r>
      <w:r w:rsidRPr="00E154C9">
        <w:rPr>
          <w:rFonts w:asciiTheme="majorBidi" w:hAnsiTheme="majorBidi" w:cstheme="majorBidi"/>
          <w:sz w:val="28"/>
          <w:szCs w:val="28"/>
        </w:rPr>
        <w:t>.</w:t>
      </w:r>
    </w:p>
    <w:p w14:paraId="2E4447B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أول مؤشر هو قدرة الوسيلة على نقل المعلومات بشكل متزامن، حيث تسمح الوسائط التي توفر تواصلًا في الوقت الحقيقي مثل المحادثات الفيديوية والبث المباشر بالتفاعل الفوري بين المرسل والمستقبل، مما يسهم في توضيح الرسائل الصحية وتقليل سوء الفهم (إبراهيم وليد العشرى والبندارى، 2022). هذه اللحظية تتيح للمستخدمين طرح الأسئلة والحصول على ردود فورية، وهو أمر مهم عند مناقشة أمراض معقدة كالاعتلالات العصبية</w:t>
      </w:r>
      <w:r w:rsidRPr="00E154C9">
        <w:rPr>
          <w:rFonts w:asciiTheme="majorBidi" w:hAnsiTheme="majorBidi" w:cstheme="majorBidi"/>
          <w:sz w:val="28"/>
          <w:szCs w:val="28"/>
        </w:rPr>
        <w:t>.</w:t>
      </w:r>
    </w:p>
    <w:p w14:paraId="0C7F97F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ثانيًا، تُعتبر القدرة على استخدام القنوات المتعددة من أهم مؤشرات الثراء، حيث تدمج الوسائط الرقمية الصوت والصورة والنص والحركة لتوصيل الرسالة بشكل شامل. مثلاً، الفيديوهات التعليمية التي تجمع بين الشرح الصوتي، الرسوم المتحركة، والنصوص المكتوبة تُعد أكثر ثراءً من النصوص أو الصور فقط (المنتصر ومنصور، 2021)</w:t>
      </w:r>
      <w:r w:rsidRPr="00E154C9">
        <w:rPr>
          <w:rFonts w:asciiTheme="majorBidi" w:hAnsiTheme="majorBidi" w:cstheme="majorBidi"/>
          <w:sz w:val="28"/>
          <w:szCs w:val="28"/>
        </w:rPr>
        <w:t>.</w:t>
      </w:r>
    </w:p>
    <w:p w14:paraId="15F499F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ثالثًا، توفر الوسائط الرقمية إمكانية التفاعل العالي، التي تشمل التعليقات، الإعجابات، المشاركة، والاستطلاعات، مما يعزز من مشاركة الجمهور ويخلق بيئة تواصل ديناميكية. هذا التفاعل يساعد على تعزيز الإشباعات الاجتماعية ويزيد من التزام المستخدمين بالمحتوى الصحي (حسنين وإسراء عاطف وآخرون، 2024)</w:t>
      </w:r>
      <w:r w:rsidRPr="00E154C9">
        <w:rPr>
          <w:rFonts w:asciiTheme="majorBidi" w:hAnsiTheme="majorBidi" w:cstheme="majorBidi"/>
          <w:sz w:val="28"/>
          <w:szCs w:val="28"/>
        </w:rPr>
        <w:t>.</w:t>
      </w:r>
    </w:p>
    <w:p w14:paraId="63C3996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رابعًا، تُعد القدرة على التخصيص والتكيف مع المستخدم مؤشرًا مهمًا، حيث تتيح بعض الوسائط الرقمية تخصيص المحتوى وفقًا لاحتياجات واهتمامات كل مستخدم، مثل التطبيقات الصحية التي تقدم نصائح مخصصة بناءً على حالة المستخدم الصحية (عبد الناصر، 2020). هذا التخصيص يزيد من فاعلية الرسائل ويحفز المستخدمين على الالتزام بالتعليمات الصحية</w:t>
      </w:r>
      <w:r w:rsidRPr="00E154C9">
        <w:rPr>
          <w:rFonts w:asciiTheme="majorBidi" w:hAnsiTheme="majorBidi" w:cstheme="majorBidi"/>
          <w:sz w:val="28"/>
          <w:szCs w:val="28"/>
        </w:rPr>
        <w:t>.</w:t>
      </w:r>
    </w:p>
    <w:p w14:paraId="61E019B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خامسًا، مستوى الوضوح والدقة في نقل المعلومات يمثل مؤشرًا حيويًا، إذ يجب أن تكون الوسائط الرقمية قادرة على تقديم معلومات دقيقة وواضحة لتجنب الالتباس، خصوصًا في المواضيع الطبية التي تتطلب فهمًا دقيقًا (رضا عبد المقصود مصطفى وأماني، 2020)</w:t>
      </w:r>
      <w:r w:rsidRPr="00E154C9">
        <w:rPr>
          <w:rFonts w:asciiTheme="majorBidi" w:hAnsiTheme="majorBidi" w:cstheme="majorBidi"/>
          <w:sz w:val="28"/>
          <w:szCs w:val="28"/>
        </w:rPr>
        <w:t>.</w:t>
      </w:r>
    </w:p>
    <w:p w14:paraId="6D478ED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سادسًا، توافر وسائل التغذية الراجعة</w:t>
      </w:r>
      <w:r w:rsidRPr="00E154C9">
        <w:rPr>
          <w:rFonts w:asciiTheme="majorBidi" w:hAnsiTheme="majorBidi" w:cstheme="majorBidi"/>
          <w:sz w:val="28"/>
          <w:szCs w:val="28"/>
        </w:rPr>
        <w:t xml:space="preserve"> (Feedback) </w:t>
      </w:r>
      <w:r w:rsidRPr="00E154C9">
        <w:rPr>
          <w:rFonts w:asciiTheme="majorBidi" w:hAnsiTheme="majorBidi" w:cstheme="majorBidi"/>
          <w:sz w:val="28"/>
          <w:szCs w:val="28"/>
          <w:rtl/>
        </w:rPr>
        <w:t>يعزز من ثراء الوسائط، حيث يمكن للمستخدمين التعبير عن آرائهم، تقديم الأسئلة، أو مشاركة تجاربهم، مما يجعل التواصل أكثر حيوية وفعالية (إبراهيم وليد العشرى والبندارى، 2022)</w:t>
      </w:r>
      <w:r w:rsidRPr="00E154C9">
        <w:rPr>
          <w:rFonts w:asciiTheme="majorBidi" w:hAnsiTheme="majorBidi" w:cstheme="majorBidi"/>
          <w:sz w:val="28"/>
          <w:szCs w:val="28"/>
        </w:rPr>
        <w:t>.</w:t>
      </w:r>
    </w:p>
    <w:p w14:paraId="6D40D17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توازن مؤشرات الثراء الإعلامي بين هذه الخصائص يحدد مدى ملاءمة الوسائط الرقمية للاستخدام في حملات التوعية الصحية، ويُسهم في تحسين جودة التواصل مع الجمهور وزيادة تأثير الرسائل الصحية في المجتمع السعودي (المنتصر ومنصور، 2021)</w:t>
      </w:r>
      <w:r w:rsidRPr="00E154C9">
        <w:rPr>
          <w:rFonts w:asciiTheme="majorBidi" w:hAnsiTheme="majorBidi" w:cstheme="majorBidi"/>
          <w:sz w:val="28"/>
          <w:szCs w:val="28"/>
        </w:rPr>
        <w:t>.</w:t>
      </w:r>
    </w:p>
    <w:p w14:paraId="6AB15F08"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تطبيق نظرية الثراء الإعلامي على التوعية بالأمراض العصبية المزمنة</w:t>
      </w:r>
    </w:p>
    <w:p w14:paraId="31979FC8"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تُعتبر نظرية الثراء الإعلامي إطارًا مهمًا لتحليل اختيار الوسائط الأنسب في نقل المعلومات الصحية، لا سيما في مجال التوعية بالأمراض العصبية المزمنة التي تتطلب توصيل رسائل دقيقة ومعقدة لجمهور متنوع. تعتمد هذه النظرية على مبدأ أن الوسائل الإعلامية تختلف في مدى "ثرائها" وقدرتها على نقل المحتوى بفعالية، ويجب اختيار الوسيلة التي تتناسب مع طبيعة الرسالة وحاجات المتلقين (رضا عبد المقصود مصطفى وأماني، 2020)</w:t>
      </w:r>
      <w:r w:rsidRPr="00E154C9">
        <w:rPr>
          <w:rFonts w:asciiTheme="majorBidi" w:hAnsiTheme="majorBidi" w:cstheme="majorBidi"/>
          <w:sz w:val="28"/>
          <w:szCs w:val="28"/>
        </w:rPr>
        <w:t>.</w:t>
      </w:r>
    </w:p>
    <w:p w14:paraId="20D98863"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سياق التوعية بالأمراض العصبية المزمنة في المجتمع السعودي، تستفيد الحملات الصحية الرقمية من اختيار وسائط غنية تمكّن من توصيل المعلومات المعقدة بشكل واضح وفعال. فعلى سبيل المثال، تستخدم مقاطع الفيديو التفاعلية والبث الحي عبر منصات التواصل الاجتماعي كالفيديوهات التوضيحية، حيث توفر هذه الوسائط تواصلًا بصريًا وسمعيًا متزامنًا، مما يسهل فهم أعراض المرض، طرق الوقاية، والعلاجات المتاحة (إبراهيم وليد العشرى والبندارى، 2022)</w:t>
      </w:r>
      <w:r w:rsidRPr="00E154C9">
        <w:rPr>
          <w:rFonts w:asciiTheme="majorBidi" w:hAnsiTheme="majorBidi" w:cstheme="majorBidi"/>
          <w:sz w:val="28"/>
          <w:szCs w:val="28"/>
        </w:rPr>
        <w:t>.</w:t>
      </w:r>
    </w:p>
    <w:p w14:paraId="5451F17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يمكن توظيف الوسائط التي تتيح التفاعل الفوري، مثل جلسات الأسئلة والأجوبة عبر الإنترنت، لتعزيز مشاركة الجمهور وتوفير ردود فعل مباشرة، مما يرفع من ثقة المتلقين في المعلومات الصحية ويزيد من التزامهم بالسلوكيات الوقائية (المنتصر ومنصور، 2021). هذا التفاعل يخلق بيئة إعلامية داعمة للمريض والأسرة على حد سواء</w:t>
      </w:r>
      <w:r w:rsidRPr="00E154C9">
        <w:rPr>
          <w:rFonts w:asciiTheme="majorBidi" w:hAnsiTheme="majorBidi" w:cstheme="majorBidi"/>
          <w:sz w:val="28"/>
          <w:szCs w:val="28"/>
        </w:rPr>
        <w:t>.</w:t>
      </w:r>
    </w:p>
    <w:p w14:paraId="66A84DB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تُبرز النظرية أهمية تخصيص المحتوى بما يتناسب مع احتياجات الفئات المستهدفة، حيث يمكن استخدام التطبيقات الصحية الرقمية التي تقدم نصائح ومتابعة مخصصة لكل مستخدم بناءً على حالته الصحية، مما يعزز من فاعلية التوعية ويحفز على الالتزام بالعلاج (حسنين وإسراء عاطف وآخرون، 2024)</w:t>
      </w:r>
      <w:r w:rsidRPr="00E154C9">
        <w:rPr>
          <w:rFonts w:asciiTheme="majorBidi" w:hAnsiTheme="majorBidi" w:cstheme="majorBidi"/>
          <w:sz w:val="28"/>
          <w:szCs w:val="28"/>
        </w:rPr>
        <w:t>.</w:t>
      </w:r>
    </w:p>
    <w:p w14:paraId="61BA8B9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يشير التطبيق العملي للنظرية إلى ضرورة موازنة ثراء الوسيلة مع تكلفة إنتاجها ومدى وصولها للجمهور، حيث قد تكون الوسائط الأكثر ثراءً مكلفة وتتطلب بنية تقنية متقدمة، مما يستدعي تبني استراتيجيات متكاملة تجمع بين الوسائط المتنوعة لضمان شمولية التوعية (عبد الناصر، 2020)</w:t>
      </w:r>
      <w:r w:rsidRPr="00E154C9">
        <w:rPr>
          <w:rFonts w:asciiTheme="majorBidi" w:hAnsiTheme="majorBidi" w:cstheme="majorBidi"/>
          <w:sz w:val="28"/>
          <w:szCs w:val="28"/>
        </w:rPr>
        <w:t>.</w:t>
      </w:r>
    </w:p>
    <w:p w14:paraId="4C8A3AC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يشكل تطبيق نظرية الثراء الإعلامي على التوعية بالأمراض العصبية المزمنة أداة فعالة لتصميم حملات إعلامية رقمية تلبي حاجات الجمهور المتنوعة، وتحقق فهمًا أعمق للرسائل الصحية، مما يساهم في تحسين مستوى الوعي والصحة العامة في المجتمع السعودي (ليلى علي جمعه، 2021)</w:t>
      </w:r>
      <w:r w:rsidRPr="00E154C9">
        <w:rPr>
          <w:rFonts w:asciiTheme="majorBidi" w:hAnsiTheme="majorBidi" w:cstheme="majorBidi"/>
          <w:sz w:val="28"/>
          <w:szCs w:val="28"/>
        </w:rPr>
        <w:t>.</w:t>
      </w:r>
    </w:p>
    <w:p w14:paraId="6DFEE2F3"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مدى توافق المنصات الرقمية في السعودية مع معايير الثراء الإعلامي</w:t>
      </w:r>
    </w:p>
    <w:p w14:paraId="7D3E1B32"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شهدت المملكة العربية السعودية تطورًا كبيرًا في البنية التحتية الرقمية وانتشار منصات الإعلام الرقمي، مما جعلها بيئة خصبة لتطبيق معايير نظرية الثراء الإعلامي في مجالات متعددة، خاصة التوعية الصحية بالأمراض العصبية المزمنة. يعكس هذا التطور مدى توافق المنصات الرقمية السعودية مع مؤشرات الثراء الإعلامي التي تشمل التفاعلية، التخصيص، تعدد القنوات، والقدرة على نقل المعلومات بوضوح ودقة (المنتصر ومنصور، 2021)</w:t>
      </w:r>
      <w:r w:rsidRPr="00E154C9">
        <w:rPr>
          <w:rFonts w:asciiTheme="majorBidi" w:hAnsiTheme="majorBidi" w:cstheme="majorBidi"/>
          <w:sz w:val="28"/>
          <w:szCs w:val="28"/>
        </w:rPr>
        <w:t>.</w:t>
      </w:r>
    </w:p>
    <w:p w14:paraId="52A65036"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منصات التواصل الاجتماعي مثل تويتر، إنستغرام، ويوتيوب من أكثر الوسائل الرقمية انتشارًا في السعودية، وتمتاز هذه المنصات بقدرتها العالية على توفير محتوى متنوع يجمع بين النص، الصورة، الفيديو، والصوت، مما يعزز من ثراء الوسائط المقدمة للمستخدمين. وتوفر هذه المنصات خاصية التفاعل الفوري عبر التعليقات والمشاركات، مما يلبي إشباعات الجمهور الاجتماعية ويعزز من مشاركتهم في حملات التوعية الصحية (حسنين وإسراء عاطف وآخرون، 2024)</w:t>
      </w:r>
      <w:r w:rsidRPr="00E154C9">
        <w:rPr>
          <w:rFonts w:asciiTheme="majorBidi" w:hAnsiTheme="majorBidi" w:cstheme="majorBidi"/>
          <w:sz w:val="28"/>
          <w:szCs w:val="28"/>
        </w:rPr>
        <w:t>.</w:t>
      </w:r>
    </w:p>
    <w:p w14:paraId="51601BF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تدعم بعض المنصات الرقمية في السعودية استخدام تقنيات متقدمة مثل البث المباشر والرسائل التفاعلية، والتي تعتبر مؤشرات مهمة في الثراء الإعلامي لأنها تسمح بالتواصل الفوري وتبادل المعلومات بفعالية، وهو أمر حيوي في نقل رسائل توعية دقيقة تتعلق بالأمراض العصبية المزمنة (إبراهيم وليد العشرى والبندارى، 2022)</w:t>
      </w:r>
      <w:r w:rsidRPr="00E154C9">
        <w:rPr>
          <w:rFonts w:asciiTheme="majorBidi" w:hAnsiTheme="majorBidi" w:cstheme="majorBidi"/>
          <w:sz w:val="28"/>
          <w:szCs w:val="28"/>
        </w:rPr>
        <w:t>.</w:t>
      </w:r>
    </w:p>
    <w:p w14:paraId="6F1E496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تتميز بعض التطبيقات الصحية الرقمية السعودية أيضًا بإمكانية تخصيص المحتوى بناءً على بيانات المستخدم الصحية، مما يتيح تقديم نصائح وتوجيهات مخصصة تتناسب مع حالة كل فرد، وهو جانب مهم من معايير الثراء الإعلامي يعزز من فعالية التوعية ويحفز الالتزام بالعلاج (عبد الناصر، 2020)</w:t>
      </w:r>
      <w:r w:rsidRPr="00E154C9">
        <w:rPr>
          <w:rFonts w:asciiTheme="majorBidi" w:hAnsiTheme="majorBidi" w:cstheme="majorBidi"/>
          <w:sz w:val="28"/>
          <w:szCs w:val="28"/>
        </w:rPr>
        <w:t>.</w:t>
      </w:r>
    </w:p>
    <w:p w14:paraId="77F2800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توجد تحديات تواجه مدى توافق المنصات الرقمية السعودية مع معايير الثراء الإعلامي، منها تفاوت الوصول الرقمي بين المناطق الحضرية والريفية، واختلاف مستويات الوعي الرقمي لدى المستخدمين، مما يؤثر على قدرة بعض الفئات في الاستفادة الكاملة من الوسائط الغنية والمتقدمة (المنتصر ومنصور، 2021)</w:t>
      </w:r>
      <w:r w:rsidRPr="00E154C9">
        <w:rPr>
          <w:rFonts w:asciiTheme="majorBidi" w:hAnsiTheme="majorBidi" w:cstheme="majorBidi"/>
          <w:sz w:val="28"/>
          <w:szCs w:val="28"/>
        </w:rPr>
        <w:t>.</w:t>
      </w:r>
    </w:p>
    <w:p w14:paraId="2D2692B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ذلك، يبرز تحدي جودة المحتوى المقدم على هذه المنصات، حيث يتطلب ضمان دقة المعلومات الصحية وموثوقيتها تعزيز التعاون بين الجهات الصحية والمختصين الرقميين، لضمان توافق الرسائل مع معايير الإعلام الثرى وتعزيز ثقة الجمهور (حسنين وإسراء عاطف وآخرون، 2024)</w:t>
      </w:r>
      <w:r w:rsidRPr="00E154C9">
        <w:rPr>
          <w:rFonts w:asciiTheme="majorBidi" w:hAnsiTheme="majorBidi" w:cstheme="majorBidi"/>
          <w:sz w:val="28"/>
          <w:szCs w:val="28"/>
        </w:rPr>
        <w:t>.</w:t>
      </w:r>
    </w:p>
    <w:p w14:paraId="3BD842C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بناءً على ما سبق، يمكن القول إن المنصات الرقمية في السعودية تتوافق بشكل كبير مع معايير الثراء الإعلامي، مما يجعلها أدوات قوية لتوصيل الرسائل الصحية والتوعية بالأمراض العصبية المزمنة، مع ضرورة مواصلة تطوير هذه المنصات ومعالجة التحديات لتعظيم تأثيرها في المجتمع السعودي (ليلى علي جمعه، 2021)</w:t>
      </w:r>
      <w:r w:rsidRPr="00E154C9">
        <w:rPr>
          <w:rFonts w:asciiTheme="majorBidi" w:hAnsiTheme="majorBidi" w:cstheme="majorBidi"/>
          <w:sz w:val="28"/>
          <w:szCs w:val="28"/>
        </w:rPr>
        <w:t>.</w:t>
      </w:r>
    </w:p>
    <w:p w14:paraId="728708F6"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أهمية اختيار الوسيط الإعلامي المناسب حسب طبيعة الرسالة الصحية</w:t>
      </w:r>
    </w:p>
    <w:p w14:paraId="416FAD71"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تلعب الوسائط الإعلامية دورًا حاسمًا في نقل الرسائل الصحية إلى الجمهور، ويُعتبر اختيار الوسيط المناسب وفق طبيعة الرسالة من العوامل الرئيسية التي تحدد نجاح الحملات التوعوية، خصوصًا في مجالات حساسة كالتوعية بالأمراض العصبية المزمنة. فكل رسالة صحية تمتاز بدرجة من التعقيد، الحساسية، وأسلوب التقديم الذي يتطلب وسيطًا إعلاميًا يمتلك القدرة على توصيلها بفعالية ودقة (طالة ولامية، 2022)</w:t>
      </w:r>
      <w:r w:rsidRPr="00E154C9">
        <w:rPr>
          <w:rFonts w:asciiTheme="majorBidi" w:hAnsiTheme="majorBidi" w:cstheme="majorBidi"/>
          <w:sz w:val="28"/>
          <w:szCs w:val="28"/>
        </w:rPr>
        <w:t>.</w:t>
      </w:r>
    </w:p>
    <w:p w14:paraId="745DAD6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يرتكز اختيار الوسيط الإعلامي على مفهوم الثراء الإعلامي، حيث يُفضّل استخدام وسائط غنية قادرة على تقديم محتوى معقد أو حساس بوضوح، مثل الفيديوهات التفاعلية أو المحادثات الحية، والتي تسمح بدمج الصوت والصورة واللغة الجسدية، مما يعزز فهم الرسالة ويقلل من احتمالية سوء التفسير (رضا عبد المقصود مصطفى وأماني، 2020). وهذا أمر بالغ الأهمية في توضيح أعراض الأمراض العصبية المزمنة، حيث يحتاج الجمهور إلى شرح مفصل وتفاعلي</w:t>
      </w:r>
      <w:r w:rsidRPr="00E154C9">
        <w:rPr>
          <w:rFonts w:asciiTheme="majorBidi" w:hAnsiTheme="majorBidi" w:cstheme="majorBidi"/>
          <w:sz w:val="28"/>
          <w:szCs w:val="28"/>
        </w:rPr>
        <w:t>.</w:t>
      </w:r>
    </w:p>
    <w:p w14:paraId="48D32595"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بالنسبة للرسائل التي تهدف إلى إيصال معلومات بسيطة أو تعليمات مباشرة، يمكن استخدام الوسائط الأقل ثراءً مثل الرسائل النصية أو المنشورات الرقمية، لما تتمتع به من سهولة في الوصول وتكلفة إنتاج منخفضة، مع إمكانية تكرار الرسالة لتعزيز الحفظ (إبراهيم وليد العشرى والبندارى، 2022)</w:t>
      </w:r>
      <w:r w:rsidRPr="00E154C9">
        <w:rPr>
          <w:rFonts w:asciiTheme="majorBidi" w:hAnsiTheme="majorBidi" w:cstheme="majorBidi"/>
          <w:sz w:val="28"/>
          <w:szCs w:val="28"/>
        </w:rPr>
        <w:t>.</w:t>
      </w:r>
    </w:p>
    <w:p w14:paraId="6755B00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خاصية التفاعل في الوسيط الإعلامي من العوامل المهمة، خاصة عند الحاجة إلى تقديم دعم نفسي أو تشجيع سلوكيات صحية، إذ تتيح الوسائط التفاعلية مثل منصات التواصل الاجتماعي إمكانية النقاش، طرح الأسئلة، وتبادل التجارب، مما يخلق بيئة دعم مجتمعي تساهم في تحفيز المرضى وأفراد أسرهم (المنتصر ومنصور، 2021)</w:t>
      </w:r>
      <w:r w:rsidRPr="00E154C9">
        <w:rPr>
          <w:rFonts w:asciiTheme="majorBidi" w:hAnsiTheme="majorBidi" w:cstheme="majorBidi"/>
          <w:sz w:val="28"/>
          <w:szCs w:val="28"/>
        </w:rPr>
        <w:t>.</w:t>
      </w:r>
    </w:p>
    <w:p w14:paraId="5D4FC44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يؤخذ في الاعتبار الجمهور المستهدف عند اختيار الوسيط، حيث تتطلب بعض الفئات العمرية أو الثقافية وسائط معينة تلائم احتياجاتهم ومستوى فهمهم، مما يستلزم اختيار الوسائط التي توفر تخصيصًا وتنوعًا في المحتوى (حسنين وإسراء عاطف وآخرون، 2024)</w:t>
      </w:r>
      <w:r w:rsidRPr="00E154C9">
        <w:rPr>
          <w:rFonts w:asciiTheme="majorBidi" w:hAnsiTheme="majorBidi" w:cstheme="majorBidi"/>
          <w:sz w:val="28"/>
          <w:szCs w:val="28"/>
        </w:rPr>
        <w:t>.</w:t>
      </w:r>
    </w:p>
    <w:p w14:paraId="5829C4A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يجب أن يتم تقييم الوسيط بناءً على سهولة الوصول والانتشار، خاصة في المجتمعات التي تشهد تفاوتًا في البنية التحتية الرقمية، لضمان وصول الرسائل إلى أكبر عدد ممكن من المستهدفين (عبد الناصر، 2020)</w:t>
      </w:r>
      <w:r w:rsidRPr="00E154C9">
        <w:rPr>
          <w:rFonts w:asciiTheme="majorBidi" w:hAnsiTheme="majorBidi" w:cstheme="majorBidi"/>
          <w:sz w:val="28"/>
          <w:szCs w:val="28"/>
        </w:rPr>
        <w:t>.</w:t>
      </w:r>
    </w:p>
    <w:p w14:paraId="556A84AC"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بالتالي، يشكل اختيار الوسيط الإعلامي المناسب عنصرًا استراتيجيًا يعزز من فاعلية التوعية الصحية، ويضمن وصول الرسائل بدقة ووضوح، مما يدعم التغيير السلوكي الإيجابي ويسهم في تحسين صحة المجتمع، لا سيما في مواجهة تحديات الأمراض العصبية المزمنة في السعودية (ليلى علي جمعه، 2021)</w:t>
      </w:r>
      <w:r w:rsidRPr="00E154C9">
        <w:rPr>
          <w:rFonts w:asciiTheme="majorBidi" w:hAnsiTheme="majorBidi" w:cstheme="majorBidi"/>
          <w:sz w:val="28"/>
          <w:szCs w:val="28"/>
        </w:rPr>
        <w:t>.</w:t>
      </w:r>
    </w:p>
    <w:p w14:paraId="7270AF4B"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تحديات تطبيق نظرية الثراء الإعلامي في الإعلام الصحي الرقمي</w:t>
      </w:r>
    </w:p>
    <w:p w14:paraId="6801D74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تواجه نظرية الثراء الإعلامي العديد من التحديات عند تطبيقها في مجال الإعلام الصحي الرقمي، لا سيما في سياق التوعية بالأمراض العصبية المزمنة التي تتطلب دقة ووضوحًا عاليين في نقل المعلومات. من أبرز هذه التحديات، التفاوت الكبير في القدرات التقنية للمستخدمين، حيث يختلف مستوى الوصول إلى الأجهزة الحديثة والإنترنت بين الفئات العمرية والمناطق الجغرافية، مما يؤثر على فعالية الوسائط الغنية التي تعتمد على تقنيات متقدمة مثل الفيديو والبث المباشر (المنتصر ومنصور، 2021)</w:t>
      </w:r>
      <w:r w:rsidRPr="00E154C9">
        <w:rPr>
          <w:rFonts w:asciiTheme="majorBidi" w:hAnsiTheme="majorBidi" w:cstheme="majorBidi"/>
          <w:sz w:val="28"/>
          <w:szCs w:val="28"/>
        </w:rPr>
        <w:t>.</w:t>
      </w:r>
    </w:p>
    <w:p w14:paraId="29AC31A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كما تمثل تكلفة إنتاج المحتوى الإعلامي الغني تحديًا كبيرًا للجهات المعنية، خصوصًا في الحملات الصحية التي تتطلب موارد مالية وبشرية كبيرة لتصميم وإنتاج مواد تفاعلية عالية الجودة. قد يدفع هذا الواقع بعض </w:t>
      </w:r>
      <w:r w:rsidRPr="00E154C9">
        <w:rPr>
          <w:rFonts w:asciiTheme="majorBidi" w:hAnsiTheme="majorBidi" w:cstheme="majorBidi"/>
          <w:sz w:val="28"/>
          <w:szCs w:val="28"/>
          <w:rtl/>
        </w:rPr>
        <w:lastRenderedPageBreak/>
        <w:t>المؤسسات إلى الاعتماد على وسائل أقل ثراءً، مما يقلل من فاعلية التوعية (حسنين وإسراء عاطف وآخرون، 2024)</w:t>
      </w:r>
      <w:r w:rsidRPr="00E154C9">
        <w:rPr>
          <w:rFonts w:asciiTheme="majorBidi" w:hAnsiTheme="majorBidi" w:cstheme="majorBidi"/>
          <w:sz w:val="28"/>
          <w:szCs w:val="28"/>
        </w:rPr>
        <w:t>.</w:t>
      </w:r>
    </w:p>
    <w:p w14:paraId="4DFAC23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تواجه النظرية أيضًا تحديًا في ضمان موثوقية المعلومات المقدمة عبر الوسائط الرقمية، إذ تنتشر في بعض الأحيان معلومات مغلوطة أو مضللة تعرقل تحقيق الأهداف الصحية، مما يتطلب آليات فعالة للتحقق من المحتوى ومصادره (إبراهيم وليد العشرى والبندارى، 2022)</w:t>
      </w:r>
      <w:r w:rsidRPr="00E154C9">
        <w:rPr>
          <w:rFonts w:asciiTheme="majorBidi" w:hAnsiTheme="majorBidi" w:cstheme="majorBidi"/>
          <w:sz w:val="28"/>
          <w:szCs w:val="28"/>
        </w:rPr>
        <w:t>.</w:t>
      </w:r>
    </w:p>
    <w:p w14:paraId="27F9A84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ذلك، قد تؤثر الفروق الثقافية والاجتماعية على استجابة الجمهور للوسائط الإعلامية الغنية، حيث قد يفضل بعض المستخدمين الوسائط التقليدية أو النصوص المكتوبة بدلاً من الوسائط التفاعلية، مما يستلزم تصميم استراتيجيات إعلامية متوازنة تراعي هذه الفروقات (طالة ولامية، 2022)</w:t>
      </w:r>
      <w:r w:rsidRPr="00E154C9">
        <w:rPr>
          <w:rFonts w:asciiTheme="majorBidi" w:hAnsiTheme="majorBidi" w:cstheme="majorBidi"/>
          <w:sz w:val="28"/>
          <w:szCs w:val="28"/>
        </w:rPr>
        <w:t>.</w:t>
      </w:r>
    </w:p>
    <w:p w14:paraId="2FBA502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يبرز تحدي الحفاظ على خصوصية المستخدمين وحماية بياناتهم الصحية في بيئة رقمية متقدمة، وهو أمر حساس للغاية في السياقات الصحية، ويتطلب توظيف تقنيات أمان قوية وسياسات واضحة لضمان الثقة بين الجمهور والجهات المرسلة للمعلومات (عبد الناصر، 2020)</w:t>
      </w:r>
      <w:r w:rsidRPr="00E154C9">
        <w:rPr>
          <w:rFonts w:asciiTheme="majorBidi" w:hAnsiTheme="majorBidi" w:cstheme="majorBidi"/>
          <w:sz w:val="28"/>
          <w:szCs w:val="28"/>
        </w:rPr>
        <w:t>.</w:t>
      </w:r>
    </w:p>
    <w:p w14:paraId="19A22BF5"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أخيرًا، تحتاج نظرية الثراء الإعلامي إلى تحديث مستمر لمواكبة التطورات السريعة في التكنولوجيا الرقمية، مثل الذكاء الاصطناعي والواقع الافتراضي، لضمان استمرارية ملاءمتها في تحليل واختيار الوسائط الفعالة في الإعلام الصحي الرقمي (رضا عبد المقصود مصطفى وأماني، 2020)</w:t>
      </w:r>
      <w:r w:rsidRPr="00E154C9">
        <w:rPr>
          <w:rFonts w:asciiTheme="majorBidi" w:hAnsiTheme="majorBidi" w:cstheme="majorBidi"/>
          <w:sz w:val="28"/>
          <w:szCs w:val="28"/>
        </w:rPr>
        <w:t>.</w:t>
      </w:r>
    </w:p>
    <w:p w14:paraId="7D7D218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بناءً على ما سبق، تتطلب مواجهة هذه التحديات تعاونًا متعدد القطاعات بين المؤسسات الصحية، التقنية، والبحثية لتطوير بيئة إعلامية رقمية صحية غنية، موثوقة، ومتاحة لجميع شرائح المجتمع، خصوصًا في السعودية حيث تتزايد الحاجة إلى التوعية بالأمراض العصبية المزمنة (ليلى علي جمعه، 2021)</w:t>
      </w:r>
      <w:r w:rsidRPr="00E154C9">
        <w:rPr>
          <w:rFonts w:asciiTheme="majorBidi" w:hAnsiTheme="majorBidi" w:cstheme="majorBidi"/>
          <w:sz w:val="28"/>
          <w:szCs w:val="28"/>
        </w:rPr>
        <w:t>.</w:t>
      </w:r>
    </w:p>
    <w:p w14:paraId="447C3BD8"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التعليق على النظريات:</w:t>
      </w:r>
    </w:p>
    <w:p w14:paraId="6D10946C"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 xml:space="preserve">تُعد التوعية الصحية عبر الإعلام الرقمي من أهم الوسائل الحديثة التي تلعب دورًا محورياً في رفع الوعي المجتمعي حول الأمراض المزمنة، وبالأخص الأمراض العصبية التي تحتاج إلى توجهات إعلامية دقيقة ومتخصصة. في هذا الإطار، تُقدّم نظريتا الاستخدامات والإشباعات، والثراء الإعلامي أُطرًا فكرية تساعد في فهم آليات اختيار الجمهور للوسائط الإعلامية وكيفية تفاعلهم معها لتحقيق أهداف التوعية الصحية. وبالتركيز على المجتمع السعودي، حيث يتزايد الاهتمام بالقضايا الصحية الرقمية، يمكن استثمار هاتين </w:t>
      </w:r>
      <w:r w:rsidRPr="00E154C9">
        <w:rPr>
          <w:rFonts w:asciiTheme="majorBidi" w:hAnsiTheme="majorBidi" w:cstheme="majorBidi"/>
          <w:sz w:val="28"/>
          <w:szCs w:val="28"/>
          <w:rtl/>
        </w:rPr>
        <w:lastRenderedPageBreak/>
        <w:t>النظريتين لتعزيز فاعلية حملات التوعية بالأمراض العصبية المزمنة (طالة ولامية، 2022؛ رضا عبد المقصود مصطفى وأماني، 2020)</w:t>
      </w:r>
      <w:r w:rsidRPr="00E154C9">
        <w:rPr>
          <w:rFonts w:asciiTheme="majorBidi" w:hAnsiTheme="majorBidi" w:cstheme="majorBidi"/>
          <w:sz w:val="28"/>
          <w:szCs w:val="28"/>
        </w:rPr>
        <w:t>.</w:t>
      </w:r>
    </w:p>
    <w:p w14:paraId="7188AAA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تُبرز نظرية الاستخدامات والإشباعات أن الجمهور ليس متلقياً سلبيًا للمحتوى الإعلامي، بل فاعل نشط يبحث عن وسائل إعلام تلبي حاجاته المختلفة سواء كانت معرفية أو اجتماعية أو نفسية. هذا المنظور يدعم فكرة تصميم محتوى رقمي صحي لا يقتصر على تقديم المعلومات فقط، بل يراعي دوافع الجمهور من البحث عن الدعم الاجتماعي، الترفيه، أو الوقاية الصحية. في المجتمع السعودي، حيث يواجه العديد من المرضى وأسرهم تحديات معرفية ونفسية نتيجة للأمراض العصبية المزمنة، فإن الإعلام الرقمي يقدم مساحة للتفاعل والتواصل الفعّال، مثل مجموعات الدعم عبر منصات التواصل الاجتماعي أو قنوات اليوتيوب التي توفر معلومات مبسطة ومصورة. هنا تظهر أهمية تلبية الإشباعات المتعددة؛ إذ يحتاج المستخدمون إلى محتوى يُلبي حاجاتهم المعرفية لفهم المرض وأعراضه، وكذلك حاجاتهم الاجتماعية للنقاش وتبادل الخبرات، وحاجات وقائية للتوجيه نحو أساليب حياة صحية (حفيظة البراشدية والظفري، 2020؛ السعدي وجابر، 2024)</w:t>
      </w:r>
      <w:r w:rsidRPr="00E154C9">
        <w:rPr>
          <w:rFonts w:asciiTheme="majorBidi" w:hAnsiTheme="majorBidi" w:cstheme="majorBidi"/>
          <w:sz w:val="28"/>
          <w:szCs w:val="28"/>
        </w:rPr>
        <w:t>.</w:t>
      </w:r>
    </w:p>
    <w:p w14:paraId="2308DCA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ناحية أخرى، توفر نظرية الثراء الإعلامي رؤية تكاملية حول كيفية اختيار الوسائط التي تناسب طبيعة الرسالة الصحية وطريقة توصيلها. فوسائل الإعلام تختلف في قدرتها على نقل الرسائل بدقة ووضوح، وتتفاوت في مقدار التفاعل الذي توفره للمستخدمين. في سياق التوعية بالأمراض العصبية المزمنة، التي قد تتطلب شرحًا تفصيليًا وأحيانًا تفاعلاً مباشرًا مع الخبراء، تشكل الوسائط الغنية مثل الفيديوهات التفاعلية والبث الحي عبر منصات التواصل الاجتماعي أدوات مثالية. هذه الوسائط تدمج بين الصوت والصورة، وتتيح التفاعل اللحظي، مما يعزز من فهم الرسائل الصحية ويزيد من ثقة الجمهور في المعلومات المقدمة. بالإضافة إلى ذلك، تسمح الوسائط الغنية بالتخصيص حسب حالة المستخدم، وهو أمر حيوي لتلبية الاحتياجات المختلفة للفئات العمرية ومستويات التعليم المختلفة داخل المجتمع السعودي (رضا عبد المقصود مصطفى وأماني، 2020؛ المنتصر ومنصور، 2021)</w:t>
      </w:r>
      <w:r w:rsidRPr="00E154C9">
        <w:rPr>
          <w:rFonts w:asciiTheme="majorBidi" w:hAnsiTheme="majorBidi" w:cstheme="majorBidi"/>
          <w:sz w:val="28"/>
          <w:szCs w:val="28"/>
        </w:rPr>
        <w:t>.</w:t>
      </w:r>
    </w:p>
    <w:p w14:paraId="2606E8A3"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تكامل النظريتين يُمكن أن يُسهم في تصميم حملات توعية أكثر تأثيرًا وفعالية. فعند تطبيق نظرية الاستخدامات والإشباعات، يمكن تحديد دوافع الجمهور المختلفة وأسباب استخدامهم للإعلام الرقمي، ومن ثم اختيار الوسائط التي تعكس مستوى الثراء المطلوب حسب هذه الدوافع. على سبيل المثال، إذا كان الجمهور يبحث عن دعم اجتماعي، فإن منصات التواصل الاجتماعي التي تسمح بالتفاعل والنقاش تُعتبر أكثر ملائمة. </w:t>
      </w:r>
      <w:r w:rsidRPr="00E154C9">
        <w:rPr>
          <w:rFonts w:asciiTheme="majorBidi" w:hAnsiTheme="majorBidi" w:cstheme="majorBidi"/>
          <w:sz w:val="28"/>
          <w:szCs w:val="28"/>
          <w:rtl/>
        </w:rPr>
        <w:lastRenderedPageBreak/>
        <w:t>أما إذا كان الهدف هو إيصال معلومات طبية معقدة، فإن الفيديوهات التوضيحية والبث المباشر مع خبراء الطب توفر ثراءً إعلاميًا مناسبًا (د. سعيد شاهين علاني وآخرون، 2024؛ خضران ونجد، غير مؤرخ)</w:t>
      </w:r>
      <w:r w:rsidRPr="00E154C9">
        <w:rPr>
          <w:rFonts w:asciiTheme="majorBidi" w:hAnsiTheme="majorBidi" w:cstheme="majorBidi"/>
          <w:sz w:val="28"/>
          <w:szCs w:val="28"/>
        </w:rPr>
        <w:t>.</w:t>
      </w:r>
    </w:p>
    <w:p w14:paraId="72177E7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يواجه تطبيق النظريتين تحديات عدة في السياق السعودي، منها التفاوت في الوصول الرقمي بين المناطق الحضرية والريفية، ومستويات الوعي الرقمي المتفاوتة بين الفئات المختلفة، مما قد يحد من استفادة بعض الفئات من الوسائط الرقمية الغنية. كما أن إنتاج المحتوى عالي الثراء قد يكون مكلفًا ويتطلب موارد تقنية وبشرية عالية، ما يشكل عائقًا أمام بعض الجهات المعنية. علاوة على ذلك، تنتشر أحيانًا معلومات صحية غير دقيقة أو مضللة عبر وسائل الإعلام الرقمية، مما يتطلب جهودًا مكثفة للتحقق من صحة المعلومات وتعزيز الوعي النقدي لدى المستخدمين (المنتصر ومنصور، 2021؛ حسنين وإسراء عاطف وآخرون، 2024)</w:t>
      </w:r>
      <w:r w:rsidRPr="00E154C9">
        <w:rPr>
          <w:rFonts w:asciiTheme="majorBidi" w:hAnsiTheme="majorBidi" w:cstheme="majorBidi"/>
          <w:sz w:val="28"/>
          <w:szCs w:val="28"/>
        </w:rPr>
        <w:t>.</w:t>
      </w:r>
    </w:p>
    <w:p w14:paraId="0A5C9A5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ذلك، تختلف ردود أفعال الجمهور حسب عوامل ثقافية واجتماعية تلعب دورًا في كيفية استقبالهم للمحتوى الرقمي، ما يفرض ضرورة تصميم الرسائل الإعلامية بما يتوافق مع السياق الثقافي السعودي ويأخذ بعين الاعتبار الخصوصيات الاجتماعية والدينية للمجتمع. هذا يتطلب توظيف معرفي عميق لفهم احتياجات الجمهور، وهو ما يمكن تحقيقه من خلال البحوث التطبيقية التي تستخدم أدوات نظرية الاستخدامات والإشباعات لتحديد دوافع الجمهور بدقة (طالة ولامية، 2022؛ ليلى علي جمعه، 2021)</w:t>
      </w:r>
      <w:r w:rsidRPr="00E154C9">
        <w:rPr>
          <w:rFonts w:asciiTheme="majorBidi" w:hAnsiTheme="majorBidi" w:cstheme="majorBidi"/>
          <w:sz w:val="28"/>
          <w:szCs w:val="28"/>
        </w:rPr>
        <w:t>.</w:t>
      </w:r>
    </w:p>
    <w:p w14:paraId="1D99CB1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يشير تطور التكنولوجيا الرقمية إلى الحاجة المستمرة لتحديث إطار نظرية الثراء الإعلامي، حيث تتيح الوسائط الجديدة مثل الواقع الافتراضي والذكاء الاصطناعي إمكانيات غير مسبوقة لتقديم محتوى صحي غني ومتفاعل، مما قد يحدث تحولًا جذريًا في طرق التوعية الصحية مستقبلاً. يمكن الاستفادة من هذه التقنيات في تصميم برامج تعليمية وتوعوية مخصصة تتيح للمستخدمين تجربة تفاعلية تساعد في فهم أعمق للأمراض العصبية المزمنة وطرق الوقاية منها (عبد الناصر، 2020؛ رضا عبد المقصود مصطفى وأماني، 2020)</w:t>
      </w:r>
      <w:r w:rsidRPr="00E154C9">
        <w:rPr>
          <w:rFonts w:asciiTheme="majorBidi" w:hAnsiTheme="majorBidi" w:cstheme="majorBidi"/>
          <w:sz w:val="28"/>
          <w:szCs w:val="28"/>
        </w:rPr>
        <w:t>.</w:t>
      </w:r>
    </w:p>
    <w:p w14:paraId="301199E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في المجمل، توضح النظريتان كيف يمكن للإعلام الرقمي أن يكون أداة فعالة للتوعية الصحية إذا ما تم اختيار الوسائط بشكل استراتيجي يراعي دوافع واحتياجات الجمهور، ويستخدم الوسائط الإعلامية التي تتمتع بالثراء المناسب لطبيعة الرسائل. في المجتمع السعودي، حيث تتزايد الحاجة إلى رفع الوعي الصحي بالأمراض العصبية المزمنة، يمكن لتطبيق هذه النظريات أن يساهم في تطوير حملات إعلامية رقمية أكثر </w:t>
      </w:r>
      <w:r w:rsidRPr="00E154C9">
        <w:rPr>
          <w:rFonts w:asciiTheme="majorBidi" w:hAnsiTheme="majorBidi" w:cstheme="majorBidi"/>
          <w:sz w:val="28"/>
          <w:szCs w:val="28"/>
          <w:rtl/>
        </w:rPr>
        <w:lastRenderedPageBreak/>
        <w:t>تفاعلًا وشمولية، تدعم الصحة العامة وتُعزز من قدرة الأفراد على التعامل مع هذه الأمراض بوعي ومعرفة (ليلى علي جمعه، 2021)</w:t>
      </w:r>
      <w:r w:rsidRPr="00E154C9">
        <w:rPr>
          <w:rFonts w:asciiTheme="majorBidi" w:hAnsiTheme="majorBidi" w:cstheme="majorBidi"/>
          <w:sz w:val="28"/>
          <w:szCs w:val="28"/>
        </w:rPr>
        <w:t>.</w:t>
      </w:r>
    </w:p>
    <w:p w14:paraId="76377098" w14:textId="77777777" w:rsidR="0008625B" w:rsidRDefault="0008625B" w:rsidP="0008625B">
      <w:pPr>
        <w:spacing w:line="360" w:lineRule="auto"/>
        <w:rPr>
          <w:rFonts w:asciiTheme="majorBidi" w:hAnsiTheme="majorBidi" w:cstheme="majorBidi"/>
          <w:sz w:val="28"/>
          <w:szCs w:val="28"/>
          <w:rtl/>
        </w:rPr>
      </w:pPr>
    </w:p>
    <w:p w14:paraId="263B29A3" w14:textId="77777777" w:rsidR="004A17C0" w:rsidRDefault="004A17C0" w:rsidP="0008625B">
      <w:pPr>
        <w:spacing w:line="360" w:lineRule="auto"/>
        <w:rPr>
          <w:rFonts w:asciiTheme="majorBidi" w:hAnsiTheme="majorBidi" w:cstheme="majorBidi"/>
          <w:sz w:val="28"/>
          <w:szCs w:val="28"/>
          <w:rtl/>
        </w:rPr>
      </w:pPr>
    </w:p>
    <w:p w14:paraId="48B9C826" w14:textId="77777777" w:rsidR="000913DC" w:rsidRDefault="000913DC" w:rsidP="0008625B">
      <w:pPr>
        <w:spacing w:line="360" w:lineRule="auto"/>
        <w:rPr>
          <w:rFonts w:asciiTheme="majorBidi" w:hAnsiTheme="majorBidi" w:cstheme="majorBidi"/>
          <w:sz w:val="28"/>
          <w:szCs w:val="28"/>
          <w:rtl/>
        </w:rPr>
      </w:pPr>
    </w:p>
    <w:p w14:paraId="2AFBDEC6" w14:textId="77777777" w:rsidR="000913DC" w:rsidRDefault="000913DC" w:rsidP="0008625B">
      <w:pPr>
        <w:spacing w:line="360" w:lineRule="auto"/>
        <w:rPr>
          <w:rFonts w:asciiTheme="majorBidi" w:hAnsiTheme="majorBidi" w:cstheme="majorBidi"/>
          <w:sz w:val="28"/>
          <w:szCs w:val="28"/>
          <w:rtl/>
        </w:rPr>
      </w:pPr>
    </w:p>
    <w:p w14:paraId="3396C6B8" w14:textId="77777777" w:rsidR="000913DC" w:rsidRDefault="000913DC" w:rsidP="000913DC">
      <w:pPr>
        <w:spacing w:line="360" w:lineRule="auto"/>
        <w:jc w:val="both"/>
        <w:rPr>
          <w:rFonts w:ascii="Simplified Arabic" w:hAnsi="Simplified Arabic" w:cs="Simplified Arabic"/>
          <w:sz w:val="28"/>
          <w:szCs w:val="28"/>
          <w:rtl/>
          <w:lang w:bidi="ar-EG"/>
        </w:rPr>
      </w:pPr>
    </w:p>
    <w:p w14:paraId="00BAF18C" w14:textId="77777777" w:rsidR="000913DC" w:rsidRDefault="000913DC" w:rsidP="000913DC">
      <w:pPr>
        <w:spacing w:line="360" w:lineRule="auto"/>
        <w:jc w:val="both"/>
        <w:rPr>
          <w:rFonts w:ascii="Simplified Arabic" w:hAnsi="Simplified Arabic" w:cs="Simplified Arabic"/>
          <w:sz w:val="28"/>
          <w:szCs w:val="28"/>
          <w:rtl/>
          <w:lang w:bidi="ar-EG"/>
        </w:rPr>
      </w:pPr>
    </w:p>
    <w:p w14:paraId="5B9C06E3" w14:textId="77777777" w:rsidR="000913DC" w:rsidRDefault="000913DC" w:rsidP="000913DC">
      <w:pPr>
        <w:spacing w:line="360" w:lineRule="auto"/>
        <w:jc w:val="both"/>
        <w:rPr>
          <w:rFonts w:ascii="Simplified Arabic" w:hAnsi="Simplified Arabic" w:cs="Simplified Arabic"/>
          <w:sz w:val="28"/>
          <w:szCs w:val="28"/>
          <w:rtl/>
          <w:lang w:bidi="ar-EG"/>
        </w:rPr>
      </w:pPr>
    </w:p>
    <w:p w14:paraId="0C5E9BCE" w14:textId="77777777" w:rsidR="000913DC" w:rsidRDefault="000913DC" w:rsidP="000913DC">
      <w:pPr>
        <w:spacing w:line="360" w:lineRule="auto"/>
        <w:jc w:val="both"/>
        <w:rPr>
          <w:rFonts w:ascii="Simplified Arabic" w:hAnsi="Simplified Arabic" w:cs="Simplified Arabic"/>
          <w:sz w:val="28"/>
          <w:szCs w:val="28"/>
          <w:rtl/>
          <w:lang w:bidi="ar-EG"/>
        </w:rPr>
      </w:pPr>
    </w:p>
    <w:p w14:paraId="274C54D8" w14:textId="77777777" w:rsidR="000913DC" w:rsidRDefault="000913DC" w:rsidP="000913DC">
      <w:pPr>
        <w:spacing w:line="360" w:lineRule="auto"/>
        <w:jc w:val="both"/>
        <w:rPr>
          <w:rFonts w:ascii="Simplified Arabic" w:hAnsi="Simplified Arabic" w:cs="Simplified Arabic"/>
          <w:sz w:val="28"/>
          <w:szCs w:val="28"/>
          <w:rtl/>
          <w:lang w:bidi="ar-EG"/>
        </w:rPr>
      </w:pPr>
    </w:p>
    <w:p w14:paraId="11A2960E" w14:textId="77777777" w:rsidR="000913DC" w:rsidRDefault="000913DC" w:rsidP="000913DC">
      <w:pPr>
        <w:spacing w:line="360" w:lineRule="auto"/>
        <w:jc w:val="both"/>
        <w:rPr>
          <w:rFonts w:ascii="Simplified Arabic" w:hAnsi="Simplified Arabic" w:cs="Simplified Arabic"/>
          <w:sz w:val="28"/>
          <w:szCs w:val="28"/>
          <w:rtl/>
          <w:lang w:bidi="ar-EG"/>
        </w:rPr>
      </w:pPr>
    </w:p>
    <w:p w14:paraId="6F668E81" w14:textId="77777777" w:rsidR="000913DC" w:rsidRDefault="000913DC" w:rsidP="000913DC">
      <w:pPr>
        <w:spacing w:line="360" w:lineRule="auto"/>
        <w:jc w:val="both"/>
        <w:rPr>
          <w:rFonts w:ascii="Simplified Arabic" w:hAnsi="Simplified Arabic" w:cs="Simplified Arabic"/>
          <w:sz w:val="28"/>
          <w:szCs w:val="28"/>
          <w:rtl/>
          <w:lang w:bidi="ar-EG"/>
        </w:rPr>
      </w:pPr>
    </w:p>
    <w:p w14:paraId="61C7E85B" w14:textId="77777777" w:rsidR="000913DC" w:rsidRDefault="000913DC" w:rsidP="000913DC">
      <w:pPr>
        <w:spacing w:line="360" w:lineRule="auto"/>
        <w:jc w:val="both"/>
        <w:rPr>
          <w:rFonts w:ascii="Simplified Arabic" w:hAnsi="Simplified Arabic" w:cs="Simplified Arabic"/>
          <w:sz w:val="28"/>
          <w:szCs w:val="28"/>
          <w:rtl/>
          <w:lang w:bidi="ar-EG"/>
        </w:rPr>
      </w:pPr>
    </w:p>
    <w:p w14:paraId="599B38E2" w14:textId="77777777" w:rsidR="000913DC" w:rsidRDefault="000913DC" w:rsidP="000913DC">
      <w:pPr>
        <w:spacing w:line="360" w:lineRule="auto"/>
        <w:jc w:val="both"/>
        <w:rPr>
          <w:rFonts w:ascii="Simplified Arabic" w:hAnsi="Simplified Arabic" w:cs="Simplified Arabic"/>
          <w:sz w:val="28"/>
          <w:szCs w:val="28"/>
          <w:rtl/>
          <w:lang w:bidi="ar-EG"/>
        </w:rPr>
      </w:pPr>
    </w:p>
    <w:p w14:paraId="2A27CD12" w14:textId="77777777" w:rsidR="000913DC" w:rsidRDefault="000913DC" w:rsidP="000913DC">
      <w:pPr>
        <w:spacing w:line="360" w:lineRule="auto"/>
        <w:jc w:val="both"/>
        <w:rPr>
          <w:rFonts w:ascii="Simplified Arabic" w:hAnsi="Simplified Arabic" w:cs="Simplified Arabic"/>
          <w:sz w:val="28"/>
          <w:szCs w:val="28"/>
          <w:rtl/>
          <w:lang w:bidi="ar-EG"/>
        </w:rPr>
      </w:pPr>
    </w:p>
    <w:p w14:paraId="2C3396A5" w14:textId="77777777" w:rsidR="000913DC" w:rsidRPr="00371B39" w:rsidRDefault="000913DC" w:rsidP="000913DC">
      <w:pPr>
        <w:spacing w:line="360" w:lineRule="auto"/>
        <w:jc w:val="both"/>
        <w:rPr>
          <w:rFonts w:ascii="Simplified Arabic" w:hAnsi="Simplified Arabic" w:cs="Simplified Arabic"/>
          <w:sz w:val="28"/>
          <w:szCs w:val="28"/>
          <w:rtl/>
          <w:lang w:bidi="ar-EG"/>
        </w:rPr>
      </w:pPr>
    </w:p>
    <w:p w14:paraId="3A525F8E" w14:textId="77777777" w:rsidR="000913DC" w:rsidRPr="000913DC" w:rsidRDefault="000913DC" w:rsidP="000913DC">
      <w:pPr>
        <w:spacing w:line="360" w:lineRule="auto"/>
        <w:jc w:val="center"/>
        <w:rPr>
          <w:rFonts w:asciiTheme="majorBidi" w:hAnsiTheme="majorBidi" w:cstheme="majorBidi"/>
          <w:b/>
          <w:bCs/>
          <w:color w:val="000000" w:themeColor="text1"/>
          <w:sz w:val="28"/>
          <w:szCs w:val="28"/>
          <w:rtl/>
        </w:rPr>
      </w:pPr>
      <w:r w:rsidRPr="000913DC">
        <w:rPr>
          <w:rFonts w:asciiTheme="majorBidi" w:hAnsiTheme="majorBidi" w:cstheme="majorBidi"/>
          <w:b/>
          <w:bCs/>
          <w:color w:val="000000" w:themeColor="text1"/>
          <w:sz w:val="28"/>
          <w:szCs w:val="28"/>
          <w:rtl/>
        </w:rPr>
        <w:lastRenderedPageBreak/>
        <w:t>الفصل الرابع: الإجراءات المنهجية للدراسة</w:t>
      </w:r>
    </w:p>
    <w:p w14:paraId="052894D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إن الجانب المنهجي من أهم الجوانب في أي دراسة علمية، حيث يوضح الأسس والإجراءات التي اعتمدت عليها الدراسة للوصول إلى نتائج دقيقة وموضوعية. ومن خلال هذا الفصل يتم عرض الخطوات العلمية التي اتبعتها الدراسة في جمع البيانات وتحليلها، بما يساعد على تحقيق أهداف البحث والإجابة عن تساؤلاته المتعلقة بدور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00E2D62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ويتناول هذا الفصل وصفًا تفصيليًا لنوع الدراسة والمنهج العلمي المستخدم، مع توضيح مبررات اختيار هذا المنهج ومدى ملاءمته لطبيعة موضوع الدراسة. كما يوضح الفصل مجتمع الدراسة الذي تم إجراء البحث عليه، إضافة إلى العينة التي تم اختيارها منه، مع بيان خصائصها وطريقة اختيارها بما يضمن تمثيلها للمجتمع محل الدراسة</w:t>
      </w:r>
      <w:r w:rsidRPr="00645EB2">
        <w:rPr>
          <w:rFonts w:asciiTheme="majorBidi" w:hAnsiTheme="majorBidi" w:cstheme="majorBidi"/>
          <w:sz w:val="28"/>
          <w:szCs w:val="28"/>
        </w:rPr>
        <w:t>.</w:t>
      </w:r>
    </w:p>
    <w:p w14:paraId="193F163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يتضمن الفصل تحديد المفاهيم الأساسية التي تقوم عليها الدراسة، وذلك لتوضيح المعاني المقصودة بالمصطلحات المستخدمة في البحث، مثل مفهوم الإعلام الرقمي ومفهوم التوعية الصحية والأمراض العصبية المزمنة. ويساعد تحديد هذه المفاهيم في توحيد الفهم العلمي للمصطلحات المستخدمة داخل الدراسة</w:t>
      </w:r>
      <w:r w:rsidRPr="00645EB2">
        <w:rPr>
          <w:rFonts w:asciiTheme="majorBidi" w:hAnsiTheme="majorBidi" w:cstheme="majorBidi"/>
          <w:sz w:val="28"/>
          <w:szCs w:val="28"/>
        </w:rPr>
        <w:t>.</w:t>
      </w:r>
    </w:p>
    <w:p w14:paraId="24436F8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إلى جانب ذلك، يستعرض الفصل أدوات جمع البيانات التي استخدمتها الدراسة، وكيفية تصميمها وإعدادها بما يتناسب مع أهداف البحث، كما يوضح الأساليب الإحصائية المستخدمة في تحليل البيانات واستخلاص النتائج. كذلك يتطرق الفصل إلى اختبارات الصدق والثبات التي تم تطبيقها للتحقق من صلاحية أداة الدراسة ومدى موثوقيتها، بما يعزز من دقة النتائج التي توصلت إليها الدراسة</w:t>
      </w:r>
      <w:r w:rsidRPr="00645EB2">
        <w:rPr>
          <w:rFonts w:asciiTheme="majorBidi" w:hAnsiTheme="majorBidi" w:cstheme="majorBidi"/>
          <w:sz w:val="28"/>
          <w:szCs w:val="28"/>
        </w:rPr>
        <w:t>.</w:t>
      </w:r>
    </w:p>
    <w:p w14:paraId="4A1B7570"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1- نوع الدراسة</w:t>
      </w:r>
    </w:p>
    <w:p w14:paraId="1A75198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تنتمي هذه الدراسة إلى الدراسات الوصفية، حيث تهدف إلى وصف وتحليل دور الإعلام الرقمي في التوعية بالأمراض العصبية المزمنة في المجتمع السعودي، وذلك من خلال رصد آراء أفراد المجتمع حول مدى إسهام وسائل الإعلام الرقمي في نشر المعلومات الصحية والتوعية بطبيعة هذه الأمراض وطرق التعامل معها. وتُعد الدراسات الوصفية من أكثر أنواع الدراسات استخدامًا في البحوث الاجتماعية والإعلامية، لما توفره من إمكانية فهم الظواهر كما هي في الواقع وتحليلها بصورة علمية منظمة(صبره,2024)</w:t>
      </w:r>
    </w:p>
    <w:p w14:paraId="1961050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كما تعتمد الدراسة على الطابع الميداني، حيث تم جمع البيانات من أفراد مجتمع الدراسة بشكل مباشر باستخدام أداة علمية مناسبة، وذلك بهدف الحصول على معلومات واقعية تعكس تصورات واتجاهات المبحوثين حول </w:t>
      </w:r>
      <w:r w:rsidRPr="00645EB2">
        <w:rPr>
          <w:rFonts w:asciiTheme="majorBidi" w:hAnsiTheme="majorBidi" w:cstheme="majorBidi"/>
          <w:sz w:val="28"/>
          <w:szCs w:val="28"/>
          <w:rtl/>
        </w:rPr>
        <w:lastRenderedPageBreak/>
        <w:t>دور الإعلام الرقمي في نشر الوعي الصحي المتعلق بالأمراض العصبية المزمنة. ويساعد هذا النوع من الدراسات في تقديم صورة واضحة عن مستوى الوعي المجتمعي ومدى تأثير الوسائل الإعلامية الحديثة في تشكيل هذا الوعي(خيرت,2023)</w:t>
      </w:r>
    </w:p>
    <w:p w14:paraId="3A0A5467"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ويتيح هذا النوع من الدراسات إمكانية تحليل البيانات واستخلاص النتائج التي تسهم في فهم طبيعة العلاقة بين الإعلام الرقمي والتوعية الصحية، كما يساعد في تقديم مجموعة من التوصيات التي يمكن أن تسهم في تطوير استخدام الإعلام الرقمي في نشر التوعية بالأمراض العصبية المزمنة داخل المجتمع السعودي(السلمي,2022)</w:t>
      </w:r>
    </w:p>
    <w:p w14:paraId="3954C71D"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2- منهج الدراسة</w:t>
      </w:r>
    </w:p>
    <w:p w14:paraId="04677942"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لقد تم اختيار المنهج الوصفي المسحي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المزمنة(السلمي,2022)</w:t>
      </w:r>
    </w:p>
    <w:p w14:paraId="10A384A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3-مجتمع الدراسة</w:t>
      </w:r>
    </w:p>
    <w:p w14:paraId="6C251D4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اعتمدت هذه الدراسة على المنهج الوصفي المسحي، والذي يُعد من أكثر المناهج استخدامًا في الدراسات الإعلامية والاجتماعية، حيث يهدف إلى وصف الظاهرة محل الدراسة وتحليلها كما هي في الواقع. ويُستخدم هذا المنهج في جمع البيانات من أفراد مجتمع الدراسة بهدف التعرف على آرائهم واتجاهاتهم حول موضوع معين، وفي هذه الدراسة يتم التعرف على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66E0735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ويتميز المنهج الوصفي المسحي بقدرته على توفير بيانات ومعلومات دقيقة عن الظاهرة المدروسة من خلال استطلاع آراء عينة من المجتمع، الأمر الذي يساعد في الوصول إلى نتائج يمكن تعميمها على مجتمع الدراسة. كما يتيح هذا المنهج للباحث تحليل العلاقة بين المتغيرات المختلفة المرتبطة بموضوع الدراسة، مثل استخدام وسائل الإعلام الرقمي ومستوى الوعي بالأمراض العصبية المزمنة</w:t>
      </w:r>
      <w:r w:rsidRPr="00645EB2">
        <w:rPr>
          <w:rFonts w:asciiTheme="majorBidi" w:hAnsiTheme="majorBidi" w:cstheme="majorBidi"/>
          <w:sz w:val="28"/>
          <w:szCs w:val="28"/>
        </w:rPr>
        <w:t>.</w:t>
      </w:r>
    </w:p>
    <w:p w14:paraId="4BB504D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وقد تم اختيار هذا المنهج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w:t>
      </w:r>
      <w:r w:rsidRPr="00645EB2">
        <w:rPr>
          <w:rFonts w:asciiTheme="majorBidi" w:hAnsiTheme="majorBidi" w:cstheme="majorBidi"/>
          <w:sz w:val="28"/>
          <w:szCs w:val="28"/>
        </w:rPr>
        <w:t>.</w:t>
      </w:r>
    </w:p>
    <w:p w14:paraId="7A8806E5" w14:textId="77777777" w:rsidR="000913DC" w:rsidRPr="00645EB2" w:rsidRDefault="000913DC" w:rsidP="000913DC">
      <w:pPr>
        <w:spacing w:line="360" w:lineRule="auto"/>
        <w:jc w:val="both"/>
        <w:rPr>
          <w:rFonts w:asciiTheme="majorBidi" w:hAnsiTheme="majorBidi" w:cstheme="majorBidi"/>
          <w:sz w:val="28"/>
          <w:szCs w:val="28"/>
          <w:rtl/>
        </w:rPr>
      </w:pPr>
    </w:p>
    <w:p w14:paraId="4F7D6804"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lastRenderedPageBreak/>
        <w:t>4- عينة الدراسة</w:t>
      </w:r>
    </w:p>
    <w:p w14:paraId="190C3FC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وقد بلغ حجم عينة الدراسة (400) مفردة من أفراد المجتمع السعودي من مستخدمي وسائل الإعلام الرقمي، حيث تم اختيارهم بهدف التعرف على آرائهم واتجاهاتهم نحو دور الإعلام الرقمي في التوعية بالأمراض العصبية المزمنة. ويُعد هذا الحجم مناسبًا لإجراء الدراسة الميدانية وتحليل البيانات بصورة علمية تساعد في الوصول إلى نتائج أكثر دقة</w:t>
      </w:r>
      <w:r w:rsidRPr="00645EB2">
        <w:rPr>
          <w:rFonts w:asciiTheme="majorBidi" w:hAnsiTheme="majorBidi" w:cstheme="majorBidi"/>
          <w:sz w:val="28"/>
          <w:szCs w:val="28"/>
        </w:rPr>
        <w:t>.</w:t>
      </w:r>
    </w:p>
    <w:p w14:paraId="05F7F62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5- مفاهيم الدراسة</w:t>
      </w:r>
    </w:p>
    <w:p w14:paraId="14AB4B3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أولًا: المفاهيم الاصطلاحية</w:t>
      </w:r>
    </w:p>
    <w:p w14:paraId="0A70C83C" w14:textId="77777777" w:rsidR="000913DC" w:rsidRPr="00645EB2" w:rsidRDefault="000913DC" w:rsidP="000913DC">
      <w:pPr>
        <w:numPr>
          <w:ilvl w:val="0"/>
          <w:numId w:val="4"/>
        </w:num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الإعلام الرقمي</w:t>
      </w:r>
      <w:r w:rsidRPr="00645EB2">
        <w:rPr>
          <w:rFonts w:asciiTheme="majorBidi" w:hAnsiTheme="majorBidi" w:cstheme="majorBidi"/>
          <w:sz w:val="28"/>
          <w:szCs w:val="28"/>
        </w:rPr>
        <w:t>:</w:t>
      </w:r>
      <w:r w:rsidRPr="00645EB2">
        <w:rPr>
          <w:rFonts w:asciiTheme="majorBidi" w:hAnsiTheme="majorBidi" w:cstheme="majorBidi"/>
          <w:sz w:val="28"/>
          <w:szCs w:val="28"/>
        </w:rPr>
        <w:br/>
      </w:r>
      <w:r w:rsidRPr="00645EB2">
        <w:rPr>
          <w:rFonts w:asciiTheme="majorBidi" w:hAnsiTheme="majorBidi" w:cstheme="majorBidi"/>
          <w:sz w:val="28"/>
          <w:szCs w:val="28"/>
          <w:rtl/>
        </w:rPr>
        <w:t>يقصد بالإعلام الرقمي مختلف الوسائل الإعلامية التي تعتمد على التقنيات الرقمية وشبكة الإنترنت في إنتاج المحتوى الإعلامي ونشره وتداوله بين الجمهور، مثل مواقع التواصل الاجتماعي والمواقع الإلكترونية والتطبيقات الرقمية المختلفة، حيث يتيح هذا النوع من الإعلام سرعة نشر المعلومات وإمكانية التفاعل المباشر بين المرسل والمتلقي(قلادة,2025)</w:t>
      </w:r>
    </w:p>
    <w:p w14:paraId="23BE5E12" w14:textId="77777777" w:rsidR="000913DC" w:rsidRPr="00645EB2" w:rsidRDefault="000913DC" w:rsidP="000913DC">
      <w:pPr>
        <w:numPr>
          <w:ilvl w:val="0"/>
          <w:numId w:val="4"/>
        </w:numPr>
        <w:spacing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التوعية الصحية</w:t>
      </w:r>
      <w:r w:rsidRPr="00645EB2">
        <w:rPr>
          <w:rFonts w:asciiTheme="majorBidi" w:hAnsiTheme="majorBidi" w:cstheme="majorBidi"/>
          <w:sz w:val="28"/>
          <w:szCs w:val="28"/>
        </w:rPr>
        <w:t>:</w:t>
      </w:r>
      <w:r w:rsidRPr="00645EB2">
        <w:rPr>
          <w:rFonts w:asciiTheme="majorBidi" w:hAnsiTheme="majorBidi" w:cstheme="majorBidi"/>
          <w:sz w:val="28"/>
          <w:szCs w:val="28"/>
        </w:rPr>
        <w:br/>
      </w:r>
      <w:r w:rsidRPr="00645EB2">
        <w:rPr>
          <w:rFonts w:asciiTheme="majorBidi" w:hAnsiTheme="majorBidi" w:cstheme="majorBidi"/>
          <w:sz w:val="28"/>
          <w:szCs w:val="28"/>
          <w:rtl/>
        </w:rPr>
        <w:t>تشير التوعية الصحية إلى الجهود والأنشطة الإعلامية والتثقيفية التي تهدف إلى نشر المعرفة والمعلومات الصحية بين أفراد المجتمع، بهدف رفع مستوى الوعي لديهم حول الأمراض وطرق الوقاية منها وأساليب التعامل معها، بما يسهم في تعزيز السلوكيات الصحية السليمة(السلمي,2022)</w:t>
      </w:r>
    </w:p>
    <w:p w14:paraId="592B9BD3" w14:textId="77777777" w:rsidR="000913DC" w:rsidRPr="00645EB2" w:rsidRDefault="000913DC" w:rsidP="000913DC">
      <w:pPr>
        <w:numPr>
          <w:ilvl w:val="0"/>
          <w:numId w:val="4"/>
        </w:num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الأمراض العصبية المزمنة</w:t>
      </w:r>
      <w:r w:rsidRPr="00645EB2">
        <w:rPr>
          <w:rFonts w:asciiTheme="majorBidi" w:hAnsiTheme="majorBidi" w:cstheme="majorBidi"/>
          <w:sz w:val="28"/>
          <w:szCs w:val="28"/>
        </w:rPr>
        <w:t>:</w:t>
      </w:r>
      <w:r w:rsidRPr="00645EB2">
        <w:rPr>
          <w:rFonts w:asciiTheme="majorBidi" w:hAnsiTheme="majorBidi" w:cstheme="majorBidi"/>
          <w:sz w:val="28"/>
          <w:szCs w:val="28"/>
        </w:rPr>
        <w:br/>
      </w:r>
      <w:r w:rsidRPr="00645EB2">
        <w:rPr>
          <w:rFonts w:asciiTheme="majorBidi" w:hAnsiTheme="majorBidi" w:cstheme="majorBidi"/>
          <w:sz w:val="28"/>
          <w:szCs w:val="28"/>
          <w:rtl/>
        </w:rPr>
        <w:t>يقصد بالأمراض العصبية المزمنة مجموعة الأمراض التي تصيب الجهاز العصبي وتستمر لفترات طويلة أو مدى الحياة، مثل مرض التصلب المتعدد ومرض باركنسون ومرض الزهايمر، والتي قد تؤثر على وظائف الدماغ أو الأعصاب وتؤدي إلى مشكلات صحية مستمرة تحتاج إلى متابعة وعلاج طويل الأمد(صبره,2024)</w:t>
      </w:r>
    </w:p>
    <w:p w14:paraId="7905CBD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ثانيًا: المفاهيم الإجرائية</w:t>
      </w:r>
    </w:p>
    <w:p w14:paraId="6E69B6F1" w14:textId="77777777" w:rsidR="000913DC" w:rsidRPr="00645EB2" w:rsidRDefault="000913DC" w:rsidP="000913DC">
      <w:pPr>
        <w:numPr>
          <w:ilvl w:val="0"/>
          <w:numId w:val="3"/>
        </w:numPr>
        <w:spacing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الإعلام الرقمي</w:t>
      </w:r>
      <w:r w:rsidRPr="00645EB2">
        <w:rPr>
          <w:rFonts w:asciiTheme="majorBidi" w:hAnsiTheme="majorBidi" w:cstheme="majorBidi"/>
          <w:sz w:val="28"/>
          <w:szCs w:val="28"/>
        </w:rPr>
        <w:br/>
      </w:r>
      <w:r w:rsidRPr="00645EB2">
        <w:rPr>
          <w:rFonts w:asciiTheme="majorBidi" w:hAnsiTheme="majorBidi" w:cstheme="majorBidi"/>
          <w:sz w:val="28"/>
          <w:szCs w:val="28"/>
          <w:rtl/>
        </w:rPr>
        <w:t xml:space="preserve">يقصد بالإعلام الرقمي في هذه الدراسة المنصات والوسائل الرقمية التي يستخدمها أفراد المجتمع </w:t>
      </w:r>
      <w:r w:rsidRPr="00645EB2">
        <w:rPr>
          <w:rFonts w:asciiTheme="majorBidi" w:hAnsiTheme="majorBidi" w:cstheme="majorBidi"/>
          <w:sz w:val="28"/>
          <w:szCs w:val="28"/>
          <w:rtl/>
        </w:rPr>
        <w:lastRenderedPageBreak/>
        <w:t>السعودي عبر الإنترنت، مثل مواقع التواصل الاجتماعي والمواقع الصحية الإلكترونية، للحصول على المعلومات المتعلقة بالأمراض العصبية المزمنة والتوعية بها</w:t>
      </w:r>
      <w:r w:rsidRPr="00645EB2">
        <w:rPr>
          <w:rFonts w:asciiTheme="majorBidi" w:hAnsiTheme="majorBidi" w:cstheme="majorBidi"/>
          <w:sz w:val="28"/>
          <w:szCs w:val="28"/>
        </w:rPr>
        <w:t>.</w:t>
      </w:r>
    </w:p>
    <w:p w14:paraId="689C3276" w14:textId="169C99CF" w:rsidR="000913DC" w:rsidRPr="00645EB2" w:rsidRDefault="000913DC" w:rsidP="000913DC">
      <w:pPr>
        <w:pStyle w:val="a7"/>
        <w:numPr>
          <w:ilvl w:val="0"/>
          <w:numId w:val="3"/>
        </w:numPr>
      </w:pPr>
      <w:r w:rsidRPr="000913DC">
        <w:rPr>
          <w:rFonts w:hint="cs"/>
          <w:b/>
          <w:bCs/>
          <w:rtl/>
        </w:rPr>
        <w:t>التوعية بالامراض</w:t>
      </w:r>
      <w:r w:rsidRPr="000913DC">
        <w:rPr>
          <w:b/>
          <w:bCs/>
          <w:rtl/>
        </w:rPr>
        <w:t xml:space="preserve"> العصبية المزمنة</w:t>
      </w:r>
      <w:r w:rsidRPr="00645EB2">
        <w:br/>
      </w:r>
      <w:r w:rsidRPr="00645EB2">
        <w:rPr>
          <w:rtl/>
        </w:rPr>
        <w:t>تعني في هذه الدراسة مستوى المعرفة والمعلومات التي يكتسبها أفراد المجتمع السعودي حول الأمراض العصبية المزمنة من خلال وسائل الإعلام الرقمي، مثل معرفة أسباب هذه الأمراض وأعراضها وطرق الوقاية منها وأساليب التعامل معها</w:t>
      </w:r>
      <w:r w:rsidRPr="00645EB2">
        <w:t>.</w:t>
      </w:r>
    </w:p>
    <w:p w14:paraId="4B48BCE5" w14:textId="0D298445" w:rsidR="000913DC" w:rsidRPr="00645EB2" w:rsidRDefault="000913DC" w:rsidP="000913DC">
      <w:pPr>
        <w:pStyle w:val="a7"/>
        <w:numPr>
          <w:ilvl w:val="0"/>
          <w:numId w:val="3"/>
        </w:numPr>
        <w:rPr>
          <w:rtl/>
        </w:rPr>
      </w:pPr>
      <w:r w:rsidRPr="000913DC">
        <w:rPr>
          <w:b/>
          <w:bCs/>
          <w:rtl/>
        </w:rPr>
        <w:t>الأمراض العصبية المزمنة</w:t>
      </w:r>
      <w:r w:rsidRPr="00645EB2">
        <w:br/>
      </w:r>
      <w:r w:rsidRPr="00645EB2">
        <w:rPr>
          <w:rtl/>
        </w:rPr>
        <w:t>يقصد بها في هذه الدراسة الأمراض المرتبطة بالجهاز العصبي التي يتم تناولها في المحتوى التوعوي عبر وسائل الإعلام الرقمي، والتي يسعى الإعلام الرقمي إلى نشر المعلومات المتعلقة بها لزيادة وعي أفراد المجتمع السعودي بها</w:t>
      </w:r>
      <w:r w:rsidRPr="00645EB2">
        <w:t>.</w:t>
      </w:r>
    </w:p>
    <w:p w14:paraId="67BD2F7F" w14:textId="77777777" w:rsidR="000913DC" w:rsidRDefault="000913DC" w:rsidP="000913DC">
      <w:pPr>
        <w:spacing w:line="360" w:lineRule="auto"/>
        <w:jc w:val="both"/>
        <w:rPr>
          <w:rFonts w:asciiTheme="majorBidi" w:hAnsiTheme="majorBidi" w:cstheme="majorBidi"/>
          <w:sz w:val="28"/>
          <w:szCs w:val="28"/>
          <w:rtl/>
        </w:rPr>
      </w:pPr>
    </w:p>
    <w:p w14:paraId="550ED76B" w14:textId="57F18662" w:rsidR="000913DC" w:rsidRPr="00645EB2" w:rsidRDefault="000913DC" w:rsidP="000913DC">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٦</w:t>
      </w:r>
      <w:r w:rsidRPr="00645EB2">
        <w:rPr>
          <w:rFonts w:asciiTheme="majorBidi" w:hAnsiTheme="majorBidi" w:cstheme="majorBidi"/>
          <w:sz w:val="28"/>
          <w:szCs w:val="28"/>
          <w:rtl/>
        </w:rPr>
        <w:t>- أدوات جمع البيانات</w:t>
      </w:r>
    </w:p>
    <w:p w14:paraId="114BBF1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اعتمدت الدراسة الحالية على الاستبيان كأداة رئيسية لجمع البيانات من أفراد عينة الدراسة، وذلك نظرًا لملاءمته لطبيعة الدراسات الوصفية الميدانية، وقدرته على جمع قدر كبير من المعلومات من عدد كبير من المبحوثين في وقت قصير. كما يتيح الاستبيان إمكانية التعرف على آراء واتجاهات أفراد العينة حول موضوع الدراسة المتمثل في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21EFBCB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وقد تم إعداد الاستبيان في ضوء أهداف الدراسة وتساؤلاتها، بالإضافة إلى الاستفادة من الأدبيات العلمية والدراسات السابقة المرتبطة بموضوع البحث. وتضمن الاستبيان مجموعة من الأسئلة التي تهدف إلى قياس درجة اعتماد أفراد المجتمع على الإعلام الرقمي كمصدر للمعلومات الصحية، ومدى ثقتهم في المنصات الرقمية المختلفة، إضافة إلى قياس تأثير الإعلام الرقمي في تشكيل الوعي الصحي المتعلق بالأمراض العصبية المزمنة</w:t>
      </w:r>
      <w:r w:rsidRPr="00645EB2">
        <w:rPr>
          <w:rFonts w:asciiTheme="majorBidi" w:hAnsiTheme="majorBidi" w:cstheme="majorBidi"/>
          <w:sz w:val="28"/>
          <w:szCs w:val="28"/>
        </w:rPr>
        <w:t>.</w:t>
      </w:r>
    </w:p>
    <w:p w14:paraId="052771A8"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وتكونت أداة الدراسة من جزأين رئيسيين؛ تمثل الجزء الأول في البيانات الأساسية للمبحوثين مثل الجنس، والفئة العمرية، والمستوى التعليمي، والمنطقة الجغرافية، إضافة إلى مدى معاناة المبحوث أو أحد أفراد أسرته من مرض عصبي مزمن، وكذلك معدل استخدام الإعلام الرقمي يوميًا. أما الجزء الثاني فقد اشتمل على مجموعة من المحاور التي تقيس أبعاد الدراسة المختلفة، وتمت صياغة العبارات وفق مقياس ليكرت الخماسي (أوافق جدًا، أوافق، محايد، لا أوافق، لا أوافق جدًا) لقياس اتجاهات أفراد العينة نحو موضوع الدراسة</w:t>
      </w:r>
      <w:r w:rsidRPr="00645EB2">
        <w:rPr>
          <w:rFonts w:asciiTheme="majorBidi" w:hAnsiTheme="majorBidi" w:cstheme="majorBidi"/>
          <w:sz w:val="28"/>
          <w:szCs w:val="28"/>
        </w:rPr>
        <w:t>.</w:t>
      </w:r>
    </w:p>
    <w:p w14:paraId="553FDDD9"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7- تصميم أدوات الدراسة</w:t>
      </w:r>
    </w:p>
    <w:p w14:paraId="0E2EA0E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تم تصميم أداة الدراسة (الاستبيان) في ضوء أهداف الدراسة وتساؤلاتها، وبعد الاطلاع على الأدبيات العلمية والدراسات السابقة المرتبطة بموضوع الإعلام الرقمي والتوعية الصحية. وقد روعي في إعداد الأداة أن تكون </w:t>
      </w:r>
      <w:r w:rsidRPr="00645EB2">
        <w:rPr>
          <w:rFonts w:asciiTheme="majorBidi" w:hAnsiTheme="majorBidi" w:cstheme="majorBidi"/>
          <w:sz w:val="28"/>
          <w:szCs w:val="28"/>
          <w:rtl/>
        </w:rPr>
        <w:lastRenderedPageBreak/>
        <w:t>العبارات واضحة ومباشرة بحيث تسهم في قياس آراء واتجاهات أفراد عينة الدراسة حول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2DE08EC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وتكونت أداة الدراسة من جزأين رئيسيين؛ حيث اشتمل الجزء الأول على البيانات الأساسية للمبحوثين، والتي تضمنت مجموعة من المتغيرات الديموغرافية مثل: الجنس، والفئة العمرية، والمستوى التعليمي، والمنطقة الجغرافية، إضافة إلى ما إذا كان المبحوث أو أحد أفراد أسرته يعاني من مرض عصبي مزمن، وكذلك معدل استخدام الإعلام الرقمي يوميًا. ويهدف هذا الجزء إلى التعرف على الخصائص العامة لأفراد عينة الدراسة</w:t>
      </w:r>
      <w:r w:rsidRPr="00645EB2">
        <w:rPr>
          <w:rFonts w:asciiTheme="majorBidi" w:hAnsiTheme="majorBidi" w:cstheme="majorBidi"/>
          <w:sz w:val="28"/>
          <w:szCs w:val="28"/>
        </w:rPr>
        <w:t>.</w:t>
      </w:r>
    </w:p>
    <w:p w14:paraId="1AD2F4C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أما الجزء الثاني من الاستبيان فقد اشتمل على ستة محاور رئيسية لقياس أبعاد الدراسة المختلفة، حيث تناول المحور الأول درجة اعتماد أفراد المجتمع على الإعلام الرقمي كمصدر للمعلومات الصحية. بينما تناول المحور الثاني المنصات الرقمية ومدى موثوقية المعلومات الصحية المتداولة عبرها. أما المحور الثالث فقد ركز على تأثير الإعلام الرقمي في تشكيل الوعي الصحي لدى الأفراد تجاه الأمراض العصبية المزمنة</w:t>
      </w:r>
      <w:r w:rsidRPr="00645EB2">
        <w:rPr>
          <w:rFonts w:asciiTheme="majorBidi" w:hAnsiTheme="majorBidi" w:cstheme="majorBidi"/>
          <w:sz w:val="28"/>
          <w:szCs w:val="28"/>
        </w:rPr>
        <w:t>.</w:t>
      </w:r>
    </w:p>
    <w:p w14:paraId="2A04AFB6"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كما تضمن المحور الرابع التحديات التي تواجه الإعلام الرقمي في نشر المعلومات الصحية، مثل انتشار المعلومات غير الدقيقة أو تضارب المعلومات بين المنصات المختلفة. بينما تناول المحور الخامس تأثير المعلومات الرقمية على السلوك الصحي والقرارات العلاجية لدى الأفراد. أما المحور السادس والأخير فقد ركز على سبل تعزيز دور الإعلام الرقمي في نشر التوعية الصحية، مثل تعزيز الرقابة على المحتوى الصحي وزيادة مشاركة الجهات الصحية الرسمية في الحملات التوعوية الرقمية</w:t>
      </w:r>
      <w:r w:rsidRPr="00645EB2">
        <w:rPr>
          <w:rFonts w:asciiTheme="majorBidi" w:hAnsiTheme="majorBidi" w:cstheme="majorBidi"/>
          <w:sz w:val="28"/>
          <w:szCs w:val="28"/>
        </w:rPr>
        <w:t>.</w:t>
      </w:r>
    </w:p>
    <w:p w14:paraId="10D5AEE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8- المقاييس والمعالجات الإحصائية</w:t>
      </w:r>
    </w:p>
    <w:p w14:paraId="70A3F9A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اعتمدت الدراسة على مجموعة من الأساليب الإحصائية المناسبة لطبيعة الدراسة الوصفية الميدانية، وذلك بهدف تحليل البيانات التي تم جمعها من خلال الاستبيان والوصول إلى نتائج علمية دقيقة تساعد في تفسير الظاهرة محل الدراسة. وقد تم استخدام عدد من المقاييس الإحصائية الوصفية لتحليل استجابات أفراد عينة الدراسة البالغ عددهم (400) مفردة</w:t>
      </w:r>
      <w:r w:rsidRPr="00645EB2">
        <w:rPr>
          <w:rFonts w:asciiTheme="majorBidi" w:hAnsiTheme="majorBidi" w:cstheme="majorBidi"/>
          <w:sz w:val="28"/>
          <w:szCs w:val="28"/>
        </w:rPr>
        <w:t>.</w:t>
      </w:r>
    </w:p>
    <w:p w14:paraId="5DAD9A2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وتضمنت المعالجات الإحصائية المستخدمة التكرارات والنسب المئوية للتعرف على الخصائص الديموغرافية لأفراد العينة وتوزيع استجاباتهم، إضافة إلى استخدام المتوسط الحسابي لقياس درجة موافقة أفراد العينة على عبارات الاستبيان، وكذلك الانحراف المعياري لمعرفة مدى تشتت الاستجابات حول المتوسط الحسابي، مما يساعد في تفسير درجة الاتفاق أو الاختلاف بين أفراد العينة</w:t>
      </w:r>
      <w:r w:rsidRPr="00645EB2">
        <w:rPr>
          <w:rFonts w:asciiTheme="majorBidi" w:hAnsiTheme="majorBidi" w:cstheme="majorBidi"/>
          <w:sz w:val="28"/>
          <w:szCs w:val="28"/>
        </w:rPr>
        <w:t>.</w:t>
      </w:r>
    </w:p>
    <w:p w14:paraId="67FF3782"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lastRenderedPageBreak/>
        <w:t>كما تم استخدام مقياس ليكرت الخماسي في قياس اتجاهات أفراد العينة نحو عبارات الاستبيان، حيث تم إعطاء درجات رقمية لكل مستوى من مستويات الإجابة</w:t>
      </w:r>
    </w:p>
    <w:p w14:paraId="45016DA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عرض وتحليل البيانات الأساسية لعينة الدراسة</w:t>
      </w:r>
    </w:p>
    <w:p w14:paraId="62D8DAC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في هذا الجزء يتم عرض الخصائص الديموغرافية لأفراد عينة الدراسة، والتي يبلغ عددها (400) مفردة من المجتمع السعودي. ويساعد تحليل هذه البيانات في التعرف على السمات العامة للمبحوثين، مثل الجنس والفئة العمرية والمستوى التعليمي والمنطقة الجغرافية، إضافة إلى معدل استخدام الإعلام الرقمي ومدى وجود أمراض عصبية مزمنة لدى المبحوث أو أحد أفراد أسرته. كما يسهم ذلك في إعطاء صورة واضحة عن طبيعة العينة التي تم تطبيق الدراسة عليها</w:t>
      </w:r>
      <w:r w:rsidRPr="00645EB2">
        <w:rPr>
          <w:rFonts w:asciiTheme="majorBidi" w:hAnsiTheme="majorBidi" w:cstheme="majorBidi"/>
          <w:sz w:val="28"/>
          <w:szCs w:val="28"/>
        </w:rPr>
        <w:t>.</w:t>
      </w:r>
    </w:p>
    <w:p w14:paraId="344D5A0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عرض وتحليل البيانات الأساسية لعينة الدراسة</w:t>
      </w:r>
    </w:p>
    <w:p w14:paraId="1683D40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في هذا الجزء يتم عرض الخصائص الديموغرافية لأفراد عينة الدراسة، والتي يبلغ عددها (400) مفردة من المجتمع السعودي. ويساعد تحليل هذه البيانات في التعرف على السمات العامة للمبحوثين، مثل الجنس والفئة العمرية والمستوى التعليمي والمنطقة الجغرافية، إضافة إلى معدل استخدام الإعلام الرقمي ومدى وجود أمراض عصبية مزمنة لدى المبحوث أو أحد أفراد أسرته. كما يسهم ذلك في إعطاء صورة واضحة عن طبيعة العينة التي تم تطبيق الدراسة عليها</w:t>
      </w:r>
      <w:r w:rsidRPr="00645EB2">
        <w:rPr>
          <w:rFonts w:asciiTheme="majorBidi" w:hAnsiTheme="majorBidi" w:cstheme="majorBidi"/>
          <w:sz w:val="28"/>
          <w:szCs w:val="28"/>
        </w:rPr>
        <w:t>.</w:t>
      </w:r>
    </w:p>
    <w:p w14:paraId="5A69D254" w14:textId="56200C56" w:rsidR="000913DC" w:rsidRPr="00645EB2" w:rsidRDefault="000913DC" w:rsidP="0055407F">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 توزيع أفراد عينة الدراسة حسب الجنس</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41"/>
        <w:gridCol w:w="687"/>
        <w:gridCol w:w="834"/>
      </w:tblGrid>
      <w:tr w:rsidR="000913DC" w:rsidRPr="00645EB2" w14:paraId="6BAC0941" w14:textId="77777777" w:rsidTr="00A171A0">
        <w:trPr>
          <w:tblHeader/>
          <w:tblCellSpacing w:w="15" w:type="dxa"/>
          <w:jc w:val="center"/>
        </w:trPr>
        <w:tc>
          <w:tcPr>
            <w:tcW w:w="0" w:type="auto"/>
            <w:vAlign w:val="center"/>
            <w:hideMark/>
          </w:tcPr>
          <w:p w14:paraId="28B6CCC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النسبة المئوية    </w:t>
            </w:r>
          </w:p>
        </w:tc>
        <w:tc>
          <w:tcPr>
            <w:tcW w:w="0" w:type="auto"/>
            <w:vAlign w:val="center"/>
            <w:hideMark/>
          </w:tcPr>
          <w:p w14:paraId="07DB26E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vAlign w:val="center"/>
            <w:hideMark/>
          </w:tcPr>
          <w:p w14:paraId="7D70CE6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الجنس   </w:t>
            </w:r>
          </w:p>
        </w:tc>
      </w:tr>
      <w:tr w:rsidR="000913DC" w:rsidRPr="00645EB2" w14:paraId="644620D8" w14:textId="77777777" w:rsidTr="00A171A0">
        <w:trPr>
          <w:tblCellSpacing w:w="15" w:type="dxa"/>
          <w:jc w:val="center"/>
        </w:trPr>
        <w:tc>
          <w:tcPr>
            <w:tcW w:w="0" w:type="auto"/>
            <w:vAlign w:val="center"/>
            <w:hideMark/>
          </w:tcPr>
          <w:p w14:paraId="41EC04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48.6%</w:t>
            </w:r>
          </w:p>
        </w:tc>
        <w:tc>
          <w:tcPr>
            <w:tcW w:w="0" w:type="auto"/>
            <w:vAlign w:val="center"/>
            <w:hideMark/>
          </w:tcPr>
          <w:p w14:paraId="167F9A5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190</w:t>
            </w:r>
          </w:p>
        </w:tc>
        <w:tc>
          <w:tcPr>
            <w:tcW w:w="0" w:type="auto"/>
            <w:vAlign w:val="center"/>
            <w:hideMark/>
          </w:tcPr>
          <w:p w14:paraId="384FB10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ذكر</w:t>
            </w:r>
          </w:p>
        </w:tc>
      </w:tr>
      <w:tr w:rsidR="000913DC" w:rsidRPr="00645EB2" w14:paraId="135A1794" w14:textId="77777777" w:rsidTr="00A171A0">
        <w:trPr>
          <w:tblCellSpacing w:w="15" w:type="dxa"/>
          <w:jc w:val="center"/>
        </w:trPr>
        <w:tc>
          <w:tcPr>
            <w:tcW w:w="0" w:type="auto"/>
            <w:vAlign w:val="center"/>
            <w:hideMark/>
          </w:tcPr>
          <w:p w14:paraId="7166E21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51.4%</w:t>
            </w:r>
          </w:p>
        </w:tc>
        <w:tc>
          <w:tcPr>
            <w:tcW w:w="0" w:type="auto"/>
            <w:vAlign w:val="center"/>
            <w:hideMark/>
          </w:tcPr>
          <w:p w14:paraId="12FDAF6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210</w:t>
            </w:r>
          </w:p>
        </w:tc>
        <w:tc>
          <w:tcPr>
            <w:tcW w:w="0" w:type="auto"/>
            <w:vAlign w:val="center"/>
            <w:hideMark/>
          </w:tcPr>
          <w:p w14:paraId="293FE5A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 أنثى</w:t>
            </w:r>
            <w:r w:rsidRPr="00645EB2">
              <w:rPr>
                <w:rFonts w:asciiTheme="majorBidi" w:hAnsiTheme="majorBidi" w:cstheme="majorBidi"/>
                <w:sz w:val="28"/>
                <w:szCs w:val="28"/>
              </w:rPr>
              <w:t xml:space="preserve"> </w:t>
            </w:r>
          </w:p>
        </w:tc>
      </w:tr>
      <w:tr w:rsidR="000913DC" w:rsidRPr="00645EB2" w14:paraId="640C23B7" w14:textId="77777777" w:rsidTr="00A171A0">
        <w:trPr>
          <w:tblCellSpacing w:w="15" w:type="dxa"/>
          <w:jc w:val="center"/>
        </w:trPr>
        <w:tc>
          <w:tcPr>
            <w:tcW w:w="0" w:type="auto"/>
            <w:vAlign w:val="center"/>
            <w:hideMark/>
          </w:tcPr>
          <w:p w14:paraId="02474F6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100 </w:t>
            </w:r>
            <w:r w:rsidRPr="00645EB2">
              <w:rPr>
                <w:rFonts w:asciiTheme="majorBidi" w:hAnsiTheme="majorBidi" w:cstheme="majorBidi"/>
                <w:sz w:val="28"/>
                <w:szCs w:val="28"/>
              </w:rPr>
              <w:t>%</w:t>
            </w:r>
          </w:p>
        </w:tc>
        <w:tc>
          <w:tcPr>
            <w:tcW w:w="0" w:type="auto"/>
            <w:vAlign w:val="center"/>
            <w:hideMark/>
          </w:tcPr>
          <w:p w14:paraId="04BEC71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vAlign w:val="center"/>
            <w:hideMark/>
          </w:tcPr>
          <w:p w14:paraId="25E8839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40C3181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السابق توزيع أفراد عينة الدراسة حسب متغير الجنس، حيث بلغ عدد الذكور (190) مفردة بنسبة (48.6%)، في حين بلغ عدد الإناث (210) مفردة بنسبة (51.4%) من إجمالي عينة الدراسة، مما يشير إلى تقارب نسبي في تمثيل الجنسين داخل العينة</w:t>
      </w:r>
      <w:r w:rsidRPr="00645EB2">
        <w:rPr>
          <w:rFonts w:asciiTheme="majorBidi" w:hAnsiTheme="majorBidi" w:cstheme="majorBidi"/>
          <w:sz w:val="28"/>
          <w:szCs w:val="28"/>
        </w:rPr>
        <w:t>.</w:t>
      </w:r>
    </w:p>
    <w:p w14:paraId="177F364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جدول (2) توزيع أفراد عينة الدراسة حسب الفئة العمرية</w:t>
      </w:r>
    </w:p>
    <w:tbl>
      <w:tblPr>
        <w:tblStyle w:val="af3"/>
        <w:tblW w:w="0" w:type="auto"/>
        <w:jc w:val="center"/>
        <w:tblLook w:val="04A0" w:firstRow="1" w:lastRow="0" w:firstColumn="1" w:lastColumn="0" w:noHBand="0" w:noVBand="1"/>
      </w:tblPr>
      <w:tblGrid>
        <w:gridCol w:w="1296"/>
        <w:gridCol w:w="843"/>
        <w:gridCol w:w="1022"/>
      </w:tblGrid>
      <w:tr w:rsidR="000913DC" w:rsidRPr="00645EB2" w14:paraId="7A3FFF84" w14:textId="77777777" w:rsidTr="00A171A0">
        <w:trPr>
          <w:jc w:val="center"/>
        </w:trPr>
        <w:tc>
          <w:tcPr>
            <w:tcW w:w="0" w:type="auto"/>
            <w:hideMark/>
          </w:tcPr>
          <w:p w14:paraId="0652A73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الفئة العمرية</w:t>
            </w:r>
          </w:p>
        </w:tc>
        <w:tc>
          <w:tcPr>
            <w:tcW w:w="0" w:type="auto"/>
            <w:hideMark/>
          </w:tcPr>
          <w:p w14:paraId="2BE6169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1022" w:type="dxa"/>
          </w:tcPr>
          <w:p w14:paraId="34FD736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الفئة العمرية</w:t>
            </w:r>
          </w:p>
        </w:tc>
      </w:tr>
      <w:tr w:rsidR="000913DC" w:rsidRPr="00645EB2" w14:paraId="3746DB70" w14:textId="77777777" w:rsidTr="00A171A0">
        <w:trPr>
          <w:jc w:val="center"/>
        </w:trPr>
        <w:tc>
          <w:tcPr>
            <w:tcW w:w="0" w:type="auto"/>
            <w:hideMark/>
          </w:tcPr>
          <w:p w14:paraId="043A5C6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17.1%</w:t>
            </w:r>
          </w:p>
        </w:tc>
        <w:tc>
          <w:tcPr>
            <w:tcW w:w="0" w:type="auto"/>
            <w:hideMark/>
          </w:tcPr>
          <w:p w14:paraId="4DF768AE"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70</w:t>
            </w:r>
          </w:p>
        </w:tc>
        <w:tc>
          <w:tcPr>
            <w:tcW w:w="1022" w:type="dxa"/>
          </w:tcPr>
          <w:p w14:paraId="2777BAD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أقل من 20 سنة</w:t>
            </w:r>
          </w:p>
        </w:tc>
      </w:tr>
      <w:tr w:rsidR="000913DC" w:rsidRPr="00645EB2" w14:paraId="72BC3DD5" w14:textId="77777777" w:rsidTr="00A171A0">
        <w:trPr>
          <w:jc w:val="center"/>
        </w:trPr>
        <w:tc>
          <w:tcPr>
            <w:tcW w:w="0" w:type="auto"/>
            <w:hideMark/>
          </w:tcPr>
          <w:p w14:paraId="345D26A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31.4%</w:t>
            </w:r>
          </w:p>
        </w:tc>
        <w:tc>
          <w:tcPr>
            <w:tcW w:w="0" w:type="auto"/>
            <w:hideMark/>
          </w:tcPr>
          <w:p w14:paraId="74A10C7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120</w:t>
            </w:r>
          </w:p>
        </w:tc>
        <w:tc>
          <w:tcPr>
            <w:tcW w:w="1022" w:type="dxa"/>
          </w:tcPr>
          <w:p w14:paraId="616820B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20 – 29 </w:t>
            </w:r>
            <w:r w:rsidRPr="00645EB2">
              <w:rPr>
                <w:rFonts w:asciiTheme="majorBidi" w:hAnsiTheme="majorBidi" w:cstheme="majorBidi"/>
                <w:sz w:val="28"/>
                <w:szCs w:val="28"/>
                <w:rtl/>
              </w:rPr>
              <w:t>سنة</w:t>
            </w:r>
          </w:p>
        </w:tc>
      </w:tr>
      <w:tr w:rsidR="000913DC" w:rsidRPr="00645EB2" w14:paraId="467CF4A1" w14:textId="77777777" w:rsidTr="00A171A0">
        <w:trPr>
          <w:jc w:val="center"/>
        </w:trPr>
        <w:tc>
          <w:tcPr>
            <w:tcW w:w="0" w:type="auto"/>
            <w:hideMark/>
          </w:tcPr>
          <w:p w14:paraId="3A9D126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24.3%</w:t>
            </w:r>
          </w:p>
        </w:tc>
        <w:tc>
          <w:tcPr>
            <w:tcW w:w="0" w:type="auto"/>
            <w:hideMark/>
          </w:tcPr>
          <w:p w14:paraId="36D80D8D"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95</w:t>
            </w:r>
          </w:p>
        </w:tc>
        <w:tc>
          <w:tcPr>
            <w:tcW w:w="1022" w:type="dxa"/>
          </w:tcPr>
          <w:p w14:paraId="198CB80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30 – 39 </w:t>
            </w:r>
            <w:r w:rsidRPr="00645EB2">
              <w:rPr>
                <w:rFonts w:asciiTheme="majorBidi" w:hAnsiTheme="majorBidi" w:cstheme="majorBidi"/>
                <w:sz w:val="28"/>
                <w:szCs w:val="28"/>
                <w:rtl/>
              </w:rPr>
              <w:t>سنة</w:t>
            </w:r>
          </w:p>
        </w:tc>
      </w:tr>
      <w:tr w:rsidR="000913DC" w:rsidRPr="00645EB2" w14:paraId="48E641DC" w14:textId="77777777" w:rsidTr="00A171A0">
        <w:trPr>
          <w:jc w:val="center"/>
        </w:trPr>
        <w:tc>
          <w:tcPr>
            <w:tcW w:w="0" w:type="auto"/>
          </w:tcPr>
          <w:p w14:paraId="42C1A9A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25.7</w:t>
            </w:r>
          </w:p>
        </w:tc>
        <w:tc>
          <w:tcPr>
            <w:tcW w:w="0" w:type="auto"/>
            <w:hideMark/>
          </w:tcPr>
          <w:p w14:paraId="1A95DAA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65</w:t>
            </w:r>
          </w:p>
        </w:tc>
        <w:tc>
          <w:tcPr>
            <w:tcW w:w="1022" w:type="dxa"/>
          </w:tcPr>
          <w:p w14:paraId="01F2565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40 – 49 </w:t>
            </w:r>
            <w:r w:rsidRPr="00645EB2">
              <w:rPr>
                <w:rFonts w:asciiTheme="majorBidi" w:hAnsiTheme="majorBidi" w:cstheme="majorBidi"/>
                <w:sz w:val="28"/>
                <w:szCs w:val="28"/>
                <w:rtl/>
              </w:rPr>
              <w:t>سنة</w:t>
            </w:r>
          </w:p>
        </w:tc>
      </w:tr>
      <w:tr w:rsidR="000913DC" w:rsidRPr="00645EB2" w14:paraId="365E121F" w14:textId="77777777" w:rsidTr="00A171A0">
        <w:trPr>
          <w:jc w:val="center"/>
        </w:trPr>
        <w:tc>
          <w:tcPr>
            <w:tcW w:w="0" w:type="auto"/>
          </w:tcPr>
          <w:p w14:paraId="447965F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11.5%</w:t>
            </w:r>
          </w:p>
        </w:tc>
        <w:tc>
          <w:tcPr>
            <w:tcW w:w="0" w:type="auto"/>
            <w:hideMark/>
          </w:tcPr>
          <w:p w14:paraId="004AC6A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50</w:t>
            </w:r>
          </w:p>
        </w:tc>
        <w:tc>
          <w:tcPr>
            <w:tcW w:w="1022" w:type="dxa"/>
          </w:tcPr>
          <w:p w14:paraId="4FB38E1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50 </w:t>
            </w:r>
            <w:r w:rsidRPr="00645EB2">
              <w:rPr>
                <w:rFonts w:asciiTheme="majorBidi" w:hAnsiTheme="majorBidi" w:cstheme="majorBidi"/>
                <w:sz w:val="28"/>
                <w:szCs w:val="28"/>
                <w:rtl/>
              </w:rPr>
              <w:t>سنة فأكثر</w:t>
            </w:r>
          </w:p>
        </w:tc>
      </w:tr>
      <w:tr w:rsidR="000913DC" w:rsidRPr="00645EB2" w14:paraId="5288FEBF" w14:textId="77777777" w:rsidTr="00A171A0">
        <w:trPr>
          <w:jc w:val="center"/>
        </w:trPr>
        <w:tc>
          <w:tcPr>
            <w:tcW w:w="0" w:type="auto"/>
          </w:tcPr>
          <w:p w14:paraId="51E9FF5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18F64CE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1022" w:type="dxa"/>
          </w:tcPr>
          <w:p w14:paraId="3BF21E8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6CA1D4F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توزيع أفراد عينة الدراسة حسب الفئة العمرية، حيث جاءت الفئة العمرية (20–29 سنة) في المرتبة الأولى بنسبة 31.4% من إجمالي العينة وبعدد 120 مفردة، تلتها الفئة العمرية (30–39 سنة) بنسبة 24.3% وبعدد 95 مفردة، ثم الفئة الأقل من 20 سنة بنسبة 17.1% وبعدد 70 مفردة، بينما بلغت نسبة الفئة العمرية (40–49 سنة) 15.7% وبعدد 65 مفردة، وجاءت الفئة العمرية (50 سنة فأكثر) في المرتبة الأخيرة بنسبة 11.5% وبعدد 50 مفردة. وتشير هذه النتائج إلى أن غالبية أفراد العينة ينتمون إلى الفئات العمرية الشابة ومتوسطة العمر، مما يوفر تمثيلًا مناسبًا للفئات الأكثر تفاعلًا مع موضوع الدراسة</w:t>
      </w:r>
      <w:r w:rsidRPr="00645EB2">
        <w:rPr>
          <w:rFonts w:asciiTheme="majorBidi" w:hAnsiTheme="majorBidi" w:cstheme="majorBidi"/>
          <w:sz w:val="28"/>
          <w:szCs w:val="28"/>
        </w:rPr>
        <w:t>.</w:t>
      </w:r>
    </w:p>
    <w:p w14:paraId="1773803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(3) توزيع أفراد عينة الدراسة حسب المستوى التعليمي</w:t>
      </w:r>
    </w:p>
    <w:tbl>
      <w:tblPr>
        <w:tblStyle w:val="af3"/>
        <w:tblW w:w="0" w:type="auto"/>
        <w:jc w:val="center"/>
        <w:tblLook w:val="04A0" w:firstRow="1" w:lastRow="0" w:firstColumn="1" w:lastColumn="0" w:noHBand="0" w:noVBand="1"/>
      </w:tblPr>
      <w:tblGrid>
        <w:gridCol w:w="1413"/>
        <w:gridCol w:w="843"/>
        <w:gridCol w:w="1725"/>
      </w:tblGrid>
      <w:tr w:rsidR="000913DC" w:rsidRPr="00645EB2" w14:paraId="6ECC6091" w14:textId="77777777" w:rsidTr="00A171A0">
        <w:trPr>
          <w:jc w:val="center"/>
        </w:trPr>
        <w:tc>
          <w:tcPr>
            <w:tcW w:w="1413" w:type="dxa"/>
            <w:hideMark/>
          </w:tcPr>
          <w:p w14:paraId="450B77B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hideMark/>
          </w:tcPr>
          <w:p w14:paraId="63FC228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hideMark/>
          </w:tcPr>
          <w:p w14:paraId="5AC5BC0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المستوي التعليمي</w:t>
            </w:r>
          </w:p>
        </w:tc>
      </w:tr>
      <w:tr w:rsidR="000913DC" w:rsidRPr="00645EB2" w14:paraId="5CE52FC1" w14:textId="77777777" w:rsidTr="00A171A0">
        <w:trPr>
          <w:jc w:val="center"/>
        </w:trPr>
        <w:tc>
          <w:tcPr>
            <w:tcW w:w="1413" w:type="dxa"/>
            <w:hideMark/>
          </w:tcPr>
          <w:p w14:paraId="31A181B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lastRenderedPageBreak/>
              <w:t>20%</w:t>
            </w:r>
          </w:p>
        </w:tc>
        <w:tc>
          <w:tcPr>
            <w:tcW w:w="0" w:type="auto"/>
            <w:hideMark/>
          </w:tcPr>
          <w:p w14:paraId="1BF9A6F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80</w:t>
            </w:r>
          </w:p>
        </w:tc>
        <w:tc>
          <w:tcPr>
            <w:tcW w:w="0" w:type="auto"/>
            <w:hideMark/>
          </w:tcPr>
          <w:p w14:paraId="5386292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ثانوي أو أقل</w:t>
            </w:r>
          </w:p>
        </w:tc>
      </w:tr>
      <w:tr w:rsidR="000913DC" w:rsidRPr="00645EB2" w14:paraId="3AFF1ADB" w14:textId="77777777" w:rsidTr="00A171A0">
        <w:trPr>
          <w:jc w:val="center"/>
        </w:trPr>
        <w:tc>
          <w:tcPr>
            <w:tcW w:w="1413" w:type="dxa"/>
            <w:hideMark/>
          </w:tcPr>
          <w:p w14:paraId="5F65EB9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18.6%</w:t>
            </w:r>
          </w:p>
        </w:tc>
        <w:tc>
          <w:tcPr>
            <w:tcW w:w="0" w:type="auto"/>
            <w:hideMark/>
          </w:tcPr>
          <w:p w14:paraId="640C9A1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75</w:t>
            </w:r>
          </w:p>
        </w:tc>
        <w:tc>
          <w:tcPr>
            <w:tcW w:w="0" w:type="auto"/>
            <w:hideMark/>
          </w:tcPr>
          <w:p w14:paraId="5281073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دبلوم</w:t>
            </w:r>
          </w:p>
        </w:tc>
      </w:tr>
      <w:tr w:rsidR="000913DC" w:rsidRPr="00645EB2" w14:paraId="2B7D7747" w14:textId="77777777" w:rsidTr="00A171A0">
        <w:trPr>
          <w:jc w:val="center"/>
        </w:trPr>
        <w:tc>
          <w:tcPr>
            <w:tcW w:w="1413" w:type="dxa"/>
            <w:hideMark/>
          </w:tcPr>
          <w:p w14:paraId="67B614C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42.9%</w:t>
            </w:r>
          </w:p>
        </w:tc>
        <w:tc>
          <w:tcPr>
            <w:tcW w:w="0" w:type="auto"/>
            <w:hideMark/>
          </w:tcPr>
          <w:p w14:paraId="4F48129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160</w:t>
            </w:r>
          </w:p>
        </w:tc>
        <w:tc>
          <w:tcPr>
            <w:tcW w:w="0" w:type="auto"/>
            <w:hideMark/>
          </w:tcPr>
          <w:p w14:paraId="1AFE5E8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بكالوريوس</w:t>
            </w:r>
          </w:p>
        </w:tc>
      </w:tr>
      <w:tr w:rsidR="000913DC" w:rsidRPr="00645EB2" w14:paraId="5FE8629D" w14:textId="77777777" w:rsidTr="00A171A0">
        <w:trPr>
          <w:jc w:val="center"/>
        </w:trPr>
        <w:tc>
          <w:tcPr>
            <w:tcW w:w="1413" w:type="dxa"/>
            <w:hideMark/>
          </w:tcPr>
          <w:p w14:paraId="0755998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18.5%</w:t>
            </w:r>
          </w:p>
        </w:tc>
        <w:tc>
          <w:tcPr>
            <w:tcW w:w="0" w:type="auto"/>
            <w:hideMark/>
          </w:tcPr>
          <w:p w14:paraId="79F0063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95</w:t>
            </w:r>
          </w:p>
        </w:tc>
        <w:tc>
          <w:tcPr>
            <w:tcW w:w="0" w:type="auto"/>
            <w:hideMark/>
          </w:tcPr>
          <w:p w14:paraId="082A757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دراسات عليا</w:t>
            </w:r>
          </w:p>
        </w:tc>
      </w:tr>
      <w:tr w:rsidR="000913DC" w:rsidRPr="00645EB2" w14:paraId="7C8BDD79" w14:textId="77777777" w:rsidTr="00A171A0">
        <w:trPr>
          <w:jc w:val="center"/>
        </w:trPr>
        <w:tc>
          <w:tcPr>
            <w:tcW w:w="1413" w:type="dxa"/>
            <w:hideMark/>
          </w:tcPr>
          <w:p w14:paraId="711C16D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5DA464C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06BC300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1CBC761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توزيع أفراد عينة الدراسة وفقًا للمستوى التعليمي، حيث جاءت فئة الحاصلين على درجة البكالوريوس في المرتبة الأولى بنسبة 42.9% وبعدد 160 مفردة، مما يدل على أن غالبية أفراد العينة يتمتعون بمستوى تعليمي جامعي. تلتها فئة الحاصلين على شهادة الثانوية أو أقل بنسبة 20% وبعدد 80 مفردة، ثم فئة الدبلوم بنسبة 18.6% وبعدد 75 مفردة، بينما جاءت فئة الدراسات العليا بنسبة 18.5% وبعدد 95 مفردة. وتشير هذه النتائج إلى تنوع المستويات التعليمية لأفراد العينة مع</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المؤهل الجامعي، الأمر الذي يعزز من قدرة المشاركين على فهم موضوع الدراسة والإجابة على أسئلتها بدقة</w:t>
      </w:r>
      <w:r w:rsidRPr="00645EB2">
        <w:rPr>
          <w:rFonts w:asciiTheme="majorBidi" w:hAnsiTheme="majorBidi" w:cstheme="majorBidi"/>
          <w:sz w:val="28"/>
          <w:szCs w:val="28"/>
        </w:rPr>
        <w:t>.</w:t>
      </w:r>
    </w:p>
    <w:p w14:paraId="050B82C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(4) توزيع أفراد عينة الدراسة حسب المنطقة</w:t>
      </w:r>
    </w:p>
    <w:tbl>
      <w:tblPr>
        <w:tblStyle w:val="af3"/>
        <w:tblW w:w="0" w:type="auto"/>
        <w:jc w:val="center"/>
        <w:tblLook w:val="04A0" w:firstRow="1" w:lastRow="0" w:firstColumn="1" w:lastColumn="0" w:noHBand="0" w:noVBand="1"/>
      </w:tblPr>
      <w:tblGrid>
        <w:gridCol w:w="940"/>
        <w:gridCol w:w="843"/>
        <w:gridCol w:w="1636"/>
      </w:tblGrid>
      <w:tr w:rsidR="000913DC" w:rsidRPr="00645EB2" w14:paraId="664E45AB" w14:textId="77777777" w:rsidTr="00A171A0">
        <w:trPr>
          <w:jc w:val="center"/>
        </w:trPr>
        <w:tc>
          <w:tcPr>
            <w:tcW w:w="930" w:type="dxa"/>
            <w:hideMark/>
          </w:tcPr>
          <w:p w14:paraId="25A438F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hideMark/>
          </w:tcPr>
          <w:p w14:paraId="282A82E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hideMark/>
          </w:tcPr>
          <w:p w14:paraId="01EC6E4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w:t>
            </w:r>
          </w:p>
        </w:tc>
      </w:tr>
      <w:tr w:rsidR="000913DC" w:rsidRPr="00645EB2" w14:paraId="7A6A7F55" w14:textId="77777777" w:rsidTr="00A171A0">
        <w:trPr>
          <w:jc w:val="center"/>
        </w:trPr>
        <w:tc>
          <w:tcPr>
            <w:tcW w:w="930" w:type="dxa"/>
            <w:hideMark/>
          </w:tcPr>
          <w:p w14:paraId="63D3A8B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27.1%</w:t>
            </w:r>
          </w:p>
        </w:tc>
        <w:tc>
          <w:tcPr>
            <w:tcW w:w="0" w:type="auto"/>
            <w:hideMark/>
          </w:tcPr>
          <w:p w14:paraId="49FC14B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105</w:t>
            </w:r>
          </w:p>
        </w:tc>
        <w:tc>
          <w:tcPr>
            <w:tcW w:w="0" w:type="auto"/>
            <w:hideMark/>
          </w:tcPr>
          <w:p w14:paraId="66B2F4E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الوسطي</w:t>
            </w:r>
          </w:p>
        </w:tc>
      </w:tr>
      <w:tr w:rsidR="000913DC" w:rsidRPr="00645EB2" w14:paraId="22A4815E" w14:textId="77777777" w:rsidTr="00A171A0">
        <w:trPr>
          <w:jc w:val="center"/>
        </w:trPr>
        <w:tc>
          <w:tcPr>
            <w:tcW w:w="930" w:type="dxa"/>
            <w:hideMark/>
          </w:tcPr>
          <w:p w14:paraId="62A3E74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24.3%</w:t>
            </w:r>
          </w:p>
        </w:tc>
        <w:tc>
          <w:tcPr>
            <w:tcW w:w="0" w:type="auto"/>
            <w:hideMark/>
          </w:tcPr>
          <w:p w14:paraId="44EC4AF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95</w:t>
            </w:r>
          </w:p>
        </w:tc>
        <w:tc>
          <w:tcPr>
            <w:tcW w:w="0" w:type="auto"/>
            <w:hideMark/>
          </w:tcPr>
          <w:p w14:paraId="380493BD"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الغربية</w:t>
            </w:r>
          </w:p>
        </w:tc>
      </w:tr>
      <w:tr w:rsidR="000913DC" w:rsidRPr="00645EB2" w14:paraId="0BFDA2E8" w14:textId="77777777" w:rsidTr="00A171A0">
        <w:trPr>
          <w:jc w:val="center"/>
        </w:trPr>
        <w:tc>
          <w:tcPr>
            <w:tcW w:w="930" w:type="dxa"/>
            <w:hideMark/>
          </w:tcPr>
          <w:p w14:paraId="1C03C67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20%</w:t>
            </w:r>
          </w:p>
        </w:tc>
        <w:tc>
          <w:tcPr>
            <w:tcW w:w="0" w:type="auto"/>
            <w:hideMark/>
          </w:tcPr>
          <w:p w14:paraId="57E1C2D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80</w:t>
            </w:r>
          </w:p>
        </w:tc>
        <w:tc>
          <w:tcPr>
            <w:tcW w:w="0" w:type="auto"/>
            <w:hideMark/>
          </w:tcPr>
          <w:p w14:paraId="0AFC4C0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الشرقية</w:t>
            </w:r>
          </w:p>
        </w:tc>
      </w:tr>
      <w:tr w:rsidR="000913DC" w:rsidRPr="00645EB2" w14:paraId="53AE4CD9" w14:textId="77777777" w:rsidTr="00A171A0">
        <w:trPr>
          <w:jc w:val="center"/>
        </w:trPr>
        <w:tc>
          <w:tcPr>
            <w:tcW w:w="930" w:type="dxa"/>
            <w:hideMark/>
          </w:tcPr>
          <w:p w14:paraId="1C5F432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14.3%</w:t>
            </w:r>
          </w:p>
        </w:tc>
        <w:tc>
          <w:tcPr>
            <w:tcW w:w="0" w:type="auto"/>
            <w:hideMark/>
          </w:tcPr>
          <w:p w14:paraId="0D9FCA5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60</w:t>
            </w:r>
          </w:p>
        </w:tc>
        <w:tc>
          <w:tcPr>
            <w:tcW w:w="0" w:type="auto"/>
            <w:hideMark/>
          </w:tcPr>
          <w:p w14:paraId="46234F8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الشمالية</w:t>
            </w:r>
          </w:p>
        </w:tc>
      </w:tr>
      <w:tr w:rsidR="000913DC" w:rsidRPr="00645EB2" w14:paraId="5E0C0850" w14:textId="77777777" w:rsidTr="00A171A0">
        <w:trPr>
          <w:jc w:val="center"/>
        </w:trPr>
        <w:tc>
          <w:tcPr>
            <w:tcW w:w="930" w:type="dxa"/>
            <w:hideMark/>
          </w:tcPr>
          <w:p w14:paraId="60C70F2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14.3%</w:t>
            </w:r>
          </w:p>
        </w:tc>
        <w:tc>
          <w:tcPr>
            <w:tcW w:w="0" w:type="auto"/>
            <w:hideMark/>
          </w:tcPr>
          <w:p w14:paraId="4F9C26D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60</w:t>
            </w:r>
          </w:p>
        </w:tc>
        <w:tc>
          <w:tcPr>
            <w:tcW w:w="0" w:type="auto"/>
            <w:hideMark/>
          </w:tcPr>
          <w:p w14:paraId="348B461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الجنوبية</w:t>
            </w:r>
          </w:p>
        </w:tc>
      </w:tr>
      <w:tr w:rsidR="000913DC" w:rsidRPr="00645EB2" w14:paraId="1F553986" w14:textId="77777777" w:rsidTr="00A171A0">
        <w:trPr>
          <w:jc w:val="center"/>
        </w:trPr>
        <w:tc>
          <w:tcPr>
            <w:tcW w:w="930" w:type="dxa"/>
            <w:hideMark/>
          </w:tcPr>
          <w:p w14:paraId="0EA7D4D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579DAFB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576A2D3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238C99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توزيع أفراد عينة الدراسة حسب المنطقة الجغرافية، حيث جاءت المنطقة الوسطى في المرتبة الأولى بنسبة 27.1% وبعدد 105 مفردات، تلتها المنطقة الغربية بنسبة 24.3% وبعدد 95 مفردة، ثم المنطقة </w:t>
      </w:r>
      <w:r w:rsidRPr="00645EB2">
        <w:rPr>
          <w:rFonts w:asciiTheme="majorBidi" w:hAnsiTheme="majorBidi" w:cstheme="majorBidi"/>
          <w:sz w:val="28"/>
          <w:szCs w:val="28"/>
          <w:rtl/>
        </w:rPr>
        <w:lastRenderedPageBreak/>
        <w:t>الشرقية بنسبة 20% وبعدد 80 مفردة. كما تساوت كل من المنطقة الشمالية والمنطقة الجنوبية بنسبة 14.3% وبعدد 60 مفردة لكل منهما. وتشير هذه النتائج إلى أن العينة شملت مشاركين من مختلف مناطق المملكة، مع تمثيل أكبر للمنطقتين الوسطى والغربية، مما يعزز من تنوع العينة ويزيد من إمكانية تعميم نتائج الدراسة على المجتمع المستهدف</w:t>
      </w:r>
      <w:r w:rsidRPr="00645EB2">
        <w:rPr>
          <w:rFonts w:asciiTheme="majorBidi" w:hAnsiTheme="majorBidi" w:cstheme="majorBidi"/>
          <w:sz w:val="28"/>
          <w:szCs w:val="28"/>
        </w:rPr>
        <w:t>.</w:t>
      </w:r>
    </w:p>
    <w:p w14:paraId="63E5E87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(5) وجود مرض عصبي مزمن لدى المبحوث أو أحد أفراد أسرته</w:t>
      </w:r>
    </w:p>
    <w:tbl>
      <w:tblPr>
        <w:tblStyle w:val="af3"/>
        <w:tblW w:w="0" w:type="auto"/>
        <w:jc w:val="center"/>
        <w:tblLook w:val="04A0" w:firstRow="1" w:lastRow="0" w:firstColumn="1" w:lastColumn="0" w:noHBand="0" w:noVBand="1"/>
      </w:tblPr>
      <w:tblGrid>
        <w:gridCol w:w="975"/>
        <w:gridCol w:w="843"/>
        <w:gridCol w:w="975"/>
      </w:tblGrid>
      <w:tr w:rsidR="000913DC" w:rsidRPr="00645EB2" w14:paraId="4A1DBAC4" w14:textId="77777777" w:rsidTr="00A171A0">
        <w:trPr>
          <w:jc w:val="center"/>
        </w:trPr>
        <w:tc>
          <w:tcPr>
            <w:tcW w:w="975" w:type="dxa"/>
            <w:hideMark/>
          </w:tcPr>
          <w:p w14:paraId="06134A1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hideMark/>
          </w:tcPr>
          <w:p w14:paraId="2D0D09D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hideMark/>
          </w:tcPr>
          <w:p w14:paraId="683EBE7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الاجابه </w:t>
            </w:r>
          </w:p>
        </w:tc>
      </w:tr>
      <w:tr w:rsidR="000913DC" w:rsidRPr="00645EB2" w14:paraId="6972304E" w14:textId="77777777" w:rsidTr="00A171A0">
        <w:trPr>
          <w:jc w:val="center"/>
        </w:trPr>
        <w:tc>
          <w:tcPr>
            <w:tcW w:w="975" w:type="dxa"/>
            <w:hideMark/>
          </w:tcPr>
          <w:p w14:paraId="7192BB6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34.3%</w:t>
            </w:r>
          </w:p>
        </w:tc>
        <w:tc>
          <w:tcPr>
            <w:tcW w:w="0" w:type="auto"/>
            <w:hideMark/>
          </w:tcPr>
          <w:p w14:paraId="252B71B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150</w:t>
            </w:r>
          </w:p>
        </w:tc>
        <w:tc>
          <w:tcPr>
            <w:tcW w:w="0" w:type="auto"/>
            <w:hideMark/>
          </w:tcPr>
          <w:p w14:paraId="0EB5A47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نعم</w:t>
            </w:r>
          </w:p>
        </w:tc>
      </w:tr>
      <w:tr w:rsidR="000913DC" w:rsidRPr="00645EB2" w14:paraId="40BD5049" w14:textId="77777777" w:rsidTr="00A171A0">
        <w:trPr>
          <w:jc w:val="center"/>
        </w:trPr>
        <w:tc>
          <w:tcPr>
            <w:tcW w:w="975" w:type="dxa"/>
            <w:hideMark/>
          </w:tcPr>
          <w:p w14:paraId="5CB4157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57.1%</w:t>
            </w:r>
          </w:p>
        </w:tc>
        <w:tc>
          <w:tcPr>
            <w:tcW w:w="0" w:type="auto"/>
            <w:hideMark/>
          </w:tcPr>
          <w:p w14:paraId="03A7B2F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220</w:t>
            </w:r>
          </w:p>
        </w:tc>
        <w:tc>
          <w:tcPr>
            <w:tcW w:w="0" w:type="auto"/>
            <w:hideMark/>
          </w:tcPr>
          <w:p w14:paraId="5388C368"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لا</w:t>
            </w:r>
          </w:p>
        </w:tc>
      </w:tr>
      <w:tr w:rsidR="000913DC" w:rsidRPr="00645EB2" w14:paraId="04B1761C" w14:textId="77777777" w:rsidTr="00A171A0">
        <w:trPr>
          <w:jc w:val="center"/>
        </w:trPr>
        <w:tc>
          <w:tcPr>
            <w:tcW w:w="975" w:type="dxa"/>
            <w:hideMark/>
          </w:tcPr>
          <w:p w14:paraId="39BDE2C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8.6%</w:t>
            </w:r>
          </w:p>
        </w:tc>
        <w:tc>
          <w:tcPr>
            <w:tcW w:w="0" w:type="auto"/>
            <w:hideMark/>
          </w:tcPr>
          <w:p w14:paraId="44B0BE9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30</w:t>
            </w:r>
          </w:p>
        </w:tc>
        <w:tc>
          <w:tcPr>
            <w:tcW w:w="0" w:type="auto"/>
            <w:hideMark/>
          </w:tcPr>
          <w:p w14:paraId="4B8D3EDD"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أخرى</w:t>
            </w:r>
          </w:p>
        </w:tc>
      </w:tr>
      <w:tr w:rsidR="000913DC" w:rsidRPr="00645EB2" w14:paraId="6DC12256" w14:textId="77777777" w:rsidTr="00A171A0">
        <w:trPr>
          <w:jc w:val="center"/>
        </w:trPr>
        <w:tc>
          <w:tcPr>
            <w:tcW w:w="975" w:type="dxa"/>
            <w:hideMark/>
          </w:tcPr>
          <w:p w14:paraId="270CD12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31BFF1B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2BA82C88"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254F41A4" w14:textId="77777777" w:rsidR="000913DC" w:rsidRPr="00645EB2" w:rsidRDefault="000913DC" w:rsidP="000913DC">
      <w:pPr>
        <w:spacing w:line="360" w:lineRule="auto"/>
        <w:jc w:val="both"/>
        <w:rPr>
          <w:rFonts w:asciiTheme="majorBidi" w:hAnsiTheme="majorBidi" w:cstheme="majorBidi"/>
          <w:sz w:val="28"/>
          <w:szCs w:val="28"/>
          <w:rtl/>
        </w:rPr>
      </w:pPr>
    </w:p>
    <w:p w14:paraId="6C9608E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أظهرت النتائج أن 57.1% من أفراد العينة لم يكن لديهم أو لدى أسرهم أي مرض عصبي مزمن، بينما أفاد 34.3% بوجود إصابة، وهي نسبة غير قليلة قد تُعزى إلى انتشار الأمراض العصبية في المجتمع أو إلى قرب العلاقة الأسرية مع المرضى، وهو ما قد يؤثر في اتجاهات المبحوثين نحو استخدام الإعلام الرقمي في هذا المجال</w:t>
      </w:r>
      <w:r w:rsidRPr="00645EB2">
        <w:rPr>
          <w:rFonts w:asciiTheme="majorBidi" w:hAnsiTheme="majorBidi" w:cstheme="majorBidi"/>
          <w:sz w:val="28"/>
          <w:szCs w:val="28"/>
        </w:rPr>
        <w:t>.</w:t>
      </w:r>
    </w:p>
    <w:p w14:paraId="52E0FF2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(6) معدل استخدام الإعلام الرقمي يوميًا</w:t>
      </w:r>
    </w:p>
    <w:tbl>
      <w:tblPr>
        <w:tblStyle w:val="af"/>
        <w:tblW w:w="0" w:type="auto"/>
        <w:jc w:val="center"/>
        <w:tblLook w:val="04A0" w:firstRow="1" w:lastRow="0" w:firstColumn="1" w:lastColumn="0" w:noHBand="0" w:noVBand="1"/>
      </w:tblPr>
      <w:tblGrid>
        <w:gridCol w:w="945"/>
        <w:gridCol w:w="843"/>
        <w:gridCol w:w="2622"/>
      </w:tblGrid>
      <w:tr w:rsidR="000913DC" w:rsidRPr="00645EB2" w14:paraId="2BA6F3F0" w14:textId="77777777" w:rsidTr="00A171A0">
        <w:trPr>
          <w:jc w:val="center"/>
        </w:trPr>
        <w:tc>
          <w:tcPr>
            <w:tcW w:w="945" w:type="dxa"/>
            <w:hideMark/>
          </w:tcPr>
          <w:p w14:paraId="1CA8741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tcBorders>
              <w:bottom w:val="single" w:sz="4" w:space="0" w:color="auto"/>
            </w:tcBorders>
            <w:hideMark/>
          </w:tcPr>
          <w:p w14:paraId="0579C3A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tcBorders>
              <w:left w:val="single" w:sz="4" w:space="0" w:color="auto"/>
            </w:tcBorders>
            <w:hideMark/>
          </w:tcPr>
          <w:p w14:paraId="2B5309A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معدل الاستخدام</w:t>
            </w:r>
          </w:p>
        </w:tc>
      </w:tr>
      <w:tr w:rsidR="000913DC" w:rsidRPr="00645EB2" w14:paraId="123DF96B" w14:textId="77777777" w:rsidTr="00A171A0">
        <w:trPr>
          <w:jc w:val="center"/>
        </w:trPr>
        <w:tc>
          <w:tcPr>
            <w:tcW w:w="945" w:type="dxa"/>
            <w:hideMark/>
          </w:tcPr>
          <w:p w14:paraId="3EE8F99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11.4%</w:t>
            </w:r>
          </w:p>
        </w:tc>
        <w:tc>
          <w:tcPr>
            <w:tcW w:w="0" w:type="auto"/>
            <w:tcBorders>
              <w:top w:val="single" w:sz="4" w:space="0" w:color="auto"/>
            </w:tcBorders>
            <w:hideMark/>
          </w:tcPr>
          <w:p w14:paraId="0ABC8AB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50</w:t>
            </w:r>
          </w:p>
        </w:tc>
        <w:tc>
          <w:tcPr>
            <w:tcW w:w="0" w:type="auto"/>
            <w:tcBorders>
              <w:left w:val="single" w:sz="4" w:space="0" w:color="auto"/>
            </w:tcBorders>
            <w:hideMark/>
          </w:tcPr>
          <w:p w14:paraId="7E22A5C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أقل من ساعة</w:t>
            </w:r>
          </w:p>
        </w:tc>
      </w:tr>
      <w:tr w:rsidR="000913DC" w:rsidRPr="00645EB2" w14:paraId="091D1034" w14:textId="77777777" w:rsidTr="00A171A0">
        <w:trPr>
          <w:jc w:val="center"/>
        </w:trPr>
        <w:tc>
          <w:tcPr>
            <w:tcW w:w="945" w:type="dxa"/>
            <w:hideMark/>
          </w:tcPr>
          <w:p w14:paraId="6E962D9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31.4%</w:t>
            </w:r>
          </w:p>
        </w:tc>
        <w:tc>
          <w:tcPr>
            <w:tcW w:w="0" w:type="auto"/>
            <w:hideMark/>
          </w:tcPr>
          <w:p w14:paraId="12603B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120</w:t>
            </w:r>
          </w:p>
        </w:tc>
        <w:tc>
          <w:tcPr>
            <w:tcW w:w="0" w:type="auto"/>
            <w:tcBorders>
              <w:left w:val="single" w:sz="4" w:space="0" w:color="auto"/>
            </w:tcBorders>
            <w:hideMark/>
          </w:tcPr>
          <w:p w14:paraId="10D6523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1 – 3 </w:t>
            </w:r>
            <w:r w:rsidRPr="00645EB2">
              <w:rPr>
                <w:rFonts w:asciiTheme="majorBidi" w:hAnsiTheme="majorBidi" w:cstheme="majorBidi"/>
                <w:sz w:val="28"/>
                <w:szCs w:val="28"/>
                <w:rtl/>
              </w:rPr>
              <w:t>ساعات</w:t>
            </w:r>
          </w:p>
        </w:tc>
      </w:tr>
      <w:tr w:rsidR="000913DC" w:rsidRPr="00645EB2" w14:paraId="09ECEA8E" w14:textId="77777777" w:rsidTr="00A171A0">
        <w:trPr>
          <w:jc w:val="center"/>
        </w:trPr>
        <w:tc>
          <w:tcPr>
            <w:tcW w:w="945" w:type="dxa"/>
            <w:hideMark/>
          </w:tcPr>
          <w:p w14:paraId="3B0356E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34.3%</w:t>
            </w:r>
          </w:p>
        </w:tc>
        <w:tc>
          <w:tcPr>
            <w:tcW w:w="0" w:type="auto"/>
            <w:hideMark/>
          </w:tcPr>
          <w:p w14:paraId="0A29EF1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130</w:t>
            </w:r>
          </w:p>
        </w:tc>
        <w:tc>
          <w:tcPr>
            <w:tcW w:w="0" w:type="auto"/>
            <w:hideMark/>
          </w:tcPr>
          <w:p w14:paraId="05C5A23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34.3%</w:t>
            </w:r>
          </w:p>
        </w:tc>
      </w:tr>
      <w:tr w:rsidR="000913DC" w:rsidRPr="00645EB2" w14:paraId="605F9E59" w14:textId="77777777" w:rsidTr="00A171A0">
        <w:trPr>
          <w:jc w:val="center"/>
        </w:trPr>
        <w:tc>
          <w:tcPr>
            <w:tcW w:w="945" w:type="dxa"/>
            <w:tcBorders>
              <w:right w:val="single" w:sz="4" w:space="0" w:color="auto"/>
            </w:tcBorders>
            <w:hideMark/>
          </w:tcPr>
          <w:p w14:paraId="60EF038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22.9%</w:t>
            </w:r>
          </w:p>
        </w:tc>
        <w:tc>
          <w:tcPr>
            <w:tcW w:w="0" w:type="auto"/>
            <w:hideMark/>
          </w:tcPr>
          <w:p w14:paraId="4C66555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0CE5A10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22.9%</w:t>
            </w:r>
            <w:r w:rsidRPr="00645EB2">
              <w:rPr>
                <w:rFonts w:asciiTheme="majorBidi" w:hAnsiTheme="majorBidi" w:cstheme="majorBidi"/>
                <w:sz w:val="28"/>
                <w:szCs w:val="28"/>
                <w:rtl/>
              </w:rPr>
              <w:t xml:space="preserve"> اكثر من 5 ساعات</w:t>
            </w:r>
          </w:p>
        </w:tc>
      </w:tr>
      <w:tr w:rsidR="000913DC" w:rsidRPr="00645EB2" w14:paraId="5CE6F72E" w14:textId="77777777" w:rsidTr="00A171A0">
        <w:trPr>
          <w:jc w:val="center"/>
        </w:trPr>
        <w:tc>
          <w:tcPr>
            <w:tcW w:w="945" w:type="dxa"/>
            <w:tcBorders>
              <w:right w:val="single" w:sz="4" w:space="0" w:color="auto"/>
            </w:tcBorders>
            <w:hideMark/>
          </w:tcPr>
          <w:p w14:paraId="4F4AB27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100%</w:t>
            </w:r>
          </w:p>
        </w:tc>
        <w:tc>
          <w:tcPr>
            <w:tcW w:w="0" w:type="auto"/>
            <w:hideMark/>
          </w:tcPr>
          <w:p w14:paraId="7FAE76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630F4C1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المجموع </w:t>
            </w:r>
          </w:p>
        </w:tc>
      </w:tr>
    </w:tbl>
    <w:p w14:paraId="23A57DF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توزيع أفراد عينة الدراسة وفقًا لمعدل الاستخدام اليومي، حيث جاءت فئة الاستخدام من 3 إلى 5 ساعات في المرتبة الأولى بنسبة 34.3% وبعدد 130 مفردة، تلتها فئة الاستخدام من ساعة إلى 3 ساعات بنسبة 31.4% وبعدد 120 مفردة، ثم فئة الاستخدام لأكثر من 5 ساعات بنسبة 22.9% وبعدد 100 مفردة، بينما جاءت فئة الاستخدام الأقل من ساعة في المرتبة الأخيرة بنسبة 11.4% وبعدد 50 مفردة. وتشير هذه النتائج إلى أن غالبية أفراد العينة يقضون ما بين ساعة وخمس ساعات يوميًا في الاستخدام، مما يعكس مستوى مرتفعًا نسبيًا من التفاعل والاستخدام بين المشاركين في الدراسة</w:t>
      </w:r>
      <w:r w:rsidRPr="00645EB2">
        <w:rPr>
          <w:rFonts w:asciiTheme="majorBidi" w:hAnsiTheme="majorBidi" w:cstheme="majorBidi"/>
          <w:sz w:val="28"/>
          <w:szCs w:val="28"/>
        </w:rPr>
        <w:t>.</w:t>
      </w:r>
    </w:p>
    <w:p w14:paraId="1EDE804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تحليل محاور الاستبيان</w:t>
      </w:r>
    </w:p>
    <w:p w14:paraId="58EB7D2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في هذا الجزء يتم عرض وتحليل استجابات أفراد عينة الدراسة البالغ عددهم (400) مفردة حول محاور الاستبيان المختلفة، وذلك باستخدام المتوسطات الحسابية والانحرافات المعيارية وترتيب العبارات وفقًا لدرجة الموافقة. ويساعد ذلك في التعرف على اتجاهات أفراد العينة نحو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5D2C3F5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الأول: درجة الاعتماد على الإعلام الرقمي كمصدر للمعلومات الصحية</w:t>
      </w:r>
    </w:p>
    <w:p w14:paraId="0585E89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(7) استجابات أفراد العينة حول درجة الاعتماد على الإعلام الرقمي كمصدر للمعلومات الصحية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70"/>
        <w:gridCol w:w="1196"/>
        <w:gridCol w:w="1351"/>
        <w:gridCol w:w="1010"/>
        <w:gridCol w:w="733"/>
      </w:tblGrid>
      <w:tr w:rsidR="000913DC" w:rsidRPr="00645EB2" w14:paraId="7BB9C9CA" w14:textId="77777777" w:rsidTr="00A171A0">
        <w:trPr>
          <w:tblHeader/>
          <w:tblCellSpacing w:w="15" w:type="dxa"/>
        </w:trPr>
        <w:tc>
          <w:tcPr>
            <w:tcW w:w="0" w:type="auto"/>
            <w:vAlign w:val="center"/>
            <w:hideMark/>
          </w:tcPr>
          <w:p w14:paraId="7D38740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79C7C02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7F22836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6A19243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6190668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1402700A" w14:textId="77777777" w:rsidTr="00A171A0">
        <w:trPr>
          <w:tblCellSpacing w:w="15" w:type="dxa"/>
        </w:trPr>
        <w:tc>
          <w:tcPr>
            <w:tcW w:w="0" w:type="auto"/>
            <w:vAlign w:val="center"/>
            <w:hideMark/>
          </w:tcPr>
          <w:p w14:paraId="217F438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أعتمد على الإعلام الرقمي كمصدر رئيسي للحصول على معلومات حول الأمراض العصبية المزمنة</w:t>
            </w:r>
          </w:p>
        </w:tc>
        <w:tc>
          <w:tcPr>
            <w:tcW w:w="0" w:type="auto"/>
            <w:vAlign w:val="center"/>
            <w:hideMark/>
          </w:tcPr>
          <w:p w14:paraId="2A4EFA6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4.70</w:t>
            </w:r>
          </w:p>
        </w:tc>
        <w:tc>
          <w:tcPr>
            <w:tcW w:w="0" w:type="auto"/>
            <w:vAlign w:val="center"/>
            <w:hideMark/>
          </w:tcPr>
          <w:p w14:paraId="32E8D8C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0.85</w:t>
            </w:r>
          </w:p>
        </w:tc>
        <w:tc>
          <w:tcPr>
            <w:tcW w:w="0" w:type="auto"/>
            <w:vAlign w:val="center"/>
            <w:hideMark/>
          </w:tcPr>
          <w:p w14:paraId="29D1D75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23FC8A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4B4A9D1F" w14:textId="77777777" w:rsidTr="00A171A0">
        <w:trPr>
          <w:tblCellSpacing w:w="15" w:type="dxa"/>
        </w:trPr>
        <w:tc>
          <w:tcPr>
            <w:tcW w:w="0" w:type="auto"/>
            <w:vAlign w:val="center"/>
            <w:hideMark/>
          </w:tcPr>
          <w:p w14:paraId="3C90E55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أفضل البحث عبر المنصات الرقمية بدلاً من زيارة المصادر التقليدية للحصول على معلومات صحية</w:t>
            </w:r>
          </w:p>
        </w:tc>
        <w:tc>
          <w:tcPr>
            <w:tcW w:w="0" w:type="auto"/>
            <w:vAlign w:val="center"/>
            <w:hideMark/>
          </w:tcPr>
          <w:p w14:paraId="1DBBB6F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4566F29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1974F13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365739A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668401EA" w14:textId="77777777" w:rsidTr="00A171A0">
        <w:trPr>
          <w:tblCellSpacing w:w="15" w:type="dxa"/>
        </w:trPr>
        <w:tc>
          <w:tcPr>
            <w:tcW w:w="0" w:type="auto"/>
            <w:vAlign w:val="center"/>
            <w:hideMark/>
          </w:tcPr>
          <w:p w14:paraId="087A7A9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أجد أن المعلومات الصحية عبر الإعلام الرقمي متاحة بسهولة</w:t>
            </w:r>
          </w:p>
        </w:tc>
        <w:tc>
          <w:tcPr>
            <w:tcW w:w="0" w:type="auto"/>
            <w:vAlign w:val="center"/>
            <w:hideMark/>
          </w:tcPr>
          <w:p w14:paraId="5DBEB66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4.70</w:t>
            </w:r>
          </w:p>
        </w:tc>
        <w:tc>
          <w:tcPr>
            <w:tcW w:w="0" w:type="auto"/>
            <w:vAlign w:val="center"/>
            <w:hideMark/>
          </w:tcPr>
          <w:p w14:paraId="786826F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4EABCF9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3048738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5B12A000" w14:textId="77777777" w:rsidTr="00A171A0">
        <w:trPr>
          <w:tblCellSpacing w:w="15" w:type="dxa"/>
        </w:trPr>
        <w:tc>
          <w:tcPr>
            <w:tcW w:w="0" w:type="auto"/>
            <w:vAlign w:val="center"/>
            <w:hideMark/>
          </w:tcPr>
          <w:p w14:paraId="714A56F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أستخدم وسائل التواصل الاجتماعي لمعرفة أحدث المستجدات حول الأمراض المزمنة</w:t>
            </w:r>
          </w:p>
        </w:tc>
        <w:tc>
          <w:tcPr>
            <w:tcW w:w="0" w:type="auto"/>
            <w:vAlign w:val="center"/>
            <w:hideMark/>
          </w:tcPr>
          <w:p w14:paraId="4BF7C76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3.70</w:t>
            </w:r>
          </w:p>
        </w:tc>
        <w:tc>
          <w:tcPr>
            <w:tcW w:w="0" w:type="auto"/>
            <w:vAlign w:val="center"/>
            <w:hideMark/>
          </w:tcPr>
          <w:p w14:paraId="7BA8B92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0.96</w:t>
            </w:r>
          </w:p>
        </w:tc>
        <w:tc>
          <w:tcPr>
            <w:tcW w:w="0" w:type="auto"/>
            <w:vAlign w:val="center"/>
            <w:hideMark/>
          </w:tcPr>
          <w:p w14:paraId="12D473C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B6B366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7490FBA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اتجاهات أفراد عينة الدراسة نحو استخدام الإعلام الرقمي للحصول على المعلومات المتعلقة بالأمراض العصبية المزمنة، حيث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أجد أن المعلومات الصحية عبر الإعلام الرقمي متاحة بسهولة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في المرتبة الأولى بمتوسط حسابي بلغ 4.70 وانحراف معياري 0.82، مما يعكس سهولة الوصول إلى المعلومات الصحية عبر المنصات الرقمية. كما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أعتمد على الإعلام الرقمي كمصدر رئيسي للحصول على معلومات حول الأمراض العصبية المزمنة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في المرتبة الثانية بمتوسط حسابي بلغ 4.70 وانحراف معياري 0.85، مما يدل على الاعتماد الكبير على الإعلام الرقمي كمصدر للمعلومات الصحية. تلتها عبارة </w:t>
      </w:r>
      <w:r w:rsidRPr="00645EB2">
        <w:rPr>
          <w:rFonts w:asciiTheme="majorBidi" w:hAnsiTheme="majorBidi" w:cstheme="majorBidi"/>
          <w:sz w:val="28"/>
          <w:szCs w:val="28"/>
        </w:rPr>
        <w:t>«</w:t>
      </w:r>
      <w:r w:rsidRPr="00645EB2">
        <w:rPr>
          <w:rFonts w:asciiTheme="majorBidi" w:hAnsiTheme="majorBidi" w:cstheme="majorBidi"/>
          <w:sz w:val="28"/>
          <w:szCs w:val="28"/>
          <w:rtl/>
        </w:rPr>
        <w:t>أفضل البحث عبر المنصات الرقمية بدلاً من زيارة المصادر التقليدية للحصول على معلومات صحية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بمتوسط حسابي 3.80، ثم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أستخدم وسائل التواصل الاجتماعي لمعرفة أحدث المستجدات حول الأمراض المزمنة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بمتوسط حسابي 3.70. وتشير هذه النتائج إلى الدور المتزايد للإعلام الرقمي في توفير المعلومات الصحية وسهولة الوصول إليها، مما يجعله أحد أهم المصادر التي يعتمد عليها الأفراد في متابعة القضايا الصحية المتعلقة بالأمراض العصبية المزمنة</w:t>
      </w:r>
      <w:r w:rsidRPr="00645EB2">
        <w:rPr>
          <w:rFonts w:asciiTheme="majorBidi" w:hAnsiTheme="majorBidi" w:cstheme="majorBidi"/>
          <w:sz w:val="28"/>
          <w:szCs w:val="28"/>
        </w:rPr>
        <w:t>.</w:t>
      </w:r>
    </w:p>
    <w:p w14:paraId="79127BA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الثاني: المنصات الرقمية ومدى موثوقيتها</w:t>
      </w:r>
    </w:p>
    <w:p w14:paraId="551F5F0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(8) استجابات أفراد العينة حول موثوقية المنصات الرقمية الصحية</w:t>
      </w:r>
    </w:p>
    <w:tbl>
      <w:tblPr>
        <w:tblW w:w="9440" w:type="dxa"/>
        <w:tblCellSpacing w:w="15" w:type="dxa"/>
        <w:tblCellMar>
          <w:top w:w="15" w:type="dxa"/>
          <w:left w:w="15" w:type="dxa"/>
          <w:bottom w:w="15" w:type="dxa"/>
          <w:right w:w="15" w:type="dxa"/>
        </w:tblCellMar>
        <w:tblLook w:val="04A0" w:firstRow="1" w:lastRow="0" w:firstColumn="1" w:lastColumn="0" w:noHBand="0" w:noVBand="1"/>
      </w:tblPr>
      <w:tblGrid>
        <w:gridCol w:w="4872"/>
        <w:gridCol w:w="1282"/>
        <w:gridCol w:w="1483"/>
        <w:gridCol w:w="1070"/>
        <w:gridCol w:w="733"/>
      </w:tblGrid>
      <w:tr w:rsidR="000913DC" w:rsidRPr="00645EB2" w14:paraId="05E01AB3" w14:textId="77777777" w:rsidTr="00A171A0">
        <w:trPr>
          <w:tblHeader/>
          <w:tblCellSpacing w:w="15" w:type="dxa"/>
        </w:trPr>
        <w:tc>
          <w:tcPr>
            <w:tcW w:w="0" w:type="auto"/>
            <w:vAlign w:val="center"/>
            <w:hideMark/>
          </w:tcPr>
          <w:p w14:paraId="2F8E99B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0CACD8F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1453" w:type="dxa"/>
            <w:vAlign w:val="center"/>
            <w:hideMark/>
          </w:tcPr>
          <w:p w14:paraId="5E0BD4B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06EB722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1187129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45084488" w14:textId="77777777" w:rsidTr="00A171A0">
        <w:trPr>
          <w:tblCellSpacing w:w="15" w:type="dxa"/>
        </w:trPr>
        <w:tc>
          <w:tcPr>
            <w:tcW w:w="0" w:type="auto"/>
            <w:vAlign w:val="center"/>
            <w:hideMark/>
          </w:tcPr>
          <w:p w14:paraId="016CE63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أثق بالمعلومات الصحية المنشورة عبر المواقع الرسمية الصحية</w:t>
            </w:r>
          </w:p>
        </w:tc>
        <w:tc>
          <w:tcPr>
            <w:tcW w:w="0" w:type="auto"/>
            <w:vAlign w:val="center"/>
            <w:hideMark/>
          </w:tcPr>
          <w:p w14:paraId="49C8DE1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4.70</w:t>
            </w:r>
          </w:p>
        </w:tc>
        <w:tc>
          <w:tcPr>
            <w:tcW w:w="1453" w:type="dxa"/>
            <w:vAlign w:val="center"/>
            <w:hideMark/>
          </w:tcPr>
          <w:p w14:paraId="39FCF9D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0.85</w:t>
            </w:r>
          </w:p>
        </w:tc>
        <w:tc>
          <w:tcPr>
            <w:tcW w:w="0" w:type="auto"/>
            <w:vAlign w:val="center"/>
            <w:hideMark/>
          </w:tcPr>
          <w:p w14:paraId="3909781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 جدًا</w:t>
            </w:r>
          </w:p>
        </w:tc>
        <w:tc>
          <w:tcPr>
            <w:tcW w:w="0" w:type="auto"/>
            <w:vAlign w:val="center"/>
            <w:hideMark/>
          </w:tcPr>
          <w:p w14:paraId="3B519D3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372D16A6" w14:textId="77777777" w:rsidTr="00A171A0">
        <w:trPr>
          <w:tblCellSpacing w:w="15" w:type="dxa"/>
        </w:trPr>
        <w:tc>
          <w:tcPr>
            <w:tcW w:w="0" w:type="auto"/>
            <w:vAlign w:val="center"/>
            <w:hideMark/>
          </w:tcPr>
          <w:p w14:paraId="6939E62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أثق بالمعلومات التي ينشرها الأطباء المختصون عبر وسائل التواصل الاجتماعي</w:t>
            </w:r>
          </w:p>
        </w:tc>
        <w:tc>
          <w:tcPr>
            <w:tcW w:w="0" w:type="auto"/>
            <w:vAlign w:val="center"/>
            <w:hideMark/>
          </w:tcPr>
          <w:p w14:paraId="6D40453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3.90</w:t>
            </w:r>
          </w:p>
        </w:tc>
        <w:tc>
          <w:tcPr>
            <w:tcW w:w="1453" w:type="dxa"/>
            <w:vAlign w:val="center"/>
            <w:hideMark/>
          </w:tcPr>
          <w:p w14:paraId="55ABDB9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3D13374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253D2E7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71BC7510" w14:textId="77777777" w:rsidTr="00A171A0">
        <w:trPr>
          <w:tblCellSpacing w:w="15" w:type="dxa"/>
        </w:trPr>
        <w:tc>
          <w:tcPr>
            <w:tcW w:w="0" w:type="auto"/>
            <w:vAlign w:val="center"/>
            <w:hideMark/>
          </w:tcPr>
          <w:p w14:paraId="57CAC2B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أتحقق من مصدر المعلومات قبل اعتمادها</w:t>
            </w:r>
          </w:p>
        </w:tc>
        <w:tc>
          <w:tcPr>
            <w:tcW w:w="0" w:type="auto"/>
            <w:vAlign w:val="center"/>
            <w:hideMark/>
          </w:tcPr>
          <w:p w14:paraId="189C82E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3.82</w:t>
            </w:r>
          </w:p>
        </w:tc>
        <w:tc>
          <w:tcPr>
            <w:tcW w:w="1453" w:type="dxa"/>
            <w:vAlign w:val="center"/>
            <w:hideMark/>
          </w:tcPr>
          <w:p w14:paraId="4755C58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0.90</w:t>
            </w:r>
          </w:p>
        </w:tc>
        <w:tc>
          <w:tcPr>
            <w:tcW w:w="0" w:type="auto"/>
            <w:vAlign w:val="center"/>
            <w:hideMark/>
          </w:tcPr>
          <w:p w14:paraId="4086E8E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12A226F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7DB2E96E" w14:textId="77777777" w:rsidTr="00A171A0">
        <w:trPr>
          <w:tblCellSpacing w:w="15" w:type="dxa"/>
        </w:trPr>
        <w:tc>
          <w:tcPr>
            <w:tcW w:w="0" w:type="auto"/>
            <w:vAlign w:val="center"/>
            <w:hideMark/>
          </w:tcPr>
          <w:p w14:paraId="65E3E9A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أواجه صعوبة في التمييز بين المعلومات الصحيحة والمضللة عبر الإعلام الرقمي</w:t>
            </w:r>
          </w:p>
        </w:tc>
        <w:tc>
          <w:tcPr>
            <w:tcW w:w="0" w:type="auto"/>
            <w:vAlign w:val="center"/>
            <w:hideMark/>
          </w:tcPr>
          <w:p w14:paraId="7386F19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1453" w:type="dxa"/>
            <w:vAlign w:val="center"/>
            <w:hideMark/>
          </w:tcPr>
          <w:p w14:paraId="1AEF5D3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1.01</w:t>
            </w:r>
          </w:p>
        </w:tc>
        <w:tc>
          <w:tcPr>
            <w:tcW w:w="0" w:type="auto"/>
            <w:vAlign w:val="center"/>
            <w:hideMark/>
          </w:tcPr>
          <w:p w14:paraId="6BD6D5C6"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محايد</w:t>
            </w:r>
          </w:p>
        </w:tc>
        <w:tc>
          <w:tcPr>
            <w:tcW w:w="0" w:type="auto"/>
            <w:vAlign w:val="center"/>
            <w:hideMark/>
          </w:tcPr>
          <w:p w14:paraId="2BD3F6E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53B21D0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مستوى ثقة أفراد عينة الدراسة بالمعلومات الصحية المتداولة عبر الإعلام الرقمي، حيث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أثق بالمعلومات الصحية المنشورة عبر المواقع الرسمية الصحية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في المرتبة الأولى بمتوسط حسابي بلغ 4.70 وانحراف معياري 0.85 وبدرجة موافقة مرتفعة جدًا، مما يعكس الثقة الكبيرة في المصادر الصحية الرسمية. تلتها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أثق بالمعلومات التي ينشرها الأطباء المختصون عبر وسائل التواصل الاجتماعي</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بمتوسط حسابي 3.90، ثم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أتحقق من مصدر المعلومات قبل اعتمادها</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بمتوسط حسابي 3.82، مما يدل على وجود وعي لدى المبحوثين بأهمية التحقق من المعلومات الصحية قبل الاعتماد عليها. في المقابل،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أواجه صعوبة في التمييز بين المعلومات الصحيحة والمضللة عبر الإعلام الرقمي</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في المرتبة الأخيرة بمتوسط حسابي 3.80 ودرجة محايدة، وهو ما يشير إلى تباين آراء المشاركين حول قدرتهم على التمييز بين المعلومات الموثوقة والمعلومات المضللة. وتؤكد هذه النتائج أن الثقة تتركز بشكل أكبر في المصادر الصحية الرسمية مقارنة بباقي مصادر المعلومات الرقمية</w:t>
      </w:r>
      <w:r w:rsidRPr="00645EB2">
        <w:rPr>
          <w:rFonts w:asciiTheme="majorBidi" w:hAnsiTheme="majorBidi" w:cstheme="majorBidi"/>
          <w:sz w:val="28"/>
          <w:szCs w:val="28"/>
        </w:rPr>
        <w:t>.</w:t>
      </w:r>
    </w:p>
    <w:p w14:paraId="7311010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الثالث: تأثير الإعلام الرقمي في تشكيل الوعي الصحي</w:t>
      </w:r>
    </w:p>
    <w:p w14:paraId="6E61D8D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(9) استجابات أفراد العينة حول تأثير الإعلام الرقمي في تشكيل الوعي الصحي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33"/>
        <w:gridCol w:w="1317"/>
        <w:gridCol w:w="1482"/>
        <w:gridCol w:w="1095"/>
        <w:gridCol w:w="733"/>
      </w:tblGrid>
      <w:tr w:rsidR="000913DC" w:rsidRPr="00645EB2" w14:paraId="45528854" w14:textId="77777777" w:rsidTr="00A171A0">
        <w:trPr>
          <w:tblHeader/>
          <w:tblCellSpacing w:w="15" w:type="dxa"/>
        </w:trPr>
        <w:tc>
          <w:tcPr>
            <w:tcW w:w="0" w:type="auto"/>
            <w:vAlign w:val="center"/>
            <w:hideMark/>
          </w:tcPr>
          <w:p w14:paraId="3AC9764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5DCB02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503600E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42CD86B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61B7054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77544CFF" w14:textId="77777777" w:rsidTr="00A171A0">
        <w:trPr>
          <w:tblCellSpacing w:w="15" w:type="dxa"/>
        </w:trPr>
        <w:tc>
          <w:tcPr>
            <w:tcW w:w="0" w:type="auto"/>
            <w:vAlign w:val="center"/>
            <w:hideMark/>
          </w:tcPr>
          <w:p w14:paraId="0A44CAF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ساهم الإعلام الرقمي في زيادة وعيي بطبيعة الأمراض العصبية المزمنة</w:t>
            </w:r>
          </w:p>
        </w:tc>
        <w:tc>
          <w:tcPr>
            <w:tcW w:w="0" w:type="auto"/>
            <w:vAlign w:val="center"/>
            <w:hideMark/>
          </w:tcPr>
          <w:p w14:paraId="0C2A63E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4.60</w:t>
            </w:r>
          </w:p>
        </w:tc>
        <w:tc>
          <w:tcPr>
            <w:tcW w:w="0" w:type="auto"/>
            <w:vAlign w:val="center"/>
            <w:hideMark/>
          </w:tcPr>
          <w:p w14:paraId="514690E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1B31791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53FEF6F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0F9CDDEB" w14:textId="77777777" w:rsidTr="00A171A0">
        <w:trPr>
          <w:tblCellSpacing w:w="15" w:type="dxa"/>
        </w:trPr>
        <w:tc>
          <w:tcPr>
            <w:tcW w:w="0" w:type="auto"/>
            <w:vAlign w:val="center"/>
            <w:hideMark/>
          </w:tcPr>
          <w:p w14:paraId="781ABD7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ساعدني الإعلام الرقمي في فهم طرق الوقاية والتعامل مع المرض</w:t>
            </w:r>
          </w:p>
        </w:tc>
        <w:tc>
          <w:tcPr>
            <w:tcW w:w="0" w:type="auto"/>
            <w:vAlign w:val="center"/>
            <w:hideMark/>
          </w:tcPr>
          <w:p w14:paraId="34E418A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2D91EFE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52ADE7E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4A596F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3082D67B" w14:textId="77777777" w:rsidTr="00A171A0">
        <w:trPr>
          <w:tblCellSpacing w:w="15" w:type="dxa"/>
        </w:trPr>
        <w:tc>
          <w:tcPr>
            <w:tcW w:w="0" w:type="auto"/>
            <w:vAlign w:val="center"/>
            <w:hideMark/>
          </w:tcPr>
          <w:p w14:paraId="0FFA3A9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المحتوى الرقمي ساعدني في تصحيح مفاهيم خاطئة عن الأمراض العصبية</w:t>
            </w:r>
          </w:p>
        </w:tc>
        <w:tc>
          <w:tcPr>
            <w:tcW w:w="0" w:type="auto"/>
            <w:vAlign w:val="center"/>
            <w:hideMark/>
          </w:tcPr>
          <w:p w14:paraId="0DA691D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4A36B16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2F40F91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6AA0A91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54503D07" w14:textId="77777777" w:rsidTr="00A171A0">
        <w:trPr>
          <w:tblCellSpacing w:w="15" w:type="dxa"/>
        </w:trPr>
        <w:tc>
          <w:tcPr>
            <w:tcW w:w="0" w:type="auto"/>
            <w:vAlign w:val="center"/>
            <w:hideMark/>
          </w:tcPr>
          <w:p w14:paraId="266AF65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عزز الإعلام الرقمي إدراكي لأهمية المتابعة الطبية المنتظمة</w:t>
            </w:r>
          </w:p>
        </w:tc>
        <w:tc>
          <w:tcPr>
            <w:tcW w:w="0" w:type="auto"/>
            <w:vAlign w:val="center"/>
            <w:hideMark/>
          </w:tcPr>
          <w:p w14:paraId="7079304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743E41B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136B607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1961B45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2542241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ساهم الإعلام الرقمي في زيادة وعيي" حصلت على متوسط 4.60 وهو أعلى من باقي العبارات (3.80)، مما قد يشير إلى أن الأفراد يشعرون بتأثير قوي للإعلام الرقمي في رفع الوعي، لكنهم أقل يقينا بشأن التأثير في السلوكيات العملية (الفهم، تصحيح المفاهيم، المتابعة الطبية)</w:t>
      </w:r>
      <w:r w:rsidRPr="00645EB2">
        <w:rPr>
          <w:rFonts w:asciiTheme="majorBidi" w:hAnsiTheme="majorBidi" w:cstheme="majorBidi"/>
          <w:sz w:val="28"/>
          <w:szCs w:val="28"/>
        </w:rPr>
        <w:t>.</w:t>
      </w:r>
      <w:r w:rsidRPr="00645EB2">
        <w:rPr>
          <w:rFonts w:asciiTheme="majorBidi" w:hAnsiTheme="majorBidi" w:cstheme="majorBidi"/>
          <w:sz w:val="28"/>
          <w:szCs w:val="28"/>
          <w:rtl/>
        </w:rPr>
        <w:t xml:space="preserve"> لهذا يمكن التعليق بأن هناك فجوة بين مستوى الوعي المعرفي والسلوك العملي، وهو ما قد يكون مجالاً لتوصيات الدراسة</w:t>
      </w:r>
      <w:r w:rsidRPr="00645EB2">
        <w:rPr>
          <w:rFonts w:asciiTheme="majorBidi" w:hAnsiTheme="majorBidi" w:cstheme="majorBidi"/>
          <w:sz w:val="28"/>
          <w:szCs w:val="28"/>
        </w:rPr>
        <w:t>.</w:t>
      </w:r>
    </w:p>
    <w:p w14:paraId="756E509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الرابع: التحديات التي تواجه الإعلام الرقمي</w:t>
      </w:r>
    </w:p>
    <w:p w14:paraId="241624A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(10) استجابات أفراد العينة حول التحديات التي تواجه الإعلام الرقمي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79"/>
        <w:gridCol w:w="1336"/>
        <w:gridCol w:w="1503"/>
        <w:gridCol w:w="1109"/>
        <w:gridCol w:w="733"/>
      </w:tblGrid>
      <w:tr w:rsidR="000913DC" w:rsidRPr="00645EB2" w14:paraId="7C69A26A" w14:textId="77777777" w:rsidTr="00A171A0">
        <w:trPr>
          <w:tblHeader/>
          <w:tblCellSpacing w:w="15" w:type="dxa"/>
        </w:trPr>
        <w:tc>
          <w:tcPr>
            <w:tcW w:w="0" w:type="auto"/>
            <w:vAlign w:val="center"/>
            <w:hideMark/>
          </w:tcPr>
          <w:p w14:paraId="0088908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121E5D6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31F2B6C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475BAF2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235B30B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751FC497" w14:textId="77777777" w:rsidTr="00A171A0">
        <w:trPr>
          <w:tblCellSpacing w:w="15" w:type="dxa"/>
        </w:trPr>
        <w:tc>
          <w:tcPr>
            <w:tcW w:w="0" w:type="auto"/>
            <w:vAlign w:val="center"/>
            <w:hideMark/>
          </w:tcPr>
          <w:p w14:paraId="7B88C1F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تنتشر معلومات غير دقيقة حول الأمراض العصبية عبر الإعلام الرقمي</w:t>
            </w:r>
          </w:p>
        </w:tc>
        <w:tc>
          <w:tcPr>
            <w:tcW w:w="0" w:type="auto"/>
            <w:vAlign w:val="center"/>
            <w:hideMark/>
          </w:tcPr>
          <w:p w14:paraId="48859AD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4.50</w:t>
            </w:r>
          </w:p>
        </w:tc>
        <w:tc>
          <w:tcPr>
            <w:tcW w:w="0" w:type="auto"/>
            <w:vAlign w:val="center"/>
            <w:hideMark/>
          </w:tcPr>
          <w:p w14:paraId="4890EA1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0.95</w:t>
            </w:r>
          </w:p>
        </w:tc>
        <w:tc>
          <w:tcPr>
            <w:tcW w:w="0" w:type="auto"/>
            <w:vAlign w:val="center"/>
            <w:hideMark/>
          </w:tcPr>
          <w:p w14:paraId="7A70531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4231373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59B9DD80" w14:textId="77777777" w:rsidTr="00A171A0">
        <w:trPr>
          <w:tblCellSpacing w:w="15" w:type="dxa"/>
        </w:trPr>
        <w:tc>
          <w:tcPr>
            <w:tcW w:w="0" w:type="auto"/>
            <w:vAlign w:val="center"/>
            <w:hideMark/>
          </w:tcPr>
          <w:p w14:paraId="5EC5DAF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بعض المحتوى الصحي يفتقر إلى المصداقية العلمية</w:t>
            </w:r>
          </w:p>
        </w:tc>
        <w:tc>
          <w:tcPr>
            <w:tcW w:w="0" w:type="auto"/>
            <w:vAlign w:val="center"/>
            <w:hideMark/>
          </w:tcPr>
          <w:p w14:paraId="676E87E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3.94</w:t>
            </w:r>
          </w:p>
        </w:tc>
        <w:tc>
          <w:tcPr>
            <w:tcW w:w="0" w:type="auto"/>
            <w:vAlign w:val="center"/>
            <w:hideMark/>
          </w:tcPr>
          <w:p w14:paraId="1660960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1267DCE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3592BF1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4A5FA395" w14:textId="77777777" w:rsidTr="00A171A0">
        <w:trPr>
          <w:tblCellSpacing w:w="15" w:type="dxa"/>
        </w:trPr>
        <w:tc>
          <w:tcPr>
            <w:tcW w:w="0" w:type="auto"/>
            <w:vAlign w:val="center"/>
            <w:hideMark/>
          </w:tcPr>
          <w:p w14:paraId="4A7352E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يوجد تضارب في المعلومات الصحية المنشورة عبر المنصات المختلفة</w:t>
            </w:r>
          </w:p>
        </w:tc>
        <w:tc>
          <w:tcPr>
            <w:tcW w:w="0" w:type="auto"/>
            <w:vAlign w:val="center"/>
            <w:hideMark/>
          </w:tcPr>
          <w:p w14:paraId="4540A59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3.90</w:t>
            </w:r>
          </w:p>
        </w:tc>
        <w:tc>
          <w:tcPr>
            <w:tcW w:w="0" w:type="auto"/>
            <w:vAlign w:val="center"/>
            <w:hideMark/>
          </w:tcPr>
          <w:p w14:paraId="5C1C54E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0.95</w:t>
            </w:r>
          </w:p>
        </w:tc>
        <w:tc>
          <w:tcPr>
            <w:tcW w:w="0" w:type="auto"/>
            <w:vAlign w:val="center"/>
            <w:hideMark/>
          </w:tcPr>
          <w:p w14:paraId="45F15E8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57C562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72C48596" w14:textId="77777777" w:rsidTr="00A171A0">
        <w:trPr>
          <w:tblCellSpacing w:w="15" w:type="dxa"/>
        </w:trPr>
        <w:tc>
          <w:tcPr>
            <w:tcW w:w="0" w:type="auto"/>
            <w:vAlign w:val="center"/>
            <w:hideMark/>
          </w:tcPr>
          <w:p w14:paraId="52136CF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تأثير مستوى الرقابة الرقمية على صحة المعلومات المنشورة</w:t>
            </w:r>
          </w:p>
        </w:tc>
        <w:tc>
          <w:tcPr>
            <w:tcW w:w="0" w:type="auto"/>
            <w:vAlign w:val="center"/>
            <w:hideMark/>
          </w:tcPr>
          <w:p w14:paraId="4E48E1E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3.74</w:t>
            </w:r>
          </w:p>
        </w:tc>
        <w:tc>
          <w:tcPr>
            <w:tcW w:w="0" w:type="auto"/>
            <w:vAlign w:val="center"/>
            <w:hideMark/>
          </w:tcPr>
          <w:p w14:paraId="5D102DE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50BD7A24"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أوافق</w:t>
            </w:r>
          </w:p>
        </w:tc>
        <w:tc>
          <w:tcPr>
            <w:tcW w:w="0" w:type="auto"/>
            <w:vAlign w:val="center"/>
            <w:hideMark/>
          </w:tcPr>
          <w:p w14:paraId="100389A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7845B4F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يوضح الجدول آراء أفراد عينة الدراسة حول التحديات المرتبطة بالمحتوى الصحي الخاص بالأمراض العصبية المزمنة في الإعلام الرقمي، حيث أظهرت النتائج مستوى موافقة مرتفعًا على جميع العبارات. وجاءت عبارة «تنتشر معلومات غير دقيقة حول الأمراض العصبية عبر الإعلام الرقمي» في المرتبة الأولى بمتوسط حسابي بلغ 4.50 وانحراف معياري 0.95، مما يشير إلى إدراك قوي لانتشار المعلومات غير الدقيقة في هذا المجال. تلتها عبارة «بعض المحتوى الصحي يفتقر إلى المصداقية العلمية» بمتوسط حسابي 3.94، ثم عبارة «يوجد تضارب في المعلومات الصحية المنشورة عبر المنصات المختلفة» بمتوسط 3.90، بينما جاءت عبارة «تأثير مستوى الرقابة الرقمية على صحة المعلومات المنشورة» في المرتبة الأخيرة بمتوسط حسابي 3.74. وتؤكد هذه النتائج وجود مخاوف واضحة لدى المبحوثين بشأن دقة وموثوقية المعلومات الصحية المتداولة عبر المنصات الرقمية، مما يعزز الحاجة إلى رقابة أكبر ومصادر معلومات أكثر موثوقية</w:t>
      </w:r>
      <w:r w:rsidRPr="00645EB2">
        <w:rPr>
          <w:rFonts w:asciiTheme="majorBidi" w:hAnsiTheme="majorBidi" w:cstheme="majorBidi"/>
          <w:sz w:val="28"/>
          <w:szCs w:val="28"/>
        </w:rPr>
        <w:t>.</w:t>
      </w:r>
    </w:p>
    <w:p w14:paraId="253D448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الخامس: تأثير المعلومات الرقمية على السلوك والقرارات العلاجية</w:t>
      </w:r>
    </w:p>
    <w:p w14:paraId="3A7A90D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(11) استجابات أفراد العينة حول تأثير المعلومات الرقمية على السلوك الصحي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79"/>
        <w:gridCol w:w="1265"/>
        <w:gridCol w:w="1425"/>
        <w:gridCol w:w="1058"/>
        <w:gridCol w:w="733"/>
      </w:tblGrid>
      <w:tr w:rsidR="000913DC" w:rsidRPr="00645EB2" w14:paraId="79D3B2A6" w14:textId="77777777" w:rsidTr="00A171A0">
        <w:trPr>
          <w:tblHeader/>
          <w:tblCellSpacing w:w="15" w:type="dxa"/>
        </w:trPr>
        <w:tc>
          <w:tcPr>
            <w:tcW w:w="0" w:type="auto"/>
            <w:vAlign w:val="center"/>
            <w:hideMark/>
          </w:tcPr>
          <w:p w14:paraId="0B13388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7B6BBA1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6ECF605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24AFF53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0D5E684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10C378A3" w14:textId="77777777" w:rsidTr="00A171A0">
        <w:trPr>
          <w:tblCellSpacing w:w="15" w:type="dxa"/>
        </w:trPr>
        <w:tc>
          <w:tcPr>
            <w:tcW w:w="0" w:type="auto"/>
            <w:vAlign w:val="center"/>
            <w:hideMark/>
          </w:tcPr>
          <w:p w14:paraId="49798D5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تؤثر المعلومات المتداولة عبر الإعلام الرقمي على قراراتي الصحية</w:t>
            </w:r>
          </w:p>
        </w:tc>
        <w:tc>
          <w:tcPr>
            <w:tcW w:w="0" w:type="auto"/>
            <w:vAlign w:val="center"/>
            <w:hideMark/>
          </w:tcPr>
          <w:p w14:paraId="5730AA0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00F8DEA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6682D1B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43B4F90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12D66A99" w14:textId="77777777" w:rsidTr="00A171A0">
        <w:trPr>
          <w:tblCellSpacing w:w="15" w:type="dxa"/>
        </w:trPr>
        <w:tc>
          <w:tcPr>
            <w:tcW w:w="0" w:type="auto"/>
            <w:vAlign w:val="center"/>
            <w:hideMark/>
          </w:tcPr>
          <w:p w14:paraId="35F7C3E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قمت بتغيير بعض سلوكياتي الصحية بناءً على معلومات حصلت عليها عبر الإنترنت</w:t>
            </w:r>
          </w:p>
        </w:tc>
        <w:tc>
          <w:tcPr>
            <w:tcW w:w="0" w:type="auto"/>
            <w:vAlign w:val="center"/>
            <w:hideMark/>
          </w:tcPr>
          <w:p w14:paraId="7D245C9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7700487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0.86</w:t>
            </w:r>
          </w:p>
        </w:tc>
        <w:tc>
          <w:tcPr>
            <w:tcW w:w="0" w:type="auto"/>
            <w:vAlign w:val="center"/>
            <w:hideMark/>
          </w:tcPr>
          <w:p w14:paraId="60E81D8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43C25F7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600ABA22" w14:textId="77777777" w:rsidTr="00A171A0">
        <w:trPr>
          <w:tblCellSpacing w:w="15" w:type="dxa"/>
        </w:trPr>
        <w:tc>
          <w:tcPr>
            <w:tcW w:w="0" w:type="auto"/>
            <w:vAlign w:val="center"/>
            <w:hideMark/>
          </w:tcPr>
          <w:p w14:paraId="46C432C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أستشير الطبيب قبل تطبيق أي نصيحة صحية أجدها عبر الإعلام الرقمي</w:t>
            </w:r>
          </w:p>
        </w:tc>
        <w:tc>
          <w:tcPr>
            <w:tcW w:w="0" w:type="auto"/>
            <w:vAlign w:val="center"/>
            <w:hideMark/>
          </w:tcPr>
          <w:p w14:paraId="6FDD6CF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4.10</w:t>
            </w:r>
          </w:p>
        </w:tc>
        <w:tc>
          <w:tcPr>
            <w:tcW w:w="0" w:type="auto"/>
            <w:vAlign w:val="center"/>
            <w:hideMark/>
          </w:tcPr>
          <w:p w14:paraId="1CAA03B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0.81</w:t>
            </w:r>
          </w:p>
        </w:tc>
        <w:tc>
          <w:tcPr>
            <w:tcW w:w="0" w:type="auto"/>
            <w:vAlign w:val="center"/>
            <w:hideMark/>
          </w:tcPr>
          <w:p w14:paraId="415C6D8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11E3824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26C92BF2" w14:textId="77777777" w:rsidTr="00A171A0">
        <w:trPr>
          <w:tblCellSpacing w:w="15" w:type="dxa"/>
        </w:trPr>
        <w:tc>
          <w:tcPr>
            <w:tcW w:w="0" w:type="auto"/>
            <w:vAlign w:val="center"/>
            <w:hideMark/>
          </w:tcPr>
          <w:p w14:paraId="1693955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قد تؤدي المعلومات المضللة إلى اتخاذ قرارات علاجية غير صحيحة</w:t>
            </w:r>
          </w:p>
        </w:tc>
        <w:tc>
          <w:tcPr>
            <w:tcW w:w="0" w:type="auto"/>
            <w:vAlign w:val="center"/>
            <w:hideMark/>
          </w:tcPr>
          <w:p w14:paraId="36D55FDC"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Pr>
              <w:t>3.80</w:t>
            </w:r>
          </w:p>
        </w:tc>
        <w:tc>
          <w:tcPr>
            <w:tcW w:w="0" w:type="auto"/>
            <w:vAlign w:val="center"/>
            <w:hideMark/>
          </w:tcPr>
          <w:p w14:paraId="32CB3D4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39FBD6F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0D73993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bl>
    <w:p w14:paraId="0EA7A4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آراء أفراد عينة الدراسة حول تأثير الإعلام الرقمي في القرارات والسلوكيات الصحية، حيث أظهرت النتائج مستوى موافقة مرتفعًا على جميع العبارات. وجاءت عبارة «أستشير الطبيب قبل تطبيق أي </w:t>
      </w:r>
      <w:r w:rsidRPr="00645EB2">
        <w:rPr>
          <w:rFonts w:asciiTheme="majorBidi" w:hAnsiTheme="majorBidi" w:cstheme="majorBidi"/>
          <w:sz w:val="28"/>
          <w:szCs w:val="28"/>
          <w:rtl/>
        </w:rPr>
        <w:lastRenderedPageBreak/>
        <w:t>نصيحة صحية أجدها عبر الإعلام الرقمي» في المرتبة الأولى بمتوسط حسابي بلغ 4.10 وانحراف معياري 0.81، مما يعكس وعيًا بأهمية الرجوع إلى المختصين قبل اتخاذ قرارات صحية. كما حصلت عبارتا «تؤثر المعلومات المتداولة عبر الإعلام الرقمي على قراراتي الصحية» و«قد تؤدي المعلومات المضللة إلى اتخاذ قرارات علاجية غير صحيحة» على متوسط حسابي بلغ 3.80 لكل منهما، تلتها عبارة «قمت بتغيير بعض سلوكياتي الصحية بناءً على معلومات حصلت عليها عبر الإنترنت» بالمتوسط نفسه تقريبًا (3.80). وتشير هذه النتائج إلى أن الإعلام الرقمي يؤثر بشكل ملحوظ في السلوك والقرارات الصحية للأفراد، مع إدراكهم في الوقت ذاته لأهمية التحقق من المعلومات واستشارة الأطباء لتجنب الآثار السلبية للمعلومات المضللة</w:t>
      </w:r>
      <w:r w:rsidRPr="00645EB2">
        <w:rPr>
          <w:rFonts w:asciiTheme="majorBidi" w:hAnsiTheme="majorBidi" w:cstheme="majorBidi"/>
          <w:sz w:val="28"/>
          <w:szCs w:val="28"/>
        </w:rPr>
        <w:t>.</w:t>
      </w:r>
    </w:p>
    <w:p w14:paraId="505AD3D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السادس: تعزيز دور الإعلام الرقمي</w:t>
      </w:r>
    </w:p>
    <w:p w14:paraId="477CCEF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(12) استجابات أفراد العينة حول تعزيز دور الإعلام الرقمي في التوعية الصحية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85"/>
        <w:gridCol w:w="1298"/>
        <w:gridCol w:w="1462"/>
        <w:gridCol w:w="1082"/>
        <w:gridCol w:w="733"/>
      </w:tblGrid>
      <w:tr w:rsidR="000913DC" w:rsidRPr="00645EB2" w14:paraId="3CF49596" w14:textId="77777777" w:rsidTr="00A171A0">
        <w:trPr>
          <w:tblHeader/>
          <w:tblCellSpacing w:w="15" w:type="dxa"/>
        </w:trPr>
        <w:tc>
          <w:tcPr>
            <w:tcW w:w="0" w:type="auto"/>
            <w:vAlign w:val="center"/>
            <w:hideMark/>
          </w:tcPr>
          <w:p w14:paraId="1A1BE1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3AA5A45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7F9E7F1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7E7E54E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4F8BB03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73788FFC" w14:textId="77777777" w:rsidTr="00A171A0">
        <w:trPr>
          <w:tblCellSpacing w:w="15" w:type="dxa"/>
        </w:trPr>
        <w:tc>
          <w:tcPr>
            <w:tcW w:w="0" w:type="auto"/>
            <w:vAlign w:val="center"/>
            <w:hideMark/>
          </w:tcPr>
          <w:p w14:paraId="0E1B604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يجب تعزيز الرقابة على المحتوى الصحي في المنصات الرقمية</w:t>
            </w:r>
          </w:p>
        </w:tc>
        <w:tc>
          <w:tcPr>
            <w:tcW w:w="0" w:type="auto"/>
            <w:vAlign w:val="center"/>
            <w:hideMark/>
          </w:tcPr>
          <w:p w14:paraId="4B4953E4"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Pr>
              <w:t>4.10</w:t>
            </w:r>
          </w:p>
        </w:tc>
        <w:tc>
          <w:tcPr>
            <w:tcW w:w="0" w:type="auto"/>
            <w:vAlign w:val="center"/>
            <w:hideMark/>
          </w:tcPr>
          <w:p w14:paraId="5724325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0.75</w:t>
            </w:r>
          </w:p>
        </w:tc>
        <w:tc>
          <w:tcPr>
            <w:tcW w:w="0" w:type="auto"/>
            <w:vAlign w:val="center"/>
            <w:hideMark/>
          </w:tcPr>
          <w:p w14:paraId="22ABE54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 جدًا</w:t>
            </w:r>
          </w:p>
        </w:tc>
        <w:tc>
          <w:tcPr>
            <w:tcW w:w="0" w:type="auto"/>
            <w:vAlign w:val="center"/>
            <w:hideMark/>
          </w:tcPr>
          <w:p w14:paraId="3787E56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630495C2" w14:textId="77777777" w:rsidTr="00A171A0">
        <w:trPr>
          <w:tblCellSpacing w:w="15" w:type="dxa"/>
        </w:trPr>
        <w:tc>
          <w:tcPr>
            <w:tcW w:w="0" w:type="auto"/>
            <w:vAlign w:val="center"/>
            <w:hideMark/>
          </w:tcPr>
          <w:p w14:paraId="7338A22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ينبغي أن تشارك الجهات الصحية الرسمية بشكل أكبر في نشر التوعية الرقمية</w:t>
            </w:r>
          </w:p>
        </w:tc>
        <w:tc>
          <w:tcPr>
            <w:tcW w:w="0" w:type="auto"/>
            <w:vAlign w:val="center"/>
            <w:hideMark/>
          </w:tcPr>
          <w:p w14:paraId="5EB138F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4.10</w:t>
            </w:r>
          </w:p>
        </w:tc>
        <w:tc>
          <w:tcPr>
            <w:tcW w:w="0" w:type="auto"/>
            <w:vAlign w:val="center"/>
            <w:hideMark/>
          </w:tcPr>
          <w:p w14:paraId="4FE409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7A57857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0AA7D0D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42B167C7" w14:textId="77777777" w:rsidTr="00A171A0">
        <w:trPr>
          <w:tblCellSpacing w:w="15" w:type="dxa"/>
        </w:trPr>
        <w:tc>
          <w:tcPr>
            <w:tcW w:w="0" w:type="auto"/>
            <w:vAlign w:val="center"/>
            <w:hideMark/>
          </w:tcPr>
          <w:p w14:paraId="41F22DC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الحملات الرقمية التوعوية تساهم في الحد من انتشار المعلومات المضللة</w:t>
            </w:r>
          </w:p>
        </w:tc>
        <w:tc>
          <w:tcPr>
            <w:tcW w:w="0" w:type="auto"/>
            <w:vAlign w:val="center"/>
            <w:hideMark/>
          </w:tcPr>
          <w:p w14:paraId="02D2561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4.05</w:t>
            </w:r>
          </w:p>
        </w:tc>
        <w:tc>
          <w:tcPr>
            <w:tcW w:w="0" w:type="auto"/>
            <w:vAlign w:val="center"/>
            <w:hideMark/>
          </w:tcPr>
          <w:p w14:paraId="5A3DE92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0.78</w:t>
            </w:r>
          </w:p>
        </w:tc>
        <w:tc>
          <w:tcPr>
            <w:tcW w:w="0" w:type="auto"/>
            <w:vAlign w:val="center"/>
            <w:hideMark/>
          </w:tcPr>
          <w:p w14:paraId="14256DF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AF9229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7E37A90A" w14:textId="77777777" w:rsidTr="00A171A0">
        <w:trPr>
          <w:tblCellSpacing w:w="15" w:type="dxa"/>
        </w:trPr>
        <w:tc>
          <w:tcPr>
            <w:tcW w:w="0" w:type="auto"/>
            <w:vAlign w:val="center"/>
            <w:hideMark/>
          </w:tcPr>
          <w:p w14:paraId="2AE724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التعاون بين الإعلاميين والأطباء يعزز جودة المحتوى الصحي الرقمي</w:t>
            </w:r>
          </w:p>
        </w:tc>
        <w:tc>
          <w:tcPr>
            <w:tcW w:w="0" w:type="auto"/>
            <w:vAlign w:val="center"/>
            <w:hideMark/>
          </w:tcPr>
          <w:p w14:paraId="006EEE0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4.12</w:t>
            </w:r>
          </w:p>
        </w:tc>
        <w:tc>
          <w:tcPr>
            <w:tcW w:w="0" w:type="auto"/>
            <w:vAlign w:val="center"/>
            <w:hideMark/>
          </w:tcPr>
          <w:p w14:paraId="3AAD711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0.74</w:t>
            </w:r>
          </w:p>
        </w:tc>
        <w:tc>
          <w:tcPr>
            <w:tcW w:w="0" w:type="auto"/>
            <w:vAlign w:val="center"/>
            <w:hideMark/>
          </w:tcPr>
          <w:p w14:paraId="2AD9035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6262AA9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12C79F96" w14:textId="5C1DCE53" w:rsidR="000913DC" w:rsidRDefault="000913DC" w:rsidP="007C1AB5">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 xml:space="preserve">يوضح الجدول آراء أفراد عينة الدراسة تجاه المقترحات المتعلقة بتعزيز التوعية الصحية الرقمية، حيث جاءت جميع العبارات بدرجات موافقة مرتفعة، مما يعكس اتفاق المبحوثين على أهمية تطوير المحتوى الصحي الرقمي. وقد حصلت عبارة «التعاون بين الإعلاميين والأطباء يعزز جودة المحتوى الصحي الرقمي» على أعلى متوسط حسابي بلغ 4.12 بانحراف معياري 0.74، تلتها عبارة «يجب تعزيز الرقابة على المحتوى </w:t>
      </w:r>
      <w:r w:rsidRPr="00645EB2">
        <w:rPr>
          <w:rFonts w:asciiTheme="majorBidi" w:hAnsiTheme="majorBidi" w:cstheme="majorBidi"/>
          <w:sz w:val="28"/>
          <w:szCs w:val="28"/>
          <w:rtl/>
        </w:rPr>
        <w:lastRenderedPageBreak/>
        <w:t>الصحي في المنصات الرقمية» و«ينبغي أن تشارك الجهات الصحية الرسمية بشكل أكبر في نشر التوعية الرقمية» بمتوسط حسابي بلغ 4.10 لكل منهما، ثم عبارة «الحملات الرقمية التوعوية تساهم في الحد من انتشار المعلومات المضللة» بمتوسط حسابي 4.05. وتشير هذه النتائج إلى وجود اتفاق واضح بين أفراد العينة على أهمية التكامل بين الجهات الصحية والإعلامية، وتعزيز الرقابة والتوعية الرقمية لضمان تقديم معلومات صحية موثوقة للمجتمع</w:t>
      </w:r>
      <w:r w:rsidRPr="00645EB2">
        <w:rPr>
          <w:rFonts w:asciiTheme="majorBidi" w:hAnsiTheme="majorBidi" w:cstheme="majorBidi"/>
          <w:sz w:val="28"/>
          <w:szCs w:val="28"/>
        </w:rPr>
        <w:t>.</w:t>
      </w:r>
    </w:p>
    <w:p w14:paraId="3B16E08C" w14:textId="77777777" w:rsidR="007C1AB5" w:rsidRPr="00645EB2" w:rsidRDefault="007C1AB5" w:rsidP="007C1AB5">
      <w:pPr>
        <w:spacing w:line="360" w:lineRule="auto"/>
        <w:jc w:val="both"/>
        <w:rPr>
          <w:rFonts w:asciiTheme="majorBidi" w:hAnsiTheme="majorBidi" w:cstheme="majorBidi"/>
          <w:sz w:val="28"/>
          <w:szCs w:val="28"/>
        </w:rPr>
      </w:pPr>
    </w:p>
    <w:p w14:paraId="0F41F744"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 xml:space="preserve">9- اختبارات الصدق والثبات </w:t>
      </w:r>
    </w:p>
    <w:p w14:paraId="70B7A0E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حرصت الدراسة الحالية على التحقق من صدق وثبات أداة الدراسة (الاستبيان) للتأكد من قدرتها على قياس ما وضعت من أجله بدقة وموضوعية. ويُعد اختبار الصدق والثبات من الخطوات الأساسية في البحوث العلمية، حيث يساعد في ضمان جودة الأداة المستخدمة في جمع البيانات، وبالتالي تعزيز موثوقية النتائج التي يتم التوصل إليها</w:t>
      </w:r>
      <w:r w:rsidRPr="00645EB2">
        <w:rPr>
          <w:rFonts w:asciiTheme="majorBidi" w:hAnsiTheme="majorBidi" w:cstheme="majorBidi"/>
          <w:sz w:val="28"/>
          <w:szCs w:val="28"/>
        </w:rPr>
        <w:t>.</w:t>
      </w:r>
    </w:p>
    <w:p w14:paraId="4FA496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أولًا: اختبار الصدق</w:t>
      </w:r>
    </w:p>
    <w:p w14:paraId="782B018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تم التأكد من صدق أداة الدراسة من خلال عرض الاستبيان على عدد من المحكمين المتخصصين في مجالات الإعلام والدراسات الصحية، وذلك بهدف التأكد من مدى وضوح العبارات وملاءمتها لموضوع الدراسة، وكذلك مدى قدرتها على قياس الأبعاد المرتبطة بدور الإعلام الرقمي في التوعية بالأمراض العصبية المزمنة. وقد أبدى المحكمون مجموعة من الملاحظات التي تم أخذها في الاعتبار عند تعديل بعض العبارات وإعادة صياغتها بما يحقق أهداف الدراسة</w:t>
      </w:r>
      <w:r w:rsidRPr="00645EB2">
        <w:rPr>
          <w:rFonts w:asciiTheme="majorBidi" w:hAnsiTheme="majorBidi" w:cstheme="majorBidi"/>
          <w:sz w:val="28"/>
          <w:szCs w:val="28"/>
        </w:rPr>
        <w:t>.</w:t>
      </w:r>
    </w:p>
    <w:p w14:paraId="24E75C0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تم التأكد من الصدق الظاهري للأداة من خلال التأكد من وضوح العبارات وسهولة فهمها من قبل أفراد العينة، بحيث تعكس كل عبارة البعد الذي تقيسه بصورة واضحة ومباشرة، مما يسهم في الحصول على استجابات دقيقة من المبحوثين</w:t>
      </w:r>
      <w:r w:rsidRPr="00645EB2">
        <w:rPr>
          <w:rFonts w:asciiTheme="majorBidi" w:hAnsiTheme="majorBidi" w:cstheme="majorBidi"/>
          <w:sz w:val="28"/>
          <w:szCs w:val="28"/>
        </w:rPr>
        <w:t>.</w:t>
      </w:r>
    </w:p>
    <w:p w14:paraId="5AC288A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ثانيًا: اختبار الثبات</w:t>
      </w:r>
    </w:p>
    <w:p w14:paraId="74006DA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تم اختبار ثبات أداة الدراسة باستخدام معامل كرونباخ ألفا</w:t>
      </w:r>
      <w:r w:rsidRPr="00645EB2">
        <w:rPr>
          <w:rFonts w:asciiTheme="majorBidi" w:hAnsiTheme="majorBidi" w:cstheme="majorBidi"/>
          <w:sz w:val="28"/>
          <w:szCs w:val="28"/>
        </w:rPr>
        <w:t xml:space="preserve"> (Cronbach's Alpha)</w:t>
      </w:r>
      <w:r w:rsidRPr="00645EB2">
        <w:rPr>
          <w:rFonts w:asciiTheme="majorBidi" w:hAnsiTheme="majorBidi" w:cstheme="majorBidi"/>
          <w:sz w:val="28"/>
          <w:szCs w:val="28"/>
          <w:rtl/>
        </w:rPr>
        <w:t>، وذلك لقياس مدى الاتساق الداخلي بين عبارات كل محور من محاور الاستبيان. ويعد معامل كرونباخ ألفا من أكثر الأساليب الإحصائية استخدامًا لقياس ثبات أدوات القياس في الدراسات الاجتماعية والإعلامية</w:t>
      </w:r>
      <w:r w:rsidRPr="00645EB2">
        <w:rPr>
          <w:rFonts w:asciiTheme="majorBidi" w:hAnsiTheme="majorBidi" w:cstheme="majorBidi"/>
          <w:sz w:val="28"/>
          <w:szCs w:val="28"/>
        </w:rPr>
        <w:t>.</w:t>
      </w:r>
    </w:p>
    <w:p w14:paraId="4F7B0EA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جدول (13) معامل الثبات كرونباخ ألفا لمحاور الاستبيان</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4117"/>
        <w:gridCol w:w="1220"/>
        <w:gridCol w:w="1733"/>
      </w:tblGrid>
      <w:tr w:rsidR="000913DC" w:rsidRPr="00645EB2" w14:paraId="6AA273D8" w14:textId="77777777" w:rsidTr="00A171A0">
        <w:trPr>
          <w:tblHeader/>
          <w:tblCellSpacing w:w="15" w:type="dxa"/>
          <w:jc w:val="right"/>
        </w:trPr>
        <w:tc>
          <w:tcPr>
            <w:tcW w:w="0" w:type="auto"/>
            <w:vAlign w:val="center"/>
            <w:hideMark/>
          </w:tcPr>
          <w:p w14:paraId="3EEE3A6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w:t>
            </w:r>
          </w:p>
        </w:tc>
        <w:tc>
          <w:tcPr>
            <w:tcW w:w="0" w:type="auto"/>
            <w:vAlign w:val="center"/>
            <w:hideMark/>
          </w:tcPr>
          <w:p w14:paraId="5442F5B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عدد العبارات</w:t>
            </w:r>
          </w:p>
        </w:tc>
        <w:tc>
          <w:tcPr>
            <w:tcW w:w="0" w:type="auto"/>
            <w:vAlign w:val="center"/>
            <w:hideMark/>
          </w:tcPr>
          <w:p w14:paraId="27D9D3E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معامل كرونباخ ألفا</w:t>
            </w:r>
          </w:p>
        </w:tc>
      </w:tr>
      <w:tr w:rsidR="000913DC" w:rsidRPr="00645EB2" w14:paraId="2B018067" w14:textId="77777777" w:rsidTr="00A171A0">
        <w:trPr>
          <w:tblCellSpacing w:w="15" w:type="dxa"/>
          <w:jc w:val="right"/>
        </w:trPr>
        <w:tc>
          <w:tcPr>
            <w:tcW w:w="0" w:type="auto"/>
            <w:vAlign w:val="center"/>
            <w:hideMark/>
          </w:tcPr>
          <w:p w14:paraId="7543112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الاعتماد على الإعلام الرقمي</w:t>
            </w:r>
          </w:p>
        </w:tc>
        <w:tc>
          <w:tcPr>
            <w:tcW w:w="0" w:type="auto"/>
            <w:vAlign w:val="center"/>
            <w:hideMark/>
          </w:tcPr>
          <w:p w14:paraId="28F56C9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A53C6E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0.86</w:t>
            </w:r>
          </w:p>
        </w:tc>
      </w:tr>
      <w:tr w:rsidR="000913DC" w:rsidRPr="00645EB2" w14:paraId="3C4B4396" w14:textId="77777777" w:rsidTr="00A171A0">
        <w:trPr>
          <w:tblCellSpacing w:w="15" w:type="dxa"/>
          <w:jc w:val="right"/>
        </w:trPr>
        <w:tc>
          <w:tcPr>
            <w:tcW w:w="0" w:type="auto"/>
            <w:vAlign w:val="center"/>
            <w:hideMark/>
          </w:tcPr>
          <w:p w14:paraId="73A7C10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موثوقية المنصات الرقمية</w:t>
            </w:r>
          </w:p>
        </w:tc>
        <w:tc>
          <w:tcPr>
            <w:tcW w:w="0" w:type="auto"/>
            <w:vAlign w:val="center"/>
            <w:hideMark/>
          </w:tcPr>
          <w:p w14:paraId="05A488E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1423CBB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0.83</w:t>
            </w:r>
          </w:p>
        </w:tc>
      </w:tr>
      <w:tr w:rsidR="000913DC" w:rsidRPr="00645EB2" w14:paraId="1012C048" w14:textId="77777777" w:rsidTr="00A171A0">
        <w:trPr>
          <w:tblCellSpacing w:w="15" w:type="dxa"/>
          <w:jc w:val="right"/>
        </w:trPr>
        <w:tc>
          <w:tcPr>
            <w:tcW w:w="0" w:type="auto"/>
            <w:vAlign w:val="center"/>
            <w:hideMark/>
          </w:tcPr>
          <w:p w14:paraId="2E6CA0F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تأثير الإعلام الرقمي في تشكيل الوعي الصحي</w:t>
            </w:r>
          </w:p>
        </w:tc>
        <w:tc>
          <w:tcPr>
            <w:tcW w:w="0" w:type="auto"/>
            <w:vAlign w:val="center"/>
            <w:hideMark/>
          </w:tcPr>
          <w:p w14:paraId="1868FF6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0F1ABEB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0.88</w:t>
            </w:r>
          </w:p>
        </w:tc>
      </w:tr>
      <w:tr w:rsidR="000913DC" w:rsidRPr="00645EB2" w14:paraId="02C63EFF" w14:textId="77777777" w:rsidTr="00A171A0">
        <w:trPr>
          <w:tblCellSpacing w:w="15" w:type="dxa"/>
          <w:jc w:val="right"/>
        </w:trPr>
        <w:tc>
          <w:tcPr>
            <w:tcW w:w="0" w:type="auto"/>
            <w:vAlign w:val="center"/>
            <w:hideMark/>
          </w:tcPr>
          <w:p w14:paraId="3A67492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التحديات التي تواجه الإعلام الرقمي</w:t>
            </w:r>
          </w:p>
        </w:tc>
        <w:tc>
          <w:tcPr>
            <w:tcW w:w="0" w:type="auto"/>
            <w:vAlign w:val="center"/>
            <w:hideMark/>
          </w:tcPr>
          <w:p w14:paraId="276EED9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59E3E3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0.81</w:t>
            </w:r>
          </w:p>
        </w:tc>
      </w:tr>
      <w:tr w:rsidR="000913DC" w:rsidRPr="00645EB2" w14:paraId="6E4D5C23" w14:textId="77777777" w:rsidTr="00A171A0">
        <w:trPr>
          <w:tblCellSpacing w:w="15" w:type="dxa"/>
          <w:jc w:val="right"/>
        </w:trPr>
        <w:tc>
          <w:tcPr>
            <w:tcW w:w="0" w:type="auto"/>
            <w:vAlign w:val="center"/>
            <w:hideMark/>
          </w:tcPr>
          <w:p w14:paraId="0A6B5CC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تأثير المعلومات الرقمية على السلوك الصحي</w:t>
            </w:r>
          </w:p>
        </w:tc>
        <w:tc>
          <w:tcPr>
            <w:tcW w:w="0" w:type="auto"/>
            <w:vAlign w:val="center"/>
            <w:hideMark/>
          </w:tcPr>
          <w:p w14:paraId="53D33B9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9A15BD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0.85</w:t>
            </w:r>
          </w:p>
        </w:tc>
      </w:tr>
      <w:tr w:rsidR="000913DC" w:rsidRPr="00645EB2" w14:paraId="71262FC6" w14:textId="77777777" w:rsidTr="00A171A0">
        <w:trPr>
          <w:tblCellSpacing w:w="15" w:type="dxa"/>
          <w:jc w:val="right"/>
        </w:trPr>
        <w:tc>
          <w:tcPr>
            <w:tcW w:w="0" w:type="auto"/>
            <w:vAlign w:val="center"/>
            <w:hideMark/>
          </w:tcPr>
          <w:p w14:paraId="28D48F6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تعزيز دور الإعلام الرقمي</w:t>
            </w:r>
          </w:p>
        </w:tc>
        <w:tc>
          <w:tcPr>
            <w:tcW w:w="0" w:type="auto"/>
            <w:vAlign w:val="center"/>
            <w:hideMark/>
          </w:tcPr>
          <w:p w14:paraId="7D8EDA8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C61708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0.87</w:t>
            </w:r>
          </w:p>
        </w:tc>
      </w:tr>
      <w:tr w:rsidR="000913DC" w:rsidRPr="00645EB2" w14:paraId="42BA8AFF" w14:textId="77777777" w:rsidTr="00A171A0">
        <w:trPr>
          <w:tblCellSpacing w:w="15" w:type="dxa"/>
          <w:jc w:val="right"/>
        </w:trPr>
        <w:tc>
          <w:tcPr>
            <w:tcW w:w="0" w:type="auto"/>
            <w:vAlign w:val="center"/>
            <w:hideMark/>
          </w:tcPr>
          <w:p w14:paraId="6103A53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الثبات الكلي للأداة</w:t>
            </w:r>
          </w:p>
        </w:tc>
        <w:tc>
          <w:tcPr>
            <w:tcW w:w="0" w:type="auto"/>
            <w:vAlign w:val="center"/>
            <w:hideMark/>
          </w:tcPr>
          <w:p w14:paraId="63E5B9D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24</w:t>
            </w:r>
          </w:p>
        </w:tc>
        <w:tc>
          <w:tcPr>
            <w:tcW w:w="0" w:type="auto"/>
            <w:vAlign w:val="center"/>
            <w:hideMark/>
          </w:tcPr>
          <w:p w14:paraId="7F177A4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0.89</w:t>
            </w:r>
          </w:p>
        </w:tc>
      </w:tr>
    </w:tbl>
    <w:p w14:paraId="09734211" w14:textId="77777777" w:rsidR="000913DC"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يتضح من الجدول السابق أن معاملات الثبات لجميع محاور الاستبيان جاءت مرتفعة، حيث تراوحت قيم معامل كرونباخ ألفا بين (0.81) و(0.88)، بينما بلغ معامل الثبات الكلي للأداة (0.89)، وهي قيمة مرتفعة تشير إلى تمتع أداة الدراسة بدرجة عالية من الثبات والاتساق الداخلي، مما يؤكد صلاحيتها للاستخدام في جمع البيانات وتحليلها لتحقيق أهداف الدراسة</w:t>
      </w:r>
    </w:p>
    <w:p w14:paraId="7A3B772C" w14:textId="3A1D5282" w:rsidR="00A93A06" w:rsidRDefault="00A93A06" w:rsidP="00A93A06">
      <w:pPr>
        <w:numPr>
          <w:ilvl w:val="1"/>
          <w:numId w:val="10"/>
        </w:numPr>
        <w:spacing w:line="360" w:lineRule="auto"/>
        <w:jc w:val="both"/>
        <w:rPr>
          <w:rFonts w:asciiTheme="majorBidi" w:hAnsiTheme="majorBidi" w:cstheme="majorBidi"/>
          <w:sz w:val="28"/>
          <w:szCs w:val="28"/>
        </w:rPr>
      </w:pPr>
      <w:r w:rsidRPr="00A93A06">
        <w:rPr>
          <w:rFonts w:asciiTheme="majorBidi" w:hAnsiTheme="majorBidi" w:cstheme="majorBidi"/>
          <w:sz w:val="28"/>
          <w:szCs w:val="28"/>
          <w:rtl/>
        </w:rPr>
        <w:t>اختبار (ت) للعينات المستقلة لمقارنة متوسطات مجموعتين (الجنس)</w:t>
      </w:r>
      <w:r w:rsidRPr="00A93A06">
        <w:rPr>
          <w:rFonts w:asciiTheme="majorBidi" w:hAnsiTheme="majorBidi" w:cstheme="majorBidi"/>
          <w:sz w:val="28"/>
          <w:szCs w:val="28"/>
        </w:rPr>
        <w:t>.</w:t>
      </w:r>
    </w:p>
    <w:tbl>
      <w:tblPr>
        <w:tblStyle w:val="af3"/>
        <w:tblW w:w="0" w:type="auto"/>
        <w:jc w:val="center"/>
        <w:tblLook w:val="04A0" w:firstRow="1" w:lastRow="0" w:firstColumn="1" w:lastColumn="0" w:noHBand="0" w:noVBand="1"/>
      </w:tblPr>
      <w:tblGrid>
        <w:gridCol w:w="903"/>
        <w:gridCol w:w="696"/>
        <w:gridCol w:w="1087"/>
        <w:gridCol w:w="2125"/>
        <w:gridCol w:w="853"/>
        <w:gridCol w:w="2479"/>
      </w:tblGrid>
      <w:tr w:rsidR="00146B44" w:rsidRPr="00146B44" w14:paraId="3EEFCE98" w14:textId="77777777" w:rsidTr="00146B44">
        <w:trPr>
          <w:jc w:val="center"/>
        </w:trPr>
        <w:tc>
          <w:tcPr>
            <w:tcW w:w="0" w:type="auto"/>
            <w:hideMark/>
          </w:tcPr>
          <w:p w14:paraId="3CA45106"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الجنس</w:t>
            </w:r>
          </w:p>
        </w:tc>
        <w:tc>
          <w:tcPr>
            <w:tcW w:w="0" w:type="auto"/>
            <w:hideMark/>
          </w:tcPr>
          <w:p w14:paraId="06C53052"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العدد</w:t>
            </w:r>
          </w:p>
        </w:tc>
        <w:tc>
          <w:tcPr>
            <w:tcW w:w="0" w:type="auto"/>
            <w:hideMark/>
          </w:tcPr>
          <w:p w14:paraId="55DB64CC"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المتوسط</w:t>
            </w:r>
          </w:p>
        </w:tc>
        <w:tc>
          <w:tcPr>
            <w:tcW w:w="0" w:type="auto"/>
            <w:hideMark/>
          </w:tcPr>
          <w:p w14:paraId="5CB6C9FD"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الانحراف المعياري</w:t>
            </w:r>
          </w:p>
        </w:tc>
        <w:tc>
          <w:tcPr>
            <w:tcW w:w="0" w:type="auto"/>
            <w:hideMark/>
          </w:tcPr>
          <w:p w14:paraId="6B6FCD9E"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قيمة</w:t>
            </w:r>
            <w:r w:rsidRPr="00146B44">
              <w:rPr>
                <w:rFonts w:ascii="Times New Roman" w:eastAsia="Times New Roman" w:hAnsi="Times New Roman" w:cs="Times New Roman"/>
                <w:b/>
                <w:bCs/>
                <w:kern w:val="0"/>
                <w:sz w:val="32"/>
                <w:szCs w:val="32"/>
                <w14:ligatures w14:val="none"/>
              </w:rPr>
              <w:t xml:space="preserve"> t</w:t>
            </w:r>
          </w:p>
        </w:tc>
        <w:tc>
          <w:tcPr>
            <w:tcW w:w="0" w:type="auto"/>
            <w:hideMark/>
          </w:tcPr>
          <w:p w14:paraId="3B301704"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مستوى الدلالة</w:t>
            </w:r>
            <w:r w:rsidRPr="00146B44">
              <w:rPr>
                <w:rFonts w:ascii="Times New Roman" w:eastAsia="Times New Roman" w:hAnsi="Times New Roman" w:cs="Times New Roman"/>
                <w:b/>
                <w:bCs/>
                <w:kern w:val="0"/>
                <w:sz w:val="32"/>
                <w:szCs w:val="32"/>
                <w14:ligatures w14:val="none"/>
              </w:rPr>
              <w:t xml:space="preserve"> (Sig.)</w:t>
            </w:r>
          </w:p>
        </w:tc>
      </w:tr>
      <w:tr w:rsidR="00146B44" w:rsidRPr="00146B44" w14:paraId="5C766A8C" w14:textId="77777777" w:rsidTr="00146B44">
        <w:trPr>
          <w:jc w:val="center"/>
        </w:trPr>
        <w:tc>
          <w:tcPr>
            <w:tcW w:w="0" w:type="auto"/>
            <w:hideMark/>
          </w:tcPr>
          <w:p w14:paraId="10D56467"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rtl/>
                <w14:ligatures w14:val="none"/>
              </w:rPr>
              <w:t>ذكور</w:t>
            </w:r>
          </w:p>
        </w:tc>
        <w:tc>
          <w:tcPr>
            <w:tcW w:w="0" w:type="auto"/>
            <w:hideMark/>
          </w:tcPr>
          <w:p w14:paraId="65798C52"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182</w:t>
            </w:r>
          </w:p>
        </w:tc>
        <w:tc>
          <w:tcPr>
            <w:tcW w:w="0" w:type="auto"/>
            <w:hideMark/>
          </w:tcPr>
          <w:p w14:paraId="03091BE1"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3.79</w:t>
            </w:r>
          </w:p>
        </w:tc>
        <w:tc>
          <w:tcPr>
            <w:tcW w:w="0" w:type="auto"/>
            <w:hideMark/>
          </w:tcPr>
          <w:p w14:paraId="0F7F4468"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0.58</w:t>
            </w:r>
          </w:p>
        </w:tc>
        <w:tc>
          <w:tcPr>
            <w:tcW w:w="0" w:type="auto"/>
            <w:hideMark/>
          </w:tcPr>
          <w:p w14:paraId="20701012" w14:textId="77777777" w:rsidR="00146B44" w:rsidRPr="00146B44" w:rsidRDefault="00146B44" w:rsidP="00146B44">
            <w:pPr>
              <w:bidi w:val="0"/>
              <w:rPr>
                <w:rFonts w:ascii="Times New Roman" w:eastAsia="Times New Roman" w:hAnsi="Times New Roman" w:cs="Times New Roman"/>
                <w:kern w:val="0"/>
                <w:sz w:val="32"/>
                <w:szCs w:val="32"/>
                <w14:ligatures w14:val="none"/>
              </w:rPr>
            </w:pPr>
          </w:p>
        </w:tc>
        <w:tc>
          <w:tcPr>
            <w:tcW w:w="0" w:type="auto"/>
            <w:hideMark/>
          </w:tcPr>
          <w:p w14:paraId="06253532" w14:textId="77777777" w:rsidR="00146B44" w:rsidRPr="00146B44" w:rsidRDefault="00146B44" w:rsidP="00146B44">
            <w:pPr>
              <w:bidi w:val="0"/>
              <w:rPr>
                <w:rFonts w:ascii="Times New Roman" w:eastAsia="Times New Roman" w:hAnsi="Times New Roman" w:cs="Times New Roman"/>
                <w:kern w:val="0"/>
                <w:sz w:val="32"/>
                <w:szCs w:val="32"/>
                <w14:ligatures w14:val="none"/>
              </w:rPr>
            </w:pPr>
          </w:p>
        </w:tc>
      </w:tr>
      <w:tr w:rsidR="00146B44" w:rsidRPr="00146B44" w14:paraId="56B48700" w14:textId="77777777" w:rsidTr="00146B44">
        <w:trPr>
          <w:jc w:val="center"/>
        </w:trPr>
        <w:tc>
          <w:tcPr>
            <w:tcW w:w="0" w:type="auto"/>
            <w:hideMark/>
          </w:tcPr>
          <w:p w14:paraId="45E25D38"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rtl/>
                <w14:ligatures w14:val="none"/>
              </w:rPr>
              <w:t>إناث</w:t>
            </w:r>
          </w:p>
        </w:tc>
        <w:tc>
          <w:tcPr>
            <w:tcW w:w="0" w:type="auto"/>
            <w:hideMark/>
          </w:tcPr>
          <w:p w14:paraId="181EF773"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218</w:t>
            </w:r>
          </w:p>
        </w:tc>
        <w:tc>
          <w:tcPr>
            <w:tcW w:w="0" w:type="auto"/>
            <w:hideMark/>
          </w:tcPr>
          <w:p w14:paraId="7707C2E7"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3.94</w:t>
            </w:r>
          </w:p>
        </w:tc>
        <w:tc>
          <w:tcPr>
            <w:tcW w:w="0" w:type="auto"/>
            <w:hideMark/>
          </w:tcPr>
          <w:p w14:paraId="7FCD06BC"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0.55</w:t>
            </w:r>
          </w:p>
        </w:tc>
        <w:tc>
          <w:tcPr>
            <w:tcW w:w="0" w:type="auto"/>
            <w:hideMark/>
          </w:tcPr>
          <w:p w14:paraId="77884D02"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2.61</w:t>
            </w:r>
          </w:p>
        </w:tc>
        <w:tc>
          <w:tcPr>
            <w:tcW w:w="0" w:type="auto"/>
            <w:hideMark/>
          </w:tcPr>
          <w:p w14:paraId="42FF4987"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0.009*</w:t>
            </w:r>
          </w:p>
        </w:tc>
      </w:tr>
    </w:tbl>
    <w:p w14:paraId="0868FC82" w14:textId="77777777" w:rsidR="00A93A06" w:rsidRDefault="00A93A06" w:rsidP="00A93A06">
      <w:pPr>
        <w:spacing w:line="360" w:lineRule="auto"/>
        <w:jc w:val="both"/>
        <w:rPr>
          <w:rFonts w:asciiTheme="majorBidi" w:hAnsiTheme="majorBidi" w:cstheme="majorBidi"/>
          <w:sz w:val="28"/>
          <w:szCs w:val="28"/>
          <w:rtl/>
        </w:rPr>
      </w:pPr>
    </w:p>
    <w:p w14:paraId="75548180" w14:textId="77777777" w:rsidR="00F23C74" w:rsidRPr="00F23C74" w:rsidRDefault="00F23C74" w:rsidP="00F23C74">
      <w:pPr>
        <w:spacing w:line="360" w:lineRule="auto"/>
        <w:jc w:val="both"/>
        <w:rPr>
          <w:rFonts w:asciiTheme="majorBidi" w:hAnsiTheme="majorBidi" w:cstheme="majorBidi"/>
          <w:sz w:val="28"/>
          <w:szCs w:val="28"/>
        </w:rPr>
      </w:pPr>
      <w:r w:rsidRPr="00F23C74">
        <w:rPr>
          <w:rFonts w:asciiTheme="majorBidi" w:hAnsiTheme="majorBidi" w:cstheme="majorBidi"/>
          <w:sz w:val="28"/>
          <w:szCs w:val="28"/>
          <w:rtl/>
        </w:rPr>
        <w:t>يتضح من نتائج اختبار (ت) للعينات المستقلة وجود فروق ذات دلالة إحصائية في مستوى الوعي الصحي الرقمي بين أفراد العينة تبعًا لمتغير الجنس، حيث بلغت قيمة اختبار</w:t>
      </w:r>
      <w:r w:rsidRPr="00F23C74">
        <w:rPr>
          <w:rFonts w:asciiTheme="majorBidi" w:hAnsiTheme="majorBidi" w:cstheme="majorBidi"/>
          <w:sz w:val="28"/>
          <w:szCs w:val="28"/>
        </w:rPr>
        <w:t xml:space="preserve"> (t) (2.61) </w:t>
      </w:r>
      <w:r w:rsidRPr="00F23C74">
        <w:rPr>
          <w:rFonts w:asciiTheme="majorBidi" w:hAnsiTheme="majorBidi" w:cstheme="majorBidi"/>
          <w:sz w:val="28"/>
          <w:szCs w:val="28"/>
          <w:rtl/>
        </w:rPr>
        <w:t xml:space="preserve">عند مستوى دلالة </w:t>
      </w:r>
      <w:r w:rsidRPr="00F23C74">
        <w:rPr>
          <w:rFonts w:asciiTheme="majorBidi" w:hAnsiTheme="majorBidi" w:cstheme="majorBidi"/>
          <w:sz w:val="28"/>
          <w:szCs w:val="28"/>
        </w:rPr>
        <w:t>(0.009)</w:t>
      </w:r>
      <w:r w:rsidRPr="00F23C74">
        <w:rPr>
          <w:rFonts w:asciiTheme="majorBidi" w:hAnsiTheme="majorBidi" w:cstheme="majorBidi"/>
          <w:sz w:val="28"/>
          <w:szCs w:val="28"/>
          <w:rtl/>
        </w:rPr>
        <w:t xml:space="preserve">، وهي قيمة أقل من مستوى الدلالة المعتمد </w:t>
      </w:r>
      <w:r w:rsidRPr="00F23C74">
        <w:rPr>
          <w:rFonts w:asciiTheme="majorBidi" w:hAnsiTheme="majorBidi" w:cstheme="majorBidi"/>
          <w:sz w:val="28"/>
          <w:szCs w:val="28"/>
        </w:rPr>
        <w:t>(0.05)</w:t>
      </w:r>
      <w:r w:rsidRPr="00F23C74">
        <w:rPr>
          <w:rFonts w:asciiTheme="majorBidi" w:hAnsiTheme="majorBidi" w:cstheme="majorBidi"/>
          <w:sz w:val="28"/>
          <w:szCs w:val="28"/>
          <w:rtl/>
        </w:rPr>
        <w:t>، مما يشير إلى رفض الفرض الصفري وقبول الفرض البديل القائل بوجود فروق ذات دلالة إحصائية بين الذكور والإناث</w:t>
      </w:r>
      <w:r w:rsidRPr="00F23C74">
        <w:rPr>
          <w:rFonts w:asciiTheme="majorBidi" w:hAnsiTheme="majorBidi" w:cstheme="majorBidi"/>
          <w:sz w:val="28"/>
          <w:szCs w:val="28"/>
        </w:rPr>
        <w:t>.</w:t>
      </w:r>
    </w:p>
    <w:p w14:paraId="45F8F260" w14:textId="77777777" w:rsidR="00F23C74" w:rsidRPr="00F23C74" w:rsidRDefault="00F23C74" w:rsidP="00F23C74">
      <w:pPr>
        <w:spacing w:line="360" w:lineRule="auto"/>
        <w:jc w:val="both"/>
        <w:rPr>
          <w:rFonts w:asciiTheme="majorBidi" w:hAnsiTheme="majorBidi" w:cstheme="majorBidi"/>
          <w:sz w:val="28"/>
          <w:szCs w:val="28"/>
        </w:rPr>
      </w:pPr>
      <w:r w:rsidRPr="00F23C74">
        <w:rPr>
          <w:rFonts w:asciiTheme="majorBidi" w:hAnsiTheme="majorBidi" w:cstheme="majorBidi"/>
          <w:sz w:val="28"/>
          <w:szCs w:val="28"/>
          <w:rtl/>
        </w:rPr>
        <w:lastRenderedPageBreak/>
        <w:t xml:space="preserve">كما أظهرت النتائج أن متوسط استجابات الإناث بلغ </w:t>
      </w:r>
      <w:r w:rsidRPr="00F23C74">
        <w:rPr>
          <w:rFonts w:asciiTheme="majorBidi" w:hAnsiTheme="majorBidi" w:cstheme="majorBidi"/>
          <w:sz w:val="28"/>
          <w:szCs w:val="28"/>
        </w:rPr>
        <w:t xml:space="preserve">(3.94) </w:t>
      </w:r>
      <w:r w:rsidRPr="00F23C74">
        <w:rPr>
          <w:rFonts w:asciiTheme="majorBidi" w:hAnsiTheme="majorBidi" w:cstheme="majorBidi"/>
          <w:sz w:val="28"/>
          <w:szCs w:val="28"/>
          <w:rtl/>
        </w:rPr>
        <w:t xml:space="preserve">بانحراف معياري </w:t>
      </w:r>
      <w:r w:rsidRPr="00F23C74">
        <w:rPr>
          <w:rFonts w:asciiTheme="majorBidi" w:hAnsiTheme="majorBidi" w:cstheme="majorBidi"/>
          <w:sz w:val="28"/>
          <w:szCs w:val="28"/>
        </w:rPr>
        <w:t>(0.55)</w:t>
      </w:r>
      <w:r w:rsidRPr="00F23C74">
        <w:rPr>
          <w:rFonts w:asciiTheme="majorBidi" w:hAnsiTheme="majorBidi" w:cstheme="majorBidi"/>
          <w:sz w:val="28"/>
          <w:szCs w:val="28"/>
          <w:rtl/>
        </w:rPr>
        <w:t xml:space="preserve">، في حين بلغ متوسط استجابات الذكور </w:t>
      </w:r>
      <w:r w:rsidRPr="00F23C74">
        <w:rPr>
          <w:rFonts w:asciiTheme="majorBidi" w:hAnsiTheme="majorBidi" w:cstheme="majorBidi"/>
          <w:sz w:val="28"/>
          <w:szCs w:val="28"/>
        </w:rPr>
        <w:t xml:space="preserve">(3.79) </w:t>
      </w:r>
      <w:r w:rsidRPr="00F23C74">
        <w:rPr>
          <w:rFonts w:asciiTheme="majorBidi" w:hAnsiTheme="majorBidi" w:cstheme="majorBidi"/>
          <w:sz w:val="28"/>
          <w:szCs w:val="28"/>
          <w:rtl/>
        </w:rPr>
        <w:t xml:space="preserve">بانحراف معياري </w:t>
      </w:r>
      <w:r w:rsidRPr="00F23C74">
        <w:rPr>
          <w:rFonts w:asciiTheme="majorBidi" w:hAnsiTheme="majorBidi" w:cstheme="majorBidi"/>
          <w:sz w:val="28"/>
          <w:szCs w:val="28"/>
        </w:rPr>
        <w:t>(0.58)</w:t>
      </w:r>
      <w:r w:rsidRPr="00F23C74">
        <w:rPr>
          <w:rFonts w:asciiTheme="majorBidi" w:hAnsiTheme="majorBidi" w:cstheme="majorBidi"/>
          <w:sz w:val="28"/>
          <w:szCs w:val="28"/>
          <w:rtl/>
        </w:rPr>
        <w:t>، وهو ما يعكس ارتفاع مستوى الوعي الصحي الرقمي لدى الإناث مقارنة بالذكور. ويمكن تفسير هذه النتيجة بارتفاع اهتمام الإناث بمتابعة المحتوى الصحي والوقائي عبر المنصات الرقمية، إلى جانب حرصهن على البحث عن المعلومات المتعلقة بالصحة العامة والرعاية الصحية، الأمر الذي قد يسهم في تعزيز مستوى الوعي لديهن</w:t>
      </w:r>
      <w:r w:rsidRPr="00F23C74">
        <w:rPr>
          <w:rFonts w:asciiTheme="majorBidi" w:hAnsiTheme="majorBidi" w:cstheme="majorBidi"/>
          <w:sz w:val="28"/>
          <w:szCs w:val="28"/>
        </w:rPr>
        <w:t>.</w:t>
      </w:r>
    </w:p>
    <w:p w14:paraId="2173CC46" w14:textId="29768175" w:rsidR="00F23C74" w:rsidRPr="00F23C74" w:rsidRDefault="00F23C74" w:rsidP="00F23C74">
      <w:pPr>
        <w:spacing w:line="360" w:lineRule="auto"/>
        <w:jc w:val="both"/>
        <w:rPr>
          <w:rFonts w:asciiTheme="majorBidi" w:hAnsiTheme="majorBidi" w:cstheme="majorBidi"/>
          <w:sz w:val="28"/>
          <w:szCs w:val="28"/>
        </w:rPr>
      </w:pPr>
      <w:r w:rsidRPr="00F23C74">
        <w:rPr>
          <w:rFonts w:asciiTheme="majorBidi" w:hAnsiTheme="majorBidi" w:cstheme="majorBidi"/>
          <w:sz w:val="28"/>
          <w:szCs w:val="28"/>
          <w:rtl/>
        </w:rPr>
        <w:t>وتشير هذه النتيجة إلى أن الجنس يعد من المتغيرات المؤثرة في مستوى الوعي الصحي الرقمي لدى أفراد العينة، وهو ما يستدعي مراعاة الفروق بين الجنسين عند تصميم البرامج والحملات التوعوية عبر المنصات الرقمية</w:t>
      </w:r>
      <w:r w:rsidRPr="00F23C74">
        <w:rPr>
          <w:rFonts w:asciiTheme="majorBidi" w:hAnsiTheme="majorBidi" w:cstheme="majorBidi"/>
          <w:sz w:val="28"/>
          <w:szCs w:val="28"/>
        </w:rPr>
        <w:t>.</w:t>
      </w:r>
    </w:p>
    <w:p w14:paraId="5657CF4A" w14:textId="77777777" w:rsidR="00A93A06" w:rsidRDefault="00A93A06" w:rsidP="00A93A06">
      <w:pPr>
        <w:numPr>
          <w:ilvl w:val="1"/>
          <w:numId w:val="10"/>
        </w:numPr>
        <w:spacing w:line="360" w:lineRule="auto"/>
        <w:jc w:val="both"/>
        <w:rPr>
          <w:rFonts w:asciiTheme="majorBidi" w:hAnsiTheme="majorBidi" w:cstheme="majorBidi"/>
          <w:sz w:val="28"/>
          <w:szCs w:val="28"/>
        </w:rPr>
      </w:pPr>
      <w:r w:rsidRPr="00A93A06">
        <w:rPr>
          <w:rFonts w:asciiTheme="majorBidi" w:hAnsiTheme="majorBidi" w:cstheme="majorBidi"/>
          <w:sz w:val="28"/>
          <w:szCs w:val="28"/>
          <w:rtl/>
        </w:rPr>
        <w:t>تحليل التباين الأحادي</w:t>
      </w:r>
      <w:r w:rsidRPr="00A93A06">
        <w:rPr>
          <w:rFonts w:asciiTheme="majorBidi" w:hAnsiTheme="majorBidi" w:cstheme="majorBidi"/>
          <w:sz w:val="28"/>
          <w:szCs w:val="28"/>
        </w:rPr>
        <w:t xml:space="preserve"> (ANOVA) </w:t>
      </w:r>
      <w:r w:rsidRPr="00A93A06">
        <w:rPr>
          <w:rFonts w:asciiTheme="majorBidi" w:hAnsiTheme="majorBidi" w:cstheme="majorBidi"/>
          <w:sz w:val="28"/>
          <w:szCs w:val="28"/>
          <w:rtl/>
        </w:rPr>
        <w:t>لمقارنة أكثر من مجموعتين (مثل الفئات العمرية أو المستويات التعليمية)</w:t>
      </w:r>
      <w:r w:rsidRPr="00A93A06">
        <w:rPr>
          <w:rFonts w:asciiTheme="majorBidi" w:hAnsiTheme="majorBidi" w:cstheme="majorBidi"/>
          <w:sz w:val="28"/>
          <w:szCs w:val="28"/>
        </w:rPr>
        <w:t>.</w:t>
      </w:r>
    </w:p>
    <w:tbl>
      <w:tblPr>
        <w:tblStyle w:val="12"/>
        <w:tblW w:w="0" w:type="auto"/>
        <w:tblLook w:val="04A0" w:firstRow="1" w:lastRow="0" w:firstColumn="1" w:lastColumn="0" w:noHBand="0" w:noVBand="1"/>
      </w:tblPr>
      <w:tblGrid>
        <w:gridCol w:w="2670"/>
        <w:gridCol w:w="1716"/>
        <w:gridCol w:w="2058"/>
        <w:gridCol w:w="2906"/>
      </w:tblGrid>
      <w:tr w:rsidR="004F63C9" w:rsidRPr="004F63C9" w14:paraId="49A777DC" w14:textId="77777777" w:rsidTr="000B7D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8AE415"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tl/>
              </w:rPr>
              <w:t>الفئة العمرية</w:t>
            </w:r>
          </w:p>
        </w:tc>
        <w:tc>
          <w:tcPr>
            <w:tcW w:w="0" w:type="auto"/>
            <w:hideMark/>
          </w:tcPr>
          <w:p w14:paraId="3F5CF509" w14:textId="77777777" w:rsidR="004F63C9" w:rsidRPr="004F63C9" w:rsidRDefault="004F63C9" w:rsidP="004F63C9">
            <w:pPr>
              <w:spacing w:after="160" w:line="360" w:lineRule="auto"/>
              <w:ind w:left="108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tl/>
              </w:rPr>
              <w:t>العدد</w:t>
            </w:r>
          </w:p>
        </w:tc>
        <w:tc>
          <w:tcPr>
            <w:tcW w:w="0" w:type="auto"/>
            <w:hideMark/>
          </w:tcPr>
          <w:p w14:paraId="6C313A53" w14:textId="77777777" w:rsidR="004F63C9" w:rsidRPr="004F63C9" w:rsidRDefault="004F63C9" w:rsidP="004F63C9">
            <w:pPr>
              <w:spacing w:after="160" w:line="360" w:lineRule="auto"/>
              <w:ind w:left="108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tl/>
              </w:rPr>
              <w:t>المتوسط</w:t>
            </w:r>
          </w:p>
        </w:tc>
        <w:tc>
          <w:tcPr>
            <w:tcW w:w="0" w:type="auto"/>
            <w:hideMark/>
          </w:tcPr>
          <w:p w14:paraId="37977D1C" w14:textId="77777777" w:rsidR="004F63C9" w:rsidRPr="004F63C9" w:rsidRDefault="004F63C9" w:rsidP="004F63C9">
            <w:pPr>
              <w:spacing w:after="160" w:line="360" w:lineRule="auto"/>
              <w:ind w:left="108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tl/>
              </w:rPr>
              <w:t>الانحراف المعياري</w:t>
            </w:r>
          </w:p>
        </w:tc>
      </w:tr>
      <w:tr w:rsidR="004F63C9" w:rsidRPr="004F63C9" w14:paraId="11896B3B" w14:textId="77777777" w:rsidTr="000B7DDA">
        <w:tc>
          <w:tcPr>
            <w:cnfStyle w:val="001000000000" w:firstRow="0" w:lastRow="0" w:firstColumn="1" w:lastColumn="0" w:oddVBand="0" w:evenVBand="0" w:oddHBand="0" w:evenHBand="0" w:firstRowFirstColumn="0" w:firstRowLastColumn="0" w:lastRowFirstColumn="0" w:lastRowLastColumn="0"/>
            <w:tcW w:w="0" w:type="auto"/>
            <w:hideMark/>
          </w:tcPr>
          <w:p w14:paraId="38AE00D9"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tl/>
              </w:rPr>
              <w:t>أقل من 20 سنة</w:t>
            </w:r>
          </w:p>
        </w:tc>
        <w:tc>
          <w:tcPr>
            <w:tcW w:w="0" w:type="auto"/>
            <w:hideMark/>
          </w:tcPr>
          <w:p w14:paraId="06635B14"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70</w:t>
            </w:r>
          </w:p>
        </w:tc>
        <w:tc>
          <w:tcPr>
            <w:tcW w:w="0" w:type="auto"/>
            <w:hideMark/>
          </w:tcPr>
          <w:p w14:paraId="2CA9C45E"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3.55</w:t>
            </w:r>
          </w:p>
        </w:tc>
        <w:tc>
          <w:tcPr>
            <w:tcW w:w="0" w:type="auto"/>
            <w:hideMark/>
          </w:tcPr>
          <w:p w14:paraId="07DF032C"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0.63</w:t>
            </w:r>
          </w:p>
        </w:tc>
      </w:tr>
      <w:tr w:rsidR="004F63C9" w:rsidRPr="004F63C9" w14:paraId="76CB584C" w14:textId="77777777" w:rsidTr="000B7DDA">
        <w:tc>
          <w:tcPr>
            <w:cnfStyle w:val="001000000000" w:firstRow="0" w:lastRow="0" w:firstColumn="1" w:lastColumn="0" w:oddVBand="0" w:evenVBand="0" w:oddHBand="0" w:evenHBand="0" w:firstRowFirstColumn="0" w:firstRowLastColumn="0" w:lastRowFirstColumn="0" w:lastRowLastColumn="0"/>
            <w:tcW w:w="0" w:type="auto"/>
            <w:hideMark/>
          </w:tcPr>
          <w:p w14:paraId="5FE36B68"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Pr>
              <w:t xml:space="preserve">20–29 </w:t>
            </w:r>
            <w:r w:rsidRPr="004F63C9">
              <w:rPr>
                <w:rFonts w:asciiTheme="majorBidi" w:hAnsiTheme="majorBidi" w:cstheme="majorBidi"/>
                <w:sz w:val="28"/>
                <w:szCs w:val="28"/>
                <w:rtl/>
              </w:rPr>
              <w:t>سنة</w:t>
            </w:r>
          </w:p>
        </w:tc>
        <w:tc>
          <w:tcPr>
            <w:tcW w:w="0" w:type="auto"/>
            <w:hideMark/>
          </w:tcPr>
          <w:p w14:paraId="329C5EBB"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120</w:t>
            </w:r>
          </w:p>
        </w:tc>
        <w:tc>
          <w:tcPr>
            <w:tcW w:w="0" w:type="auto"/>
            <w:hideMark/>
          </w:tcPr>
          <w:p w14:paraId="33EAFFA1"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3.81</w:t>
            </w:r>
          </w:p>
        </w:tc>
        <w:tc>
          <w:tcPr>
            <w:tcW w:w="0" w:type="auto"/>
            <w:hideMark/>
          </w:tcPr>
          <w:p w14:paraId="595D9934"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0.54</w:t>
            </w:r>
          </w:p>
        </w:tc>
      </w:tr>
      <w:tr w:rsidR="004F63C9" w:rsidRPr="004F63C9" w14:paraId="25D96740" w14:textId="77777777" w:rsidTr="000B7DDA">
        <w:tc>
          <w:tcPr>
            <w:cnfStyle w:val="001000000000" w:firstRow="0" w:lastRow="0" w:firstColumn="1" w:lastColumn="0" w:oddVBand="0" w:evenVBand="0" w:oddHBand="0" w:evenHBand="0" w:firstRowFirstColumn="0" w:firstRowLastColumn="0" w:lastRowFirstColumn="0" w:lastRowLastColumn="0"/>
            <w:tcW w:w="0" w:type="auto"/>
            <w:hideMark/>
          </w:tcPr>
          <w:p w14:paraId="720757D6"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Pr>
              <w:t xml:space="preserve">30–39 </w:t>
            </w:r>
            <w:r w:rsidRPr="004F63C9">
              <w:rPr>
                <w:rFonts w:asciiTheme="majorBidi" w:hAnsiTheme="majorBidi" w:cstheme="majorBidi"/>
                <w:sz w:val="28"/>
                <w:szCs w:val="28"/>
                <w:rtl/>
              </w:rPr>
              <w:t>سنة</w:t>
            </w:r>
          </w:p>
        </w:tc>
        <w:tc>
          <w:tcPr>
            <w:tcW w:w="0" w:type="auto"/>
            <w:hideMark/>
          </w:tcPr>
          <w:p w14:paraId="1EC1B33E"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95</w:t>
            </w:r>
          </w:p>
        </w:tc>
        <w:tc>
          <w:tcPr>
            <w:tcW w:w="0" w:type="auto"/>
            <w:hideMark/>
          </w:tcPr>
          <w:p w14:paraId="080606CD"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4.02</w:t>
            </w:r>
          </w:p>
        </w:tc>
        <w:tc>
          <w:tcPr>
            <w:tcW w:w="0" w:type="auto"/>
            <w:hideMark/>
          </w:tcPr>
          <w:p w14:paraId="6A3F9F91"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0.47</w:t>
            </w:r>
          </w:p>
        </w:tc>
      </w:tr>
      <w:tr w:rsidR="004F63C9" w:rsidRPr="004F63C9" w14:paraId="6771CC8F" w14:textId="77777777" w:rsidTr="000B7DDA">
        <w:tc>
          <w:tcPr>
            <w:cnfStyle w:val="001000000000" w:firstRow="0" w:lastRow="0" w:firstColumn="1" w:lastColumn="0" w:oddVBand="0" w:evenVBand="0" w:oddHBand="0" w:evenHBand="0" w:firstRowFirstColumn="0" w:firstRowLastColumn="0" w:lastRowFirstColumn="0" w:lastRowLastColumn="0"/>
            <w:tcW w:w="0" w:type="auto"/>
            <w:hideMark/>
          </w:tcPr>
          <w:p w14:paraId="205AD978"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Pr>
              <w:t xml:space="preserve">40–49 </w:t>
            </w:r>
            <w:r w:rsidRPr="004F63C9">
              <w:rPr>
                <w:rFonts w:asciiTheme="majorBidi" w:hAnsiTheme="majorBidi" w:cstheme="majorBidi"/>
                <w:sz w:val="28"/>
                <w:szCs w:val="28"/>
                <w:rtl/>
              </w:rPr>
              <w:t>سنة</w:t>
            </w:r>
          </w:p>
        </w:tc>
        <w:tc>
          <w:tcPr>
            <w:tcW w:w="0" w:type="auto"/>
            <w:hideMark/>
          </w:tcPr>
          <w:p w14:paraId="5855948D"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65</w:t>
            </w:r>
          </w:p>
        </w:tc>
        <w:tc>
          <w:tcPr>
            <w:tcW w:w="0" w:type="auto"/>
            <w:hideMark/>
          </w:tcPr>
          <w:p w14:paraId="6630DBC2"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3.97</w:t>
            </w:r>
          </w:p>
        </w:tc>
        <w:tc>
          <w:tcPr>
            <w:tcW w:w="0" w:type="auto"/>
            <w:hideMark/>
          </w:tcPr>
          <w:p w14:paraId="7B6B88F3"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0.51</w:t>
            </w:r>
          </w:p>
        </w:tc>
      </w:tr>
      <w:tr w:rsidR="004F63C9" w:rsidRPr="004F63C9" w14:paraId="2B5C5F24" w14:textId="77777777" w:rsidTr="000B7DDA">
        <w:tc>
          <w:tcPr>
            <w:cnfStyle w:val="001000000000" w:firstRow="0" w:lastRow="0" w:firstColumn="1" w:lastColumn="0" w:oddVBand="0" w:evenVBand="0" w:oddHBand="0" w:evenHBand="0" w:firstRowFirstColumn="0" w:firstRowLastColumn="0" w:lastRowFirstColumn="0" w:lastRowLastColumn="0"/>
            <w:tcW w:w="0" w:type="auto"/>
            <w:hideMark/>
          </w:tcPr>
          <w:p w14:paraId="13C17493"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Pr>
              <w:t xml:space="preserve">50 </w:t>
            </w:r>
            <w:r w:rsidRPr="004F63C9">
              <w:rPr>
                <w:rFonts w:asciiTheme="majorBidi" w:hAnsiTheme="majorBidi" w:cstheme="majorBidi"/>
                <w:sz w:val="28"/>
                <w:szCs w:val="28"/>
                <w:rtl/>
              </w:rPr>
              <w:t>سنة فأكثر</w:t>
            </w:r>
          </w:p>
        </w:tc>
        <w:tc>
          <w:tcPr>
            <w:tcW w:w="0" w:type="auto"/>
            <w:hideMark/>
          </w:tcPr>
          <w:p w14:paraId="7FA1F115"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50</w:t>
            </w:r>
          </w:p>
        </w:tc>
        <w:tc>
          <w:tcPr>
            <w:tcW w:w="0" w:type="auto"/>
            <w:hideMark/>
          </w:tcPr>
          <w:p w14:paraId="02AAAFFD"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3.88</w:t>
            </w:r>
          </w:p>
        </w:tc>
        <w:tc>
          <w:tcPr>
            <w:tcW w:w="0" w:type="auto"/>
            <w:hideMark/>
          </w:tcPr>
          <w:p w14:paraId="692E2C0A"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0.56</w:t>
            </w:r>
          </w:p>
        </w:tc>
      </w:tr>
    </w:tbl>
    <w:tbl>
      <w:tblPr>
        <w:tblStyle w:val="af3"/>
        <w:tblW w:w="9351" w:type="dxa"/>
        <w:tblLook w:val="04A0" w:firstRow="1" w:lastRow="0" w:firstColumn="1" w:lastColumn="0" w:noHBand="0" w:noVBand="1"/>
      </w:tblPr>
      <w:tblGrid>
        <w:gridCol w:w="1528"/>
        <w:gridCol w:w="1515"/>
        <w:gridCol w:w="1303"/>
        <w:gridCol w:w="1497"/>
        <w:gridCol w:w="761"/>
        <w:gridCol w:w="2747"/>
      </w:tblGrid>
      <w:tr w:rsidR="00D520F6" w:rsidRPr="00D520F6" w14:paraId="13815843" w14:textId="77777777" w:rsidTr="00D520F6">
        <w:tc>
          <w:tcPr>
            <w:tcW w:w="0" w:type="auto"/>
            <w:hideMark/>
          </w:tcPr>
          <w:p w14:paraId="78D4519F" w14:textId="77777777" w:rsidR="00D520F6" w:rsidRPr="00D520F6" w:rsidRDefault="00D520F6" w:rsidP="00D520F6">
            <w:pPr>
              <w:bidi w:val="0"/>
              <w:jc w:val="center"/>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مصدر التباين</w:t>
            </w:r>
          </w:p>
        </w:tc>
        <w:tc>
          <w:tcPr>
            <w:tcW w:w="0" w:type="auto"/>
            <w:hideMark/>
          </w:tcPr>
          <w:p w14:paraId="044C27CB" w14:textId="77777777" w:rsidR="00D520F6" w:rsidRPr="00D520F6" w:rsidRDefault="00D520F6" w:rsidP="00D520F6">
            <w:pPr>
              <w:bidi w:val="0"/>
              <w:jc w:val="right"/>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مجموع المربعات</w:t>
            </w:r>
          </w:p>
        </w:tc>
        <w:tc>
          <w:tcPr>
            <w:tcW w:w="0" w:type="auto"/>
            <w:hideMark/>
          </w:tcPr>
          <w:p w14:paraId="789F40ED" w14:textId="77777777" w:rsidR="00D520F6" w:rsidRPr="00D520F6" w:rsidRDefault="00D520F6" w:rsidP="00D520F6">
            <w:pPr>
              <w:bidi w:val="0"/>
              <w:jc w:val="right"/>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درجات الحرية</w:t>
            </w:r>
          </w:p>
        </w:tc>
        <w:tc>
          <w:tcPr>
            <w:tcW w:w="0" w:type="auto"/>
            <w:hideMark/>
          </w:tcPr>
          <w:p w14:paraId="108ACE6B" w14:textId="77777777" w:rsidR="00D520F6" w:rsidRPr="00D520F6" w:rsidRDefault="00D520F6" w:rsidP="00D520F6">
            <w:pPr>
              <w:bidi w:val="0"/>
              <w:jc w:val="right"/>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متوسط المربعات</w:t>
            </w:r>
          </w:p>
        </w:tc>
        <w:tc>
          <w:tcPr>
            <w:tcW w:w="0" w:type="auto"/>
            <w:hideMark/>
          </w:tcPr>
          <w:p w14:paraId="381D9E56" w14:textId="77777777" w:rsidR="00D520F6" w:rsidRPr="00D520F6" w:rsidRDefault="00D520F6" w:rsidP="00D520F6">
            <w:pPr>
              <w:bidi w:val="0"/>
              <w:jc w:val="right"/>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قيمة</w:t>
            </w:r>
            <w:r w:rsidRPr="00D520F6">
              <w:rPr>
                <w:rFonts w:ascii="Times New Roman" w:eastAsia="Times New Roman" w:hAnsi="Times New Roman" w:cs="Times New Roman"/>
                <w:b/>
                <w:bCs/>
                <w:kern w:val="0"/>
                <w:sz w:val="24"/>
                <w:szCs w:val="24"/>
                <w14:ligatures w14:val="none"/>
              </w:rPr>
              <w:t xml:space="preserve"> F</w:t>
            </w:r>
          </w:p>
        </w:tc>
        <w:tc>
          <w:tcPr>
            <w:tcW w:w="2747" w:type="dxa"/>
            <w:hideMark/>
          </w:tcPr>
          <w:p w14:paraId="63501D4F" w14:textId="77777777" w:rsidR="00D520F6" w:rsidRPr="00D520F6" w:rsidRDefault="00D520F6" w:rsidP="00D520F6">
            <w:pPr>
              <w:bidi w:val="0"/>
              <w:jc w:val="right"/>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مستوى الدلالة</w:t>
            </w:r>
            <w:r w:rsidRPr="00D520F6">
              <w:rPr>
                <w:rFonts w:ascii="Times New Roman" w:eastAsia="Times New Roman" w:hAnsi="Times New Roman" w:cs="Times New Roman"/>
                <w:b/>
                <w:bCs/>
                <w:kern w:val="0"/>
                <w:sz w:val="24"/>
                <w:szCs w:val="24"/>
                <w14:ligatures w14:val="none"/>
              </w:rPr>
              <w:t xml:space="preserve"> (Sig.)</w:t>
            </w:r>
          </w:p>
        </w:tc>
      </w:tr>
      <w:tr w:rsidR="00D520F6" w:rsidRPr="00D520F6" w14:paraId="6A666E45" w14:textId="77777777" w:rsidTr="00D520F6">
        <w:tc>
          <w:tcPr>
            <w:tcW w:w="0" w:type="auto"/>
            <w:hideMark/>
          </w:tcPr>
          <w:p w14:paraId="6423BFC7" w14:textId="77777777" w:rsidR="00D520F6" w:rsidRPr="00D520F6" w:rsidRDefault="00D520F6" w:rsidP="00D520F6">
            <w:pPr>
              <w:bidi w:val="0"/>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rtl/>
                <w14:ligatures w14:val="none"/>
              </w:rPr>
              <w:t>بين المجموعات</w:t>
            </w:r>
          </w:p>
        </w:tc>
        <w:tc>
          <w:tcPr>
            <w:tcW w:w="0" w:type="auto"/>
            <w:hideMark/>
          </w:tcPr>
          <w:p w14:paraId="4A813366"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8.74</w:t>
            </w:r>
          </w:p>
        </w:tc>
        <w:tc>
          <w:tcPr>
            <w:tcW w:w="0" w:type="auto"/>
            <w:hideMark/>
          </w:tcPr>
          <w:p w14:paraId="599D9E6E"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4</w:t>
            </w:r>
          </w:p>
        </w:tc>
        <w:tc>
          <w:tcPr>
            <w:tcW w:w="0" w:type="auto"/>
            <w:hideMark/>
          </w:tcPr>
          <w:p w14:paraId="0ED3BBA7"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2.19</w:t>
            </w:r>
          </w:p>
        </w:tc>
        <w:tc>
          <w:tcPr>
            <w:tcW w:w="0" w:type="auto"/>
            <w:hideMark/>
          </w:tcPr>
          <w:p w14:paraId="6BD2B967"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b/>
                <w:bCs/>
                <w:kern w:val="0"/>
                <w:sz w:val="24"/>
                <w:szCs w:val="24"/>
                <w14:ligatures w14:val="none"/>
              </w:rPr>
              <w:t>5.84</w:t>
            </w:r>
          </w:p>
        </w:tc>
        <w:tc>
          <w:tcPr>
            <w:tcW w:w="2747" w:type="dxa"/>
            <w:hideMark/>
          </w:tcPr>
          <w:p w14:paraId="0E1F860E"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b/>
                <w:bCs/>
                <w:kern w:val="0"/>
                <w:sz w:val="24"/>
                <w:szCs w:val="24"/>
                <w14:ligatures w14:val="none"/>
              </w:rPr>
              <w:t>0.001</w:t>
            </w:r>
            <w:r w:rsidRPr="00D520F6">
              <w:rPr>
                <w:rFonts w:ascii="Times New Roman" w:eastAsia="Times New Roman" w:hAnsi="Times New Roman" w:cs="Times New Roman"/>
                <w:kern w:val="0"/>
                <w:sz w:val="24"/>
                <w:szCs w:val="24"/>
                <w14:ligatures w14:val="none"/>
              </w:rPr>
              <w:t>*</w:t>
            </w:r>
          </w:p>
        </w:tc>
      </w:tr>
      <w:tr w:rsidR="00D520F6" w:rsidRPr="00D520F6" w14:paraId="7CC0BB32" w14:textId="77777777" w:rsidTr="00D520F6">
        <w:tc>
          <w:tcPr>
            <w:tcW w:w="0" w:type="auto"/>
            <w:hideMark/>
          </w:tcPr>
          <w:p w14:paraId="76A14D31" w14:textId="77777777" w:rsidR="00D520F6" w:rsidRPr="00D520F6" w:rsidRDefault="00D520F6" w:rsidP="00D520F6">
            <w:pPr>
              <w:bidi w:val="0"/>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rtl/>
                <w14:ligatures w14:val="none"/>
              </w:rPr>
              <w:t>داخل المجموعات</w:t>
            </w:r>
          </w:p>
        </w:tc>
        <w:tc>
          <w:tcPr>
            <w:tcW w:w="0" w:type="auto"/>
            <w:hideMark/>
          </w:tcPr>
          <w:p w14:paraId="251B41DF"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148.32</w:t>
            </w:r>
          </w:p>
        </w:tc>
        <w:tc>
          <w:tcPr>
            <w:tcW w:w="0" w:type="auto"/>
            <w:hideMark/>
          </w:tcPr>
          <w:p w14:paraId="21BABF3C"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395</w:t>
            </w:r>
          </w:p>
        </w:tc>
        <w:tc>
          <w:tcPr>
            <w:tcW w:w="0" w:type="auto"/>
            <w:hideMark/>
          </w:tcPr>
          <w:p w14:paraId="1447359E"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0.38</w:t>
            </w:r>
          </w:p>
        </w:tc>
        <w:tc>
          <w:tcPr>
            <w:tcW w:w="0" w:type="auto"/>
            <w:hideMark/>
          </w:tcPr>
          <w:p w14:paraId="0AE0B98E"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p>
        </w:tc>
        <w:tc>
          <w:tcPr>
            <w:tcW w:w="2747" w:type="dxa"/>
            <w:hideMark/>
          </w:tcPr>
          <w:p w14:paraId="6A3B372D" w14:textId="77777777" w:rsidR="00D520F6" w:rsidRPr="00D520F6" w:rsidRDefault="00D520F6" w:rsidP="00D520F6">
            <w:pPr>
              <w:bidi w:val="0"/>
              <w:jc w:val="right"/>
              <w:rPr>
                <w:rFonts w:ascii="Times New Roman" w:eastAsia="Times New Roman" w:hAnsi="Times New Roman" w:cs="Times New Roman"/>
                <w:kern w:val="0"/>
                <w:sz w:val="20"/>
                <w:szCs w:val="20"/>
                <w14:ligatures w14:val="none"/>
              </w:rPr>
            </w:pPr>
          </w:p>
        </w:tc>
      </w:tr>
      <w:tr w:rsidR="00D520F6" w:rsidRPr="00D520F6" w14:paraId="5DDAC547" w14:textId="77777777" w:rsidTr="00D520F6">
        <w:tc>
          <w:tcPr>
            <w:tcW w:w="0" w:type="auto"/>
            <w:hideMark/>
          </w:tcPr>
          <w:p w14:paraId="08DA650E" w14:textId="77777777" w:rsidR="00D520F6" w:rsidRPr="00D520F6" w:rsidRDefault="00D520F6" w:rsidP="00D520F6">
            <w:pPr>
              <w:bidi w:val="0"/>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rtl/>
                <w14:ligatures w14:val="none"/>
              </w:rPr>
              <w:t>الإجمالي</w:t>
            </w:r>
          </w:p>
        </w:tc>
        <w:tc>
          <w:tcPr>
            <w:tcW w:w="0" w:type="auto"/>
            <w:hideMark/>
          </w:tcPr>
          <w:p w14:paraId="3D636F2D"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157.06</w:t>
            </w:r>
          </w:p>
        </w:tc>
        <w:tc>
          <w:tcPr>
            <w:tcW w:w="0" w:type="auto"/>
            <w:hideMark/>
          </w:tcPr>
          <w:p w14:paraId="2AACE7D1"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399</w:t>
            </w:r>
          </w:p>
        </w:tc>
        <w:tc>
          <w:tcPr>
            <w:tcW w:w="0" w:type="auto"/>
            <w:hideMark/>
          </w:tcPr>
          <w:p w14:paraId="464607EE"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p>
        </w:tc>
        <w:tc>
          <w:tcPr>
            <w:tcW w:w="0" w:type="auto"/>
            <w:hideMark/>
          </w:tcPr>
          <w:p w14:paraId="07AB087C" w14:textId="77777777" w:rsidR="00D520F6" w:rsidRPr="00D520F6" w:rsidRDefault="00D520F6" w:rsidP="00D520F6">
            <w:pPr>
              <w:bidi w:val="0"/>
              <w:jc w:val="right"/>
              <w:rPr>
                <w:rFonts w:ascii="Times New Roman" w:eastAsia="Times New Roman" w:hAnsi="Times New Roman" w:cs="Times New Roman"/>
                <w:kern w:val="0"/>
                <w:sz w:val="20"/>
                <w:szCs w:val="20"/>
                <w14:ligatures w14:val="none"/>
              </w:rPr>
            </w:pPr>
          </w:p>
        </w:tc>
        <w:tc>
          <w:tcPr>
            <w:tcW w:w="2747" w:type="dxa"/>
            <w:hideMark/>
          </w:tcPr>
          <w:p w14:paraId="47713A6A" w14:textId="77777777" w:rsidR="00D520F6" w:rsidRPr="00D520F6" w:rsidRDefault="00D520F6" w:rsidP="00D520F6">
            <w:pPr>
              <w:bidi w:val="0"/>
              <w:jc w:val="right"/>
              <w:rPr>
                <w:rFonts w:ascii="Times New Roman" w:eastAsia="Times New Roman" w:hAnsi="Times New Roman" w:cs="Times New Roman"/>
                <w:kern w:val="0"/>
                <w:sz w:val="20"/>
                <w:szCs w:val="20"/>
                <w14:ligatures w14:val="none"/>
              </w:rPr>
            </w:pPr>
          </w:p>
        </w:tc>
      </w:tr>
    </w:tbl>
    <w:p w14:paraId="52072B23" w14:textId="63D46461" w:rsidR="004F63C9" w:rsidRDefault="004F63C9" w:rsidP="004F63C9">
      <w:pPr>
        <w:spacing w:line="360" w:lineRule="auto"/>
        <w:ind w:left="1080"/>
        <w:jc w:val="both"/>
        <w:rPr>
          <w:rFonts w:asciiTheme="majorBidi" w:hAnsiTheme="majorBidi" w:cstheme="majorBidi"/>
          <w:sz w:val="28"/>
          <w:szCs w:val="28"/>
          <w:rtl/>
        </w:rPr>
      </w:pPr>
    </w:p>
    <w:p w14:paraId="51BB3321" w14:textId="77777777" w:rsidR="003E5A43" w:rsidRPr="003E5A43" w:rsidRDefault="003E5A43" w:rsidP="003E5A43">
      <w:pPr>
        <w:spacing w:line="360" w:lineRule="auto"/>
        <w:jc w:val="both"/>
        <w:rPr>
          <w:rFonts w:asciiTheme="majorBidi" w:hAnsiTheme="majorBidi" w:cstheme="majorBidi"/>
          <w:sz w:val="28"/>
          <w:szCs w:val="28"/>
        </w:rPr>
      </w:pPr>
      <w:r w:rsidRPr="003E5A43">
        <w:rPr>
          <w:rFonts w:asciiTheme="majorBidi" w:hAnsiTheme="majorBidi" w:cstheme="majorBidi"/>
          <w:sz w:val="28"/>
          <w:szCs w:val="28"/>
          <w:rtl/>
        </w:rPr>
        <w:t>تشير النتائج الواردة في الجدول إلى وجود فروق ذات دلالة إحصائية في مستوى الوعي الصحي الرقمي بين أفراد العينة تبعًا للفئة العمرية، حيث بلغت قيمة اختبار تحليل التباين الأحادي</w:t>
      </w:r>
      <w:r w:rsidRPr="003E5A43">
        <w:rPr>
          <w:rFonts w:asciiTheme="majorBidi" w:hAnsiTheme="majorBidi" w:cstheme="majorBidi"/>
          <w:sz w:val="28"/>
          <w:szCs w:val="28"/>
        </w:rPr>
        <w:t xml:space="preserve"> (F = 5.84) </w:t>
      </w:r>
      <w:r w:rsidRPr="003E5A43">
        <w:rPr>
          <w:rFonts w:asciiTheme="majorBidi" w:hAnsiTheme="majorBidi" w:cstheme="majorBidi"/>
          <w:sz w:val="28"/>
          <w:szCs w:val="28"/>
          <w:rtl/>
        </w:rPr>
        <w:t>عند مستوى دلالة</w:t>
      </w:r>
      <w:r w:rsidRPr="003E5A43">
        <w:rPr>
          <w:rFonts w:asciiTheme="majorBidi" w:hAnsiTheme="majorBidi" w:cstheme="majorBidi"/>
          <w:sz w:val="28"/>
          <w:szCs w:val="28"/>
        </w:rPr>
        <w:t xml:space="preserve"> </w:t>
      </w:r>
      <w:r w:rsidRPr="003E5A43">
        <w:rPr>
          <w:rFonts w:asciiTheme="majorBidi" w:hAnsiTheme="majorBidi" w:cstheme="majorBidi"/>
          <w:sz w:val="28"/>
          <w:szCs w:val="28"/>
        </w:rPr>
        <w:lastRenderedPageBreak/>
        <w:t>(Sig. = 0.001)</w:t>
      </w:r>
      <w:r w:rsidRPr="003E5A43">
        <w:rPr>
          <w:rFonts w:asciiTheme="majorBidi" w:hAnsiTheme="majorBidi" w:cstheme="majorBidi"/>
          <w:sz w:val="28"/>
          <w:szCs w:val="28"/>
          <w:rtl/>
        </w:rPr>
        <w:t>، وهي أقل من مستوى الدلالة المعتمد (0.05)، مما يدل على رفض الفرض الصفري وقبول الفرض البديل بوجود فروق ذات دلالة إحصائية بين متوسطات الفئات العمرية</w:t>
      </w:r>
      <w:r w:rsidRPr="003E5A43">
        <w:rPr>
          <w:rFonts w:asciiTheme="majorBidi" w:hAnsiTheme="majorBidi" w:cstheme="majorBidi"/>
          <w:sz w:val="28"/>
          <w:szCs w:val="28"/>
        </w:rPr>
        <w:t>.</w:t>
      </w:r>
    </w:p>
    <w:p w14:paraId="15A55B99" w14:textId="77777777" w:rsidR="003E5A43" w:rsidRPr="003E5A43" w:rsidRDefault="003E5A43" w:rsidP="003E5A43">
      <w:pPr>
        <w:spacing w:line="360" w:lineRule="auto"/>
        <w:jc w:val="both"/>
        <w:rPr>
          <w:rFonts w:asciiTheme="majorBidi" w:hAnsiTheme="majorBidi" w:cstheme="majorBidi"/>
          <w:sz w:val="28"/>
          <w:szCs w:val="28"/>
        </w:rPr>
      </w:pPr>
      <w:r w:rsidRPr="003E5A43">
        <w:rPr>
          <w:rFonts w:asciiTheme="majorBidi" w:hAnsiTheme="majorBidi" w:cstheme="majorBidi"/>
          <w:sz w:val="28"/>
          <w:szCs w:val="28"/>
          <w:rtl/>
        </w:rPr>
        <w:t xml:space="preserve">وبمقارنة المتوسطات الحسابية، يتضح أن الفئة العمرية </w:t>
      </w:r>
      <w:r w:rsidRPr="003E5A43">
        <w:rPr>
          <w:rFonts w:asciiTheme="majorBidi" w:hAnsiTheme="majorBidi" w:cstheme="majorBidi"/>
          <w:sz w:val="28"/>
          <w:szCs w:val="28"/>
        </w:rPr>
        <w:t xml:space="preserve">(30–39 </w:t>
      </w:r>
      <w:r w:rsidRPr="003E5A43">
        <w:rPr>
          <w:rFonts w:asciiTheme="majorBidi" w:hAnsiTheme="majorBidi" w:cstheme="majorBidi"/>
          <w:sz w:val="28"/>
          <w:szCs w:val="28"/>
          <w:rtl/>
        </w:rPr>
        <w:t>سنة</w:t>
      </w:r>
      <w:r w:rsidRPr="003E5A43">
        <w:rPr>
          <w:rFonts w:asciiTheme="majorBidi" w:hAnsiTheme="majorBidi" w:cstheme="majorBidi"/>
          <w:sz w:val="28"/>
          <w:szCs w:val="28"/>
        </w:rPr>
        <w:t xml:space="preserve">) </w:t>
      </w:r>
      <w:r w:rsidRPr="003E5A43">
        <w:rPr>
          <w:rFonts w:asciiTheme="majorBidi" w:hAnsiTheme="majorBidi" w:cstheme="majorBidi"/>
          <w:sz w:val="28"/>
          <w:szCs w:val="28"/>
          <w:rtl/>
        </w:rPr>
        <w:t xml:space="preserve">حققت أعلى متوسط حسابي بلغ </w:t>
      </w:r>
      <w:r w:rsidRPr="003E5A43">
        <w:rPr>
          <w:rFonts w:asciiTheme="majorBidi" w:hAnsiTheme="majorBidi" w:cstheme="majorBidi"/>
          <w:sz w:val="28"/>
          <w:szCs w:val="28"/>
        </w:rPr>
        <w:t>(4.02)</w:t>
      </w:r>
      <w:r w:rsidRPr="003E5A43">
        <w:rPr>
          <w:rFonts w:asciiTheme="majorBidi" w:hAnsiTheme="majorBidi" w:cstheme="majorBidi"/>
          <w:sz w:val="28"/>
          <w:szCs w:val="28"/>
          <w:rtl/>
        </w:rPr>
        <w:t xml:space="preserve">، تلتها الفئة العمرية </w:t>
      </w:r>
      <w:r w:rsidRPr="003E5A43">
        <w:rPr>
          <w:rFonts w:asciiTheme="majorBidi" w:hAnsiTheme="majorBidi" w:cstheme="majorBidi"/>
          <w:sz w:val="28"/>
          <w:szCs w:val="28"/>
        </w:rPr>
        <w:t xml:space="preserve">(40–49 </w:t>
      </w:r>
      <w:r w:rsidRPr="003E5A43">
        <w:rPr>
          <w:rFonts w:asciiTheme="majorBidi" w:hAnsiTheme="majorBidi" w:cstheme="majorBidi"/>
          <w:sz w:val="28"/>
          <w:szCs w:val="28"/>
          <w:rtl/>
        </w:rPr>
        <w:t>سنة</w:t>
      </w:r>
      <w:r w:rsidRPr="003E5A43">
        <w:rPr>
          <w:rFonts w:asciiTheme="majorBidi" w:hAnsiTheme="majorBidi" w:cstheme="majorBidi"/>
          <w:sz w:val="28"/>
          <w:szCs w:val="28"/>
        </w:rPr>
        <w:t xml:space="preserve">) </w:t>
      </w:r>
      <w:r w:rsidRPr="003E5A43">
        <w:rPr>
          <w:rFonts w:asciiTheme="majorBidi" w:hAnsiTheme="majorBidi" w:cstheme="majorBidi"/>
          <w:sz w:val="28"/>
          <w:szCs w:val="28"/>
          <w:rtl/>
        </w:rPr>
        <w:t xml:space="preserve">بمتوسط </w:t>
      </w:r>
      <w:r w:rsidRPr="003E5A43">
        <w:rPr>
          <w:rFonts w:asciiTheme="majorBidi" w:hAnsiTheme="majorBidi" w:cstheme="majorBidi"/>
          <w:sz w:val="28"/>
          <w:szCs w:val="28"/>
        </w:rPr>
        <w:t>(3.97)</w:t>
      </w:r>
      <w:r w:rsidRPr="003E5A43">
        <w:rPr>
          <w:rFonts w:asciiTheme="majorBidi" w:hAnsiTheme="majorBidi" w:cstheme="majorBidi"/>
          <w:sz w:val="28"/>
          <w:szCs w:val="28"/>
          <w:rtl/>
        </w:rPr>
        <w:t xml:space="preserve">، ثم الفئة العمرية </w:t>
      </w:r>
      <w:r w:rsidRPr="003E5A43">
        <w:rPr>
          <w:rFonts w:asciiTheme="majorBidi" w:hAnsiTheme="majorBidi" w:cstheme="majorBidi"/>
          <w:sz w:val="28"/>
          <w:szCs w:val="28"/>
        </w:rPr>
        <w:t xml:space="preserve">(50 </w:t>
      </w:r>
      <w:r w:rsidRPr="003E5A43">
        <w:rPr>
          <w:rFonts w:asciiTheme="majorBidi" w:hAnsiTheme="majorBidi" w:cstheme="majorBidi"/>
          <w:sz w:val="28"/>
          <w:szCs w:val="28"/>
          <w:rtl/>
        </w:rPr>
        <w:t>سنة فأكثر</w:t>
      </w:r>
      <w:r w:rsidRPr="003E5A43">
        <w:rPr>
          <w:rFonts w:asciiTheme="majorBidi" w:hAnsiTheme="majorBidi" w:cstheme="majorBidi"/>
          <w:sz w:val="28"/>
          <w:szCs w:val="28"/>
        </w:rPr>
        <w:t xml:space="preserve">) </w:t>
      </w:r>
      <w:r w:rsidRPr="003E5A43">
        <w:rPr>
          <w:rFonts w:asciiTheme="majorBidi" w:hAnsiTheme="majorBidi" w:cstheme="majorBidi"/>
          <w:sz w:val="28"/>
          <w:szCs w:val="28"/>
          <w:rtl/>
        </w:rPr>
        <w:t xml:space="preserve">بمتوسط </w:t>
      </w:r>
      <w:r w:rsidRPr="003E5A43">
        <w:rPr>
          <w:rFonts w:asciiTheme="majorBidi" w:hAnsiTheme="majorBidi" w:cstheme="majorBidi"/>
          <w:sz w:val="28"/>
          <w:szCs w:val="28"/>
        </w:rPr>
        <w:t>(3.88)</w:t>
      </w:r>
      <w:r w:rsidRPr="003E5A43">
        <w:rPr>
          <w:rFonts w:asciiTheme="majorBidi" w:hAnsiTheme="majorBidi" w:cstheme="majorBidi"/>
          <w:sz w:val="28"/>
          <w:szCs w:val="28"/>
          <w:rtl/>
        </w:rPr>
        <w:t xml:space="preserve">، بينما جاءت الفئة العمرية </w:t>
      </w:r>
      <w:r w:rsidRPr="003E5A43">
        <w:rPr>
          <w:rFonts w:asciiTheme="majorBidi" w:hAnsiTheme="majorBidi" w:cstheme="majorBidi"/>
          <w:sz w:val="28"/>
          <w:szCs w:val="28"/>
        </w:rPr>
        <w:t xml:space="preserve">(20–29 </w:t>
      </w:r>
      <w:r w:rsidRPr="003E5A43">
        <w:rPr>
          <w:rFonts w:asciiTheme="majorBidi" w:hAnsiTheme="majorBidi" w:cstheme="majorBidi"/>
          <w:sz w:val="28"/>
          <w:szCs w:val="28"/>
          <w:rtl/>
        </w:rPr>
        <w:t>سنة</w:t>
      </w:r>
      <w:r w:rsidRPr="003E5A43">
        <w:rPr>
          <w:rFonts w:asciiTheme="majorBidi" w:hAnsiTheme="majorBidi" w:cstheme="majorBidi"/>
          <w:sz w:val="28"/>
          <w:szCs w:val="28"/>
        </w:rPr>
        <w:t xml:space="preserve">) </w:t>
      </w:r>
      <w:r w:rsidRPr="003E5A43">
        <w:rPr>
          <w:rFonts w:asciiTheme="majorBidi" w:hAnsiTheme="majorBidi" w:cstheme="majorBidi"/>
          <w:sz w:val="28"/>
          <w:szCs w:val="28"/>
          <w:rtl/>
        </w:rPr>
        <w:t xml:space="preserve">بمتوسط </w:t>
      </w:r>
      <w:r w:rsidRPr="003E5A43">
        <w:rPr>
          <w:rFonts w:asciiTheme="majorBidi" w:hAnsiTheme="majorBidi" w:cstheme="majorBidi"/>
          <w:sz w:val="28"/>
          <w:szCs w:val="28"/>
        </w:rPr>
        <w:t>(3.81)</w:t>
      </w:r>
      <w:r w:rsidRPr="003E5A43">
        <w:rPr>
          <w:rFonts w:asciiTheme="majorBidi" w:hAnsiTheme="majorBidi" w:cstheme="majorBidi"/>
          <w:sz w:val="28"/>
          <w:szCs w:val="28"/>
          <w:rtl/>
        </w:rPr>
        <w:t xml:space="preserve">، وسجلت الفئة العمرية </w:t>
      </w:r>
      <w:r w:rsidRPr="003E5A43">
        <w:rPr>
          <w:rFonts w:asciiTheme="majorBidi" w:hAnsiTheme="majorBidi" w:cstheme="majorBidi"/>
          <w:sz w:val="28"/>
          <w:szCs w:val="28"/>
        </w:rPr>
        <w:t>(</w:t>
      </w:r>
      <w:r w:rsidRPr="003E5A43">
        <w:rPr>
          <w:rFonts w:asciiTheme="majorBidi" w:hAnsiTheme="majorBidi" w:cstheme="majorBidi"/>
          <w:sz w:val="28"/>
          <w:szCs w:val="28"/>
          <w:rtl/>
        </w:rPr>
        <w:t>أقل من 20 سنة</w:t>
      </w:r>
      <w:r w:rsidRPr="003E5A43">
        <w:rPr>
          <w:rFonts w:asciiTheme="majorBidi" w:hAnsiTheme="majorBidi" w:cstheme="majorBidi"/>
          <w:sz w:val="28"/>
          <w:szCs w:val="28"/>
        </w:rPr>
        <w:t xml:space="preserve">) </w:t>
      </w:r>
      <w:r w:rsidRPr="003E5A43">
        <w:rPr>
          <w:rFonts w:asciiTheme="majorBidi" w:hAnsiTheme="majorBidi" w:cstheme="majorBidi"/>
          <w:sz w:val="28"/>
          <w:szCs w:val="28"/>
          <w:rtl/>
        </w:rPr>
        <w:t xml:space="preserve">أدنى متوسط حسابي بلغ </w:t>
      </w:r>
      <w:r w:rsidRPr="003E5A43">
        <w:rPr>
          <w:rFonts w:asciiTheme="majorBidi" w:hAnsiTheme="majorBidi" w:cstheme="majorBidi"/>
          <w:sz w:val="28"/>
          <w:szCs w:val="28"/>
        </w:rPr>
        <w:t>(3.55).</w:t>
      </w:r>
    </w:p>
    <w:p w14:paraId="6B477F49" w14:textId="150EA209" w:rsidR="00D520F6" w:rsidRPr="00A93A06" w:rsidRDefault="003E5A43" w:rsidP="003E5A43">
      <w:pPr>
        <w:spacing w:line="360" w:lineRule="auto"/>
        <w:jc w:val="both"/>
        <w:rPr>
          <w:rFonts w:asciiTheme="majorBidi" w:hAnsiTheme="majorBidi" w:cstheme="majorBidi"/>
          <w:sz w:val="28"/>
          <w:szCs w:val="28"/>
        </w:rPr>
      </w:pPr>
      <w:r w:rsidRPr="003E5A43">
        <w:rPr>
          <w:rFonts w:asciiTheme="majorBidi" w:hAnsiTheme="majorBidi" w:cstheme="majorBidi"/>
          <w:sz w:val="28"/>
          <w:szCs w:val="28"/>
          <w:rtl/>
        </w:rPr>
        <w:t>وتوحي هذه النتيجة بأن مستوى الوعي الصحي الرقمي يزداد مع التقدم في العمر حتى مرحلة الثلاثينيات، وهو ما قد يرتبط بارتفاع الخبرة الحياتية وزيادة الاهتمام بالقضايا الصحية والاعتماد على المصادر الرقمية في الحصول على المعلومات الصحية</w:t>
      </w:r>
      <w:r w:rsidRPr="003E5A43">
        <w:rPr>
          <w:rFonts w:asciiTheme="majorBidi" w:hAnsiTheme="majorBidi" w:cstheme="majorBidi"/>
          <w:sz w:val="28"/>
          <w:szCs w:val="28"/>
        </w:rPr>
        <w:t>.</w:t>
      </w:r>
    </w:p>
    <w:p w14:paraId="01B830EA" w14:textId="6BB1A63F" w:rsidR="00A93A06" w:rsidRDefault="00A93A06" w:rsidP="00A93A06">
      <w:pPr>
        <w:numPr>
          <w:ilvl w:val="1"/>
          <w:numId w:val="10"/>
        </w:numPr>
        <w:spacing w:line="360" w:lineRule="auto"/>
        <w:jc w:val="both"/>
        <w:rPr>
          <w:rFonts w:asciiTheme="majorBidi" w:hAnsiTheme="majorBidi" w:cstheme="majorBidi"/>
          <w:sz w:val="28"/>
          <w:szCs w:val="28"/>
        </w:rPr>
      </w:pPr>
      <w:r w:rsidRPr="00A93A06">
        <w:rPr>
          <w:rFonts w:asciiTheme="majorBidi" w:hAnsiTheme="majorBidi" w:cstheme="majorBidi"/>
          <w:sz w:val="28"/>
          <w:szCs w:val="28"/>
          <w:rtl/>
        </w:rPr>
        <w:t>معامل ارتباط بيرسون لاختبار العلاقات بين المتغيرات الكمية (العلاقة بين معدل الاستخدام والوعي الصحي)</w:t>
      </w:r>
      <w:r w:rsidRPr="00A93A06">
        <w:rPr>
          <w:rFonts w:asciiTheme="majorBidi" w:hAnsiTheme="majorBidi" w:cstheme="majorBidi"/>
          <w:sz w:val="28"/>
          <w:szCs w:val="28"/>
        </w:rPr>
        <w:t>.</w:t>
      </w:r>
    </w:p>
    <w:tbl>
      <w:tblPr>
        <w:tblStyle w:val="af3"/>
        <w:tblW w:w="0" w:type="auto"/>
        <w:tblLook w:val="04A0" w:firstRow="1" w:lastRow="0" w:firstColumn="1" w:lastColumn="0" w:noHBand="0" w:noVBand="1"/>
      </w:tblPr>
      <w:tblGrid>
        <w:gridCol w:w="4339"/>
        <w:gridCol w:w="2622"/>
        <w:gridCol w:w="2389"/>
      </w:tblGrid>
      <w:tr w:rsidR="000B7DDA" w:rsidRPr="000B7DDA" w14:paraId="3DB2644D" w14:textId="77777777" w:rsidTr="000B7DDA">
        <w:tc>
          <w:tcPr>
            <w:tcW w:w="0" w:type="auto"/>
            <w:hideMark/>
          </w:tcPr>
          <w:p w14:paraId="2DCE98DF" w14:textId="77777777" w:rsidR="000B7DDA" w:rsidRPr="000B7DDA" w:rsidRDefault="000B7DDA" w:rsidP="000B7DDA">
            <w:pPr>
              <w:spacing w:after="160" w:line="360" w:lineRule="auto"/>
              <w:ind w:left="1080"/>
              <w:jc w:val="both"/>
              <w:rPr>
                <w:rFonts w:asciiTheme="majorBidi" w:hAnsiTheme="majorBidi" w:cstheme="majorBidi"/>
                <w:b/>
                <w:bCs/>
                <w:sz w:val="28"/>
                <w:szCs w:val="28"/>
              </w:rPr>
            </w:pPr>
            <w:r w:rsidRPr="000B7DDA">
              <w:rPr>
                <w:rFonts w:asciiTheme="majorBidi" w:hAnsiTheme="majorBidi" w:cstheme="majorBidi"/>
                <w:b/>
                <w:bCs/>
                <w:sz w:val="28"/>
                <w:szCs w:val="28"/>
                <w:rtl/>
              </w:rPr>
              <w:t>المتغيران</w:t>
            </w:r>
          </w:p>
        </w:tc>
        <w:tc>
          <w:tcPr>
            <w:tcW w:w="0" w:type="auto"/>
            <w:hideMark/>
          </w:tcPr>
          <w:p w14:paraId="69CB79ED" w14:textId="77777777" w:rsidR="000B7DDA" w:rsidRPr="000B7DDA" w:rsidRDefault="000B7DDA" w:rsidP="000B7DDA">
            <w:pPr>
              <w:spacing w:after="160" w:line="360" w:lineRule="auto"/>
              <w:ind w:left="1080"/>
              <w:jc w:val="both"/>
              <w:rPr>
                <w:rFonts w:asciiTheme="majorBidi" w:hAnsiTheme="majorBidi" w:cstheme="majorBidi"/>
                <w:b/>
                <w:bCs/>
                <w:sz w:val="28"/>
                <w:szCs w:val="28"/>
              </w:rPr>
            </w:pPr>
            <w:r w:rsidRPr="000B7DDA">
              <w:rPr>
                <w:rFonts w:asciiTheme="majorBidi" w:hAnsiTheme="majorBidi" w:cstheme="majorBidi"/>
                <w:b/>
                <w:bCs/>
                <w:sz w:val="28"/>
                <w:szCs w:val="28"/>
                <w:rtl/>
              </w:rPr>
              <w:t>معامل الارتباط</w:t>
            </w:r>
            <w:r w:rsidRPr="000B7DDA">
              <w:rPr>
                <w:rFonts w:asciiTheme="majorBidi" w:hAnsiTheme="majorBidi" w:cstheme="majorBidi"/>
                <w:b/>
                <w:bCs/>
                <w:sz w:val="28"/>
                <w:szCs w:val="28"/>
              </w:rPr>
              <w:t xml:space="preserve"> (r)</w:t>
            </w:r>
          </w:p>
        </w:tc>
        <w:tc>
          <w:tcPr>
            <w:tcW w:w="0" w:type="auto"/>
            <w:hideMark/>
          </w:tcPr>
          <w:p w14:paraId="3E116DE9" w14:textId="77777777" w:rsidR="000B7DDA" w:rsidRPr="000B7DDA" w:rsidRDefault="000B7DDA" w:rsidP="000B7DDA">
            <w:pPr>
              <w:spacing w:after="160" w:line="360" w:lineRule="auto"/>
              <w:ind w:left="1080"/>
              <w:jc w:val="both"/>
              <w:rPr>
                <w:rFonts w:asciiTheme="majorBidi" w:hAnsiTheme="majorBidi" w:cstheme="majorBidi"/>
                <w:b/>
                <w:bCs/>
                <w:sz w:val="28"/>
                <w:szCs w:val="28"/>
              </w:rPr>
            </w:pPr>
            <w:r w:rsidRPr="000B7DDA">
              <w:rPr>
                <w:rFonts w:asciiTheme="majorBidi" w:hAnsiTheme="majorBidi" w:cstheme="majorBidi"/>
                <w:b/>
                <w:bCs/>
                <w:sz w:val="28"/>
                <w:szCs w:val="28"/>
                <w:rtl/>
              </w:rPr>
              <w:t>مستوى الدلالة</w:t>
            </w:r>
          </w:p>
        </w:tc>
      </w:tr>
      <w:tr w:rsidR="000B7DDA" w:rsidRPr="000B7DDA" w14:paraId="2B3C1383" w14:textId="77777777" w:rsidTr="000B7DDA">
        <w:tc>
          <w:tcPr>
            <w:tcW w:w="0" w:type="auto"/>
            <w:hideMark/>
          </w:tcPr>
          <w:p w14:paraId="7FBEC3F2" w14:textId="77777777" w:rsidR="000B7DDA" w:rsidRPr="000B7DDA" w:rsidRDefault="000B7DDA" w:rsidP="000B7DDA">
            <w:pPr>
              <w:spacing w:after="160" w:line="360" w:lineRule="auto"/>
              <w:ind w:left="1080"/>
              <w:jc w:val="both"/>
              <w:rPr>
                <w:rFonts w:asciiTheme="majorBidi" w:hAnsiTheme="majorBidi" w:cstheme="majorBidi"/>
                <w:sz w:val="28"/>
                <w:szCs w:val="28"/>
              </w:rPr>
            </w:pPr>
            <w:r w:rsidRPr="000B7DDA">
              <w:rPr>
                <w:rFonts w:asciiTheme="majorBidi" w:hAnsiTheme="majorBidi" w:cstheme="majorBidi"/>
                <w:sz w:val="28"/>
                <w:szCs w:val="28"/>
                <w:rtl/>
              </w:rPr>
              <w:t>معدل استخدام المنصات الرقمية × الوعي الصحي</w:t>
            </w:r>
          </w:p>
        </w:tc>
        <w:tc>
          <w:tcPr>
            <w:tcW w:w="0" w:type="auto"/>
            <w:hideMark/>
          </w:tcPr>
          <w:p w14:paraId="54702348" w14:textId="77777777" w:rsidR="000B7DDA" w:rsidRPr="000B7DDA" w:rsidRDefault="000B7DDA" w:rsidP="000B7DDA">
            <w:pPr>
              <w:spacing w:after="160" w:line="360" w:lineRule="auto"/>
              <w:ind w:left="1080"/>
              <w:jc w:val="both"/>
              <w:rPr>
                <w:rFonts w:asciiTheme="majorBidi" w:hAnsiTheme="majorBidi" w:cstheme="majorBidi"/>
                <w:sz w:val="28"/>
                <w:szCs w:val="28"/>
              </w:rPr>
            </w:pPr>
            <w:r w:rsidRPr="000B7DDA">
              <w:rPr>
                <w:rFonts w:asciiTheme="majorBidi" w:hAnsiTheme="majorBidi" w:cstheme="majorBidi"/>
                <w:sz w:val="28"/>
                <w:szCs w:val="28"/>
              </w:rPr>
              <w:t>0.46</w:t>
            </w:r>
          </w:p>
        </w:tc>
        <w:tc>
          <w:tcPr>
            <w:tcW w:w="0" w:type="auto"/>
            <w:hideMark/>
          </w:tcPr>
          <w:p w14:paraId="6D067179" w14:textId="77777777" w:rsidR="000B7DDA" w:rsidRPr="000B7DDA" w:rsidRDefault="000B7DDA" w:rsidP="000B7DDA">
            <w:pPr>
              <w:spacing w:after="160" w:line="360" w:lineRule="auto"/>
              <w:ind w:left="1080"/>
              <w:jc w:val="both"/>
              <w:rPr>
                <w:rFonts w:asciiTheme="majorBidi" w:hAnsiTheme="majorBidi" w:cstheme="majorBidi"/>
                <w:sz w:val="28"/>
                <w:szCs w:val="28"/>
              </w:rPr>
            </w:pPr>
            <w:r w:rsidRPr="000B7DDA">
              <w:rPr>
                <w:rFonts w:asciiTheme="majorBidi" w:hAnsiTheme="majorBidi" w:cstheme="majorBidi"/>
                <w:sz w:val="28"/>
                <w:szCs w:val="28"/>
              </w:rPr>
              <w:t>0.000*</w:t>
            </w:r>
          </w:p>
        </w:tc>
      </w:tr>
    </w:tbl>
    <w:p w14:paraId="4A9FB362" w14:textId="77777777" w:rsidR="00B57028" w:rsidRDefault="00B57028" w:rsidP="00306FA7">
      <w:pPr>
        <w:spacing w:line="360" w:lineRule="auto"/>
        <w:jc w:val="both"/>
        <w:rPr>
          <w:rFonts w:asciiTheme="majorBidi" w:hAnsiTheme="majorBidi" w:cstheme="majorBidi"/>
          <w:sz w:val="28"/>
          <w:szCs w:val="28"/>
          <w:rtl/>
        </w:rPr>
      </w:pPr>
    </w:p>
    <w:p w14:paraId="1D1D6DA9" w14:textId="77777777" w:rsidR="00306FA7" w:rsidRPr="00306FA7" w:rsidRDefault="00306FA7" w:rsidP="00306FA7">
      <w:pPr>
        <w:spacing w:line="360" w:lineRule="auto"/>
        <w:jc w:val="both"/>
        <w:rPr>
          <w:rFonts w:asciiTheme="majorBidi" w:hAnsiTheme="majorBidi" w:cstheme="majorBidi"/>
          <w:sz w:val="28"/>
          <w:szCs w:val="28"/>
        </w:rPr>
      </w:pPr>
      <w:r w:rsidRPr="00306FA7">
        <w:rPr>
          <w:rFonts w:asciiTheme="majorBidi" w:hAnsiTheme="majorBidi" w:cstheme="majorBidi"/>
          <w:sz w:val="28"/>
          <w:szCs w:val="28"/>
          <w:rtl/>
        </w:rPr>
        <w:t xml:space="preserve">تشير نتائج تحليل معامل ارتباط بيرسون إلى وجود علاقة ارتباط موجبة ذات دلالة إحصائية بين معدل استخدام المنصات الرقمية ومستوى الوعي الصحي لدى أفراد العينة، حيث بلغ معامل الارتباط </w:t>
      </w:r>
      <w:r w:rsidRPr="00306FA7">
        <w:rPr>
          <w:rFonts w:asciiTheme="majorBidi" w:hAnsiTheme="majorBidi" w:cstheme="majorBidi"/>
          <w:sz w:val="28"/>
          <w:szCs w:val="28"/>
        </w:rPr>
        <w:t xml:space="preserve">(r = 0.46) </w:t>
      </w:r>
      <w:r w:rsidRPr="00306FA7">
        <w:rPr>
          <w:rFonts w:asciiTheme="majorBidi" w:hAnsiTheme="majorBidi" w:cstheme="majorBidi"/>
          <w:sz w:val="28"/>
          <w:szCs w:val="28"/>
          <w:rtl/>
        </w:rPr>
        <w:t xml:space="preserve">عند مستوى دلالة </w:t>
      </w:r>
      <w:r w:rsidRPr="00306FA7">
        <w:rPr>
          <w:rFonts w:asciiTheme="majorBidi" w:hAnsiTheme="majorBidi" w:cstheme="majorBidi"/>
          <w:sz w:val="28"/>
          <w:szCs w:val="28"/>
        </w:rPr>
        <w:t>(Sig. = 0.000)</w:t>
      </w:r>
      <w:r w:rsidRPr="00306FA7">
        <w:rPr>
          <w:rFonts w:asciiTheme="majorBidi" w:hAnsiTheme="majorBidi" w:cstheme="majorBidi"/>
          <w:sz w:val="28"/>
          <w:szCs w:val="28"/>
          <w:rtl/>
        </w:rPr>
        <w:t xml:space="preserve">، وهي قيمة أقل من مستوى الدلالة المعتمد </w:t>
      </w:r>
      <w:r w:rsidRPr="00306FA7">
        <w:rPr>
          <w:rFonts w:asciiTheme="majorBidi" w:hAnsiTheme="majorBidi" w:cstheme="majorBidi"/>
          <w:sz w:val="28"/>
          <w:szCs w:val="28"/>
        </w:rPr>
        <w:t>(0.05)</w:t>
      </w:r>
      <w:r w:rsidRPr="00306FA7">
        <w:rPr>
          <w:rFonts w:asciiTheme="majorBidi" w:hAnsiTheme="majorBidi" w:cstheme="majorBidi"/>
          <w:sz w:val="28"/>
          <w:szCs w:val="28"/>
          <w:rtl/>
        </w:rPr>
        <w:t>، مما يدل على وجود علاقة ارتباط ذات دلالة إحصائية بين المتغيرين</w:t>
      </w:r>
      <w:r w:rsidRPr="00306FA7">
        <w:rPr>
          <w:rFonts w:asciiTheme="majorBidi" w:hAnsiTheme="majorBidi" w:cstheme="majorBidi"/>
          <w:sz w:val="28"/>
          <w:szCs w:val="28"/>
        </w:rPr>
        <w:t>.</w:t>
      </w:r>
    </w:p>
    <w:p w14:paraId="0D04AEB6" w14:textId="77777777" w:rsidR="00306FA7" w:rsidRPr="00306FA7" w:rsidRDefault="00306FA7" w:rsidP="00306FA7">
      <w:pPr>
        <w:spacing w:line="360" w:lineRule="auto"/>
        <w:jc w:val="both"/>
        <w:rPr>
          <w:rFonts w:asciiTheme="majorBidi" w:hAnsiTheme="majorBidi" w:cstheme="majorBidi"/>
          <w:sz w:val="28"/>
          <w:szCs w:val="28"/>
        </w:rPr>
      </w:pPr>
      <w:r w:rsidRPr="00306FA7">
        <w:rPr>
          <w:rFonts w:asciiTheme="majorBidi" w:hAnsiTheme="majorBidi" w:cstheme="majorBidi"/>
          <w:sz w:val="28"/>
          <w:szCs w:val="28"/>
          <w:rtl/>
        </w:rPr>
        <w:t xml:space="preserve">ويشير معامل الارتباط البالغ </w:t>
      </w:r>
      <w:r w:rsidRPr="00306FA7">
        <w:rPr>
          <w:rFonts w:asciiTheme="majorBidi" w:hAnsiTheme="majorBidi" w:cstheme="majorBidi"/>
          <w:sz w:val="28"/>
          <w:szCs w:val="28"/>
        </w:rPr>
        <w:t xml:space="preserve">(0.46) </w:t>
      </w:r>
      <w:r w:rsidRPr="00306FA7">
        <w:rPr>
          <w:rFonts w:asciiTheme="majorBidi" w:hAnsiTheme="majorBidi" w:cstheme="majorBidi"/>
          <w:sz w:val="28"/>
          <w:szCs w:val="28"/>
          <w:rtl/>
        </w:rPr>
        <w:t>إلى وجود علاقة ارتباط موجبة متوسطة القوة، بما يعني أنه كلما ارتفع معدل استخدام المنصات الرقمية ارتفع مستوى الوعي الصحي لدى أفراد العينة. ويعكس ذلك الدور الذي يمكن أن تؤديه المنصات الرقمية في إتاحة المعلومات الصحية ونشر الرسائل التوعوية، بما يسهم في تنمية معارف الأفراد وتعزيز وعيهم بالقضايا الصحية</w:t>
      </w:r>
      <w:r w:rsidRPr="00306FA7">
        <w:rPr>
          <w:rFonts w:asciiTheme="majorBidi" w:hAnsiTheme="majorBidi" w:cstheme="majorBidi"/>
          <w:sz w:val="28"/>
          <w:szCs w:val="28"/>
        </w:rPr>
        <w:t>.</w:t>
      </w:r>
    </w:p>
    <w:p w14:paraId="5A4F9B25" w14:textId="21CED805" w:rsidR="00306FA7" w:rsidRPr="00306FA7" w:rsidRDefault="00306FA7" w:rsidP="00306FA7">
      <w:pPr>
        <w:spacing w:line="360" w:lineRule="auto"/>
        <w:jc w:val="both"/>
        <w:rPr>
          <w:rFonts w:asciiTheme="majorBidi" w:hAnsiTheme="majorBidi" w:cstheme="majorBidi"/>
          <w:sz w:val="28"/>
          <w:szCs w:val="28"/>
        </w:rPr>
      </w:pPr>
      <w:r w:rsidRPr="00306FA7">
        <w:rPr>
          <w:rFonts w:asciiTheme="majorBidi" w:hAnsiTheme="majorBidi" w:cstheme="majorBidi"/>
          <w:sz w:val="28"/>
          <w:szCs w:val="28"/>
          <w:rtl/>
        </w:rPr>
        <w:lastRenderedPageBreak/>
        <w:t>وتتفق هذه النتيجة مع العديد من الدراسات السابقة التي أكدت وجود علاقة إيجابية بين التعرض للمحتوى الصحي عبر الوسائط الرقمية ومستوى الوعي الصحي، حيث أشارت إلى أن الاستخدام المنتظم للمنصات الرقمية يتيح الوصول إلى معلومات صحية متنوعة ويسهم في تعزيز الثقافة الصحية، خاصة عند الاعتماد على مصادر رسمية وموثوقة. كما تؤكد هذه النتيجة أهمية توظيف المنصات الرقمية كوسيلة فعالة في نشر التوعية الصحية وتعزيز السلوكيات الصحية الإيجابية بين مختلف فئات المجتمع</w:t>
      </w:r>
      <w:r w:rsidRPr="00306FA7">
        <w:rPr>
          <w:rFonts w:asciiTheme="majorBidi" w:hAnsiTheme="majorBidi" w:cstheme="majorBidi"/>
          <w:sz w:val="28"/>
          <w:szCs w:val="28"/>
        </w:rPr>
        <w:t>.</w:t>
      </w:r>
    </w:p>
    <w:p w14:paraId="12392B1F" w14:textId="6B3DBE7A" w:rsidR="00A93A06" w:rsidRPr="00A93A06" w:rsidRDefault="00A93A06" w:rsidP="00A93A06">
      <w:pPr>
        <w:numPr>
          <w:ilvl w:val="1"/>
          <w:numId w:val="10"/>
        </w:numPr>
        <w:spacing w:line="360" w:lineRule="auto"/>
        <w:jc w:val="both"/>
        <w:rPr>
          <w:rFonts w:asciiTheme="majorBidi" w:hAnsiTheme="majorBidi" w:cstheme="majorBidi"/>
          <w:sz w:val="28"/>
          <w:szCs w:val="28"/>
        </w:rPr>
      </w:pPr>
      <w:r w:rsidRPr="00A93A06">
        <w:rPr>
          <w:rFonts w:asciiTheme="majorBidi" w:hAnsiTheme="majorBidi" w:cstheme="majorBidi"/>
          <w:sz w:val="28"/>
          <w:szCs w:val="28"/>
          <w:rtl/>
        </w:rPr>
        <w:t>اختبار (كاي تربيع) لاختبار العلاقات بين المتغيرات الفئوية (العلاقة بين المنطقة الجغرافية ووجود مرض عصبي في الأسرة)</w:t>
      </w:r>
      <w:r w:rsidRPr="00A93A06">
        <w:rPr>
          <w:rFonts w:asciiTheme="majorBidi" w:hAnsiTheme="majorBidi" w:cstheme="majorBidi"/>
          <w:sz w:val="28"/>
          <w:szCs w:val="28"/>
        </w:rPr>
        <w:t>.</w:t>
      </w:r>
    </w:p>
    <w:tbl>
      <w:tblPr>
        <w:tblStyle w:val="af3"/>
        <w:tblW w:w="0" w:type="auto"/>
        <w:jc w:val="center"/>
        <w:tblLook w:val="04A0" w:firstRow="1" w:lastRow="0" w:firstColumn="1" w:lastColumn="0" w:noHBand="0" w:noVBand="1"/>
      </w:tblPr>
      <w:tblGrid>
        <w:gridCol w:w="1235"/>
        <w:gridCol w:w="616"/>
        <w:gridCol w:w="616"/>
        <w:gridCol w:w="1291"/>
      </w:tblGrid>
      <w:tr w:rsidR="00FE7132" w:rsidRPr="00FE7132" w14:paraId="4FB3CE20" w14:textId="77777777" w:rsidTr="00FE7132">
        <w:trPr>
          <w:jc w:val="center"/>
        </w:trPr>
        <w:tc>
          <w:tcPr>
            <w:tcW w:w="0" w:type="auto"/>
            <w:hideMark/>
          </w:tcPr>
          <w:p w14:paraId="74EC3A1F" w14:textId="77777777" w:rsidR="00FE7132" w:rsidRPr="00FE7132" w:rsidRDefault="00FE7132" w:rsidP="00FE7132">
            <w:pPr>
              <w:bidi w:val="0"/>
              <w:jc w:val="center"/>
              <w:rPr>
                <w:rFonts w:ascii="Times New Roman" w:eastAsia="Times New Roman" w:hAnsi="Times New Roman" w:cs="Times New Roman"/>
                <w:b/>
                <w:bCs/>
                <w:kern w:val="0"/>
                <w:sz w:val="40"/>
                <w:szCs w:val="40"/>
                <w14:ligatures w14:val="none"/>
              </w:rPr>
            </w:pPr>
            <w:r w:rsidRPr="00FE7132">
              <w:rPr>
                <w:rFonts w:ascii="Times New Roman" w:eastAsia="Times New Roman" w:hAnsi="Times New Roman" w:cs="Times New Roman"/>
                <w:b/>
                <w:bCs/>
                <w:kern w:val="0"/>
                <w:sz w:val="40"/>
                <w:szCs w:val="40"/>
                <w:rtl/>
                <w14:ligatures w14:val="none"/>
              </w:rPr>
              <w:t>المنطقة</w:t>
            </w:r>
          </w:p>
        </w:tc>
        <w:tc>
          <w:tcPr>
            <w:tcW w:w="0" w:type="auto"/>
            <w:hideMark/>
          </w:tcPr>
          <w:p w14:paraId="257EB7FE" w14:textId="77777777" w:rsidR="00FE7132" w:rsidRPr="00FE7132" w:rsidRDefault="00FE7132" w:rsidP="00FE7132">
            <w:pPr>
              <w:bidi w:val="0"/>
              <w:jc w:val="center"/>
              <w:rPr>
                <w:rFonts w:ascii="Times New Roman" w:eastAsia="Times New Roman" w:hAnsi="Times New Roman" w:cs="Times New Roman"/>
                <w:b/>
                <w:bCs/>
                <w:kern w:val="0"/>
                <w:sz w:val="40"/>
                <w:szCs w:val="40"/>
                <w14:ligatures w14:val="none"/>
              </w:rPr>
            </w:pPr>
            <w:r w:rsidRPr="00FE7132">
              <w:rPr>
                <w:rFonts w:ascii="Times New Roman" w:eastAsia="Times New Roman" w:hAnsi="Times New Roman" w:cs="Times New Roman"/>
                <w:b/>
                <w:bCs/>
                <w:kern w:val="0"/>
                <w:sz w:val="40"/>
                <w:szCs w:val="40"/>
                <w:rtl/>
                <w14:ligatures w14:val="none"/>
              </w:rPr>
              <w:t>نعم</w:t>
            </w:r>
          </w:p>
        </w:tc>
        <w:tc>
          <w:tcPr>
            <w:tcW w:w="0" w:type="auto"/>
            <w:hideMark/>
          </w:tcPr>
          <w:p w14:paraId="09654127" w14:textId="77777777" w:rsidR="00FE7132" w:rsidRPr="00FE7132" w:rsidRDefault="00FE7132" w:rsidP="00FE7132">
            <w:pPr>
              <w:bidi w:val="0"/>
              <w:jc w:val="center"/>
              <w:rPr>
                <w:rFonts w:ascii="Times New Roman" w:eastAsia="Times New Roman" w:hAnsi="Times New Roman" w:cs="Times New Roman"/>
                <w:b/>
                <w:bCs/>
                <w:kern w:val="0"/>
                <w:sz w:val="40"/>
                <w:szCs w:val="40"/>
                <w14:ligatures w14:val="none"/>
              </w:rPr>
            </w:pPr>
            <w:r w:rsidRPr="00FE7132">
              <w:rPr>
                <w:rFonts w:ascii="Times New Roman" w:eastAsia="Times New Roman" w:hAnsi="Times New Roman" w:cs="Times New Roman"/>
                <w:b/>
                <w:bCs/>
                <w:kern w:val="0"/>
                <w:sz w:val="40"/>
                <w:szCs w:val="40"/>
                <w:rtl/>
                <w14:ligatures w14:val="none"/>
              </w:rPr>
              <w:t>لا</w:t>
            </w:r>
          </w:p>
        </w:tc>
        <w:tc>
          <w:tcPr>
            <w:tcW w:w="0" w:type="auto"/>
            <w:hideMark/>
          </w:tcPr>
          <w:p w14:paraId="0C811949" w14:textId="77777777" w:rsidR="00FE7132" w:rsidRPr="00FE7132" w:rsidRDefault="00FE7132" w:rsidP="00FE7132">
            <w:pPr>
              <w:bidi w:val="0"/>
              <w:jc w:val="center"/>
              <w:rPr>
                <w:rFonts w:ascii="Times New Roman" w:eastAsia="Times New Roman" w:hAnsi="Times New Roman" w:cs="Times New Roman"/>
                <w:b/>
                <w:bCs/>
                <w:kern w:val="0"/>
                <w:sz w:val="40"/>
                <w:szCs w:val="40"/>
                <w14:ligatures w14:val="none"/>
              </w:rPr>
            </w:pPr>
            <w:r w:rsidRPr="00FE7132">
              <w:rPr>
                <w:rFonts w:ascii="Times New Roman" w:eastAsia="Times New Roman" w:hAnsi="Times New Roman" w:cs="Times New Roman"/>
                <w:b/>
                <w:bCs/>
                <w:kern w:val="0"/>
                <w:sz w:val="40"/>
                <w:szCs w:val="40"/>
                <w:rtl/>
                <w14:ligatures w14:val="none"/>
              </w:rPr>
              <w:t>الإجمالي</w:t>
            </w:r>
          </w:p>
        </w:tc>
      </w:tr>
      <w:tr w:rsidR="00FE7132" w:rsidRPr="00FE7132" w14:paraId="5F9130B2" w14:textId="77777777" w:rsidTr="00FE7132">
        <w:trPr>
          <w:jc w:val="center"/>
        </w:trPr>
        <w:tc>
          <w:tcPr>
            <w:tcW w:w="0" w:type="auto"/>
            <w:hideMark/>
          </w:tcPr>
          <w:p w14:paraId="3FF77BD7"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rtl/>
                <w14:ligatures w14:val="none"/>
              </w:rPr>
              <w:t>الوسطى</w:t>
            </w:r>
          </w:p>
        </w:tc>
        <w:tc>
          <w:tcPr>
            <w:tcW w:w="0" w:type="auto"/>
            <w:hideMark/>
          </w:tcPr>
          <w:p w14:paraId="1456B542"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28</w:t>
            </w:r>
          </w:p>
        </w:tc>
        <w:tc>
          <w:tcPr>
            <w:tcW w:w="0" w:type="auto"/>
            <w:hideMark/>
          </w:tcPr>
          <w:p w14:paraId="5D7469C2"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77</w:t>
            </w:r>
          </w:p>
        </w:tc>
        <w:tc>
          <w:tcPr>
            <w:tcW w:w="0" w:type="auto"/>
            <w:hideMark/>
          </w:tcPr>
          <w:p w14:paraId="560A2DF0"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105</w:t>
            </w:r>
          </w:p>
        </w:tc>
      </w:tr>
      <w:tr w:rsidR="00FE7132" w:rsidRPr="00FE7132" w14:paraId="74EC4428" w14:textId="77777777" w:rsidTr="00FE7132">
        <w:trPr>
          <w:jc w:val="center"/>
        </w:trPr>
        <w:tc>
          <w:tcPr>
            <w:tcW w:w="0" w:type="auto"/>
            <w:hideMark/>
          </w:tcPr>
          <w:p w14:paraId="6005F4B4"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rtl/>
                <w14:ligatures w14:val="none"/>
              </w:rPr>
              <w:t>الغربية</w:t>
            </w:r>
          </w:p>
        </w:tc>
        <w:tc>
          <w:tcPr>
            <w:tcW w:w="0" w:type="auto"/>
            <w:hideMark/>
          </w:tcPr>
          <w:p w14:paraId="5F8987A3"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31</w:t>
            </w:r>
          </w:p>
        </w:tc>
        <w:tc>
          <w:tcPr>
            <w:tcW w:w="0" w:type="auto"/>
            <w:hideMark/>
          </w:tcPr>
          <w:p w14:paraId="3A2567C9"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64</w:t>
            </w:r>
          </w:p>
        </w:tc>
        <w:tc>
          <w:tcPr>
            <w:tcW w:w="0" w:type="auto"/>
            <w:hideMark/>
          </w:tcPr>
          <w:p w14:paraId="480B4F41"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95</w:t>
            </w:r>
          </w:p>
        </w:tc>
      </w:tr>
      <w:tr w:rsidR="00FE7132" w:rsidRPr="00FE7132" w14:paraId="76ACBEBB" w14:textId="77777777" w:rsidTr="00FE7132">
        <w:trPr>
          <w:jc w:val="center"/>
        </w:trPr>
        <w:tc>
          <w:tcPr>
            <w:tcW w:w="0" w:type="auto"/>
            <w:hideMark/>
          </w:tcPr>
          <w:p w14:paraId="26FFA0AD"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rtl/>
                <w14:ligatures w14:val="none"/>
              </w:rPr>
              <w:t>الشرقية</w:t>
            </w:r>
          </w:p>
        </w:tc>
        <w:tc>
          <w:tcPr>
            <w:tcW w:w="0" w:type="auto"/>
            <w:hideMark/>
          </w:tcPr>
          <w:p w14:paraId="37C3E749"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20</w:t>
            </w:r>
          </w:p>
        </w:tc>
        <w:tc>
          <w:tcPr>
            <w:tcW w:w="0" w:type="auto"/>
            <w:hideMark/>
          </w:tcPr>
          <w:p w14:paraId="718CBE92"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60</w:t>
            </w:r>
          </w:p>
        </w:tc>
        <w:tc>
          <w:tcPr>
            <w:tcW w:w="0" w:type="auto"/>
            <w:hideMark/>
          </w:tcPr>
          <w:p w14:paraId="3F77EC30"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80</w:t>
            </w:r>
          </w:p>
        </w:tc>
      </w:tr>
      <w:tr w:rsidR="00FE7132" w:rsidRPr="00FE7132" w14:paraId="5960CA66" w14:textId="77777777" w:rsidTr="00FE7132">
        <w:trPr>
          <w:jc w:val="center"/>
        </w:trPr>
        <w:tc>
          <w:tcPr>
            <w:tcW w:w="0" w:type="auto"/>
            <w:hideMark/>
          </w:tcPr>
          <w:p w14:paraId="5C1E0F35"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rtl/>
                <w14:ligatures w14:val="none"/>
              </w:rPr>
              <w:t>الشمالية</w:t>
            </w:r>
          </w:p>
        </w:tc>
        <w:tc>
          <w:tcPr>
            <w:tcW w:w="0" w:type="auto"/>
            <w:hideMark/>
          </w:tcPr>
          <w:p w14:paraId="083A4717"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12</w:t>
            </w:r>
          </w:p>
        </w:tc>
        <w:tc>
          <w:tcPr>
            <w:tcW w:w="0" w:type="auto"/>
            <w:hideMark/>
          </w:tcPr>
          <w:p w14:paraId="3EC5E0DF"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48</w:t>
            </w:r>
          </w:p>
        </w:tc>
        <w:tc>
          <w:tcPr>
            <w:tcW w:w="0" w:type="auto"/>
            <w:hideMark/>
          </w:tcPr>
          <w:p w14:paraId="4850A899"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60</w:t>
            </w:r>
          </w:p>
        </w:tc>
      </w:tr>
      <w:tr w:rsidR="00FE7132" w:rsidRPr="00FE7132" w14:paraId="05837CEA" w14:textId="77777777" w:rsidTr="00FE7132">
        <w:trPr>
          <w:jc w:val="center"/>
        </w:trPr>
        <w:tc>
          <w:tcPr>
            <w:tcW w:w="0" w:type="auto"/>
            <w:hideMark/>
          </w:tcPr>
          <w:p w14:paraId="71419C92"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rtl/>
                <w14:ligatures w14:val="none"/>
              </w:rPr>
              <w:t>الجنوبية</w:t>
            </w:r>
          </w:p>
        </w:tc>
        <w:tc>
          <w:tcPr>
            <w:tcW w:w="0" w:type="auto"/>
            <w:hideMark/>
          </w:tcPr>
          <w:p w14:paraId="7D206DFE"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10</w:t>
            </w:r>
          </w:p>
        </w:tc>
        <w:tc>
          <w:tcPr>
            <w:tcW w:w="0" w:type="auto"/>
            <w:hideMark/>
          </w:tcPr>
          <w:p w14:paraId="6028AB46"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50</w:t>
            </w:r>
          </w:p>
        </w:tc>
        <w:tc>
          <w:tcPr>
            <w:tcW w:w="0" w:type="auto"/>
            <w:hideMark/>
          </w:tcPr>
          <w:p w14:paraId="133F7BF7"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60</w:t>
            </w:r>
          </w:p>
        </w:tc>
      </w:tr>
    </w:tbl>
    <w:p w14:paraId="0E3D02CC" w14:textId="0849FBC7" w:rsidR="00C23C63" w:rsidRDefault="00C23C63" w:rsidP="000913DC">
      <w:pPr>
        <w:spacing w:line="360" w:lineRule="auto"/>
        <w:jc w:val="both"/>
        <w:rPr>
          <w:rFonts w:asciiTheme="majorBidi" w:hAnsiTheme="majorBidi" w:cstheme="majorBidi"/>
          <w:sz w:val="28"/>
          <w:szCs w:val="28"/>
          <w:rtl/>
        </w:rPr>
      </w:pPr>
    </w:p>
    <w:p w14:paraId="390EF6D4" w14:textId="77777777" w:rsidR="00EB66D1" w:rsidRPr="00EB66D1" w:rsidRDefault="00EB66D1" w:rsidP="00EB66D1">
      <w:pPr>
        <w:spacing w:line="360" w:lineRule="auto"/>
        <w:jc w:val="both"/>
        <w:rPr>
          <w:rFonts w:asciiTheme="majorBidi" w:hAnsiTheme="majorBidi" w:cstheme="majorBidi"/>
          <w:sz w:val="28"/>
          <w:szCs w:val="28"/>
        </w:rPr>
      </w:pPr>
      <w:r w:rsidRPr="00EB66D1">
        <w:rPr>
          <w:rFonts w:asciiTheme="majorBidi" w:hAnsiTheme="majorBidi" w:cstheme="majorBidi"/>
          <w:sz w:val="28"/>
          <w:szCs w:val="28"/>
          <w:rtl/>
        </w:rPr>
        <w:t xml:space="preserve">يتضح من نتائج اختبار كاي تربيع عدم وجود علاقة ذات دلالة إحصائية بين المنطقة الجغرافية ووجود مرض عصبي لدى أحد أفراد الأسرة، حيث بلغت قيمة اختبار كاي تربيع </w:t>
      </w:r>
      <w:r w:rsidRPr="00EB66D1">
        <w:rPr>
          <w:rFonts w:asciiTheme="majorBidi" w:hAnsiTheme="majorBidi" w:cstheme="majorBidi"/>
          <w:sz w:val="28"/>
          <w:szCs w:val="28"/>
        </w:rPr>
        <w:t xml:space="preserve">(χ² = 4.18) </w:t>
      </w:r>
      <w:r w:rsidRPr="00EB66D1">
        <w:rPr>
          <w:rFonts w:asciiTheme="majorBidi" w:hAnsiTheme="majorBidi" w:cstheme="majorBidi"/>
          <w:sz w:val="28"/>
          <w:szCs w:val="28"/>
          <w:rtl/>
        </w:rPr>
        <w:t xml:space="preserve">عند </w:t>
      </w:r>
      <w:r w:rsidRPr="00EB66D1">
        <w:rPr>
          <w:rFonts w:asciiTheme="majorBidi" w:hAnsiTheme="majorBidi" w:cstheme="majorBidi"/>
          <w:sz w:val="28"/>
          <w:szCs w:val="28"/>
        </w:rPr>
        <w:t>(df = 4)</w:t>
      </w:r>
      <w:r w:rsidRPr="00EB66D1">
        <w:rPr>
          <w:rFonts w:asciiTheme="majorBidi" w:hAnsiTheme="majorBidi" w:cstheme="majorBidi"/>
          <w:sz w:val="28"/>
          <w:szCs w:val="28"/>
          <w:rtl/>
        </w:rPr>
        <w:t xml:space="preserve">، بينما بلغ مستوى الدلالة الإحصائية </w:t>
      </w:r>
      <w:r w:rsidRPr="00EB66D1">
        <w:rPr>
          <w:rFonts w:asciiTheme="majorBidi" w:hAnsiTheme="majorBidi" w:cstheme="majorBidi"/>
          <w:sz w:val="28"/>
          <w:szCs w:val="28"/>
        </w:rPr>
        <w:t>(Sig. = 0.382)</w:t>
      </w:r>
      <w:r w:rsidRPr="00EB66D1">
        <w:rPr>
          <w:rFonts w:asciiTheme="majorBidi" w:hAnsiTheme="majorBidi" w:cstheme="majorBidi"/>
          <w:sz w:val="28"/>
          <w:szCs w:val="28"/>
          <w:rtl/>
        </w:rPr>
        <w:t xml:space="preserve">، وهي قيمة أكبر من مستوى الدلالة المعتمد </w:t>
      </w:r>
      <w:r w:rsidRPr="00EB66D1">
        <w:rPr>
          <w:rFonts w:asciiTheme="majorBidi" w:hAnsiTheme="majorBidi" w:cstheme="majorBidi"/>
          <w:sz w:val="28"/>
          <w:szCs w:val="28"/>
        </w:rPr>
        <w:t xml:space="preserve">(0.05). </w:t>
      </w:r>
      <w:r w:rsidRPr="00EB66D1">
        <w:rPr>
          <w:rFonts w:asciiTheme="majorBidi" w:hAnsiTheme="majorBidi" w:cstheme="majorBidi"/>
          <w:sz w:val="28"/>
          <w:szCs w:val="28"/>
          <w:rtl/>
        </w:rPr>
        <w:t>وعليه، لا يمكن رفض الفرض الصفري، مما يشير إلى عدم وجود ارتباط ذي دلالة إحصائية بين المتغيرين</w:t>
      </w:r>
      <w:r w:rsidRPr="00EB66D1">
        <w:rPr>
          <w:rFonts w:asciiTheme="majorBidi" w:hAnsiTheme="majorBidi" w:cstheme="majorBidi"/>
          <w:sz w:val="28"/>
          <w:szCs w:val="28"/>
        </w:rPr>
        <w:t>.</w:t>
      </w:r>
    </w:p>
    <w:p w14:paraId="0E1FF4C4" w14:textId="77777777" w:rsidR="00EB66D1" w:rsidRPr="00EB66D1" w:rsidRDefault="00EB66D1" w:rsidP="00EB66D1">
      <w:pPr>
        <w:spacing w:line="360" w:lineRule="auto"/>
        <w:jc w:val="both"/>
        <w:rPr>
          <w:rFonts w:asciiTheme="majorBidi" w:hAnsiTheme="majorBidi" w:cstheme="majorBidi"/>
          <w:sz w:val="28"/>
          <w:szCs w:val="28"/>
        </w:rPr>
      </w:pPr>
      <w:r w:rsidRPr="00EB66D1">
        <w:rPr>
          <w:rFonts w:asciiTheme="majorBidi" w:hAnsiTheme="majorBidi" w:cstheme="majorBidi"/>
          <w:sz w:val="28"/>
          <w:szCs w:val="28"/>
          <w:rtl/>
        </w:rPr>
        <w:t>وعلى الرغم من وجود بعض التباين في التوزيع النسبي للحالات بين المناطق المختلفة، فإن هذا التباين لا يصل إلى مستوى الدلالة الإحصائية، الأمر الذي يشير إلى أن وجود مرض عصبي لدى أحد أفراد الأسرة لا يرتبط بالمنطقة الجغرافية في عينة الدراسة، وإنما قد يتأثر بعوامل أخرى مثل العوامل الوراثية، والخصائص الصحية للأفراد، والظروف البيئية والاجتماعية</w:t>
      </w:r>
      <w:r w:rsidRPr="00EB66D1">
        <w:rPr>
          <w:rFonts w:asciiTheme="majorBidi" w:hAnsiTheme="majorBidi" w:cstheme="majorBidi"/>
          <w:sz w:val="28"/>
          <w:szCs w:val="28"/>
        </w:rPr>
        <w:t>.</w:t>
      </w:r>
    </w:p>
    <w:p w14:paraId="6C2D21E0" w14:textId="6784E36D" w:rsidR="007C1AB5" w:rsidRPr="00EB66D1" w:rsidRDefault="00EB66D1" w:rsidP="00EB66D1">
      <w:pPr>
        <w:spacing w:line="360" w:lineRule="auto"/>
        <w:jc w:val="both"/>
        <w:rPr>
          <w:rFonts w:asciiTheme="majorBidi" w:hAnsiTheme="majorBidi" w:cstheme="majorBidi"/>
          <w:sz w:val="28"/>
          <w:szCs w:val="28"/>
          <w:rtl/>
        </w:rPr>
      </w:pPr>
      <w:r w:rsidRPr="00EB66D1">
        <w:rPr>
          <w:rFonts w:asciiTheme="majorBidi" w:hAnsiTheme="majorBidi" w:cstheme="majorBidi"/>
          <w:sz w:val="28"/>
          <w:szCs w:val="28"/>
          <w:rtl/>
        </w:rPr>
        <w:t>وتتفق هذه النتيجة مع عدد من الدراسات التي أشارت إلى أن انتشار الاضطرابات والأمراض العصبية يرتبط بمجموعة من العوامل المتداخلة، ولا يمكن تفسيره بالاختلافات الجغرافية وحدها، مما يؤكد أن الموقع الجغرافي ليس عاملًا حاسمًا في تفسير وجود هذه الحالات داخل المجتمع محل الدراسة</w:t>
      </w:r>
    </w:p>
    <w:p w14:paraId="7930FDFD" w14:textId="6DCCFDAF" w:rsidR="007C1AB5" w:rsidRDefault="007C1AB5" w:rsidP="007C1AB5">
      <w:pPr>
        <w:spacing w:line="360" w:lineRule="auto"/>
        <w:jc w:val="center"/>
        <w:rPr>
          <w:rFonts w:asciiTheme="majorBidi" w:hAnsiTheme="majorBidi" w:cstheme="majorBidi"/>
          <w:b/>
          <w:bCs/>
          <w:sz w:val="28"/>
          <w:szCs w:val="28"/>
          <w:rtl/>
        </w:rPr>
      </w:pPr>
      <w:r w:rsidRPr="007C1AB5">
        <w:rPr>
          <w:rFonts w:asciiTheme="majorBidi" w:hAnsiTheme="majorBidi" w:cstheme="majorBidi" w:hint="cs"/>
          <w:b/>
          <w:bCs/>
          <w:sz w:val="28"/>
          <w:szCs w:val="28"/>
          <w:rtl/>
        </w:rPr>
        <w:lastRenderedPageBreak/>
        <w:t>تحليل المقابلة</w:t>
      </w:r>
    </w:p>
    <w:p w14:paraId="406294B2" w14:textId="77777777" w:rsidR="007C1AB5" w:rsidRPr="00610055" w:rsidRDefault="007C1AB5" w:rsidP="007C1AB5">
      <w:pPr>
        <w:pStyle w:val="pdq2pgselectionanchorcontainer"/>
        <w:bidi/>
        <w:spacing w:line="360" w:lineRule="auto"/>
        <w:rPr>
          <w:sz w:val="28"/>
          <w:szCs w:val="28"/>
        </w:rPr>
      </w:pPr>
      <w:r w:rsidRPr="00610055">
        <w:rPr>
          <w:sz w:val="28"/>
          <w:szCs w:val="28"/>
          <w:rtl/>
        </w:rPr>
        <w:t>اعتمدت الدراسة الحالية على المقابلة شبه المقننة بوصفها إحدى أدوات جمع البيانات، وذلك بهدف الحصول على فهم أكثر عمقًا لآراء المشاركين حول دور الإعلام الرقمي في التوعية بالأمراض العصبية المزمنة في المجتمع السعودي. وقد أتاحت المقابلات الفرصة لاستكشاف الخبرات والتصورات والاتجاهات المرتبطة بموضوع الدراسة، بما يسهم في تفسير الظاهرة محل البحث من خلال وجهات نظر المشاركين أنفسهم، وهو ما يصعب الوصول إليه بالاعتماد على الأدوات الكمية وحدها</w:t>
      </w:r>
      <w:r w:rsidRPr="00610055">
        <w:rPr>
          <w:sz w:val="28"/>
          <w:szCs w:val="28"/>
        </w:rPr>
        <w:t>.</w:t>
      </w:r>
    </w:p>
    <w:p w14:paraId="20EF5359" w14:textId="77777777" w:rsidR="007C1AB5" w:rsidRDefault="007C1AB5" w:rsidP="007C1AB5">
      <w:pPr>
        <w:pStyle w:val="af0"/>
        <w:bidi/>
        <w:spacing w:line="360" w:lineRule="auto"/>
        <w:rPr>
          <w:sz w:val="28"/>
          <w:szCs w:val="28"/>
          <w:rtl/>
        </w:rPr>
      </w:pPr>
      <w:r w:rsidRPr="002D499A">
        <w:rPr>
          <w:sz w:val="28"/>
          <w:szCs w:val="28"/>
          <w:rtl/>
        </w:rPr>
        <w:t>وقد جرى تحليل بيانات المقابلات باستخدام</w:t>
      </w:r>
      <w:r w:rsidRPr="002D499A">
        <w:rPr>
          <w:b/>
          <w:bCs/>
          <w:sz w:val="28"/>
          <w:szCs w:val="28"/>
          <w:rtl/>
        </w:rPr>
        <w:t xml:space="preserve"> </w:t>
      </w:r>
      <w:r w:rsidRPr="002D499A">
        <w:rPr>
          <w:rStyle w:val="af1"/>
          <w:b w:val="0"/>
          <w:bCs w:val="0"/>
          <w:sz w:val="28"/>
          <w:szCs w:val="28"/>
          <w:rtl/>
        </w:rPr>
        <w:t>أسلوب التحليل الموضوعي</w:t>
      </w:r>
      <w:r w:rsidRPr="002D499A">
        <w:rPr>
          <w:rStyle w:val="af1"/>
          <w:b w:val="0"/>
          <w:bCs w:val="0"/>
          <w:sz w:val="28"/>
          <w:szCs w:val="28"/>
        </w:rPr>
        <w:t xml:space="preserve"> (Thematic Analysis)</w:t>
      </w:r>
      <w:r w:rsidRPr="002D499A">
        <w:rPr>
          <w:b/>
          <w:bCs/>
          <w:sz w:val="28"/>
          <w:szCs w:val="28"/>
          <w:rtl/>
        </w:rPr>
        <w:t xml:space="preserve">، </w:t>
      </w:r>
      <w:r w:rsidRPr="002D499A">
        <w:rPr>
          <w:sz w:val="28"/>
          <w:szCs w:val="28"/>
          <w:rtl/>
        </w:rPr>
        <w:t>من خلال مراجعة إجابات المشاركين مراجعة متأنية، واستخلاص الأفكار الرئيسة والمحاور المشتركة التي تكررت في الاستجابات، ثم تصنيفها في موضوعات رئيسة وفرعية تعكس مضمون آراء المشاركين، مع تفسيرها في ضوء أهداف الدراسة والإطار النظري والدراسات السابقة</w:t>
      </w:r>
      <w:r w:rsidRPr="002D499A">
        <w:rPr>
          <w:sz w:val="28"/>
          <w:szCs w:val="28"/>
        </w:rPr>
        <w:t>.</w:t>
      </w:r>
    </w:p>
    <w:p w14:paraId="027A840C" w14:textId="15A37D0B" w:rsidR="007C1AB5" w:rsidRPr="007C1AB5" w:rsidRDefault="007C1AB5" w:rsidP="00D14FCB">
      <w:pPr>
        <w:pStyle w:val="af0"/>
        <w:bidi/>
        <w:spacing w:line="360" w:lineRule="auto"/>
        <w:rPr>
          <w:sz w:val="28"/>
          <w:szCs w:val="28"/>
          <w:rtl/>
        </w:rPr>
      </w:pPr>
      <w:r w:rsidRPr="002D499A">
        <w:rPr>
          <w:sz w:val="28"/>
          <w:szCs w:val="28"/>
          <w:rtl/>
        </w:rPr>
        <w:t>ويعرض هذا الجزء نتائج المقابلات وفقًا لمحاورها الرئيسة، حيث يبدأ بتحليل استجابات الأطباء، يليها تحليل استجابات المرضى، مع التركيز على أبرز الموضوعات التي برزت في إجابات المشاركين، وبيان دلالاتها العلمية وانعكاساتها على واقع التوعية الصحية الرقمية بالأمراض العصبية المزمنة في المجتمع السعودي</w:t>
      </w:r>
      <w:r w:rsidRPr="002D499A">
        <w:rPr>
          <w:sz w:val="28"/>
          <w:szCs w:val="28"/>
        </w:rPr>
        <w:t>.</w:t>
      </w:r>
    </w:p>
    <w:p w14:paraId="27068680" w14:textId="5E512270" w:rsidR="007C1AB5" w:rsidRPr="007C1AB5" w:rsidRDefault="007C1AB5" w:rsidP="007C1AB5">
      <w:pPr>
        <w:pStyle w:val="af0"/>
        <w:bidi/>
        <w:spacing w:line="360" w:lineRule="auto"/>
        <w:rPr>
          <w:sz w:val="28"/>
          <w:szCs w:val="28"/>
          <w:rtl/>
        </w:rPr>
      </w:pPr>
      <w:r w:rsidRPr="007C1AB5">
        <w:rPr>
          <w:rFonts w:asciiTheme="majorBidi" w:hAnsiTheme="majorBidi" w:cstheme="majorBidi"/>
          <w:b/>
          <w:bCs/>
          <w:sz w:val="28"/>
          <w:szCs w:val="28"/>
          <w:rtl/>
        </w:rPr>
        <w:t>تحليل الاستجابات الخاصة بالمقابلة</w:t>
      </w:r>
    </w:p>
    <w:p w14:paraId="71C749E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 جدول (1) توزيع أفراد العينة</w:t>
      </w:r>
    </w:p>
    <w:tbl>
      <w:tblPr>
        <w:tblStyle w:val="11"/>
        <w:tblW w:w="0" w:type="auto"/>
        <w:jc w:val="center"/>
        <w:tblLook w:val="04A0" w:firstRow="1" w:lastRow="0" w:firstColumn="1" w:lastColumn="0" w:noHBand="0" w:noVBand="1"/>
      </w:tblPr>
      <w:tblGrid>
        <w:gridCol w:w="2392"/>
        <w:gridCol w:w="632"/>
        <w:gridCol w:w="1929"/>
      </w:tblGrid>
      <w:tr w:rsidR="000913DC" w:rsidRPr="00645EB2" w14:paraId="2354364A" w14:textId="77777777" w:rsidTr="00A171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056BB22A"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الفئة</w:t>
            </w:r>
          </w:p>
        </w:tc>
        <w:tc>
          <w:tcPr>
            <w:tcW w:w="0" w:type="auto"/>
            <w:hideMark/>
          </w:tcPr>
          <w:p w14:paraId="0F9E970E" w14:textId="77777777" w:rsidR="000913DC" w:rsidRPr="00645EB2" w:rsidRDefault="000913DC" w:rsidP="00A171A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العدد</w:t>
            </w:r>
          </w:p>
        </w:tc>
        <w:tc>
          <w:tcPr>
            <w:tcW w:w="1929" w:type="dxa"/>
            <w:hideMark/>
          </w:tcPr>
          <w:p w14:paraId="5215A47D" w14:textId="77777777" w:rsidR="000913DC" w:rsidRPr="00645EB2" w:rsidRDefault="000913DC" w:rsidP="00A171A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النسبة</w:t>
            </w:r>
          </w:p>
        </w:tc>
      </w:tr>
      <w:tr w:rsidR="000913DC" w:rsidRPr="00645EB2" w14:paraId="1DF7FE07" w14:textId="77777777" w:rsidTr="00A17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70B3776B"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الأطباء</w:t>
            </w:r>
          </w:p>
        </w:tc>
        <w:tc>
          <w:tcPr>
            <w:tcW w:w="0" w:type="auto"/>
            <w:hideMark/>
          </w:tcPr>
          <w:p w14:paraId="2FF9291A"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25</w:t>
            </w:r>
          </w:p>
        </w:tc>
        <w:tc>
          <w:tcPr>
            <w:tcW w:w="1929" w:type="dxa"/>
            <w:hideMark/>
          </w:tcPr>
          <w:p w14:paraId="04AA8D36"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50%</w:t>
            </w:r>
          </w:p>
        </w:tc>
      </w:tr>
      <w:tr w:rsidR="000913DC" w:rsidRPr="00645EB2" w14:paraId="17912968" w14:textId="77777777" w:rsidTr="00A171A0">
        <w:trPr>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4DD908DE"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المرضى</w:t>
            </w:r>
          </w:p>
        </w:tc>
        <w:tc>
          <w:tcPr>
            <w:tcW w:w="0" w:type="auto"/>
            <w:hideMark/>
          </w:tcPr>
          <w:p w14:paraId="1A35FA94" w14:textId="77777777" w:rsidR="000913DC" w:rsidRPr="00645EB2" w:rsidRDefault="000913DC" w:rsidP="00A171A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25</w:t>
            </w:r>
          </w:p>
        </w:tc>
        <w:tc>
          <w:tcPr>
            <w:tcW w:w="1929" w:type="dxa"/>
            <w:hideMark/>
          </w:tcPr>
          <w:p w14:paraId="23DAAFA6" w14:textId="77777777" w:rsidR="000913DC" w:rsidRPr="00645EB2" w:rsidRDefault="000913DC" w:rsidP="00A171A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50%</w:t>
            </w:r>
          </w:p>
        </w:tc>
      </w:tr>
      <w:tr w:rsidR="000913DC" w:rsidRPr="00645EB2" w14:paraId="296CE1F8" w14:textId="77777777" w:rsidTr="00A17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36EE33CD"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الإجمالي</w:t>
            </w:r>
          </w:p>
        </w:tc>
        <w:tc>
          <w:tcPr>
            <w:tcW w:w="0" w:type="auto"/>
            <w:hideMark/>
          </w:tcPr>
          <w:p w14:paraId="6B462213"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50</w:t>
            </w:r>
          </w:p>
        </w:tc>
        <w:tc>
          <w:tcPr>
            <w:tcW w:w="1929" w:type="dxa"/>
            <w:hideMark/>
          </w:tcPr>
          <w:p w14:paraId="7C96349A"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100%</w:t>
            </w:r>
          </w:p>
        </w:tc>
      </w:tr>
    </w:tbl>
    <w:p w14:paraId="5125C1D5" w14:textId="77777777" w:rsidR="000913DC" w:rsidRPr="00645EB2" w:rsidRDefault="000913DC" w:rsidP="000913DC">
      <w:pPr>
        <w:spacing w:line="360" w:lineRule="auto"/>
        <w:jc w:val="both"/>
        <w:rPr>
          <w:rFonts w:asciiTheme="majorBidi" w:hAnsiTheme="majorBidi" w:cstheme="majorBidi"/>
          <w:sz w:val="28"/>
          <w:szCs w:val="28"/>
          <w:rtl/>
        </w:rPr>
      </w:pPr>
    </w:p>
    <w:p w14:paraId="3089E0F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انه قد شملت عينة المقابلات (50) مشاركًا، موزعين إلى فئتين رئيسيتين، هما: (25) طبيبًا من ذوي الخبرة في التعامل مع مرضى الأمراض العصبية المزمنة، و(25) مريضًا ممن يتابعون حالاتهم </w:t>
      </w:r>
      <w:r w:rsidRPr="00645EB2">
        <w:rPr>
          <w:rFonts w:asciiTheme="majorBidi" w:hAnsiTheme="majorBidi" w:cstheme="majorBidi"/>
          <w:sz w:val="28"/>
          <w:szCs w:val="28"/>
          <w:rtl/>
        </w:rPr>
        <w:lastRenderedPageBreak/>
        <w:t>الصحية بصورة منتظمة، وذلك بهدف الوقوف على أوجه الاتفاق والاختلاف بين وجهتي النظر الطبية والمرضية حول دور الإعلام الرقمي في تعزيز الوعي الصحي</w:t>
      </w:r>
      <w:r w:rsidRPr="00645EB2">
        <w:rPr>
          <w:rFonts w:asciiTheme="majorBidi" w:hAnsiTheme="majorBidi" w:cstheme="majorBidi"/>
          <w:sz w:val="28"/>
          <w:szCs w:val="28"/>
        </w:rPr>
        <w:t>.</w:t>
      </w:r>
    </w:p>
    <w:p w14:paraId="3487723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الأول: ما مدى اعتماد المرضى على وسائل الإعلام الرقمي للحصول على معلومات عن الأمراض العصبية المزمنة؟</w:t>
      </w:r>
    </w:p>
    <w:p w14:paraId="4B357AB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الأول، والتي أُجريت مع عينة الدراسة المكونة من (25) طبيبًا، أن غالبية المشاركين بنسبة بلغت (72%) أكدوا أن المرضى يعتمدون بدرجة كبيرة على وسائل الإعلام الرقمي للحصول على المعلومات المتعلقة بالأمراض العصبية المزمنة، في حين رأى (20%) من الأطباء أن هذا الاعتماد يتم بدرجة متوسطة، بينما أشار (8%) إلى أن اعتماد المرضى على الإعلام الرقمي لا يزال محدودًا. ولم يذكر أي من أفراد العينة أن المرضى لا يعتمدون على وسائل الإعلام الرقمية، وهو ما يعكس تنامي دور الإعلام الرقمي باعتباره أحد أهم مصادر المعلومات الصحية لدى المرضى في الوقت الحالي</w:t>
      </w:r>
      <w:r w:rsidRPr="00645EB2">
        <w:rPr>
          <w:rFonts w:asciiTheme="majorBidi" w:hAnsiTheme="majorBidi" w:cstheme="majorBidi"/>
          <w:sz w:val="28"/>
          <w:szCs w:val="28"/>
        </w:rPr>
        <w:t>.</w:t>
      </w:r>
    </w:p>
    <w:p w14:paraId="5DB1133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النتيجة إلى التحول الواضح الذي شهدته أنماط الحصول على المعلومات الصحية خلال السنوات الأخيرة، حيث لم يعد المريض يعتمد على الطبيب أو المنشآت الصحية فقط كمصدر للمعلومة، وإنما أصبح يلجأ بصورة متزايدة إلى وسائل الإعلام الرقمي، بما تتضمنه من مواقع إلكترونية، ومنصات تواصل اجتماعي، وتطبيقات صحية، ومحركات بحث، للحصول على معلومات تساعده على فهم المرض ومتابعة مستجدات العلاج وأساليب الوقاية والتعامل مع المضاعفات المحتملة. ويعكس هذا التحول التطور الكبير في وسائل الاتصال الحديثة، التي أتاحت للمريض الوصول إلى كم هائل من المعلومات في أي وقت وبأقل جهد ممكن</w:t>
      </w:r>
      <w:r w:rsidRPr="00645EB2">
        <w:rPr>
          <w:rFonts w:asciiTheme="majorBidi" w:hAnsiTheme="majorBidi" w:cstheme="majorBidi"/>
          <w:sz w:val="28"/>
          <w:szCs w:val="28"/>
        </w:rPr>
        <w:t>.</w:t>
      </w:r>
    </w:p>
    <w:p w14:paraId="6D3C392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استجابات الأطباء أن المرضى غالبًا ما يبدأون رحلة البحث عن المعلومات الصحية عبر الإنترنت بمجرد ظهور الأعراض الأولى أو بعد تلقي التشخيص الطبي، حيث يسعى المريض إلى تكوين تصور شامل عن طبيعة المرض العصبي المزمن الذي يعاني منه، والتعرف على أسبابه، ومراحله، وخيارات العلاج المتاحة، ومدى إمكانية السيطرة عليه. ويرى الأطباء أن هذا السلوك أصبح جزءًا طبيعيًا من رحلة العلاج، خاصة مع ارتفاع معدلات استخدام الإنترنت في المجتمع السعودي وانتشار الهواتف الذكية بين مختلف الفئات العمرية</w:t>
      </w:r>
      <w:r w:rsidRPr="00645EB2">
        <w:rPr>
          <w:rFonts w:asciiTheme="majorBidi" w:hAnsiTheme="majorBidi" w:cstheme="majorBidi"/>
          <w:sz w:val="28"/>
          <w:szCs w:val="28"/>
        </w:rPr>
        <w:t>.</w:t>
      </w:r>
    </w:p>
    <w:p w14:paraId="18C0B2C4" w14:textId="77777777" w:rsidR="000913DC" w:rsidRPr="000913DC" w:rsidRDefault="000913DC" w:rsidP="0008625B">
      <w:pPr>
        <w:spacing w:line="360" w:lineRule="auto"/>
        <w:rPr>
          <w:rFonts w:asciiTheme="majorBidi" w:hAnsiTheme="majorBidi" w:cstheme="majorBidi"/>
          <w:sz w:val="28"/>
          <w:szCs w:val="28"/>
          <w:rtl/>
        </w:rPr>
      </w:pPr>
    </w:p>
    <w:p w14:paraId="6B7AEF9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كما أوضح المشاركون أن المرضى لا يكتفون بالحصول على المعلومات الأساسية، وإنما يبحثون أيضًا عن التجارب الواقعية لمرضى آخرين يعانون من الحالة نفسها، ويحرصون على متابعة الصفحات الطبية </w:t>
      </w:r>
      <w:r w:rsidRPr="00645EB2">
        <w:rPr>
          <w:rFonts w:asciiTheme="majorBidi" w:hAnsiTheme="majorBidi" w:cstheme="majorBidi"/>
          <w:sz w:val="28"/>
          <w:szCs w:val="28"/>
          <w:rtl/>
        </w:rPr>
        <w:lastRenderedPageBreak/>
        <w:t>والحسابات المتخصصة التي يقدمها أطباء أو مستشفيات أو جهات صحية رسمية، وذلك بهدف الاطمئنان إلى حالتهم الصحية والاستفادة من خبرات الآخرين في التعايش مع المرض. ويؤكد ذلك أن الإعلام الرقمي لم يعد مجرد وسيلة لنقل المعلومات، بل أصبح بيئة تفاعلية يتبادل فيها المرضى الخبرات والتجارب والدعم النفسي، وهو ما يعزز من أهمية هذا النوع من الإعلام في المجال الصحي</w:t>
      </w:r>
      <w:r w:rsidRPr="00645EB2">
        <w:rPr>
          <w:rFonts w:asciiTheme="majorBidi" w:hAnsiTheme="majorBidi" w:cstheme="majorBidi"/>
          <w:sz w:val="28"/>
          <w:szCs w:val="28"/>
        </w:rPr>
        <w:t>.</w:t>
      </w:r>
    </w:p>
    <w:p w14:paraId="664572F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ومن خلال تحليل المقابلات، تبين أن الأطباء ينظرون إلى هذا الاعتماد على الإعلام الرقمي باعتباره ظاهرة إيجابية في كثير من الجوانب، إذ أصبح المرضى أكثر وعيًا بطبيعة أمراضهم، وأكثر استعدادًا للمشاركة في اتخاذ القرار العلاجي، كما ارتفع مستوى الأسئلة التي يطرحونها أثناء الزيارة الطبية، وأصبحوا أكثر إدراكًا لأهمية الالتزام بالخطة العلاجية والمتابعة الدورية. ويرى الأطباء أن زيادة المعرفة الصحية لدى المرضى تسهم في تحسين جودة التواصل بينهم وبين الطبيب، وتساعد على رفع مستوى الالتزام بالعلاج والوقاية من المضاعفات</w:t>
      </w:r>
      <w:r w:rsidRPr="00645EB2">
        <w:rPr>
          <w:rFonts w:asciiTheme="majorBidi" w:hAnsiTheme="majorBidi" w:cstheme="majorBidi"/>
          <w:sz w:val="28"/>
          <w:szCs w:val="28"/>
        </w:rPr>
        <w:t>.</w:t>
      </w:r>
    </w:p>
    <w:p w14:paraId="1158D0D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وفي الوقت نفسه، أشار بعض المشاركين إلى أن هذا الاعتماد قد يحمل بعض الآثار السلبية إذا لم يكن مصحوبًا بقدرة المريض على التمييز بين المصادر الموثوقة وغير الموثوقة، إذ تنتشر عبر الإنترنت كميات كبيرة من المعلومات الصحية غير الدقيقة أو غير المبنية على الأدلة العلمية، الأمر الذي قد يؤدي إلى تكوين مفاهيم خاطئة حول طبيعة المرض أو وسائل علاجه. وأوضح الأطباء أن بعض المرضى يصلون إلى العيادة وهم مقتنعون بمعلومات حصلوا عليها من وسائل التواصل الاجتماعي أو من تجارب شخصية منشورة على الإنترنت، مما يستلزم من الطبيب بذل جهد إضافي لتصحيح تلك المفاهيم وإعادة توجيه المريض نحو المصادر العلمية الصحيحة</w:t>
      </w:r>
      <w:r w:rsidRPr="00645EB2">
        <w:rPr>
          <w:rFonts w:asciiTheme="majorBidi" w:hAnsiTheme="majorBidi" w:cstheme="majorBidi"/>
          <w:sz w:val="28"/>
          <w:szCs w:val="28"/>
        </w:rPr>
        <w:t>.</w:t>
      </w:r>
    </w:p>
    <w:p w14:paraId="175090C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أظهرت النتائج أن درجة اعتماد المرضى على الإعلام الرقمي تختلف باختلاف العمر والمستوى التعليمي والخبرة التقنية، حيث يرى الأطباء أن المرضى الأصغر سنًا والأكثر تعليمًا هم الأكثر استخدامًا للمنصات الرقمية، بينما يظل الاعتماد أقل نسبيًا بين كبار السن، الذين يفضل بعضهم الحصول على المعلومات مباشرة من الطبيب أو من أفراد الأسرة. إلا أن المشاركين أكدوا أن هذه الفجوة بدأت تتضاءل تدريجيًا نتيجة الانتشار الواسع للهواتف الذكية وتزايد استخدام التطبيقات الرقمية حتى بين الفئات العمرية الأكبر</w:t>
      </w:r>
      <w:r w:rsidRPr="00645EB2">
        <w:rPr>
          <w:rFonts w:asciiTheme="majorBidi" w:hAnsiTheme="majorBidi" w:cstheme="majorBidi"/>
          <w:sz w:val="28"/>
          <w:szCs w:val="28"/>
        </w:rPr>
        <w:t>.</w:t>
      </w:r>
    </w:p>
    <w:p w14:paraId="08CF503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وتعكس هذه النتائج حقيقة أن الإعلام الرقمي أصبح عنصرًا أساسيًا في المنظومة الصحية الحديثة، ولم يعد من الممكن فصله عن عملية التثقيف الصحي، حيث أصبح يؤدي دورًا مكملًا لدور الطبيب والمؤسسات الصحية. فالمريض أصبح يمتلك القدرة على الوصول إلى المعلومات بصورة مستمرة، وهو ما يتطلب من الجهات </w:t>
      </w:r>
      <w:r w:rsidRPr="00645EB2">
        <w:rPr>
          <w:rFonts w:asciiTheme="majorBidi" w:hAnsiTheme="majorBidi" w:cstheme="majorBidi"/>
          <w:sz w:val="28"/>
          <w:szCs w:val="28"/>
          <w:rtl/>
        </w:rPr>
        <w:lastRenderedPageBreak/>
        <w:t>الصحية مواكبة هذا التحول من خلال تقديم محتوى علمي مبسط، ودقيق، وسهل الوصول، يجيب عن تساؤلات المرضى ويحد من انتشار المعلومات غير الصحيحة</w:t>
      </w:r>
      <w:r w:rsidRPr="00645EB2">
        <w:rPr>
          <w:rFonts w:asciiTheme="majorBidi" w:hAnsiTheme="majorBidi" w:cstheme="majorBidi"/>
          <w:sz w:val="28"/>
          <w:szCs w:val="28"/>
        </w:rPr>
        <w:t>.</w:t>
      </w:r>
    </w:p>
    <w:p w14:paraId="1444A4E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النتيجة مع ما توصل إليه خيرت حمزة (2023)، الذي أكد أن الاتصال الرقمي أصبح من أهم أدوات تشكيل المعرفة الصحية لدى الجمهور، وأن التطور التكنولوجي أسهم في جعل المنصات الرقمية المصدر الأكثر استخدامًا للحصول على المعلومات المتعلقة بالقضايا الصحية، لما تتميز به من سرعة الوصول، والتفاعل، وإمكانية تحديث المعلومات بصورة مستمرة. كما أوضح أن تأثير الإعلام الرقمي لم يعد يقتصر على نقل المعلومات، وإنما أصبح يمتد إلى تشكيل الاتجاهات والسلوكيات الصحية لدى الأفراد، وهو ما يتوافق مع ما أظهرته نتائج المقابلات الحالية</w:t>
      </w:r>
      <w:r w:rsidRPr="00645EB2">
        <w:rPr>
          <w:rFonts w:asciiTheme="majorBidi" w:hAnsiTheme="majorBidi" w:cstheme="majorBidi"/>
          <w:sz w:val="28"/>
          <w:szCs w:val="28"/>
        </w:rPr>
        <w:t>.</w:t>
      </w:r>
    </w:p>
    <w:p w14:paraId="2877B6E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تتفق النتائج مع دراسة السلمي وعطية (2022)، التي أشارت إلى أن الوعي الصحي لدى مرضى الأمراض المزمنة يرتبط ارتباطًا وثيقًا بسهولة الوصول إلى المعلومات الصحية، وأن الوسائط الرقمية أصبحت من أهم الوسائل التي تسهم في تعزيز الثقافة الصحية ونشر السلوكيات الإيجابية بين المرضى، خاصة عندما تعتمد على محتوى علمي موثوق يصدر عن الجهات الصحية المختصة</w:t>
      </w:r>
      <w:r w:rsidRPr="00645EB2">
        <w:rPr>
          <w:rFonts w:asciiTheme="majorBidi" w:hAnsiTheme="majorBidi" w:cstheme="majorBidi"/>
          <w:sz w:val="28"/>
          <w:szCs w:val="28"/>
        </w:rPr>
        <w:t>.</w:t>
      </w:r>
    </w:p>
    <w:p w14:paraId="13B03BC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النتائج أيضًا مع ما توصلت إليه قلاده (2025)، التي أكدت أن استخدام البرامج التثقيفية الرقمية أدى إلى تحسين مستوى المعرفة الصحية لدى المستفيدين، وأسهم في تعديل العديد من السلوكيات المرتبطة بالوقاية من الأمراض المزمنة، وهو ما يعكس قدرة الإعلام الرقمي على تحقيق أهداف التثقيف الصحي بصورة أكثر فاعلية عند توظيفه بشكل علمي ومدروس</w:t>
      </w:r>
      <w:r w:rsidRPr="00645EB2">
        <w:rPr>
          <w:rFonts w:asciiTheme="majorBidi" w:hAnsiTheme="majorBidi" w:cstheme="majorBidi"/>
          <w:sz w:val="28"/>
          <w:szCs w:val="28"/>
        </w:rPr>
        <w:t>.</w:t>
      </w:r>
    </w:p>
    <w:p w14:paraId="6AF1C07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وتؤيد هذه النتيجة كذلك ما توصلت إليه صبرة (2024)، التي أوضحت أن المنصات الرقمية التفاعلية أصبحت أكثر قدرة على تبسيط المعلومات الصحية وتقديمها بصورة جذابة من خلال استخدام الوسائط المتعددة، وهو ما يزيد من تفاعل الجمهور مع الرسائل الصحية ويساعد على رفع مستوى الفهم والاستيعاب، خاصة في الموضوعات الطبية التي تتسم بالتعقيد مثل الأمراض العصبية المزمنة</w:t>
      </w:r>
      <w:r w:rsidRPr="00645EB2">
        <w:rPr>
          <w:rFonts w:asciiTheme="majorBidi" w:hAnsiTheme="majorBidi" w:cstheme="majorBidi"/>
          <w:sz w:val="28"/>
          <w:szCs w:val="28"/>
        </w:rPr>
        <w:t>.</w:t>
      </w:r>
    </w:p>
    <w:p w14:paraId="5771958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ومن جانب آخر، تتوافق هذه النتيجة مع ما أشارت إليه الشعراوي (2006)، التي أوضحت أن نجاح العملية الاتصالية يرتبط بقدرة الوسيلة على الوصول إلى الجمهور المستهدف، وإشباع احتياجاته المعرفية، والتأثير في اتجاهاته وسلوكياته. ويبدو أن الإعلام الرقمي استطاع أن يحقق هذه الخصائص بدرجة كبيرة، الأمر الذي يفسر ارتفاع اعتماد المرضى عليه كمصدر للمعلومات الصحية مقارنة بالوسائل التقليدية</w:t>
      </w:r>
      <w:r w:rsidRPr="00645EB2">
        <w:rPr>
          <w:rFonts w:asciiTheme="majorBidi" w:hAnsiTheme="majorBidi" w:cstheme="majorBidi"/>
          <w:sz w:val="28"/>
          <w:szCs w:val="28"/>
        </w:rPr>
        <w:t>.</w:t>
      </w:r>
    </w:p>
    <w:p w14:paraId="3B8174D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ويرى الباحث أن ارتفاع نسبة اعتماد المرضى على الإعلام الرقمي يعكس التغير الذي يشهده المجتمع السعودي في أنماط الحصول على المعلومات الصحية، حيث أصبح الإعلام الرقمي شريكًا رئيسيًا في عملية التثقيف الصحي، وليس مجرد وسيلة مساندة. كما تشير هذه النتيجة إلى أهمية تطوير استراتيجيات وطنية تهدف إلى تعزيز المحتوى الصحي الرقمي الموثوق، وتشجيع المؤسسات الصحية والأطباء على التواجد الفاعل عبر المنصات الرقمية، بما يسهم في تزويد المرضى بالمعلومات الصحيحة، وتعزيز قدرتهم على إدارة الأمراض العصبية المزمنة بصورة أكثر وعيًا، والحد من التأثيرات السلبية الناتجة عن انتشار المعلومات الطبية غير الدقيقة عبر بعض المنصات الإلكترونية</w:t>
      </w:r>
      <w:r w:rsidRPr="00645EB2">
        <w:rPr>
          <w:rFonts w:asciiTheme="majorBidi" w:hAnsiTheme="majorBidi" w:cstheme="majorBidi"/>
          <w:sz w:val="28"/>
          <w:szCs w:val="28"/>
        </w:rPr>
        <w:t>.</w:t>
      </w:r>
    </w:p>
    <w:p w14:paraId="706D3DE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الثاني: من وجهة نظرك، هل ساهم الإعلام الرقمي في زيادة الوعي الصحي لدى المرضى وأسرهم؟</w:t>
      </w:r>
    </w:p>
    <w:p w14:paraId="29ED2EF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الثاني، والتي أُجريت مع عينة الدراسة المكونة من (25) طبيبًا، أن نسبة (84%) من المشاركين أكدوا أن الإعلام الرقمي ساهم بدرجة كبيرة في رفع مستوى الوعي الصحي لدى المرضى وأسرهم، بينما رأى (12%) أن هذا الدور تحقق بدرجة متوسطة، في حين أشار (4%) فقط إلى أن تأثير الإعلام الرقمي لا يزال محدودًا في بعض الحالات، ويرجع ذلك إلى اختلاف مستويات الثقافة الصحية والقدرة على التمييز بين المعلومات الصحيحة والمعلومات غير الموثوقة. وتعكس هذه النتائج اتفاقًا واضحًا بين أفراد العينة على أن الإعلام الرقمي أصبح أحد أهم أدوات التوعية الصحية في الوقت الراهن، خاصة فيما يتعلق بالأمراض العصبية المزمنة التي تتطلب متابعة مستمرة وفهمًا دقيقًا لطبيعة المرض وأساليب التعامل معه</w:t>
      </w:r>
      <w:r w:rsidRPr="00645EB2">
        <w:rPr>
          <w:rFonts w:asciiTheme="majorBidi" w:hAnsiTheme="majorBidi" w:cstheme="majorBidi"/>
          <w:sz w:val="28"/>
          <w:szCs w:val="28"/>
        </w:rPr>
        <w:t>.</w:t>
      </w:r>
    </w:p>
    <w:p w14:paraId="0B2FCEC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النتيجة إلى أن الإعلام الرقمي لم يعد يؤدي دورًا يقتصر على نقل المعلومات الصحية، بل أصبح يسهم بصورة مباشرة في بناء الوعي الصحي لدى المرضى وأفراد أسرهم، من خلال تقديم محتوى تثقيفي متنوع يساعد على تفسير طبيعة الأمراض العصبية المزمنة، وشرح أسبابها وأعراضها، وطرق تشخيصها، وأساليب العلاج والتأهيل، إضافة إلى توضيح أهمية الالتزام بالخطة العلاجية والمتابعة الطبية المستمرة. ويرى الأطباء أن هذا النوع من المحتوى أصبح ينعكس بصورة إيجابية على سلوك المرضى، حيث أصبحوا أكثر فهمًا لحالتهم الصحية وأكثر استعدادًا للتعاون مع الفريق الطبي</w:t>
      </w:r>
      <w:r w:rsidRPr="00645EB2">
        <w:rPr>
          <w:rFonts w:asciiTheme="majorBidi" w:hAnsiTheme="majorBidi" w:cstheme="majorBidi"/>
          <w:sz w:val="28"/>
          <w:szCs w:val="28"/>
        </w:rPr>
        <w:t>.</w:t>
      </w:r>
    </w:p>
    <w:p w14:paraId="441BF38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وأظهرت استجابات المشاركين أن أسرة المريض أصبحت تستفيد من الإعلام الرقمي بالقدر نفسه الذي يستفيد منه المريض، إذ يلجأ أفراد الأسرة إلى البحث عن معلومات تساعدهم على فهم طبيعة المرض وكيفية التعامل مع المريض داخل المنزل، والتعرف على طرق تقديم الدعم النفسي والاجتماعي له، وكيفية التصرف في </w:t>
      </w:r>
      <w:r w:rsidRPr="00645EB2">
        <w:rPr>
          <w:rFonts w:asciiTheme="majorBidi" w:hAnsiTheme="majorBidi" w:cstheme="majorBidi"/>
          <w:sz w:val="28"/>
          <w:szCs w:val="28"/>
          <w:rtl/>
        </w:rPr>
        <w:lastRenderedPageBreak/>
        <w:t>الحالات الطارئة التي قد ترتبط ببعض الأمراض العصبية المزمنة مثل نوبات الصرع أو المضاعفات المرتبطة بالأمراض التنكسية العصبية. ويرى الأطباء أن ارتفاع مستوى وعي الأسرة يسهم في تحسين جودة الرعاية المنزلية ويزيد من فرص نجاح الخطة العلاجية</w:t>
      </w:r>
      <w:r w:rsidRPr="00645EB2">
        <w:rPr>
          <w:rFonts w:asciiTheme="majorBidi" w:hAnsiTheme="majorBidi" w:cstheme="majorBidi"/>
          <w:sz w:val="28"/>
          <w:szCs w:val="28"/>
        </w:rPr>
        <w:t>.</w:t>
      </w:r>
    </w:p>
    <w:p w14:paraId="7F5AFA2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 عدد كبير من المشاركين أن الإعلام الرقمي ساعد على تصحيح العديد من المفاهيم الخاطئة المرتبطة بالأمراض العصبية المزمنة، حيث أسهمت الحملات الصحية الرقمية والمحتوى الذي تنشره الجهات الصحية الرسمية في الحد من بعض المعتقدات غير العلمية التي كانت ترتبط بهذه الأمراض، مثل الاعتقاد بأن بعض الأمراض العصبية معدية، أو أنها لا تستجيب للعلاج، أو أنها تؤدي حتمًا إلى فقدان القدرة على ممارسة الحياة الطبيعية. ويرى الأطباء أن تصحيح هذه المفاهيم انعكس بصورة إيجابية على تقبل المرضى للعلاج وتقليل الشعور بالخوف أو الوصمة الاجتماعية المرتبطة ببعض الأمراض العصبية</w:t>
      </w:r>
      <w:r w:rsidRPr="00645EB2">
        <w:rPr>
          <w:rFonts w:asciiTheme="majorBidi" w:hAnsiTheme="majorBidi" w:cstheme="majorBidi"/>
          <w:sz w:val="28"/>
          <w:szCs w:val="28"/>
        </w:rPr>
        <w:t>.</w:t>
      </w:r>
    </w:p>
    <w:p w14:paraId="603AADA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وأشارت نتائج المقابلات إلى أن الإعلام الرقمي أسهم كذلك في زيادة وعي المرضى بأهمية الاكتشاف المبكر للأمراض العصبية، حيث أصبح كثير من الأفراد أكثر اهتمامًا بمتابعة الأعراض الأولية وطلب الاستشارة الطبية في وقت مبكر، بدلاً من تأجيل زيارة الطبيب كما كان يحدث في السابق. ويرى المشاركون أن هذا التطور يمثل أحد أهم الآثار الإيجابية للإعلام الرقمي، لأن التشخيص المبكر يسهم في تحسين فرص العلاج والحد من المضاعفات، خاصة في الأمراض العصبية التي يعتمد نجاح علاجها بدرجة كبيرة على سرعة التدخل الطبي</w:t>
      </w:r>
      <w:r w:rsidRPr="00645EB2">
        <w:rPr>
          <w:rFonts w:asciiTheme="majorBidi" w:hAnsiTheme="majorBidi" w:cstheme="majorBidi"/>
          <w:sz w:val="28"/>
          <w:szCs w:val="28"/>
        </w:rPr>
        <w:t>.</w:t>
      </w:r>
    </w:p>
    <w:p w14:paraId="4624246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ومن الجوانب التي ركز عليها الأطباء أيضًا أن الإعلام الرقمي أصبح وسيلة فعالة لتعزيز الثقافة الوقائية، حيث يتعرض المرضى وأسرهم بشكل مستمر إلى رسائل توعوية تتناول أهمية الالتزام بالأدوية، واتباع نمط حياة صحي، والاهتمام بالتغذية، وممارسة النشاط البدني المناسب، وتجنب العوامل التي قد تؤدي إلى تفاقم الحالة المرضية. وأسهم هذا النوع من الرسائل في تحويل الوعي الصحي من مجرد معرفة نظرية إلى ممارسات وسلوكيات يومية لدى نسبة كبيرة من المرضى</w:t>
      </w:r>
      <w:r w:rsidRPr="00645EB2">
        <w:rPr>
          <w:rFonts w:asciiTheme="majorBidi" w:hAnsiTheme="majorBidi" w:cstheme="majorBidi"/>
          <w:sz w:val="28"/>
          <w:szCs w:val="28"/>
        </w:rPr>
        <w:t>.</w:t>
      </w:r>
    </w:p>
    <w:p w14:paraId="7395434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ورغم اتفاق غالبية المشاركين على الأثر الإيجابي للإعلام الرقمي، فإن بعض الأطباء أشاروا إلى أن هذا التأثير لا يتحقق بالدرجة نفسها لدى جميع المرضى، إذ يرتبط بمدى المستوى التعليمي، والوعي الصحي السابق، والقدرة على استخدام الوسائل الرقمية، إضافة إلى نوعية المصادر التي يعتمد عليها المريض. وأوضحوا أن بعض المرضى يتابعون صفحات أو حسابات غير متخصصة، مما قد يؤدي إلى اكتساب معلومات خاطئة تقلل </w:t>
      </w:r>
      <w:r w:rsidRPr="00645EB2">
        <w:rPr>
          <w:rFonts w:asciiTheme="majorBidi" w:hAnsiTheme="majorBidi" w:cstheme="majorBidi"/>
          <w:sz w:val="28"/>
          <w:szCs w:val="28"/>
          <w:rtl/>
        </w:rPr>
        <w:lastRenderedPageBreak/>
        <w:t>من الأثر الإيجابي المتوقع للإعلام الرقمي، وهو ما يستدعي تكثيف جهود الجهات الصحية لتوجيه الجمهور نحو المصادر الرسمية والموثوقة</w:t>
      </w:r>
      <w:r w:rsidRPr="00645EB2">
        <w:rPr>
          <w:rFonts w:asciiTheme="majorBidi" w:hAnsiTheme="majorBidi" w:cstheme="majorBidi"/>
          <w:sz w:val="28"/>
          <w:szCs w:val="28"/>
        </w:rPr>
        <w:t>.</w:t>
      </w:r>
    </w:p>
    <w:p w14:paraId="40420B8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أظهرت المقابلات أن المحتوى الصحي الذي يعتمد على تبسيط المعلومات واستخدام الوسائط المتعددة يحقق تأثيرًا أكبر في رفع مستوى الوعي مقارنة بالمحتوى العلمي المعقد، حيث أكد الأطباء أن الفيديوهات التوضيحية والرسوم المعلوماتية والرسائل القصيرة تعد أكثر الوسائل قدرة على إيصال المعلومات الصحية إلى مختلف فئات المجتمع، نظرًا لسهولة فهمها وسرعة انتشارها عبر المنصات الرقمية</w:t>
      </w:r>
      <w:r w:rsidRPr="00645EB2">
        <w:rPr>
          <w:rFonts w:asciiTheme="majorBidi" w:hAnsiTheme="majorBidi" w:cstheme="majorBidi"/>
          <w:sz w:val="28"/>
          <w:szCs w:val="28"/>
        </w:rPr>
        <w:t>.</w:t>
      </w:r>
    </w:p>
    <w:p w14:paraId="40C0F7B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الإعلام الرقمي أصبح يؤدي دورًا محوريًا في تشكيل الوعي الصحي لدى الجمهور، من خلال ما يوفره من بيئة تفاعلية تسمح بسرعة تداول المعلومات الصحية والوصول إلى شرائح واسعة من المجتمع. كما أوضح أن فعالية الرسائل الصحية الرقمية تعتمد على وضوح المحتوى وسهولة تقديمه، وهو ما يفسر الدور الكبير الذي أظهرته نتائج المقابلات في رفع مستوى الوعي لدى المرضى وأسرهم</w:t>
      </w:r>
      <w:r w:rsidRPr="00645EB2">
        <w:rPr>
          <w:rFonts w:asciiTheme="majorBidi" w:hAnsiTheme="majorBidi" w:cstheme="majorBidi"/>
          <w:sz w:val="28"/>
          <w:szCs w:val="28"/>
        </w:rPr>
        <w:t>.</w:t>
      </w:r>
    </w:p>
    <w:p w14:paraId="45EBC76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السلمي وعطية (2022)، التي أكدت أن تنمية الوعي الصحي تمثل أحد أهم الوسائل لمواجهة الأمراض المزمنة، وأن الإعلام الرقمي أصبح من أكثر الأدوات تأثيرًا في نشر الثقافة الصحية وتعزيز السلوكيات الوقائية، خاصة عندما يتم تقديم المعلومات الصحية بصورة علمية تتناسب مع احتياجات المرضى وأسرهم</w:t>
      </w:r>
      <w:r w:rsidRPr="00645EB2">
        <w:rPr>
          <w:rFonts w:asciiTheme="majorBidi" w:hAnsiTheme="majorBidi" w:cstheme="majorBidi"/>
          <w:sz w:val="28"/>
          <w:szCs w:val="28"/>
        </w:rPr>
        <w:t>.</w:t>
      </w:r>
    </w:p>
    <w:p w14:paraId="014D7C6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ما توصلت إليه قلاده (2025)، التي أوضحت أن البرامج التثقيفية المقدمة عبر الوسائط الرقمية تؤدي إلى تحسين المعرفة الصحية لدى المستفيدين، وتسهم في تعديل العديد من السلوكيات الصحية، وهو ما يعكس قدرة الإعلام الرقمي على إحداث تغيير إيجابي في وعي الأفراد واتجاهاتهم الصحية</w:t>
      </w:r>
      <w:r w:rsidRPr="00645EB2">
        <w:rPr>
          <w:rFonts w:asciiTheme="majorBidi" w:hAnsiTheme="majorBidi" w:cstheme="majorBidi"/>
          <w:sz w:val="28"/>
          <w:szCs w:val="28"/>
        </w:rPr>
        <w:t>.</w:t>
      </w:r>
    </w:p>
    <w:p w14:paraId="14AB62C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وتؤيد هذه النتائج أيضًا ما أشارت إليه صبرة (2024)، التي أكدت أن المواقع والمنصات الرقمية التفاعلية نجحت في تقديم القضايا الصحية بصورة أكثر جذبًا للجمهور، من خلال توظيف السرد الرقمي والوسائط المتعددة، وهو ما يزيد من معدلات الفهم والتفاعل مع الرسائل الصحية، ويجعل المعلومات الطبية أكثر قربًا من الجمهور</w:t>
      </w:r>
      <w:r w:rsidRPr="00645EB2">
        <w:rPr>
          <w:rFonts w:asciiTheme="majorBidi" w:hAnsiTheme="majorBidi" w:cstheme="majorBidi"/>
          <w:sz w:val="28"/>
          <w:szCs w:val="28"/>
        </w:rPr>
        <w:t>.</w:t>
      </w:r>
    </w:p>
    <w:p w14:paraId="0DF9257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كما تتفق النتائج مع ما ذكرته الشعراوي (2006)، التي أوضحت أن نجاح الرسالة الاتصالية يرتبط بقدرتها على التأثير في معارف الجمهور واتجاهاته وسلوكياته، وأن الوسيلة الاتصالية الفعالة هي التي تستطيع الوصول </w:t>
      </w:r>
      <w:r w:rsidRPr="00645EB2">
        <w:rPr>
          <w:rFonts w:asciiTheme="majorBidi" w:hAnsiTheme="majorBidi" w:cstheme="majorBidi"/>
          <w:sz w:val="28"/>
          <w:szCs w:val="28"/>
          <w:rtl/>
        </w:rPr>
        <w:lastRenderedPageBreak/>
        <w:t>إلى الجمهور المستهدف بلغة واضحة ومحتوى يتناسب مع احتياجاته. ويؤكد ذلك أن الإعلام الرقمي أصبح يمتلك المقومات التي تؤهله للقيام بهذا الدور في المجال الصحي</w:t>
      </w:r>
      <w:r w:rsidRPr="00645EB2">
        <w:rPr>
          <w:rFonts w:asciiTheme="majorBidi" w:hAnsiTheme="majorBidi" w:cstheme="majorBidi"/>
          <w:sz w:val="28"/>
          <w:szCs w:val="28"/>
        </w:rPr>
        <w:t>.</w:t>
      </w:r>
    </w:p>
    <w:p w14:paraId="2A1F1BE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ويرى الباحث أن اتفاق غالبية الأطباء على إسهام الإعلام الرقمي في رفع مستوى الوعي الصحي لدى المرضى وأسرهم يعكس التحول الكبير الذي تشهده منظومة التثقيف الصحي في المجتمع السعودي، حيث أصبحت المنصات الرقمية أداة رئيسية لنشر المعرفة الصحية وتعزيز السلوكيات الوقائية والعلاجية. كما تشير هذه النتيجة إلى ضرورة استمرار الجهات الصحية في الاستثمار في الإعلام الرقمي من خلال إنتاج محتوى علمي مبسط، ومتجدد، وموثوق، يراعي احتياجات المرضى وأسرهم، ويسهم في بناء مجتمع أكثر وعيًا بالأمراض العصبية المزمنة، بما يدعم جهود الوقاية والعلاج ويحسن جودة الحياة للمصابين بهذه الأمراض</w:t>
      </w:r>
      <w:r w:rsidRPr="00645EB2">
        <w:rPr>
          <w:rFonts w:asciiTheme="majorBidi" w:hAnsiTheme="majorBidi" w:cstheme="majorBidi"/>
          <w:sz w:val="28"/>
          <w:szCs w:val="28"/>
        </w:rPr>
        <w:t>.</w:t>
      </w:r>
    </w:p>
    <w:p w14:paraId="067E9B6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الثالث: ما أكثر المنصات الرقمية تأثيرًا في نشر التوعية الصحية المتعلقة بالأمراض العصبية المزمنة؟</w:t>
      </w:r>
    </w:p>
    <w:p w14:paraId="421C101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الثالث، والتي أُجريت مع عينة الدراسة المكونة من (25) طبيبًا، أن (48%) من المشاركين يرون أن منصة "إكس</w:t>
      </w:r>
      <w:r w:rsidRPr="00645EB2">
        <w:rPr>
          <w:rFonts w:asciiTheme="majorBidi" w:hAnsiTheme="majorBidi" w:cstheme="majorBidi"/>
          <w:sz w:val="28"/>
          <w:szCs w:val="28"/>
        </w:rPr>
        <w:t xml:space="preserve"> (X)" </w:t>
      </w:r>
      <w:r w:rsidRPr="00645EB2">
        <w:rPr>
          <w:rFonts w:asciiTheme="majorBidi" w:hAnsiTheme="majorBidi" w:cstheme="majorBidi"/>
          <w:sz w:val="28"/>
          <w:szCs w:val="28"/>
          <w:rtl/>
        </w:rPr>
        <w:t>تعد أكثر المنصات تأثيرًا في نشر التوعية الصحية المتعلقة بالأمراض العصبية المزمنة داخل المجتمع السعودي، بينما أشار (28%) إلى أن منصة "يوتيوب" تمثل الوسيلة الأكثر فاعلية لما توفره من محتوى مرئي يشرح المعلومات الطبية بصورة مبسطة، في حين رأى (16%) أن "إنستغرام" يحقق تأثيرًا ملحوظًا في نشر الرسائل الصحية من خلال الإنفوجرافيك والمقاطع القصيرة، بينما أوضح (8%) أن المواقع الإلكترونية الرسمية التابعة لوزارة الصحة والمستشفيات المتخصصة لا تزال تمثل المصدر الأكثر موثوقية للمعلومات الصحية، على الرغم من أن معدل التفاعل معها أقل مقارنة بمنصات التواصل الاجتماعي</w:t>
      </w:r>
      <w:r w:rsidRPr="00645EB2">
        <w:rPr>
          <w:rFonts w:asciiTheme="majorBidi" w:hAnsiTheme="majorBidi" w:cstheme="majorBidi"/>
          <w:sz w:val="28"/>
          <w:szCs w:val="28"/>
        </w:rPr>
        <w:t>.</w:t>
      </w:r>
    </w:p>
    <w:p w14:paraId="49A188B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وتعكس هذه النتائج إدراك الأطباء للتغيرات التي شهدها المشهد الإعلامي الرقمي في المملكة العربية السعودية، حيث أصبحت منصات التواصل الاجتماعي تمثل الوسيلة الأكثر استخدامًا للوصول إلى الجمهور ونشر الرسائل الصحية في وقت قصير، وذلك بفضل الانتشار الواسع لهذه المنصات وسهولة استخدامها وإمكانية التفاعل المباشر مع المحتوى. ويرى المشاركون أن نجاح الحملات التوعوية لم يعد يعتمد فقط على جودة المعلومات، وإنما أصبح يرتبط أيضًا بالمنصة المستخدمة وطريقة عرض المحتوى ومدى توافقه مع طبيعة الجمهور المستهدف</w:t>
      </w:r>
      <w:r w:rsidRPr="00645EB2">
        <w:rPr>
          <w:rFonts w:asciiTheme="majorBidi" w:hAnsiTheme="majorBidi" w:cstheme="majorBidi"/>
          <w:sz w:val="28"/>
          <w:szCs w:val="28"/>
        </w:rPr>
        <w:t>.</w:t>
      </w:r>
    </w:p>
    <w:p w14:paraId="55060A7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وأشار معظم الأطباء إلى أن منصة "إكس" أصبحت من أكثر المنصات استخدامًا في المملكة لنشر الأخبار الصحية العاجلة والتوصيات الطبية والرسائل التوعوية الصادرة عن الجهات الرسمية، حيث تتميز بسرعة </w:t>
      </w:r>
      <w:r w:rsidRPr="00645EB2">
        <w:rPr>
          <w:rFonts w:asciiTheme="majorBidi" w:hAnsiTheme="majorBidi" w:cstheme="majorBidi"/>
          <w:sz w:val="28"/>
          <w:szCs w:val="28"/>
          <w:rtl/>
        </w:rPr>
        <w:lastRenderedPageBreak/>
        <w:t>تداول المعلومات، وإمكانية وصول الرسائل الصحية إلى أعداد كبيرة من المستخدمين خلال فترة زمنية قصيرة. كما أوضحوا أن العديد من الأطباء والاستشاريين والجهات الصحية يمتلكون حسابات موثقة على المنصة، الأمر الذي يعزز من مصداقية المحتوى المنشور ويزيد من ثقة الجمهور بالمعلومات المقدمة</w:t>
      </w:r>
      <w:r w:rsidRPr="00645EB2">
        <w:rPr>
          <w:rFonts w:asciiTheme="majorBidi" w:hAnsiTheme="majorBidi" w:cstheme="majorBidi"/>
          <w:sz w:val="28"/>
          <w:szCs w:val="28"/>
        </w:rPr>
        <w:t>.</w:t>
      </w:r>
    </w:p>
    <w:p w14:paraId="63CBCC4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وفيما يتعلق بمنصة "يوتيوب"، أكد المشاركون أنها تعد من أكثر المنصات ملاءمة لتفسير الموضوعات الطبية المعقدة، خاصة الأمراض العصبية المزمنة التي تحتاج إلى شرح تفصيلي لطبيعة المرض، وآلية حدوثه، وطرق العلاج، والتعامل مع الأعراض والمضاعفات. ويرى الأطباء أن المحتوى المرئي يساعد المرضى على استيعاب المعلومات بصورة أفضل مقارنة بالنصوص المكتوبة، كما يسمح بعرض الرسومات التوضيحية والمحاكاة الطبية التي تسهم في تبسيط المفاهيم العلمية، وهو ما يزيد من فعالية الرسالة الصحية</w:t>
      </w:r>
      <w:r w:rsidRPr="00645EB2">
        <w:rPr>
          <w:rFonts w:asciiTheme="majorBidi" w:hAnsiTheme="majorBidi" w:cstheme="majorBidi"/>
          <w:sz w:val="28"/>
          <w:szCs w:val="28"/>
        </w:rPr>
        <w:t>.</w:t>
      </w:r>
    </w:p>
    <w:p w14:paraId="1C69566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أوضحت نتائج المقابلات أن منصة "إنستغرام" أصبحت تؤدي دورًا متزايدًا في نشر الثقافة الصحية، خاصة بين فئة الشباب، وذلك من خلال الاعتماد على الصور والإنفوجرافيك والمقاطع القصيرة التي تقدم رسائل صحية مختصرة وسهلة الفهم. ويرى المشاركون أن هذا النوع من المحتوى يحقق معدلات مشاهدة وتفاعل مرتفعة، ويساعد في جذب انتباه المستخدمين، إلا أنه قد لا يكون كافيًا لشرح التفاصيل الطبية الدقيقة، مما يستدعي توجيه المتابعين إلى مصادر أكثر تفصيلًا عند الحاجة</w:t>
      </w:r>
      <w:r w:rsidRPr="00645EB2">
        <w:rPr>
          <w:rFonts w:asciiTheme="majorBidi" w:hAnsiTheme="majorBidi" w:cstheme="majorBidi"/>
          <w:sz w:val="28"/>
          <w:szCs w:val="28"/>
        </w:rPr>
        <w:t>.</w:t>
      </w:r>
    </w:p>
    <w:p w14:paraId="102387C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عدد من الأطباء إلى أن المواقع الإلكترونية الرسمية التابعة لوزارة الصحة والمراكز الطبية المتخصصة تظل الأكثر موثوقية من الناحية العلمية، نظرًا لاعتمادها على الأدلة الطبية والإرشادات المعتمدة، إلا أن تأثيرها الجماهيري قد يكون أقل من منصات التواصل الاجتماعي بسبب انخفاض معدلات التفاعل معها، واعتمادها في كثير من الأحيان على أسلوب رسمي في عرض المعلومات. ويرى المشاركون أن الجمع بين الموثوقية العلمية للمواقع الرسمية والانتشار الواسع لمنصات التواصل الاجتماعي يمثل أفضل استراتيجية لنشر الوعي الصحي</w:t>
      </w:r>
      <w:r w:rsidRPr="00645EB2">
        <w:rPr>
          <w:rFonts w:asciiTheme="majorBidi" w:hAnsiTheme="majorBidi" w:cstheme="majorBidi"/>
          <w:sz w:val="28"/>
          <w:szCs w:val="28"/>
        </w:rPr>
        <w:t>.</w:t>
      </w:r>
    </w:p>
    <w:p w14:paraId="3E1BB9A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المقابلات كذلك أن فاعلية المنصة الرقمية لا تعتمد على نوعها فقط، وإنما تتأثر أيضًا بطريقة تقديم المحتوى. فقد أكد الأطباء أن الرسائل الصحية التي تستخدم لغة بسيطة، ورسومًا توضيحية، وأمثلة من الواقع، تحقق تأثيرًا أكبر من الرسائل التي تعتمد على المصطلحات الطبية المعقدة. كما أن الانتظام في نشر المحتوى والتفاعل مع استفسارات الجمهور يعززان من ثقة المتابعين ويزيدان من تأثير الرسائل التوعوية</w:t>
      </w:r>
      <w:r w:rsidRPr="00645EB2">
        <w:rPr>
          <w:rFonts w:asciiTheme="majorBidi" w:hAnsiTheme="majorBidi" w:cstheme="majorBidi"/>
          <w:sz w:val="28"/>
          <w:szCs w:val="28"/>
        </w:rPr>
        <w:t>.</w:t>
      </w:r>
    </w:p>
    <w:p w14:paraId="48ADFA8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ومن الجوانب التي لفتت انتباه المشاركين أن التكامل بين المنصات الرقمية أصبح أكثر أهمية من الاعتماد على منصة واحدة، حيث يمكن نشر الرسالة الصحية بصورة مختصرة عبر منصة "إكس"، ثم توجيه الجمهور إلى </w:t>
      </w:r>
      <w:r w:rsidRPr="00645EB2">
        <w:rPr>
          <w:rFonts w:asciiTheme="majorBidi" w:hAnsiTheme="majorBidi" w:cstheme="majorBidi"/>
          <w:sz w:val="28"/>
          <w:szCs w:val="28"/>
          <w:rtl/>
        </w:rPr>
        <w:lastRenderedPageBreak/>
        <w:t>فيديو تفصيلي على "يوتيوب"، مع توفير إنفوجرافيك توضيحي على "إنستغرام"، وربط جميع هذه المنصات بالموقع الإلكتروني الرسمي للجهة الصحية. ويرى الأطباء أن هذا الأسلوب يسهم في الوصول إلى شرائح مختلفة من المجتمع وفقًا لاختلاف اهتماماتهم وأنماط استخدامهم للمنصات الرقمية</w:t>
      </w:r>
      <w:r w:rsidRPr="00645EB2">
        <w:rPr>
          <w:rFonts w:asciiTheme="majorBidi" w:hAnsiTheme="majorBidi" w:cstheme="majorBidi"/>
          <w:sz w:val="28"/>
          <w:szCs w:val="28"/>
        </w:rPr>
        <w:t>.</w:t>
      </w:r>
    </w:p>
    <w:p w14:paraId="55711C7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أشار المشاركون إلى أن نجاح المنصات الرقمية في نشر التوعية الصحية يرتبط بدرجة كبيرة بمصداقية الجهة التي تقدم المحتوى، حيث يميل المرضى إلى الثقة بالمعلومات المنشورة من قبل وزارة الصحة، والمستشفيات الجامعية، والجمعيات الطبية، والأطباء المعروفين، مقارنة بالمحتوى الذي ينشره أشخاص غير متخصصين. ويؤكد ذلك أهمية دعم الحسابات الرسمية وتشجيعها على إنتاج محتوى صحي جذاب ومحدث بصورة مستمرة</w:t>
      </w:r>
      <w:r w:rsidRPr="00645EB2">
        <w:rPr>
          <w:rFonts w:asciiTheme="majorBidi" w:hAnsiTheme="majorBidi" w:cstheme="majorBidi"/>
          <w:sz w:val="28"/>
          <w:szCs w:val="28"/>
        </w:rPr>
        <w:t>.</w:t>
      </w:r>
    </w:p>
    <w:p w14:paraId="6F5D814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الإعلام الرقمي أصبح الوسيلة الأكثر تأثيرًا في تشكيل الرأي العام تجاه القضايا الصحية، نتيجة اعتماده على التفاعل الفوري وسرعة تداول المعلومات، وهو ما يزيد من قدرته على الوصول إلى مختلف فئات المجتمع والتأثير في معارفهم واتجاهاتهم الصحية</w:t>
      </w:r>
      <w:r w:rsidRPr="00645EB2">
        <w:rPr>
          <w:rFonts w:asciiTheme="majorBidi" w:hAnsiTheme="majorBidi" w:cstheme="majorBidi"/>
          <w:sz w:val="28"/>
          <w:szCs w:val="28"/>
        </w:rPr>
        <w:t>.</w:t>
      </w:r>
    </w:p>
    <w:p w14:paraId="71366E2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صبرة (2024)، التي أوضحت أن المنصات الرقمية التفاعلية تمتلك قدرة كبيرة على تبسيط القضايا الصحية من خلال توظيف السرد الرقمي والوسائط المتعددة، الأمر الذي يسهم في زيادة معدلات الفهم والتفاعل مع الرسائل الصحية، ويجعل المحتوى أكثر جاذبية للمستخدمين</w:t>
      </w:r>
      <w:r w:rsidRPr="00645EB2">
        <w:rPr>
          <w:rFonts w:asciiTheme="majorBidi" w:hAnsiTheme="majorBidi" w:cstheme="majorBidi"/>
          <w:sz w:val="28"/>
          <w:szCs w:val="28"/>
        </w:rPr>
        <w:t>.</w:t>
      </w:r>
    </w:p>
    <w:p w14:paraId="502C4EF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السلمي وعطية (2022)، التي أشارت إلى أن نجاح برامج التوعية الصحية يرتبط باختيار الوسيلة الاتصالية القادرة على الوصول إلى الجمهور المستهدف، وأن المنصات الرقمية أصبحت من أكثر الوسائل فاعلية في نشر المعرفة الصحية وتعزيز الوعي بالأمراض المزمنة</w:t>
      </w:r>
      <w:r w:rsidRPr="00645EB2">
        <w:rPr>
          <w:rFonts w:asciiTheme="majorBidi" w:hAnsiTheme="majorBidi" w:cstheme="majorBidi"/>
          <w:sz w:val="28"/>
          <w:szCs w:val="28"/>
        </w:rPr>
        <w:t>.</w:t>
      </w:r>
    </w:p>
    <w:p w14:paraId="4EDF401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تؤكد نتائج الدراسة الحالية ما توصلت إليه قلاده (2025)، التي أوضحت أن استخدام الوسائط الرقمية في تقديم البرامج التثقيفية يسهم في رفع مستوى المعرفة الصحية وتحسين السلوكيات الوقائية، خاصة عندما يعتمد المحتوى على أساليب عرض حديثة تتناسب مع طبيعة الجمهور المستهدف</w:t>
      </w:r>
      <w:r w:rsidRPr="00645EB2">
        <w:rPr>
          <w:rFonts w:asciiTheme="majorBidi" w:hAnsiTheme="majorBidi" w:cstheme="majorBidi"/>
          <w:sz w:val="28"/>
          <w:szCs w:val="28"/>
        </w:rPr>
        <w:t>.</w:t>
      </w:r>
    </w:p>
    <w:p w14:paraId="65AB6A3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وتتوافق هذه النتائج أيضًا مع ما ذكرته الشعراوي (2006)، التي أكدت أن اختيار الوسيلة الاتصالية المناسبة يعد أحد أهم عوامل نجاح العملية الاتصالية، وأن الوسيلة الأكثر تأثيرًا هي التي تتمكن من الوصول إلى الجمهور بسهولة، وتقديم الرسالة بطريقة تتلاءم مع خصائصه واحتياجاته، وهو ما يتجسد بوضوح في خصائص المنصات الرقمية الحديثة</w:t>
      </w:r>
      <w:r w:rsidRPr="00645EB2">
        <w:rPr>
          <w:rFonts w:asciiTheme="majorBidi" w:hAnsiTheme="majorBidi" w:cstheme="majorBidi"/>
          <w:sz w:val="28"/>
          <w:szCs w:val="28"/>
        </w:rPr>
        <w:t>.</w:t>
      </w:r>
    </w:p>
    <w:p w14:paraId="7C164CA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ويرى الباحث أن النتائج تؤكد أن نجاح حملات التوعية بالأمراض العصبية المزمنة في المجتمع السعودي لا يعتمد على إنتاج محتوى علمي صحيح فحسب، بل يتطلب أيضًا اختيار المنصة الرقمية الأكثر قدرة على الوصول إلى الفئة المستهدفة، مع مراعاة طبيعة كل منصة وآليات التفاعل فيها. كما يرى أن التكامل بين المنصات الرقمية المختلفة، مع الاعتماد على المحتوى الصادر عن الجهات الصحية الرسمية، يمثل أفضل الممارسات لتعزيز الوعي الصحي، ومواجهة المعلومات المضللة، وتحقيق أثر مستدام في تحسين الثقافة الصحية لدى المرضى وأسرهم</w:t>
      </w:r>
      <w:r w:rsidRPr="00645EB2">
        <w:rPr>
          <w:rFonts w:asciiTheme="majorBidi" w:hAnsiTheme="majorBidi" w:cstheme="majorBidi"/>
          <w:sz w:val="28"/>
          <w:szCs w:val="28"/>
        </w:rPr>
        <w:t>.</w:t>
      </w:r>
    </w:p>
    <w:p w14:paraId="7E87242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الرابع: ما أبرز المشكلات أو المعلومات الخاطئة التي يواجهها المرضى بسبب المحتوى الصحي المنتشر عبر الإنترنت؟</w:t>
      </w:r>
    </w:p>
    <w:p w14:paraId="2183516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الرابع، والتي أُجريت مع عينة الدراسة المكونة من (25) طبيبًا، أن نسبة (44%) من المشاركين أكدت أن أكثر المشكلات التي يواجهها المرضى تتمثل في انتشار المعلومات الطبية غير الموثوقة الصادرة عن أشخاص غير متخصصين، بينما أشار (24%) إلى أن الاعتماد على الوصفات العلاجية والتجارب الشخصية المنشورة عبر الإنترنت يمثل المشكلة الأكثر شيوعًا، في حين رأى (16%) أن انتشار المعلومات المبالغ فيها أو المضللة حول نتائج العلاج يؤدي إلى تكوين توقعات غير واقعية لدى المرضى، وأوضح (16%) أن تعدد المصادر واختلاف المعلومات الطبية يسبب حالة من الارتباك والقلق لدى المرضى وأسرهم عند محاولة التمييز بين المعلومات الصحيحة والخاطئة. وتشير هذه النتائج إلى أن التحدي الحقيقي لا يتمثل في نقص المعلومات الصحية، وإنما في وفرتها غير المنضبطة، وصعوبة التحقق من مدى صحتها ومصداقيتها</w:t>
      </w:r>
      <w:r w:rsidRPr="00645EB2">
        <w:rPr>
          <w:rFonts w:asciiTheme="majorBidi" w:hAnsiTheme="majorBidi" w:cstheme="majorBidi"/>
          <w:sz w:val="28"/>
          <w:szCs w:val="28"/>
        </w:rPr>
        <w:t>.</w:t>
      </w:r>
    </w:p>
    <w:p w14:paraId="45D59BE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وتوضح هذه النتيجة أن التطور الكبير الذي شهده الإعلام الرقمي صاحبه ظهور كم هائل من المحتوى الصحي الذي يفتقر في كثير من الأحيان إلى المراجعة العلمية أو الإشراف الطبي، مما جعل المرضى يتعرضون بصورة مستمرة لمعلومات قد تكون غير دقيقة أو مضللة. ويرى الأطباء أن سهولة إنشاء المحتوى الرقمي ونشره عبر منصات التواصل الاجتماعي أسهمت في زيادة انتشار النصائح الطبية الصادرة عن غير المختصين، وهو ما أدى إلى تضارب المعلومات ووصول رسائل صحية قد تتعارض مع الإرشادات الطبية المعتمدة</w:t>
      </w:r>
      <w:r w:rsidRPr="00645EB2">
        <w:rPr>
          <w:rFonts w:asciiTheme="majorBidi" w:hAnsiTheme="majorBidi" w:cstheme="majorBidi"/>
          <w:sz w:val="28"/>
          <w:szCs w:val="28"/>
        </w:rPr>
        <w:t>.</w:t>
      </w:r>
    </w:p>
    <w:p w14:paraId="2ECBBA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وأشار المشاركون إلى أن من أكثر المظاهر التي يلاحظونها داخل العيادات اعتماد بعض المرضى على معلومات حصلوا عليها من مقاطع فيديو أو منشورات متداولة عبر وسائل التواصل الاجتماعي، دون التأكد من </w:t>
      </w:r>
      <w:r w:rsidRPr="00645EB2">
        <w:rPr>
          <w:rFonts w:asciiTheme="majorBidi" w:hAnsiTheme="majorBidi" w:cstheme="majorBidi"/>
          <w:sz w:val="28"/>
          <w:szCs w:val="28"/>
          <w:rtl/>
        </w:rPr>
        <w:lastRenderedPageBreak/>
        <w:t>مصدرها العلمي. وغالبًا ما يصل هؤلاء المرضى وهم يحملون قناعات مسبقة حول طبيعة المرض أو طرق العلاج، الأمر الذي يجعل الطبيب يقضي جزءًا من وقت الاستشارة في تصحيح تلك المفاهيم قبل البدء في مناقشة الحالة الصحية والخطة العلاجية. ويرى الأطباء أن هذه الظاهرة أصبحت أكثر شيوعًا خلال السنوات الأخيرة نتيجة الزيادة الكبيرة في استخدام وسائل الإعلام الرقمي</w:t>
      </w:r>
      <w:r w:rsidRPr="00645EB2">
        <w:rPr>
          <w:rFonts w:asciiTheme="majorBidi" w:hAnsiTheme="majorBidi" w:cstheme="majorBidi"/>
          <w:sz w:val="28"/>
          <w:szCs w:val="28"/>
        </w:rPr>
        <w:t>.</w:t>
      </w:r>
    </w:p>
    <w:p w14:paraId="58CFCCA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أوضحت استجابات المشاركين أن انتشار التجارب الشخصية يمثل أحد أبرز مصادر المعلومات المضللة، حيث يميل بعض المرضى إلى مقارنة حالتهم الصحية بتجارب أشخاص آخرين يعانون من أمراض مشابهة، رغم اختلاف العمر، والحالة الصحية، ومرحلة المرض، والاستجابة للعلاج. وأكد الأطباء أن نجاح علاج معين مع أحد المرضى لا يعني بالضرورة نجاحه مع جميع الحالات، لأن الأمراض العصبية المزمنة تختلف في طبيعتها واستجابتها للعلاج من شخص إلى آخر، وهو ما يجعل تعميم التجارب الشخصية أمرًا غير علمي وقد يؤدي إلى اتخاذ قرارات علاجية خاطئة</w:t>
      </w:r>
      <w:r w:rsidRPr="00645EB2">
        <w:rPr>
          <w:rFonts w:asciiTheme="majorBidi" w:hAnsiTheme="majorBidi" w:cstheme="majorBidi"/>
          <w:sz w:val="28"/>
          <w:szCs w:val="28"/>
        </w:rPr>
        <w:t>.</w:t>
      </w:r>
    </w:p>
    <w:p w14:paraId="36EBDED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عدد من الأطباء إلى أن بعض المرضى يتأثرون بالإعلانات أو المحتوى الترويجي الذي يقدم بعض المنتجات أو المكملات الغذائية أو الوسائل العلاجية على أنها حلول نهائية للأمراض العصبية المزمنة، دون وجود أدلة علمية تثبت فعاليتها. ويرى المشاركون أن هذه الرسائل قد تدفع بعض المرضى إلى إيقاف العلاج الموصوف من الطبيب أو تأخير مراجعة المختصين، اعتمادًا على وعود غير واقعية بالشفاء الكامل أو التحسن السريع، مما قد يؤدي إلى تفاقم الحالة الصحية وتأخر التدخل الطبي المناسب</w:t>
      </w:r>
      <w:r w:rsidRPr="00645EB2">
        <w:rPr>
          <w:rFonts w:asciiTheme="majorBidi" w:hAnsiTheme="majorBidi" w:cstheme="majorBidi"/>
          <w:sz w:val="28"/>
          <w:szCs w:val="28"/>
        </w:rPr>
        <w:t>.</w:t>
      </w:r>
    </w:p>
    <w:p w14:paraId="11D1B23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المقابلات كذلك أن تضارب المعلومات الصحية المنشورة عبر الإنترنت يعد من أكثر العوامل التي تسبب القلق لدى المرضى وأسرهم، إذ يجد المريض نفسه أمام عشرات الآراء المختلفة حول المرض الواحد، بعضها يستند إلى الأدلة العلمية، وبعضها يعتمد على الاجتهادات الشخصية أو المعلومات غير الموثقة. ويؤدي هذا التضارب إلى فقدان الثقة في بعض الأحيان، وإلى صعوبة اتخاذ القرار بشأن العلاج أو أسلوب التعامل مع المرض، خاصة لدى المرضى الذين يفتقرون إلى الثقافة الصحية الكافية</w:t>
      </w:r>
      <w:r w:rsidRPr="00645EB2">
        <w:rPr>
          <w:rFonts w:asciiTheme="majorBidi" w:hAnsiTheme="majorBidi" w:cstheme="majorBidi"/>
          <w:sz w:val="28"/>
          <w:szCs w:val="28"/>
        </w:rPr>
        <w:t>.</w:t>
      </w:r>
    </w:p>
    <w:p w14:paraId="34AE60A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 المشاركون أن استخدام المصطلحات الطبية خارج سياقها الصحيح يمثل مشكلة أخرى، حيث يتم تداول معلومات علمية معقدة بطريقة مبسطة أو مجتزأة، مما يؤدي إلى سوء فهمها من قبل الجمهور. ويرى الأطباء أن بعض صناع المحتوى يركزون على العناوين المثيرة أو المعلومات التي تحقق نسب مشاهدة مرتفعة، دون الاهتمام بالدقة العلمية أو توضيح حدود الدراسات الطبية، وهو ما يسهم في نشر مفاهيم غير صحيحة بين المرضى</w:t>
      </w:r>
      <w:r w:rsidRPr="00645EB2">
        <w:rPr>
          <w:rFonts w:asciiTheme="majorBidi" w:hAnsiTheme="majorBidi" w:cstheme="majorBidi"/>
          <w:sz w:val="28"/>
          <w:szCs w:val="28"/>
        </w:rPr>
        <w:t>.</w:t>
      </w:r>
    </w:p>
    <w:p w14:paraId="20BE2EB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وأكد الأطباء أن مواجهة هذه المشكلات لا تتطلب الحد من استخدام الإعلام الرقمي، وإنما تستلزم تعزيز الثقافة الصحية الرقمية لدى المجتمع، من خلال تعليم المرضى كيفية تقييم المعلومات الصحية، والتمييز بين المصادر الرسمية وغير الرسمية، والتأكد من أن المحتوى صادر عن جهات صحية معتمدة أو مختصين مؤهلين. كما شددوا على أهمية أن يكون للطبيب دور في توجيه المرضى إلى المصادر الموثوقة، وأن تحرص المؤسسات الصحية على الحضور الفاعل عبر المنصات الرقمية لتوفير بديل علمي ينافس المحتوى غير الدقيق</w:t>
      </w:r>
      <w:r w:rsidRPr="00645EB2">
        <w:rPr>
          <w:rFonts w:asciiTheme="majorBidi" w:hAnsiTheme="majorBidi" w:cstheme="majorBidi"/>
          <w:sz w:val="28"/>
          <w:szCs w:val="28"/>
        </w:rPr>
        <w:t>.</w:t>
      </w:r>
    </w:p>
    <w:p w14:paraId="3B12489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أشار إلى أن التأثير الكبير للإعلام الرقمي لا يخلو من تحديات، من أبرزها سرعة انتشار المعلومات غير الدقيقة وصعوبة السيطرة على المحتوى المنشور عبر المنصات الرقمية، وهو ما يستدعي تعزيز مسؤولية المؤسسات الصحية والإعلامية في تقديم محتوى صحي موثوق ومبني على الأدلة العلمية</w:t>
      </w:r>
      <w:r w:rsidRPr="00645EB2">
        <w:rPr>
          <w:rFonts w:asciiTheme="majorBidi" w:hAnsiTheme="majorBidi" w:cstheme="majorBidi"/>
          <w:sz w:val="28"/>
          <w:szCs w:val="28"/>
        </w:rPr>
        <w:t>.</w:t>
      </w:r>
    </w:p>
    <w:p w14:paraId="4776BDB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صبرة (2024)، التي أوضحت أن البيئة الرقمية التفاعلية تتيح إنتاج وتداول المحتوى الصحي بصورة سريعة، إلا أن غياب الضوابط المهنية في بعض المنصات قد يؤدي إلى انتشار معلومات غير دقيقة أو مضللة، مما يؤثر في فهم الجمهور للقضايا الصحية ويؤدي إلى تكوين تصورات خاطئة حول الأمراض وطرق علاجها</w:t>
      </w:r>
      <w:r w:rsidRPr="00645EB2">
        <w:rPr>
          <w:rFonts w:asciiTheme="majorBidi" w:hAnsiTheme="majorBidi" w:cstheme="majorBidi"/>
          <w:sz w:val="28"/>
          <w:szCs w:val="28"/>
        </w:rPr>
        <w:t>.</w:t>
      </w:r>
    </w:p>
    <w:p w14:paraId="3158E38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السلمي وعطية (2022)، التي أكدت أن الوعي الصحي لا يعتمد فقط على توافر المعلومات، وإنما يرتبط أيضًا بجودة هذه المعلومات ومصداقيتها، وأن نشر المعلومات الصحية غير الدقيقة قد يؤدي إلى تبني سلوكيات صحية خاطئة تقلل من فعالية برامج التوعية، خاصة لدى مرضى الأمراض المزمنة الذين يحتاجون إلى معلومات علمية دقيقة ومستقرة</w:t>
      </w:r>
      <w:r w:rsidRPr="00645EB2">
        <w:rPr>
          <w:rFonts w:asciiTheme="majorBidi" w:hAnsiTheme="majorBidi" w:cstheme="majorBidi"/>
          <w:sz w:val="28"/>
          <w:szCs w:val="28"/>
        </w:rPr>
        <w:t>.</w:t>
      </w:r>
    </w:p>
    <w:p w14:paraId="3A1EA2C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تؤيد النتائج ما توصلت إليه قلاده (2025)، التي أشارت إلى أن نجاح البرامج التثقيفية الصحية يتطلب تقديم معلومات واضحة وموثقة تستند إلى الأدلة العلمية، لأن المحتوى غير المنظم أو غير الدقيق قد يضعف من قدرة الأفراد على اتخاذ قرارات صحية سليمة، ويؤثر سلبًا في السلوكيات الصحية المستهدفة</w:t>
      </w:r>
      <w:r w:rsidRPr="00645EB2">
        <w:rPr>
          <w:rFonts w:asciiTheme="majorBidi" w:hAnsiTheme="majorBidi" w:cstheme="majorBidi"/>
          <w:sz w:val="28"/>
          <w:szCs w:val="28"/>
        </w:rPr>
        <w:t>.</w:t>
      </w:r>
    </w:p>
    <w:p w14:paraId="44570D6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أيضًا مع ما ذكرته الشعراوي (2006)، التي أوضحت أن من أهم شروط نجاح العملية الاتصالية مصداقية مصدر الرسالة ووضوح مضمونها، وأن ضعف المصداقية أو غموض الرسالة يؤدي إلى انخفاض مستوى الثقة لدى الجمهور ويحد من فاعلية الاتصال في تحقيق أهدافه، وهو ما يظهر بوضوح في حالة المحتوى الصحي غير الموثوق المنتشر عبر بعض المنصات الرقمية</w:t>
      </w:r>
      <w:r w:rsidRPr="00645EB2">
        <w:rPr>
          <w:rFonts w:asciiTheme="majorBidi" w:hAnsiTheme="majorBidi" w:cstheme="majorBidi"/>
          <w:sz w:val="28"/>
          <w:szCs w:val="28"/>
        </w:rPr>
        <w:t>.</w:t>
      </w:r>
    </w:p>
    <w:p w14:paraId="5AAAC85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ويرى الباحث أن نتائج هذا السؤال تؤكد أن التحدي الرئيس الذي يواجه الإعلام الرقمي في مجال التوعية بالأمراض العصبية المزمنة لا يتمثل في نقص المحتوى الصحي، وإنما في ضمان جودته ومصداقيته. فكلما ازدادت كمية المعلومات غير الموثوقة، ازدادت حاجة المرضى إلى مصادر علمية رسمية تقدم معلومات دقيقة ومحدثة بلغة مبسطة تناسب مختلف فئات المجتمع. كما يرى الباحث أن رفع مستوى الثقافة الصحية الرقمية لدى المرضى، وتشجيعهم على التحقق من مصادر المعلومات قبل الاعتماد عليها، يمثل أحد أهم الإجراءات التي يمكن أن تحد من الآثار السلبية للمحتوى الصحي المضلل، وتسهم في تعزيز الدور الإيجابي للإعلام الرقمي في دعم التوعية الصحية داخل المجتمع السعودي</w:t>
      </w:r>
      <w:r w:rsidRPr="00645EB2">
        <w:rPr>
          <w:rFonts w:asciiTheme="majorBidi" w:hAnsiTheme="majorBidi" w:cstheme="majorBidi"/>
          <w:sz w:val="28"/>
          <w:szCs w:val="28"/>
        </w:rPr>
        <w:t>.</w:t>
      </w:r>
    </w:p>
    <w:p w14:paraId="64D599B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الخامس: ما المقترحات التي تراها مناسبة لتطوير دور الإعلام الرقمي في التوعية بالأمراض العصبية المزمنة؟</w:t>
      </w:r>
    </w:p>
    <w:p w14:paraId="7176B39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الخامس، والتي أُجريت مع عينة الدراسة المكونة من (25) طبيبًا، أن نسبة (40%) من المشاركين اقترحت زيادة إنتاج المحتوى الصحي الرقمي من خلال الجهات الصحية الرسمية والمستشفيات المتخصصة، بينما رأى (24%) ضرورة تعزيز مشاركة الأطباء والاستشاريين في تقديم المحتوى التوعوي عبر المنصات الرقمية، وأشار (20%) إلى أهمية تكثيف الحملات التوعوية الرقمية بصورة دورية، في حين أكد (16%) ضرورة وضع آليات أكثر فاعلية لمكافحة المعلومات الصحية المضللة، والتحقق من المحتوى المنشور عبر وسائل الإعلام الرقمي. وتعكس هذه النتائج وجود اتفاق واضح بين أفراد العينة على أن تطوير الإعلام الرقمي لا يعتمد على زيادة حجم المحتوى فقط، وإنما يتطلب تحسين جودته، وتعزيز مصداقيته، وتطوير أساليب تقديمه بما يتناسب مع احتياجات المرضى وأسرهم</w:t>
      </w:r>
      <w:r w:rsidRPr="00645EB2">
        <w:rPr>
          <w:rFonts w:asciiTheme="majorBidi" w:hAnsiTheme="majorBidi" w:cstheme="majorBidi"/>
          <w:sz w:val="28"/>
          <w:szCs w:val="28"/>
        </w:rPr>
        <w:t>.</w:t>
      </w:r>
    </w:p>
    <w:p w14:paraId="71D52F0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النتيجة إلى إدراك الأطباء لأهمية الدور الذي يمكن أن تؤديه الجهات الصحية الرسمية في قيادة عملية التوعية الصحية الرقمية، حيث يرى المشاركون أن وجود محتوى صحي صادر عن وزارة الصحة، والمستشفيات التخصصية، والجمعيات العلمية، يعزز ثقة الجمهور بالمعلومات المقدمة، ويحد من انتشار المحتوى غير الموثوق. كما أوضحوا أن المحتوى الرسمي ينبغي ألا يقتصر على نشر الأخبار الصحية أو البيانات التوعوية، بل يجب أن يقدم معلومات تفصيلية ومبسطة حول الأمراض العصبية المزمنة، تشمل التعريف بالمرض، وأسبابه، وأعراضه، وطرق الوقاية منه، وآليات العلاج والتأهيل، والإجابة عن الأسئلة الأكثر شيوعًا لدى المرضى</w:t>
      </w:r>
      <w:r w:rsidRPr="00645EB2">
        <w:rPr>
          <w:rFonts w:asciiTheme="majorBidi" w:hAnsiTheme="majorBidi" w:cstheme="majorBidi"/>
          <w:sz w:val="28"/>
          <w:szCs w:val="28"/>
        </w:rPr>
        <w:t>.</w:t>
      </w:r>
    </w:p>
    <w:p w14:paraId="1A79103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وأكد عدد كبير من المشاركين أن إشراك الأطباء والمتخصصين في إنتاج المحتوى الرقمي يمثل أحد أهم العوامل التي تسهم في رفع جودة الرسائل الصحية، إذ إن ظهور الطبيب بصورة مباشرة عبر المنصات الرقمية يسهم في زيادة مصداقية المعلومات، ويمنح المرضى فرصة للحصول على إجابات دقيقة من مصدر علمي موثوق. كما يرى المشاركون أن وجود الأطباء في وسائل التواصل الاجتماعي يساعد على تقليل الفجوة بين المرضى والمختصين، ويعزز من فرص تصحيح المفاهيم الخاطئة المنتشرة عبر الإنترنت</w:t>
      </w:r>
      <w:r w:rsidRPr="00645EB2">
        <w:rPr>
          <w:rFonts w:asciiTheme="majorBidi" w:hAnsiTheme="majorBidi" w:cstheme="majorBidi"/>
          <w:sz w:val="28"/>
          <w:szCs w:val="28"/>
        </w:rPr>
        <w:t>.</w:t>
      </w:r>
    </w:p>
    <w:p w14:paraId="316F88D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أظهرت المقابلات أهمية تطوير الحملات الصحية الرقمية بحيث تكون مستمرة وليست موسمية، حيث أوضح الأطباء أن كثيرًا من حملات التوعية ترتبط بمناسبة صحية معينة أو يوم عالمي للمرض، ثم يتوقف النشاط الإعلامي بعد انتهاء المناسبة، بينما تتطلب الأمراض العصبية المزمنة برامج توعوية مستدامة ترافق المرضى وأسرهم طوال العام، نظرًا لطبيعة هذه الأمراض واحتياجها إلى متابعة مستمرة وتثقيف دائم</w:t>
      </w:r>
      <w:r w:rsidRPr="00645EB2">
        <w:rPr>
          <w:rFonts w:asciiTheme="majorBidi" w:hAnsiTheme="majorBidi" w:cstheme="majorBidi"/>
          <w:sz w:val="28"/>
          <w:szCs w:val="28"/>
        </w:rPr>
        <w:t>.</w:t>
      </w:r>
    </w:p>
    <w:p w14:paraId="1EE058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المشاركون أيضًا إلى ضرورة تنويع أشكال المحتوى الصحي وعدم الاكتفاء بالنصوص التقليدية، حيث أكدوا أن استخدام الفيديوهات القصيرة، والرسوم المعلوماتية، والرسوم المتحركة، والبودكاست، والبث المباشر، يسهم في زيادة معدلات الوصول والتفاعل مع الرسائل الصحية، خاصة بين فئة الشباب. كما أوضحوا أن تقديم المعلومات بلغة مبسطة بعيدًا عن المصطلحات الطبية المعقدة يزيد من قدرة المرضى على فهم الرسائل الصحية والاستفادة منها</w:t>
      </w:r>
      <w:r w:rsidRPr="00645EB2">
        <w:rPr>
          <w:rFonts w:asciiTheme="majorBidi" w:hAnsiTheme="majorBidi" w:cstheme="majorBidi"/>
          <w:sz w:val="28"/>
          <w:szCs w:val="28"/>
        </w:rPr>
        <w:t>.</w:t>
      </w:r>
    </w:p>
    <w:p w14:paraId="1FC11D6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ومن المقترحات التي حظيت باهتمام المشاركين ضرورة توظيف التقنيات الحديثة، مثل تطبيقات الهواتف الذكية والذكاء الاصطناعي، في تقديم خدمات التوعية الصحية، بحيث يتمكن المرضى من الحصول على معلومات موثوقة والإجابة عن استفساراتهم بصورة سريعة، مع توفير روابط مباشرة للمصادر الرسمية والخدمات الصحية المتخصصة. ويرى الأطباء أن هذه الأدوات يمكن أن تسهم في رفع مستوى الثقافة الصحية وتسهيل الوصول إلى المعلومات الصحيحة</w:t>
      </w:r>
      <w:r w:rsidRPr="00645EB2">
        <w:rPr>
          <w:rFonts w:asciiTheme="majorBidi" w:hAnsiTheme="majorBidi" w:cstheme="majorBidi"/>
          <w:sz w:val="28"/>
          <w:szCs w:val="28"/>
        </w:rPr>
        <w:t>.</w:t>
      </w:r>
    </w:p>
    <w:p w14:paraId="4E91919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أكد عدد من الأطباء أهمية التعاون بين المؤسسات الصحية والجامعات ووسائل الإعلام والمؤثرين الرقميين في تنفيذ حملات توعوية مشتركة، تضمن وصول الرسائل الصحية إلى أكبر شريحة ممكنة من المجتمع. وأوضح المشاركون أن بعض المؤثرين يمتلكون قدرة كبيرة على الوصول إلى الجمهور، ويمكن الاستفادة من هذه القدرة في نشر الرسائل الصحية، بشرط أن يكون المحتوى خاضعًا للمراجعة العلمية من قبل المختصين</w:t>
      </w:r>
      <w:r w:rsidRPr="00645EB2">
        <w:rPr>
          <w:rFonts w:asciiTheme="majorBidi" w:hAnsiTheme="majorBidi" w:cstheme="majorBidi"/>
          <w:sz w:val="28"/>
          <w:szCs w:val="28"/>
        </w:rPr>
        <w:t>.</w:t>
      </w:r>
    </w:p>
    <w:p w14:paraId="418B4F4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وأظهرت المقابلات كذلك أن مكافحة المعلومات الصحية المضللة تمثل أولوية في تطوير الإعلام الرقمي، حيث اقترح الأطباء تفعيل آليات لرصد المحتوى غير الصحيح، وسرعة الرد عليه من قبل الجهات الصحية الرسمية، </w:t>
      </w:r>
      <w:r w:rsidRPr="00645EB2">
        <w:rPr>
          <w:rFonts w:asciiTheme="majorBidi" w:hAnsiTheme="majorBidi" w:cstheme="majorBidi"/>
          <w:sz w:val="28"/>
          <w:szCs w:val="28"/>
          <w:rtl/>
        </w:rPr>
        <w:lastRenderedPageBreak/>
        <w:t>بالإضافة إلى إطلاق حملات توضح للجمهور كيفية التحقق من المعلومات الصحية، وتشجعهم على الاعتماد على المصادر المعتمدة فقط. ويرى المشاركون أن هذه الإجراءات ستسهم في تقليل التأثير السلبي للمعلومات الخاطئة، وتعزز ثقة المجتمع بالمحتوى الصحي الرقمي</w:t>
      </w:r>
      <w:r w:rsidRPr="00645EB2">
        <w:rPr>
          <w:rFonts w:asciiTheme="majorBidi" w:hAnsiTheme="majorBidi" w:cstheme="majorBidi"/>
          <w:sz w:val="28"/>
          <w:szCs w:val="28"/>
        </w:rPr>
        <w:t>.</w:t>
      </w:r>
    </w:p>
    <w:p w14:paraId="186C650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بعض الأطباء إلى أهمية تقييم أثر الحملات التوعوية بصورة دورية، من خلال قياس مستوى التفاعل مع المحتوى، ومدى استفادة المرضى منه، وتأثيره في المعرفة والسلوك الصحي، بما يساعد على تطوير الرسائل الإعلامية وتحسينها باستمرار، وضمان تحقيق الأهداف المرجوة من برامج التوعية</w:t>
      </w:r>
      <w:r w:rsidRPr="00645EB2">
        <w:rPr>
          <w:rFonts w:asciiTheme="majorBidi" w:hAnsiTheme="majorBidi" w:cstheme="majorBidi"/>
          <w:sz w:val="28"/>
          <w:szCs w:val="28"/>
        </w:rPr>
        <w:t>.</w:t>
      </w:r>
    </w:p>
    <w:p w14:paraId="116D87E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تطوير الاتصال الرقمي في المجال الصحي يتطلب إنتاج محتوى علمي موثوق، والاستفادة من الخصائص التفاعلية للمنصات الرقمية، بما يعزز من قدرة الرسائل الصحية على الوصول إلى الجمهور والتأثير في معارفه واتجاهاته وسلوكياته</w:t>
      </w:r>
      <w:r w:rsidRPr="00645EB2">
        <w:rPr>
          <w:rFonts w:asciiTheme="majorBidi" w:hAnsiTheme="majorBidi" w:cstheme="majorBidi"/>
          <w:sz w:val="28"/>
          <w:szCs w:val="28"/>
        </w:rPr>
        <w:t>.</w:t>
      </w:r>
    </w:p>
    <w:p w14:paraId="32037D2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صبرة (2024)، التي أشارت إلى أن نجاح المحتوى الصحي الرقمي يرتبط باستخدام أساليب عرض حديثة تعتمد على التفاعل والوسائط المتعددة، وأن تبسيط المعلومات الصحية يعد من أهم عوامل نجاح الرسائل الإعلامية الموجهة للجمهور</w:t>
      </w:r>
      <w:r w:rsidRPr="00645EB2">
        <w:rPr>
          <w:rFonts w:asciiTheme="majorBidi" w:hAnsiTheme="majorBidi" w:cstheme="majorBidi"/>
          <w:sz w:val="28"/>
          <w:szCs w:val="28"/>
        </w:rPr>
        <w:t>.</w:t>
      </w:r>
    </w:p>
    <w:p w14:paraId="4AE487D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السلمي وعطية (2022)، التي أوضحت أن رفع مستوى الوعي الصحي يتطلب تعاونًا مستمرًا بين المؤسسات الصحية ووسائل الاتصال المختلفة، مع التركيز على نشر المعلومات الصحيحة وتعزيز الثقافة الصحية لدى مرضى الأمراض المزمنة وأسرهم</w:t>
      </w:r>
      <w:r w:rsidRPr="00645EB2">
        <w:rPr>
          <w:rFonts w:asciiTheme="majorBidi" w:hAnsiTheme="majorBidi" w:cstheme="majorBidi"/>
          <w:sz w:val="28"/>
          <w:szCs w:val="28"/>
        </w:rPr>
        <w:t>.</w:t>
      </w:r>
    </w:p>
    <w:p w14:paraId="3C3C6B6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تؤيد النتائج ما توصلت إليه قلاده (2025)، التي أكدت أن البرامج التثقيفية الصحية تحقق أفضل نتائجها عندما تعتمد على محتوى علمي مبسط، وتستخدم وسائل اتصال حديثة تتناسب مع خصائص الفئات المستهدفة، الأمر الذي يسهم في تحسين المعرفة الصحية وتعديل السلوكيات المرتبطة بالوقاية والعلاج</w:t>
      </w:r>
      <w:r w:rsidRPr="00645EB2">
        <w:rPr>
          <w:rFonts w:asciiTheme="majorBidi" w:hAnsiTheme="majorBidi" w:cstheme="majorBidi"/>
          <w:sz w:val="28"/>
          <w:szCs w:val="28"/>
        </w:rPr>
        <w:t>.</w:t>
      </w:r>
    </w:p>
    <w:p w14:paraId="74F0DA2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النتائج أيضًا مع ما ذكرته الشعراوي (2006)، التي أكدت أن نجاح الرسائل الاتصالية يعتمد على التخطيط الجيد للمحتوى، واختيار الوسيلة المناسبة، ومصداقية مصدر الرسالة، مع مراعاة خصائص الجمهور المستهدف، وهو ما يتطلب من المؤسسات الصحية تطوير استراتيجيات إعلامية رقمية أكثر شمولًا وفاعلية</w:t>
      </w:r>
      <w:r w:rsidRPr="00645EB2">
        <w:rPr>
          <w:rFonts w:asciiTheme="majorBidi" w:hAnsiTheme="majorBidi" w:cstheme="majorBidi"/>
          <w:sz w:val="28"/>
          <w:szCs w:val="28"/>
        </w:rPr>
        <w:t>.</w:t>
      </w:r>
    </w:p>
    <w:p w14:paraId="56EF04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ويرى الباحث أن المقترحات التي قدمها الأطباء تعكس إدراكًا واضحًا لأهمية الانتقال من مرحلة استخدام الإعلام الرقمي كوسيلة لنشر المعلومات فقط، إلى مرحلة توظيفه كمنظومة متكاملة للتثقيف الصحي المستدام. كما يرى أن تحقيق ذلك يتطلب تكامل جهود الجهات الصحية، والمؤسسات الإعلامية، والجامعات، </w:t>
      </w:r>
      <w:r w:rsidRPr="00645EB2">
        <w:rPr>
          <w:rFonts w:asciiTheme="majorBidi" w:hAnsiTheme="majorBidi" w:cstheme="majorBidi"/>
          <w:sz w:val="28"/>
          <w:szCs w:val="28"/>
          <w:rtl/>
        </w:rPr>
        <w:lastRenderedPageBreak/>
        <w:t>والمتخصصين، من أجل إنتاج محتوى رقمي موثوق، وجذاب، ومتجدد، يعتمد على الأدلة العلمية، ويستجيب لاحتياجات المرضى وأسرهم. ومن شأن تطبيق هذه المقترحات أن يعزز من كفاءة الإعلام الرقمي في نشر الوعي بالأمراض العصبية المزمنة داخل المجتمع السعودي، ويسهم في تحسين الثقافة الصحية، ودعم جهود الوقاية، ورفع جودة الحياة لدى المرضى، وهو ما يتوافق مع مستهدفات التحول الرقمي وتطوير القطاع الصحي في المملكة العربية السعودية</w:t>
      </w:r>
      <w:r w:rsidRPr="00645EB2">
        <w:rPr>
          <w:rFonts w:asciiTheme="majorBidi" w:hAnsiTheme="majorBidi" w:cstheme="majorBidi"/>
          <w:sz w:val="28"/>
          <w:szCs w:val="28"/>
        </w:rPr>
        <w:t>.</w:t>
      </w:r>
    </w:p>
    <w:p w14:paraId="2A88E0A0"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 xml:space="preserve">تحليل الاستجابات الخاصة بالمرضي </w:t>
      </w:r>
    </w:p>
    <w:p w14:paraId="601E219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نبدأ الآن في تحليل إجابات المرضى</w:t>
      </w:r>
      <w:r w:rsidRPr="00645EB2">
        <w:rPr>
          <w:rFonts w:asciiTheme="majorBidi" w:hAnsiTheme="majorBidi" w:cstheme="majorBidi"/>
          <w:sz w:val="28"/>
          <w:szCs w:val="28"/>
        </w:rPr>
        <w:t>.</w:t>
      </w:r>
    </w:p>
    <w:p w14:paraId="7EFC1C1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الأول: هل تعتمد على وسائل الإعلام الرقمي للحصول على معلومات عن مرضك؟ وما الوسائل التي تستخدمها؟</w:t>
      </w:r>
    </w:p>
    <w:p w14:paraId="28CE5D9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الأول، والتي أُجريت مع عينة الدراسة المكونة من (25) مريضًا من المصابين بالأمراض العصبية المزمنة، أن نسبة (80%) من المشاركين أكدوا اعتمادهم بصورة مستمرة على وسائل الإعلام الرقمي للحصول على المعلومات المتعلقة بمرضهم، بينما أوضح (16%) أنهم يعتمدون عليها في بعض الأحيان، خاصة عند ظهور أعراض جديدة أو عند الرغبة في معرفة معلومات إضافية بعد زيارة الطبيب، في حين أشار (4%) فقط إلى أن اعتمادهم على الإعلام الرقمي محدود، مفضلين الحصول على المعلومات مباشرة من الطبيب المعالج. كما أظهرت النتائج أن أكثر الوسائل استخدامًا تمثلت في منصة "إكس</w:t>
      </w:r>
      <w:r w:rsidRPr="00645EB2">
        <w:rPr>
          <w:rFonts w:asciiTheme="majorBidi" w:hAnsiTheme="majorBidi" w:cstheme="majorBidi"/>
          <w:sz w:val="28"/>
          <w:szCs w:val="28"/>
        </w:rPr>
        <w:t xml:space="preserve"> (X)"</w:t>
      </w:r>
      <w:r w:rsidRPr="00645EB2">
        <w:rPr>
          <w:rFonts w:asciiTheme="majorBidi" w:hAnsiTheme="majorBidi" w:cstheme="majorBidi"/>
          <w:sz w:val="28"/>
          <w:szCs w:val="28"/>
          <w:rtl/>
        </w:rPr>
        <w:t>، يليها "يوتيوب"، ثم المواقع الإلكترونية التابعة لوزارة الصحة والمستشفيات، إلى جانب استخدام محركات البحث وبعض التطبيقات الصحية المتخصصة</w:t>
      </w:r>
      <w:r w:rsidRPr="00645EB2">
        <w:rPr>
          <w:rFonts w:asciiTheme="majorBidi" w:hAnsiTheme="majorBidi" w:cstheme="majorBidi"/>
          <w:sz w:val="28"/>
          <w:szCs w:val="28"/>
        </w:rPr>
        <w:t>.</w:t>
      </w:r>
    </w:p>
    <w:p w14:paraId="0FE975C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النتائج إلى أن الإعلام الرقمي أصبح جزءًا أساسيًا من رحلة المريض في البحث عن المعرفة الصحية، حيث لم يعد دوره مقتصرًا على توفير معلومات عامة، بل أصبح وسيلة يعتمد عليها المرضى بصورة مستمرة لفهم حالتهم الصحية ومتابعة التطورات المتعلقة بالمرض والعلاج. ويعكس ذلك التحول الكبير الذي شهدته مصادر المعلومات الصحية خلال السنوات الأخيرة، نتيجة الانتشار الواسع للتقنيات الرقمية وسهولة الوصول إلى الإنترنت عبر الهواتف الذكية، الأمر الذي جعل الحصول على المعلومات الصحية أكثر سرعة وسهولة مقارنة بالوسائل التقليدية</w:t>
      </w:r>
      <w:r w:rsidRPr="00645EB2">
        <w:rPr>
          <w:rFonts w:asciiTheme="majorBidi" w:hAnsiTheme="majorBidi" w:cstheme="majorBidi"/>
          <w:sz w:val="28"/>
          <w:szCs w:val="28"/>
        </w:rPr>
        <w:t>.</w:t>
      </w:r>
    </w:p>
    <w:p w14:paraId="0A56FE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وأظهرت المقابلات أن معظم المرضى يبدأون البحث عبر الإنترنت بمجرد تشخيص إصابتهم بالمرض، رغبةً في التعرف على طبيعة المرض العصبي الذي يعانون منه، وأسبابه، وأعراضه، ومدى تأثيره في حياتهم </w:t>
      </w:r>
      <w:r w:rsidRPr="00645EB2">
        <w:rPr>
          <w:rFonts w:asciiTheme="majorBidi" w:hAnsiTheme="majorBidi" w:cstheme="majorBidi"/>
          <w:sz w:val="28"/>
          <w:szCs w:val="28"/>
          <w:rtl/>
        </w:rPr>
        <w:lastRenderedPageBreak/>
        <w:t>اليومية، إضافة إلى معرفة فرص العلاج وأساليب التعايش مع الحالة المرضية. كما أوضح المشاركون أنهم يواصلون استخدام الإعلام الرقمي طوال فترة العلاج، سواء لمتابعة المستجدات الطبية أو للحصول على نصائح تساعدهم في التعامل مع الأعراض وتحسين جودة حياتهم</w:t>
      </w:r>
      <w:r w:rsidRPr="00645EB2">
        <w:rPr>
          <w:rFonts w:asciiTheme="majorBidi" w:hAnsiTheme="majorBidi" w:cstheme="majorBidi"/>
          <w:sz w:val="28"/>
          <w:szCs w:val="28"/>
        </w:rPr>
        <w:t>.</w:t>
      </w:r>
    </w:p>
    <w:p w14:paraId="467F6C9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تبين من خلال استجابات المرضى أن تعدد الوسائل الرقمية أتاح لهم فرصة الوصول إلى المعلومات بطرق متنوعة تتناسب مع احتياجاتهم، فهناك من يفضل مشاهدة الفيديوهات الطبية التي يقدمها الأطباء والمتخصصون، بينما يفضل آخرون قراءة المقالات أو متابعة الحسابات الرسمية للجهات الصحية عبر منصات التواصل الاجتماعي. وأشار بعض المشاركين إلى أنهم يستخدمون أكثر من وسيلة في الوقت نفسه للتأكد من صحة المعلومات، حيث يبدأون بالبحث عبر محركات البحث ثم ينتقلون إلى المواقع الرسمية أو الحسابات الطبية الموثقة</w:t>
      </w:r>
      <w:r w:rsidRPr="00645EB2">
        <w:rPr>
          <w:rFonts w:asciiTheme="majorBidi" w:hAnsiTheme="majorBidi" w:cstheme="majorBidi"/>
          <w:sz w:val="28"/>
          <w:szCs w:val="28"/>
        </w:rPr>
        <w:t>.</w:t>
      </w:r>
    </w:p>
    <w:p w14:paraId="2175E58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وأكد المرضى أن من أهم الأسباب التي تدفعهم إلى الاعتماد على الإعلام الرقمي سرعة الوصول إلى المعلومات دون الحاجة إلى انتظار موعد طبي، بالإضافة إلى إمكانية الرجوع إلى المحتوى أكثر من مرة عند الحاجة، وهو ما يساعدهم على فهم المعلومات بصورة أفضل. كما أوضحوا أن الإعلام الرقمي يوفر إجابات عن العديد من الأسئلة التي قد لا يتسع وقت الزيارة الطبية لمناقشتها بالتفصيل، مثل طرق التعايش مع المرض، والتغذية المناسبة، والأنشطة التي يمكن ممارستها، وكيفية التعامل مع الآثار الجانبية للعلاج</w:t>
      </w:r>
      <w:r w:rsidRPr="00645EB2">
        <w:rPr>
          <w:rFonts w:asciiTheme="majorBidi" w:hAnsiTheme="majorBidi" w:cstheme="majorBidi"/>
          <w:sz w:val="28"/>
          <w:szCs w:val="28"/>
        </w:rPr>
        <w:t>.</w:t>
      </w:r>
    </w:p>
    <w:p w14:paraId="42F32B8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المقابلات أيضًا أن المرضى يهتمون بمتابعة الحسابات التابعة للجهات الصحية الرسمية، لما تتمتع به من مصداقية، إلا أنهم في الوقت نفسه يتابعون بعض الحسابات الشخصية للأطباء والمختصين الذين يقدمون محتوى صحيًا مبسطًا يناسب مختلف فئات المجتمع. ويرى المشاركون أن أسلوب عرض المعلومات يلعب دورًا مهمًا في جذب انتباههم، حيث يفضلون المحتوى المختصر والواضح الذي يعتمد على الصور والفيديوهات والرسوم التوضيحية أكثر من النصوص الطويلة</w:t>
      </w:r>
      <w:r w:rsidRPr="00645EB2">
        <w:rPr>
          <w:rFonts w:asciiTheme="majorBidi" w:hAnsiTheme="majorBidi" w:cstheme="majorBidi"/>
          <w:sz w:val="28"/>
          <w:szCs w:val="28"/>
        </w:rPr>
        <w:t>.</w:t>
      </w:r>
    </w:p>
    <w:p w14:paraId="05D8EE4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 بعض المرضى أن الإعلام الرقمي لا يقتصر دوره على تزويدهم بالمعلومات الطبية، بل يساعدهم أيضًا في الحصول على الدعم النفسي من خلال متابعة تجارب مرضى آخرين يعانون من الحالة نفسها، حيث يشعرون بأنهم ليسوا وحدهم في مواجهة المرض، وأن هناك أشخاصًا استطاعوا التكيف مع المرض وممارسة حياتهم بصورة طبيعية. ويرى المشاركون أن هذا النوع من المحتوى يمنحهم الأمل ويزيد من قدرتهم على التعايش مع المرض، بشرط ألا يحل محل الاستشارة الطبية المتخصصة</w:t>
      </w:r>
      <w:r w:rsidRPr="00645EB2">
        <w:rPr>
          <w:rFonts w:asciiTheme="majorBidi" w:hAnsiTheme="majorBidi" w:cstheme="majorBidi"/>
          <w:sz w:val="28"/>
          <w:szCs w:val="28"/>
        </w:rPr>
        <w:t>.</w:t>
      </w:r>
    </w:p>
    <w:p w14:paraId="6E3AABC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وفي المقابل، أشار عدد محدود من المرضى إلى أنهم لا يعتمدون بصورة كاملة على الإعلام الرقمي، ويرجع ذلك إلى خشيتهم من الحصول على معلومات غير صحيحة أو متناقضة، لذلك يفضلون الرجوع إلى الطبيب باعتباره المصدر الأساسي للمعلومة الصحية، مع استخدام الإنترنت فقط للحصول على معلومات إضافية أو تفسير بعض المصطلحات الطبية التي يصعب فهمها</w:t>
      </w:r>
      <w:r w:rsidRPr="00645EB2">
        <w:rPr>
          <w:rFonts w:asciiTheme="majorBidi" w:hAnsiTheme="majorBidi" w:cstheme="majorBidi"/>
          <w:sz w:val="28"/>
          <w:szCs w:val="28"/>
        </w:rPr>
        <w:t>.</w:t>
      </w:r>
    </w:p>
    <w:p w14:paraId="5BDDE1A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الإعلام الرقمي أصبح المصدر الأكثر استخدامًا للحصول على المعلومات الصحية، نتيجة ما يتميز به من سرعة في نقل المعلومات، وسهولة الوصول إليها، وإمكانية التفاعل مع المحتوى، وهو ما جعله يؤدي دورًا مهمًا في تشكيل المعرفة الصحية لدى الأفراد</w:t>
      </w:r>
      <w:r w:rsidRPr="00645EB2">
        <w:rPr>
          <w:rFonts w:asciiTheme="majorBidi" w:hAnsiTheme="majorBidi" w:cstheme="majorBidi"/>
          <w:sz w:val="28"/>
          <w:szCs w:val="28"/>
        </w:rPr>
        <w:t>.</w:t>
      </w:r>
    </w:p>
    <w:p w14:paraId="6A26285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السلمي وعطية (2022)، التي أشارت إلى أن ارتفاع مستوى الوعي الصحي لدى مرضى الأمراض المزمنة يرتبط بزيادة استخدام الوسائط الرقمية للحصول على المعلومات الصحية، وأن سهولة الوصول إلى المحتوى الصحي أسهمت في تحسين المعرفة الصحية لدى المرضى وأسرهم</w:t>
      </w:r>
      <w:r w:rsidRPr="00645EB2">
        <w:rPr>
          <w:rFonts w:asciiTheme="majorBidi" w:hAnsiTheme="majorBidi" w:cstheme="majorBidi"/>
          <w:sz w:val="28"/>
          <w:szCs w:val="28"/>
        </w:rPr>
        <w:t>.</w:t>
      </w:r>
    </w:p>
    <w:p w14:paraId="54E5A02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قلاده (2025)، التي أوضحت أن استخدام الوسائط الرقمية في البرامج التثقيفية الصحية يؤدي إلى رفع مستوى المعرفة الصحية لدى المستفيدين، ويزيد من قدرتهم على تبني السلوكيات الصحية السليمة، وهو ما يتوافق مع اعتماد المرضى في الدراسة الحالية على الإعلام الرقمي لفهم طبيعة المرض وأساليب التعامل معه</w:t>
      </w:r>
      <w:r w:rsidRPr="00645EB2">
        <w:rPr>
          <w:rFonts w:asciiTheme="majorBidi" w:hAnsiTheme="majorBidi" w:cstheme="majorBidi"/>
          <w:sz w:val="28"/>
          <w:szCs w:val="28"/>
        </w:rPr>
        <w:t>.</w:t>
      </w:r>
    </w:p>
    <w:p w14:paraId="083E44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تؤيد النتائج ما توصلت إليه صبرة (2024)، التي أكدت أن المنصات الرقمية التفاعلية أصبحت أكثر قدرة على جذب الجمهور من خلال توظيف الوسائط المتعددة وتقديم المعلومات الصحية بأسلوب مبسط، وهو ما يسهم في زيادة التفاعل مع الرسائل الصحية وتحسين مستوى الاستفادة منها</w:t>
      </w:r>
      <w:r w:rsidRPr="00645EB2">
        <w:rPr>
          <w:rFonts w:asciiTheme="majorBidi" w:hAnsiTheme="majorBidi" w:cstheme="majorBidi"/>
          <w:sz w:val="28"/>
          <w:szCs w:val="28"/>
        </w:rPr>
        <w:t>.</w:t>
      </w:r>
    </w:p>
    <w:p w14:paraId="57E7E20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أيضًا مع ما ذكرته الشعراوي (2006)، التي أوضحت أن الوسيلة الاتصالية الفعالة هي التي تتمكن من الوصول إلى الجمهور بسهولة، وتلبي احتياجاته المعرفية، وتؤثر في اتجاهاته وسلوكياته، وهي الخصائص التي أصبحت تتوافر بدرجة كبيرة في وسائل الإعلام الرقمي الحديثة</w:t>
      </w:r>
      <w:r w:rsidRPr="00645EB2">
        <w:rPr>
          <w:rFonts w:asciiTheme="majorBidi" w:hAnsiTheme="majorBidi" w:cstheme="majorBidi"/>
          <w:sz w:val="28"/>
          <w:szCs w:val="28"/>
        </w:rPr>
        <w:t>.</w:t>
      </w:r>
    </w:p>
    <w:p w14:paraId="75D66EB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ويرى الباحث أن اعتماد غالبية المرضى على الإعلام الرقمي للحصول على المعلومات المتعلقة بالأمراض العصبية المزمنة يعكس التحول الكبير في سلوك البحث عن المعلومات الصحية داخل المجتمع السعودي، حيث أصبحت المنصات الرقمية المصدر الأول الذي يلجأ إليه كثير من المرضى لفهم حالتهم الصحية ومتابعة مستجدات العلاج. كما يرى الباحث أن هذه النتيجة تؤكد أهمية تعزيز المحتوى الصحي الرقمي الرسمي، وتشجيع المرضى على الاعتماد على المصادر الموثوقة، مع الاستمرار في تطوير الخدمات الرقمية التي تقدمها </w:t>
      </w:r>
      <w:r w:rsidRPr="00645EB2">
        <w:rPr>
          <w:rFonts w:asciiTheme="majorBidi" w:hAnsiTheme="majorBidi" w:cstheme="majorBidi"/>
          <w:sz w:val="28"/>
          <w:szCs w:val="28"/>
          <w:rtl/>
        </w:rPr>
        <w:lastRenderedPageBreak/>
        <w:t>الجهات الصحية، بما يسهم في رفع مستوى الوعي الصحي، وتحسين قدرة المرضى على التعايش مع الأمراض العصبية المزمنة، ودعم الشراكة بين المريض ومقدم الرعاية الصحية في اتخاذ القرارات العلاجية</w:t>
      </w:r>
      <w:r w:rsidRPr="00645EB2">
        <w:rPr>
          <w:rFonts w:asciiTheme="majorBidi" w:hAnsiTheme="majorBidi" w:cstheme="majorBidi"/>
          <w:sz w:val="28"/>
          <w:szCs w:val="28"/>
        </w:rPr>
        <w:t>.</w:t>
      </w:r>
    </w:p>
    <w:p w14:paraId="3E627CA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الثاني: إلى أي مدى ساعدتك المنصات الرقمية في فهم طبيعة المرض وطرق التعامل معه؟</w:t>
      </w:r>
    </w:p>
    <w:p w14:paraId="6356185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الثاني، والتي أُجريت مع عينة الدراسة المكونة من (25) مريضًا، أن نسبة (76%) من المشاركين أكدوا أن المنصات الرقمية ساعدتهم بدرجة كبيرة في فهم طبيعة المرض العصبي المزمن وطرق التعامل معه، بينما أوضح (20%) أنها ساعدتهم بدرجة متوسطة، في حين أشار (4%) فقط إلى أن استفادتهم كانت محدودة، ويرجع ذلك إلى صعوبة فهم بعض المعلومات الطبية أو عدم ثقتهم الكاملة في جميع المصادر الرقمية. وتعكس هذه النتائج وجود دور واضح للإعلام الرقمي في تعزيز المعرفة الصحية لدى المرضى، وتزويدهم بالمعلومات التي تساعدهم على التعامل مع المرض بصورة أكثر وعيًا</w:t>
      </w:r>
      <w:r w:rsidRPr="00645EB2">
        <w:rPr>
          <w:rFonts w:asciiTheme="majorBidi" w:hAnsiTheme="majorBidi" w:cstheme="majorBidi"/>
          <w:sz w:val="28"/>
          <w:szCs w:val="28"/>
        </w:rPr>
        <w:t>.</w:t>
      </w:r>
    </w:p>
    <w:p w14:paraId="78F1C35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النتيجة إلى أن المنصات الرقمية أصبحت تؤدي دورًا يتجاوز مجرد توفير المعلومات، إذ تسهم في بناء فهم أعمق لطبيعة الأمراض العصبية المزمنة، وما يرتبط بها من أعراض، ومضاعفات، وخيارات علاجية، وإجراءات وقائية، الأمر الذي يساعد المرضى على التكيف مع أوضاعهم الصحية واتخاذ قرارات أكثر وعيًا فيما يتعلق بالعلاج والمتابعة. ويرى المرضى أن سهولة الوصول إلى المعلومات الصحية في أي وقت، وإمكانية الرجوع إليها عند الحاجة، من أهم العوامل التي جعلت الإعلام الرقمي وسيلة فعالة لدعم معرفتهم الصحية</w:t>
      </w:r>
      <w:r w:rsidRPr="00645EB2">
        <w:rPr>
          <w:rFonts w:asciiTheme="majorBidi" w:hAnsiTheme="majorBidi" w:cstheme="majorBidi"/>
          <w:sz w:val="28"/>
          <w:szCs w:val="28"/>
        </w:rPr>
        <w:t>.</w:t>
      </w:r>
    </w:p>
    <w:p w14:paraId="6DDF976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استجابات المشاركين أن المحتوى الرقمي ساعدهم على فهم أسباب ظهور الأعراض، والتمييز بين الأعراض الطبيعية التي قد تصاحب المرض، والأعراض التي تستوجب مراجعة الطبيب بصورة عاجلة، وهو ما انعكس إيجابًا على تعاملهم مع حالتهم الصحية، وخفف من مستوى القلق الذي كان ينتابهم عند ظهور بعض التغيرات المرتبطة بالمرض. كما أوضح عدد من المرضى أن اطلاعهم على المعلومات الصحية قبل زيارة الطبيب جعلهم أكثر قدرة على فهم التفسيرات الطبية التي يقدمها المختصون، وساعدهم على طرح أسئلة أكثر دقة تتعلق بحالتهم الصحية</w:t>
      </w:r>
      <w:r w:rsidRPr="00645EB2">
        <w:rPr>
          <w:rFonts w:asciiTheme="majorBidi" w:hAnsiTheme="majorBidi" w:cstheme="majorBidi"/>
          <w:sz w:val="28"/>
          <w:szCs w:val="28"/>
        </w:rPr>
        <w:t>.</w:t>
      </w:r>
    </w:p>
    <w:p w14:paraId="35BF35B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كما بينت المقابلات أن كثيرًا من المرضى استفادوا من المنصات الرقمية في التعرف على أساليب التعايش مع المرض، مثل أهمية الالتزام بمواعيد تناول الأدوية، والحرص على المتابعة الدورية، واتباع أنماط غذائية مناسبة، </w:t>
      </w:r>
      <w:r w:rsidRPr="00FB2B83">
        <w:rPr>
          <w:rFonts w:ascii="Simplified Arabic" w:hAnsi="Simplified Arabic" w:cs="Simplified Arabic"/>
          <w:sz w:val="28"/>
          <w:szCs w:val="28"/>
          <w:rtl/>
        </w:rPr>
        <w:lastRenderedPageBreak/>
        <w:t>وممارسة الأنشطة البدنية التي تتوافق مع حالتهم الصحية، بالإضافة إلى التعرف على أساليب الدعم النفسي والاجتماعي التي تسهم في تحسين جودة الحياة. وأكد المشاركون أن هذه المعلومات لم تكن متاحة لهم بنفس السهولة من قبل، وأن الإعلام الرقمي أسهم في تقريبها إليهم بطريقة مبسطة وسهلة الفهم</w:t>
      </w:r>
      <w:r w:rsidRPr="00FB2B83">
        <w:rPr>
          <w:rFonts w:ascii="Simplified Arabic" w:hAnsi="Simplified Arabic" w:cs="Simplified Arabic"/>
          <w:sz w:val="28"/>
          <w:szCs w:val="28"/>
        </w:rPr>
        <w:t>.</w:t>
      </w:r>
    </w:p>
    <w:p w14:paraId="037B658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وأشار عدد من المرضى إلى أن مشاهدة المقاطع المصورة التي يقدمها الأطباء والاستشاريون ساعدتهم على استيعاب كثير من المعلومات الطبية التي كانوا يجدون صعوبة في فهمها عند قراءتها في المقالات أو الكتيبات الصحية، حيث أسهم الشرح المرئي، والرسوم التوضيحية، والأمثلة العملية في تبسيط المفاهيم المتعلقة بالأمراض العصبية المزمنة، وهو ما زاد من قدرتهم على استيعاب المعلومات والاحتفاظ بها لفترة أطول</w:t>
      </w:r>
      <w:r w:rsidRPr="00FB2B83">
        <w:rPr>
          <w:rFonts w:ascii="Simplified Arabic" w:hAnsi="Simplified Arabic" w:cs="Simplified Arabic"/>
          <w:sz w:val="28"/>
          <w:szCs w:val="28"/>
        </w:rPr>
        <w:t>.</w:t>
      </w:r>
    </w:p>
    <w:p w14:paraId="2FF19AB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أوضحت النتائج أن المنصات الرقمية ساعدت المرضى على التعرف إلى الخدمات الصحية المتاحة، مثل العيادات المتخصصة، وبرامج التأهيل، والجمعيات الداعمة لمرضى الأمراض العصبية، إضافة إلى التعرف على المبادرات الصحية التي تنظمها الجهات الرسمية. ويرى المشاركون أن هذه المعلومات وفرت عليهم كثيرًا من الوقت والجهد، وساعدتهم في الوصول إلى الخدمات المناسبة بصورة أسرع</w:t>
      </w:r>
      <w:r w:rsidRPr="00FB2B83">
        <w:rPr>
          <w:rFonts w:ascii="Simplified Arabic" w:hAnsi="Simplified Arabic" w:cs="Simplified Arabic"/>
          <w:sz w:val="28"/>
          <w:szCs w:val="28"/>
        </w:rPr>
        <w:t>.</w:t>
      </w:r>
    </w:p>
    <w:p w14:paraId="62C8652B"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وفي جانب آخر، أشار بعض المرضى إلى أن استفادتهم من المنصات الرقمية كانت متوسطة، ويرجع ذلك إلى كثرة المعلومات المتداولة حول المرض، وصعوبة التمييز أحيانًا بين المعلومات الدقيقة وغير الدقيقة، فضلًا عن استخدام بعض المواقع لمصطلحات طبية معقدة يصعب على غير المتخصصين فهمها. وأكد المشاركون أن وجود محتوى صحي مبسط ومراجع علميًا يسهم في زيادة الاستفادة ويحد من حالة الارتباك التي قد يشعر بها بعض المرضى أثناء البحث عن المعلومات</w:t>
      </w:r>
      <w:r w:rsidRPr="00FB2B83">
        <w:rPr>
          <w:rFonts w:ascii="Simplified Arabic" w:hAnsi="Simplified Arabic" w:cs="Simplified Arabic"/>
          <w:sz w:val="28"/>
          <w:szCs w:val="28"/>
        </w:rPr>
        <w:t>.</w:t>
      </w:r>
    </w:p>
    <w:p w14:paraId="3CDE1FE7"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كما أكد عدد من المرضى أن المنصات الرقمية ساعدتهم في زيادة ثقتهم بقدرتهم على إدارة المرض، حيث أصبحوا أكثر وعيًا بالعوامل التي قد تؤثر في حالتهم الصحية، وأكثر التزامًا بالإرشادات الطبية، نتيجة الفهم </w:t>
      </w:r>
      <w:r w:rsidRPr="00FB2B83">
        <w:rPr>
          <w:rFonts w:ascii="Simplified Arabic" w:hAnsi="Simplified Arabic" w:cs="Simplified Arabic"/>
          <w:sz w:val="28"/>
          <w:szCs w:val="28"/>
          <w:rtl/>
        </w:rPr>
        <w:lastRenderedPageBreak/>
        <w:t>الأفضل لطبيعة المرض وأهمية الالتزام بالعلاج. ويرى المشاركون أن المعرفة الصحية التي اكتسبوها من خلال الإعلام الرقمي انعكست بصورة إيجابية على حياتهم اليومية، وساعدتهم على التكيف مع المرض وتقليل الشعور بالخوف والقلق</w:t>
      </w:r>
      <w:r w:rsidRPr="00FB2B83">
        <w:rPr>
          <w:rFonts w:ascii="Simplified Arabic" w:hAnsi="Simplified Arabic" w:cs="Simplified Arabic"/>
          <w:sz w:val="28"/>
          <w:szCs w:val="28"/>
        </w:rPr>
        <w:t>.</w:t>
      </w:r>
    </w:p>
    <w:p w14:paraId="307AAF5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هذه النتائج مع ما توصل إليه قلاده (2025)، التي أكدت أن البرامج التثقيفية المقدمة عبر الوسائط الرقمية تسهم بصورة فعالة في رفع مستوى المعرفة الصحية، وتحسين السلوكيات المرتبطة بالوقاية والتعامل مع الأمراض المزمنة، وهو ما يتوافق مع ما أظهرته نتائج المقابلات من استفادة المرضى في فهم طبيعة المرض وطرق التعامل معه</w:t>
      </w:r>
      <w:r w:rsidRPr="00FB2B83">
        <w:rPr>
          <w:rFonts w:ascii="Simplified Arabic" w:hAnsi="Simplified Arabic" w:cs="Simplified Arabic"/>
          <w:sz w:val="28"/>
          <w:szCs w:val="28"/>
        </w:rPr>
        <w:t>.</w:t>
      </w:r>
    </w:p>
    <w:p w14:paraId="6DA689CE"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السلمي وعطية (2022)، التي أشارت إلى أن رفع مستوى الوعي الصحي لدى مرضى الأمراض المزمنة يسهم في تحسين قدرتهم على التكيف مع المرض، وأن الوصول إلى المعلومات الصحية الموثوقة يعد أحد أهم العوامل التي تساعد المرضى على إدارة حالتهم الصحية بصورة أفضل</w:t>
      </w:r>
      <w:r w:rsidRPr="00FB2B83">
        <w:rPr>
          <w:rFonts w:ascii="Simplified Arabic" w:hAnsi="Simplified Arabic" w:cs="Simplified Arabic"/>
          <w:sz w:val="28"/>
          <w:szCs w:val="28"/>
        </w:rPr>
        <w:t>.</w:t>
      </w:r>
    </w:p>
    <w:p w14:paraId="290189D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ما توصل إليه خيرت حمزة (2023)، الذي أوضح أن الإعلام الرقمي أصبح يؤدي دورًا محوريًا في بناء المعرفة الصحية لدى الجمهور، من خلال ما يقدمه من محتوى تفاعلي ومتجدد يساعد على تبسيط المعلومات الطبية وتعزيز فهمها، الأمر الذي ينعكس على السلوك الصحي للأفراد</w:t>
      </w:r>
      <w:r w:rsidRPr="00FB2B83">
        <w:rPr>
          <w:rFonts w:ascii="Simplified Arabic" w:hAnsi="Simplified Arabic" w:cs="Simplified Arabic"/>
          <w:sz w:val="28"/>
          <w:szCs w:val="28"/>
        </w:rPr>
        <w:t>.</w:t>
      </w:r>
    </w:p>
    <w:p w14:paraId="3B10D2A5"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تؤيد النتائج ما أشارت إليه صبرة (2024)، التي أكدت أن استخدام الوسائط المتعددة داخل المنصات الرقمية يسهم في تحسين فهم الجمهور للقضايا الصحية، ويزيد من فاعلية الرسائل التوعوية مقارنة بوسائل الاتصال التقليدية، خاصة عندما يتم تقديم المعلومات بطريقة مبسطة وتفاعلية</w:t>
      </w:r>
      <w:r w:rsidRPr="00FB2B83">
        <w:rPr>
          <w:rFonts w:ascii="Simplified Arabic" w:hAnsi="Simplified Arabic" w:cs="Simplified Arabic"/>
          <w:sz w:val="28"/>
          <w:szCs w:val="28"/>
        </w:rPr>
        <w:t>.</w:t>
      </w:r>
    </w:p>
    <w:p w14:paraId="0F6DD4DE"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وتتفق هذه النتائج أيضًا مع ما ذكرته الشعراوي (2006)، التي أوضحت أن من أهم أهداف العملية الاتصالية إحداث تغيير معرفي لدى الجمهور، وأن الرسائل الإعلامية الناجحة هي التي تساعد المتلقي على فهم المعلومات واستيعابها وتطبيقها في حياته اليومية، وهو ما يتضح في الدور الذي تؤديه المنصات الرقمية في تعزيز المعرفة الصحية لدى المرضى</w:t>
      </w:r>
      <w:r w:rsidRPr="00FB2B83">
        <w:rPr>
          <w:rFonts w:ascii="Simplified Arabic" w:hAnsi="Simplified Arabic" w:cs="Simplified Arabic"/>
          <w:sz w:val="28"/>
          <w:szCs w:val="28"/>
        </w:rPr>
        <w:t>.</w:t>
      </w:r>
    </w:p>
    <w:p w14:paraId="038C02B9"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ويرى الباحث أن النتائج تؤكد أن الإعلام الرقمي أصبح وسيلة تعليمية وصحية فعالة تسهم في رفع مستوى المعرفة بالأمراض العصبية المزمنة، وتعزز قدرة المرضى على التعامل مع حالتهم الصحية بصورة أكثر وعيًا ومسؤولية. كما يرى الباحث أن زيادة الاستفادة من هذه المنصات تتطلب استمرار تطوير المحتوى الصحي الرقمي، والاعتماد على لغة مبسطة، ووسائط متعددة، ومعلومات موثقة تستند إلى الأدلة العلمية، بما يسهم في تمكين المرضى من فهم مرضهم، والالتزام بالعلاج، والمشاركة الإيجابية في إدارة حالتهم الصحية، وهو ما ينعكس في النهاية على تحسين جودة الرعاية الصحية وجودة الحياة لدى المرضى</w:t>
      </w:r>
      <w:r w:rsidRPr="00FB2B83">
        <w:rPr>
          <w:rFonts w:ascii="Simplified Arabic" w:hAnsi="Simplified Arabic" w:cs="Simplified Arabic"/>
          <w:sz w:val="28"/>
          <w:szCs w:val="28"/>
        </w:rPr>
        <w:t>.</w:t>
      </w:r>
    </w:p>
    <w:p w14:paraId="2D511DEB"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السؤال الثالث: هل تثق بالمعلومات الصحية التي تُنشر عبر وسائل التواصل الاجتماعي والمواقع الإلكترونية؟ ولماذا؟</w:t>
      </w:r>
    </w:p>
    <w:p w14:paraId="1BF5886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أوضحت نتائج تحليل المقابلات الخاصة بالسؤال الثالث، والتي أُجريت مع عينة الدراسة المكونة من (25) مريضًا، أن نسبة (64%) من المشاركين أكدوا أنهم يثقون بالمعلومات الصحية المنشورة عبر وسائل التواصل الاجتماعي والمواقع الإلكترونية، ولكن بشرط أن تكون صادرة عن جهات صحية رسمية أو أطباء ومتخصصين معروفين، بينما أوضح (24%) أنهم يثقون بالمعلومات إلى حدٍ ما، ويحرصون على التحقق منها من أكثر من مصدر قبل الاعتماد عليها، في حين أشار (12%) إلى أنهم لا يثقون في معظم المحتوى الصحي المنشور عبر الإنترنت بسبب انتشار المعلومات غير الدقيقة وتعدد المصادر واختلافها. وتشير هذه النتائج إلى أن </w:t>
      </w:r>
      <w:r w:rsidRPr="00FB2B83">
        <w:rPr>
          <w:rFonts w:ascii="Simplified Arabic" w:hAnsi="Simplified Arabic" w:cs="Simplified Arabic"/>
          <w:sz w:val="28"/>
          <w:szCs w:val="28"/>
          <w:rtl/>
        </w:rPr>
        <w:lastRenderedPageBreak/>
        <w:t>المرضى لا يمنحون الثقة المطلقة للإعلام الرقمي، وإنما أصبحت لديهم درجة من الوعي بأهمية التحقق من مصدر المعلومات قبل الاستفادة منها</w:t>
      </w:r>
      <w:r w:rsidRPr="00FB2B83">
        <w:rPr>
          <w:rFonts w:ascii="Simplified Arabic" w:hAnsi="Simplified Arabic" w:cs="Simplified Arabic"/>
          <w:sz w:val="28"/>
          <w:szCs w:val="28"/>
        </w:rPr>
        <w:t>.</w:t>
      </w:r>
    </w:p>
    <w:p w14:paraId="357DBA1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وتعكس هذه النتيجة تطورًا في السلوك المعلوماتي لدى المرضى، حيث أصبح كثير منهم أكثر إدراكًا لوجود تفاوت في جودة المحتوى الصحي المنشور عبر المنصات الرقمية، ولم يعد الاعتماد على أي معلومة متاحة عبر الإنترنت أمرًا مقبولًا كما كان في السابق. وقد أوضح المشاركون أن ثقتهم ترتبط بدرجة كبيرة بمصدر المعلومات، فكلما كان المحتوى صادرًا عن وزارة الصحة، أو مستشفى متخصص، أو طبيب معروف، أو جمعية علمية معتمدة، زادت درجة اطمئنانهم إلى صحة المعلومات وإمكانية الاستفادة منها</w:t>
      </w:r>
      <w:r w:rsidRPr="00FB2B83">
        <w:rPr>
          <w:rFonts w:ascii="Simplified Arabic" w:hAnsi="Simplified Arabic" w:cs="Simplified Arabic"/>
          <w:sz w:val="28"/>
          <w:szCs w:val="28"/>
        </w:rPr>
        <w:t>.</w:t>
      </w:r>
    </w:p>
    <w:p w14:paraId="33580D4C"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المقابلات أن المرضى يفضلون متابعة الحسابات الرسمية للجهات الصحية لما تتميز به من دقة في عرض المعلومات، وتحديث مستمر للمحتوى، واعتمادها على الأدلة العلمية الحديثة. كما يرى المشاركون أن هذه الجهات تتحمل مسؤولية علمية وأخلاقية تجاه الجمهور، وهو ما يجعل المعلومات المنشورة عبرها أكثر مصداقية مقارنة بالمحتوى الذي ينشره أفراد غير متخصصين أو حسابات مجهولة المصدر</w:t>
      </w:r>
      <w:r w:rsidRPr="00FB2B83">
        <w:rPr>
          <w:rFonts w:ascii="Simplified Arabic" w:hAnsi="Simplified Arabic" w:cs="Simplified Arabic"/>
          <w:sz w:val="28"/>
          <w:szCs w:val="28"/>
        </w:rPr>
        <w:t>.</w:t>
      </w:r>
    </w:p>
    <w:p w14:paraId="5402DE65"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أوضح عدد من المرضى أنهم لا يعتمدون على مصدر واحد للحصول على المعلومات الصحية، وإنما يقارنون بين أكثر من موقع أو منصة قبل تكوين قناعة معينة، خاصة إذا كانت المعلومات تتعلق بالعلاج أو بالأدوية أو بالإجراءات الطبية. ويرى المشاركون أن هذه الطريقة تساعدهم على التأكد من صحة المعلومات وتجنب الوقوع في أخطاء قد تؤثر في حالتهم الصحية، وهو ما يعكس تنامي الوعي بأهمية التحقق من المعلومات في البيئة الرقمية</w:t>
      </w:r>
      <w:r w:rsidRPr="00FB2B83">
        <w:rPr>
          <w:rFonts w:ascii="Simplified Arabic" w:hAnsi="Simplified Arabic" w:cs="Simplified Arabic"/>
          <w:sz w:val="28"/>
          <w:szCs w:val="28"/>
        </w:rPr>
        <w:t>.</w:t>
      </w:r>
    </w:p>
    <w:p w14:paraId="0D1AB4F7"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وأشار بعض المشاركين إلى أن وجود طبيب أو استشاري معروف يقدم المحتوى الصحي عبر وسائل التواصل الاجتماعي يمنحهم قدرًا أكبر من الثقة، خاصة عندما يوضح مصادر المعلومات العلمية، ويجيب عن استفسارات </w:t>
      </w:r>
      <w:r w:rsidRPr="00FB2B83">
        <w:rPr>
          <w:rFonts w:ascii="Simplified Arabic" w:hAnsi="Simplified Arabic" w:cs="Simplified Arabic"/>
          <w:sz w:val="28"/>
          <w:szCs w:val="28"/>
          <w:rtl/>
        </w:rPr>
        <w:lastRenderedPageBreak/>
        <w:t>المتابعين، ويحرص على تصحيح المفاهيم الخاطئة المنتشرة بين الجمهور. كما أكدوا أن أسلوب العرض الواضح، واللغة المبسطة، والاستناد إلى الحقائق الطبية، من العوامل التي تزيد من ثقتهم بالمحتوى الرقمي</w:t>
      </w:r>
      <w:r w:rsidRPr="00FB2B83">
        <w:rPr>
          <w:rFonts w:ascii="Simplified Arabic" w:hAnsi="Simplified Arabic" w:cs="Simplified Arabic"/>
          <w:sz w:val="28"/>
          <w:szCs w:val="28"/>
        </w:rPr>
        <w:t>.</w:t>
      </w:r>
    </w:p>
    <w:p w14:paraId="549D2D4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وفي المقابل، أوضح عدد من المرضى أن انخفاض مستوى الثقة في بعض المحتوى الصحي يعود إلى كثرة المعلومات المتناقضة المنتشرة عبر الإنترنت، حيث قد يجد المريض أكثر من رأي حول الموضوع نفسه، وهو ما يسبب حالة من الحيرة ويجعله غير قادر على تحديد المعلومات الصحيحة. كما أشار المشاركون إلى أن بعض الحسابات تنشر معلومات بهدف جذب المتابعين أو زيادة المشاهدات، دون الالتزام بالمعايير العلمية أو الاستناد إلى مصادر موثوقة، وهو ما يقلل من مصداقية المحتوى الصحي في نظرهم</w:t>
      </w:r>
      <w:r w:rsidRPr="00FB2B83">
        <w:rPr>
          <w:rFonts w:ascii="Simplified Arabic" w:hAnsi="Simplified Arabic" w:cs="Simplified Arabic"/>
          <w:sz w:val="28"/>
          <w:szCs w:val="28"/>
        </w:rPr>
        <w:t>.</w:t>
      </w:r>
    </w:p>
    <w:p w14:paraId="2CDE52C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بينت المقابلات أن التجارب الشخصية المنشورة عبر وسائل التواصل الاجتماعي تؤثر في بعض المرضى، إلا أن معظم المشاركين أكدوا أنهم لا يعتبرونها دليلًا علميًا يمكن الاعتماد عليه، وإنما ينظرون إليها باعتبارها تجارب فردية قد تختلف من شخص إلى آخر. ويرى المرضى أن الحالة الصحية، والعمر، وطبيعة المرض، والاستجابة للعلاج، عوامل تجعل من الصعب تعميم تجربة شخص واحد على جميع المرضى</w:t>
      </w:r>
      <w:r w:rsidRPr="00FB2B83">
        <w:rPr>
          <w:rFonts w:ascii="Simplified Arabic" w:hAnsi="Simplified Arabic" w:cs="Simplified Arabic"/>
          <w:sz w:val="28"/>
          <w:szCs w:val="28"/>
        </w:rPr>
        <w:t>.</w:t>
      </w:r>
    </w:p>
    <w:p w14:paraId="6819BA2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النتائج أيضًا أن الخبرة السابقة للمريض تلعب دورًا في تحديد مستوى ثقته بالمحتوى الرقمي، حيث أوضح بعض المشاركين أنهم تعرضوا في السابق لمعلومات غير صحيحة أو نصائح لم تحقق النتائج التي وعدت بها، مما جعلهم أكثر حذرًا في التعامل مع المعلومات الصحية المنشورة عبر الإنترنت، وأكثر ميلًا إلى استشارة الطبيب قبل اتخاذ أي قرار يتعلق بالعلاج أو تغيير نمط الحياة</w:t>
      </w:r>
      <w:r w:rsidRPr="00FB2B83">
        <w:rPr>
          <w:rFonts w:ascii="Simplified Arabic" w:hAnsi="Simplified Arabic" w:cs="Simplified Arabic"/>
          <w:sz w:val="28"/>
          <w:szCs w:val="28"/>
        </w:rPr>
        <w:t>.</w:t>
      </w:r>
    </w:p>
    <w:p w14:paraId="3E06AC8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وأشار عدد من المرضى إلى أن الثقة بالمحتوى الصحي لا ترتبط فقط بالمصدر، وإنما تتأثر أيضًا بطريقة عرض المعلومات، فالمحتوى الذي يقدم معلومات واضحة، ويستند إلى إحصاءات أو توصيات طبية، ويبتعد </w:t>
      </w:r>
      <w:r w:rsidRPr="00FB2B83">
        <w:rPr>
          <w:rFonts w:ascii="Simplified Arabic" w:hAnsi="Simplified Arabic" w:cs="Simplified Arabic"/>
          <w:sz w:val="28"/>
          <w:szCs w:val="28"/>
          <w:rtl/>
        </w:rPr>
        <w:lastRenderedPageBreak/>
        <w:t>عن المبالغة أو التخويف، يحظى بدرجة أكبر من القبول مقارنة بالمحتوى الذي يعتمد على العناوين المثيرة أو الادعاءات غير المدعومة بالأدلة العلمية</w:t>
      </w:r>
      <w:r w:rsidRPr="00FB2B83">
        <w:rPr>
          <w:rFonts w:ascii="Simplified Arabic" w:hAnsi="Simplified Arabic" w:cs="Simplified Arabic"/>
          <w:sz w:val="28"/>
          <w:szCs w:val="28"/>
        </w:rPr>
        <w:t>.</w:t>
      </w:r>
    </w:p>
    <w:p w14:paraId="211497E6"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هذه النتائج مع ما توصل إليه خيرت حمزة (2023)، الذي أكد أن نجاح الإعلام الرقمي في التأثير على الجمهور يرتبط بدرجة كبيرة بمصداقية الرسالة ومصدرها، وأن ثقة الجمهور بالمحتوى الصحي تعد من أهم العوامل التي تحدد مدى تأثيره في المعرفة والسلوك الصحي</w:t>
      </w:r>
      <w:r w:rsidRPr="00FB2B83">
        <w:rPr>
          <w:rFonts w:ascii="Simplified Arabic" w:hAnsi="Simplified Arabic" w:cs="Simplified Arabic"/>
          <w:sz w:val="28"/>
          <w:szCs w:val="28"/>
        </w:rPr>
        <w:t>.</w:t>
      </w:r>
    </w:p>
    <w:p w14:paraId="2E140D86"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صبرة (2024)، التي أوضحت أن البيئة الرقمية التفاعلية تتيح فرصًا واسعة لنشر المعلومات الصحية، إلا أن تنوع مصادر المحتوى يفرض على الجمهور ضرورة التحقق من مصداقية المعلومات قبل الاعتماد عليها، وهو ما ينسجم مع حرص المرضى في الدراسة الحالية على التأكد من مصادر المعلومات الصحية</w:t>
      </w:r>
      <w:r w:rsidRPr="00FB2B83">
        <w:rPr>
          <w:rFonts w:ascii="Simplified Arabic" w:hAnsi="Simplified Arabic" w:cs="Simplified Arabic"/>
          <w:sz w:val="28"/>
          <w:szCs w:val="28"/>
        </w:rPr>
        <w:t>.</w:t>
      </w:r>
    </w:p>
    <w:p w14:paraId="5257A5A5"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دراسة السلمي وعطية (2022)، التي أشارت إلى أن بناء الوعي الصحي لا يعتمد فقط على توافر المعلومات، وإنما يرتبط أيضًا بجودة هذه المعلومات ومدى ثقة الجمهور بها، وأن المعلومات غير الدقيقة قد تؤثر سلبًا في السلوك الصحي للأفراد</w:t>
      </w:r>
      <w:r w:rsidRPr="00FB2B83">
        <w:rPr>
          <w:rFonts w:ascii="Simplified Arabic" w:hAnsi="Simplified Arabic" w:cs="Simplified Arabic"/>
          <w:sz w:val="28"/>
          <w:szCs w:val="28"/>
        </w:rPr>
        <w:t>.</w:t>
      </w:r>
    </w:p>
    <w:p w14:paraId="077A8E3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تؤيد النتائج ما توصلت إليه قلاده (2025)، التي أكدت أن البرامج التثقيفية الرقمية تحقق أهدافها بصورة أفضل عندما تعتمد على محتوى موثوق، واضح، ومستند إلى الأدلة العلمية، لأن مصداقية الرسالة تعد من أهم العوامل المؤثرة في تقبل الجمهور للمعلومات الصحية والاستفادة منها</w:t>
      </w:r>
      <w:r w:rsidRPr="00FB2B83">
        <w:rPr>
          <w:rFonts w:ascii="Simplified Arabic" w:hAnsi="Simplified Arabic" w:cs="Simplified Arabic"/>
          <w:sz w:val="28"/>
          <w:szCs w:val="28"/>
        </w:rPr>
        <w:t>.</w:t>
      </w:r>
    </w:p>
    <w:p w14:paraId="03AEEE09"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وتتفق النتائج أيضًا مع ما ذكرته الشعراوي (2006)، التي أوضحت أن المصداقية تعد من أهم عناصر نجاح العملية الاتصالية، وأن الجمهور يميل إلى قبول الرسائل الصادرة عن مصادر يثق بها، وهو ما يفسر اعتماد </w:t>
      </w:r>
      <w:r w:rsidRPr="00FB2B83">
        <w:rPr>
          <w:rFonts w:ascii="Simplified Arabic" w:hAnsi="Simplified Arabic" w:cs="Simplified Arabic"/>
          <w:sz w:val="28"/>
          <w:szCs w:val="28"/>
          <w:rtl/>
        </w:rPr>
        <w:lastRenderedPageBreak/>
        <w:t>المرضى في هذه الدراسة على الجهات الصحية الرسمية والأطباء المتخصصين كمصادر رئيسية للمعلومات الصحية</w:t>
      </w:r>
      <w:r w:rsidRPr="00FB2B83">
        <w:rPr>
          <w:rFonts w:ascii="Simplified Arabic" w:hAnsi="Simplified Arabic" w:cs="Simplified Arabic"/>
          <w:sz w:val="28"/>
          <w:szCs w:val="28"/>
        </w:rPr>
        <w:t>.</w:t>
      </w:r>
    </w:p>
    <w:p w14:paraId="68EE942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ويرى الباحث أن النتائج تعكس ارتفاع مستوى الوعي لدى المرضى بأهمية التحقق من المعلومات الصحية قبل الاعتماد عليها، وهو مؤشر إيجابي يعزز من فاعلية الإعلام الرقمي عندما يكون قائمًا على المصداقية والشفافية. كما يرى الباحث أن استمرار الجهات الصحية في نشر محتوى علمي موثوق، ودعم الحسابات الرسمية، وتفعيل حملات التوعية التي تشرح للجمهور كيفية التحقق من المعلومات الصحية، سيسهم في زيادة ثقة المرضى بالإعلام الرقمي، والحد من تأثير المعلومات المضللة، بما يعزز من دور المنصات الرقمية في دعم التوعية بالأمراض العصبية المزمنة داخل المجتمع السعودي</w:t>
      </w:r>
      <w:r w:rsidRPr="00FB2B83">
        <w:rPr>
          <w:rFonts w:ascii="Simplified Arabic" w:hAnsi="Simplified Arabic" w:cs="Simplified Arabic"/>
          <w:sz w:val="28"/>
          <w:szCs w:val="28"/>
        </w:rPr>
        <w:t>.</w:t>
      </w:r>
    </w:p>
    <w:p w14:paraId="23B58D0F"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السؤال الرابع: ما أكثر نوع من المحتوى الصحي يجذب انتباهك ويساعدك على الاستفادة؟ (فيديوهات – مقالات – إنفوجرافيك – تجارب مرضى)</w:t>
      </w:r>
    </w:p>
    <w:p w14:paraId="06F12E7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أوضحت نتائج تحليل المقابلات الخاصة بالسؤال الرابع، والتي أُجريت مع عينة الدراسة المكونة من (25) مريضًا، أن نسبة (44%) من المشاركين أكدوا أن الفيديوهات التوعوية تُعد أكثر أنواع المحتوى الصحي جذبًا لاهتمامهم وأكثرها فائدة في فهم المعلومات المتعلقة بالأمراض العصبية المزمنة، بينما أشار (24%) إلى أن الإنفوجرافيك والرسوم التوضيحية تمثل الوسيلة الأكثر سهولة في استيعاب المعلومات الطبية، في حين رأى (20%) أن تجارب المرضى الواقعية تساعدهم على فهم طبيعة المرض والتكيف معه بصورة أفضل، بينما أوضح (12%) أن المقالات الصحية المتخصصة لا تزال تمثل مصدرًا مهمًا للحصول على المعلومات التفصيلية، خاصة عند البحث عن معلومات دقيقة حول المرض والعلاج. وتشير هذه النتائج إلى أن المرضى </w:t>
      </w:r>
      <w:r w:rsidRPr="00FB2B83">
        <w:rPr>
          <w:rFonts w:ascii="Simplified Arabic" w:hAnsi="Simplified Arabic" w:cs="Simplified Arabic"/>
          <w:sz w:val="28"/>
          <w:szCs w:val="28"/>
          <w:rtl/>
        </w:rPr>
        <w:lastRenderedPageBreak/>
        <w:t>يميلون بصورة واضحة إلى المحتوى البصري والتفاعلي الذي يجمع بين تبسيط المعلومات وسهولة الوصول إليها</w:t>
      </w:r>
      <w:r w:rsidRPr="00FB2B83">
        <w:rPr>
          <w:rFonts w:ascii="Simplified Arabic" w:hAnsi="Simplified Arabic" w:cs="Simplified Arabic"/>
          <w:sz w:val="28"/>
          <w:szCs w:val="28"/>
        </w:rPr>
        <w:t>.</w:t>
      </w:r>
    </w:p>
    <w:p w14:paraId="6D90B05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وتعكس هذه النتيجة طبيعة التغير الذي شهدته وسائل الاتصال الحديثة، حيث أصبح الجمهور يفضل المحتوى الذي يقدم المعلومات بصورة مختصرة وواضحة، مع توظيف العناصر البصرية التي تساعد على الفهم والاستيعاب، بدلاً من الاعتماد على النصوص الطويلة أو المعلومات النظرية المجردة. ويرى المرضى أن المحتوى المرئي يسهل عليهم استيعاب المفاهيم الطبية المعقدة، خاصة فيما يتعلق بالأمراض العصبية المزمنة التي تتطلب شرحًا دقيقًا للأعراض، وآلية تطور المرض، وطرق العلاج، وكيفية التعامل مع المضاعفات</w:t>
      </w:r>
      <w:r w:rsidRPr="00FB2B83">
        <w:rPr>
          <w:rFonts w:ascii="Simplified Arabic" w:hAnsi="Simplified Arabic" w:cs="Simplified Arabic"/>
          <w:sz w:val="28"/>
          <w:szCs w:val="28"/>
        </w:rPr>
        <w:t>.</w:t>
      </w:r>
    </w:p>
    <w:p w14:paraId="62CB133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استجابات المشاركين أن الفيديوهات التوعوية تعد الوسيلة الأكثر تأثيرًا لأنها تجمع بين الشرح الصوتي والعرض المرئي، مما يساعد على توصيل المعلومات بطريقة مبسطة تناسب مختلف المستويات التعليمية. كما أوضح المرضى أن مشاهدة الطبيب وهو يشرح المرض أو يوضح خطوات العلاج تمنحهم شعورًا أكبر بالثقة مقارنة بقراءة المعلومات فقط، إضافة إلى إمكانية إعادة مشاهدة الفيديو أكثر من مرة حتى يتم استيعاب جميع التفاصيل</w:t>
      </w:r>
      <w:r w:rsidRPr="00FB2B83">
        <w:rPr>
          <w:rFonts w:ascii="Simplified Arabic" w:hAnsi="Simplified Arabic" w:cs="Simplified Arabic"/>
          <w:sz w:val="28"/>
          <w:szCs w:val="28"/>
        </w:rPr>
        <w:t>.</w:t>
      </w:r>
    </w:p>
    <w:p w14:paraId="23ADE63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أوضح المشاركون أن الفيديوهات القصيرة المنتشرة عبر المنصات الرقمية أصبحت أكثر توافقًا مع طبيعة استخدامهم اليومي لوسائل التواصل الاجتماعي، إذ يمكن مشاهدتها في أي وقت ودون الحاجة إلى تخصيص وقت طويل، وهو ما يزيد من فرص متابعة المحتوى الصحي والاستفادة منه بصورة مستمرة. ويرى المرضى أن هذا النوع من المحتوى يساعد على نشر الرسائل الصحية بسرعة، ويزيد من احتمالية مشاركتها مع أفراد الأسرة والأصدقاء، مما يوسع من دائرة الاستفادة</w:t>
      </w:r>
      <w:r w:rsidRPr="00FB2B83">
        <w:rPr>
          <w:rFonts w:ascii="Simplified Arabic" w:hAnsi="Simplified Arabic" w:cs="Simplified Arabic"/>
          <w:sz w:val="28"/>
          <w:szCs w:val="28"/>
        </w:rPr>
        <w:t>.</w:t>
      </w:r>
    </w:p>
    <w:p w14:paraId="6165009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وفيما يتعلق بالإنفوجرافيك، أكد المرضى أنه يمثل وسيلة فعالة لتلخيص المعلومات الطبية وعرضها بصورة منظمة وسهلة الفهم، حيث تساعد الرسوم والألوان والرموز التوضيحية على توصيل المعلومات بسرعة، خاصة فيما يتعلق بالأعراض، أو عوامل الخطورة، أو طرق الوقاية، أو الإرشادات العلاجية. وأشار المشاركون إلى أنهم يفضلون حفظ هذه الرسوم أو مشاركتها عبر تطبيقات التواصل الاجتماعي، لأنها تقدم المعلومات بصورة مختصرة دون الإخلال بالمضمون العلمي</w:t>
      </w:r>
      <w:r w:rsidRPr="00FB2B83">
        <w:rPr>
          <w:rFonts w:ascii="Simplified Arabic" w:hAnsi="Simplified Arabic" w:cs="Simplified Arabic"/>
          <w:sz w:val="28"/>
          <w:szCs w:val="28"/>
        </w:rPr>
        <w:t>.</w:t>
      </w:r>
    </w:p>
    <w:p w14:paraId="7AD4F81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أظهرت المقابلات أن نسبة من المرضى تفضل متابعة التجارب الواقعية لمرضى آخرين، إذ يرون أن هذه التجارب تمنحهم إحساسًا بالأمل، وتساعدهم على إدراك أن التعايش مع المرض ممكن، وأن الالتزام بالعلاج يمكن أن يؤدي إلى تحسين جودة الحياة. إلا أن معظم المشاركين أكدوا أنهم يتعاملون مع هذه التجارب باعتبارها خبرات شخصية لا يمكن تعميمها على جميع المرضى، وأنها لا تغني عن استشارة الطبيب أو الاعتماد على المعلومات العلمية الموثقة</w:t>
      </w:r>
      <w:r w:rsidRPr="00FB2B83">
        <w:rPr>
          <w:rFonts w:ascii="Simplified Arabic" w:hAnsi="Simplified Arabic" w:cs="Simplified Arabic"/>
          <w:sz w:val="28"/>
          <w:szCs w:val="28"/>
        </w:rPr>
        <w:t>.</w:t>
      </w:r>
    </w:p>
    <w:p w14:paraId="573FB7D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وأشار عدد من المرضى إلى أن المقالات الصحية لا تزال تحتفظ بأهميتها، خاصة عند الرغبة في التعمق في موضوع معين أو التعرف على تفاصيل العلاج أو نتائج الدراسات الحديثة، إلا أنهم أوضحوا أن قراءة المقالات تتطلب وقتًا وجهدًا أكبر مقارنة بالفيديوهات أو الإنفوجرافيك، وهو ما يجعل استخدامها أقل انتشارًا في الحياة اليومية، خصوصًا لدى الفئات التي تفضل المحتوى السريع والمختصر</w:t>
      </w:r>
      <w:r w:rsidRPr="00FB2B83">
        <w:rPr>
          <w:rFonts w:ascii="Simplified Arabic" w:hAnsi="Simplified Arabic" w:cs="Simplified Arabic"/>
          <w:sz w:val="28"/>
          <w:szCs w:val="28"/>
        </w:rPr>
        <w:t>.</w:t>
      </w:r>
    </w:p>
    <w:p w14:paraId="427CB99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كما بينت النتائج أن طريقة عرض المحتوى تؤثر في درجة استفادة المرضى أكثر من نوع المحتوى نفسه، حيث أكد المشاركون أن المحتوى الذي يستخدم لغة بسيطة، وأمثلة من الواقع، ورسومًا توضيحية، بعيدًا عن المصطلحات الطبية المعقدة، يكون أكثر قدرة على جذب الانتباه وتحقيق الفائدة. وأوضحوا أن الرسائل الصحية </w:t>
      </w:r>
      <w:r w:rsidRPr="00FB2B83">
        <w:rPr>
          <w:rFonts w:ascii="Simplified Arabic" w:hAnsi="Simplified Arabic" w:cs="Simplified Arabic"/>
          <w:sz w:val="28"/>
          <w:szCs w:val="28"/>
          <w:rtl/>
        </w:rPr>
        <w:lastRenderedPageBreak/>
        <w:t>التي تركز على الإجابة عن الأسئلة الشائعة، وتقديم حلول عملية للمشكلات اليومية التي يواجهها المرضى، تحقق تأثيرًا أكبر من المحتوى الذي يقتصر على عرض المعلومات النظرية</w:t>
      </w:r>
      <w:r w:rsidRPr="00FB2B83">
        <w:rPr>
          <w:rFonts w:ascii="Simplified Arabic" w:hAnsi="Simplified Arabic" w:cs="Simplified Arabic"/>
          <w:sz w:val="28"/>
          <w:szCs w:val="28"/>
        </w:rPr>
        <w:t>.</w:t>
      </w:r>
    </w:p>
    <w:p w14:paraId="45E9248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المقابلات أيضًا أن المرضى يفضلون المحتوى الذي يجمع بين أكثر من وسيلة، مثل الفيديو الذي يتضمن رسومًا توضيحية أو إنفوجرافيك، أو المقالات التي تحتوي على صور ورسوم بيانية، لأن ذلك يساعد على تبسيط المعلومات وزيادة وضوحها، ويجعل عملية التعلم أكثر سهولة ومتعة</w:t>
      </w:r>
      <w:r w:rsidRPr="00FB2B83">
        <w:rPr>
          <w:rFonts w:ascii="Simplified Arabic" w:hAnsi="Simplified Arabic" w:cs="Simplified Arabic"/>
          <w:sz w:val="28"/>
          <w:szCs w:val="28"/>
        </w:rPr>
        <w:t>.</w:t>
      </w:r>
    </w:p>
    <w:p w14:paraId="1C2A67B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هذه النتائج مع ما توصلت إليه صبرة (2024)، التي أكدت أن استخدام الوسائط المتعددة في عرض القضايا الصحية يزيد من جاذبية المحتوى الرقمي، ويسهم في تحسين فهم الجمهور للمعلومات الصحية، كما يعزز من معدلات التفاعل مع الرسائل التوعوية مقارنة بالمحتوى التقليدي</w:t>
      </w:r>
      <w:r w:rsidRPr="00FB2B83">
        <w:rPr>
          <w:rFonts w:ascii="Simplified Arabic" w:hAnsi="Simplified Arabic" w:cs="Simplified Arabic"/>
          <w:sz w:val="28"/>
          <w:szCs w:val="28"/>
        </w:rPr>
        <w:t>.</w:t>
      </w:r>
    </w:p>
    <w:p w14:paraId="21D9C52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خيرت حمزة (2023)، التي أشارت إلى أن فعالية الإعلام الرقمي ترتبط بقدرته على توظيف الوسائط الحديثة، مثل الفيديو والرسوم التوضيحية، بما يسهم في زيادة تأثير الرسائل الصحية في الجمهور وتحقيق أهدافها التوعوية</w:t>
      </w:r>
      <w:r w:rsidRPr="00FB2B83">
        <w:rPr>
          <w:rFonts w:ascii="Simplified Arabic" w:hAnsi="Simplified Arabic" w:cs="Simplified Arabic"/>
          <w:sz w:val="28"/>
          <w:szCs w:val="28"/>
        </w:rPr>
        <w:t>.</w:t>
      </w:r>
    </w:p>
    <w:p w14:paraId="3A6E263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دراسة قلاده (2025)، التي أوضحت أن استخدام الوسائط البصرية والتفاعلية في البرامج التثقيفية الصحية يسهم في رفع مستوى المعرفة الصحية، ويزيد من قدرة الأفراد على استيعاب المعلومات وتطبيقها في حياتهم اليومية، خاصة عند تبسيط المحتوى بما يتناسب مع خصائص الجمهور</w:t>
      </w:r>
      <w:r w:rsidRPr="00FB2B83">
        <w:rPr>
          <w:rFonts w:ascii="Simplified Arabic" w:hAnsi="Simplified Arabic" w:cs="Simplified Arabic"/>
          <w:sz w:val="28"/>
          <w:szCs w:val="28"/>
        </w:rPr>
        <w:t>.</w:t>
      </w:r>
    </w:p>
    <w:p w14:paraId="2EBBED49"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تؤيد النتائج ما توصلت إليه السلمي وعطية (2022)، اللذين أكدا أن نجاح برامج التوعية الصحية يعتمد على اختيار أساليب اتصال تتناسب مع احتياجات الجمهور، وأن استخدام الوسائط الحديثة يسهم في تعزيز الوعي الصحي وتحسين السلوكيات المرتبطة بالتعامل مع الأمراض المزمنة</w:t>
      </w:r>
      <w:r w:rsidRPr="00FB2B83">
        <w:rPr>
          <w:rFonts w:ascii="Simplified Arabic" w:hAnsi="Simplified Arabic" w:cs="Simplified Arabic"/>
          <w:sz w:val="28"/>
          <w:szCs w:val="28"/>
        </w:rPr>
        <w:t>.</w:t>
      </w:r>
    </w:p>
    <w:p w14:paraId="7A8AC7EE"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وتتفق النتائج أيضًا مع ما ذكرته الشعراوي (2006)، التي أوضحت أن نجاح الرسالة الاتصالية يرتبط بقدرتها على جذب انتباه الجمهور، واستخدام الوسيلة المناسبة التي تحقق الفهم والتأثير، وهو ما يفسر تفضيل المرضى للمحتوى المرئي والتفاعلي مقارنة بالأشكال التقليدية للمحتوى الصحي</w:t>
      </w:r>
      <w:r w:rsidRPr="00FB2B83">
        <w:rPr>
          <w:rFonts w:ascii="Simplified Arabic" w:hAnsi="Simplified Arabic" w:cs="Simplified Arabic"/>
          <w:sz w:val="28"/>
          <w:szCs w:val="28"/>
        </w:rPr>
        <w:t>.</w:t>
      </w:r>
    </w:p>
    <w:p w14:paraId="3925016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ويرى الباحث أن تفضيل المرضى للفيديوهات والإنفوجرافيك يعكس الحاجة إلى إعادة تصميم المحتوى الصحي الرقمي بما يتوافق مع أنماط الاستخدام الحديثة لوسائل الإعلام الرقمي، حيث أصبح الجمهور يميل إلى المحتوى المختصر، والبصري، وسهل الفهم. كما يرى الباحث أن الجهات الصحية ينبغي أن تركز على إنتاج محتوى متنوع يجمع بين الفيديوهات التوعوية، والرسوم المعلوماتية، والتجارب الواقعية الموثقة، مع الحفاظ على الدقة العلمية، حتى تتمكن من الوصول إلى مختلف شرائح المجتمع، وتعزيز الوعي بالأمراض العصبية المزمنة بصورة أكثر فاعلية، بما يسهم في رفع الثقافة الصحية وتحسين قدرة المرضى على إدارة حالتهم الصحية والتكيف معها</w:t>
      </w:r>
      <w:r w:rsidRPr="00FB2B83">
        <w:rPr>
          <w:rFonts w:ascii="Simplified Arabic" w:hAnsi="Simplified Arabic" w:cs="Simplified Arabic"/>
          <w:sz w:val="28"/>
          <w:szCs w:val="28"/>
        </w:rPr>
        <w:t>.</w:t>
      </w:r>
    </w:p>
    <w:p w14:paraId="5BB49820"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السؤال الخامس: ما الذي تتمنى توفره في المحتوى الرقمي الخاص بالتوعية بالأمراض العصبية المزمنة؟</w:t>
      </w:r>
    </w:p>
    <w:p w14:paraId="3A3CE22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أوضحت نتائج تحليل المقابلات الخاصة بالسؤال الخامس، والتي أُجريت مع عينة الدراسة المكونة من (25) مريضًا، أن نسبة (36%) من المشاركين أعربوا عن رغبتهم في توفير معلومات صحية أكثر تفصيلًا ووضوحًا حول الأمراض العصبية المزمنة وطرق التعامل معها، بينما أشار (28%) إلى أهمية زيادة المحتوى الصادر عن الجهات الصحية الرسمية والأطباء المتخصصين، في حين أكد (20%) ضرورة تقديم المحتوى بصورة مبسطة باستخدام الفيديوهات والرسوم التوضيحية، وأوضح (16%) أهمية توفير منصات تفاعلية تتيح للمرضى طرح استفساراتهم والحصول على إجابات موثوقة من المختصين. وتشير هذه النتائج إلى أن المرضى لا </w:t>
      </w:r>
      <w:r w:rsidRPr="00FB2B83">
        <w:rPr>
          <w:rFonts w:ascii="Simplified Arabic" w:hAnsi="Simplified Arabic" w:cs="Simplified Arabic"/>
          <w:sz w:val="28"/>
          <w:szCs w:val="28"/>
          <w:rtl/>
        </w:rPr>
        <w:lastRenderedPageBreak/>
        <w:t>يطالبون فقط بزيادة كمية المحتوى الصحي، وإنما يركزون بصورة أكبر على تحسين جودة المحتوى، وتعزيز مصداقيته، وتطوير أساليب تقديمه بما يتناسب مع احتياجاتهم المعرفية</w:t>
      </w:r>
      <w:r w:rsidRPr="00FB2B83">
        <w:rPr>
          <w:rFonts w:ascii="Simplified Arabic" w:hAnsi="Simplified Arabic" w:cs="Simplified Arabic"/>
          <w:sz w:val="28"/>
          <w:szCs w:val="28"/>
        </w:rPr>
        <w:t>.</w:t>
      </w:r>
    </w:p>
    <w:p w14:paraId="4CBE07C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وتعكس هذه النتيجة إدراك المرضى لأهمية الإعلام الرقمي في دعم رحلتهم العلاجية، حيث أوضح المشاركون أن المحتوى الصحي المتوافر حاليًا، رغم فائدته، لا يزال يحتاج إلى مزيد من التخصص والوضوح، خاصة فيما يتعلق بالأمراض العصبية المزمنة التي تتسم بطبيعتها المعقدة، وتحتاج إلى شرح مستمر لمراحل المرض، وخيارات العلاج، وآليات التعايش معه، وكيفية التعامل مع المضاعفات المحتملة. ويرى المرضى أن الحصول على معلومات دقيقة ومحدثة يسهم في تقليل مشاعر القلق، ويزيد من قدرتهم على اتخاذ قرارات صحية سليمة</w:t>
      </w:r>
      <w:r w:rsidRPr="00FB2B83">
        <w:rPr>
          <w:rFonts w:ascii="Simplified Arabic" w:hAnsi="Simplified Arabic" w:cs="Simplified Arabic"/>
          <w:sz w:val="28"/>
          <w:szCs w:val="28"/>
        </w:rPr>
        <w:t>.</w:t>
      </w:r>
    </w:p>
    <w:p w14:paraId="313C596C"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المقابلات أن عددًا كبيرًا من المرضى يرغبون في أن يتضمن المحتوى الرقمي إجابات واضحة عن الأسئلة اليومية التي تواجههم، مثل كيفية التعامل مع الأعراض المتغيرة، ومتى يجب مراجعة الطبيب، وكيفية الالتزام بالعلاج، وأثر التغذية والنشاط البدني في تحسين الحالة الصحية. وأكد المشاركون أن كثيرًا من المحتوى المنشور يركز على التعريف بالمرض، بينما يقل اهتمامه بالجوانب العملية التي يحتاج إليها المريض في حياته اليومية</w:t>
      </w:r>
      <w:r w:rsidRPr="00FB2B83">
        <w:rPr>
          <w:rFonts w:ascii="Simplified Arabic" w:hAnsi="Simplified Arabic" w:cs="Simplified Arabic"/>
          <w:sz w:val="28"/>
          <w:szCs w:val="28"/>
        </w:rPr>
        <w:t>.</w:t>
      </w:r>
    </w:p>
    <w:p w14:paraId="733F43B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أوضح المشاركون أن زيادة المحتوى الصادر عن الجهات الصحية الرسمية تمثل مطلبًا مهمًا، نظرًا لما تتمتع به هذه الجهات من مصداقية وثقة. ويرى المرضى أن وجود حسابات نشطة للمستشفيات والمراكز الطبية والجمعيات العلمية، تقدم معلومات بصورة منتظمة، سيساعد في الحد من انتشار المعلومات غير الدقيقة، وسيمنح المرضى مصدرًا موثوقًا يمكن الرجوع إليه عند الحاجة</w:t>
      </w:r>
      <w:r w:rsidRPr="00FB2B83">
        <w:rPr>
          <w:rFonts w:ascii="Simplified Arabic" w:hAnsi="Simplified Arabic" w:cs="Simplified Arabic"/>
          <w:sz w:val="28"/>
          <w:szCs w:val="28"/>
        </w:rPr>
        <w:t>.</w:t>
      </w:r>
    </w:p>
    <w:p w14:paraId="5D14FE1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وأشار عدد من المرضى إلى أهمية أن يكون المحتوى الصحي أكثر بساطة، بحيث يعتمد على لغة مفهومة بعيدًا عن المصطلحات الطبية المعقدة، مع استخدام الرسوم التوضيحية، والإنفوجرافيك، والمقاطع المرئية </w:t>
      </w:r>
      <w:r w:rsidRPr="00FB2B83">
        <w:rPr>
          <w:rFonts w:ascii="Simplified Arabic" w:hAnsi="Simplified Arabic" w:cs="Simplified Arabic"/>
          <w:sz w:val="28"/>
          <w:szCs w:val="28"/>
          <w:rtl/>
        </w:rPr>
        <w:lastRenderedPageBreak/>
        <w:t>القصيرة، التي تسهل استيعاب المعلومات. ويرى المشاركون أن تبسيط المحتوى لا يقلل من قيمته العلمية، بل يزيد من فرص وصوله إلى مختلف الفئات العمرية والتعليمية، ويعزز من الاستفادة منه</w:t>
      </w:r>
      <w:r w:rsidRPr="00FB2B83">
        <w:rPr>
          <w:rFonts w:ascii="Simplified Arabic" w:hAnsi="Simplified Arabic" w:cs="Simplified Arabic"/>
          <w:sz w:val="28"/>
          <w:szCs w:val="28"/>
        </w:rPr>
        <w:t>.</w:t>
      </w:r>
    </w:p>
    <w:p w14:paraId="0964D74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أظهرت النتائج أن المرضى يتطلعون إلى وجود منصات تفاعلية تسمح لهم بالتواصل مع المختصين، وطرح الأسئلة المتعلقة بحالتهم الصحية، والحصول على إجابات دقيقة في الوقت المناسب. وأوضح المشاركون أن هذا النوع من التفاعل يسهم في زيادة الثقة بالمحتوى الرقمي، ويحد من الاعتماد على المعلومات غير الموثوقة المنتشرة عبر بعض المنصات، كما يعزز الشعور بالدعم والمتابعة المستمرة</w:t>
      </w:r>
      <w:r w:rsidRPr="00FB2B83">
        <w:rPr>
          <w:rFonts w:ascii="Simplified Arabic" w:hAnsi="Simplified Arabic" w:cs="Simplified Arabic"/>
          <w:sz w:val="28"/>
          <w:szCs w:val="28"/>
        </w:rPr>
        <w:t>.</w:t>
      </w:r>
    </w:p>
    <w:p w14:paraId="7CA3A29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وأشار بعض المرضى إلى أهمية تخصيص محتوى رقمي لأفراد الأسرة ومقدمي الرعاية، يتناول كيفية التعامل مع المريض، وطرق تقديم الدعم النفسي والاجتماعي، وأساليب التصرف في الحالات الطارئة. ويرى المشاركون أن رفع مستوى وعي الأسرة يسهم بصورة مباشرة في تحسين جودة الرعاية المنزلية، ويخفف من الأعباء النفسية التي قد يواجهها المريض خلال مراحل العلاج</w:t>
      </w:r>
      <w:r w:rsidRPr="00FB2B83">
        <w:rPr>
          <w:rFonts w:ascii="Simplified Arabic" w:hAnsi="Simplified Arabic" w:cs="Simplified Arabic"/>
          <w:sz w:val="28"/>
          <w:szCs w:val="28"/>
        </w:rPr>
        <w:t>.</w:t>
      </w:r>
    </w:p>
    <w:p w14:paraId="2CA19F5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أكد عدد من المشاركين ضرورة تحديث المحتوى بصورة مستمرة، بما يتوافق مع التطورات الطبية الحديثة، حيث أوضحوا أن المعلومات الصحية تتغير باستمرار مع ظهور أبحاث جديدة وأساليب علاج حديثة، لذلك فإن المحتوى الرقمي ينبغي أن يعكس هذه المستجدات بصورة دورية، مع الإشارة إلى مصادرها العلمية، حتى يظل محتفظًا بمصداقيته وقيمته التوعوية</w:t>
      </w:r>
      <w:r w:rsidRPr="00FB2B83">
        <w:rPr>
          <w:rFonts w:ascii="Simplified Arabic" w:hAnsi="Simplified Arabic" w:cs="Simplified Arabic"/>
          <w:sz w:val="28"/>
          <w:szCs w:val="28"/>
        </w:rPr>
        <w:t>.</w:t>
      </w:r>
    </w:p>
    <w:p w14:paraId="4F6A019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المقابلات أيضًا رغبة المرضى في زيادة الحملات الرقمية الموجهة للتوعية المجتمعية بالأمراض العصبية المزمنة، بهدف تصحيح المفاهيم الخاطئة، والحد من الوصمة الاجتماعية التي قد يتعرض لها بعض المرضى، وتعزيز فهم المجتمع لطبيعة هذه الأمراض، مما يسهم في توفير بيئة أكثر دعمًا للمصابين بها</w:t>
      </w:r>
      <w:r w:rsidRPr="00FB2B83">
        <w:rPr>
          <w:rFonts w:ascii="Simplified Arabic" w:hAnsi="Simplified Arabic" w:cs="Simplified Arabic"/>
          <w:sz w:val="28"/>
          <w:szCs w:val="28"/>
        </w:rPr>
        <w:t>.</w:t>
      </w:r>
    </w:p>
    <w:p w14:paraId="30CC519B"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وتتفق هذه النتائج مع ما توصلت إليه السلمي وعطية (2022)، اللذين أكدا أن تعزيز الوعي الصحي لدى مرضى الأمراض المزمنة يتطلب توفير معلومات صحية دقيقة، ومستمرة، وسهلة الوصول، مع مراعاة احتياجات المرضى وأسرهم، وهو ما يتوافق مع مطالب المشاركين في هذه الدراسة</w:t>
      </w:r>
      <w:r w:rsidRPr="00FB2B83">
        <w:rPr>
          <w:rFonts w:ascii="Simplified Arabic" w:hAnsi="Simplified Arabic" w:cs="Simplified Arabic"/>
          <w:sz w:val="28"/>
          <w:szCs w:val="28"/>
        </w:rPr>
        <w:t>.</w:t>
      </w:r>
    </w:p>
    <w:p w14:paraId="296366E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قلاده (2025)، التي أوضحت أن البرامج التثقيفية الصحية تحقق أفضل نتائجها عندما تقدم محتوى واضحًا، ومبسطًا، ومبنيًا على الأدلة العلمية، مع مراعاة خصائص الفئات المستهدفة، الأمر الذي يسهم في رفع مستوى المعرفة الصحية وتحسين السلوكيات المرتبطة بالصحة</w:t>
      </w:r>
      <w:r w:rsidRPr="00FB2B83">
        <w:rPr>
          <w:rFonts w:ascii="Simplified Arabic" w:hAnsi="Simplified Arabic" w:cs="Simplified Arabic"/>
          <w:sz w:val="28"/>
          <w:szCs w:val="28"/>
        </w:rPr>
        <w:t>.</w:t>
      </w:r>
    </w:p>
    <w:p w14:paraId="65704DB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ما توصل إليه خيرت حمزة (2023)، الذي أشار إلى أن تطوير الإعلام الرقمي الصحي يتطلب تعزيز التفاعل مع الجمهور، وتقديم محتوى يتسم بالمصداقية، والتجدد، وسهولة الفهم، بما يسهم في زيادة تأثير الرسائل الصحية وتحقيق أهدافها التوعوية</w:t>
      </w:r>
      <w:r w:rsidRPr="00FB2B83">
        <w:rPr>
          <w:rFonts w:ascii="Simplified Arabic" w:hAnsi="Simplified Arabic" w:cs="Simplified Arabic"/>
          <w:sz w:val="28"/>
          <w:szCs w:val="28"/>
        </w:rPr>
        <w:t>.</w:t>
      </w:r>
    </w:p>
    <w:p w14:paraId="20633BFB"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تؤيد النتائج ما أشارت إليه صبرة (2024)، التي أكدت أن نجاح المحتوى الصحي الرقمي يرتبط بقدرته على الجمع بين الدقة العلمية والأسلوب الجذاب، مع استخدام الوسائط المتعددة التي تساعد على تبسيط المعلومات الطبية وتعزيز تفاعل الجمهور معها</w:t>
      </w:r>
      <w:r w:rsidRPr="00FB2B83">
        <w:rPr>
          <w:rFonts w:ascii="Simplified Arabic" w:hAnsi="Simplified Arabic" w:cs="Simplified Arabic"/>
          <w:sz w:val="28"/>
          <w:szCs w:val="28"/>
        </w:rPr>
        <w:t>.</w:t>
      </w:r>
    </w:p>
    <w:p w14:paraId="1A00CA6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النتائج أيضًا مع ما ذكرته الشعراوي (2006)، التي أوضحت أن نجاح الرسالة الاتصالية يعتمد على فهم احتياجات الجمهور المستهدف، وتقديم الرسائل بما يتناسب مع خصائصه، واستخدام الوسيلة والأسلوب المناسبين لتحقيق التأثير المطلوب، وهو ما تؤكده مطالب المرضى في هذه الدراسة بشأن تطوير المحتوى الصحي الرقمي</w:t>
      </w:r>
      <w:r w:rsidRPr="00FB2B83">
        <w:rPr>
          <w:rFonts w:ascii="Simplified Arabic" w:hAnsi="Simplified Arabic" w:cs="Simplified Arabic"/>
          <w:sz w:val="28"/>
          <w:szCs w:val="28"/>
        </w:rPr>
        <w:t>.</w:t>
      </w:r>
    </w:p>
    <w:p w14:paraId="2B60959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ويرى الباحث أن النتائج تؤكد أن المرضى أصبحوا أكثر وعيًا بدور الإعلام الرقمي، وأكثر قدرة على تحديد احتياجاتهم من المحتوى الصحي، وهو ما يمثل مؤشرًا مهمًا ينبغي أن تستفيد منه الجهات الصحية عند إعداد برامج التوعية الرقمية. كما يرى الباحث أن تطوير المحتوى الرقمي الخاص بالأمراض العصبية المزمنة يجب أن يقوم على ثلاثة محاور رئيسة، تتمثل في تعزيز المصداقية من خلال الاعتماد على المصادر الرسمية والمتخصصين، وتبسيط المعلومات باستخدام الوسائط الرقمية الحديثة، وزيادة التفاعل مع المرضى وأسرهم من خلال المنصات الإلكترونية. ومن شأن تحقيق هذه المحاور أن يسهم في رفع مستوى الوعي الصحي، وتحسين جودة التواصل بين المرضى والجهات الصحية، ودعم الجهود الوطنية الرامية إلى تعزيز الوقاية، وتحسين إدارة الأمراض العصبية المزمنة، والارتقاء بجودة الحياة لدى المصابين بها في المجتمع السعودي</w:t>
      </w:r>
      <w:r w:rsidRPr="00FB2B83">
        <w:rPr>
          <w:rFonts w:ascii="Simplified Arabic" w:hAnsi="Simplified Arabic" w:cs="Simplified Arabic"/>
          <w:sz w:val="28"/>
          <w:szCs w:val="28"/>
        </w:rPr>
        <w:t>.</w:t>
      </w:r>
    </w:p>
    <w:p w14:paraId="3356F3EE"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النتائج</w:t>
      </w:r>
    </w:p>
    <w:p w14:paraId="29D8CEE6"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أظهرت نتائج الدراسة أن الإعلام الرقمي أصبح المصدر الرئيس للحصول على المعلومات المتعلقة بالأمراض العصبية المزمنة لدى المرضى، كما أكد الأطباء ارتفاع معدل اعتماد المرضى على المنصات الرقمية في البحث عن المعلومات الصحية، وهو ما يعكس التحول نحو الوسائل الرقمية كمصدر أساسي للتثقيف الصحي</w:t>
      </w:r>
      <w:r w:rsidRPr="007C1AB5">
        <w:rPr>
          <w:rFonts w:asciiTheme="majorBidi" w:hAnsiTheme="majorBidi" w:cstheme="majorBidi"/>
          <w:b/>
          <w:bCs/>
          <w:sz w:val="28"/>
          <w:szCs w:val="28"/>
          <w:lang w:bidi="ar-EG"/>
        </w:rPr>
        <w:t>.</w:t>
      </w:r>
    </w:p>
    <w:p w14:paraId="7D86146F"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بينت النتائج أن الإعلام الرقمي أسهم بصورة ملحوظة في رفع مستوى الوعي الصحي لدى المرضى وأسرهم، من خلال تعزيز فهم طبيعة الأمراض العصبية المزمنة، وطرق الوقاية منها، وأساليب التعامل معها، الأمر الذي انعكس إيجابًا على زيادة الالتزام بالعلاج وتحسين قدرة المرضى على التعايش</w:t>
      </w:r>
      <w:r w:rsidRPr="00FB2B83">
        <w:rPr>
          <w:rFonts w:ascii="Simplified Arabic" w:hAnsi="Simplified Arabic" w:cs="Simplified Arabic"/>
          <w:sz w:val="28"/>
          <w:szCs w:val="28"/>
          <w:rtl/>
        </w:rPr>
        <w:t xml:space="preserve"> </w:t>
      </w:r>
      <w:r w:rsidRPr="007C1AB5">
        <w:rPr>
          <w:rFonts w:asciiTheme="majorBidi" w:hAnsiTheme="majorBidi" w:cstheme="majorBidi"/>
          <w:b/>
          <w:bCs/>
          <w:sz w:val="28"/>
          <w:szCs w:val="28"/>
          <w:rtl/>
          <w:lang w:bidi="ar-EG"/>
        </w:rPr>
        <w:t>مع المرض</w:t>
      </w:r>
      <w:r w:rsidRPr="007C1AB5">
        <w:rPr>
          <w:rFonts w:asciiTheme="majorBidi" w:hAnsiTheme="majorBidi" w:cstheme="majorBidi"/>
          <w:b/>
          <w:bCs/>
          <w:sz w:val="28"/>
          <w:szCs w:val="28"/>
          <w:lang w:bidi="ar-EG"/>
        </w:rPr>
        <w:t>.</w:t>
      </w:r>
    </w:p>
    <w:p w14:paraId="1BCAE016"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كشفت الدراسة أن منصات التواصل الاجتماعي، ولا سيما منصة "إكس</w:t>
      </w:r>
      <w:r w:rsidRPr="007C1AB5">
        <w:rPr>
          <w:rFonts w:asciiTheme="majorBidi" w:hAnsiTheme="majorBidi" w:cstheme="majorBidi"/>
          <w:b/>
          <w:bCs/>
          <w:sz w:val="28"/>
          <w:szCs w:val="28"/>
          <w:lang w:bidi="ar-EG"/>
        </w:rPr>
        <w:t xml:space="preserve"> (X)" </w:t>
      </w:r>
      <w:r w:rsidRPr="007C1AB5">
        <w:rPr>
          <w:rFonts w:asciiTheme="majorBidi" w:hAnsiTheme="majorBidi" w:cstheme="majorBidi"/>
          <w:b/>
          <w:bCs/>
          <w:sz w:val="28"/>
          <w:szCs w:val="28"/>
          <w:rtl/>
          <w:lang w:bidi="ar-EG"/>
        </w:rPr>
        <w:t>و"يوتيوب"، تعد من أكثر المنصات الرقمية تأثيرًا في نشر الوعي الصحي، نظرًا لما تتميز به من سرعة انتشار المحتوى، وسهولة الوصول إليه، وإمكانية عرض المعلومات الصحية بأساليب مرئية وتفاعلية تجذب اهتمام الجمهور</w:t>
      </w:r>
      <w:r w:rsidRPr="007C1AB5">
        <w:rPr>
          <w:rFonts w:asciiTheme="majorBidi" w:hAnsiTheme="majorBidi" w:cstheme="majorBidi"/>
          <w:b/>
          <w:bCs/>
          <w:sz w:val="28"/>
          <w:szCs w:val="28"/>
          <w:lang w:bidi="ar-EG"/>
        </w:rPr>
        <w:t>.</w:t>
      </w:r>
    </w:p>
    <w:p w14:paraId="510365E9"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lastRenderedPageBreak/>
        <w:t>أوضحت النتائج أن أبرز التحديات التي تواجه المرضى تتمثل في انتشار المعلومات الصحية غير الموثوقة، وتعدد المصادر الرقمية، واعتماد بعض المستخدمين على التجارب الشخصية أو المعلومات غير العلمية، مما يؤدي إلى تكوين مفاهيم خاطئة قد تؤثر في القرارات الصحية والعلاجية للمرضى</w:t>
      </w:r>
      <w:r w:rsidRPr="007C1AB5">
        <w:rPr>
          <w:rFonts w:asciiTheme="majorBidi" w:hAnsiTheme="majorBidi" w:cstheme="majorBidi"/>
          <w:b/>
          <w:bCs/>
          <w:sz w:val="28"/>
          <w:szCs w:val="28"/>
          <w:lang w:bidi="ar-EG"/>
        </w:rPr>
        <w:t>.</w:t>
      </w:r>
    </w:p>
    <w:p w14:paraId="0A698526" w14:textId="77777777" w:rsidR="000913DC" w:rsidRPr="007C1AB5" w:rsidRDefault="000913DC" w:rsidP="007C1AB5">
      <w:pPr>
        <w:spacing w:line="360" w:lineRule="auto"/>
        <w:jc w:val="center"/>
        <w:rPr>
          <w:rFonts w:asciiTheme="majorBidi" w:hAnsiTheme="majorBidi" w:cstheme="majorBidi"/>
          <w:sz w:val="28"/>
          <w:szCs w:val="28"/>
          <w:lang w:bidi="ar-EG"/>
        </w:rPr>
      </w:pPr>
      <w:r w:rsidRPr="007C1AB5">
        <w:rPr>
          <w:rFonts w:asciiTheme="majorBidi" w:hAnsiTheme="majorBidi" w:cstheme="majorBidi"/>
          <w:b/>
          <w:bCs/>
          <w:sz w:val="28"/>
          <w:szCs w:val="28"/>
          <w:rtl/>
          <w:lang w:bidi="ar-EG"/>
        </w:rPr>
        <w:t>توصلت الدراسة إلى أن المرضى والأطباء يتفقون على ضرورة تطوير المحتوى الصحي الرقمي من خلال زيادة المحتوى الصادر عن الجهات الصحية الرسمية، وإشراك المتخصصين في إعداد الرسائل التوعوية، وتقديم المعلومات بصورة مبسطة وتفاعلية، مع تعزيز آليات مكافحة المعلومات الصحية المضللة</w:t>
      </w:r>
      <w:r w:rsidRPr="007C1AB5">
        <w:rPr>
          <w:rFonts w:asciiTheme="majorBidi" w:hAnsiTheme="majorBidi" w:cstheme="majorBidi"/>
          <w:b/>
          <w:bCs/>
          <w:sz w:val="28"/>
          <w:szCs w:val="28"/>
          <w:lang w:bidi="ar-EG"/>
        </w:rPr>
        <w:t>.</w:t>
      </w:r>
    </w:p>
    <w:p w14:paraId="0D25ACB1" w14:textId="77777777" w:rsidR="000913DC" w:rsidRPr="007C1AB5" w:rsidRDefault="000913DC" w:rsidP="007C1AB5">
      <w:pPr>
        <w:spacing w:line="360" w:lineRule="auto"/>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التوصيات</w:t>
      </w:r>
    </w:p>
    <w:p w14:paraId="2805B414" w14:textId="77777777" w:rsidR="007C1AB5" w:rsidRPr="007C1AB5" w:rsidRDefault="007C1AB5" w:rsidP="007C1AB5">
      <w:pPr>
        <w:spacing w:line="360" w:lineRule="auto"/>
        <w:jc w:val="center"/>
        <w:rPr>
          <w:rFonts w:asciiTheme="majorBidi" w:hAnsiTheme="majorBidi" w:cstheme="majorBidi"/>
          <w:sz w:val="28"/>
          <w:szCs w:val="28"/>
          <w:lang w:bidi="ar-EG"/>
        </w:rPr>
      </w:pPr>
    </w:p>
    <w:p w14:paraId="7DDA24AD" w14:textId="36B7051E"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تعزيز دور الجهات الصحية الرسمية في إنتاج ونشر محتوى رقمي علمي موثوق حول الأمراض العصبية المزمنة، مع تحديثه بصورة مستمرة بما يتوافق مع أحدث الأدلة والإرشادات الطبية، لضمان حصول المرضى على معلومات دقيقة وموثوقة</w:t>
      </w:r>
      <w:r w:rsidRPr="007C1AB5">
        <w:rPr>
          <w:rFonts w:asciiTheme="majorBidi" w:hAnsiTheme="majorBidi" w:cstheme="majorBidi"/>
          <w:b/>
          <w:bCs/>
          <w:sz w:val="28"/>
          <w:szCs w:val="28"/>
          <w:lang w:bidi="ar-EG"/>
        </w:rPr>
        <w:t>.</w:t>
      </w:r>
    </w:p>
    <w:p w14:paraId="34BDF0A4" w14:textId="2EC41A76"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تصميم حملات توعوية رقمية مستمرة تستهدف المرضى وأسرهم ومختلف فئات المجتمع، مع الاستفادة من المنصات الرقمية الأكثر استخدامًا في المملكة العربية السعودية، وتوظيف الوسائط المتعددة مثل الفيديوهات والإنفوجرافيك لزيادة فاعلية الرسائل الصحية</w:t>
      </w:r>
      <w:r w:rsidRPr="007C1AB5">
        <w:rPr>
          <w:rFonts w:asciiTheme="majorBidi" w:hAnsiTheme="majorBidi" w:cstheme="majorBidi"/>
          <w:b/>
          <w:bCs/>
          <w:sz w:val="28"/>
          <w:szCs w:val="28"/>
          <w:lang w:bidi="ar-EG"/>
        </w:rPr>
        <w:t>.</w:t>
      </w:r>
    </w:p>
    <w:p w14:paraId="75C59DB7" w14:textId="5F31A045"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تشجيع الأطباء والاستشاريين والمتخصصين في المجال الصحي على المشاركة الفاعلة في المنصات الرقمية، وتقديم محتوى صحي مبسط يعتمد على الأدلة العلمية، بما يسهم في تعزيز ثقة الجمهور بالمعلومات المنشورة والحد من انتشار المفاهيم الخاطئة</w:t>
      </w:r>
      <w:r w:rsidRPr="007C1AB5">
        <w:rPr>
          <w:rFonts w:asciiTheme="majorBidi" w:hAnsiTheme="majorBidi" w:cstheme="majorBidi"/>
          <w:b/>
          <w:bCs/>
          <w:sz w:val="28"/>
          <w:szCs w:val="28"/>
          <w:lang w:bidi="ar-EG"/>
        </w:rPr>
        <w:t>.</w:t>
      </w:r>
    </w:p>
    <w:p w14:paraId="39406307" w14:textId="44E0D8EB"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تطوير برامج للتثقيف الصحي الرقمي تهدف إلى رفع مستوى الوعي لدى المرضى بكيفية التحقق من مصداقية المعلومات الصحية المنشورة عبر الإنترنت، وتعزيز مهارات الثقافة الصحية الرقمية، بما يساعدهم على التمييز بين المصادر الموثوقة وغير الموثوقة</w:t>
      </w:r>
      <w:r w:rsidRPr="007C1AB5">
        <w:rPr>
          <w:rFonts w:asciiTheme="majorBidi" w:hAnsiTheme="majorBidi" w:cstheme="majorBidi"/>
          <w:b/>
          <w:bCs/>
          <w:sz w:val="28"/>
          <w:szCs w:val="28"/>
          <w:lang w:bidi="ar-EG"/>
        </w:rPr>
        <w:t>.</w:t>
      </w:r>
    </w:p>
    <w:p w14:paraId="16034D91" w14:textId="73A4E02D" w:rsidR="007C1AB5" w:rsidRPr="007C1AB5" w:rsidRDefault="007C1AB5" w:rsidP="007C1AB5">
      <w:pPr>
        <w:pStyle w:val="a8"/>
        <w:numPr>
          <w:ilvl w:val="0"/>
          <w:numId w:val="3"/>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إجراء المزيد من الدراسات المستقبلية التي تتناول أثر الإعلام الرقمي في التوعية بمختلف الأمراض المزمنة، ودراسة فاعلية أنواع المحتوى الرقمي المختلفة في تحسين المعرفة الصحية والسلوكيات الوقائية والعلاجية لدى المرضى، بما يدعم تطوير استراتيجيات الاتصال الصحي في المجتمع السعودي</w:t>
      </w:r>
      <w:r w:rsidRPr="007C1AB5">
        <w:rPr>
          <w:rFonts w:asciiTheme="majorBidi" w:hAnsiTheme="majorBidi" w:cstheme="majorBidi"/>
          <w:b/>
          <w:bCs/>
          <w:sz w:val="28"/>
          <w:szCs w:val="28"/>
          <w:lang w:bidi="ar-EG"/>
        </w:rPr>
        <w:t>.</w:t>
      </w:r>
    </w:p>
    <w:p w14:paraId="61ADB0BA" w14:textId="77777777" w:rsidR="007C1AB5" w:rsidRPr="007C1AB5" w:rsidRDefault="007C1AB5" w:rsidP="007C1AB5">
      <w:pPr>
        <w:spacing w:line="360" w:lineRule="auto"/>
        <w:rPr>
          <w:rFonts w:asciiTheme="majorBidi" w:hAnsiTheme="majorBidi" w:cstheme="majorBidi"/>
          <w:b/>
          <w:bCs/>
          <w:sz w:val="28"/>
          <w:szCs w:val="28"/>
          <w:rtl/>
          <w:lang w:bidi="ar-EG"/>
        </w:rPr>
      </w:pPr>
    </w:p>
    <w:p w14:paraId="24F091B6" w14:textId="60873449" w:rsidR="000913DC" w:rsidRPr="007C1AB5" w:rsidRDefault="000913DC" w:rsidP="007C1AB5">
      <w:pPr>
        <w:spacing w:line="360" w:lineRule="auto"/>
        <w:ind w:left="360"/>
        <w:rPr>
          <w:rFonts w:asciiTheme="majorBidi" w:hAnsiTheme="majorBidi" w:cstheme="majorBidi"/>
          <w:b/>
          <w:bCs/>
          <w:sz w:val="28"/>
          <w:szCs w:val="28"/>
          <w:rtl/>
          <w:lang w:bidi="ar-EG"/>
        </w:rPr>
      </w:pPr>
      <w:r w:rsidRPr="007C1AB5">
        <w:rPr>
          <w:rFonts w:asciiTheme="majorBidi" w:hAnsiTheme="majorBidi" w:cstheme="majorBidi" w:hint="cs"/>
          <w:b/>
          <w:bCs/>
          <w:sz w:val="28"/>
          <w:szCs w:val="28"/>
          <w:rtl/>
          <w:lang w:bidi="ar-EG"/>
        </w:rPr>
        <w:lastRenderedPageBreak/>
        <w:t>الخاتمة:</w:t>
      </w:r>
    </w:p>
    <w:p w14:paraId="1E099923" w14:textId="77777777" w:rsidR="000913DC" w:rsidRPr="007C1AB5"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خلصت هذه الدراسة إلى أن الإعلام الرقمي أصبح أحد أهم الأدوات المؤثرة في تعزيز الوعي الصحي لدى مرضى الأمراض العصبية المزمنة وأسرهم، حيث لم يعد دوره يقتصر على نقل المعلومات الصحية، بل امتد ليصبح وسيلة فعالة في نشر الثقافة الصحية، وتصحيح المفاهيم الخاطئة، ودعم المرضى في فهم طبيعة أمراضهم، وتعزيز التزامهم بالإجراءات العلاجية والوقائية. كما بينت نتائج الدراسة أن المنصات الرقمية، عند توظيفها بصورة علمية ومنظمة، قادرة على الوصول إلى شرائح واسعة من المجتمع، بما يسهم في تحسين المعرفة الصحية والارتقاء بجودة الحياة</w:t>
      </w:r>
      <w:r w:rsidRPr="007C1AB5">
        <w:rPr>
          <w:rFonts w:asciiTheme="majorBidi" w:hAnsiTheme="majorBidi" w:cstheme="majorBidi"/>
          <w:b/>
          <w:bCs/>
          <w:sz w:val="28"/>
          <w:szCs w:val="28"/>
          <w:lang w:bidi="ar-EG"/>
        </w:rPr>
        <w:t>.</w:t>
      </w:r>
    </w:p>
    <w:p w14:paraId="71449281" w14:textId="77777777" w:rsidR="000913DC" w:rsidRPr="007C1AB5"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وأظهرت الدراسة أن ثقة المرضى بالمحتوى الصحي ترتبط ارتباطًا وثيقًا بمصداقية مصدره، حيث يفضلون المعلومات الصادرة عن الجهات الصحية الرسمية والأطباء المتخصصين، في حين تمثل المعلومات غير الموثوقة والتجارب الشخصية غير المدعومة بالأدلة العلمية أحد أبرز التحديات التي قد تؤثر سلبًا في السلوك الصحي واتخاذ القرارات العلاجية. كما أكدت النتائج أهمية استخدام الوسائط البصرية والتفاعلية، مثل الفيديوهات التوعوية والإنفوجرافيك، لما لها من قدرة أكبر على جذب انتباه الجمهور وتبسيط المعلومات الطبية المعقدة</w:t>
      </w:r>
      <w:r w:rsidRPr="007C1AB5">
        <w:rPr>
          <w:rFonts w:asciiTheme="majorBidi" w:hAnsiTheme="majorBidi" w:cstheme="majorBidi"/>
          <w:b/>
          <w:bCs/>
          <w:sz w:val="28"/>
          <w:szCs w:val="28"/>
          <w:lang w:bidi="ar-EG"/>
        </w:rPr>
        <w:t>.</w:t>
      </w:r>
    </w:p>
    <w:p w14:paraId="6EB540F1" w14:textId="77777777" w:rsidR="000913DC" w:rsidRPr="007C1AB5"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وتؤكد هذه النتائج الحاجة إلى تطوير استراتيجيات وطنية متكاملة لتوظيف الإعلام الرقمي في التوعية الصحية، من خلال تعزيز التعاون بين المؤسسات الصحية ووسائل الإعلام والجامعات والمتخصصين، وإنتاج محتوى صحي موثوق، مبسط، ومتجدد يستند إلى الأدلة العلمية، مع الاستفادة من التقنيات الحديثة والذكاء الاصطناعي في تقديم المعلومات الصحية ومكافحة المعلومات المضللة</w:t>
      </w:r>
      <w:r w:rsidRPr="007C1AB5">
        <w:rPr>
          <w:rFonts w:asciiTheme="majorBidi" w:hAnsiTheme="majorBidi" w:cstheme="majorBidi"/>
          <w:b/>
          <w:bCs/>
          <w:sz w:val="28"/>
          <w:szCs w:val="28"/>
          <w:lang w:bidi="ar-EG"/>
        </w:rPr>
        <w:t>.</w:t>
      </w:r>
    </w:p>
    <w:p w14:paraId="1B6C855A" w14:textId="61836129" w:rsidR="004A17C0"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وفي ضوء ما توصلت إليه الدراسة، يمكن القول إن الاستثمار في الإعلام الرقمي يمثل استثمارًا في صحة المجتمع، إذ يسهم في بناء مجتمع أكثر وعيًا، ويعزز من قدرة المرضى على إدارة أمراضهم بصورة صحيحة، ويدعم جهود الوقاية والعلاج، بما يتماشى مع مستهدفات التحول الرقمي وتطوير القطاع الصحي، ويسهم في تحقيق تنمية صحية مستدامة ترتكز على المعرفة والوعي والمشاركة المجتمعية</w:t>
      </w:r>
      <w:r w:rsidRPr="007C1AB5">
        <w:rPr>
          <w:rFonts w:asciiTheme="majorBidi" w:hAnsiTheme="majorBidi" w:cstheme="majorBidi"/>
          <w:b/>
          <w:bCs/>
          <w:sz w:val="28"/>
          <w:szCs w:val="28"/>
          <w:lang w:bidi="ar-EG"/>
        </w:rPr>
        <w:t>.</w:t>
      </w:r>
    </w:p>
    <w:p w14:paraId="3302B064" w14:textId="77777777" w:rsidR="007C1AB5" w:rsidRPr="007C1AB5" w:rsidRDefault="007C1AB5" w:rsidP="007C1AB5">
      <w:pPr>
        <w:spacing w:line="360" w:lineRule="auto"/>
        <w:rPr>
          <w:rFonts w:asciiTheme="majorBidi" w:hAnsiTheme="majorBidi" w:cstheme="majorBidi"/>
          <w:b/>
          <w:bCs/>
          <w:sz w:val="28"/>
          <w:szCs w:val="28"/>
          <w:rtl/>
          <w:lang w:bidi="ar-EG"/>
        </w:rPr>
      </w:pPr>
    </w:p>
    <w:p w14:paraId="4A8F61B7" w14:textId="0AABCC76"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المراجع:</w:t>
      </w:r>
    </w:p>
    <w:p w14:paraId="0DA8799C"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lang w:bidi="ar-EG"/>
        </w:rPr>
        <w:lastRenderedPageBreak/>
        <w:t>Wang, Y. P., &amp; Liao, P. H. (2024). Enhancing Citizen Health Literacy Through Digital Technology. In Innovation in Applied Nursing Informatics (pp. 687-688). IOS Press</w:t>
      </w:r>
      <w:r w:rsidRPr="007C1AB5">
        <w:rPr>
          <w:rFonts w:asciiTheme="majorBidi" w:hAnsiTheme="majorBidi" w:cstheme="majorBidi"/>
          <w:b/>
          <w:bCs/>
          <w:sz w:val="28"/>
          <w:szCs w:val="28"/>
          <w:rtl/>
          <w:lang w:bidi="ar-EG"/>
        </w:rPr>
        <w:t>.‏</w:t>
      </w:r>
    </w:p>
    <w:p w14:paraId="134E1DD5"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Fundoiano-Hershcovitz, Y., Feniger, E., Dar, S., Ritholz, M., Schorr, A. B., &amp; Goldstein, P. (2021). Digital Therapeutics for Type 2 Diabetes: Incorporating Coaching Support and Validating Digital Monitoring. Journal of diabetes science and technology, 15(5), 1188-1189</w:t>
      </w:r>
      <w:r w:rsidRPr="007C1AB5">
        <w:rPr>
          <w:rFonts w:asciiTheme="majorBidi" w:hAnsiTheme="majorBidi" w:cstheme="majorBidi"/>
          <w:b/>
          <w:bCs/>
          <w:sz w:val="28"/>
          <w:szCs w:val="28"/>
          <w:rtl/>
          <w:lang w:bidi="ar-EG"/>
        </w:rPr>
        <w:t>.‏</w:t>
      </w:r>
    </w:p>
    <w:p w14:paraId="36DB24C9"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أماني رضا عبد المقصود (2020)، التجربة الترفيهية عبر منصات خدمة الفيديو الرقمية العربية: دراسة تطبيقية في ضوء نظرية الثراء الإعلامي، مجلة البحوث الإعلامية، کلية الإعلام، جامعة الأزهر، العدد 55 ، الجزء1، أکتوبر2020.</w:t>
      </w:r>
    </w:p>
    <w:p w14:paraId="101EF389"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جاد عویدات (٢٠٢٠)، تفاعل الشباب الجامعي مع طرق الوقایة من فیروس  کورونا عبـر فـیس بوک "دارسـة میدانیـة لمستخدمي صفحتي قناة "المملکة  الأردنیة"، وقناة "فرانس ٢٤ ,"مجلة الدراسات الإعلامیة، بـرلین: المرکـز العربي الـدیمقراطي، عدد 11 ، مايو 2020.</w:t>
      </w:r>
    </w:p>
    <w:p w14:paraId="0E71914F"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حسام فايز عبدالحي (2020)، اعتماد طلبة الجامعات على وسائل الإعلام الجدید   فی إستقاء المعلومات والأخبار عن جائحة کورونا  کوفید 19 وعلاقته بالإندماج  الأکادیمی لدیهم، مجلة البحوث الإعلامية، کلية الإعلام، جامعة الأزهر، المقالة 10، المجلد 54، جزء 4 (جائحة کورونا( .</w:t>
      </w:r>
    </w:p>
    <w:p w14:paraId="35E04291"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طارق الصعيدي (2020)، اعتماد الشباب على صحافة الموبایل ودورها فی التوعیة الصحیة بجائحة کورونا فی مصر، مجلة البحوث الإعلامية، کلية الإعلام، جامعة الأزهر، المقالة 3، المجلد 54، جزء 4 (جائحة کورونا(.</w:t>
      </w:r>
    </w:p>
    <w:p w14:paraId="7766775C"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غادة البطريق (2020)، إلتماس الشباب الجامعي للمعلومات عن رؤية 2030 للمملکة العربية السعودية من وسائل الإعلام التقليدية والرقمية وعلاقته بمستوى إدراکهم لها،مجلة البحوث الإعلامية، کلية الإعلام، جامعة الأزهر، العدد55، الجزء 4، أکتوبر2020.</w:t>
      </w:r>
    </w:p>
    <w:p w14:paraId="30FDF797"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 xml:space="preserve">مرتضى البشير الأمين، خالد عبدالحفيظ محمد (٢٠٢٠) وسائل التواصل االجتماعي وتعزيز الوعي الصحي للوقاية من فيروس کورونا المستجد </w:t>
      </w:r>
      <w:r w:rsidRPr="007C1AB5">
        <w:rPr>
          <w:rFonts w:asciiTheme="majorBidi" w:hAnsiTheme="majorBidi" w:cstheme="majorBidi"/>
          <w:b/>
          <w:bCs/>
          <w:sz w:val="28"/>
          <w:szCs w:val="28"/>
          <w:lang w:bidi="ar-EG"/>
        </w:rPr>
        <w:t>COVID19</w:t>
      </w:r>
      <w:r w:rsidRPr="007C1AB5">
        <w:rPr>
          <w:rFonts w:asciiTheme="majorBidi" w:hAnsiTheme="majorBidi" w:cstheme="majorBidi"/>
          <w:b/>
          <w:bCs/>
          <w:sz w:val="28"/>
          <w:szCs w:val="28"/>
          <w:rtl/>
          <w:lang w:bidi="ar-EG"/>
        </w:rPr>
        <w:t xml:space="preserve"> "دراسة على صفحة الفيسبوک بالموقع الرسمي لوزارة </w:t>
      </w:r>
      <w:r w:rsidRPr="007C1AB5">
        <w:rPr>
          <w:rFonts w:asciiTheme="majorBidi" w:hAnsiTheme="majorBidi" w:cstheme="majorBidi"/>
          <w:b/>
          <w:bCs/>
          <w:sz w:val="28"/>
          <w:szCs w:val="28"/>
          <w:rtl/>
          <w:lang w:bidi="ar-EG"/>
        </w:rPr>
        <w:lastRenderedPageBreak/>
        <w:t>الصحة السودانية"، مجلة الدراسات الإعلامیة. بـرلین: المرکـز العربـي الـدیمقراطي،عدد 11 لشهر مايو 2020</w:t>
      </w:r>
    </w:p>
    <w:p w14:paraId="1A101661" w14:textId="77777777" w:rsidR="000913DC" w:rsidRPr="007C1AB5" w:rsidRDefault="000913DC" w:rsidP="000913DC">
      <w:pPr>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lang w:bidi="ar-EG"/>
        </w:rPr>
        <w:t>Devi, G. P. (2020). Effectiveness of digital media education on the attitude of the diabetic patients. Int J Curr Microbiol Appl Sci, 9(9), 1116-1123</w:t>
      </w:r>
      <w:r w:rsidRPr="007C1AB5">
        <w:rPr>
          <w:rFonts w:asciiTheme="majorBidi" w:hAnsiTheme="majorBidi" w:cstheme="majorBidi"/>
          <w:b/>
          <w:bCs/>
          <w:sz w:val="28"/>
          <w:szCs w:val="28"/>
          <w:rtl/>
          <w:lang w:bidi="ar-EG"/>
        </w:rPr>
        <w:t>.‏</w:t>
      </w:r>
    </w:p>
    <w:p w14:paraId="7637356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داليا عثمان (2019)، اتجاهات المرأة المصریة نحو استخدام الإعلام الرقمي فی المجال الصحي، مجلة البحوث الإعلامية، کلية الإعلام ، جامعة الأزهر، المقالة 8، المجلد 18، العدد 3.</w:t>
      </w:r>
    </w:p>
    <w:p w14:paraId="3F08395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Jerome, R. N., Dunkel, L., Kennedy, N., Olson, E. J., Pulley, J. M., Bernard, G., ... &amp; Harris, P. A. (2019). To end disease tomorrow, begin with trials today: digital strategies for increased awareness of a clinical trials finder. Journal of Clinical and Translational Science, 3(4), 190-198</w:t>
      </w:r>
      <w:r w:rsidRPr="007C1AB5">
        <w:rPr>
          <w:rFonts w:asciiTheme="majorBidi" w:hAnsiTheme="majorBidi" w:cstheme="majorBidi"/>
          <w:b/>
          <w:bCs/>
          <w:sz w:val="28"/>
          <w:szCs w:val="28"/>
          <w:rtl/>
          <w:lang w:bidi="ar-EG"/>
        </w:rPr>
        <w:t>.‏</w:t>
      </w:r>
    </w:p>
    <w:p w14:paraId="398C636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دربال کريمة (2018)، دور الحملات الإعلامية التوعوية في نشر ثقافة الکشف المبکرعن سرطان الثدي، رسالة ماجستير، الجزائر، جامعة الدکتور مولاي الطاهر، کلية العلوم الإجتماعية والإنسانية، قسم الإعلام والإتصال.</w:t>
      </w:r>
    </w:p>
    <w:p w14:paraId="59CDFAA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نوال إسماعيل (2018)، الأسس والقواعد الدولية لمنهجية الإعلام، ط1، القاهرة: دار العلم والإيمان للنشر والتوزيع.</w:t>
      </w:r>
    </w:p>
    <w:p w14:paraId="4E158DCB"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مازن جبار (2018)، دور مواقع التواصل الاجتماعي في توجيه الرأي العام العراقي نحو المشارکة السياسية، رسالة ماجستير غير منشورة، جامعة الإسکندرية ، کلية الآداب، قسم الإجتماع.</w:t>
      </w:r>
    </w:p>
    <w:p w14:paraId="2BED764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حسين عمر الهاروشي (2017)، التعرض لوسائل الإعلام الرياضي ودوره في العوامل النفسية والأداء الرياضي، ط1، الجزائر: شرکة دار الأکاديميون للنشر والتوزيع.</w:t>
      </w:r>
    </w:p>
    <w:p w14:paraId="4FDF008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رفعت عارف الضبع (2017) الحملات الإعلامية، ط1، القاهرة: المکتب المصري للمطبوعات.</w:t>
      </w:r>
    </w:p>
    <w:p w14:paraId="3923C4C9"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علي حجازي (2017) الحملات الإعلامية وفن مخاطبة الجمهور،ط1،عمان: دار المعتز للنشر والتوزيع.</w:t>
      </w:r>
    </w:p>
    <w:p w14:paraId="2C411E0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محسن الکناني، أحمد مهدي (2017)، التلفزيون وتعزيز الوعي الصحي، ط2، عمان: دار أمجد للنشر والتوزيع.</w:t>
      </w:r>
    </w:p>
    <w:p w14:paraId="59299F33"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lastRenderedPageBreak/>
        <w:t>سعد المشهداني (2017)، مناهج البحث الإعلامي، ط1، دولة الإمارات العربية المتحدة: دار الکتاب الجامعي، جامعة تکريت، کلية الآداب.</w:t>
      </w:r>
    </w:p>
    <w:p w14:paraId="2CCD4B42"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محسن الکناني، أحمد مهدي (2017)، التلفزيون وتعزيز الوعي الصحي، ط2، عمان: دار أمجد للنشر والتوزيع.</w:t>
      </w:r>
    </w:p>
    <w:p w14:paraId="5ACCF3BF"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عبدالغني الدغيمر، حنان فضل الله وآخرون (2016)، التواصل في حالة الأزمات الصحية: مدخل للمفاهيم الأساسية، المؤتمر الوطني الثالث للجمعية المغربية للتواصل الصحي، الجمعية المغربية للتواصل الصحي، کلية الطب والصيدلة بفاس 4-5 يونيو 2016،المجلة الصحية المغربية، العدد14.</w:t>
      </w:r>
    </w:p>
    <w:p w14:paraId="03AFDF40"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محمد شعيب (٢٠١٤)، الإدارة المعاصرة: لخدمات الإسکان ومکافحة العدوى والتدريب والتثقيف الصحي. ط١، القاهرة: دار النشر للجامعات.</w:t>
      </w:r>
    </w:p>
    <w:p w14:paraId="0D144D3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عصام السعيد(2014)،استخدامات  شبکات التواصل الاجتماعي بجامعة بورسعيد  في دعم خدمات الإرشاد الجامعي رؤية مستقبلية, مجلة کلية التربية، جامعة المنصورة، مجلد 87، جزء 1.</w:t>
      </w:r>
    </w:p>
    <w:p w14:paraId="5EE28B2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حسنين شفيق(2013), نظريات الإعلام وتطبيقاتها في دراسات الإعلام الجديد، ط1،القاهرة: دار فکر وفن للنشر.</w:t>
      </w:r>
    </w:p>
    <w:p w14:paraId="340100AE"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خالد غسان (2012), ثورة الشبکات الاجتماعية، ط1، دمشق: دار النفائس للنشر والتوزيع.</w:t>
      </w:r>
    </w:p>
    <w:p w14:paraId="2583DED1"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حسن مکاوي، ليلى السيد (2012) الاتصال ونظرياته المعاصرة، ط10، القاهرة: الدار المصرية اللبنانية.</w:t>
      </w:r>
    </w:p>
    <w:p w14:paraId="4F07B5F7"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القرني علي بن شويل (2011)، الإعلامالجديد:من الصحافةالتقليدية الى الإعلام الاجتماعي  و صحافة المواطن، ط1، الرياض: مطابع هلا شرکه  توزيع الجريسي.</w:t>
      </w:r>
    </w:p>
    <w:p w14:paraId="75DCADDA"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عايدة فضل الشعراوي (2006)، الإعلان والعلاقات العامة دراسة مقارنة، ط1، بيروت, الدار الجامعية.</w:t>
      </w:r>
    </w:p>
    <w:p w14:paraId="2E067E54" w14:textId="77777777" w:rsidR="000913DC" w:rsidRPr="007C1AB5" w:rsidRDefault="000913DC" w:rsidP="000913DC">
      <w:pPr>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قلاده</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نرمين ملاك يونان. (2025). فاعلية برنامج تثقيف غذائي للوقاية من الأمراض المزمنة على السلوكيات الغذائية لطلاب الجامعة. مجلة البحوث في مجالات التربية النوعية, 11(56), 491-516</w:t>
      </w:r>
    </w:p>
    <w:p w14:paraId="4A29393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السلمي, ع. ب. ر</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عطيه بن رويبح. (2022). الوعي الاجتماعي ودوره في مواجهة بعض الامراض المزمنة دراسة وصفية على عينة من المرضى المصابين بالأمراض المزمنة بمستشفى جامعة الملک عبدالعزيز بجدة. المجلة العلمية بکلية الآداب, 2022(46), 596-634</w:t>
      </w:r>
      <w:r w:rsidRPr="007C1AB5">
        <w:rPr>
          <w:rFonts w:asciiTheme="majorBidi" w:hAnsiTheme="majorBidi" w:cstheme="majorBidi"/>
          <w:b/>
          <w:bCs/>
          <w:sz w:val="28"/>
          <w:szCs w:val="28"/>
          <w:lang w:bidi="ar-EG"/>
        </w:rPr>
        <w:t>.</w:t>
      </w:r>
    </w:p>
    <w:p w14:paraId="2A844DD1" w14:textId="77777777" w:rsidR="000913DC" w:rsidRPr="007C1AB5" w:rsidRDefault="000913DC" w:rsidP="000913DC">
      <w:pPr>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lastRenderedPageBreak/>
        <w:t>خيرت حمزة, ب. (2023). الاتصال الرقمي كآلية لتشكيل الرأي العام تجاه القضايا الصحية. مجلة کلية الآداب بالوادي الجديد, 9(17), 769-851</w:t>
      </w:r>
      <w:r w:rsidRPr="007C1AB5">
        <w:rPr>
          <w:rFonts w:asciiTheme="majorBidi" w:hAnsiTheme="majorBidi" w:cstheme="majorBidi"/>
          <w:b/>
          <w:bCs/>
          <w:sz w:val="28"/>
          <w:szCs w:val="28"/>
          <w:lang w:bidi="ar-EG"/>
        </w:rPr>
        <w:t>.</w:t>
      </w:r>
    </w:p>
    <w:p w14:paraId="30AA212B"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صبرة</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واضحة أنور أحمد. (2024). تحليل بنية السرد وانعكاسه على القضايا الصحية في المواقع الإلكترونية التفاعلية (موقع انكفاضة أنموذجًا). المجلة العلمية لبحوث الإعلام و تکنولوجيا الإتصال, 16(16), 339-368</w:t>
      </w:r>
      <w:r w:rsidRPr="007C1AB5">
        <w:rPr>
          <w:rFonts w:asciiTheme="majorBidi" w:hAnsiTheme="majorBidi" w:cstheme="majorBidi"/>
          <w:b/>
          <w:bCs/>
          <w:sz w:val="28"/>
          <w:szCs w:val="28"/>
          <w:lang w:bidi="ar-EG"/>
        </w:rPr>
        <w:t xml:space="preserve">. </w:t>
      </w:r>
    </w:p>
    <w:p w14:paraId="09C74B1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محمد, أحمد إبراهيم, غريب</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هدير يحيي. (2023). اتجاهات الجمهور المصري لدور الحسابات الصحية الرسمية على شبكات التواصل الاجتماعي في التوعية بالقضايا الصحية وأساليب الوقاية من الامراض السائدة. المجلة المصرية لبحوث الرأى العام, 22(4), 635-663</w:t>
      </w:r>
      <w:r w:rsidRPr="007C1AB5">
        <w:rPr>
          <w:rFonts w:asciiTheme="majorBidi" w:hAnsiTheme="majorBidi" w:cstheme="majorBidi"/>
          <w:b/>
          <w:bCs/>
          <w:sz w:val="28"/>
          <w:szCs w:val="28"/>
          <w:lang w:bidi="ar-EG"/>
        </w:rPr>
        <w:t>.</w:t>
      </w:r>
    </w:p>
    <w:p w14:paraId="3D984403"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علواني, عومار, عرعار</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أنس. (2024). الثقافة الصحية ودورها في الحد من تفشي الأمراض المزمنة وسبل الوقاية منها: دراسة أنثروبولوجية</w:t>
      </w:r>
      <w:r w:rsidRPr="007C1AB5">
        <w:rPr>
          <w:rFonts w:asciiTheme="majorBidi" w:hAnsiTheme="majorBidi" w:cstheme="majorBidi"/>
          <w:b/>
          <w:bCs/>
          <w:sz w:val="28"/>
          <w:szCs w:val="28"/>
          <w:lang w:bidi="ar-EG"/>
        </w:rPr>
        <w:t xml:space="preserve"> Health culture and its role in reducing the spread of chronic diseases and ways to prevent them anthropolojicol stady. </w:t>
      </w:r>
      <w:r w:rsidRPr="007C1AB5">
        <w:rPr>
          <w:rFonts w:asciiTheme="majorBidi" w:hAnsiTheme="majorBidi" w:cstheme="majorBidi"/>
          <w:b/>
          <w:bCs/>
          <w:sz w:val="28"/>
          <w:szCs w:val="28"/>
          <w:rtl/>
          <w:lang w:bidi="ar-EG"/>
        </w:rPr>
        <w:t>أنثروبولوجيا, 10(1), 133-144</w:t>
      </w:r>
      <w:r w:rsidRPr="007C1AB5">
        <w:rPr>
          <w:rFonts w:asciiTheme="majorBidi" w:hAnsiTheme="majorBidi" w:cstheme="majorBidi"/>
          <w:b/>
          <w:bCs/>
          <w:sz w:val="28"/>
          <w:szCs w:val="28"/>
          <w:lang w:bidi="ar-EG"/>
        </w:rPr>
        <w:t>.</w:t>
      </w:r>
    </w:p>
    <w:p w14:paraId="157609B3"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المنسى, سمر توكل عرفه معوض, اسماعيل, محمودحسن, صقر, غادة موسى إبراهيم</w:t>
      </w:r>
      <w:r w:rsidRPr="007C1AB5">
        <w:rPr>
          <w:rFonts w:asciiTheme="majorBidi" w:hAnsiTheme="majorBidi" w:cstheme="majorBidi"/>
          <w:b/>
          <w:bCs/>
          <w:sz w:val="28"/>
          <w:szCs w:val="28"/>
          <w:lang w:bidi="ar-EG"/>
        </w:rPr>
        <w:t xml:space="preserve">, ... &amp; </w:t>
      </w:r>
      <w:r w:rsidRPr="007C1AB5">
        <w:rPr>
          <w:rFonts w:asciiTheme="majorBidi" w:hAnsiTheme="majorBidi" w:cstheme="majorBidi"/>
          <w:b/>
          <w:bCs/>
          <w:sz w:val="28"/>
          <w:szCs w:val="28"/>
          <w:rtl/>
          <w:lang w:bidi="ar-EG"/>
        </w:rPr>
        <w:t>ماجدة أبوالفتوح محمد. (2025). الحملات الصحية الرئاسية بوسائل الإعلام الجديد ومعالجتها إعلامياً</w:t>
      </w:r>
      <w:r w:rsidRPr="007C1AB5">
        <w:rPr>
          <w:rFonts w:asciiTheme="majorBidi" w:hAnsiTheme="majorBidi" w:cstheme="majorBidi"/>
          <w:b/>
          <w:bCs/>
          <w:sz w:val="28"/>
          <w:szCs w:val="28"/>
          <w:lang w:bidi="ar-EG"/>
        </w:rPr>
        <w:t>. </w:t>
      </w:r>
    </w:p>
    <w:p w14:paraId="6C5ECD00"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أبو زيد, معزة آدم أحمد, عبد الله</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هبه محمد إسماعيل. (2022). الشائعات الالکترونية وتأثيرها على الوضع الصحي في السودان فيروس کورونا المعدي (کوفيد 19) أنموذجاً (دراسة على مستخدمي شبکات التواصل الاجتماعي)</w:t>
      </w:r>
      <w:r w:rsidRPr="007C1AB5">
        <w:rPr>
          <w:rFonts w:asciiTheme="majorBidi" w:hAnsiTheme="majorBidi" w:cstheme="majorBidi"/>
          <w:b/>
          <w:bCs/>
          <w:sz w:val="28"/>
          <w:szCs w:val="28"/>
          <w:lang w:bidi="ar-EG"/>
        </w:rPr>
        <w:t>.</w:t>
      </w:r>
    </w:p>
    <w:p w14:paraId="0BEB62F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(Education, P., &amp; Education, S. " </w:t>
      </w:r>
      <w:r w:rsidRPr="007C1AB5">
        <w:rPr>
          <w:rFonts w:asciiTheme="majorBidi" w:hAnsiTheme="majorBidi" w:cstheme="majorBidi"/>
          <w:b/>
          <w:bCs/>
          <w:sz w:val="28"/>
          <w:szCs w:val="28"/>
          <w:rtl/>
          <w:lang w:bidi="ar-EG"/>
        </w:rPr>
        <w:t xml:space="preserve"> (2023) تقديم المعلومات الصحية حل جائحة کورونا عبر وسائل التواصل الاجتماعى وتأثيراتها الاجتماعية</w:t>
      </w:r>
      <w:r w:rsidRPr="007C1AB5">
        <w:rPr>
          <w:rFonts w:asciiTheme="majorBidi" w:hAnsiTheme="majorBidi" w:cstheme="majorBidi"/>
          <w:b/>
          <w:bCs/>
          <w:sz w:val="28"/>
          <w:szCs w:val="28"/>
          <w:lang w:bidi="ar-EG"/>
        </w:rPr>
        <w:t>.</w:t>
      </w:r>
    </w:p>
    <w:p w14:paraId="603FD7F8" w14:textId="77777777" w:rsidR="000913DC" w:rsidRPr="007C1AB5" w:rsidRDefault="000913DC" w:rsidP="000913DC">
      <w:pPr>
        <w:bidi w:val="0"/>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lang w:bidi="ar-EG"/>
        </w:rPr>
        <w:t>Fundoiano-Hershcovitz, Y., Feniger, E., Dar, S., Ritholz, M., Schorr, A. B., &amp; Goldstein, P. (2021). Digital Therapeutics for Type 2 Diabetes: Incorporating Coaching Support and Validating Digital Monitoring. Journal of diabetes science and technology, 15(5), 1188-1189</w:t>
      </w:r>
      <w:r w:rsidRPr="007C1AB5">
        <w:rPr>
          <w:rFonts w:asciiTheme="majorBidi" w:hAnsiTheme="majorBidi" w:cstheme="majorBidi"/>
          <w:b/>
          <w:bCs/>
          <w:sz w:val="28"/>
          <w:szCs w:val="28"/>
          <w:rtl/>
          <w:lang w:bidi="ar-EG"/>
        </w:rPr>
        <w:t>.‏</w:t>
      </w:r>
    </w:p>
    <w:p w14:paraId="3813A70C" w14:textId="39007273" w:rsidR="004A17C0" w:rsidRPr="007C1AB5" w:rsidRDefault="004A17C0" w:rsidP="0008625B">
      <w:pPr>
        <w:spacing w:line="360" w:lineRule="auto"/>
        <w:rPr>
          <w:rFonts w:asciiTheme="majorBidi" w:hAnsiTheme="majorBidi" w:cstheme="majorBidi"/>
          <w:b/>
          <w:bCs/>
          <w:sz w:val="28"/>
          <w:szCs w:val="28"/>
          <w:rtl/>
          <w:lang w:bidi="ar-EG"/>
        </w:rPr>
      </w:pPr>
    </w:p>
    <w:p w14:paraId="4764E237" w14:textId="77777777" w:rsidR="007C1AB5" w:rsidRPr="007C1AB5" w:rsidRDefault="007C1AB5" w:rsidP="007C1AB5">
      <w:pPr>
        <w:numPr>
          <w:ilvl w:val="0"/>
          <w:numId w:val="5"/>
        </w:numPr>
        <w:spacing w:line="360" w:lineRule="auto"/>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lastRenderedPageBreak/>
        <w:t>عايدة فضل الشعراوي (2006)، الإعلان والعلاقات العامة دراسة مقارنة، ط1، بيروت, الدار الجامعية.</w:t>
      </w:r>
    </w:p>
    <w:p w14:paraId="04473D70" w14:textId="77777777" w:rsidR="007C1AB5" w:rsidRPr="007C1AB5" w:rsidRDefault="007C1AB5" w:rsidP="007C1AB5">
      <w:pPr>
        <w:numPr>
          <w:ilvl w:val="0"/>
          <w:numId w:val="5"/>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قلاده</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نرمين ملاك يونان. (2025). فاعلية برنامج تثقيف غذائي للوقاية من الأمراض المزمنة على السلوكيات الغذائية لطلاب الجامعة. مجلة البحوث في مجالات التربية النوعية, 11(56), 491-516</w:t>
      </w:r>
    </w:p>
    <w:p w14:paraId="3C0CA2EA" w14:textId="77777777" w:rsidR="007C1AB5" w:rsidRPr="007C1AB5" w:rsidRDefault="007C1AB5" w:rsidP="007C1AB5">
      <w:pPr>
        <w:numPr>
          <w:ilvl w:val="0"/>
          <w:numId w:val="5"/>
        </w:numPr>
        <w:spacing w:line="360" w:lineRule="auto"/>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السلمي, ع. ب. ر</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عطيه بن رويبح. (2022). الوعي الاجتماعي ودوره في مواجهة بعض الامراض المزمنة دراسة وصفية على عينة من المرضى المصابين بالأمراض المزمنة بمستشفى جامعة الملک عبدالعزيز بجدة. المجلة العلمية بکلية الآداب, 2022(46), 596-634</w:t>
      </w:r>
      <w:r w:rsidRPr="007C1AB5">
        <w:rPr>
          <w:rFonts w:asciiTheme="majorBidi" w:hAnsiTheme="majorBidi" w:cstheme="majorBidi"/>
          <w:b/>
          <w:bCs/>
          <w:sz w:val="28"/>
          <w:szCs w:val="28"/>
          <w:lang w:bidi="ar-EG"/>
        </w:rPr>
        <w:t>.</w:t>
      </w:r>
    </w:p>
    <w:p w14:paraId="4BD2D1CF" w14:textId="77777777" w:rsidR="007C1AB5" w:rsidRPr="007C1AB5" w:rsidRDefault="007C1AB5" w:rsidP="007C1AB5">
      <w:pPr>
        <w:numPr>
          <w:ilvl w:val="0"/>
          <w:numId w:val="5"/>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خيرت حمزة, ب. (2023). الاتصال الرقمي كآلية لتشكيل الرأي العام تجاه القضايا الصحية. مجلة کلية الآداب بالوادي الجديد, 9(17), 769-851</w:t>
      </w:r>
      <w:r w:rsidRPr="007C1AB5">
        <w:rPr>
          <w:rFonts w:asciiTheme="majorBidi" w:hAnsiTheme="majorBidi" w:cstheme="majorBidi"/>
          <w:b/>
          <w:bCs/>
          <w:sz w:val="28"/>
          <w:szCs w:val="28"/>
          <w:lang w:bidi="ar-EG"/>
        </w:rPr>
        <w:t>.</w:t>
      </w:r>
    </w:p>
    <w:p w14:paraId="71C7D421" w14:textId="474A0ADD" w:rsidR="007C1AB5" w:rsidRPr="007C1AB5" w:rsidRDefault="007C1AB5" w:rsidP="007C1AB5">
      <w:pPr>
        <w:numPr>
          <w:ilvl w:val="0"/>
          <w:numId w:val="5"/>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صبرة</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واضحة أنور أحمد. (2024). تحليل بنية السرد وانعكاسه على القضايا الصحية في المواقع الإلكترونية التفاعلية (موقع انكفاضة أنموذجًا). المجلة العلمية لبحوث الإعلام و تکنولوجيا الإتصال, 16(16), 339-368</w:t>
      </w:r>
      <w:r w:rsidRPr="007C1AB5">
        <w:rPr>
          <w:rFonts w:asciiTheme="majorBidi" w:hAnsiTheme="majorBidi" w:cstheme="majorBidi"/>
          <w:b/>
          <w:bCs/>
          <w:sz w:val="28"/>
          <w:szCs w:val="28"/>
          <w:lang w:bidi="ar-EG"/>
        </w:rPr>
        <w:t xml:space="preserve">. </w:t>
      </w:r>
    </w:p>
    <w:p w14:paraId="2F1B5A53" w14:textId="3239EA8B" w:rsidR="007C1AB5" w:rsidRDefault="007C1AB5" w:rsidP="0008625B">
      <w:pPr>
        <w:spacing w:line="360" w:lineRule="auto"/>
        <w:rPr>
          <w:rFonts w:asciiTheme="majorBidi" w:hAnsiTheme="majorBidi" w:cstheme="majorBidi"/>
          <w:sz w:val="28"/>
          <w:szCs w:val="28"/>
        </w:rPr>
      </w:pPr>
    </w:p>
    <w:p w14:paraId="2ED1E99A" w14:textId="77777777" w:rsidR="00DE72A3" w:rsidRDefault="00DE72A3" w:rsidP="0008625B">
      <w:pPr>
        <w:spacing w:line="360" w:lineRule="auto"/>
        <w:rPr>
          <w:rFonts w:asciiTheme="majorBidi" w:hAnsiTheme="majorBidi" w:cstheme="majorBidi"/>
          <w:sz w:val="28"/>
          <w:szCs w:val="28"/>
        </w:rPr>
      </w:pPr>
    </w:p>
    <w:p w14:paraId="137CF028" w14:textId="77777777" w:rsidR="00DE72A3" w:rsidRDefault="00DE72A3" w:rsidP="0008625B">
      <w:pPr>
        <w:spacing w:line="360" w:lineRule="auto"/>
        <w:rPr>
          <w:rFonts w:asciiTheme="majorBidi" w:hAnsiTheme="majorBidi" w:cstheme="majorBidi"/>
          <w:sz w:val="28"/>
          <w:szCs w:val="28"/>
        </w:rPr>
      </w:pPr>
    </w:p>
    <w:p w14:paraId="50476703" w14:textId="77777777" w:rsidR="00DE72A3" w:rsidRDefault="00DE72A3" w:rsidP="0008625B">
      <w:pPr>
        <w:spacing w:line="360" w:lineRule="auto"/>
        <w:rPr>
          <w:rFonts w:asciiTheme="majorBidi" w:hAnsiTheme="majorBidi" w:cstheme="majorBidi"/>
          <w:sz w:val="28"/>
          <w:szCs w:val="28"/>
        </w:rPr>
      </w:pPr>
    </w:p>
    <w:p w14:paraId="0122CEBB" w14:textId="77777777" w:rsidR="00DE72A3" w:rsidRDefault="00DE72A3" w:rsidP="0008625B">
      <w:pPr>
        <w:spacing w:line="360" w:lineRule="auto"/>
        <w:rPr>
          <w:rFonts w:asciiTheme="majorBidi" w:hAnsiTheme="majorBidi" w:cstheme="majorBidi"/>
          <w:sz w:val="28"/>
          <w:szCs w:val="28"/>
        </w:rPr>
      </w:pPr>
    </w:p>
    <w:p w14:paraId="4CD0206E" w14:textId="77777777" w:rsidR="00DE72A3" w:rsidRDefault="00DE72A3" w:rsidP="0008625B">
      <w:pPr>
        <w:spacing w:line="360" w:lineRule="auto"/>
        <w:rPr>
          <w:rFonts w:asciiTheme="majorBidi" w:hAnsiTheme="majorBidi" w:cstheme="majorBidi"/>
          <w:sz w:val="28"/>
          <w:szCs w:val="28"/>
        </w:rPr>
      </w:pPr>
    </w:p>
    <w:p w14:paraId="26483D72" w14:textId="77777777" w:rsidR="00DE72A3" w:rsidRDefault="00DE72A3" w:rsidP="0008625B">
      <w:pPr>
        <w:spacing w:line="360" w:lineRule="auto"/>
        <w:rPr>
          <w:rFonts w:asciiTheme="majorBidi" w:hAnsiTheme="majorBidi" w:cstheme="majorBidi"/>
          <w:sz w:val="28"/>
          <w:szCs w:val="28"/>
        </w:rPr>
      </w:pPr>
    </w:p>
    <w:p w14:paraId="4CF4EA00" w14:textId="77777777" w:rsidR="00DE72A3" w:rsidRDefault="00DE72A3" w:rsidP="0008625B">
      <w:pPr>
        <w:spacing w:line="360" w:lineRule="auto"/>
        <w:rPr>
          <w:rFonts w:asciiTheme="majorBidi" w:hAnsiTheme="majorBidi" w:cstheme="majorBidi"/>
          <w:sz w:val="28"/>
          <w:szCs w:val="28"/>
        </w:rPr>
      </w:pPr>
    </w:p>
    <w:p w14:paraId="2B82E89D" w14:textId="77777777" w:rsidR="00DE72A3" w:rsidRDefault="00DE72A3" w:rsidP="0008625B">
      <w:pPr>
        <w:spacing w:line="360" w:lineRule="auto"/>
        <w:rPr>
          <w:rFonts w:asciiTheme="majorBidi" w:hAnsiTheme="majorBidi" w:cstheme="majorBidi"/>
          <w:sz w:val="28"/>
          <w:szCs w:val="28"/>
        </w:rPr>
      </w:pPr>
    </w:p>
    <w:p w14:paraId="422EA825" w14:textId="77777777" w:rsidR="00DE72A3" w:rsidRPr="007C1AB5" w:rsidRDefault="00DE72A3" w:rsidP="0008625B">
      <w:pPr>
        <w:spacing w:line="360" w:lineRule="auto"/>
        <w:rPr>
          <w:rFonts w:asciiTheme="majorBidi" w:hAnsiTheme="majorBidi" w:cstheme="majorBidi"/>
          <w:sz w:val="28"/>
          <w:szCs w:val="28"/>
          <w:rtl/>
        </w:rPr>
      </w:pPr>
    </w:p>
    <w:p w14:paraId="33591205" w14:textId="77C14615" w:rsidR="004A17C0" w:rsidRDefault="00DE72A3" w:rsidP="0008625B">
      <w:pPr>
        <w:spacing w:line="360" w:lineRule="auto"/>
        <w:rPr>
          <w:rFonts w:asciiTheme="majorBidi" w:hAnsiTheme="majorBidi" w:cstheme="majorBidi"/>
          <w:sz w:val="28"/>
          <w:szCs w:val="28"/>
          <w:rtl/>
        </w:rPr>
      </w:pPr>
      <w:r>
        <w:rPr>
          <w:rFonts w:asciiTheme="majorBidi" w:hAnsiTheme="majorBidi" w:cstheme="majorBidi"/>
          <w:noProof/>
          <w:sz w:val="28"/>
          <w:szCs w:val="28"/>
          <w:rtl/>
          <w:lang w:val="ar-EG" w:bidi="ar-EG"/>
        </w:rPr>
        <w:drawing>
          <wp:anchor distT="0" distB="0" distL="114300" distR="114300" simplePos="0" relativeHeight="251679744" behindDoc="0" locked="0" layoutInCell="1" allowOverlap="1" wp14:anchorId="751F67A6" wp14:editId="1AEEE861">
            <wp:simplePos x="0" y="0"/>
            <wp:positionH relativeFrom="column">
              <wp:posOffset>-438785</wp:posOffset>
            </wp:positionH>
            <wp:positionV relativeFrom="paragraph">
              <wp:posOffset>95365</wp:posOffset>
            </wp:positionV>
            <wp:extent cx="7094855" cy="4610100"/>
            <wp:effectExtent l="0" t="0" r="4445" b="0"/>
            <wp:wrapNone/>
            <wp:docPr id="520317863"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17863" name="صورة 520317863"/>
                    <pic:cNvPicPr/>
                  </pic:nvPicPr>
                  <pic:blipFill>
                    <a:blip r:embed="rId9">
                      <a:extLst>
                        <a:ext uri="{28A0092B-C50C-407E-A947-70E740481C1C}">
                          <a14:useLocalDpi xmlns:a14="http://schemas.microsoft.com/office/drawing/2010/main" val="0"/>
                        </a:ext>
                      </a:extLst>
                    </a:blip>
                    <a:stretch>
                      <a:fillRect/>
                    </a:stretch>
                  </pic:blipFill>
                  <pic:spPr>
                    <a:xfrm>
                      <a:off x="0" y="0"/>
                      <a:ext cx="7094855" cy="4610100"/>
                    </a:xfrm>
                    <a:prstGeom prst="rect">
                      <a:avLst/>
                    </a:prstGeom>
                  </pic:spPr>
                </pic:pic>
              </a:graphicData>
            </a:graphic>
            <wp14:sizeRelH relativeFrom="page">
              <wp14:pctWidth>0</wp14:pctWidth>
            </wp14:sizeRelH>
            <wp14:sizeRelV relativeFrom="page">
              <wp14:pctHeight>0</wp14:pctHeight>
            </wp14:sizeRelV>
          </wp:anchor>
        </w:drawing>
      </w:r>
    </w:p>
    <w:p w14:paraId="753F331D" w14:textId="5DA756FE" w:rsidR="004A17C0" w:rsidRDefault="004A17C0" w:rsidP="0008625B">
      <w:pPr>
        <w:spacing w:line="360" w:lineRule="auto"/>
        <w:rPr>
          <w:rFonts w:asciiTheme="majorBidi" w:hAnsiTheme="majorBidi" w:cstheme="majorBidi"/>
          <w:sz w:val="28"/>
          <w:szCs w:val="28"/>
          <w:rtl/>
        </w:rPr>
      </w:pPr>
    </w:p>
    <w:p w14:paraId="5C605406" w14:textId="771ECB6F" w:rsidR="007C1AB5" w:rsidRDefault="007C1AB5" w:rsidP="0008625B">
      <w:pPr>
        <w:spacing w:line="360" w:lineRule="auto"/>
        <w:rPr>
          <w:rFonts w:asciiTheme="majorBidi" w:hAnsiTheme="majorBidi" w:cstheme="majorBidi"/>
          <w:sz w:val="28"/>
          <w:szCs w:val="28"/>
          <w:rtl/>
        </w:rPr>
      </w:pPr>
    </w:p>
    <w:p w14:paraId="4E03C507" w14:textId="4CE7B8E8" w:rsidR="007C1AB5" w:rsidRDefault="007C1AB5" w:rsidP="0008625B">
      <w:pPr>
        <w:spacing w:line="360" w:lineRule="auto"/>
        <w:rPr>
          <w:rFonts w:asciiTheme="majorBidi" w:hAnsiTheme="majorBidi" w:cstheme="majorBidi"/>
          <w:sz w:val="28"/>
          <w:szCs w:val="28"/>
          <w:rtl/>
        </w:rPr>
      </w:pPr>
    </w:p>
    <w:p w14:paraId="03DAFA78" w14:textId="3D5CCCFF" w:rsidR="007C1AB5" w:rsidRDefault="007C1AB5" w:rsidP="0008625B">
      <w:pPr>
        <w:spacing w:line="360" w:lineRule="auto"/>
        <w:rPr>
          <w:rFonts w:asciiTheme="majorBidi" w:hAnsiTheme="majorBidi" w:cstheme="majorBidi"/>
          <w:sz w:val="28"/>
          <w:szCs w:val="28"/>
          <w:rtl/>
        </w:rPr>
      </w:pPr>
      <w:r>
        <w:rPr>
          <w:rFonts w:asciiTheme="majorBidi" w:hAnsiTheme="majorBidi" w:cstheme="majorBidi"/>
          <w:noProof/>
          <w:sz w:val="28"/>
          <w:szCs w:val="28"/>
          <w:rtl/>
          <w:lang w:val="ar-SA"/>
        </w:rPr>
        <mc:AlternateContent>
          <mc:Choice Requires="wps">
            <w:drawing>
              <wp:anchor distT="0" distB="0" distL="114300" distR="114300" simplePos="0" relativeHeight="251680768" behindDoc="0" locked="0" layoutInCell="1" allowOverlap="1" wp14:anchorId="4006452E" wp14:editId="3CEAA52E">
                <wp:simplePos x="0" y="0"/>
                <wp:positionH relativeFrom="column">
                  <wp:posOffset>1450594</wp:posOffset>
                </wp:positionH>
                <wp:positionV relativeFrom="paragraph">
                  <wp:posOffset>207264</wp:posOffset>
                </wp:positionV>
                <wp:extent cx="3243072" cy="999744"/>
                <wp:effectExtent l="0" t="0" r="0" b="0"/>
                <wp:wrapNone/>
                <wp:docPr id="1040942354" name="مربع نص 14"/>
                <wp:cNvGraphicFramePr/>
                <a:graphic xmlns:a="http://schemas.openxmlformats.org/drawingml/2006/main">
                  <a:graphicData uri="http://schemas.microsoft.com/office/word/2010/wordprocessingShape">
                    <wps:wsp>
                      <wps:cNvSpPr txBox="1"/>
                      <wps:spPr>
                        <a:xfrm>
                          <a:off x="0" y="0"/>
                          <a:ext cx="3243072" cy="999744"/>
                        </a:xfrm>
                        <a:prstGeom prst="rect">
                          <a:avLst/>
                        </a:prstGeom>
                        <a:noFill/>
                        <a:ln w="6350">
                          <a:noFill/>
                        </a:ln>
                      </wps:spPr>
                      <wps:txbx>
                        <w:txbxContent>
                          <w:p w14:paraId="6649124B" w14:textId="507AADB5" w:rsidR="007C1AB5" w:rsidRPr="007C1AB5" w:rsidRDefault="007C1AB5" w:rsidP="007C1AB5">
                            <w:pPr>
                              <w:jc w:val="center"/>
                              <w:rPr>
                                <w:b/>
                                <w:bCs/>
                                <w:sz w:val="32"/>
                                <w:szCs w:val="32"/>
                              </w:rPr>
                            </w:pPr>
                            <w:r w:rsidRPr="007C1AB5">
                              <w:rPr>
                                <w:rFonts w:hint="cs"/>
                                <w:b/>
                                <w:bCs/>
                                <w:color w:val="000000" w:themeColor="text1"/>
                                <w:sz w:val="32"/>
                                <w:szCs w:val="32"/>
                                <w:rtl/>
                              </w:rPr>
                              <w:t>النموذج المفاهيمي للدراسة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xmlns:w16cei="http://schemas.microsoft.com/office/word/2026/wordml/cei">
            <w:pict>
              <v:shape w14:anchorId="4006452E" id="مربع نص 14" o:spid="_x0000_s1031" type="#_x0000_t202" style="position:absolute;left:0;text-align:left;margin-left:114.2pt;margin-top:16.3pt;width:255.35pt;height:78.7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" filled="f" stroked="f" strokeweight=".5pt">
                <v:textbox>
                  <w:txbxContent>
                    <w:p w14:paraId="6649124B" w14:textId="507AADB5" w:rsidR="007C1AB5" w:rsidRPr="007C1AB5" w:rsidRDefault="007C1AB5" w:rsidP="007C1AB5">
                      <w:pPr>
                        <w:jc w:val="center"/>
                        <w:rPr>
                          <w:b/>
                          <w:bCs/>
                          <w:sz w:val="32"/>
                          <w:szCs w:val="32"/>
                        </w:rPr>
                      </w:pPr>
                      <w:r w:rsidRPr="007C1AB5">
                        <w:rPr>
                          <w:rFonts w:hint="cs"/>
                          <w:b/>
                          <w:bCs/>
                          <w:color w:val="000000" w:themeColor="text1"/>
                          <w:sz w:val="32"/>
                          <w:szCs w:val="32"/>
                          <w:rtl/>
                        </w:rPr>
                        <w:t>النموذج المفاهيمي للدراسة</w:t>
                      </w:r>
                    </w:p>
                  </w:txbxContent>
                </v:textbox>
              </v:shape>
            </w:pict>
          </mc:Fallback>
        </mc:AlternateContent>
      </w:r>
    </w:p>
    <w:p w14:paraId="6CD0207C" w14:textId="0B4D3452" w:rsidR="0043283E" w:rsidRPr="0043283E" w:rsidRDefault="0043283E" w:rsidP="007C1AB5">
      <w:pPr>
        <w:spacing w:line="360" w:lineRule="auto"/>
        <w:rPr>
          <w:b/>
          <w:bCs/>
          <w:sz w:val="28"/>
          <w:szCs w:val="28"/>
        </w:rPr>
      </w:pPr>
    </w:p>
    <w:p w14:paraId="74F70B8E" w14:textId="5476731A" w:rsidR="005D2EB9" w:rsidRPr="003B3A40" w:rsidRDefault="005D2EB9" w:rsidP="004A17C0">
      <w:pPr>
        <w:spacing w:line="360" w:lineRule="auto"/>
        <w:rPr>
          <w:rFonts w:asciiTheme="majorBidi" w:hAnsiTheme="majorBidi" w:cstheme="majorBidi"/>
          <w:sz w:val="28"/>
          <w:szCs w:val="28"/>
          <w:rtl/>
          <w:lang w:bidi="ar-EG"/>
        </w:rPr>
      </w:pPr>
    </w:p>
    <w:sectPr w:rsidR="005D2EB9" w:rsidRPr="003B3A40" w:rsidSect="00D708CB">
      <w:headerReference w:type="even" r:id="rId10"/>
      <w:headerReference w:type="default" r:id="rId11"/>
      <w:footerReference w:type="default" r:id="rId12"/>
      <w:headerReference w:type="firs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730161" w14:textId="77777777" w:rsidR="00395C86" w:rsidRDefault="00395C86" w:rsidP="00DD2DF5">
      <w:pPr>
        <w:spacing w:after="0" w:line="240" w:lineRule="auto"/>
      </w:pPr>
      <w:r>
        <w:separator/>
      </w:r>
    </w:p>
  </w:endnote>
  <w:endnote w:type="continuationSeparator" w:id="0">
    <w:p w14:paraId="790DB64B" w14:textId="77777777" w:rsidR="00395C86" w:rsidRDefault="00395C86" w:rsidP="00DD2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icrosoft Sans Serif">
    <w:altName w:val="Microsoft Sans Serif"/>
    <w:panose1 w:val="020B0604020202020204"/>
    <w:charset w:val="01"/>
    <w:family w:val="swiss"/>
    <w:pitch w:val="variable"/>
    <w:sig w:usb0="E1002AFF" w:usb1="C0000002" w:usb2="00000008"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B2"/>
    <w:family w:val="roman"/>
    <w:pitch w:val="variable"/>
    <w:sig w:usb0="00002003" w:usb1="80000000" w:usb2="00000008" w:usb3="00000000" w:csb0="00000041" w:csb1="00000000"/>
  </w:font>
  <w:font w:name="Beirut">
    <w:panose1 w:val="00000600000000000000"/>
    <w:charset w:val="B2"/>
    <w:family w:val="auto"/>
    <w:pitch w:val="variable"/>
    <w:sig w:usb0="00002003" w:usb1="00000000" w:usb2="00000000" w:usb3="00000000" w:csb0="00000041" w:csb1="00000000"/>
  </w:font>
  <w:font w:name="Sana">
    <w:panose1 w:val="00000400000000000000"/>
    <w:charset w:val="B2"/>
    <w:family w:val="auto"/>
    <w:pitch w:val="variable"/>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928455129"/>
      <w:docPartObj>
        <w:docPartGallery w:val="Page Numbers (Bottom of Page)"/>
        <w:docPartUnique/>
      </w:docPartObj>
    </w:sdtPr>
    <w:sdtContent>
      <w:p w14:paraId="2B458BF8" w14:textId="0E6148E6" w:rsidR="00DD2DF5" w:rsidRDefault="00DD2DF5">
        <w:pPr>
          <w:pStyle w:val="a5"/>
          <w:jc w:val="center"/>
        </w:pPr>
        <w:r>
          <w:fldChar w:fldCharType="begin"/>
        </w:r>
        <w:r>
          <w:instrText xml:space="preserve"> PAGE   \* MERGEFORMAT </w:instrText>
        </w:r>
        <w:r>
          <w:fldChar w:fldCharType="separate"/>
        </w:r>
        <w:r w:rsidR="0027207E">
          <w:rPr>
            <w:noProof/>
            <w:rtl/>
          </w:rPr>
          <w:t>34</w:t>
        </w:r>
        <w:r>
          <w:rPr>
            <w:noProof/>
          </w:rPr>
          <w:fldChar w:fldCharType="end"/>
        </w:r>
      </w:p>
    </w:sdtContent>
  </w:sdt>
  <w:p w14:paraId="04A8F43E" w14:textId="77777777" w:rsidR="00DD2DF5" w:rsidRDefault="00DD2DF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23C741" w14:textId="77777777" w:rsidR="00395C86" w:rsidRDefault="00395C86" w:rsidP="00DD2DF5">
      <w:pPr>
        <w:spacing w:after="0" w:line="240" w:lineRule="auto"/>
      </w:pPr>
      <w:r>
        <w:separator/>
      </w:r>
    </w:p>
  </w:footnote>
  <w:footnote w:type="continuationSeparator" w:id="0">
    <w:p w14:paraId="59C878B4" w14:textId="77777777" w:rsidR="00395C86" w:rsidRDefault="00395C86" w:rsidP="00DD2D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2152C7" w14:textId="68730878" w:rsidR="003F26D4" w:rsidRDefault="00395C86">
    <w:pPr>
      <w:pStyle w:val="a4"/>
    </w:pPr>
    <w:r>
      <w:rPr>
        <w:noProof/>
      </w:rPr>
      <w:pict w14:anchorId="5FDC17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1162237" o:spid="_x0000_s1027" type="#_x0000_t75" alt="" style="position:absolute;left:0;text-align:left;margin-left:0;margin-top:0;width:467.8pt;height:255.45pt;z-index:-251653120;mso-wrap-edited:f;mso-width-percent:0;mso-height-percent:0;mso-position-horizontal:center;mso-position-horizontal-relative:margin;mso-position-vertical:center;mso-position-vertical-relative:margin;mso-width-percent:0;mso-height-percent:0" o:allowincell="f">
          <v:imagedata r:id="rId1" o:title="WhatsApp Image 2026-07-06 at 4"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18B02C" w14:textId="2DFD238D" w:rsidR="003F26D4" w:rsidRDefault="00395C86">
    <w:pPr>
      <w:pStyle w:val="a4"/>
    </w:pPr>
    <w:r>
      <w:rPr>
        <w:noProof/>
      </w:rPr>
      <w:pict w14:anchorId="740A36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1162238" o:spid="_x0000_s1026" type="#_x0000_t75" alt="" style="position:absolute;left:0;text-align:left;margin-left:0;margin-top:0;width:467.8pt;height:255.45pt;z-index:-251650048;mso-wrap-edited:f;mso-width-percent:0;mso-height-percent:0;mso-position-horizontal:center;mso-position-horizontal-relative:margin;mso-position-vertical:center;mso-position-vertical-relative:margin;mso-width-percent:0;mso-height-percent:0" o:allowincell="f">
          <v:imagedata r:id="rId1" o:title="WhatsApp Image 2026-07-06 at 4"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18D360" w14:textId="0B5631C9" w:rsidR="003F26D4" w:rsidRDefault="00395C86">
    <w:pPr>
      <w:pStyle w:val="a4"/>
    </w:pPr>
    <w:r>
      <w:rPr>
        <w:noProof/>
      </w:rPr>
      <w:pict w14:anchorId="4E48D7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1162236" o:spid="_x0000_s1025" type="#_x0000_t75" alt="" style="position:absolute;left:0;text-align:left;margin-left:0;margin-top:0;width:467.8pt;height:255.45pt;z-index:-251656192;mso-wrap-edited:f;mso-width-percent:0;mso-height-percent:0;mso-position-horizontal:center;mso-position-horizontal-relative:margin;mso-position-vertical:center;mso-position-vertical-relative:margin;mso-width-percent:0;mso-height-percent:0" o:allowincell="f">
          <v:imagedata r:id="rId1" o:title="WhatsApp Image 2026-07-06 at 4"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15311"/>
    <w:multiLevelType w:val="multilevel"/>
    <w:tmpl w:val="D41C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8063B"/>
    <w:multiLevelType w:val="multilevel"/>
    <w:tmpl w:val="8AE28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9B6528"/>
    <w:multiLevelType w:val="multilevel"/>
    <w:tmpl w:val="ED30E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99119D"/>
    <w:multiLevelType w:val="multilevel"/>
    <w:tmpl w:val="C95A0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44043B"/>
    <w:multiLevelType w:val="multilevel"/>
    <w:tmpl w:val="0EDED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F0058B"/>
    <w:multiLevelType w:val="hybridMultilevel"/>
    <w:tmpl w:val="0554CEAC"/>
    <w:lvl w:ilvl="0" w:tplc="C1323664">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AF030B"/>
    <w:multiLevelType w:val="hybridMultilevel"/>
    <w:tmpl w:val="F574173E"/>
    <w:lvl w:ilvl="0" w:tplc="56BCC158">
      <w:start w:val="5"/>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DD1F4A"/>
    <w:multiLevelType w:val="multilevel"/>
    <w:tmpl w:val="065C4B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991E5B"/>
    <w:multiLevelType w:val="hybridMultilevel"/>
    <w:tmpl w:val="FFFAC10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6927494A"/>
    <w:multiLevelType w:val="hybridMultilevel"/>
    <w:tmpl w:val="DC54F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309915">
    <w:abstractNumId w:val="1"/>
  </w:num>
  <w:num w:numId="2" w16cid:durableId="102498948">
    <w:abstractNumId w:val="0"/>
  </w:num>
  <w:num w:numId="3" w16cid:durableId="406462590">
    <w:abstractNumId w:val="6"/>
  </w:num>
  <w:num w:numId="4" w16cid:durableId="364212196">
    <w:abstractNumId w:val="5"/>
  </w:num>
  <w:num w:numId="5" w16cid:durableId="1686440301">
    <w:abstractNumId w:val="9"/>
  </w:num>
  <w:num w:numId="6" w16cid:durableId="922490562">
    <w:abstractNumId w:val="2"/>
  </w:num>
  <w:num w:numId="7" w16cid:durableId="1496187197">
    <w:abstractNumId w:val="3"/>
  </w:num>
  <w:num w:numId="8" w16cid:durableId="2147048049">
    <w:abstractNumId w:val="8"/>
  </w:num>
  <w:num w:numId="9" w16cid:durableId="286938307">
    <w:abstractNumId w:val="7"/>
  </w:num>
  <w:num w:numId="10" w16cid:durableId="105061614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4DB"/>
    <w:rsid w:val="000004FF"/>
    <w:rsid w:val="00022CE1"/>
    <w:rsid w:val="00046EB2"/>
    <w:rsid w:val="0005462C"/>
    <w:rsid w:val="00084510"/>
    <w:rsid w:val="0008625B"/>
    <w:rsid w:val="000913DC"/>
    <w:rsid w:val="000B6865"/>
    <w:rsid w:val="000B7DDA"/>
    <w:rsid w:val="000E5828"/>
    <w:rsid w:val="00146B44"/>
    <w:rsid w:val="00190B8F"/>
    <w:rsid w:val="001B2A6C"/>
    <w:rsid w:val="001E5E26"/>
    <w:rsid w:val="001E6B43"/>
    <w:rsid w:val="001F4211"/>
    <w:rsid w:val="002406F9"/>
    <w:rsid w:val="0027207E"/>
    <w:rsid w:val="00280AE4"/>
    <w:rsid w:val="002C2CEB"/>
    <w:rsid w:val="002E7323"/>
    <w:rsid w:val="002F27E9"/>
    <w:rsid w:val="00306FA7"/>
    <w:rsid w:val="003171B3"/>
    <w:rsid w:val="003935BE"/>
    <w:rsid w:val="00395C86"/>
    <w:rsid w:val="003B3A40"/>
    <w:rsid w:val="003D2698"/>
    <w:rsid w:val="003E5A43"/>
    <w:rsid w:val="003F26D4"/>
    <w:rsid w:val="004113EE"/>
    <w:rsid w:val="0043283E"/>
    <w:rsid w:val="004409EB"/>
    <w:rsid w:val="00466BD1"/>
    <w:rsid w:val="004A17C0"/>
    <w:rsid w:val="004A5514"/>
    <w:rsid w:val="004F40B2"/>
    <w:rsid w:val="004F63C9"/>
    <w:rsid w:val="00501AAA"/>
    <w:rsid w:val="00536A51"/>
    <w:rsid w:val="00542121"/>
    <w:rsid w:val="0055407F"/>
    <w:rsid w:val="00560C81"/>
    <w:rsid w:val="005C5866"/>
    <w:rsid w:val="005D2EB9"/>
    <w:rsid w:val="005F0DCE"/>
    <w:rsid w:val="006256DE"/>
    <w:rsid w:val="0063032B"/>
    <w:rsid w:val="006540F0"/>
    <w:rsid w:val="006A1BB3"/>
    <w:rsid w:val="006C0717"/>
    <w:rsid w:val="006D299F"/>
    <w:rsid w:val="006D57FD"/>
    <w:rsid w:val="006E5318"/>
    <w:rsid w:val="006F53A1"/>
    <w:rsid w:val="00700332"/>
    <w:rsid w:val="00744B65"/>
    <w:rsid w:val="007760DF"/>
    <w:rsid w:val="00785B06"/>
    <w:rsid w:val="007C1AB5"/>
    <w:rsid w:val="007D61E8"/>
    <w:rsid w:val="00811F10"/>
    <w:rsid w:val="00894C14"/>
    <w:rsid w:val="008C3433"/>
    <w:rsid w:val="00903949"/>
    <w:rsid w:val="00916091"/>
    <w:rsid w:val="00957DD7"/>
    <w:rsid w:val="00A20D77"/>
    <w:rsid w:val="00A35DFA"/>
    <w:rsid w:val="00A93A06"/>
    <w:rsid w:val="00B07343"/>
    <w:rsid w:val="00B31500"/>
    <w:rsid w:val="00B57028"/>
    <w:rsid w:val="00B92A76"/>
    <w:rsid w:val="00BD28C7"/>
    <w:rsid w:val="00BD7CB2"/>
    <w:rsid w:val="00BE1202"/>
    <w:rsid w:val="00BE4D43"/>
    <w:rsid w:val="00C23C63"/>
    <w:rsid w:val="00C36B56"/>
    <w:rsid w:val="00C61474"/>
    <w:rsid w:val="00CB79A7"/>
    <w:rsid w:val="00CD267B"/>
    <w:rsid w:val="00CF5434"/>
    <w:rsid w:val="00D14FCB"/>
    <w:rsid w:val="00D16A7C"/>
    <w:rsid w:val="00D520F6"/>
    <w:rsid w:val="00D5359B"/>
    <w:rsid w:val="00D54447"/>
    <w:rsid w:val="00D56879"/>
    <w:rsid w:val="00D56F05"/>
    <w:rsid w:val="00D708CB"/>
    <w:rsid w:val="00D74349"/>
    <w:rsid w:val="00DA1D4D"/>
    <w:rsid w:val="00DC7409"/>
    <w:rsid w:val="00DD2DF5"/>
    <w:rsid w:val="00DE72A3"/>
    <w:rsid w:val="00E03ECE"/>
    <w:rsid w:val="00EA4C39"/>
    <w:rsid w:val="00EB66D1"/>
    <w:rsid w:val="00F0304A"/>
    <w:rsid w:val="00F16976"/>
    <w:rsid w:val="00F23C74"/>
    <w:rsid w:val="00F43712"/>
    <w:rsid w:val="00F964DB"/>
    <w:rsid w:val="00FA4C2F"/>
    <w:rsid w:val="00FD274F"/>
    <w:rsid w:val="00FE5319"/>
    <w:rsid w:val="00FE7132"/>
    <w:rsid w:val="00FF21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055D2"/>
  <w15:chartTrackingRefBased/>
  <w15:docId w15:val="{DA8DE465-E9CE-426D-9BA6-0D3C0EEAA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1500"/>
  </w:style>
  <w:style w:type="paragraph" w:styleId="1">
    <w:name w:val="heading 1"/>
    <w:basedOn w:val="a"/>
    <w:next w:val="a"/>
    <w:link w:val="1Char"/>
    <w:uiPriority w:val="9"/>
    <w:qFormat/>
    <w:rsid w:val="00B31500"/>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semiHidden/>
    <w:unhideWhenUsed/>
    <w:qFormat/>
    <w:rsid w:val="00F964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964D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964D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964D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964D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964D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964D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964D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1500"/>
    <w:rPr>
      <w:rFonts w:asciiTheme="majorHAnsi" w:eastAsiaTheme="majorEastAsia" w:hAnsiTheme="majorHAnsi" w:cstheme="majorBidi"/>
      <w:b/>
      <w:bCs/>
      <w:color w:val="0F4761" w:themeColor="accent1" w:themeShade="BF"/>
      <w:sz w:val="28"/>
      <w:szCs w:val="28"/>
    </w:rPr>
  </w:style>
  <w:style w:type="paragraph" w:styleId="a3">
    <w:name w:val="footnote text"/>
    <w:basedOn w:val="a"/>
    <w:link w:val="Char"/>
    <w:autoRedefine/>
    <w:uiPriority w:val="99"/>
    <w:unhideWhenUsed/>
    <w:rsid w:val="00B31500"/>
    <w:pPr>
      <w:spacing w:after="0" w:line="240" w:lineRule="auto"/>
    </w:pPr>
    <w:rPr>
      <w:rFonts w:asciiTheme="majorBidi" w:eastAsiaTheme="majorEastAsia" w:hAnsiTheme="majorBidi" w:cstheme="majorBidi"/>
      <w:lang w:bidi="ar-EG"/>
    </w:rPr>
  </w:style>
  <w:style w:type="character" w:customStyle="1" w:styleId="Char">
    <w:name w:val="نص حاشية سفلية Char"/>
    <w:basedOn w:val="a0"/>
    <w:link w:val="a3"/>
    <w:uiPriority w:val="99"/>
    <w:rsid w:val="00B31500"/>
    <w:rPr>
      <w:rFonts w:asciiTheme="majorBidi" w:eastAsiaTheme="majorEastAsia" w:hAnsiTheme="majorBidi" w:cstheme="majorBidi"/>
      <w:lang w:bidi="ar-EG"/>
    </w:rPr>
  </w:style>
  <w:style w:type="paragraph" w:styleId="a4">
    <w:name w:val="header"/>
    <w:basedOn w:val="a"/>
    <w:link w:val="Char0"/>
    <w:uiPriority w:val="99"/>
    <w:unhideWhenUsed/>
    <w:rsid w:val="00B31500"/>
    <w:pPr>
      <w:tabs>
        <w:tab w:val="center" w:pos="4680"/>
        <w:tab w:val="right" w:pos="9360"/>
      </w:tabs>
      <w:spacing w:after="0" w:line="240" w:lineRule="auto"/>
    </w:pPr>
  </w:style>
  <w:style w:type="character" w:customStyle="1" w:styleId="Char0">
    <w:name w:val="رأس الصفحة Char"/>
    <w:basedOn w:val="a0"/>
    <w:link w:val="a4"/>
    <w:uiPriority w:val="99"/>
    <w:rsid w:val="00B31500"/>
  </w:style>
  <w:style w:type="paragraph" w:styleId="a5">
    <w:name w:val="footer"/>
    <w:basedOn w:val="a"/>
    <w:link w:val="Char1"/>
    <w:uiPriority w:val="99"/>
    <w:unhideWhenUsed/>
    <w:rsid w:val="00B31500"/>
    <w:pPr>
      <w:tabs>
        <w:tab w:val="center" w:pos="4680"/>
        <w:tab w:val="right" w:pos="9360"/>
      </w:tabs>
      <w:spacing w:after="0" w:line="240" w:lineRule="auto"/>
    </w:pPr>
  </w:style>
  <w:style w:type="character" w:customStyle="1" w:styleId="Char1">
    <w:name w:val="تذييل الصفحة Char"/>
    <w:basedOn w:val="a0"/>
    <w:link w:val="a5"/>
    <w:uiPriority w:val="99"/>
    <w:rsid w:val="00B31500"/>
  </w:style>
  <w:style w:type="character" w:styleId="a6">
    <w:name w:val="footnote reference"/>
    <w:basedOn w:val="a0"/>
    <w:uiPriority w:val="99"/>
    <w:semiHidden/>
    <w:unhideWhenUsed/>
    <w:rsid w:val="00B31500"/>
    <w:rPr>
      <w:vertAlign w:val="superscript"/>
    </w:rPr>
  </w:style>
  <w:style w:type="character" w:styleId="Hyperlink">
    <w:name w:val="Hyperlink"/>
    <w:basedOn w:val="a0"/>
    <w:uiPriority w:val="99"/>
    <w:unhideWhenUsed/>
    <w:rsid w:val="00B31500"/>
    <w:rPr>
      <w:color w:val="0000FF"/>
      <w:u w:val="single"/>
    </w:rPr>
  </w:style>
  <w:style w:type="paragraph" w:styleId="a7">
    <w:name w:val="No Spacing"/>
    <w:uiPriority w:val="1"/>
    <w:qFormat/>
    <w:rsid w:val="00B31500"/>
    <w:pPr>
      <w:spacing w:after="0" w:line="240" w:lineRule="auto"/>
    </w:pPr>
    <w:rPr>
      <w:rFonts w:asciiTheme="majorBidi" w:eastAsiaTheme="majorEastAsia" w:hAnsiTheme="majorBidi" w:cstheme="majorBidi"/>
    </w:rPr>
  </w:style>
  <w:style w:type="paragraph" w:styleId="a8">
    <w:name w:val="List Paragraph"/>
    <w:basedOn w:val="a"/>
    <w:uiPriority w:val="34"/>
    <w:qFormat/>
    <w:rsid w:val="00B31500"/>
    <w:pPr>
      <w:ind w:left="720"/>
      <w:contextualSpacing/>
    </w:pPr>
  </w:style>
  <w:style w:type="character" w:customStyle="1" w:styleId="2Char">
    <w:name w:val="عنوان 2 Char"/>
    <w:basedOn w:val="a0"/>
    <w:link w:val="2"/>
    <w:uiPriority w:val="9"/>
    <w:semiHidden/>
    <w:rsid w:val="00F964D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964D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964D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964DB"/>
    <w:rPr>
      <w:rFonts w:eastAsiaTheme="majorEastAsia" w:cstheme="majorBidi"/>
      <w:color w:val="0F4761" w:themeColor="accent1" w:themeShade="BF"/>
    </w:rPr>
  </w:style>
  <w:style w:type="character" w:customStyle="1" w:styleId="6Char">
    <w:name w:val="عنوان 6 Char"/>
    <w:basedOn w:val="a0"/>
    <w:link w:val="6"/>
    <w:uiPriority w:val="9"/>
    <w:semiHidden/>
    <w:rsid w:val="00F964DB"/>
    <w:rPr>
      <w:rFonts w:eastAsiaTheme="majorEastAsia" w:cstheme="majorBidi"/>
      <w:i/>
      <w:iCs/>
      <w:color w:val="595959" w:themeColor="text1" w:themeTint="A6"/>
    </w:rPr>
  </w:style>
  <w:style w:type="character" w:customStyle="1" w:styleId="7Char">
    <w:name w:val="عنوان 7 Char"/>
    <w:basedOn w:val="a0"/>
    <w:link w:val="7"/>
    <w:uiPriority w:val="9"/>
    <w:semiHidden/>
    <w:rsid w:val="00F964DB"/>
    <w:rPr>
      <w:rFonts w:eastAsiaTheme="majorEastAsia" w:cstheme="majorBidi"/>
      <w:color w:val="595959" w:themeColor="text1" w:themeTint="A6"/>
    </w:rPr>
  </w:style>
  <w:style w:type="character" w:customStyle="1" w:styleId="8Char">
    <w:name w:val="عنوان 8 Char"/>
    <w:basedOn w:val="a0"/>
    <w:link w:val="8"/>
    <w:uiPriority w:val="9"/>
    <w:semiHidden/>
    <w:rsid w:val="00F964DB"/>
    <w:rPr>
      <w:rFonts w:eastAsiaTheme="majorEastAsia" w:cstheme="majorBidi"/>
      <w:i/>
      <w:iCs/>
      <w:color w:val="272727" w:themeColor="text1" w:themeTint="D8"/>
    </w:rPr>
  </w:style>
  <w:style w:type="character" w:customStyle="1" w:styleId="9Char">
    <w:name w:val="عنوان 9 Char"/>
    <w:basedOn w:val="a0"/>
    <w:link w:val="9"/>
    <w:uiPriority w:val="9"/>
    <w:semiHidden/>
    <w:rsid w:val="00F964DB"/>
    <w:rPr>
      <w:rFonts w:eastAsiaTheme="majorEastAsia" w:cstheme="majorBidi"/>
      <w:color w:val="272727" w:themeColor="text1" w:themeTint="D8"/>
    </w:rPr>
  </w:style>
  <w:style w:type="paragraph" w:styleId="a9">
    <w:name w:val="Title"/>
    <w:basedOn w:val="a"/>
    <w:next w:val="a"/>
    <w:link w:val="Char2"/>
    <w:uiPriority w:val="10"/>
    <w:qFormat/>
    <w:rsid w:val="00F964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10"/>
    <w:rsid w:val="00F964DB"/>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F964DB"/>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a"/>
    <w:uiPriority w:val="11"/>
    <w:rsid w:val="00F964DB"/>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F964DB"/>
    <w:pPr>
      <w:spacing w:before="160"/>
      <w:jc w:val="center"/>
    </w:pPr>
    <w:rPr>
      <w:i/>
      <w:iCs/>
      <w:color w:val="404040" w:themeColor="text1" w:themeTint="BF"/>
    </w:rPr>
  </w:style>
  <w:style w:type="character" w:customStyle="1" w:styleId="Char4">
    <w:name w:val="اقتباس Char"/>
    <w:basedOn w:val="a0"/>
    <w:link w:val="ab"/>
    <w:uiPriority w:val="29"/>
    <w:rsid w:val="00F964DB"/>
    <w:rPr>
      <w:i/>
      <w:iCs/>
      <w:color w:val="404040" w:themeColor="text1" w:themeTint="BF"/>
    </w:rPr>
  </w:style>
  <w:style w:type="character" w:styleId="ac">
    <w:name w:val="Intense Emphasis"/>
    <w:basedOn w:val="a0"/>
    <w:uiPriority w:val="21"/>
    <w:qFormat/>
    <w:rsid w:val="00F964DB"/>
    <w:rPr>
      <w:i/>
      <w:iCs/>
      <w:color w:val="0F4761" w:themeColor="accent1" w:themeShade="BF"/>
    </w:rPr>
  </w:style>
  <w:style w:type="paragraph" w:styleId="ad">
    <w:name w:val="Intense Quote"/>
    <w:basedOn w:val="a"/>
    <w:next w:val="a"/>
    <w:link w:val="Char5"/>
    <w:uiPriority w:val="30"/>
    <w:qFormat/>
    <w:rsid w:val="00F964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d"/>
    <w:uiPriority w:val="30"/>
    <w:rsid w:val="00F964DB"/>
    <w:rPr>
      <w:i/>
      <w:iCs/>
      <w:color w:val="0F4761" w:themeColor="accent1" w:themeShade="BF"/>
    </w:rPr>
  </w:style>
  <w:style w:type="character" w:styleId="ae">
    <w:name w:val="Intense Reference"/>
    <w:basedOn w:val="a0"/>
    <w:uiPriority w:val="32"/>
    <w:qFormat/>
    <w:rsid w:val="00F964DB"/>
    <w:rPr>
      <w:b/>
      <w:bCs/>
      <w:smallCaps/>
      <w:color w:val="0F4761" w:themeColor="accent1" w:themeShade="BF"/>
      <w:spacing w:val="5"/>
    </w:rPr>
  </w:style>
  <w:style w:type="character" w:customStyle="1" w:styleId="10">
    <w:name w:val="إشارة لم يتم حلها1"/>
    <w:basedOn w:val="a0"/>
    <w:uiPriority w:val="99"/>
    <w:semiHidden/>
    <w:unhideWhenUsed/>
    <w:rsid w:val="00A20D77"/>
    <w:rPr>
      <w:color w:val="605E5C"/>
      <w:shd w:val="clear" w:color="auto" w:fill="E1DFDD"/>
    </w:rPr>
  </w:style>
  <w:style w:type="table" w:styleId="af">
    <w:name w:val="Grid Table Light"/>
    <w:basedOn w:val="a1"/>
    <w:uiPriority w:val="40"/>
    <w:rsid w:val="004A17C0"/>
    <w:pPr>
      <w:spacing w:after="0" w:line="240" w:lineRule="auto"/>
    </w:pPr>
    <w:rPr>
      <w:kern w:val="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a"/>
    <w:rsid w:val="004A17C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0">
    <w:name w:val="Normal (Web)"/>
    <w:basedOn w:val="a"/>
    <w:uiPriority w:val="99"/>
    <w:unhideWhenUsed/>
    <w:rsid w:val="004A17C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1">
    <w:name w:val="Strong"/>
    <w:basedOn w:val="a0"/>
    <w:uiPriority w:val="22"/>
    <w:qFormat/>
    <w:rsid w:val="004A17C0"/>
    <w:rPr>
      <w:b/>
      <w:bCs/>
    </w:rPr>
  </w:style>
  <w:style w:type="table" w:styleId="11">
    <w:name w:val="Plain Table 1"/>
    <w:basedOn w:val="a1"/>
    <w:uiPriority w:val="41"/>
    <w:rsid w:val="004A17C0"/>
    <w:pPr>
      <w:bidi w:val="0"/>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2">
    <w:name w:val="Body Text"/>
    <w:basedOn w:val="a"/>
    <w:link w:val="Char6"/>
    <w:uiPriority w:val="1"/>
    <w:qFormat/>
    <w:rsid w:val="00CB79A7"/>
    <w:pPr>
      <w:widowControl w:val="0"/>
      <w:autoSpaceDE w:val="0"/>
      <w:autoSpaceDN w:val="0"/>
      <w:bidi w:val="0"/>
      <w:spacing w:after="0" w:line="240" w:lineRule="auto"/>
      <w:ind w:left="25"/>
      <w:jc w:val="right"/>
    </w:pPr>
    <w:rPr>
      <w:rFonts w:ascii="Microsoft Sans Serif" w:eastAsia="Microsoft Sans Serif" w:hAnsi="Microsoft Sans Serif" w:cs="Microsoft Sans Serif"/>
      <w:kern w:val="0"/>
      <w:sz w:val="24"/>
      <w:szCs w:val="24"/>
      <w14:ligatures w14:val="none"/>
    </w:rPr>
  </w:style>
  <w:style w:type="character" w:customStyle="1" w:styleId="Char6">
    <w:name w:val="نص أساسي Char"/>
    <w:basedOn w:val="a0"/>
    <w:link w:val="af2"/>
    <w:uiPriority w:val="1"/>
    <w:rsid w:val="00CB79A7"/>
    <w:rPr>
      <w:rFonts w:ascii="Microsoft Sans Serif" w:eastAsia="Microsoft Sans Serif" w:hAnsi="Microsoft Sans Serif" w:cs="Microsoft Sans Serif"/>
      <w:kern w:val="0"/>
      <w:sz w:val="24"/>
      <w:szCs w:val="24"/>
      <w14:ligatures w14:val="none"/>
    </w:rPr>
  </w:style>
  <w:style w:type="table" w:customStyle="1" w:styleId="TableNormal1">
    <w:name w:val="Table Normal1"/>
    <w:uiPriority w:val="2"/>
    <w:semiHidden/>
    <w:unhideWhenUsed/>
    <w:qFormat/>
    <w:rsid w:val="002C2CEB"/>
    <w:pPr>
      <w:widowControl w:val="0"/>
      <w:autoSpaceDE w:val="0"/>
      <w:autoSpaceDN w:val="0"/>
      <w:bidi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C2CEB"/>
    <w:pPr>
      <w:widowControl w:val="0"/>
      <w:autoSpaceDE w:val="0"/>
      <w:autoSpaceDN w:val="0"/>
      <w:bidi w:val="0"/>
      <w:spacing w:after="0" w:line="240" w:lineRule="auto"/>
    </w:pPr>
    <w:rPr>
      <w:rFonts w:ascii="Arial" w:eastAsia="Arial" w:hAnsi="Arial" w:cs="Arial"/>
      <w:kern w:val="0"/>
      <w14:ligatures w14:val="none"/>
    </w:rPr>
  </w:style>
  <w:style w:type="table" w:styleId="af3">
    <w:name w:val="Table Grid"/>
    <w:basedOn w:val="a1"/>
    <w:uiPriority w:val="59"/>
    <w:rsid w:val="00091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Grid Table 1 Light"/>
    <w:basedOn w:val="a1"/>
    <w:uiPriority w:val="46"/>
    <w:rsid w:val="000B7DD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39814253">
      <w:bodyDiv w:val="1"/>
      <w:marLeft w:val="0"/>
      <w:marRight w:val="0"/>
      <w:marTop w:val="0"/>
      <w:marBottom w:val="0"/>
      <w:divBdr>
        <w:top w:val="none" w:sz="0" w:space="0" w:color="auto"/>
        <w:left w:val="none" w:sz="0" w:space="0" w:color="auto"/>
        <w:bottom w:val="none" w:sz="0" w:space="0" w:color="auto"/>
        <w:right w:val="none" w:sz="0" w:space="0" w:color="auto"/>
      </w:divBdr>
    </w:div>
    <w:div w:id="706300724">
      <w:bodyDiv w:val="1"/>
      <w:marLeft w:val="0"/>
      <w:marRight w:val="0"/>
      <w:marTop w:val="0"/>
      <w:marBottom w:val="0"/>
      <w:divBdr>
        <w:top w:val="none" w:sz="0" w:space="0" w:color="auto"/>
        <w:left w:val="none" w:sz="0" w:space="0" w:color="auto"/>
        <w:bottom w:val="none" w:sz="0" w:space="0" w:color="auto"/>
        <w:right w:val="none" w:sz="0" w:space="0" w:color="auto"/>
      </w:divBdr>
    </w:div>
    <w:div w:id="1022125964">
      <w:bodyDiv w:val="1"/>
      <w:marLeft w:val="0"/>
      <w:marRight w:val="0"/>
      <w:marTop w:val="0"/>
      <w:marBottom w:val="0"/>
      <w:divBdr>
        <w:top w:val="none" w:sz="0" w:space="0" w:color="auto"/>
        <w:left w:val="none" w:sz="0" w:space="0" w:color="auto"/>
        <w:bottom w:val="none" w:sz="0" w:space="0" w:color="auto"/>
        <w:right w:val="none" w:sz="0" w:space="0" w:color="auto"/>
      </w:divBdr>
    </w:div>
    <w:div w:id="1038239556">
      <w:bodyDiv w:val="1"/>
      <w:marLeft w:val="0"/>
      <w:marRight w:val="0"/>
      <w:marTop w:val="0"/>
      <w:marBottom w:val="0"/>
      <w:divBdr>
        <w:top w:val="none" w:sz="0" w:space="0" w:color="auto"/>
        <w:left w:val="none" w:sz="0" w:space="0" w:color="auto"/>
        <w:bottom w:val="none" w:sz="0" w:space="0" w:color="auto"/>
        <w:right w:val="none" w:sz="0" w:space="0" w:color="auto"/>
      </w:divBdr>
    </w:div>
    <w:div w:id="1933665664">
      <w:bodyDiv w:val="1"/>
      <w:marLeft w:val="0"/>
      <w:marRight w:val="0"/>
      <w:marTop w:val="0"/>
      <w:marBottom w:val="0"/>
      <w:divBdr>
        <w:top w:val="none" w:sz="0" w:space="0" w:color="auto"/>
        <w:left w:val="none" w:sz="0" w:space="0" w:color="auto"/>
        <w:bottom w:val="none" w:sz="0" w:space="0" w:color="auto"/>
        <w:right w:val="none" w:sz="0" w:space="0" w:color="auto"/>
      </w:divBdr>
      <w:divsChild>
        <w:div w:id="277612264">
          <w:marLeft w:val="0"/>
          <w:marRight w:val="0"/>
          <w:marTop w:val="0"/>
          <w:marBottom w:val="0"/>
          <w:divBdr>
            <w:top w:val="none" w:sz="0" w:space="0" w:color="auto"/>
            <w:left w:val="none" w:sz="0" w:space="0" w:color="auto"/>
            <w:bottom w:val="none" w:sz="0" w:space="0" w:color="auto"/>
            <w:right w:val="none" w:sz="0" w:space="0" w:color="auto"/>
          </w:divBdr>
        </w:div>
      </w:divsChild>
    </w:div>
    <w:div w:id="2040625059">
      <w:bodyDiv w:val="1"/>
      <w:marLeft w:val="0"/>
      <w:marRight w:val="0"/>
      <w:marTop w:val="0"/>
      <w:marBottom w:val="0"/>
      <w:divBdr>
        <w:top w:val="none" w:sz="0" w:space="0" w:color="auto"/>
        <w:left w:val="none" w:sz="0" w:space="0" w:color="auto"/>
        <w:bottom w:val="none" w:sz="0" w:space="0" w:color="auto"/>
        <w:right w:val="none" w:sz="0" w:space="0" w:color="auto"/>
      </w:divBdr>
    </w:div>
    <w:div w:id="20565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169</Pages>
  <Words>44840</Words>
  <Characters>255592</Characters>
  <Application>Microsoft Office Word</Application>
  <DocSecurity>0</DocSecurity>
  <Lines>2129</Lines>
  <Paragraphs>599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خديجة احمد</dc:creator>
  <cp:keywords/>
  <dc:description/>
  <cp:lastModifiedBy>Doaa Towerqi</cp:lastModifiedBy>
  <cp:revision>22</cp:revision>
  <dcterms:created xsi:type="dcterms:W3CDTF">2026-07-17T23:05:00Z</dcterms:created>
  <dcterms:modified xsi:type="dcterms:W3CDTF">2026-08-10T11:50:00Z</dcterms:modified>
</cp:coreProperties>
</file>