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14E69" w14:textId="1DA24880" w:rsidR="001955FA" w:rsidRPr="000D2AE1" w:rsidRDefault="001955FA" w:rsidP="00937086">
      <w:pPr>
        <w:bidi/>
        <w:spacing w:line="240" w:lineRule="auto"/>
        <w:rPr>
          <w:rFonts w:asciiTheme="majorBidi" w:eastAsia="Calibri" w:hAnsiTheme="majorBidi" w:cstheme="majorBidi"/>
          <w:b/>
          <w:bCs/>
          <w:sz w:val="26"/>
          <w:szCs w:val="26"/>
          <w:rtl/>
          <w:lang w:bidi="ar-EG"/>
        </w:rPr>
      </w:pPr>
      <w:r w:rsidRPr="000D2AE1">
        <w:rPr>
          <w:rFonts w:asciiTheme="majorBidi" w:eastAsia="Calibri" w:hAnsiTheme="majorBidi" w:cstheme="majorBidi"/>
          <w:b/>
          <w:bCs/>
          <w:sz w:val="26"/>
          <w:szCs w:val="26"/>
          <w:rtl/>
          <w:lang w:bidi="ar-EG"/>
        </w:rPr>
        <w:t>جامعة ميدأوشن</w:t>
      </w:r>
    </w:p>
    <w:p w14:paraId="10D9E638" w14:textId="786EA209" w:rsidR="001955FA" w:rsidRPr="000D2AE1" w:rsidRDefault="00A73899" w:rsidP="00937086">
      <w:pPr>
        <w:bidi/>
        <w:spacing w:line="240" w:lineRule="auto"/>
        <w:rPr>
          <w:rFonts w:asciiTheme="majorBidi" w:eastAsia="Calibri" w:hAnsiTheme="majorBidi" w:cstheme="majorBidi"/>
          <w:b/>
          <w:bCs/>
          <w:sz w:val="26"/>
          <w:szCs w:val="26"/>
          <w:rtl/>
          <w:lang w:bidi="ar-EG"/>
        </w:rPr>
      </w:pPr>
      <w:r w:rsidRPr="000D2AE1">
        <w:rPr>
          <w:rFonts w:asciiTheme="majorBidi" w:eastAsia="Calibri" w:hAnsiTheme="majorBidi" w:cstheme="majorBidi"/>
          <w:b/>
          <w:bCs/>
          <w:sz w:val="26"/>
          <w:szCs w:val="26"/>
          <w:rtl/>
        </w:rPr>
        <w:t xml:space="preserve">قسم / </w:t>
      </w:r>
      <w:r w:rsidR="001955FA" w:rsidRPr="000D2AE1">
        <w:rPr>
          <w:rFonts w:asciiTheme="majorBidi" w:eastAsia="Calibri" w:hAnsiTheme="majorBidi" w:cstheme="majorBidi"/>
          <w:b/>
          <w:bCs/>
          <w:sz w:val="26"/>
          <w:szCs w:val="26"/>
          <w:rtl/>
          <w:lang w:bidi="ar-EG"/>
        </w:rPr>
        <w:t>كلية الإدارة</w:t>
      </w:r>
    </w:p>
    <w:p w14:paraId="12619E2E" w14:textId="460339B9" w:rsidR="001955FA" w:rsidRPr="000D2AE1" w:rsidRDefault="001955FA" w:rsidP="00937086">
      <w:pPr>
        <w:bidi/>
        <w:spacing w:line="240" w:lineRule="auto"/>
        <w:rPr>
          <w:rFonts w:asciiTheme="majorBidi" w:eastAsia="Calibri" w:hAnsiTheme="majorBidi" w:cstheme="majorBidi"/>
          <w:b/>
          <w:bCs/>
          <w:sz w:val="26"/>
          <w:szCs w:val="26"/>
          <w:rtl/>
        </w:rPr>
      </w:pPr>
      <w:r w:rsidRPr="000D2AE1">
        <w:rPr>
          <w:rFonts w:asciiTheme="majorBidi" w:eastAsia="Calibri" w:hAnsiTheme="majorBidi" w:cstheme="majorBidi"/>
          <w:b/>
          <w:bCs/>
          <w:sz w:val="26"/>
          <w:szCs w:val="26"/>
          <w:rtl/>
          <w:lang w:bidi="ar-EG"/>
        </w:rPr>
        <w:t>تخصص</w:t>
      </w:r>
      <w:r w:rsidR="00A73899" w:rsidRPr="000D2AE1">
        <w:rPr>
          <w:rFonts w:asciiTheme="majorBidi" w:eastAsia="Calibri" w:hAnsiTheme="majorBidi" w:cstheme="majorBidi"/>
          <w:b/>
          <w:bCs/>
          <w:sz w:val="26"/>
          <w:szCs w:val="26"/>
          <w:rtl/>
          <w:lang w:bidi="ar-EG"/>
        </w:rPr>
        <w:t>/</w:t>
      </w:r>
      <w:r w:rsidR="008C37CE" w:rsidRPr="000D2AE1">
        <w:rPr>
          <w:rFonts w:asciiTheme="majorBidi" w:eastAsia="Calibri" w:hAnsiTheme="majorBidi" w:cstheme="majorBidi"/>
          <w:b/>
          <w:bCs/>
          <w:sz w:val="26"/>
          <w:szCs w:val="26"/>
          <w:lang w:bidi="ar-EG"/>
        </w:rPr>
        <w:t xml:space="preserve"> </w:t>
      </w:r>
      <w:r w:rsidR="008C37CE" w:rsidRPr="000D2AE1">
        <w:rPr>
          <w:rFonts w:asciiTheme="majorBidi" w:eastAsia="Calibri" w:hAnsiTheme="majorBidi" w:cstheme="majorBidi"/>
          <w:b/>
          <w:bCs/>
          <w:sz w:val="26"/>
          <w:szCs w:val="26"/>
          <w:rtl/>
        </w:rPr>
        <w:t>ما</w:t>
      </w:r>
      <w:r w:rsidR="00AF470C" w:rsidRPr="000D2AE1">
        <w:rPr>
          <w:rFonts w:asciiTheme="majorBidi" w:eastAsia="Calibri" w:hAnsiTheme="majorBidi" w:cstheme="majorBidi"/>
          <w:b/>
          <w:bCs/>
          <w:sz w:val="26"/>
          <w:szCs w:val="26"/>
          <w:rtl/>
        </w:rPr>
        <w:t>ج</w:t>
      </w:r>
      <w:r w:rsidR="008C37CE" w:rsidRPr="000D2AE1">
        <w:rPr>
          <w:rFonts w:asciiTheme="majorBidi" w:eastAsia="Calibri" w:hAnsiTheme="majorBidi" w:cstheme="majorBidi"/>
          <w:b/>
          <w:bCs/>
          <w:sz w:val="26"/>
          <w:szCs w:val="26"/>
          <w:rtl/>
        </w:rPr>
        <w:t>ست</w:t>
      </w:r>
      <w:r w:rsidR="00AF470C" w:rsidRPr="000D2AE1">
        <w:rPr>
          <w:rFonts w:asciiTheme="majorBidi" w:eastAsia="Calibri" w:hAnsiTheme="majorBidi" w:cstheme="majorBidi"/>
          <w:b/>
          <w:bCs/>
          <w:sz w:val="26"/>
          <w:szCs w:val="26"/>
          <w:rtl/>
        </w:rPr>
        <w:t>ي</w:t>
      </w:r>
      <w:r w:rsidR="008C37CE" w:rsidRPr="000D2AE1">
        <w:rPr>
          <w:rFonts w:asciiTheme="majorBidi" w:eastAsia="Calibri" w:hAnsiTheme="majorBidi" w:cstheme="majorBidi"/>
          <w:b/>
          <w:bCs/>
          <w:sz w:val="26"/>
          <w:szCs w:val="26"/>
          <w:rtl/>
        </w:rPr>
        <w:t>ر إدارة الاعمال</w:t>
      </w:r>
    </w:p>
    <w:p w14:paraId="35253E8C" w14:textId="77777777" w:rsidR="00024387" w:rsidRPr="000D2AE1" w:rsidRDefault="00024387" w:rsidP="00024387">
      <w:pPr>
        <w:bidi/>
        <w:spacing w:line="240" w:lineRule="auto"/>
        <w:rPr>
          <w:rFonts w:asciiTheme="majorBidi" w:eastAsia="Calibri" w:hAnsiTheme="majorBidi" w:cstheme="majorBidi"/>
          <w:b/>
          <w:bCs/>
          <w:sz w:val="26"/>
          <w:szCs w:val="26"/>
          <w:rtl/>
        </w:rPr>
      </w:pPr>
    </w:p>
    <w:p w14:paraId="45FE0827" w14:textId="77777777" w:rsidR="001955FA" w:rsidRPr="000D2AE1" w:rsidRDefault="001955FA" w:rsidP="001955FA">
      <w:pPr>
        <w:bidi/>
        <w:spacing w:line="240" w:lineRule="auto"/>
        <w:jc w:val="lowKashida"/>
        <w:rPr>
          <w:rFonts w:asciiTheme="majorBidi" w:eastAsia="Calibri" w:hAnsiTheme="majorBidi" w:cstheme="majorBidi"/>
          <w:b/>
          <w:bCs/>
          <w:sz w:val="26"/>
          <w:szCs w:val="26"/>
          <w:rtl/>
          <w:lang w:bidi="ar-EG"/>
        </w:rPr>
      </w:pPr>
    </w:p>
    <w:p w14:paraId="636F6B10" w14:textId="77777777" w:rsidR="00024387" w:rsidRPr="000D2AE1" w:rsidRDefault="00024387" w:rsidP="00024387">
      <w:pPr>
        <w:rPr>
          <w:rFonts w:asciiTheme="majorBidi" w:hAnsiTheme="majorBidi" w:cstheme="majorBidi"/>
        </w:rPr>
      </w:pPr>
    </w:p>
    <w:p w14:paraId="446B2D30" w14:textId="77777777" w:rsidR="00024387" w:rsidRPr="000D2AE1" w:rsidRDefault="00024387" w:rsidP="00024387">
      <w:pPr>
        <w:spacing w:after="60" w:line="300" w:lineRule="auto"/>
        <w:jc w:val="center"/>
        <w:rPr>
          <w:rFonts w:asciiTheme="majorBidi" w:hAnsiTheme="majorBidi" w:cstheme="majorBidi"/>
        </w:rPr>
      </w:pPr>
      <w:r w:rsidRPr="000D2AE1">
        <w:rPr>
          <w:rFonts w:asciiTheme="majorBidi" w:hAnsiTheme="majorBidi" w:cstheme="majorBidi"/>
          <w:b/>
          <w:bCs/>
          <w:sz w:val="30"/>
          <w:szCs w:val="30"/>
        </w:rPr>
        <w:t>THE MANAGERIAL IMPACT OF ARTIFICIAL INTELLIGENCE ADOPTION</w:t>
      </w:r>
    </w:p>
    <w:p w14:paraId="5EB16540" w14:textId="77777777" w:rsidR="00024387" w:rsidRPr="000D2AE1" w:rsidRDefault="00024387" w:rsidP="00024387">
      <w:pPr>
        <w:spacing w:after="60" w:line="300" w:lineRule="auto"/>
        <w:jc w:val="center"/>
        <w:rPr>
          <w:rFonts w:asciiTheme="majorBidi" w:hAnsiTheme="majorBidi" w:cstheme="majorBidi"/>
        </w:rPr>
      </w:pPr>
      <w:r w:rsidRPr="000D2AE1">
        <w:rPr>
          <w:rFonts w:asciiTheme="majorBidi" w:hAnsiTheme="majorBidi" w:cstheme="majorBidi"/>
          <w:b/>
          <w:bCs/>
          <w:sz w:val="30"/>
          <w:szCs w:val="30"/>
        </w:rPr>
        <w:t>AS A STRATEGIC MANAGEMENT TOOL</w:t>
      </w:r>
    </w:p>
    <w:p w14:paraId="568627C8" w14:textId="77777777" w:rsidR="00024387" w:rsidRPr="000D2AE1" w:rsidRDefault="00024387" w:rsidP="00024387">
      <w:pPr>
        <w:spacing w:after="60" w:line="300" w:lineRule="auto"/>
        <w:jc w:val="center"/>
        <w:rPr>
          <w:rFonts w:asciiTheme="majorBidi" w:hAnsiTheme="majorBidi" w:cstheme="majorBidi"/>
        </w:rPr>
      </w:pPr>
      <w:r w:rsidRPr="000D2AE1">
        <w:rPr>
          <w:rFonts w:asciiTheme="majorBidi" w:hAnsiTheme="majorBidi" w:cstheme="majorBidi"/>
          <w:b/>
          <w:bCs/>
          <w:sz w:val="30"/>
          <w:szCs w:val="30"/>
        </w:rPr>
        <w:t>ON ORGANIZATIONAL PERFORMANCE</w:t>
      </w:r>
    </w:p>
    <w:p w14:paraId="73B11432" w14:textId="77777777" w:rsidR="00024387" w:rsidRPr="000D2AE1" w:rsidRDefault="00024387" w:rsidP="00024387">
      <w:pPr>
        <w:spacing w:after="200" w:line="300" w:lineRule="auto"/>
        <w:jc w:val="center"/>
        <w:rPr>
          <w:rFonts w:asciiTheme="majorBidi" w:hAnsiTheme="majorBidi" w:cstheme="majorBidi"/>
        </w:rPr>
      </w:pPr>
      <w:r w:rsidRPr="000D2AE1">
        <w:rPr>
          <w:rFonts w:asciiTheme="majorBidi" w:hAnsiTheme="majorBidi" w:cstheme="majorBidi"/>
          <w:b/>
          <w:bCs/>
          <w:sz w:val="30"/>
          <w:szCs w:val="30"/>
        </w:rPr>
        <w:t>IN COMMERCIAL BANKS OF THE KINGDOM OF SAUDI ARABIA</w:t>
      </w:r>
    </w:p>
    <w:p w14:paraId="43A2FD76" w14:textId="77777777" w:rsidR="00024387" w:rsidRPr="000D2AE1" w:rsidRDefault="00024387" w:rsidP="00024387">
      <w:pPr>
        <w:spacing w:after="40" w:line="300" w:lineRule="auto"/>
        <w:jc w:val="center"/>
        <w:rPr>
          <w:rFonts w:asciiTheme="majorBidi" w:eastAsia="Calibri" w:hAnsiTheme="majorBidi" w:cstheme="majorBidi"/>
          <w:b/>
          <w:bCs/>
          <w:sz w:val="32"/>
          <w:szCs w:val="32"/>
          <w:lang w:bidi="ar-EG"/>
        </w:rPr>
      </w:pPr>
    </w:p>
    <w:p w14:paraId="5CCD75FE" w14:textId="17C6E099" w:rsidR="00024387" w:rsidRPr="000D2AE1" w:rsidRDefault="00024387" w:rsidP="00024387">
      <w:pPr>
        <w:spacing w:after="40" w:line="300" w:lineRule="auto"/>
        <w:jc w:val="center"/>
        <w:rPr>
          <w:rFonts w:asciiTheme="majorBidi" w:hAnsiTheme="majorBidi" w:cstheme="majorBidi"/>
          <w:sz w:val="32"/>
          <w:szCs w:val="32"/>
        </w:rPr>
      </w:pPr>
      <w:r w:rsidRPr="000D2AE1">
        <w:rPr>
          <w:rFonts w:asciiTheme="majorBidi" w:hAnsiTheme="majorBidi" w:cstheme="majorBidi"/>
          <w:b/>
          <w:bCs/>
          <w:sz w:val="32"/>
          <w:szCs w:val="32"/>
        </w:rPr>
        <w:t>Prepared by:</w:t>
      </w:r>
    </w:p>
    <w:p w14:paraId="513466C4" w14:textId="5B3315EF" w:rsidR="00024387" w:rsidRPr="000D2AE1" w:rsidRDefault="00024387" w:rsidP="00024387">
      <w:pPr>
        <w:spacing w:line="300" w:lineRule="auto"/>
        <w:jc w:val="center"/>
        <w:rPr>
          <w:rFonts w:asciiTheme="majorBidi" w:hAnsiTheme="majorBidi" w:cstheme="majorBidi"/>
          <w:sz w:val="36"/>
          <w:szCs w:val="36"/>
        </w:rPr>
      </w:pPr>
      <w:r w:rsidRPr="000D2AE1">
        <w:rPr>
          <w:rFonts w:asciiTheme="majorBidi" w:hAnsiTheme="majorBidi" w:cstheme="majorBidi"/>
          <w:sz w:val="36"/>
          <w:szCs w:val="36"/>
        </w:rPr>
        <w:t>Sumaydi Kamaluddin Abdel Raheem Mohammed</w:t>
      </w:r>
    </w:p>
    <w:p w14:paraId="625750B5" w14:textId="77777777" w:rsidR="00024387" w:rsidRPr="000D2AE1" w:rsidRDefault="00024387" w:rsidP="00024387">
      <w:pPr>
        <w:spacing w:line="300" w:lineRule="auto"/>
        <w:jc w:val="center"/>
        <w:rPr>
          <w:rFonts w:asciiTheme="majorBidi" w:hAnsiTheme="majorBidi" w:cstheme="majorBidi"/>
        </w:rPr>
      </w:pPr>
    </w:p>
    <w:p w14:paraId="4AC011FC" w14:textId="77777777" w:rsidR="00024387" w:rsidRPr="000D2AE1" w:rsidRDefault="00024387" w:rsidP="00024387">
      <w:pPr>
        <w:spacing w:after="40" w:line="300" w:lineRule="auto"/>
        <w:jc w:val="center"/>
        <w:rPr>
          <w:rFonts w:asciiTheme="majorBidi" w:hAnsiTheme="majorBidi" w:cstheme="majorBidi"/>
          <w:sz w:val="32"/>
          <w:szCs w:val="32"/>
        </w:rPr>
      </w:pPr>
      <w:r w:rsidRPr="000D2AE1">
        <w:rPr>
          <w:rFonts w:asciiTheme="majorBidi" w:hAnsiTheme="majorBidi" w:cstheme="majorBidi"/>
          <w:b/>
          <w:bCs/>
          <w:sz w:val="32"/>
          <w:szCs w:val="32"/>
        </w:rPr>
        <w:t>Supervised by:</w:t>
      </w:r>
    </w:p>
    <w:p w14:paraId="457ECF68" w14:textId="69EBC09F" w:rsidR="00024387" w:rsidRPr="000D2AE1" w:rsidRDefault="00024387" w:rsidP="00024387">
      <w:pPr>
        <w:spacing w:line="300" w:lineRule="auto"/>
        <w:jc w:val="center"/>
        <w:rPr>
          <w:rFonts w:asciiTheme="majorBidi" w:hAnsiTheme="majorBidi" w:cstheme="majorBidi"/>
          <w:sz w:val="36"/>
          <w:szCs w:val="36"/>
        </w:rPr>
      </w:pPr>
      <w:r w:rsidRPr="000D2AE1">
        <w:rPr>
          <w:rFonts w:asciiTheme="majorBidi" w:hAnsiTheme="majorBidi" w:cstheme="majorBidi"/>
          <w:b/>
          <w:bCs/>
          <w:sz w:val="36"/>
          <w:szCs w:val="36"/>
        </w:rPr>
        <w:t xml:space="preserve">Dr. Alfaisal Abdelhamid                    Dr. Fayez </w:t>
      </w:r>
      <w:proofErr w:type="spellStart"/>
      <w:r w:rsidRPr="000D2AE1">
        <w:rPr>
          <w:rFonts w:asciiTheme="majorBidi" w:hAnsiTheme="majorBidi" w:cstheme="majorBidi"/>
          <w:b/>
          <w:bCs/>
          <w:sz w:val="36"/>
          <w:szCs w:val="36"/>
        </w:rPr>
        <w:t>Jarad</w:t>
      </w:r>
      <w:proofErr w:type="spellEnd"/>
    </w:p>
    <w:p w14:paraId="2CE7A0F9" w14:textId="77777777" w:rsidR="00024387" w:rsidRPr="000D2AE1" w:rsidRDefault="00024387" w:rsidP="00024387">
      <w:pPr>
        <w:rPr>
          <w:rFonts w:asciiTheme="majorBidi" w:hAnsiTheme="majorBidi" w:cstheme="majorBidi"/>
        </w:rPr>
      </w:pPr>
    </w:p>
    <w:p w14:paraId="4D174247" w14:textId="2755C4F3" w:rsidR="00024387" w:rsidRPr="000D2AE1" w:rsidRDefault="00024387" w:rsidP="00024387">
      <w:pPr>
        <w:spacing w:line="300" w:lineRule="auto"/>
        <w:jc w:val="center"/>
        <w:rPr>
          <w:rFonts w:asciiTheme="majorBidi" w:hAnsiTheme="majorBidi" w:cstheme="majorBidi"/>
          <w:b/>
          <w:bCs/>
          <w:sz w:val="26"/>
          <w:szCs w:val="26"/>
        </w:rPr>
      </w:pPr>
      <w:r w:rsidRPr="000D2AE1">
        <w:rPr>
          <w:rFonts w:asciiTheme="majorBidi" w:hAnsiTheme="majorBidi" w:cstheme="majorBidi"/>
          <w:b/>
          <w:bCs/>
          <w:sz w:val="26"/>
          <w:szCs w:val="26"/>
        </w:rPr>
        <w:t>Academic Year: 2025 – 2026</w:t>
      </w:r>
    </w:p>
    <w:p w14:paraId="45176D6D" w14:textId="77777777" w:rsidR="00024387" w:rsidRPr="000D2AE1" w:rsidRDefault="00024387" w:rsidP="00024387">
      <w:pPr>
        <w:spacing w:line="300" w:lineRule="auto"/>
        <w:jc w:val="center"/>
        <w:rPr>
          <w:rFonts w:asciiTheme="majorBidi" w:hAnsiTheme="majorBidi" w:cstheme="majorBidi"/>
          <w:b/>
          <w:bCs/>
          <w:sz w:val="26"/>
          <w:szCs w:val="26"/>
        </w:rPr>
      </w:pPr>
    </w:p>
    <w:p w14:paraId="3188DF95" w14:textId="77777777" w:rsidR="00024387" w:rsidRPr="000D2AE1" w:rsidRDefault="00024387" w:rsidP="00024387">
      <w:pPr>
        <w:spacing w:line="300" w:lineRule="auto"/>
        <w:jc w:val="center"/>
        <w:rPr>
          <w:rFonts w:asciiTheme="majorBidi" w:hAnsiTheme="majorBidi" w:cstheme="majorBidi"/>
          <w:b/>
          <w:bCs/>
          <w:sz w:val="26"/>
          <w:szCs w:val="26"/>
        </w:rPr>
      </w:pPr>
    </w:p>
    <w:p w14:paraId="299C846D" w14:textId="77777777" w:rsidR="00024387" w:rsidRPr="000D2AE1" w:rsidRDefault="00024387" w:rsidP="00024387">
      <w:pPr>
        <w:rPr>
          <w:rFonts w:asciiTheme="majorBidi" w:hAnsiTheme="majorBidi" w:cstheme="majorBidi"/>
        </w:rPr>
      </w:pPr>
    </w:p>
    <w:p w14:paraId="7860B675" w14:textId="77777777" w:rsidR="00024387" w:rsidRPr="000D2AE1" w:rsidRDefault="00024387" w:rsidP="00024387">
      <w:pPr>
        <w:bidi/>
        <w:spacing w:line="240" w:lineRule="auto"/>
        <w:rPr>
          <w:rFonts w:asciiTheme="majorBidi" w:eastAsia="Calibri" w:hAnsiTheme="majorBidi" w:cstheme="majorBidi"/>
          <w:b/>
          <w:bCs/>
          <w:sz w:val="26"/>
          <w:szCs w:val="26"/>
          <w:rtl/>
          <w:lang w:bidi="ar-EG"/>
        </w:rPr>
      </w:pPr>
      <w:r w:rsidRPr="000D2AE1">
        <w:rPr>
          <w:rFonts w:asciiTheme="majorBidi" w:eastAsia="Calibri" w:hAnsiTheme="majorBidi" w:cstheme="majorBidi"/>
          <w:b/>
          <w:bCs/>
          <w:sz w:val="26"/>
          <w:szCs w:val="26"/>
          <w:rtl/>
          <w:lang w:bidi="ar-EG"/>
        </w:rPr>
        <w:lastRenderedPageBreak/>
        <w:t>جامعة ميدأوشن</w:t>
      </w:r>
    </w:p>
    <w:p w14:paraId="3144A2BC" w14:textId="77777777" w:rsidR="00024387" w:rsidRPr="000D2AE1" w:rsidRDefault="00024387" w:rsidP="00024387">
      <w:pPr>
        <w:bidi/>
        <w:spacing w:line="240" w:lineRule="auto"/>
        <w:rPr>
          <w:rFonts w:asciiTheme="majorBidi" w:eastAsia="Calibri" w:hAnsiTheme="majorBidi" w:cstheme="majorBidi"/>
          <w:b/>
          <w:bCs/>
          <w:sz w:val="26"/>
          <w:szCs w:val="26"/>
          <w:rtl/>
          <w:lang w:bidi="ar-EG"/>
        </w:rPr>
      </w:pPr>
      <w:r w:rsidRPr="000D2AE1">
        <w:rPr>
          <w:rFonts w:asciiTheme="majorBidi" w:eastAsia="Calibri" w:hAnsiTheme="majorBidi" w:cstheme="majorBidi"/>
          <w:b/>
          <w:bCs/>
          <w:sz w:val="26"/>
          <w:szCs w:val="26"/>
          <w:rtl/>
        </w:rPr>
        <w:t xml:space="preserve">قسم / </w:t>
      </w:r>
      <w:r w:rsidRPr="000D2AE1">
        <w:rPr>
          <w:rFonts w:asciiTheme="majorBidi" w:eastAsia="Calibri" w:hAnsiTheme="majorBidi" w:cstheme="majorBidi"/>
          <w:b/>
          <w:bCs/>
          <w:sz w:val="26"/>
          <w:szCs w:val="26"/>
          <w:rtl/>
          <w:lang w:bidi="ar-EG"/>
        </w:rPr>
        <w:t>كلية الإدارة</w:t>
      </w:r>
    </w:p>
    <w:p w14:paraId="3123E648" w14:textId="77777777" w:rsidR="00024387" w:rsidRPr="000D2AE1" w:rsidRDefault="00024387" w:rsidP="00024387">
      <w:pPr>
        <w:bidi/>
        <w:spacing w:line="240" w:lineRule="auto"/>
        <w:rPr>
          <w:rFonts w:asciiTheme="majorBidi" w:eastAsia="Calibri" w:hAnsiTheme="majorBidi" w:cstheme="majorBidi"/>
          <w:b/>
          <w:bCs/>
          <w:sz w:val="26"/>
          <w:szCs w:val="26"/>
          <w:rtl/>
        </w:rPr>
      </w:pPr>
      <w:r w:rsidRPr="000D2AE1">
        <w:rPr>
          <w:rFonts w:asciiTheme="majorBidi" w:eastAsia="Calibri" w:hAnsiTheme="majorBidi" w:cstheme="majorBidi"/>
          <w:b/>
          <w:bCs/>
          <w:sz w:val="26"/>
          <w:szCs w:val="26"/>
          <w:rtl/>
          <w:lang w:bidi="ar-EG"/>
        </w:rPr>
        <w:t>تخصص/</w:t>
      </w:r>
      <w:r w:rsidRPr="000D2AE1">
        <w:rPr>
          <w:rFonts w:asciiTheme="majorBidi" w:eastAsia="Calibri" w:hAnsiTheme="majorBidi" w:cstheme="majorBidi"/>
          <w:b/>
          <w:bCs/>
          <w:sz w:val="26"/>
          <w:szCs w:val="26"/>
          <w:lang w:bidi="ar-EG"/>
        </w:rPr>
        <w:t xml:space="preserve"> </w:t>
      </w:r>
      <w:r w:rsidRPr="000D2AE1">
        <w:rPr>
          <w:rFonts w:asciiTheme="majorBidi" w:eastAsia="Calibri" w:hAnsiTheme="majorBidi" w:cstheme="majorBidi"/>
          <w:b/>
          <w:bCs/>
          <w:sz w:val="26"/>
          <w:szCs w:val="26"/>
          <w:rtl/>
        </w:rPr>
        <w:t>ماجستير إدارة الاعمال</w:t>
      </w:r>
    </w:p>
    <w:p w14:paraId="7F197901" w14:textId="77777777" w:rsidR="00024387" w:rsidRPr="000D2AE1" w:rsidRDefault="00024387" w:rsidP="00024387">
      <w:pPr>
        <w:bidi/>
        <w:spacing w:after="60" w:line="360" w:lineRule="auto"/>
        <w:jc w:val="center"/>
        <w:rPr>
          <w:rFonts w:asciiTheme="majorBidi" w:eastAsia="Simplified Arabic" w:hAnsiTheme="majorBidi" w:cstheme="majorBidi"/>
          <w:b/>
          <w:bCs/>
          <w:sz w:val="30"/>
          <w:szCs w:val="30"/>
        </w:rPr>
      </w:pPr>
    </w:p>
    <w:p w14:paraId="74910A1C" w14:textId="11C9A05B" w:rsidR="00024387" w:rsidRPr="000D2AE1" w:rsidRDefault="00024387" w:rsidP="00024387">
      <w:pPr>
        <w:bidi/>
        <w:spacing w:after="60" w:line="360" w:lineRule="auto"/>
        <w:jc w:val="center"/>
        <w:rPr>
          <w:rFonts w:asciiTheme="majorBidi" w:hAnsiTheme="majorBidi" w:cstheme="majorBidi"/>
        </w:rPr>
      </w:pPr>
      <w:r w:rsidRPr="000D2AE1">
        <w:rPr>
          <w:rFonts w:asciiTheme="majorBidi" w:eastAsia="Simplified Arabic" w:hAnsiTheme="majorBidi" w:cstheme="majorBidi"/>
          <w:b/>
          <w:bCs/>
          <w:sz w:val="30"/>
          <w:szCs w:val="30"/>
          <w:rtl/>
        </w:rPr>
        <w:t>الأثر الإداري لتبني الذكاء الاصطناعي كأداة للإدارة الاستراتيجية</w:t>
      </w:r>
    </w:p>
    <w:p w14:paraId="7B3DBD11" w14:textId="77777777" w:rsidR="00024387" w:rsidRPr="000D2AE1" w:rsidRDefault="00024387" w:rsidP="00024387">
      <w:pPr>
        <w:bidi/>
        <w:spacing w:after="200" w:line="360" w:lineRule="auto"/>
        <w:jc w:val="center"/>
        <w:rPr>
          <w:rFonts w:asciiTheme="majorBidi" w:hAnsiTheme="majorBidi" w:cstheme="majorBidi"/>
        </w:rPr>
      </w:pPr>
      <w:r w:rsidRPr="000D2AE1">
        <w:rPr>
          <w:rFonts w:asciiTheme="majorBidi" w:eastAsia="Simplified Arabic" w:hAnsiTheme="majorBidi" w:cstheme="majorBidi"/>
          <w:b/>
          <w:bCs/>
          <w:sz w:val="30"/>
          <w:szCs w:val="30"/>
          <w:rtl/>
        </w:rPr>
        <w:t>على الأداء التنظيمي في البنوك التجارية بالمملكة العربية السعودية</w:t>
      </w:r>
    </w:p>
    <w:p w14:paraId="0A8B40C5" w14:textId="77777777" w:rsidR="00024387" w:rsidRPr="000D2AE1" w:rsidRDefault="00024387" w:rsidP="00024387">
      <w:pPr>
        <w:bidi/>
        <w:spacing w:after="260" w:line="360" w:lineRule="auto"/>
        <w:jc w:val="center"/>
        <w:rPr>
          <w:rFonts w:asciiTheme="majorBidi" w:hAnsiTheme="majorBidi" w:cstheme="majorBidi"/>
        </w:rPr>
      </w:pPr>
      <w:r w:rsidRPr="000D2AE1">
        <w:rPr>
          <w:rFonts w:asciiTheme="majorBidi" w:eastAsia="Simplified Arabic" w:hAnsiTheme="majorBidi" w:cstheme="majorBidi"/>
          <w:sz w:val="26"/>
          <w:szCs w:val="26"/>
          <w:rtl/>
        </w:rPr>
        <w:t>دراسة تطبيقية من منظور الإدارة الاستراتيجية</w:t>
      </w:r>
    </w:p>
    <w:p w14:paraId="3B221735" w14:textId="77777777" w:rsidR="00024387" w:rsidRPr="000D2AE1" w:rsidRDefault="00024387" w:rsidP="00024387">
      <w:pPr>
        <w:bidi/>
        <w:spacing w:after="200" w:line="360" w:lineRule="auto"/>
        <w:jc w:val="center"/>
        <w:rPr>
          <w:rFonts w:asciiTheme="majorBidi" w:eastAsia="Simplified Arabic" w:hAnsiTheme="majorBidi" w:cstheme="majorBidi"/>
          <w:b/>
          <w:bCs/>
          <w:sz w:val="28"/>
          <w:szCs w:val="28"/>
        </w:rPr>
      </w:pPr>
      <w:r w:rsidRPr="000D2AE1">
        <w:rPr>
          <w:rFonts w:asciiTheme="majorBidi" w:eastAsia="Simplified Arabic" w:hAnsiTheme="majorBidi" w:cstheme="majorBidi"/>
          <w:b/>
          <w:bCs/>
          <w:sz w:val="28"/>
          <w:szCs w:val="28"/>
          <w:rtl/>
        </w:rPr>
        <w:t>إعداد الطالب:</w:t>
      </w:r>
    </w:p>
    <w:p w14:paraId="25E11A2E" w14:textId="77777777" w:rsidR="00024387" w:rsidRPr="000D2AE1" w:rsidRDefault="00024387" w:rsidP="00024387">
      <w:pPr>
        <w:bidi/>
        <w:spacing w:after="200" w:line="360" w:lineRule="auto"/>
        <w:jc w:val="center"/>
        <w:rPr>
          <w:rFonts w:asciiTheme="majorBidi" w:hAnsiTheme="majorBidi" w:cstheme="majorBidi"/>
          <w:sz w:val="36"/>
          <w:szCs w:val="36"/>
          <w:rtl/>
        </w:rPr>
      </w:pPr>
      <w:proofErr w:type="spellStart"/>
      <w:r w:rsidRPr="000D2AE1">
        <w:rPr>
          <w:rFonts w:asciiTheme="majorBidi" w:eastAsia="Simplified Arabic" w:hAnsiTheme="majorBidi" w:cstheme="majorBidi"/>
          <w:b/>
          <w:bCs/>
          <w:sz w:val="36"/>
          <w:szCs w:val="36"/>
          <w:rtl/>
        </w:rPr>
        <w:t>سميدع</w:t>
      </w:r>
      <w:proofErr w:type="spellEnd"/>
      <w:r w:rsidRPr="000D2AE1">
        <w:rPr>
          <w:rFonts w:asciiTheme="majorBidi" w:eastAsia="Simplified Arabic" w:hAnsiTheme="majorBidi" w:cstheme="majorBidi"/>
          <w:b/>
          <w:bCs/>
          <w:sz w:val="36"/>
          <w:szCs w:val="36"/>
          <w:rtl/>
        </w:rPr>
        <w:t xml:space="preserve"> كمال الدين عبد الرحيم </w:t>
      </w:r>
    </w:p>
    <w:p w14:paraId="47B62CF4" w14:textId="77777777" w:rsidR="00024387" w:rsidRPr="000D2AE1" w:rsidRDefault="00024387" w:rsidP="00024387">
      <w:pPr>
        <w:bidi/>
        <w:spacing w:after="40" w:line="360" w:lineRule="auto"/>
        <w:jc w:val="center"/>
        <w:rPr>
          <w:rFonts w:asciiTheme="majorBidi" w:hAnsiTheme="majorBidi" w:cstheme="majorBidi"/>
          <w:sz w:val="32"/>
          <w:szCs w:val="32"/>
        </w:rPr>
      </w:pPr>
      <w:r w:rsidRPr="000D2AE1">
        <w:rPr>
          <w:rFonts w:asciiTheme="majorBidi" w:eastAsia="Simplified Arabic" w:hAnsiTheme="majorBidi" w:cstheme="majorBidi"/>
          <w:b/>
          <w:bCs/>
          <w:sz w:val="32"/>
          <w:szCs w:val="32"/>
          <w:rtl/>
        </w:rPr>
        <w:t>إشراف:</w:t>
      </w:r>
    </w:p>
    <w:p w14:paraId="32E7691A" w14:textId="77777777" w:rsidR="00024387" w:rsidRPr="000D2AE1" w:rsidRDefault="00024387" w:rsidP="00024387">
      <w:pPr>
        <w:bidi/>
        <w:spacing w:after="60" w:line="360" w:lineRule="auto"/>
        <w:jc w:val="center"/>
        <w:rPr>
          <w:rFonts w:asciiTheme="majorBidi" w:hAnsiTheme="majorBidi" w:cstheme="majorBidi"/>
          <w:sz w:val="36"/>
          <w:szCs w:val="36"/>
        </w:rPr>
      </w:pPr>
      <w:r w:rsidRPr="000D2AE1">
        <w:rPr>
          <w:rFonts w:asciiTheme="majorBidi" w:eastAsia="Simplified Arabic" w:hAnsiTheme="majorBidi" w:cstheme="majorBidi"/>
          <w:sz w:val="36"/>
          <w:szCs w:val="36"/>
          <w:rtl/>
        </w:rPr>
        <w:t>د. الفيصل عبد الحميد            د. فايز جراد</w:t>
      </w:r>
    </w:p>
    <w:p w14:paraId="72B7E9D4" w14:textId="77777777" w:rsidR="00024387" w:rsidRPr="000D2AE1" w:rsidRDefault="00024387" w:rsidP="00024387">
      <w:pPr>
        <w:rPr>
          <w:rFonts w:asciiTheme="majorBidi" w:hAnsiTheme="majorBidi" w:cstheme="majorBidi"/>
        </w:rPr>
      </w:pPr>
    </w:p>
    <w:p w14:paraId="14924CA0" w14:textId="77777777" w:rsidR="00024387" w:rsidRPr="000D2AE1" w:rsidRDefault="00024387" w:rsidP="00024387">
      <w:pPr>
        <w:rPr>
          <w:rFonts w:asciiTheme="majorBidi" w:hAnsiTheme="majorBidi" w:cstheme="majorBidi"/>
        </w:rPr>
      </w:pPr>
    </w:p>
    <w:p w14:paraId="4B924B19" w14:textId="77777777" w:rsidR="00024387" w:rsidRPr="000D2AE1" w:rsidRDefault="00024387" w:rsidP="00024387">
      <w:pPr>
        <w:bidi/>
        <w:spacing w:after="120" w:line="360" w:lineRule="auto"/>
        <w:jc w:val="center"/>
        <w:rPr>
          <w:rFonts w:asciiTheme="majorBidi" w:hAnsiTheme="majorBidi" w:cstheme="majorBidi"/>
        </w:rPr>
      </w:pPr>
      <w:r w:rsidRPr="000D2AE1">
        <w:rPr>
          <w:rFonts w:asciiTheme="majorBidi" w:eastAsia="Simplified Arabic" w:hAnsiTheme="majorBidi" w:cstheme="majorBidi"/>
          <w:b/>
          <w:bCs/>
          <w:sz w:val="28"/>
          <w:szCs w:val="28"/>
          <w:rtl/>
        </w:rPr>
        <w:t>العام الجامعي:</w:t>
      </w:r>
      <w:r w:rsidRPr="000D2AE1">
        <w:rPr>
          <w:rFonts w:asciiTheme="majorBidi" w:eastAsia="Simplified Arabic" w:hAnsiTheme="majorBidi" w:cstheme="majorBidi"/>
          <w:b/>
          <w:bCs/>
          <w:sz w:val="28"/>
          <w:szCs w:val="28"/>
        </w:rPr>
        <w:t xml:space="preserve">5 </w:t>
      </w:r>
      <w:r w:rsidRPr="000D2AE1">
        <w:rPr>
          <w:rFonts w:asciiTheme="majorBidi" w:eastAsia="Simplified Arabic" w:hAnsiTheme="majorBidi" w:cstheme="majorBidi"/>
          <w:b/>
          <w:bCs/>
          <w:sz w:val="28"/>
          <w:szCs w:val="28"/>
          <w:rtl/>
        </w:rPr>
        <w:t xml:space="preserve">202 - </w:t>
      </w:r>
      <w:r w:rsidRPr="000D2AE1">
        <w:rPr>
          <w:rFonts w:asciiTheme="majorBidi" w:eastAsia="Simplified Arabic" w:hAnsiTheme="majorBidi" w:cstheme="majorBidi"/>
          <w:b/>
          <w:bCs/>
          <w:sz w:val="28"/>
          <w:szCs w:val="28"/>
        </w:rPr>
        <w:t>6</w:t>
      </w:r>
      <w:r w:rsidRPr="000D2AE1">
        <w:rPr>
          <w:rFonts w:asciiTheme="majorBidi" w:eastAsia="Simplified Arabic" w:hAnsiTheme="majorBidi" w:cstheme="majorBidi"/>
          <w:b/>
          <w:bCs/>
          <w:sz w:val="28"/>
          <w:szCs w:val="28"/>
          <w:rtl/>
        </w:rPr>
        <w:t>202</w:t>
      </w:r>
    </w:p>
    <w:p w14:paraId="35E5AED0" w14:textId="77777777" w:rsidR="00024387" w:rsidRPr="000D2AE1" w:rsidRDefault="00024387" w:rsidP="00024387">
      <w:pPr>
        <w:jc w:val="center"/>
        <w:rPr>
          <w:rFonts w:asciiTheme="majorBidi" w:hAnsiTheme="majorBidi" w:cstheme="majorBidi"/>
        </w:rPr>
      </w:pPr>
      <w:r w:rsidRPr="000D2AE1">
        <w:rPr>
          <w:rFonts w:asciiTheme="majorBidi" w:hAnsiTheme="majorBidi" w:cstheme="majorBidi"/>
        </w:rPr>
        <w:br w:type="page"/>
      </w:r>
    </w:p>
    <w:p w14:paraId="505D87F2" w14:textId="77777777" w:rsidR="00971F92" w:rsidRPr="000D2AE1" w:rsidRDefault="00971F92" w:rsidP="00024387">
      <w:pPr>
        <w:jc w:val="center"/>
        <w:rPr>
          <w:rFonts w:asciiTheme="majorBidi" w:hAnsiTheme="majorBidi" w:cstheme="majorBidi"/>
          <w:b/>
          <w:bCs/>
          <w:sz w:val="48"/>
          <w:szCs w:val="48"/>
        </w:rPr>
      </w:pPr>
    </w:p>
    <w:p w14:paraId="26B6B6C9" w14:textId="77777777" w:rsidR="00971F92" w:rsidRPr="000D2AE1" w:rsidRDefault="00971F92" w:rsidP="00024387">
      <w:pPr>
        <w:jc w:val="center"/>
        <w:rPr>
          <w:rFonts w:asciiTheme="majorBidi" w:hAnsiTheme="majorBidi" w:cstheme="majorBidi"/>
          <w:b/>
          <w:bCs/>
          <w:sz w:val="48"/>
          <w:szCs w:val="48"/>
        </w:rPr>
      </w:pPr>
    </w:p>
    <w:p w14:paraId="6BB526E3" w14:textId="77777777" w:rsidR="00971F92" w:rsidRPr="000D2AE1" w:rsidRDefault="00971F92" w:rsidP="00024387">
      <w:pPr>
        <w:jc w:val="center"/>
        <w:rPr>
          <w:rFonts w:asciiTheme="majorBidi" w:hAnsiTheme="majorBidi" w:cstheme="majorBidi"/>
          <w:b/>
          <w:bCs/>
          <w:sz w:val="48"/>
          <w:szCs w:val="48"/>
        </w:rPr>
      </w:pPr>
    </w:p>
    <w:p w14:paraId="1E04BCE8" w14:textId="77777777" w:rsidR="00971F92" w:rsidRPr="000D2AE1" w:rsidRDefault="00971F92" w:rsidP="00024387">
      <w:pPr>
        <w:jc w:val="center"/>
        <w:rPr>
          <w:rFonts w:asciiTheme="majorBidi" w:hAnsiTheme="majorBidi" w:cstheme="majorBidi"/>
          <w:b/>
          <w:bCs/>
          <w:sz w:val="48"/>
          <w:szCs w:val="48"/>
        </w:rPr>
      </w:pPr>
    </w:p>
    <w:p w14:paraId="5BC0D935" w14:textId="77777777" w:rsidR="00971F92" w:rsidRPr="000D2AE1" w:rsidRDefault="00971F92" w:rsidP="00024387">
      <w:pPr>
        <w:jc w:val="center"/>
        <w:rPr>
          <w:rFonts w:asciiTheme="majorBidi" w:hAnsiTheme="majorBidi" w:cstheme="majorBidi"/>
          <w:b/>
          <w:bCs/>
          <w:sz w:val="48"/>
          <w:szCs w:val="48"/>
        </w:rPr>
      </w:pPr>
    </w:p>
    <w:p w14:paraId="7559F822" w14:textId="36CFC4E2" w:rsidR="00024387" w:rsidRPr="000D2AE1" w:rsidRDefault="009B134E" w:rsidP="00024387">
      <w:pPr>
        <w:jc w:val="center"/>
        <w:rPr>
          <w:rFonts w:asciiTheme="majorBidi" w:hAnsiTheme="majorBidi" w:cstheme="majorBidi"/>
        </w:rPr>
      </w:pPr>
      <w:r w:rsidRPr="000D2AE1">
        <w:rPr>
          <w:rFonts w:asciiTheme="majorBidi" w:hAnsiTheme="majorBidi" w:cstheme="majorBidi"/>
          <w:b/>
          <w:bCs/>
          <w:sz w:val="48"/>
          <w:szCs w:val="48"/>
        </w:rPr>
        <w:t>CHAPTER ONE:</w:t>
      </w:r>
    </w:p>
    <w:p w14:paraId="7B438E69" w14:textId="2E7C7F72" w:rsidR="009B134E" w:rsidRPr="000D2AE1" w:rsidRDefault="009B134E" w:rsidP="00024387">
      <w:pPr>
        <w:jc w:val="center"/>
        <w:rPr>
          <w:rFonts w:asciiTheme="majorBidi" w:hAnsiTheme="majorBidi" w:cstheme="majorBidi"/>
          <w:b/>
          <w:bCs/>
          <w:sz w:val="48"/>
          <w:szCs w:val="48"/>
        </w:rPr>
      </w:pPr>
      <w:r w:rsidRPr="000D2AE1">
        <w:rPr>
          <w:rFonts w:asciiTheme="majorBidi" w:hAnsiTheme="majorBidi" w:cstheme="majorBidi"/>
          <w:b/>
          <w:bCs/>
          <w:sz w:val="48"/>
          <w:szCs w:val="48"/>
        </w:rPr>
        <w:t>INTRODUCTION TO THE STUDY</w:t>
      </w:r>
    </w:p>
    <w:p w14:paraId="35784EC0" w14:textId="77777777" w:rsidR="00024387" w:rsidRPr="000D2AE1" w:rsidRDefault="00024387" w:rsidP="00024387">
      <w:pPr>
        <w:rPr>
          <w:rFonts w:asciiTheme="majorBidi" w:hAnsiTheme="majorBidi" w:cstheme="majorBidi"/>
          <w:sz w:val="26"/>
          <w:szCs w:val="26"/>
        </w:rPr>
      </w:pPr>
    </w:p>
    <w:p w14:paraId="227D9AD8" w14:textId="77777777" w:rsidR="00024387" w:rsidRPr="000D2AE1" w:rsidRDefault="00024387" w:rsidP="00024387">
      <w:pPr>
        <w:rPr>
          <w:rFonts w:asciiTheme="majorBidi" w:hAnsiTheme="majorBidi" w:cstheme="majorBidi"/>
          <w:sz w:val="26"/>
          <w:szCs w:val="26"/>
        </w:rPr>
      </w:pPr>
    </w:p>
    <w:p w14:paraId="641AC1E8" w14:textId="77777777" w:rsidR="00024387" w:rsidRPr="000D2AE1" w:rsidRDefault="00024387" w:rsidP="00024387">
      <w:pPr>
        <w:rPr>
          <w:rFonts w:asciiTheme="majorBidi" w:hAnsiTheme="majorBidi" w:cstheme="majorBidi"/>
          <w:sz w:val="26"/>
          <w:szCs w:val="26"/>
        </w:rPr>
      </w:pPr>
    </w:p>
    <w:p w14:paraId="6869C23D" w14:textId="77777777" w:rsidR="00024387" w:rsidRPr="000D2AE1" w:rsidRDefault="00024387" w:rsidP="00024387">
      <w:pPr>
        <w:rPr>
          <w:rFonts w:asciiTheme="majorBidi" w:hAnsiTheme="majorBidi" w:cstheme="majorBidi"/>
          <w:sz w:val="26"/>
          <w:szCs w:val="26"/>
        </w:rPr>
      </w:pPr>
    </w:p>
    <w:p w14:paraId="04F5932C" w14:textId="77777777" w:rsidR="00024387" w:rsidRPr="000D2AE1" w:rsidRDefault="00024387" w:rsidP="00024387">
      <w:pPr>
        <w:rPr>
          <w:rFonts w:asciiTheme="majorBidi" w:hAnsiTheme="majorBidi" w:cstheme="majorBidi"/>
          <w:sz w:val="26"/>
          <w:szCs w:val="26"/>
        </w:rPr>
      </w:pPr>
    </w:p>
    <w:p w14:paraId="2F4F16E2" w14:textId="77777777" w:rsidR="00024387" w:rsidRPr="000D2AE1" w:rsidRDefault="00024387" w:rsidP="00024387">
      <w:pPr>
        <w:rPr>
          <w:rFonts w:asciiTheme="majorBidi" w:hAnsiTheme="majorBidi" w:cstheme="majorBidi"/>
          <w:sz w:val="26"/>
          <w:szCs w:val="26"/>
        </w:rPr>
      </w:pPr>
    </w:p>
    <w:p w14:paraId="5AB586B9" w14:textId="77777777" w:rsidR="00024387" w:rsidRPr="000D2AE1" w:rsidRDefault="00024387" w:rsidP="00024387">
      <w:pPr>
        <w:rPr>
          <w:rFonts w:asciiTheme="majorBidi" w:hAnsiTheme="majorBidi" w:cstheme="majorBidi"/>
          <w:sz w:val="26"/>
          <w:szCs w:val="26"/>
        </w:rPr>
      </w:pPr>
    </w:p>
    <w:p w14:paraId="38FA8E07" w14:textId="77777777" w:rsidR="00024387" w:rsidRPr="000D2AE1" w:rsidRDefault="00024387" w:rsidP="00024387">
      <w:pPr>
        <w:rPr>
          <w:rFonts w:asciiTheme="majorBidi" w:hAnsiTheme="majorBidi" w:cstheme="majorBidi"/>
          <w:sz w:val="26"/>
          <w:szCs w:val="26"/>
        </w:rPr>
      </w:pPr>
    </w:p>
    <w:p w14:paraId="2696F2DD" w14:textId="77777777" w:rsidR="00024387" w:rsidRPr="000D2AE1" w:rsidRDefault="00024387" w:rsidP="00024387">
      <w:pPr>
        <w:rPr>
          <w:rFonts w:asciiTheme="majorBidi" w:hAnsiTheme="majorBidi" w:cstheme="majorBidi"/>
          <w:sz w:val="26"/>
          <w:szCs w:val="26"/>
        </w:rPr>
      </w:pPr>
    </w:p>
    <w:p w14:paraId="15C619B3" w14:textId="77777777" w:rsidR="00024387" w:rsidRPr="000D2AE1" w:rsidRDefault="00024387" w:rsidP="00024387">
      <w:pPr>
        <w:rPr>
          <w:rFonts w:asciiTheme="majorBidi" w:hAnsiTheme="majorBidi" w:cstheme="majorBidi"/>
          <w:sz w:val="26"/>
          <w:szCs w:val="26"/>
        </w:rPr>
      </w:pPr>
    </w:p>
    <w:p w14:paraId="599A504A" w14:textId="77777777" w:rsidR="00024387" w:rsidRPr="000D2AE1" w:rsidRDefault="00024387" w:rsidP="00024387">
      <w:pPr>
        <w:rPr>
          <w:rFonts w:asciiTheme="majorBidi" w:hAnsiTheme="majorBidi" w:cstheme="majorBidi"/>
          <w:sz w:val="26"/>
          <w:szCs w:val="26"/>
        </w:rPr>
      </w:pPr>
    </w:p>
    <w:p w14:paraId="13D0CAFD" w14:textId="77777777" w:rsidR="000D2AE1" w:rsidRPr="000D2AE1" w:rsidRDefault="000D2AE1" w:rsidP="000D2AE1">
      <w:pPr>
        <w:rPr>
          <w:rFonts w:asciiTheme="majorBidi" w:hAnsiTheme="majorBidi" w:cstheme="majorBidi"/>
        </w:rPr>
      </w:pPr>
    </w:p>
    <w:p w14:paraId="4C08059B" w14:textId="77777777" w:rsidR="000D2AE1" w:rsidRPr="000D2AE1" w:rsidRDefault="000D2AE1" w:rsidP="000D2AE1">
      <w:pPr>
        <w:pStyle w:val="BodyText"/>
        <w:numPr>
          <w:ilvl w:val="1"/>
          <w:numId w:val="46"/>
        </w:numPr>
        <w:spacing w:before="140" w:line="360" w:lineRule="auto"/>
        <w:rPr>
          <w:rFonts w:asciiTheme="majorBidi" w:hAnsiTheme="majorBidi" w:cstheme="majorBidi"/>
          <w:color w:val="000000"/>
          <w:sz w:val="24"/>
          <w:szCs w:val="24"/>
        </w:rPr>
      </w:pPr>
      <w:r w:rsidRPr="000D2AE1">
        <w:rPr>
          <w:rFonts w:asciiTheme="majorBidi" w:hAnsiTheme="majorBidi" w:cstheme="majorBidi"/>
          <w:color w:val="000000"/>
          <w:sz w:val="27"/>
          <w:szCs w:val="27"/>
        </w:rPr>
        <w:lastRenderedPageBreak/>
        <w:t>Introduction</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The twenty-first century has seen strategic management increasingly affected by managerial decisions around developing technology. Of these technologies, Artificial Intelligence (AI) has emerged as one of the most important strategic tools available to managers today. For managers, AI is not only a technical skill; rather, it is a strategic resource that managers choose to accept, govern, and use in pursuit of competitive advantage, operational excellence, and stakeholder value (Davenport &amp; Ronanki, 2018). Decisions by managers on whether, how, and how fast to deploy AI have become defining choices in establishing the competitive positioning of </w:t>
      </w:r>
      <w:proofErr w:type="spellStart"/>
      <w:r w:rsidRPr="000D2AE1">
        <w:rPr>
          <w:rFonts w:asciiTheme="majorBidi" w:hAnsiTheme="majorBidi" w:cstheme="majorBidi"/>
          <w:color w:val="000000"/>
          <w:sz w:val="24"/>
          <w:szCs w:val="24"/>
        </w:rPr>
        <w:t>organisations</w:t>
      </w:r>
      <w:proofErr w:type="spellEnd"/>
      <w:r w:rsidRPr="000D2AE1">
        <w:rPr>
          <w:rFonts w:asciiTheme="majorBidi" w:hAnsiTheme="majorBidi" w:cstheme="majorBidi"/>
          <w:color w:val="000000"/>
          <w:sz w:val="24"/>
          <w:szCs w:val="24"/>
        </w:rPr>
        <w:t xml:space="preserve"> in practically every industry.</w:t>
      </w:r>
    </w:p>
    <w:p w14:paraId="6ACBDFE6" w14:textId="77777777" w:rsidR="000D2AE1" w:rsidRPr="000D2AE1" w:rsidRDefault="000D2AE1" w:rsidP="000D2AE1">
      <w:pPr>
        <w:pStyle w:val="BodyText"/>
        <w:spacing w:before="140" w:line="360" w:lineRule="auto"/>
        <w:ind w:left="420"/>
        <w:rPr>
          <w:rFonts w:asciiTheme="majorBidi" w:hAnsiTheme="majorBidi" w:cstheme="majorBidi"/>
          <w:color w:val="000000"/>
          <w:sz w:val="24"/>
          <w:szCs w:val="24"/>
        </w:rPr>
      </w:pPr>
    </w:p>
    <w:p w14:paraId="2A597D88" w14:textId="774DBE67" w:rsidR="000D2AE1" w:rsidRPr="000D2AE1" w:rsidRDefault="00145ACD" w:rsidP="000D2AE1">
      <w:pPr>
        <w:pStyle w:val="BodyText"/>
        <w:spacing w:before="140" w:line="360" w:lineRule="auto"/>
        <w:ind w:left="420"/>
        <w:rPr>
          <w:rFonts w:asciiTheme="majorBidi" w:hAnsiTheme="majorBidi" w:cstheme="majorBidi"/>
          <w:color w:val="000000"/>
          <w:sz w:val="24"/>
          <w:szCs w:val="24"/>
        </w:rPr>
      </w:pPr>
      <w:r w:rsidRPr="00145ACD">
        <w:rPr>
          <w:rFonts w:asciiTheme="majorBidi" w:hAnsiTheme="majorBidi" w:cstheme="majorBidi"/>
          <w:color w:val="000000"/>
          <w:sz w:val="24"/>
          <w:szCs w:val="24"/>
        </w:rPr>
        <w:t xml:space="preserve">This study is based on accepted management theory in the subject of business administration. The Resource-Based View of strategic management (Barney, 1991) postulates that AI is a potentially valuable, scarce, inimitable and well-organized resource that management can deploy to obtain sustainable competitive </w:t>
      </w:r>
      <w:r w:rsidRPr="00145ACD">
        <w:rPr>
          <w:rFonts w:asciiTheme="majorBidi" w:hAnsiTheme="majorBidi" w:cstheme="majorBidi"/>
          <w:color w:val="000000"/>
          <w:sz w:val="24"/>
          <w:szCs w:val="24"/>
        </w:rPr>
        <w:t>advantage.</w:t>
      </w:r>
      <w:r w:rsidR="000D2AE1" w:rsidRPr="000D2AE1">
        <w:rPr>
          <w:rFonts w:asciiTheme="majorBidi" w:hAnsiTheme="majorBidi" w:cstheme="majorBidi"/>
          <w:color w:val="000000"/>
          <w:sz w:val="24"/>
          <w:szCs w:val="24"/>
        </w:rPr>
        <w:t xml:space="preserve"> The Technology-Organization-Environment framework (Tornatzky &amp; Fleischer, 1990) illustrates how organisational elements - under direct control of management - affect the results of technology adoption. The Technology Acceptance Model (Davis, 1989) tackles a managerial concern to have the </w:t>
      </w:r>
      <w:proofErr w:type="spellStart"/>
      <w:r w:rsidR="000D2AE1" w:rsidRPr="000D2AE1">
        <w:rPr>
          <w:rFonts w:asciiTheme="majorBidi" w:hAnsiTheme="majorBidi" w:cstheme="majorBidi"/>
          <w:color w:val="000000"/>
          <w:sz w:val="24"/>
          <w:szCs w:val="24"/>
        </w:rPr>
        <w:t>employes</w:t>
      </w:r>
      <w:proofErr w:type="spellEnd"/>
      <w:r w:rsidR="000D2AE1" w:rsidRPr="000D2AE1">
        <w:rPr>
          <w:rFonts w:asciiTheme="majorBidi" w:hAnsiTheme="majorBidi" w:cstheme="majorBidi"/>
          <w:color w:val="000000"/>
          <w:sz w:val="24"/>
          <w:szCs w:val="24"/>
        </w:rPr>
        <w:t xml:space="preserve"> of the business genuinely accept and use the AI tools in which the organization invests. These frameworks are representative of a management perspective of AI, not a solely technical approach.</w:t>
      </w:r>
      <w:r w:rsidR="000D2AE1" w:rsidRPr="000D2AE1">
        <w:rPr>
          <w:rFonts w:asciiTheme="majorBidi" w:hAnsiTheme="majorBidi" w:cstheme="majorBidi"/>
          <w:color w:val="000000"/>
          <w:sz w:val="24"/>
          <w:szCs w:val="24"/>
        </w:rPr>
        <w:br/>
        <w:t>Banking and financial services have emerged as a particularly crucial environment for the strategic management of AI adoption. Banks have been quick to adopt management innovations and information technology and now lead the way in AI-enabled business transformation. Senior bank</w:t>
      </w:r>
      <w:r w:rsidR="000D2AE1" w:rsidRPr="000D2AE1">
        <w:rPr>
          <w:rFonts w:asciiTheme="majorBidi" w:hAnsiTheme="majorBidi" w:cstheme="majorBidi"/>
          <w:color w:val="000000"/>
          <w:sz w:val="24"/>
          <w:szCs w:val="24"/>
        </w:rPr>
        <w:br/>
      </w:r>
      <w:r w:rsidR="000D2AE1" w:rsidRPr="000D2AE1">
        <w:rPr>
          <w:rFonts w:asciiTheme="majorBidi" w:hAnsiTheme="majorBidi" w:cstheme="majorBidi"/>
          <w:color w:val="000000"/>
          <w:sz w:val="24"/>
          <w:szCs w:val="24"/>
        </w:rPr>
        <w:br/>
        <w:t xml:space="preserve">Executives in Saudi Arabia and globally are making strategic choices on how much capital to </w:t>
      </w:r>
      <w:r w:rsidR="000D2AE1" w:rsidRPr="000D2AE1">
        <w:rPr>
          <w:rFonts w:asciiTheme="majorBidi" w:hAnsiTheme="majorBidi" w:cstheme="majorBidi"/>
          <w:color w:val="000000"/>
          <w:sz w:val="24"/>
          <w:szCs w:val="24"/>
        </w:rPr>
        <w:lastRenderedPageBreak/>
        <w:t xml:space="preserve">deploy in AI initiatives, how to </w:t>
      </w:r>
      <w:proofErr w:type="spellStart"/>
      <w:r w:rsidR="000D2AE1" w:rsidRPr="000D2AE1">
        <w:rPr>
          <w:rFonts w:asciiTheme="majorBidi" w:hAnsiTheme="majorBidi" w:cstheme="majorBidi"/>
          <w:color w:val="000000"/>
          <w:sz w:val="24"/>
          <w:szCs w:val="24"/>
        </w:rPr>
        <w:t>organise</w:t>
      </w:r>
      <w:proofErr w:type="spellEnd"/>
      <w:r w:rsidR="000D2AE1" w:rsidRPr="000D2AE1">
        <w:rPr>
          <w:rFonts w:asciiTheme="majorBidi" w:hAnsiTheme="majorBidi" w:cstheme="majorBidi"/>
          <w:color w:val="000000"/>
          <w:sz w:val="24"/>
          <w:szCs w:val="24"/>
        </w:rPr>
        <w:t xml:space="preserve"> their teams and operational models around AI capabilities, how to manage the human capital implications of AI deployment and how to oversee AI-related risks. These are fundamentally managerial decisions that are fully within the field of business administration.</w:t>
      </w:r>
      <w:r w:rsidR="000D2AE1" w:rsidRPr="000D2AE1">
        <w:rPr>
          <w:rFonts w:asciiTheme="majorBidi" w:hAnsiTheme="majorBidi" w:cstheme="majorBidi"/>
          <w:color w:val="000000"/>
          <w:sz w:val="24"/>
          <w:szCs w:val="24"/>
        </w:rPr>
        <w:br/>
        <w:t xml:space="preserve">In the Kingdom of Saudi Arabia, the strategic management of AI adoption has been elevated to the level of national policy with Saudi Vision 2030. Digital transformation and management of emerging technologies are strategic priority for governmental and commercial sector </w:t>
      </w:r>
      <w:proofErr w:type="spellStart"/>
      <w:r w:rsidR="000D2AE1" w:rsidRPr="000D2AE1">
        <w:rPr>
          <w:rFonts w:asciiTheme="majorBidi" w:hAnsiTheme="majorBidi" w:cstheme="majorBidi"/>
          <w:color w:val="000000"/>
          <w:sz w:val="24"/>
          <w:szCs w:val="24"/>
        </w:rPr>
        <w:t>organisations</w:t>
      </w:r>
      <w:proofErr w:type="spellEnd"/>
      <w:r w:rsidR="000D2AE1" w:rsidRPr="000D2AE1">
        <w:rPr>
          <w:rFonts w:asciiTheme="majorBidi" w:hAnsiTheme="majorBidi" w:cstheme="majorBidi"/>
          <w:color w:val="000000"/>
          <w:sz w:val="24"/>
          <w:szCs w:val="24"/>
        </w:rPr>
        <w:t xml:space="preserve">, as explicitly stated in Vision 2030. The creation of the Saudi Data and Artificial Intelligence Authority (SDAIA) in 2019 and the launch of the National Strategy for Data and AI in 2020 are strategic management decisions at the national level that set the context for how </w:t>
      </w:r>
      <w:proofErr w:type="spellStart"/>
      <w:r w:rsidR="000D2AE1" w:rsidRPr="000D2AE1">
        <w:rPr>
          <w:rFonts w:asciiTheme="majorBidi" w:hAnsiTheme="majorBidi" w:cstheme="majorBidi"/>
          <w:color w:val="000000"/>
          <w:sz w:val="24"/>
          <w:szCs w:val="24"/>
        </w:rPr>
        <w:t>organisations</w:t>
      </w:r>
      <w:proofErr w:type="spellEnd"/>
      <w:r w:rsidR="000D2AE1" w:rsidRPr="000D2AE1">
        <w:rPr>
          <w:rFonts w:asciiTheme="majorBidi" w:hAnsiTheme="majorBidi" w:cstheme="majorBidi"/>
          <w:color w:val="000000"/>
          <w:sz w:val="24"/>
          <w:szCs w:val="24"/>
        </w:rPr>
        <w:t xml:space="preserve"> from all sectors should approach AI. The Saudi Central Bank (SAMA) has, in turn, published strategic regulatory guidance encouraging banks to deploy AI in ways that promote both innovation and solid risk management - itself a core management challenge.</w:t>
      </w:r>
      <w:r w:rsidR="000D2AE1" w:rsidRPr="000D2AE1">
        <w:rPr>
          <w:rFonts w:asciiTheme="majorBidi" w:hAnsiTheme="majorBidi" w:cstheme="majorBidi"/>
          <w:color w:val="000000"/>
          <w:sz w:val="24"/>
          <w:szCs w:val="24"/>
        </w:rPr>
        <w:br/>
        <w:t xml:space="preserve">In this strategic framework, the management teams of Saudi commercial banks have stepped up their strategic investments in AI capabilities. Some of the major banks that have taken a deliberate management decision to incorporate AI-powered chatbots, biometric authentication, predictive credit-risk models and automated back-office procedures are Saudi National Bank, Al Rajhi Bank, Riyad Bank and Banque Saudi </w:t>
      </w:r>
      <w:proofErr w:type="spellStart"/>
      <w:r w:rsidR="000D2AE1" w:rsidRPr="000D2AE1">
        <w:rPr>
          <w:rFonts w:asciiTheme="majorBidi" w:hAnsiTheme="majorBidi" w:cstheme="majorBidi"/>
          <w:color w:val="000000"/>
          <w:sz w:val="24"/>
          <w:szCs w:val="24"/>
        </w:rPr>
        <w:t>Fransi</w:t>
      </w:r>
      <w:proofErr w:type="spellEnd"/>
      <w:r w:rsidR="000D2AE1" w:rsidRPr="000D2AE1">
        <w:rPr>
          <w:rFonts w:asciiTheme="majorBidi" w:hAnsiTheme="majorBidi" w:cstheme="majorBidi"/>
          <w:color w:val="000000"/>
          <w:sz w:val="24"/>
          <w:szCs w:val="24"/>
        </w:rPr>
        <w:t>. From a management perspective, these activities are significantly more than technology projects. They entail strategic planning, change management, people management, performance management and governance – all key disciplines of business administration.</w:t>
      </w:r>
      <w:r w:rsidR="000D2AE1" w:rsidRPr="000D2AE1">
        <w:rPr>
          <w:rFonts w:asciiTheme="majorBidi" w:hAnsiTheme="majorBidi" w:cstheme="majorBidi"/>
          <w:color w:val="000000"/>
          <w:sz w:val="24"/>
          <w:szCs w:val="24"/>
        </w:rPr>
        <w:br/>
      </w:r>
      <w:r w:rsidR="000D2AE1" w:rsidRPr="000D2AE1">
        <w:rPr>
          <w:rFonts w:asciiTheme="majorBidi" w:hAnsiTheme="majorBidi" w:cstheme="majorBidi"/>
          <w:color w:val="000000"/>
          <w:sz w:val="24"/>
          <w:szCs w:val="24"/>
        </w:rPr>
        <w:br/>
        <w:t xml:space="preserve">Notwithstanding these significant managerial implications, a key management research question is yet to be adequately addressed: from a business administration perspective, does the strategic management decision to implement AI lead to measurable enhancements in the organisational performance of Saudi commercial banks? While managers may point to anecdotal benefits and </w:t>
      </w:r>
      <w:r w:rsidR="000D2AE1" w:rsidRPr="000D2AE1">
        <w:rPr>
          <w:rFonts w:asciiTheme="majorBidi" w:hAnsiTheme="majorBidi" w:cstheme="majorBidi"/>
          <w:color w:val="000000"/>
          <w:sz w:val="24"/>
          <w:szCs w:val="24"/>
        </w:rPr>
        <w:lastRenderedPageBreak/>
        <w:t>industry reports, there is still a paucity of robust empirical evidence on the relationship between the adoption of AI as a management decision and numerous dimensions of organisational performance in the Saudi banking sector. This management research gap inspires the present MBA-level study, which aims to give evidence that promotes better managerial decision-making about AI investments.</w:t>
      </w:r>
    </w:p>
    <w:p w14:paraId="70FF9E03" w14:textId="77777777" w:rsidR="000D2AE1" w:rsidRPr="000D2AE1" w:rsidRDefault="000D2AE1" w:rsidP="00B96FED">
      <w:pPr>
        <w:pStyle w:val="BodyText"/>
        <w:spacing w:before="140" w:line="360" w:lineRule="auto"/>
        <w:rPr>
          <w:rFonts w:asciiTheme="majorBidi" w:hAnsiTheme="majorBidi" w:cstheme="majorBidi"/>
          <w:color w:val="000000"/>
          <w:sz w:val="24"/>
          <w:szCs w:val="24"/>
        </w:rPr>
      </w:pPr>
      <w:r w:rsidRPr="000D2AE1">
        <w:rPr>
          <w:rFonts w:asciiTheme="majorBidi" w:hAnsiTheme="majorBidi" w:cstheme="majorBidi"/>
          <w:b/>
          <w:bCs/>
          <w:color w:val="000000"/>
          <w:sz w:val="28"/>
          <w:szCs w:val="28"/>
        </w:rPr>
        <w:br/>
        <w:t>1.2 Research problem statement</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The research topic of this MBA study can be found at the junction of three management challenges that the leadership of commercial banks in Saudi Arabia confronts. The first managerial problem is a strategic resource allocation problem under uncertainty. Bank executives are expected to make multi-year strategic commitments of resources, talent, and management attention to AI initiatives, but they do so without solid local empirical information on the projected return on these investments. From the point of view of strategic management this is a basic capital allocation challenge under uncertainty: managers must make decisions today whose return will depend on poorly understood linkages. In the absence of empirical evidence particular to the Saudi banking sector, AI investment decisions may be driven by industry hype, vendor influence or imitation of competitors rather than good strategic rationale.</w:t>
      </w:r>
    </w:p>
    <w:p w14:paraId="195DD4CD" w14:textId="77777777" w:rsidR="000D2AE1" w:rsidRPr="000D2AE1" w:rsidRDefault="000D2AE1" w:rsidP="000D2AE1">
      <w:pPr>
        <w:pStyle w:val="BodyText"/>
        <w:spacing w:before="140" w:line="360" w:lineRule="auto"/>
        <w:ind w:left="420"/>
        <w:rPr>
          <w:rFonts w:asciiTheme="majorBidi" w:hAnsiTheme="majorBidi" w:cstheme="majorBidi"/>
          <w:color w:val="000000"/>
          <w:sz w:val="24"/>
          <w:szCs w:val="24"/>
        </w:rPr>
      </w:pPr>
      <w:r w:rsidRPr="000D2AE1">
        <w:rPr>
          <w:rFonts w:asciiTheme="majorBidi" w:hAnsiTheme="majorBidi" w:cstheme="majorBidi"/>
          <w:color w:val="000000"/>
          <w:sz w:val="24"/>
          <w:szCs w:val="24"/>
        </w:rPr>
        <w:br/>
        <w:t xml:space="preserve">The second management challenge is the multidimensionality of organisational performance. In the contemporary strategic management literature, organisational performance is treated as a balanced construct, including operational, customer, and financial dimensions (Kaplan &amp; Norton, 1996). AI adoption, as such a management choice, should therefore be assessed against numerous performance aspects, not a single statistic. Previous studies have typically focused on AI in connection to a single dimension of performance, leaving managers without the integrated </w:t>
      </w:r>
      <w:r w:rsidRPr="000D2AE1">
        <w:rPr>
          <w:rFonts w:asciiTheme="majorBidi" w:hAnsiTheme="majorBidi" w:cstheme="majorBidi"/>
          <w:color w:val="000000"/>
          <w:sz w:val="24"/>
          <w:szCs w:val="24"/>
        </w:rPr>
        <w:lastRenderedPageBreak/>
        <w:t xml:space="preserve">evidence they need to </w:t>
      </w:r>
      <w:proofErr w:type="spellStart"/>
      <w:r w:rsidRPr="000D2AE1">
        <w:rPr>
          <w:rFonts w:asciiTheme="majorBidi" w:hAnsiTheme="majorBidi" w:cstheme="majorBidi"/>
          <w:color w:val="000000"/>
          <w:sz w:val="24"/>
          <w:szCs w:val="24"/>
        </w:rPr>
        <w:t>analyse</w:t>
      </w:r>
      <w:proofErr w:type="spellEnd"/>
      <w:r w:rsidRPr="000D2AE1">
        <w:rPr>
          <w:rFonts w:asciiTheme="majorBidi" w:hAnsiTheme="majorBidi" w:cstheme="majorBidi"/>
          <w:color w:val="000000"/>
          <w:sz w:val="24"/>
          <w:szCs w:val="24"/>
        </w:rPr>
        <w:t xml:space="preserve"> the relative impact of alternative AI investment options across operational efficiency, customer happiness, and financial outcomes. The third managerial difficulty concerns contextual transferability. </w:t>
      </w:r>
    </w:p>
    <w:p w14:paraId="3FB96BC1" w14:textId="77777777" w:rsidR="000D2AE1" w:rsidRDefault="000D2AE1" w:rsidP="000D2AE1">
      <w:pPr>
        <w:pStyle w:val="BodyText"/>
        <w:spacing w:before="140" w:line="360" w:lineRule="auto"/>
        <w:ind w:left="420"/>
        <w:rPr>
          <w:rFonts w:asciiTheme="majorBidi" w:hAnsiTheme="majorBidi" w:cstheme="majorBidi"/>
          <w:color w:val="000000"/>
          <w:sz w:val="24"/>
          <w:szCs w:val="24"/>
        </w:rPr>
      </w:pPr>
      <w:r w:rsidRPr="000D2AE1">
        <w:rPr>
          <w:rFonts w:asciiTheme="majorBidi" w:hAnsiTheme="majorBidi" w:cstheme="majorBidi"/>
          <w:color w:val="000000"/>
          <w:sz w:val="24"/>
          <w:szCs w:val="24"/>
        </w:rPr>
        <w:t xml:space="preserve">Most of the empirical management research on AI in banking has been performed in Western and East Asian markets and management environments that differ from Saudi Arabia in terms of institutional environment, organisational culture, regulatory regime, consumer demographics and strategic aims. From the standpoint of management theory, the findings from one management setting may not be transferable to another. The Saudi banking setting, </w:t>
      </w:r>
      <w:proofErr w:type="spellStart"/>
      <w:r w:rsidRPr="000D2AE1">
        <w:rPr>
          <w:rFonts w:asciiTheme="majorBidi" w:hAnsiTheme="majorBidi" w:cstheme="majorBidi"/>
          <w:color w:val="000000"/>
          <w:sz w:val="24"/>
          <w:szCs w:val="24"/>
        </w:rPr>
        <w:t>moulded</w:t>
      </w:r>
      <w:proofErr w:type="spellEnd"/>
      <w:r w:rsidRPr="000D2AE1">
        <w:rPr>
          <w:rFonts w:asciiTheme="majorBidi" w:hAnsiTheme="majorBidi" w:cstheme="majorBidi"/>
          <w:color w:val="000000"/>
          <w:sz w:val="24"/>
          <w:szCs w:val="24"/>
        </w:rPr>
        <w:t xml:space="preserve"> by Vision 2030, Islamic finance concerns, SAMA's distinctive regulatory approach, and a young digitally engaged client base, demands research anchored in the local management environment.</w:t>
      </w:r>
      <w:r w:rsidRPr="000D2AE1">
        <w:rPr>
          <w:rFonts w:asciiTheme="majorBidi" w:hAnsiTheme="majorBidi" w:cstheme="majorBidi"/>
          <w:color w:val="000000"/>
          <w:sz w:val="24"/>
          <w:szCs w:val="24"/>
        </w:rPr>
        <w:br/>
        <w:t xml:space="preserve">The research problem of this study is composed of these three management challenges, along with the sample of bank </w:t>
      </w:r>
      <w:proofErr w:type="spellStart"/>
      <w:r w:rsidRPr="000D2AE1">
        <w:rPr>
          <w:rFonts w:asciiTheme="majorBidi" w:hAnsiTheme="majorBidi" w:cstheme="majorBidi"/>
          <w:color w:val="000000"/>
          <w:sz w:val="24"/>
          <w:szCs w:val="24"/>
        </w:rPr>
        <w:t>employes</w:t>
      </w:r>
      <w:proofErr w:type="spellEnd"/>
      <w:r w:rsidRPr="000D2AE1">
        <w:rPr>
          <w:rFonts w:asciiTheme="majorBidi" w:hAnsiTheme="majorBidi" w:cstheme="majorBidi"/>
          <w:color w:val="000000"/>
          <w:sz w:val="24"/>
          <w:szCs w:val="24"/>
        </w:rPr>
        <w:t xml:space="preserve"> from which the study gathers data: there is an empirical knowledge gap from a management perspective on how the strategic decision of adopting AI - across its four dimensions of customer service, decision-making, risk management and operations - affects the multidimensional organisational performance of commercial banks operating in the Kingdom of Saudi Arabia. The present study</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xml:space="preserve">This research responds to this management research problem by offering systematic empirical evidence that supports better managerial decision-making, contributes to the body of management knowledge on strategic adoption of emerging technologies, and identifies practical management actions that can </w:t>
      </w:r>
      <w:proofErr w:type="spellStart"/>
      <w:r w:rsidRPr="000D2AE1">
        <w:rPr>
          <w:rFonts w:asciiTheme="majorBidi" w:hAnsiTheme="majorBidi" w:cstheme="majorBidi"/>
          <w:color w:val="000000"/>
          <w:sz w:val="24"/>
          <w:szCs w:val="24"/>
        </w:rPr>
        <w:t>maximise</w:t>
      </w:r>
      <w:proofErr w:type="spellEnd"/>
      <w:r w:rsidRPr="000D2AE1">
        <w:rPr>
          <w:rFonts w:asciiTheme="majorBidi" w:hAnsiTheme="majorBidi" w:cstheme="majorBidi"/>
          <w:color w:val="000000"/>
          <w:sz w:val="24"/>
          <w:szCs w:val="24"/>
        </w:rPr>
        <w:t xml:space="preserve"> the strategic value of AI investments in the Saudi banking sector.</w:t>
      </w:r>
    </w:p>
    <w:p w14:paraId="7387A3AC" w14:textId="77777777" w:rsidR="003267B4" w:rsidRDefault="003267B4" w:rsidP="000D2AE1">
      <w:pPr>
        <w:pStyle w:val="BodyText"/>
        <w:spacing w:before="140" w:line="360" w:lineRule="auto"/>
        <w:ind w:left="420"/>
        <w:rPr>
          <w:rFonts w:asciiTheme="majorBidi" w:hAnsiTheme="majorBidi" w:cstheme="majorBidi"/>
          <w:color w:val="000000"/>
          <w:sz w:val="24"/>
          <w:szCs w:val="24"/>
        </w:rPr>
      </w:pPr>
    </w:p>
    <w:p w14:paraId="2EEA40F3" w14:textId="77777777" w:rsidR="003267B4" w:rsidRPr="000D2AE1" w:rsidRDefault="003267B4" w:rsidP="000D2AE1">
      <w:pPr>
        <w:pStyle w:val="BodyText"/>
        <w:spacing w:before="140" w:line="360" w:lineRule="auto"/>
        <w:ind w:left="420"/>
        <w:rPr>
          <w:rFonts w:asciiTheme="majorBidi" w:hAnsiTheme="majorBidi" w:cstheme="majorBidi"/>
          <w:color w:val="000000"/>
          <w:sz w:val="24"/>
          <w:szCs w:val="24"/>
        </w:rPr>
      </w:pPr>
    </w:p>
    <w:p w14:paraId="47679631" w14:textId="77777777" w:rsidR="000D2AE1" w:rsidRPr="000D2AE1" w:rsidRDefault="000D2AE1" w:rsidP="000D2AE1">
      <w:pPr>
        <w:pStyle w:val="BodyText"/>
        <w:spacing w:before="140" w:line="360" w:lineRule="auto"/>
        <w:ind w:left="420"/>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lastRenderedPageBreak/>
        <w:t>1.3. Objectives of the Study</w:t>
      </w:r>
      <w:r w:rsidRPr="000D2AE1">
        <w:rPr>
          <w:rFonts w:asciiTheme="majorBidi" w:hAnsiTheme="majorBidi" w:cstheme="majorBidi"/>
          <w:color w:val="000000"/>
        </w:rPr>
        <w:br/>
      </w:r>
      <w:r w:rsidRPr="000D2AE1">
        <w:rPr>
          <w:rFonts w:asciiTheme="majorBidi" w:hAnsiTheme="majorBidi" w:cstheme="majorBidi"/>
          <w:color w:val="000000"/>
          <w:sz w:val="24"/>
          <w:szCs w:val="24"/>
        </w:rPr>
        <w:br/>
        <w:t>This MBA study aims to investigate the organizational performance of commercial banks operating in the Kingdom of Saudi Arabia from a strategic management viewpoint by managerial choice to use Artificial Intelligence. From this major management purpose, the following sub-objectives are derived:</w:t>
      </w:r>
    </w:p>
    <w:p w14:paraId="6BF9AFCA" w14:textId="77777777" w:rsidR="000D2AE1" w:rsidRPr="000D2AE1" w:rsidRDefault="000D2AE1" w:rsidP="000D2AE1">
      <w:pPr>
        <w:pStyle w:val="BodyText"/>
        <w:spacing w:before="140" w:line="360" w:lineRule="auto"/>
        <w:ind w:left="420"/>
        <w:rPr>
          <w:rFonts w:asciiTheme="majorBidi" w:hAnsiTheme="majorBidi" w:cstheme="majorBidi"/>
          <w:color w:val="000000"/>
          <w:sz w:val="24"/>
          <w:szCs w:val="24"/>
        </w:rPr>
      </w:pPr>
      <w:r w:rsidRPr="000D2AE1">
        <w:rPr>
          <w:rFonts w:asciiTheme="majorBidi" w:hAnsiTheme="majorBidi" w:cstheme="majorBidi"/>
          <w:color w:val="000000"/>
          <w:sz w:val="24"/>
          <w:szCs w:val="24"/>
        </w:rPr>
        <w:br/>
        <w:t>• To determine the extent of AI use in Saudi commercial banks in the four management-relevant dimensions: customer service, managerial decision-making, risk management, and operations and automation.</w:t>
      </w:r>
      <w:r w:rsidRPr="000D2AE1">
        <w:rPr>
          <w:rFonts w:asciiTheme="majorBidi" w:hAnsiTheme="majorBidi" w:cstheme="majorBidi"/>
          <w:color w:val="000000"/>
          <w:sz w:val="24"/>
          <w:szCs w:val="24"/>
        </w:rPr>
        <w:br/>
        <w:t>• To assess the current level of organizational performance in Saudi commercial banks in the three aspects of operational efficiency, customer happiness, and financial performance.</w:t>
      </w:r>
      <w:r w:rsidRPr="000D2AE1">
        <w:rPr>
          <w:rFonts w:asciiTheme="majorBidi" w:hAnsiTheme="majorBidi" w:cstheme="majorBidi"/>
          <w:color w:val="000000"/>
          <w:sz w:val="24"/>
          <w:szCs w:val="24"/>
        </w:rPr>
        <w:br/>
        <w:t>• To analyze the relationship between the managerial decision to adopt AI and overall organisational performance in Saudi commercial banks from the perspective of strategic management theory.</w:t>
      </w:r>
      <w:r w:rsidRPr="000D2AE1">
        <w:rPr>
          <w:rFonts w:asciiTheme="majorBidi" w:hAnsiTheme="majorBidi" w:cstheme="majorBidi"/>
          <w:color w:val="000000"/>
          <w:sz w:val="24"/>
          <w:szCs w:val="24"/>
        </w:rPr>
        <w:br/>
        <w:t>• To identify the characteristics of AI adoption with the strongest managerial impact on each measure of organisational performance, to enable strategic prioritization of management investments.</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To explore if the perceived adoption of AI and organisational performance vary systematically among demographic categories of bank employs.</w:t>
      </w:r>
      <w:r w:rsidRPr="000D2AE1">
        <w:rPr>
          <w:rFonts w:asciiTheme="majorBidi" w:hAnsiTheme="majorBidi" w:cstheme="majorBidi"/>
          <w:color w:val="000000"/>
          <w:sz w:val="24"/>
          <w:szCs w:val="24"/>
        </w:rPr>
        <w:br/>
        <w:t>• To provide bank executives, human resources managers, risk and compliance officers, customer experience leaders, and Saudi banking regulators with actionable management suggestions.</w:t>
      </w:r>
      <w:r w:rsidRPr="000D2AE1">
        <w:rPr>
          <w:rFonts w:asciiTheme="majorBidi" w:hAnsiTheme="majorBidi" w:cstheme="majorBidi"/>
          <w:color w:val="000000"/>
          <w:sz w:val="24"/>
          <w:szCs w:val="24"/>
        </w:rPr>
        <w:br/>
        <w:t>• To add to the management literature on the strategic use of emerging technology, especially in the under-researched Gulf banking management setting.</w:t>
      </w:r>
    </w:p>
    <w:p w14:paraId="64D9B7FD" w14:textId="77777777" w:rsidR="000D2AE1" w:rsidRPr="000D2AE1" w:rsidRDefault="000D2AE1" w:rsidP="000D2AE1">
      <w:pPr>
        <w:pStyle w:val="BodyText"/>
        <w:spacing w:before="140" w:line="360" w:lineRule="auto"/>
        <w:ind w:left="420"/>
        <w:rPr>
          <w:rFonts w:asciiTheme="majorBidi" w:hAnsiTheme="majorBidi" w:cstheme="majorBidi"/>
          <w:color w:val="000000"/>
          <w:sz w:val="27"/>
          <w:szCs w:val="27"/>
        </w:rPr>
      </w:pPr>
    </w:p>
    <w:p w14:paraId="0F745C6D" w14:textId="77777777" w:rsidR="000D2AE1" w:rsidRPr="000D2AE1" w:rsidRDefault="000D2AE1" w:rsidP="000D2AE1">
      <w:pPr>
        <w:pStyle w:val="BodyText"/>
        <w:spacing w:before="140" w:line="360" w:lineRule="auto"/>
        <w:ind w:left="420"/>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1.4 Significance of the Study</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7"/>
          <w:szCs w:val="27"/>
        </w:rPr>
        <w:t>The value of this MBA research may be explained from two contrasting perspectives: scientific (academic) importance, which adds to the body of management knowledge, and practical (applied) importance, which helps in the procedure of managerial decision-making in Saudi commercial banks.</w:t>
      </w:r>
    </w:p>
    <w:p w14:paraId="7E0A6A35" w14:textId="77777777" w:rsidR="000D2AE1" w:rsidRPr="000D2AE1" w:rsidRDefault="000D2AE1" w:rsidP="000D2AE1">
      <w:pPr>
        <w:pStyle w:val="BodyText"/>
        <w:spacing w:before="140" w:line="360" w:lineRule="auto"/>
        <w:ind w:left="420"/>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b/>
          <w:bCs/>
          <w:color w:val="000000"/>
          <w:sz w:val="24"/>
          <w:szCs w:val="24"/>
        </w:rPr>
        <w:t>1.4.1 Scientific (Academic) Significance</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That addresses a recognized vacuum in the strategic management literature about the adoption of emerging technology, particularly within the under-researched setting of Gulf banking management. Most previous studies on AI adoption were done in Western or East Asian contexts.</w:t>
      </w:r>
      <w:r w:rsidRPr="000D2AE1">
        <w:rPr>
          <w:rFonts w:asciiTheme="majorBidi" w:hAnsiTheme="majorBidi" w:cstheme="majorBidi"/>
          <w:color w:val="000000"/>
          <w:sz w:val="24"/>
          <w:szCs w:val="24"/>
        </w:rPr>
        <w:br/>
        <w:t>• It adapts and synthesizes three famous management theories, namely, the Resource-Based View, the Technology-Organization-Environment framework, and the Technology Acceptance Model, to the specific context of Saudi commercial banks, thus contributing to the extension of these theories to a new institutional setting.</w:t>
      </w:r>
      <w:r w:rsidRPr="000D2AE1">
        <w:rPr>
          <w:rFonts w:asciiTheme="majorBidi" w:hAnsiTheme="majorBidi" w:cstheme="majorBidi"/>
          <w:color w:val="000000"/>
          <w:sz w:val="24"/>
          <w:szCs w:val="24"/>
        </w:rPr>
        <w:br/>
        <w:t>• It adds methodologically by operationalizing AI adoption as a multidimensional construct with four sub-dimensions, instead of considering it as a single undifferentiated variable as in many past studies.</w:t>
      </w:r>
      <w:r w:rsidRPr="000D2AE1">
        <w:rPr>
          <w:rFonts w:asciiTheme="majorBidi" w:hAnsiTheme="majorBidi" w:cstheme="majorBidi"/>
          <w:color w:val="000000"/>
          <w:sz w:val="24"/>
          <w:szCs w:val="24"/>
        </w:rPr>
        <w:br/>
        <w:t>• It adds to the literature on organisational performance measurement by exploring three complimentary dimensions - operational, customer-related, and financial - in a single integrated empirical model.</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lastRenderedPageBreak/>
        <w:t>• It offers a benchmark for future scholars, notably other MBA students engaged in the strategic management of emerging technologies in Saudi Arabia and the wider Gulf region.</w:t>
      </w:r>
    </w:p>
    <w:p w14:paraId="70995E53" w14:textId="77777777" w:rsidR="000D2AE1" w:rsidRPr="000D2AE1" w:rsidRDefault="000D2AE1" w:rsidP="000D2AE1">
      <w:pPr>
        <w:pStyle w:val="BodyText"/>
        <w:spacing w:before="140" w:line="360" w:lineRule="auto"/>
        <w:ind w:left="420"/>
        <w:rPr>
          <w:rFonts w:asciiTheme="majorBidi" w:hAnsiTheme="majorBidi" w:cstheme="majorBidi"/>
          <w:color w:val="000000"/>
        </w:rPr>
      </w:pPr>
    </w:p>
    <w:p w14:paraId="46C485B8" w14:textId="77777777" w:rsidR="000D2AE1" w:rsidRPr="000D2AE1" w:rsidRDefault="000D2AE1" w:rsidP="000D2AE1">
      <w:pPr>
        <w:pStyle w:val="BodyText"/>
        <w:spacing w:before="140" w:line="360" w:lineRule="auto"/>
        <w:ind w:left="420"/>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1.4.2 Practical (Applied) Significance</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The study offers evidence-based feedback to top bank executives and board of directors to support strategic decisions on capital allocation toward AI initiatives across different functional areas of the bank.</w:t>
      </w:r>
      <w:r w:rsidRPr="000D2AE1">
        <w:rPr>
          <w:rFonts w:asciiTheme="majorBidi" w:hAnsiTheme="majorBidi" w:cstheme="majorBidi"/>
          <w:color w:val="000000"/>
          <w:sz w:val="24"/>
          <w:szCs w:val="24"/>
        </w:rPr>
        <w:br/>
        <w:t>• For human resources managers and talent management executives, the report discusses the consequences of AI adoption for workforce planning, training and development, organisational design and change management.</w:t>
      </w:r>
      <w:r w:rsidRPr="000D2AE1">
        <w:rPr>
          <w:rFonts w:asciiTheme="majorBidi" w:hAnsiTheme="majorBidi" w:cstheme="majorBidi"/>
          <w:color w:val="000000"/>
          <w:sz w:val="24"/>
          <w:szCs w:val="24"/>
        </w:rPr>
        <w:br/>
        <w:t>• The research highlights the greatest potential performance benefit of AI-enabled risk management skills for chief risk officers and compliance managers, supporting business justifications for further investment in risk-related AI solutions.</w:t>
      </w:r>
      <w:r w:rsidRPr="000D2AE1">
        <w:rPr>
          <w:rFonts w:asciiTheme="majorBidi" w:hAnsiTheme="majorBidi" w:cstheme="majorBidi"/>
          <w:color w:val="000000"/>
          <w:sz w:val="24"/>
          <w:szCs w:val="24"/>
        </w:rPr>
        <w:br/>
        <w:t>• The study reveals the elements of AI adoption that have the highest influence on customer satisfaction and operational efficiency correspondingly, for heads of customer experience and operations leaders.</w:t>
      </w:r>
      <w:r w:rsidRPr="000D2AE1">
        <w:rPr>
          <w:rFonts w:asciiTheme="majorBidi" w:hAnsiTheme="majorBidi" w:cstheme="majorBidi"/>
          <w:color w:val="000000"/>
          <w:sz w:val="24"/>
          <w:szCs w:val="24"/>
        </w:rPr>
        <w:br/>
        <w:t>• For Saudi banking regulators and policy makers including SAMA and SDAIA, the study provides evidence that may be used to guide the creation of regulatory structures and national-level capacity-building programs.</w:t>
      </w:r>
      <w:r w:rsidRPr="000D2AE1">
        <w:rPr>
          <w:rFonts w:asciiTheme="majorBidi" w:hAnsiTheme="majorBidi" w:cstheme="majorBidi"/>
          <w:color w:val="000000"/>
          <w:sz w:val="24"/>
          <w:szCs w:val="24"/>
        </w:rPr>
        <w:br/>
        <w:t>• The study gives insights for management consultants and fintech firms serving the banking industry into which AI solutions resonate most strongly with bank stakeholders.</w:t>
      </w:r>
    </w:p>
    <w:p w14:paraId="7C4ACF83" w14:textId="77777777" w:rsidR="000D2AE1" w:rsidRPr="000D2AE1" w:rsidRDefault="000D2AE1" w:rsidP="000D2AE1">
      <w:pPr>
        <w:pStyle w:val="BodyText"/>
        <w:spacing w:before="140" w:line="360" w:lineRule="auto"/>
        <w:ind w:left="420"/>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1.5 Questions of the Study</w:t>
      </w:r>
      <w:r w:rsidRPr="000D2AE1">
        <w:rPr>
          <w:rFonts w:asciiTheme="majorBidi" w:hAnsiTheme="majorBidi" w:cstheme="majorBidi"/>
          <w:color w:val="000000"/>
        </w:rPr>
        <w:br/>
      </w:r>
      <w:r w:rsidRPr="000D2AE1">
        <w:rPr>
          <w:rFonts w:asciiTheme="majorBidi" w:hAnsiTheme="majorBidi" w:cstheme="majorBidi"/>
          <w:color w:val="000000"/>
        </w:rPr>
        <w:lastRenderedPageBreak/>
        <w:br/>
      </w:r>
      <w:r w:rsidRPr="000D2AE1">
        <w:rPr>
          <w:rFonts w:asciiTheme="majorBidi" w:hAnsiTheme="majorBidi" w:cstheme="majorBidi"/>
          <w:color w:val="000000"/>
          <w:sz w:val="24"/>
          <w:szCs w:val="24"/>
        </w:rPr>
        <w:t>From the strategic management perspective, the main research question of this study is: What is the impact of the managerial decision to adopt Artificial Intelligence on the organisational performance of commercial banks operating in the Kingdom of Saudi Arabia?</w:t>
      </w:r>
      <w:r w:rsidRPr="000D2AE1">
        <w:rPr>
          <w:rFonts w:asciiTheme="majorBidi" w:hAnsiTheme="majorBidi" w:cstheme="majorBidi"/>
          <w:color w:val="000000"/>
          <w:sz w:val="24"/>
          <w:szCs w:val="24"/>
        </w:rPr>
        <w:br/>
        <w:t>This core management question leads to the following sub-questions:</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What is the present state of AI adoption in Saudi Commercial banks in the areas of customer service, managerial decision-making, risk management, and operations and automation?</w:t>
      </w:r>
      <w:r w:rsidRPr="000D2AE1">
        <w:rPr>
          <w:rFonts w:asciiTheme="majorBidi" w:hAnsiTheme="majorBidi" w:cstheme="majorBidi"/>
          <w:color w:val="000000"/>
          <w:sz w:val="24"/>
          <w:szCs w:val="24"/>
        </w:rPr>
        <w:br/>
        <w:t>• What is the current level of organisational performance in terms of operational efficiency, customer satisfaction, and financial performance?</w:t>
      </w:r>
      <w:r w:rsidRPr="000D2AE1">
        <w:rPr>
          <w:rFonts w:asciiTheme="majorBidi" w:hAnsiTheme="majorBidi" w:cstheme="majorBidi"/>
          <w:color w:val="000000"/>
          <w:sz w:val="24"/>
          <w:szCs w:val="24"/>
        </w:rPr>
        <w:br/>
        <w:t>• Are there statistically significant relationships between the adoption of AI as a managerial decision and whole organisational performance at the alpha &lt;= 0.05 level?</w:t>
      </w:r>
      <w:r w:rsidRPr="000D2AE1">
        <w:rPr>
          <w:rFonts w:asciiTheme="majorBidi" w:hAnsiTheme="majorBidi" w:cstheme="majorBidi"/>
          <w:color w:val="000000"/>
          <w:sz w:val="24"/>
          <w:szCs w:val="24"/>
        </w:rPr>
        <w:br/>
        <w:t>• What is the effect of AI in customer service on organisational performance dimensions?</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What is the effect of AI in management decision-making on the parameters of organisational performance?</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How does AI in risk management influence the parameters of organisational performance?</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What is the effect of AI in operations and automation on the aspects of organisational performance?</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xml:space="preserve">• Are there statistically significant changes in the perceptions of </w:t>
      </w:r>
      <w:proofErr w:type="spellStart"/>
      <w:r w:rsidRPr="000D2AE1">
        <w:rPr>
          <w:rFonts w:asciiTheme="majorBidi" w:hAnsiTheme="majorBidi" w:cstheme="majorBidi"/>
          <w:color w:val="000000"/>
          <w:sz w:val="24"/>
          <w:szCs w:val="24"/>
        </w:rPr>
        <w:t>employes</w:t>
      </w:r>
      <w:proofErr w:type="spellEnd"/>
      <w:r w:rsidRPr="000D2AE1">
        <w:rPr>
          <w:rFonts w:asciiTheme="majorBidi" w:hAnsiTheme="majorBidi" w:cstheme="majorBidi"/>
          <w:color w:val="000000"/>
          <w:sz w:val="24"/>
          <w:szCs w:val="24"/>
        </w:rPr>
        <w:t xml:space="preserve"> due to demographic variables such as gender, age, management position and years of experience?</w:t>
      </w:r>
    </w:p>
    <w:p w14:paraId="5D07D577" w14:textId="77777777" w:rsidR="000D2AE1" w:rsidRPr="000D2AE1" w:rsidRDefault="000D2AE1" w:rsidP="000D2AE1">
      <w:pPr>
        <w:pStyle w:val="BodyText"/>
        <w:spacing w:before="140" w:line="360" w:lineRule="auto"/>
        <w:ind w:left="420"/>
        <w:rPr>
          <w:rFonts w:asciiTheme="majorBidi" w:hAnsiTheme="majorBidi" w:cstheme="majorBidi"/>
          <w:color w:val="000000"/>
          <w:sz w:val="27"/>
          <w:szCs w:val="27"/>
        </w:rPr>
      </w:pPr>
    </w:p>
    <w:p w14:paraId="10952042" w14:textId="77777777" w:rsidR="000D2AE1" w:rsidRPr="000D2AE1" w:rsidRDefault="000D2AE1" w:rsidP="000D2AE1">
      <w:pPr>
        <w:pStyle w:val="BodyText"/>
        <w:spacing w:before="140" w:line="360" w:lineRule="auto"/>
        <w:ind w:left="420"/>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lastRenderedPageBreak/>
        <w:t>1.6 Hypothesis of the Research</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As per the current practice of management research and according to the directions of the supervisory body, the hypotheses of this study are stated as scientific null-hypotheses (H0), with the main null-hypothesis being broken down into a series of sub-null-hypotheses. All null hypotheses are tested at the alpha &lt;= 0.05 significance level. Rejection of a null hypothesis suggests that there is a statistically significant management relevant link.</w:t>
      </w:r>
      <w:r w:rsidRPr="000D2AE1">
        <w:rPr>
          <w:rFonts w:asciiTheme="majorBidi" w:hAnsiTheme="majorBidi" w:cstheme="majorBidi"/>
          <w:color w:val="000000"/>
          <w:sz w:val="24"/>
          <w:szCs w:val="24"/>
        </w:rPr>
        <w:br/>
        <w:t>Null Hypothesis (H₀ 1)</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H₀ 1: There is no statistically significant link at the alpha &lt;= 0.05 level between the managerial decision of adopting Artificial Intelligence and the organisational performance of commercial banks in the Kingdom of Saudi Arabia.</w:t>
      </w:r>
      <w:r w:rsidRPr="000D2AE1">
        <w:rPr>
          <w:rFonts w:asciiTheme="majorBidi" w:hAnsiTheme="majorBidi" w:cstheme="majorBidi"/>
          <w:color w:val="000000"/>
          <w:sz w:val="24"/>
          <w:szCs w:val="24"/>
        </w:rPr>
        <w:br/>
        <w:t>Sub Null Hypotheses</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H₀ 1a: There is no statistically significant link at the 0.05 alpha level between AI in customer service and organisational performance in Saudi commercial banks.</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H₀ 1b: There is no statistically significant link at the alpha &lt;= 0.05 level between AI in management decision-making and organisational performance in Saudi commercial banks.</w:t>
      </w:r>
      <w:r w:rsidRPr="000D2AE1">
        <w:rPr>
          <w:rFonts w:asciiTheme="majorBidi" w:hAnsiTheme="majorBidi" w:cstheme="majorBidi"/>
          <w:color w:val="000000"/>
          <w:sz w:val="24"/>
          <w:szCs w:val="24"/>
        </w:rPr>
        <w:br/>
        <w:t>H₀ 1c: There is no statistically significant link at the alpha &lt;= 0.05 level between AI in risk management and organisational performance in Saudi commercial banks.</w:t>
      </w:r>
      <w:r w:rsidRPr="000D2AE1">
        <w:rPr>
          <w:rFonts w:asciiTheme="majorBidi" w:hAnsiTheme="majorBidi" w:cstheme="majorBidi"/>
          <w:color w:val="000000"/>
          <w:sz w:val="24"/>
          <w:szCs w:val="24"/>
        </w:rPr>
        <w:br/>
        <w:t>H₀ 1d: There is no significant link at the alpha &lt;= 0.05 level between AI in operations and automation and organisational performance in Saudi commercial banks.</w:t>
      </w:r>
      <w:r w:rsidRPr="000D2AE1">
        <w:rPr>
          <w:rFonts w:asciiTheme="majorBidi" w:hAnsiTheme="majorBidi" w:cstheme="majorBidi"/>
          <w:color w:val="000000"/>
          <w:sz w:val="24"/>
          <w:szCs w:val="24"/>
        </w:rPr>
        <w:br/>
        <w:t>Additional Null Hypothesis on Demographic Differences (H₀2)</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xml:space="preserve">H₀ 2: The demographic variables (gender, age, position, and years of experience) do not have </w:t>
      </w:r>
      <w:r w:rsidRPr="000D2AE1">
        <w:rPr>
          <w:rFonts w:asciiTheme="majorBidi" w:hAnsiTheme="majorBidi" w:cstheme="majorBidi"/>
          <w:color w:val="000000"/>
          <w:sz w:val="24"/>
          <w:szCs w:val="24"/>
        </w:rPr>
        <w:lastRenderedPageBreak/>
        <w:t>statistically significant impact on respondents’ management view of AI adoption and organisational success at alpha &lt;= 0.05 level.</w:t>
      </w:r>
    </w:p>
    <w:p w14:paraId="44033847" w14:textId="77777777" w:rsidR="000D2AE1" w:rsidRPr="000D2AE1" w:rsidRDefault="000D2AE1" w:rsidP="000D2AE1">
      <w:pPr>
        <w:pStyle w:val="BodyText"/>
        <w:spacing w:before="140" w:line="360" w:lineRule="auto"/>
        <w:ind w:left="420"/>
        <w:rPr>
          <w:rFonts w:asciiTheme="majorBidi" w:hAnsiTheme="majorBidi" w:cstheme="majorBidi"/>
          <w:color w:val="000000"/>
          <w:sz w:val="24"/>
          <w:szCs w:val="24"/>
        </w:rPr>
      </w:pPr>
      <w:r w:rsidRPr="000D2AE1">
        <w:rPr>
          <w:rFonts w:asciiTheme="majorBidi" w:hAnsiTheme="majorBidi" w:cstheme="majorBidi"/>
          <w:b/>
          <w:bCs/>
          <w:color w:val="000000"/>
          <w:sz w:val="28"/>
          <w:szCs w:val="28"/>
        </w:rPr>
        <w:br/>
        <w:t>1.7 Theoretical Model of the Study</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As shown in Figure 1.1, the theoretical model of this MBA study shows the management-oriented relationship between the independent variable (AI Adoption as a managerial decision) and the dependent variable (Organisational Performance). The model is based on existing management theory and </w:t>
      </w:r>
      <w:proofErr w:type="spellStart"/>
      <w:r w:rsidRPr="000D2AE1">
        <w:rPr>
          <w:rFonts w:asciiTheme="majorBidi" w:hAnsiTheme="majorBidi" w:cstheme="majorBidi"/>
          <w:color w:val="000000"/>
          <w:sz w:val="24"/>
          <w:szCs w:val="24"/>
        </w:rPr>
        <w:t>operationalises</w:t>
      </w:r>
      <w:proofErr w:type="spellEnd"/>
      <w:r w:rsidRPr="000D2AE1">
        <w:rPr>
          <w:rFonts w:asciiTheme="majorBidi" w:hAnsiTheme="majorBidi" w:cstheme="majorBidi"/>
          <w:color w:val="000000"/>
          <w:sz w:val="24"/>
          <w:szCs w:val="24"/>
        </w:rPr>
        <w:t xml:space="preserve"> the correlations into testable null hypotheses. The independent variable is </w:t>
      </w:r>
      <w:proofErr w:type="spellStart"/>
      <w:r w:rsidRPr="000D2AE1">
        <w:rPr>
          <w:rFonts w:asciiTheme="majorBidi" w:hAnsiTheme="majorBidi" w:cstheme="majorBidi"/>
          <w:color w:val="000000"/>
          <w:sz w:val="24"/>
          <w:szCs w:val="24"/>
        </w:rPr>
        <w:t>operationalised</w:t>
      </w:r>
      <w:proofErr w:type="spellEnd"/>
      <w:r w:rsidRPr="000D2AE1">
        <w:rPr>
          <w:rFonts w:asciiTheme="majorBidi" w:hAnsiTheme="majorBidi" w:cstheme="majorBidi"/>
          <w:color w:val="000000"/>
          <w:sz w:val="24"/>
          <w:szCs w:val="24"/>
        </w:rPr>
        <w:t xml:space="preserve"> across four management-relevant dimensions and the dependent variable across three dimensions, with demographic factors as control variables.</w:t>
      </w:r>
    </w:p>
    <w:p w14:paraId="4A92CD64"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p>
    <w:p w14:paraId="7CDE47BF"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r w:rsidRPr="000D2AE1">
        <w:rPr>
          <w:rFonts w:asciiTheme="majorBidi" w:hAnsiTheme="majorBidi" w:cstheme="majorBidi"/>
          <w:noProof/>
        </w:rPr>
        <w:drawing>
          <wp:anchor distT="0" distB="0" distL="114300" distR="114300" simplePos="0" relativeHeight="251659264" behindDoc="0" locked="0" layoutInCell="1" allowOverlap="1" wp14:anchorId="13D6E869" wp14:editId="369EBC44">
            <wp:simplePos x="0" y="0"/>
            <wp:positionH relativeFrom="column">
              <wp:posOffset>0</wp:posOffset>
            </wp:positionH>
            <wp:positionV relativeFrom="paragraph">
              <wp:posOffset>-635</wp:posOffset>
            </wp:positionV>
            <wp:extent cx="5715000" cy="2351913"/>
            <wp:effectExtent l="0" t="0" r="0" b="0"/>
            <wp:wrapNone/>
            <wp:docPr id="51" name="Image 51"/>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0" cstate="print"/>
                    <a:stretch>
                      <a:fillRect/>
                    </a:stretch>
                  </pic:blipFill>
                  <pic:spPr>
                    <a:xfrm>
                      <a:off x="0" y="0"/>
                      <a:ext cx="5715000" cy="2351913"/>
                    </a:xfrm>
                    <a:prstGeom prst="rect">
                      <a:avLst/>
                    </a:prstGeom>
                  </pic:spPr>
                </pic:pic>
              </a:graphicData>
            </a:graphic>
          </wp:anchor>
        </w:drawing>
      </w:r>
    </w:p>
    <w:p w14:paraId="76736318"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p>
    <w:p w14:paraId="43AD8189"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p>
    <w:p w14:paraId="724F3B4F"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p>
    <w:p w14:paraId="64A33E08"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p>
    <w:p w14:paraId="658FAE2B"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p>
    <w:p w14:paraId="54198BB9"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p>
    <w:p w14:paraId="73122BD2" w14:textId="77777777" w:rsidR="000D2AE1" w:rsidRPr="000D2AE1" w:rsidRDefault="000D2AE1" w:rsidP="000D2AE1">
      <w:pPr>
        <w:ind w:right="3005"/>
        <w:jc w:val="right"/>
        <w:rPr>
          <w:rFonts w:asciiTheme="majorBidi" w:hAnsiTheme="majorBidi" w:cstheme="majorBidi"/>
        </w:rPr>
      </w:pPr>
      <w:r w:rsidRPr="000D2AE1">
        <w:rPr>
          <w:rFonts w:asciiTheme="majorBidi" w:hAnsiTheme="majorBidi" w:cstheme="majorBidi"/>
          <w:b/>
        </w:rPr>
        <w:t>Figure</w:t>
      </w:r>
      <w:r w:rsidRPr="000D2AE1">
        <w:rPr>
          <w:rFonts w:asciiTheme="majorBidi" w:hAnsiTheme="majorBidi" w:cstheme="majorBidi"/>
          <w:b/>
          <w:spacing w:val="-8"/>
        </w:rPr>
        <w:t xml:space="preserve"> </w:t>
      </w:r>
      <w:r w:rsidRPr="000D2AE1">
        <w:rPr>
          <w:rFonts w:asciiTheme="majorBidi" w:hAnsiTheme="majorBidi" w:cstheme="majorBidi"/>
          <w:b/>
        </w:rPr>
        <w:t>1.1:</w:t>
      </w:r>
      <w:r w:rsidRPr="000D2AE1">
        <w:rPr>
          <w:rFonts w:asciiTheme="majorBidi" w:hAnsiTheme="majorBidi" w:cstheme="majorBidi"/>
          <w:b/>
          <w:spacing w:val="-6"/>
        </w:rPr>
        <w:t xml:space="preserve"> </w:t>
      </w:r>
      <w:r w:rsidRPr="000D2AE1">
        <w:rPr>
          <w:rFonts w:asciiTheme="majorBidi" w:hAnsiTheme="majorBidi" w:cstheme="majorBidi"/>
        </w:rPr>
        <w:t>Theoretical</w:t>
      </w:r>
      <w:r w:rsidRPr="000D2AE1">
        <w:rPr>
          <w:rFonts w:asciiTheme="majorBidi" w:hAnsiTheme="majorBidi" w:cstheme="majorBidi"/>
          <w:spacing w:val="-6"/>
        </w:rPr>
        <w:t xml:space="preserve"> </w:t>
      </w:r>
      <w:r w:rsidRPr="000D2AE1">
        <w:rPr>
          <w:rFonts w:asciiTheme="majorBidi" w:hAnsiTheme="majorBidi" w:cstheme="majorBidi"/>
        </w:rPr>
        <w:t>Model</w:t>
      </w:r>
      <w:r w:rsidRPr="000D2AE1">
        <w:rPr>
          <w:rFonts w:asciiTheme="majorBidi" w:hAnsiTheme="majorBidi" w:cstheme="majorBidi"/>
          <w:spacing w:val="-6"/>
        </w:rPr>
        <w:t xml:space="preserve"> </w:t>
      </w:r>
      <w:r w:rsidRPr="000D2AE1">
        <w:rPr>
          <w:rFonts w:asciiTheme="majorBidi" w:hAnsiTheme="majorBidi" w:cstheme="majorBidi"/>
        </w:rPr>
        <w:t>of</w:t>
      </w:r>
      <w:r w:rsidRPr="000D2AE1">
        <w:rPr>
          <w:rFonts w:asciiTheme="majorBidi" w:hAnsiTheme="majorBidi" w:cstheme="majorBidi"/>
          <w:spacing w:val="-6"/>
        </w:rPr>
        <w:t xml:space="preserve"> </w:t>
      </w:r>
      <w:r w:rsidRPr="000D2AE1">
        <w:rPr>
          <w:rFonts w:asciiTheme="majorBidi" w:hAnsiTheme="majorBidi" w:cstheme="majorBidi"/>
        </w:rPr>
        <w:t>the</w:t>
      </w:r>
      <w:r w:rsidRPr="000D2AE1">
        <w:rPr>
          <w:rFonts w:asciiTheme="majorBidi" w:hAnsiTheme="majorBidi" w:cstheme="majorBidi"/>
          <w:spacing w:val="-5"/>
        </w:rPr>
        <w:t xml:space="preserve"> </w:t>
      </w:r>
      <w:r w:rsidRPr="000D2AE1">
        <w:rPr>
          <w:rFonts w:asciiTheme="majorBidi" w:hAnsiTheme="majorBidi" w:cstheme="majorBidi"/>
          <w:spacing w:val="-2"/>
        </w:rPr>
        <w:t>Study</w:t>
      </w:r>
    </w:p>
    <w:p w14:paraId="1B27FB8C" w14:textId="77777777" w:rsidR="000D2AE1" w:rsidRPr="000D2AE1" w:rsidRDefault="000D2AE1" w:rsidP="000D2AE1">
      <w:pPr>
        <w:pStyle w:val="BodyText"/>
        <w:spacing w:before="140" w:line="360" w:lineRule="auto"/>
        <w:rPr>
          <w:rFonts w:asciiTheme="majorBidi" w:hAnsiTheme="majorBidi" w:cstheme="majorBidi"/>
          <w:color w:val="000000"/>
        </w:rPr>
      </w:pPr>
    </w:p>
    <w:p w14:paraId="67E9DEAF" w14:textId="77777777" w:rsidR="000D2AE1" w:rsidRPr="000D2AE1" w:rsidRDefault="000D2AE1" w:rsidP="000D2AE1">
      <w:pPr>
        <w:pStyle w:val="BodyText"/>
        <w:spacing w:before="140" w:line="360" w:lineRule="auto"/>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1.8 Operational Definitions of Key Management Terms</w:t>
      </w:r>
      <w:r w:rsidRPr="000D2AE1">
        <w:rPr>
          <w:rFonts w:asciiTheme="majorBidi" w:hAnsiTheme="majorBidi" w:cstheme="majorBidi"/>
          <w:color w:val="000000"/>
        </w:rPr>
        <w:br/>
      </w:r>
      <w:r w:rsidRPr="000D2AE1">
        <w:rPr>
          <w:rFonts w:asciiTheme="majorBidi" w:hAnsiTheme="majorBidi" w:cstheme="majorBidi"/>
          <w:color w:val="000000"/>
        </w:rPr>
        <w:lastRenderedPageBreak/>
        <w:br/>
      </w:r>
      <w:r w:rsidRPr="000D2AE1">
        <w:rPr>
          <w:rFonts w:asciiTheme="majorBidi" w:hAnsiTheme="majorBidi" w:cstheme="majorBidi"/>
          <w:color w:val="000000"/>
          <w:sz w:val="24"/>
          <w:szCs w:val="24"/>
        </w:rPr>
        <w:t>The following operational definitions are employed in this management study.</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Strategic Management The process of developing and implementing strategies that assist the organization in achieving its objectives and sustaining a competitive edge by top management. This paper considers the decision to deploy AI as a strategic management problem.</w:t>
      </w:r>
      <w:r w:rsidRPr="000D2AE1">
        <w:rPr>
          <w:rFonts w:asciiTheme="majorBidi" w:hAnsiTheme="majorBidi" w:cstheme="majorBidi"/>
          <w:color w:val="000000"/>
          <w:sz w:val="24"/>
          <w:szCs w:val="24"/>
        </w:rPr>
        <w:br/>
        <w:t>Artificial Intelligence (AI) - Management Perspective: The collection of computer-based capabilities – including machine learning, natural language processing, predictive analytics and robotic process automation - that management may utilize as a strategic resource to perform or enhance functions traditionally requiring human intelligence. AI is a management tool, not a technological artefact.</w:t>
      </w:r>
      <w:r w:rsidRPr="000D2AE1">
        <w:rPr>
          <w:rFonts w:asciiTheme="majorBidi" w:hAnsiTheme="majorBidi" w:cstheme="majorBidi"/>
          <w:color w:val="000000"/>
        </w:rPr>
        <w:br/>
      </w:r>
      <w:r w:rsidRPr="000D2AE1">
        <w:rPr>
          <w:rFonts w:asciiTheme="majorBidi" w:hAnsiTheme="majorBidi" w:cstheme="majorBidi"/>
          <w:color w:val="000000"/>
          <w:sz w:val="24"/>
          <w:szCs w:val="24"/>
        </w:rPr>
        <w:t>AI Adoption (as Managerial Decision): The strategic management decision to adopt AI-based tools and systems into the processes, products, and services of the business, assessed on four dimensions: customer service, managerial decision-making, risk management, and operations and automation.</w:t>
      </w:r>
      <w:r w:rsidRPr="000D2AE1">
        <w:rPr>
          <w:rFonts w:asciiTheme="majorBidi" w:hAnsiTheme="majorBidi" w:cstheme="majorBidi"/>
          <w:color w:val="000000"/>
          <w:sz w:val="24"/>
          <w:szCs w:val="24"/>
        </w:rPr>
        <w:br/>
        <w:t>Organisational Performance: The degree to which an organization accomplishes its strategic and operational management objectives operationalized thru operational efficiency, customer satisfaction and financial performance.</w:t>
      </w:r>
      <w:r w:rsidRPr="000D2AE1">
        <w:rPr>
          <w:rFonts w:asciiTheme="majorBidi" w:hAnsiTheme="majorBidi" w:cstheme="majorBidi"/>
          <w:color w:val="000000"/>
          <w:sz w:val="24"/>
          <w:szCs w:val="24"/>
        </w:rPr>
        <w:br/>
        <w:t>Operational Efficiency: The bank’s management ability to provide products and services with minimum resources of time, cost and effort while keeping quality.</w:t>
      </w:r>
      <w:r w:rsidRPr="000D2AE1">
        <w:rPr>
          <w:rFonts w:asciiTheme="majorBidi" w:hAnsiTheme="majorBidi" w:cstheme="majorBidi"/>
          <w:color w:val="000000"/>
          <w:sz w:val="24"/>
          <w:szCs w:val="24"/>
        </w:rPr>
        <w:br/>
        <w:t>Customer Satisfaction: The extent to which the bank meets or exceeds the expectations and needs of its clients.</w:t>
      </w:r>
      <w:r w:rsidRPr="000D2AE1">
        <w:rPr>
          <w:rFonts w:asciiTheme="majorBidi" w:hAnsiTheme="majorBidi" w:cstheme="majorBidi"/>
          <w:color w:val="000000"/>
          <w:sz w:val="24"/>
          <w:szCs w:val="24"/>
        </w:rPr>
        <w:br/>
        <w:t>Financial Performance: The bank’s capacity to provide financial returns and economic value, assessed by profitability, return on assets, return on equity, and revenue growth.</w:t>
      </w:r>
      <w:r w:rsidRPr="000D2AE1">
        <w:rPr>
          <w:rFonts w:asciiTheme="majorBidi" w:hAnsiTheme="majorBidi" w:cstheme="majorBidi"/>
          <w:color w:val="000000"/>
          <w:sz w:val="24"/>
          <w:szCs w:val="24"/>
        </w:rPr>
        <w:br/>
        <w:t>Change Management: The planned management approach for moving the bank, its teams and operating model from the current state to a desired future state that incorporates AI capabilities.</w:t>
      </w:r>
      <w:r w:rsidRPr="000D2AE1">
        <w:rPr>
          <w:rFonts w:asciiTheme="majorBidi" w:hAnsiTheme="majorBidi" w:cstheme="majorBidi"/>
          <w:color w:val="000000"/>
          <w:sz w:val="24"/>
          <w:szCs w:val="24"/>
        </w:rPr>
        <w:br/>
        <w:t>Competitive Advantage: A situation in which a bank exceeds its competitors by employing precious, rare, inimitable, and well-</w:t>
      </w:r>
      <w:proofErr w:type="spellStart"/>
      <w:r w:rsidRPr="000D2AE1">
        <w:rPr>
          <w:rFonts w:asciiTheme="majorBidi" w:hAnsiTheme="majorBidi" w:cstheme="majorBidi"/>
          <w:color w:val="000000"/>
          <w:sz w:val="24"/>
          <w:szCs w:val="24"/>
        </w:rPr>
        <w:t>organised</w:t>
      </w:r>
      <w:proofErr w:type="spellEnd"/>
      <w:r w:rsidRPr="000D2AE1">
        <w:rPr>
          <w:rFonts w:asciiTheme="majorBidi" w:hAnsiTheme="majorBidi" w:cstheme="majorBidi"/>
          <w:color w:val="000000"/>
          <w:sz w:val="24"/>
          <w:szCs w:val="24"/>
        </w:rPr>
        <w:t xml:space="preserve"> resources and competencies, including the strategic use of AI.</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lastRenderedPageBreak/>
        <w:t>Commercial Bank A financial institution regulated by the Saudi Central Bank (SAMA) to accept deposits, offer loans and a range of financial services to individual and corporate customers.</w:t>
      </w:r>
      <w:r w:rsidRPr="000D2AE1">
        <w:rPr>
          <w:rFonts w:asciiTheme="majorBidi" w:hAnsiTheme="majorBidi" w:cstheme="majorBidi"/>
          <w:color w:val="000000"/>
          <w:sz w:val="24"/>
          <w:szCs w:val="24"/>
        </w:rPr>
        <w:br/>
        <w:t>Vision 2030: The Government of Saudi Arabia developed this strategy framework in 2016 to diversify the economy and strengthen public service sectors, with digital transformation and AI as essential enablers.</w:t>
      </w:r>
    </w:p>
    <w:p w14:paraId="1210BB97"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1.9 Organization of the Study</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This MBA study is organized in four management-oriented chapters with front matter, references and appendices. Chapter One presents the Introduction, Problem Statement, Objectives, Significance, Questions, Null Hypotheses, and Theoretical Model as the research basis. Chapter Two The literature review and theoretical premises are outlined in this chapter. The chapter opens with the foundations of theory, where the variables are defined and classified, earlier studies are reviewed, the research gap is identified, and the theoretical framework is presented. The third chapter clarifies the research methodology that has been followed in the research. It explains the descriptive-analytical approach, research philosophy, population and sample, data collection instrument, validity and reliability testing, statistical analysis processes, study determinants and ethical issues. In Chapter Four the data analysis, the testing of the null hypotheses, the discussion of the findings, the conclusions and the practical recommendations are presented. The study concludes with references in the APA format and appendices that include the research instrument and the Arabic translation of the abstract.</w:t>
      </w:r>
    </w:p>
    <w:p w14:paraId="26F9456E"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1.10 Relevance of the Study to the Field of Business Administration</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The way this MBA study is grounded in the discipline of Business Administration should be thoroughly shown. The study is characterized by the following characteristics that clarify management discipline orientation:</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lastRenderedPageBreak/>
        <w:t>• AI adoption as the independent variable is a strategic management decision and not a technical artefact. The research treats AI not as a collection of algorithms or software architectures but as a decision made by senior management on how to deploy, govern, and integrate AI capabilities within the company. Organisational performance as a dependent variable is a key notion in Strategic Management, Management Accounting and the Balanced Scorecard approach.</w:t>
      </w:r>
    </w:p>
    <w:p w14:paraId="43E961EE"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t>• The foundations of theory – Strategic Management, RBV, TOE and TAM – are all established management theories taught in MBA programs around the world; none are technological or computer science theories.</w:t>
      </w:r>
      <w:r w:rsidRPr="000D2AE1">
        <w:rPr>
          <w:rFonts w:asciiTheme="majorBidi" w:hAnsiTheme="majorBidi" w:cstheme="majorBidi"/>
          <w:color w:val="000000"/>
          <w:sz w:val="24"/>
          <w:szCs w:val="24"/>
        </w:rPr>
        <w:br/>
        <w:t>• The respondents are bank managers, supervisors and management staff - not software developers or data scientists - which guarantees the management emphasis of the empirical investigation.</w:t>
      </w:r>
      <w:r w:rsidRPr="000D2AE1">
        <w:rPr>
          <w:rFonts w:asciiTheme="majorBidi" w:hAnsiTheme="majorBidi" w:cstheme="majorBidi"/>
          <w:color w:val="000000"/>
          <w:sz w:val="24"/>
          <w:szCs w:val="24"/>
        </w:rPr>
        <w:br/>
        <w:t>• The study instrument measures management-related constructs such customer service management, decision-making, risk management, operations management, operational efficiency, customer satisfaction and financial performance.</w:t>
      </w:r>
      <w:r w:rsidRPr="000D2AE1">
        <w:rPr>
          <w:rFonts w:asciiTheme="majorBidi" w:hAnsiTheme="majorBidi" w:cstheme="majorBidi"/>
          <w:color w:val="000000"/>
          <w:sz w:val="24"/>
          <w:szCs w:val="24"/>
        </w:rPr>
        <w:br/>
        <w:t>The results are analyzed thru the glasses of management and the recommendations are directed to management audiences.</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Contribution to the literature on strategic management of emerging technologies, change management in financial services, and organisational performance management in the Gulf banking setting.</w:t>
      </w:r>
      <w:r w:rsidRPr="000D2AE1">
        <w:rPr>
          <w:rFonts w:asciiTheme="majorBidi" w:hAnsiTheme="majorBidi" w:cstheme="majorBidi"/>
          <w:color w:val="000000"/>
          <w:sz w:val="24"/>
          <w:szCs w:val="24"/>
        </w:rPr>
        <w:br/>
        <w:t>To summarise, these elements make it clear that the study is undeniably an MBA level management research effort. The AI is considered as a tool that managers choose to utilize, not as an object of technical investigation, and it is analyzed purely from the management perspective.</w:t>
      </w:r>
    </w:p>
    <w:p w14:paraId="6B5EC08C" w14:textId="77777777" w:rsidR="000D2AE1" w:rsidRPr="000D2AE1" w:rsidRDefault="000D2AE1" w:rsidP="000D2AE1">
      <w:pPr>
        <w:pStyle w:val="BodyText"/>
        <w:spacing w:before="140" w:line="360" w:lineRule="auto"/>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1.11. Conceptual boundaries of the study</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7"/>
          <w:szCs w:val="27"/>
        </w:rPr>
        <w:lastRenderedPageBreak/>
        <w:t>To maintain methodological clarity, it is helpful to specify what is examined in this study and what is not. The paper explores the strategic management decision of bank executives to embrace AI as a managerial tool and its consequences on several facets of organisational performance. The study does not discuss the technical architecture, algorithmic design or computer science aspects of artificial intelligence systems. It does not look at the customer facing user experience of AI from the customer’s perspective, but it does capture the perceptions of bank employs on the impact of AI on customer satisfaction. It does not explore the effect of AI on the overall macroeconomic performance of the Saudi financial industry but the results have implications for sector-level performance thru aggregation of outcomes at the bank level.</w:t>
      </w:r>
      <w:r w:rsidRPr="000D2AE1">
        <w:rPr>
          <w:rFonts w:asciiTheme="majorBidi" w:hAnsiTheme="majorBidi" w:cstheme="majorBidi"/>
          <w:color w:val="000000"/>
        </w:rPr>
        <w:br/>
      </w:r>
      <w:r w:rsidRPr="000D2AE1">
        <w:rPr>
          <w:rFonts w:asciiTheme="majorBidi" w:hAnsiTheme="majorBidi" w:cstheme="majorBidi"/>
          <w:color w:val="000000"/>
          <w:sz w:val="27"/>
          <w:szCs w:val="27"/>
        </w:rPr>
        <w:t>The study is situated at the level of analysis of the individual commercial bank as a strategic management unit. The unit of observation is the individual bank employee. The perceptions of AI use and organisational performance are aggregated to characterize the management status of the industry. This level of-</w:t>
      </w:r>
      <w:r w:rsidRPr="000D2AE1">
        <w:rPr>
          <w:rFonts w:asciiTheme="majorBidi" w:hAnsiTheme="majorBidi" w:cstheme="majorBidi"/>
          <w:color w:val="000000"/>
        </w:rPr>
        <w:br/>
      </w:r>
      <w:r w:rsidRPr="000D2AE1">
        <w:rPr>
          <w:rFonts w:asciiTheme="majorBidi" w:hAnsiTheme="majorBidi" w:cstheme="majorBidi"/>
          <w:color w:val="000000"/>
          <w:sz w:val="27"/>
          <w:szCs w:val="27"/>
        </w:rPr>
        <w:t>The choice of analysis is typical of MBA-level management research on technology adoption and helps to generate insights that are practical at the level of decisions made by bank leadership.</w:t>
      </w:r>
    </w:p>
    <w:p w14:paraId="2D0DB9F0" w14:textId="77777777" w:rsidR="000D2AE1" w:rsidRPr="000D2AE1" w:rsidRDefault="000D2AE1" w:rsidP="000D2AE1">
      <w:pPr>
        <w:pStyle w:val="BodyText"/>
        <w:spacing w:before="140" w:line="360" w:lineRule="auto"/>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1.12 The Importance of the Saudi Banking Environment for Management Research</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The Saudi banking sector has various grounds to deserve dedicated management research attention that support the management discipline approach of this study. First, the industry is undergoing one of the fastest strategic revolutions of any banking sector in the world, fueled by the Vision 2030 </w:t>
      </w:r>
      <w:r w:rsidRPr="000D2AE1">
        <w:rPr>
          <w:rFonts w:asciiTheme="majorBidi" w:hAnsiTheme="majorBidi" w:cstheme="majorBidi"/>
          <w:color w:val="000000"/>
          <w:sz w:val="24"/>
          <w:szCs w:val="24"/>
        </w:rPr>
        <w:lastRenderedPageBreak/>
        <w:t>framework and the active leadership of SAMA and SDAIA. This rapid transition provides a very rich study setting in which strategic decisions and their implications can be studied at compressed time periods.</w:t>
      </w:r>
      <w:r w:rsidRPr="000D2AE1">
        <w:rPr>
          <w:rFonts w:asciiTheme="majorBidi" w:hAnsiTheme="majorBidi" w:cstheme="majorBidi"/>
          <w:color w:val="000000"/>
          <w:sz w:val="24"/>
          <w:szCs w:val="24"/>
        </w:rPr>
        <w:br/>
        <w:t>Second, the context combines features rarely found together in a single research setting: a young digitally native customer base; substantial management resources available to incumbent banks; a strong regulatory environment combining principles-based supervision with active fintech enablement; and the strategic ambition of becoming a regional and global financial hub. Third, the ramifications of discoveries from Saudi Arabia go beyond the Kingdom, as many other Gulf Cooperation Council countries, and emerging market economies are following similar strategic shifts.</w:t>
      </w:r>
    </w:p>
    <w:p w14:paraId="02A3086E" w14:textId="77777777" w:rsidR="000D2AE1" w:rsidRPr="000D2AE1" w:rsidRDefault="000D2AE1" w:rsidP="000D2AE1">
      <w:pPr>
        <w:pStyle w:val="BodyText"/>
        <w:spacing w:before="140"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1.13 Chapter Summary</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This chapter has laid the foundation of the study from the viewpoint of strategic management. The study topic was introduced, the research problem was formulated as the junction of three management challenges, and the objectives, importance, questions, null hypotheses and theoretical model were provided. It also defined the key words, highlighted the conceptual boundaries, and specifically showed how the study is grounded in the field of business administration. The next chapter elaborates on the theoretical premises and the previous literature in detail, which then leads to the identification of the research gap and the presentation of the integrated theoretical framework guiding the empirical investigation.</w:t>
      </w:r>
    </w:p>
    <w:p w14:paraId="43870814" w14:textId="77777777" w:rsidR="000D2AE1" w:rsidRPr="000D2AE1" w:rsidRDefault="000D2AE1" w:rsidP="000D2AE1">
      <w:pPr>
        <w:rPr>
          <w:rFonts w:asciiTheme="majorBidi" w:hAnsiTheme="majorBidi" w:cstheme="majorBidi"/>
        </w:rPr>
      </w:pPr>
      <w:r w:rsidRPr="000D2AE1">
        <w:rPr>
          <w:rFonts w:asciiTheme="majorBidi" w:hAnsiTheme="majorBidi" w:cstheme="majorBidi"/>
        </w:rPr>
        <w:br w:type="page"/>
      </w:r>
    </w:p>
    <w:p w14:paraId="2E4DAFE0" w14:textId="77777777" w:rsidR="000D2AE1" w:rsidRPr="000D2AE1" w:rsidRDefault="000D2AE1" w:rsidP="000D2AE1">
      <w:pPr>
        <w:pStyle w:val="Heading1"/>
        <w:rPr>
          <w:rFonts w:asciiTheme="majorBidi" w:hAnsiTheme="majorBidi"/>
          <w:color w:val="000000" w:themeColor="text1"/>
          <w:sz w:val="40"/>
          <w:szCs w:val="40"/>
        </w:rPr>
      </w:pPr>
      <w:bookmarkStart w:id="0" w:name="_Toc235065195"/>
    </w:p>
    <w:p w14:paraId="7560EF3A" w14:textId="77777777" w:rsidR="000D2AE1" w:rsidRPr="000D2AE1" w:rsidRDefault="000D2AE1" w:rsidP="000D2AE1">
      <w:pPr>
        <w:pStyle w:val="Heading1"/>
        <w:rPr>
          <w:rFonts w:asciiTheme="majorBidi" w:hAnsiTheme="majorBidi"/>
          <w:color w:val="000000" w:themeColor="text1"/>
          <w:sz w:val="40"/>
          <w:szCs w:val="40"/>
        </w:rPr>
      </w:pPr>
    </w:p>
    <w:p w14:paraId="22C66F85" w14:textId="77777777" w:rsidR="000D2AE1" w:rsidRPr="000D2AE1" w:rsidRDefault="000D2AE1" w:rsidP="000D2AE1">
      <w:pPr>
        <w:pStyle w:val="Heading1"/>
        <w:rPr>
          <w:rFonts w:asciiTheme="majorBidi" w:hAnsiTheme="majorBidi"/>
          <w:color w:val="000000" w:themeColor="text1"/>
          <w:sz w:val="40"/>
          <w:szCs w:val="40"/>
        </w:rPr>
      </w:pPr>
    </w:p>
    <w:p w14:paraId="31B106ED" w14:textId="77777777" w:rsidR="000D2AE1" w:rsidRPr="000D2AE1" w:rsidRDefault="000D2AE1" w:rsidP="000D2AE1">
      <w:pPr>
        <w:pStyle w:val="Heading1"/>
        <w:rPr>
          <w:rFonts w:asciiTheme="majorBidi" w:hAnsiTheme="majorBidi"/>
          <w:color w:val="000000" w:themeColor="text1"/>
          <w:sz w:val="40"/>
          <w:szCs w:val="40"/>
        </w:rPr>
      </w:pPr>
    </w:p>
    <w:p w14:paraId="6F63821E" w14:textId="77777777" w:rsidR="000D2AE1" w:rsidRPr="000D2AE1" w:rsidRDefault="000D2AE1" w:rsidP="000D2AE1">
      <w:pPr>
        <w:pStyle w:val="Heading1"/>
        <w:jc w:val="center"/>
        <w:rPr>
          <w:rFonts w:asciiTheme="majorBidi" w:hAnsiTheme="majorBidi"/>
          <w:color w:val="000000" w:themeColor="text1"/>
          <w:sz w:val="40"/>
          <w:szCs w:val="40"/>
        </w:rPr>
      </w:pPr>
      <w:r w:rsidRPr="000D2AE1">
        <w:rPr>
          <w:rFonts w:asciiTheme="majorBidi" w:hAnsiTheme="majorBidi"/>
          <w:color w:val="000000" w:themeColor="text1"/>
          <w:sz w:val="40"/>
          <w:szCs w:val="40"/>
        </w:rPr>
        <w:t>CHAPTER TWO:</w:t>
      </w:r>
    </w:p>
    <w:p w14:paraId="5783B8CD" w14:textId="77777777" w:rsidR="000D2AE1" w:rsidRPr="000D2AE1" w:rsidRDefault="000D2AE1" w:rsidP="000D2AE1">
      <w:pPr>
        <w:pStyle w:val="Heading1"/>
        <w:jc w:val="center"/>
        <w:rPr>
          <w:rFonts w:asciiTheme="majorBidi" w:hAnsiTheme="majorBidi"/>
          <w:color w:val="000000" w:themeColor="text1"/>
          <w:sz w:val="40"/>
          <w:szCs w:val="40"/>
        </w:rPr>
      </w:pPr>
      <w:r w:rsidRPr="000D2AE1">
        <w:rPr>
          <w:rFonts w:asciiTheme="majorBidi" w:hAnsiTheme="majorBidi"/>
          <w:color w:val="000000" w:themeColor="text1"/>
          <w:sz w:val="40"/>
          <w:szCs w:val="40"/>
        </w:rPr>
        <w:t>THEORETICAL PREMISES AND LITERATURE REVIEW</w:t>
      </w:r>
      <w:bookmarkEnd w:id="0"/>
    </w:p>
    <w:p w14:paraId="73556CB5" w14:textId="77777777" w:rsidR="000D2AE1" w:rsidRPr="000D2AE1" w:rsidRDefault="000D2AE1" w:rsidP="000D2AE1">
      <w:pPr>
        <w:rPr>
          <w:rFonts w:asciiTheme="majorBidi" w:hAnsiTheme="majorBidi" w:cstheme="majorBidi"/>
        </w:rPr>
      </w:pPr>
    </w:p>
    <w:p w14:paraId="2F384C99" w14:textId="77777777" w:rsidR="000D2AE1" w:rsidRPr="000D2AE1" w:rsidRDefault="000D2AE1" w:rsidP="000D2AE1">
      <w:pPr>
        <w:rPr>
          <w:rFonts w:asciiTheme="majorBidi" w:hAnsiTheme="majorBidi" w:cstheme="majorBidi"/>
        </w:rPr>
      </w:pPr>
    </w:p>
    <w:p w14:paraId="1DDF5231" w14:textId="77777777" w:rsidR="000D2AE1" w:rsidRPr="000D2AE1" w:rsidRDefault="000D2AE1" w:rsidP="000D2AE1">
      <w:pPr>
        <w:rPr>
          <w:rFonts w:asciiTheme="majorBidi" w:hAnsiTheme="majorBidi" w:cstheme="majorBidi"/>
        </w:rPr>
      </w:pPr>
    </w:p>
    <w:p w14:paraId="1B60D5A7" w14:textId="77777777" w:rsidR="000D2AE1" w:rsidRPr="000D2AE1" w:rsidRDefault="000D2AE1" w:rsidP="000D2AE1">
      <w:pPr>
        <w:rPr>
          <w:rFonts w:asciiTheme="majorBidi" w:hAnsiTheme="majorBidi" w:cstheme="majorBidi"/>
        </w:rPr>
      </w:pPr>
    </w:p>
    <w:p w14:paraId="6CF135D1" w14:textId="77777777" w:rsidR="000D2AE1" w:rsidRPr="000D2AE1" w:rsidRDefault="000D2AE1" w:rsidP="000D2AE1">
      <w:pPr>
        <w:rPr>
          <w:rFonts w:asciiTheme="majorBidi" w:hAnsiTheme="majorBidi" w:cstheme="majorBidi"/>
        </w:rPr>
      </w:pPr>
    </w:p>
    <w:p w14:paraId="7CAA7E12" w14:textId="77777777" w:rsidR="000D2AE1" w:rsidRPr="000D2AE1" w:rsidRDefault="000D2AE1" w:rsidP="000D2AE1">
      <w:pPr>
        <w:rPr>
          <w:rFonts w:asciiTheme="majorBidi" w:hAnsiTheme="majorBidi" w:cstheme="majorBidi"/>
        </w:rPr>
      </w:pPr>
    </w:p>
    <w:p w14:paraId="33B36F00" w14:textId="77777777" w:rsidR="000D2AE1" w:rsidRPr="000D2AE1" w:rsidRDefault="000D2AE1" w:rsidP="000D2AE1">
      <w:pPr>
        <w:rPr>
          <w:rFonts w:asciiTheme="majorBidi" w:hAnsiTheme="majorBidi" w:cstheme="majorBidi"/>
        </w:rPr>
      </w:pPr>
    </w:p>
    <w:p w14:paraId="05B63396" w14:textId="77777777" w:rsidR="000D2AE1" w:rsidRPr="000D2AE1" w:rsidRDefault="000D2AE1" w:rsidP="000D2AE1">
      <w:pPr>
        <w:rPr>
          <w:rFonts w:asciiTheme="majorBidi" w:hAnsiTheme="majorBidi" w:cstheme="majorBidi"/>
        </w:rPr>
      </w:pPr>
    </w:p>
    <w:p w14:paraId="39E5BA24" w14:textId="77777777" w:rsidR="000D2AE1" w:rsidRPr="000D2AE1" w:rsidRDefault="000D2AE1" w:rsidP="000D2AE1">
      <w:pPr>
        <w:rPr>
          <w:rFonts w:asciiTheme="majorBidi" w:hAnsiTheme="majorBidi" w:cstheme="majorBidi"/>
        </w:rPr>
      </w:pPr>
    </w:p>
    <w:p w14:paraId="3D22B6D8" w14:textId="77777777" w:rsidR="000D2AE1" w:rsidRPr="000D2AE1" w:rsidRDefault="000D2AE1" w:rsidP="000D2AE1">
      <w:pPr>
        <w:rPr>
          <w:rFonts w:asciiTheme="majorBidi" w:hAnsiTheme="majorBidi" w:cstheme="majorBidi"/>
        </w:rPr>
      </w:pPr>
    </w:p>
    <w:p w14:paraId="77CD460C" w14:textId="77777777" w:rsidR="000D2AE1" w:rsidRPr="000D2AE1" w:rsidRDefault="000D2AE1" w:rsidP="000D2AE1">
      <w:pPr>
        <w:rPr>
          <w:rFonts w:asciiTheme="majorBidi" w:hAnsiTheme="majorBidi" w:cstheme="majorBidi"/>
        </w:rPr>
      </w:pPr>
    </w:p>
    <w:p w14:paraId="19052270" w14:textId="77777777" w:rsidR="000D2AE1" w:rsidRPr="000D2AE1" w:rsidRDefault="000D2AE1" w:rsidP="000D2AE1">
      <w:pPr>
        <w:spacing w:before="80"/>
        <w:jc w:val="center"/>
        <w:rPr>
          <w:rFonts w:asciiTheme="majorBidi" w:hAnsiTheme="majorBidi" w:cstheme="majorBidi"/>
        </w:rPr>
      </w:pPr>
    </w:p>
    <w:p w14:paraId="7506E1B3"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b/>
          <w:bCs/>
          <w:color w:val="000000"/>
          <w:sz w:val="28"/>
          <w:szCs w:val="28"/>
        </w:rPr>
        <w:t>2.1. Introductory</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The theoretical foundations and literature evaluation of the study are presented in this chapter from a strategic management perspective. The section has two main aims. Firstly, it covers the theoretical premises thru the presentation of the management theories, definitions, types, classifications and conceptual bases related to the variables of the investigation. Second, we evaluate and compare existing empirical studies on AI adoption and organisational success and highlight the research gap our work covers.</w:t>
      </w:r>
    </w:p>
    <w:p w14:paraId="240D8704"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t>The chapter is organized in several major sections. Theoretical frame Strategic Management theory Resource-Based View Technology-Organization-Environment framework Technology Acceptance Model Section 2.2 The hypotheses concerning the independent variable are presented in section 2.3. Section 2.4 describes the premises connected to the dependent variable. Section 2.5 discusses earlier empirical investigations. The research gap is identified in section 2.6. Section 2.7 introduces the integrated theoretical framework, followed by comprehensive examination of the Saudi environment, drivers and barriers, supplementary research and specific premises for each variable dimension.</w:t>
      </w:r>
    </w:p>
    <w:p w14:paraId="36016903"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t>We utilized a systematic literature review method, referencing management journals indexed in Web of Science, Scopus, Google Scholar and ScienceDirect, and supplemented by industry reports from McKinsey, Harvard Business Review and the Saudi Central Bank, as well as policy documents from SDAIA and SAMA.</w:t>
      </w:r>
    </w:p>
    <w:p w14:paraId="6F2679A5" w14:textId="77777777" w:rsidR="000D2AE1" w:rsidRPr="000D2AE1" w:rsidRDefault="000D2AE1" w:rsidP="000D2AE1">
      <w:pPr>
        <w:spacing w:line="360" w:lineRule="auto"/>
        <w:rPr>
          <w:rFonts w:asciiTheme="majorBidi" w:hAnsiTheme="majorBidi" w:cstheme="majorBidi"/>
          <w:color w:val="000000"/>
          <w:sz w:val="24"/>
          <w:szCs w:val="24"/>
        </w:rPr>
      </w:pPr>
    </w:p>
    <w:p w14:paraId="32159BD0" w14:textId="77777777" w:rsidR="000D2AE1" w:rsidRPr="000D2AE1" w:rsidRDefault="000D2AE1" w:rsidP="000D2AE1">
      <w:pPr>
        <w:spacing w:line="360" w:lineRule="auto"/>
        <w:rPr>
          <w:rFonts w:asciiTheme="majorBidi" w:hAnsiTheme="majorBidi" w:cstheme="majorBidi"/>
          <w:color w:val="000000"/>
          <w:sz w:val="27"/>
          <w:szCs w:val="27"/>
        </w:rPr>
      </w:pPr>
      <w:r w:rsidRPr="000D2AE1">
        <w:rPr>
          <w:rFonts w:asciiTheme="majorBidi" w:hAnsiTheme="majorBidi" w:cstheme="majorBidi"/>
          <w:color w:val="000000"/>
          <w:sz w:val="24"/>
          <w:szCs w:val="24"/>
        </w:rPr>
        <w:br/>
      </w:r>
      <w:r w:rsidRPr="000D2AE1">
        <w:rPr>
          <w:rFonts w:asciiTheme="majorBidi" w:hAnsiTheme="majorBidi" w:cstheme="majorBidi"/>
          <w:color w:val="000000"/>
        </w:rPr>
        <w:br/>
      </w:r>
      <w:r w:rsidRPr="000D2AE1">
        <w:rPr>
          <w:rFonts w:asciiTheme="majorBidi" w:hAnsiTheme="majorBidi" w:cstheme="majorBidi"/>
          <w:b/>
          <w:bCs/>
          <w:color w:val="000000"/>
          <w:sz w:val="28"/>
          <w:szCs w:val="28"/>
        </w:rPr>
        <w:lastRenderedPageBreak/>
        <w:t>2.2 Management-Theoretical Basis of the Research</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This study is grounded in four acknowledged streams of management theory. Each is discussed below, emphasizing its special relevance for the management of AI deployment in banking.</w:t>
      </w:r>
    </w:p>
    <w:p w14:paraId="0207518F"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2.2.1 Theory of Strategic Management</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Strategic management is the field of study that addresses the ways in which organizations develop and implement decisions and actions that enable organizations to meet long-term goals and to sustain a competitive edge. Foundational strategic management literature (</w:t>
      </w:r>
      <w:proofErr w:type="gramStart"/>
      <w:r w:rsidRPr="000D2AE1">
        <w:rPr>
          <w:rFonts w:asciiTheme="majorBidi" w:hAnsiTheme="majorBidi" w:cstheme="majorBidi"/>
          <w:color w:val="000000"/>
          <w:sz w:val="24"/>
          <w:szCs w:val="24"/>
        </w:rPr>
        <w:t>e.g.</w:t>
      </w:r>
      <w:proofErr w:type="gramEnd"/>
      <w:r w:rsidRPr="000D2AE1">
        <w:rPr>
          <w:rFonts w:asciiTheme="majorBidi" w:hAnsiTheme="majorBidi" w:cstheme="majorBidi"/>
          <w:color w:val="000000"/>
          <w:sz w:val="24"/>
          <w:szCs w:val="24"/>
        </w:rPr>
        <w:t xml:space="preserve"> Porter, Mintzberg, Hamel) indicates that strategy is about making choices regarding where to compete, how to compete and what resources and competencies to build. In this sense, the choice of adopting AI is a strategic decision, impacting all three dimensions: AI impacts the segments of customers and the lines of business the bank serves, the way it competes in those segments and lines, and the capabilities the bank invests in for the future.</w:t>
      </w:r>
    </w:p>
    <w:p w14:paraId="6DD08A00"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t>Strategic management theory also emphasizes the necessity of strategic fit between the external environment, the internal organization and management decisions. When considering AI in Saudi banking, strategic fit necessitates that AI investments match the demands of the competitive landscape, the regulatory environment, and the internal organization - data assets, talent base, and organisational culture.</w:t>
      </w:r>
    </w:p>
    <w:p w14:paraId="744B24E6" w14:textId="77777777" w:rsidR="000D2AE1" w:rsidRPr="000D2AE1" w:rsidRDefault="000D2AE1" w:rsidP="000D2AE1">
      <w:pPr>
        <w:spacing w:line="360" w:lineRule="auto"/>
        <w:rPr>
          <w:rFonts w:asciiTheme="majorBidi" w:hAnsiTheme="majorBidi" w:cstheme="majorBidi"/>
          <w:color w:val="000000"/>
          <w:sz w:val="24"/>
          <w:szCs w:val="24"/>
        </w:rPr>
      </w:pPr>
    </w:p>
    <w:p w14:paraId="01D388EA" w14:textId="77777777" w:rsidR="000D2AE1" w:rsidRPr="000D2AE1" w:rsidRDefault="000D2AE1" w:rsidP="000D2AE1">
      <w:pPr>
        <w:spacing w:line="360" w:lineRule="auto"/>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b/>
          <w:bCs/>
          <w:color w:val="000000"/>
          <w:sz w:val="28"/>
          <w:szCs w:val="28"/>
        </w:rPr>
        <w:lastRenderedPageBreak/>
        <w:t>2.2.2 The Resource-Based View of the Firm (RBV)</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The Resource-Based View was formalized by Barney (1991) and is a core idea in strategic management. The RBV contends that a firm’s persistent competitive advantage rests on its valuable, rare, inimitable and organized (VRIO) resources and talents. From the RBV perspective, AI itself is becoming increasingly available to all banks. What makes winning banks is the combination of AI with proprietary customer data accumulated thru years of relationships, with skilled human talent, and with the organisational processes that integrate AI insights into managerial action.</w:t>
      </w:r>
      <w:r w:rsidRPr="000D2AE1">
        <w:rPr>
          <w:rFonts w:asciiTheme="majorBidi" w:hAnsiTheme="majorBidi" w:cstheme="majorBidi"/>
          <w:color w:val="000000"/>
          <w:sz w:val="24"/>
          <w:szCs w:val="24"/>
        </w:rPr>
        <w:br/>
        <w:t>The RBV suggests that managers should not consider AI as a stand-alone technology investment, but rather as one component of a broader competence that must be created intentionally over time. Banks that see AI as a strategic capability, along with data, talent and process, can build sustained competitive advantage. Banks that see AI as a technology to be bought will tend to find that any short-term advantage is quickly eroded as competitors replicate the technology.</w:t>
      </w:r>
    </w:p>
    <w:p w14:paraId="2B382824"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2.2.3 Technology-Organization-Environment (TOE) Model</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A popular approach used to study the determinants of technology adoption by organizations is the Technology-Organization-Environment framework (Tornatzky &amp; Fleischer, 1990). The framework distinguishes three classes of factors. Technological factors include the relative advantage of the technology, compatibility with existing systems and complexity. Organisational factors, which are within direct managerial control, include business size, organisational structure, top management support, slack resources, and absorptive capacity. Environmental considerations include competitive pressure, regulatory restrictions, and availability of external partners.</w:t>
      </w:r>
      <w:r w:rsidRPr="000D2AE1">
        <w:rPr>
          <w:rFonts w:asciiTheme="majorBidi" w:hAnsiTheme="majorBidi" w:cstheme="majorBidi"/>
          <w:color w:val="000000"/>
          <w:sz w:val="24"/>
          <w:szCs w:val="24"/>
        </w:rPr>
        <w:br/>
        <w:t xml:space="preserve">The TOE framework is of value from a management standpoint in that it positions management at the heart of the technology adoption process. The decision to use AI is based not only on what the </w:t>
      </w:r>
      <w:r w:rsidRPr="000D2AE1">
        <w:rPr>
          <w:rFonts w:asciiTheme="majorBidi" w:hAnsiTheme="majorBidi" w:cstheme="majorBidi"/>
          <w:color w:val="000000"/>
          <w:sz w:val="24"/>
          <w:szCs w:val="24"/>
        </w:rPr>
        <w:lastRenderedPageBreak/>
        <w:t>technology can achieve, but on the strategic choices management makes regarding how to organize the organization and how to place it within its environment.</w:t>
      </w:r>
    </w:p>
    <w:p w14:paraId="2468AA39" w14:textId="77777777" w:rsidR="000D2AE1" w:rsidRPr="000D2AE1" w:rsidRDefault="000D2AE1" w:rsidP="000D2AE1">
      <w:pPr>
        <w:spacing w:line="360" w:lineRule="auto"/>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2.2.4 Model of Technology Acceptance (TAM)</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4"/>
          <w:szCs w:val="24"/>
        </w:rPr>
        <w:t>The difficulty of ensuring that employs really accept and use the technologies in which management has invested is addressed by the Technology Acceptance Model (Davis, 1989), and its later developments including the Unified Theory of Acceptance and Use of Technology. TAM recognizes perceived usefulness and perceived ease of use as two major factors of technology acceptance at person level.</w:t>
      </w:r>
      <w:r w:rsidRPr="000D2AE1">
        <w:rPr>
          <w:rFonts w:asciiTheme="majorBidi" w:hAnsiTheme="majorBidi" w:cstheme="majorBidi"/>
          <w:color w:val="000000"/>
          <w:sz w:val="24"/>
          <w:szCs w:val="24"/>
        </w:rPr>
        <w:br/>
        <w:t>TAM is a reminder to managers that strategic investments in AI only create value when employs, whether they are managers, customer service reps, risk officers, or operations folks, truly leverage the AI tools they are given. Change management, training, communication and incentive design are therefore critical complements to AI investment.</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b/>
          <w:bCs/>
          <w:color w:val="000000"/>
          <w:sz w:val="28"/>
          <w:szCs w:val="28"/>
        </w:rPr>
        <w:t>2.3 The Independent Variable’s Theoretical Premises: Adoption of AI</w:t>
      </w:r>
    </w:p>
    <w:p w14:paraId="5E571F94"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t>2.3.1 Artificial Intelligence: The Concept – Management Perspective</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From a management perspective, Artificial Intelligence is the collection of computer-based capabilities – including machine learning, natural language processing, predictive analytics, and robotic process automation – that management can deploy to perform or augment tasks traditionally requiring human intelligence. Managers don’t care about AI per se, but about the strategic and operational ramifications of implementing AI in a company.</w:t>
      </w:r>
    </w:p>
    <w:p w14:paraId="4F63468F"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lastRenderedPageBreak/>
        <w:br/>
        <w:t>Managers need to see AI as a general-purpose technology that can be applied to various activities in the enterprise. Davenport and Ronanki (2018) for a management readership in the Harvard Business Review, provide a business-oriented classification of AI into three categories: process automation, cognitive insight and cognitive engagement. This classification is of more utility for management decisions than pure technical taxonomies. It gives managers a framework for aligning AI capabilities to business challenges.</w:t>
      </w:r>
    </w:p>
    <w:p w14:paraId="2E96B4F7"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2.3.2 AI Evolution and Classification in Banking Management</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The development of AI in financial management can be divided into five waves as shown in Figure 2.1. There are numerous stages of management acceptance and use of AI capabilities in banks and each wave has different management goals, organisational structures, and performance implications. The evolution has been from rule-based expert systems in the 1980s and 1990s, to data mining and early machine learning, and now to the current era of generative AI and enterprise-wide hyper automation initiatives driven from the top of the business.</w:t>
      </w:r>
    </w:p>
    <w:p w14:paraId="66A9397A" w14:textId="77777777" w:rsidR="000D2AE1" w:rsidRPr="000D2AE1" w:rsidRDefault="000D2AE1" w:rsidP="000D2AE1">
      <w:pPr>
        <w:spacing w:line="360" w:lineRule="auto"/>
        <w:rPr>
          <w:rFonts w:asciiTheme="majorBidi" w:hAnsiTheme="majorBidi" w:cstheme="majorBidi"/>
          <w:color w:val="000000"/>
          <w:sz w:val="27"/>
          <w:szCs w:val="27"/>
        </w:rPr>
      </w:pPr>
    </w:p>
    <w:p w14:paraId="050EDDAF" w14:textId="77777777" w:rsidR="000D2AE1" w:rsidRPr="000D2AE1" w:rsidRDefault="000D2AE1" w:rsidP="000D2AE1">
      <w:pPr>
        <w:rPr>
          <w:rFonts w:asciiTheme="majorBidi" w:hAnsiTheme="majorBidi" w:cstheme="majorBidi"/>
          <w:color w:val="000000"/>
          <w:sz w:val="27"/>
          <w:szCs w:val="27"/>
        </w:rPr>
      </w:pPr>
    </w:p>
    <w:p w14:paraId="265B2651" w14:textId="77777777" w:rsidR="000D2AE1" w:rsidRPr="000D2AE1" w:rsidRDefault="000D2AE1" w:rsidP="000D2AE1">
      <w:pPr>
        <w:rPr>
          <w:rFonts w:asciiTheme="majorBidi" w:hAnsiTheme="majorBidi" w:cstheme="majorBidi"/>
          <w:color w:val="000000"/>
          <w:sz w:val="27"/>
          <w:szCs w:val="27"/>
        </w:rPr>
      </w:pPr>
    </w:p>
    <w:p w14:paraId="11D9BD8E" w14:textId="77777777" w:rsidR="000D2AE1" w:rsidRPr="000D2AE1" w:rsidRDefault="000D2AE1" w:rsidP="000D2AE1">
      <w:pPr>
        <w:rPr>
          <w:rFonts w:asciiTheme="majorBidi" w:hAnsiTheme="majorBidi" w:cstheme="majorBidi"/>
          <w:color w:val="000000"/>
          <w:sz w:val="27"/>
          <w:szCs w:val="27"/>
        </w:rPr>
      </w:pPr>
    </w:p>
    <w:p w14:paraId="6949B90A" w14:textId="77777777" w:rsidR="000D2AE1" w:rsidRPr="000D2AE1" w:rsidRDefault="000D2AE1" w:rsidP="000D2AE1">
      <w:pPr>
        <w:rPr>
          <w:rFonts w:asciiTheme="majorBidi" w:hAnsiTheme="majorBidi" w:cstheme="majorBidi"/>
          <w:color w:val="000000"/>
          <w:sz w:val="27"/>
          <w:szCs w:val="27"/>
        </w:rPr>
      </w:pPr>
    </w:p>
    <w:p w14:paraId="4C4CA746" w14:textId="77777777" w:rsidR="000D2AE1" w:rsidRPr="000D2AE1" w:rsidRDefault="000D2AE1" w:rsidP="000D2AE1">
      <w:pPr>
        <w:rPr>
          <w:rFonts w:asciiTheme="majorBidi" w:hAnsiTheme="majorBidi" w:cstheme="majorBidi"/>
          <w:color w:val="000000"/>
          <w:sz w:val="27"/>
          <w:szCs w:val="27"/>
        </w:rPr>
      </w:pPr>
    </w:p>
    <w:p w14:paraId="33B9FED3" w14:textId="77777777" w:rsidR="000D2AE1" w:rsidRPr="000D2AE1" w:rsidRDefault="000D2AE1" w:rsidP="000D2AE1">
      <w:pPr>
        <w:rPr>
          <w:rFonts w:asciiTheme="majorBidi" w:hAnsiTheme="majorBidi" w:cstheme="majorBidi"/>
          <w:color w:val="000000"/>
          <w:sz w:val="27"/>
          <w:szCs w:val="27"/>
        </w:rPr>
      </w:pPr>
    </w:p>
    <w:p w14:paraId="0171A8B1" w14:textId="77777777" w:rsidR="000D2AE1" w:rsidRPr="000D2AE1" w:rsidRDefault="000D2AE1" w:rsidP="000D2AE1">
      <w:pPr>
        <w:rPr>
          <w:rFonts w:asciiTheme="majorBidi" w:hAnsiTheme="majorBidi" w:cstheme="majorBidi"/>
          <w:color w:val="000000"/>
          <w:sz w:val="27"/>
          <w:szCs w:val="27"/>
        </w:rPr>
      </w:pPr>
    </w:p>
    <w:p w14:paraId="00613F15" w14:textId="77777777" w:rsidR="000D2AE1" w:rsidRPr="000D2AE1" w:rsidRDefault="000D2AE1" w:rsidP="000D2AE1">
      <w:pPr>
        <w:rPr>
          <w:rFonts w:asciiTheme="majorBidi" w:hAnsiTheme="majorBidi" w:cstheme="majorBidi"/>
          <w:color w:val="000000"/>
          <w:sz w:val="27"/>
          <w:szCs w:val="27"/>
        </w:rPr>
      </w:pPr>
      <w:r w:rsidRPr="000D2AE1">
        <w:rPr>
          <w:rFonts w:asciiTheme="majorBidi" w:hAnsiTheme="majorBidi" w:cstheme="majorBidi"/>
          <w:noProof/>
        </w:rPr>
        <w:lastRenderedPageBreak/>
        <w:drawing>
          <wp:anchor distT="0" distB="0" distL="114300" distR="114300" simplePos="0" relativeHeight="251660288" behindDoc="0" locked="0" layoutInCell="1" allowOverlap="1" wp14:anchorId="02A9586B" wp14:editId="35B1C0F0">
            <wp:simplePos x="0" y="0"/>
            <wp:positionH relativeFrom="column">
              <wp:posOffset>191593</wp:posOffset>
            </wp:positionH>
            <wp:positionV relativeFrom="paragraph">
              <wp:posOffset>-160551</wp:posOffset>
            </wp:positionV>
            <wp:extent cx="5715000" cy="2828925"/>
            <wp:effectExtent l="0" t="0" r="0" b="0"/>
            <wp:wrapNone/>
            <wp:docPr id="91" name="Image 91"/>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11" cstate="print"/>
                    <a:stretch>
                      <a:fillRect/>
                    </a:stretch>
                  </pic:blipFill>
                  <pic:spPr>
                    <a:xfrm>
                      <a:off x="0" y="0"/>
                      <a:ext cx="5715000" cy="2828925"/>
                    </a:xfrm>
                    <a:prstGeom prst="rect">
                      <a:avLst/>
                    </a:prstGeom>
                  </pic:spPr>
                </pic:pic>
              </a:graphicData>
            </a:graphic>
          </wp:anchor>
        </w:drawing>
      </w:r>
    </w:p>
    <w:p w14:paraId="2DBDC5A0" w14:textId="77777777" w:rsidR="000D2AE1" w:rsidRPr="000D2AE1" w:rsidRDefault="000D2AE1" w:rsidP="000D2AE1">
      <w:pPr>
        <w:rPr>
          <w:rFonts w:asciiTheme="majorBidi" w:hAnsiTheme="majorBidi" w:cstheme="majorBidi"/>
          <w:color w:val="000000"/>
          <w:sz w:val="27"/>
          <w:szCs w:val="27"/>
        </w:rPr>
      </w:pPr>
    </w:p>
    <w:p w14:paraId="6453448E" w14:textId="77777777" w:rsidR="000D2AE1" w:rsidRPr="000D2AE1" w:rsidRDefault="000D2AE1" w:rsidP="000D2AE1">
      <w:pPr>
        <w:rPr>
          <w:rFonts w:asciiTheme="majorBidi" w:hAnsiTheme="majorBidi" w:cstheme="majorBidi"/>
          <w:color w:val="000000"/>
          <w:sz w:val="27"/>
          <w:szCs w:val="27"/>
        </w:rPr>
      </w:pPr>
    </w:p>
    <w:p w14:paraId="6979DD37" w14:textId="77777777" w:rsidR="000D2AE1" w:rsidRPr="000D2AE1" w:rsidRDefault="000D2AE1" w:rsidP="000D2AE1">
      <w:pPr>
        <w:rPr>
          <w:rFonts w:asciiTheme="majorBidi" w:hAnsiTheme="majorBidi" w:cstheme="majorBidi"/>
          <w:color w:val="000000"/>
          <w:sz w:val="27"/>
          <w:szCs w:val="27"/>
        </w:rPr>
      </w:pPr>
    </w:p>
    <w:p w14:paraId="03287AD3" w14:textId="77777777" w:rsidR="000D2AE1" w:rsidRPr="000D2AE1" w:rsidRDefault="000D2AE1" w:rsidP="000D2AE1">
      <w:pPr>
        <w:rPr>
          <w:rFonts w:asciiTheme="majorBidi" w:hAnsiTheme="majorBidi" w:cstheme="majorBidi"/>
          <w:color w:val="000000"/>
          <w:sz w:val="27"/>
          <w:szCs w:val="27"/>
        </w:rPr>
      </w:pPr>
    </w:p>
    <w:p w14:paraId="42FC9D16" w14:textId="77777777" w:rsidR="000D2AE1" w:rsidRPr="000D2AE1" w:rsidRDefault="000D2AE1" w:rsidP="000D2AE1">
      <w:pPr>
        <w:rPr>
          <w:rFonts w:asciiTheme="majorBidi" w:hAnsiTheme="majorBidi" w:cstheme="majorBidi"/>
          <w:color w:val="000000"/>
          <w:sz w:val="27"/>
          <w:szCs w:val="27"/>
        </w:rPr>
      </w:pPr>
    </w:p>
    <w:p w14:paraId="702323D1" w14:textId="77777777" w:rsidR="000D2AE1" w:rsidRPr="000D2AE1" w:rsidRDefault="000D2AE1" w:rsidP="000D2AE1">
      <w:pPr>
        <w:rPr>
          <w:rFonts w:asciiTheme="majorBidi" w:hAnsiTheme="majorBidi" w:cstheme="majorBidi"/>
          <w:color w:val="000000"/>
          <w:sz w:val="27"/>
          <w:szCs w:val="27"/>
        </w:rPr>
      </w:pPr>
    </w:p>
    <w:p w14:paraId="0F21FD11" w14:textId="77777777" w:rsidR="000D2AE1" w:rsidRPr="000D2AE1" w:rsidRDefault="000D2AE1" w:rsidP="000D2AE1">
      <w:pPr>
        <w:rPr>
          <w:rFonts w:asciiTheme="majorBidi" w:hAnsiTheme="majorBidi" w:cstheme="majorBidi"/>
          <w:color w:val="000000"/>
          <w:sz w:val="27"/>
          <w:szCs w:val="27"/>
        </w:rPr>
      </w:pPr>
    </w:p>
    <w:p w14:paraId="25F63D7C" w14:textId="77777777" w:rsidR="000D2AE1" w:rsidRPr="000D2AE1" w:rsidRDefault="000D2AE1" w:rsidP="000D2AE1">
      <w:pPr>
        <w:rPr>
          <w:rFonts w:asciiTheme="majorBidi" w:hAnsiTheme="majorBidi" w:cstheme="majorBidi"/>
          <w:color w:val="000000"/>
          <w:sz w:val="27"/>
          <w:szCs w:val="27"/>
        </w:rPr>
      </w:pPr>
    </w:p>
    <w:p w14:paraId="72A17C62" w14:textId="77777777" w:rsidR="000D2AE1" w:rsidRPr="000D2AE1" w:rsidRDefault="000D2AE1" w:rsidP="000D2AE1">
      <w:pPr>
        <w:ind w:left="2" w:right="23"/>
        <w:jc w:val="center"/>
        <w:rPr>
          <w:rFonts w:asciiTheme="majorBidi" w:hAnsiTheme="majorBidi" w:cstheme="majorBidi"/>
        </w:rPr>
      </w:pPr>
      <w:r w:rsidRPr="000D2AE1">
        <w:rPr>
          <w:rFonts w:asciiTheme="majorBidi" w:hAnsiTheme="majorBidi" w:cstheme="majorBidi"/>
          <w:b/>
        </w:rPr>
        <w:t>Figure</w:t>
      </w:r>
      <w:r w:rsidRPr="000D2AE1">
        <w:rPr>
          <w:rFonts w:asciiTheme="majorBidi" w:hAnsiTheme="majorBidi" w:cstheme="majorBidi"/>
          <w:b/>
          <w:spacing w:val="-14"/>
        </w:rPr>
        <w:t xml:space="preserve"> </w:t>
      </w:r>
      <w:r w:rsidRPr="000D2AE1">
        <w:rPr>
          <w:rFonts w:asciiTheme="majorBidi" w:hAnsiTheme="majorBidi" w:cstheme="majorBidi"/>
          <w:b/>
        </w:rPr>
        <w:t>2.1:</w:t>
      </w:r>
      <w:r w:rsidRPr="000D2AE1">
        <w:rPr>
          <w:rFonts w:asciiTheme="majorBidi" w:hAnsiTheme="majorBidi" w:cstheme="majorBidi"/>
          <w:b/>
          <w:spacing w:val="-6"/>
        </w:rPr>
        <w:t xml:space="preserve"> </w:t>
      </w:r>
      <w:r w:rsidRPr="000D2AE1">
        <w:rPr>
          <w:rFonts w:asciiTheme="majorBidi" w:hAnsiTheme="majorBidi" w:cstheme="majorBidi"/>
        </w:rPr>
        <w:t>Evolution</w:t>
      </w:r>
      <w:r w:rsidRPr="000D2AE1">
        <w:rPr>
          <w:rFonts w:asciiTheme="majorBidi" w:hAnsiTheme="majorBidi" w:cstheme="majorBidi"/>
          <w:spacing w:val="-6"/>
        </w:rPr>
        <w:t xml:space="preserve"> </w:t>
      </w:r>
      <w:r w:rsidRPr="000D2AE1">
        <w:rPr>
          <w:rFonts w:asciiTheme="majorBidi" w:hAnsiTheme="majorBidi" w:cstheme="majorBidi"/>
        </w:rPr>
        <w:t>of</w:t>
      </w:r>
      <w:r w:rsidRPr="000D2AE1">
        <w:rPr>
          <w:rFonts w:asciiTheme="majorBidi" w:hAnsiTheme="majorBidi" w:cstheme="majorBidi"/>
          <w:spacing w:val="-13"/>
        </w:rPr>
        <w:t xml:space="preserve"> </w:t>
      </w:r>
      <w:r w:rsidRPr="000D2AE1">
        <w:rPr>
          <w:rFonts w:asciiTheme="majorBidi" w:hAnsiTheme="majorBidi" w:cstheme="majorBidi"/>
        </w:rPr>
        <w:t>AI</w:t>
      </w:r>
      <w:r w:rsidRPr="000D2AE1">
        <w:rPr>
          <w:rFonts w:asciiTheme="majorBidi" w:hAnsiTheme="majorBidi" w:cstheme="majorBidi"/>
          <w:spacing w:val="-14"/>
        </w:rPr>
        <w:t xml:space="preserve"> </w:t>
      </w:r>
      <w:r w:rsidRPr="000D2AE1">
        <w:rPr>
          <w:rFonts w:asciiTheme="majorBidi" w:hAnsiTheme="majorBidi" w:cstheme="majorBidi"/>
        </w:rPr>
        <w:t>Adoption</w:t>
      </w:r>
      <w:r w:rsidRPr="000D2AE1">
        <w:rPr>
          <w:rFonts w:asciiTheme="majorBidi" w:hAnsiTheme="majorBidi" w:cstheme="majorBidi"/>
          <w:spacing w:val="-6"/>
        </w:rPr>
        <w:t xml:space="preserve"> </w:t>
      </w:r>
      <w:r w:rsidRPr="000D2AE1">
        <w:rPr>
          <w:rFonts w:asciiTheme="majorBidi" w:hAnsiTheme="majorBidi" w:cstheme="majorBidi"/>
        </w:rPr>
        <w:t>in</w:t>
      </w:r>
      <w:r w:rsidRPr="000D2AE1">
        <w:rPr>
          <w:rFonts w:asciiTheme="majorBidi" w:hAnsiTheme="majorBidi" w:cstheme="majorBidi"/>
          <w:spacing w:val="-6"/>
        </w:rPr>
        <w:t xml:space="preserve"> </w:t>
      </w:r>
      <w:r w:rsidRPr="000D2AE1">
        <w:rPr>
          <w:rFonts w:asciiTheme="majorBidi" w:hAnsiTheme="majorBidi" w:cstheme="majorBidi"/>
        </w:rPr>
        <w:t>Banking</w:t>
      </w:r>
      <w:r w:rsidRPr="000D2AE1">
        <w:rPr>
          <w:rFonts w:asciiTheme="majorBidi" w:hAnsiTheme="majorBidi" w:cstheme="majorBidi"/>
          <w:spacing w:val="-5"/>
        </w:rPr>
        <w:t xml:space="preserve"> </w:t>
      </w:r>
      <w:r w:rsidRPr="000D2AE1">
        <w:rPr>
          <w:rFonts w:asciiTheme="majorBidi" w:hAnsiTheme="majorBidi" w:cstheme="majorBidi"/>
          <w:spacing w:val="-2"/>
        </w:rPr>
        <w:t>Management</w:t>
      </w:r>
    </w:p>
    <w:p w14:paraId="382DC09A" w14:textId="77777777" w:rsidR="000D2AE1" w:rsidRPr="000D2AE1" w:rsidRDefault="000D2AE1" w:rsidP="000D2AE1">
      <w:pPr>
        <w:rPr>
          <w:rFonts w:asciiTheme="majorBidi" w:hAnsiTheme="majorBidi" w:cstheme="majorBidi"/>
          <w:color w:val="000000"/>
          <w:sz w:val="27"/>
          <w:szCs w:val="27"/>
        </w:rPr>
      </w:pPr>
    </w:p>
    <w:p w14:paraId="4E42974E" w14:textId="77777777" w:rsidR="000D2AE1" w:rsidRPr="000D2AE1" w:rsidRDefault="000D2AE1" w:rsidP="000D2AE1">
      <w:pPr>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2.3.3 Types and Dimensions of AI Adoption Relevant to Management</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7"/>
          <w:szCs w:val="27"/>
        </w:rPr>
        <w:t>For the aim of management research, this paper decomposes AI adoption in banking into four management-relevant variables. These dimensions map into diverse domains of bank management, each with its own performance targets, organisational structure, and managerial priorities.</w:t>
      </w:r>
    </w:p>
    <w:p w14:paraId="6BB3707D" w14:textId="77777777" w:rsidR="000D2AE1" w:rsidRPr="000D2AE1" w:rsidRDefault="000D2AE1" w:rsidP="000D2AE1">
      <w:pPr>
        <w:spacing w:line="360" w:lineRule="auto"/>
        <w:rPr>
          <w:rFonts w:asciiTheme="majorBidi" w:hAnsiTheme="majorBidi" w:cstheme="majorBidi"/>
          <w:color w:val="000000"/>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2.3.3.1 Artificial Intelligence in Customer Service Management</w:t>
      </w:r>
      <w:r w:rsidRPr="000D2AE1">
        <w:rPr>
          <w:rFonts w:asciiTheme="majorBidi" w:hAnsiTheme="majorBidi" w:cstheme="majorBidi"/>
          <w:color w:val="000000"/>
        </w:rPr>
        <w:br/>
      </w:r>
    </w:p>
    <w:p w14:paraId="5DEF4D7D"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t xml:space="preserve">AI in customer service management is the application of AI-powered solutions like chatbots, virtual assistants, personalization engines, and sentiment analysis to better manage customer interactions. From a marketing-management and service-management standpoint, this dimension supports objectives including service quality, customer experience, retention, and cross-selling. The </w:t>
      </w:r>
      <w:r w:rsidRPr="000D2AE1">
        <w:rPr>
          <w:rFonts w:asciiTheme="majorBidi" w:hAnsiTheme="majorBidi" w:cstheme="majorBidi"/>
          <w:color w:val="000000"/>
          <w:sz w:val="24"/>
          <w:szCs w:val="24"/>
        </w:rPr>
        <w:lastRenderedPageBreak/>
        <w:t>managerial consequence is that AI in customer service should be integrated with the larger customer experience strategy of the bank and not implemented in isolation.</w:t>
      </w:r>
    </w:p>
    <w:p w14:paraId="407CABC5" w14:textId="77777777" w:rsidR="000D2AE1" w:rsidRPr="000D2AE1" w:rsidRDefault="000D2AE1" w:rsidP="000D2AE1">
      <w:pPr>
        <w:spacing w:line="360" w:lineRule="auto"/>
        <w:rPr>
          <w:rFonts w:asciiTheme="majorBidi" w:hAnsiTheme="majorBidi" w:cstheme="majorBidi"/>
          <w:color w:val="000000"/>
          <w:sz w:val="24"/>
          <w:szCs w:val="24"/>
        </w:rPr>
      </w:pPr>
    </w:p>
    <w:p w14:paraId="09D68BF9" w14:textId="77777777" w:rsidR="000D2AE1" w:rsidRPr="000D2AE1" w:rsidRDefault="000D2AE1" w:rsidP="000D2AE1">
      <w:pPr>
        <w:spacing w:line="360" w:lineRule="auto"/>
        <w:rPr>
          <w:rFonts w:asciiTheme="majorBidi" w:hAnsiTheme="majorBidi" w:cstheme="majorBidi"/>
          <w:color w:val="000000"/>
          <w:sz w:val="27"/>
          <w:szCs w:val="27"/>
        </w:rPr>
      </w:pPr>
      <w:r w:rsidRPr="000D2AE1">
        <w:rPr>
          <w:rFonts w:asciiTheme="majorBidi" w:hAnsiTheme="majorBidi" w:cstheme="majorBidi"/>
          <w:b/>
          <w:bCs/>
          <w:color w:val="000000"/>
          <w:sz w:val="28"/>
          <w:szCs w:val="28"/>
        </w:rPr>
        <w:br/>
        <w:t>2.3.3.2 Artificial Intelligence in Managerial Decision Making</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AI in managerial decision-making means using AI-based analytics, predictive models and prescriptive recommendations to support choices taken by managers across the bank. Applications: Credit-decision management Customer-churn management Pricing-decision management Strategic-planning support the management consequence is that AI augments, rather than replaces, human judgement, and the most successful banks build AI to support managers, with clear governance and accountability.</w:t>
      </w:r>
    </w:p>
    <w:p w14:paraId="06C4760D" w14:textId="77777777" w:rsidR="000D2AE1" w:rsidRPr="000D2AE1" w:rsidRDefault="000D2AE1" w:rsidP="000D2AE1">
      <w:pPr>
        <w:spacing w:line="360" w:lineRule="auto"/>
        <w:rPr>
          <w:rFonts w:asciiTheme="majorBidi" w:hAnsiTheme="majorBidi" w:cstheme="majorBidi"/>
          <w:color w:val="000000"/>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2.3.3.3 AI for Risk Management</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AI in risk management refers to the use of AI capabilities in the risk management discipline, including fraud-risk management, credit-risk management, market-risk management, operational-risk management, AML/CFT compliance management, and cybersecurity management. From a financial-management and risk-management standpoint, AI allows more precise and fast risk choices and helps the bank manage its capital and reputation more holistically.</w:t>
      </w:r>
      <w:r w:rsidRPr="000D2AE1">
        <w:rPr>
          <w:rFonts w:asciiTheme="majorBidi" w:hAnsiTheme="majorBidi" w:cstheme="majorBidi"/>
          <w:color w:val="000000"/>
        </w:rPr>
        <w:br/>
      </w:r>
      <w:r w:rsidRPr="000D2AE1">
        <w:rPr>
          <w:rFonts w:asciiTheme="majorBidi" w:hAnsiTheme="majorBidi" w:cstheme="majorBidi"/>
          <w:color w:val="000000"/>
        </w:rPr>
        <w:br/>
      </w:r>
    </w:p>
    <w:p w14:paraId="39F172BE" w14:textId="77777777" w:rsidR="000D2AE1" w:rsidRPr="000D2AE1" w:rsidRDefault="000D2AE1" w:rsidP="000D2AE1">
      <w:pPr>
        <w:spacing w:line="360" w:lineRule="auto"/>
        <w:rPr>
          <w:rFonts w:asciiTheme="majorBidi" w:hAnsiTheme="majorBidi" w:cstheme="majorBidi"/>
          <w:color w:val="000000"/>
        </w:rPr>
      </w:pPr>
    </w:p>
    <w:p w14:paraId="7ECBA854" w14:textId="77777777" w:rsidR="000D2AE1" w:rsidRPr="000D2AE1" w:rsidRDefault="000D2AE1" w:rsidP="000D2AE1">
      <w:pPr>
        <w:spacing w:line="360" w:lineRule="auto"/>
        <w:rPr>
          <w:rFonts w:asciiTheme="majorBidi" w:hAnsiTheme="majorBidi" w:cstheme="majorBidi"/>
          <w:color w:val="000000"/>
          <w:sz w:val="27"/>
          <w:szCs w:val="27"/>
        </w:rPr>
      </w:pPr>
      <w:r w:rsidRPr="000D2AE1">
        <w:rPr>
          <w:rFonts w:asciiTheme="majorBidi" w:hAnsiTheme="majorBidi" w:cstheme="majorBidi"/>
          <w:color w:val="000000"/>
        </w:rPr>
        <w:lastRenderedPageBreak/>
        <w:br/>
      </w:r>
      <w:r w:rsidRPr="000D2AE1">
        <w:rPr>
          <w:rFonts w:asciiTheme="majorBidi" w:hAnsiTheme="majorBidi" w:cstheme="majorBidi"/>
          <w:b/>
          <w:bCs/>
          <w:color w:val="000000"/>
          <w:sz w:val="28"/>
          <w:szCs w:val="28"/>
        </w:rPr>
        <w:t>2.3.3.4 AI for Operations and Automation Management</w:t>
      </w:r>
      <w:r w:rsidRPr="000D2AE1">
        <w:rPr>
          <w:rFonts w:asciiTheme="majorBidi" w:hAnsiTheme="majorBidi" w:cstheme="majorBidi"/>
          <w:color w:val="000000"/>
        </w:rPr>
        <w:br/>
      </w:r>
      <w:r w:rsidRPr="000D2AE1">
        <w:rPr>
          <w:rFonts w:asciiTheme="majorBidi" w:hAnsiTheme="majorBidi" w:cstheme="majorBidi"/>
          <w:color w:val="000000"/>
          <w:sz w:val="24"/>
          <w:szCs w:val="24"/>
        </w:rPr>
        <w:br/>
        <w:t>Artificial intelligence in operations and automation management is the application of AI and Robotic Process Automation to manage back-office and middle-office procedures. This dimension supports operations-management objectives such as cost efficiency, processing speed, quality, and scalability, and is often managed by an operations-management function or an enterprise transformation office.</w:t>
      </w:r>
    </w:p>
    <w:p w14:paraId="66059F64" w14:textId="77777777" w:rsidR="000D2AE1" w:rsidRPr="000D2AE1" w:rsidRDefault="000D2AE1" w:rsidP="000D2AE1">
      <w:pPr>
        <w:spacing w:line="360" w:lineRule="auto"/>
        <w:rPr>
          <w:rFonts w:asciiTheme="majorBidi" w:hAnsiTheme="majorBidi" w:cstheme="majorBidi"/>
          <w:color w:val="000000"/>
          <w:sz w:val="27"/>
          <w:szCs w:val="27"/>
        </w:rPr>
      </w:pPr>
    </w:p>
    <w:p w14:paraId="00C0A95B" w14:textId="77777777" w:rsidR="000D2AE1" w:rsidRPr="000D2AE1" w:rsidRDefault="000D2AE1" w:rsidP="000D2AE1">
      <w:pPr>
        <w:spacing w:line="360" w:lineRule="auto"/>
        <w:rPr>
          <w:rFonts w:asciiTheme="majorBidi" w:hAnsiTheme="majorBidi" w:cstheme="majorBidi"/>
          <w:b/>
          <w:bCs/>
          <w:color w:val="000000"/>
          <w:sz w:val="28"/>
          <w:szCs w:val="28"/>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2.4 Theoretical Premises of the Dependent Variable: Organisational Performance</w:t>
      </w:r>
    </w:p>
    <w:p w14:paraId="7A2DBC5B" w14:textId="290DCE37" w:rsidR="000D2AE1" w:rsidRPr="000D2AE1" w:rsidRDefault="000D2AE1" w:rsidP="000D2AE1">
      <w:pPr>
        <w:pStyle w:val="Heading4"/>
        <w:tabs>
          <w:tab w:val="left" w:pos="649"/>
        </w:tabs>
        <w:ind w:left="649"/>
        <w:rPr>
          <w:rFonts w:asciiTheme="majorBidi" w:hAnsiTheme="majorBidi"/>
        </w:rPr>
      </w:pPr>
      <w:r w:rsidRPr="000D2AE1">
        <w:rPr>
          <w:rFonts w:asciiTheme="majorBidi" w:hAnsiTheme="majorBidi"/>
          <w:color w:val="000000"/>
        </w:rPr>
        <w:br/>
      </w:r>
      <w:r w:rsidRPr="000D2AE1">
        <w:rPr>
          <w:rFonts w:asciiTheme="majorBidi" w:hAnsiTheme="majorBidi"/>
          <w:i w:val="0"/>
          <w:iCs w:val="0"/>
          <w:color w:val="000000"/>
          <w:sz w:val="24"/>
          <w:szCs w:val="24"/>
        </w:rPr>
        <w:t>2.4.1 Concept of Organisational Performance from Management Perspective</w:t>
      </w:r>
      <w:r w:rsidRPr="000D2AE1">
        <w:rPr>
          <w:rFonts w:asciiTheme="majorBidi" w:hAnsiTheme="majorBidi"/>
          <w:color w:val="000000"/>
        </w:rPr>
        <w:br/>
      </w:r>
      <w:r w:rsidRPr="000D2AE1">
        <w:rPr>
          <w:rFonts w:asciiTheme="majorBidi" w:hAnsiTheme="majorBidi"/>
          <w:color w:val="000000"/>
        </w:rPr>
        <w:br/>
      </w:r>
      <w:r w:rsidRPr="000D2AE1">
        <w:rPr>
          <w:rFonts w:asciiTheme="majorBidi" w:hAnsiTheme="majorBidi"/>
          <w:i w:val="0"/>
          <w:iCs w:val="0"/>
          <w:color w:val="000000"/>
          <w:sz w:val="24"/>
          <w:szCs w:val="24"/>
        </w:rPr>
        <w:t xml:space="preserve">Organisational performance is a fundamental element in strategic management and management accounting. Performance, from a management perspective, is how well the organization meets its goals and provides value for its stakeholders. Strategic management theory and practice stresses that performance is multifaceted in nature. </w:t>
      </w:r>
      <w:r w:rsidR="00A02DD7" w:rsidRPr="00A02DD7">
        <w:rPr>
          <w:rFonts w:asciiTheme="majorBidi" w:hAnsiTheme="majorBidi"/>
          <w:i w:val="0"/>
          <w:iCs w:val="0"/>
          <w:color w:val="000000"/>
          <w:sz w:val="24"/>
          <w:szCs w:val="24"/>
        </w:rPr>
        <w:t xml:space="preserve">An example is the Balanced Scorecard, developed by Kaplan and Norton (1996). Adoption of AI is a management decision that can’t be measured by one </w:t>
      </w:r>
      <w:proofErr w:type="gramStart"/>
      <w:r w:rsidR="00A02DD7" w:rsidRPr="00A02DD7">
        <w:rPr>
          <w:rFonts w:asciiTheme="majorBidi" w:hAnsiTheme="majorBidi"/>
          <w:i w:val="0"/>
          <w:iCs w:val="0"/>
          <w:color w:val="000000"/>
          <w:sz w:val="24"/>
          <w:szCs w:val="24"/>
        </w:rPr>
        <w:t>metric</w:t>
      </w:r>
      <w:r w:rsidR="00A02DD7">
        <w:rPr>
          <w:rFonts w:ascii="-webkit-standard" w:hAnsi="-webkit-standard"/>
          <w:color w:val="000000"/>
          <w:sz w:val="27"/>
          <w:szCs w:val="27"/>
        </w:rPr>
        <w:t>.</w:t>
      </w:r>
      <w:r w:rsidRPr="000D2AE1">
        <w:rPr>
          <w:rFonts w:asciiTheme="majorBidi" w:hAnsiTheme="majorBidi"/>
          <w:i w:val="0"/>
          <w:iCs w:val="0"/>
          <w:color w:val="000000"/>
          <w:sz w:val="24"/>
          <w:szCs w:val="24"/>
        </w:rPr>
        <w:t>.</w:t>
      </w:r>
      <w:proofErr w:type="gramEnd"/>
      <w:r w:rsidRPr="000D2AE1">
        <w:rPr>
          <w:rFonts w:asciiTheme="majorBidi" w:hAnsiTheme="majorBidi"/>
          <w:i w:val="0"/>
          <w:iCs w:val="0"/>
          <w:color w:val="000000"/>
          <w:sz w:val="24"/>
          <w:szCs w:val="24"/>
        </w:rPr>
        <w:t xml:space="preserve"> It must be judged on many performance aspects that together encapsulate the value provided.</w:t>
      </w:r>
      <w:r w:rsidRPr="000D2AE1">
        <w:rPr>
          <w:rFonts w:asciiTheme="majorBidi" w:hAnsiTheme="majorBidi"/>
          <w:color w:val="000000"/>
          <w:sz w:val="24"/>
          <w:szCs w:val="24"/>
        </w:rPr>
        <w:br/>
      </w:r>
      <w:r w:rsidRPr="000D2AE1">
        <w:rPr>
          <w:rFonts w:asciiTheme="majorBidi" w:hAnsiTheme="majorBidi"/>
          <w:color w:val="000000"/>
        </w:rPr>
        <w:br/>
      </w:r>
      <w:r w:rsidRPr="000D2AE1">
        <w:rPr>
          <w:rFonts w:asciiTheme="majorBidi" w:hAnsiTheme="majorBidi"/>
          <w:color w:val="000000"/>
        </w:rPr>
        <w:br/>
      </w:r>
      <w:r w:rsidRPr="000D2AE1">
        <w:rPr>
          <w:rFonts w:asciiTheme="majorBidi" w:hAnsiTheme="majorBidi"/>
          <w:color w:val="000000"/>
        </w:rPr>
        <w:br/>
      </w:r>
      <w:r w:rsidRPr="000D2AE1">
        <w:rPr>
          <w:rFonts w:asciiTheme="majorBidi" w:hAnsiTheme="majorBidi"/>
          <w:color w:val="000000"/>
        </w:rPr>
        <w:br/>
      </w:r>
      <w:r w:rsidRPr="000D2AE1">
        <w:rPr>
          <w:rFonts w:asciiTheme="majorBidi" w:hAnsiTheme="majorBidi"/>
          <w:b/>
          <w:bCs/>
          <w:i w:val="0"/>
          <w:iCs w:val="0"/>
          <w:color w:val="000000"/>
          <w:sz w:val="28"/>
          <w:szCs w:val="28"/>
        </w:rPr>
        <w:t>2.4.2</w:t>
      </w:r>
      <w:r w:rsidRPr="000D2AE1">
        <w:rPr>
          <w:rFonts w:asciiTheme="majorBidi" w:hAnsiTheme="majorBidi"/>
          <w:i w:val="0"/>
          <w:iCs w:val="0"/>
          <w:color w:val="000000" w:themeColor="text1"/>
          <w:sz w:val="28"/>
          <w:szCs w:val="28"/>
        </w:rPr>
        <w:t xml:space="preserve"> Management-Relevant</w:t>
      </w:r>
      <w:r w:rsidRPr="000D2AE1">
        <w:rPr>
          <w:rFonts w:asciiTheme="majorBidi" w:hAnsiTheme="majorBidi"/>
          <w:i w:val="0"/>
          <w:iCs w:val="0"/>
          <w:color w:val="000000" w:themeColor="text1"/>
          <w:spacing w:val="-14"/>
          <w:sz w:val="28"/>
          <w:szCs w:val="28"/>
        </w:rPr>
        <w:t xml:space="preserve"> </w:t>
      </w:r>
      <w:r w:rsidRPr="000D2AE1">
        <w:rPr>
          <w:rFonts w:asciiTheme="majorBidi" w:hAnsiTheme="majorBidi"/>
          <w:i w:val="0"/>
          <w:iCs w:val="0"/>
          <w:color w:val="000000" w:themeColor="text1"/>
          <w:sz w:val="28"/>
          <w:szCs w:val="28"/>
        </w:rPr>
        <w:t>Dimensions</w:t>
      </w:r>
      <w:r w:rsidRPr="000D2AE1">
        <w:rPr>
          <w:rFonts w:asciiTheme="majorBidi" w:hAnsiTheme="majorBidi"/>
          <w:i w:val="0"/>
          <w:iCs w:val="0"/>
          <w:color w:val="000000" w:themeColor="text1"/>
          <w:spacing w:val="-14"/>
          <w:sz w:val="28"/>
          <w:szCs w:val="28"/>
        </w:rPr>
        <w:t xml:space="preserve"> </w:t>
      </w:r>
      <w:r w:rsidRPr="000D2AE1">
        <w:rPr>
          <w:rFonts w:asciiTheme="majorBidi" w:hAnsiTheme="majorBidi"/>
          <w:i w:val="0"/>
          <w:iCs w:val="0"/>
          <w:color w:val="000000" w:themeColor="text1"/>
          <w:sz w:val="28"/>
          <w:szCs w:val="28"/>
        </w:rPr>
        <w:t>of</w:t>
      </w:r>
      <w:r w:rsidRPr="000D2AE1">
        <w:rPr>
          <w:rFonts w:asciiTheme="majorBidi" w:hAnsiTheme="majorBidi"/>
          <w:i w:val="0"/>
          <w:iCs w:val="0"/>
          <w:color w:val="000000" w:themeColor="text1"/>
          <w:spacing w:val="-13"/>
          <w:sz w:val="28"/>
          <w:szCs w:val="28"/>
        </w:rPr>
        <w:t xml:space="preserve"> </w:t>
      </w:r>
      <w:r w:rsidRPr="000D2AE1">
        <w:rPr>
          <w:rFonts w:asciiTheme="majorBidi" w:hAnsiTheme="majorBidi"/>
          <w:i w:val="0"/>
          <w:iCs w:val="0"/>
          <w:color w:val="000000" w:themeColor="text1"/>
          <w:sz w:val="28"/>
          <w:szCs w:val="28"/>
        </w:rPr>
        <w:t>Organizational</w:t>
      </w:r>
      <w:r w:rsidRPr="000D2AE1">
        <w:rPr>
          <w:rFonts w:asciiTheme="majorBidi" w:hAnsiTheme="majorBidi"/>
          <w:i w:val="0"/>
          <w:iCs w:val="0"/>
          <w:color w:val="000000" w:themeColor="text1"/>
          <w:spacing w:val="-14"/>
          <w:sz w:val="28"/>
          <w:szCs w:val="28"/>
        </w:rPr>
        <w:t xml:space="preserve"> </w:t>
      </w:r>
      <w:r w:rsidRPr="000D2AE1">
        <w:rPr>
          <w:rFonts w:asciiTheme="majorBidi" w:hAnsiTheme="majorBidi"/>
          <w:i w:val="0"/>
          <w:iCs w:val="0"/>
          <w:color w:val="000000" w:themeColor="text1"/>
          <w:spacing w:val="-2"/>
          <w:sz w:val="28"/>
          <w:szCs w:val="28"/>
        </w:rPr>
        <w:t>Performance</w:t>
      </w:r>
    </w:p>
    <w:p w14:paraId="379F0554" w14:textId="77777777" w:rsidR="00485ABC"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In line with the Balanced Scorecard tradition and previous research on technology adoption in banking, this study measures organisational performance by three</w:t>
      </w:r>
      <w:r w:rsidRPr="000D2AE1">
        <w:rPr>
          <w:rFonts w:asciiTheme="majorBidi" w:hAnsiTheme="majorBidi" w:cstheme="majorBidi"/>
          <w:color w:val="000000"/>
          <w:sz w:val="27"/>
          <w:szCs w:val="27"/>
        </w:rPr>
        <w:t xml:space="preserve"> </w:t>
      </w:r>
      <w:r w:rsidRPr="000D2AE1">
        <w:rPr>
          <w:rFonts w:asciiTheme="majorBidi" w:hAnsiTheme="majorBidi" w:cstheme="majorBidi"/>
          <w:color w:val="000000"/>
          <w:sz w:val="24"/>
          <w:szCs w:val="24"/>
        </w:rPr>
        <w:t>management relevant variables.</w:t>
      </w:r>
      <w:r w:rsidRPr="000D2AE1">
        <w:rPr>
          <w:rFonts w:asciiTheme="majorBidi" w:hAnsiTheme="majorBidi" w:cstheme="majorBidi"/>
          <w:color w:val="000000"/>
        </w:rPr>
        <w:br/>
      </w:r>
      <w:r w:rsidRPr="000D2AE1">
        <w:rPr>
          <w:rFonts w:asciiTheme="majorBidi" w:hAnsiTheme="majorBidi" w:cstheme="majorBidi"/>
          <w:b/>
          <w:bCs/>
          <w:color w:val="000000"/>
          <w:sz w:val="28"/>
          <w:szCs w:val="28"/>
        </w:rPr>
        <w:lastRenderedPageBreak/>
        <w:t>2.4.2.1 Operating Efficiency</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Operational efficiency is an essential concept in operations management and management accounting. It is the ability of the bank to deliver products and services with minimum resources of time, cost and effort, while retaining quality. Typical measures include cost-to-income ratio, processing time per transaction, error rate, and </w:t>
      </w:r>
      <w:proofErr w:type="spellStart"/>
      <w:r w:rsidRPr="000D2AE1">
        <w:rPr>
          <w:rFonts w:asciiTheme="majorBidi" w:hAnsiTheme="majorBidi" w:cstheme="majorBidi"/>
          <w:color w:val="000000"/>
          <w:sz w:val="24"/>
          <w:szCs w:val="24"/>
        </w:rPr>
        <w:t>employe</w:t>
      </w:r>
      <w:proofErr w:type="spellEnd"/>
      <w:r w:rsidRPr="000D2AE1">
        <w:rPr>
          <w:rFonts w:asciiTheme="majorBidi" w:hAnsiTheme="majorBidi" w:cstheme="majorBidi"/>
          <w:color w:val="000000"/>
          <w:sz w:val="24"/>
          <w:szCs w:val="24"/>
        </w:rPr>
        <w:t xml:space="preserve"> productivity. The characteristic most closely associated with operations-management decisions on AI in automation is operational efficiency.</w:t>
      </w:r>
    </w:p>
    <w:p w14:paraId="2DF81679" w14:textId="2182F288" w:rsidR="00485ABC"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2.4.2.2 Satisfaction of the Customer</w:t>
      </w:r>
      <w:r w:rsidRPr="000D2AE1">
        <w:rPr>
          <w:rFonts w:asciiTheme="majorBidi" w:hAnsiTheme="majorBidi" w:cstheme="majorBidi"/>
          <w:color w:val="000000"/>
        </w:rPr>
        <w:br/>
      </w:r>
      <w:r w:rsidRPr="000D2AE1">
        <w:rPr>
          <w:rFonts w:asciiTheme="majorBidi" w:hAnsiTheme="majorBidi" w:cstheme="majorBidi"/>
          <w:color w:val="000000"/>
        </w:rPr>
        <w:br/>
      </w:r>
      <w:proofErr w:type="spellStart"/>
      <w:r w:rsidRPr="000D2AE1">
        <w:rPr>
          <w:rFonts w:asciiTheme="majorBidi" w:hAnsiTheme="majorBidi" w:cstheme="majorBidi"/>
          <w:color w:val="000000"/>
          <w:sz w:val="24"/>
          <w:szCs w:val="24"/>
        </w:rPr>
        <w:t>Customer</w:t>
      </w:r>
      <w:proofErr w:type="spellEnd"/>
      <w:r w:rsidRPr="000D2AE1">
        <w:rPr>
          <w:rFonts w:asciiTheme="majorBidi" w:hAnsiTheme="majorBidi" w:cstheme="majorBidi"/>
          <w:color w:val="000000"/>
          <w:sz w:val="24"/>
          <w:szCs w:val="24"/>
        </w:rPr>
        <w:t xml:space="preserve"> satisfaction is a fundamental element in marketing management, services management, and customer relationship management. It is a measure of how well customer expectations are met or exceeded. Indicators include satisfaction surveys, Net Promoter Score, customer effort score and complaint rates. The SERVQUAL model (Parasuraman et al., 1988), a popular tool in services management, measures customer perceptions of service quality across five dimensions: tangibles, reliability, responsiveness, assurance, and empathy.</w:t>
      </w:r>
    </w:p>
    <w:p w14:paraId="479FE705" w14:textId="24D22C3E"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2.4.2.3. Performance financière</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Financial management is built upon the foundation of financial performance. It measures the bank’s ability to generate profits, returns and economic value. Common metrics are net profit, return on assets (ROA), return on equity (ROE), revenue growth, and cost-to-income ratio. The current study uses perceptual measures of financial performance as the dependent variable; nonetheless, perceptual measurements have been shown to be reasonably linked with objective financial indicators (Wall et al., 2004).</w:t>
      </w:r>
    </w:p>
    <w:p w14:paraId="5C6E88B3" w14:textId="77777777" w:rsidR="000D2AE1" w:rsidRPr="000D2AE1" w:rsidRDefault="000D2AE1" w:rsidP="000D2AE1">
      <w:pPr>
        <w:spacing w:line="360" w:lineRule="auto"/>
        <w:rPr>
          <w:rFonts w:asciiTheme="majorBidi" w:hAnsiTheme="majorBidi" w:cstheme="majorBidi"/>
          <w:color w:val="000000"/>
          <w:sz w:val="24"/>
          <w:szCs w:val="24"/>
        </w:rPr>
      </w:pPr>
    </w:p>
    <w:p w14:paraId="3441582C" w14:textId="77777777" w:rsidR="00145ACD" w:rsidRDefault="000D2AE1" w:rsidP="00145ACD">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2.5 Review and Comparison of Previous Management Studies</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4"/>
          <w:szCs w:val="24"/>
        </w:rPr>
        <w:t>This section evaluates selected prior empirical/conceptual studies on AI adoption in banking, compares the techniques and conclusions, and indicates the research need. The studies are listed chronologically and then there are two summary tables.</w:t>
      </w:r>
    </w:p>
    <w:p w14:paraId="18BDF87D" w14:textId="67D367C8" w:rsidR="00145ACD" w:rsidRDefault="000D2AE1" w:rsidP="00145ACD">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t xml:space="preserve">In a conceptual paper aimed at a management audience at the Alan Turing Institute, Buchanan (2019) examined the strategic implications of AI for banks. </w:t>
      </w:r>
      <w:r w:rsidR="00145ACD" w:rsidRPr="00145ACD">
        <w:rPr>
          <w:rFonts w:asciiTheme="majorBidi" w:hAnsiTheme="majorBidi" w:cstheme="majorBidi"/>
          <w:color w:val="000000"/>
          <w:sz w:val="24"/>
          <w:szCs w:val="24"/>
        </w:rPr>
        <w:t>The study found that AI has the potential to disrupt the entire banking value chain and identified a number of considerations that bank executives would have to make concerning their AI strategy. The investigation was not empirical but conceptual.</w:t>
      </w:r>
    </w:p>
    <w:p w14:paraId="6A3401A9" w14:textId="77777777" w:rsidR="00F851B6" w:rsidRDefault="00F851B6" w:rsidP="000D2AE1">
      <w:pPr>
        <w:spacing w:line="360" w:lineRule="auto"/>
        <w:rPr>
          <w:rFonts w:asciiTheme="majorBidi" w:hAnsiTheme="majorBidi" w:cstheme="majorBidi"/>
          <w:color w:val="000000"/>
          <w:sz w:val="24"/>
          <w:szCs w:val="24"/>
        </w:rPr>
      </w:pPr>
      <w:r w:rsidRPr="00F851B6">
        <w:rPr>
          <w:rFonts w:asciiTheme="majorBidi" w:hAnsiTheme="majorBidi" w:cstheme="majorBidi"/>
          <w:color w:val="000000"/>
          <w:sz w:val="24"/>
          <w:szCs w:val="24"/>
        </w:rPr>
        <w:t>Mhlanga (2020) investigated the role of AI in fostering financial inclusion in emerging economies. The author used a literature review approach to argue that AI-enabled credit scoring, mobile banking and chatbots can provide financial services to underserved communities, and emphasized the significance of regulatory, infrastructure and consumer protection decisions.</w:t>
      </w:r>
    </w:p>
    <w:p w14:paraId="04BD12E1" w14:textId="0D11BB6A" w:rsidR="000D2AE1" w:rsidRPr="00F851B6"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00F851B6" w:rsidRPr="00F851B6">
        <w:rPr>
          <w:rFonts w:asciiTheme="majorBidi" w:hAnsiTheme="majorBidi" w:cstheme="majorBidi"/>
          <w:color w:val="000000"/>
          <w:sz w:val="24"/>
          <w:szCs w:val="24"/>
        </w:rPr>
        <w:t>Hofmann et al. (2020) talked about Robotic Process Automation in the financial services. The case studies of European banks have shown considerable improvements in operational efficiency, processing time and cost reduction, with the lesson that benefits are strongly dependent on judgments on process selection and change management.</w:t>
      </w:r>
    </w:p>
    <w:p w14:paraId="19022D27" w14:textId="77777777" w:rsidR="003D0416" w:rsidRDefault="003D0416" w:rsidP="000D2AE1">
      <w:pPr>
        <w:spacing w:line="360" w:lineRule="auto"/>
        <w:rPr>
          <w:rFonts w:asciiTheme="majorBidi" w:hAnsiTheme="majorBidi" w:cstheme="majorBidi"/>
          <w:color w:val="000000"/>
          <w:sz w:val="24"/>
          <w:szCs w:val="24"/>
        </w:rPr>
      </w:pPr>
    </w:p>
    <w:p w14:paraId="047D8814" w14:textId="77777777" w:rsidR="003D0416" w:rsidRDefault="003D0416" w:rsidP="000D2AE1">
      <w:pPr>
        <w:spacing w:line="360" w:lineRule="auto"/>
        <w:rPr>
          <w:rFonts w:asciiTheme="majorBidi" w:hAnsiTheme="majorBidi" w:cstheme="majorBidi"/>
          <w:color w:val="000000"/>
          <w:sz w:val="24"/>
          <w:szCs w:val="24"/>
        </w:rPr>
      </w:pPr>
    </w:p>
    <w:p w14:paraId="7B52F9FF" w14:textId="3DEB4ABB" w:rsidR="00A93AEF" w:rsidRPr="00A93AEF"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lastRenderedPageBreak/>
        <w:br/>
      </w:r>
      <w:proofErr w:type="spellStart"/>
      <w:r w:rsidR="00A93AEF" w:rsidRPr="00A93AEF">
        <w:rPr>
          <w:rFonts w:asciiTheme="majorBidi" w:hAnsiTheme="majorBidi" w:cstheme="majorBidi"/>
          <w:color w:val="000000"/>
          <w:sz w:val="24"/>
          <w:szCs w:val="24"/>
        </w:rPr>
        <w:t>Mogaji</w:t>
      </w:r>
      <w:proofErr w:type="spellEnd"/>
      <w:r w:rsidR="00A93AEF" w:rsidRPr="00A93AEF">
        <w:rPr>
          <w:rFonts w:asciiTheme="majorBidi" w:hAnsiTheme="majorBidi" w:cstheme="majorBidi"/>
          <w:color w:val="000000"/>
          <w:sz w:val="24"/>
          <w:szCs w:val="24"/>
        </w:rPr>
        <w:t xml:space="preserve"> et al. (2021) studied the marketing dimension of AI-based chatbots in the banking industry. The study presents qualitative interviews with bank customers who suggest chatbots provide convenience and speed, but can fail to satisfy customers with complex or sensitive issues and recommends hybrid models of AI and human service agents.</w:t>
      </w:r>
    </w:p>
    <w:p w14:paraId="6489FDD4" w14:textId="156A8E63" w:rsidR="000D2AE1" w:rsidRPr="00A93AEF" w:rsidRDefault="000D2AE1" w:rsidP="000D2AE1">
      <w:pPr>
        <w:spacing w:line="360" w:lineRule="auto"/>
        <w:rPr>
          <w:rFonts w:asciiTheme="majorBidi" w:hAnsiTheme="majorBidi" w:cstheme="majorBidi"/>
          <w:color w:val="000000"/>
          <w:sz w:val="24"/>
          <w:szCs w:val="24"/>
        </w:rPr>
      </w:pPr>
      <w:r w:rsidRPr="00A93AEF">
        <w:rPr>
          <w:rFonts w:asciiTheme="majorBidi" w:hAnsiTheme="majorBidi" w:cstheme="majorBidi"/>
          <w:color w:val="000000"/>
          <w:sz w:val="24"/>
          <w:szCs w:val="24"/>
        </w:rPr>
        <w:br/>
      </w:r>
      <w:proofErr w:type="spellStart"/>
      <w:r w:rsidR="00A93AEF" w:rsidRPr="00A93AEF">
        <w:rPr>
          <w:rFonts w:asciiTheme="majorBidi" w:hAnsiTheme="majorBidi" w:cstheme="majorBidi"/>
          <w:color w:val="000000"/>
          <w:sz w:val="24"/>
          <w:szCs w:val="24"/>
        </w:rPr>
        <w:t>Sheth</w:t>
      </w:r>
      <w:proofErr w:type="spellEnd"/>
      <w:r w:rsidR="00A93AEF" w:rsidRPr="00A93AEF">
        <w:rPr>
          <w:rFonts w:asciiTheme="majorBidi" w:hAnsiTheme="majorBidi" w:cstheme="majorBidi"/>
          <w:color w:val="000000"/>
          <w:sz w:val="24"/>
          <w:szCs w:val="24"/>
        </w:rPr>
        <w:t xml:space="preserve"> et al. (2022) explored the use of AI-based personalization in marketing for financial services and found the positive impact on client engagement and cross-selling, however, the issue of privacy and fatigue of customers due to over-personalization were raised. Kaur et al. (2023) conducted a comprehensive literature analysis of AI applications in banking and found AI to be most mature in risk management and customer service, but applications in strategic decision-making are still under development. Governance, </w:t>
      </w:r>
      <w:proofErr w:type="spellStart"/>
      <w:r w:rsidR="00A93AEF" w:rsidRPr="00A93AEF">
        <w:rPr>
          <w:rFonts w:asciiTheme="majorBidi" w:hAnsiTheme="majorBidi" w:cstheme="majorBidi"/>
          <w:color w:val="000000"/>
          <w:sz w:val="24"/>
          <w:szCs w:val="24"/>
        </w:rPr>
        <w:t>explainability</w:t>
      </w:r>
      <w:proofErr w:type="spellEnd"/>
      <w:r w:rsidR="00A93AEF" w:rsidRPr="00A93AEF">
        <w:rPr>
          <w:rFonts w:asciiTheme="majorBidi" w:hAnsiTheme="majorBidi" w:cstheme="majorBidi"/>
          <w:color w:val="000000"/>
          <w:sz w:val="24"/>
          <w:szCs w:val="24"/>
        </w:rPr>
        <w:t xml:space="preserve"> and human monitoring were stressed in the review.</w:t>
      </w:r>
    </w:p>
    <w:p w14:paraId="1CDBA1C8" w14:textId="463FB972" w:rsidR="000D2AE1" w:rsidRPr="006F3DDB" w:rsidRDefault="000D2AE1" w:rsidP="000D2AE1">
      <w:pPr>
        <w:spacing w:line="360" w:lineRule="auto"/>
        <w:rPr>
          <w:rFonts w:ascii="Times New Roman" w:hAnsi="Times New Roman" w:cs="Times New Roman" w:hint="cs"/>
          <w:color w:val="000000"/>
          <w:sz w:val="24"/>
          <w:szCs w:val="24"/>
        </w:rPr>
      </w:pPr>
      <w:r w:rsidRPr="000D2AE1">
        <w:rPr>
          <w:rFonts w:asciiTheme="majorBidi" w:hAnsiTheme="majorBidi" w:cstheme="majorBidi"/>
          <w:color w:val="000000"/>
          <w:sz w:val="24"/>
          <w:szCs w:val="24"/>
        </w:rPr>
        <w:br/>
      </w:r>
      <w:proofErr w:type="spellStart"/>
      <w:r w:rsidR="006F3DDB" w:rsidRPr="006F3DDB">
        <w:rPr>
          <w:rFonts w:ascii="Times New Roman" w:hAnsi="Times New Roman" w:cs="Times New Roman" w:hint="cs"/>
          <w:color w:val="000000"/>
          <w:sz w:val="24"/>
          <w:szCs w:val="24"/>
        </w:rPr>
        <w:t>Konigstorfer</w:t>
      </w:r>
      <w:proofErr w:type="spellEnd"/>
      <w:r w:rsidR="006F3DDB" w:rsidRPr="006F3DDB">
        <w:rPr>
          <w:rFonts w:ascii="Times New Roman" w:hAnsi="Times New Roman" w:cs="Times New Roman" w:hint="cs"/>
          <w:color w:val="000000"/>
          <w:sz w:val="24"/>
          <w:szCs w:val="24"/>
        </w:rPr>
        <w:t xml:space="preserve"> and </w:t>
      </w:r>
      <w:proofErr w:type="spellStart"/>
      <w:r w:rsidR="006F3DDB" w:rsidRPr="006F3DDB">
        <w:rPr>
          <w:rFonts w:ascii="Times New Roman" w:hAnsi="Times New Roman" w:cs="Times New Roman" w:hint="cs"/>
          <w:color w:val="000000"/>
          <w:sz w:val="24"/>
          <w:szCs w:val="24"/>
        </w:rPr>
        <w:t>Thalmann</w:t>
      </w:r>
      <w:proofErr w:type="spellEnd"/>
      <w:r w:rsidR="006F3DDB" w:rsidRPr="006F3DDB">
        <w:rPr>
          <w:rFonts w:ascii="Times New Roman" w:hAnsi="Times New Roman" w:cs="Times New Roman" w:hint="cs"/>
          <w:color w:val="000000"/>
          <w:sz w:val="24"/>
          <w:szCs w:val="24"/>
        </w:rPr>
        <w:t xml:space="preserve"> (2020) investigate the use of AI in commercial banks from a behavioral perspective and show that AI creates new forms of bias and decision-making error, while reducing some traditional biases, indicating the need for continuous human supervision. </w:t>
      </w:r>
      <w:proofErr w:type="spellStart"/>
      <w:r w:rsidR="006F3DDB" w:rsidRPr="006F3DDB">
        <w:rPr>
          <w:rFonts w:ascii="Times New Roman" w:hAnsi="Times New Roman" w:cs="Times New Roman" w:hint="cs"/>
          <w:color w:val="000000"/>
          <w:sz w:val="24"/>
          <w:szCs w:val="24"/>
        </w:rPr>
        <w:t>Belanche</w:t>
      </w:r>
      <w:proofErr w:type="spellEnd"/>
      <w:r w:rsidR="006F3DDB" w:rsidRPr="006F3DDB">
        <w:rPr>
          <w:rFonts w:ascii="Times New Roman" w:hAnsi="Times New Roman" w:cs="Times New Roman" w:hint="cs"/>
          <w:color w:val="000000"/>
          <w:sz w:val="24"/>
          <w:szCs w:val="24"/>
        </w:rPr>
        <w:t xml:space="preserve"> et al. (2019) studied the adoption of </w:t>
      </w:r>
      <w:proofErr w:type="spellStart"/>
      <w:r w:rsidR="006F3DDB" w:rsidRPr="006F3DDB">
        <w:rPr>
          <w:rFonts w:ascii="Times New Roman" w:hAnsi="Times New Roman" w:cs="Times New Roman" w:hint="cs"/>
          <w:color w:val="000000"/>
          <w:sz w:val="24"/>
          <w:szCs w:val="24"/>
        </w:rPr>
        <w:t>robo</w:t>
      </w:r>
      <w:proofErr w:type="spellEnd"/>
      <w:r w:rsidR="006F3DDB" w:rsidRPr="006F3DDB">
        <w:rPr>
          <w:rFonts w:ascii="Times New Roman" w:hAnsi="Times New Roman" w:cs="Times New Roman" w:hint="cs"/>
          <w:color w:val="000000"/>
          <w:sz w:val="24"/>
          <w:szCs w:val="24"/>
        </w:rPr>
        <w:t xml:space="preserve">-advisors by bank clients and found perceived utility, attitudes toward technology and subjective norms to be significant predictors of adoption intentions and perceived risk as a barrier. </w:t>
      </w:r>
      <w:proofErr w:type="spellStart"/>
      <w:r w:rsidR="006F3DDB" w:rsidRPr="006F3DDB">
        <w:rPr>
          <w:rFonts w:ascii="Times New Roman" w:hAnsi="Times New Roman" w:cs="Times New Roman" w:hint="cs"/>
          <w:color w:val="000000"/>
          <w:sz w:val="24"/>
          <w:szCs w:val="24"/>
        </w:rPr>
        <w:t>Alsheibani</w:t>
      </w:r>
      <w:proofErr w:type="spellEnd"/>
      <w:r w:rsidR="006F3DDB" w:rsidRPr="006F3DDB">
        <w:rPr>
          <w:rFonts w:ascii="Times New Roman" w:hAnsi="Times New Roman" w:cs="Times New Roman" w:hint="cs"/>
          <w:color w:val="000000"/>
          <w:sz w:val="24"/>
          <w:szCs w:val="24"/>
        </w:rPr>
        <w:t xml:space="preserve"> et al. (2020) discuss the competitive landscape for AI adoption across industries, arguing that early movers gained long-lasting strategic advantages, highlighting the significance of timely AI investment. A review of these previous studies shows three tendencies.</w:t>
      </w:r>
    </w:p>
    <w:p w14:paraId="30DA417C"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t xml:space="preserve">A review of these previous investigations reveals three tendencies. The literature mainly agrees on the beneficial association between AI adoption and different performance outcomes. First, Second, the direction and strength of the link vary considerably among performance measures – a </w:t>
      </w:r>
      <w:r w:rsidRPr="000D2AE1">
        <w:rPr>
          <w:rFonts w:asciiTheme="majorBidi" w:hAnsiTheme="majorBidi" w:cstheme="majorBidi"/>
          <w:color w:val="000000"/>
          <w:sz w:val="24"/>
          <w:szCs w:val="24"/>
        </w:rPr>
        <w:lastRenderedPageBreak/>
        <w:t>multidimensional analysis is therefore needed. Third, there is insufficient focus to the Saudi banking context in previous studies, regardless of the fact that Vision 2030 has made this an essential study setting.</w:t>
      </w:r>
    </w:p>
    <w:p w14:paraId="400F04FE" w14:textId="77777777" w:rsidR="000D2AE1" w:rsidRDefault="000D2AE1" w:rsidP="000D2AE1">
      <w:pPr>
        <w:spacing w:line="360" w:lineRule="auto"/>
        <w:rPr>
          <w:rFonts w:asciiTheme="majorBidi" w:hAnsiTheme="majorBidi" w:cstheme="majorBidi"/>
          <w:color w:val="000000"/>
          <w:sz w:val="24"/>
          <w:szCs w:val="24"/>
        </w:rPr>
      </w:pPr>
    </w:p>
    <w:p w14:paraId="7061453B" w14:textId="77777777" w:rsidR="000041DD" w:rsidRPr="000D2AE1" w:rsidRDefault="000041DD" w:rsidP="000D2AE1">
      <w:pPr>
        <w:spacing w:line="360" w:lineRule="auto"/>
        <w:rPr>
          <w:rFonts w:asciiTheme="majorBidi" w:hAnsiTheme="majorBidi" w:cstheme="majorBidi"/>
          <w:color w:val="000000"/>
          <w:sz w:val="24"/>
          <w:szCs w:val="24"/>
        </w:rPr>
      </w:pPr>
    </w:p>
    <w:p w14:paraId="1B3F610A" w14:textId="77777777" w:rsidR="000D2AE1" w:rsidRPr="000D2AE1" w:rsidRDefault="000D2AE1" w:rsidP="000D2AE1">
      <w:pPr>
        <w:pStyle w:val="BodyText"/>
        <w:spacing w:before="28"/>
        <w:rPr>
          <w:rFonts w:asciiTheme="majorBidi" w:hAnsiTheme="majorBidi" w:cstheme="majorBidi"/>
        </w:rPr>
      </w:pPr>
    </w:p>
    <w:p w14:paraId="697A6B29" w14:textId="77777777" w:rsidR="000D2AE1" w:rsidRPr="000D2AE1" w:rsidRDefault="000D2AE1" w:rsidP="000D2AE1">
      <w:pPr>
        <w:pStyle w:val="Heading7"/>
        <w:rPr>
          <w:rFonts w:asciiTheme="majorBidi" w:hAnsiTheme="majorBidi"/>
          <w:i w:val="0"/>
          <w:iCs w:val="0"/>
          <w:color w:val="000000" w:themeColor="text1"/>
        </w:rPr>
      </w:pPr>
      <w:r w:rsidRPr="000D2AE1">
        <w:rPr>
          <w:rFonts w:asciiTheme="majorBidi" w:hAnsiTheme="majorBidi"/>
          <w:i w:val="0"/>
          <w:iCs w:val="0"/>
          <w:color w:val="000000" w:themeColor="text1"/>
        </w:rPr>
        <w:t>Table</w:t>
      </w:r>
      <w:r w:rsidRPr="000D2AE1">
        <w:rPr>
          <w:rFonts w:asciiTheme="majorBidi" w:hAnsiTheme="majorBidi"/>
          <w:i w:val="0"/>
          <w:iCs w:val="0"/>
          <w:color w:val="000000" w:themeColor="text1"/>
          <w:spacing w:val="-13"/>
        </w:rPr>
        <w:t xml:space="preserve"> </w:t>
      </w:r>
      <w:r w:rsidRPr="000D2AE1">
        <w:rPr>
          <w:rFonts w:asciiTheme="majorBidi" w:hAnsiTheme="majorBidi"/>
          <w:i w:val="0"/>
          <w:iCs w:val="0"/>
          <w:color w:val="000000" w:themeColor="text1"/>
        </w:rPr>
        <w:t>2.1:</w:t>
      </w:r>
      <w:r w:rsidRPr="000D2AE1">
        <w:rPr>
          <w:rFonts w:asciiTheme="majorBidi" w:hAnsiTheme="majorBidi"/>
          <w:i w:val="0"/>
          <w:iCs w:val="0"/>
          <w:color w:val="000000" w:themeColor="text1"/>
          <w:spacing w:val="-7"/>
        </w:rPr>
        <w:t xml:space="preserve"> </w:t>
      </w:r>
      <w:r w:rsidRPr="000D2AE1">
        <w:rPr>
          <w:rFonts w:asciiTheme="majorBidi" w:hAnsiTheme="majorBidi"/>
          <w:i w:val="0"/>
          <w:iCs w:val="0"/>
          <w:color w:val="000000" w:themeColor="text1"/>
        </w:rPr>
        <w:t>Summary</w:t>
      </w:r>
      <w:r w:rsidRPr="000D2AE1">
        <w:rPr>
          <w:rFonts w:asciiTheme="majorBidi" w:hAnsiTheme="majorBidi"/>
          <w:i w:val="0"/>
          <w:iCs w:val="0"/>
          <w:color w:val="000000" w:themeColor="text1"/>
          <w:spacing w:val="-7"/>
        </w:rPr>
        <w:t xml:space="preserve"> </w:t>
      </w:r>
      <w:r w:rsidRPr="000D2AE1">
        <w:rPr>
          <w:rFonts w:asciiTheme="majorBidi" w:hAnsiTheme="majorBidi"/>
          <w:i w:val="0"/>
          <w:iCs w:val="0"/>
          <w:color w:val="000000" w:themeColor="text1"/>
        </w:rPr>
        <w:t>of</w:t>
      </w:r>
      <w:r w:rsidRPr="000D2AE1">
        <w:rPr>
          <w:rFonts w:asciiTheme="majorBidi" w:hAnsiTheme="majorBidi"/>
          <w:i w:val="0"/>
          <w:iCs w:val="0"/>
          <w:color w:val="000000" w:themeColor="text1"/>
          <w:spacing w:val="-6"/>
        </w:rPr>
        <w:t xml:space="preserve"> </w:t>
      </w:r>
      <w:r w:rsidRPr="000D2AE1">
        <w:rPr>
          <w:rFonts w:asciiTheme="majorBidi" w:hAnsiTheme="majorBidi"/>
          <w:i w:val="0"/>
          <w:iCs w:val="0"/>
          <w:color w:val="000000" w:themeColor="text1"/>
        </w:rPr>
        <w:t>Prior</w:t>
      </w:r>
      <w:r w:rsidRPr="000D2AE1">
        <w:rPr>
          <w:rFonts w:asciiTheme="majorBidi" w:hAnsiTheme="majorBidi"/>
          <w:i w:val="0"/>
          <w:iCs w:val="0"/>
          <w:color w:val="000000" w:themeColor="text1"/>
          <w:spacing w:val="-11"/>
        </w:rPr>
        <w:t xml:space="preserve"> </w:t>
      </w:r>
      <w:r w:rsidRPr="000D2AE1">
        <w:rPr>
          <w:rFonts w:asciiTheme="majorBidi" w:hAnsiTheme="majorBidi"/>
          <w:i w:val="0"/>
          <w:iCs w:val="0"/>
          <w:color w:val="000000" w:themeColor="text1"/>
        </w:rPr>
        <w:t>Management</w:t>
      </w:r>
      <w:r w:rsidRPr="000D2AE1">
        <w:rPr>
          <w:rFonts w:asciiTheme="majorBidi" w:hAnsiTheme="majorBidi"/>
          <w:i w:val="0"/>
          <w:iCs w:val="0"/>
          <w:color w:val="000000" w:themeColor="text1"/>
          <w:spacing w:val="-6"/>
        </w:rPr>
        <w:t xml:space="preserve"> </w:t>
      </w:r>
      <w:r w:rsidRPr="000D2AE1">
        <w:rPr>
          <w:rFonts w:asciiTheme="majorBidi" w:hAnsiTheme="majorBidi"/>
          <w:i w:val="0"/>
          <w:iCs w:val="0"/>
          <w:color w:val="000000" w:themeColor="text1"/>
        </w:rPr>
        <w:t>Studies</w:t>
      </w:r>
      <w:r w:rsidRPr="000D2AE1">
        <w:rPr>
          <w:rFonts w:asciiTheme="majorBidi" w:hAnsiTheme="majorBidi"/>
          <w:i w:val="0"/>
          <w:iCs w:val="0"/>
          <w:color w:val="000000" w:themeColor="text1"/>
          <w:spacing w:val="-7"/>
        </w:rPr>
        <w:t xml:space="preserve"> </w:t>
      </w:r>
      <w:r w:rsidRPr="000D2AE1">
        <w:rPr>
          <w:rFonts w:asciiTheme="majorBidi" w:hAnsiTheme="majorBidi"/>
          <w:i w:val="0"/>
          <w:iCs w:val="0"/>
          <w:color w:val="000000" w:themeColor="text1"/>
        </w:rPr>
        <w:t>on</w:t>
      </w:r>
      <w:r w:rsidRPr="000D2AE1">
        <w:rPr>
          <w:rFonts w:asciiTheme="majorBidi" w:hAnsiTheme="majorBidi"/>
          <w:i w:val="0"/>
          <w:iCs w:val="0"/>
          <w:color w:val="000000" w:themeColor="text1"/>
          <w:spacing w:val="-14"/>
        </w:rPr>
        <w:t xml:space="preserve"> </w:t>
      </w:r>
      <w:r w:rsidRPr="000D2AE1">
        <w:rPr>
          <w:rFonts w:asciiTheme="majorBidi" w:hAnsiTheme="majorBidi"/>
          <w:i w:val="0"/>
          <w:iCs w:val="0"/>
          <w:color w:val="000000" w:themeColor="text1"/>
        </w:rPr>
        <w:t>AI</w:t>
      </w:r>
      <w:r w:rsidRPr="000D2AE1">
        <w:rPr>
          <w:rFonts w:asciiTheme="majorBidi" w:hAnsiTheme="majorBidi"/>
          <w:i w:val="0"/>
          <w:iCs w:val="0"/>
          <w:color w:val="000000" w:themeColor="text1"/>
          <w:spacing w:val="-7"/>
        </w:rPr>
        <w:t xml:space="preserve"> </w:t>
      </w:r>
      <w:r w:rsidRPr="000D2AE1">
        <w:rPr>
          <w:rFonts w:asciiTheme="majorBidi" w:hAnsiTheme="majorBidi"/>
          <w:i w:val="0"/>
          <w:iCs w:val="0"/>
          <w:color w:val="000000" w:themeColor="text1"/>
        </w:rPr>
        <w:t>in</w:t>
      </w:r>
      <w:r w:rsidRPr="000D2AE1">
        <w:rPr>
          <w:rFonts w:asciiTheme="majorBidi" w:hAnsiTheme="majorBidi"/>
          <w:i w:val="0"/>
          <w:iCs w:val="0"/>
          <w:color w:val="000000" w:themeColor="text1"/>
          <w:spacing w:val="-6"/>
        </w:rPr>
        <w:t xml:space="preserve"> </w:t>
      </w:r>
      <w:r w:rsidRPr="000D2AE1">
        <w:rPr>
          <w:rFonts w:asciiTheme="majorBidi" w:hAnsiTheme="majorBidi"/>
          <w:i w:val="0"/>
          <w:iCs w:val="0"/>
          <w:color w:val="000000" w:themeColor="text1"/>
          <w:spacing w:val="-2"/>
        </w:rPr>
        <w:t>Banking</w:t>
      </w:r>
    </w:p>
    <w:tbl>
      <w:tblPr>
        <w:tblW w:w="0" w:type="auto"/>
        <w:tblInd w:w="32" w:type="dxa"/>
        <w:tblBorders>
          <w:top w:val="single" w:sz="4" w:space="0" w:color="8FAADC"/>
          <w:left w:val="single" w:sz="4" w:space="0" w:color="8FAADC"/>
          <w:bottom w:val="single" w:sz="4" w:space="0" w:color="8FAADC"/>
          <w:right w:val="single" w:sz="4" w:space="0" w:color="8FAADC"/>
          <w:insideH w:val="single" w:sz="4" w:space="0" w:color="8FAADC"/>
          <w:insideV w:val="single" w:sz="4" w:space="0" w:color="8FAADC"/>
        </w:tblBorders>
        <w:tblLayout w:type="fixed"/>
        <w:tblCellMar>
          <w:left w:w="0" w:type="dxa"/>
          <w:right w:w="0" w:type="dxa"/>
        </w:tblCellMar>
        <w:tblLook w:val="01E0" w:firstRow="1" w:lastRow="1" w:firstColumn="1" w:lastColumn="1" w:noHBand="0" w:noVBand="0"/>
      </w:tblPr>
      <w:tblGrid>
        <w:gridCol w:w="1901"/>
        <w:gridCol w:w="1699"/>
        <w:gridCol w:w="1901"/>
        <w:gridCol w:w="3571"/>
      </w:tblGrid>
      <w:tr w:rsidR="000D2AE1" w:rsidRPr="000D2AE1" w14:paraId="12B50F1B" w14:textId="77777777" w:rsidTr="00246202">
        <w:trPr>
          <w:trHeight w:val="561"/>
        </w:trPr>
        <w:tc>
          <w:tcPr>
            <w:tcW w:w="1901" w:type="dxa"/>
            <w:shd w:val="clear" w:color="auto" w:fill="1F3864"/>
          </w:tcPr>
          <w:p w14:paraId="186DFC62" w14:textId="77777777" w:rsidR="000D2AE1" w:rsidRPr="000D2AE1" w:rsidRDefault="000D2AE1" w:rsidP="00246202">
            <w:pPr>
              <w:pStyle w:val="TableParagraph"/>
              <w:spacing w:before="63"/>
              <w:ind w:left="337"/>
              <w:rPr>
                <w:rFonts w:asciiTheme="majorBidi" w:hAnsiTheme="majorBidi" w:cstheme="majorBidi"/>
                <w:b/>
                <w:sz w:val="21"/>
              </w:rPr>
            </w:pPr>
            <w:r w:rsidRPr="000D2AE1">
              <w:rPr>
                <w:rFonts w:asciiTheme="majorBidi" w:hAnsiTheme="majorBidi" w:cstheme="majorBidi"/>
                <w:b/>
                <w:color w:val="FFFFFF"/>
                <w:sz w:val="21"/>
              </w:rPr>
              <w:t>Author</w:t>
            </w:r>
            <w:r w:rsidRPr="000D2AE1">
              <w:rPr>
                <w:rFonts w:asciiTheme="majorBidi" w:hAnsiTheme="majorBidi" w:cstheme="majorBidi"/>
                <w:b/>
                <w:color w:val="FFFFFF"/>
                <w:spacing w:val="-10"/>
                <w:sz w:val="21"/>
              </w:rPr>
              <w:t xml:space="preserve"> </w:t>
            </w:r>
            <w:r w:rsidRPr="000D2AE1">
              <w:rPr>
                <w:rFonts w:asciiTheme="majorBidi" w:hAnsiTheme="majorBidi" w:cstheme="majorBidi"/>
                <w:b/>
                <w:color w:val="FFFFFF"/>
                <w:sz w:val="21"/>
              </w:rPr>
              <w:t>/</w:t>
            </w:r>
            <w:r w:rsidRPr="000D2AE1">
              <w:rPr>
                <w:rFonts w:asciiTheme="majorBidi" w:hAnsiTheme="majorBidi" w:cstheme="majorBidi"/>
                <w:b/>
                <w:color w:val="FFFFFF"/>
                <w:spacing w:val="-11"/>
                <w:sz w:val="21"/>
              </w:rPr>
              <w:t xml:space="preserve"> </w:t>
            </w:r>
            <w:r w:rsidRPr="000D2AE1">
              <w:rPr>
                <w:rFonts w:asciiTheme="majorBidi" w:hAnsiTheme="majorBidi" w:cstheme="majorBidi"/>
                <w:b/>
                <w:color w:val="FFFFFF"/>
                <w:spacing w:val="-4"/>
                <w:sz w:val="21"/>
              </w:rPr>
              <w:t>Year</w:t>
            </w:r>
          </w:p>
        </w:tc>
        <w:tc>
          <w:tcPr>
            <w:tcW w:w="1699" w:type="dxa"/>
            <w:shd w:val="clear" w:color="auto" w:fill="1F3864"/>
          </w:tcPr>
          <w:p w14:paraId="4E77F213" w14:textId="77777777" w:rsidR="000D2AE1" w:rsidRPr="000D2AE1" w:rsidRDefault="000D2AE1" w:rsidP="00246202">
            <w:pPr>
              <w:pStyle w:val="TableParagraph"/>
              <w:spacing w:before="63"/>
              <w:ind w:left="494"/>
              <w:rPr>
                <w:rFonts w:asciiTheme="majorBidi" w:hAnsiTheme="majorBidi" w:cstheme="majorBidi"/>
                <w:b/>
                <w:sz w:val="21"/>
              </w:rPr>
            </w:pPr>
            <w:r w:rsidRPr="000D2AE1">
              <w:rPr>
                <w:rFonts w:asciiTheme="majorBidi" w:hAnsiTheme="majorBidi" w:cstheme="majorBidi"/>
                <w:b/>
                <w:color w:val="FFFFFF"/>
                <w:spacing w:val="-2"/>
                <w:sz w:val="21"/>
              </w:rPr>
              <w:t>Context</w:t>
            </w:r>
          </w:p>
        </w:tc>
        <w:tc>
          <w:tcPr>
            <w:tcW w:w="1901" w:type="dxa"/>
            <w:shd w:val="clear" w:color="auto" w:fill="1F3864"/>
          </w:tcPr>
          <w:p w14:paraId="6A8E9EC3" w14:textId="77777777" w:rsidR="000D2AE1" w:rsidRPr="000D2AE1" w:rsidRDefault="000D2AE1" w:rsidP="00246202">
            <w:pPr>
              <w:pStyle w:val="TableParagraph"/>
              <w:spacing w:before="63"/>
              <w:ind w:left="361"/>
              <w:rPr>
                <w:rFonts w:asciiTheme="majorBidi" w:hAnsiTheme="majorBidi" w:cstheme="majorBidi"/>
                <w:b/>
                <w:sz w:val="21"/>
              </w:rPr>
            </w:pPr>
            <w:r w:rsidRPr="000D2AE1">
              <w:rPr>
                <w:rFonts w:asciiTheme="majorBidi" w:hAnsiTheme="majorBidi" w:cstheme="majorBidi"/>
                <w:b/>
                <w:color w:val="FFFFFF"/>
                <w:spacing w:val="-2"/>
                <w:sz w:val="21"/>
              </w:rPr>
              <w:t>Methodology</w:t>
            </w:r>
          </w:p>
        </w:tc>
        <w:tc>
          <w:tcPr>
            <w:tcW w:w="3571" w:type="dxa"/>
            <w:shd w:val="clear" w:color="auto" w:fill="1F3864"/>
          </w:tcPr>
          <w:p w14:paraId="7C6D9333" w14:textId="77777777" w:rsidR="000D2AE1" w:rsidRPr="000D2AE1" w:rsidRDefault="000D2AE1" w:rsidP="00246202">
            <w:pPr>
              <w:pStyle w:val="TableParagraph"/>
              <w:spacing w:before="63"/>
              <w:ind w:left="1129"/>
              <w:rPr>
                <w:rFonts w:asciiTheme="majorBidi" w:hAnsiTheme="majorBidi" w:cstheme="majorBidi"/>
                <w:b/>
                <w:sz w:val="21"/>
              </w:rPr>
            </w:pPr>
            <w:r w:rsidRPr="000D2AE1">
              <w:rPr>
                <w:rFonts w:asciiTheme="majorBidi" w:hAnsiTheme="majorBidi" w:cstheme="majorBidi"/>
                <w:b/>
                <w:color w:val="FFFFFF"/>
                <w:sz w:val="21"/>
              </w:rPr>
              <w:t>Main</w:t>
            </w:r>
            <w:r w:rsidRPr="000D2AE1">
              <w:rPr>
                <w:rFonts w:asciiTheme="majorBidi" w:hAnsiTheme="majorBidi" w:cstheme="majorBidi"/>
                <w:b/>
                <w:color w:val="FFFFFF"/>
                <w:spacing w:val="-5"/>
                <w:sz w:val="21"/>
              </w:rPr>
              <w:t xml:space="preserve"> </w:t>
            </w:r>
            <w:r w:rsidRPr="000D2AE1">
              <w:rPr>
                <w:rFonts w:asciiTheme="majorBidi" w:hAnsiTheme="majorBidi" w:cstheme="majorBidi"/>
                <w:b/>
                <w:color w:val="FFFFFF"/>
                <w:spacing w:val="-2"/>
                <w:sz w:val="21"/>
              </w:rPr>
              <w:t>Findings</w:t>
            </w:r>
          </w:p>
        </w:tc>
      </w:tr>
      <w:tr w:rsidR="000D2AE1" w:rsidRPr="000D2AE1" w14:paraId="51ABC7C9" w14:textId="77777777" w:rsidTr="00246202">
        <w:trPr>
          <w:trHeight w:val="806"/>
        </w:trPr>
        <w:tc>
          <w:tcPr>
            <w:tcW w:w="1901" w:type="dxa"/>
          </w:tcPr>
          <w:p w14:paraId="471130C9"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z w:val="20"/>
              </w:rPr>
              <w:t>Buchanan</w:t>
            </w:r>
            <w:r w:rsidRPr="000D2AE1">
              <w:rPr>
                <w:rFonts w:asciiTheme="majorBidi" w:hAnsiTheme="majorBidi" w:cstheme="majorBidi"/>
                <w:spacing w:val="-9"/>
                <w:sz w:val="20"/>
              </w:rPr>
              <w:t xml:space="preserve"> </w:t>
            </w:r>
            <w:r w:rsidRPr="000D2AE1">
              <w:rPr>
                <w:rFonts w:asciiTheme="majorBidi" w:hAnsiTheme="majorBidi" w:cstheme="majorBidi"/>
                <w:spacing w:val="-2"/>
                <w:sz w:val="20"/>
              </w:rPr>
              <w:t>(2019)</w:t>
            </w:r>
          </w:p>
        </w:tc>
        <w:tc>
          <w:tcPr>
            <w:tcW w:w="1699" w:type="dxa"/>
          </w:tcPr>
          <w:p w14:paraId="79896EC6"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z w:val="20"/>
              </w:rPr>
              <w:t>Global</w:t>
            </w:r>
            <w:r w:rsidRPr="000D2AE1">
              <w:rPr>
                <w:rFonts w:asciiTheme="majorBidi" w:hAnsiTheme="majorBidi" w:cstheme="majorBidi"/>
                <w:spacing w:val="-7"/>
                <w:sz w:val="20"/>
              </w:rPr>
              <w:t xml:space="preserve"> </w:t>
            </w:r>
            <w:r w:rsidRPr="000D2AE1">
              <w:rPr>
                <w:rFonts w:asciiTheme="majorBidi" w:hAnsiTheme="majorBidi" w:cstheme="majorBidi"/>
                <w:spacing w:val="-2"/>
                <w:sz w:val="20"/>
              </w:rPr>
              <w:t>banking</w:t>
            </w:r>
          </w:p>
        </w:tc>
        <w:tc>
          <w:tcPr>
            <w:tcW w:w="1901" w:type="dxa"/>
          </w:tcPr>
          <w:p w14:paraId="286BA761"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z w:val="20"/>
              </w:rPr>
              <w:t>Conceptual</w:t>
            </w:r>
            <w:r w:rsidRPr="000D2AE1">
              <w:rPr>
                <w:rFonts w:asciiTheme="majorBidi" w:hAnsiTheme="majorBidi" w:cstheme="majorBidi"/>
                <w:spacing w:val="-11"/>
                <w:sz w:val="20"/>
              </w:rPr>
              <w:t xml:space="preserve"> </w:t>
            </w:r>
            <w:r w:rsidRPr="000D2AE1">
              <w:rPr>
                <w:rFonts w:asciiTheme="majorBidi" w:hAnsiTheme="majorBidi" w:cstheme="majorBidi"/>
                <w:spacing w:val="-2"/>
                <w:sz w:val="20"/>
              </w:rPr>
              <w:t>analysis</w:t>
            </w:r>
          </w:p>
        </w:tc>
        <w:tc>
          <w:tcPr>
            <w:tcW w:w="3571" w:type="dxa"/>
          </w:tcPr>
          <w:p w14:paraId="4500FB0C" w14:textId="77777777" w:rsidR="000D2AE1" w:rsidRPr="000D2AE1" w:rsidRDefault="000D2AE1" w:rsidP="00246202">
            <w:pPr>
              <w:pStyle w:val="TableParagraph"/>
              <w:spacing w:line="276" w:lineRule="auto"/>
              <w:rPr>
                <w:rFonts w:asciiTheme="majorBidi" w:hAnsiTheme="majorBidi" w:cstheme="majorBidi"/>
                <w:sz w:val="20"/>
              </w:rPr>
            </w:pPr>
            <w:r w:rsidRPr="000D2AE1">
              <w:rPr>
                <w:rFonts w:asciiTheme="majorBidi" w:hAnsiTheme="majorBidi" w:cstheme="majorBidi"/>
                <w:sz w:val="20"/>
              </w:rPr>
              <w:t>AI</w:t>
            </w:r>
            <w:r w:rsidRPr="000D2AE1">
              <w:rPr>
                <w:rFonts w:asciiTheme="majorBidi" w:hAnsiTheme="majorBidi" w:cstheme="majorBidi"/>
                <w:spacing w:val="-8"/>
                <w:sz w:val="20"/>
              </w:rPr>
              <w:t xml:space="preserve"> </w:t>
            </w:r>
            <w:r w:rsidRPr="000D2AE1">
              <w:rPr>
                <w:rFonts w:asciiTheme="majorBidi" w:hAnsiTheme="majorBidi" w:cstheme="majorBidi"/>
                <w:sz w:val="20"/>
              </w:rPr>
              <w:t>has</w:t>
            </w:r>
            <w:r w:rsidRPr="000D2AE1">
              <w:rPr>
                <w:rFonts w:asciiTheme="majorBidi" w:hAnsiTheme="majorBidi" w:cstheme="majorBidi"/>
                <w:spacing w:val="-8"/>
                <w:sz w:val="20"/>
              </w:rPr>
              <w:t xml:space="preserve"> </w:t>
            </w:r>
            <w:r w:rsidRPr="000D2AE1">
              <w:rPr>
                <w:rFonts w:asciiTheme="majorBidi" w:hAnsiTheme="majorBidi" w:cstheme="majorBidi"/>
                <w:sz w:val="20"/>
              </w:rPr>
              <w:t>transformative</w:t>
            </w:r>
            <w:r w:rsidRPr="000D2AE1">
              <w:rPr>
                <w:rFonts w:asciiTheme="majorBidi" w:hAnsiTheme="majorBidi" w:cstheme="majorBidi"/>
                <w:spacing w:val="-8"/>
                <w:sz w:val="20"/>
              </w:rPr>
              <w:t xml:space="preserve"> </w:t>
            </w:r>
            <w:r w:rsidRPr="000D2AE1">
              <w:rPr>
                <w:rFonts w:asciiTheme="majorBidi" w:hAnsiTheme="majorBidi" w:cstheme="majorBidi"/>
                <w:sz w:val="20"/>
              </w:rPr>
              <w:t>potential</w:t>
            </w:r>
            <w:r w:rsidRPr="000D2AE1">
              <w:rPr>
                <w:rFonts w:asciiTheme="majorBidi" w:hAnsiTheme="majorBidi" w:cstheme="majorBidi"/>
                <w:spacing w:val="-8"/>
                <w:sz w:val="20"/>
              </w:rPr>
              <w:t xml:space="preserve"> </w:t>
            </w:r>
            <w:r w:rsidRPr="000D2AE1">
              <w:rPr>
                <w:rFonts w:asciiTheme="majorBidi" w:hAnsiTheme="majorBidi" w:cstheme="majorBidi"/>
                <w:sz w:val="20"/>
              </w:rPr>
              <w:t>across</w:t>
            </w:r>
            <w:r w:rsidRPr="000D2AE1">
              <w:rPr>
                <w:rFonts w:asciiTheme="majorBidi" w:hAnsiTheme="majorBidi" w:cstheme="majorBidi"/>
                <w:spacing w:val="-8"/>
                <w:sz w:val="20"/>
              </w:rPr>
              <w:t xml:space="preserve"> </w:t>
            </w:r>
            <w:r w:rsidRPr="000D2AE1">
              <w:rPr>
                <w:rFonts w:asciiTheme="majorBidi" w:hAnsiTheme="majorBidi" w:cstheme="majorBidi"/>
                <w:sz w:val="20"/>
              </w:rPr>
              <w:t>the banking value chain</w:t>
            </w:r>
          </w:p>
        </w:tc>
      </w:tr>
      <w:tr w:rsidR="000D2AE1" w:rsidRPr="000D2AE1" w14:paraId="662B00F7" w14:textId="77777777" w:rsidTr="00246202">
        <w:trPr>
          <w:trHeight w:val="810"/>
        </w:trPr>
        <w:tc>
          <w:tcPr>
            <w:tcW w:w="1901" w:type="dxa"/>
            <w:shd w:val="clear" w:color="auto" w:fill="EAF1FB"/>
          </w:tcPr>
          <w:p w14:paraId="461C4E59" w14:textId="77777777" w:rsidR="000D2AE1" w:rsidRPr="000D2AE1" w:rsidRDefault="000D2AE1" w:rsidP="00246202">
            <w:pPr>
              <w:pStyle w:val="TableParagraph"/>
              <w:spacing w:before="62" w:line="276" w:lineRule="auto"/>
              <w:ind w:right="379"/>
              <w:rPr>
                <w:rFonts w:asciiTheme="majorBidi" w:hAnsiTheme="majorBidi" w:cstheme="majorBidi"/>
                <w:sz w:val="20"/>
              </w:rPr>
            </w:pPr>
            <w:proofErr w:type="spellStart"/>
            <w:r w:rsidRPr="000D2AE1">
              <w:rPr>
                <w:rFonts w:asciiTheme="majorBidi" w:hAnsiTheme="majorBidi" w:cstheme="majorBidi"/>
                <w:sz w:val="20"/>
              </w:rPr>
              <w:t>Belanche</w:t>
            </w:r>
            <w:proofErr w:type="spellEnd"/>
            <w:r w:rsidRPr="000D2AE1">
              <w:rPr>
                <w:rFonts w:asciiTheme="majorBidi" w:hAnsiTheme="majorBidi" w:cstheme="majorBidi"/>
                <w:spacing w:val="-13"/>
                <w:sz w:val="20"/>
              </w:rPr>
              <w:t xml:space="preserve"> </w:t>
            </w:r>
            <w:r w:rsidRPr="000D2AE1">
              <w:rPr>
                <w:rFonts w:asciiTheme="majorBidi" w:hAnsiTheme="majorBidi" w:cstheme="majorBidi"/>
                <w:sz w:val="20"/>
              </w:rPr>
              <w:t>et</w:t>
            </w:r>
            <w:r w:rsidRPr="000D2AE1">
              <w:rPr>
                <w:rFonts w:asciiTheme="majorBidi" w:hAnsiTheme="majorBidi" w:cstheme="majorBidi"/>
                <w:spacing w:val="-12"/>
                <w:sz w:val="20"/>
              </w:rPr>
              <w:t xml:space="preserve"> </w:t>
            </w:r>
            <w:r w:rsidRPr="000D2AE1">
              <w:rPr>
                <w:rFonts w:asciiTheme="majorBidi" w:hAnsiTheme="majorBidi" w:cstheme="majorBidi"/>
                <w:sz w:val="20"/>
              </w:rPr>
              <w:t xml:space="preserve">al. </w:t>
            </w:r>
            <w:r w:rsidRPr="000D2AE1">
              <w:rPr>
                <w:rFonts w:asciiTheme="majorBidi" w:hAnsiTheme="majorBidi" w:cstheme="majorBidi"/>
                <w:spacing w:val="-2"/>
                <w:sz w:val="20"/>
              </w:rPr>
              <w:t>(2019)</w:t>
            </w:r>
          </w:p>
        </w:tc>
        <w:tc>
          <w:tcPr>
            <w:tcW w:w="1699" w:type="dxa"/>
            <w:shd w:val="clear" w:color="auto" w:fill="EAF1FB"/>
          </w:tcPr>
          <w:p w14:paraId="46F68E7D"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pacing w:val="-2"/>
                <w:sz w:val="20"/>
              </w:rPr>
              <w:t>Robo-advisors</w:t>
            </w:r>
          </w:p>
        </w:tc>
        <w:tc>
          <w:tcPr>
            <w:tcW w:w="1901" w:type="dxa"/>
            <w:shd w:val="clear" w:color="auto" w:fill="EAF1FB"/>
          </w:tcPr>
          <w:p w14:paraId="7BC5294C" w14:textId="77777777" w:rsidR="000D2AE1" w:rsidRPr="000D2AE1" w:rsidRDefault="000D2AE1" w:rsidP="00246202">
            <w:pPr>
              <w:pStyle w:val="TableParagraph"/>
              <w:spacing w:before="62" w:line="276" w:lineRule="auto"/>
              <w:rPr>
                <w:rFonts w:asciiTheme="majorBidi" w:hAnsiTheme="majorBidi" w:cstheme="majorBidi"/>
                <w:sz w:val="20"/>
              </w:rPr>
            </w:pPr>
            <w:r w:rsidRPr="000D2AE1">
              <w:rPr>
                <w:rFonts w:asciiTheme="majorBidi" w:hAnsiTheme="majorBidi" w:cstheme="majorBidi"/>
                <w:spacing w:val="-4"/>
                <w:sz w:val="20"/>
              </w:rPr>
              <w:t>Survey,</w:t>
            </w:r>
            <w:r w:rsidRPr="000D2AE1">
              <w:rPr>
                <w:rFonts w:asciiTheme="majorBidi" w:hAnsiTheme="majorBidi" w:cstheme="majorBidi"/>
                <w:spacing w:val="-9"/>
                <w:sz w:val="20"/>
              </w:rPr>
              <w:t xml:space="preserve"> </w:t>
            </w:r>
            <w:r w:rsidRPr="000D2AE1">
              <w:rPr>
                <w:rFonts w:asciiTheme="majorBidi" w:hAnsiTheme="majorBidi" w:cstheme="majorBidi"/>
                <w:spacing w:val="-4"/>
                <w:sz w:val="20"/>
              </w:rPr>
              <w:t xml:space="preserve">TAM </w:t>
            </w:r>
            <w:r w:rsidRPr="000D2AE1">
              <w:rPr>
                <w:rFonts w:asciiTheme="majorBidi" w:hAnsiTheme="majorBidi" w:cstheme="majorBidi"/>
                <w:spacing w:val="-2"/>
                <w:sz w:val="20"/>
              </w:rPr>
              <w:t>extension</w:t>
            </w:r>
          </w:p>
        </w:tc>
        <w:tc>
          <w:tcPr>
            <w:tcW w:w="3571" w:type="dxa"/>
            <w:shd w:val="clear" w:color="auto" w:fill="EAF1FB"/>
          </w:tcPr>
          <w:p w14:paraId="55CE4B49" w14:textId="77777777" w:rsidR="000D2AE1" w:rsidRPr="000D2AE1" w:rsidRDefault="000D2AE1" w:rsidP="00246202">
            <w:pPr>
              <w:pStyle w:val="TableParagraph"/>
              <w:spacing w:before="62" w:line="276" w:lineRule="auto"/>
              <w:rPr>
                <w:rFonts w:asciiTheme="majorBidi" w:hAnsiTheme="majorBidi" w:cstheme="majorBidi"/>
                <w:sz w:val="20"/>
              </w:rPr>
            </w:pPr>
            <w:r w:rsidRPr="000D2AE1">
              <w:rPr>
                <w:rFonts w:asciiTheme="majorBidi" w:hAnsiTheme="majorBidi" w:cstheme="majorBidi"/>
                <w:sz w:val="20"/>
              </w:rPr>
              <w:t>Usefulness</w:t>
            </w:r>
            <w:r w:rsidRPr="000D2AE1">
              <w:rPr>
                <w:rFonts w:asciiTheme="majorBidi" w:hAnsiTheme="majorBidi" w:cstheme="majorBidi"/>
                <w:spacing w:val="-9"/>
                <w:sz w:val="20"/>
              </w:rPr>
              <w:t xml:space="preserve"> </w:t>
            </w:r>
            <w:r w:rsidRPr="000D2AE1">
              <w:rPr>
                <w:rFonts w:asciiTheme="majorBidi" w:hAnsiTheme="majorBidi" w:cstheme="majorBidi"/>
                <w:sz w:val="20"/>
              </w:rPr>
              <w:t>and</w:t>
            </w:r>
            <w:r w:rsidRPr="000D2AE1">
              <w:rPr>
                <w:rFonts w:asciiTheme="majorBidi" w:hAnsiTheme="majorBidi" w:cstheme="majorBidi"/>
                <w:spacing w:val="-9"/>
                <w:sz w:val="20"/>
              </w:rPr>
              <w:t xml:space="preserve"> </w:t>
            </w:r>
            <w:r w:rsidRPr="000D2AE1">
              <w:rPr>
                <w:rFonts w:asciiTheme="majorBidi" w:hAnsiTheme="majorBidi" w:cstheme="majorBidi"/>
                <w:sz w:val="20"/>
              </w:rPr>
              <w:t>attitudes</w:t>
            </w:r>
            <w:r w:rsidRPr="000D2AE1">
              <w:rPr>
                <w:rFonts w:asciiTheme="majorBidi" w:hAnsiTheme="majorBidi" w:cstheme="majorBidi"/>
                <w:spacing w:val="-9"/>
                <w:sz w:val="20"/>
              </w:rPr>
              <w:t xml:space="preserve"> </w:t>
            </w:r>
            <w:r w:rsidRPr="000D2AE1">
              <w:rPr>
                <w:rFonts w:asciiTheme="majorBidi" w:hAnsiTheme="majorBidi" w:cstheme="majorBidi"/>
                <w:sz w:val="20"/>
              </w:rPr>
              <w:t>drive</w:t>
            </w:r>
            <w:r w:rsidRPr="000D2AE1">
              <w:rPr>
                <w:rFonts w:asciiTheme="majorBidi" w:hAnsiTheme="majorBidi" w:cstheme="majorBidi"/>
                <w:spacing w:val="-9"/>
                <w:sz w:val="20"/>
              </w:rPr>
              <w:t xml:space="preserve"> </w:t>
            </w:r>
            <w:r w:rsidRPr="000D2AE1">
              <w:rPr>
                <w:rFonts w:asciiTheme="majorBidi" w:hAnsiTheme="majorBidi" w:cstheme="majorBidi"/>
                <w:sz w:val="20"/>
              </w:rPr>
              <w:t>adoption; perceived risk is a barrier</w:t>
            </w:r>
          </w:p>
        </w:tc>
      </w:tr>
      <w:tr w:rsidR="000D2AE1" w:rsidRPr="000D2AE1" w14:paraId="19DDE9A8" w14:textId="77777777" w:rsidTr="00246202">
        <w:trPr>
          <w:trHeight w:val="805"/>
        </w:trPr>
        <w:tc>
          <w:tcPr>
            <w:tcW w:w="1901" w:type="dxa"/>
          </w:tcPr>
          <w:p w14:paraId="1AD0EE95"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z w:val="20"/>
              </w:rPr>
              <w:t>Mhlanga</w:t>
            </w:r>
            <w:r w:rsidRPr="000D2AE1">
              <w:rPr>
                <w:rFonts w:asciiTheme="majorBidi" w:hAnsiTheme="majorBidi" w:cstheme="majorBidi"/>
                <w:spacing w:val="-8"/>
                <w:sz w:val="20"/>
              </w:rPr>
              <w:t xml:space="preserve"> </w:t>
            </w:r>
            <w:r w:rsidRPr="000D2AE1">
              <w:rPr>
                <w:rFonts w:asciiTheme="majorBidi" w:hAnsiTheme="majorBidi" w:cstheme="majorBidi"/>
                <w:spacing w:val="-2"/>
                <w:sz w:val="20"/>
              </w:rPr>
              <w:t>(2020)</w:t>
            </w:r>
          </w:p>
        </w:tc>
        <w:tc>
          <w:tcPr>
            <w:tcW w:w="1699" w:type="dxa"/>
          </w:tcPr>
          <w:p w14:paraId="5C5D7E5A"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pacing w:val="-2"/>
                <w:sz w:val="20"/>
              </w:rPr>
              <w:t>Emerging</w:t>
            </w:r>
            <w:r w:rsidRPr="000D2AE1">
              <w:rPr>
                <w:rFonts w:asciiTheme="majorBidi" w:hAnsiTheme="majorBidi" w:cstheme="majorBidi"/>
                <w:spacing w:val="3"/>
                <w:sz w:val="20"/>
              </w:rPr>
              <w:t xml:space="preserve"> </w:t>
            </w:r>
            <w:r w:rsidRPr="000D2AE1">
              <w:rPr>
                <w:rFonts w:asciiTheme="majorBidi" w:hAnsiTheme="majorBidi" w:cstheme="majorBidi"/>
                <w:spacing w:val="-2"/>
                <w:sz w:val="20"/>
              </w:rPr>
              <w:t>markets</w:t>
            </w:r>
          </w:p>
        </w:tc>
        <w:tc>
          <w:tcPr>
            <w:tcW w:w="1901" w:type="dxa"/>
          </w:tcPr>
          <w:p w14:paraId="09C533B1"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z w:val="20"/>
              </w:rPr>
              <w:t>Literature</w:t>
            </w:r>
            <w:r w:rsidRPr="000D2AE1">
              <w:rPr>
                <w:rFonts w:asciiTheme="majorBidi" w:hAnsiTheme="majorBidi" w:cstheme="majorBidi"/>
                <w:spacing w:val="-10"/>
                <w:sz w:val="20"/>
              </w:rPr>
              <w:t xml:space="preserve"> </w:t>
            </w:r>
            <w:r w:rsidRPr="000D2AE1">
              <w:rPr>
                <w:rFonts w:asciiTheme="majorBidi" w:hAnsiTheme="majorBidi" w:cstheme="majorBidi"/>
                <w:spacing w:val="-2"/>
                <w:sz w:val="20"/>
              </w:rPr>
              <w:t>review</w:t>
            </w:r>
          </w:p>
        </w:tc>
        <w:tc>
          <w:tcPr>
            <w:tcW w:w="3571" w:type="dxa"/>
          </w:tcPr>
          <w:p w14:paraId="6D5CBD7A" w14:textId="77777777" w:rsidR="000D2AE1" w:rsidRPr="000D2AE1" w:rsidRDefault="000D2AE1" w:rsidP="00246202">
            <w:pPr>
              <w:pStyle w:val="TableParagraph"/>
              <w:spacing w:line="276" w:lineRule="auto"/>
              <w:rPr>
                <w:rFonts w:asciiTheme="majorBidi" w:hAnsiTheme="majorBidi" w:cstheme="majorBidi"/>
                <w:sz w:val="20"/>
              </w:rPr>
            </w:pPr>
            <w:r w:rsidRPr="000D2AE1">
              <w:rPr>
                <w:rFonts w:asciiTheme="majorBidi" w:hAnsiTheme="majorBidi" w:cstheme="majorBidi"/>
                <w:sz w:val="20"/>
              </w:rPr>
              <w:t>AI</w:t>
            </w:r>
            <w:r w:rsidRPr="000D2AE1">
              <w:rPr>
                <w:rFonts w:asciiTheme="majorBidi" w:hAnsiTheme="majorBidi" w:cstheme="majorBidi"/>
                <w:spacing w:val="-8"/>
                <w:sz w:val="20"/>
              </w:rPr>
              <w:t xml:space="preserve"> </w:t>
            </w:r>
            <w:r w:rsidRPr="000D2AE1">
              <w:rPr>
                <w:rFonts w:asciiTheme="majorBidi" w:hAnsiTheme="majorBidi" w:cstheme="majorBidi"/>
                <w:sz w:val="20"/>
              </w:rPr>
              <w:t>supports</w:t>
            </w:r>
            <w:r w:rsidRPr="000D2AE1">
              <w:rPr>
                <w:rFonts w:asciiTheme="majorBidi" w:hAnsiTheme="majorBidi" w:cstheme="majorBidi"/>
                <w:spacing w:val="-8"/>
                <w:sz w:val="20"/>
              </w:rPr>
              <w:t xml:space="preserve"> </w:t>
            </w:r>
            <w:r w:rsidRPr="000D2AE1">
              <w:rPr>
                <w:rFonts w:asciiTheme="majorBidi" w:hAnsiTheme="majorBidi" w:cstheme="majorBidi"/>
                <w:sz w:val="20"/>
              </w:rPr>
              <w:t>financial</w:t>
            </w:r>
            <w:r w:rsidRPr="000D2AE1">
              <w:rPr>
                <w:rFonts w:asciiTheme="majorBidi" w:hAnsiTheme="majorBidi" w:cstheme="majorBidi"/>
                <w:spacing w:val="-8"/>
                <w:sz w:val="20"/>
              </w:rPr>
              <w:t xml:space="preserve"> </w:t>
            </w:r>
            <w:r w:rsidRPr="000D2AE1">
              <w:rPr>
                <w:rFonts w:asciiTheme="majorBidi" w:hAnsiTheme="majorBidi" w:cstheme="majorBidi"/>
                <w:sz w:val="20"/>
              </w:rPr>
              <w:t>inclusion</w:t>
            </w:r>
            <w:r w:rsidRPr="000D2AE1">
              <w:rPr>
                <w:rFonts w:asciiTheme="majorBidi" w:hAnsiTheme="majorBidi" w:cstheme="majorBidi"/>
                <w:spacing w:val="-8"/>
                <w:sz w:val="20"/>
              </w:rPr>
              <w:t xml:space="preserve"> </w:t>
            </w:r>
            <w:r w:rsidRPr="000D2AE1">
              <w:rPr>
                <w:rFonts w:asciiTheme="majorBidi" w:hAnsiTheme="majorBidi" w:cstheme="majorBidi"/>
                <w:sz w:val="20"/>
              </w:rPr>
              <w:t>via</w:t>
            </w:r>
            <w:r w:rsidRPr="000D2AE1">
              <w:rPr>
                <w:rFonts w:asciiTheme="majorBidi" w:hAnsiTheme="majorBidi" w:cstheme="majorBidi"/>
                <w:spacing w:val="-8"/>
                <w:sz w:val="20"/>
              </w:rPr>
              <w:t xml:space="preserve"> </w:t>
            </w:r>
            <w:r w:rsidRPr="000D2AE1">
              <w:rPr>
                <w:rFonts w:asciiTheme="majorBidi" w:hAnsiTheme="majorBidi" w:cstheme="majorBidi"/>
                <w:sz w:val="20"/>
              </w:rPr>
              <w:t>credit scoring and digital channels</w:t>
            </w:r>
          </w:p>
        </w:tc>
      </w:tr>
      <w:tr w:rsidR="000D2AE1" w:rsidRPr="000D2AE1" w14:paraId="4A5584E2" w14:textId="77777777" w:rsidTr="00246202">
        <w:trPr>
          <w:trHeight w:val="810"/>
        </w:trPr>
        <w:tc>
          <w:tcPr>
            <w:tcW w:w="1901" w:type="dxa"/>
            <w:shd w:val="clear" w:color="auto" w:fill="EAF1FB"/>
          </w:tcPr>
          <w:p w14:paraId="7159A0EE" w14:textId="77777777" w:rsidR="000D2AE1" w:rsidRPr="000D2AE1" w:rsidRDefault="000D2AE1" w:rsidP="00246202">
            <w:pPr>
              <w:pStyle w:val="TableParagraph"/>
              <w:spacing w:before="62" w:line="276" w:lineRule="auto"/>
              <w:ind w:right="379"/>
              <w:rPr>
                <w:rFonts w:asciiTheme="majorBidi" w:hAnsiTheme="majorBidi" w:cstheme="majorBidi"/>
                <w:sz w:val="20"/>
              </w:rPr>
            </w:pPr>
            <w:r w:rsidRPr="000D2AE1">
              <w:rPr>
                <w:rFonts w:asciiTheme="majorBidi" w:hAnsiTheme="majorBidi" w:cstheme="majorBidi"/>
                <w:sz w:val="20"/>
              </w:rPr>
              <w:t>Hofmann</w:t>
            </w:r>
            <w:r w:rsidRPr="000D2AE1">
              <w:rPr>
                <w:rFonts w:asciiTheme="majorBidi" w:hAnsiTheme="majorBidi" w:cstheme="majorBidi"/>
                <w:spacing w:val="-13"/>
                <w:sz w:val="20"/>
              </w:rPr>
              <w:t xml:space="preserve"> </w:t>
            </w:r>
            <w:r w:rsidRPr="000D2AE1">
              <w:rPr>
                <w:rFonts w:asciiTheme="majorBidi" w:hAnsiTheme="majorBidi" w:cstheme="majorBidi"/>
                <w:sz w:val="20"/>
              </w:rPr>
              <w:t>et</w:t>
            </w:r>
            <w:r w:rsidRPr="000D2AE1">
              <w:rPr>
                <w:rFonts w:asciiTheme="majorBidi" w:hAnsiTheme="majorBidi" w:cstheme="majorBidi"/>
                <w:spacing w:val="-12"/>
                <w:sz w:val="20"/>
              </w:rPr>
              <w:t xml:space="preserve"> </w:t>
            </w:r>
            <w:r w:rsidRPr="000D2AE1">
              <w:rPr>
                <w:rFonts w:asciiTheme="majorBidi" w:hAnsiTheme="majorBidi" w:cstheme="majorBidi"/>
                <w:sz w:val="20"/>
              </w:rPr>
              <w:t xml:space="preserve">al. </w:t>
            </w:r>
            <w:r w:rsidRPr="000D2AE1">
              <w:rPr>
                <w:rFonts w:asciiTheme="majorBidi" w:hAnsiTheme="majorBidi" w:cstheme="majorBidi"/>
                <w:spacing w:val="-2"/>
                <w:sz w:val="20"/>
              </w:rPr>
              <w:t>(2020)</w:t>
            </w:r>
          </w:p>
        </w:tc>
        <w:tc>
          <w:tcPr>
            <w:tcW w:w="1699" w:type="dxa"/>
            <w:shd w:val="clear" w:color="auto" w:fill="EAF1FB"/>
          </w:tcPr>
          <w:p w14:paraId="167FAE91" w14:textId="77777777" w:rsidR="000D2AE1" w:rsidRPr="000D2AE1" w:rsidRDefault="000D2AE1" w:rsidP="00246202">
            <w:pPr>
              <w:pStyle w:val="TableParagraph"/>
              <w:spacing w:before="62" w:line="276" w:lineRule="auto"/>
              <w:ind w:right="366"/>
              <w:rPr>
                <w:rFonts w:asciiTheme="majorBidi" w:hAnsiTheme="majorBidi" w:cstheme="majorBidi"/>
                <w:sz w:val="20"/>
              </w:rPr>
            </w:pPr>
            <w:r w:rsidRPr="000D2AE1">
              <w:rPr>
                <w:rFonts w:asciiTheme="majorBidi" w:hAnsiTheme="majorBidi" w:cstheme="majorBidi"/>
                <w:sz w:val="20"/>
              </w:rPr>
              <w:t>European</w:t>
            </w:r>
            <w:r w:rsidRPr="000D2AE1">
              <w:rPr>
                <w:rFonts w:asciiTheme="majorBidi" w:hAnsiTheme="majorBidi" w:cstheme="majorBidi"/>
                <w:spacing w:val="-13"/>
                <w:sz w:val="20"/>
              </w:rPr>
              <w:t xml:space="preserve"> </w:t>
            </w:r>
            <w:r w:rsidRPr="000D2AE1">
              <w:rPr>
                <w:rFonts w:asciiTheme="majorBidi" w:hAnsiTheme="majorBidi" w:cstheme="majorBidi"/>
                <w:sz w:val="20"/>
              </w:rPr>
              <w:t xml:space="preserve">bank </w:t>
            </w:r>
            <w:r w:rsidRPr="000D2AE1">
              <w:rPr>
                <w:rFonts w:asciiTheme="majorBidi" w:hAnsiTheme="majorBidi" w:cstheme="majorBidi"/>
                <w:spacing w:val="-2"/>
                <w:sz w:val="20"/>
              </w:rPr>
              <w:t>operations</w:t>
            </w:r>
          </w:p>
        </w:tc>
        <w:tc>
          <w:tcPr>
            <w:tcW w:w="1901" w:type="dxa"/>
            <w:shd w:val="clear" w:color="auto" w:fill="EAF1FB"/>
          </w:tcPr>
          <w:p w14:paraId="3B58BDED" w14:textId="77777777" w:rsidR="000D2AE1" w:rsidRPr="000D2AE1" w:rsidRDefault="000D2AE1" w:rsidP="00246202">
            <w:pPr>
              <w:pStyle w:val="TableParagraph"/>
              <w:spacing w:before="197"/>
              <w:rPr>
                <w:rFonts w:asciiTheme="majorBidi" w:hAnsiTheme="majorBidi" w:cstheme="majorBidi"/>
                <w:sz w:val="20"/>
              </w:rPr>
            </w:pPr>
            <w:r w:rsidRPr="000D2AE1">
              <w:rPr>
                <w:rFonts w:asciiTheme="majorBidi" w:hAnsiTheme="majorBidi" w:cstheme="majorBidi"/>
                <w:sz w:val="20"/>
              </w:rPr>
              <w:t>Case</w:t>
            </w:r>
            <w:r w:rsidRPr="000D2AE1">
              <w:rPr>
                <w:rFonts w:asciiTheme="majorBidi" w:hAnsiTheme="majorBidi" w:cstheme="majorBidi"/>
                <w:spacing w:val="-5"/>
                <w:sz w:val="20"/>
              </w:rPr>
              <w:t xml:space="preserve"> </w:t>
            </w:r>
            <w:r w:rsidRPr="000D2AE1">
              <w:rPr>
                <w:rFonts w:asciiTheme="majorBidi" w:hAnsiTheme="majorBidi" w:cstheme="majorBidi"/>
                <w:sz w:val="20"/>
              </w:rPr>
              <w:t>study</w:t>
            </w:r>
            <w:r w:rsidRPr="000D2AE1">
              <w:rPr>
                <w:rFonts w:asciiTheme="majorBidi" w:hAnsiTheme="majorBidi" w:cstheme="majorBidi"/>
                <w:spacing w:val="-5"/>
                <w:sz w:val="20"/>
              </w:rPr>
              <w:t xml:space="preserve"> </w:t>
            </w:r>
            <w:r w:rsidRPr="000D2AE1">
              <w:rPr>
                <w:rFonts w:asciiTheme="majorBidi" w:hAnsiTheme="majorBidi" w:cstheme="majorBidi"/>
                <w:spacing w:val="-2"/>
                <w:sz w:val="20"/>
              </w:rPr>
              <w:t>analysis</w:t>
            </w:r>
          </w:p>
        </w:tc>
        <w:tc>
          <w:tcPr>
            <w:tcW w:w="3571" w:type="dxa"/>
            <w:shd w:val="clear" w:color="auto" w:fill="EAF1FB"/>
          </w:tcPr>
          <w:p w14:paraId="567B115A" w14:textId="77777777" w:rsidR="000D2AE1" w:rsidRPr="000D2AE1" w:rsidRDefault="000D2AE1" w:rsidP="00246202">
            <w:pPr>
              <w:pStyle w:val="TableParagraph"/>
              <w:spacing w:before="62" w:line="276" w:lineRule="auto"/>
              <w:ind w:right="97"/>
              <w:rPr>
                <w:rFonts w:asciiTheme="majorBidi" w:hAnsiTheme="majorBidi" w:cstheme="majorBidi"/>
                <w:sz w:val="20"/>
              </w:rPr>
            </w:pPr>
            <w:r w:rsidRPr="000D2AE1">
              <w:rPr>
                <w:rFonts w:asciiTheme="majorBidi" w:hAnsiTheme="majorBidi" w:cstheme="majorBidi"/>
                <w:sz w:val="20"/>
              </w:rPr>
              <w:t>RPA</w:t>
            </w:r>
            <w:r w:rsidRPr="000D2AE1">
              <w:rPr>
                <w:rFonts w:asciiTheme="majorBidi" w:hAnsiTheme="majorBidi" w:cstheme="majorBidi"/>
                <w:spacing w:val="-13"/>
                <w:sz w:val="20"/>
              </w:rPr>
              <w:t xml:space="preserve"> </w:t>
            </w:r>
            <w:r w:rsidRPr="000D2AE1">
              <w:rPr>
                <w:rFonts w:asciiTheme="majorBidi" w:hAnsiTheme="majorBidi" w:cstheme="majorBidi"/>
                <w:sz w:val="20"/>
              </w:rPr>
              <w:t>delivers</w:t>
            </w:r>
            <w:r w:rsidRPr="000D2AE1">
              <w:rPr>
                <w:rFonts w:asciiTheme="majorBidi" w:hAnsiTheme="majorBidi" w:cstheme="majorBidi"/>
                <w:spacing w:val="-13"/>
                <w:sz w:val="20"/>
              </w:rPr>
              <w:t xml:space="preserve"> </w:t>
            </w:r>
            <w:r w:rsidRPr="000D2AE1">
              <w:rPr>
                <w:rFonts w:asciiTheme="majorBidi" w:hAnsiTheme="majorBidi" w:cstheme="majorBidi"/>
                <w:sz w:val="20"/>
              </w:rPr>
              <w:t>efficiency</w:t>
            </w:r>
            <w:r w:rsidRPr="000D2AE1">
              <w:rPr>
                <w:rFonts w:asciiTheme="majorBidi" w:hAnsiTheme="majorBidi" w:cstheme="majorBidi"/>
                <w:spacing w:val="-12"/>
                <w:sz w:val="20"/>
              </w:rPr>
              <w:t xml:space="preserve"> </w:t>
            </w:r>
            <w:r w:rsidRPr="000D2AE1">
              <w:rPr>
                <w:rFonts w:asciiTheme="majorBidi" w:hAnsiTheme="majorBidi" w:cstheme="majorBidi"/>
                <w:sz w:val="20"/>
              </w:rPr>
              <w:t>and</w:t>
            </w:r>
            <w:r w:rsidRPr="000D2AE1">
              <w:rPr>
                <w:rFonts w:asciiTheme="majorBidi" w:hAnsiTheme="majorBidi" w:cstheme="majorBidi"/>
                <w:spacing w:val="-13"/>
                <w:sz w:val="20"/>
              </w:rPr>
              <w:t xml:space="preserve"> </w:t>
            </w:r>
            <w:r w:rsidRPr="000D2AE1">
              <w:rPr>
                <w:rFonts w:asciiTheme="majorBidi" w:hAnsiTheme="majorBidi" w:cstheme="majorBidi"/>
                <w:sz w:val="20"/>
              </w:rPr>
              <w:t>cost</w:t>
            </w:r>
            <w:r w:rsidRPr="000D2AE1">
              <w:rPr>
                <w:rFonts w:asciiTheme="majorBidi" w:hAnsiTheme="majorBidi" w:cstheme="majorBidi"/>
                <w:spacing w:val="-12"/>
                <w:sz w:val="20"/>
              </w:rPr>
              <w:t xml:space="preserve"> </w:t>
            </w:r>
            <w:r w:rsidRPr="000D2AE1">
              <w:rPr>
                <w:rFonts w:asciiTheme="majorBidi" w:hAnsiTheme="majorBidi" w:cstheme="majorBidi"/>
                <w:sz w:val="20"/>
              </w:rPr>
              <w:t>gains with strong change management</w:t>
            </w:r>
          </w:p>
        </w:tc>
      </w:tr>
      <w:tr w:rsidR="000D2AE1" w:rsidRPr="000D2AE1" w14:paraId="426E0B27" w14:textId="77777777" w:rsidTr="00246202">
        <w:trPr>
          <w:trHeight w:val="810"/>
        </w:trPr>
        <w:tc>
          <w:tcPr>
            <w:tcW w:w="1901" w:type="dxa"/>
          </w:tcPr>
          <w:p w14:paraId="4DD7AE1D" w14:textId="77777777" w:rsidR="000D2AE1" w:rsidRPr="000D2AE1" w:rsidRDefault="000D2AE1" w:rsidP="00246202">
            <w:pPr>
              <w:pStyle w:val="TableParagraph"/>
              <w:spacing w:before="62" w:line="276" w:lineRule="auto"/>
              <w:ind w:right="379"/>
              <w:rPr>
                <w:rFonts w:asciiTheme="majorBidi" w:hAnsiTheme="majorBidi" w:cstheme="majorBidi"/>
                <w:sz w:val="20"/>
              </w:rPr>
            </w:pPr>
            <w:proofErr w:type="spellStart"/>
            <w:r w:rsidRPr="000D2AE1">
              <w:rPr>
                <w:rFonts w:asciiTheme="majorBidi" w:hAnsiTheme="majorBidi" w:cstheme="majorBidi"/>
                <w:sz w:val="20"/>
              </w:rPr>
              <w:t>Konigstorfer</w:t>
            </w:r>
            <w:proofErr w:type="spellEnd"/>
            <w:r w:rsidRPr="000D2AE1">
              <w:rPr>
                <w:rFonts w:asciiTheme="majorBidi" w:hAnsiTheme="majorBidi" w:cstheme="majorBidi"/>
                <w:sz w:val="20"/>
              </w:rPr>
              <w:t xml:space="preserve"> &amp; </w:t>
            </w:r>
            <w:proofErr w:type="spellStart"/>
            <w:r w:rsidRPr="000D2AE1">
              <w:rPr>
                <w:rFonts w:asciiTheme="majorBidi" w:hAnsiTheme="majorBidi" w:cstheme="majorBidi"/>
                <w:sz w:val="20"/>
              </w:rPr>
              <w:t>Thalmann</w:t>
            </w:r>
            <w:proofErr w:type="spellEnd"/>
            <w:r w:rsidRPr="000D2AE1">
              <w:rPr>
                <w:rFonts w:asciiTheme="majorBidi" w:hAnsiTheme="majorBidi" w:cstheme="majorBidi"/>
                <w:spacing w:val="-13"/>
                <w:sz w:val="20"/>
              </w:rPr>
              <w:t xml:space="preserve"> </w:t>
            </w:r>
            <w:r w:rsidRPr="000D2AE1">
              <w:rPr>
                <w:rFonts w:asciiTheme="majorBidi" w:hAnsiTheme="majorBidi" w:cstheme="majorBidi"/>
                <w:sz w:val="20"/>
              </w:rPr>
              <w:t>(2020)</w:t>
            </w:r>
          </w:p>
        </w:tc>
        <w:tc>
          <w:tcPr>
            <w:tcW w:w="1699" w:type="dxa"/>
          </w:tcPr>
          <w:p w14:paraId="663F6A78" w14:textId="77777777" w:rsidR="000D2AE1" w:rsidRPr="000D2AE1" w:rsidRDefault="000D2AE1" w:rsidP="00246202">
            <w:pPr>
              <w:pStyle w:val="TableParagraph"/>
              <w:spacing w:before="62" w:line="276" w:lineRule="auto"/>
              <w:ind w:right="366"/>
              <w:rPr>
                <w:rFonts w:asciiTheme="majorBidi" w:hAnsiTheme="majorBidi" w:cstheme="majorBidi"/>
                <w:sz w:val="20"/>
              </w:rPr>
            </w:pPr>
            <w:r w:rsidRPr="000D2AE1">
              <w:rPr>
                <w:rFonts w:asciiTheme="majorBidi" w:hAnsiTheme="majorBidi" w:cstheme="majorBidi"/>
                <w:spacing w:val="-2"/>
                <w:sz w:val="20"/>
              </w:rPr>
              <w:t>Commercial banks</w:t>
            </w:r>
          </w:p>
        </w:tc>
        <w:tc>
          <w:tcPr>
            <w:tcW w:w="1901" w:type="dxa"/>
          </w:tcPr>
          <w:p w14:paraId="29E478ED"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z w:val="20"/>
              </w:rPr>
              <w:t>Behavioral</w:t>
            </w:r>
            <w:r w:rsidRPr="000D2AE1">
              <w:rPr>
                <w:rFonts w:asciiTheme="majorBidi" w:hAnsiTheme="majorBidi" w:cstheme="majorBidi"/>
                <w:spacing w:val="-11"/>
                <w:sz w:val="20"/>
              </w:rPr>
              <w:t xml:space="preserve"> </w:t>
            </w:r>
            <w:r w:rsidRPr="000D2AE1">
              <w:rPr>
                <w:rFonts w:asciiTheme="majorBidi" w:hAnsiTheme="majorBidi" w:cstheme="majorBidi"/>
                <w:spacing w:val="-2"/>
                <w:sz w:val="20"/>
              </w:rPr>
              <w:t>analysis</w:t>
            </w:r>
          </w:p>
        </w:tc>
        <w:tc>
          <w:tcPr>
            <w:tcW w:w="3571" w:type="dxa"/>
          </w:tcPr>
          <w:p w14:paraId="3CFFF530" w14:textId="77777777" w:rsidR="000D2AE1" w:rsidRPr="000D2AE1" w:rsidRDefault="000D2AE1" w:rsidP="00246202">
            <w:pPr>
              <w:pStyle w:val="TableParagraph"/>
              <w:spacing w:before="62" w:line="276" w:lineRule="auto"/>
              <w:ind w:right="97"/>
              <w:rPr>
                <w:rFonts w:asciiTheme="majorBidi" w:hAnsiTheme="majorBidi" w:cstheme="majorBidi"/>
                <w:sz w:val="20"/>
              </w:rPr>
            </w:pPr>
            <w:r w:rsidRPr="000D2AE1">
              <w:rPr>
                <w:rFonts w:asciiTheme="majorBidi" w:hAnsiTheme="majorBidi" w:cstheme="majorBidi"/>
                <w:sz w:val="20"/>
              </w:rPr>
              <w:t>AI</w:t>
            </w:r>
            <w:r w:rsidRPr="000D2AE1">
              <w:rPr>
                <w:rFonts w:asciiTheme="majorBidi" w:hAnsiTheme="majorBidi" w:cstheme="majorBidi"/>
                <w:spacing w:val="-9"/>
                <w:sz w:val="20"/>
              </w:rPr>
              <w:t xml:space="preserve"> </w:t>
            </w:r>
            <w:r w:rsidRPr="000D2AE1">
              <w:rPr>
                <w:rFonts w:asciiTheme="majorBidi" w:hAnsiTheme="majorBidi" w:cstheme="majorBidi"/>
                <w:sz w:val="20"/>
              </w:rPr>
              <w:t>introduces</w:t>
            </w:r>
            <w:r w:rsidRPr="000D2AE1">
              <w:rPr>
                <w:rFonts w:asciiTheme="majorBidi" w:hAnsiTheme="majorBidi" w:cstheme="majorBidi"/>
                <w:spacing w:val="-9"/>
                <w:sz w:val="20"/>
              </w:rPr>
              <w:t xml:space="preserve"> </w:t>
            </w:r>
            <w:r w:rsidRPr="000D2AE1">
              <w:rPr>
                <w:rFonts w:asciiTheme="majorBidi" w:hAnsiTheme="majorBidi" w:cstheme="majorBidi"/>
                <w:sz w:val="20"/>
              </w:rPr>
              <w:t>new</w:t>
            </w:r>
            <w:r w:rsidRPr="000D2AE1">
              <w:rPr>
                <w:rFonts w:asciiTheme="majorBidi" w:hAnsiTheme="majorBidi" w:cstheme="majorBidi"/>
                <w:spacing w:val="-10"/>
                <w:sz w:val="20"/>
              </w:rPr>
              <w:t xml:space="preserve"> </w:t>
            </w:r>
            <w:r w:rsidRPr="000D2AE1">
              <w:rPr>
                <w:rFonts w:asciiTheme="majorBidi" w:hAnsiTheme="majorBidi" w:cstheme="majorBidi"/>
                <w:sz w:val="20"/>
              </w:rPr>
              <w:t>biases;</w:t>
            </w:r>
            <w:r w:rsidRPr="000D2AE1">
              <w:rPr>
                <w:rFonts w:asciiTheme="majorBidi" w:hAnsiTheme="majorBidi" w:cstheme="majorBidi"/>
                <w:spacing w:val="-9"/>
                <w:sz w:val="20"/>
              </w:rPr>
              <w:t xml:space="preserve"> </w:t>
            </w:r>
            <w:r w:rsidRPr="000D2AE1">
              <w:rPr>
                <w:rFonts w:asciiTheme="majorBidi" w:hAnsiTheme="majorBidi" w:cstheme="majorBidi"/>
                <w:sz w:val="20"/>
              </w:rPr>
              <w:t>human oversight is essential</w:t>
            </w:r>
          </w:p>
        </w:tc>
      </w:tr>
      <w:tr w:rsidR="000D2AE1" w:rsidRPr="000D2AE1" w14:paraId="4F858B23" w14:textId="77777777" w:rsidTr="00246202">
        <w:trPr>
          <w:trHeight w:val="805"/>
        </w:trPr>
        <w:tc>
          <w:tcPr>
            <w:tcW w:w="1901" w:type="dxa"/>
            <w:shd w:val="clear" w:color="auto" w:fill="EAF1FB"/>
          </w:tcPr>
          <w:p w14:paraId="12AEB368" w14:textId="77777777" w:rsidR="000D2AE1" w:rsidRPr="000D2AE1" w:rsidRDefault="000D2AE1" w:rsidP="00246202">
            <w:pPr>
              <w:pStyle w:val="TableParagraph"/>
              <w:spacing w:line="276" w:lineRule="auto"/>
              <w:rPr>
                <w:rFonts w:asciiTheme="majorBidi" w:hAnsiTheme="majorBidi" w:cstheme="majorBidi"/>
                <w:sz w:val="20"/>
              </w:rPr>
            </w:pPr>
            <w:proofErr w:type="spellStart"/>
            <w:r w:rsidRPr="000D2AE1">
              <w:rPr>
                <w:rFonts w:asciiTheme="majorBidi" w:hAnsiTheme="majorBidi" w:cstheme="majorBidi"/>
                <w:sz w:val="20"/>
              </w:rPr>
              <w:t>Alsheibani</w:t>
            </w:r>
            <w:proofErr w:type="spellEnd"/>
            <w:r w:rsidRPr="000D2AE1">
              <w:rPr>
                <w:rFonts w:asciiTheme="majorBidi" w:hAnsiTheme="majorBidi" w:cstheme="majorBidi"/>
                <w:spacing w:val="-13"/>
                <w:sz w:val="20"/>
              </w:rPr>
              <w:t xml:space="preserve"> </w:t>
            </w:r>
            <w:r w:rsidRPr="000D2AE1">
              <w:rPr>
                <w:rFonts w:asciiTheme="majorBidi" w:hAnsiTheme="majorBidi" w:cstheme="majorBidi"/>
                <w:sz w:val="20"/>
              </w:rPr>
              <w:t>et</w:t>
            </w:r>
            <w:r w:rsidRPr="000D2AE1">
              <w:rPr>
                <w:rFonts w:asciiTheme="majorBidi" w:hAnsiTheme="majorBidi" w:cstheme="majorBidi"/>
                <w:spacing w:val="-12"/>
                <w:sz w:val="20"/>
              </w:rPr>
              <w:t xml:space="preserve"> </w:t>
            </w:r>
            <w:r w:rsidRPr="000D2AE1">
              <w:rPr>
                <w:rFonts w:asciiTheme="majorBidi" w:hAnsiTheme="majorBidi" w:cstheme="majorBidi"/>
                <w:sz w:val="20"/>
              </w:rPr>
              <w:t xml:space="preserve">al. </w:t>
            </w:r>
            <w:r w:rsidRPr="000D2AE1">
              <w:rPr>
                <w:rFonts w:asciiTheme="majorBidi" w:hAnsiTheme="majorBidi" w:cstheme="majorBidi"/>
                <w:spacing w:val="-2"/>
                <w:sz w:val="20"/>
              </w:rPr>
              <w:t>(2020)</w:t>
            </w:r>
          </w:p>
        </w:tc>
        <w:tc>
          <w:tcPr>
            <w:tcW w:w="1699" w:type="dxa"/>
            <w:shd w:val="clear" w:color="auto" w:fill="EAF1FB"/>
          </w:tcPr>
          <w:p w14:paraId="53256742"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pacing w:val="-2"/>
                <w:sz w:val="20"/>
              </w:rPr>
              <w:t>Cross-industry</w:t>
            </w:r>
          </w:p>
        </w:tc>
        <w:tc>
          <w:tcPr>
            <w:tcW w:w="1901" w:type="dxa"/>
            <w:shd w:val="clear" w:color="auto" w:fill="EAF1FB"/>
          </w:tcPr>
          <w:p w14:paraId="5CF73DF2"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z w:val="20"/>
              </w:rPr>
              <w:t>Strategic</w:t>
            </w:r>
            <w:r w:rsidRPr="000D2AE1">
              <w:rPr>
                <w:rFonts w:asciiTheme="majorBidi" w:hAnsiTheme="majorBidi" w:cstheme="majorBidi"/>
                <w:spacing w:val="-9"/>
                <w:sz w:val="20"/>
              </w:rPr>
              <w:t xml:space="preserve"> </w:t>
            </w:r>
            <w:r w:rsidRPr="000D2AE1">
              <w:rPr>
                <w:rFonts w:asciiTheme="majorBidi" w:hAnsiTheme="majorBidi" w:cstheme="majorBidi"/>
                <w:spacing w:val="-2"/>
                <w:sz w:val="20"/>
              </w:rPr>
              <w:t>analysis</w:t>
            </w:r>
          </w:p>
        </w:tc>
        <w:tc>
          <w:tcPr>
            <w:tcW w:w="3571" w:type="dxa"/>
            <w:shd w:val="clear" w:color="auto" w:fill="EAF1FB"/>
          </w:tcPr>
          <w:p w14:paraId="14104721" w14:textId="77777777" w:rsidR="000D2AE1" w:rsidRPr="000D2AE1" w:rsidRDefault="000D2AE1" w:rsidP="00246202">
            <w:pPr>
              <w:pStyle w:val="TableParagraph"/>
              <w:spacing w:line="276" w:lineRule="auto"/>
              <w:rPr>
                <w:rFonts w:asciiTheme="majorBidi" w:hAnsiTheme="majorBidi" w:cstheme="majorBidi"/>
                <w:sz w:val="20"/>
              </w:rPr>
            </w:pPr>
            <w:r w:rsidRPr="000D2AE1">
              <w:rPr>
                <w:rFonts w:asciiTheme="majorBidi" w:hAnsiTheme="majorBidi" w:cstheme="majorBidi"/>
                <w:sz w:val="20"/>
              </w:rPr>
              <w:t>Early</w:t>
            </w:r>
            <w:r w:rsidRPr="000D2AE1">
              <w:rPr>
                <w:rFonts w:asciiTheme="majorBidi" w:hAnsiTheme="majorBidi" w:cstheme="majorBidi"/>
                <w:spacing w:val="-13"/>
                <w:sz w:val="20"/>
              </w:rPr>
              <w:t xml:space="preserve"> </w:t>
            </w:r>
            <w:r w:rsidRPr="000D2AE1">
              <w:rPr>
                <w:rFonts w:asciiTheme="majorBidi" w:hAnsiTheme="majorBidi" w:cstheme="majorBidi"/>
                <w:sz w:val="20"/>
              </w:rPr>
              <w:t>movers</w:t>
            </w:r>
            <w:r w:rsidRPr="000D2AE1">
              <w:rPr>
                <w:rFonts w:asciiTheme="majorBidi" w:hAnsiTheme="majorBidi" w:cstheme="majorBidi"/>
                <w:spacing w:val="-8"/>
                <w:sz w:val="20"/>
              </w:rPr>
              <w:t xml:space="preserve"> </w:t>
            </w:r>
            <w:r w:rsidRPr="000D2AE1">
              <w:rPr>
                <w:rFonts w:asciiTheme="majorBidi" w:hAnsiTheme="majorBidi" w:cstheme="majorBidi"/>
                <w:sz w:val="20"/>
              </w:rPr>
              <w:t>in</w:t>
            </w:r>
            <w:r w:rsidRPr="000D2AE1">
              <w:rPr>
                <w:rFonts w:asciiTheme="majorBidi" w:hAnsiTheme="majorBidi" w:cstheme="majorBidi"/>
                <w:spacing w:val="-13"/>
                <w:sz w:val="20"/>
              </w:rPr>
              <w:t xml:space="preserve"> </w:t>
            </w:r>
            <w:r w:rsidRPr="000D2AE1">
              <w:rPr>
                <w:rFonts w:asciiTheme="majorBidi" w:hAnsiTheme="majorBidi" w:cstheme="majorBidi"/>
                <w:sz w:val="20"/>
              </w:rPr>
              <w:t>AI</w:t>
            </w:r>
            <w:r w:rsidRPr="000D2AE1">
              <w:rPr>
                <w:rFonts w:asciiTheme="majorBidi" w:hAnsiTheme="majorBidi" w:cstheme="majorBidi"/>
                <w:spacing w:val="-8"/>
                <w:sz w:val="20"/>
              </w:rPr>
              <w:t xml:space="preserve"> </w:t>
            </w:r>
            <w:r w:rsidRPr="000D2AE1">
              <w:rPr>
                <w:rFonts w:asciiTheme="majorBidi" w:hAnsiTheme="majorBidi" w:cstheme="majorBidi"/>
                <w:sz w:val="20"/>
              </w:rPr>
              <w:t>gain</w:t>
            </w:r>
            <w:r w:rsidRPr="000D2AE1">
              <w:rPr>
                <w:rFonts w:asciiTheme="majorBidi" w:hAnsiTheme="majorBidi" w:cstheme="majorBidi"/>
                <w:spacing w:val="-8"/>
                <w:sz w:val="20"/>
              </w:rPr>
              <w:t xml:space="preserve"> </w:t>
            </w:r>
            <w:r w:rsidRPr="000D2AE1">
              <w:rPr>
                <w:rFonts w:asciiTheme="majorBidi" w:hAnsiTheme="majorBidi" w:cstheme="majorBidi"/>
                <w:sz w:val="20"/>
              </w:rPr>
              <w:t>durable competitive advantage</w:t>
            </w:r>
          </w:p>
        </w:tc>
      </w:tr>
      <w:tr w:rsidR="000D2AE1" w:rsidRPr="000D2AE1" w14:paraId="509381F1" w14:textId="77777777" w:rsidTr="00246202">
        <w:trPr>
          <w:trHeight w:val="810"/>
        </w:trPr>
        <w:tc>
          <w:tcPr>
            <w:tcW w:w="1901" w:type="dxa"/>
          </w:tcPr>
          <w:p w14:paraId="5137A8DD" w14:textId="77777777" w:rsidR="000D2AE1" w:rsidRPr="000D2AE1" w:rsidRDefault="000D2AE1" w:rsidP="00246202">
            <w:pPr>
              <w:pStyle w:val="TableParagraph"/>
              <w:spacing w:before="192"/>
              <w:rPr>
                <w:rFonts w:asciiTheme="majorBidi" w:hAnsiTheme="majorBidi" w:cstheme="majorBidi"/>
                <w:sz w:val="20"/>
              </w:rPr>
            </w:pPr>
            <w:proofErr w:type="spellStart"/>
            <w:r w:rsidRPr="000D2AE1">
              <w:rPr>
                <w:rFonts w:asciiTheme="majorBidi" w:hAnsiTheme="majorBidi" w:cstheme="majorBidi"/>
                <w:sz w:val="20"/>
              </w:rPr>
              <w:t>Mogaji</w:t>
            </w:r>
            <w:proofErr w:type="spellEnd"/>
            <w:r w:rsidRPr="000D2AE1">
              <w:rPr>
                <w:rFonts w:asciiTheme="majorBidi" w:hAnsiTheme="majorBidi" w:cstheme="majorBidi"/>
                <w:spacing w:val="-4"/>
                <w:sz w:val="20"/>
              </w:rPr>
              <w:t xml:space="preserve"> </w:t>
            </w:r>
            <w:r w:rsidRPr="000D2AE1">
              <w:rPr>
                <w:rFonts w:asciiTheme="majorBidi" w:hAnsiTheme="majorBidi" w:cstheme="majorBidi"/>
                <w:sz w:val="20"/>
              </w:rPr>
              <w:t>et</w:t>
            </w:r>
            <w:r w:rsidRPr="000D2AE1">
              <w:rPr>
                <w:rFonts w:asciiTheme="majorBidi" w:hAnsiTheme="majorBidi" w:cstheme="majorBidi"/>
                <w:spacing w:val="-4"/>
                <w:sz w:val="20"/>
              </w:rPr>
              <w:t xml:space="preserve"> </w:t>
            </w:r>
            <w:r w:rsidRPr="000D2AE1">
              <w:rPr>
                <w:rFonts w:asciiTheme="majorBidi" w:hAnsiTheme="majorBidi" w:cstheme="majorBidi"/>
                <w:sz w:val="20"/>
              </w:rPr>
              <w:t>al.</w:t>
            </w:r>
            <w:r w:rsidRPr="000D2AE1">
              <w:rPr>
                <w:rFonts w:asciiTheme="majorBidi" w:hAnsiTheme="majorBidi" w:cstheme="majorBidi"/>
                <w:spacing w:val="-4"/>
                <w:sz w:val="20"/>
              </w:rPr>
              <w:t xml:space="preserve"> </w:t>
            </w:r>
            <w:r w:rsidRPr="000D2AE1">
              <w:rPr>
                <w:rFonts w:asciiTheme="majorBidi" w:hAnsiTheme="majorBidi" w:cstheme="majorBidi"/>
                <w:spacing w:val="-2"/>
                <w:sz w:val="20"/>
              </w:rPr>
              <w:t>(2021)</w:t>
            </w:r>
          </w:p>
        </w:tc>
        <w:tc>
          <w:tcPr>
            <w:tcW w:w="1699" w:type="dxa"/>
          </w:tcPr>
          <w:p w14:paraId="5F55F662"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z w:val="20"/>
              </w:rPr>
              <w:t>Customer</w:t>
            </w:r>
            <w:r w:rsidRPr="000D2AE1">
              <w:rPr>
                <w:rFonts w:asciiTheme="majorBidi" w:hAnsiTheme="majorBidi" w:cstheme="majorBidi"/>
                <w:spacing w:val="-10"/>
                <w:sz w:val="20"/>
              </w:rPr>
              <w:t xml:space="preserve"> </w:t>
            </w:r>
            <w:r w:rsidRPr="000D2AE1">
              <w:rPr>
                <w:rFonts w:asciiTheme="majorBidi" w:hAnsiTheme="majorBidi" w:cstheme="majorBidi"/>
                <w:spacing w:val="-2"/>
                <w:sz w:val="20"/>
              </w:rPr>
              <w:t>service</w:t>
            </w:r>
          </w:p>
        </w:tc>
        <w:tc>
          <w:tcPr>
            <w:tcW w:w="1901" w:type="dxa"/>
          </w:tcPr>
          <w:p w14:paraId="7FD9EE1B" w14:textId="77777777" w:rsidR="000D2AE1" w:rsidRPr="000D2AE1" w:rsidRDefault="000D2AE1" w:rsidP="00246202">
            <w:pPr>
              <w:pStyle w:val="TableParagraph"/>
              <w:spacing w:before="62" w:line="276" w:lineRule="auto"/>
              <w:ind w:right="379"/>
              <w:rPr>
                <w:rFonts w:asciiTheme="majorBidi" w:hAnsiTheme="majorBidi" w:cstheme="majorBidi"/>
                <w:sz w:val="20"/>
              </w:rPr>
            </w:pPr>
            <w:r w:rsidRPr="000D2AE1">
              <w:rPr>
                <w:rFonts w:asciiTheme="majorBidi" w:hAnsiTheme="majorBidi" w:cstheme="majorBidi"/>
                <w:spacing w:val="-2"/>
                <w:sz w:val="20"/>
              </w:rPr>
              <w:t>Qualitative interviews</w:t>
            </w:r>
          </w:p>
        </w:tc>
        <w:tc>
          <w:tcPr>
            <w:tcW w:w="3571" w:type="dxa"/>
          </w:tcPr>
          <w:p w14:paraId="66908036" w14:textId="77777777" w:rsidR="000D2AE1" w:rsidRPr="000D2AE1" w:rsidRDefault="000D2AE1" w:rsidP="00246202">
            <w:pPr>
              <w:pStyle w:val="TableParagraph"/>
              <w:spacing w:before="62" w:line="276" w:lineRule="auto"/>
              <w:rPr>
                <w:rFonts w:asciiTheme="majorBidi" w:hAnsiTheme="majorBidi" w:cstheme="majorBidi"/>
                <w:sz w:val="20"/>
              </w:rPr>
            </w:pPr>
            <w:r w:rsidRPr="000D2AE1">
              <w:rPr>
                <w:rFonts w:asciiTheme="majorBidi" w:hAnsiTheme="majorBidi" w:cstheme="majorBidi"/>
                <w:sz w:val="20"/>
              </w:rPr>
              <w:t>Chatbots</w:t>
            </w:r>
            <w:r w:rsidRPr="000D2AE1">
              <w:rPr>
                <w:rFonts w:asciiTheme="majorBidi" w:hAnsiTheme="majorBidi" w:cstheme="majorBidi"/>
                <w:spacing w:val="-10"/>
                <w:sz w:val="20"/>
              </w:rPr>
              <w:t xml:space="preserve"> </w:t>
            </w:r>
            <w:r w:rsidRPr="000D2AE1">
              <w:rPr>
                <w:rFonts w:asciiTheme="majorBidi" w:hAnsiTheme="majorBidi" w:cstheme="majorBidi"/>
                <w:sz w:val="20"/>
              </w:rPr>
              <w:t>improve</w:t>
            </w:r>
            <w:r w:rsidRPr="000D2AE1">
              <w:rPr>
                <w:rFonts w:asciiTheme="majorBidi" w:hAnsiTheme="majorBidi" w:cstheme="majorBidi"/>
                <w:spacing w:val="-10"/>
                <w:sz w:val="20"/>
              </w:rPr>
              <w:t xml:space="preserve"> </w:t>
            </w:r>
            <w:r w:rsidRPr="000D2AE1">
              <w:rPr>
                <w:rFonts w:asciiTheme="majorBidi" w:hAnsiTheme="majorBidi" w:cstheme="majorBidi"/>
                <w:sz w:val="20"/>
              </w:rPr>
              <w:t>convenience</w:t>
            </w:r>
            <w:r w:rsidRPr="000D2AE1">
              <w:rPr>
                <w:rFonts w:asciiTheme="majorBidi" w:hAnsiTheme="majorBidi" w:cstheme="majorBidi"/>
                <w:spacing w:val="-10"/>
                <w:sz w:val="20"/>
              </w:rPr>
              <w:t xml:space="preserve"> </w:t>
            </w:r>
            <w:r w:rsidRPr="000D2AE1">
              <w:rPr>
                <w:rFonts w:asciiTheme="majorBidi" w:hAnsiTheme="majorBidi" w:cstheme="majorBidi"/>
                <w:sz w:val="20"/>
              </w:rPr>
              <w:t>but</w:t>
            </w:r>
            <w:r w:rsidRPr="000D2AE1">
              <w:rPr>
                <w:rFonts w:asciiTheme="majorBidi" w:hAnsiTheme="majorBidi" w:cstheme="majorBidi"/>
                <w:spacing w:val="-10"/>
                <w:sz w:val="20"/>
              </w:rPr>
              <w:t xml:space="preserve"> </w:t>
            </w:r>
            <w:r w:rsidRPr="000D2AE1">
              <w:rPr>
                <w:rFonts w:asciiTheme="majorBidi" w:hAnsiTheme="majorBidi" w:cstheme="majorBidi"/>
                <w:sz w:val="20"/>
              </w:rPr>
              <w:t>need human backup for complex cases</w:t>
            </w:r>
          </w:p>
        </w:tc>
      </w:tr>
      <w:tr w:rsidR="000D2AE1" w:rsidRPr="000D2AE1" w14:paraId="479569D0" w14:textId="77777777" w:rsidTr="00246202">
        <w:trPr>
          <w:trHeight w:val="806"/>
        </w:trPr>
        <w:tc>
          <w:tcPr>
            <w:tcW w:w="1901" w:type="dxa"/>
            <w:shd w:val="clear" w:color="auto" w:fill="EAF1FB"/>
          </w:tcPr>
          <w:p w14:paraId="45ECCAB9" w14:textId="77777777" w:rsidR="000D2AE1" w:rsidRPr="000D2AE1" w:rsidRDefault="000D2AE1" w:rsidP="00246202">
            <w:pPr>
              <w:pStyle w:val="TableParagraph"/>
              <w:spacing w:before="192"/>
              <w:rPr>
                <w:rFonts w:asciiTheme="majorBidi" w:hAnsiTheme="majorBidi" w:cstheme="majorBidi"/>
                <w:sz w:val="20"/>
              </w:rPr>
            </w:pPr>
            <w:proofErr w:type="spellStart"/>
            <w:r w:rsidRPr="000D2AE1">
              <w:rPr>
                <w:rFonts w:asciiTheme="majorBidi" w:hAnsiTheme="majorBidi" w:cstheme="majorBidi"/>
                <w:sz w:val="20"/>
              </w:rPr>
              <w:t>Sheth</w:t>
            </w:r>
            <w:proofErr w:type="spellEnd"/>
            <w:r w:rsidRPr="000D2AE1">
              <w:rPr>
                <w:rFonts w:asciiTheme="majorBidi" w:hAnsiTheme="majorBidi" w:cstheme="majorBidi"/>
                <w:spacing w:val="-4"/>
                <w:sz w:val="20"/>
              </w:rPr>
              <w:t xml:space="preserve"> </w:t>
            </w:r>
            <w:r w:rsidRPr="000D2AE1">
              <w:rPr>
                <w:rFonts w:asciiTheme="majorBidi" w:hAnsiTheme="majorBidi" w:cstheme="majorBidi"/>
                <w:sz w:val="20"/>
              </w:rPr>
              <w:t>et</w:t>
            </w:r>
            <w:r w:rsidRPr="000D2AE1">
              <w:rPr>
                <w:rFonts w:asciiTheme="majorBidi" w:hAnsiTheme="majorBidi" w:cstheme="majorBidi"/>
                <w:spacing w:val="-3"/>
                <w:sz w:val="20"/>
              </w:rPr>
              <w:t xml:space="preserve"> </w:t>
            </w:r>
            <w:r w:rsidRPr="000D2AE1">
              <w:rPr>
                <w:rFonts w:asciiTheme="majorBidi" w:hAnsiTheme="majorBidi" w:cstheme="majorBidi"/>
                <w:sz w:val="20"/>
              </w:rPr>
              <w:t>al.</w:t>
            </w:r>
            <w:r w:rsidRPr="000D2AE1">
              <w:rPr>
                <w:rFonts w:asciiTheme="majorBidi" w:hAnsiTheme="majorBidi" w:cstheme="majorBidi"/>
                <w:spacing w:val="-3"/>
                <w:sz w:val="20"/>
              </w:rPr>
              <w:t xml:space="preserve"> </w:t>
            </w:r>
            <w:r w:rsidRPr="000D2AE1">
              <w:rPr>
                <w:rFonts w:asciiTheme="majorBidi" w:hAnsiTheme="majorBidi" w:cstheme="majorBidi"/>
                <w:spacing w:val="-2"/>
                <w:sz w:val="20"/>
              </w:rPr>
              <w:t>(2022)</w:t>
            </w:r>
          </w:p>
        </w:tc>
        <w:tc>
          <w:tcPr>
            <w:tcW w:w="1699" w:type="dxa"/>
            <w:shd w:val="clear" w:color="auto" w:fill="EAF1FB"/>
          </w:tcPr>
          <w:p w14:paraId="282A02AF" w14:textId="77777777" w:rsidR="000D2AE1" w:rsidRPr="000D2AE1" w:rsidRDefault="000D2AE1" w:rsidP="00246202">
            <w:pPr>
              <w:pStyle w:val="TableParagraph"/>
              <w:spacing w:line="280" w:lineRule="auto"/>
              <w:rPr>
                <w:rFonts w:asciiTheme="majorBidi" w:hAnsiTheme="majorBidi" w:cstheme="majorBidi"/>
                <w:sz w:val="20"/>
              </w:rPr>
            </w:pPr>
            <w:r w:rsidRPr="000D2AE1">
              <w:rPr>
                <w:rFonts w:asciiTheme="majorBidi" w:hAnsiTheme="majorBidi" w:cstheme="majorBidi"/>
                <w:spacing w:val="-2"/>
                <w:sz w:val="20"/>
              </w:rPr>
              <w:t>Marketing management</w:t>
            </w:r>
          </w:p>
        </w:tc>
        <w:tc>
          <w:tcPr>
            <w:tcW w:w="1901" w:type="dxa"/>
            <w:shd w:val="clear" w:color="auto" w:fill="EAF1FB"/>
          </w:tcPr>
          <w:p w14:paraId="6EB5C77E" w14:textId="77777777" w:rsidR="000D2AE1" w:rsidRPr="000D2AE1" w:rsidRDefault="000D2AE1" w:rsidP="00246202">
            <w:pPr>
              <w:pStyle w:val="TableParagraph"/>
              <w:spacing w:before="192"/>
              <w:rPr>
                <w:rFonts w:asciiTheme="majorBidi" w:hAnsiTheme="majorBidi" w:cstheme="majorBidi"/>
                <w:sz w:val="20"/>
              </w:rPr>
            </w:pPr>
            <w:r w:rsidRPr="000D2AE1">
              <w:rPr>
                <w:rFonts w:asciiTheme="majorBidi" w:hAnsiTheme="majorBidi" w:cstheme="majorBidi"/>
                <w:sz w:val="20"/>
              </w:rPr>
              <w:t>Survey-based</w:t>
            </w:r>
            <w:r w:rsidRPr="000D2AE1">
              <w:rPr>
                <w:rFonts w:asciiTheme="majorBidi" w:hAnsiTheme="majorBidi" w:cstheme="majorBidi"/>
                <w:spacing w:val="-12"/>
                <w:sz w:val="20"/>
              </w:rPr>
              <w:t xml:space="preserve"> </w:t>
            </w:r>
            <w:r w:rsidRPr="000D2AE1">
              <w:rPr>
                <w:rFonts w:asciiTheme="majorBidi" w:hAnsiTheme="majorBidi" w:cstheme="majorBidi"/>
                <w:spacing w:val="-2"/>
                <w:sz w:val="20"/>
              </w:rPr>
              <w:t>study</w:t>
            </w:r>
          </w:p>
        </w:tc>
        <w:tc>
          <w:tcPr>
            <w:tcW w:w="3571" w:type="dxa"/>
            <w:shd w:val="clear" w:color="auto" w:fill="EAF1FB"/>
          </w:tcPr>
          <w:p w14:paraId="4EB31765" w14:textId="77777777" w:rsidR="000D2AE1" w:rsidRPr="000D2AE1" w:rsidRDefault="000D2AE1" w:rsidP="00246202">
            <w:pPr>
              <w:pStyle w:val="TableParagraph"/>
              <w:spacing w:line="280" w:lineRule="auto"/>
              <w:rPr>
                <w:rFonts w:asciiTheme="majorBidi" w:hAnsiTheme="majorBidi" w:cstheme="majorBidi"/>
                <w:sz w:val="20"/>
              </w:rPr>
            </w:pPr>
            <w:r w:rsidRPr="000D2AE1">
              <w:rPr>
                <w:rFonts w:asciiTheme="majorBidi" w:hAnsiTheme="majorBidi" w:cstheme="majorBidi"/>
                <w:sz w:val="20"/>
              </w:rPr>
              <w:t>AI</w:t>
            </w:r>
            <w:r w:rsidRPr="000D2AE1">
              <w:rPr>
                <w:rFonts w:asciiTheme="majorBidi" w:hAnsiTheme="majorBidi" w:cstheme="majorBidi"/>
                <w:spacing w:val="-13"/>
                <w:sz w:val="20"/>
              </w:rPr>
              <w:t xml:space="preserve"> </w:t>
            </w:r>
            <w:r w:rsidRPr="000D2AE1">
              <w:rPr>
                <w:rFonts w:asciiTheme="majorBidi" w:hAnsiTheme="majorBidi" w:cstheme="majorBidi"/>
                <w:sz w:val="20"/>
              </w:rPr>
              <w:t>personalization</w:t>
            </w:r>
            <w:r w:rsidRPr="000D2AE1">
              <w:rPr>
                <w:rFonts w:asciiTheme="majorBidi" w:hAnsiTheme="majorBidi" w:cstheme="majorBidi"/>
                <w:spacing w:val="-12"/>
                <w:sz w:val="20"/>
              </w:rPr>
              <w:t xml:space="preserve"> </w:t>
            </w:r>
            <w:r w:rsidRPr="000D2AE1">
              <w:rPr>
                <w:rFonts w:asciiTheme="majorBidi" w:hAnsiTheme="majorBidi" w:cstheme="majorBidi"/>
                <w:sz w:val="20"/>
              </w:rPr>
              <w:t>improves</w:t>
            </w:r>
            <w:r w:rsidRPr="000D2AE1">
              <w:rPr>
                <w:rFonts w:asciiTheme="majorBidi" w:hAnsiTheme="majorBidi" w:cstheme="majorBidi"/>
                <w:spacing w:val="-13"/>
                <w:sz w:val="20"/>
              </w:rPr>
              <w:t xml:space="preserve"> </w:t>
            </w:r>
            <w:r w:rsidRPr="000D2AE1">
              <w:rPr>
                <w:rFonts w:asciiTheme="majorBidi" w:hAnsiTheme="majorBidi" w:cstheme="majorBidi"/>
                <w:sz w:val="20"/>
              </w:rPr>
              <w:t>engagement, with caveats on privacy</w:t>
            </w:r>
          </w:p>
        </w:tc>
      </w:tr>
      <w:tr w:rsidR="000D2AE1" w:rsidRPr="000D2AE1" w14:paraId="56CDA315" w14:textId="77777777" w:rsidTr="00246202">
        <w:trPr>
          <w:trHeight w:val="810"/>
        </w:trPr>
        <w:tc>
          <w:tcPr>
            <w:tcW w:w="1901" w:type="dxa"/>
          </w:tcPr>
          <w:p w14:paraId="4A092E86" w14:textId="77777777" w:rsidR="000D2AE1" w:rsidRPr="000D2AE1" w:rsidRDefault="000D2AE1" w:rsidP="00246202">
            <w:pPr>
              <w:pStyle w:val="TableParagraph"/>
              <w:spacing w:before="197"/>
              <w:rPr>
                <w:rFonts w:asciiTheme="majorBidi" w:hAnsiTheme="majorBidi" w:cstheme="majorBidi"/>
                <w:sz w:val="20"/>
              </w:rPr>
            </w:pPr>
            <w:r w:rsidRPr="000D2AE1">
              <w:rPr>
                <w:rFonts w:asciiTheme="majorBidi" w:hAnsiTheme="majorBidi" w:cstheme="majorBidi"/>
                <w:sz w:val="20"/>
              </w:rPr>
              <w:lastRenderedPageBreak/>
              <w:t>Kaur</w:t>
            </w:r>
            <w:r w:rsidRPr="000D2AE1">
              <w:rPr>
                <w:rFonts w:asciiTheme="majorBidi" w:hAnsiTheme="majorBidi" w:cstheme="majorBidi"/>
                <w:spacing w:val="-4"/>
                <w:sz w:val="20"/>
              </w:rPr>
              <w:t xml:space="preserve"> </w:t>
            </w:r>
            <w:r w:rsidRPr="000D2AE1">
              <w:rPr>
                <w:rFonts w:asciiTheme="majorBidi" w:hAnsiTheme="majorBidi" w:cstheme="majorBidi"/>
                <w:sz w:val="20"/>
              </w:rPr>
              <w:t>et</w:t>
            </w:r>
            <w:r w:rsidRPr="000D2AE1">
              <w:rPr>
                <w:rFonts w:asciiTheme="majorBidi" w:hAnsiTheme="majorBidi" w:cstheme="majorBidi"/>
                <w:spacing w:val="-3"/>
                <w:sz w:val="20"/>
              </w:rPr>
              <w:t xml:space="preserve"> </w:t>
            </w:r>
            <w:r w:rsidRPr="000D2AE1">
              <w:rPr>
                <w:rFonts w:asciiTheme="majorBidi" w:hAnsiTheme="majorBidi" w:cstheme="majorBidi"/>
                <w:sz w:val="20"/>
              </w:rPr>
              <w:t>al.</w:t>
            </w:r>
            <w:r w:rsidRPr="000D2AE1">
              <w:rPr>
                <w:rFonts w:asciiTheme="majorBidi" w:hAnsiTheme="majorBidi" w:cstheme="majorBidi"/>
                <w:spacing w:val="-3"/>
                <w:sz w:val="20"/>
              </w:rPr>
              <w:t xml:space="preserve"> </w:t>
            </w:r>
            <w:r w:rsidRPr="000D2AE1">
              <w:rPr>
                <w:rFonts w:asciiTheme="majorBidi" w:hAnsiTheme="majorBidi" w:cstheme="majorBidi"/>
                <w:spacing w:val="-2"/>
                <w:sz w:val="20"/>
              </w:rPr>
              <w:t>(2023)</w:t>
            </w:r>
          </w:p>
        </w:tc>
        <w:tc>
          <w:tcPr>
            <w:tcW w:w="1699" w:type="dxa"/>
          </w:tcPr>
          <w:p w14:paraId="5D4A9BFA" w14:textId="77777777" w:rsidR="000D2AE1" w:rsidRPr="000D2AE1" w:rsidRDefault="000D2AE1" w:rsidP="00246202">
            <w:pPr>
              <w:pStyle w:val="TableParagraph"/>
              <w:spacing w:before="197"/>
              <w:rPr>
                <w:rFonts w:asciiTheme="majorBidi" w:hAnsiTheme="majorBidi" w:cstheme="majorBidi"/>
                <w:sz w:val="20"/>
              </w:rPr>
            </w:pPr>
            <w:r w:rsidRPr="000D2AE1">
              <w:rPr>
                <w:rFonts w:asciiTheme="majorBidi" w:hAnsiTheme="majorBidi" w:cstheme="majorBidi"/>
                <w:sz w:val="20"/>
              </w:rPr>
              <w:t>Global</w:t>
            </w:r>
            <w:r w:rsidRPr="000D2AE1">
              <w:rPr>
                <w:rFonts w:asciiTheme="majorBidi" w:hAnsiTheme="majorBidi" w:cstheme="majorBidi"/>
                <w:spacing w:val="-7"/>
                <w:sz w:val="20"/>
              </w:rPr>
              <w:t xml:space="preserve"> </w:t>
            </w:r>
            <w:r w:rsidRPr="000D2AE1">
              <w:rPr>
                <w:rFonts w:asciiTheme="majorBidi" w:hAnsiTheme="majorBidi" w:cstheme="majorBidi"/>
                <w:spacing w:val="-2"/>
                <w:sz w:val="20"/>
              </w:rPr>
              <w:t>banking</w:t>
            </w:r>
          </w:p>
        </w:tc>
        <w:tc>
          <w:tcPr>
            <w:tcW w:w="1901" w:type="dxa"/>
          </w:tcPr>
          <w:p w14:paraId="124EA2BC" w14:textId="77777777" w:rsidR="000D2AE1" w:rsidRPr="000D2AE1" w:rsidRDefault="000D2AE1" w:rsidP="00246202">
            <w:pPr>
              <w:pStyle w:val="TableParagraph"/>
              <w:spacing w:before="197"/>
              <w:rPr>
                <w:rFonts w:asciiTheme="majorBidi" w:hAnsiTheme="majorBidi" w:cstheme="majorBidi"/>
                <w:sz w:val="20"/>
              </w:rPr>
            </w:pPr>
            <w:r w:rsidRPr="000D2AE1">
              <w:rPr>
                <w:rFonts w:asciiTheme="majorBidi" w:hAnsiTheme="majorBidi" w:cstheme="majorBidi"/>
                <w:sz w:val="20"/>
              </w:rPr>
              <w:t>Systematic</w:t>
            </w:r>
            <w:r w:rsidRPr="000D2AE1">
              <w:rPr>
                <w:rFonts w:asciiTheme="majorBidi" w:hAnsiTheme="majorBidi" w:cstheme="majorBidi"/>
                <w:spacing w:val="-11"/>
                <w:sz w:val="20"/>
              </w:rPr>
              <w:t xml:space="preserve"> </w:t>
            </w:r>
            <w:r w:rsidRPr="000D2AE1">
              <w:rPr>
                <w:rFonts w:asciiTheme="majorBidi" w:hAnsiTheme="majorBidi" w:cstheme="majorBidi"/>
                <w:spacing w:val="-2"/>
                <w:sz w:val="20"/>
              </w:rPr>
              <w:t>review</w:t>
            </w:r>
          </w:p>
        </w:tc>
        <w:tc>
          <w:tcPr>
            <w:tcW w:w="3571" w:type="dxa"/>
          </w:tcPr>
          <w:p w14:paraId="6DC5C2C3" w14:textId="77777777" w:rsidR="000D2AE1" w:rsidRPr="000D2AE1" w:rsidRDefault="000D2AE1" w:rsidP="00246202">
            <w:pPr>
              <w:pStyle w:val="TableParagraph"/>
              <w:spacing w:before="62" w:line="276" w:lineRule="auto"/>
              <w:rPr>
                <w:rFonts w:asciiTheme="majorBidi" w:hAnsiTheme="majorBidi" w:cstheme="majorBidi"/>
                <w:sz w:val="20"/>
              </w:rPr>
            </w:pPr>
            <w:r w:rsidRPr="000D2AE1">
              <w:rPr>
                <w:rFonts w:asciiTheme="majorBidi" w:hAnsiTheme="majorBidi" w:cstheme="majorBidi"/>
                <w:sz w:val="20"/>
              </w:rPr>
              <w:t>AI</w:t>
            </w:r>
            <w:r w:rsidRPr="000D2AE1">
              <w:rPr>
                <w:rFonts w:asciiTheme="majorBidi" w:hAnsiTheme="majorBidi" w:cstheme="majorBidi"/>
                <w:spacing w:val="-6"/>
                <w:sz w:val="20"/>
              </w:rPr>
              <w:t xml:space="preserve"> </w:t>
            </w:r>
            <w:r w:rsidRPr="000D2AE1">
              <w:rPr>
                <w:rFonts w:asciiTheme="majorBidi" w:hAnsiTheme="majorBidi" w:cstheme="majorBidi"/>
                <w:sz w:val="20"/>
              </w:rPr>
              <w:t>most</w:t>
            </w:r>
            <w:r w:rsidRPr="000D2AE1">
              <w:rPr>
                <w:rFonts w:asciiTheme="majorBidi" w:hAnsiTheme="majorBidi" w:cstheme="majorBidi"/>
                <w:spacing w:val="-6"/>
                <w:sz w:val="20"/>
              </w:rPr>
              <w:t xml:space="preserve"> </w:t>
            </w:r>
            <w:r w:rsidRPr="000D2AE1">
              <w:rPr>
                <w:rFonts w:asciiTheme="majorBidi" w:hAnsiTheme="majorBidi" w:cstheme="majorBidi"/>
                <w:sz w:val="20"/>
              </w:rPr>
              <w:t>mature</w:t>
            </w:r>
            <w:r w:rsidRPr="000D2AE1">
              <w:rPr>
                <w:rFonts w:asciiTheme="majorBidi" w:hAnsiTheme="majorBidi" w:cstheme="majorBidi"/>
                <w:spacing w:val="-6"/>
                <w:sz w:val="20"/>
              </w:rPr>
              <w:t xml:space="preserve"> </w:t>
            </w:r>
            <w:r w:rsidRPr="000D2AE1">
              <w:rPr>
                <w:rFonts w:asciiTheme="majorBidi" w:hAnsiTheme="majorBidi" w:cstheme="majorBidi"/>
                <w:sz w:val="20"/>
              </w:rPr>
              <w:t>in</w:t>
            </w:r>
            <w:r w:rsidRPr="000D2AE1">
              <w:rPr>
                <w:rFonts w:asciiTheme="majorBidi" w:hAnsiTheme="majorBidi" w:cstheme="majorBidi"/>
                <w:spacing w:val="-6"/>
                <w:sz w:val="20"/>
              </w:rPr>
              <w:t xml:space="preserve"> </w:t>
            </w:r>
            <w:r w:rsidRPr="000D2AE1">
              <w:rPr>
                <w:rFonts w:asciiTheme="majorBidi" w:hAnsiTheme="majorBidi" w:cstheme="majorBidi"/>
                <w:sz w:val="20"/>
              </w:rPr>
              <w:t>risk</w:t>
            </w:r>
            <w:r w:rsidRPr="000D2AE1">
              <w:rPr>
                <w:rFonts w:asciiTheme="majorBidi" w:hAnsiTheme="majorBidi" w:cstheme="majorBidi"/>
                <w:spacing w:val="-6"/>
                <w:sz w:val="20"/>
              </w:rPr>
              <w:t xml:space="preserve"> </w:t>
            </w:r>
            <w:r w:rsidRPr="000D2AE1">
              <w:rPr>
                <w:rFonts w:asciiTheme="majorBidi" w:hAnsiTheme="majorBidi" w:cstheme="majorBidi"/>
                <w:sz w:val="20"/>
              </w:rPr>
              <w:t>and</w:t>
            </w:r>
            <w:r w:rsidRPr="000D2AE1">
              <w:rPr>
                <w:rFonts w:asciiTheme="majorBidi" w:hAnsiTheme="majorBidi" w:cstheme="majorBidi"/>
                <w:spacing w:val="-6"/>
                <w:sz w:val="20"/>
              </w:rPr>
              <w:t xml:space="preserve"> </w:t>
            </w:r>
            <w:r w:rsidRPr="000D2AE1">
              <w:rPr>
                <w:rFonts w:asciiTheme="majorBidi" w:hAnsiTheme="majorBidi" w:cstheme="majorBidi"/>
                <w:sz w:val="20"/>
              </w:rPr>
              <w:t>customer service; governance is critical</w:t>
            </w:r>
          </w:p>
        </w:tc>
      </w:tr>
    </w:tbl>
    <w:p w14:paraId="29F63A37" w14:textId="77777777" w:rsidR="000D2AE1" w:rsidRPr="000D2AE1" w:rsidRDefault="000D2AE1" w:rsidP="000D2AE1">
      <w:pPr>
        <w:spacing w:before="68"/>
        <w:ind w:left="23"/>
        <w:rPr>
          <w:rFonts w:asciiTheme="majorBidi" w:hAnsiTheme="majorBidi" w:cstheme="majorBidi"/>
          <w:i/>
          <w:sz w:val="20"/>
        </w:rPr>
      </w:pPr>
      <w:r w:rsidRPr="000D2AE1">
        <w:rPr>
          <w:rFonts w:asciiTheme="majorBidi" w:hAnsiTheme="majorBidi" w:cstheme="majorBidi"/>
          <w:i/>
          <w:color w:val="595959"/>
          <w:sz w:val="20"/>
        </w:rPr>
        <w:t>Source:</w:t>
      </w:r>
      <w:r w:rsidRPr="000D2AE1">
        <w:rPr>
          <w:rFonts w:asciiTheme="majorBidi" w:hAnsiTheme="majorBidi" w:cstheme="majorBidi"/>
          <w:i/>
          <w:color w:val="595959"/>
          <w:spacing w:val="-13"/>
          <w:sz w:val="20"/>
        </w:rPr>
        <w:t xml:space="preserve"> </w:t>
      </w:r>
      <w:r w:rsidRPr="000D2AE1">
        <w:rPr>
          <w:rFonts w:asciiTheme="majorBidi" w:hAnsiTheme="majorBidi" w:cstheme="majorBidi"/>
          <w:i/>
          <w:color w:val="595959"/>
          <w:sz w:val="20"/>
        </w:rPr>
        <w:t>Compiled</w:t>
      </w:r>
      <w:r w:rsidRPr="000D2AE1">
        <w:rPr>
          <w:rFonts w:asciiTheme="majorBidi" w:hAnsiTheme="majorBidi" w:cstheme="majorBidi"/>
          <w:i/>
          <w:color w:val="595959"/>
          <w:spacing w:val="-11"/>
          <w:sz w:val="20"/>
        </w:rPr>
        <w:t xml:space="preserve"> </w:t>
      </w:r>
      <w:r w:rsidRPr="000D2AE1">
        <w:rPr>
          <w:rFonts w:asciiTheme="majorBidi" w:hAnsiTheme="majorBidi" w:cstheme="majorBidi"/>
          <w:i/>
          <w:color w:val="595959"/>
          <w:sz w:val="20"/>
        </w:rPr>
        <w:t>by</w:t>
      </w:r>
      <w:r w:rsidRPr="000D2AE1">
        <w:rPr>
          <w:rFonts w:asciiTheme="majorBidi" w:hAnsiTheme="majorBidi" w:cstheme="majorBidi"/>
          <w:i/>
          <w:color w:val="595959"/>
          <w:spacing w:val="-11"/>
          <w:sz w:val="20"/>
        </w:rPr>
        <w:t xml:space="preserve"> </w:t>
      </w:r>
      <w:r w:rsidRPr="000D2AE1">
        <w:rPr>
          <w:rFonts w:asciiTheme="majorBidi" w:hAnsiTheme="majorBidi" w:cstheme="majorBidi"/>
          <w:i/>
          <w:color w:val="595959"/>
          <w:sz w:val="20"/>
        </w:rPr>
        <w:t>the</w:t>
      </w:r>
      <w:r w:rsidRPr="000D2AE1">
        <w:rPr>
          <w:rFonts w:asciiTheme="majorBidi" w:hAnsiTheme="majorBidi" w:cstheme="majorBidi"/>
          <w:i/>
          <w:color w:val="595959"/>
          <w:spacing w:val="-11"/>
          <w:sz w:val="20"/>
        </w:rPr>
        <w:t xml:space="preserve"> </w:t>
      </w:r>
      <w:r w:rsidRPr="000D2AE1">
        <w:rPr>
          <w:rFonts w:asciiTheme="majorBidi" w:hAnsiTheme="majorBidi" w:cstheme="majorBidi"/>
          <w:i/>
          <w:color w:val="595959"/>
          <w:sz w:val="20"/>
        </w:rPr>
        <w:t>researcher</w:t>
      </w:r>
      <w:r w:rsidRPr="000D2AE1">
        <w:rPr>
          <w:rFonts w:asciiTheme="majorBidi" w:hAnsiTheme="majorBidi" w:cstheme="majorBidi"/>
          <w:i/>
          <w:color w:val="595959"/>
          <w:spacing w:val="-10"/>
          <w:sz w:val="20"/>
        </w:rPr>
        <w:t xml:space="preserve"> </w:t>
      </w:r>
      <w:r w:rsidRPr="000D2AE1">
        <w:rPr>
          <w:rFonts w:asciiTheme="majorBidi" w:hAnsiTheme="majorBidi" w:cstheme="majorBidi"/>
          <w:i/>
          <w:color w:val="595959"/>
          <w:sz w:val="20"/>
        </w:rPr>
        <w:t>from</w:t>
      </w:r>
      <w:r w:rsidRPr="000D2AE1">
        <w:rPr>
          <w:rFonts w:asciiTheme="majorBidi" w:hAnsiTheme="majorBidi" w:cstheme="majorBidi"/>
          <w:i/>
          <w:color w:val="595959"/>
          <w:spacing w:val="-12"/>
          <w:sz w:val="20"/>
        </w:rPr>
        <w:t xml:space="preserve"> </w:t>
      </w:r>
      <w:r w:rsidRPr="000D2AE1">
        <w:rPr>
          <w:rFonts w:asciiTheme="majorBidi" w:hAnsiTheme="majorBidi" w:cstheme="majorBidi"/>
          <w:i/>
          <w:color w:val="595959"/>
          <w:sz w:val="20"/>
        </w:rPr>
        <w:t>the</w:t>
      </w:r>
      <w:r w:rsidRPr="000D2AE1">
        <w:rPr>
          <w:rFonts w:asciiTheme="majorBidi" w:hAnsiTheme="majorBidi" w:cstheme="majorBidi"/>
          <w:i/>
          <w:color w:val="595959"/>
          <w:spacing w:val="-11"/>
          <w:sz w:val="20"/>
        </w:rPr>
        <w:t xml:space="preserve"> </w:t>
      </w:r>
      <w:r w:rsidRPr="000D2AE1">
        <w:rPr>
          <w:rFonts w:asciiTheme="majorBidi" w:hAnsiTheme="majorBidi" w:cstheme="majorBidi"/>
          <w:i/>
          <w:color w:val="595959"/>
          <w:sz w:val="20"/>
        </w:rPr>
        <w:t>reviewed</w:t>
      </w:r>
      <w:r w:rsidRPr="000D2AE1">
        <w:rPr>
          <w:rFonts w:asciiTheme="majorBidi" w:hAnsiTheme="majorBidi" w:cstheme="majorBidi"/>
          <w:i/>
          <w:color w:val="595959"/>
          <w:spacing w:val="-10"/>
          <w:sz w:val="20"/>
        </w:rPr>
        <w:t xml:space="preserve"> </w:t>
      </w:r>
      <w:r w:rsidRPr="000D2AE1">
        <w:rPr>
          <w:rFonts w:asciiTheme="majorBidi" w:hAnsiTheme="majorBidi" w:cstheme="majorBidi"/>
          <w:i/>
          <w:color w:val="595959"/>
          <w:spacing w:val="-2"/>
          <w:sz w:val="20"/>
        </w:rPr>
        <w:t>literature.</w:t>
      </w:r>
    </w:p>
    <w:p w14:paraId="662424CC" w14:textId="77777777" w:rsidR="000D2AE1" w:rsidRPr="000D2AE1" w:rsidRDefault="000D2AE1" w:rsidP="000D2AE1">
      <w:pPr>
        <w:pStyle w:val="Heading7"/>
        <w:spacing w:before="217"/>
        <w:rPr>
          <w:rFonts w:asciiTheme="majorBidi" w:hAnsiTheme="majorBidi"/>
          <w:i w:val="0"/>
          <w:iCs w:val="0"/>
          <w:color w:val="000000" w:themeColor="text1"/>
        </w:rPr>
      </w:pPr>
    </w:p>
    <w:p w14:paraId="13A497A1" w14:textId="77777777" w:rsidR="000D2AE1" w:rsidRPr="000D2AE1" w:rsidRDefault="000D2AE1" w:rsidP="000D2AE1">
      <w:pPr>
        <w:pStyle w:val="Heading7"/>
        <w:spacing w:before="217"/>
        <w:rPr>
          <w:rFonts w:asciiTheme="majorBidi" w:hAnsiTheme="majorBidi"/>
          <w:i w:val="0"/>
          <w:iCs w:val="0"/>
          <w:color w:val="000000" w:themeColor="text1"/>
        </w:rPr>
      </w:pPr>
    </w:p>
    <w:p w14:paraId="2C59B615" w14:textId="77777777" w:rsidR="000D2AE1" w:rsidRDefault="000D2AE1" w:rsidP="000D2AE1">
      <w:pPr>
        <w:rPr>
          <w:rFonts w:asciiTheme="majorBidi" w:hAnsiTheme="majorBidi" w:cstheme="majorBidi"/>
        </w:rPr>
      </w:pPr>
    </w:p>
    <w:p w14:paraId="220F181A" w14:textId="77777777" w:rsidR="005F1541" w:rsidRDefault="005F1541" w:rsidP="000D2AE1">
      <w:pPr>
        <w:rPr>
          <w:rFonts w:asciiTheme="majorBidi" w:hAnsiTheme="majorBidi" w:cstheme="majorBidi"/>
        </w:rPr>
      </w:pPr>
    </w:p>
    <w:p w14:paraId="31A9BBC9" w14:textId="77777777" w:rsidR="005F1541" w:rsidRPr="000D2AE1" w:rsidRDefault="005F1541" w:rsidP="000D2AE1">
      <w:pPr>
        <w:rPr>
          <w:rFonts w:asciiTheme="majorBidi" w:hAnsiTheme="majorBidi" w:cstheme="majorBidi"/>
        </w:rPr>
      </w:pPr>
    </w:p>
    <w:p w14:paraId="08AB1F1F" w14:textId="77777777" w:rsidR="000D2AE1" w:rsidRPr="000D2AE1" w:rsidRDefault="000D2AE1" w:rsidP="000D2AE1">
      <w:pPr>
        <w:rPr>
          <w:rFonts w:asciiTheme="majorBidi" w:hAnsiTheme="majorBidi" w:cstheme="majorBidi"/>
        </w:rPr>
      </w:pPr>
    </w:p>
    <w:p w14:paraId="27D5936C" w14:textId="77777777" w:rsidR="000D2AE1" w:rsidRPr="000D2AE1" w:rsidRDefault="000D2AE1" w:rsidP="000D2AE1">
      <w:pPr>
        <w:pStyle w:val="Heading7"/>
        <w:spacing w:before="217"/>
        <w:rPr>
          <w:rFonts w:asciiTheme="majorBidi" w:hAnsiTheme="majorBidi"/>
          <w:i w:val="0"/>
          <w:iCs w:val="0"/>
          <w:color w:val="000000" w:themeColor="text1"/>
          <w:spacing w:val="-2"/>
        </w:rPr>
      </w:pPr>
      <w:r w:rsidRPr="000D2AE1">
        <w:rPr>
          <w:rFonts w:asciiTheme="majorBidi" w:hAnsiTheme="majorBidi"/>
          <w:i w:val="0"/>
          <w:iCs w:val="0"/>
          <w:color w:val="000000" w:themeColor="text1"/>
        </w:rPr>
        <w:t>Table</w:t>
      </w:r>
      <w:r w:rsidRPr="000D2AE1">
        <w:rPr>
          <w:rFonts w:asciiTheme="majorBidi" w:hAnsiTheme="majorBidi"/>
          <w:i w:val="0"/>
          <w:iCs w:val="0"/>
          <w:color w:val="000000" w:themeColor="text1"/>
          <w:spacing w:val="-16"/>
        </w:rPr>
        <w:t xml:space="preserve"> </w:t>
      </w:r>
      <w:r w:rsidRPr="000D2AE1">
        <w:rPr>
          <w:rFonts w:asciiTheme="majorBidi" w:hAnsiTheme="majorBidi"/>
          <w:i w:val="0"/>
          <w:iCs w:val="0"/>
          <w:color w:val="000000" w:themeColor="text1"/>
        </w:rPr>
        <w:t>2.2:</w:t>
      </w:r>
      <w:r w:rsidRPr="000D2AE1">
        <w:rPr>
          <w:rFonts w:asciiTheme="majorBidi" w:hAnsiTheme="majorBidi"/>
          <w:i w:val="0"/>
          <w:iCs w:val="0"/>
          <w:color w:val="000000" w:themeColor="text1"/>
          <w:spacing w:val="-10"/>
        </w:rPr>
        <w:t xml:space="preserve"> </w:t>
      </w:r>
      <w:r w:rsidRPr="000D2AE1">
        <w:rPr>
          <w:rFonts w:asciiTheme="majorBidi" w:hAnsiTheme="majorBidi"/>
          <w:i w:val="0"/>
          <w:iCs w:val="0"/>
          <w:color w:val="000000" w:themeColor="text1"/>
        </w:rPr>
        <w:t>Comparison</w:t>
      </w:r>
      <w:r w:rsidRPr="000D2AE1">
        <w:rPr>
          <w:rFonts w:asciiTheme="majorBidi" w:hAnsiTheme="majorBidi"/>
          <w:i w:val="0"/>
          <w:iCs w:val="0"/>
          <w:color w:val="000000" w:themeColor="text1"/>
          <w:spacing w:val="-8"/>
        </w:rPr>
        <w:t xml:space="preserve"> </w:t>
      </w:r>
      <w:r w:rsidRPr="000D2AE1">
        <w:rPr>
          <w:rFonts w:asciiTheme="majorBidi" w:hAnsiTheme="majorBidi"/>
          <w:i w:val="0"/>
          <w:iCs w:val="0"/>
          <w:color w:val="000000" w:themeColor="text1"/>
        </w:rPr>
        <w:t>of</w:t>
      </w:r>
      <w:r w:rsidRPr="000D2AE1">
        <w:rPr>
          <w:rFonts w:asciiTheme="majorBidi" w:hAnsiTheme="majorBidi"/>
          <w:i w:val="0"/>
          <w:iCs w:val="0"/>
          <w:color w:val="000000" w:themeColor="text1"/>
          <w:spacing w:val="-9"/>
        </w:rPr>
        <w:t xml:space="preserve"> </w:t>
      </w:r>
      <w:r w:rsidRPr="000D2AE1">
        <w:rPr>
          <w:rFonts w:asciiTheme="majorBidi" w:hAnsiTheme="majorBidi"/>
          <w:i w:val="0"/>
          <w:iCs w:val="0"/>
          <w:color w:val="000000" w:themeColor="text1"/>
        </w:rPr>
        <w:t>Findings</w:t>
      </w:r>
      <w:r w:rsidRPr="000D2AE1">
        <w:rPr>
          <w:rFonts w:asciiTheme="majorBidi" w:hAnsiTheme="majorBidi"/>
          <w:i w:val="0"/>
          <w:iCs w:val="0"/>
          <w:color w:val="000000" w:themeColor="text1"/>
          <w:spacing w:val="-9"/>
        </w:rPr>
        <w:t xml:space="preserve"> </w:t>
      </w:r>
      <w:r w:rsidRPr="000D2AE1">
        <w:rPr>
          <w:rFonts w:asciiTheme="majorBidi" w:hAnsiTheme="majorBidi"/>
          <w:i w:val="0"/>
          <w:iCs w:val="0"/>
          <w:color w:val="000000" w:themeColor="text1"/>
        </w:rPr>
        <w:t>on</w:t>
      </w:r>
      <w:r w:rsidRPr="000D2AE1">
        <w:rPr>
          <w:rFonts w:asciiTheme="majorBidi" w:hAnsiTheme="majorBidi"/>
          <w:i w:val="0"/>
          <w:iCs w:val="0"/>
          <w:color w:val="000000" w:themeColor="text1"/>
          <w:spacing w:val="-9"/>
        </w:rPr>
        <w:t xml:space="preserve"> </w:t>
      </w:r>
      <w:r w:rsidRPr="000D2AE1">
        <w:rPr>
          <w:rFonts w:asciiTheme="majorBidi" w:hAnsiTheme="majorBidi"/>
          <w:i w:val="0"/>
          <w:iCs w:val="0"/>
          <w:color w:val="000000" w:themeColor="text1"/>
        </w:rPr>
        <w:t>the</w:t>
      </w:r>
      <w:r w:rsidRPr="000D2AE1">
        <w:rPr>
          <w:rFonts w:asciiTheme="majorBidi" w:hAnsiTheme="majorBidi"/>
          <w:i w:val="0"/>
          <w:iCs w:val="0"/>
          <w:color w:val="000000" w:themeColor="text1"/>
          <w:spacing w:val="-14"/>
        </w:rPr>
        <w:t xml:space="preserve"> </w:t>
      </w:r>
      <w:r w:rsidRPr="000D2AE1">
        <w:rPr>
          <w:rFonts w:asciiTheme="majorBidi" w:hAnsiTheme="majorBidi"/>
          <w:i w:val="0"/>
          <w:iCs w:val="0"/>
          <w:color w:val="000000" w:themeColor="text1"/>
        </w:rPr>
        <w:t>AI-Performance</w:t>
      </w:r>
      <w:r w:rsidRPr="000D2AE1">
        <w:rPr>
          <w:rFonts w:asciiTheme="majorBidi" w:hAnsiTheme="majorBidi"/>
          <w:i w:val="0"/>
          <w:iCs w:val="0"/>
          <w:color w:val="000000" w:themeColor="text1"/>
          <w:spacing w:val="-8"/>
        </w:rPr>
        <w:t xml:space="preserve"> </w:t>
      </w:r>
      <w:r w:rsidRPr="000D2AE1">
        <w:rPr>
          <w:rFonts w:asciiTheme="majorBidi" w:hAnsiTheme="majorBidi"/>
          <w:i w:val="0"/>
          <w:iCs w:val="0"/>
          <w:color w:val="000000" w:themeColor="text1"/>
          <w:spacing w:val="-2"/>
        </w:rPr>
        <w:t>Relationship</w:t>
      </w:r>
    </w:p>
    <w:p w14:paraId="478561B0" w14:textId="77777777" w:rsidR="000D2AE1" w:rsidRPr="000D2AE1" w:rsidRDefault="000D2AE1" w:rsidP="000D2AE1">
      <w:pPr>
        <w:rPr>
          <w:rFonts w:asciiTheme="majorBidi" w:hAnsiTheme="majorBidi" w:cstheme="majorBidi"/>
        </w:rPr>
      </w:pPr>
    </w:p>
    <w:tbl>
      <w:tblPr>
        <w:tblW w:w="0" w:type="auto"/>
        <w:tblInd w:w="32" w:type="dxa"/>
        <w:tblBorders>
          <w:top w:val="single" w:sz="4" w:space="0" w:color="8FAADC"/>
          <w:left w:val="single" w:sz="4" w:space="0" w:color="8FAADC"/>
          <w:bottom w:val="single" w:sz="4" w:space="0" w:color="8FAADC"/>
          <w:right w:val="single" w:sz="4" w:space="0" w:color="8FAADC"/>
          <w:insideH w:val="single" w:sz="4" w:space="0" w:color="8FAADC"/>
          <w:insideV w:val="single" w:sz="4" w:space="0" w:color="8FAADC"/>
        </w:tblBorders>
        <w:tblLayout w:type="fixed"/>
        <w:tblCellMar>
          <w:left w:w="0" w:type="dxa"/>
          <w:right w:w="0" w:type="dxa"/>
        </w:tblCellMar>
        <w:tblLook w:val="01E0" w:firstRow="1" w:lastRow="1" w:firstColumn="1" w:lastColumn="1" w:noHBand="0" w:noVBand="0"/>
      </w:tblPr>
      <w:tblGrid>
        <w:gridCol w:w="2602"/>
        <w:gridCol w:w="3600"/>
        <w:gridCol w:w="2870"/>
      </w:tblGrid>
      <w:tr w:rsidR="000D2AE1" w:rsidRPr="000D2AE1" w14:paraId="0F9AEC5E" w14:textId="77777777" w:rsidTr="00246202">
        <w:trPr>
          <w:trHeight w:val="570"/>
        </w:trPr>
        <w:tc>
          <w:tcPr>
            <w:tcW w:w="2602" w:type="dxa"/>
            <w:shd w:val="clear" w:color="auto" w:fill="1F3864"/>
          </w:tcPr>
          <w:p w14:paraId="63017367" w14:textId="77777777" w:rsidR="000D2AE1" w:rsidRPr="000D2AE1" w:rsidRDefault="000D2AE1" w:rsidP="00246202">
            <w:pPr>
              <w:pStyle w:val="TableParagraph"/>
              <w:ind w:left="8"/>
              <w:jc w:val="center"/>
              <w:rPr>
                <w:rFonts w:asciiTheme="majorBidi" w:hAnsiTheme="majorBidi" w:cstheme="majorBidi"/>
                <w:b/>
              </w:rPr>
            </w:pPr>
            <w:r w:rsidRPr="000D2AE1">
              <w:rPr>
                <w:rFonts w:asciiTheme="majorBidi" w:hAnsiTheme="majorBidi" w:cstheme="majorBidi"/>
                <w:b/>
                <w:color w:val="FFFFFF"/>
                <w:spacing w:val="-2"/>
              </w:rPr>
              <w:t>Study</w:t>
            </w:r>
          </w:p>
        </w:tc>
        <w:tc>
          <w:tcPr>
            <w:tcW w:w="3600" w:type="dxa"/>
            <w:shd w:val="clear" w:color="auto" w:fill="1F3864"/>
          </w:tcPr>
          <w:p w14:paraId="49B527C9" w14:textId="77777777" w:rsidR="000D2AE1" w:rsidRPr="000D2AE1" w:rsidRDefault="000D2AE1" w:rsidP="00246202">
            <w:pPr>
              <w:pStyle w:val="TableParagraph"/>
              <w:ind w:left="156"/>
              <w:rPr>
                <w:rFonts w:asciiTheme="majorBidi" w:hAnsiTheme="majorBidi" w:cstheme="majorBidi"/>
                <w:b/>
              </w:rPr>
            </w:pPr>
            <w:r w:rsidRPr="000D2AE1">
              <w:rPr>
                <w:rFonts w:asciiTheme="majorBidi" w:hAnsiTheme="majorBidi" w:cstheme="majorBidi"/>
                <w:b/>
                <w:color w:val="FFFFFF"/>
              </w:rPr>
              <w:t>Performance</w:t>
            </w:r>
            <w:r w:rsidRPr="000D2AE1">
              <w:rPr>
                <w:rFonts w:asciiTheme="majorBidi" w:hAnsiTheme="majorBidi" w:cstheme="majorBidi"/>
                <w:b/>
                <w:color w:val="FFFFFF"/>
                <w:spacing w:val="-10"/>
              </w:rPr>
              <w:t xml:space="preserve"> </w:t>
            </w:r>
            <w:r w:rsidRPr="000D2AE1">
              <w:rPr>
                <w:rFonts w:asciiTheme="majorBidi" w:hAnsiTheme="majorBidi" w:cstheme="majorBidi"/>
                <w:b/>
                <w:color w:val="FFFFFF"/>
              </w:rPr>
              <w:t>Dimension</w:t>
            </w:r>
            <w:r w:rsidRPr="000D2AE1">
              <w:rPr>
                <w:rFonts w:asciiTheme="majorBidi" w:hAnsiTheme="majorBidi" w:cstheme="majorBidi"/>
                <w:b/>
                <w:color w:val="FFFFFF"/>
                <w:spacing w:val="-10"/>
              </w:rPr>
              <w:t xml:space="preserve"> </w:t>
            </w:r>
            <w:r w:rsidRPr="000D2AE1">
              <w:rPr>
                <w:rFonts w:asciiTheme="majorBidi" w:hAnsiTheme="majorBidi" w:cstheme="majorBidi"/>
                <w:b/>
                <w:color w:val="FFFFFF"/>
                <w:spacing w:val="-2"/>
              </w:rPr>
              <w:t>Examined</w:t>
            </w:r>
          </w:p>
        </w:tc>
        <w:tc>
          <w:tcPr>
            <w:tcW w:w="2870" w:type="dxa"/>
            <w:shd w:val="clear" w:color="auto" w:fill="1F3864"/>
          </w:tcPr>
          <w:p w14:paraId="45C41D0A" w14:textId="77777777" w:rsidR="000D2AE1" w:rsidRPr="000D2AE1" w:rsidRDefault="000D2AE1" w:rsidP="00246202">
            <w:pPr>
              <w:pStyle w:val="TableParagraph"/>
              <w:ind w:left="257"/>
              <w:rPr>
                <w:rFonts w:asciiTheme="majorBidi" w:hAnsiTheme="majorBidi" w:cstheme="majorBidi"/>
                <w:b/>
              </w:rPr>
            </w:pPr>
            <w:r w:rsidRPr="000D2AE1">
              <w:rPr>
                <w:rFonts w:asciiTheme="majorBidi" w:hAnsiTheme="majorBidi" w:cstheme="majorBidi"/>
                <w:b/>
                <w:color w:val="FFFFFF"/>
              </w:rPr>
              <w:t>Direction</w:t>
            </w:r>
            <w:r w:rsidRPr="000D2AE1">
              <w:rPr>
                <w:rFonts w:asciiTheme="majorBidi" w:hAnsiTheme="majorBidi" w:cstheme="majorBidi"/>
                <w:b/>
                <w:color w:val="FFFFFF"/>
                <w:spacing w:val="-8"/>
              </w:rPr>
              <w:t xml:space="preserve"> </w:t>
            </w:r>
            <w:r w:rsidRPr="000D2AE1">
              <w:rPr>
                <w:rFonts w:asciiTheme="majorBidi" w:hAnsiTheme="majorBidi" w:cstheme="majorBidi"/>
                <w:b/>
                <w:color w:val="FFFFFF"/>
              </w:rPr>
              <w:t>of</w:t>
            </w:r>
            <w:r w:rsidRPr="000D2AE1">
              <w:rPr>
                <w:rFonts w:asciiTheme="majorBidi" w:hAnsiTheme="majorBidi" w:cstheme="majorBidi"/>
                <w:b/>
                <w:color w:val="FFFFFF"/>
                <w:spacing w:val="-7"/>
              </w:rPr>
              <w:t xml:space="preserve"> </w:t>
            </w:r>
            <w:r w:rsidRPr="000D2AE1">
              <w:rPr>
                <w:rFonts w:asciiTheme="majorBidi" w:hAnsiTheme="majorBidi" w:cstheme="majorBidi"/>
                <w:b/>
                <w:color w:val="FFFFFF"/>
                <w:spacing w:val="-2"/>
              </w:rPr>
              <w:t>Relationship</w:t>
            </w:r>
          </w:p>
        </w:tc>
      </w:tr>
      <w:tr w:rsidR="000D2AE1" w:rsidRPr="000D2AE1" w14:paraId="7D74EF30" w14:textId="77777777" w:rsidTr="00246202">
        <w:trPr>
          <w:trHeight w:val="570"/>
        </w:trPr>
        <w:tc>
          <w:tcPr>
            <w:tcW w:w="2602" w:type="dxa"/>
          </w:tcPr>
          <w:p w14:paraId="456A7C8F" w14:textId="77777777" w:rsidR="000D2AE1" w:rsidRPr="000D2AE1" w:rsidRDefault="000D2AE1" w:rsidP="00246202">
            <w:pPr>
              <w:pStyle w:val="TableParagraph"/>
              <w:rPr>
                <w:rFonts w:asciiTheme="majorBidi" w:hAnsiTheme="majorBidi" w:cstheme="majorBidi"/>
              </w:rPr>
            </w:pPr>
            <w:r w:rsidRPr="000D2AE1">
              <w:rPr>
                <w:rFonts w:asciiTheme="majorBidi" w:hAnsiTheme="majorBidi" w:cstheme="majorBidi"/>
              </w:rPr>
              <w:t>Buchanan</w:t>
            </w:r>
            <w:r w:rsidRPr="000D2AE1">
              <w:rPr>
                <w:rFonts w:asciiTheme="majorBidi" w:hAnsiTheme="majorBidi" w:cstheme="majorBidi"/>
                <w:spacing w:val="-8"/>
              </w:rPr>
              <w:t xml:space="preserve"> </w:t>
            </w:r>
            <w:r w:rsidRPr="000D2AE1">
              <w:rPr>
                <w:rFonts w:asciiTheme="majorBidi" w:hAnsiTheme="majorBidi" w:cstheme="majorBidi"/>
                <w:spacing w:val="-2"/>
              </w:rPr>
              <w:t>(2019)</w:t>
            </w:r>
          </w:p>
        </w:tc>
        <w:tc>
          <w:tcPr>
            <w:tcW w:w="3600" w:type="dxa"/>
          </w:tcPr>
          <w:p w14:paraId="21394C73"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Strategic</w:t>
            </w:r>
            <w:r w:rsidRPr="000D2AE1">
              <w:rPr>
                <w:rFonts w:asciiTheme="majorBidi" w:hAnsiTheme="majorBidi" w:cstheme="majorBidi"/>
                <w:spacing w:val="-9"/>
              </w:rPr>
              <w:t xml:space="preserve"> </w:t>
            </w:r>
            <w:r w:rsidRPr="000D2AE1">
              <w:rPr>
                <w:rFonts w:asciiTheme="majorBidi" w:hAnsiTheme="majorBidi" w:cstheme="majorBidi"/>
              </w:rPr>
              <w:t>outcomes</w:t>
            </w:r>
            <w:r w:rsidRPr="000D2AE1">
              <w:rPr>
                <w:rFonts w:asciiTheme="majorBidi" w:hAnsiTheme="majorBidi" w:cstheme="majorBidi"/>
                <w:spacing w:val="-8"/>
              </w:rPr>
              <w:t xml:space="preserve"> </w:t>
            </w:r>
            <w:r w:rsidRPr="000D2AE1">
              <w:rPr>
                <w:rFonts w:asciiTheme="majorBidi" w:hAnsiTheme="majorBidi" w:cstheme="majorBidi"/>
                <w:spacing w:val="-2"/>
              </w:rPr>
              <w:t>(conceptual)</w:t>
            </w:r>
          </w:p>
        </w:tc>
        <w:tc>
          <w:tcPr>
            <w:tcW w:w="2870" w:type="dxa"/>
          </w:tcPr>
          <w:p w14:paraId="2E368ABB"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Positive</w:t>
            </w:r>
            <w:r w:rsidRPr="000D2AE1">
              <w:rPr>
                <w:rFonts w:asciiTheme="majorBidi" w:hAnsiTheme="majorBidi" w:cstheme="majorBidi"/>
                <w:spacing w:val="-5"/>
              </w:rPr>
              <w:t xml:space="preserve"> </w:t>
            </w:r>
            <w:r w:rsidRPr="000D2AE1">
              <w:rPr>
                <w:rFonts w:asciiTheme="majorBidi" w:hAnsiTheme="majorBidi" w:cstheme="majorBidi"/>
              </w:rPr>
              <w:t>-</w:t>
            </w:r>
            <w:r w:rsidRPr="000D2AE1">
              <w:rPr>
                <w:rFonts w:asciiTheme="majorBidi" w:hAnsiTheme="majorBidi" w:cstheme="majorBidi"/>
                <w:spacing w:val="-4"/>
              </w:rPr>
              <w:t xml:space="preserve"> </w:t>
            </w:r>
            <w:r w:rsidRPr="000D2AE1">
              <w:rPr>
                <w:rFonts w:asciiTheme="majorBidi" w:hAnsiTheme="majorBidi" w:cstheme="majorBidi"/>
                <w:spacing w:val="-2"/>
              </w:rPr>
              <w:t>conceptual</w:t>
            </w:r>
          </w:p>
        </w:tc>
      </w:tr>
      <w:tr w:rsidR="000D2AE1" w:rsidRPr="000D2AE1" w14:paraId="6080C7D5" w14:textId="77777777" w:rsidTr="00246202">
        <w:trPr>
          <w:trHeight w:val="570"/>
        </w:trPr>
        <w:tc>
          <w:tcPr>
            <w:tcW w:w="2602" w:type="dxa"/>
            <w:shd w:val="clear" w:color="auto" w:fill="EAF1FB"/>
          </w:tcPr>
          <w:p w14:paraId="0A08FAAE" w14:textId="77777777" w:rsidR="000D2AE1" w:rsidRPr="000D2AE1" w:rsidRDefault="000D2AE1" w:rsidP="00246202">
            <w:pPr>
              <w:pStyle w:val="TableParagraph"/>
              <w:rPr>
                <w:rFonts w:asciiTheme="majorBidi" w:hAnsiTheme="majorBidi" w:cstheme="majorBidi"/>
              </w:rPr>
            </w:pPr>
            <w:r w:rsidRPr="000D2AE1">
              <w:rPr>
                <w:rFonts w:asciiTheme="majorBidi" w:hAnsiTheme="majorBidi" w:cstheme="majorBidi"/>
              </w:rPr>
              <w:t>Hofmann</w:t>
            </w:r>
            <w:r w:rsidRPr="000D2AE1">
              <w:rPr>
                <w:rFonts w:asciiTheme="majorBidi" w:hAnsiTheme="majorBidi" w:cstheme="majorBidi"/>
                <w:spacing w:val="-4"/>
              </w:rPr>
              <w:t xml:space="preserve"> </w:t>
            </w:r>
            <w:r w:rsidRPr="000D2AE1">
              <w:rPr>
                <w:rFonts w:asciiTheme="majorBidi" w:hAnsiTheme="majorBidi" w:cstheme="majorBidi"/>
              </w:rPr>
              <w:t>et</w:t>
            </w:r>
            <w:r w:rsidRPr="000D2AE1">
              <w:rPr>
                <w:rFonts w:asciiTheme="majorBidi" w:hAnsiTheme="majorBidi" w:cstheme="majorBidi"/>
                <w:spacing w:val="-4"/>
              </w:rPr>
              <w:t xml:space="preserve"> </w:t>
            </w:r>
            <w:r w:rsidRPr="000D2AE1">
              <w:rPr>
                <w:rFonts w:asciiTheme="majorBidi" w:hAnsiTheme="majorBidi" w:cstheme="majorBidi"/>
              </w:rPr>
              <w:t>al.</w:t>
            </w:r>
            <w:r w:rsidRPr="000D2AE1">
              <w:rPr>
                <w:rFonts w:asciiTheme="majorBidi" w:hAnsiTheme="majorBidi" w:cstheme="majorBidi"/>
                <w:spacing w:val="-3"/>
              </w:rPr>
              <w:t xml:space="preserve"> </w:t>
            </w:r>
            <w:r w:rsidRPr="000D2AE1">
              <w:rPr>
                <w:rFonts w:asciiTheme="majorBidi" w:hAnsiTheme="majorBidi" w:cstheme="majorBidi"/>
                <w:spacing w:val="-2"/>
              </w:rPr>
              <w:t>(2020)</w:t>
            </w:r>
          </w:p>
        </w:tc>
        <w:tc>
          <w:tcPr>
            <w:tcW w:w="3600" w:type="dxa"/>
            <w:shd w:val="clear" w:color="auto" w:fill="EAF1FB"/>
          </w:tcPr>
          <w:p w14:paraId="15858A74"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Operational</w:t>
            </w:r>
            <w:r w:rsidRPr="000D2AE1">
              <w:rPr>
                <w:rFonts w:asciiTheme="majorBidi" w:hAnsiTheme="majorBidi" w:cstheme="majorBidi"/>
                <w:spacing w:val="-11"/>
              </w:rPr>
              <w:t xml:space="preserve"> </w:t>
            </w:r>
            <w:r w:rsidRPr="000D2AE1">
              <w:rPr>
                <w:rFonts w:asciiTheme="majorBidi" w:hAnsiTheme="majorBidi" w:cstheme="majorBidi"/>
                <w:spacing w:val="-2"/>
              </w:rPr>
              <w:t>efficiency</w:t>
            </w:r>
          </w:p>
        </w:tc>
        <w:tc>
          <w:tcPr>
            <w:tcW w:w="2870" w:type="dxa"/>
            <w:shd w:val="clear" w:color="auto" w:fill="EAF1FB"/>
          </w:tcPr>
          <w:p w14:paraId="3F1D422E"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Positive</w:t>
            </w:r>
            <w:r w:rsidRPr="000D2AE1">
              <w:rPr>
                <w:rFonts w:asciiTheme="majorBidi" w:hAnsiTheme="majorBidi" w:cstheme="majorBidi"/>
                <w:spacing w:val="-5"/>
              </w:rPr>
              <w:t xml:space="preserve"> </w:t>
            </w:r>
            <w:r w:rsidRPr="000D2AE1">
              <w:rPr>
                <w:rFonts w:asciiTheme="majorBidi" w:hAnsiTheme="majorBidi" w:cstheme="majorBidi"/>
              </w:rPr>
              <w:t>-</w:t>
            </w:r>
            <w:r w:rsidRPr="000D2AE1">
              <w:rPr>
                <w:rFonts w:asciiTheme="majorBidi" w:hAnsiTheme="majorBidi" w:cstheme="majorBidi"/>
                <w:spacing w:val="-4"/>
              </w:rPr>
              <w:t xml:space="preserve"> </w:t>
            </w:r>
            <w:r w:rsidRPr="000D2AE1">
              <w:rPr>
                <w:rFonts w:asciiTheme="majorBidi" w:hAnsiTheme="majorBidi" w:cstheme="majorBidi"/>
                <w:spacing w:val="-2"/>
              </w:rPr>
              <w:t>significant</w:t>
            </w:r>
          </w:p>
        </w:tc>
      </w:tr>
      <w:tr w:rsidR="000D2AE1" w:rsidRPr="000D2AE1" w14:paraId="0BF75417" w14:textId="77777777" w:rsidTr="00246202">
        <w:trPr>
          <w:trHeight w:val="570"/>
        </w:trPr>
        <w:tc>
          <w:tcPr>
            <w:tcW w:w="2602" w:type="dxa"/>
            <w:tcBorders>
              <w:top w:val="single" w:sz="4" w:space="0" w:color="8FAADC"/>
              <w:left w:val="single" w:sz="4" w:space="0" w:color="8FAADC"/>
              <w:bottom w:val="single" w:sz="4" w:space="0" w:color="8FAADC"/>
              <w:right w:val="single" w:sz="4" w:space="0" w:color="8FAADC"/>
            </w:tcBorders>
            <w:shd w:val="clear" w:color="auto" w:fill="EAF1FB"/>
          </w:tcPr>
          <w:p w14:paraId="477F3083" w14:textId="77777777" w:rsidR="000D2AE1" w:rsidRPr="000D2AE1" w:rsidRDefault="000D2AE1" w:rsidP="00246202">
            <w:pPr>
              <w:pStyle w:val="TableParagraph"/>
              <w:rPr>
                <w:rFonts w:asciiTheme="majorBidi" w:hAnsiTheme="majorBidi" w:cstheme="majorBidi"/>
              </w:rPr>
            </w:pPr>
            <w:r w:rsidRPr="000D2AE1">
              <w:rPr>
                <w:rFonts w:asciiTheme="majorBidi" w:hAnsiTheme="majorBidi" w:cstheme="majorBidi"/>
              </w:rPr>
              <w:t>Study</w:t>
            </w:r>
          </w:p>
        </w:tc>
        <w:tc>
          <w:tcPr>
            <w:tcW w:w="3600" w:type="dxa"/>
            <w:tcBorders>
              <w:top w:val="single" w:sz="4" w:space="0" w:color="8FAADC"/>
              <w:left w:val="single" w:sz="4" w:space="0" w:color="8FAADC"/>
              <w:bottom w:val="single" w:sz="4" w:space="0" w:color="8FAADC"/>
              <w:right w:val="single" w:sz="4" w:space="0" w:color="8FAADC"/>
            </w:tcBorders>
            <w:shd w:val="clear" w:color="auto" w:fill="EAF1FB"/>
          </w:tcPr>
          <w:p w14:paraId="7574EE46"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Performance Dimension Examined</w:t>
            </w:r>
          </w:p>
        </w:tc>
        <w:tc>
          <w:tcPr>
            <w:tcW w:w="2870" w:type="dxa"/>
            <w:tcBorders>
              <w:top w:val="single" w:sz="4" w:space="0" w:color="8FAADC"/>
              <w:left w:val="single" w:sz="4" w:space="0" w:color="8FAADC"/>
              <w:bottom w:val="single" w:sz="4" w:space="0" w:color="8FAADC"/>
              <w:right w:val="single" w:sz="4" w:space="0" w:color="8FAADC"/>
            </w:tcBorders>
            <w:shd w:val="clear" w:color="auto" w:fill="EAF1FB"/>
          </w:tcPr>
          <w:p w14:paraId="21E5E7B8"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Direction of Relationship</w:t>
            </w:r>
          </w:p>
        </w:tc>
      </w:tr>
      <w:tr w:rsidR="000D2AE1" w:rsidRPr="000D2AE1" w14:paraId="60C1EBDB" w14:textId="77777777" w:rsidTr="00246202">
        <w:trPr>
          <w:trHeight w:val="570"/>
        </w:trPr>
        <w:tc>
          <w:tcPr>
            <w:tcW w:w="2602" w:type="dxa"/>
            <w:tcBorders>
              <w:top w:val="single" w:sz="4" w:space="0" w:color="8FAADC"/>
              <w:left w:val="single" w:sz="4" w:space="0" w:color="8FAADC"/>
              <w:bottom w:val="single" w:sz="4" w:space="0" w:color="8FAADC"/>
              <w:right w:val="single" w:sz="4" w:space="0" w:color="8FAADC"/>
            </w:tcBorders>
            <w:shd w:val="clear" w:color="auto" w:fill="EAF1FB"/>
          </w:tcPr>
          <w:p w14:paraId="2A61AC75" w14:textId="77777777" w:rsidR="000D2AE1" w:rsidRPr="000D2AE1" w:rsidRDefault="000D2AE1" w:rsidP="00246202">
            <w:pPr>
              <w:pStyle w:val="TableParagraph"/>
              <w:rPr>
                <w:rFonts w:asciiTheme="majorBidi" w:hAnsiTheme="majorBidi" w:cstheme="majorBidi"/>
              </w:rPr>
            </w:pPr>
            <w:proofErr w:type="spellStart"/>
            <w:r w:rsidRPr="000D2AE1">
              <w:rPr>
                <w:rFonts w:asciiTheme="majorBidi" w:hAnsiTheme="majorBidi" w:cstheme="majorBidi"/>
              </w:rPr>
              <w:t>Mogaji</w:t>
            </w:r>
            <w:proofErr w:type="spellEnd"/>
            <w:r w:rsidRPr="000D2AE1">
              <w:rPr>
                <w:rFonts w:asciiTheme="majorBidi" w:hAnsiTheme="majorBidi" w:cstheme="majorBidi"/>
              </w:rPr>
              <w:t xml:space="preserve"> et al. (2021)</w:t>
            </w:r>
          </w:p>
        </w:tc>
        <w:tc>
          <w:tcPr>
            <w:tcW w:w="3600" w:type="dxa"/>
            <w:tcBorders>
              <w:top w:val="single" w:sz="4" w:space="0" w:color="8FAADC"/>
              <w:left w:val="single" w:sz="4" w:space="0" w:color="8FAADC"/>
              <w:bottom w:val="single" w:sz="4" w:space="0" w:color="8FAADC"/>
              <w:right w:val="single" w:sz="4" w:space="0" w:color="8FAADC"/>
            </w:tcBorders>
            <w:shd w:val="clear" w:color="auto" w:fill="EAF1FB"/>
          </w:tcPr>
          <w:p w14:paraId="0021BD87"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Customer experience / satisfaction</w:t>
            </w:r>
          </w:p>
        </w:tc>
        <w:tc>
          <w:tcPr>
            <w:tcW w:w="2870" w:type="dxa"/>
            <w:tcBorders>
              <w:top w:val="single" w:sz="4" w:space="0" w:color="8FAADC"/>
              <w:left w:val="single" w:sz="4" w:space="0" w:color="8FAADC"/>
              <w:bottom w:val="single" w:sz="4" w:space="0" w:color="8FAADC"/>
              <w:right w:val="single" w:sz="4" w:space="0" w:color="8FAADC"/>
            </w:tcBorders>
            <w:shd w:val="clear" w:color="auto" w:fill="EAF1FB"/>
          </w:tcPr>
          <w:p w14:paraId="2970A049"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Mixed - context-dependent</w:t>
            </w:r>
          </w:p>
        </w:tc>
      </w:tr>
      <w:tr w:rsidR="000D2AE1" w:rsidRPr="000D2AE1" w14:paraId="3B3CA21E" w14:textId="77777777" w:rsidTr="00246202">
        <w:trPr>
          <w:trHeight w:val="570"/>
        </w:trPr>
        <w:tc>
          <w:tcPr>
            <w:tcW w:w="2602" w:type="dxa"/>
            <w:tcBorders>
              <w:top w:val="single" w:sz="4" w:space="0" w:color="8FAADC"/>
              <w:left w:val="single" w:sz="4" w:space="0" w:color="8FAADC"/>
              <w:bottom w:val="single" w:sz="4" w:space="0" w:color="8FAADC"/>
              <w:right w:val="single" w:sz="4" w:space="0" w:color="8FAADC"/>
            </w:tcBorders>
            <w:shd w:val="clear" w:color="auto" w:fill="EAF1FB"/>
          </w:tcPr>
          <w:p w14:paraId="0A8228E6" w14:textId="77777777" w:rsidR="000D2AE1" w:rsidRPr="000D2AE1" w:rsidRDefault="000D2AE1" w:rsidP="00246202">
            <w:pPr>
              <w:pStyle w:val="TableParagraph"/>
              <w:rPr>
                <w:rFonts w:asciiTheme="majorBidi" w:hAnsiTheme="majorBidi" w:cstheme="majorBidi"/>
              </w:rPr>
            </w:pPr>
            <w:proofErr w:type="spellStart"/>
            <w:r w:rsidRPr="000D2AE1">
              <w:rPr>
                <w:rFonts w:asciiTheme="majorBidi" w:hAnsiTheme="majorBidi" w:cstheme="majorBidi"/>
              </w:rPr>
              <w:t>Sheth</w:t>
            </w:r>
            <w:proofErr w:type="spellEnd"/>
            <w:r w:rsidRPr="000D2AE1">
              <w:rPr>
                <w:rFonts w:asciiTheme="majorBidi" w:hAnsiTheme="majorBidi" w:cstheme="majorBidi"/>
              </w:rPr>
              <w:t xml:space="preserve"> et al. (2022)</w:t>
            </w:r>
          </w:p>
        </w:tc>
        <w:tc>
          <w:tcPr>
            <w:tcW w:w="3600" w:type="dxa"/>
            <w:tcBorders>
              <w:top w:val="single" w:sz="4" w:space="0" w:color="8FAADC"/>
              <w:left w:val="single" w:sz="4" w:space="0" w:color="8FAADC"/>
              <w:bottom w:val="single" w:sz="4" w:space="0" w:color="8FAADC"/>
              <w:right w:val="single" w:sz="4" w:space="0" w:color="8FAADC"/>
            </w:tcBorders>
            <w:shd w:val="clear" w:color="auto" w:fill="EAF1FB"/>
          </w:tcPr>
          <w:p w14:paraId="3E67A817"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Customer engagement, cross-selling</w:t>
            </w:r>
          </w:p>
        </w:tc>
        <w:tc>
          <w:tcPr>
            <w:tcW w:w="2870" w:type="dxa"/>
            <w:tcBorders>
              <w:top w:val="single" w:sz="4" w:space="0" w:color="8FAADC"/>
              <w:left w:val="single" w:sz="4" w:space="0" w:color="8FAADC"/>
              <w:bottom w:val="single" w:sz="4" w:space="0" w:color="8FAADC"/>
              <w:right w:val="single" w:sz="4" w:space="0" w:color="8FAADC"/>
            </w:tcBorders>
            <w:shd w:val="clear" w:color="auto" w:fill="EAF1FB"/>
          </w:tcPr>
          <w:p w14:paraId="29A85E76"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Positive - calibration-dependent</w:t>
            </w:r>
          </w:p>
        </w:tc>
      </w:tr>
      <w:tr w:rsidR="000D2AE1" w:rsidRPr="000D2AE1" w14:paraId="36BC6D7A" w14:textId="77777777" w:rsidTr="00246202">
        <w:trPr>
          <w:trHeight w:val="570"/>
        </w:trPr>
        <w:tc>
          <w:tcPr>
            <w:tcW w:w="2602" w:type="dxa"/>
            <w:tcBorders>
              <w:top w:val="single" w:sz="4" w:space="0" w:color="8FAADC"/>
              <w:left w:val="single" w:sz="4" w:space="0" w:color="8FAADC"/>
              <w:bottom w:val="single" w:sz="4" w:space="0" w:color="8FAADC"/>
              <w:right w:val="single" w:sz="4" w:space="0" w:color="8FAADC"/>
            </w:tcBorders>
            <w:shd w:val="clear" w:color="auto" w:fill="EAF1FB"/>
          </w:tcPr>
          <w:p w14:paraId="20243D28" w14:textId="77777777" w:rsidR="000D2AE1" w:rsidRPr="000D2AE1" w:rsidRDefault="000D2AE1" w:rsidP="00246202">
            <w:pPr>
              <w:pStyle w:val="TableParagraph"/>
              <w:rPr>
                <w:rFonts w:asciiTheme="majorBidi" w:hAnsiTheme="majorBidi" w:cstheme="majorBidi"/>
              </w:rPr>
            </w:pPr>
            <w:r w:rsidRPr="000D2AE1">
              <w:rPr>
                <w:rFonts w:asciiTheme="majorBidi" w:hAnsiTheme="majorBidi" w:cstheme="majorBidi"/>
              </w:rPr>
              <w:t>Kaur et al. (2023)</w:t>
            </w:r>
          </w:p>
        </w:tc>
        <w:tc>
          <w:tcPr>
            <w:tcW w:w="3600" w:type="dxa"/>
            <w:tcBorders>
              <w:top w:val="single" w:sz="4" w:space="0" w:color="8FAADC"/>
              <w:left w:val="single" w:sz="4" w:space="0" w:color="8FAADC"/>
              <w:bottom w:val="single" w:sz="4" w:space="0" w:color="8FAADC"/>
              <w:right w:val="single" w:sz="4" w:space="0" w:color="8FAADC"/>
            </w:tcBorders>
            <w:shd w:val="clear" w:color="auto" w:fill="EAF1FB"/>
          </w:tcPr>
          <w:p w14:paraId="294ADC5B"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Multiple performance dimensions</w:t>
            </w:r>
          </w:p>
        </w:tc>
        <w:tc>
          <w:tcPr>
            <w:tcW w:w="2870" w:type="dxa"/>
            <w:tcBorders>
              <w:top w:val="single" w:sz="4" w:space="0" w:color="8FAADC"/>
              <w:left w:val="single" w:sz="4" w:space="0" w:color="8FAADC"/>
              <w:bottom w:val="single" w:sz="4" w:space="0" w:color="8FAADC"/>
              <w:right w:val="single" w:sz="4" w:space="0" w:color="8FAADC"/>
            </w:tcBorders>
            <w:shd w:val="clear" w:color="auto" w:fill="EAF1FB"/>
          </w:tcPr>
          <w:p w14:paraId="37F46B12"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Positive - uneven across dimensions</w:t>
            </w:r>
          </w:p>
        </w:tc>
      </w:tr>
      <w:tr w:rsidR="000D2AE1" w:rsidRPr="000D2AE1" w14:paraId="0D966E2C" w14:textId="77777777" w:rsidTr="00246202">
        <w:trPr>
          <w:trHeight w:val="570"/>
        </w:trPr>
        <w:tc>
          <w:tcPr>
            <w:tcW w:w="2602" w:type="dxa"/>
            <w:tcBorders>
              <w:top w:val="single" w:sz="4" w:space="0" w:color="8FAADC"/>
              <w:left w:val="single" w:sz="4" w:space="0" w:color="8FAADC"/>
              <w:bottom w:val="single" w:sz="4" w:space="0" w:color="8FAADC"/>
              <w:right w:val="single" w:sz="4" w:space="0" w:color="8FAADC"/>
            </w:tcBorders>
            <w:shd w:val="clear" w:color="auto" w:fill="EAF1FB"/>
          </w:tcPr>
          <w:p w14:paraId="75C0B649" w14:textId="77777777" w:rsidR="000D2AE1" w:rsidRPr="000D2AE1" w:rsidRDefault="000D2AE1" w:rsidP="00246202">
            <w:pPr>
              <w:pStyle w:val="TableParagraph"/>
              <w:rPr>
                <w:rFonts w:asciiTheme="majorBidi" w:hAnsiTheme="majorBidi" w:cstheme="majorBidi"/>
              </w:rPr>
            </w:pPr>
            <w:proofErr w:type="spellStart"/>
            <w:r w:rsidRPr="000D2AE1">
              <w:rPr>
                <w:rFonts w:asciiTheme="majorBidi" w:hAnsiTheme="majorBidi" w:cstheme="majorBidi"/>
              </w:rPr>
              <w:t>Alsheibani</w:t>
            </w:r>
            <w:proofErr w:type="spellEnd"/>
            <w:r w:rsidRPr="000D2AE1">
              <w:rPr>
                <w:rFonts w:asciiTheme="majorBidi" w:hAnsiTheme="majorBidi" w:cstheme="majorBidi"/>
              </w:rPr>
              <w:t xml:space="preserve"> et al. (2020)</w:t>
            </w:r>
          </w:p>
        </w:tc>
        <w:tc>
          <w:tcPr>
            <w:tcW w:w="3600" w:type="dxa"/>
            <w:tcBorders>
              <w:top w:val="single" w:sz="4" w:space="0" w:color="8FAADC"/>
              <w:left w:val="single" w:sz="4" w:space="0" w:color="8FAADC"/>
              <w:bottom w:val="single" w:sz="4" w:space="0" w:color="8FAADC"/>
              <w:right w:val="single" w:sz="4" w:space="0" w:color="8FAADC"/>
            </w:tcBorders>
            <w:shd w:val="clear" w:color="auto" w:fill="EAF1FB"/>
          </w:tcPr>
          <w:p w14:paraId="7D1E0DF8"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Strategic / competitive performance</w:t>
            </w:r>
          </w:p>
        </w:tc>
        <w:tc>
          <w:tcPr>
            <w:tcW w:w="2870" w:type="dxa"/>
            <w:tcBorders>
              <w:top w:val="single" w:sz="4" w:space="0" w:color="8FAADC"/>
              <w:left w:val="single" w:sz="4" w:space="0" w:color="8FAADC"/>
              <w:bottom w:val="single" w:sz="4" w:space="0" w:color="8FAADC"/>
              <w:right w:val="single" w:sz="4" w:space="0" w:color="8FAADC"/>
            </w:tcBorders>
            <w:shd w:val="clear" w:color="auto" w:fill="EAF1FB"/>
          </w:tcPr>
          <w:p w14:paraId="050AE240" w14:textId="77777777" w:rsidR="000D2AE1" w:rsidRPr="000D2AE1" w:rsidRDefault="000D2AE1" w:rsidP="00246202">
            <w:pPr>
              <w:pStyle w:val="TableParagraph"/>
              <w:ind w:left="109"/>
              <w:rPr>
                <w:rFonts w:asciiTheme="majorBidi" w:hAnsiTheme="majorBidi" w:cstheme="majorBidi"/>
              </w:rPr>
            </w:pPr>
            <w:r w:rsidRPr="000D2AE1">
              <w:rPr>
                <w:rFonts w:asciiTheme="majorBidi" w:hAnsiTheme="majorBidi" w:cstheme="majorBidi"/>
              </w:rPr>
              <w:t>Positive - durable advantage for movers</w:t>
            </w:r>
          </w:p>
        </w:tc>
      </w:tr>
    </w:tbl>
    <w:p w14:paraId="5F0D34F2"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b/>
          <w:bCs/>
          <w:color w:val="000000"/>
          <w:sz w:val="28"/>
          <w:szCs w:val="28"/>
        </w:rPr>
        <w:br/>
        <w:t>2.6 The Management Research Gap</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The evaluation and comparison of previous studies show a number of specific research gaps which </w:t>
      </w:r>
      <w:r w:rsidRPr="000D2AE1">
        <w:rPr>
          <w:rFonts w:asciiTheme="majorBidi" w:hAnsiTheme="majorBidi" w:cstheme="majorBidi"/>
          <w:color w:val="000000"/>
          <w:sz w:val="24"/>
          <w:szCs w:val="24"/>
        </w:rPr>
        <w:lastRenderedPageBreak/>
        <w:t>the present work addresses:</w:t>
      </w:r>
      <w:r w:rsidRPr="000D2AE1">
        <w:rPr>
          <w:rFonts w:asciiTheme="majorBidi" w:hAnsiTheme="majorBidi" w:cstheme="majorBidi"/>
          <w:color w:val="000000"/>
          <w:sz w:val="24"/>
          <w:szCs w:val="24"/>
        </w:rPr>
        <w:br/>
        <w:t>• To date, most previous research on AI in banking has been conducted in Western or East Asian contexts, leaving the Saudi banking sector under-researched, despite the strategic relevance of Saudi Arabia vis-à-vis Vision 2030.</w:t>
      </w:r>
      <w:r w:rsidRPr="000D2AE1">
        <w:rPr>
          <w:rFonts w:asciiTheme="majorBidi" w:hAnsiTheme="majorBidi" w:cstheme="majorBidi"/>
          <w:color w:val="000000"/>
          <w:sz w:val="24"/>
          <w:szCs w:val="24"/>
        </w:rPr>
        <w:br/>
        <w:t>• Existing literature has investigated the single dimension of AI adoption or organisational effectiveness, and the integrated multidimensional link has not been researched. This study investigates four AI dimensions and three performance dimensions in one model.</w:t>
      </w:r>
      <w:r w:rsidRPr="000D2AE1">
        <w:rPr>
          <w:rFonts w:asciiTheme="majorBidi" w:hAnsiTheme="majorBidi" w:cstheme="majorBidi"/>
          <w:color w:val="000000"/>
          <w:sz w:val="24"/>
          <w:szCs w:val="24"/>
        </w:rPr>
        <w:br/>
        <w:t xml:space="preserve">• Compared to consumer or management perspectives, the perspective of bank </w:t>
      </w:r>
      <w:proofErr w:type="spellStart"/>
      <w:r w:rsidRPr="000D2AE1">
        <w:rPr>
          <w:rFonts w:asciiTheme="majorBidi" w:hAnsiTheme="majorBidi" w:cstheme="majorBidi"/>
          <w:color w:val="000000"/>
          <w:sz w:val="24"/>
          <w:szCs w:val="24"/>
        </w:rPr>
        <w:t>employes</w:t>
      </w:r>
      <w:proofErr w:type="spellEnd"/>
      <w:r w:rsidRPr="000D2AE1">
        <w:rPr>
          <w:rFonts w:asciiTheme="majorBidi" w:hAnsiTheme="majorBidi" w:cstheme="majorBidi"/>
          <w:color w:val="000000"/>
          <w:sz w:val="24"/>
          <w:szCs w:val="24"/>
        </w:rPr>
        <w:t>, the key users and mediators of AI systems, has been researched less frequently.</w:t>
      </w:r>
      <w:r w:rsidRPr="000D2AE1">
        <w:rPr>
          <w:rFonts w:asciiTheme="majorBidi" w:hAnsiTheme="majorBidi" w:cstheme="majorBidi"/>
          <w:color w:val="000000"/>
          <w:sz w:val="24"/>
          <w:szCs w:val="24"/>
        </w:rPr>
        <w:br/>
        <w:t>• Previous research have rarely merged three management theories (RBV, TOE, TAM) into one empirical model as this study does.</w:t>
      </w:r>
      <w:r w:rsidRPr="000D2AE1">
        <w:rPr>
          <w:rFonts w:asciiTheme="majorBidi" w:hAnsiTheme="majorBidi" w:cstheme="majorBidi"/>
          <w:color w:val="000000"/>
          <w:sz w:val="24"/>
          <w:szCs w:val="24"/>
        </w:rPr>
        <w:br/>
        <w:t>The use of recognized research methodology, null-hypothesis testing using multiple regression analysis with SPSS, into the Saudi banking setting gives empirical evidence that past conceptual and case-based studies were unable to provide.</w:t>
      </w:r>
    </w:p>
    <w:p w14:paraId="18B51324" w14:textId="77777777" w:rsid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2.7 Theoretical Framework of the Study</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Based on the theoretical underpinnings and the previous investigations discussed above, the integrated theoretical framework of this study is depicted in Figure 2.2. The paradigm incorporates ideas from Strategic Management, RBV, TOE, and TAM to </w:t>
      </w:r>
      <w:proofErr w:type="spellStart"/>
      <w:r w:rsidRPr="000D2AE1">
        <w:rPr>
          <w:rFonts w:asciiTheme="majorBidi" w:hAnsiTheme="majorBidi" w:cstheme="majorBidi"/>
          <w:color w:val="000000"/>
          <w:sz w:val="24"/>
          <w:szCs w:val="24"/>
        </w:rPr>
        <w:t>conceptualise</w:t>
      </w:r>
      <w:proofErr w:type="spellEnd"/>
      <w:r w:rsidRPr="000D2AE1">
        <w:rPr>
          <w:rFonts w:asciiTheme="majorBidi" w:hAnsiTheme="majorBidi" w:cstheme="majorBidi"/>
          <w:color w:val="000000"/>
          <w:sz w:val="24"/>
          <w:szCs w:val="24"/>
        </w:rPr>
        <w:t xml:space="preserve"> AI adoption as a multidimensional construct influencing multidimensional organisational performance, with demographic variables as controls.</w:t>
      </w:r>
    </w:p>
    <w:p w14:paraId="7D02BC32" w14:textId="77777777" w:rsidR="00542A45" w:rsidRDefault="00542A45" w:rsidP="000D2AE1">
      <w:pPr>
        <w:spacing w:line="360" w:lineRule="auto"/>
        <w:rPr>
          <w:rFonts w:asciiTheme="majorBidi" w:hAnsiTheme="majorBidi" w:cstheme="majorBidi"/>
          <w:color w:val="000000"/>
          <w:sz w:val="24"/>
          <w:szCs w:val="24"/>
        </w:rPr>
      </w:pPr>
    </w:p>
    <w:p w14:paraId="6C7D0688" w14:textId="77777777" w:rsidR="00542A45" w:rsidRDefault="00542A45" w:rsidP="000D2AE1">
      <w:pPr>
        <w:spacing w:line="360" w:lineRule="auto"/>
        <w:rPr>
          <w:rFonts w:asciiTheme="majorBidi" w:hAnsiTheme="majorBidi" w:cstheme="majorBidi"/>
          <w:color w:val="000000"/>
          <w:sz w:val="24"/>
          <w:szCs w:val="24"/>
        </w:rPr>
      </w:pPr>
    </w:p>
    <w:p w14:paraId="5CB00E8B" w14:textId="77777777" w:rsidR="00542A45" w:rsidRPr="000D2AE1" w:rsidRDefault="00542A45" w:rsidP="000D2AE1">
      <w:pPr>
        <w:spacing w:line="360" w:lineRule="auto"/>
        <w:rPr>
          <w:rFonts w:asciiTheme="majorBidi" w:hAnsiTheme="majorBidi" w:cstheme="majorBidi"/>
          <w:color w:val="000000"/>
          <w:sz w:val="24"/>
          <w:szCs w:val="24"/>
        </w:rPr>
      </w:pPr>
    </w:p>
    <w:p w14:paraId="75ABFCC7"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noProof/>
        </w:rPr>
        <w:lastRenderedPageBreak/>
        <w:drawing>
          <wp:anchor distT="0" distB="0" distL="114300" distR="114300" simplePos="0" relativeHeight="251661312" behindDoc="0" locked="0" layoutInCell="1" allowOverlap="1" wp14:anchorId="7F437647" wp14:editId="5A1D7063">
            <wp:simplePos x="0" y="0"/>
            <wp:positionH relativeFrom="column">
              <wp:posOffset>1077</wp:posOffset>
            </wp:positionH>
            <wp:positionV relativeFrom="paragraph">
              <wp:posOffset>69762</wp:posOffset>
            </wp:positionV>
            <wp:extent cx="5715000" cy="2694813"/>
            <wp:effectExtent l="0" t="0" r="0" b="0"/>
            <wp:wrapNone/>
            <wp:docPr id="119" name="Image 119"/>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2" cstate="print"/>
                    <a:stretch>
                      <a:fillRect/>
                    </a:stretch>
                  </pic:blipFill>
                  <pic:spPr>
                    <a:xfrm>
                      <a:off x="0" y="0"/>
                      <a:ext cx="5715000" cy="2694813"/>
                    </a:xfrm>
                    <a:prstGeom prst="rect">
                      <a:avLst/>
                    </a:prstGeom>
                  </pic:spPr>
                </pic:pic>
              </a:graphicData>
            </a:graphic>
          </wp:anchor>
        </w:drawing>
      </w:r>
    </w:p>
    <w:p w14:paraId="620D610B" w14:textId="77777777" w:rsidR="000D2AE1" w:rsidRPr="000D2AE1" w:rsidRDefault="000D2AE1" w:rsidP="000D2AE1">
      <w:pPr>
        <w:spacing w:line="360" w:lineRule="auto"/>
        <w:rPr>
          <w:rFonts w:asciiTheme="majorBidi" w:hAnsiTheme="majorBidi" w:cstheme="majorBidi"/>
          <w:color w:val="000000"/>
          <w:sz w:val="24"/>
          <w:szCs w:val="24"/>
        </w:rPr>
      </w:pPr>
    </w:p>
    <w:p w14:paraId="3650BB7D" w14:textId="77777777" w:rsidR="000D2AE1" w:rsidRPr="000D2AE1" w:rsidRDefault="000D2AE1" w:rsidP="000D2AE1">
      <w:pPr>
        <w:spacing w:line="360" w:lineRule="auto"/>
        <w:rPr>
          <w:rFonts w:asciiTheme="majorBidi" w:hAnsiTheme="majorBidi" w:cstheme="majorBidi"/>
          <w:color w:val="000000"/>
          <w:sz w:val="24"/>
          <w:szCs w:val="24"/>
        </w:rPr>
      </w:pPr>
    </w:p>
    <w:p w14:paraId="523571BE" w14:textId="77777777" w:rsidR="000D2AE1" w:rsidRPr="000D2AE1" w:rsidRDefault="000D2AE1" w:rsidP="000D2AE1">
      <w:pPr>
        <w:spacing w:line="360" w:lineRule="auto"/>
        <w:rPr>
          <w:rFonts w:asciiTheme="majorBidi" w:hAnsiTheme="majorBidi" w:cstheme="majorBidi"/>
          <w:color w:val="000000"/>
          <w:sz w:val="24"/>
          <w:szCs w:val="24"/>
        </w:rPr>
      </w:pPr>
    </w:p>
    <w:p w14:paraId="67595CDD" w14:textId="77777777" w:rsidR="000D2AE1" w:rsidRPr="000D2AE1" w:rsidRDefault="000D2AE1" w:rsidP="000D2AE1">
      <w:pPr>
        <w:spacing w:line="360" w:lineRule="auto"/>
        <w:rPr>
          <w:rFonts w:asciiTheme="majorBidi" w:hAnsiTheme="majorBidi" w:cstheme="majorBidi"/>
          <w:color w:val="000000"/>
          <w:sz w:val="24"/>
          <w:szCs w:val="24"/>
        </w:rPr>
      </w:pPr>
    </w:p>
    <w:p w14:paraId="6A4C7821" w14:textId="77777777" w:rsidR="000D2AE1" w:rsidRPr="000D2AE1" w:rsidRDefault="000D2AE1" w:rsidP="000D2AE1">
      <w:pPr>
        <w:spacing w:line="360" w:lineRule="auto"/>
        <w:rPr>
          <w:rFonts w:asciiTheme="majorBidi" w:hAnsiTheme="majorBidi" w:cstheme="majorBidi"/>
          <w:color w:val="000000"/>
          <w:sz w:val="24"/>
          <w:szCs w:val="24"/>
        </w:rPr>
      </w:pPr>
    </w:p>
    <w:p w14:paraId="12A96EC5" w14:textId="77777777" w:rsidR="000D2AE1" w:rsidRPr="000D2AE1" w:rsidRDefault="000D2AE1" w:rsidP="000D2AE1">
      <w:pPr>
        <w:spacing w:line="360" w:lineRule="auto"/>
        <w:rPr>
          <w:rFonts w:asciiTheme="majorBidi" w:hAnsiTheme="majorBidi" w:cstheme="majorBidi"/>
          <w:color w:val="000000"/>
          <w:sz w:val="24"/>
          <w:szCs w:val="24"/>
        </w:rPr>
      </w:pPr>
    </w:p>
    <w:p w14:paraId="090B3ACF" w14:textId="77777777" w:rsidR="000D2AE1" w:rsidRPr="000D2AE1" w:rsidRDefault="000D2AE1" w:rsidP="000D2AE1">
      <w:pPr>
        <w:spacing w:line="360" w:lineRule="auto"/>
        <w:rPr>
          <w:rFonts w:asciiTheme="majorBidi" w:hAnsiTheme="majorBidi" w:cstheme="majorBidi"/>
          <w:color w:val="000000"/>
          <w:sz w:val="24"/>
          <w:szCs w:val="24"/>
        </w:rPr>
      </w:pPr>
    </w:p>
    <w:p w14:paraId="0EDBD65E" w14:textId="77777777" w:rsidR="000D2AE1" w:rsidRPr="000D2AE1" w:rsidRDefault="000D2AE1" w:rsidP="000D2AE1">
      <w:pPr>
        <w:ind w:left="3" w:right="25"/>
        <w:jc w:val="center"/>
        <w:rPr>
          <w:rFonts w:asciiTheme="majorBidi" w:hAnsiTheme="majorBidi" w:cstheme="majorBidi"/>
        </w:rPr>
      </w:pPr>
      <w:r w:rsidRPr="000D2AE1">
        <w:rPr>
          <w:rFonts w:asciiTheme="majorBidi" w:hAnsiTheme="majorBidi" w:cstheme="majorBidi"/>
          <w:b/>
        </w:rPr>
        <w:t>Figure</w:t>
      </w:r>
      <w:r w:rsidRPr="000D2AE1">
        <w:rPr>
          <w:rFonts w:asciiTheme="majorBidi" w:hAnsiTheme="majorBidi" w:cstheme="majorBidi"/>
          <w:b/>
          <w:spacing w:val="-7"/>
        </w:rPr>
        <w:t xml:space="preserve"> </w:t>
      </w:r>
      <w:r w:rsidRPr="000D2AE1">
        <w:rPr>
          <w:rFonts w:asciiTheme="majorBidi" w:hAnsiTheme="majorBidi" w:cstheme="majorBidi"/>
          <w:b/>
        </w:rPr>
        <w:t>2.2:</w:t>
      </w:r>
      <w:r w:rsidRPr="000D2AE1">
        <w:rPr>
          <w:rFonts w:asciiTheme="majorBidi" w:hAnsiTheme="majorBidi" w:cstheme="majorBidi"/>
          <w:b/>
          <w:spacing w:val="-6"/>
        </w:rPr>
        <w:t xml:space="preserve"> </w:t>
      </w:r>
      <w:r w:rsidRPr="000D2AE1">
        <w:rPr>
          <w:rFonts w:asciiTheme="majorBidi" w:hAnsiTheme="majorBidi" w:cstheme="majorBidi"/>
        </w:rPr>
        <w:t>Theoretical</w:t>
      </w:r>
      <w:r w:rsidRPr="000D2AE1">
        <w:rPr>
          <w:rFonts w:asciiTheme="majorBidi" w:hAnsiTheme="majorBidi" w:cstheme="majorBidi"/>
          <w:spacing w:val="-7"/>
        </w:rPr>
        <w:t xml:space="preserve"> </w:t>
      </w:r>
      <w:r w:rsidRPr="000D2AE1">
        <w:rPr>
          <w:rFonts w:asciiTheme="majorBidi" w:hAnsiTheme="majorBidi" w:cstheme="majorBidi"/>
        </w:rPr>
        <w:t>Framework</w:t>
      </w:r>
      <w:r w:rsidRPr="000D2AE1">
        <w:rPr>
          <w:rFonts w:asciiTheme="majorBidi" w:hAnsiTheme="majorBidi" w:cstheme="majorBidi"/>
          <w:spacing w:val="-6"/>
        </w:rPr>
        <w:t xml:space="preserve"> </w:t>
      </w:r>
      <w:r w:rsidRPr="000D2AE1">
        <w:rPr>
          <w:rFonts w:asciiTheme="majorBidi" w:hAnsiTheme="majorBidi" w:cstheme="majorBidi"/>
        </w:rPr>
        <w:t>of</w:t>
      </w:r>
      <w:r w:rsidRPr="000D2AE1">
        <w:rPr>
          <w:rFonts w:asciiTheme="majorBidi" w:hAnsiTheme="majorBidi" w:cstheme="majorBidi"/>
          <w:spacing w:val="-7"/>
        </w:rPr>
        <w:t xml:space="preserve"> </w:t>
      </w:r>
      <w:r w:rsidRPr="000D2AE1">
        <w:rPr>
          <w:rFonts w:asciiTheme="majorBidi" w:hAnsiTheme="majorBidi" w:cstheme="majorBidi"/>
        </w:rPr>
        <w:t>the</w:t>
      </w:r>
      <w:r w:rsidRPr="000D2AE1">
        <w:rPr>
          <w:rFonts w:asciiTheme="majorBidi" w:hAnsiTheme="majorBidi" w:cstheme="majorBidi"/>
          <w:spacing w:val="-6"/>
        </w:rPr>
        <w:t xml:space="preserve"> </w:t>
      </w:r>
      <w:r w:rsidRPr="000D2AE1">
        <w:rPr>
          <w:rFonts w:asciiTheme="majorBidi" w:hAnsiTheme="majorBidi" w:cstheme="majorBidi"/>
          <w:spacing w:val="-2"/>
        </w:rPr>
        <w:t>Study</w:t>
      </w:r>
    </w:p>
    <w:p w14:paraId="22BB8C59" w14:textId="77777777" w:rsidR="000D2AE1" w:rsidRPr="000D2AE1" w:rsidRDefault="000D2AE1" w:rsidP="000D2AE1">
      <w:pPr>
        <w:spacing w:line="360" w:lineRule="auto"/>
        <w:rPr>
          <w:rFonts w:asciiTheme="majorBidi" w:hAnsiTheme="majorBidi" w:cstheme="majorBidi"/>
          <w:color w:val="000000"/>
          <w:sz w:val="24"/>
          <w:szCs w:val="24"/>
        </w:rPr>
      </w:pPr>
    </w:p>
    <w:p w14:paraId="1003EEA7" w14:textId="70368B98" w:rsidR="000D2AE1" w:rsidRPr="000D2AE1" w:rsidRDefault="000D2AE1" w:rsidP="000D2AE1">
      <w:pPr>
        <w:spacing w:line="360" w:lineRule="auto"/>
        <w:rPr>
          <w:rFonts w:asciiTheme="majorBidi" w:hAnsiTheme="majorBidi" w:cstheme="majorBidi"/>
          <w:color w:val="000000"/>
          <w:sz w:val="27"/>
          <w:szCs w:val="27"/>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2.8 Strategic management context: vision 2030 and the Saudi banking sector</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4"/>
          <w:szCs w:val="24"/>
        </w:rPr>
        <w:t>To conclude the literature evaluation from a management perspective, it is vital to place this study in the broader strategic context of Saudi Arabia. Launched in 2016, Vision 2030 is the Kingdom’s blueprint for one of the most ambitious strategic reforms at the national level in contemporary economic history. Vision 2030 is a top-down strategic framework that tackles economic diversification, social development and government change, with stated targets for the financial industry and explicit acknowledgement of digital transformation as a strategic enabler.</w:t>
      </w:r>
      <w:r w:rsidRPr="000D2AE1">
        <w:rPr>
          <w:rFonts w:asciiTheme="majorBidi" w:hAnsiTheme="majorBidi" w:cstheme="majorBidi"/>
          <w:color w:val="000000"/>
          <w:sz w:val="24"/>
          <w:szCs w:val="24"/>
        </w:rPr>
        <w:br/>
        <w:t xml:space="preserve">From the perspective of strategic management, Vision 2030 introduces a number of specific circumstances affecting the deployment of AI in Saudi banks. The top-down character of the vision first gives a clear strategic direction to integrate public sector, corporate sector, and regulatory agencies around a common agenda. Second, the Financial Sector Development Program establishes </w:t>
      </w:r>
      <w:r w:rsidRPr="000D2AE1">
        <w:rPr>
          <w:rFonts w:asciiTheme="majorBidi" w:hAnsiTheme="majorBidi" w:cstheme="majorBidi"/>
          <w:color w:val="000000"/>
          <w:sz w:val="24"/>
          <w:szCs w:val="24"/>
        </w:rPr>
        <w:lastRenderedPageBreak/>
        <w:t>precise targets for digital adoption, financial inclusion, fintech development, and competitiveness. Third, the National Strategy for Data and AI, launched by SDAIA in 2020, supports the financial sector strategy by defining targets for AI talent development, infrastructure investment and national AI readiness.</w:t>
      </w:r>
      <w:r w:rsidRPr="000D2AE1">
        <w:rPr>
          <w:rFonts w:asciiTheme="majorBidi" w:hAnsiTheme="majorBidi" w:cstheme="majorBidi"/>
          <w:color w:val="000000"/>
          <w:sz w:val="24"/>
          <w:szCs w:val="24"/>
        </w:rPr>
        <w:br/>
        <w:t>The Saudi Central Bank (SAMA) is a key player in the AI adoption landscape. SAMA’s regulatory strategy is a blend of principles-based guidance and the management of a fintech regulatory sandbox, giving a structured avenue for banks to test and enhance AI-enabled solutions under controlled settings. This regulatory climate is far more receptive to AI adoption than the environment in certain other markets, where regulatory uncertainty has stifled investment in AI.</w:t>
      </w:r>
      <w:r w:rsidRPr="000D2AE1">
        <w:rPr>
          <w:rFonts w:asciiTheme="majorBidi" w:hAnsiTheme="majorBidi" w:cstheme="majorBidi"/>
          <w:color w:val="000000"/>
          <w:sz w:val="24"/>
          <w:szCs w:val="24"/>
        </w:rPr>
        <w:br/>
      </w:r>
      <w:r w:rsidR="00542A45" w:rsidRPr="00542A45">
        <w:rPr>
          <w:rFonts w:ascii="Times New Roman" w:hAnsi="Times New Roman" w:cs="Times New Roman" w:hint="cs"/>
          <w:color w:val="000000"/>
          <w:sz w:val="24"/>
          <w:szCs w:val="24"/>
        </w:rPr>
        <w:t>This regulatory environment is far more favorable to AI adoption than the environment in some other markets, where regulatory uncertainty has stifled investment in AI.</w:t>
      </w:r>
      <w:r w:rsidR="00542A45">
        <w:rPr>
          <w:rFonts w:ascii="-webkit-standard" w:hAnsi="-webkit-standard"/>
          <w:color w:val="000000"/>
          <w:sz w:val="27"/>
          <w:szCs w:val="27"/>
        </w:rPr>
        <w:t xml:space="preserve"> </w:t>
      </w:r>
      <w:r w:rsidRPr="000D2AE1">
        <w:rPr>
          <w:rFonts w:asciiTheme="majorBidi" w:hAnsiTheme="majorBidi" w:cstheme="majorBidi"/>
          <w:color w:val="000000"/>
          <w:sz w:val="24"/>
          <w:szCs w:val="24"/>
        </w:rPr>
        <w:t>Large banks have the scale and resources to engage heavily in AI, including developing internal competence and acquiring sophisticated AI platforms. The advent of digital banks, fintech firms and Buy-Now-Pay-Later suppliers is putting competitive pressure on incumbent banks to speed their AI agenda. Additional demographic considerations unique to Saudi Arabia impact adoption: the population is remarkably young, with a significant share of digital natives, driving robust customer demand for digital banking services and reinforcing the business case for AI-enabled customer care and personalization</w:t>
      </w:r>
      <w:r w:rsidRPr="000D2AE1">
        <w:rPr>
          <w:rFonts w:asciiTheme="majorBidi" w:hAnsiTheme="majorBidi" w:cstheme="majorBidi"/>
          <w:color w:val="000000"/>
          <w:sz w:val="27"/>
          <w:szCs w:val="27"/>
        </w:rPr>
        <w:t>.</w:t>
      </w:r>
    </w:p>
    <w:p w14:paraId="01E7389D" w14:textId="77777777" w:rsid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2.9 Drivers and Barriers to AI Adoption from a Managerial Perspective</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4"/>
          <w:szCs w:val="24"/>
        </w:rPr>
        <w:t>The literature finds numerous drivers and impediments shaping the strategic choice to use AI in commercial banks. Understanding these elements is important for evaluating the outcomes of the study and for developing appropriate managerial actions.</w:t>
      </w:r>
    </w:p>
    <w:p w14:paraId="2E136D96" w14:textId="77777777" w:rsidR="0025116A" w:rsidRPr="000D2AE1" w:rsidRDefault="0025116A" w:rsidP="000D2AE1">
      <w:pPr>
        <w:spacing w:line="360" w:lineRule="auto"/>
        <w:rPr>
          <w:rFonts w:asciiTheme="majorBidi" w:hAnsiTheme="majorBidi" w:cstheme="majorBidi"/>
          <w:color w:val="000000"/>
          <w:sz w:val="24"/>
          <w:szCs w:val="24"/>
        </w:rPr>
      </w:pPr>
    </w:p>
    <w:p w14:paraId="0EBC22BC" w14:textId="7BD1E556" w:rsidR="005D7D03" w:rsidRDefault="000D2AE1" w:rsidP="005D7D03">
      <w:pPr>
        <w:spacing w:line="360" w:lineRule="auto"/>
        <w:rPr>
          <w:rFonts w:asciiTheme="majorBidi" w:hAnsiTheme="majorBidi" w:cstheme="majorBidi"/>
          <w:color w:val="000000"/>
        </w:rPr>
      </w:pPr>
      <w:r w:rsidRPr="000D2AE1">
        <w:rPr>
          <w:rFonts w:asciiTheme="majorBidi" w:hAnsiTheme="majorBidi" w:cstheme="majorBidi"/>
          <w:color w:val="000000"/>
        </w:rPr>
        <w:lastRenderedPageBreak/>
        <w:br/>
      </w:r>
      <w:r w:rsidRPr="000D2AE1">
        <w:rPr>
          <w:rFonts w:asciiTheme="majorBidi" w:hAnsiTheme="majorBidi" w:cstheme="majorBidi"/>
          <w:b/>
          <w:bCs/>
          <w:color w:val="000000"/>
          <w:sz w:val="28"/>
          <w:szCs w:val="28"/>
        </w:rPr>
        <w:t>2.9.1 Motivations for AI Adoption by Management</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7"/>
          <w:szCs w:val="27"/>
        </w:rPr>
        <w:t xml:space="preserve">• </w:t>
      </w:r>
      <w:r w:rsidRPr="000D2AE1">
        <w:rPr>
          <w:rFonts w:asciiTheme="majorBidi" w:hAnsiTheme="majorBidi" w:cstheme="majorBidi"/>
          <w:color w:val="000000"/>
          <w:sz w:val="24"/>
          <w:szCs w:val="24"/>
        </w:rPr>
        <w:t>Competitive pressure from fintech companies and digital-native banks forcing traditional bank management to use AI to maintain market dominance.</w:t>
      </w:r>
      <w:r w:rsidRPr="000D2AE1">
        <w:rPr>
          <w:rFonts w:asciiTheme="majorBidi" w:hAnsiTheme="majorBidi" w:cstheme="majorBidi"/>
          <w:color w:val="000000"/>
          <w:sz w:val="24"/>
          <w:szCs w:val="24"/>
        </w:rPr>
        <w:br/>
        <w:t>• Regulatory expectations on risk management, anti-money laundering and consumer protection, which increasingly expect the deployment of AI capabilities.</w:t>
      </w:r>
      <w:r w:rsidRPr="000D2AE1">
        <w:rPr>
          <w:rFonts w:asciiTheme="majorBidi" w:hAnsiTheme="majorBidi" w:cstheme="majorBidi"/>
          <w:color w:val="000000"/>
          <w:sz w:val="24"/>
          <w:szCs w:val="24"/>
        </w:rPr>
        <w:br/>
        <w:t xml:space="preserve">• </w:t>
      </w:r>
      <w:r w:rsidR="0025116A" w:rsidRPr="0025116A">
        <w:rPr>
          <w:rFonts w:asciiTheme="majorBidi" w:hAnsiTheme="majorBidi" w:cstheme="majorBidi"/>
          <w:color w:val="000000"/>
          <w:sz w:val="24"/>
          <w:szCs w:val="24"/>
        </w:rPr>
        <w:t>Customers, especially younger people, need fast, personalized, and digital service experiences</w:t>
      </w:r>
      <w:r w:rsidRPr="000D2AE1">
        <w:rPr>
          <w:rFonts w:asciiTheme="majorBidi" w:hAnsiTheme="majorBidi" w:cstheme="majorBidi"/>
          <w:color w:val="000000"/>
          <w:sz w:val="24"/>
          <w:szCs w:val="24"/>
        </w:rPr>
        <w:br/>
        <w:t>• Top-down push for AI adoption as expressed in Vision 2030 and the National AI Strategy.</w:t>
      </w:r>
      <w:r w:rsidRPr="000D2AE1">
        <w:rPr>
          <w:rFonts w:asciiTheme="majorBidi" w:hAnsiTheme="majorBidi" w:cstheme="majorBidi"/>
          <w:color w:val="000000"/>
          <w:sz w:val="24"/>
          <w:szCs w:val="24"/>
        </w:rPr>
        <w:br/>
        <w:t>• Cost-management potential thru automation, particularly beneficial in markets with rising labour prices.</w:t>
      </w:r>
      <w:r w:rsidRPr="000D2AE1">
        <w:rPr>
          <w:rFonts w:asciiTheme="majorBidi" w:hAnsiTheme="majorBidi" w:cstheme="majorBidi"/>
          <w:color w:val="000000"/>
        </w:rPr>
        <w:br/>
      </w:r>
    </w:p>
    <w:p w14:paraId="53D00A90" w14:textId="77777777" w:rsidR="005D7D03" w:rsidRPr="000D2AE1" w:rsidRDefault="005D7D03" w:rsidP="005D7D03">
      <w:pPr>
        <w:spacing w:line="360" w:lineRule="auto"/>
        <w:rPr>
          <w:rFonts w:asciiTheme="majorBidi" w:hAnsiTheme="majorBidi" w:cstheme="majorBidi"/>
          <w:color w:val="000000"/>
        </w:rPr>
      </w:pPr>
    </w:p>
    <w:p w14:paraId="4B93B679" w14:textId="3F901B8E" w:rsidR="00897E11" w:rsidRPr="00897E11" w:rsidRDefault="000D2AE1" w:rsidP="000D2AE1">
      <w:pPr>
        <w:spacing w:line="360" w:lineRule="auto"/>
        <w:rPr>
          <w:rFonts w:asciiTheme="majorBidi" w:hAnsiTheme="majorBidi" w:cstheme="majorBidi"/>
          <w:b/>
          <w:bCs/>
          <w:color w:val="000000"/>
          <w:sz w:val="28"/>
          <w:szCs w:val="28"/>
        </w:rPr>
      </w:pPr>
      <w:r w:rsidRPr="000D2AE1">
        <w:rPr>
          <w:rFonts w:asciiTheme="majorBidi" w:hAnsiTheme="majorBidi" w:cstheme="majorBidi"/>
          <w:color w:val="000000"/>
        </w:rPr>
        <w:br/>
      </w:r>
      <w:r w:rsidRPr="000D2AE1">
        <w:rPr>
          <w:rFonts w:asciiTheme="majorBidi" w:hAnsiTheme="majorBidi" w:cstheme="majorBidi"/>
          <w:color w:val="000000"/>
        </w:rPr>
        <w:br/>
      </w:r>
      <w:r w:rsidRPr="00897E11">
        <w:rPr>
          <w:rFonts w:asciiTheme="majorBidi" w:hAnsiTheme="majorBidi" w:cstheme="majorBidi"/>
          <w:b/>
          <w:bCs/>
          <w:color w:val="000000"/>
          <w:sz w:val="28"/>
          <w:szCs w:val="28"/>
        </w:rPr>
        <w:t xml:space="preserve">2.9.2 </w:t>
      </w:r>
      <w:r w:rsidR="00897E11" w:rsidRPr="00897E11">
        <w:rPr>
          <w:rFonts w:asciiTheme="majorBidi" w:hAnsiTheme="majorBidi" w:cstheme="majorBidi"/>
          <w:b/>
          <w:bCs/>
          <w:color w:val="000000"/>
          <w:sz w:val="28"/>
          <w:szCs w:val="28"/>
        </w:rPr>
        <w:t xml:space="preserve">Management barriers to AI adoption </w:t>
      </w:r>
    </w:p>
    <w:p w14:paraId="5F755DD1" w14:textId="77777777" w:rsidR="001E68FF" w:rsidRPr="001E68FF"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 </w:t>
      </w:r>
      <w:r w:rsidR="00897E11" w:rsidRPr="00897E11">
        <w:rPr>
          <w:rFonts w:asciiTheme="majorBidi" w:hAnsiTheme="majorBidi" w:cstheme="majorBidi"/>
          <w:color w:val="000000"/>
          <w:sz w:val="24"/>
          <w:szCs w:val="24"/>
        </w:rPr>
        <w:t>Data quality challenges, as many banks are struggling to consolidate, clean and govern the data needed to train effective AI models.</w:t>
      </w:r>
      <w:r w:rsidRPr="000D2AE1">
        <w:rPr>
          <w:rFonts w:asciiTheme="majorBidi" w:hAnsiTheme="majorBidi" w:cstheme="majorBidi"/>
          <w:color w:val="000000"/>
          <w:sz w:val="24"/>
          <w:szCs w:val="24"/>
        </w:rPr>
        <w:br/>
        <w:t xml:space="preserve">• </w:t>
      </w:r>
      <w:r w:rsidR="00897E11" w:rsidRPr="00897E11">
        <w:rPr>
          <w:rFonts w:asciiTheme="majorBidi" w:hAnsiTheme="majorBidi" w:cstheme="majorBidi"/>
          <w:color w:val="000000"/>
          <w:sz w:val="24"/>
          <w:szCs w:val="24"/>
        </w:rPr>
        <w:t>Systems issues: Most core banking systems are legacy systems and don’t have the application programming interfaces required to integrate with AI.</w:t>
      </w:r>
      <w:r w:rsidRPr="000D2AE1">
        <w:rPr>
          <w:rFonts w:asciiTheme="majorBidi" w:hAnsiTheme="majorBidi" w:cstheme="majorBidi"/>
          <w:color w:val="000000"/>
          <w:sz w:val="24"/>
          <w:szCs w:val="24"/>
        </w:rPr>
        <w:br/>
        <w:t xml:space="preserve">• </w:t>
      </w:r>
      <w:r w:rsidR="0075541C" w:rsidRPr="0075541C">
        <w:rPr>
          <w:rFonts w:asciiTheme="majorBidi" w:hAnsiTheme="majorBidi" w:cstheme="majorBidi"/>
          <w:color w:val="000000"/>
          <w:sz w:val="24"/>
          <w:szCs w:val="24"/>
        </w:rPr>
        <w:t>Cultural resistance, especially from middle managers worried about what AI means for their teams and jobs.</w:t>
      </w:r>
      <w:r w:rsidRPr="000D2AE1">
        <w:rPr>
          <w:rFonts w:asciiTheme="majorBidi" w:hAnsiTheme="majorBidi" w:cstheme="majorBidi"/>
          <w:color w:val="000000"/>
          <w:sz w:val="24"/>
          <w:szCs w:val="24"/>
        </w:rPr>
        <w:br/>
      </w:r>
      <w:r w:rsidRPr="001E68FF">
        <w:rPr>
          <w:rFonts w:asciiTheme="majorBidi" w:hAnsiTheme="majorBidi" w:cstheme="majorBidi"/>
          <w:color w:val="000000"/>
          <w:sz w:val="24"/>
          <w:szCs w:val="24"/>
        </w:rPr>
        <w:t xml:space="preserve">• </w:t>
      </w:r>
      <w:r w:rsidR="001E68FF" w:rsidRPr="001E68FF">
        <w:rPr>
          <w:rFonts w:asciiTheme="majorBidi" w:hAnsiTheme="majorBidi" w:cstheme="majorBidi"/>
          <w:color w:val="000000"/>
          <w:sz w:val="24"/>
          <w:szCs w:val="24"/>
        </w:rPr>
        <w:t xml:space="preserve">Talent gaps, with the worldwide demand for AI talent greatly exceeding supply </w:t>
      </w:r>
    </w:p>
    <w:p w14:paraId="072CD4EF" w14:textId="77777777" w:rsidR="001E68FF" w:rsidRPr="001E68FF" w:rsidRDefault="001E68FF" w:rsidP="000D2AE1">
      <w:pPr>
        <w:spacing w:line="360" w:lineRule="auto"/>
        <w:rPr>
          <w:rFonts w:asciiTheme="majorBidi" w:hAnsiTheme="majorBidi" w:cstheme="majorBidi"/>
          <w:color w:val="000000"/>
          <w:sz w:val="24"/>
          <w:szCs w:val="24"/>
        </w:rPr>
      </w:pPr>
      <w:r w:rsidRPr="001E68FF">
        <w:rPr>
          <w:rFonts w:asciiTheme="majorBidi" w:hAnsiTheme="majorBidi" w:cstheme="majorBidi"/>
          <w:color w:val="000000"/>
          <w:sz w:val="24"/>
          <w:szCs w:val="24"/>
        </w:rPr>
        <w:lastRenderedPageBreak/>
        <w:t>• Complexity of change management – AI adoption often demands significant organizational changes that some banks struggle to manage successfully.</w:t>
      </w:r>
    </w:p>
    <w:p w14:paraId="54946892" w14:textId="349D0746"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t>changes that some banks find difficult to manage successfully.</w:t>
      </w:r>
      <w:r w:rsidRPr="000D2AE1">
        <w:rPr>
          <w:rFonts w:asciiTheme="majorBidi" w:hAnsiTheme="majorBidi" w:cstheme="majorBidi"/>
          <w:color w:val="000000"/>
          <w:sz w:val="24"/>
          <w:szCs w:val="24"/>
        </w:rPr>
        <w:br/>
        <w:t xml:space="preserve">• Cost factors, since AI investments usually need a considerable initial outlay and the profits may take </w:t>
      </w:r>
      <w:r w:rsidR="00844752" w:rsidRPr="000D2AE1">
        <w:rPr>
          <w:rFonts w:asciiTheme="majorBidi" w:hAnsiTheme="majorBidi" w:cstheme="majorBidi"/>
          <w:color w:val="000000"/>
          <w:sz w:val="24"/>
          <w:szCs w:val="24"/>
        </w:rPr>
        <w:t>a while</w:t>
      </w:r>
      <w:r w:rsidRPr="000D2AE1">
        <w:rPr>
          <w:rFonts w:asciiTheme="majorBidi" w:hAnsiTheme="majorBidi" w:cstheme="majorBidi"/>
          <w:color w:val="000000"/>
          <w:sz w:val="24"/>
          <w:szCs w:val="24"/>
        </w:rPr>
        <w:t xml:space="preserve"> to come thru.</w:t>
      </w:r>
      <w:r w:rsidRPr="000D2AE1">
        <w:rPr>
          <w:rFonts w:asciiTheme="majorBidi" w:hAnsiTheme="majorBidi" w:cstheme="majorBidi"/>
          <w:color w:val="000000"/>
          <w:sz w:val="24"/>
          <w:szCs w:val="24"/>
        </w:rPr>
        <w:br/>
        <w:t>The balance of these incentives and barriers will determine the pace and efficacy of AI adoption in each given bank. The banks that have seen the most performance advantages from AI tend to see such gains as the outcome of holistic transformation projects that tackle both the technological and the human factors, not isolated technology expenditures.</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2.10 Other Prior Management Studies</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To strengthen the literature review and to follow the evaluator’s advice to compare previous studies, the following studies are grouped topically, with clear discussion of findings and methodological decisions.</w:t>
      </w:r>
    </w:p>
    <w:p w14:paraId="5C7C923D" w14:textId="28B5E6FC"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2.10.1 Research on Strategic Management of AI in Banking</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proofErr w:type="spellStart"/>
      <w:r w:rsidRPr="000D2AE1">
        <w:rPr>
          <w:rFonts w:asciiTheme="majorBidi" w:hAnsiTheme="majorBidi" w:cstheme="majorBidi"/>
          <w:color w:val="000000"/>
          <w:sz w:val="24"/>
          <w:szCs w:val="24"/>
        </w:rPr>
        <w:t>Manser</w:t>
      </w:r>
      <w:proofErr w:type="spellEnd"/>
      <w:r w:rsidRPr="000D2AE1">
        <w:rPr>
          <w:rFonts w:asciiTheme="majorBidi" w:hAnsiTheme="majorBidi" w:cstheme="majorBidi"/>
          <w:color w:val="000000"/>
          <w:sz w:val="24"/>
          <w:szCs w:val="24"/>
        </w:rPr>
        <w:t xml:space="preserve"> Payne et al. (2021) </w:t>
      </w:r>
      <w:proofErr w:type="spellStart"/>
      <w:r w:rsidRPr="000D2AE1">
        <w:rPr>
          <w:rFonts w:asciiTheme="majorBidi" w:hAnsiTheme="majorBidi" w:cstheme="majorBidi"/>
          <w:color w:val="000000"/>
          <w:sz w:val="24"/>
          <w:szCs w:val="24"/>
        </w:rPr>
        <w:t>analysed</w:t>
      </w:r>
      <w:proofErr w:type="spellEnd"/>
      <w:r w:rsidRPr="000D2AE1">
        <w:rPr>
          <w:rFonts w:asciiTheme="majorBidi" w:hAnsiTheme="majorBidi" w:cstheme="majorBidi"/>
          <w:color w:val="000000"/>
          <w:sz w:val="24"/>
          <w:szCs w:val="24"/>
        </w:rPr>
        <w:t xml:space="preserve"> the strategic value drivers of AI-enabled banking from a marketing standpoint. Based on a study of US banking clients, they found that perceived trust and perceived simplicity of use were the primary predictors of customer desire to engage with AI-driven financial services. The implication of this study is that strategic investments in AI should not only target the functional performance of artificial intelligence systems, but also the trust dimension – especially in the Saudi setting where trust may be more important due to the relationship-based banking culture.</w:t>
      </w:r>
      <w:r w:rsidRPr="000D2AE1">
        <w:rPr>
          <w:rFonts w:asciiTheme="majorBidi" w:hAnsiTheme="majorBidi" w:cstheme="majorBidi"/>
          <w:color w:val="000000"/>
          <w:sz w:val="24"/>
          <w:szCs w:val="24"/>
        </w:rPr>
        <w:br/>
      </w:r>
      <w:proofErr w:type="spellStart"/>
      <w:r w:rsidR="00EF5CA4">
        <w:rPr>
          <w:rFonts w:ascii="-webkit-standard" w:hAnsi="-webkit-standard"/>
          <w:color w:val="000000"/>
          <w:sz w:val="27"/>
          <w:szCs w:val="27"/>
        </w:rPr>
        <w:lastRenderedPageBreak/>
        <w:t>Eren</w:t>
      </w:r>
      <w:proofErr w:type="spellEnd"/>
      <w:r w:rsidR="00EF5CA4">
        <w:rPr>
          <w:rFonts w:ascii="-webkit-standard" w:hAnsi="-webkit-standard"/>
          <w:color w:val="000000"/>
          <w:sz w:val="27"/>
          <w:szCs w:val="27"/>
        </w:rPr>
        <w:t xml:space="preserve"> (2021) investigated customers’ responses to AI-enabled chatbots in the Turkish banking sector. The research, which surveyed over three hundred customers, discovered that perceived usefulness, perceived ease of use and trust had a strong impact on adoption, with demographic factors, particularly age and digital competence, moderating these associations. The effect of conversational AI agents on customer experience in banking was experimentally investigated by Northey et al. (2022). They found that AI agents performed comparably to human agents for simple tasks, but worse for complex or emotionally charged interactions, suggesting that deployment should be calibrated to task complexity.</w:t>
      </w:r>
    </w:p>
    <w:p w14:paraId="66BB0E2C" w14:textId="77777777" w:rsidR="00EF5CA4" w:rsidRPr="00EF5CA4" w:rsidRDefault="000D2AE1" w:rsidP="000D2AE1">
      <w:pPr>
        <w:spacing w:line="360" w:lineRule="auto"/>
        <w:rPr>
          <w:rFonts w:asciiTheme="majorBidi" w:hAnsiTheme="majorBidi" w:cstheme="majorBidi"/>
          <w:b/>
          <w:bCs/>
          <w:color w:val="000000"/>
          <w:sz w:val="28"/>
          <w:szCs w:val="28"/>
        </w:rPr>
      </w:pPr>
      <w:r w:rsidRPr="00EF5CA4">
        <w:rPr>
          <w:rFonts w:asciiTheme="majorBidi" w:hAnsiTheme="majorBidi" w:cstheme="majorBidi"/>
          <w:b/>
          <w:bCs/>
          <w:color w:val="000000"/>
          <w:sz w:val="28"/>
          <w:szCs w:val="28"/>
        </w:rPr>
        <w:br/>
      </w:r>
      <w:r w:rsidR="00EF5CA4" w:rsidRPr="00EF5CA4">
        <w:rPr>
          <w:rFonts w:asciiTheme="majorBidi" w:hAnsiTheme="majorBidi" w:cstheme="majorBidi"/>
          <w:b/>
          <w:bCs/>
          <w:color w:val="000000"/>
          <w:sz w:val="28"/>
          <w:szCs w:val="28"/>
        </w:rPr>
        <w:t xml:space="preserve">2.10.2 AI research in the area of risk and compliance management </w:t>
      </w:r>
    </w:p>
    <w:p w14:paraId="320308E6" w14:textId="36BC093C" w:rsidR="000D2AE1" w:rsidRPr="000D2AE1" w:rsidRDefault="00EF5CA4" w:rsidP="000D2AE1">
      <w:pPr>
        <w:spacing w:line="360" w:lineRule="auto"/>
        <w:rPr>
          <w:rFonts w:asciiTheme="majorBidi" w:hAnsiTheme="majorBidi" w:cstheme="majorBidi"/>
          <w:color w:val="000000"/>
          <w:sz w:val="24"/>
          <w:szCs w:val="24"/>
        </w:rPr>
      </w:pPr>
      <w:r>
        <w:rPr>
          <w:rFonts w:ascii="-webkit-standard" w:hAnsi="-webkit-standard"/>
          <w:color w:val="000000"/>
          <w:sz w:val="27"/>
          <w:szCs w:val="27"/>
        </w:rPr>
        <w:t xml:space="preserve">Leo et al. (2019) carried out a systematic review of machine learning applications in banking risk management and found a strong consensus that AI-driven risk management improves the accuracy of credit risk assessment, fraud detection and AML compliance. The opinion is that AI in banking is a particularly developed area of application for risk management. </w:t>
      </w:r>
      <w:proofErr w:type="spellStart"/>
      <w:r>
        <w:rPr>
          <w:rFonts w:ascii="-webkit-standard" w:hAnsi="-webkit-standard"/>
          <w:color w:val="000000"/>
          <w:sz w:val="27"/>
          <w:szCs w:val="27"/>
        </w:rPr>
        <w:t>Aldasoro</w:t>
      </w:r>
      <w:proofErr w:type="spellEnd"/>
      <w:r>
        <w:rPr>
          <w:rFonts w:ascii="-webkit-standard" w:hAnsi="-webkit-standard"/>
          <w:color w:val="000000"/>
          <w:sz w:val="27"/>
          <w:szCs w:val="27"/>
        </w:rPr>
        <w:t xml:space="preserve"> et al. (2024) examined the implications of generative AI for financial stability and prudential supervision in a Bank for International Settlements publication, and emphasized the need for balanced and principles-based regulatory structures that support innovation and preserve systemic stability. </w:t>
      </w:r>
      <w:proofErr w:type="spellStart"/>
      <w:r>
        <w:rPr>
          <w:rFonts w:ascii="-webkit-standard" w:hAnsi="-webkit-standard"/>
          <w:color w:val="000000"/>
          <w:sz w:val="27"/>
          <w:szCs w:val="27"/>
        </w:rPr>
        <w:t>Bhatore</w:t>
      </w:r>
      <w:proofErr w:type="spellEnd"/>
      <w:r>
        <w:rPr>
          <w:rFonts w:ascii="-webkit-standard" w:hAnsi="-webkit-standard"/>
          <w:color w:val="000000"/>
          <w:sz w:val="27"/>
          <w:szCs w:val="27"/>
        </w:rPr>
        <w:t xml:space="preserve"> et al. (2020) studied the machine learning based credit </w:t>
      </w:r>
      <w:r w:rsidRPr="00EF5CA4">
        <w:rPr>
          <w:rFonts w:asciiTheme="majorBidi" w:hAnsiTheme="majorBidi" w:cstheme="majorBidi"/>
          <w:color w:val="000000"/>
          <w:sz w:val="24"/>
          <w:szCs w:val="24"/>
        </w:rPr>
        <w:t>risk evaluation, with significant performance improvements over traditional statistical methods, but also issues related to model interpretability, fairness and governance.</w:t>
      </w:r>
    </w:p>
    <w:p w14:paraId="3979381F" w14:textId="77777777" w:rsidR="000D2AE1" w:rsidRPr="000D2AE1" w:rsidRDefault="000D2AE1" w:rsidP="000D2AE1">
      <w:pPr>
        <w:spacing w:line="360" w:lineRule="auto"/>
        <w:rPr>
          <w:rFonts w:asciiTheme="majorBidi" w:hAnsiTheme="majorBidi" w:cstheme="majorBidi"/>
          <w:color w:val="000000"/>
          <w:sz w:val="24"/>
          <w:szCs w:val="24"/>
        </w:rPr>
      </w:pPr>
    </w:p>
    <w:p w14:paraId="7A6ACB8F"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2.10.3 Study on the Application of AI in Banking Operations Management</w:t>
      </w:r>
      <w:r w:rsidRPr="000D2AE1">
        <w:rPr>
          <w:rFonts w:asciiTheme="majorBidi" w:hAnsiTheme="majorBidi" w:cstheme="majorBidi"/>
          <w:b/>
          <w:bCs/>
          <w:color w:val="000000"/>
          <w:sz w:val="28"/>
          <w:szCs w:val="28"/>
        </w:rPr>
        <w:br/>
      </w:r>
      <w:r w:rsidRPr="000D2AE1">
        <w:rPr>
          <w:rFonts w:asciiTheme="majorBidi" w:hAnsiTheme="majorBidi" w:cstheme="majorBidi"/>
          <w:b/>
          <w:bCs/>
          <w:color w:val="000000"/>
          <w:sz w:val="28"/>
          <w:szCs w:val="28"/>
        </w:rPr>
        <w:br/>
      </w:r>
      <w:proofErr w:type="spellStart"/>
      <w:r w:rsidRPr="000D2AE1">
        <w:rPr>
          <w:rFonts w:asciiTheme="majorBidi" w:hAnsiTheme="majorBidi" w:cstheme="majorBidi"/>
          <w:color w:val="000000"/>
          <w:sz w:val="24"/>
          <w:szCs w:val="24"/>
        </w:rPr>
        <w:t>Lacity</w:t>
      </w:r>
      <w:proofErr w:type="spellEnd"/>
      <w:r w:rsidRPr="000D2AE1">
        <w:rPr>
          <w:rFonts w:asciiTheme="majorBidi" w:hAnsiTheme="majorBidi" w:cstheme="majorBidi"/>
          <w:color w:val="000000"/>
          <w:sz w:val="24"/>
          <w:szCs w:val="24"/>
        </w:rPr>
        <w:t xml:space="preserve"> and Willcocks (2016, 2018) did substantial research of Robotic Process Automation in financial services via detailed case studies of major banks and insurers. Their findings found that well managed RPA programs typically </w:t>
      </w:r>
      <w:proofErr w:type="spellStart"/>
      <w:r w:rsidRPr="000D2AE1">
        <w:rPr>
          <w:rFonts w:asciiTheme="majorBidi" w:hAnsiTheme="majorBidi" w:cstheme="majorBidi"/>
          <w:color w:val="000000"/>
          <w:sz w:val="24"/>
          <w:szCs w:val="24"/>
        </w:rPr>
        <w:t>realise</w:t>
      </w:r>
      <w:proofErr w:type="spellEnd"/>
      <w:r w:rsidRPr="000D2AE1">
        <w:rPr>
          <w:rFonts w:asciiTheme="majorBidi" w:hAnsiTheme="majorBidi" w:cstheme="majorBidi"/>
          <w:color w:val="000000"/>
          <w:sz w:val="24"/>
          <w:szCs w:val="24"/>
        </w:rPr>
        <w:t xml:space="preserve"> 25 to 50 percent cost reductions, 50 to 80 percent reductions in processing times and 50 to 95 percent reductions in error rates - benefits that depend critically on discipline in process selection, change management and ongoing operational management. Aguirre and Rodriguez (2017) researched RPA adoption in a global shared services center and found that successful implementation needed concentrated attention to </w:t>
      </w:r>
      <w:proofErr w:type="spellStart"/>
      <w:r w:rsidRPr="000D2AE1">
        <w:rPr>
          <w:rFonts w:asciiTheme="majorBidi" w:hAnsiTheme="majorBidi" w:cstheme="majorBidi"/>
          <w:color w:val="000000"/>
          <w:sz w:val="24"/>
          <w:szCs w:val="24"/>
        </w:rPr>
        <w:t>organisational</w:t>
      </w:r>
      <w:proofErr w:type="spellEnd"/>
      <w:r w:rsidRPr="000D2AE1">
        <w:rPr>
          <w:rFonts w:asciiTheme="majorBidi" w:hAnsiTheme="majorBidi" w:cstheme="majorBidi"/>
          <w:color w:val="000000"/>
          <w:sz w:val="24"/>
          <w:szCs w:val="24"/>
        </w:rPr>
        <w:t xml:space="preserve"> transformation, </w:t>
      </w:r>
      <w:proofErr w:type="spellStart"/>
      <w:r w:rsidRPr="000D2AE1">
        <w:rPr>
          <w:rFonts w:asciiTheme="majorBidi" w:hAnsiTheme="majorBidi" w:cstheme="majorBidi"/>
          <w:color w:val="000000"/>
          <w:sz w:val="24"/>
          <w:szCs w:val="24"/>
        </w:rPr>
        <w:t>employe</w:t>
      </w:r>
      <w:proofErr w:type="spellEnd"/>
      <w:r w:rsidRPr="000D2AE1">
        <w:rPr>
          <w:rFonts w:asciiTheme="majorBidi" w:hAnsiTheme="majorBidi" w:cstheme="majorBidi"/>
          <w:color w:val="000000"/>
          <w:sz w:val="24"/>
          <w:szCs w:val="24"/>
        </w:rPr>
        <w:t xml:space="preserve"> engagement, and governance of the automation portfolio.</w:t>
      </w:r>
    </w:p>
    <w:p w14:paraId="6E102608"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2.10.4 Researches in Saudi and Gulf Banking Management</w:t>
      </w:r>
      <w:r w:rsidRPr="000D2AE1">
        <w:rPr>
          <w:rFonts w:asciiTheme="majorBidi" w:hAnsiTheme="majorBidi" w:cstheme="majorBidi"/>
          <w:b/>
          <w:bCs/>
          <w:color w:val="000000"/>
          <w:sz w:val="28"/>
          <w:szCs w:val="28"/>
        </w:rPr>
        <w:br/>
      </w:r>
      <w:r w:rsidRPr="000D2AE1">
        <w:rPr>
          <w:rFonts w:asciiTheme="majorBidi" w:hAnsiTheme="majorBidi" w:cstheme="majorBidi"/>
          <w:b/>
          <w:bCs/>
          <w:color w:val="000000"/>
          <w:sz w:val="28"/>
          <w:szCs w:val="28"/>
        </w:rPr>
        <w:br/>
      </w:r>
      <w:r w:rsidRPr="000D2AE1">
        <w:rPr>
          <w:rFonts w:asciiTheme="majorBidi" w:hAnsiTheme="majorBidi" w:cstheme="majorBidi"/>
          <w:color w:val="000000"/>
          <w:sz w:val="24"/>
          <w:szCs w:val="24"/>
        </w:rPr>
        <w:t xml:space="preserve">Several recent studies have investigated digital transformation and technology adoption in the Saudi and Gulf setting. Research on Saudi commercial banks </w:t>
      </w:r>
      <w:proofErr w:type="gramStart"/>
      <w:r w:rsidRPr="000D2AE1">
        <w:rPr>
          <w:rFonts w:asciiTheme="majorBidi" w:hAnsiTheme="majorBidi" w:cstheme="majorBidi"/>
          <w:color w:val="000000"/>
          <w:sz w:val="24"/>
          <w:szCs w:val="24"/>
        </w:rPr>
        <w:t>has</w:t>
      </w:r>
      <w:proofErr w:type="gramEnd"/>
      <w:r w:rsidRPr="000D2AE1">
        <w:rPr>
          <w:rFonts w:asciiTheme="majorBidi" w:hAnsiTheme="majorBidi" w:cstheme="majorBidi"/>
          <w:color w:val="000000"/>
          <w:sz w:val="24"/>
          <w:szCs w:val="24"/>
        </w:rPr>
        <w:t xml:space="preserve"> found that the influence of Vision 2030 has led to an acceleration of digital transformation initiatives, with most of the major banks experiencing significant increases in investment in digital and AI capabilities since 2016. Research in the wider GCC environment has shown that the adoption pattern of sophisticated banking technology differs from the Western markets, with mobile-first adoption being particularly common. Research in Islamic Banking and AI has explored how AI applications might be matched with Sharia principles, establishing specific prerequisites for the deployment of AI in certain product sectors, such as profit and loss sharing agreements.</w:t>
      </w:r>
    </w:p>
    <w:p w14:paraId="7C8FEF1F" w14:textId="77777777" w:rsidR="000D2AE1" w:rsidRPr="000D2AE1" w:rsidRDefault="000D2AE1" w:rsidP="000D2AE1">
      <w:pPr>
        <w:spacing w:line="360" w:lineRule="auto"/>
        <w:rPr>
          <w:rFonts w:asciiTheme="majorBidi" w:hAnsiTheme="majorBidi" w:cstheme="majorBidi"/>
          <w:color w:val="000000"/>
          <w:sz w:val="24"/>
          <w:szCs w:val="24"/>
        </w:rPr>
      </w:pPr>
    </w:p>
    <w:p w14:paraId="4EA04C17" w14:textId="1680778C"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b/>
          <w:bCs/>
          <w:color w:val="000000"/>
          <w:sz w:val="28"/>
          <w:szCs w:val="28"/>
        </w:rPr>
        <w:lastRenderedPageBreak/>
        <w:t>2.11 Synthesis and Commentaries on Earlier Management Studies</w:t>
      </w:r>
      <w:r w:rsidRPr="000D2AE1">
        <w:rPr>
          <w:rFonts w:asciiTheme="majorBidi" w:hAnsiTheme="majorBidi" w:cstheme="majorBidi"/>
          <w:color w:val="000000"/>
        </w:rPr>
        <w:br/>
      </w:r>
      <w:r w:rsidRPr="000D2AE1">
        <w:rPr>
          <w:rFonts w:asciiTheme="majorBidi" w:hAnsiTheme="majorBidi" w:cstheme="majorBidi"/>
          <w:color w:val="000000"/>
        </w:rPr>
        <w:br/>
      </w:r>
      <w:proofErr w:type="spellStart"/>
      <w:r w:rsidRPr="000D2AE1">
        <w:rPr>
          <w:rFonts w:asciiTheme="majorBidi" w:hAnsiTheme="majorBidi" w:cstheme="majorBidi"/>
          <w:color w:val="000000"/>
          <w:sz w:val="24"/>
          <w:szCs w:val="24"/>
        </w:rPr>
        <w:t>Synthesising</w:t>
      </w:r>
      <w:proofErr w:type="spellEnd"/>
      <w:r w:rsidRPr="000D2AE1">
        <w:rPr>
          <w:rFonts w:asciiTheme="majorBidi" w:hAnsiTheme="majorBidi" w:cstheme="majorBidi"/>
          <w:color w:val="000000"/>
          <w:sz w:val="24"/>
          <w:szCs w:val="24"/>
        </w:rPr>
        <w:t xml:space="preserve"> the preceding works mentioned above, the following </w:t>
      </w:r>
      <w:proofErr w:type="spellStart"/>
      <w:r w:rsidRPr="000D2AE1">
        <w:rPr>
          <w:rFonts w:asciiTheme="majorBidi" w:hAnsiTheme="majorBidi" w:cstheme="majorBidi"/>
          <w:color w:val="000000"/>
          <w:sz w:val="24"/>
          <w:szCs w:val="24"/>
        </w:rPr>
        <w:t>synthesising</w:t>
      </w:r>
      <w:proofErr w:type="spellEnd"/>
      <w:r w:rsidRPr="000D2AE1">
        <w:rPr>
          <w:rFonts w:asciiTheme="majorBidi" w:hAnsiTheme="majorBidi" w:cstheme="majorBidi"/>
          <w:color w:val="000000"/>
          <w:sz w:val="24"/>
          <w:szCs w:val="24"/>
        </w:rPr>
        <w:t xml:space="preserve"> observations can be made:</w:t>
      </w:r>
      <w:r w:rsidRPr="000D2AE1">
        <w:rPr>
          <w:rFonts w:asciiTheme="majorBidi" w:hAnsiTheme="majorBidi" w:cstheme="majorBidi"/>
          <w:color w:val="000000"/>
          <w:sz w:val="24"/>
          <w:szCs w:val="24"/>
        </w:rPr>
        <w:br/>
        <w:t xml:space="preserve">• Across regional, methodological, and academic borders, there is a broad consensus that the use of AI has a </w:t>
      </w:r>
      <w:proofErr w:type="spellStart"/>
      <w:r w:rsidRPr="000D2AE1">
        <w:rPr>
          <w:rFonts w:asciiTheme="majorBidi" w:hAnsiTheme="majorBidi" w:cstheme="majorBidi"/>
          <w:color w:val="000000"/>
          <w:sz w:val="24"/>
          <w:szCs w:val="24"/>
        </w:rPr>
        <w:t>favourable</w:t>
      </w:r>
      <w:proofErr w:type="spellEnd"/>
      <w:r w:rsidRPr="000D2AE1">
        <w:rPr>
          <w:rFonts w:asciiTheme="majorBidi" w:hAnsiTheme="majorBidi" w:cstheme="majorBidi"/>
          <w:color w:val="000000"/>
          <w:sz w:val="24"/>
          <w:szCs w:val="24"/>
        </w:rPr>
        <w:t xml:space="preserve"> influence on various parameters of bank performance. This finding was consistent across designs, samples and circumstances, bolstering confidence in its robustness for strategic decisions.</w:t>
      </w:r>
      <w:r w:rsidRPr="000D2AE1">
        <w:rPr>
          <w:rFonts w:asciiTheme="majorBidi" w:hAnsiTheme="majorBidi" w:cstheme="majorBidi"/>
          <w:color w:val="000000"/>
          <w:sz w:val="24"/>
          <w:szCs w:val="24"/>
        </w:rPr>
        <w:br/>
        <w:t>• The magnitude and pattern of the AI-performance link differ across contexts, demonstrating that implementation decisions and organisational skills are important determinants of outcomes, highlighting the need for contextual research like the present study.</w:t>
      </w:r>
      <w:r w:rsidRPr="000D2AE1">
        <w:rPr>
          <w:rFonts w:asciiTheme="majorBidi" w:hAnsiTheme="majorBidi" w:cstheme="majorBidi"/>
          <w:color w:val="000000"/>
          <w:sz w:val="24"/>
          <w:szCs w:val="24"/>
        </w:rPr>
        <w:br/>
        <w:t>• There has been some tendency to focus more on some dimensions of AI (customer-facing and risk applications) than others (e.g., AI in strategic decision-making), and this provides a research opportunity to establish a more balanced multidimensional understanding.</w:t>
      </w:r>
      <w:r w:rsidRPr="000D2AE1">
        <w:rPr>
          <w:rFonts w:asciiTheme="majorBidi" w:hAnsiTheme="majorBidi" w:cstheme="majorBidi"/>
          <w:color w:val="000000"/>
          <w:sz w:val="24"/>
          <w:szCs w:val="24"/>
        </w:rPr>
        <w:br/>
        <w:t>• The research is dominated by studies in mature Western and East Asian economies, and relatively few empirical studies in Gulf banking situations.</w:t>
      </w:r>
      <w:r w:rsidRPr="000D2AE1">
        <w:rPr>
          <w:rFonts w:asciiTheme="majorBidi" w:hAnsiTheme="majorBidi" w:cstheme="majorBidi"/>
          <w:color w:val="000000"/>
          <w:sz w:val="24"/>
          <w:szCs w:val="24"/>
        </w:rPr>
        <w:br/>
        <w:t>• Most earlier research have utilized either qualitative case-study approaches or quantitative survey methods, but few have combined various theories and tested integrated models with rigorous statistical procedures.</w:t>
      </w:r>
    </w:p>
    <w:p w14:paraId="2CF00943" w14:textId="77777777" w:rsidR="00022044"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2.12 Further Theoretical Bases: Theory of Diffusion of Innovations</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Apart from the four ideas provided in section 2.2, the innovation adoption field is based on the theory of Diffusion of Innovations by Rogers (1962, 2003). From a managerial perspective, Rogers' theory highlights five aspects of an innovation that affect its rate of adoption: relative advantage, compatibility, complexity, trialability, and observability. When applied to AI in banking, this </w:t>
      </w:r>
      <w:r w:rsidRPr="000D2AE1">
        <w:rPr>
          <w:rFonts w:asciiTheme="majorBidi" w:hAnsiTheme="majorBidi" w:cstheme="majorBidi"/>
          <w:color w:val="000000"/>
          <w:sz w:val="24"/>
          <w:szCs w:val="24"/>
        </w:rPr>
        <w:lastRenderedPageBreak/>
        <w:t>framework suggests that AI applications that provide clear advantages over existing approaches, that are compatible with the bank’s existing systems and culture, that are manageable in complexity, that allow for pilot testing, and that produce visible results, will tend to be adopted more rapidly.</w:t>
      </w:r>
      <w:r w:rsidRPr="000D2AE1">
        <w:rPr>
          <w:rFonts w:asciiTheme="majorBidi" w:hAnsiTheme="majorBidi" w:cstheme="majorBidi"/>
          <w:color w:val="000000"/>
          <w:sz w:val="24"/>
          <w:szCs w:val="24"/>
        </w:rPr>
        <w:br/>
        <w:t xml:space="preserve">The idea also </w:t>
      </w:r>
      <w:proofErr w:type="spellStart"/>
      <w:r w:rsidRPr="000D2AE1">
        <w:rPr>
          <w:rFonts w:asciiTheme="majorBidi" w:hAnsiTheme="majorBidi" w:cstheme="majorBidi"/>
          <w:color w:val="000000"/>
          <w:sz w:val="24"/>
          <w:szCs w:val="24"/>
        </w:rPr>
        <w:t>recognises</w:t>
      </w:r>
      <w:proofErr w:type="spellEnd"/>
      <w:r w:rsidRPr="000D2AE1">
        <w:rPr>
          <w:rFonts w:asciiTheme="majorBidi" w:hAnsiTheme="majorBidi" w:cstheme="majorBidi"/>
          <w:color w:val="000000"/>
          <w:sz w:val="24"/>
          <w:szCs w:val="24"/>
        </w:rPr>
        <w:t xml:space="preserve"> five types of adopters: innovators, early adopters, early majority, late majority and laggards. When considering the Saudi banking sector, the early adopters of AI are beginning to reap the rewards of early investment, putting pressure on the laggards to accelerate their own AI agendas. This dynamic supports the strategic urgency of AI investment decisions and helps in explaining why the present analysis finds high overall levels of AI adoption across the surveyed banks.</w:t>
      </w:r>
    </w:p>
    <w:p w14:paraId="7693F9F3" w14:textId="12D83AA4" w:rsid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2.13 Management Theories Integration</w:t>
      </w:r>
      <w:r w:rsidRPr="000D2AE1">
        <w:rPr>
          <w:rFonts w:asciiTheme="majorBidi" w:hAnsiTheme="majorBidi" w:cstheme="majorBidi"/>
          <w:color w:val="000000"/>
          <w:sz w:val="24"/>
          <w:szCs w:val="24"/>
        </w:rPr>
        <w:br/>
      </w:r>
      <w:r w:rsidRPr="000D2AE1">
        <w:rPr>
          <w:rFonts w:asciiTheme="majorBidi" w:hAnsiTheme="majorBidi" w:cstheme="majorBidi"/>
          <w:color w:val="000000"/>
          <w:sz w:val="24"/>
          <w:szCs w:val="24"/>
        </w:rPr>
        <w:br/>
        <w:t xml:space="preserve">The five theories discussed in this chapter - Strategic Management, RBV, TOE, TAM and Diffusion of Innovations - together offer a thorough theoretical basis for understanding AI uptake in Saudi banks. Strategic Management theory </w:t>
      </w:r>
      <w:proofErr w:type="spellStart"/>
      <w:r w:rsidRPr="000D2AE1">
        <w:rPr>
          <w:rFonts w:asciiTheme="majorBidi" w:hAnsiTheme="majorBidi" w:cstheme="majorBidi"/>
          <w:color w:val="000000"/>
          <w:sz w:val="24"/>
          <w:szCs w:val="24"/>
        </w:rPr>
        <w:t>emphasises</w:t>
      </w:r>
      <w:proofErr w:type="spellEnd"/>
      <w:r w:rsidRPr="000D2AE1">
        <w:rPr>
          <w:rFonts w:asciiTheme="majorBidi" w:hAnsiTheme="majorBidi" w:cstheme="majorBidi"/>
          <w:color w:val="000000"/>
          <w:sz w:val="24"/>
          <w:szCs w:val="24"/>
        </w:rPr>
        <w:t xml:space="preserve"> the strategic choice of AI adoption. The RBV demonstrates how AI, along with complementary resources, can be a source of sustainable competitive advantage. </w:t>
      </w:r>
      <w:r w:rsidR="00022044" w:rsidRPr="00022044">
        <w:rPr>
          <w:rFonts w:asciiTheme="majorBidi" w:hAnsiTheme="majorBidi" w:cstheme="majorBidi"/>
          <w:color w:val="000000"/>
          <w:sz w:val="24"/>
          <w:szCs w:val="24"/>
        </w:rPr>
        <w:t xml:space="preserve">The TOE framework determines the determinants which influence adoption </w:t>
      </w:r>
      <w:proofErr w:type="gramStart"/>
      <w:r w:rsidR="00022044" w:rsidRPr="00022044">
        <w:rPr>
          <w:rFonts w:asciiTheme="majorBidi" w:hAnsiTheme="majorBidi" w:cstheme="majorBidi"/>
          <w:color w:val="000000"/>
          <w:sz w:val="24"/>
          <w:szCs w:val="24"/>
        </w:rPr>
        <w:t>outcomes</w:t>
      </w:r>
      <w:r w:rsidR="00022044">
        <w:rPr>
          <w:rFonts w:ascii="-webkit-standard" w:hAnsi="-webkit-standard"/>
          <w:color w:val="000000"/>
          <w:sz w:val="27"/>
          <w:szCs w:val="27"/>
        </w:rPr>
        <w:t>.</w:t>
      </w:r>
      <w:r w:rsidRPr="000D2AE1">
        <w:rPr>
          <w:rFonts w:asciiTheme="majorBidi" w:hAnsiTheme="majorBidi" w:cstheme="majorBidi"/>
          <w:color w:val="000000"/>
          <w:sz w:val="24"/>
          <w:szCs w:val="24"/>
        </w:rPr>
        <w:t>.</w:t>
      </w:r>
      <w:proofErr w:type="gramEnd"/>
      <w:r w:rsidRPr="000D2AE1">
        <w:rPr>
          <w:rFonts w:asciiTheme="majorBidi" w:hAnsiTheme="majorBidi" w:cstheme="majorBidi"/>
          <w:color w:val="000000"/>
          <w:sz w:val="24"/>
          <w:szCs w:val="24"/>
        </w:rPr>
        <w:t xml:space="preserve"> The TAM deals with the problem of getting </w:t>
      </w:r>
      <w:proofErr w:type="spellStart"/>
      <w:r w:rsidRPr="000D2AE1">
        <w:rPr>
          <w:rFonts w:asciiTheme="majorBidi" w:hAnsiTheme="majorBidi" w:cstheme="majorBidi"/>
          <w:color w:val="000000"/>
          <w:sz w:val="24"/>
          <w:szCs w:val="24"/>
        </w:rPr>
        <w:t>employes</w:t>
      </w:r>
      <w:proofErr w:type="spellEnd"/>
      <w:r w:rsidRPr="000D2AE1">
        <w:rPr>
          <w:rFonts w:asciiTheme="majorBidi" w:hAnsiTheme="majorBidi" w:cstheme="majorBidi"/>
          <w:color w:val="000000"/>
          <w:sz w:val="24"/>
          <w:szCs w:val="24"/>
        </w:rPr>
        <w:t xml:space="preserve"> to accept and use AI products. The idea of the Diffusion of Innovations provides additional insight into the dynamics of AI uptake in the banking industry. One of the methodological contributions of this study is the integration of all five streams in a single empirical model.</w:t>
      </w:r>
    </w:p>
    <w:p w14:paraId="436B57EC" w14:textId="77777777" w:rsidR="00342B48" w:rsidRPr="000D2AE1" w:rsidRDefault="00342B48" w:rsidP="000D2AE1">
      <w:pPr>
        <w:spacing w:line="360" w:lineRule="auto"/>
        <w:rPr>
          <w:rFonts w:asciiTheme="majorBidi" w:hAnsiTheme="majorBidi" w:cstheme="majorBidi"/>
          <w:color w:val="000000"/>
          <w:sz w:val="24"/>
          <w:szCs w:val="24"/>
        </w:rPr>
      </w:pPr>
    </w:p>
    <w:p w14:paraId="25E8D930" w14:textId="77777777" w:rsidR="000D2AE1" w:rsidRPr="000D2AE1" w:rsidRDefault="000D2AE1" w:rsidP="000D2AE1">
      <w:pPr>
        <w:spacing w:line="360" w:lineRule="auto"/>
        <w:rPr>
          <w:rFonts w:asciiTheme="majorBidi" w:hAnsiTheme="majorBidi" w:cstheme="majorBidi"/>
          <w:color w:val="000000"/>
          <w:sz w:val="24"/>
          <w:szCs w:val="24"/>
        </w:rPr>
      </w:pPr>
    </w:p>
    <w:p w14:paraId="70E0CE4B" w14:textId="77777777" w:rsidR="000D2AE1" w:rsidRPr="000D2AE1" w:rsidRDefault="000D2AE1" w:rsidP="000D2AE1">
      <w:pPr>
        <w:spacing w:line="360" w:lineRule="auto"/>
        <w:rPr>
          <w:rFonts w:asciiTheme="majorBidi" w:hAnsiTheme="majorBidi" w:cstheme="majorBidi"/>
          <w:b/>
          <w:bCs/>
          <w:color w:val="000000"/>
          <w:sz w:val="28"/>
          <w:szCs w:val="28"/>
        </w:rPr>
      </w:pPr>
      <w:r w:rsidRPr="000D2AE1">
        <w:rPr>
          <w:rFonts w:asciiTheme="majorBidi" w:hAnsiTheme="majorBidi" w:cstheme="majorBidi"/>
          <w:b/>
          <w:bCs/>
          <w:color w:val="000000"/>
          <w:sz w:val="28"/>
          <w:szCs w:val="28"/>
        </w:rPr>
        <w:lastRenderedPageBreak/>
        <w:t>2.14 Detailed Management Premises: The Dimensions of the Independent Variable.</w:t>
      </w:r>
    </w:p>
    <w:p w14:paraId="7B56F480"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4"/>
          <w:szCs w:val="24"/>
        </w:rPr>
        <w:t>2.14.1 Artificial Intelligence in Customer Service Management – Extended Premises</w:t>
      </w:r>
      <w:r w:rsidRPr="000D2AE1">
        <w:rPr>
          <w:rFonts w:asciiTheme="majorBidi" w:hAnsiTheme="majorBidi" w:cstheme="majorBidi"/>
          <w:b/>
          <w:bCs/>
          <w:color w:val="000000"/>
          <w:sz w:val="24"/>
          <w:szCs w:val="24"/>
        </w:rPr>
        <w:br/>
      </w:r>
      <w:r w:rsidRPr="000D2AE1">
        <w:rPr>
          <w:rFonts w:asciiTheme="majorBidi" w:hAnsiTheme="majorBidi" w:cstheme="majorBidi"/>
          <w:color w:val="000000"/>
          <w:sz w:val="24"/>
          <w:szCs w:val="24"/>
        </w:rPr>
        <w:br/>
        <w:t xml:space="preserve">client service is a strategic function in banking having direct ramifications for client retention, brand management and revenues. Artificial intelligence in customer service is used in a few different ways. These include chatbots and conversational agents, virtual personal assistants, automated voice-response systems, sentiment analysis tools, and </w:t>
      </w:r>
      <w:proofErr w:type="spellStart"/>
      <w:r w:rsidRPr="000D2AE1">
        <w:rPr>
          <w:rFonts w:asciiTheme="majorBidi" w:hAnsiTheme="majorBidi" w:cstheme="majorBidi"/>
          <w:color w:val="000000"/>
          <w:sz w:val="24"/>
          <w:szCs w:val="24"/>
        </w:rPr>
        <w:t>personalisation</w:t>
      </w:r>
      <w:proofErr w:type="spellEnd"/>
      <w:r w:rsidRPr="000D2AE1">
        <w:rPr>
          <w:rFonts w:asciiTheme="majorBidi" w:hAnsiTheme="majorBidi" w:cstheme="majorBidi"/>
          <w:color w:val="000000"/>
          <w:sz w:val="24"/>
          <w:szCs w:val="24"/>
        </w:rPr>
        <w:t xml:space="preserve"> engines. The complexity-based classification is mapped to a maturity trajectory starting from basic applications (e.g., FAQ chatbots, rule-based routing) , intermediate applications (e.g., natural-language conversational agents that handle routine transactions) , and advanced applications (e.g., AI-driven </w:t>
      </w:r>
      <w:proofErr w:type="spellStart"/>
      <w:r w:rsidRPr="000D2AE1">
        <w:rPr>
          <w:rFonts w:asciiTheme="majorBidi" w:hAnsiTheme="majorBidi" w:cstheme="majorBidi"/>
          <w:color w:val="000000"/>
          <w:sz w:val="24"/>
          <w:szCs w:val="24"/>
        </w:rPr>
        <w:t>personalisation</w:t>
      </w:r>
      <w:proofErr w:type="spellEnd"/>
      <w:r w:rsidRPr="000D2AE1">
        <w:rPr>
          <w:rFonts w:asciiTheme="majorBidi" w:hAnsiTheme="majorBidi" w:cstheme="majorBidi"/>
          <w:color w:val="000000"/>
          <w:sz w:val="24"/>
          <w:szCs w:val="24"/>
        </w:rPr>
        <w:t>, predictive next-best-action recommendations, and emotion-aware service systems) .</w:t>
      </w:r>
      <w:r w:rsidRPr="000D2AE1">
        <w:rPr>
          <w:rFonts w:asciiTheme="majorBidi" w:hAnsiTheme="majorBidi" w:cstheme="majorBidi"/>
          <w:color w:val="000000"/>
          <w:sz w:val="24"/>
          <w:szCs w:val="24"/>
        </w:rPr>
        <w:br/>
        <w:t xml:space="preserve">These include cost reduction thru automation of routine enquiries, service quality improvement thru twenty-four-seven availability, customer experience enhancement thru </w:t>
      </w:r>
      <w:proofErr w:type="spellStart"/>
      <w:r w:rsidRPr="000D2AE1">
        <w:rPr>
          <w:rFonts w:asciiTheme="majorBidi" w:hAnsiTheme="majorBidi" w:cstheme="majorBidi"/>
          <w:color w:val="000000"/>
          <w:sz w:val="24"/>
          <w:szCs w:val="24"/>
        </w:rPr>
        <w:t>personalisation</w:t>
      </w:r>
      <w:proofErr w:type="spellEnd"/>
      <w:r w:rsidRPr="000D2AE1">
        <w:rPr>
          <w:rFonts w:asciiTheme="majorBidi" w:hAnsiTheme="majorBidi" w:cstheme="majorBidi"/>
          <w:color w:val="000000"/>
          <w:sz w:val="24"/>
          <w:szCs w:val="24"/>
        </w:rPr>
        <w:t xml:space="preserve"> and insight development thru analysis of interaction patterns. Deployment processes typically consist of five steps: strategy and use case identification, design of the customer journey integration, technical implementation, change management and training of human service teams, and continuing monitoring and refining.</w:t>
      </w:r>
    </w:p>
    <w:p w14:paraId="51EEC9DC"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2.14.2 AI in Management Decision-Making - Extended Premises</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Managerial Decision Making is the process of identifying problems, collecting and </w:t>
      </w:r>
      <w:proofErr w:type="spellStart"/>
      <w:r w:rsidRPr="000D2AE1">
        <w:rPr>
          <w:rFonts w:asciiTheme="majorBidi" w:hAnsiTheme="majorBidi" w:cstheme="majorBidi"/>
          <w:color w:val="000000"/>
          <w:sz w:val="24"/>
          <w:szCs w:val="24"/>
        </w:rPr>
        <w:t>analysing</w:t>
      </w:r>
      <w:proofErr w:type="spellEnd"/>
      <w:r w:rsidRPr="000D2AE1">
        <w:rPr>
          <w:rFonts w:asciiTheme="majorBidi" w:hAnsiTheme="majorBidi" w:cstheme="majorBidi"/>
          <w:color w:val="000000"/>
          <w:sz w:val="24"/>
          <w:szCs w:val="24"/>
        </w:rPr>
        <w:t xml:space="preserve"> relevant information, assessing alternative and choosing courses of action by managers. The technique uses AI tools that enhance human judgement not replace it. The kinds include credit </w:t>
      </w:r>
      <w:r w:rsidRPr="000D2AE1">
        <w:rPr>
          <w:rFonts w:asciiTheme="majorBidi" w:hAnsiTheme="majorBidi" w:cstheme="majorBidi"/>
          <w:color w:val="000000"/>
          <w:sz w:val="24"/>
          <w:szCs w:val="24"/>
        </w:rPr>
        <w:lastRenderedPageBreak/>
        <w:t>decision assistance, customer management decisions (segmentation, churn prediction, product recommendation), strategic planning support (scenario analysis, demand forecasting, competitive intelligence) and pricing decisions. This classification is based on the distinction between operational, tactical and strategic decisions. Operational decisions are repetitive and can be considerably automated. Tactical decisions can benefit from augmentation while maintaining human judgement. Strategic decisions are best supported by AI tools that inform but not drive the decision process.</w:t>
      </w:r>
      <w:r w:rsidRPr="000D2AE1">
        <w:rPr>
          <w:rFonts w:asciiTheme="majorBidi" w:hAnsiTheme="majorBidi" w:cstheme="majorBidi"/>
          <w:color w:val="000000"/>
          <w:sz w:val="24"/>
          <w:szCs w:val="24"/>
        </w:rPr>
        <w:br/>
        <w:t>Sources of value include better decision accuracy from data-driven analysis, faster decision-making, increased consistency, and the generation of insights that human managers may miss. The problems are ensuring that AI-generated suggestions are read accurately, maintaining accountability for decisions in which AI plays a role, and keeping judgement in instances in which the training data may not capture essential aspects.</w:t>
      </w:r>
    </w:p>
    <w:p w14:paraId="50C2E466" w14:textId="77777777" w:rsidR="000D2AE1" w:rsidRPr="000D2AE1" w:rsidRDefault="000D2AE1" w:rsidP="000D2AE1">
      <w:pPr>
        <w:spacing w:line="360" w:lineRule="auto"/>
        <w:rPr>
          <w:rFonts w:asciiTheme="majorBidi" w:hAnsiTheme="majorBidi" w:cstheme="majorBidi"/>
          <w:color w:val="000000"/>
          <w:sz w:val="27"/>
          <w:szCs w:val="27"/>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2.14.3 AI in Risk Management – Extended Premises</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4"/>
          <w:szCs w:val="24"/>
        </w:rPr>
        <w:t>Risk management is a core banking activity that involves the identification, measurement and management of credit, market, operational, liquidity, reputational and compliance risks. AI in risk management has grown swiftly and is currently one of the most established applications of AI in banking. Types range from credit risk management (machine-learning scoring, automated underwriting, portfolio analytics) and fraud risk management (real-time monitoring, anomaly detection, identity verification) to operational risk management, compliance management (AML monitoring, sanctions screening, regulatory reporting automation) and cybersecurity management.</w:t>
      </w:r>
      <w:r w:rsidRPr="000D2AE1">
        <w:rPr>
          <w:rFonts w:asciiTheme="majorBidi" w:hAnsiTheme="majorBidi" w:cstheme="majorBidi"/>
          <w:color w:val="000000"/>
          <w:sz w:val="24"/>
          <w:szCs w:val="24"/>
        </w:rPr>
        <w:br/>
        <w:t xml:space="preserve">The classification by criticality is representative of regulatory and reputational importance: some applications, like AML monitoring, are subject to strict regulatory expectations and require careful documentation and validation; others, like fraud monitoring, are commercially critical but less prescriptively regulated. These procedures demand especially cautious governance. Model risk </w:t>
      </w:r>
      <w:r w:rsidRPr="000D2AE1">
        <w:rPr>
          <w:rFonts w:asciiTheme="majorBidi" w:hAnsiTheme="majorBidi" w:cstheme="majorBidi"/>
          <w:color w:val="000000"/>
          <w:sz w:val="24"/>
          <w:szCs w:val="24"/>
        </w:rPr>
        <w:lastRenderedPageBreak/>
        <w:t>management—the discipline of identifying, measuring, and managing the risks created by reliance on quantitative models—has become a substantial function in major banks, so the deployment of AI in risk management usually requires more extensive documentation, validation, and ongoing monitoring than other AI applications</w:t>
      </w:r>
      <w:r w:rsidRPr="000D2AE1">
        <w:rPr>
          <w:rFonts w:asciiTheme="majorBidi" w:hAnsiTheme="majorBidi" w:cstheme="majorBidi"/>
          <w:color w:val="000000"/>
          <w:sz w:val="27"/>
          <w:szCs w:val="27"/>
        </w:rPr>
        <w:t>.</w:t>
      </w:r>
    </w:p>
    <w:p w14:paraId="5FC0F0F9"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rPr>
        <w:br/>
      </w:r>
      <w:r w:rsidRPr="000D2AE1">
        <w:rPr>
          <w:rFonts w:asciiTheme="majorBidi" w:hAnsiTheme="majorBidi" w:cstheme="majorBidi"/>
          <w:b/>
          <w:bCs/>
          <w:color w:val="000000"/>
          <w:sz w:val="28"/>
          <w:szCs w:val="28"/>
        </w:rPr>
        <w:t>2.14.4 Operations and Automation Management AI - Extended Premises</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4"/>
          <w:szCs w:val="24"/>
        </w:rPr>
        <w:t>Operations management in banking refers to the design, implementation and continuous development of the processes by which the bank delivers its products and services. Operations is perhaps where the greatest significant documented increases in performance for any AI application domain have come from the implementation of AI and automation. Types include Robotic Process Automation (rule-based, high-volume processes including data entry, account opening, and report generation), Intelligent Document Processing (combining machine learning with optical character recognition for semi-structured documents), workflow automation (orchestrating end-to-end processes across multiple systems), and predictive operations management (forecasting volumes, scheduling resources, and identifying bottlenecks).</w:t>
      </w:r>
      <w:r w:rsidRPr="000D2AE1">
        <w:rPr>
          <w:rFonts w:asciiTheme="majorBidi" w:hAnsiTheme="majorBidi" w:cstheme="majorBidi"/>
          <w:color w:val="000000"/>
          <w:sz w:val="24"/>
          <w:szCs w:val="24"/>
        </w:rPr>
        <w:br/>
        <w:t xml:space="preserve">The classification differentiates between routine high-volume procedures (well-suited to RPA), variable semi-structured processes (well-suited to intelligent automation), and complicated processes requiring judgement (best suited to AI-augmented workflows rather than complete automation). “The value is reduced cost, reduced processing time, reduced error rates, scalability and visibility into operational performance. Among the problems are selecting the correct processes to automate, addressing the organisational impact on the </w:t>
      </w:r>
      <w:proofErr w:type="spellStart"/>
      <w:r w:rsidRPr="000D2AE1">
        <w:rPr>
          <w:rFonts w:asciiTheme="majorBidi" w:hAnsiTheme="majorBidi" w:cstheme="majorBidi"/>
          <w:color w:val="000000"/>
          <w:sz w:val="24"/>
          <w:szCs w:val="24"/>
        </w:rPr>
        <w:t>employes</w:t>
      </w:r>
      <w:proofErr w:type="spellEnd"/>
      <w:r w:rsidRPr="000D2AE1">
        <w:rPr>
          <w:rFonts w:asciiTheme="majorBidi" w:hAnsiTheme="majorBidi" w:cstheme="majorBidi"/>
          <w:color w:val="000000"/>
          <w:sz w:val="24"/>
          <w:szCs w:val="24"/>
        </w:rPr>
        <w:t xml:space="preserve"> involved, ensuring quality controls and not falling in to the trap of automating failing processes instead of reforming them.</w:t>
      </w:r>
    </w:p>
    <w:p w14:paraId="07E96B15"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2.15 Detailed Management Premises: Dimensions of the Dependent Variable</w:t>
      </w:r>
      <w:r w:rsidRPr="000D2AE1">
        <w:rPr>
          <w:rFonts w:asciiTheme="majorBidi" w:hAnsiTheme="majorBidi" w:cstheme="majorBidi"/>
          <w:color w:val="000000"/>
        </w:rPr>
        <w:br/>
      </w:r>
      <w:r w:rsidRPr="000D2AE1">
        <w:rPr>
          <w:rFonts w:asciiTheme="majorBidi" w:hAnsiTheme="majorBidi" w:cstheme="majorBidi"/>
          <w:b/>
          <w:bCs/>
          <w:color w:val="000000"/>
          <w:sz w:val="24"/>
          <w:szCs w:val="24"/>
        </w:rPr>
        <w:lastRenderedPageBreak/>
        <w:t>2.15.1 Operational Efficiency – Extended Premises</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Operational efficiency is a base element in operations management and management accounting. Its major performance measures include cost-to-income ratio, cost per transaction, processing time per transaction, throughput per </w:t>
      </w:r>
      <w:proofErr w:type="spellStart"/>
      <w:r w:rsidRPr="000D2AE1">
        <w:rPr>
          <w:rFonts w:asciiTheme="majorBidi" w:hAnsiTheme="majorBidi" w:cstheme="majorBidi"/>
          <w:color w:val="000000"/>
          <w:sz w:val="24"/>
          <w:szCs w:val="24"/>
        </w:rPr>
        <w:t>employe</w:t>
      </w:r>
      <w:proofErr w:type="spellEnd"/>
      <w:r w:rsidRPr="000D2AE1">
        <w:rPr>
          <w:rFonts w:asciiTheme="majorBidi" w:hAnsiTheme="majorBidi" w:cstheme="majorBidi"/>
          <w:color w:val="000000"/>
          <w:sz w:val="24"/>
          <w:szCs w:val="24"/>
        </w:rPr>
        <w:t xml:space="preserve">, and mistake rate. Bank management routinely tracks these metrics, which are a major emphasis of performance reporting to executives and boards. Operational efficiency theoretically refers to the bank’s ability to convert inputs (capital, labour, technology) into outputs (transactions, services, goods) with little waste. Operations management has produced a lot of concepts to </w:t>
      </w:r>
      <w:proofErr w:type="spellStart"/>
      <w:r w:rsidRPr="000D2AE1">
        <w:rPr>
          <w:rFonts w:asciiTheme="majorBidi" w:hAnsiTheme="majorBidi" w:cstheme="majorBidi"/>
          <w:color w:val="000000"/>
          <w:sz w:val="24"/>
          <w:szCs w:val="24"/>
        </w:rPr>
        <w:t>analyse</w:t>
      </w:r>
      <w:proofErr w:type="spellEnd"/>
      <w:r w:rsidRPr="000D2AE1">
        <w:rPr>
          <w:rFonts w:asciiTheme="majorBidi" w:hAnsiTheme="majorBidi" w:cstheme="majorBidi"/>
          <w:color w:val="000000"/>
          <w:sz w:val="24"/>
          <w:szCs w:val="24"/>
        </w:rPr>
        <w:t xml:space="preserve"> and enhance operational efficiency as lean principles, Six Sigma, business process reengineering, and continuous improvement.</w:t>
      </w:r>
    </w:p>
    <w:p w14:paraId="20BDCA51" w14:textId="77777777" w:rsidR="000D2AE1" w:rsidRPr="000D2AE1" w:rsidRDefault="000D2AE1" w:rsidP="000D2AE1">
      <w:pPr>
        <w:spacing w:line="360" w:lineRule="auto"/>
        <w:rPr>
          <w:rFonts w:asciiTheme="majorBidi" w:hAnsiTheme="majorBidi" w:cstheme="majorBidi"/>
          <w:color w:val="000000"/>
          <w:sz w:val="24"/>
          <w:szCs w:val="24"/>
        </w:rPr>
      </w:pPr>
      <w:r w:rsidRPr="000D2AE1">
        <w:rPr>
          <w:rFonts w:asciiTheme="majorBidi" w:hAnsiTheme="majorBidi" w:cstheme="majorBidi"/>
          <w:color w:val="000000"/>
          <w:sz w:val="24"/>
          <w:szCs w:val="24"/>
        </w:rPr>
        <w:br/>
      </w:r>
      <w:r w:rsidRPr="000D2AE1">
        <w:rPr>
          <w:rFonts w:asciiTheme="majorBidi" w:hAnsiTheme="majorBidi" w:cstheme="majorBidi"/>
          <w:b/>
          <w:bCs/>
          <w:color w:val="000000"/>
          <w:sz w:val="28"/>
          <w:szCs w:val="28"/>
        </w:rPr>
        <w:t>2.15.2 Customer Satisfaction – Extended Premises</w:t>
      </w:r>
      <w:r w:rsidRPr="000D2AE1">
        <w:rPr>
          <w:rFonts w:asciiTheme="majorBidi" w:hAnsiTheme="majorBidi" w:cstheme="majorBidi"/>
          <w:b/>
          <w:bCs/>
          <w:color w:val="000000"/>
          <w:sz w:val="28"/>
          <w:szCs w:val="28"/>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Customer satisfaction is a fundamental element in marketing management, services management and customer relationship management. </w:t>
      </w:r>
      <w:proofErr w:type="gramStart"/>
      <w:r w:rsidRPr="000D2AE1">
        <w:rPr>
          <w:rFonts w:asciiTheme="majorBidi" w:hAnsiTheme="majorBidi" w:cstheme="majorBidi"/>
          <w:color w:val="000000"/>
          <w:sz w:val="24"/>
          <w:szCs w:val="24"/>
        </w:rPr>
        <w:t>It’s</w:t>
      </w:r>
      <w:proofErr w:type="gramEnd"/>
      <w:r w:rsidRPr="000D2AE1">
        <w:rPr>
          <w:rFonts w:asciiTheme="majorBidi" w:hAnsiTheme="majorBidi" w:cstheme="majorBidi"/>
          <w:color w:val="000000"/>
          <w:sz w:val="24"/>
          <w:szCs w:val="24"/>
        </w:rPr>
        <w:t xml:space="preserve"> important measures are direct satisfaction surveys, Net Promoter Score (NPS), Customer Effort Score (CES), complaint rates, retention rates and customer lifetime value. Theoretically, customer satisfaction measures the difference (or lack thereof) between customer expectations and customer perceptions of the service experience. The SERVQUAL model identifies five characteristics of service quality that affect satisfaction: tangibles, reliability, responsiveness, assurance and empathy. AI-driven service efforts can impact all of these dimensions and effective deployment must take all five into account.</w:t>
      </w:r>
    </w:p>
    <w:p w14:paraId="2C07360E" w14:textId="77777777" w:rsidR="000D2AE1" w:rsidRPr="000D2AE1" w:rsidRDefault="000D2AE1" w:rsidP="000D2AE1">
      <w:pPr>
        <w:spacing w:line="360" w:lineRule="auto"/>
        <w:rPr>
          <w:rFonts w:asciiTheme="majorBidi" w:hAnsiTheme="majorBidi" w:cstheme="majorBidi"/>
          <w:color w:val="000000"/>
          <w:sz w:val="24"/>
          <w:szCs w:val="24"/>
        </w:rPr>
      </w:pPr>
      <w:r w:rsidRPr="00F30C2E">
        <w:rPr>
          <w:rFonts w:asciiTheme="majorBidi" w:hAnsiTheme="majorBidi" w:cstheme="majorBidi"/>
          <w:color w:val="000000"/>
          <w:sz w:val="28"/>
          <w:szCs w:val="28"/>
        </w:rPr>
        <w:br/>
      </w:r>
      <w:r w:rsidRPr="00F30C2E">
        <w:rPr>
          <w:rFonts w:asciiTheme="majorBidi" w:hAnsiTheme="majorBidi" w:cstheme="majorBidi"/>
          <w:b/>
          <w:bCs/>
          <w:color w:val="000000"/>
          <w:sz w:val="28"/>
          <w:szCs w:val="28"/>
        </w:rPr>
        <w:t>2.15.3 Financial Performance – Extended Premises</w:t>
      </w: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The financial performance is the cornerstone construct in finance management. </w:t>
      </w:r>
      <w:proofErr w:type="spellStart"/>
      <w:r w:rsidRPr="000D2AE1">
        <w:rPr>
          <w:rFonts w:asciiTheme="majorBidi" w:hAnsiTheme="majorBidi" w:cstheme="majorBidi"/>
          <w:color w:val="000000"/>
          <w:sz w:val="24"/>
          <w:szCs w:val="24"/>
        </w:rPr>
        <w:t>Its</w:t>
      </w:r>
      <w:proofErr w:type="spellEnd"/>
      <w:r w:rsidRPr="000D2AE1">
        <w:rPr>
          <w:rFonts w:asciiTheme="majorBidi" w:hAnsiTheme="majorBidi" w:cstheme="majorBidi"/>
          <w:color w:val="000000"/>
          <w:sz w:val="24"/>
          <w:szCs w:val="24"/>
        </w:rPr>
        <w:t xml:space="preserve"> important metrics </w:t>
      </w:r>
      <w:r w:rsidRPr="000D2AE1">
        <w:rPr>
          <w:rFonts w:asciiTheme="majorBidi" w:hAnsiTheme="majorBidi" w:cstheme="majorBidi"/>
          <w:color w:val="000000"/>
          <w:sz w:val="24"/>
          <w:szCs w:val="24"/>
        </w:rPr>
        <w:lastRenderedPageBreak/>
        <w:t>are net profit, return on assets (ROA), return on equity (ROE), revenue growth, net interest margin and cost-to-income ratio. These indicators are disclosed externally to shareholders and regulators and are tracked internally as the ultimate measurements of strategic performance. In principle, financial results demonstrate the bank’s ability to generate economic value for its shareholders whilst serving clients and functioning within the bounds of regulation. Although this study relies mostly on perceptual measures of financial achievement, perceptual measures have been verified in past studies as reasonably associated with objective financial indicators, as precise financial data are generally confidential at the individual respondent level.</w:t>
      </w:r>
    </w:p>
    <w:p w14:paraId="2BB18C81" w14:textId="77777777" w:rsidR="000D2AE1" w:rsidRPr="000D2AE1" w:rsidRDefault="000D2AE1" w:rsidP="000D2AE1">
      <w:pPr>
        <w:pStyle w:val="Heading4"/>
        <w:tabs>
          <w:tab w:val="left" w:pos="580"/>
        </w:tabs>
        <w:spacing w:before="195" w:line="360" w:lineRule="auto"/>
        <w:ind w:left="412"/>
        <w:rPr>
          <w:rFonts w:asciiTheme="majorBidi" w:hAnsiTheme="majorBidi"/>
          <w:b/>
          <w:bCs/>
          <w:i w:val="0"/>
          <w:iCs w:val="0"/>
          <w:sz w:val="28"/>
          <w:szCs w:val="28"/>
        </w:rPr>
      </w:pPr>
      <w:r w:rsidRPr="000D2AE1">
        <w:rPr>
          <w:rFonts w:asciiTheme="majorBidi" w:hAnsiTheme="majorBidi"/>
          <w:color w:val="000000"/>
        </w:rPr>
        <w:br/>
      </w:r>
      <w:r w:rsidRPr="000D2AE1">
        <w:rPr>
          <w:rFonts w:asciiTheme="majorBidi" w:hAnsiTheme="majorBidi"/>
          <w:b/>
          <w:bCs/>
          <w:i w:val="0"/>
          <w:iCs w:val="0"/>
          <w:color w:val="000000" w:themeColor="text1"/>
          <w:sz w:val="28"/>
          <w:szCs w:val="28"/>
        </w:rPr>
        <w:t>2.16 Chapter</w:t>
      </w:r>
      <w:r w:rsidRPr="000D2AE1">
        <w:rPr>
          <w:rFonts w:asciiTheme="majorBidi" w:hAnsiTheme="majorBidi"/>
          <w:b/>
          <w:bCs/>
          <w:i w:val="0"/>
          <w:iCs w:val="0"/>
          <w:color w:val="000000" w:themeColor="text1"/>
          <w:spacing w:val="-9"/>
          <w:sz w:val="28"/>
          <w:szCs w:val="28"/>
        </w:rPr>
        <w:t xml:space="preserve"> </w:t>
      </w:r>
      <w:r w:rsidRPr="000D2AE1">
        <w:rPr>
          <w:rFonts w:asciiTheme="majorBidi" w:hAnsiTheme="majorBidi"/>
          <w:b/>
          <w:bCs/>
          <w:i w:val="0"/>
          <w:iCs w:val="0"/>
          <w:color w:val="000000" w:themeColor="text1"/>
          <w:spacing w:val="-2"/>
          <w:sz w:val="28"/>
          <w:szCs w:val="28"/>
        </w:rPr>
        <w:t>Summary</w:t>
      </w:r>
    </w:p>
    <w:p w14:paraId="55680D66" w14:textId="77777777" w:rsidR="000D2AE1" w:rsidRPr="000D2AE1" w:rsidRDefault="000D2AE1" w:rsidP="000D2AE1">
      <w:pPr>
        <w:spacing w:line="360" w:lineRule="auto"/>
        <w:rPr>
          <w:rFonts w:asciiTheme="majorBidi" w:hAnsiTheme="majorBidi" w:cstheme="majorBidi"/>
          <w:sz w:val="24"/>
          <w:szCs w:val="24"/>
        </w:rPr>
      </w:pPr>
      <w:r w:rsidRPr="000D2AE1">
        <w:rPr>
          <w:rFonts w:asciiTheme="majorBidi" w:hAnsiTheme="majorBidi" w:cstheme="majorBidi"/>
          <w:color w:val="000000"/>
        </w:rPr>
        <w:br/>
      </w:r>
      <w:r w:rsidRPr="000D2AE1">
        <w:rPr>
          <w:rFonts w:asciiTheme="majorBidi" w:hAnsiTheme="majorBidi" w:cstheme="majorBidi"/>
          <w:color w:val="000000"/>
        </w:rPr>
        <w:br/>
      </w:r>
      <w:r w:rsidRPr="000D2AE1">
        <w:rPr>
          <w:rFonts w:asciiTheme="majorBidi" w:hAnsiTheme="majorBidi" w:cstheme="majorBidi"/>
          <w:color w:val="000000"/>
          <w:sz w:val="24"/>
          <w:szCs w:val="24"/>
        </w:rPr>
        <w:t xml:space="preserve">The theoretical underpinnings and the literature review that support the investigation have been discussed in this chapter. It identified five interrelated streams of management theory - Strategic Management, the Resource-Based View, the Technology-Organization-Environment framework, the Technology Acceptance Model, and Diffusion of Innovations - and used them to </w:t>
      </w:r>
      <w:proofErr w:type="spellStart"/>
      <w:r w:rsidRPr="000D2AE1">
        <w:rPr>
          <w:rFonts w:asciiTheme="majorBidi" w:hAnsiTheme="majorBidi" w:cstheme="majorBidi"/>
          <w:color w:val="000000"/>
          <w:sz w:val="24"/>
          <w:szCs w:val="24"/>
        </w:rPr>
        <w:t>conceptualise</w:t>
      </w:r>
      <w:proofErr w:type="spellEnd"/>
      <w:r w:rsidRPr="000D2AE1">
        <w:rPr>
          <w:rFonts w:asciiTheme="majorBidi" w:hAnsiTheme="majorBidi" w:cstheme="majorBidi"/>
          <w:color w:val="000000"/>
          <w:sz w:val="24"/>
          <w:szCs w:val="24"/>
        </w:rPr>
        <w:t xml:space="preserve"> AI adoption as a multidimensional managerial decision. It defined and classified an independent variable and a dependent variable, reviewed and compared a wide range of previous studies, positioned the study within the Vision 2030 context, explored the drivers and barriers of AI adoption, and identified the particular research gap the study seeks to fill. The integrated theoretical framework shown in Figure 2.2 converts the premises into the model that is empirically evaluated in the next chapters. The next chapter describes the research approach used to </w:t>
      </w:r>
      <w:proofErr w:type="spellStart"/>
      <w:r w:rsidRPr="000D2AE1">
        <w:rPr>
          <w:rFonts w:asciiTheme="majorBidi" w:hAnsiTheme="majorBidi" w:cstheme="majorBidi"/>
          <w:color w:val="000000"/>
          <w:sz w:val="24"/>
          <w:szCs w:val="24"/>
        </w:rPr>
        <w:t>operationalise</w:t>
      </w:r>
      <w:proofErr w:type="spellEnd"/>
      <w:r w:rsidRPr="000D2AE1">
        <w:rPr>
          <w:rFonts w:asciiTheme="majorBidi" w:hAnsiTheme="majorBidi" w:cstheme="majorBidi"/>
          <w:color w:val="000000"/>
          <w:sz w:val="24"/>
          <w:szCs w:val="24"/>
        </w:rPr>
        <w:t xml:space="preserve"> and test this paradigm.</w:t>
      </w:r>
    </w:p>
    <w:p w14:paraId="2CECBCE6" w14:textId="77777777" w:rsidR="000C7917" w:rsidRPr="000D2AE1" w:rsidRDefault="000C7917" w:rsidP="000D2AE1">
      <w:pPr>
        <w:spacing w:after="150" w:line="528" w:lineRule="auto"/>
        <w:ind w:firstLine="284"/>
        <w:jc w:val="both"/>
        <w:rPr>
          <w:rFonts w:asciiTheme="majorBidi" w:hAnsiTheme="majorBidi" w:cstheme="majorBidi"/>
          <w:sz w:val="26"/>
          <w:szCs w:val="26"/>
        </w:rPr>
      </w:pPr>
    </w:p>
    <w:p w14:paraId="4D3E1411" w14:textId="77777777" w:rsidR="000C7917" w:rsidRPr="000D2AE1" w:rsidRDefault="000C7917" w:rsidP="009B134E">
      <w:pPr>
        <w:spacing w:after="150" w:line="528" w:lineRule="auto"/>
        <w:ind w:firstLine="284"/>
        <w:jc w:val="both"/>
        <w:rPr>
          <w:rFonts w:asciiTheme="majorBidi" w:hAnsiTheme="majorBidi" w:cstheme="majorBidi"/>
          <w:sz w:val="26"/>
          <w:szCs w:val="26"/>
        </w:rPr>
      </w:pPr>
    </w:p>
    <w:p w14:paraId="21C0B0CE" w14:textId="77777777" w:rsidR="000C7917" w:rsidRPr="000D2AE1" w:rsidRDefault="000C7917" w:rsidP="009B134E">
      <w:pPr>
        <w:spacing w:after="150" w:line="528" w:lineRule="auto"/>
        <w:ind w:firstLine="284"/>
        <w:jc w:val="both"/>
        <w:rPr>
          <w:rFonts w:asciiTheme="majorBidi" w:hAnsiTheme="majorBidi" w:cstheme="majorBidi"/>
          <w:sz w:val="26"/>
          <w:szCs w:val="26"/>
        </w:rPr>
      </w:pPr>
    </w:p>
    <w:p w14:paraId="067C4A17" w14:textId="77777777" w:rsidR="000C7917" w:rsidRPr="000D2AE1" w:rsidRDefault="000C7917" w:rsidP="009B134E">
      <w:pPr>
        <w:spacing w:after="150" w:line="528" w:lineRule="auto"/>
        <w:ind w:firstLine="284"/>
        <w:jc w:val="both"/>
        <w:rPr>
          <w:rFonts w:asciiTheme="majorBidi" w:hAnsiTheme="majorBidi" w:cstheme="majorBidi"/>
          <w:sz w:val="26"/>
          <w:szCs w:val="26"/>
        </w:rPr>
      </w:pPr>
    </w:p>
    <w:p w14:paraId="630E6716" w14:textId="77777777" w:rsidR="000C7917" w:rsidRPr="000D2AE1" w:rsidRDefault="000C7917" w:rsidP="009B134E">
      <w:pPr>
        <w:spacing w:after="150" w:line="528" w:lineRule="auto"/>
        <w:ind w:firstLine="284"/>
        <w:jc w:val="both"/>
        <w:rPr>
          <w:rFonts w:asciiTheme="majorBidi" w:hAnsiTheme="majorBidi" w:cstheme="majorBidi"/>
          <w:sz w:val="26"/>
          <w:szCs w:val="26"/>
        </w:rPr>
      </w:pPr>
    </w:p>
    <w:p w14:paraId="1B4E9A19" w14:textId="77777777" w:rsidR="000C7917" w:rsidRPr="000D2AE1" w:rsidRDefault="000C7917" w:rsidP="009B134E">
      <w:pPr>
        <w:spacing w:after="150" w:line="528" w:lineRule="auto"/>
        <w:ind w:firstLine="284"/>
        <w:jc w:val="both"/>
        <w:rPr>
          <w:rFonts w:asciiTheme="majorBidi" w:hAnsiTheme="majorBidi" w:cstheme="majorBidi"/>
          <w:sz w:val="26"/>
          <w:szCs w:val="26"/>
        </w:rPr>
      </w:pPr>
    </w:p>
    <w:p w14:paraId="4341E7A6" w14:textId="77777777" w:rsidR="000C7917" w:rsidRPr="000D2AE1" w:rsidRDefault="000C7917" w:rsidP="009B134E">
      <w:pPr>
        <w:spacing w:after="150" w:line="528" w:lineRule="auto"/>
        <w:ind w:firstLine="284"/>
        <w:jc w:val="both"/>
        <w:rPr>
          <w:rFonts w:asciiTheme="majorBidi" w:hAnsiTheme="majorBidi" w:cstheme="majorBidi"/>
          <w:sz w:val="26"/>
          <w:szCs w:val="26"/>
        </w:rPr>
      </w:pPr>
    </w:p>
    <w:p w14:paraId="63586F55" w14:textId="77777777" w:rsidR="000C7917" w:rsidRPr="000D2AE1" w:rsidRDefault="000C7917" w:rsidP="009B134E">
      <w:pPr>
        <w:spacing w:after="150" w:line="528" w:lineRule="auto"/>
        <w:ind w:firstLine="284"/>
        <w:jc w:val="both"/>
        <w:rPr>
          <w:rFonts w:asciiTheme="majorBidi" w:hAnsiTheme="majorBidi" w:cstheme="majorBidi"/>
          <w:sz w:val="26"/>
          <w:szCs w:val="26"/>
        </w:rPr>
      </w:pPr>
    </w:p>
    <w:p w14:paraId="5D86ED94" w14:textId="77777777" w:rsidR="000C7917" w:rsidRPr="000D2AE1" w:rsidRDefault="000C7917" w:rsidP="009B134E">
      <w:pPr>
        <w:spacing w:after="150" w:line="528" w:lineRule="auto"/>
        <w:ind w:firstLine="284"/>
        <w:jc w:val="both"/>
        <w:rPr>
          <w:rFonts w:asciiTheme="majorBidi" w:hAnsiTheme="majorBidi" w:cstheme="majorBidi"/>
          <w:sz w:val="26"/>
          <w:szCs w:val="26"/>
        </w:rPr>
      </w:pPr>
    </w:p>
    <w:p w14:paraId="39A6BECF" w14:textId="77777777" w:rsidR="000C7917" w:rsidRPr="000D2AE1" w:rsidRDefault="000C7917" w:rsidP="007B48A8">
      <w:pPr>
        <w:pStyle w:val="Heading1"/>
        <w:jc w:val="center"/>
        <w:rPr>
          <w:rFonts w:asciiTheme="majorBidi" w:hAnsiTheme="majorBidi"/>
          <w:color w:val="000000" w:themeColor="text1"/>
          <w:sz w:val="32"/>
          <w:szCs w:val="32"/>
        </w:rPr>
      </w:pPr>
    </w:p>
    <w:p w14:paraId="58EDC83A" w14:textId="77777777" w:rsidR="000C7917" w:rsidRPr="000D2AE1" w:rsidRDefault="000C7917" w:rsidP="000C7917">
      <w:pPr>
        <w:rPr>
          <w:rFonts w:asciiTheme="majorBidi" w:hAnsiTheme="majorBidi" w:cstheme="majorBidi"/>
        </w:rPr>
      </w:pPr>
    </w:p>
    <w:p w14:paraId="4C24783C" w14:textId="77777777" w:rsidR="000C7917" w:rsidRPr="000D2AE1" w:rsidRDefault="000C7917" w:rsidP="000C7917">
      <w:pPr>
        <w:rPr>
          <w:rFonts w:asciiTheme="majorBidi" w:hAnsiTheme="majorBidi" w:cstheme="majorBidi"/>
        </w:rPr>
      </w:pPr>
    </w:p>
    <w:p w14:paraId="6B38E8E8" w14:textId="77777777" w:rsidR="000C7917" w:rsidRPr="000D2AE1" w:rsidRDefault="000C7917" w:rsidP="000C7917">
      <w:pPr>
        <w:rPr>
          <w:rFonts w:asciiTheme="majorBidi" w:hAnsiTheme="majorBidi" w:cstheme="majorBidi"/>
        </w:rPr>
      </w:pPr>
    </w:p>
    <w:p w14:paraId="6EF5F2EA" w14:textId="77777777" w:rsidR="000C7917" w:rsidRDefault="000C7917" w:rsidP="000C7917">
      <w:pPr>
        <w:rPr>
          <w:rFonts w:asciiTheme="majorBidi" w:hAnsiTheme="majorBidi" w:cstheme="majorBidi"/>
        </w:rPr>
      </w:pPr>
    </w:p>
    <w:p w14:paraId="095A55E3" w14:textId="77777777" w:rsidR="00072291" w:rsidRPr="000D2AE1" w:rsidRDefault="00072291" w:rsidP="000C7917">
      <w:pPr>
        <w:rPr>
          <w:rFonts w:asciiTheme="majorBidi" w:hAnsiTheme="majorBidi" w:cstheme="majorBidi"/>
        </w:rPr>
      </w:pPr>
    </w:p>
    <w:p w14:paraId="1076C8E7" w14:textId="3358BE12" w:rsidR="002821F1" w:rsidRPr="000D2AE1" w:rsidRDefault="002821F1" w:rsidP="000D2AE1">
      <w:pPr>
        <w:bidi/>
        <w:spacing w:before="100" w:beforeAutospacing="1" w:after="100" w:afterAutospacing="1"/>
        <w:outlineLvl w:val="0"/>
        <w:rPr>
          <w:rFonts w:asciiTheme="majorBidi" w:eastAsia="Calibri" w:hAnsiTheme="majorBidi" w:cstheme="majorBidi"/>
          <w:b/>
          <w:bCs/>
          <w:sz w:val="26"/>
          <w:szCs w:val="26"/>
          <w:rtl/>
        </w:rPr>
      </w:pPr>
    </w:p>
    <w:sectPr w:rsidR="002821F1" w:rsidRPr="000D2AE1">
      <w:headerReference w:type="even" r:id="rId13"/>
      <w:headerReference w:type="default" r:id="rId14"/>
      <w:footerReference w:type="even" r:id="rId15"/>
      <w:footerReference w:type="default" r:id="rId16"/>
      <w:headerReference w:type="first" r:id="rId17"/>
      <w:footerReference w:type="first" r:id="rId18"/>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45AD8" w14:textId="77777777" w:rsidR="004647AF" w:rsidRDefault="004647AF">
      <w:pPr>
        <w:spacing w:line="240" w:lineRule="auto"/>
      </w:pPr>
      <w:r>
        <w:separator/>
      </w:r>
    </w:p>
  </w:endnote>
  <w:endnote w:type="continuationSeparator" w:id="0">
    <w:p w14:paraId="64693942" w14:textId="77777777" w:rsidR="004647AF" w:rsidRDefault="004647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1"/>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lexandria">
    <w:altName w:val="Arial"/>
    <w:panose1 w:val="020B0604020202020204"/>
    <w:charset w:val="00"/>
    <w:family w:val="auto"/>
    <w:pitch w:val="variable"/>
    <w:sig w:usb0="A00020FF" w:usb1="C000207B" w:usb2="00000008" w:usb3="00000000" w:csb0="000001D3" w:csb1="00000000"/>
  </w:font>
  <w:font w:name="Simplified Arabic">
    <w:panose1 w:val="02020603050405020304"/>
    <w:charset w:val="B2"/>
    <w:family w:val="roman"/>
    <w:pitch w:val="variable"/>
    <w:sig w:usb0="00002003" w:usb1="80000000" w:usb2="00000008" w:usb3="00000000" w:csb0="00000041" w:csb1="00000000"/>
  </w:font>
  <w:font w:name="-webkit-standard">
    <w:altName w:val="Cambria"/>
    <w:panose1 w:val="020B0604020202020204"/>
    <w:charset w:val="00"/>
    <w:family w:val="roman"/>
    <w:notTrueType/>
    <w:pitch w:val="default"/>
  </w:font>
  <w:font w:name="Alexandria Medium">
    <w:altName w:val="Arial"/>
    <w:panose1 w:val="020B0604020202020204"/>
    <w:charset w:val="00"/>
    <w:family w:val="auto"/>
    <w:pitch w:val="variable"/>
    <w:sig w:usb0="A00020FF" w:usb1="C000207B" w:usb2="00000008" w:usb3="00000000" w:csb0="000001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3D336" w14:textId="77777777" w:rsidR="00937086" w:rsidRDefault="009370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7248" w14:textId="35B10B4E" w:rsidR="004C4D69" w:rsidRPr="001955FA" w:rsidRDefault="00000000">
    <w:pPr>
      <w:spacing w:line="276" w:lineRule="auto"/>
      <w:ind w:right="-421"/>
      <w:rPr>
        <w:rFonts w:ascii="Alexandria Medium" w:hAnsi="Alexandria Medium" w:cs="Alexandria Medium"/>
        <w:b/>
        <w:bCs/>
        <w:color w:val="767171"/>
        <w:sz w:val="20"/>
        <w:szCs w:val="20"/>
      </w:rPr>
    </w:pPr>
    <w:hyperlink r:id="rId1" w:history="1">
      <w:r w:rsidR="004C4D69" w:rsidRPr="001955FA">
        <w:rPr>
          <w:rStyle w:val="Hyperlink"/>
          <w:rFonts w:ascii="Alexandria Medium" w:hAnsi="Alexandria Medium" w:cs="Alexandria Medium"/>
          <w:b/>
          <w:bCs/>
          <w:color w:val="023160"/>
          <w:u w:val="none"/>
        </w:rPr>
        <w:t>www.midocean.edu.km</w:t>
      </w:r>
    </w:hyperlink>
    <w:r w:rsidR="004C4D69" w:rsidRPr="001955FA">
      <w:rPr>
        <w:rFonts w:ascii="Alexandria Medium" w:hAnsi="Alexandria Medium" w:cs="Alexandria Medium"/>
        <w:b/>
        <w:bCs/>
        <w:color w:val="767171"/>
      </w:rPr>
      <w:br/>
    </w:r>
    <w:r w:rsidR="004C4D69" w:rsidRPr="001955FA">
      <w:rPr>
        <w:rFonts w:ascii="Alexandria Medium" w:hAnsi="Alexandria Medium" w:cs="Alexandria Medium"/>
        <w:b/>
        <w:bCs/>
        <w:color w:val="767171"/>
        <w:sz w:val="16"/>
        <w:szCs w:val="16"/>
      </w:rPr>
      <w:t xml:space="preserve">Comoros Address: </w:t>
    </w:r>
    <w:r w:rsidR="004C4D69" w:rsidRPr="001955FA">
      <w:rPr>
        <w:rFonts w:ascii="Alexandria Medium" w:hAnsi="Alexandria Medium" w:cs="Alexandria Medium"/>
        <w:color w:val="767171"/>
        <w:sz w:val="16"/>
        <w:szCs w:val="16"/>
      </w:rPr>
      <w:t xml:space="preserve">(Headquarters) Midocean university, 8764+GH9 </w:t>
    </w:r>
    <w:proofErr w:type="spellStart"/>
    <w:r w:rsidR="004C4D69" w:rsidRPr="001955FA">
      <w:rPr>
        <w:rFonts w:ascii="Alexandria Medium" w:hAnsi="Alexandria Medium" w:cs="Alexandria Medium"/>
        <w:color w:val="767171"/>
        <w:sz w:val="16"/>
        <w:szCs w:val="16"/>
      </w:rPr>
      <w:t>Matelec</w:t>
    </w:r>
    <w:proofErr w:type="spellEnd"/>
    <w:r w:rsidR="004C4D69" w:rsidRPr="001955FA">
      <w:rPr>
        <w:rFonts w:ascii="Alexandria Medium" w:hAnsi="Alexandria Medium" w:cs="Alexandria Medium"/>
        <w:color w:val="767171"/>
        <w:sz w:val="16"/>
        <w:szCs w:val="16"/>
      </w:rPr>
      <w:t xml:space="preserve"> street, BP 684 Moroni, RP 98123 Moroni, Comoros</w:t>
    </w:r>
    <w:r w:rsidR="004C4D69" w:rsidRPr="001955FA">
      <w:rPr>
        <w:rFonts w:ascii="Alexandria Medium" w:hAnsi="Alexandria Medium" w:cs="Alexandria Medium"/>
        <w:color w:val="767171"/>
        <w:sz w:val="20"/>
        <w:szCs w:val="20"/>
        <w:rtl/>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22399" w14:textId="77777777" w:rsidR="00937086" w:rsidRDefault="009370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64A01" w14:textId="77777777" w:rsidR="004647AF" w:rsidRDefault="004647AF">
      <w:pPr>
        <w:spacing w:after="0"/>
      </w:pPr>
      <w:r>
        <w:separator/>
      </w:r>
    </w:p>
  </w:footnote>
  <w:footnote w:type="continuationSeparator" w:id="0">
    <w:p w14:paraId="02E5E849" w14:textId="77777777" w:rsidR="004647AF" w:rsidRDefault="004647A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4DF16" w14:textId="77777777" w:rsidR="00937086" w:rsidRDefault="009370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952DB" w14:textId="7E793839"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5C7EC" w14:textId="77777777" w:rsidR="00937086" w:rsidRDefault="009370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D6814"/>
    <w:multiLevelType w:val="multilevel"/>
    <w:tmpl w:val="2FC2785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857B38"/>
    <w:multiLevelType w:val="hybridMultilevel"/>
    <w:tmpl w:val="E584B65E"/>
    <w:lvl w:ilvl="0" w:tplc="A33A505A">
      <w:numFmt w:val="bullet"/>
      <w:lvlText w:val="-"/>
      <w:lvlJc w:val="left"/>
      <w:pPr>
        <w:ind w:left="720" w:hanging="360"/>
      </w:pPr>
      <w:rPr>
        <w:rFonts w:ascii="Georgia" w:eastAsia="Georgia" w:hAnsi="Georgia" w:cs="Georgia"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62D8B"/>
    <w:multiLevelType w:val="hybridMultilevel"/>
    <w:tmpl w:val="E46CA344"/>
    <w:lvl w:ilvl="0" w:tplc="EB940D1C">
      <w:start w:val="1"/>
      <w:numFmt w:val="decimal"/>
      <w:lvlText w:val="%1."/>
      <w:lvlJc w:val="left"/>
      <w:pPr>
        <w:tabs>
          <w:tab w:val="num" w:pos="900"/>
        </w:tabs>
        <w:ind w:left="540" w:hanging="360"/>
      </w:pPr>
    </w:lvl>
    <w:lvl w:ilvl="1" w:tplc="53DA5272">
      <w:start w:val="1"/>
      <w:numFmt w:val="bullet"/>
      <w:lvlText w:val="o"/>
      <w:lvlJc w:val="left"/>
      <w:pPr>
        <w:tabs>
          <w:tab w:val="num" w:pos="1440"/>
        </w:tabs>
        <w:ind w:left="1080" w:hanging="360"/>
      </w:pPr>
      <w:rPr>
        <w:rFonts w:ascii="Courier New" w:hAnsi="Courier New" w:cs="Courier New" w:hint="default"/>
      </w:rPr>
    </w:lvl>
    <w:lvl w:ilvl="2" w:tplc="43A2FC84">
      <w:numFmt w:val="decimal"/>
      <w:lvlText w:val=""/>
      <w:lvlJc w:val="left"/>
    </w:lvl>
    <w:lvl w:ilvl="3" w:tplc="08A28D0C">
      <w:numFmt w:val="decimal"/>
      <w:lvlText w:val=""/>
      <w:lvlJc w:val="left"/>
    </w:lvl>
    <w:lvl w:ilvl="4" w:tplc="A5B6C690">
      <w:numFmt w:val="decimal"/>
      <w:lvlText w:val=""/>
      <w:lvlJc w:val="left"/>
    </w:lvl>
    <w:lvl w:ilvl="5" w:tplc="2702057A">
      <w:numFmt w:val="decimal"/>
      <w:lvlText w:val=""/>
      <w:lvlJc w:val="left"/>
    </w:lvl>
    <w:lvl w:ilvl="6" w:tplc="7BA4BFC4">
      <w:numFmt w:val="decimal"/>
      <w:lvlText w:val=""/>
      <w:lvlJc w:val="left"/>
    </w:lvl>
    <w:lvl w:ilvl="7" w:tplc="323ED632">
      <w:numFmt w:val="decimal"/>
      <w:lvlText w:val=""/>
      <w:lvlJc w:val="left"/>
    </w:lvl>
    <w:lvl w:ilvl="8" w:tplc="B76AE4A6">
      <w:numFmt w:val="decimal"/>
      <w:lvlText w:val=""/>
      <w:lvlJc w:val="left"/>
    </w:lvl>
  </w:abstractNum>
  <w:abstractNum w:abstractNumId="8" w15:restartNumberingAfterBreak="0">
    <w:nsid w:val="1E0B3469"/>
    <w:multiLevelType w:val="hybridMultilevel"/>
    <w:tmpl w:val="E0E42780"/>
    <w:lvl w:ilvl="0" w:tplc="D5965A30">
      <w:start w:val="1"/>
      <w:numFmt w:val="bullet"/>
      <w:lvlText w:val=""/>
      <w:lvlJc w:val="left"/>
      <w:pPr>
        <w:tabs>
          <w:tab w:val="num" w:pos="900"/>
        </w:tabs>
        <w:ind w:left="540" w:hanging="360"/>
      </w:pPr>
      <w:rPr>
        <w:rFonts w:ascii="Symbol" w:hAnsi="Symbol" w:hint="default"/>
      </w:rPr>
    </w:lvl>
    <w:lvl w:ilvl="1" w:tplc="40F425A2">
      <w:numFmt w:val="decimal"/>
      <w:lvlText w:val=""/>
      <w:lvlJc w:val="left"/>
    </w:lvl>
    <w:lvl w:ilvl="2" w:tplc="3C527CF2">
      <w:numFmt w:val="decimal"/>
      <w:lvlText w:val=""/>
      <w:lvlJc w:val="left"/>
    </w:lvl>
    <w:lvl w:ilvl="3" w:tplc="B03A381C">
      <w:numFmt w:val="decimal"/>
      <w:lvlText w:val=""/>
      <w:lvlJc w:val="left"/>
    </w:lvl>
    <w:lvl w:ilvl="4" w:tplc="16ECAFA8">
      <w:numFmt w:val="decimal"/>
      <w:lvlText w:val=""/>
      <w:lvlJc w:val="left"/>
    </w:lvl>
    <w:lvl w:ilvl="5" w:tplc="3D52D030">
      <w:numFmt w:val="decimal"/>
      <w:lvlText w:val=""/>
      <w:lvlJc w:val="left"/>
    </w:lvl>
    <w:lvl w:ilvl="6" w:tplc="54525BAA">
      <w:numFmt w:val="decimal"/>
      <w:lvlText w:val=""/>
      <w:lvlJc w:val="left"/>
    </w:lvl>
    <w:lvl w:ilvl="7" w:tplc="1C4ACBBC">
      <w:numFmt w:val="decimal"/>
      <w:lvlText w:val=""/>
      <w:lvlJc w:val="left"/>
    </w:lvl>
    <w:lvl w:ilvl="8" w:tplc="608EC34E">
      <w:numFmt w:val="decimal"/>
      <w:lvlText w:val=""/>
      <w:lvlJc w:val="left"/>
    </w:lvl>
  </w:abstractNum>
  <w:abstractNum w:abstractNumId="9" w15:restartNumberingAfterBreak="0">
    <w:nsid w:val="1E90286B"/>
    <w:multiLevelType w:val="hybridMultilevel"/>
    <w:tmpl w:val="702E3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17D69"/>
    <w:multiLevelType w:val="hybridMultilevel"/>
    <w:tmpl w:val="61567BBA"/>
    <w:lvl w:ilvl="0" w:tplc="A80A0ABE">
      <w:numFmt w:val="bullet"/>
      <w:lvlText w:val="-"/>
      <w:lvlJc w:val="left"/>
      <w:pPr>
        <w:ind w:left="330" w:hanging="360"/>
      </w:pPr>
      <w:rPr>
        <w:rFonts w:ascii="Georgia" w:eastAsia="Georgia" w:hAnsi="Georgia" w:cs="Georgia" w:hint="default"/>
        <w:b/>
        <w:color w:val="000000"/>
      </w:rPr>
    </w:lvl>
    <w:lvl w:ilvl="1" w:tplc="08090003" w:tentative="1">
      <w:start w:val="1"/>
      <w:numFmt w:val="bullet"/>
      <w:lvlText w:val="o"/>
      <w:lvlJc w:val="left"/>
      <w:pPr>
        <w:ind w:left="1050" w:hanging="360"/>
      </w:pPr>
      <w:rPr>
        <w:rFonts w:ascii="Courier New" w:hAnsi="Courier New" w:hint="default"/>
      </w:rPr>
    </w:lvl>
    <w:lvl w:ilvl="2" w:tplc="08090005" w:tentative="1">
      <w:start w:val="1"/>
      <w:numFmt w:val="bullet"/>
      <w:lvlText w:val=""/>
      <w:lvlJc w:val="left"/>
      <w:pPr>
        <w:ind w:left="1770" w:hanging="360"/>
      </w:pPr>
      <w:rPr>
        <w:rFonts w:ascii="Wingdings" w:hAnsi="Wingdings" w:hint="default"/>
      </w:rPr>
    </w:lvl>
    <w:lvl w:ilvl="3" w:tplc="08090001" w:tentative="1">
      <w:start w:val="1"/>
      <w:numFmt w:val="bullet"/>
      <w:lvlText w:val=""/>
      <w:lvlJc w:val="left"/>
      <w:pPr>
        <w:ind w:left="2490" w:hanging="360"/>
      </w:pPr>
      <w:rPr>
        <w:rFonts w:ascii="Symbol" w:hAnsi="Symbol" w:hint="default"/>
      </w:rPr>
    </w:lvl>
    <w:lvl w:ilvl="4" w:tplc="08090003" w:tentative="1">
      <w:start w:val="1"/>
      <w:numFmt w:val="bullet"/>
      <w:lvlText w:val="o"/>
      <w:lvlJc w:val="left"/>
      <w:pPr>
        <w:ind w:left="3210" w:hanging="360"/>
      </w:pPr>
      <w:rPr>
        <w:rFonts w:ascii="Courier New" w:hAnsi="Courier New" w:hint="default"/>
      </w:rPr>
    </w:lvl>
    <w:lvl w:ilvl="5" w:tplc="08090005" w:tentative="1">
      <w:start w:val="1"/>
      <w:numFmt w:val="bullet"/>
      <w:lvlText w:val=""/>
      <w:lvlJc w:val="left"/>
      <w:pPr>
        <w:ind w:left="3930" w:hanging="360"/>
      </w:pPr>
      <w:rPr>
        <w:rFonts w:ascii="Wingdings" w:hAnsi="Wingdings" w:hint="default"/>
      </w:rPr>
    </w:lvl>
    <w:lvl w:ilvl="6" w:tplc="08090001" w:tentative="1">
      <w:start w:val="1"/>
      <w:numFmt w:val="bullet"/>
      <w:lvlText w:val=""/>
      <w:lvlJc w:val="left"/>
      <w:pPr>
        <w:ind w:left="4650" w:hanging="360"/>
      </w:pPr>
      <w:rPr>
        <w:rFonts w:ascii="Symbol" w:hAnsi="Symbol" w:hint="default"/>
      </w:rPr>
    </w:lvl>
    <w:lvl w:ilvl="7" w:tplc="08090003" w:tentative="1">
      <w:start w:val="1"/>
      <w:numFmt w:val="bullet"/>
      <w:lvlText w:val="o"/>
      <w:lvlJc w:val="left"/>
      <w:pPr>
        <w:ind w:left="5370" w:hanging="360"/>
      </w:pPr>
      <w:rPr>
        <w:rFonts w:ascii="Courier New" w:hAnsi="Courier New" w:hint="default"/>
      </w:rPr>
    </w:lvl>
    <w:lvl w:ilvl="8" w:tplc="08090005" w:tentative="1">
      <w:start w:val="1"/>
      <w:numFmt w:val="bullet"/>
      <w:lvlText w:val=""/>
      <w:lvlJc w:val="left"/>
      <w:pPr>
        <w:ind w:left="6090" w:hanging="360"/>
      </w:pPr>
      <w:rPr>
        <w:rFonts w:ascii="Wingdings" w:hAnsi="Wingdings" w:hint="default"/>
      </w:rPr>
    </w:lvl>
  </w:abstractNum>
  <w:abstractNum w:abstractNumId="11" w15:restartNumberingAfterBreak="0">
    <w:nsid w:val="240B66E8"/>
    <w:multiLevelType w:val="hybridMultilevel"/>
    <w:tmpl w:val="2AF0B6BE"/>
    <w:lvl w:ilvl="0" w:tplc="1272E6CA">
      <w:start w:val="1"/>
      <w:numFmt w:val="decimal"/>
      <w:lvlText w:val="%1."/>
      <w:lvlJc w:val="left"/>
      <w:pPr>
        <w:tabs>
          <w:tab w:val="num" w:pos="900"/>
        </w:tabs>
        <w:ind w:left="540" w:hanging="360"/>
      </w:pPr>
    </w:lvl>
    <w:lvl w:ilvl="1" w:tplc="8D42BA7A">
      <w:numFmt w:val="decimal"/>
      <w:lvlText w:val=""/>
      <w:lvlJc w:val="left"/>
    </w:lvl>
    <w:lvl w:ilvl="2" w:tplc="57501896">
      <w:numFmt w:val="decimal"/>
      <w:lvlText w:val=""/>
      <w:lvlJc w:val="left"/>
    </w:lvl>
    <w:lvl w:ilvl="3" w:tplc="85E8B4A2">
      <w:numFmt w:val="decimal"/>
      <w:lvlText w:val=""/>
      <w:lvlJc w:val="left"/>
    </w:lvl>
    <w:lvl w:ilvl="4" w:tplc="3BEAFF92">
      <w:numFmt w:val="decimal"/>
      <w:lvlText w:val=""/>
      <w:lvlJc w:val="left"/>
    </w:lvl>
    <w:lvl w:ilvl="5" w:tplc="45E6F332">
      <w:numFmt w:val="decimal"/>
      <w:lvlText w:val=""/>
      <w:lvlJc w:val="left"/>
    </w:lvl>
    <w:lvl w:ilvl="6" w:tplc="6C78CD6A">
      <w:numFmt w:val="decimal"/>
      <w:lvlText w:val=""/>
      <w:lvlJc w:val="left"/>
    </w:lvl>
    <w:lvl w:ilvl="7" w:tplc="D79ACFF6">
      <w:numFmt w:val="decimal"/>
      <w:lvlText w:val=""/>
      <w:lvlJc w:val="left"/>
    </w:lvl>
    <w:lvl w:ilvl="8" w:tplc="8ACC29E4">
      <w:numFmt w:val="decimal"/>
      <w:lvlText w:val=""/>
      <w:lvlJc w:val="left"/>
    </w:lvl>
  </w:abstractNum>
  <w:abstractNum w:abstractNumId="12" w15:restartNumberingAfterBreak="0">
    <w:nsid w:val="260F3791"/>
    <w:multiLevelType w:val="hybridMultilevel"/>
    <w:tmpl w:val="D2B28078"/>
    <w:lvl w:ilvl="0" w:tplc="0A68AB84">
      <w:start w:val="1"/>
      <w:numFmt w:val="decimal"/>
      <w:lvlText w:val="%1."/>
      <w:lvlJc w:val="left"/>
      <w:pPr>
        <w:tabs>
          <w:tab w:val="num" w:pos="900"/>
        </w:tabs>
        <w:ind w:left="540" w:hanging="360"/>
      </w:pPr>
    </w:lvl>
    <w:lvl w:ilvl="1" w:tplc="50CE3D9C">
      <w:numFmt w:val="decimal"/>
      <w:lvlText w:val=""/>
      <w:lvlJc w:val="left"/>
    </w:lvl>
    <w:lvl w:ilvl="2" w:tplc="07E06950">
      <w:numFmt w:val="decimal"/>
      <w:lvlText w:val=""/>
      <w:lvlJc w:val="left"/>
    </w:lvl>
    <w:lvl w:ilvl="3" w:tplc="7F8A7214">
      <w:numFmt w:val="decimal"/>
      <w:lvlText w:val=""/>
      <w:lvlJc w:val="left"/>
    </w:lvl>
    <w:lvl w:ilvl="4" w:tplc="CAEEAF90">
      <w:numFmt w:val="decimal"/>
      <w:lvlText w:val=""/>
      <w:lvlJc w:val="left"/>
    </w:lvl>
    <w:lvl w:ilvl="5" w:tplc="B48E2048">
      <w:numFmt w:val="decimal"/>
      <w:lvlText w:val=""/>
      <w:lvlJc w:val="left"/>
    </w:lvl>
    <w:lvl w:ilvl="6" w:tplc="B96AB6E4">
      <w:numFmt w:val="decimal"/>
      <w:lvlText w:val=""/>
      <w:lvlJc w:val="left"/>
    </w:lvl>
    <w:lvl w:ilvl="7" w:tplc="D8421F44">
      <w:numFmt w:val="decimal"/>
      <w:lvlText w:val=""/>
      <w:lvlJc w:val="left"/>
    </w:lvl>
    <w:lvl w:ilvl="8" w:tplc="E5BC0C6C">
      <w:numFmt w:val="decimal"/>
      <w:lvlText w:val=""/>
      <w:lvlJc w:val="left"/>
    </w:lvl>
  </w:abstractNum>
  <w:abstractNum w:abstractNumId="13"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B54294"/>
    <w:multiLevelType w:val="hybridMultilevel"/>
    <w:tmpl w:val="DF90281E"/>
    <w:lvl w:ilvl="0" w:tplc="515A7428">
      <w:start w:val="1"/>
      <w:numFmt w:val="bullet"/>
      <w:lvlText w:val=""/>
      <w:lvlJc w:val="left"/>
      <w:pPr>
        <w:tabs>
          <w:tab w:val="num" w:pos="900"/>
        </w:tabs>
        <w:ind w:left="540" w:hanging="360"/>
      </w:pPr>
      <w:rPr>
        <w:rFonts w:ascii="Symbol" w:hAnsi="Symbol" w:hint="default"/>
      </w:rPr>
    </w:lvl>
    <w:lvl w:ilvl="1" w:tplc="91F60592">
      <w:numFmt w:val="decimal"/>
      <w:lvlText w:val=""/>
      <w:lvlJc w:val="left"/>
    </w:lvl>
    <w:lvl w:ilvl="2" w:tplc="1E34147E">
      <w:numFmt w:val="decimal"/>
      <w:lvlText w:val=""/>
      <w:lvlJc w:val="left"/>
    </w:lvl>
    <w:lvl w:ilvl="3" w:tplc="7E866548">
      <w:numFmt w:val="decimal"/>
      <w:lvlText w:val=""/>
      <w:lvlJc w:val="left"/>
    </w:lvl>
    <w:lvl w:ilvl="4" w:tplc="01A20ED8">
      <w:numFmt w:val="decimal"/>
      <w:lvlText w:val=""/>
      <w:lvlJc w:val="left"/>
    </w:lvl>
    <w:lvl w:ilvl="5" w:tplc="BE60F96A">
      <w:numFmt w:val="decimal"/>
      <w:lvlText w:val=""/>
      <w:lvlJc w:val="left"/>
    </w:lvl>
    <w:lvl w:ilvl="6" w:tplc="1B8C1BA2">
      <w:numFmt w:val="decimal"/>
      <w:lvlText w:val=""/>
      <w:lvlJc w:val="left"/>
    </w:lvl>
    <w:lvl w:ilvl="7" w:tplc="97507CCC">
      <w:numFmt w:val="decimal"/>
      <w:lvlText w:val=""/>
      <w:lvlJc w:val="left"/>
    </w:lvl>
    <w:lvl w:ilvl="8" w:tplc="1174D1EE">
      <w:numFmt w:val="decimal"/>
      <w:lvlText w:val=""/>
      <w:lvlJc w:val="left"/>
    </w:lvl>
  </w:abstractNum>
  <w:abstractNum w:abstractNumId="18"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89257D"/>
    <w:multiLevelType w:val="hybridMultilevel"/>
    <w:tmpl w:val="B936E69E"/>
    <w:lvl w:ilvl="0" w:tplc="E8A0D892">
      <w:start w:val="1"/>
      <w:numFmt w:val="bullet"/>
      <w:lvlText w:val=""/>
      <w:lvlJc w:val="left"/>
      <w:pPr>
        <w:tabs>
          <w:tab w:val="num" w:pos="900"/>
        </w:tabs>
        <w:ind w:left="540" w:hanging="360"/>
      </w:pPr>
      <w:rPr>
        <w:rFonts w:ascii="Symbol" w:hAnsi="Symbol" w:hint="default"/>
      </w:rPr>
    </w:lvl>
    <w:lvl w:ilvl="1" w:tplc="ECAAF4CA">
      <w:numFmt w:val="decimal"/>
      <w:lvlText w:val=""/>
      <w:lvlJc w:val="left"/>
    </w:lvl>
    <w:lvl w:ilvl="2" w:tplc="8A56836A">
      <w:numFmt w:val="decimal"/>
      <w:lvlText w:val=""/>
      <w:lvlJc w:val="left"/>
    </w:lvl>
    <w:lvl w:ilvl="3" w:tplc="13A4C822">
      <w:numFmt w:val="decimal"/>
      <w:lvlText w:val=""/>
      <w:lvlJc w:val="left"/>
    </w:lvl>
    <w:lvl w:ilvl="4" w:tplc="5B6CB9A6">
      <w:numFmt w:val="decimal"/>
      <w:lvlText w:val=""/>
      <w:lvlJc w:val="left"/>
    </w:lvl>
    <w:lvl w:ilvl="5" w:tplc="919C7D8C">
      <w:numFmt w:val="decimal"/>
      <w:lvlText w:val=""/>
      <w:lvlJc w:val="left"/>
    </w:lvl>
    <w:lvl w:ilvl="6" w:tplc="DE8EB068">
      <w:numFmt w:val="decimal"/>
      <w:lvlText w:val=""/>
      <w:lvlJc w:val="left"/>
    </w:lvl>
    <w:lvl w:ilvl="7" w:tplc="222C6FC4">
      <w:numFmt w:val="decimal"/>
      <w:lvlText w:val=""/>
      <w:lvlJc w:val="left"/>
    </w:lvl>
    <w:lvl w:ilvl="8" w:tplc="4B8CA95C">
      <w:numFmt w:val="decimal"/>
      <w:lvlText w:val=""/>
      <w:lvlJc w:val="left"/>
    </w:lvl>
  </w:abstractNum>
  <w:abstractNum w:abstractNumId="20" w15:restartNumberingAfterBreak="0">
    <w:nsid w:val="3D4B193D"/>
    <w:multiLevelType w:val="hybridMultilevel"/>
    <w:tmpl w:val="F9364C6E"/>
    <w:lvl w:ilvl="0" w:tplc="8766B68A">
      <w:start w:val="1"/>
      <w:numFmt w:val="decimal"/>
      <w:lvlText w:val="%1."/>
      <w:lvlJc w:val="left"/>
      <w:pPr>
        <w:tabs>
          <w:tab w:val="num" w:pos="900"/>
        </w:tabs>
        <w:ind w:left="540" w:hanging="360"/>
      </w:pPr>
    </w:lvl>
    <w:lvl w:ilvl="1" w:tplc="519E7C6E">
      <w:numFmt w:val="decimal"/>
      <w:lvlText w:val=""/>
      <w:lvlJc w:val="left"/>
    </w:lvl>
    <w:lvl w:ilvl="2" w:tplc="0D8E5784">
      <w:numFmt w:val="decimal"/>
      <w:lvlText w:val=""/>
      <w:lvlJc w:val="left"/>
    </w:lvl>
    <w:lvl w:ilvl="3" w:tplc="DBF25D76">
      <w:numFmt w:val="decimal"/>
      <w:lvlText w:val=""/>
      <w:lvlJc w:val="left"/>
    </w:lvl>
    <w:lvl w:ilvl="4" w:tplc="D3A84BDA">
      <w:numFmt w:val="decimal"/>
      <w:lvlText w:val=""/>
      <w:lvlJc w:val="left"/>
    </w:lvl>
    <w:lvl w:ilvl="5" w:tplc="4184E178">
      <w:numFmt w:val="decimal"/>
      <w:lvlText w:val=""/>
      <w:lvlJc w:val="left"/>
    </w:lvl>
    <w:lvl w:ilvl="6" w:tplc="5602FBBC">
      <w:numFmt w:val="decimal"/>
      <w:lvlText w:val=""/>
      <w:lvlJc w:val="left"/>
    </w:lvl>
    <w:lvl w:ilvl="7" w:tplc="15CEBFE0">
      <w:numFmt w:val="decimal"/>
      <w:lvlText w:val=""/>
      <w:lvlJc w:val="left"/>
    </w:lvl>
    <w:lvl w:ilvl="8" w:tplc="91B42EEE">
      <w:numFmt w:val="decimal"/>
      <w:lvlText w:val=""/>
      <w:lvlJc w:val="left"/>
    </w:lvl>
  </w:abstractNum>
  <w:abstractNum w:abstractNumId="21" w15:restartNumberingAfterBreak="0">
    <w:nsid w:val="43362784"/>
    <w:multiLevelType w:val="hybridMultilevel"/>
    <w:tmpl w:val="626AE836"/>
    <w:lvl w:ilvl="0" w:tplc="FE3629F4">
      <w:start w:val="1"/>
      <w:numFmt w:val="bullet"/>
      <w:lvlText w:val=""/>
      <w:lvlJc w:val="left"/>
      <w:pPr>
        <w:tabs>
          <w:tab w:val="num" w:pos="900"/>
        </w:tabs>
        <w:ind w:left="540" w:hanging="360"/>
      </w:pPr>
      <w:rPr>
        <w:rFonts w:ascii="Symbol" w:hAnsi="Symbol" w:hint="default"/>
      </w:rPr>
    </w:lvl>
    <w:lvl w:ilvl="1" w:tplc="CC06AB1E">
      <w:numFmt w:val="decimal"/>
      <w:lvlText w:val=""/>
      <w:lvlJc w:val="left"/>
    </w:lvl>
    <w:lvl w:ilvl="2" w:tplc="315AB800">
      <w:numFmt w:val="decimal"/>
      <w:lvlText w:val=""/>
      <w:lvlJc w:val="left"/>
    </w:lvl>
    <w:lvl w:ilvl="3" w:tplc="68A8829E">
      <w:numFmt w:val="decimal"/>
      <w:lvlText w:val=""/>
      <w:lvlJc w:val="left"/>
    </w:lvl>
    <w:lvl w:ilvl="4" w:tplc="746CDCB6">
      <w:numFmt w:val="decimal"/>
      <w:lvlText w:val=""/>
      <w:lvlJc w:val="left"/>
    </w:lvl>
    <w:lvl w:ilvl="5" w:tplc="E0269228">
      <w:numFmt w:val="decimal"/>
      <w:lvlText w:val=""/>
      <w:lvlJc w:val="left"/>
    </w:lvl>
    <w:lvl w:ilvl="6" w:tplc="99D29FA0">
      <w:numFmt w:val="decimal"/>
      <w:lvlText w:val=""/>
      <w:lvlJc w:val="left"/>
    </w:lvl>
    <w:lvl w:ilvl="7" w:tplc="2A8237E0">
      <w:numFmt w:val="decimal"/>
      <w:lvlText w:val=""/>
      <w:lvlJc w:val="left"/>
    </w:lvl>
    <w:lvl w:ilvl="8" w:tplc="F67A70E0">
      <w:numFmt w:val="decimal"/>
      <w:lvlText w:val=""/>
      <w:lvlJc w:val="left"/>
    </w:lvl>
  </w:abstractNum>
  <w:abstractNum w:abstractNumId="22" w15:restartNumberingAfterBreak="0">
    <w:nsid w:val="46741050"/>
    <w:multiLevelType w:val="hybridMultilevel"/>
    <w:tmpl w:val="7BDE56E2"/>
    <w:lvl w:ilvl="0" w:tplc="ABAEE69C">
      <w:numFmt w:val="bullet"/>
      <w:lvlText w:val="-"/>
      <w:lvlJc w:val="left"/>
      <w:pPr>
        <w:ind w:left="330" w:hanging="360"/>
      </w:pPr>
      <w:rPr>
        <w:rFonts w:ascii="Georgia" w:eastAsia="Georgia" w:hAnsi="Georgia" w:cs="Georgia" w:hint="default"/>
        <w:b/>
        <w:color w:val="000000"/>
      </w:rPr>
    </w:lvl>
    <w:lvl w:ilvl="1" w:tplc="08090003" w:tentative="1">
      <w:start w:val="1"/>
      <w:numFmt w:val="bullet"/>
      <w:lvlText w:val="o"/>
      <w:lvlJc w:val="left"/>
      <w:pPr>
        <w:ind w:left="1050" w:hanging="360"/>
      </w:pPr>
      <w:rPr>
        <w:rFonts w:ascii="Courier New" w:hAnsi="Courier New" w:hint="default"/>
      </w:rPr>
    </w:lvl>
    <w:lvl w:ilvl="2" w:tplc="08090005" w:tentative="1">
      <w:start w:val="1"/>
      <w:numFmt w:val="bullet"/>
      <w:lvlText w:val=""/>
      <w:lvlJc w:val="left"/>
      <w:pPr>
        <w:ind w:left="1770" w:hanging="360"/>
      </w:pPr>
      <w:rPr>
        <w:rFonts w:ascii="Wingdings" w:hAnsi="Wingdings" w:hint="default"/>
      </w:rPr>
    </w:lvl>
    <w:lvl w:ilvl="3" w:tplc="08090001" w:tentative="1">
      <w:start w:val="1"/>
      <w:numFmt w:val="bullet"/>
      <w:lvlText w:val=""/>
      <w:lvlJc w:val="left"/>
      <w:pPr>
        <w:ind w:left="2490" w:hanging="360"/>
      </w:pPr>
      <w:rPr>
        <w:rFonts w:ascii="Symbol" w:hAnsi="Symbol" w:hint="default"/>
      </w:rPr>
    </w:lvl>
    <w:lvl w:ilvl="4" w:tplc="08090003" w:tentative="1">
      <w:start w:val="1"/>
      <w:numFmt w:val="bullet"/>
      <w:lvlText w:val="o"/>
      <w:lvlJc w:val="left"/>
      <w:pPr>
        <w:ind w:left="3210" w:hanging="360"/>
      </w:pPr>
      <w:rPr>
        <w:rFonts w:ascii="Courier New" w:hAnsi="Courier New" w:hint="default"/>
      </w:rPr>
    </w:lvl>
    <w:lvl w:ilvl="5" w:tplc="08090005" w:tentative="1">
      <w:start w:val="1"/>
      <w:numFmt w:val="bullet"/>
      <w:lvlText w:val=""/>
      <w:lvlJc w:val="left"/>
      <w:pPr>
        <w:ind w:left="3930" w:hanging="360"/>
      </w:pPr>
      <w:rPr>
        <w:rFonts w:ascii="Wingdings" w:hAnsi="Wingdings" w:hint="default"/>
      </w:rPr>
    </w:lvl>
    <w:lvl w:ilvl="6" w:tplc="08090001" w:tentative="1">
      <w:start w:val="1"/>
      <w:numFmt w:val="bullet"/>
      <w:lvlText w:val=""/>
      <w:lvlJc w:val="left"/>
      <w:pPr>
        <w:ind w:left="4650" w:hanging="360"/>
      </w:pPr>
      <w:rPr>
        <w:rFonts w:ascii="Symbol" w:hAnsi="Symbol" w:hint="default"/>
      </w:rPr>
    </w:lvl>
    <w:lvl w:ilvl="7" w:tplc="08090003" w:tentative="1">
      <w:start w:val="1"/>
      <w:numFmt w:val="bullet"/>
      <w:lvlText w:val="o"/>
      <w:lvlJc w:val="left"/>
      <w:pPr>
        <w:ind w:left="5370" w:hanging="360"/>
      </w:pPr>
      <w:rPr>
        <w:rFonts w:ascii="Courier New" w:hAnsi="Courier New" w:hint="default"/>
      </w:rPr>
    </w:lvl>
    <w:lvl w:ilvl="8" w:tplc="08090005" w:tentative="1">
      <w:start w:val="1"/>
      <w:numFmt w:val="bullet"/>
      <w:lvlText w:val=""/>
      <w:lvlJc w:val="left"/>
      <w:pPr>
        <w:ind w:left="6090" w:hanging="360"/>
      </w:pPr>
      <w:rPr>
        <w:rFonts w:ascii="Wingdings" w:hAnsi="Wingdings" w:hint="default"/>
      </w:rPr>
    </w:lvl>
  </w:abstractNum>
  <w:abstractNum w:abstractNumId="23"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A60798"/>
    <w:multiLevelType w:val="multilevel"/>
    <w:tmpl w:val="265E50E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7159F7"/>
    <w:multiLevelType w:val="hybridMultilevel"/>
    <w:tmpl w:val="52281860"/>
    <w:lvl w:ilvl="0" w:tplc="850A2FF0">
      <w:start w:val="1"/>
      <w:numFmt w:val="bullet"/>
      <w:lvlText w:val=""/>
      <w:lvlJc w:val="left"/>
      <w:pPr>
        <w:tabs>
          <w:tab w:val="num" w:pos="900"/>
        </w:tabs>
        <w:ind w:left="540" w:hanging="360"/>
      </w:pPr>
      <w:rPr>
        <w:rFonts w:ascii="Symbol" w:hAnsi="Symbol" w:hint="default"/>
      </w:rPr>
    </w:lvl>
    <w:lvl w:ilvl="1" w:tplc="68CE1A78">
      <w:numFmt w:val="decimal"/>
      <w:lvlText w:val=""/>
      <w:lvlJc w:val="left"/>
    </w:lvl>
    <w:lvl w:ilvl="2" w:tplc="E4481EBC">
      <w:numFmt w:val="decimal"/>
      <w:lvlText w:val=""/>
      <w:lvlJc w:val="left"/>
    </w:lvl>
    <w:lvl w:ilvl="3" w:tplc="6F745098">
      <w:numFmt w:val="decimal"/>
      <w:lvlText w:val=""/>
      <w:lvlJc w:val="left"/>
    </w:lvl>
    <w:lvl w:ilvl="4" w:tplc="6058954E">
      <w:numFmt w:val="decimal"/>
      <w:lvlText w:val=""/>
      <w:lvlJc w:val="left"/>
    </w:lvl>
    <w:lvl w:ilvl="5" w:tplc="7500DBD2">
      <w:numFmt w:val="decimal"/>
      <w:lvlText w:val=""/>
      <w:lvlJc w:val="left"/>
    </w:lvl>
    <w:lvl w:ilvl="6" w:tplc="849E20F6">
      <w:numFmt w:val="decimal"/>
      <w:lvlText w:val=""/>
      <w:lvlJc w:val="left"/>
    </w:lvl>
    <w:lvl w:ilvl="7" w:tplc="CB58882A">
      <w:numFmt w:val="decimal"/>
      <w:lvlText w:val=""/>
      <w:lvlJc w:val="left"/>
    </w:lvl>
    <w:lvl w:ilvl="8" w:tplc="3F0C1824">
      <w:numFmt w:val="decimal"/>
      <w:lvlText w:val=""/>
      <w:lvlJc w:val="left"/>
    </w:lvl>
  </w:abstractNum>
  <w:abstractNum w:abstractNumId="27"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A4F0B"/>
    <w:multiLevelType w:val="hybridMultilevel"/>
    <w:tmpl w:val="1FEC1EAE"/>
    <w:lvl w:ilvl="0" w:tplc="50645D98">
      <w:numFmt w:val="bullet"/>
      <w:lvlText w:val="-"/>
      <w:lvlJc w:val="left"/>
      <w:pPr>
        <w:ind w:left="330" w:hanging="360"/>
      </w:pPr>
      <w:rPr>
        <w:rFonts w:ascii="Georgia" w:eastAsia="Georgia" w:hAnsi="Georgia" w:cs="Georgia" w:hint="default"/>
        <w:b/>
        <w:color w:val="000000"/>
      </w:rPr>
    </w:lvl>
    <w:lvl w:ilvl="1" w:tplc="08090003" w:tentative="1">
      <w:start w:val="1"/>
      <w:numFmt w:val="bullet"/>
      <w:lvlText w:val="o"/>
      <w:lvlJc w:val="left"/>
      <w:pPr>
        <w:ind w:left="1050" w:hanging="360"/>
      </w:pPr>
      <w:rPr>
        <w:rFonts w:ascii="Courier New" w:hAnsi="Courier New" w:hint="default"/>
      </w:rPr>
    </w:lvl>
    <w:lvl w:ilvl="2" w:tplc="08090005" w:tentative="1">
      <w:start w:val="1"/>
      <w:numFmt w:val="bullet"/>
      <w:lvlText w:val=""/>
      <w:lvlJc w:val="left"/>
      <w:pPr>
        <w:ind w:left="1770" w:hanging="360"/>
      </w:pPr>
      <w:rPr>
        <w:rFonts w:ascii="Wingdings" w:hAnsi="Wingdings" w:hint="default"/>
      </w:rPr>
    </w:lvl>
    <w:lvl w:ilvl="3" w:tplc="08090001" w:tentative="1">
      <w:start w:val="1"/>
      <w:numFmt w:val="bullet"/>
      <w:lvlText w:val=""/>
      <w:lvlJc w:val="left"/>
      <w:pPr>
        <w:ind w:left="2490" w:hanging="360"/>
      </w:pPr>
      <w:rPr>
        <w:rFonts w:ascii="Symbol" w:hAnsi="Symbol" w:hint="default"/>
      </w:rPr>
    </w:lvl>
    <w:lvl w:ilvl="4" w:tplc="08090003" w:tentative="1">
      <w:start w:val="1"/>
      <w:numFmt w:val="bullet"/>
      <w:lvlText w:val="o"/>
      <w:lvlJc w:val="left"/>
      <w:pPr>
        <w:ind w:left="3210" w:hanging="360"/>
      </w:pPr>
      <w:rPr>
        <w:rFonts w:ascii="Courier New" w:hAnsi="Courier New" w:hint="default"/>
      </w:rPr>
    </w:lvl>
    <w:lvl w:ilvl="5" w:tplc="08090005" w:tentative="1">
      <w:start w:val="1"/>
      <w:numFmt w:val="bullet"/>
      <w:lvlText w:val=""/>
      <w:lvlJc w:val="left"/>
      <w:pPr>
        <w:ind w:left="3930" w:hanging="360"/>
      </w:pPr>
      <w:rPr>
        <w:rFonts w:ascii="Wingdings" w:hAnsi="Wingdings" w:hint="default"/>
      </w:rPr>
    </w:lvl>
    <w:lvl w:ilvl="6" w:tplc="08090001" w:tentative="1">
      <w:start w:val="1"/>
      <w:numFmt w:val="bullet"/>
      <w:lvlText w:val=""/>
      <w:lvlJc w:val="left"/>
      <w:pPr>
        <w:ind w:left="4650" w:hanging="360"/>
      </w:pPr>
      <w:rPr>
        <w:rFonts w:ascii="Symbol" w:hAnsi="Symbol" w:hint="default"/>
      </w:rPr>
    </w:lvl>
    <w:lvl w:ilvl="7" w:tplc="08090003" w:tentative="1">
      <w:start w:val="1"/>
      <w:numFmt w:val="bullet"/>
      <w:lvlText w:val="o"/>
      <w:lvlJc w:val="left"/>
      <w:pPr>
        <w:ind w:left="5370" w:hanging="360"/>
      </w:pPr>
      <w:rPr>
        <w:rFonts w:ascii="Courier New" w:hAnsi="Courier New" w:hint="default"/>
      </w:rPr>
    </w:lvl>
    <w:lvl w:ilvl="8" w:tplc="08090005" w:tentative="1">
      <w:start w:val="1"/>
      <w:numFmt w:val="bullet"/>
      <w:lvlText w:val=""/>
      <w:lvlJc w:val="left"/>
      <w:pPr>
        <w:ind w:left="6090" w:hanging="360"/>
      </w:pPr>
      <w:rPr>
        <w:rFonts w:ascii="Wingdings" w:hAnsi="Wingdings" w:hint="default"/>
      </w:rPr>
    </w:lvl>
  </w:abstractNum>
  <w:abstractNum w:abstractNumId="29" w15:restartNumberingAfterBreak="0">
    <w:nsid w:val="62897B36"/>
    <w:multiLevelType w:val="hybridMultilevel"/>
    <w:tmpl w:val="2640E194"/>
    <w:lvl w:ilvl="0" w:tplc="909C2A12">
      <w:start w:val="1"/>
      <w:numFmt w:val="bullet"/>
      <w:lvlText w:val="•"/>
      <w:lvlJc w:val="left"/>
      <w:pPr>
        <w:ind w:left="460" w:hanging="260"/>
      </w:pPr>
    </w:lvl>
    <w:lvl w:ilvl="1" w:tplc="55D4FC26">
      <w:numFmt w:val="decimal"/>
      <w:lvlText w:val=""/>
      <w:lvlJc w:val="left"/>
    </w:lvl>
    <w:lvl w:ilvl="2" w:tplc="F77A9EDC">
      <w:numFmt w:val="decimal"/>
      <w:lvlText w:val=""/>
      <w:lvlJc w:val="left"/>
    </w:lvl>
    <w:lvl w:ilvl="3" w:tplc="CB2A90DE">
      <w:numFmt w:val="decimal"/>
      <w:lvlText w:val=""/>
      <w:lvlJc w:val="left"/>
    </w:lvl>
    <w:lvl w:ilvl="4" w:tplc="28DE1514">
      <w:numFmt w:val="decimal"/>
      <w:lvlText w:val=""/>
      <w:lvlJc w:val="left"/>
    </w:lvl>
    <w:lvl w:ilvl="5" w:tplc="F3E425A4">
      <w:numFmt w:val="decimal"/>
      <w:lvlText w:val=""/>
      <w:lvlJc w:val="left"/>
    </w:lvl>
    <w:lvl w:ilvl="6" w:tplc="4DC0339E">
      <w:numFmt w:val="decimal"/>
      <w:lvlText w:val=""/>
      <w:lvlJc w:val="left"/>
    </w:lvl>
    <w:lvl w:ilvl="7" w:tplc="A796A5CC">
      <w:numFmt w:val="decimal"/>
      <w:lvlText w:val=""/>
      <w:lvlJc w:val="left"/>
    </w:lvl>
    <w:lvl w:ilvl="8" w:tplc="FD30D358">
      <w:numFmt w:val="decimal"/>
      <w:lvlText w:val=""/>
      <w:lvlJc w:val="left"/>
    </w:lvl>
  </w:abstractNum>
  <w:abstractNum w:abstractNumId="30"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3B6915"/>
    <w:multiLevelType w:val="hybridMultilevel"/>
    <w:tmpl w:val="BB7C03C2"/>
    <w:lvl w:ilvl="0" w:tplc="8E1085C8">
      <w:numFmt w:val="bullet"/>
      <w:lvlText w:val="-"/>
      <w:lvlJc w:val="left"/>
      <w:pPr>
        <w:ind w:left="330" w:hanging="360"/>
      </w:pPr>
      <w:rPr>
        <w:rFonts w:ascii="Georgia" w:eastAsia="Georgia" w:hAnsi="Georgia" w:cs="Georgia" w:hint="default"/>
      </w:rPr>
    </w:lvl>
    <w:lvl w:ilvl="1" w:tplc="08090003" w:tentative="1">
      <w:start w:val="1"/>
      <w:numFmt w:val="bullet"/>
      <w:lvlText w:val="o"/>
      <w:lvlJc w:val="left"/>
      <w:pPr>
        <w:ind w:left="1050" w:hanging="360"/>
      </w:pPr>
      <w:rPr>
        <w:rFonts w:ascii="Courier New" w:hAnsi="Courier New" w:hint="default"/>
      </w:rPr>
    </w:lvl>
    <w:lvl w:ilvl="2" w:tplc="08090005" w:tentative="1">
      <w:start w:val="1"/>
      <w:numFmt w:val="bullet"/>
      <w:lvlText w:val=""/>
      <w:lvlJc w:val="left"/>
      <w:pPr>
        <w:ind w:left="1770" w:hanging="360"/>
      </w:pPr>
      <w:rPr>
        <w:rFonts w:ascii="Wingdings" w:hAnsi="Wingdings" w:hint="default"/>
      </w:rPr>
    </w:lvl>
    <w:lvl w:ilvl="3" w:tplc="08090001" w:tentative="1">
      <w:start w:val="1"/>
      <w:numFmt w:val="bullet"/>
      <w:lvlText w:val=""/>
      <w:lvlJc w:val="left"/>
      <w:pPr>
        <w:ind w:left="2490" w:hanging="360"/>
      </w:pPr>
      <w:rPr>
        <w:rFonts w:ascii="Symbol" w:hAnsi="Symbol" w:hint="default"/>
      </w:rPr>
    </w:lvl>
    <w:lvl w:ilvl="4" w:tplc="08090003" w:tentative="1">
      <w:start w:val="1"/>
      <w:numFmt w:val="bullet"/>
      <w:lvlText w:val="o"/>
      <w:lvlJc w:val="left"/>
      <w:pPr>
        <w:ind w:left="3210" w:hanging="360"/>
      </w:pPr>
      <w:rPr>
        <w:rFonts w:ascii="Courier New" w:hAnsi="Courier New" w:hint="default"/>
      </w:rPr>
    </w:lvl>
    <w:lvl w:ilvl="5" w:tplc="08090005" w:tentative="1">
      <w:start w:val="1"/>
      <w:numFmt w:val="bullet"/>
      <w:lvlText w:val=""/>
      <w:lvlJc w:val="left"/>
      <w:pPr>
        <w:ind w:left="3930" w:hanging="360"/>
      </w:pPr>
      <w:rPr>
        <w:rFonts w:ascii="Wingdings" w:hAnsi="Wingdings" w:hint="default"/>
      </w:rPr>
    </w:lvl>
    <w:lvl w:ilvl="6" w:tplc="08090001" w:tentative="1">
      <w:start w:val="1"/>
      <w:numFmt w:val="bullet"/>
      <w:lvlText w:val=""/>
      <w:lvlJc w:val="left"/>
      <w:pPr>
        <w:ind w:left="4650" w:hanging="360"/>
      </w:pPr>
      <w:rPr>
        <w:rFonts w:ascii="Symbol" w:hAnsi="Symbol" w:hint="default"/>
      </w:rPr>
    </w:lvl>
    <w:lvl w:ilvl="7" w:tplc="08090003" w:tentative="1">
      <w:start w:val="1"/>
      <w:numFmt w:val="bullet"/>
      <w:lvlText w:val="o"/>
      <w:lvlJc w:val="left"/>
      <w:pPr>
        <w:ind w:left="5370" w:hanging="360"/>
      </w:pPr>
      <w:rPr>
        <w:rFonts w:ascii="Courier New" w:hAnsi="Courier New" w:hint="default"/>
      </w:rPr>
    </w:lvl>
    <w:lvl w:ilvl="8" w:tplc="08090005" w:tentative="1">
      <w:start w:val="1"/>
      <w:numFmt w:val="bullet"/>
      <w:lvlText w:val=""/>
      <w:lvlJc w:val="left"/>
      <w:pPr>
        <w:ind w:left="6090" w:hanging="360"/>
      </w:pPr>
      <w:rPr>
        <w:rFonts w:ascii="Wingdings" w:hAnsi="Wingdings" w:hint="default"/>
      </w:rPr>
    </w:lvl>
  </w:abstractNum>
  <w:abstractNum w:abstractNumId="34"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9" w15:restartNumberingAfterBreak="0">
    <w:nsid w:val="744132B7"/>
    <w:multiLevelType w:val="hybridMultilevel"/>
    <w:tmpl w:val="8D22C652"/>
    <w:lvl w:ilvl="0" w:tplc="B7D4AEE6">
      <w:start w:val="1"/>
      <w:numFmt w:val="decimal"/>
      <w:lvlText w:val="%1."/>
      <w:lvlJc w:val="left"/>
      <w:pPr>
        <w:tabs>
          <w:tab w:val="num" w:pos="900"/>
        </w:tabs>
        <w:ind w:left="540" w:hanging="360"/>
      </w:pPr>
    </w:lvl>
    <w:lvl w:ilvl="1" w:tplc="57F01BC2">
      <w:numFmt w:val="decimal"/>
      <w:lvlText w:val=""/>
      <w:lvlJc w:val="left"/>
    </w:lvl>
    <w:lvl w:ilvl="2" w:tplc="52B69C6A">
      <w:numFmt w:val="decimal"/>
      <w:lvlText w:val=""/>
      <w:lvlJc w:val="left"/>
    </w:lvl>
    <w:lvl w:ilvl="3" w:tplc="1A2A38EE">
      <w:numFmt w:val="decimal"/>
      <w:lvlText w:val=""/>
      <w:lvlJc w:val="left"/>
    </w:lvl>
    <w:lvl w:ilvl="4" w:tplc="7F600186">
      <w:numFmt w:val="decimal"/>
      <w:lvlText w:val=""/>
      <w:lvlJc w:val="left"/>
    </w:lvl>
    <w:lvl w:ilvl="5" w:tplc="D7DCB046">
      <w:numFmt w:val="decimal"/>
      <w:lvlText w:val=""/>
      <w:lvlJc w:val="left"/>
    </w:lvl>
    <w:lvl w:ilvl="6" w:tplc="0494DF34">
      <w:numFmt w:val="decimal"/>
      <w:lvlText w:val=""/>
      <w:lvlJc w:val="left"/>
    </w:lvl>
    <w:lvl w:ilvl="7" w:tplc="6E289544">
      <w:numFmt w:val="decimal"/>
      <w:lvlText w:val=""/>
      <w:lvlJc w:val="left"/>
    </w:lvl>
    <w:lvl w:ilvl="8" w:tplc="C19C2332">
      <w:numFmt w:val="decimal"/>
      <w:lvlText w:val=""/>
      <w:lvlJc w:val="left"/>
    </w:lvl>
  </w:abstractNum>
  <w:abstractNum w:abstractNumId="40"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0359B8"/>
    <w:multiLevelType w:val="hybridMultilevel"/>
    <w:tmpl w:val="76704914"/>
    <w:lvl w:ilvl="0" w:tplc="E494BF6E">
      <w:start w:val="1"/>
      <w:numFmt w:val="bullet"/>
      <w:lvlText w:val=""/>
      <w:lvlJc w:val="left"/>
      <w:pPr>
        <w:tabs>
          <w:tab w:val="num" w:pos="900"/>
        </w:tabs>
        <w:ind w:left="540" w:hanging="360"/>
      </w:pPr>
      <w:rPr>
        <w:rFonts w:ascii="Symbol" w:hAnsi="Symbol" w:hint="default"/>
      </w:rPr>
    </w:lvl>
    <w:lvl w:ilvl="1" w:tplc="75C456E0">
      <w:numFmt w:val="decimal"/>
      <w:lvlText w:val=""/>
      <w:lvlJc w:val="left"/>
    </w:lvl>
    <w:lvl w:ilvl="2" w:tplc="421A3DA6">
      <w:numFmt w:val="decimal"/>
      <w:lvlText w:val=""/>
      <w:lvlJc w:val="left"/>
    </w:lvl>
    <w:lvl w:ilvl="3" w:tplc="77F20FB0">
      <w:numFmt w:val="decimal"/>
      <w:lvlText w:val=""/>
      <w:lvlJc w:val="left"/>
    </w:lvl>
    <w:lvl w:ilvl="4" w:tplc="5934A538">
      <w:numFmt w:val="decimal"/>
      <w:lvlText w:val=""/>
      <w:lvlJc w:val="left"/>
    </w:lvl>
    <w:lvl w:ilvl="5" w:tplc="097643A2">
      <w:numFmt w:val="decimal"/>
      <w:lvlText w:val=""/>
      <w:lvlJc w:val="left"/>
    </w:lvl>
    <w:lvl w:ilvl="6" w:tplc="0C0A17FE">
      <w:numFmt w:val="decimal"/>
      <w:lvlText w:val=""/>
      <w:lvlJc w:val="left"/>
    </w:lvl>
    <w:lvl w:ilvl="7" w:tplc="B8841E8C">
      <w:numFmt w:val="decimal"/>
      <w:lvlText w:val=""/>
      <w:lvlJc w:val="left"/>
    </w:lvl>
    <w:lvl w:ilvl="8" w:tplc="6A1C525C">
      <w:numFmt w:val="decimal"/>
      <w:lvlText w:val=""/>
      <w:lvlJc w:val="left"/>
    </w:lvl>
  </w:abstractNum>
  <w:abstractNum w:abstractNumId="42"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A33E88"/>
    <w:multiLevelType w:val="hybridMultilevel"/>
    <w:tmpl w:val="5E2657A4"/>
    <w:lvl w:ilvl="0" w:tplc="8242BDD6">
      <w:start w:val="1"/>
      <w:numFmt w:val="bullet"/>
      <w:lvlText w:val=""/>
      <w:lvlJc w:val="left"/>
      <w:pPr>
        <w:tabs>
          <w:tab w:val="num" w:pos="900"/>
        </w:tabs>
        <w:ind w:left="540" w:hanging="360"/>
      </w:pPr>
      <w:rPr>
        <w:rFonts w:ascii="Symbol" w:hAnsi="Symbol" w:hint="default"/>
      </w:rPr>
    </w:lvl>
    <w:lvl w:ilvl="1" w:tplc="466AD46A">
      <w:numFmt w:val="decimal"/>
      <w:lvlText w:val=""/>
      <w:lvlJc w:val="left"/>
    </w:lvl>
    <w:lvl w:ilvl="2" w:tplc="7F404352">
      <w:numFmt w:val="decimal"/>
      <w:lvlText w:val=""/>
      <w:lvlJc w:val="left"/>
    </w:lvl>
    <w:lvl w:ilvl="3" w:tplc="F02A2C06">
      <w:numFmt w:val="decimal"/>
      <w:lvlText w:val=""/>
      <w:lvlJc w:val="left"/>
    </w:lvl>
    <w:lvl w:ilvl="4" w:tplc="65A6326A">
      <w:numFmt w:val="decimal"/>
      <w:lvlText w:val=""/>
      <w:lvlJc w:val="left"/>
    </w:lvl>
    <w:lvl w:ilvl="5" w:tplc="9CACE26C">
      <w:numFmt w:val="decimal"/>
      <w:lvlText w:val=""/>
      <w:lvlJc w:val="left"/>
    </w:lvl>
    <w:lvl w:ilvl="6" w:tplc="E21E5320">
      <w:numFmt w:val="decimal"/>
      <w:lvlText w:val=""/>
      <w:lvlJc w:val="left"/>
    </w:lvl>
    <w:lvl w:ilvl="7" w:tplc="816A48DC">
      <w:numFmt w:val="decimal"/>
      <w:lvlText w:val=""/>
      <w:lvlJc w:val="left"/>
    </w:lvl>
    <w:lvl w:ilvl="8" w:tplc="B53E85E0">
      <w:numFmt w:val="decimal"/>
      <w:lvlText w:val=""/>
      <w:lvlJc w:val="left"/>
    </w:lvl>
  </w:abstractNum>
  <w:abstractNum w:abstractNumId="45"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27"/>
  </w:num>
  <w:num w:numId="2" w16cid:durableId="660280696">
    <w:abstractNumId w:val="43"/>
  </w:num>
  <w:num w:numId="3" w16cid:durableId="1203711420">
    <w:abstractNumId w:val="35"/>
  </w:num>
  <w:num w:numId="4" w16cid:durableId="2030525695">
    <w:abstractNumId w:val="18"/>
  </w:num>
  <w:num w:numId="5" w16cid:durableId="675350041">
    <w:abstractNumId w:val="2"/>
  </w:num>
  <w:num w:numId="6" w16cid:durableId="497693745">
    <w:abstractNumId w:val="40"/>
  </w:num>
  <w:num w:numId="7" w16cid:durableId="873619398">
    <w:abstractNumId w:val="5"/>
  </w:num>
  <w:num w:numId="8" w16cid:durableId="111291197">
    <w:abstractNumId w:val="1"/>
  </w:num>
  <w:num w:numId="9" w16cid:durableId="956444306">
    <w:abstractNumId w:val="37"/>
  </w:num>
  <w:num w:numId="10" w16cid:durableId="317072466">
    <w:abstractNumId w:val="14"/>
  </w:num>
  <w:num w:numId="11" w16cid:durableId="24063569">
    <w:abstractNumId w:val="3"/>
  </w:num>
  <w:num w:numId="12" w16cid:durableId="1296638569">
    <w:abstractNumId w:val="4"/>
  </w:num>
  <w:num w:numId="13" w16cid:durableId="1062142019">
    <w:abstractNumId w:val="34"/>
  </w:num>
  <w:num w:numId="14" w16cid:durableId="513153798">
    <w:abstractNumId w:val="31"/>
  </w:num>
  <w:num w:numId="15" w16cid:durableId="1376200577">
    <w:abstractNumId w:val="24"/>
  </w:num>
  <w:num w:numId="16" w16cid:durableId="1820220048">
    <w:abstractNumId w:val="42"/>
  </w:num>
  <w:num w:numId="17" w16cid:durableId="563875357">
    <w:abstractNumId w:val="32"/>
  </w:num>
  <w:num w:numId="18" w16cid:durableId="112099316">
    <w:abstractNumId w:val="13"/>
  </w:num>
  <w:num w:numId="19" w16cid:durableId="479881856">
    <w:abstractNumId w:val="30"/>
  </w:num>
  <w:num w:numId="20" w16cid:durableId="1934240249">
    <w:abstractNumId w:val="23"/>
  </w:num>
  <w:num w:numId="21" w16cid:durableId="1045641081">
    <w:abstractNumId w:val="15"/>
  </w:num>
  <w:num w:numId="22" w16cid:durableId="306470038">
    <w:abstractNumId w:val="36"/>
  </w:num>
  <w:num w:numId="23" w16cid:durableId="18315089">
    <w:abstractNumId w:val="16"/>
  </w:num>
  <w:num w:numId="24" w16cid:durableId="494808305">
    <w:abstractNumId w:val="45"/>
  </w:num>
  <w:num w:numId="25" w16cid:durableId="1618484064">
    <w:abstractNumId w:val="38"/>
  </w:num>
  <w:num w:numId="26" w16cid:durableId="1357737047">
    <w:abstractNumId w:val="41"/>
  </w:num>
  <w:num w:numId="27" w16cid:durableId="575943324">
    <w:abstractNumId w:val="19"/>
  </w:num>
  <w:num w:numId="28" w16cid:durableId="1435708971">
    <w:abstractNumId w:val="20"/>
  </w:num>
  <w:num w:numId="29" w16cid:durableId="1437403956">
    <w:abstractNumId w:val="39"/>
  </w:num>
  <w:num w:numId="30" w16cid:durableId="1772630308">
    <w:abstractNumId w:val="26"/>
  </w:num>
  <w:num w:numId="31" w16cid:durableId="531379584">
    <w:abstractNumId w:val="8"/>
  </w:num>
  <w:num w:numId="32" w16cid:durableId="1177765519">
    <w:abstractNumId w:val="7"/>
  </w:num>
  <w:num w:numId="33" w16cid:durableId="363093346">
    <w:abstractNumId w:val="17"/>
  </w:num>
  <w:num w:numId="34" w16cid:durableId="642854270">
    <w:abstractNumId w:val="21"/>
  </w:num>
  <w:num w:numId="35" w16cid:durableId="1794982508">
    <w:abstractNumId w:val="44"/>
  </w:num>
  <w:num w:numId="36" w16cid:durableId="1955751055">
    <w:abstractNumId w:val="11"/>
  </w:num>
  <w:num w:numId="37" w16cid:durableId="1174301924">
    <w:abstractNumId w:val="12"/>
  </w:num>
  <w:num w:numId="38" w16cid:durableId="961181789">
    <w:abstractNumId w:val="33"/>
  </w:num>
  <w:num w:numId="39" w16cid:durableId="344675655">
    <w:abstractNumId w:val="6"/>
  </w:num>
  <w:num w:numId="40" w16cid:durableId="1768962363">
    <w:abstractNumId w:val="22"/>
  </w:num>
  <w:num w:numId="41" w16cid:durableId="2142772009">
    <w:abstractNumId w:val="28"/>
  </w:num>
  <w:num w:numId="42" w16cid:durableId="1054693897">
    <w:abstractNumId w:val="10"/>
  </w:num>
  <w:num w:numId="43" w16cid:durableId="334189430">
    <w:abstractNumId w:val="29"/>
    <w:lvlOverride w:ilvl="0">
      <w:startOverride w:val="1"/>
    </w:lvlOverride>
  </w:num>
  <w:num w:numId="44" w16cid:durableId="695039104">
    <w:abstractNumId w:val="9"/>
  </w:num>
  <w:num w:numId="45" w16cid:durableId="2021925705">
    <w:abstractNumId w:val="0"/>
  </w:num>
  <w:num w:numId="46" w16cid:durableId="1417720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41DD"/>
    <w:rsid w:val="00015D2F"/>
    <w:rsid w:val="00021234"/>
    <w:rsid w:val="00022044"/>
    <w:rsid w:val="00024387"/>
    <w:rsid w:val="000268FC"/>
    <w:rsid w:val="00037251"/>
    <w:rsid w:val="0004236D"/>
    <w:rsid w:val="00044A31"/>
    <w:rsid w:val="00045ED5"/>
    <w:rsid w:val="000534E6"/>
    <w:rsid w:val="000622E5"/>
    <w:rsid w:val="00072291"/>
    <w:rsid w:val="000A0440"/>
    <w:rsid w:val="000A09B4"/>
    <w:rsid w:val="000A724C"/>
    <w:rsid w:val="000C7917"/>
    <w:rsid w:val="000D2AE1"/>
    <w:rsid w:val="000D49CE"/>
    <w:rsid w:val="000D501F"/>
    <w:rsid w:val="00107D44"/>
    <w:rsid w:val="00141E00"/>
    <w:rsid w:val="00145ACD"/>
    <w:rsid w:val="00147AF3"/>
    <w:rsid w:val="001927C8"/>
    <w:rsid w:val="001955FA"/>
    <w:rsid w:val="001B468D"/>
    <w:rsid w:val="001C1FB8"/>
    <w:rsid w:val="001E68FF"/>
    <w:rsid w:val="001F6F22"/>
    <w:rsid w:val="00207152"/>
    <w:rsid w:val="002148A3"/>
    <w:rsid w:val="0021500D"/>
    <w:rsid w:val="00230F5F"/>
    <w:rsid w:val="0025116A"/>
    <w:rsid w:val="002548C9"/>
    <w:rsid w:val="00261610"/>
    <w:rsid w:val="002679B7"/>
    <w:rsid w:val="002821F1"/>
    <w:rsid w:val="0028456B"/>
    <w:rsid w:val="0028538F"/>
    <w:rsid w:val="00290F17"/>
    <w:rsid w:val="002C2E8B"/>
    <w:rsid w:val="002F7668"/>
    <w:rsid w:val="00302C00"/>
    <w:rsid w:val="003048DB"/>
    <w:rsid w:val="003267B4"/>
    <w:rsid w:val="00336E3F"/>
    <w:rsid w:val="0034109A"/>
    <w:rsid w:val="00342B48"/>
    <w:rsid w:val="00383945"/>
    <w:rsid w:val="003855AC"/>
    <w:rsid w:val="00393FD2"/>
    <w:rsid w:val="003D0416"/>
    <w:rsid w:val="00420AC0"/>
    <w:rsid w:val="004257B3"/>
    <w:rsid w:val="004315AD"/>
    <w:rsid w:val="004413B4"/>
    <w:rsid w:val="004647AF"/>
    <w:rsid w:val="00485ABC"/>
    <w:rsid w:val="004B753D"/>
    <w:rsid w:val="004C225A"/>
    <w:rsid w:val="004C4D69"/>
    <w:rsid w:val="004D7703"/>
    <w:rsid w:val="00503BF2"/>
    <w:rsid w:val="005252E4"/>
    <w:rsid w:val="00542A45"/>
    <w:rsid w:val="00552220"/>
    <w:rsid w:val="00552D74"/>
    <w:rsid w:val="00587E98"/>
    <w:rsid w:val="005C49C9"/>
    <w:rsid w:val="005D7B78"/>
    <w:rsid w:val="005D7D03"/>
    <w:rsid w:val="005E0C63"/>
    <w:rsid w:val="005E6333"/>
    <w:rsid w:val="005F1541"/>
    <w:rsid w:val="006177E0"/>
    <w:rsid w:val="00660821"/>
    <w:rsid w:val="006729E2"/>
    <w:rsid w:val="00684F88"/>
    <w:rsid w:val="006912AE"/>
    <w:rsid w:val="006F076E"/>
    <w:rsid w:val="006F29F3"/>
    <w:rsid w:val="006F3DDB"/>
    <w:rsid w:val="006F6483"/>
    <w:rsid w:val="007373F4"/>
    <w:rsid w:val="00737C71"/>
    <w:rsid w:val="0075541C"/>
    <w:rsid w:val="00762983"/>
    <w:rsid w:val="0077719D"/>
    <w:rsid w:val="00781D77"/>
    <w:rsid w:val="007A20B2"/>
    <w:rsid w:val="007A3219"/>
    <w:rsid w:val="007B48A8"/>
    <w:rsid w:val="007B57D2"/>
    <w:rsid w:val="007D6E3C"/>
    <w:rsid w:val="00815A6D"/>
    <w:rsid w:val="00827BDC"/>
    <w:rsid w:val="00832A2B"/>
    <w:rsid w:val="00844752"/>
    <w:rsid w:val="00854218"/>
    <w:rsid w:val="008668C3"/>
    <w:rsid w:val="00893642"/>
    <w:rsid w:val="00897E11"/>
    <w:rsid w:val="008A4B41"/>
    <w:rsid w:val="008A5DB1"/>
    <w:rsid w:val="008C37CE"/>
    <w:rsid w:val="008E3E29"/>
    <w:rsid w:val="008F1759"/>
    <w:rsid w:val="00917E73"/>
    <w:rsid w:val="00937086"/>
    <w:rsid w:val="0095329C"/>
    <w:rsid w:val="00971F92"/>
    <w:rsid w:val="00992B0D"/>
    <w:rsid w:val="009A65E2"/>
    <w:rsid w:val="009B134E"/>
    <w:rsid w:val="009B5463"/>
    <w:rsid w:val="009C7009"/>
    <w:rsid w:val="00A02DD7"/>
    <w:rsid w:val="00A549D0"/>
    <w:rsid w:val="00A701E8"/>
    <w:rsid w:val="00A73899"/>
    <w:rsid w:val="00A93AEF"/>
    <w:rsid w:val="00AA31F7"/>
    <w:rsid w:val="00AC6B21"/>
    <w:rsid w:val="00AD14FC"/>
    <w:rsid w:val="00AE2589"/>
    <w:rsid w:val="00AE40D8"/>
    <w:rsid w:val="00AE6E4B"/>
    <w:rsid w:val="00AF470C"/>
    <w:rsid w:val="00AF5204"/>
    <w:rsid w:val="00B14920"/>
    <w:rsid w:val="00B2020D"/>
    <w:rsid w:val="00B21E79"/>
    <w:rsid w:val="00B24F35"/>
    <w:rsid w:val="00B703D9"/>
    <w:rsid w:val="00B7177C"/>
    <w:rsid w:val="00B9232B"/>
    <w:rsid w:val="00B96FED"/>
    <w:rsid w:val="00BC6829"/>
    <w:rsid w:val="00BC7BA8"/>
    <w:rsid w:val="00BE02EE"/>
    <w:rsid w:val="00BF3465"/>
    <w:rsid w:val="00C11541"/>
    <w:rsid w:val="00C14152"/>
    <w:rsid w:val="00C365C4"/>
    <w:rsid w:val="00C5372A"/>
    <w:rsid w:val="00C63ADA"/>
    <w:rsid w:val="00C66629"/>
    <w:rsid w:val="00C84B9F"/>
    <w:rsid w:val="00C86238"/>
    <w:rsid w:val="00C919CB"/>
    <w:rsid w:val="00C94732"/>
    <w:rsid w:val="00C95DCD"/>
    <w:rsid w:val="00CB1889"/>
    <w:rsid w:val="00CB258C"/>
    <w:rsid w:val="00D30CDB"/>
    <w:rsid w:val="00D42E96"/>
    <w:rsid w:val="00D542AC"/>
    <w:rsid w:val="00D83FAC"/>
    <w:rsid w:val="00DB0B45"/>
    <w:rsid w:val="00DB1CCC"/>
    <w:rsid w:val="00DB7765"/>
    <w:rsid w:val="00DD7B4C"/>
    <w:rsid w:val="00DE52C8"/>
    <w:rsid w:val="00DF2960"/>
    <w:rsid w:val="00E0682A"/>
    <w:rsid w:val="00E23CC5"/>
    <w:rsid w:val="00E24B3A"/>
    <w:rsid w:val="00E63FC2"/>
    <w:rsid w:val="00E713F7"/>
    <w:rsid w:val="00EB6E1F"/>
    <w:rsid w:val="00EF3595"/>
    <w:rsid w:val="00EF5CA4"/>
    <w:rsid w:val="00F30C2E"/>
    <w:rsid w:val="00F34E61"/>
    <w:rsid w:val="00F4210C"/>
    <w:rsid w:val="00F4302D"/>
    <w:rsid w:val="00F851B6"/>
    <w:rsid w:val="00FD5AE3"/>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F29F3"/>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6F29F3"/>
    <w:pPr>
      <w:keepNext/>
      <w:keepLines/>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unhideWhenUsed/>
    <w:qFormat/>
    <w:rsid w:val="006F29F3"/>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Heading4">
    <w:name w:val="heading 4"/>
    <w:basedOn w:val="Normal"/>
    <w:next w:val="Normal"/>
    <w:link w:val="Heading4Char"/>
    <w:uiPriority w:val="9"/>
    <w:unhideWhenUsed/>
    <w:qFormat/>
    <w:rsid w:val="009B134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7">
    <w:name w:val="heading 7"/>
    <w:basedOn w:val="Normal"/>
    <w:next w:val="Normal"/>
    <w:link w:val="Heading7Char"/>
    <w:uiPriority w:val="9"/>
    <w:unhideWhenUsed/>
    <w:qFormat/>
    <w:rsid w:val="000D2AE1"/>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F29F3"/>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6F29F3"/>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6F29F3"/>
    <w:rPr>
      <w:rFonts w:asciiTheme="majorHAnsi" w:eastAsiaTheme="majorEastAsia" w:hAnsiTheme="majorHAnsi" w:cstheme="majorBidi"/>
      <w:b/>
      <w:bCs/>
      <w:color w:val="4472C4" w:themeColor="accent1"/>
      <w:sz w:val="22"/>
      <w:szCs w:val="22"/>
    </w:rPr>
  </w:style>
  <w:style w:type="paragraph" w:styleId="ListParagraph">
    <w:name w:val="List Paragraph"/>
    <w:basedOn w:val="Normal"/>
    <w:qFormat/>
    <w:rsid w:val="001927C8"/>
    <w:pPr>
      <w:ind w:left="720"/>
      <w:contextualSpacing/>
    </w:pPr>
  </w:style>
  <w:style w:type="character" w:customStyle="1" w:styleId="text-topic">
    <w:name w:val="text-topic"/>
    <w:basedOn w:val="DefaultParagraphFont"/>
    <w:rsid w:val="008C37CE"/>
  </w:style>
  <w:style w:type="paragraph" w:customStyle="1" w:styleId="paragraph">
    <w:name w:val="paragraph"/>
    <w:basedOn w:val="Normal"/>
    <w:rsid w:val="00336E3F"/>
    <w:pPr>
      <w:spacing w:before="100" w:beforeAutospacing="1" w:after="100" w:afterAutospacing="1" w:line="240" w:lineRule="auto"/>
    </w:pPr>
    <w:rPr>
      <w:rFonts w:ascii="Times New Roman" w:eastAsia="Times New Roman" w:hAnsi="Times New Roman" w:cs="Times New Roman"/>
      <w:kern w:val="0"/>
      <w:sz w:val="24"/>
      <w:szCs w:val="24"/>
      <w:lang w:val="en-MY" w:eastAsia="en-GB"/>
      <w14:ligatures w14:val="none"/>
    </w:rPr>
  </w:style>
  <w:style w:type="character" w:customStyle="1" w:styleId="citation-link">
    <w:name w:val="citation-link"/>
    <w:basedOn w:val="DefaultParagraphFont"/>
    <w:rsid w:val="00336E3F"/>
  </w:style>
  <w:style w:type="character" w:customStyle="1" w:styleId="Heading4Char">
    <w:name w:val="Heading 4 Char"/>
    <w:basedOn w:val="DefaultParagraphFont"/>
    <w:link w:val="Heading4"/>
    <w:uiPriority w:val="9"/>
    <w:semiHidden/>
    <w:rsid w:val="009B134E"/>
    <w:rPr>
      <w:rFonts w:asciiTheme="majorHAnsi" w:eastAsiaTheme="majorEastAsia" w:hAnsiTheme="majorHAnsi" w:cstheme="majorBidi"/>
      <w:i/>
      <w:iCs/>
      <w:color w:val="2F5496" w:themeColor="accent1" w:themeShade="BF"/>
      <w:kern w:val="2"/>
      <w:sz w:val="22"/>
      <w:szCs w:val="22"/>
      <w14:ligatures w14:val="standardContextual"/>
    </w:rPr>
  </w:style>
  <w:style w:type="character" w:customStyle="1" w:styleId="Heading7Char">
    <w:name w:val="Heading 7 Char"/>
    <w:basedOn w:val="DefaultParagraphFont"/>
    <w:link w:val="Heading7"/>
    <w:uiPriority w:val="9"/>
    <w:rsid w:val="000D2AE1"/>
    <w:rPr>
      <w:rFonts w:asciiTheme="majorHAnsi" w:eastAsiaTheme="majorEastAsia" w:hAnsiTheme="majorHAnsi" w:cstheme="majorBidi"/>
      <w:i/>
      <w:iCs/>
      <w:color w:val="1F3763" w:themeColor="accent1" w:themeShade="7F"/>
      <w:kern w:val="2"/>
      <w:sz w:val="22"/>
      <w:szCs w:val="22"/>
      <w14:ligatures w14:val="standardContextual"/>
    </w:rPr>
  </w:style>
  <w:style w:type="paragraph" w:styleId="BodyText">
    <w:name w:val="Body Text"/>
    <w:basedOn w:val="Normal"/>
    <w:link w:val="BodyTextChar"/>
    <w:uiPriority w:val="1"/>
    <w:qFormat/>
    <w:rsid w:val="000D2AE1"/>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0D2AE1"/>
    <w:rPr>
      <w:rFonts w:ascii="Times New Roman" w:eastAsia="Times New Roman" w:hAnsi="Times New Roman" w:cs="Times New Roman"/>
      <w:sz w:val="22"/>
      <w:szCs w:val="22"/>
    </w:rPr>
  </w:style>
  <w:style w:type="paragraph" w:customStyle="1" w:styleId="TableParagraph">
    <w:name w:val="Table Paragraph"/>
    <w:basedOn w:val="Normal"/>
    <w:uiPriority w:val="1"/>
    <w:qFormat/>
    <w:rsid w:val="000D2AE1"/>
    <w:pPr>
      <w:widowControl w:val="0"/>
      <w:autoSpaceDE w:val="0"/>
      <w:autoSpaceDN w:val="0"/>
      <w:spacing w:before="58" w:after="0" w:line="240" w:lineRule="auto"/>
      <w:ind w:left="110"/>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76947">
      <w:bodyDiv w:val="1"/>
      <w:marLeft w:val="0"/>
      <w:marRight w:val="0"/>
      <w:marTop w:val="0"/>
      <w:marBottom w:val="0"/>
      <w:divBdr>
        <w:top w:val="none" w:sz="0" w:space="0" w:color="auto"/>
        <w:left w:val="none" w:sz="0" w:space="0" w:color="auto"/>
        <w:bottom w:val="none" w:sz="0" w:space="0" w:color="auto"/>
        <w:right w:val="none" w:sz="0" w:space="0" w:color="auto"/>
      </w:divBdr>
    </w:div>
    <w:div w:id="281687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47</Pages>
  <Words>10096</Words>
  <Characters>57549</Characters>
  <Application>Microsoft Office Word</Application>
  <DocSecurity>0</DocSecurity>
  <Lines>479</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67510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Somaida Mohammed</cp:lastModifiedBy>
  <cp:revision>34</cp:revision>
  <cp:lastPrinted>2024-09-19T10:32:00Z</cp:lastPrinted>
  <dcterms:created xsi:type="dcterms:W3CDTF">2026-07-16T00:56:00Z</dcterms:created>
  <dcterms:modified xsi:type="dcterms:W3CDTF">2026-08-13T17:16:00Z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